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1C22F2"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sidR="009A515B">
        <w:rPr>
          <w:rFonts w:cs="Arial"/>
          <w:b/>
          <w:sz w:val="28"/>
          <w:szCs w:val="28"/>
        </w:rPr>
        <w:t>7.3</w:t>
      </w:r>
      <w:r w:rsidR="00D245A1">
        <w:rPr>
          <w:rFonts w:cs="Arial"/>
          <w:b/>
          <w:sz w:val="28"/>
          <w:szCs w:val="28"/>
        </w:rPr>
        <w:t xml:space="preserve"> </w:t>
      </w:r>
    </w:p>
    <w:p w:rsidR="00DF2386" w:rsidRDefault="00DF2386" w:rsidP="00951D88">
      <w:pPr>
        <w:ind w:left="0" w:firstLine="0"/>
        <w:rPr>
          <w:rFonts w:cs="Arial"/>
          <w:b/>
          <w:sz w:val="28"/>
          <w:szCs w:val="28"/>
        </w:rPr>
      </w:pPr>
    </w:p>
    <w:p w:rsidR="001C22F2" w:rsidRDefault="001C22F2" w:rsidP="00951D88">
      <w:pPr>
        <w:ind w:left="0" w:firstLine="0"/>
        <w:jc w:val="center"/>
        <w:rPr>
          <w:rFonts w:cs="Arial"/>
          <w:b/>
          <w:sz w:val="28"/>
          <w:szCs w:val="28"/>
        </w:rPr>
      </w:pPr>
      <w:r>
        <w:rPr>
          <w:rFonts w:cs="Arial"/>
          <w:b/>
          <w:sz w:val="28"/>
          <w:szCs w:val="28"/>
        </w:rPr>
        <w:t>Financial and budgetary matters</w:t>
      </w:r>
    </w:p>
    <w:p w:rsidR="00DF2386" w:rsidRDefault="00AA1858" w:rsidP="00951D88">
      <w:pPr>
        <w:ind w:left="0" w:firstLine="0"/>
        <w:jc w:val="center"/>
        <w:rPr>
          <w:rFonts w:cs="Arial"/>
          <w:b/>
          <w:sz w:val="28"/>
          <w:szCs w:val="28"/>
        </w:rPr>
      </w:pPr>
      <w:r>
        <w:rPr>
          <w:rFonts w:cs="Arial"/>
          <w:b/>
          <w:sz w:val="28"/>
          <w:szCs w:val="28"/>
        </w:rPr>
        <w:t xml:space="preserve">Budget scenarios for 2019-2021 and </w:t>
      </w:r>
      <w:r w:rsidR="001C22F2">
        <w:rPr>
          <w:rFonts w:cs="Arial"/>
          <w:b/>
          <w:sz w:val="28"/>
          <w:szCs w:val="28"/>
        </w:rPr>
        <w:br/>
      </w:r>
      <w:r w:rsidR="009A515B">
        <w:rPr>
          <w:rFonts w:cs="Arial"/>
          <w:b/>
          <w:sz w:val="28"/>
          <w:szCs w:val="28"/>
        </w:rPr>
        <w:t>d</w:t>
      </w:r>
      <w:r>
        <w:rPr>
          <w:rFonts w:cs="Arial"/>
          <w:b/>
          <w:sz w:val="28"/>
          <w:szCs w:val="28"/>
        </w:rPr>
        <w:t xml:space="preserve">raft </w:t>
      </w:r>
      <w:r w:rsidR="009A515B">
        <w:rPr>
          <w:rFonts w:cs="Arial"/>
          <w:b/>
          <w:sz w:val="28"/>
          <w:szCs w:val="28"/>
        </w:rPr>
        <w:t>r</w:t>
      </w:r>
      <w:r>
        <w:rPr>
          <w:rFonts w:cs="Arial"/>
          <w:b/>
          <w:sz w:val="28"/>
          <w:szCs w:val="28"/>
        </w:rPr>
        <w:t>esolution on financial and budgetary matters</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0A65CDB" wp14:editId="5944FDC5">
                <wp:extent cx="5731510" cy="1938435"/>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8435"/>
                        </a:xfrm>
                        <a:prstGeom prst="rect">
                          <a:avLst/>
                        </a:prstGeom>
                        <a:solidFill>
                          <a:srgbClr val="FFFFFF"/>
                        </a:solidFill>
                        <a:ln w="9525">
                          <a:solidFill>
                            <a:srgbClr val="000000"/>
                          </a:solidFill>
                          <a:miter lim="800000"/>
                          <a:headEnd/>
                          <a:tailEnd/>
                        </a:ln>
                      </wps:spPr>
                      <wps:txbx>
                        <w:txbxContent>
                          <w:p w:rsidR="00A217FF" w:rsidRDefault="00A217FF" w:rsidP="000C2489">
                            <w:pPr>
                              <w:rPr>
                                <w:b/>
                                <w:bCs/>
                              </w:rPr>
                            </w:pPr>
                            <w:r>
                              <w:rPr>
                                <w:b/>
                                <w:bCs/>
                              </w:rPr>
                              <w:t xml:space="preserve">Actions requested: </w:t>
                            </w:r>
                          </w:p>
                          <w:p w:rsidR="00A217FF" w:rsidRDefault="00A217FF" w:rsidP="000C2489">
                            <w:pPr>
                              <w:pStyle w:val="ColorfulList-Accent11"/>
                              <w:ind w:left="0"/>
                            </w:pPr>
                          </w:p>
                          <w:p w:rsidR="00A217FF" w:rsidRDefault="00A217FF" w:rsidP="00275F13">
                            <w:pPr>
                              <w:pStyle w:val="ColorfulList-Accent11"/>
                              <w:ind w:left="0" w:firstLine="0"/>
                              <w:rPr>
                                <w:rFonts w:cs="Calibri"/>
                              </w:rPr>
                            </w:pPr>
                            <w:r>
                              <w:t xml:space="preserve">The Standing Committee is </w:t>
                            </w:r>
                            <w:r>
                              <w:rPr>
                                <w:rFonts w:cs="Calibri"/>
                              </w:rPr>
                              <w:t>invited to:</w:t>
                            </w:r>
                          </w:p>
                          <w:p w:rsidR="00A217FF" w:rsidRDefault="00A217FF" w:rsidP="000C2489">
                            <w:pPr>
                              <w:pStyle w:val="ColorfulList-Accent11"/>
                              <w:ind w:left="0"/>
                              <w:rPr>
                                <w:rFonts w:cs="Calibri"/>
                              </w:rPr>
                            </w:pPr>
                          </w:p>
                          <w:p w:rsidR="00A217FF" w:rsidRPr="00951D88" w:rsidRDefault="00A217FF"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rsidR="00A217FF" w:rsidRPr="00F32D03" w:rsidRDefault="00A217FF" w:rsidP="00275F13">
                            <w:pPr>
                              <w:pStyle w:val="ColorfulList-Accent11"/>
                              <w:ind w:left="-425" w:firstLine="0"/>
                            </w:pPr>
                          </w:p>
                          <w:p w:rsidR="00A217FF" w:rsidRPr="00F32D03" w:rsidRDefault="00A217FF" w:rsidP="00951D88">
                            <w:pPr>
                              <w:pStyle w:val="ColorfulList-Accent11"/>
                              <w:ind w:left="850"/>
                            </w:pPr>
                            <w:r>
                              <w:rPr>
                                <w:rFonts w:cs="Calibri"/>
                              </w:rPr>
                              <w:t>ii.</w:t>
                            </w:r>
                            <w:r>
                              <w:rPr>
                                <w:rFonts w:cs="Calibri"/>
                              </w:rPr>
                              <w:tab/>
                              <w:t>confirm the budget scenarios to be presented at the 13</w:t>
                            </w:r>
                            <w:r w:rsidRPr="00366633">
                              <w:rPr>
                                <w:rFonts w:cs="Calibri"/>
                              </w:rPr>
                              <w:t>th</w:t>
                            </w:r>
                            <w:r>
                              <w:rPr>
                                <w:rFonts w:cs="Calibri"/>
                              </w:rPr>
                              <w:t xml:space="preserve"> meeting of the Conference of the Contracting Parties;</w:t>
                            </w:r>
                          </w:p>
                          <w:p w:rsidR="00A217FF" w:rsidRPr="00F32D03" w:rsidRDefault="00A217FF" w:rsidP="00275F13">
                            <w:pPr>
                              <w:pStyle w:val="ColorfulList-Accent11"/>
                              <w:ind w:left="-425" w:firstLine="0"/>
                            </w:pPr>
                          </w:p>
                          <w:p w:rsidR="00A217FF" w:rsidRPr="00951D88" w:rsidRDefault="00A217FF" w:rsidP="00951D88">
                            <w:pPr>
                              <w:pStyle w:val="ColorfulList-Accent11"/>
                              <w:ind w:left="850"/>
                              <w:rPr>
                                <w:rFonts w:cs="Calibri"/>
                              </w:rPr>
                            </w:pPr>
                            <w:r>
                              <w:rPr>
                                <w:rFonts w:cs="Calibri"/>
                              </w:rPr>
                              <w:t>iii.</w:t>
                            </w:r>
                            <w:r>
                              <w:rPr>
                                <w:rFonts w:cs="Calibri"/>
                              </w:rPr>
                              <w:tab/>
                              <w:t>consider the proposed draft resolution on financial and budgetary matters.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">
                <v:textbox>
                  <w:txbxContent>
                    <w:p w:rsidR="00A217FF" w:rsidRDefault="00A217FF" w:rsidP="000C2489">
                      <w:pPr>
                        <w:rPr>
                          <w:b/>
                          <w:bCs/>
                        </w:rPr>
                      </w:pPr>
                      <w:r>
                        <w:rPr>
                          <w:b/>
                          <w:bCs/>
                        </w:rPr>
                        <w:t xml:space="preserve">Actions requested: </w:t>
                      </w:r>
                    </w:p>
                    <w:p w:rsidR="00A217FF" w:rsidRDefault="00A217FF" w:rsidP="000C2489">
                      <w:pPr>
                        <w:pStyle w:val="ColorfulList-Accent11"/>
                        <w:ind w:left="0"/>
                      </w:pPr>
                    </w:p>
                    <w:p w:rsidR="00A217FF" w:rsidRDefault="00A217FF" w:rsidP="00275F13">
                      <w:pPr>
                        <w:pStyle w:val="ColorfulList-Accent11"/>
                        <w:ind w:left="0" w:firstLine="0"/>
                        <w:rPr>
                          <w:rFonts w:cs="Calibri"/>
                        </w:rPr>
                      </w:pPr>
                      <w:r>
                        <w:t xml:space="preserve">The Standing Committee is </w:t>
                      </w:r>
                      <w:r>
                        <w:rPr>
                          <w:rFonts w:cs="Calibri"/>
                        </w:rPr>
                        <w:t>invited to:</w:t>
                      </w:r>
                    </w:p>
                    <w:p w:rsidR="00A217FF" w:rsidRDefault="00A217FF" w:rsidP="000C2489">
                      <w:pPr>
                        <w:pStyle w:val="ColorfulList-Accent11"/>
                        <w:ind w:left="0"/>
                        <w:rPr>
                          <w:rFonts w:cs="Calibri"/>
                        </w:rPr>
                      </w:pPr>
                    </w:p>
                    <w:p w:rsidR="00A217FF" w:rsidRPr="00951D88" w:rsidRDefault="00A217FF"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rsidR="00A217FF" w:rsidRPr="00F32D03" w:rsidRDefault="00A217FF" w:rsidP="00275F13">
                      <w:pPr>
                        <w:pStyle w:val="ColorfulList-Accent11"/>
                        <w:ind w:left="-425" w:firstLine="0"/>
                      </w:pPr>
                    </w:p>
                    <w:p w:rsidR="00A217FF" w:rsidRPr="00F32D03" w:rsidRDefault="00A217FF" w:rsidP="00951D88">
                      <w:pPr>
                        <w:pStyle w:val="ColorfulList-Accent11"/>
                        <w:ind w:left="850"/>
                      </w:pPr>
                      <w:r>
                        <w:rPr>
                          <w:rFonts w:cs="Calibri"/>
                        </w:rPr>
                        <w:t>ii.</w:t>
                      </w:r>
                      <w:r>
                        <w:rPr>
                          <w:rFonts w:cs="Calibri"/>
                        </w:rPr>
                        <w:tab/>
                        <w:t>confirm the budget scenarios to be presented at the 13</w:t>
                      </w:r>
                      <w:r w:rsidRPr="00366633">
                        <w:rPr>
                          <w:rFonts w:cs="Calibri"/>
                        </w:rPr>
                        <w:t>th</w:t>
                      </w:r>
                      <w:r>
                        <w:rPr>
                          <w:rFonts w:cs="Calibri"/>
                        </w:rPr>
                        <w:t xml:space="preserve"> meeting of the Conference of the Contracting Parties;</w:t>
                      </w:r>
                    </w:p>
                    <w:p w:rsidR="00A217FF" w:rsidRPr="00F32D03" w:rsidRDefault="00A217FF" w:rsidP="00275F13">
                      <w:pPr>
                        <w:pStyle w:val="ColorfulList-Accent11"/>
                        <w:ind w:left="-425" w:firstLine="0"/>
                      </w:pPr>
                    </w:p>
                    <w:p w:rsidR="00A217FF" w:rsidRPr="00951D88" w:rsidRDefault="00A217FF" w:rsidP="00951D88">
                      <w:pPr>
                        <w:pStyle w:val="ColorfulList-Accent11"/>
                        <w:ind w:left="850"/>
                        <w:rPr>
                          <w:rFonts w:cs="Calibri"/>
                        </w:rPr>
                      </w:pPr>
                      <w:r>
                        <w:rPr>
                          <w:rFonts w:cs="Calibri"/>
                        </w:rPr>
                        <w:t>iii.</w:t>
                      </w:r>
                      <w:r>
                        <w:rPr>
                          <w:rFonts w:cs="Calibri"/>
                        </w:rPr>
                        <w:tab/>
                        <w:t>consider the proposed draft resolution on financial and budgetary matters.</w:t>
                      </w:r>
                    </w:p>
                  </w:txbxContent>
                </v:textbox>
                <w10:anchorlock/>
              </v:shape>
            </w:pict>
          </mc:Fallback>
        </mc:AlternateContent>
      </w:r>
    </w:p>
    <w:p w:rsidR="009E0AE8" w:rsidRDefault="009E0AE8" w:rsidP="00014168">
      <w:pPr>
        <w:rPr>
          <w:rFonts w:cs="Arial"/>
          <w:b/>
        </w:rPr>
      </w:pPr>
    </w:p>
    <w:p w:rsidR="00951D88" w:rsidRDefault="00951D88" w:rsidP="00014168">
      <w:pPr>
        <w:rPr>
          <w:rFonts w:cs="Arial"/>
          <w:b/>
        </w:rPr>
      </w:pPr>
    </w:p>
    <w:p w:rsidR="00B32E40" w:rsidRPr="00FB1011"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1.</w:t>
      </w:r>
      <w:r>
        <w:rPr>
          <w:rFonts w:asciiTheme="minorHAnsi" w:eastAsia="Batang" w:hAnsiTheme="minorHAnsi" w:cs="Times New Roman"/>
          <w:sz w:val="22"/>
          <w:szCs w:val="22"/>
        </w:rPr>
        <w:tab/>
      </w:r>
      <w:r w:rsidR="00E631A8">
        <w:rPr>
          <w:rFonts w:asciiTheme="minorHAnsi" w:eastAsia="Batang" w:hAnsiTheme="minorHAnsi" w:cs="Times New Roman"/>
          <w:sz w:val="22"/>
          <w:szCs w:val="22"/>
        </w:rPr>
        <w:t>T</w:t>
      </w:r>
      <w:r w:rsidR="00B32E40" w:rsidRPr="00FB1011">
        <w:rPr>
          <w:rFonts w:asciiTheme="minorHAnsi" w:eastAsia="Batang" w:hAnsiTheme="minorHAnsi" w:cs="Times New Roman"/>
          <w:sz w:val="22"/>
          <w:szCs w:val="22"/>
        </w:rPr>
        <w:t xml:space="preserve">he Secretariat </w:t>
      </w:r>
      <w:r w:rsidR="00AF2796">
        <w:rPr>
          <w:rFonts w:asciiTheme="minorHAnsi" w:eastAsia="Batang" w:hAnsiTheme="minorHAnsi" w:cs="Times New Roman"/>
          <w:sz w:val="22"/>
          <w:szCs w:val="22"/>
        </w:rPr>
        <w:t xml:space="preserve">of the Convention on Wetlands </w:t>
      </w:r>
      <w:r w:rsidR="00357919">
        <w:rPr>
          <w:rFonts w:asciiTheme="minorHAnsi" w:eastAsia="Batang" w:hAnsiTheme="minorHAnsi" w:cs="Times New Roman"/>
          <w:sz w:val="22"/>
          <w:szCs w:val="22"/>
        </w:rPr>
        <w:t xml:space="preserve">has </w:t>
      </w:r>
      <w:r w:rsidR="00E631A8">
        <w:rPr>
          <w:rFonts w:asciiTheme="minorHAnsi" w:eastAsia="Batang" w:hAnsiTheme="minorHAnsi" w:cs="Times New Roman"/>
          <w:sz w:val="22"/>
          <w:szCs w:val="22"/>
        </w:rPr>
        <w:t xml:space="preserve">prepared three core budget scenarios for </w:t>
      </w:r>
      <w:r w:rsidR="00AF2796">
        <w:rPr>
          <w:rFonts w:asciiTheme="minorHAnsi" w:eastAsia="Batang" w:hAnsiTheme="minorHAnsi" w:cs="Times New Roman"/>
          <w:sz w:val="22"/>
          <w:szCs w:val="22"/>
        </w:rPr>
        <w:t>consideration</w:t>
      </w:r>
      <w:r w:rsidR="00B8058B">
        <w:rPr>
          <w:rFonts w:asciiTheme="minorHAnsi" w:eastAsia="Batang" w:hAnsiTheme="minorHAnsi" w:cs="Times New Roman"/>
          <w:sz w:val="22"/>
          <w:szCs w:val="22"/>
        </w:rPr>
        <w:t xml:space="preserve"> by the Standing Committee</w:t>
      </w:r>
      <w:r w:rsidR="00AF2796">
        <w:rPr>
          <w:rFonts w:asciiTheme="minorHAnsi" w:eastAsia="Batang" w:hAnsiTheme="minorHAnsi" w:cs="Times New Roman"/>
          <w:sz w:val="22"/>
          <w:szCs w:val="22"/>
        </w:rPr>
        <w:t xml:space="preserve">. It also seeks confirmation about the scenarios to be </w:t>
      </w:r>
      <w:r w:rsidR="00E631A8">
        <w:rPr>
          <w:rFonts w:asciiTheme="minorHAnsi" w:eastAsia="Batang" w:hAnsiTheme="minorHAnsi" w:cs="Times New Roman"/>
          <w:sz w:val="22"/>
          <w:szCs w:val="22"/>
        </w:rPr>
        <w:t>presented to the Conference of the Parties</w:t>
      </w:r>
      <w:r w:rsidR="00E631A8" w:rsidRPr="00D60B3D">
        <w:rPr>
          <w:rFonts w:asciiTheme="minorHAnsi" w:eastAsia="Batang" w:hAnsiTheme="minorHAnsi" w:cs="Times New Roman"/>
          <w:sz w:val="22"/>
          <w:szCs w:val="22"/>
        </w:rPr>
        <w:t xml:space="preserve">.  In addition to the core budget, the Ramsar Secretariat will </w:t>
      </w:r>
      <w:r w:rsidR="000A7AEC" w:rsidRPr="00D60B3D">
        <w:rPr>
          <w:rFonts w:asciiTheme="minorHAnsi" w:eastAsia="Batang" w:hAnsiTheme="minorHAnsi" w:cs="Times New Roman"/>
          <w:sz w:val="22"/>
          <w:szCs w:val="22"/>
        </w:rPr>
        <w:t>seek</w:t>
      </w:r>
      <w:r w:rsidR="00AF2796" w:rsidRPr="00D41049">
        <w:rPr>
          <w:rFonts w:asciiTheme="minorHAnsi" w:eastAsia="Batang" w:hAnsiTheme="minorHAnsi" w:cs="Times New Roman"/>
          <w:sz w:val="22"/>
          <w:szCs w:val="22"/>
        </w:rPr>
        <w:t xml:space="preserve"> additional non-core funding </w:t>
      </w:r>
      <w:r w:rsidR="00D60B3D" w:rsidRPr="006D3CBA">
        <w:rPr>
          <w:rFonts w:asciiTheme="minorHAnsi" w:eastAsia="Batang" w:hAnsiTheme="minorHAnsi" w:cs="Times New Roman"/>
          <w:sz w:val="22"/>
          <w:szCs w:val="22"/>
        </w:rPr>
        <w:t xml:space="preserve">when necessary. </w:t>
      </w:r>
    </w:p>
    <w:p w:rsidR="006D3CBA" w:rsidRDefault="006D3CBA" w:rsidP="00B32E40">
      <w:pPr>
        <w:pStyle w:val="MGfulltext"/>
        <w:spacing w:after="0"/>
        <w:rPr>
          <w:rFonts w:asciiTheme="minorHAnsi" w:eastAsia="Batang" w:hAnsiTheme="minorHAnsi" w:cs="Times New Roman"/>
          <w:b/>
          <w:sz w:val="22"/>
          <w:szCs w:val="22"/>
        </w:rPr>
      </w:pPr>
    </w:p>
    <w:p w:rsidR="00B32E40" w:rsidRDefault="00B32E40" w:rsidP="00B32E40">
      <w:pPr>
        <w:pStyle w:val="MGfulltext"/>
        <w:spacing w:after="0"/>
        <w:rPr>
          <w:rFonts w:asciiTheme="minorHAnsi" w:eastAsia="Batang" w:hAnsiTheme="minorHAnsi" w:cs="Times New Roman"/>
          <w:b/>
          <w:sz w:val="22"/>
          <w:szCs w:val="22"/>
        </w:rPr>
      </w:pPr>
      <w:r w:rsidRPr="00FB1011">
        <w:rPr>
          <w:rFonts w:asciiTheme="minorHAnsi" w:eastAsia="Batang" w:hAnsiTheme="minorHAnsi" w:cs="Times New Roman"/>
          <w:b/>
          <w:sz w:val="22"/>
          <w:szCs w:val="22"/>
        </w:rPr>
        <w:t>Core budget scenarios</w:t>
      </w:r>
      <w:r w:rsidR="0005215D">
        <w:rPr>
          <w:rFonts w:asciiTheme="minorHAnsi" w:eastAsia="Batang" w:hAnsiTheme="minorHAnsi" w:cs="Times New Roman"/>
          <w:b/>
          <w:sz w:val="22"/>
          <w:szCs w:val="22"/>
        </w:rPr>
        <w:t xml:space="preserve"> for the </w:t>
      </w:r>
      <w:r w:rsidR="004B420F">
        <w:rPr>
          <w:rFonts w:asciiTheme="minorHAnsi" w:eastAsia="Batang" w:hAnsiTheme="minorHAnsi" w:cs="Times New Roman"/>
          <w:b/>
          <w:sz w:val="22"/>
          <w:szCs w:val="22"/>
        </w:rPr>
        <w:t>2019-2021</w:t>
      </w:r>
      <w:r w:rsidR="0005215D">
        <w:rPr>
          <w:rFonts w:asciiTheme="minorHAnsi" w:eastAsia="Batang" w:hAnsiTheme="minorHAnsi" w:cs="Times New Roman"/>
          <w:b/>
          <w:sz w:val="22"/>
          <w:szCs w:val="22"/>
        </w:rPr>
        <w:t xml:space="preserve"> triennium</w:t>
      </w:r>
      <w:r w:rsidRPr="00FB1011">
        <w:rPr>
          <w:rFonts w:asciiTheme="minorHAnsi" w:eastAsia="Batang" w:hAnsiTheme="minorHAnsi" w:cs="Times New Roman"/>
          <w:b/>
          <w:sz w:val="22"/>
          <w:szCs w:val="22"/>
        </w:rPr>
        <w:t xml:space="preserve"> (Annex 1)</w:t>
      </w:r>
    </w:p>
    <w:p w:rsidR="00E631A8" w:rsidRPr="00FB1011" w:rsidRDefault="00E631A8" w:rsidP="006D3CBA">
      <w:pPr>
        <w:pStyle w:val="MGfulltext"/>
        <w:tabs>
          <w:tab w:val="left" w:pos="5199"/>
        </w:tabs>
        <w:spacing w:after="0"/>
        <w:rPr>
          <w:rFonts w:asciiTheme="minorHAnsi" w:eastAsia="Batang" w:hAnsiTheme="minorHAnsi" w:cs="Times New Roman"/>
          <w:b/>
          <w:sz w:val="22"/>
          <w:szCs w:val="22"/>
        </w:rPr>
      </w:pPr>
    </w:p>
    <w:p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For 201</w:t>
      </w:r>
      <w:r w:rsidR="008C3FB1">
        <w:rPr>
          <w:rFonts w:asciiTheme="minorHAnsi" w:eastAsia="Batang" w:hAnsiTheme="minorHAnsi" w:cs="Times New Roman"/>
          <w:sz w:val="22"/>
          <w:szCs w:val="22"/>
        </w:rPr>
        <w:t>9</w:t>
      </w:r>
      <w:r w:rsidR="00B32E40" w:rsidRPr="00FB1011">
        <w:rPr>
          <w:rFonts w:asciiTheme="minorHAnsi" w:eastAsia="Batang" w:hAnsiTheme="minorHAnsi" w:cs="Times New Roman"/>
          <w:sz w:val="22"/>
          <w:szCs w:val="22"/>
        </w:rPr>
        <w:t>-20</w:t>
      </w:r>
      <w:r w:rsidR="008C3FB1">
        <w:rPr>
          <w:rFonts w:asciiTheme="minorHAnsi" w:eastAsia="Batang" w:hAnsiTheme="minorHAnsi" w:cs="Times New Roman"/>
          <w:sz w:val="22"/>
          <w:szCs w:val="22"/>
        </w:rPr>
        <w:t>21</w:t>
      </w:r>
      <w:r w:rsidR="00B32E40" w:rsidRPr="00FB1011">
        <w:rPr>
          <w:rFonts w:asciiTheme="minorHAnsi" w:eastAsia="Batang" w:hAnsiTheme="minorHAnsi" w:cs="Times New Roman"/>
          <w:sz w:val="22"/>
          <w:szCs w:val="22"/>
        </w:rPr>
        <w:t>, thr</w:t>
      </w:r>
      <w:r w:rsidR="00B32E40" w:rsidRPr="00C70EC0">
        <w:rPr>
          <w:rFonts w:asciiTheme="minorHAnsi" w:eastAsia="Batang" w:hAnsiTheme="minorHAnsi" w:cs="Times New Roman"/>
          <w:sz w:val="22"/>
          <w:szCs w:val="22"/>
        </w:rPr>
        <w:t xml:space="preserve">ee core budget scenarios are </w:t>
      </w:r>
      <w:r w:rsidR="00214C88">
        <w:rPr>
          <w:rFonts w:asciiTheme="minorHAnsi" w:eastAsia="Batang" w:hAnsiTheme="minorHAnsi" w:cs="Times New Roman"/>
          <w:sz w:val="22"/>
          <w:szCs w:val="22"/>
        </w:rPr>
        <w:t xml:space="preserve">proposed </w:t>
      </w:r>
      <w:r w:rsidR="00B32E40" w:rsidRPr="00C70EC0">
        <w:rPr>
          <w:rFonts w:asciiTheme="minorHAnsi" w:eastAsia="Batang" w:hAnsiTheme="minorHAnsi" w:cs="Times New Roman"/>
          <w:sz w:val="22"/>
          <w:szCs w:val="22"/>
        </w:rPr>
        <w:t>in Annex 1</w:t>
      </w:r>
      <w:r w:rsidR="00AC2E85">
        <w:rPr>
          <w:rFonts w:asciiTheme="minorHAnsi" w:eastAsia="Batang" w:hAnsiTheme="minorHAnsi" w:cs="Times New Roman"/>
          <w:sz w:val="22"/>
          <w:szCs w:val="22"/>
        </w:rPr>
        <w:t xml:space="preserve">, which </w:t>
      </w:r>
      <w:r w:rsidR="00AC2E85" w:rsidRPr="00AC2E85">
        <w:rPr>
          <w:rFonts w:asciiTheme="minorHAnsi" w:eastAsia="Batang" w:hAnsiTheme="minorHAnsi" w:cs="Times New Roman"/>
          <w:sz w:val="22"/>
          <w:szCs w:val="22"/>
        </w:rPr>
        <w:t>do</w:t>
      </w:r>
      <w:r w:rsidR="00AC2E85">
        <w:rPr>
          <w:rFonts w:asciiTheme="minorHAnsi" w:eastAsia="Batang" w:hAnsiTheme="minorHAnsi" w:cs="Times New Roman"/>
          <w:sz w:val="22"/>
          <w:szCs w:val="22"/>
        </w:rPr>
        <w:t xml:space="preserve"> not </w:t>
      </w:r>
      <w:r w:rsidR="00AC2E85" w:rsidRPr="00AC2E85">
        <w:rPr>
          <w:rFonts w:asciiTheme="minorHAnsi" w:eastAsia="Batang" w:hAnsiTheme="minorHAnsi" w:cs="Times New Roman"/>
          <w:sz w:val="22"/>
          <w:szCs w:val="22"/>
        </w:rPr>
        <w:t xml:space="preserve">include </w:t>
      </w:r>
      <w:r w:rsidR="00AC2E85">
        <w:rPr>
          <w:rFonts w:asciiTheme="minorHAnsi" w:eastAsia="Batang" w:hAnsiTheme="minorHAnsi" w:cs="Times New Roman"/>
          <w:sz w:val="22"/>
          <w:szCs w:val="22"/>
        </w:rPr>
        <w:t xml:space="preserve">any funding requests from draft resolutions submitted. </w:t>
      </w:r>
      <w:r w:rsidR="00214C88">
        <w:rPr>
          <w:rFonts w:asciiTheme="minorHAnsi" w:eastAsia="Batang" w:hAnsiTheme="minorHAnsi" w:cs="Times New Roman"/>
          <w:sz w:val="22"/>
          <w:szCs w:val="22"/>
        </w:rPr>
        <w:t xml:space="preserve"> The three scenarios are</w:t>
      </w:r>
      <w:r w:rsidR="00B32E40" w:rsidRPr="00C70EC0">
        <w:rPr>
          <w:rFonts w:asciiTheme="minorHAnsi" w:eastAsia="Batang" w:hAnsiTheme="minorHAnsi" w:cs="Times New Roman"/>
          <w:sz w:val="22"/>
          <w:szCs w:val="22"/>
        </w:rPr>
        <w:t xml:space="preserve">: </w:t>
      </w:r>
    </w:p>
    <w:p w:rsidR="00951D88" w:rsidRPr="00C70EC0" w:rsidRDefault="00951D88" w:rsidP="00951D88">
      <w:pPr>
        <w:pStyle w:val="MGfulltext"/>
        <w:spacing w:after="0"/>
        <w:ind w:left="426"/>
        <w:rPr>
          <w:rFonts w:asciiTheme="minorHAnsi" w:eastAsia="Batang" w:hAnsiTheme="minorHAnsi" w:cs="Times New Roman"/>
          <w:sz w:val="22"/>
          <w:szCs w:val="22"/>
        </w:rPr>
      </w:pPr>
    </w:p>
    <w:p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B32E40" w:rsidRPr="00C70EC0">
        <w:rPr>
          <w:rFonts w:asciiTheme="minorHAnsi" w:eastAsia="Batang" w:hAnsiTheme="minorHAnsi" w:cs="Times New Roman"/>
          <w:sz w:val="22"/>
          <w:szCs w:val="22"/>
        </w:rPr>
        <w:t>0% increase</w:t>
      </w:r>
      <w:r w:rsidR="008C3FB1" w:rsidRPr="00C70EC0">
        <w:rPr>
          <w:rFonts w:asciiTheme="minorHAnsi" w:eastAsia="Batang" w:hAnsiTheme="minorHAnsi" w:cs="Times New Roman"/>
          <w:sz w:val="22"/>
          <w:szCs w:val="22"/>
        </w:rPr>
        <w:t xml:space="preserve"> as compared to the 2016-2018</w:t>
      </w:r>
      <w:r w:rsidR="00B32E40" w:rsidRPr="00C70EC0">
        <w:rPr>
          <w:rFonts w:asciiTheme="minorHAnsi" w:eastAsia="Batang" w:hAnsiTheme="minorHAnsi" w:cs="Times New Roman"/>
          <w:sz w:val="22"/>
          <w:szCs w:val="22"/>
        </w:rPr>
        <w:t xml:space="preserve"> triennium budget</w:t>
      </w:r>
      <w:r w:rsidR="00D60B3D">
        <w:rPr>
          <w:rFonts w:asciiTheme="minorHAnsi" w:eastAsia="Batang" w:hAnsiTheme="minorHAnsi" w:cs="Times New Roman"/>
          <w:sz w:val="22"/>
          <w:szCs w:val="22"/>
        </w:rPr>
        <w:t xml:space="preserve"> (scenario A)</w:t>
      </w:r>
      <w:r w:rsidR="00B32E40" w:rsidRPr="00C70EC0">
        <w:rPr>
          <w:rFonts w:asciiTheme="minorHAnsi" w:eastAsia="Batang" w:hAnsiTheme="minorHAnsi" w:cs="Times New Roman"/>
          <w:sz w:val="22"/>
          <w:szCs w:val="22"/>
        </w:rPr>
        <w:t xml:space="preserve">; </w:t>
      </w:r>
    </w:p>
    <w:p w:rsidR="00951D88" w:rsidRPr="00C70EC0" w:rsidRDefault="00951D88" w:rsidP="00241822">
      <w:pPr>
        <w:pStyle w:val="MGfulltext"/>
        <w:spacing w:after="0"/>
        <w:ind w:left="850" w:hanging="425"/>
        <w:rPr>
          <w:rFonts w:asciiTheme="minorHAnsi" w:eastAsia="Batang" w:hAnsiTheme="minorHAnsi" w:cs="Times New Roman"/>
          <w:sz w:val="22"/>
          <w:szCs w:val="22"/>
        </w:rPr>
      </w:pPr>
    </w:p>
    <w:p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B32E40" w:rsidRPr="00C70EC0">
        <w:rPr>
          <w:rFonts w:asciiTheme="minorHAnsi" w:eastAsia="Batang" w:hAnsiTheme="minorHAnsi" w:cs="Times New Roman"/>
          <w:sz w:val="22"/>
          <w:szCs w:val="22"/>
        </w:rPr>
        <w:t>2</w:t>
      </w:r>
      <w:r w:rsidR="008C3FB1" w:rsidRPr="00C70EC0">
        <w:rPr>
          <w:rFonts w:asciiTheme="minorHAnsi" w:eastAsia="Batang" w:hAnsiTheme="minorHAnsi" w:cs="Times New Roman"/>
          <w:sz w:val="22"/>
          <w:szCs w:val="22"/>
        </w:rPr>
        <w:t>.9</w:t>
      </w:r>
      <w:r w:rsidR="00B32E40" w:rsidRPr="00C70EC0">
        <w:rPr>
          <w:rFonts w:asciiTheme="minorHAnsi" w:eastAsia="Batang" w:hAnsiTheme="minorHAnsi" w:cs="Times New Roman"/>
          <w:sz w:val="22"/>
          <w:szCs w:val="22"/>
        </w:rPr>
        <w:t xml:space="preserve">% increase (CHF </w:t>
      </w:r>
      <w:r w:rsidR="008C3FB1" w:rsidRPr="00C70EC0">
        <w:rPr>
          <w:rFonts w:asciiTheme="minorHAnsi" w:eastAsia="Batang" w:hAnsiTheme="minorHAnsi" w:cs="Times New Roman"/>
          <w:sz w:val="22"/>
          <w:szCs w:val="22"/>
        </w:rPr>
        <w:t>455K</w:t>
      </w:r>
      <w:r w:rsidR="00B32E40" w:rsidRPr="00C70EC0">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compared to the 2016-2018 triennium</w:t>
      </w:r>
      <w:r w:rsidR="00947D4A">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implying an increase of contributions of Contracting Parties of 2.7%</w:t>
      </w:r>
      <w:r w:rsidR="00D60B3D">
        <w:rPr>
          <w:rFonts w:asciiTheme="minorHAnsi" w:eastAsia="Batang" w:hAnsiTheme="minorHAnsi" w:cs="Times New Roman"/>
          <w:sz w:val="22"/>
          <w:szCs w:val="22"/>
        </w:rPr>
        <w:t xml:space="preserve"> (scenario B)</w:t>
      </w:r>
      <w:r w:rsidR="00C70EC0" w:rsidRPr="00C70EC0">
        <w:rPr>
          <w:rFonts w:asciiTheme="minorHAnsi" w:eastAsia="Batang" w:hAnsiTheme="minorHAnsi" w:cs="Times New Roman"/>
          <w:sz w:val="22"/>
          <w:szCs w:val="22"/>
        </w:rPr>
        <w:t>;</w:t>
      </w:r>
    </w:p>
    <w:p w:rsidR="00951D88" w:rsidRPr="00C70EC0" w:rsidRDefault="00951D88" w:rsidP="00241822">
      <w:pPr>
        <w:pStyle w:val="MGfulltext"/>
        <w:spacing w:after="0"/>
        <w:ind w:left="850" w:hanging="425"/>
        <w:rPr>
          <w:rFonts w:asciiTheme="minorHAnsi" w:eastAsia="Batang" w:hAnsiTheme="minorHAnsi" w:cs="Times New Roman"/>
          <w:sz w:val="22"/>
          <w:szCs w:val="22"/>
        </w:rPr>
      </w:pPr>
    </w:p>
    <w:p w:rsid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B32E40" w:rsidRPr="009A515B">
        <w:rPr>
          <w:rFonts w:asciiTheme="minorHAnsi" w:eastAsia="Batang" w:hAnsiTheme="minorHAnsi" w:cs="Times New Roman"/>
          <w:sz w:val="22"/>
          <w:szCs w:val="22"/>
        </w:rPr>
        <w:t>4</w:t>
      </w:r>
      <w:r w:rsidR="007F0899" w:rsidRPr="009A515B">
        <w:rPr>
          <w:rFonts w:asciiTheme="minorHAnsi" w:eastAsia="Batang" w:hAnsiTheme="minorHAnsi" w:cs="Times New Roman"/>
          <w:sz w:val="22"/>
          <w:szCs w:val="22"/>
        </w:rPr>
        <w:t>.3</w:t>
      </w:r>
      <w:r w:rsidR="00B32E40" w:rsidRPr="009A515B">
        <w:rPr>
          <w:rFonts w:asciiTheme="minorHAnsi" w:eastAsia="Batang" w:hAnsiTheme="minorHAnsi" w:cs="Times New Roman"/>
          <w:sz w:val="22"/>
          <w:szCs w:val="22"/>
        </w:rPr>
        <w:t xml:space="preserve">% increase (CHF </w:t>
      </w:r>
      <w:r w:rsidR="007F0899" w:rsidRPr="009A515B">
        <w:rPr>
          <w:rFonts w:asciiTheme="minorHAnsi" w:eastAsia="Batang" w:hAnsiTheme="minorHAnsi" w:cs="Times New Roman"/>
          <w:sz w:val="22"/>
          <w:szCs w:val="22"/>
        </w:rPr>
        <w:t>691K</w:t>
      </w:r>
      <w:r w:rsidR="00B32E40" w:rsidRPr="009A515B">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compared to the 2016-2018 triennium</w:t>
      </w:r>
      <w:r w:rsidR="00947D4A">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implying an increase of contributions of Contracting Parties of 4.2%</w:t>
      </w:r>
      <w:r w:rsidR="00D60B3D">
        <w:rPr>
          <w:rFonts w:asciiTheme="minorHAnsi" w:eastAsia="Batang" w:hAnsiTheme="minorHAnsi" w:cs="Times New Roman"/>
          <w:sz w:val="22"/>
          <w:szCs w:val="22"/>
        </w:rPr>
        <w:t xml:space="preserve"> (scenario C)</w:t>
      </w:r>
      <w:r w:rsidR="007F0899" w:rsidRPr="009A515B">
        <w:rPr>
          <w:rFonts w:asciiTheme="minorHAnsi" w:eastAsia="Batang" w:hAnsiTheme="minorHAnsi" w:cs="Times New Roman"/>
          <w:sz w:val="22"/>
          <w:szCs w:val="22"/>
        </w:rPr>
        <w:t xml:space="preserve">. </w:t>
      </w:r>
      <w:r w:rsidR="00B32E40" w:rsidRPr="009A515B">
        <w:rPr>
          <w:rFonts w:asciiTheme="minorHAnsi" w:eastAsia="Batang" w:hAnsiTheme="minorHAnsi" w:cs="Times New Roman"/>
          <w:sz w:val="22"/>
          <w:szCs w:val="22"/>
        </w:rPr>
        <w:t xml:space="preserve"> </w:t>
      </w:r>
    </w:p>
    <w:p w:rsidR="00951D88" w:rsidRDefault="00951D88" w:rsidP="006D3CBA">
      <w:pPr>
        <w:pStyle w:val="MGfulltext"/>
        <w:spacing w:after="0"/>
        <w:ind w:left="426"/>
        <w:rPr>
          <w:rFonts w:asciiTheme="minorHAnsi" w:eastAsia="Batang" w:hAnsiTheme="minorHAnsi" w:cs="Times New Roman"/>
          <w:sz w:val="22"/>
          <w:szCs w:val="22"/>
        </w:rPr>
      </w:pPr>
    </w:p>
    <w:p w:rsidR="00D60B3D" w:rsidRPr="009A515B" w:rsidRDefault="00D60B3D" w:rsidP="006D3CBA">
      <w:pPr>
        <w:pStyle w:val="MGfulltext"/>
        <w:spacing w:after="0"/>
        <w:ind w:left="426"/>
        <w:rPr>
          <w:rFonts w:asciiTheme="minorHAnsi" w:eastAsia="Batang" w:hAnsiTheme="minorHAnsi" w:cs="Times New Roman"/>
          <w:sz w:val="22"/>
          <w:szCs w:val="22"/>
        </w:rPr>
      </w:pPr>
      <w:r w:rsidRPr="006D3CBA">
        <w:rPr>
          <w:rFonts w:asciiTheme="minorHAnsi" w:eastAsia="Batang" w:hAnsiTheme="minorHAnsi" w:cs="Times New Roman"/>
          <w:sz w:val="22"/>
          <w:szCs w:val="22"/>
        </w:rPr>
        <w:t>The core budget details per department / category have been retained to help Contracting Parties see the specifics of how their assessed contributions will be spent.</w:t>
      </w:r>
    </w:p>
    <w:p w:rsidR="00B32E40" w:rsidRPr="009A515B" w:rsidRDefault="00B32E40" w:rsidP="00B32E40">
      <w:pPr>
        <w:pStyle w:val="MGfulltext"/>
        <w:spacing w:after="0"/>
        <w:ind w:left="2160"/>
        <w:rPr>
          <w:rFonts w:asciiTheme="minorHAnsi" w:eastAsia="Batang" w:hAnsiTheme="minorHAnsi" w:cs="Times New Roman"/>
          <w:sz w:val="22"/>
          <w:szCs w:val="22"/>
        </w:rPr>
      </w:pPr>
    </w:p>
    <w:p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3.</w:t>
      </w:r>
      <w:r>
        <w:rPr>
          <w:rFonts w:asciiTheme="minorHAnsi" w:eastAsia="Batang" w:hAnsiTheme="minorHAnsi" w:cs="Times New Roman"/>
          <w:sz w:val="22"/>
          <w:szCs w:val="22"/>
        </w:rPr>
        <w:tab/>
      </w:r>
      <w:r w:rsidR="00D60B3D">
        <w:rPr>
          <w:rFonts w:asciiTheme="minorHAnsi" w:eastAsia="Batang" w:hAnsiTheme="minorHAnsi" w:cs="Times New Roman"/>
          <w:sz w:val="22"/>
          <w:szCs w:val="22"/>
        </w:rPr>
        <w:t xml:space="preserve">The </w:t>
      </w:r>
      <w:r w:rsidR="00D60B3D" w:rsidRPr="00951D88">
        <w:rPr>
          <w:rFonts w:asciiTheme="minorHAnsi" w:eastAsia="Batang" w:hAnsiTheme="minorHAnsi" w:cs="Times New Roman"/>
          <w:b/>
          <w:sz w:val="22"/>
          <w:szCs w:val="22"/>
        </w:rPr>
        <w:t>0% scenario (A)</w:t>
      </w:r>
      <w:r w:rsidR="00D60B3D">
        <w:rPr>
          <w:rFonts w:asciiTheme="minorHAnsi" w:eastAsia="Batang" w:hAnsiTheme="minorHAnsi" w:cs="Times New Roman"/>
          <w:sz w:val="22"/>
          <w:szCs w:val="22"/>
        </w:rPr>
        <w:t xml:space="preserve"> includes the </w:t>
      </w:r>
      <w:r w:rsidR="00B32E40" w:rsidRPr="009A515B">
        <w:rPr>
          <w:rFonts w:asciiTheme="minorHAnsi" w:eastAsia="Batang" w:hAnsiTheme="minorHAnsi" w:cs="Times New Roman"/>
          <w:sz w:val="22"/>
          <w:szCs w:val="22"/>
        </w:rPr>
        <w:t>following  assumptions</w:t>
      </w:r>
      <w:r w:rsidR="00D60B3D">
        <w:rPr>
          <w:rFonts w:asciiTheme="minorHAnsi" w:eastAsia="Batang" w:hAnsiTheme="minorHAnsi" w:cs="Times New Roman"/>
          <w:sz w:val="22"/>
          <w:szCs w:val="22"/>
        </w:rPr>
        <w:t>, which apply to scenarios</w:t>
      </w:r>
      <w:r w:rsidR="00B32E40" w:rsidRPr="009A515B">
        <w:rPr>
          <w:rFonts w:asciiTheme="minorHAnsi" w:eastAsia="Batang" w:hAnsiTheme="minorHAnsi" w:cs="Times New Roman"/>
          <w:sz w:val="22"/>
          <w:szCs w:val="22"/>
        </w:rPr>
        <w:t xml:space="preserve"> </w:t>
      </w:r>
      <w:r w:rsidR="00D60B3D">
        <w:rPr>
          <w:rFonts w:asciiTheme="minorHAnsi" w:eastAsia="Batang" w:hAnsiTheme="minorHAnsi" w:cs="Times New Roman"/>
          <w:sz w:val="22"/>
          <w:szCs w:val="22"/>
        </w:rPr>
        <w:t>B and C, unless indicated otherwise</w:t>
      </w:r>
      <w:r w:rsidR="006D3CBA">
        <w:rPr>
          <w:rFonts w:asciiTheme="minorHAnsi" w:eastAsia="Batang" w:hAnsiTheme="minorHAnsi" w:cs="Times New Roman"/>
          <w:sz w:val="22"/>
          <w:szCs w:val="22"/>
        </w:rPr>
        <w:t>:</w:t>
      </w:r>
    </w:p>
    <w:p w:rsidR="00951D88" w:rsidRPr="009A515B" w:rsidRDefault="00951D88" w:rsidP="00951D88">
      <w:pPr>
        <w:pStyle w:val="MGfulltext"/>
        <w:spacing w:after="0"/>
        <w:ind w:left="425" w:hanging="425"/>
        <w:rPr>
          <w:rFonts w:asciiTheme="minorHAnsi" w:eastAsia="Batang" w:hAnsiTheme="minorHAnsi" w:cs="Times New Roman"/>
          <w:sz w:val="22"/>
          <w:szCs w:val="22"/>
        </w:rPr>
      </w:pPr>
    </w:p>
    <w:p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lastRenderedPageBreak/>
        <w:t>a.</w:t>
      </w:r>
      <w:r>
        <w:rPr>
          <w:rFonts w:asciiTheme="minorHAnsi" w:eastAsia="Batang" w:hAnsiTheme="minorHAnsi" w:cs="Times New Roman"/>
          <w:sz w:val="22"/>
          <w:szCs w:val="22"/>
        </w:rPr>
        <w:tab/>
      </w:r>
      <w:r w:rsidR="006D3CBA">
        <w:rPr>
          <w:rFonts w:asciiTheme="minorHAnsi" w:eastAsia="Batang" w:hAnsiTheme="minorHAnsi" w:cs="Times New Roman"/>
          <w:sz w:val="22"/>
          <w:szCs w:val="22"/>
        </w:rPr>
        <w:t>Full Swiss F</w:t>
      </w:r>
      <w:r w:rsidR="00B32E40" w:rsidRPr="009A515B">
        <w:rPr>
          <w:rFonts w:asciiTheme="minorHAnsi" w:eastAsia="Batang" w:hAnsiTheme="minorHAnsi" w:cs="Times New Roman"/>
          <w:sz w:val="22"/>
          <w:szCs w:val="22"/>
        </w:rPr>
        <w:t xml:space="preserve">ranc (CHF) contributions from all Contracting Parties are received, based on the UN </w:t>
      </w:r>
      <w:r w:rsidR="00607AC7" w:rsidRPr="009A515B">
        <w:rPr>
          <w:rFonts w:asciiTheme="minorHAnsi" w:eastAsia="Batang" w:hAnsiTheme="minorHAnsi" w:cs="Times New Roman"/>
          <w:sz w:val="22"/>
          <w:szCs w:val="22"/>
        </w:rPr>
        <w:t xml:space="preserve">scale of assessment, </w:t>
      </w:r>
      <w:r w:rsidR="00B32E40" w:rsidRPr="009A515B">
        <w:rPr>
          <w:rFonts w:asciiTheme="minorHAnsi" w:eastAsia="Batang" w:hAnsiTheme="minorHAnsi" w:cs="Times New Roman"/>
          <w:sz w:val="22"/>
          <w:szCs w:val="22"/>
        </w:rPr>
        <w:t xml:space="preserve">including a voluntary </w:t>
      </w:r>
      <w:r w:rsidR="0018623B">
        <w:rPr>
          <w:rFonts w:asciiTheme="minorHAnsi" w:eastAsia="Batang" w:hAnsiTheme="minorHAnsi" w:cs="Times New Roman"/>
          <w:sz w:val="22"/>
          <w:szCs w:val="22"/>
        </w:rPr>
        <w:t>contribution</w:t>
      </w:r>
      <w:r w:rsidR="00B32E40" w:rsidRPr="009A515B">
        <w:rPr>
          <w:rFonts w:asciiTheme="minorHAnsi" w:eastAsia="Batang" w:hAnsiTheme="minorHAnsi" w:cs="Times New Roman"/>
          <w:sz w:val="22"/>
          <w:szCs w:val="22"/>
        </w:rPr>
        <w:t xml:space="preserve"> of 22% from the United States of America</w:t>
      </w:r>
      <w:r w:rsidR="00947D4A">
        <w:rPr>
          <w:rFonts w:asciiTheme="minorHAnsi" w:eastAsia="Batang" w:hAnsiTheme="minorHAnsi" w:cs="Times New Roman"/>
          <w:sz w:val="22"/>
          <w:szCs w:val="22"/>
        </w:rPr>
        <w:t>;</w:t>
      </w:r>
    </w:p>
    <w:p w:rsidR="00241822" w:rsidRDefault="00241822" w:rsidP="00241822">
      <w:pPr>
        <w:pStyle w:val="MGfulltext"/>
        <w:spacing w:after="0"/>
        <w:ind w:left="850" w:hanging="425"/>
        <w:rPr>
          <w:rFonts w:asciiTheme="minorHAnsi" w:eastAsia="Batang" w:hAnsiTheme="minorHAnsi" w:cs="Times New Roman"/>
          <w:sz w:val="22"/>
          <w:szCs w:val="22"/>
        </w:rPr>
      </w:pPr>
    </w:p>
    <w:p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B32E40" w:rsidRPr="00D60B3D">
        <w:rPr>
          <w:rFonts w:asciiTheme="minorHAnsi" w:eastAsia="Batang" w:hAnsiTheme="minorHAnsi" w:cs="Times New Roman"/>
          <w:sz w:val="22"/>
          <w:szCs w:val="22"/>
        </w:rPr>
        <w:t xml:space="preserve">Continuation of </w:t>
      </w:r>
      <w:r w:rsidR="00D60B3D" w:rsidRPr="006D3CBA">
        <w:rPr>
          <w:rFonts w:asciiTheme="minorHAnsi" w:eastAsia="Batang" w:hAnsiTheme="minorHAnsi" w:cs="Times New Roman"/>
          <w:sz w:val="22"/>
          <w:szCs w:val="22"/>
        </w:rPr>
        <w:t xml:space="preserve">the </w:t>
      </w:r>
      <w:r w:rsidR="006D3CBA">
        <w:rPr>
          <w:rFonts w:asciiTheme="minorHAnsi" w:eastAsia="Batang" w:hAnsiTheme="minorHAnsi" w:cs="Times New Roman"/>
          <w:sz w:val="22"/>
          <w:szCs w:val="22"/>
        </w:rPr>
        <w:t>c</w:t>
      </w:r>
      <w:r w:rsidR="00B32E40" w:rsidRPr="00D60B3D">
        <w:rPr>
          <w:rFonts w:asciiTheme="minorHAnsi" w:eastAsia="Batang" w:hAnsiTheme="minorHAnsi" w:cs="Times New Roman"/>
          <w:sz w:val="22"/>
          <w:szCs w:val="22"/>
        </w:rPr>
        <w:t xml:space="preserve">urrent </w:t>
      </w:r>
      <w:r w:rsidR="00D60B3D" w:rsidRPr="006D3CBA">
        <w:rPr>
          <w:rFonts w:asciiTheme="minorHAnsi" w:eastAsia="Batang" w:hAnsiTheme="minorHAnsi" w:cs="Times New Roman"/>
          <w:sz w:val="22"/>
          <w:szCs w:val="22"/>
        </w:rPr>
        <w:t xml:space="preserve">level of core funding for staffing. </w:t>
      </w:r>
    </w:p>
    <w:p w:rsidR="00241822" w:rsidRDefault="00241822" w:rsidP="00241822">
      <w:pPr>
        <w:pStyle w:val="MGfulltext"/>
        <w:spacing w:after="0"/>
        <w:ind w:left="850" w:hanging="425"/>
        <w:rPr>
          <w:rFonts w:asciiTheme="minorHAnsi" w:eastAsia="Batang" w:hAnsiTheme="minorHAnsi" w:cs="Times New Roman"/>
          <w:sz w:val="22"/>
          <w:szCs w:val="22"/>
        </w:rPr>
      </w:pPr>
    </w:p>
    <w:p w:rsidR="0083353F" w:rsidRPr="00D60B3D"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53257A" w:rsidRPr="0083353F">
        <w:rPr>
          <w:rFonts w:asciiTheme="minorHAnsi" w:eastAsia="Batang" w:hAnsiTheme="minorHAnsi" w:cs="Times New Roman"/>
          <w:sz w:val="22"/>
          <w:szCs w:val="22"/>
        </w:rPr>
        <w:t xml:space="preserve">Staff costs have been budgeted based on current actual costs </w:t>
      </w:r>
      <w:r w:rsidR="00947D4A" w:rsidRPr="00D60B3D">
        <w:rPr>
          <w:rFonts w:asciiTheme="minorHAnsi" w:eastAsia="Batang" w:hAnsiTheme="minorHAnsi" w:cs="Times New Roman"/>
          <w:sz w:val="22"/>
          <w:szCs w:val="22"/>
        </w:rPr>
        <w:t xml:space="preserve">in accordance with </w:t>
      </w:r>
      <w:r w:rsidR="0053257A" w:rsidRPr="00D41049">
        <w:rPr>
          <w:rFonts w:asciiTheme="minorHAnsi" w:eastAsia="Batang" w:hAnsiTheme="minorHAnsi" w:cs="Times New Roman"/>
          <w:sz w:val="22"/>
          <w:szCs w:val="22"/>
        </w:rPr>
        <w:t>IUCN policy</w:t>
      </w:r>
      <w:r w:rsidR="00BE5629" w:rsidRPr="00D41049">
        <w:rPr>
          <w:rFonts w:asciiTheme="minorHAnsi" w:eastAsia="Batang" w:hAnsiTheme="minorHAnsi" w:cs="Times New Roman"/>
          <w:sz w:val="22"/>
          <w:szCs w:val="22"/>
        </w:rPr>
        <w:t>. Most</w:t>
      </w:r>
      <w:r w:rsidR="0018239F" w:rsidRPr="00D41049">
        <w:rPr>
          <w:rFonts w:asciiTheme="minorHAnsi" w:eastAsia="Batang" w:hAnsiTheme="minorHAnsi" w:cs="Times New Roman"/>
          <w:sz w:val="22"/>
          <w:szCs w:val="22"/>
        </w:rPr>
        <w:t xml:space="preserve"> UN-administered Conventions </w:t>
      </w:r>
      <w:r w:rsidR="00BE5629" w:rsidRPr="00D41049">
        <w:rPr>
          <w:rFonts w:asciiTheme="minorHAnsi" w:eastAsia="Batang" w:hAnsiTheme="minorHAnsi" w:cs="Times New Roman"/>
          <w:sz w:val="22"/>
          <w:szCs w:val="22"/>
        </w:rPr>
        <w:t xml:space="preserve">develop their </w:t>
      </w:r>
      <w:r w:rsidR="0018239F" w:rsidRPr="00D41049">
        <w:rPr>
          <w:rFonts w:asciiTheme="minorHAnsi" w:eastAsia="Batang" w:hAnsiTheme="minorHAnsi" w:cs="Times New Roman"/>
          <w:sz w:val="22"/>
          <w:szCs w:val="22"/>
        </w:rPr>
        <w:t>budget</w:t>
      </w:r>
      <w:r w:rsidR="00BE5629" w:rsidRPr="00D41049">
        <w:rPr>
          <w:rFonts w:asciiTheme="minorHAnsi" w:eastAsia="Batang" w:hAnsiTheme="minorHAnsi" w:cs="Times New Roman"/>
          <w:sz w:val="22"/>
          <w:szCs w:val="22"/>
        </w:rPr>
        <w:t xml:space="preserve">s </w:t>
      </w:r>
      <w:r w:rsidR="0018239F" w:rsidRPr="00D41049">
        <w:rPr>
          <w:rFonts w:asciiTheme="minorHAnsi" w:eastAsia="Batang" w:hAnsiTheme="minorHAnsi" w:cs="Times New Roman"/>
          <w:sz w:val="22"/>
          <w:szCs w:val="22"/>
        </w:rPr>
        <w:t>on</w:t>
      </w:r>
      <w:r w:rsidR="00BE5629" w:rsidRPr="00D41049">
        <w:rPr>
          <w:rFonts w:asciiTheme="minorHAnsi" w:eastAsia="Batang" w:hAnsiTheme="minorHAnsi" w:cs="Times New Roman"/>
          <w:sz w:val="22"/>
          <w:szCs w:val="22"/>
        </w:rPr>
        <w:t xml:space="preserve"> the basis of</w:t>
      </w:r>
      <w:r w:rsidR="0018239F" w:rsidRPr="00D41049">
        <w:rPr>
          <w:rFonts w:asciiTheme="minorHAnsi" w:eastAsia="Batang" w:hAnsiTheme="minorHAnsi" w:cs="Times New Roman"/>
          <w:sz w:val="22"/>
          <w:szCs w:val="22"/>
        </w:rPr>
        <w:t xml:space="preserve"> standard costs</w:t>
      </w:r>
      <w:r w:rsidR="00BE5629" w:rsidRPr="00D60B3D">
        <w:rPr>
          <w:rFonts w:asciiTheme="minorHAnsi" w:eastAsia="Batang" w:hAnsiTheme="minorHAnsi" w:cs="Times New Roman"/>
          <w:sz w:val="22"/>
          <w:szCs w:val="22"/>
        </w:rPr>
        <w:t xml:space="preserve"> and the Secretariat recommends </w:t>
      </w:r>
      <w:r w:rsidR="00CA3EAA" w:rsidRPr="00D60B3D">
        <w:rPr>
          <w:rFonts w:asciiTheme="minorHAnsi" w:eastAsia="Batang" w:hAnsiTheme="minorHAnsi" w:cs="Times New Roman"/>
          <w:sz w:val="22"/>
          <w:szCs w:val="22"/>
        </w:rPr>
        <w:t>moving</w:t>
      </w:r>
      <w:r w:rsidR="00BE5629" w:rsidRPr="00D60B3D">
        <w:rPr>
          <w:rFonts w:asciiTheme="minorHAnsi" w:eastAsia="Batang" w:hAnsiTheme="minorHAnsi" w:cs="Times New Roman"/>
          <w:sz w:val="22"/>
          <w:szCs w:val="22"/>
        </w:rPr>
        <w:t xml:space="preserve"> in this direction</w:t>
      </w:r>
      <w:r w:rsidR="0018239F" w:rsidRPr="00D60B3D">
        <w:rPr>
          <w:rFonts w:asciiTheme="minorHAnsi" w:eastAsia="Batang" w:hAnsiTheme="minorHAnsi" w:cs="Times New Roman"/>
          <w:sz w:val="22"/>
          <w:szCs w:val="22"/>
        </w:rPr>
        <w:t>. A</w:t>
      </w:r>
      <w:r w:rsidR="005D35BD" w:rsidRPr="00D60B3D">
        <w:rPr>
          <w:rFonts w:asciiTheme="minorHAnsi" w:eastAsia="Batang" w:hAnsiTheme="minorHAnsi" w:cs="Times New Roman"/>
          <w:sz w:val="22"/>
          <w:szCs w:val="22"/>
        </w:rPr>
        <w:t xml:space="preserve"> provision </w:t>
      </w:r>
      <w:r w:rsidR="00BE5629" w:rsidRPr="00D60B3D">
        <w:rPr>
          <w:rFonts w:asciiTheme="minorHAnsi" w:eastAsia="Batang" w:hAnsiTheme="minorHAnsi" w:cs="Times New Roman"/>
          <w:sz w:val="22"/>
          <w:szCs w:val="22"/>
        </w:rPr>
        <w:t xml:space="preserve">has been included to build flexibility in case of </w:t>
      </w:r>
      <w:r w:rsidR="005D35BD" w:rsidRPr="00D60B3D">
        <w:rPr>
          <w:rFonts w:asciiTheme="minorHAnsi" w:eastAsia="Batang" w:hAnsiTheme="minorHAnsi" w:cs="Times New Roman"/>
          <w:sz w:val="22"/>
          <w:szCs w:val="22"/>
        </w:rPr>
        <w:t xml:space="preserve">changes in staff and their </w:t>
      </w:r>
      <w:r w:rsidR="00BE5629" w:rsidRPr="00D60B3D">
        <w:rPr>
          <w:rFonts w:asciiTheme="minorHAnsi" w:eastAsia="Batang" w:hAnsiTheme="minorHAnsi" w:cs="Times New Roman"/>
          <w:sz w:val="22"/>
          <w:szCs w:val="22"/>
        </w:rPr>
        <w:t>benefits</w:t>
      </w:r>
      <w:r w:rsidR="00A433E8" w:rsidRPr="00D60B3D">
        <w:rPr>
          <w:rFonts w:asciiTheme="minorHAnsi" w:eastAsia="Batang" w:hAnsiTheme="minorHAnsi" w:cs="Times New Roman"/>
          <w:sz w:val="22"/>
          <w:szCs w:val="22"/>
        </w:rPr>
        <w:t>;</w:t>
      </w:r>
      <w:r w:rsidR="00BE5629" w:rsidRPr="00D60B3D">
        <w:rPr>
          <w:rFonts w:asciiTheme="minorHAnsi" w:eastAsia="Batang" w:hAnsiTheme="minorHAnsi" w:cs="Times New Roman"/>
          <w:sz w:val="22"/>
          <w:szCs w:val="22"/>
        </w:rPr>
        <w:t xml:space="preserve"> </w:t>
      </w:r>
    </w:p>
    <w:p w:rsidR="00241822" w:rsidRDefault="00241822" w:rsidP="00241822">
      <w:pPr>
        <w:pStyle w:val="MGfulltext"/>
        <w:spacing w:after="0"/>
        <w:ind w:left="850" w:hanging="425"/>
        <w:rPr>
          <w:rFonts w:asciiTheme="minorHAnsi" w:eastAsia="Batang" w:hAnsiTheme="minorHAnsi" w:cs="Times New Roman"/>
          <w:sz w:val="22"/>
          <w:szCs w:val="22"/>
        </w:rPr>
      </w:pPr>
    </w:p>
    <w:p w:rsidR="0053257A" w:rsidRPr="00CA3EA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Pr>
          <w:rFonts w:asciiTheme="minorHAnsi" w:eastAsia="Batang" w:hAnsiTheme="minorHAnsi" w:cs="Times New Roman"/>
          <w:sz w:val="22"/>
          <w:szCs w:val="22"/>
        </w:rPr>
        <w:tab/>
      </w:r>
      <w:r w:rsidR="00A433E8" w:rsidRPr="00241822">
        <w:rPr>
          <w:rFonts w:asciiTheme="minorHAnsi" w:eastAsia="Batang" w:hAnsiTheme="minorHAnsi" w:cs="Times New Roman"/>
          <w:sz w:val="22"/>
          <w:szCs w:val="22"/>
        </w:rPr>
        <w:t>In accordance with</w:t>
      </w:r>
      <w:r w:rsidR="0053257A" w:rsidRPr="00241822">
        <w:rPr>
          <w:rFonts w:asciiTheme="minorHAnsi" w:eastAsia="Batang" w:hAnsiTheme="minorHAnsi" w:cs="Times New Roman"/>
          <w:sz w:val="22"/>
          <w:szCs w:val="22"/>
        </w:rPr>
        <w:t xml:space="preserve"> the new IUCN H</w:t>
      </w:r>
      <w:r w:rsidR="00A433E8" w:rsidRPr="00241822">
        <w:rPr>
          <w:rFonts w:asciiTheme="minorHAnsi" w:eastAsia="Batang" w:hAnsiTheme="minorHAnsi" w:cs="Times New Roman"/>
          <w:sz w:val="22"/>
          <w:szCs w:val="22"/>
        </w:rPr>
        <w:t xml:space="preserve">uman </w:t>
      </w:r>
      <w:r w:rsidR="0053257A" w:rsidRPr="00241822">
        <w:rPr>
          <w:rFonts w:asciiTheme="minorHAnsi" w:eastAsia="Batang" w:hAnsiTheme="minorHAnsi" w:cs="Times New Roman"/>
          <w:sz w:val="22"/>
          <w:szCs w:val="22"/>
        </w:rPr>
        <w:t>R</w:t>
      </w:r>
      <w:r w:rsidR="00A433E8" w:rsidRPr="00241822">
        <w:rPr>
          <w:rFonts w:asciiTheme="minorHAnsi" w:eastAsia="Batang" w:hAnsiTheme="minorHAnsi" w:cs="Times New Roman"/>
          <w:sz w:val="22"/>
          <w:szCs w:val="22"/>
        </w:rPr>
        <w:t>esources</w:t>
      </w:r>
      <w:r w:rsidR="0053257A" w:rsidRPr="00241822">
        <w:rPr>
          <w:rFonts w:asciiTheme="minorHAnsi" w:eastAsia="Batang" w:hAnsiTheme="minorHAnsi" w:cs="Times New Roman"/>
          <w:sz w:val="22"/>
          <w:szCs w:val="22"/>
        </w:rPr>
        <w:t xml:space="preserve"> </w:t>
      </w:r>
      <w:r w:rsidR="00FB70D8" w:rsidRPr="00241822">
        <w:rPr>
          <w:rFonts w:asciiTheme="minorHAnsi" w:eastAsia="Batang" w:hAnsiTheme="minorHAnsi" w:cs="Times New Roman"/>
          <w:sz w:val="22"/>
          <w:szCs w:val="22"/>
        </w:rPr>
        <w:t xml:space="preserve">guidelines on compensation, </w:t>
      </w:r>
      <w:r w:rsidR="0053257A" w:rsidRPr="00241822">
        <w:rPr>
          <w:rFonts w:asciiTheme="minorHAnsi" w:eastAsia="Batang" w:hAnsiTheme="minorHAnsi" w:cs="Times New Roman"/>
          <w:sz w:val="22"/>
          <w:szCs w:val="22"/>
        </w:rPr>
        <w:t xml:space="preserve">staff salaries include a performance-based increase </w:t>
      </w:r>
      <w:r w:rsidR="00FB70D8" w:rsidRPr="00241822">
        <w:rPr>
          <w:rFonts w:asciiTheme="minorHAnsi" w:eastAsia="Batang" w:hAnsiTheme="minorHAnsi" w:cs="Times New Roman"/>
          <w:sz w:val="22"/>
          <w:szCs w:val="22"/>
        </w:rPr>
        <w:t xml:space="preserve">that </w:t>
      </w:r>
      <w:r w:rsidR="00B961C4" w:rsidRPr="00241822">
        <w:rPr>
          <w:rFonts w:asciiTheme="minorHAnsi" w:eastAsia="Batang" w:hAnsiTheme="minorHAnsi" w:cs="Times New Roman"/>
          <w:sz w:val="22"/>
          <w:szCs w:val="22"/>
        </w:rPr>
        <w:t xml:space="preserve">the </w:t>
      </w:r>
      <w:r w:rsidR="00FB70D8" w:rsidRPr="00241822">
        <w:rPr>
          <w:rFonts w:asciiTheme="minorHAnsi" w:eastAsia="Batang" w:hAnsiTheme="minorHAnsi" w:cs="Times New Roman"/>
          <w:sz w:val="22"/>
          <w:szCs w:val="22"/>
        </w:rPr>
        <w:t xml:space="preserve">Ramsar </w:t>
      </w:r>
      <w:r w:rsidR="00B961C4" w:rsidRPr="00241822">
        <w:rPr>
          <w:rFonts w:asciiTheme="minorHAnsi" w:eastAsia="Batang" w:hAnsiTheme="minorHAnsi" w:cs="Times New Roman"/>
          <w:sz w:val="22"/>
          <w:szCs w:val="22"/>
        </w:rPr>
        <w:t xml:space="preserve">Secretariat </w:t>
      </w:r>
      <w:r w:rsidR="00FB70D8" w:rsidRPr="00241822">
        <w:rPr>
          <w:rFonts w:asciiTheme="minorHAnsi" w:eastAsia="Batang" w:hAnsiTheme="minorHAnsi" w:cs="Times New Roman"/>
          <w:sz w:val="22"/>
          <w:szCs w:val="22"/>
        </w:rPr>
        <w:t xml:space="preserve">will implement </w:t>
      </w:r>
      <w:r w:rsidR="0053257A" w:rsidRPr="00241822">
        <w:rPr>
          <w:rFonts w:asciiTheme="minorHAnsi" w:eastAsia="Batang" w:hAnsiTheme="minorHAnsi" w:cs="Times New Roman"/>
          <w:sz w:val="22"/>
          <w:szCs w:val="22"/>
        </w:rPr>
        <w:t>effective</w:t>
      </w:r>
      <w:r w:rsidR="00B961C4" w:rsidRPr="00241822">
        <w:rPr>
          <w:rFonts w:asciiTheme="minorHAnsi" w:eastAsia="Batang" w:hAnsiTheme="minorHAnsi" w:cs="Times New Roman"/>
          <w:sz w:val="22"/>
          <w:szCs w:val="22"/>
        </w:rPr>
        <w:t xml:space="preserve"> from</w:t>
      </w:r>
      <w:r w:rsidR="0053257A" w:rsidRPr="00241822">
        <w:rPr>
          <w:rFonts w:asciiTheme="minorHAnsi" w:eastAsia="Batang" w:hAnsiTheme="minorHAnsi" w:cs="Times New Roman"/>
          <w:sz w:val="22"/>
          <w:szCs w:val="22"/>
        </w:rPr>
        <w:t xml:space="preserve"> 1 January 2019</w:t>
      </w:r>
      <w:r w:rsidR="00467A8D" w:rsidRPr="00241822">
        <w:rPr>
          <w:rFonts w:asciiTheme="minorHAnsi" w:eastAsia="Batang" w:hAnsiTheme="minorHAnsi" w:cs="Times New Roman"/>
          <w:sz w:val="22"/>
          <w:szCs w:val="22"/>
        </w:rPr>
        <w:t>. Since 2011, salaries have remained the same within the Ramsar Secretariat.</w:t>
      </w:r>
      <w:r w:rsidR="00BE5629" w:rsidRPr="00241822">
        <w:rPr>
          <w:rFonts w:asciiTheme="minorHAnsi" w:eastAsia="Batang" w:hAnsiTheme="minorHAnsi" w:cs="Times New Roman"/>
          <w:sz w:val="22"/>
          <w:szCs w:val="22"/>
        </w:rPr>
        <w:t xml:space="preserve"> The inclusion </w:t>
      </w:r>
      <w:r w:rsidR="00C16975" w:rsidRPr="00241822">
        <w:rPr>
          <w:rFonts w:asciiTheme="minorHAnsi" w:eastAsia="Batang" w:hAnsiTheme="minorHAnsi" w:cs="Times New Roman"/>
          <w:sz w:val="22"/>
          <w:szCs w:val="22"/>
        </w:rPr>
        <w:t>in the budget of the provision for a possible salary</w:t>
      </w:r>
      <w:r w:rsidR="00BE5629" w:rsidRPr="00241822">
        <w:rPr>
          <w:rFonts w:asciiTheme="minorHAnsi" w:eastAsia="Batang" w:hAnsiTheme="minorHAnsi" w:cs="Times New Roman"/>
          <w:sz w:val="22"/>
          <w:szCs w:val="22"/>
        </w:rPr>
        <w:t xml:space="preserve"> increase responds to </w:t>
      </w:r>
      <w:r w:rsidR="00B961C4" w:rsidRPr="00241822">
        <w:rPr>
          <w:rFonts w:asciiTheme="minorHAnsi" w:eastAsia="Batang" w:hAnsiTheme="minorHAnsi" w:cs="Times New Roman"/>
          <w:sz w:val="22"/>
          <w:szCs w:val="22"/>
        </w:rPr>
        <w:t xml:space="preserve">the </w:t>
      </w:r>
      <w:r w:rsidR="00BE5629" w:rsidRPr="00241822">
        <w:rPr>
          <w:rFonts w:asciiTheme="minorHAnsi" w:eastAsia="Batang" w:hAnsiTheme="minorHAnsi" w:cs="Times New Roman"/>
          <w:sz w:val="22"/>
          <w:szCs w:val="22"/>
        </w:rPr>
        <w:t>application of IUCN policies and guidelines, as well as provid</w:t>
      </w:r>
      <w:r w:rsidR="000260B4" w:rsidRPr="00241822">
        <w:rPr>
          <w:rFonts w:asciiTheme="minorHAnsi" w:eastAsia="Batang" w:hAnsiTheme="minorHAnsi" w:cs="Times New Roman"/>
          <w:sz w:val="22"/>
          <w:szCs w:val="22"/>
        </w:rPr>
        <w:t>ing</w:t>
      </w:r>
      <w:r w:rsidR="00BE5629" w:rsidRPr="00241822">
        <w:rPr>
          <w:rFonts w:asciiTheme="minorHAnsi" w:eastAsia="Batang" w:hAnsiTheme="minorHAnsi" w:cs="Times New Roman"/>
          <w:sz w:val="22"/>
          <w:szCs w:val="22"/>
        </w:rPr>
        <w:t xml:space="preserve"> needed</w:t>
      </w:r>
      <w:r w:rsidR="00467A8D" w:rsidRPr="00241822">
        <w:rPr>
          <w:rFonts w:asciiTheme="minorHAnsi" w:eastAsia="Batang" w:hAnsiTheme="minorHAnsi" w:cs="Times New Roman"/>
          <w:sz w:val="22"/>
          <w:szCs w:val="22"/>
        </w:rPr>
        <w:t xml:space="preserve"> incentives to retain staff and reward good and outstanding performance</w:t>
      </w:r>
      <w:r w:rsidR="000260B4" w:rsidRPr="00241822">
        <w:rPr>
          <w:rFonts w:asciiTheme="minorHAnsi" w:eastAsia="Batang" w:hAnsiTheme="minorHAnsi" w:cs="Times New Roman"/>
          <w:sz w:val="22"/>
          <w:szCs w:val="22"/>
        </w:rPr>
        <w:t>;</w:t>
      </w:r>
      <w:r w:rsidR="00DB4C0C" w:rsidRPr="00241822">
        <w:rPr>
          <w:rFonts w:asciiTheme="minorHAnsi" w:eastAsia="Batang" w:hAnsiTheme="minorHAnsi" w:cs="Times New Roman"/>
          <w:sz w:val="22"/>
          <w:szCs w:val="22"/>
        </w:rPr>
        <w:t xml:space="preserve"> </w:t>
      </w:r>
    </w:p>
    <w:p w:rsidR="00241822" w:rsidRDefault="00241822" w:rsidP="00241822">
      <w:pPr>
        <w:pStyle w:val="MGfulltext"/>
        <w:spacing w:after="0"/>
        <w:ind w:left="850" w:hanging="425"/>
        <w:rPr>
          <w:rFonts w:asciiTheme="minorHAnsi" w:eastAsia="Batang" w:hAnsiTheme="minorHAnsi" w:cs="Times New Roman"/>
          <w:sz w:val="22"/>
          <w:szCs w:val="22"/>
        </w:rPr>
      </w:pPr>
    </w:p>
    <w:p w:rsidR="0053257A" w:rsidRPr="00FB1011"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e.</w:t>
      </w:r>
      <w:r>
        <w:rPr>
          <w:rFonts w:asciiTheme="minorHAnsi" w:eastAsia="Batang" w:hAnsiTheme="minorHAnsi" w:cs="Times New Roman"/>
          <w:sz w:val="22"/>
          <w:szCs w:val="22"/>
        </w:rPr>
        <w:tab/>
      </w:r>
      <w:r w:rsidR="0053257A">
        <w:rPr>
          <w:rFonts w:asciiTheme="minorHAnsi" w:eastAsia="Batang" w:hAnsiTheme="minorHAnsi" w:cs="Times New Roman"/>
          <w:sz w:val="22"/>
          <w:szCs w:val="22"/>
        </w:rPr>
        <w:t xml:space="preserve">Total salary </w:t>
      </w:r>
      <w:r w:rsidR="0053257A" w:rsidRPr="00FB1011">
        <w:rPr>
          <w:rFonts w:asciiTheme="minorHAnsi" w:eastAsia="Batang" w:hAnsiTheme="minorHAnsi" w:cs="Times New Roman"/>
          <w:sz w:val="22"/>
          <w:szCs w:val="22"/>
        </w:rPr>
        <w:t xml:space="preserve">and related costs represent </w:t>
      </w:r>
      <w:r w:rsidR="0053257A">
        <w:rPr>
          <w:rFonts w:asciiTheme="minorHAnsi" w:eastAsia="Batang" w:hAnsiTheme="minorHAnsi" w:cs="Times New Roman"/>
          <w:sz w:val="22"/>
          <w:szCs w:val="22"/>
        </w:rPr>
        <w:t>around 69</w:t>
      </w:r>
      <w:r w:rsidR="0053257A" w:rsidRPr="00FB1011">
        <w:rPr>
          <w:rFonts w:asciiTheme="minorHAnsi" w:eastAsia="Batang" w:hAnsiTheme="minorHAnsi" w:cs="Times New Roman"/>
          <w:sz w:val="22"/>
          <w:szCs w:val="22"/>
        </w:rPr>
        <w:t>% of the tota</w:t>
      </w:r>
      <w:r w:rsidR="0053257A" w:rsidRPr="004F38CE">
        <w:rPr>
          <w:rFonts w:asciiTheme="minorHAnsi" w:eastAsia="Batang" w:hAnsiTheme="minorHAnsi" w:cs="Times New Roman"/>
          <w:sz w:val="22"/>
          <w:szCs w:val="22"/>
        </w:rPr>
        <w:t>l core budget</w:t>
      </w:r>
      <w:r w:rsidR="006D3CBA">
        <w:rPr>
          <w:rFonts w:asciiTheme="minorHAnsi" w:eastAsia="Batang" w:hAnsiTheme="minorHAnsi" w:cs="Times New Roman"/>
          <w:sz w:val="22"/>
          <w:szCs w:val="22"/>
        </w:rPr>
        <w:t>;</w:t>
      </w:r>
      <w:r w:rsidR="004F38CE" w:rsidRPr="004F38CE">
        <w:rPr>
          <w:rFonts w:asciiTheme="minorHAnsi" w:eastAsia="Batang" w:hAnsiTheme="minorHAnsi" w:cs="Times New Roman"/>
          <w:sz w:val="22"/>
          <w:szCs w:val="22"/>
        </w:rPr>
        <w:t xml:space="preserve"> </w:t>
      </w:r>
    </w:p>
    <w:p w:rsidR="00241822" w:rsidRDefault="00241822" w:rsidP="00241822">
      <w:pPr>
        <w:pStyle w:val="MGfulltext"/>
        <w:spacing w:after="0"/>
        <w:ind w:left="850" w:hanging="425"/>
        <w:rPr>
          <w:rFonts w:asciiTheme="minorHAnsi" w:eastAsia="Batang" w:hAnsiTheme="minorHAnsi" w:cs="Times New Roman"/>
          <w:sz w:val="22"/>
          <w:szCs w:val="22"/>
        </w:rPr>
      </w:pPr>
    </w:p>
    <w:p w:rsidR="0053257A" w:rsidRP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f.</w:t>
      </w:r>
      <w:r>
        <w:rPr>
          <w:rFonts w:asciiTheme="minorHAnsi" w:eastAsia="Batang" w:hAnsiTheme="minorHAnsi" w:cs="Times New Roman"/>
          <w:sz w:val="22"/>
          <w:szCs w:val="22"/>
        </w:rPr>
        <w:tab/>
      </w:r>
      <w:r w:rsidR="0053257A" w:rsidRPr="0053257A">
        <w:rPr>
          <w:rFonts w:asciiTheme="minorHAnsi" w:eastAsia="Batang" w:hAnsiTheme="minorHAnsi" w:cs="Times New Roman"/>
          <w:sz w:val="22"/>
          <w:szCs w:val="22"/>
        </w:rPr>
        <w:t>Compared to the 2016-2018 triennium, Web / IT Support and Development</w:t>
      </w:r>
      <w:r w:rsidR="0053257A">
        <w:rPr>
          <w:rFonts w:asciiTheme="minorHAnsi" w:eastAsia="Batang" w:hAnsiTheme="minorHAnsi" w:cs="Times New Roman"/>
          <w:sz w:val="22"/>
          <w:szCs w:val="22"/>
        </w:rPr>
        <w:t xml:space="preserve"> (under Resource Mobilization and Outreach)</w:t>
      </w:r>
      <w:r w:rsidR="0053257A" w:rsidRPr="0053257A">
        <w:rPr>
          <w:rFonts w:asciiTheme="minorHAnsi" w:eastAsia="Batang" w:hAnsiTheme="minorHAnsi" w:cs="Times New Roman"/>
          <w:sz w:val="22"/>
          <w:szCs w:val="22"/>
        </w:rPr>
        <w:t xml:space="preserve"> </w:t>
      </w:r>
      <w:r w:rsidR="000260B4">
        <w:rPr>
          <w:rFonts w:asciiTheme="minorHAnsi" w:eastAsia="Batang" w:hAnsiTheme="minorHAnsi" w:cs="Times New Roman"/>
          <w:sz w:val="22"/>
          <w:szCs w:val="22"/>
        </w:rPr>
        <w:t>is</w:t>
      </w:r>
      <w:r w:rsidR="0053257A" w:rsidRPr="0053257A">
        <w:rPr>
          <w:rFonts w:asciiTheme="minorHAnsi" w:eastAsia="Batang" w:hAnsiTheme="minorHAnsi" w:cs="Times New Roman"/>
          <w:sz w:val="22"/>
          <w:szCs w:val="22"/>
        </w:rPr>
        <w:t xml:space="preserve"> reduced by 131K to reflect the fact that the website has been revamped and </w:t>
      </w:r>
      <w:r w:rsidR="000260B4">
        <w:rPr>
          <w:rFonts w:asciiTheme="minorHAnsi" w:eastAsia="Batang" w:hAnsiTheme="minorHAnsi" w:cs="Times New Roman"/>
          <w:sz w:val="22"/>
          <w:szCs w:val="22"/>
        </w:rPr>
        <w:t>therefore</w:t>
      </w:r>
      <w:r w:rsidR="00764209">
        <w:rPr>
          <w:rFonts w:asciiTheme="minorHAnsi" w:eastAsia="Batang" w:hAnsiTheme="minorHAnsi" w:cs="Times New Roman"/>
          <w:sz w:val="22"/>
          <w:szCs w:val="22"/>
        </w:rPr>
        <w:t xml:space="preserve"> only</w:t>
      </w:r>
      <w:r w:rsidR="0053257A" w:rsidRPr="0053257A">
        <w:rPr>
          <w:rFonts w:asciiTheme="minorHAnsi" w:eastAsia="Batang" w:hAnsiTheme="minorHAnsi" w:cs="Times New Roman"/>
          <w:sz w:val="22"/>
          <w:szCs w:val="22"/>
        </w:rPr>
        <w:t xml:space="preserve"> maintenance and </w:t>
      </w:r>
      <w:r w:rsidR="00764209">
        <w:rPr>
          <w:rFonts w:asciiTheme="minorHAnsi" w:eastAsia="Batang" w:hAnsiTheme="minorHAnsi" w:cs="Times New Roman"/>
          <w:sz w:val="22"/>
          <w:szCs w:val="22"/>
        </w:rPr>
        <w:t>limited</w:t>
      </w:r>
      <w:r w:rsidR="00B54F35">
        <w:rPr>
          <w:rFonts w:asciiTheme="minorHAnsi" w:eastAsia="Batang" w:hAnsiTheme="minorHAnsi" w:cs="Times New Roman"/>
          <w:sz w:val="22"/>
          <w:szCs w:val="22"/>
        </w:rPr>
        <w:t xml:space="preserve"> </w:t>
      </w:r>
      <w:r w:rsidR="0053257A" w:rsidRPr="0053257A">
        <w:rPr>
          <w:rFonts w:asciiTheme="minorHAnsi" w:eastAsia="Batang" w:hAnsiTheme="minorHAnsi" w:cs="Times New Roman"/>
          <w:sz w:val="22"/>
          <w:szCs w:val="22"/>
        </w:rPr>
        <w:t xml:space="preserve">IT developments </w:t>
      </w:r>
      <w:r w:rsidR="000260B4" w:rsidRPr="006D3CBA">
        <w:rPr>
          <w:rFonts w:asciiTheme="minorHAnsi" w:eastAsia="Batang" w:hAnsiTheme="minorHAnsi" w:cs="Times New Roman"/>
          <w:sz w:val="22"/>
          <w:szCs w:val="22"/>
        </w:rPr>
        <w:t>need to be</w:t>
      </w:r>
      <w:r w:rsidR="00B54F35" w:rsidRPr="006D3CBA">
        <w:rPr>
          <w:rFonts w:asciiTheme="minorHAnsi" w:eastAsia="Batang" w:hAnsiTheme="minorHAnsi" w:cs="Times New Roman"/>
          <w:sz w:val="22"/>
          <w:szCs w:val="22"/>
        </w:rPr>
        <w:t xml:space="preserve"> budgeted for</w:t>
      </w:r>
      <w:r w:rsidR="00454034" w:rsidRPr="006D3CBA">
        <w:rPr>
          <w:rFonts w:asciiTheme="minorHAnsi" w:eastAsia="Batang" w:hAnsiTheme="minorHAnsi" w:cs="Times New Roman"/>
          <w:sz w:val="22"/>
          <w:szCs w:val="22"/>
        </w:rPr>
        <w:t>;</w:t>
      </w:r>
      <w:r w:rsidR="00B54F35" w:rsidRPr="006D3CBA">
        <w:rPr>
          <w:rFonts w:asciiTheme="minorHAnsi" w:eastAsia="Batang" w:hAnsiTheme="minorHAnsi" w:cs="Times New Roman"/>
          <w:sz w:val="22"/>
          <w:szCs w:val="22"/>
        </w:rPr>
        <w:t xml:space="preserve"> </w:t>
      </w:r>
      <w:r w:rsidR="0053257A" w:rsidRPr="006D3CBA">
        <w:rPr>
          <w:rFonts w:asciiTheme="minorHAnsi" w:eastAsia="Batang" w:hAnsiTheme="minorHAnsi" w:cs="Times New Roman"/>
          <w:sz w:val="22"/>
          <w:szCs w:val="22"/>
        </w:rPr>
        <w:t xml:space="preserve"> </w:t>
      </w:r>
    </w:p>
    <w:p w:rsidR="00241822" w:rsidRDefault="00241822" w:rsidP="00241822">
      <w:pPr>
        <w:pStyle w:val="MGfulltext"/>
        <w:spacing w:after="0"/>
        <w:ind w:left="850" w:hanging="425"/>
        <w:rPr>
          <w:rFonts w:asciiTheme="minorHAnsi" w:eastAsia="Batang" w:hAnsiTheme="minorHAnsi" w:cs="Times New Roman"/>
          <w:sz w:val="22"/>
          <w:szCs w:val="22"/>
        </w:rPr>
      </w:pPr>
    </w:p>
    <w:p w:rsidR="0053257A" w:rsidRP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g.</w:t>
      </w:r>
      <w:r>
        <w:rPr>
          <w:rFonts w:asciiTheme="minorHAnsi" w:eastAsia="Batang" w:hAnsiTheme="minorHAnsi" w:cs="Times New Roman"/>
          <w:sz w:val="22"/>
          <w:szCs w:val="22"/>
        </w:rPr>
        <w:tab/>
      </w:r>
      <w:r w:rsidR="0053257A" w:rsidRPr="006D3CBA">
        <w:rPr>
          <w:rFonts w:asciiTheme="minorHAnsi" w:eastAsia="Batang" w:hAnsiTheme="minorHAnsi" w:cs="Times New Roman"/>
          <w:sz w:val="22"/>
          <w:szCs w:val="22"/>
        </w:rPr>
        <w:t xml:space="preserve">Ramsar Sites Information Service </w:t>
      </w:r>
      <w:r w:rsidR="006D3CBA" w:rsidRPr="006D3CBA">
        <w:rPr>
          <w:rFonts w:asciiTheme="minorHAnsi" w:eastAsia="Batang" w:hAnsiTheme="minorHAnsi" w:cs="Times New Roman"/>
          <w:sz w:val="22"/>
          <w:szCs w:val="22"/>
        </w:rPr>
        <w:t xml:space="preserve">(RSIS) </w:t>
      </w:r>
      <w:r w:rsidR="0053257A" w:rsidRPr="006D3CBA">
        <w:rPr>
          <w:rFonts w:asciiTheme="minorHAnsi" w:eastAsia="Batang" w:hAnsiTheme="minorHAnsi" w:cs="Times New Roman"/>
          <w:sz w:val="22"/>
          <w:szCs w:val="22"/>
        </w:rPr>
        <w:t xml:space="preserve">maintenance and development </w:t>
      </w:r>
      <w:r w:rsidR="00C13A7C" w:rsidRPr="006D3CBA">
        <w:rPr>
          <w:rFonts w:asciiTheme="minorHAnsi" w:eastAsia="Batang" w:hAnsiTheme="minorHAnsi" w:cs="Times New Roman"/>
          <w:sz w:val="22"/>
          <w:szCs w:val="22"/>
        </w:rPr>
        <w:t>is</w:t>
      </w:r>
      <w:r w:rsidR="0053257A" w:rsidRPr="006D3CBA">
        <w:rPr>
          <w:rFonts w:asciiTheme="minorHAnsi" w:eastAsia="Batang" w:hAnsiTheme="minorHAnsi" w:cs="Times New Roman"/>
          <w:sz w:val="22"/>
          <w:szCs w:val="22"/>
        </w:rPr>
        <w:t xml:space="preserve"> reduced by 136K compared to the previous triennium since the de</w:t>
      </w:r>
      <w:r w:rsidR="00E20094" w:rsidRPr="006D3CBA">
        <w:rPr>
          <w:rFonts w:asciiTheme="minorHAnsi" w:eastAsia="Batang" w:hAnsiTheme="minorHAnsi" w:cs="Times New Roman"/>
          <w:sz w:val="22"/>
          <w:szCs w:val="22"/>
        </w:rPr>
        <w:t>velopment has been co</w:t>
      </w:r>
      <w:r w:rsidR="00363957" w:rsidRPr="006D3CBA">
        <w:rPr>
          <w:rFonts w:asciiTheme="minorHAnsi" w:eastAsia="Batang" w:hAnsiTheme="minorHAnsi" w:cs="Times New Roman"/>
          <w:sz w:val="22"/>
          <w:szCs w:val="22"/>
        </w:rPr>
        <w:t xml:space="preserve">mpleted </w:t>
      </w:r>
      <w:r w:rsidR="00E20094" w:rsidRPr="006D3CBA">
        <w:rPr>
          <w:rFonts w:asciiTheme="minorHAnsi" w:eastAsia="Batang" w:hAnsiTheme="minorHAnsi" w:cs="Times New Roman"/>
          <w:sz w:val="22"/>
          <w:szCs w:val="22"/>
        </w:rPr>
        <w:t>and mainly adjustments and maintenance are envisaged for the 2019-2021 triennium</w:t>
      </w:r>
      <w:r w:rsidR="00BB3B4B" w:rsidRPr="006D3CBA">
        <w:rPr>
          <w:rFonts w:asciiTheme="minorHAnsi" w:eastAsia="Batang" w:hAnsiTheme="minorHAnsi" w:cs="Times New Roman"/>
          <w:sz w:val="22"/>
          <w:szCs w:val="22"/>
        </w:rPr>
        <w:t>;</w:t>
      </w:r>
    </w:p>
    <w:p w:rsidR="00241822" w:rsidRDefault="00241822" w:rsidP="00241822">
      <w:pPr>
        <w:pStyle w:val="MGfulltext"/>
        <w:spacing w:after="0"/>
        <w:ind w:left="850" w:hanging="425"/>
        <w:rPr>
          <w:rFonts w:asciiTheme="minorHAnsi" w:eastAsia="Batang" w:hAnsiTheme="minorHAnsi" w:cs="Times New Roman"/>
          <w:sz w:val="22"/>
          <w:szCs w:val="22"/>
        </w:rPr>
      </w:pPr>
    </w:p>
    <w:p w:rsidR="00FD27EB" w:rsidRP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h.</w:t>
      </w:r>
      <w:r>
        <w:rPr>
          <w:rFonts w:asciiTheme="minorHAnsi" w:eastAsia="Batang" w:hAnsiTheme="minorHAnsi" w:cs="Times New Roman"/>
          <w:sz w:val="22"/>
          <w:szCs w:val="22"/>
        </w:rPr>
        <w:tab/>
      </w:r>
      <w:r w:rsidR="00FD27EB" w:rsidRPr="006D3CBA">
        <w:rPr>
          <w:rFonts w:asciiTheme="minorHAnsi" w:eastAsia="Batang" w:hAnsiTheme="minorHAnsi" w:cs="Times New Roman"/>
          <w:sz w:val="22"/>
          <w:szCs w:val="22"/>
        </w:rPr>
        <w:t xml:space="preserve">The IUCN Administrative Service Charge has been increased by 66K in order to reflect the additional costs charged by IUCN for the new travel implant office effective 1 January 2018. These additional costs </w:t>
      </w:r>
      <w:r w:rsidR="006D3CBA">
        <w:rPr>
          <w:rFonts w:asciiTheme="minorHAnsi" w:eastAsia="Batang" w:hAnsiTheme="minorHAnsi" w:cs="Times New Roman"/>
          <w:sz w:val="22"/>
          <w:szCs w:val="22"/>
        </w:rPr>
        <w:t xml:space="preserve">are </w:t>
      </w:r>
      <w:r w:rsidR="00803C20" w:rsidRPr="006D3CBA">
        <w:rPr>
          <w:rFonts w:asciiTheme="minorHAnsi" w:eastAsia="Batang" w:hAnsiTheme="minorHAnsi" w:cs="Times New Roman"/>
          <w:sz w:val="22"/>
          <w:szCs w:val="22"/>
        </w:rPr>
        <w:t xml:space="preserve">offset by </w:t>
      </w:r>
      <w:r w:rsidR="009B2FCA" w:rsidRPr="006D3CBA">
        <w:rPr>
          <w:rFonts w:asciiTheme="minorHAnsi" w:eastAsia="Batang" w:hAnsiTheme="minorHAnsi" w:cs="Times New Roman"/>
          <w:sz w:val="22"/>
          <w:szCs w:val="22"/>
        </w:rPr>
        <w:t xml:space="preserve">the reduction in ticketing charges to the travel </w:t>
      </w:r>
      <w:r w:rsidR="00BB3B4B" w:rsidRPr="006D3CBA">
        <w:rPr>
          <w:rFonts w:asciiTheme="minorHAnsi" w:eastAsia="Batang" w:hAnsiTheme="minorHAnsi" w:cs="Times New Roman"/>
          <w:sz w:val="22"/>
          <w:szCs w:val="22"/>
        </w:rPr>
        <w:t>budget in line with IUCN policy;</w:t>
      </w:r>
    </w:p>
    <w:p w:rsidR="00241822" w:rsidRDefault="00241822" w:rsidP="00241822">
      <w:pPr>
        <w:pStyle w:val="MGfulltext"/>
        <w:spacing w:after="0"/>
        <w:ind w:left="850" w:hanging="425"/>
        <w:rPr>
          <w:rFonts w:asciiTheme="minorHAnsi" w:eastAsia="Batang" w:hAnsiTheme="minorHAnsi" w:cs="Times New Roman"/>
          <w:sz w:val="22"/>
          <w:szCs w:val="22"/>
        </w:rPr>
      </w:pPr>
    </w:p>
    <w:p w:rsidR="00B32E40" w:rsidRPr="00FB1011"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i.</w:t>
      </w:r>
      <w:r>
        <w:rPr>
          <w:rFonts w:asciiTheme="minorHAnsi" w:eastAsia="Batang" w:hAnsiTheme="minorHAnsi" w:cs="Times New Roman"/>
          <w:sz w:val="22"/>
          <w:szCs w:val="22"/>
        </w:rPr>
        <w:tab/>
      </w:r>
      <w:r w:rsidR="00607AC7">
        <w:rPr>
          <w:rFonts w:asciiTheme="minorHAnsi" w:eastAsia="Batang" w:hAnsiTheme="minorHAnsi" w:cs="Times New Roman"/>
          <w:sz w:val="22"/>
          <w:szCs w:val="22"/>
        </w:rPr>
        <w:t xml:space="preserve">As in the previous two triennia, </w:t>
      </w:r>
      <w:r w:rsidR="00B32E40" w:rsidRPr="00FB1011">
        <w:rPr>
          <w:rFonts w:asciiTheme="minorHAnsi" w:eastAsia="Batang" w:hAnsiTheme="minorHAnsi" w:cs="Times New Roman"/>
          <w:sz w:val="22"/>
          <w:szCs w:val="22"/>
        </w:rPr>
        <w:t xml:space="preserve">CHF 120,000 per annum </w:t>
      </w:r>
      <w:r w:rsidR="00803C20">
        <w:rPr>
          <w:rFonts w:asciiTheme="minorHAnsi" w:eastAsia="Batang" w:hAnsiTheme="minorHAnsi" w:cs="Times New Roman"/>
          <w:sz w:val="22"/>
          <w:szCs w:val="22"/>
        </w:rPr>
        <w:t>is</w:t>
      </w:r>
      <w:r w:rsidR="00B32E40" w:rsidRPr="00FB1011">
        <w:rPr>
          <w:rFonts w:asciiTheme="minorHAnsi" w:eastAsia="Batang" w:hAnsiTheme="minorHAnsi" w:cs="Times New Roman"/>
          <w:sz w:val="22"/>
          <w:szCs w:val="22"/>
        </w:rPr>
        <w:t xml:space="preserve"> budgeted for start-up funding for Regional Initiatives</w:t>
      </w:r>
      <w:r w:rsidR="00BB3B4B">
        <w:rPr>
          <w:rFonts w:asciiTheme="minorHAnsi" w:eastAsia="Batang" w:hAnsiTheme="minorHAnsi" w:cs="Times New Roman"/>
          <w:sz w:val="22"/>
          <w:szCs w:val="22"/>
        </w:rPr>
        <w:t>;</w:t>
      </w:r>
      <w:r w:rsidR="00B32E40" w:rsidRPr="00FB1011">
        <w:rPr>
          <w:rFonts w:asciiTheme="minorHAnsi" w:eastAsia="Batang" w:hAnsiTheme="minorHAnsi" w:cs="Times New Roman"/>
          <w:sz w:val="22"/>
          <w:szCs w:val="22"/>
        </w:rPr>
        <w:t xml:space="preserve"> </w:t>
      </w:r>
    </w:p>
    <w:p w:rsidR="00241822" w:rsidRDefault="00241822" w:rsidP="00241822">
      <w:pPr>
        <w:pStyle w:val="MGfulltext"/>
        <w:spacing w:after="0"/>
        <w:ind w:left="850" w:hanging="425"/>
        <w:rPr>
          <w:rFonts w:asciiTheme="minorHAnsi" w:eastAsia="Batang" w:hAnsiTheme="minorHAnsi" w:cs="Times New Roman"/>
          <w:sz w:val="22"/>
          <w:szCs w:val="22"/>
        </w:rPr>
      </w:pPr>
    </w:p>
    <w:p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j.</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No funding is allocated from the core budget for </w:t>
      </w:r>
      <w:r w:rsidR="00B54F35">
        <w:rPr>
          <w:rFonts w:asciiTheme="minorHAnsi" w:eastAsia="Batang" w:hAnsiTheme="minorHAnsi" w:cs="Times New Roman"/>
          <w:sz w:val="22"/>
          <w:szCs w:val="22"/>
        </w:rPr>
        <w:t xml:space="preserve">Ramsar Advisory Missions and </w:t>
      </w:r>
      <w:r w:rsidR="00B32E40" w:rsidRPr="00FB1011">
        <w:rPr>
          <w:rFonts w:asciiTheme="minorHAnsi" w:eastAsia="Batang" w:hAnsiTheme="minorHAnsi" w:cs="Times New Roman"/>
          <w:sz w:val="22"/>
          <w:szCs w:val="22"/>
        </w:rPr>
        <w:t>meetings of the Conference of the Parties or pre-COP regional meetings, as for 201</w:t>
      </w:r>
      <w:r w:rsidR="00607AC7">
        <w:rPr>
          <w:rFonts w:asciiTheme="minorHAnsi" w:eastAsia="Batang" w:hAnsiTheme="minorHAnsi" w:cs="Times New Roman"/>
          <w:sz w:val="22"/>
          <w:szCs w:val="22"/>
        </w:rPr>
        <w:t>6</w:t>
      </w:r>
      <w:r w:rsidR="00B32E40" w:rsidRPr="00FB1011">
        <w:rPr>
          <w:rFonts w:asciiTheme="minorHAnsi" w:eastAsia="Batang" w:hAnsiTheme="minorHAnsi" w:cs="Times New Roman"/>
          <w:sz w:val="22"/>
          <w:szCs w:val="22"/>
        </w:rPr>
        <w:t>-201</w:t>
      </w:r>
      <w:r w:rsidR="00607AC7">
        <w:rPr>
          <w:rFonts w:asciiTheme="minorHAnsi" w:eastAsia="Batang" w:hAnsiTheme="minorHAnsi" w:cs="Times New Roman"/>
          <w:sz w:val="22"/>
          <w:szCs w:val="22"/>
        </w:rPr>
        <w:t>8</w:t>
      </w:r>
      <w:r w:rsidR="006D3CBA">
        <w:rPr>
          <w:rFonts w:asciiTheme="minorHAnsi" w:eastAsia="Batang" w:hAnsiTheme="minorHAnsi" w:cs="Times New Roman"/>
          <w:sz w:val="22"/>
          <w:szCs w:val="22"/>
        </w:rPr>
        <w:t xml:space="preserve"> (</w:t>
      </w:r>
      <w:r w:rsidR="00607AC7">
        <w:rPr>
          <w:rFonts w:asciiTheme="minorHAnsi" w:eastAsia="Batang" w:hAnsiTheme="minorHAnsi" w:cs="Times New Roman"/>
          <w:sz w:val="22"/>
          <w:szCs w:val="22"/>
        </w:rPr>
        <w:t xml:space="preserve">except for inclusion of COP meeting costs in budget scenario </w:t>
      </w:r>
      <w:r w:rsidR="0018623B">
        <w:rPr>
          <w:rFonts w:asciiTheme="minorHAnsi" w:eastAsia="Batang" w:hAnsiTheme="minorHAnsi" w:cs="Times New Roman"/>
          <w:sz w:val="22"/>
          <w:szCs w:val="22"/>
        </w:rPr>
        <w:t>C)</w:t>
      </w:r>
      <w:r w:rsidR="00B32E40" w:rsidRPr="00FB1011">
        <w:rPr>
          <w:rFonts w:asciiTheme="minorHAnsi" w:eastAsia="Batang" w:hAnsiTheme="minorHAnsi" w:cs="Times New Roman"/>
          <w:sz w:val="22"/>
          <w:szCs w:val="22"/>
        </w:rPr>
        <w:t>.</w:t>
      </w:r>
    </w:p>
    <w:p w:rsidR="00B32E40" w:rsidRPr="0018623B" w:rsidRDefault="00B32E40" w:rsidP="00B32E40">
      <w:pPr>
        <w:pStyle w:val="ListParagraph"/>
        <w:rPr>
          <w:rFonts w:asciiTheme="minorHAnsi" w:hAnsiTheme="minorHAnsi"/>
          <w:lang w:val="en-US"/>
        </w:rPr>
      </w:pPr>
    </w:p>
    <w:p w:rsidR="00363957"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4.</w:t>
      </w:r>
      <w:r>
        <w:rPr>
          <w:rFonts w:asciiTheme="minorHAnsi" w:eastAsia="Batang" w:hAnsiTheme="minorHAnsi" w:cs="Times New Roman"/>
          <w:sz w:val="22"/>
          <w:szCs w:val="22"/>
        </w:rPr>
        <w:tab/>
      </w:r>
      <w:r w:rsidR="00B32E40" w:rsidRPr="00860943">
        <w:rPr>
          <w:rFonts w:asciiTheme="minorHAnsi" w:eastAsia="Batang" w:hAnsiTheme="minorHAnsi" w:cs="Times New Roman"/>
          <w:sz w:val="22"/>
          <w:szCs w:val="22"/>
        </w:rPr>
        <w:t xml:space="preserve">In the </w:t>
      </w:r>
      <w:r w:rsidR="00B32E40" w:rsidRPr="00951D88">
        <w:rPr>
          <w:rFonts w:asciiTheme="minorHAnsi" w:eastAsia="Batang" w:hAnsiTheme="minorHAnsi" w:cs="Times New Roman"/>
          <w:b/>
          <w:sz w:val="22"/>
          <w:szCs w:val="22"/>
        </w:rPr>
        <w:t>2</w:t>
      </w:r>
      <w:r w:rsidR="00363957" w:rsidRPr="00951D88">
        <w:rPr>
          <w:rFonts w:asciiTheme="minorHAnsi" w:eastAsia="Batang" w:hAnsiTheme="minorHAnsi" w:cs="Times New Roman"/>
          <w:b/>
          <w:sz w:val="22"/>
          <w:szCs w:val="22"/>
        </w:rPr>
        <w:t>.9</w:t>
      </w:r>
      <w:r w:rsidR="00B32E40" w:rsidRPr="00951D88">
        <w:rPr>
          <w:rFonts w:asciiTheme="minorHAnsi" w:eastAsia="Batang" w:hAnsiTheme="minorHAnsi" w:cs="Times New Roman"/>
          <w:b/>
          <w:sz w:val="22"/>
          <w:szCs w:val="22"/>
        </w:rPr>
        <w:t>% scenario (B)</w:t>
      </w:r>
      <w:r w:rsidR="00B32E40" w:rsidRPr="00860943">
        <w:rPr>
          <w:rFonts w:asciiTheme="minorHAnsi" w:eastAsia="Batang" w:hAnsiTheme="minorHAnsi" w:cs="Times New Roman"/>
          <w:sz w:val="22"/>
          <w:szCs w:val="22"/>
        </w:rPr>
        <w:t xml:space="preserve">, the total increase in budget would be CHF </w:t>
      </w:r>
      <w:r w:rsidR="00363957">
        <w:rPr>
          <w:rFonts w:asciiTheme="minorHAnsi" w:eastAsia="Batang" w:hAnsiTheme="minorHAnsi" w:cs="Times New Roman"/>
          <w:sz w:val="22"/>
          <w:szCs w:val="22"/>
        </w:rPr>
        <w:t>455K</w:t>
      </w:r>
      <w:r w:rsidR="00B32E40" w:rsidRPr="00860943">
        <w:rPr>
          <w:rFonts w:asciiTheme="minorHAnsi" w:eastAsia="Batang" w:hAnsiTheme="minorHAnsi" w:cs="Times New Roman"/>
          <w:sz w:val="22"/>
          <w:szCs w:val="22"/>
        </w:rPr>
        <w:t xml:space="preserve"> over the triennium </w:t>
      </w:r>
      <w:r w:rsidR="00363957">
        <w:rPr>
          <w:rFonts w:asciiTheme="minorHAnsi" w:eastAsia="Batang" w:hAnsiTheme="minorHAnsi" w:cs="Times New Roman"/>
          <w:sz w:val="22"/>
          <w:szCs w:val="22"/>
        </w:rPr>
        <w:t>amounting to a new budget total of CHF 15,697K</w:t>
      </w:r>
      <w:r w:rsidR="00E75CA2">
        <w:rPr>
          <w:rFonts w:asciiTheme="minorHAnsi" w:eastAsia="Batang" w:hAnsiTheme="minorHAnsi" w:cs="Times New Roman"/>
          <w:sz w:val="22"/>
          <w:szCs w:val="22"/>
        </w:rPr>
        <w:t xml:space="preserve">, </w:t>
      </w:r>
      <w:r w:rsidR="004B2272">
        <w:rPr>
          <w:rFonts w:asciiTheme="minorHAnsi" w:eastAsia="Batang" w:hAnsiTheme="minorHAnsi" w:cs="Times New Roman"/>
          <w:sz w:val="22"/>
          <w:szCs w:val="22"/>
        </w:rPr>
        <w:t>with the following additions compared to scenario (A):</w:t>
      </w:r>
    </w:p>
    <w:p w:rsidR="00241822" w:rsidRDefault="00241822" w:rsidP="00241822">
      <w:pPr>
        <w:pStyle w:val="MGfulltext"/>
        <w:spacing w:after="0"/>
        <w:ind w:left="850" w:hanging="425"/>
        <w:rPr>
          <w:rFonts w:asciiTheme="minorHAnsi" w:eastAsia="Batang" w:hAnsiTheme="minorHAnsi" w:cs="Times New Roman"/>
          <w:sz w:val="22"/>
          <w:szCs w:val="22"/>
        </w:rPr>
      </w:pPr>
    </w:p>
    <w:p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4B2272" w:rsidRPr="00913CF1">
        <w:rPr>
          <w:rFonts w:asciiTheme="minorHAnsi" w:eastAsia="Batang" w:hAnsiTheme="minorHAnsi" w:cs="Times New Roman"/>
          <w:sz w:val="22"/>
          <w:szCs w:val="22"/>
        </w:rPr>
        <w:t>Increase of staff costs of 289K under administration</w:t>
      </w:r>
      <w:r w:rsidR="00E75CA2" w:rsidRPr="00913CF1">
        <w:rPr>
          <w:rFonts w:asciiTheme="minorHAnsi" w:eastAsia="Batang" w:hAnsiTheme="minorHAnsi" w:cs="Times New Roman"/>
          <w:sz w:val="22"/>
          <w:szCs w:val="22"/>
        </w:rPr>
        <w:t>,</w:t>
      </w:r>
      <w:r w:rsidR="004B2272" w:rsidRPr="00913CF1">
        <w:rPr>
          <w:rFonts w:asciiTheme="minorHAnsi" w:eastAsia="Batang" w:hAnsiTheme="minorHAnsi" w:cs="Times New Roman"/>
          <w:sz w:val="22"/>
          <w:szCs w:val="22"/>
        </w:rPr>
        <w:t xml:space="preserve"> to </w:t>
      </w:r>
      <w:r w:rsidR="00E75CA2" w:rsidRPr="00913CF1">
        <w:rPr>
          <w:rFonts w:asciiTheme="minorHAnsi" w:eastAsia="Batang" w:hAnsiTheme="minorHAnsi" w:cs="Times New Roman"/>
          <w:sz w:val="22"/>
          <w:szCs w:val="22"/>
        </w:rPr>
        <w:t>include</w:t>
      </w:r>
      <w:r w:rsidR="004B2272" w:rsidRPr="00913CF1">
        <w:rPr>
          <w:rFonts w:asciiTheme="minorHAnsi" w:eastAsia="Batang" w:hAnsiTheme="minorHAnsi" w:cs="Times New Roman"/>
          <w:sz w:val="22"/>
          <w:szCs w:val="22"/>
        </w:rPr>
        <w:t xml:space="preserve"> </w:t>
      </w:r>
      <w:r w:rsidR="00D41049" w:rsidRPr="00913CF1">
        <w:rPr>
          <w:rFonts w:asciiTheme="minorHAnsi" w:eastAsia="Batang" w:hAnsiTheme="minorHAnsi" w:cs="Times New Roman"/>
          <w:sz w:val="22"/>
          <w:szCs w:val="22"/>
        </w:rPr>
        <w:t xml:space="preserve">the </w:t>
      </w:r>
      <w:r w:rsidR="004B2272" w:rsidRPr="00913CF1">
        <w:rPr>
          <w:rFonts w:asciiTheme="minorHAnsi" w:eastAsia="Batang" w:hAnsiTheme="minorHAnsi" w:cs="Times New Roman"/>
          <w:sz w:val="22"/>
          <w:szCs w:val="22"/>
        </w:rPr>
        <w:t xml:space="preserve"> 50% Accounting and Finance Assistant needed to complement the capacity under finance</w:t>
      </w:r>
      <w:r w:rsidR="00E75CA2" w:rsidRPr="00913CF1">
        <w:rPr>
          <w:rFonts w:asciiTheme="minorHAnsi" w:eastAsia="Batang" w:hAnsiTheme="minorHAnsi" w:cs="Times New Roman"/>
          <w:sz w:val="22"/>
          <w:szCs w:val="22"/>
        </w:rPr>
        <w:t>,</w:t>
      </w:r>
      <w:r w:rsidR="00AA063C" w:rsidRPr="00913CF1">
        <w:rPr>
          <w:rFonts w:asciiTheme="minorHAnsi" w:eastAsia="Batang" w:hAnsiTheme="minorHAnsi" w:cs="Times New Roman"/>
          <w:sz w:val="22"/>
          <w:szCs w:val="22"/>
        </w:rPr>
        <w:t xml:space="preserve"> as requested by</w:t>
      </w:r>
      <w:r w:rsidR="004B2272" w:rsidRPr="00913CF1">
        <w:rPr>
          <w:rFonts w:asciiTheme="minorHAnsi" w:eastAsia="Batang" w:hAnsiTheme="minorHAnsi" w:cs="Times New Roman"/>
          <w:sz w:val="22"/>
          <w:szCs w:val="22"/>
        </w:rPr>
        <w:t xml:space="preserve"> </w:t>
      </w:r>
      <w:r w:rsidR="00AA063C" w:rsidRPr="00913CF1">
        <w:rPr>
          <w:rFonts w:asciiTheme="minorHAnsi" w:eastAsia="Batang" w:hAnsiTheme="minorHAnsi" w:cs="Times New Roman"/>
          <w:sz w:val="22"/>
          <w:szCs w:val="22"/>
        </w:rPr>
        <w:t>SC53-30</w:t>
      </w:r>
      <w:r w:rsidR="00E75CA2" w:rsidRPr="00913CF1">
        <w:rPr>
          <w:rFonts w:asciiTheme="minorHAnsi" w:eastAsia="Batang" w:hAnsiTheme="minorHAnsi" w:cs="Times New Roman"/>
          <w:sz w:val="22"/>
          <w:szCs w:val="22"/>
        </w:rPr>
        <w:t>,</w:t>
      </w:r>
      <w:r w:rsidR="00AA063C" w:rsidRPr="00913CF1">
        <w:rPr>
          <w:rFonts w:asciiTheme="minorHAnsi" w:eastAsia="Batang" w:hAnsiTheme="minorHAnsi" w:cs="Times New Roman"/>
          <w:sz w:val="22"/>
          <w:szCs w:val="22"/>
        </w:rPr>
        <w:t xml:space="preserve"> </w:t>
      </w:r>
      <w:r w:rsidR="00E75CA2" w:rsidRPr="00913CF1">
        <w:rPr>
          <w:rFonts w:asciiTheme="minorHAnsi" w:eastAsia="Batang" w:hAnsiTheme="minorHAnsi" w:cs="Times New Roman"/>
          <w:sz w:val="22"/>
          <w:szCs w:val="22"/>
        </w:rPr>
        <w:t>and</w:t>
      </w:r>
      <w:r w:rsidR="004B2272" w:rsidRPr="00913CF1">
        <w:rPr>
          <w:rFonts w:asciiTheme="minorHAnsi" w:eastAsia="Batang" w:hAnsiTheme="minorHAnsi" w:cs="Times New Roman"/>
          <w:sz w:val="22"/>
          <w:szCs w:val="22"/>
        </w:rPr>
        <w:t xml:space="preserve"> to include a</w:t>
      </w:r>
      <w:r w:rsidR="009041D7" w:rsidRPr="00913CF1">
        <w:rPr>
          <w:rFonts w:asciiTheme="minorHAnsi" w:eastAsia="Batang" w:hAnsiTheme="minorHAnsi" w:cs="Times New Roman"/>
          <w:sz w:val="22"/>
          <w:szCs w:val="22"/>
        </w:rPr>
        <w:t xml:space="preserve"> p</w:t>
      </w:r>
      <w:r w:rsidR="00673291" w:rsidRPr="00913CF1">
        <w:rPr>
          <w:rFonts w:asciiTheme="minorHAnsi" w:eastAsia="Batang" w:hAnsiTheme="minorHAnsi" w:cs="Times New Roman"/>
          <w:sz w:val="22"/>
          <w:szCs w:val="22"/>
        </w:rPr>
        <w:t xml:space="preserve">rovision for the rolling out of the </w:t>
      </w:r>
      <w:r w:rsidR="009041D7" w:rsidRPr="00913CF1">
        <w:rPr>
          <w:rFonts w:asciiTheme="minorHAnsi" w:eastAsia="Batang" w:hAnsiTheme="minorHAnsi" w:cs="Times New Roman"/>
          <w:sz w:val="22"/>
          <w:szCs w:val="22"/>
        </w:rPr>
        <w:t xml:space="preserve"> new IUCN </w:t>
      </w:r>
      <w:r w:rsidR="004B2272" w:rsidRPr="00913CF1">
        <w:rPr>
          <w:rFonts w:asciiTheme="minorHAnsi" w:eastAsia="Batang" w:hAnsiTheme="minorHAnsi" w:cs="Times New Roman"/>
          <w:sz w:val="22"/>
          <w:szCs w:val="22"/>
        </w:rPr>
        <w:t>competency</w:t>
      </w:r>
      <w:r w:rsidR="009041D7" w:rsidRPr="00913CF1">
        <w:rPr>
          <w:rFonts w:asciiTheme="minorHAnsi" w:eastAsia="Batang" w:hAnsiTheme="minorHAnsi" w:cs="Times New Roman"/>
          <w:sz w:val="22"/>
          <w:szCs w:val="22"/>
        </w:rPr>
        <w:t xml:space="preserve"> framework and promotion guidelines; </w:t>
      </w:r>
    </w:p>
    <w:p w:rsidR="00241822" w:rsidRDefault="00241822" w:rsidP="00241822">
      <w:pPr>
        <w:pStyle w:val="MGfulltext"/>
        <w:spacing w:after="0"/>
        <w:ind w:left="850" w:hanging="425"/>
        <w:rPr>
          <w:rFonts w:asciiTheme="minorHAnsi" w:eastAsia="Batang" w:hAnsiTheme="minorHAnsi" w:cs="Times New Roman"/>
          <w:sz w:val="22"/>
          <w:szCs w:val="22"/>
        </w:rPr>
      </w:pPr>
    </w:p>
    <w:p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lastRenderedPageBreak/>
        <w:t>b.</w:t>
      </w:r>
      <w:r>
        <w:rPr>
          <w:rFonts w:asciiTheme="minorHAnsi" w:eastAsia="Batang" w:hAnsiTheme="minorHAnsi" w:cs="Times New Roman"/>
          <w:sz w:val="22"/>
          <w:szCs w:val="22"/>
        </w:rPr>
        <w:tab/>
      </w:r>
      <w:r w:rsidR="004B2272" w:rsidRPr="00913CF1">
        <w:rPr>
          <w:rFonts w:asciiTheme="minorHAnsi" w:eastAsia="Batang" w:hAnsiTheme="minorHAnsi" w:cs="Times New Roman"/>
          <w:sz w:val="22"/>
          <w:szCs w:val="22"/>
        </w:rPr>
        <w:t>Increase in STRP implementation</w:t>
      </w:r>
      <w:r w:rsidR="004717A4" w:rsidRPr="00913CF1">
        <w:rPr>
          <w:rFonts w:asciiTheme="minorHAnsi" w:eastAsia="Batang" w:hAnsiTheme="minorHAnsi" w:cs="Times New Roman"/>
          <w:sz w:val="22"/>
          <w:szCs w:val="22"/>
        </w:rPr>
        <w:t xml:space="preserve"> costs</w:t>
      </w:r>
      <w:r w:rsidR="004B2272" w:rsidRPr="00913CF1">
        <w:rPr>
          <w:rFonts w:asciiTheme="minorHAnsi" w:eastAsia="Batang" w:hAnsiTheme="minorHAnsi" w:cs="Times New Roman"/>
          <w:sz w:val="22"/>
          <w:szCs w:val="22"/>
        </w:rPr>
        <w:t xml:space="preserve"> of 15K</w:t>
      </w:r>
      <w:r w:rsidR="004B2272">
        <w:rPr>
          <w:rFonts w:asciiTheme="minorHAnsi" w:eastAsia="Batang" w:hAnsiTheme="minorHAnsi" w:cs="Times New Roman"/>
          <w:sz w:val="22"/>
          <w:szCs w:val="22"/>
        </w:rPr>
        <w:t xml:space="preserve"> for the triennium to include funds for travel of the STRP Chair;</w:t>
      </w:r>
    </w:p>
    <w:p w:rsidR="00241822" w:rsidRDefault="00241822" w:rsidP="00241822">
      <w:pPr>
        <w:pStyle w:val="MGfulltext"/>
        <w:spacing w:after="0"/>
        <w:ind w:left="850" w:hanging="425"/>
        <w:rPr>
          <w:rFonts w:asciiTheme="minorHAnsi" w:eastAsia="Batang" w:hAnsiTheme="minorHAnsi" w:cs="Times New Roman"/>
          <w:sz w:val="22"/>
          <w:szCs w:val="22"/>
        </w:rPr>
      </w:pPr>
    </w:p>
    <w:p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4B2272" w:rsidRPr="001B79AE">
        <w:rPr>
          <w:rFonts w:asciiTheme="minorHAnsi" w:eastAsia="Batang" w:hAnsiTheme="minorHAnsi" w:cs="Times New Roman"/>
          <w:sz w:val="22"/>
          <w:szCs w:val="22"/>
        </w:rPr>
        <w:t xml:space="preserve">Increase in funds for staff travel of 60K in order to </w:t>
      </w:r>
      <w:r w:rsidR="004F20C4" w:rsidRPr="001B79AE">
        <w:rPr>
          <w:rFonts w:asciiTheme="minorHAnsi" w:eastAsia="Batang" w:hAnsiTheme="minorHAnsi" w:cs="Times New Roman"/>
          <w:sz w:val="22"/>
          <w:szCs w:val="22"/>
        </w:rPr>
        <w:t>reflect enhanced representation and engagement in policy processes from the Secretariat and distribution of thematic and leadership on policy processes across staff</w:t>
      </w:r>
      <w:r w:rsidR="001B79AE">
        <w:rPr>
          <w:rFonts w:asciiTheme="minorHAnsi" w:eastAsia="Batang" w:hAnsiTheme="minorHAnsi" w:cs="Times New Roman"/>
          <w:sz w:val="22"/>
          <w:szCs w:val="22"/>
        </w:rPr>
        <w:t>;</w:t>
      </w:r>
    </w:p>
    <w:p w:rsidR="00241822" w:rsidRDefault="00241822" w:rsidP="00241822">
      <w:pPr>
        <w:pStyle w:val="MGfulltext"/>
        <w:spacing w:after="0"/>
        <w:ind w:left="850" w:hanging="425"/>
        <w:rPr>
          <w:rFonts w:asciiTheme="minorHAnsi" w:eastAsia="Batang" w:hAnsiTheme="minorHAnsi" w:cs="Times New Roman"/>
          <w:sz w:val="22"/>
          <w:szCs w:val="22"/>
        </w:rPr>
      </w:pPr>
    </w:p>
    <w:p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Pr>
          <w:rFonts w:asciiTheme="minorHAnsi" w:eastAsia="Batang" w:hAnsiTheme="minorHAnsi" w:cs="Times New Roman"/>
          <w:sz w:val="22"/>
          <w:szCs w:val="22"/>
        </w:rPr>
        <w:tab/>
      </w:r>
      <w:r w:rsidR="004B2272" w:rsidRPr="00241822">
        <w:rPr>
          <w:rFonts w:asciiTheme="minorHAnsi" w:eastAsia="Batang" w:hAnsiTheme="minorHAnsi" w:cs="Times New Roman"/>
          <w:sz w:val="22"/>
          <w:szCs w:val="22"/>
        </w:rPr>
        <w:t>Inclusion of 135K for</w:t>
      </w:r>
      <w:r w:rsidR="00BC4468" w:rsidRPr="00241822">
        <w:rPr>
          <w:rFonts w:asciiTheme="minorHAnsi" w:eastAsia="Batang" w:hAnsiTheme="minorHAnsi" w:cs="Times New Roman"/>
          <w:sz w:val="22"/>
          <w:szCs w:val="22"/>
        </w:rPr>
        <w:t xml:space="preserve"> planning and</w:t>
      </w:r>
      <w:r w:rsidR="004B2272" w:rsidRPr="00241822">
        <w:rPr>
          <w:rFonts w:asciiTheme="minorHAnsi" w:eastAsia="Batang" w:hAnsiTheme="minorHAnsi" w:cs="Times New Roman"/>
          <w:sz w:val="22"/>
          <w:szCs w:val="22"/>
        </w:rPr>
        <w:t xml:space="preserve"> capacity-building to ensure</w:t>
      </w:r>
      <w:r w:rsidR="00BC4468" w:rsidRPr="00241822">
        <w:rPr>
          <w:rFonts w:asciiTheme="minorHAnsi" w:eastAsia="Batang" w:hAnsiTheme="minorHAnsi" w:cs="Times New Roman"/>
          <w:sz w:val="22"/>
          <w:szCs w:val="22"/>
        </w:rPr>
        <w:t xml:space="preserve"> that: i) triennial and annual work plans are developed, tracked and assessed as part of a whole-of-Secretariat approach, and  ii)</w:t>
      </w:r>
      <w:r w:rsidR="004B2272" w:rsidRPr="00241822">
        <w:rPr>
          <w:rFonts w:asciiTheme="minorHAnsi" w:eastAsia="Batang" w:hAnsiTheme="minorHAnsi" w:cs="Times New Roman"/>
          <w:sz w:val="22"/>
          <w:szCs w:val="22"/>
        </w:rPr>
        <w:t xml:space="preserve">  Ramsar staff are adequately</w:t>
      </w:r>
      <w:r w:rsidR="009041D7" w:rsidRPr="00241822">
        <w:rPr>
          <w:rFonts w:asciiTheme="minorHAnsi" w:eastAsia="Batang" w:hAnsiTheme="minorHAnsi" w:cs="Times New Roman"/>
          <w:sz w:val="22"/>
          <w:szCs w:val="22"/>
        </w:rPr>
        <w:t xml:space="preserve"> and regularly </w:t>
      </w:r>
      <w:r w:rsidR="004B2272" w:rsidRPr="00241822">
        <w:rPr>
          <w:rFonts w:asciiTheme="minorHAnsi" w:eastAsia="Batang" w:hAnsiTheme="minorHAnsi" w:cs="Times New Roman"/>
          <w:sz w:val="22"/>
          <w:szCs w:val="22"/>
        </w:rPr>
        <w:t>trained and up-to-date in their skills</w:t>
      </w:r>
      <w:r w:rsidR="006D3CBA" w:rsidRPr="00241822">
        <w:rPr>
          <w:rFonts w:asciiTheme="minorHAnsi" w:eastAsia="Batang" w:hAnsiTheme="minorHAnsi" w:cs="Times New Roman"/>
          <w:sz w:val="22"/>
          <w:szCs w:val="22"/>
        </w:rPr>
        <w:t xml:space="preserve"> (</w:t>
      </w:r>
      <w:r w:rsidR="00F136F5" w:rsidRPr="00241822">
        <w:rPr>
          <w:rFonts w:asciiTheme="minorHAnsi" w:eastAsia="Batang" w:hAnsiTheme="minorHAnsi" w:cs="Times New Roman"/>
          <w:sz w:val="22"/>
          <w:szCs w:val="22"/>
        </w:rPr>
        <w:t xml:space="preserve">representing </w:t>
      </w:r>
      <w:r w:rsidR="00467A8D" w:rsidRPr="00241822">
        <w:rPr>
          <w:rFonts w:asciiTheme="minorHAnsi" w:eastAsia="Batang" w:hAnsiTheme="minorHAnsi" w:cs="Times New Roman"/>
          <w:sz w:val="22"/>
          <w:szCs w:val="22"/>
        </w:rPr>
        <w:t>around 1 to 1.5% of staff budget costs</w:t>
      </w:r>
      <w:r w:rsidR="006D3CBA" w:rsidRPr="00241822">
        <w:rPr>
          <w:rFonts w:asciiTheme="minorHAnsi" w:eastAsia="Batang" w:hAnsiTheme="minorHAnsi" w:cs="Times New Roman"/>
          <w:sz w:val="22"/>
          <w:szCs w:val="22"/>
        </w:rPr>
        <w:t>)</w:t>
      </w:r>
      <w:r w:rsidR="00467A8D" w:rsidRPr="00241822">
        <w:rPr>
          <w:rFonts w:asciiTheme="minorHAnsi" w:eastAsia="Batang" w:hAnsiTheme="minorHAnsi" w:cs="Times New Roman"/>
          <w:sz w:val="22"/>
          <w:szCs w:val="22"/>
        </w:rPr>
        <w:t>.</w:t>
      </w:r>
    </w:p>
    <w:p w:rsidR="00B54F35" w:rsidRPr="009041D7" w:rsidRDefault="00B54F35" w:rsidP="00B54F35">
      <w:pPr>
        <w:pStyle w:val="MGfulltext"/>
        <w:spacing w:after="0"/>
        <w:ind w:left="1440"/>
        <w:rPr>
          <w:rFonts w:asciiTheme="minorHAnsi" w:hAnsiTheme="minorHAnsi"/>
          <w:sz w:val="22"/>
          <w:szCs w:val="22"/>
        </w:rPr>
      </w:pPr>
    </w:p>
    <w:p w:rsidR="00C70EC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5.</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In the </w:t>
      </w:r>
      <w:r w:rsidR="00B32E40" w:rsidRPr="00951D88">
        <w:rPr>
          <w:rFonts w:asciiTheme="minorHAnsi" w:eastAsia="Batang" w:hAnsiTheme="minorHAnsi" w:cs="Times New Roman"/>
          <w:b/>
          <w:sz w:val="22"/>
          <w:szCs w:val="22"/>
        </w:rPr>
        <w:t>4</w:t>
      </w:r>
      <w:r w:rsidR="00C70EC0" w:rsidRPr="00951D88">
        <w:rPr>
          <w:rFonts w:asciiTheme="minorHAnsi" w:eastAsia="Batang" w:hAnsiTheme="minorHAnsi" w:cs="Times New Roman"/>
          <w:b/>
          <w:sz w:val="22"/>
          <w:szCs w:val="22"/>
        </w:rPr>
        <w:t>.3</w:t>
      </w:r>
      <w:r w:rsidR="00B32E40" w:rsidRPr="00951D88">
        <w:rPr>
          <w:rFonts w:asciiTheme="minorHAnsi" w:eastAsia="Batang" w:hAnsiTheme="minorHAnsi" w:cs="Times New Roman"/>
          <w:b/>
          <w:sz w:val="22"/>
          <w:szCs w:val="22"/>
        </w:rPr>
        <w:t>% scenario (C)</w:t>
      </w:r>
      <w:r w:rsidR="00B32E40" w:rsidRPr="00FB1011">
        <w:rPr>
          <w:rFonts w:asciiTheme="minorHAnsi" w:eastAsia="Batang" w:hAnsiTheme="minorHAnsi" w:cs="Times New Roman"/>
          <w:sz w:val="22"/>
          <w:szCs w:val="22"/>
        </w:rPr>
        <w:t xml:space="preserve">, the total increase in budget would be CHF </w:t>
      </w:r>
      <w:r w:rsidR="00C70EC0">
        <w:rPr>
          <w:rFonts w:asciiTheme="minorHAnsi" w:eastAsia="Batang" w:hAnsiTheme="minorHAnsi" w:cs="Times New Roman"/>
          <w:sz w:val="22"/>
          <w:szCs w:val="22"/>
        </w:rPr>
        <w:t>690K</w:t>
      </w:r>
      <w:r w:rsidR="00B32E40" w:rsidRPr="00FB1011">
        <w:rPr>
          <w:rFonts w:asciiTheme="minorHAnsi" w:eastAsia="Batang" w:hAnsiTheme="minorHAnsi" w:cs="Times New Roman"/>
          <w:sz w:val="22"/>
          <w:szCs w:val="22"/>
        </w:rPr>
        <w:t xml:space="preserve"> over the triennium</w:t>
      </w:r>
      <w:r w:rsidR="00C70EC0">
        <w:rPr>
          <w:rFonts w:asciiTheme="minorHAnsi" w:eastAsia="Batang" w:hAnsiTheme="minorHAnsi" w:cs="Times New Roman"/>
          <w:sz w:val="22"/>
          <w:szCs w:val="22"/>
        </w:rPr>
        <w:t xml:space="preserve"> amounting to a new budget total of CHF 15,933K. </w:t>
      </w:r>
      <w:r w:rsidR="00CE778B">
        <w:rPr>
          <w:rFonts w:asciiTheme="minorHAnsi" w:eastAsia="Batang" w:hAnsiTheme="minorHAnsi" w:cs="Times New Roman"/>
          <w:sz w:val="22"/>
          <w:szCs w:val="22"/>
        </w:rPr>
        <w:t xml:space="preserve">Scenario (C) includes the </w:t>
      </w:r>
      <w:r w:rsidR="00C70EC0">
        <w:rPr>
          <w:rFonts w:asciiTheme="minorHAnsi" w:eastAsia="Batang" w:hAnsiTheme="minorHAnsi" w:cs="Times New Roman"/>
          <w:sz w:val="22"/>
          <w:szCs w:val="22"/>
        </w:rPr>
        <w:t>addition</w:t>
      </w:r>
      <w:r w:rsidR="00CE778B">
        <w:rPr>
          <w:rFonts w:asciiTheme="minorHAnsi" w:eastAsia="Batang" w:hAnsiTheme="minorHAnsi" w:cs="Times New Roman"/>
          <w:sz w:val="22"/>
          <w:szCs w:val="22"/>
        </w:rPr>
        <w:t>s</w:t>
      </w:r>
      <w:r w:rsidR="00C70EC0">
        <w:rPr>
          <w:rFonts w:asciiTheme="minorHAnsi" w:eastAsia="Batang" w:hAnsiTheme="minorHAnsi" w:cs="Times New Roman"/>
          <w:sz w:val="22"/>
          <w:szCs w:val="22"/>
        </w:rPr>
        <w:t xml:space="preserve"> </w:t>
      </w:r>
      <w:r w:rsidR="00CE778B">
        <w:rPr>
          <w:rFonts w:asciiTheme="minorHAnsi" w:eastAsia="Batang" w:hAnsiTheme="minorHAnsi" w:cs="Times New Roman"/>
          <w:sz w:val="22"/>
          <w:szCs w:val="22"/>
        </w:rPr>
        <w:t>indicated in</w:t>
      </w:r>
      <w:r w:rsidR="00C70EC0">
        <w:rPr>
          <w:rFonts w:asciiTheme="minorHAnsi" w:eastAsia="Batang" w:hAnsiTheme="minorHAnsi" w:cs="Times New Roman"/>
          <w:sz w:val="22"/>
          <w:szCs w:val="22"/>
        </w:rPr>
        <w:t xml:space="preserve"> scenario (B), </w:t>
      </w:r>
      <w:r w:rsidR="00CE778B">
        <w:rPr>
          <w:rFonts w:asciiTheme="minorHAnsi" w:eastAsia="Batang" w:hAnsiTheme="minorHAnsi" w:cs="Times New Roman"/>
          <w:sz w:val="22"/>
          <w:szCs w:val="22"/>
        </w:rPr>
        <w:t xml:space="preserve">and also </w:t>
      </w:r>
      <w:r w:rsidR="00C70EC0">
        <w:rPr>
          <w:rFonts w:asciiTheme="minorHAnsi" w:eastAsia="Batang" w:hAnsiTheme="minorHAnsi" w:cs="Times New Roman"/>
          <w:sz w:val="22"/>
          <w:szCs w:val="22"/>
        </w:rPr>
        <w:t xml:space="preserve">includes </w:t>
      </w:r>
      <w:r w:rsidR="00CE778B">
        <w:rPr>
          <w:rFonts w:asciiTheme="minorHAnsi" w:eastAsia="Batang" w:hAnsiTheme="minorHAnsi" w:cs="Times New Roman"/>
          <w:sz w:val="22"/>
          <w:szCs w:val="22"/>
        </w:rPr>
        <w:t xml:space="preserve">an allocation </w:t>
      </w:r>
      <w:r w:rsidR="00C70EC0">
        <w:rPr>
          <w:rFonts w:asciiTheme="minorHAnsi" w:eastAsia="Batang" w:hAnsiTheme="minorHAnsi" w:cs="Times New Roman"/>
          <w:sz w:val="22"/>
          <w:szCs w:val="22"/>
        </w:rPr>
        <w:t xml:space="preserve">of CHF 236K in 2021 for </w:t>
      </w:r>
      <w:r w:rsidR="00CE778B">
        <w:rPr>
          <w:rFonts w:asciiTheme="minorHAnsi" w:eastAsia="Batang" w:hAnsiTheme="minorHAnsi" w:cs="Times New Roman"/>
          <w:sz w:val="22"/>
          <w:szCs w:val="22"/>
        </w:rPr>
        <w:t xml:space="preserve">costs associated with servicing </w:t>
      </w:r>
      <w:r w:rsidR="00C70EC0">
        <w:rPr>
          <w:rFonts w:asciiTheme="minorHAnsi" w:eastAsia="Batang" w:hAnsiTheme="minorHAnsi" w:cs="Times New Roman"/>
          <w:sz w:val="22"/>
          <w:szCs w:val="22"/>
        </w:rPr>
        <w:t xml:space="preserve">COP14 (interpretation, translation, report writing, printing and conference facilities as well as conference operating costs). </w:t>
      </w:r>
      <w:r w:rsidR="00CE778B">
        <w:rPr>
          <w:rFonts w:asciiTheme="minorHAnsi" w:eastAsia="Batang" w:hAnsiTheme="minorHAnsi" w:cs="Times New Roman"/>
          <w:sz w:val="22"/>
          <w:szCs w:val="22"/>
        </w:rPr>
        <w:t xml:space="preserve">This is a standard inclusion in budgets for comparable conventions, such as the Convention on Migratory Species (which has budgeted EUR 307K for servicing its COP in 2020, and EUR 56K for staff travel to the COP) and the Convention on International Trade in Endangered Species of Wild Fauna and Flora (which has budgeted </w:t>
      </w:r>
      <w:r w:rsidR="00104F7B">
        <w:rPr>
          <w:rFonts w:asciiTheme="minorHAnsi" w:eastAsia="Batang" w:hAnsiTheme="minorHAnsi" w:cs="Times New Roman"/>
          <w:sz w:val="22"/>
          <w:szCs w:val="22"/>
        </w:rPr>
        <w:t>USD 912K for organization and servicing of its COP in 2019).</w:t>
      </w:r>
      <w:r w:rsidR="0023550A">
        <w:rPr>
          <w:rFonts w:asciiTheme="minorHAnsi" w:eastAsia="Batang" w:hAnsiTheme="minorHAnsi" w:cs="Times New Roman"/>
          <w:sz w:val="22"/>
          <w:szCs w:val="22"/>
        </w:rPr>
        <w:t xml:space="preserve"> Without this budgetary allocation, the costs must be </w:t>
      </w:r>
      <w:r w:rsidR="00A62ABF">
        <w:rPr>
          <w:rFonts w:asciiTheme="minorHAnsi" w:eastAsia="Batang" w:hAnsiTheme="minorHAnsi" w:cs="Times New Roman"/>
          <w:sz w:val="22"/>
          <w:szCs w:val="22"/>
        </w:rPr>
        <w:t>covered</w:t>
      </w:r>
      <w:r w:rsidR="0023550A">
        <w:rPr>
          <w:rFonts w:asciiTheme="minorHAnsi" w:eastAsia="Batang" w:hAnsiTheme="minorHAnsi" w:cs="Times New Roman"/>
          <w:sz w:val="22"/>
          <w:szCs w:val="22"/>
        </w:rPr>
        <w:t xml:space="preserve"> by the host country. </w:t>
      </w:r>
    </w:p>
    <w:p w:rsidR="00B32E40" w:rsidRDefault="00B32E40" w:rsidP="00B32E40">
      <w:pPr>
        <w:pStyle w:val="MGfulltext"/>
        <w:spacing w:after="0"/>
        <w:rPr>
          <w:rFonts w:asciiTheme="minorHAnsi" w:eastAsia="Batang" w:hAnsiTheme="minorHAnsi" w:cs="Times New Roman"/>
          <w:sz w:val="22"/>
          <w:szCs w:val="22"/>
        </w:rPr>
      </w:pPr>
    </w:p>
    <w:p w:rsidR="005E4BF4" w:rsidRDefault="005E4BF4" w:rsidP="00B32E40">
      <w:pPr>
        <w:pStyle w:val="MGfulltext"/>
        <w:spacing w:after="0"/>
        <w:rPr>
          <w:rFonts w:asciiTheme="minorHAnsi" w:eastAsia="Batang" w:hAnsiTheme="minorHAnsi" w:cs="Times New Roman"/>
          <w:b/>
          <w:sz w:val="22"/>
          <w:szCs w:val="22"/>
        </w:rPr>
      </w:pPr>
      <w:r>
        <w:rPr>
          <w:rFonts w:asciiTheme="minorHAnsi" w:eastAsia="Batang" w:hAnsiTheme="minorHAnsi" w:cs="Times New Roman"/>
          <w:b/>
          <w:sz w:val="22"/>
          <w:szCs w:val="22"/>
        </w:rPr>
        <w:t>Structure of the core budget scenarios</w:t>
      </w:r>
    </w:p>
    <w:p w:rsidR="005E4BF4" w:rsidRDefault="005E4BF4" w:rsidP="00B32E40">
      <w:pPr>
        <w:pStyle w:val="MGfulltext"/>
        <w:spacing w:after="0"/>
        <w:rPr>
          <w:rFonts w:asciiTheme="minorHAnsi" w:eastAsia="Batang" w:hAnsiTheme="minorHAnsi" w:cs="Times New Roman"/>
          <w:b/>
          <w:sz w:val="22"/>
          <w:szCs w:val="22"/>
        </w:rPr>
      </w:pPr>
    </w:p>
    <w:p w:rsidR="005E4BF4"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6.</w:t>
      </w:r>
      <w:r>
        <w:rPr>
          <w:rFonts w:asciiTheme="minorHAnsi" w:eastAsia="Batang" w:hAnsiTheme="minorHAnsi" w:cs="Times New Roman"/>
          <w:sz w:val="22"/>
          <w:szCs w:val="22"/>
        </w:rPr>
        <w:tab/>
      </w:r>
      <w:r w:rsidR="00CF4437">
        <w:rPr>
          <w:rFonts w:asciiTheme="minorHAnsi" w:eastAsia="Batang" w:hAnsiTheme="minorHAnsi" w:cs="Times New Roman"/>
          <w:sz w:val="22"/>
          <w:szCs w:val="22"/>
        </w:rPr>
        <w:t xml:space="preserve">To maintain </w:t>
      </w:r>
      <w:r w:rsidR="00673291">
        <w:rPr>
          <w:rFonts w:asciiTheme="minorHAnsi" w:eastAsia="Batang" w:hAnsiTheme="minorHAnsi" w:cs="Times New Roman"/>
          <w:sz w:val="22"/>
          <w:szCs w:val="22"/>
        </w:rPr>
        <w:t xml:space="preserve">the current </w:t>
      </w:r>
      <w:r w:rsidR="00CF4437">
        <w:rPr>
          <w:rFonts w:asciiTheme="minorHAnsi" w:eastAsia="Batang" w:hAnsiTheme="minorHAnsi" w:cs="Times New Roman"/>
          <w:sz w:val="22"/>
          <w:szCs w:val="22"/>
        </w:rPr>
        <w:t xml:space="preserve">approach showing expenditures per department / category, </w:t>
      </w:r>
      <w:r w:rsidR="004F20C4">
        <w:rPr>
          <w:rFonts w:asciiTheme="minorHAnsi" w:eastAsia="Batang" w:hAnsiTheme="minorHAnsi" w:cs="Times New Roman"/>
          <w:sz w:val="22"/>
          <w:szCs w:val="22"/>
        </w:rPr>
        <w:t xml:space="preserve">the Secretariat proposes to maintain </w:t>
      </w:r>
      <w:r w:rsidR="00F14404">
        <w:rPr>
          <w:rFonts w:asciiTheme="minorHAnsi" w:eastAsia="Batang" w:hAnsiTheme="minorHAnsi" w:cs="Times New Roman"/>
          <w:sz w:val="22"/>
          <w:szCs w:val="22"/>
        </w:rPr>
        <w:t>the</w:t>
      </w:r>
      <w:r w:rsidR="004F20C4">
        <w:rPr>
          <w:rFonts w:asciiTheme="minorHAnsi" w:eastAsia="Batang" w:hAnsiTheme="minorHAnsi" w:cs="Times New Roman"/>
          <w:sz w:val="22"/>
          <w:szCs w:val="22"/>
        </w:rPr>
        <w:t xml:space="preserve"> same</w:t>
      </w:r>
      <w:r w:rsidR="00F14404">
        <w:rPr>
          <w:rFonts w:asciiTheme="minorHAnsi" w:eastAsia="Batang" w:hAnsiTheme="minorHAnsi" w:cs="Times New Roman"/>
          <w:sz w:val="22"/>
          <w:szCs w:val="22"/>
        </w:rPr>
        <w:t xml:space="preserve"> broad structure of the budget as</w:t>
      </w:r>
      <w:r w:rsidR="004F20C4">
        <w:rPr>
          <w:rFonts w:asciiTheme="minorHAnsi" w:eastAsia="Batang" w:hAnsiTheme="minorHAnsi" w:cs="Times New Roman"/>
          <w:sz w:val="22"/>
          <w:szCs w:val="22"/>
        </w:rPr>
        <w:t xml:space="preserve"> that of the </w:t>
      </w:r>
      <w:r w:rsidR="00F14404">
        <w:rPr>
          <w:rFonts w:asciiTheme="minorHAnsi" w:eastAsia="Batang" w:hAnsiTheme="minorHAnsi" w:cs="Times New Roman"/>
          <w:sz w:val="22"/>
          <w:szCs w:val="22"/>
        </w:rPr>
        <w:t>previous triennium.</w:t>
      </w:r>
    </w:p>
    <w:p w:rsidR="00B54F35" w:rsidRDefault="00B54F35" w:rsidP="00951D88">
      <w:pPr>
        <w:pStyle w:val="MGfulltext"/>
        <w:spacing w:after="0"/>
        <w:ind w:left="425" w:hanging="425"/>
        <w:rPr>
          <w:rFonts w:asciiTheme="minorHAnsi" w:eastAsia="Batang" w:hAnsiTheme="minorHAnsi" w:cs="Times New Roman"/>
          <w:sz w:val="22"/>
          <w:szCs w:val="22"/>
        </w:rPr>
      </w:pPr>
    </w:p>
    <w:p w:rsidR="00F14404"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7.</w:t>
      </w:r>
      <w:r>
        <w:rPr>
          <w:rFonts w:asciiTheme="minorHAnsi" w:eastAsia="Batang" w:hAnsiTheme="minorHAnsi" w:cs="Times New Roman"/>
          <w:sz w:val="22"/>
          <w:szCs w:val="22"/>
        </w:rPr>
        <w:tab/>
      </w:r>
      <w:r w:rsidR="00F14404">
        <w:rPr>
          <w:rFonts w:asciiTheme="minorHAnsi" w:eastAsia="Batang" w:hAnsiTheme="minorHAnsi" w:cs="Times New Roman"/>
          <w:sz w:val="22"/>
          <w:szCs w:val="22"/>
        </w:rPr>
        <w:t>The main proposed changes are:</w:t>
      </w:r>
    </w:p>
    <w:p w:rsidR="00AD65E1" w:rsidRDefault="00AD65E1" w:rsidP="00AD65E1">
      <w:pPr>
        <w:pStyle w:val="MGfulltext"/>
        <w:spacing w:after="0"/>
        <w:ind w:left="850" w:hanging="425"/>
        <w:rPr>
          <w:rFonts w:asciiTheme="minorHAnsi" w:eastAsia="Batang" w:hAnsiTheme="minorHAnsi" w:cs="Times New Roman"/>
          <w:sz w:val="22"/>
          <w:szCs w:val="22"/>
        </w:rPr>
      </w:pPr>
    </w:p>
    <w:p w:rsidR="00F14404" w:rsidRDefault="00AD65E1" w:rsidP="00AD65E1">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Combining the previous areas of Partnership Coordinator and Communications to Resource Mobilization and Outreach as to reflect the current </w:t>
      </w:r>
      <w:r w:rsidR="00673291">
        <w:rPr>
          <w:rFonts w:asciiTheme="minorHAnsi" w:eastAsia="Batang" w:hAnsiTheme="minorHAnsi" w:cs="Times New Roman"/>
          <w:sz w:val="22"/>
          <w:szCs w:val="22"/>
        </w:rPr>
        <w:t>positions</w:t>
      </w:r>
      <w:r w:rsidR="00F14404">
        <w:rPr>
          <w:rFonts w:asciiTheme="minorHAnsi" w:eastAsia="Batang" w:hAnsiTheme="minorHAnsi" w:cs="Times New Roman"/>
          <w:sz w:val="22"/>
          <w:szCs w:val="22"/>
        </w:rPr>
        <w:t>;</w:t>
      </w:r>
    </w:p>
    <w:p w:rsidR="00AD65E1" w:rsidRDefault="00AD65E1" w:rsidP="00AD65E1">
      <w:pPr>
        <w:pStyle w:val="MGfulltext"/>
        <w:spacing w:after="0"/>
        <w:ind w:left="850" w:hanging="425"/>
        <w:rPr>
          <w:rFonts w:asciiTheme="minorHAnsi" w:eastAsia="Batang" w:hAnsiTheme="minorHAnsi" w:cs="Times New Roman"/>
          <w:sz w:val="22"/>
          <w:szCs w:val="22"/>
        </w:rPr>
      </w:pPr>
    </w:p>
    <w:p w:rsidR="00F14404" w:rsidRDefault="00AD65E1" w:rsidP="00AD65E1">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Budgeting staff in the department they </w:t>
      </w:r>
      <w:r w:rsidR="00673291">
        <w:rPr>
          <w:rFonts w:asciiTheme="minorHAnsi" w:eastAsia="Batang" w:hAnsiTheme="minorHAnsi" w:cs="Times New Roman"/>
          <w:sz w:val="22"/>
          <w:szCs w:val="22"/>
        </w:rPr>
        <w:t xml:space="preserve">currently </w:t>
      </w:r>
      <w:r w:rsidR="00F14404">
        <w:rPr>
          <w:rFonts w:asciiTheme="minorHAnsi" w:eastAsia="Batang" w:hAnsiTheme="minorHAnsi" w:cs="Times New Roman"/>
          <w:sz w:val="22"/>
          <w:szCs w:val="22"/>
        </w:rPr>
        <w:t xml:space="preserve">work for as per </w:t>
      </w:r>
      <w:r w:rsidR="008C0B07">
        <w:rPr>
          <w:rFonts w:asciiTheme="minorHAnsi" w:eastAsia="Batang" w:hAnsiTheme="minorHAnsi" w:cs="Times New Roman"/>
          <w:sz w:val="22"/>
          <w:szCs w:val="22"/>
        </w:rPr>
        <w:t>t</w:t>
      </w:r>
      <w:r w:rsidR="00F14404">
        <w:rPr>
          <w:rFonts w:asciiTheme="minorHAnsi" w:eastAsia="Batang" w:hAnsiTheme="minorHAnsi" w:cs="Times New Roman"/>
          <w:sz w:val="22"/>
          <w:szCs w:val="22"/>
        </w:rPr>
        <w:t>able</w:t>
      </w:r>
      <w:r w:rsidR="008C0B07">
        <w:rPr>
          <w:rFonts w:asciiTheme="minorHAnsi" w:eastAsia="Batang" w:hAnsiTheme="minorHAnsi" w:cs="Times New Roman"/>
          <w:sz w:val="22"/>
          <w:szCs w:val="22"/>
        </w:rPr>
        <w:t xml:space="preserve"> 1 below</w:t>
      </w:r>
      <w:r w:rsidR="00F14404">
        <w:rPr>
          <w:rFonts w:asciiTheme="minorHAnsi" w:eastAsia="Batang" w:hAnsiTheme="minorHAnsi" w:cs="Times New Roman"/>
          <w:sz w:val="22"/>
          <w:szCs w:val="22"/>
        </w:rPr>
        <w:t>;</w:t>
      </w:r>
    </w:p>
    <w:p w:rsidR="00AD65E1" w:rsidRDefault="00AD65E1" w:rsidP="00AD65E1">
      <w:pPr>
        <w:pStyle w:val="MGfulltext"/>
        <w:spacing w:after="0"/>
        <w:ind w:left="850" w:hanging="425"/>
        <w:rPr>
          <w:rFonts w:asciiTheme="minorHAnsi" w:eastAsia="Batang" w:hAnsiTheme="minorHAnsi" w:cs="Times New Roman"/>
          <w:sz w:val="22"/>
          <w:szCs w:val="22"/>
        </w:rPr>
      </w:pPr>
    </w:p>
    <w:p w:rsidR="00F14404" w:rsidRDefault="00AD65E1" w:rsidP="00AD65E1">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Budgeting for costs of budget lines such as Web Development and RSIS under the areas they </w:t>
      </w:r>
      <w:r w:rsidR="00277A87">
        <w:rPr>
          <w:rFonts w:asciiTheme="minorHAnsi" w:eastAsia="Batang" w:hAnsiTheme="minorHAnsi" w:cs="Times New Roman"/>
          <w:sz w:val="22"/>
          <w:szCs w:val="22"/>
        </w:rPr>
        <w:t>belong to</w:t>
      </w:r>
      <w:r w:rsidR="00277A87" w:rsidRPr="00277A87">
        <w:rPr>
          <w:rFonts w:asciiTheme="minorHAnsi" w:eastAsia="Batang" w:hAnsiTheme="minorHAnsi" w:cs="Times New Roman"/>
          <w:sz w:val="22"/>
          <w:szCs w:val="22"/>
        </w:rPr>
        <w:t xml:space="preserve"> </w:t>
      </w:r>
      <w:r w:rsidR="00277A87">
        <w:rPr>
          <w:rFonts w:asciiTheme="minorHAnsi" w:eastAsia="Batang" w:hAnsiTheme="minorHAnsi" w:cs="Times New Roman"/>
          <w:sz w:val="22"/>
          <w:szCs w:val="22"/>
        </w:rPr>
        <w:t>thematically;</w:t>
      </w:r>
    </w:p>
    <w:p w:rsidR="00AD65E1" w:rsidRDefault="00AD65E1" w:rsidP="00AD65E1">
      <w:pPr>
        <w:pStyle w:val="MGfulltext"/>
        <w:spacing w:after="0"/>
        <w:ind w:left="850" w:hanging="425"/>
        <w:rPr>
          <w:rFonts w:asciiTheme="minorHAnsi" w:eastAsia="Batang" w:hAnsiTheme="minorHAnsi" w:cs="Times New Roman"/>
          <w:sz w:val="22"/>
          <w:szCs w:val="22"/>
        </w:rPr>
      </w:pPr>
    </w:p>
    <w:p w:rsidR="00F14404" w:rsidRPr="00D41049" w:rsidRDefault="00AD65E1" w:rsidP="00AD65E1">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Pr>
          <w:rFonts w:asciiTheme="minorHAnsi" w:eastAsia="Batang" w:hAnsiTheme="minorHAnsi" w:cs="Times New Roman"/>
          <w:sz w:val="22"/>
          <w:szCs w:val="22"/>
        </w:rPr>
        <w:tab/>
      </w:r>
      <w:r w:rsidR="00CE7104">
        <w:rPr>
          <w:rFonts w:asciiTheme="minorHAnsi" w:eastAsia="Batang" w:hAnsiTheme="minorHAnsi" w:cs="Times New Roman"/>
          <w:sz w:val="22"/>
          <w:szCs w:val="22"/>
        </w:rPr>
        <w:t xml:space="preserve">In </w:t>
      </w:r>
      <w:r w:rsidR="00CE7104" w:rsidRPr="00D41049">
        <w:rPr>
          <w:rFonts w:asciiTheme="minorHAnsi" w:eastAsia="Batang" w:hAnsiTheme="minorHAnsi" w:cs="Times New Roman"/>
          <w:sz w:val="22"/>
          <w:szCs w:val="22"/>
        </w:rPr>
        <w:t>accordance with</w:t>
      </w:r>
      <w:r w:rsidR="00F14404" w:rsidRPr="00913CF1">
        <w:rPr>
          <w:rFonts w:asciiTheme="minorHAnsi" w:eastAsia="Batang" w:hAnsiTheme="minorHAnsi" w:cs="Times New Roman"/>
          <w:sz w:val="22"/>
          <w:szCs w:val="22"/>
        </w:rPr>
        <w:t xml:space="preserve"> the practice of UN-administered Conventions, have one budget line for staff travel</w:t>
      </w:r>
      <w:r w:rsidR="00F14404" w:rsidRPr="00D41049">
        <w:rPr>
          <w:rFonts w:asciiTheme="minorHAnsi" w:eastAsia="Batang" w:hAnsiTheme="minorHAnsi" w:cs="Times New Roman"/>
          <w:sz w:val="22"/>
          <w:szCs w:val="22"/>
        </w:rPr>
        <w:t xml:space="preserve"> (shown under administration)</w:t>
      </w:r>
      <w:r w:rsidR="00CE7104" w:rsidRPr="00D41049">
        <w:rPr>
          <w:rFonts w:asciiTheme="minorHAnsi" w:eastAsia="Batang" w:hAnsiTheme="minorHAnsi" w:cs="Times New Roman"/>
          <w:sz w:val="22"/>
          <w:szCs w:val="22"/>
        </w:rPr>
        <w:t>, with</w:t>
      </w:r>
      <w:r w:rsidR="00673291" w:rsidRPr="00D41049">
        <w:rPr>
          <w:rFonts w:asciiTheme="minorHAnsi" w:eastAsia="Batang" w:hAnsiTheme="minorHAnsi" w:cs="Times New Roman"/>
          <w:sz w:val="22"/>
          <w:szCs w:val="22"/>
        </w:rPr>
        <w:t xml:space="preserve"> expenses </w:t>
      </w:r>
      <w:r w:rsidR="00CE7104" w:rsidRPr="00D41049">
        <w:rPr>
          <w:rFonts w:asciiTheme="minorHAnsi" w:eastAsia="Batang" w:hAnsiTheme="minorHAnsi" w:cs="Times New Roman"/>
          <w:sz w:val="22"/>
          <w:szCs w:val="22"/>
        </w:rPr>
        <w:t>being managed to implement</w:t>
      </w:r>
      <w:r w:rsidR="00673291" w:rsidRPr="00D41049">
        <w:rPr>
          <w:rFonts w:asciiTheme="minorHAnsi" w:eastAsia="Batang" w:hAnsiTheme="minorHAnsi" w:cs="Times New Roman"/>
          <w:sz w:val="22"/>
          <w:szCs w:val="22"/>
        </w:rPr>
        <w:t xml:space="preserve"> the Work Plan and priorities established by Contracting Parties</w:t>
      </w:r>
      <w:r w:rsidR="00F14404" w:rsidRPr="00D41049">
        <w:rPr>
          <w:rFonts w:asciiTheme="minorHAnsi" w:eastAsia="Batang" w:hAnsiTheme="minorHAnsi" w:cs="Times New Roman"/>
          <w:sz w:val="22"/>
          <w:szCs w:val="22"/>
        </w:rPr>
        <w:t>.</w:t>
      </w:r>
    </w:p>
    <w:p w:rsidR="0004295A" w:rsidRPr="00D41049" w:rsidRDefault="0004295A" w:rsidP="0004295A">
      <w:pPr>
        <w:pStyle w:val="MGfulltext"/>
        <w:spacing w:after="0"/>
        <w:rPr>
          <w:rFonts w:asciiTheme="minorHAnsi" w:eastAsia="Batang" w:hAnsiTheme="minorHAnsi" w:cs="Times New Roman"/>
          <w:sz w:val="22"/>
          <w:szCs w:val="22"/>
        </w:rPr>
      </w:pPr>
    </w:p>
    <w:p w:rsidR="001936D6" w:rsidRDefault="001936D6" w:rsidP="0004295A">
      <w:pPr>
        <w:pStyle w:val="MGfulltext"/>
        <w:spacing w:after="0"/>
        <w:rPr>
          <w:rFonts w:asciiTheme="minorHAnsi" w:eastAsia="Batang" w:hAnsiTheme="minorHAnsi" w:cs="Times New Roman"/>
          <w:sz w:val="22"/>
          <w:szCs w:val="22"/>
        </w:rPr>
      </w:pPr>
      <w:r w:rsidRPr="00D41049">
        <w:rPr>
          <w:rFonts w:asciiTheme="minorHAnsi" w:eastAsia="Batang" w:hAnsiTheme="minorHAnsi" w:cs="Times New Roman"/>
          <w:sz w:val="22"/>
          <w:szCs w:val="22"/>
        </w:rPr>
        <w:t xml:space="preserve">Table 1 reflects how the current </w:t>
      </w:r>
      <w:r w:rsidR="00786D6D" w:rsidRPr="00D41049">
        <w:rPr>
          <w:rFonts w:asciiTheme="minorHAnsi" w:eastAsia="Batang" w:hAnsiTheme="minorHAnsi" w:cs="Times New Roman"/>
          <w:sz w:val="22"/>
          <w:szCs w:val="22"/>
        </w:rPr>
        <w:t xml:space="preserve">core-funded </w:t>
      </w:r>
      <w:r w:rsidRPr="00D41049">
        <w:rPr>
          <w:rFonts w:asciiTheme="minorHAnsi" w:eastAsia="Batang" w:hAnsiTheme="minorHAnsi" w:cs="Times New Roman"/>
          <w:sz w:val="22"/>
          <w:szCs w:val="22"/>
        </w:rPr>
        <w:t>positions</w:t>
      </w:r>
      <w:r w:rsidR="00CA1CBE" w:rsidRPr="00D41049">
        <w:rPr>
          <w:rFonts w:asciiTheme="minorHAnsi" w:eastAsia="Batang" w:hAnsiTheme="minorHAnsi" w:cs="Times New Roman"/>
          <w:sz w:val="22"/>
          <w:szCs w:val="22"/>
        </w:rPr>
        <w:t xml:space="preserve"> are budgeted</w:t>
      </w:r>
      <w:r w:rsidR="004F20C4" w:rsidRPr="00D41049">
        <w:rPr>
          <w:rFonts w:asciiTheme="minorHAnsi" w:eastAsia="Batang" w:hAnsiTheme="minorHAnsi" w:cs="Times New Roman"/>
          <w:sz w:val="22"/>
          <w:szCs w:val="22"/>
        </w:rPr>
        <w:t xml:space="preserve"> in the proposed scenarios</w:t>
      </w:r>
      <w:r w:rsidR="00CA1CBE" w:rsidRPr="00D41049">
        <w:rPr>
          <w:rFonts w:asciiTheme="minorHAnsi" w:eastAsia="Batang" w:hAnsiTheme="minorHAnsi" w:cs="Times New Roman"/>
          <w:sz w:val="22"/>
          <w:szCs w:val="22"/>
        </w:rPr>
        <w:t>, making explicit the allocation of salaries and benefits to the different budget lines.</w:t>
      </w:r>
      <w:r w:rsidR="00786D6D">
        <w:rPr>
          <w:rFonts w:asciiTheme="minorHAnsi" w:eastAsia="Batang" w:hAnsiTheme="minorHAnsi" w:cs="Times New Roman"/>
          <w:sz w:val="22"/>
          <w:szCs w:val="22"/>
        </w:rPr>
        <w:t xml:space="preserve"> </w:t>
      </w:r>
    </w:p>
    <w:p w:rsidR="00AD65E1" w:rsidRDefault="00AD65E1" w:rsidP="00AD65E1">
      <w:pPr>
        <w:pStyle w:val="MGfulltext"/>
        <w:tabs>
          <w:tab w:val="left" w:pos="1190"/>
        </w:tabs>
        <w:spacing w:after="0"/>
        <w:rPr>
          <w:rFonts w:asciiTheme="minorHAnsi" w:eastAsia="Batang" w:hAnsiTheme="minorHAnsi" w:cs="Times New Roman"/>
          <w:sz w:val="22"/>
          <w:szCs w:val="22"/>
        </w:rPr>
      </w:pPr>
      <w:r>
        <w:rPr>
          <w:rFonts w:asciiTheme="minorHAnsi" w:eastAsia="Batang" w:hAnsiTheme="minorHAnsi" w:cs="Times New Roman"/>
          <w:sz w:val="22"/>
          <w:szCs w:val="22"/>
        </w:rPr>
        <w:tab/>
      </w:r>
    </w:p>
    <w:p w:rsidR="00AD65E1" w:rsidRDefault="00AD65E1">
      <w:pPr>
        <w:rPr>
          <w:rFonts w:asciiTheme="minorHAnsi" w:eastAsia="Times New Roman" w:hAnsiTheme="minorHAnsi" w:cs="Arial"/>
          <w:bCs/>
          <w:i/>
          <w:lang w:val="en-US" w:eastAsia="en-GB"/>
        </w:rPr>
      </w:pPr>
      <w:r>
        <w:rPr>
          <w:rFonts w:asciiTheme="minorHAnsi" w:hAnsiTheme="minorHAnsi"/>
          <w:bCs/>
          <w:i/>
          <w:lang w:eastAsia="en-GB"/>
        </w:rPr>
        <w:br w:type="page"/>
      </w:r>
    </w:p>
    <w:p w:rsidR="00AD65E1" w:rsidRPr="00AD65E1" w:rsidRDefault="00AD65E1" w:rsidP="00AD65E1">
      <w:pPr>
        <w:pStyle w:val="MGfulltext"/>
        <w:tabs>
          <w:tab w:val="left" w:pos="1190"/>
        </w:tabs>
        <w:spacing w:after="0"/>
        <w:rPr>
          <w:rFonts w:asciiTheme="minorHAnsi" w:eastAsia="Batang" w:hAnsiTheme="minorHAnsi" w:cs="Times New Roman"/>
          <w:i/>
          <w:sz w:val="22"/>
          <w:szCs w:val="22"/>
        </w:rPr>
      </w:pPr>
      <w:r w:rsidRPr="00AD65E1">
        <w:rPr>
          <w:rFonts w:asciiTheme="minorHAnsi" w:hAnsiTheme="minorHAnsi"/>
          <w:bCs/>
          <w:i/>
          <w:sz w:val="22"/>
          <w:szCs w:val="22"/>
          <w:lang w:eastAsia="en-GB"/>
        </w:rPr>
        <w:lastRenderedPageBreak/>
        <w:t>Table 1: Current Staffing Table (scenario (A))</w:t>
      </w:r>
    </w:p>
    <w:tbl>
      <w:tblPr>
        <w:tblW w:w="6855" w:type="dxa"/>
        <w:tblInd w:w="93" w:type="dxa"/>
        <w:tblLook w:val="04A0" w:firstRow="1" w:lastRow="0" w:firstColumn="1" w:lastColumn="0" w:noHBand="0" w:noVBand="1"/>
      </w:tblPr>
      <w:tblGrid>
        <w:gridCol w:w="3493"/>
        <w:gridCol w:w="3362"/>
      </w:tblGrid>
      <w:tr w:rsidR="00AD65E1" w:rsidRPr="00AD65E1" w:rsidTr="00AD65E1">
        <w:trPr>
          <w:trHeight w:val="264"/>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Secretariat Senior Management</w:t>
            </w:r>
          </w:p>
        </w:tc>
        <w:tc>
          <w:tcPr>
            <w:tcW w:w="3362" w:type="dxa"/>
            <w:tcBorders>
              <w:top w:val="single" w:sz="4" w:space="0" w:color="auto"/>
              <w:left w:val="nil"/>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1 S, 1 M2, 1 P2, 2 A3</w:t>
            </w:r>
          </w:p>
        </w:tc>
      </w:tr>
      <w:tr w:rsidR="00AD65E1" w:rsidRPr="00AD65E1"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Resource Mobilization and Outreach</w:t>
            </w:r>
          </w:p>
        </w:tc>
        <w:tc>
          <w:tcPr>
            <w:tcW w:w="3362" w:type="dxa"/>
            <w:tcBorders>
              <w:top w:val="nil"/>
              <w:left w:val="nil"/>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1 M1, 1 P1, 1 A3</w:t>
            </w:r>
          </w:p>
        </w:tc>
      </w:tr>
      <w:tr w:rsidR="00AD65E1" w:rsidRPr="00AD65E1"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Regional Advice and Support</w:t>
            </w:r>
          </w:p>
        </w:tc>
        <w:tc>
          <w:tcPr>
            <w:tcW w:w="3362" w:type="dxa"/>
            <w:tcBorders>
              <w:top w:val="nil"/>
              <w:left w:val="nil"/>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4 M1, 2 P1, 4 interns</w:t>
            </w:r>
          </w:p>
        </w:tc>
      </w:tr>
      <w:tr w:rsidR="00AD65E1" w:rsidRPr="00AD65E1"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Science and Policy</w:t>
            </w:r>
          </w:p>
        </w:tc>
        <w:tc>
          <w:tcPr>
            <w:tcW w:w="3362" w:type="dxa"/>
            <w:tcBorders>
              <w:top w:val="nil"/>
              <w:left w:val="nil"/>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1 M1, 2 P1, 1 A3</w:t>
            </w:r>
          </w:p>
        </w:tc>
      </w:tr>
      <w:tr w:rsidR="00AD65E1" w:rsidRPr="00AD65E1"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Administration</w:t>
            </w:r>
          </w:p>
        </w:tc>
        <w:tc>
          <w:tcPr>
            <w:tcW w:w="3362" w:type="dxa"/>
            <w:tcBorders>
              <w:top w:val="nil"/>
              <w:left w:val="nil"/>
              <w:bottom w:val="single" w:sz="4" w:space="0" w:color="auto"/>
              <w:right w:val="single" w:sz="4" w:space="0" w:color="auto"/>
            </w:tcBorders>
            <w:shd w:val="clear" w:color="auto" w:fill="auto"/>
            <w:noWrap/>
            <w:vAlign w:val="bottom"/>
            <w:hideMark/>
          </w:tcPr>
          <w:p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1 P2, 1 P1 (50%)</w:t>
            </w:r>
          </w:p>
        </w:tc>
      </w:tr>
      <w:tr w:rsidR="00AD65E1" w:rsidRPr="00AD65E1" w:rsidTr="00AD65E1">
        <w:trPr>
          <w:trHeight w:val="264"/>
        </w:trPr>
        <w:tc>
          <w:tcPr>
            <w:tcW w:w="34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D65E1" w:rsidRPr="00AD65E1" w:rsidRDefault="00AD65E1"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Total</w:t>
            </w:r>
          </w:p>
        </w:tc>
        <w:tc>
          <w:tcPr>
            <w:tcW w:w="3362" w:type="dxa"/>
            <w:tcBorders>
              <w:top w:val="single" w:sz="4" w:space="0" w:color="auto"/>
              <w:left w:val="nil"/>
              <w:bottom w:val="single" w:sz="4" w:space="0" w:color="auto"/>
              <w:right w:val="single" w:sz="4" w:space="0" w:color="auto"/>
            </w:tcBorders>
            <w:shd w:val="clear" w:color="000000" w:fill="BFBFBF"/>
            <w:noWrap/>
            <w:vAlign w:val="bottom"/>
            <w:hideMark/>
          </w:tcPr>
          <w:p w:rsidR="00AD65E1" w:rsidRPr="00AD65E1" w:rsidRDefault="00AD65E1"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24 staff</w:t>
            </w:r>
          </w:p>
        </w:tc>
      </w:tr>
    </w:tbl>
    <w:p w:rsidR="00AD65E1" w:rsidRPr="00AD65E1" w:rsidRDefault="00AD65E1" w:rsidP="00AD65E1">
      <w:pPr>
        <w:pStyle w:val="MGfulltext"/>
        <w:spacing w:after="0"/>
        <w:ind w:left="567" w:hanging="567"/>
        <w:rPr>
          <w:rFonts w:asciiTheme="minorHAnsi" w:eastAsia="Batang" w:hAnsiTheme="minorHAnsi" w:cs="Times New Roman"/>
          <w:b/>
          <w:sz w:val="22"/>
          <w:szCs w:val="22"/>
        </w:rPr>
      </w:pPr>
      <w:r w:rsidRPr="00AD65E1">
        <w:rPr>
          <w:rFonts w:asciiTheme="minorHAnsi" w:hAnsiTheme="minorHAnsi"/>
          <w:sz w:val="22"/>
          <w:szCs w:val="22"/>
          <w:lang w:eastAsia="en-GB"/>
        </w:rPr>
        <w:t>Note: Levels as per IUCN HR policy and guidelines on position classification.</w:t>
      </w:r>
    </w:p>
    <w:p w:rsidR="00AD65E1" w:rsidRPr="00AD65E1" w:rsidRDefault="00AD65E1" w:rsidP="00AD65E1">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 = Secretary General; M1-M2 = management positions;</w:t>
      </w:r>
      <w:r>
        <w:rPr>
          <w:rFonts w:asciiTheme="minorHAnsi" w:eastAsia="Times New Roman" w:hAnsiTheme="minorHAnsi" w:cs="Arial"/>
          <w:lang w:eastAsia="en-GB"/>
        </w:rPr>
        <w:t xml:space="preserve"> </w:t>
      </w:r>
      <w:r w:rsidRPr="00AD65E1">
        <w:rPr>
          <w:rFonts w:asciiTheme="minorHAnsi" w:eastAsia="Times New Roman" w:hAnsiTheme="minorHAnsi" w:cs="Arial"/>
          <w:lang w:eastAsia="en-GB"/>
        </w:rPr>
        <w:t>P1-P2 = professional positions; A1-A3 = administrative support positions</w:t>
      </w:r>
    </w:p>
    <w:p w:rsidR="00AD65E1" w:rsidRPr="00AD65E1" w:rsidRDefault="00AD65E1" w:rsidP="004A01E5">
      <w:pPr>
        <w:tabs>
          <w:tab w:val="left" w:pos="3586"/>
        </w:tabs>
        <w:ind w:left="93" w:firstLine="0"/>
        <w:rPr>
          <w:rFonts w:asciiTheme="minorHAnsi" w:eastAsia="Times New Roman" w:hAnsiTheme="minorHAnsi" w:cs="Arial"/>
          <w:lang w:eastAsia="en-GB"/>
        </w:rPr>
      </w:pPr>
      <w:r w:rsidRPr="00AD65E1">
        <w:rPr>
          <w:rFonts w:asciiTheme="minorHAnsi" w:eastAsia="Times New Roman" w:hAnsiTheme="minorHAnsi" w:cs="Arial"/>
          <w:lang w:eastAsia="en-GB"/>
        </w:rPr>
        <w:tab/>
      </w:r>
    </w:p>
    <w:p w:rsidR="00AD65E1" w:rsidRDefault="00AD65E1" w:rsidP="00B32E40">
      <w:pPr>
        <w:pStyle w:val="MGfulltext"/>
        <w:spacing w:after="0"/>
        <w:ind w:left="567" w:hanging="567"/>
        <w:rPr>
          <w:rFonts w:asciiTheme="minorHAnsi" w:eastAsia="Batang" w:hAnsiTheme="minorHAnsi" w:cs="Times New Roman"/>
          <w:b/>
          <w:sz w:val="22"/>
          <w:szCs w:val="22"/>
        </w:rPr>
      </w:pPr>
    </w:p>
    <w:p w:rsidR="00B32E40" w:rsidRPr="00FB1011" w:rsidRDefault="00B32E40" w:rsidP="00B32E40">
      <w:pPr>
        <w:pStyle w:val="MGfulltext"/>
        <w:spacing w:after="0"/>
        <w:ind w:left="567" w:hanging="567"/>
        <w:rPr>
          <w:rFonts w:asciiTheme="minorHAnsi" w:eastAsia="Batang" w:hAnsiTheme="minorHAnsi" w:cs="Times New Roman"/>
          <w:b/>
          <w:sz w:val="22"/>
          <w:szCs w:val="22"/>
        </w:rPr>
      </w:pPr>
      <w:r w:rsidRPr="007236B4">
        <w:rPr>
          <w:rFonts w:asciiTheme="minorHAnsi" w:eastAsia="Batang" w:hAnsiTheme="minorHAnsi" w:cs="Times New Roman"/>
          <w:b/>
          <w:sz w:val="22"/>
          <w:szCs w:val="22"/>
        </w:rPr>
        <w:t>Non-core</w:t>
      </w:r>
      <w:r w:rsidR="00E631A8" w:rsidRPr="007236B4">
        <w:rPr>
          <w:rFonts w:asciiTheme="minorHAnsi" w:eastAsia="Batang" w:hAnsiTheme="minorHAnsi" w:cs="Times New Roman"/>
          <w:b/>
          <w:sz w:val="22"/>
          <w:szCs w:val="22"/>
        </w:rPr>
        <w:t xml:space="preserve"> funds to be raised</w:t>
      </w:r>
      <w:r w:rsidR="00E631A8" w:rsidRPr="00E631A8">
        <w:rPr>
          <w:rFonts w:asciiTheme="minorHAnsi" w:eastAsia="Batang" w:hAnsiTheme="minorHAnsi" w:cs="Times New Roman"/>
          <w:b/>
          <w:sz w:val="22"/>
          <w:szCs w:val="22"/>
        </w:rPr>
        <w:t xml:space="preserve"> </w:t>
      </w:r>
    </w:p>
    <w:p w:rsidR="00B32E40" w:rsidRDefault="00B32E40" w:rsidP="00B32E40">
      <w:pPr>
        <w:pStyle w:val="MGfulltext"/>
        <w:spacing w:after="0"/>
        <w:rPr>
          <w:rFonts w:asciiTheme="minorHAnsi" w:eastAsia="Batang" w:hAnsiTheme="minorHAnsi" w:cs="Times New Roman"/>
          <w:sz w:val="22"/>
          <w:szCs w:val="22"/>
        </w:rPr>
      </w:pPr>
    </w:p>
    <w:p w:rsidR="007A653C"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8.</w:t>
      </w:r>
      <w:r>
        <w:rPr>
          <w:rFonts w:asciiTheme="minorHAnsi" w:eastAsia="Batang" w:hAnsiTheme="minorHAnsi" w:cs="Times New Roman"/>
          <w:sz w:val="22"/>
          <w:szCs w:val="22"/>
        </w:rPr>
        <w:tab/>
      </w:r>
      <w:r w:rsidR="007236B4" w:rsidRPr="00951D88">
        <w:rPr>
          <w:rFonts w:asciiTheme="minorHAnsi" w:eastAsia="Batang" w:hAnsiTheme="minorHAnsi" w:cs="Times New Roman"/>
          <w:sz w:val="22"/>
          <w:szCs w:val="22"/>
        </w:rPr>
        <w:t xml:space="preserve">In addition to the core budget, non-core funding priorities </w:t>
      </w:r>
      <w:r w:rsidR="007A653C" w:rsidRPr="00951D88">
        <w:rPr>
          <w:rFonts w:asciiTheme="minorHAnsi" w:eastAsia="Batang" w:hAnsiTheme="minorHAnsi" w:cs="Times New Roman"/>
          <w:sz w:val="22"/>
          <w:szCs w:val="22"/>
        </w:rPr>
        <w:t>for the Secretariat are decided by the Conference of the Parties. These include core areas of the Secretariat’s work and priorities identified in the Resolutions adopted by the Conference of the Parties.</w:t>
      </w:r>
    </w:p>
    <w:p w:rsidR="00B32E40" w:rsidRPr="00FB1011" w:rsidRDefault="00B32E40" w:rsidP="00B32E40">
      <w:pPr>
        <w:pStyle w:val="ListParagraph"/>
        <w:ind w:left="567"/>
        <w:rPr>
          <w:rFonts w:asciiTheme="minorHAnsi" w:hAnsiTheme="minorHAnsi"/>
        </w:rPr>
      </w:pPr>
    </w:p>
    <w:p w:rsidR="00B32E40" w:rsidRPr="00FB1011" w:rsidRDefault="00B32E40" w:rsidP="00B32E40">
      <w:pPr>
        <w:ind w:left="540" w:hanging="540"/>
        <w:rPr>
          <w:rFonts w:asciiTheme="minorHAnsi" w:hAnsiTheme="minorHAnsi"/>
          <w:b/>
        </w:rPr>
      </w:pPr>
      <w:r w:rsidRPr="00FB1011">
        <w:rPr>
          <w:rFonts w:asciiTheme="minorHAnsi" w:hAnsiTheme="minorHAnsi"/>
          <w:b/>
        </w:rPr>
        <w:t xml:space="preserve">Draft </w:t>
      </w:r>
      <w:r w:rsidR="009F1E3B">
        <w:rPr>
          <w:rFonts w:asciiTheme="minorHAnsi" w:hAnsiTheme="minorHAnsi"/>
          <w:b/>
        </w:rPr>
        <w:t>r</w:t>
      </w:r>
      <w:r w:rsidRPr="00FB1011">
        <w:rPr>
          <w:rFonts w:asciiTheme="minorHAnsi" w:hAnsiTheme="minorHAnsi"/>
          <w:b/>
        </w:rPr>
        <w:t>esolution on financial and budgetary matters</w:t>
      </w:r>
    </w:p>
    <w:p w:rsidR="00B32E40" w:rsidRPr="00FB1011" w:rsidRDefault="00B32E40" w:rsidP="00B32E40">
      <w:pPr>
        <w:rPr>
          <w:rFonts w:asciiTheme="minorHAnsi" w:hAnsiTheme="minorHAnsi"/>
          <w:b/>
        </w:rPr>
      </w:pPr>
    </w:p>
    <w:p w:rsidR="00B32E40"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9.</w:t>
      </w:r>
      <w:r>
        <w:rPr>
          <w:rFonts w:asciiTheme="minorHAnsi" w:eastAsia="Batang" w:hAnsiTheme="minorHAnsi" w:cs="Times New Roman"/>
          <w:sz w:val="22"/>
          <w:szCs w:val="22"/>
        </w:rPr>
        <w:tab/>
      </w:r>
      <w:r w:rsidR="00B32E40" w:rsidRPr="00951D88">
        <w:rPr>
          <w:rFonts w:asciiTheme="minorHAnsi" w:eastAsia="Batang" w:hAnsiTheme="minorHAnsi" w:cs="Times New Roman"/>
          <w:sz w:val="22"/>
          <w:szCs w:val="22"/>
        </w:rPr>
        <w:t xml:space="preserve">The </w:t>
      </w:r>
      <w:r w:rsidR="009F1E3B" w:rsidRPr="00951D88">
        <w:rPr>
          <w:rFonts w:asciiTheme="minorHAnsi" w:eastAsia="Batang" w:hAnsiTheme="minorHAnsi" w:cs="Times New Roman"/>
          <w:sz w:val="22"/>
          <w:szCs w:val="22"/>
        </w:rPr>
        <w:t>d</w:t>
      </w:r>
      <w:r w:rsidR="00B32E40" w:rsidRPr="00951D88">
        <w:rPr>
          <w:rFonts w:asciiTheme="minorHAnsi" w:eastAsia="Batang" w:hAnsiTheme="minorHAnsi" w:cs="Times New Roman"/>
          <w:sz w:val="22"/>
          <w:szCs w:val="22"/>
        </w:rPr>
        <w:t xml:space="preserve">raft </w:t>
      </w:r>
      <w:r w:rsidR="009F1E3B" w:rsidRPr="00951D88">
        <w:rPr>
          <w:rFonts w:asciiTheme="minorHAnsi" w:eastAsia="Batang" w:hAnsiTheme="minorHAnsi" w:cs="Times New Roman"/>
          <w:sz w:val="22"/>
          <w:szCs w:val="22"/>
        </w:rPr>
        <w:t>r</w:t>
      </w:r>
      <w:r w:rsidR="00B32E40" w:rsidRPr="00951D88">
        <w:rPr>
          <w:rFonts w:asciiTheme="minorHAnsi" w:eastAsia="Batang" w:hAnsiTheme="minorHAnsi" w:cs="Times New Roman"/>
          <w:sz w:val="22"/>
          <w:szCs w:val="22"/>
        </w:rPr>
        <w:t>esolution for COP1</w:t>
      </w:r>
      <w:r w:rsidR="008C6E9B" w:rsidRPr="00951D88">
        <w:rPr>
          <w:rFonts w:asciiTheme="minorHAnsi" w:eastAsia="Batang" w:hAnsiTheme="minorHAnsi" w:cs="Times New Roman"/>
          <w:sz w:val="22"/>
          <w:szCs w:val="22"/>
        </w:rPr>
        <w:t>3</w:t>
      </w:r>
      <w:r w:rsidR="00B32E40" w:rsidRPr="00951D88">
        <w:rPr>
          <w:rFonts w:asciiTheme="minorHAnsi" w:eastAsia="Batang" w:hAnsiTheme="minorHAnsi" w:cs="Times New Roman"/>
          <w:sz w:val="22"/>
          <w:szCs w:val="22"/>
        </w:rPr>
        <w:t xml:space="preserve"> on financial and budgetary matters is </w:t>
      </w:r>
      <w:r w:rsidR="009F1E3B" w:rsidRPr="00951D88">
        <w:rPr>
          <w:rFonts w:asciiTheme="minorHAnsi" w:eastAsia="Batang" w:hAnsiTheme="minorHAnsi" w:cs="Times New Roman"/>
          <w:sz w:val="22"/>
          <w:szCs w:val="22"/>
        </w:rPr>
        <w:t>annexed to the present document</w:t>
      </w:r>
      <w:r w:rsidR="0079408E" w:rsidRPr="00951D88">
        <w:rPr>
          <w:rFonts w:asciiTheme="minorHAnsi" w:eastAsia="Batang" w:hAnsiTheme="minorHAnsi" w:cs="Times New Roman"/>
          <w:sz w:val="22"/>
          <w:szCs w:val="22"/>
        </w:rPr>
        <w:t>.</w:t>
      </w:r>
      <w:r w:rsidR="00B32E40" w:rsidRPr="00951D88">
        <w:rPr>
          <w:rFonts w:asciiTheme="minorHAnsi" w:eastAsia="Batang" w:hAnsiTheme="minorHAnsi" w:cs="Times New Roman"/>
          <w:sz w:val="22"/>
          <w:szCs w:val="22"/>
        </w:rPr>
        <w:t xml:space="preserve"> </w:t>
      </w:r>
    </w:p>
    <w:p w:rsidR="00B32E40" w:rsidRPr="00AD65E1" w:rsidRDefault="00B32E40" w:rsidP="00B32E40">
      <w:pPr>
        <w:ind w:left="540" w:hanging="540"/>
        <w:rPr>
          <w:rFonts w:asciiTheme="minorHAnsi" w:hAnsiTheme="minorHAnsi"/>
          <w:b/>
          <w:sz w:val="24"/>
          <w:szCs w:val="24"/>
        </w:rPr>
      </w:pPr>
      <w:r w:rsidRPr="00A43C3B">
        <w:rPr>
          <w:rFonts w:asciiTheme="minorHAnsi" w:eastAsia="Times New Roman" w:hAnsiTheme="minorHAnsi"/>
        </w:rPr>
        <w:br w:type="page"/>
      </w:r>
      <w:bookmarkStart w:id="0" w:name="OLE_LINK3"/>
      <w:r w:rsidRPr="00AD65E1">
        <w:rPr>
          <w:rFonts w:asciiTheme="minorHAnsi" w:hAnsiTheme="minorHAnsi"/>
          <w:b/>
          <w:sz w:val="24"/>
          <w:szCs w:val="24"/>
        </w:rPr>
        <w:lastRenderedPageBreak/>
        <w:t>Draft Resolution 1</w:t>
      </w:r>
      <w:r w:rsidR="008C6E9B" w:rsidRPr="00AD65E1">
        <w:rPr>
          <w:rFonts w:asciiTheme="minorHAnsi" w:hAnsiTheme="minorHAnsi"/>
          <w:b/>
          <w:sz w:val="24"/>
          <w:szCs w:val="24"/>
        </w:rPr>
        <w:t>3</w:t>
      </w:r>
      <w:r w:rsidRPr="00AD65E1">
        <w:rPr>
          <w:rFonts w:asciiTheme="minorHAnsi" w:hAnsiTheme="minorHAnsi"/>
          <w:b/>
          <w:sz w:val="24"/>
          <w:szCs w:val="24"/>
        </w:rPr>
        <w:t>.xx</w:t>
      </w:r>
    </w:p>
    <w:bookmarkEnd w:id="0"/>
    <w:p w:rsidR="00B32E40" w:rsidRPr="00AD65E1" w:rsidRDefault="00B32E40" w:rsidP="00B32E40">
      <w:pPr>
        <w:jc w:val="center"/>
        <w:rPr>
          <w:rFonts w:asciiTheme="minorHAnsi" w:hAnsiTheme="minorHAnsi"/>
          <w:b/>
          <w:sz w:val="24"/>
          <w:szCs w:val="24"/>
        </w:rPr>
      </w:pPr>
    </w:p>
    <w:p w:rsidR="00B32E40" w:rsidRPr="00AD65E1" w:rsidRDefault="00B32E40" w:rsidP="00AD65E1">
      <w:pPr>
        <w:jc w:val="center"/>
        <w:rPr>
          <w:rFonts w:asciiTheme="minorHAnsi" w:hAnsiTheme="minorHAnsi"/>
          <w:b/>
          <w:sz w:val="24"/>
          <w:szCs w:val="24"/>
        </w:rPr>
      </w:pPr>
      <w:r w:rsidRPr="00AD65E1">
        <w:rPr>
          <w:rFonts w:asciiTheme="minorHAnsi" w:hAnsiTheme="minorHAnsi"/>
          <w:b/>
          <w:sz w:val="24"/>
          <w:szCs w:val="24"/>
        </w:rPr>
        <w:t>Financial and budgetary matters</w:t>
      </w:r>
    </w:p>
    <w:p w:rsidR="00B32E40" w:rsidRPr="00A43C3B" w:rsidRDefault="00B32E40" w:rsidP="00B32E40">
      <w:pPr>
        <w:rPr>
          <w:rFonts w:asciiTheme="minorHAnsi" w:hAnsiTheme="minorHAnsi"/>
          <w:b/>
        </w:rPr>
      </w:pPr>
    </w:p>
    <w:p w:rsidR="00B32E40" w:rsidRPr="00AD65E1" w:rsidRDefault="00AD65E1" w:rsidP="00AD65E1">
      <w:pPr>
        <w:rPr>
          <w:rFonts w:asciiTheme="minorHAnsi" w:hAnsiTheme="minorHAnsi"/>
        </w:rPr>
      </w:pPr>
      <w:r>
        <w:rPr>
          <w:rFonts w:asciiTheme="minorHAnsi" w:hAnsiTheme="minorHAnsi"/>
        </w:rPr>
        <w:t>1.</w:t>
      </w:r>
      <w:r>
        <w:rPr>
          <w:rFonts w:asciiTheme="minorHAnsi" w:hAnsiTheme="minorHAnsi"/>
        </w:rPr>
        <w:tab/>
      </w:r>
      <w:r w:rsidR="00B32E40" w:rsidRPr="00AD65E1">
        <w:rPr>
          <w:rFonts w:asciiTheme="minorHAnsi" w:hAnsiTheme="minorHAnsi"/>
        </w:rPr>
        <w:t>RECALLING the budgetary provisions established by paragraphs 5 and 6 of Article 6 of the Convention on Wetlands;</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2.</w:t>
      </w:r>
      <w:r>
        <w:rPr>
          <w:rFonts w:asciiTheme="minorHAnsi" w:hAnsiTheme="minorHAnsi"/>
        </w:rPr>
        <w:tab/>
      </w:r>
      <w:r w:rsidR="00B32E40" w:rsidRPr="00AD65E1">
        <w:rPr>
          <w:rFonts w:asciiTheme="minorHAnsi" w:hAnsiTheme="minorHAnsi"/>
        </w:rPr>
        <w:t>ACKNOWLEDGING WITH APPRECIATION the prompt payment by the majority of Contracting Parties of their contributions to the core budget of the Convention, but NOTING WITH CONCERN that a number of Parties are significantly in arrears (</w:t>
      </w:r>
      <w:r w:rsidR="00B32E40" w:rsidRPr="00AD65E1">
        <w:rPr>
          <w:rFonts w:asciiTheme="minorHAnsi" w:hAnsiTheme="minorHAnsi"/>
          <w:highlight w:val="lightGray"/>
        </w:rPr>
        <w:t>COP1</w:t>
      </w:r>
      <w:r w:rsidR="008C6E9B" w:rsidRPr="00AD65E1">
        <w:rPr>
          <w:rFonts w:asciiTheme="minorHAnsi" w:hAnsiTheme="minorHAnsi"/>
          <w:highlight w:val="lightGray"/>
        </w:rPr>
        <w:t>3</w:t>
      </w:r>
      <w:r w:rsidR="00B32E40" w:rsidRPr="00AD65E1">
        <w:rPr>
          <w:rFonts w:asciiTheme="minorHAnsi" w:hAnsiTheme="minorHAnsi"/>
          <w:highlight w:val="lightGray"/>
        </w:rPr>
        <w:t xml:space="preserve"> DOC.xx</w:t>
      </w:r>
      <w:r w:rsidR="00B32E40" w:rsidRPr="00AD65E1">
        <w:rPr>
          <w:rFonts w:asciiTheme="minorHAnsi" w:hAnsiTheme="minorHAnsi"/>
        </w:rPr>
        <w:t xml:space="preserve">); </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3.</w:t>
      </w:r>
      <w:r>
        <w:rPr>
          <w:rFonts w:asciiTheme="minorHAnsi" w:hAnsiTheme="minorHAnsi"/>
        </w:rPr>
        <w:tab/>
      </w:r>
      <w:r w:rsidR="00B32E40" w:rsidRPr="00AD65E1">
        <w:rPr>
          <w:rFonts w:asciiTheme="minorHAnsi" w:hAnsiTheme="minorHAnsi"/>
        </w:rPr>
        <w:t xml:space="preserve">NOTING WITH GRATITUDE the additional voluntary financial contributions made by many Contracting Parties through their Ramsar Administrative Authorities and other agencies, including some development assistance agencies, and also the contributions made by non-governmental organizations and private companies for activities undertaken by the Secretariat, but NOTING WITH CONCERN the continuing decline in such voluntary contributions; </w:t>
      </w:r>
    </w:p>
    <w:p w:rsidR="00B32E40" w:rsidRPr="00FB1011" w:rsidRDefault="00B32E40" w:rsidP="00AD65E1">
      <w:pPr>
        <w:rPr>
          <w:rFonts w:asciiTheme="minorHAnsi" w:hAnsiTheme="minorHAnsi"/>
        </w:rPr>
      </w:pPr>
    </w:p>
    <w:p w:rsidR="003A5809" w:rsidRPr="00AD65E1" w:rsidRDefault="00AD65E1" w:rsidP="00AD65E1">
      <w:pPr>
        <w:rPr>
          <w:rFonts w:asciiTheme="minorHAnsi" w:hAnsiTheme="minorHAnsi"/>
        </w:rPr>
      </w:pPr>
      <w:r>
        <w:rPr>
          <w:rFonts w:asciiTheme="minorHAnsi" w:hAnsiTheme="minorHAnsi"/>
        </w:rPr>
        <w:t>4.</w:t>
      </w:r>
      <w:r>
        <w:rPr>
          <w:rFonts w:asciiTheme="minorHAnsi" w:hAnsiTheme="minorHAnsi"/>
        </w:rPr>
        <w:tab/>
      </w:r>
      <w:r w:rsidR="00B32E40" w:rsidRPr="00AD65E1">
        <w:rPr>
          <w:rFonts w:asciiTheme="minorHAnsi" w:hAnsiTheme="minorHAnsi"/>
        </w:rPr>
        <w:t>ACKNOWLEDGING WITH APPRECIATION the financial and administrative services provided to the Secretariat by IUCN, underpinned by the Services Agreement between Ramsar and IUCN</w:t>
      </w:r>
      <w:r w:rsidR="00F56BB7" w:rsidRPr="00AD65E1">
        <w:rPr>
          <w:rFonts w:asciiTheme="minorHAnsi" w:hAnsiTheme="minorHAnsi"/>
        </w:rPr>
        <w:t>,</w:t>
      </w:r>
      <w:r w:rsidR="00B32E40" w:rsidRPr="00AD65E1">
        <w:rPr>
          <w:rFonts w:asciiTheme="minorHAnsi" w:hAnsiTheme="minorHAnsi"/>
        </w:rPr>
        <w:t xml:space="preserve"> revised in 2009;</w:t>
      </w:r>
    </w:p>
    <w:p w:rsidR="003A5809" w:rsidRPr="008B313D" w:rsidRDefault="003A5809" w:rsidP="00AD65E1">
      <w:pPr>
        <w:pStyle w:val="ListParagraph"/>
        <w:ind w:left="425"/>
        <w:rPr>
          <w:rFonts w:asciiTheme="minorHAnsi" w:hAnsiTheme="minorHAnsi"/>
        </w:rPr>
      </w:pPr>
    </w:p>
    <w:p w:rsidR="000A5278" w:rsidRPr="008B313D" w:rsidRDefault="00AD65E1" w:rsidP="00AD65E1">
      <w:pPr>
        <w:rPr>
          <w:rFonts w:asciiTheme="minorHAnsi" w:hAnsiTheme="minorHAnsi"/>
        </w:rPr>
      </w:pPr>
      <w:r>
        <w:rPr>
          <w:rFonts w:asciiTheme="minorHAnsi" w:hAnsiTheme="minorHAnsi"/>
        </w:rPr>
        <w:t>5.</w:t>
      </w:r>
      <w:r>
        <w:rPr>
          <w:rFonts w:asciiTheme="minorHAnsi" w:hAnsiTheme="minorHAnsi"/>
        </w:rPr>
        <w:tab/>
      </w:r>
      <w:r w:rsidR="000A5278" w:rsidRPr="008B313D">
        <w:rPr>
          <w:rFonts w:asciiTheme="minorHAnsi" w:hAnsiTheme="minorHAnsi"/>
        </w:rPr>
        <w:t xml:space="preserve">RECALLING the </w:t>
      </w:r>
      <w:r w:rsidR="003A5809" w:rsidRPr="008B313D">
        <w:rPr>
          <w:rFonts w:asciiTheme="minorHAnsi" w:hAnsiTheme="minorHAnsi"/>
        </w:rPr>
        <w:t xml:space="preserve">Delegation of Authority to the Secretary General of the Convention on Wetlands signed by the Director General of IUCN and the Chairman of the Standing Committee on 29 January 1993 and the </w:t>
      </w:r>
      <w:r w:rsidR="003A5809" w:rsidRPr="00F56BB7">
        <w:rPr>
          <w:rFonts w:asciiTheme="minorHAnsi" w:hAnsiTheme="minorHAnsi"/>
        </w:rPr>
        <w:t>Supplementary Note to Delegation of Authority signed on 29 January 1993</w:t>
      </w:r>
      <w:r w:rsidR="00F56BB7">
        <w:rPr>
          <w:rFonts w:asciiTheme="minorHAnsi" w:hAnsiTheme="minorHAnsi"/>
        </w:rPr>
        <w:t>;</w:t>
      </w:r>
    </w:p>
    <w:p w:rsidR="00B32E40" w:rsidRPr="00FB1011" w:rsidRDefault="00B32E40" w:rsidP="00AD65E1">
      <w:pPr>
        <w:rPr>
          <w:rFonts w:asciiTheme="minorHAnsi" w:hAnsiTheme="minorHAnsi"/>
        </w:rPr>
      </w:pPr>
    </w:p>
    <w:p w:rsidR="00B32E40" w:rsidRPr="00FB1011" w:rsidRDefault="00AD65E1" w:rsidP="00AD65E1">
      <w:pPr>
        <w:rPr>
          <w:rFonts w:asciiTheme="minorHAnsi" w:hAnsiTheme="minorHAnsi"/>
        </w:rPr>
      </w:pPr>
      <w:r>
        <w:rPr>
          <w:rFonts w:asciiTheme="minorHAnsi" w:hAnsiTheme="minorHAnsi"/>
        </w:rPr>
        <w:t>6.</w:t>
      </w:r>
      <w:r>
        <w:rPr>
          <w:rFonts w:asciiTheme="minorHAnsi" w:hAnsiTheme="minorHAnsi"/>
        </w:rPr>
        <w:tab/>
      </w:r>
      <w:r w:rsidR="00B32E40" w:rsidRPr="00FB1011">
        <w:rPr>
          <w:rFonts w:asciiTheme="minorHAnsi" w:hAnsiTheme="minorHAnsi"/>
        </w:rPr>
        <w:t xml:space="preserve">NOTING that Contracting Parties have been kept informed of the financial situation of the Secretariat through the audited annual financial statements for the </w:t>
      </w:r>
      <w:r w:rsidR="00B32E40" w:rsidRPr="007936EA">
        <w:rPr>
          <w:rFonts w:asciiTheme="minorHAnsi" w:hAnsiTheme="minorHAnsi"/>
        </w:rPr>
        <w:t>years from 20</w:t>
      </w:r>
      <w:r w:rsidR="00CF1498" w:rsidRPr="007936EA">
        <w:rPr>
          <w:rFonts w:asciiTheme="minorHAnsi" w:hAnsiTheme="minorHAnsi"/>
        </w:rPr>
        <w:t>15</w:t>
      </w:r>
      <w:r w:rsidR="00B32E40" w:rsidRPr="007936EA">
        <w:rPr>
          <w:rFonts w:asciiTheme="minorHAnsi" w:hAnsiTheme="minorHAnsi"/>
        </w:rPr>
        <w:t xml:space="preserve"> to</w:t>
      </w:r>
      <w:r w:rsidR="00B32E40" w:rsidRPr="00FB1011">
        <w:rPr>
          <w:rFonts w:asciiTheme="minorHAnsi" w:hAnsiTheme="minorHAnsi"/>
        </w:rPr>
        <w:t xml:space="preserve"> 201</w:t>
      </w:r>
      <w:r w:rsidR="00F56BB7">
        <w:rPr>
          <w:rFonts w:asciiTheme="minorHAnsi" w:hAnsiTheme="minorHAnsi"/>
        </w:rPr>
        <w:t>7</w:t>
      </w:r>
      <w:r w:rsidR="00B32E40" w:rsidRPr="00FB1011">
        <w:rPr>
          <w:rFonts w:asciiTheme="minorHAnsi" w:hAnsiTheme="minorHAnsi"/>
        </w:rPr>
        <w:t xml:space="preserve"> and the reports of the Standing Committee meetings </w:t>
      </w:r>
      <w:r w:rsidR="008C6E9B">
        <w:rPr>
          <w:rFonts w:asciiTheme="minorHAnsi" w:hAnsiTheme="minorHAnsi"/>
        </w:rPr>
        <w:t xml:space="preserve">from </w:t>
      </w:r>
      <w:r w:rsidR="00B32E40" w:rsidRPr="00FB1011">
        <w:rPr>
          <w:rFonts w:asciiTheme="minorHAnsi" w:hAnsiTheme="minorHAnsi"/>
        </w:rPr>
        <w:t>201</w:t>
      </w:r>
      <w:r w:rsidR="00CF1498">
        <w:rPr>
          <w:rFonts w:asciiTheme="minorHAnsi" w:hAnsiTheme="minorHAnsi"/>
        </w:rPr>
        <w:t>6</w:t>
      </w:r>
      <w:r w:rsidR="008C6E9B">
        <w:rPr>
          <w:rFonts w:asciiTheme="minorHAnsi" w:hAnsiTheme="minorHAnsi"/>
        </w:rPr>
        <w:t xml:space="preserve"> to 2018</w:t>
      </w:r>
      <w:r w:rsidR="00B32E40" w:rsidRPr="00FB1011">
        <w:rPr>
          <w:rFonts w:asciiTheme="minorHAnsi" w:hAnsiTheme="minorHAnsi"/>
        </w:rPr>
        <w:t xml:space="preserve">; and </w:t>
      </w:r>
    </w:p>
    <w:p w:rsidR="00B32E40" w:rsidRPr="00FB1011" w:rsidRDefault="00B32E40" w:rsidP="00AD65E1">
      <w:pPr>
        <w:rPr>
          <w:rFonts w:asciiTheme="minorHAnsi" w:hAnsiTheme="minorHAnsi"/>
        </w:rPr>
      </w:pPr>
    </w:p>
    <w:p w:rsidR="00B32E40" w:rsidRPr="00FB1011" w:rsidRDefault="00AD65E1" w:rsidP="00AD65E1">
      <w:pPr>
        <w:rPr>
          <w:rFonts w:asciiTheme="minorHAnsi" w:hAnsiTheme="minorHAnsi"/>
        </w:rPr>
      </w:pPr>
      <w:r>
        <w:rPr>
          <w:rFonts w:asciiTheme="minorHAnsi" w:hAnsiTheme="minorHAnsi"/>
        </w:rPr>
        <w:t>7.</w:t>
      </w:r>
      <w:r>
        <w:rPr>
          <w:rFonts w:asciiTheme="minorHAnsi" w:hAnsiTheme="minorHAnsi"/>
        </w:rPr>
        <w:tab/>
      </w:r>
      <w:r w:rsidR="00B32E40" w:rsidRPr="00FB1011">
        <w:rPr>
          <w:rFonts w:asciiTheme="minorHAnsi" w:hAnsiTheme="minorHAnsi"/>
        </w:rPr>
        <w:t xml:space="preserve">RECOGNIZING the need to continue to strengthen financial partnerships with relevant international organizations and other entities and to explore additional funding opportunities through their existing financial mechanisms; </w:t>
      </w:r>
    </w:p>
    <w:p w:rsidR="00B32E40" w:rsidRPr="00FB1011" w:rsidRDefault="00B32E40" w:rsidP="00B32E40">
      <w:pPr>
        <w:ind w:left="426" w:hanging="426"/>
        <w:rPr>
          <w:rFonts w:asciiTheme="minorHAnsi" w:hAnsiTheme="minorHAnsi"/>
        </w:rPr>
      </w:pPr>
    </w:p>
    <w:p w:rsidR="00B32E40" w:rsidRPr="00FB1011" w:rsidRDefault="00B32E40" w:rsidP="00B32E40">
      <w:pPr>
        <w:ind w:left="426" w:hanging="426"/>
        <w:jc w:val="center"/>
        <w:rPr>
          <w:rFonts w:asciiTheme="minorHAnsi" w:hAnsiTheme="minorHAnsi"/>
        </w:rPr>
      </w:pPr>
      <w:r w:rsidRPr="00FB1011">
        <w:rPr>
          <w:rFonts w:asciiTheme="minorHAnsi" w:hAnsiTheme="minorHAnsi"/>
        </w:rPr>
        <w:t>THE CONFERENCE OF THE CONTRACTING PARTIES</w:t>
      </w:r>
    </w:p>
    <w:p w:rsidR="00B32E40" w:rsidRPr="00A43C3B" w:rsidRDefault="00B32E40" w:rsidP="00B32E40">
      <w:pPr>
        <w:ind w:left="567" w:hanging="567"/>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8.</w:t>
      </w:r>
      <w:r>
        <w:rPr>
          <w:rFonts w:asciiTheme="minorHAnsi" w:hAnsiTheme="minorHAnsi"/>
        </w:rPr>
        <w:tab/>
      </w:r>
      <w:r w:rsidR="00641220" w:rsidRPr="00AD65E1">
        <w:rPr>
          <w:rFonts w:asciiTheme="minorHAnsi" w:hAnsiTheme="minorHAnsi"/>
        </w:rPr>
        <w:t xml:space="preserve">ACKNOWLEDGES </w:t>
      </w:r>
      <w:r w:rsidR="00B32E40" w:rsidRPr="00AD65E1">
        <w:rPr>
          <w:rFonts w:asciiTheme="minorHAnsi" w:hAnsiTheme="minorHAnsi"/>
        </w:rPr>
        <w:t>that</w:t>
      </w:r>
      <w:r w:rsidR="002B0CEF" w:rsidRPr="00AD65E1">
        <w:rPr>
          <w:rFonts w:asciiTheme="minorHAnsi" w:hAnsiTheme="minorHAnsi"/>
        </w:rPr>
        <w:t>,</w:t>
      </w:r>
      <w:r w:rsidR="00B32E40" w:rsidRPr="00AD65E1">
        <w:rPr>
          <w:rFonts w:asciiTheme="minorHAnsi" w:hAnsiTheme="minorHAnsi"/>
        </w:rPr>
        <w:t xml:space="preserve"> since the 1</w:t>
      </w:r>
      <w:r w:rsidR="008446C3" w:rsidRPr="00AD65E1">
        <w:rPr>
          <w:rFonts w:asciiTheme="minorHAnsi" w:hAnsiTheme="minorHAnsi"/>
        </w:rPr>
        <w:t>2</w:t>
      </w:r>
      <w:r w:rsidR="00B32E40" w:rsidRPr="00AD65E1">
        <w:rPr>
          <w:rFonts w:asciiTheme="minorHAnsi" w:hAnsiTheme="minorHAnsi"/>
        </w:rPr>
        <w:t>th meeting of the Conference of the Contracting Parties</w:t>
      </w:r>
      <w:r w:rsidR="002B0CEF" w:rsidRPr="00AD65E1">
        <w:rPr>
          <w:rFonts w:asciiTheme="minorHAnsi" w:hAnsiTheme="minorHAnsi"/>
        </w:rPr>
        <w:t>,</w:t>
      </w:r>
      <w:r w:rsidR="00B32E40" w:rsidRPr="00AD65E1">
        <w:rPr>
          <w:rFonts w:asciiTheme="minorHAnsi" w:hAnsiTheme="minorHAnsi"/>
        </w:rPr>
        <w:t xml:space="preserve"> in 201</w:t>
      </w:r>
      <w:r w:rsidR="008446C3" w:rsidRPr="00AD65E1">
        <w:rPr>
          <w:rFonts w:asciiTheme="minorHAnsi" w:hAnsiTheme="minorHAnsi"/>
        </w:rPr>
        <w:t>5</w:t>
      </w:r>
      <w:r w:rsidR="002B0CEF" w:rsidRPr="00AD65E1">
        <w:rPr>
          <w:rFonts w:asciiTheme="minorHAnsi" w:hAnsiTheme="minorHAnsi"/>
        </w:rPr>
        <w:t>,</w:t>
      </w:r>
      <w:r w:rsidR="00B32E40" w:rsidRPr="00AD65E1">
        <w:rPr>
          <w:rFonts w:asciiTheme="minorHAnsi" w:hAnsiTheme="minorHAnsi"/>
        </w:rPr>
        <w:t xml:space="preserve"> the Secretariat has managed the Convention’s funds prudently, efficiently and openly;</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9.</w:t>
      </w:r>
      <w:r>
        <w:rPr>
          <w:rFonts w:asciiTheme="minorHAnsi" w:hAnsiTheme="minorHAnsi"/>
        </w:rPr>
        <w:tab/>
      </w:r>
      <w:r w:rsidR="00B32E40" w:rsidRPr="00AD65E1">
        <w:rPr>
          <w:rFonts w:asciiTheme="minorHAnsi" w:hAnsiTheme="minorHAnsi"/>
        </w:rPr>
        <w:t xml:space="preserve">EXPRESSES ITS GRATITUDE to the Contracting Parties that have served in the Subgroup on Finance of the Standing Committee during the </w:t>
      </w:r>
      <w:r w:rsidR="00F73EE2" w:rsidRPr="00AD65E1">
        <w:rPr>
          <w:rFonts w:asciiTheme="minorHAnsi" w:hAnsiTheme="minorHAnsi"/>
        </w:rPr>
        <w:t>triennium 2016-2018</w:t>
      </w:r>
      <w:r w:rsidR="00B32E40" w:rsidRPr="00AD65E1">
        <w:rPr>
          <w:rFonts w:asciiTheme="minorHAnsi" w:hAnsiTheme="minorHAnsi"/>
        </w:rPr>
        <w:t xml:space="preserve">, and in particular to </w:t>
      </w:r>
      <w:r w:rsidR="008446C3" w:rsidRPr="00AD65E1">
        <w:rPr>
          <w:rFonts w:asciiTheme="minorHAnsi" w:hAnsiTheme="minorHAnsi"/>
        </w:rPr>
        <w:t>Senegal</w:t>
      </w:r>
      <w:r w:rsidR="00B32E40" w:rsidRPr="00AD65E1">
        <w:rPr>
          <w:rFonts w:asciiTheme="minorHAnsi" w:hAnsiTheme="minorHAnsi"/>
        </w:rPr>
        <w:t xml:space="preserve">, which has acted as Chair of the Subgroup; </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10.</w:t>
      </w:r>
      <w:r>
        <w:rPr>
          <w:rFonts w:asciiTheme="minorHAnsi" w:hAnsiTheme="minorHAnsi"/>
        </w:rPr>
        <w:tab/>
      </w:r>
      <w:r w:rsidR="00B32E40" w:rsidRPr="00AD65E1">
        <w:rPr>
          <w:rFonts w:asciiTheme="minorHAnsi" w:hAnsiTheme="minorHAnsi"/>
        </w:rPr>
        <w:t>DECIDES that the Terms of Reference for the Financial Administration of the Convention contained in Annex 3 to Resolution 5.2 (</w:t>
      </w:r>
      <w:r w:rsidR="001E5FD0" w:rsidRPr="00AD65E1">
        <w:rPr>
          <w:rFonts w:asciiTheme="minorHAnsi" w:hAnsiTheme="minorHAnsi"/>
        </w:rPr>
        <w:t xml:space="preserve">Kushiro, </w:t>
      </w:r>
      <w:r w:rsidR="00B32E40" w:rsidRPr="00AD65E1">
        <w:rPr>
          <w:rFonts w:asciiTheme="minorHAnsi" w:hAnsiTheme="minorHAnsi"/>
        </w:rPr>
        <w:t xml:space="preserve">1993) shall be applied </w:t>
      </w:r>
      <w:r w:rsidR="00B32E40" w:rsidRPr="00AD65E1">
        <w:rPr>
          <w:rFonts w:asciiTheme="minorHAnsi" w:hAnsiTheme="minorHAnsi"/>
          <w:i/>
        </w:rPr>
        <w:t>in toto</w:t>
      </w:r>
      <w:r w:rsidR="00B32E40" w:rsidRPr="00AD65E1">
        <w:rPr>
          <w:rFonts w:asciiTheme="minorHAnsi" w:hAnsiTheme="minorHAnsi"/>
        </w:rPr>
        <w:t xml:space="preserve"> to the 201</w:t>
      </w:r>
      <w:r w:rsidR="008446C3" w:rsidRPr="00AD65E1">
        <w:rPr>
          <w:rFonts w:asciiTheme="minorHAnsi" w:hAnsiTheme="minorHAnsi"/>
        </w:rPr>
        <w:t>9</w:t>
      </w:r>
      <w:r w:rsidR="00B32E40" w:rsidRPr="00AD65E1">
        <w:rPr>
          <w:rFonts w:asciiTheme="minorHAnsi" w:hAnsiTheme="minorHAnsi"/>
        </w:rPr>
        <w:t>-20</w:t>
      </w:r>
      <w:r w:rsidR="008446C3" w:rsidRPr="00AD65E1">
        <w:rPr>
          <w:rFonts w:asciiTheme="minorHAnsi" w:hAnsiTheme="minorHAnsi"/>
        </w:rPr>
        <w:t>21</w:t>
      </w:r>
      <w:r w:rsidR="00B32E40" w:rsidRPr="00AD65E1">
        <w:rPr>
          <w:rFonts w:asciiTheme="minorHAnsi" w:hAnsiTheme="minorHAnsi"/>
        </w:rPr>
        <w:t xml:space="preserve"> cycle;</w:t>
      </w:r>
    </w:p>
    <w:p w:rsidR="00B32E40" w:rsidRPr="00FB1011" w:rsidRDefault="00B32E40" w:rsidP="00AD65E1">
      <w:pPr>
        <w:rPr>
          <w:rFonts w:asciiTheme="minorHAnsi" w:hAnsiTheme="minorHAnsi"/>
        </w:rPr>
      </w:pPr>
    </w:p>
    <w:p w:rsidR="00DD4FC4" w:rsidRPr="00AD65E1" w:rsidRDefault="00AD65E1" w:rsidP="00AD65E1">
      <w:pPr>
        <w:rPr>
          <w:rFonts w:asciiTheme="minorHAnsi" w:hAnsiTheme="minorHAnsi"/>
        </w:rPr>
      </w:pPr>
      <w:r>
        <w:rPr>
          <w:rFonts w:asciiTheme="minorHAnsi" w:hAnsiTheme="minorHAnsi"/>
        </w:rPr>
        <w:t>11.</w:t>
      </w:r>
      <w:r>
        <w:rPr>
          <w:rFonts w:asciiTheme="minorHAnsi" w:hAnsiTheme="minorHAnsi"/>
        </w:rPr>
        <w:tab/>
      </w:r>
      <w:r w:rsidR="00DD4FC4" w:rsidRPr="00AD65E1">
        <w:rPr>
          <w:rFonts w:asciiTheme="minorHAnsi" w:hAnsiTheme="minorHAnsi"/>
        </w:rPr>
        <w:t>FURTHER DECIDES that the Subgroup on Finance, as established by Resolution VI.17</w:t>
      </w:r>
      <w:r w:rsidR="001A386F" w:rsidRPr="00AD65E1">
        <w:rPr>
          <w:rFonts w:asciiTheme="minorHAnsi" w:hAnsiTheme="minorHAnsi"/>
        </w:rPr>
        <w:t xml:space="preserve"> (Brisbane, 1996)</w:t>
      </w:r>
      <w:r w:rsidR="00DD4FC4" w:rsidRPr="00AD65E1">
        <w:rPr>
          <w:rFonts w:asciiTheme="minorHAnsi" w:hAnsiTheme="minorHAnsi"/>
        </w:rPr>
        <w:t>, shall continue to operate under the aegis of the Standing Committee and with the roles and responsibilities specified in that Resolution;</w:t>
      </w:r>
    </w:p>
    <w:p w:rsidR="00DD4FC4" w:rsidRPr="004B4108" w:rsidRDefault="00DD4FC4" w:rsidP="00AD65E1">
      <w:pPr>
        <w:pStyle w:val="ListParagraph"/>
        <w:ind w:left="425"/>
        <w:rPr>
          <w:rFonts w:asciiTheme="minorHAnsi" w:hAnsiTheme="minorHAnsi"/>
        </w:rPr>
      </w:pPr>
    </w:p>
    <w:p w:rsidR="003441D3" w:rsidRPr="00AD65E1" w:rsidRDefault="00AD65E1" w:rsidP="00AD65E1">
      <w:pPr>
        <w:rPr>
          <w:rFonts w:asciiTheme="minorHAnsi" w:hAnsiTheme="minorHAnsi"/>
        </w:rPr>
      </w:pPr>
      <w:r>
        <w:rPr>
          <w:rFonts w:asciiTheme="minorHAnsi" w:hAnsiTheme="minorHAnsi"/>
        </w:rPr>
        <w:lastRenderedPageBreak/>
        <w:t>12.</w:t>
      </w:r>
      <w:r>
        <w:rPr>
          <w:rFonts w:asciiTheme="minorHAnsi" w:hAnsiTheme="minorHAnsi"/>
        </w:rPr>
        <w:tab/>
      </w:r>
      <w:r w:rsidR="00B32E40" w:rsidRPr="00AD65E1">
        <w:rPr>
          <w:rFonts w:asciiTheme="minorHAnsi" w:hAnsiTheme="minorHAnsi"/>
        </w:rPr>
        <w:t>NOTES that the 201</w:t>
      </w:r>
      <w:r w:rsidR="008446C3" w:rsidRPr="00AD65E1">
        <w:rPr>
          <w:rFonts w:asciiTheme="minorHAnsi" w:hAnsiTheme="minorHAnsi"/>
        </w:rPr>
        <w:t>9</w:t>
      </w:r>
      <w:r w:rsidR="00B32E40" w:rsidRPr="00AD65E1">
        <w:rPr>
          <w:rFonts w:asciiTheme="minorHAnsi" w:hAnsiTheme="minorHAnsi"/>
        </w:rPr>
        <w:t>-20</w:t>
      </w:r>
      <w:r w:rsidR="008446C3" w:rsidRPr="00AD65E1">
        <w:rPr>
          <w:rFonts w:asciiTheme="minorHAnsi" w:hAnsiTheme="minorHAnsi"/>
        </w:rPr>
        <w:t>21</w:t>
      </w:r>
      <w:r w:rsidR="00B32E40" w:rsidRPr="00AD65E1">
        <w:rPr>
          <w:rFonts w:asciiTheme="minorHAnsi" w:hAnsiTheme="minorHAnsi"/>
        </w:rPr>
        <w:t xml:space="preserve"> budget includes a core element funded by assessed contributions from Contracting Parties, and </w:t>
      </w:r>
      <w:r w:rsidR="003441D3" w:rsidRPr="00AD65E1">
        <w:rPr>
          <w:rFonts w:asciiTheme="minorHAnsi" w:hAnsiTheme="minorHAnsi"/>
        </w:rPr>
        <w:t xml:space="preserve">that </w:t>
      </w:r>
      <w:r w:rsidR="007936EA" w:rsidRPr="00AD65E1">
        <w:rPr>
          <w:rFonts w:asciiTheme="minorHAnsi" w:hAnsiTheme="minorHAnsi"/>
        </w:rPr>
        <w:t xml:space="preserve">the </w:t>
      </w:r>
      <w:r w:rsidR="007936EA" w:rsidRPr="00AD65E1">
        <w:rPr>
          <w:rFonts w:asciiTheme="minorHAnsi" w:eastAsia="Batang" w:hAnsiTheme="minorHAnsi"/>
        </w:rPr>
        <w:t xml:space="preserve">Secretariat will seek additional non-core resources </w:t>
      </w:r>
      <w:r w:rsidR="008926BA" w:rsidRPr="00AD65E1">
        <w:rPr>
          <w:rFonts w:asciiTheme="minorHAnsi" w:eastAsia="Batang" w:hAnsiTheme="minorHAnsi"/>
        </w:rPr>
        <w:t>in line with the priorities identified by the Conference of the Parties</w:t>
      </w:r>
      <w:r w:rsidR="003441D3" w:rsidRPr="00AD65E1">
        <w:rPr>
          <w:rFonts w:asciiTheme="minorHAnsi" w:hAnsiTheme="minorHAnsi"/>
        </w:rPr>
        <w:t>;</w:t>
      </w:r>
      <w:r w:rsidR="00B32E40" w:rsidRPr="00AD65E1">
        <w:rPr>
          <w:rFonts w:asciiTheme="minorHAnsi" w:hAnsiTheme="minorHAnsi"/>
        </w:rPr>
        <w:t xml:space="preserve"> </w:t>
      </w:r>
    </w:p>
    <w:p w:rsidR="003441D3" w:rsidRDefault="003441D3" w:rsidP="00AD65E1">
      <w:pPr>
        <w:pStyle w:val="MGfulltext"/>
        <w:spacing w:after="0"/>
        <w:ind w:left="425" w:hanging="425"/>
        <w:rPr>
          <w:rFonts w:asciiTheme="minorHAnsi" w:hAnsiTheme="minorHAnsi"/>
        </w:rPr>
      </w:pPr>
    </w:p>
    <w:p w:rsidR="000937A7" w:rsidRPr="00AD65E1" w:rsidRDefault="00AD65E1" w:rsidP="00AD65E1">
      <w:pPr>
        <w:rPr>
          <w:rFonts w:asciiTheme="minorHAnsi" w:hAnsiTheme="minorHAnsi"/>
        </w:rPr>
      </w:pPr>
      <w:r>
        <w:rPr>
          <w:rFonts w:asciiTheme="minorHAnsi" w:hAnsiTheme="minorHAnsi"/>
        </w:rPr>
        <w:t>13.</w:t>
      </w:r>
      <w:r>
        <w:rPr>
          <w:rFonts w:asciiTheme="minorHAnsi" w:hAnsiTheme="minorHAnsi"/>
        </w:rPr>
        <w:tab/>
      </w:r>
      <w:r w:rsidR="00B32E40" w:rsidRPr="00AD65E1">
        <w:rPr>
          <w:rFonts w:asciiTheme="minorHAnsi" w:hAnsiTheme="minorHAnsi"/>
        </w:rPr>
        <w:t>APPROVES the</w:t>
      </w:r>
      <w:r w:rsidR="00096371" w:rsidRPr="00AD65E1">
        <w:rPr>
          <w:rFonts w:asciiTheme="minorHAnsi" w:hAnsiTheme="minorHAnsi"/>
        </w:rPr>
        <w:t xml:space="preserve"> core</w:t>
      </w:r>
      <w:r w:rsidR="00B32E40" w:rsidRPr="00AD65E1">
        <w:rPr>
          <w:rFonts w:asciiTheme="minorHAnsi" w:hAnsiTheme="minorHAnsi"/>
        </w:rPr>
        <w:t xml:space="preserve"> budget for the </w:t>
      </w:r>
      <w:r w:rsidR="00D06197" w:rsidRPr="00AD65E1">
        <w:rPr>
          <w:rFonts w:asciiTheme="minorHAnsi" w:hAnsiTheme="minorHAnsi"/>
        </w:rPr>
        <w:t xml:space="preserve">triennium </w:t>
      </w:r>
      <w:r w:rsidR="00B32E40" w:rsidRPr="00AD65E1">
        <w:rPr>
          <w:rFonts w:asciiTheme="minorHAnsi" w:hAnsiTheme="minorHAnsi"/>
        </w:rPr>
        <w:t>201</w:t>
      </w:r>
      <w:r w:rsidR="008446C3" w:rsidRPr="00AD65E1">
        <w:rPr>
          <w:rFonts w:asciiTheme="minorHAnsi" w:hAnsiTheme="minorHAnsi"/>
        </w:rPr>
        <w:t>9</w:t>
      </w:r>
      <w:r w:rsidR="00B32E40" w:rsidRPr="00AD65E1">
        <w:rPr>
          <w:rFonts w:asciiTheme="minorHAnsi" w:hAnsiTheme="minorHAnsi"/>
        </w:rPr>
        <w:t>-20</w:t>
      </w:r>
      <w:r w:rsidR="008446C3" w:rsidRPr="00AD65E1">
        <w:rPr>
          <w:rFonts w:asciiTheme="minorHAnsi" w:hAnsiTheme="minorHAnsi"/>
        </w:rPr>
        <w:t>21</w:t>
      </w:r>
      <w:r w:rsidR="00B32E40" w:rsidRPr="00AD65E1">
        <w:rPr>
          <w:rFonts w:asciiTheme="minorHAnsi" w:hAnsiTheme="minorHAnsi"/>
        </w:rPr>
        <w:t xml:space="preserve"> as attached in Annex 1</w:t>
      </w:r>
      <w:r w:rsidR="00D06197" w:rsidRPr="00AD65E1">
        <w:rPr>
          <w:rFonts w:asciiTheme="minorHAnsi" w:hAnsiTheme="minorHAnsi"/>
        </w:rPr>
        <w:t>,</w:t>
      </w:r>
      <w:r w:rsidR="00B32E40" w:rsidRPr="00AD65E1">
        <w:rPr>
          <w:rFonts w:asciiTheme="minorHAnsi" w:hAnsiTheme="minorHAnsi"/>
        </w:rPr>
        <w:t xml:space="preserve"> to enable the implementation of the Strategic Plan of the Convention;</w:t>
      </w:r>
      <w:r w:rsidR="000937A7" w:rsidRPr="00AD65E1">
        <w:rPr>
          <w:rFonts w:asciiTheme="minorHAnsi" w:hAnsiTheme="minorHAnsi"/>
        </w:rPr>
        <w:t xml:space="preserve"> </w:t>
      </w:r>
    </w:p>
    <w:p w:rsidR="000937A7" w:rsidRDefault="000937A7" w:rsidP="00AD65E1">
      <w:pPr>
        <w:pStyle w:val="MGfulltext"/>
        <w:spacing w:after="0"/>
        <w:ind w:left="425" w:hanging="425"/>
      </w:pPr>
    </w:p>
    <w:p w:rsidR="000937A7" w:rsidRPr="00AD65E1" w:rsidRDefault="00AD65E1" w:rsidP="00AD65E1">
      <w:pPr>
        <w:rPr>
          <w:rFonts w:asciiTheme="minorHAnsi" w:hAnsiTheme="minorHAnsi"/>
        </w:rPr>
      </w:pPr>
      <w:r>
        <w:rPr>
          <w:rFonts w:asciiTheme="minorHAnsi" w:hAnsiTheme="minorHAnsi"/>
        </w:rPr>
        <w:t>14.</w:t>
      </w:r>
      <w:r>
        <w:rPr>
          <w:rFonts w:asciiTheme="minorHAnsi" w:hAnsiTheme="minorHAnsi"/>
        </w:rPr>
        <w:tab/>
      </w:r>
      <w:r w:rsidR="000937A7" w:rsidRPr="00AD65E1">
        <w:rPr>
          <w:rFonts w:asciiTheme="minorHAnsi" w:hAnsiTheme="minorHAnsi"/>
        </w:rPr>
        <w:t xml:space="preserve">INSTRUCTS the Secretariat to </w:t>
      </w:r>
      <w:r w:rsidR="00F847E5" w:rsidRPr="00AD65E1">
        <w:rPr>
          <w:rFonts w:asciiTheme="minorHAnsi" w:hAnsiTheme="minorHAnsi"/>
        </w:rPr>
        <w:t xml:space="preserve">seek </w:t>
      </w:r>
      <w:r w:rsidR="000937A7" w:rsidRPr="00AD65E1">
        <w:rPr>
          <w:rFonts w:asciiTheme="minorHAnsi" w:hAnsiTheme="minorHAnsi"/>
        </w:rPr>
        <w:t xml:space="preserve">non-core resources in line with the priorities identified by the Conference of the Parties, which include </w:t>
      </w:r>
      <w:r w:rsidR="001D0FDF" w:rsidRPr="00AD65E1">
        <w:rPr>
          <w:rFonts w:asciiTheme="minorHAnsi" w:hAnsiTheme="minorHAnsi"/>
        </w:rPr>
        <w:t xml:space="preserve">unfunded </w:t>
      </w:r>
      <w:r w:rsidR="000937A7" w:rsidRPr="00AD65E1">
        <w:rPr>
          <w:rFonts w:asciiTheme="minorHAnsi" w:hAnsiTheme="minorHAnsi"/>
        </w:rPr>
        <w:t>core areas of the Secretariat’s work and priorities identified in the Resolutions adopted by the Conference of the Parties</w:t>
      </w:r>
      <w:r w:rsidR="00F847E5" w:rsidRPr="00AD65E1">
        <w:rPr>
          <w:rFonts w:asciiTheme="minorHAnsi" w:hAnsiTheme="minorHAnsi"/>
        </w:rPr>
        <w:t>;</w:t>
      </w:r>
      <w:r w:rsidR="000937A7" w:rsidRPr="00AD65E1">
        <w:rPr>
          <w:rFonts w:asciiTheme="minorHAnsi" w:hAnsiTheme="minorHAnsi"/>
        </w:rPr>
        <w:t xml:space="preserve"> </w:t>
      </w:r>
    </w:p>
    <w:p w:rsidR="00322C05" w:rsidRPr="00E16CC7" w:rsidRDefault="00322C05" w:rsidP="00AD65E1">
      <w:pPr>
        <w:pStyle w:val="ListParagraph"/>
        <w:ind w:left="425"/>
        <w:rPr>
          <w:rFonts w:asciiTheme="minorHAnsi" w:hAnsiTheme="minorHAnsi"/>
        </w:rPr>
      </w:pPr>
    </w:p>
    <w:p w:rsidR="00322C05" w:rsidRPr="00AD65E1" w:rsidRDefault="00AD65E1" w:rsidP="00AD65E1">
      <w:pPr>
        <w:rPr>
          <w:rFonts w:asciiTheme="minorHAnsi" w:hAnsiTheme="minorHAnsi"/>
        </w:rPr>
      </w:pPr>
      <w:r>
        <w:rPr>
          <w:rFonts w:asciiTheme="minorHAnsi" w:hAnsiTheme="minorHAnsi"/>
        </w:rPr>
        <w:t>15.</w:t>
      </w:r>
      <w:r>
        <w:rPr>
          <w:rFonts w:asciiTheme="minorHAnsi" w:hAnsiTheme="minorHAnsi"/>
        </w:rPr>
        <w:tab/>
      </w:r>
      <w:r w:rsidR="00F847E5" w:rsidRPr="00AD65E1">
        <w:rPr>
          <w:rFonts w:asciiTheme="minorHAnsi" w:hAnsiTheme="minorHAnsi"/>
        </w:rPr>
        <w:t>NOTES</w:t>
      </w:r>
      <w:r w:rsidR="00322C05" w:rsidRPr="00AD65E1">
        <w:rPr>
          <w:rFonts w:asciiTheme="minorHAnsi" w:hAnsiTheme="minorHAnsi"/>
        </w:rPr>
        <w:t xml:space="preserve"> the alignment of the Secretariat with IUCN policies and procedures for managing non-core funding;</w:t>
      </w:r>
    </w:p>
    <w:p w:rsidR="00E16CC7" w:rsidRDefault="00E16CC7" w:rsidP="00AD65E1">
      <w:pPr>
        <w:pStyle w:val="ListParagraph"/>
        <w:ind w:left="425"/>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16.</w:t>
      </w:r>
      <w:r>
        <w:rPr>
          <w:rFonts w:asciiTheme="minorHAnsi" w:hAnsiTheme="minorHAnsi"/>
        </w:rPr>
        <w:tab/>
      </w:r>
      <w:r w:rsidR="000937A7" w:rsidRPr="00AD65E1">
        <w:rPr>
          <w:rFonts w:asciiTheme="minorHAnsi" w:hAnsiTheme="minorHAnsi"/>
        </w:rPr>
        <w:t> </w:t>
      </w:r>
      <w:r w:rsidR="00B32E40" w:rsidRPr="00AD65E1">
        <w:rPr>
          <w:rFonts w:asciiTheme="minorHAnsi" w:hAnsiTheme="minorHAnsi"/>
        </w:rPr>
        <w:t xml:space="preserve">AUTHORIZES the Standing Committee, with the advice of its Subgroup on Finance, to revise core budgetary allocations between budget lines </w:t>
      </w:r>
      <w:r w:rsidR="00F847E5" w:rsidRPr="00AD65E1">
        <w:rPr>
          <w:rFonts w:asciiTheme="minorHAnsi" w:hAnsiTheme="minorHAnsi"/>
        </w:rPr>
        <w:t xml:space="preserve">as may be required </w:t>
      </w:r>
      <w:r w:rsidR="00B32E40" w:rsidRPr="00AD65E1">
        <w:rPr>
          <w:rFonts w:asciiTheme="minorHAnsi" w:hAnsiTheme="minorHAnsi"/>
        </w:rPr>
        <w:t xml:space="preserve">in the light of significant positive or negative changes during the cycle to costs, rates of inflation, interest and tax income projected in the budget, without increasing the assessed contributions of Parties or increasing the charges paid to IUCN above </w:t>
      </w:r>
      <w:r w:rsidR="008446C3" w:rsidRPr="00AD65E1">
        <w:rPr>
          <w:rFonts w:asciiTheme="minorHAnsi" w:hAnsiTheme="minorHAnsi"/>
        </w:rPr>
        <w:t xml:space="preserve">a maximum of </w:t>
      </w:r>
      <w:r w:rsidR="00B32E40" w:rsidRPr="00AD65E1">
        <w:rPr>
          <w:rFonts w:asciiTheme="minorHAnsi" w:hAnsiTheme="minorHAnsi"/>
        </w:rPr>
        <w:t xml:space="preserve">13% </w:t>
      </w:r>
      <w:r w:rsidR="008446C3" w:rsidRPr="00AD65E1">
        <w:rPr>
          <w:rFonts w:asciiTheme="minorHAnsi" w:hAnsiTheme="minorHAnsi"/>
        </w:rPr>
        <w:t>of the budget</w:t>
      </w:r>
      <w:r w:rsidR="00B32E40" w:rsidRPr="00AD65E1">
        <w:rPr>
          <w:rFonts w:asciiTheme="minorHAnsi" w:hAnsiTheme="minorHAnsi"/>
        </w:rPr>
        <w:t>;</w:t>
      </w:r>
    </w:p>
    <w:p w:rsidR="00267D03" w:rsidRDefault="00267D03" w:rsidP="00AD65E1">
      <w:pPr>
        <w:pStyle w:val="ListParagraph"/>
        <w:ind w:left="425"/>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17.</w:t>
      </w:r>
      <w:r>
        <w:rPr>
          <w:rFonts w:asciiTheme="minorHAnsi" w:hAnsiTheme="minorHAnsi"/>
        </w:rPr>
        <w:tab/>
      </w:r>
      <w:r w:rsidR="00B32E40" w:rsidRPr="00AD65E1">
        <w:rPr>
          <w:rFonts w:asciiTheme="minorHAnsi" w:hAnsiTheme="minorHAnsi"/>
        </w:rPr>
        <w:t xml:space="preserve">DECIDES that the contribution of each Contracting Party to the core budget should be in accordance with the </w:t>
      </w:r>
      <w:r w:rsidR="00FB6EE7" w:rsidRPr="00AD65E1">
        <w:rPr>
          <w:rFonts w:asciiTheme="minorHAnsi" w:hAnsiTheme="minorHAnsi"/>
        </w:rPr>
        <w:t xml:space="preserve">most recent </w:t>
      </w:r>
      <w:r w:rsidR="00B32E40" w:rsidRPr="00AD65E1">
        <w:rPr>
          <w:rFonts w:asciiTheme="minorHAnsi" w:hAnsiTheme="minorHAnsi"/>
        </w:rPr>
        <w:t>scale of assessments for the contribution of Member States to the United Nations budget as approved by the UN General Assembly, except in the case of Contracting Parties which, in applying the UN scale</w:t>
      </w:r>
      <w:r w:rsidR="00957260" w:rsidRPr="00AD65E1">
        <w:rPr>
          <w:rFonts w:asciiTheme="minorHAnsi" w:hAnsiTheme="minorHAnsi"/>
        </w:rPr>
        <w:t xml:space="preserve"> of assessments</w:t>
      </w:r>
      <w:r w:rsidR="00B32E40" w:rsidRPr="00AD65E1">
        <w:rPr>
          <w:rFonts w:asciiTheme="minorHAnsi" w:hAnsiTheme="minorHAnsi"/>
        </w:rPr>
        <w:t xml:space="preserve">, would make annual contributions to the Ramsar Convention </w:t>
      </w:r>
      <w:r w:rsidR="00FB6EE7" w:rsidRPr="00AD65E1">
        <w:rPr>
          <w:rFonts w:asciiTheme="minorHAnsi" w:hAnsiTheme="minorHAnsi"/>
        </w:rPr>
        <w:t>c</w:t>
      </w:r>
      <w:r w:rsidR="00B32E40" w:rsidRPr="00AD65E1">
        <w:rPr>
          <w:rFonts w:asciiTheme="minorHAnsi" w:hAnsiTheme="minorHAnsi"/>
        </w:rPr>
        <w:t xml:space="preserve">ore budget of less than CHF 1,000, in which case the annual contribution shall be that amount; </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bookmarkStart w:id="1" w:name="OLE_LINK6"/>
      <w:r>
        <w:rPr>
          <w:rFonts w:asciiTheme="minorHAnsi" w:hAnsiTheme="minorHAnsi"/>
        </w:rPr>
        <w:t>18.</w:t>
      </w:r>
      <w:r>
        <w:rPr>
          <w:rFonts w:asciiTheme="minorHAnsi" w:hAnsiTheme="minorHAnsi"/>
        </w:rPr>
        <w:tab/>
      </w:r>
      <w:r w:rsidR="00B32E40" w:rsidRPr="00AD65E1">
        <w:rPr>
          <w:rFonts w:asciiTheme="minorHAnsi" w:hAnsiTheme="minorHAnsi"/>
        </w:rPr>
        <w:t>URGES all Contracting Parties to pay their assessed contributions promptly by 1 January of each year, or as soon thereafter as that country’s budget cycle will permit;</w:t>
      </w:r>
    </w:p>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19.</w:t>
      </w:r>
      <w:r>
        <w:rPr>
          <w:rFonts w:asciiTheme="minorHAnsi" w:hAnsiTheme="minorHAnsi"/>
        </w:rPr>
        <w:tab/>
      </w:r>
      <w:r w:rsidR="00B32E40" w:rsidRPr="00AD65E1">
        <w:rPr>
          <w:rFonts w:asciiTheme="minorHAnsi" w:hAnsiTheme="minorHAnsi"/>
        </w:rPr>
        <w:t>URGES Contracting Parties in arrears in their payments of assessed contributions to make a renewed effort to settle them as expeditiously as possible to enhance the financial sustainability of the Convention through contributions by all Contracting Parties</w:t>
      </w:r>
      <w:r w:rsidR="00AA24E2" w:rsidRPr="00AD65E1">
        <w:rPr>
          <w:rFonts w:asciiTheme="minorHAnsi" w:hAnsiTheme="minorHAnsi"/>
        </w:rPr>
        <w:t>;</w:t>
      </w:r>
      <w:r w:rsidR="006F3E3D" w:rsidRPr="00AD65E1">
        <w:rPr>
          <w:rFonts w:asciiTheme="minorHAnsi" w:hAnsiTheme="minorHAnsi"/>
        </w:rPr>
        <w:t xml:space="preserve"> </w:t>
      </w:r>
      <w:r w:rsidR="001D0FDF" w:rsidRPr="00AD65E1">
        <w:rPr>
          <w:rFonts w:asciiTheme="minorHAnsi" w:hAnsiTheme="minorHAnsi"/>
        </w:rPr>
        <w:t xml:space="preserve">REQUESTS the Secretariat to contact Contracting Parties </w:t>
      </w:r>
      <w:r w:rsidR="00BC26DD" w:rsidRPr="00AD65E1">
        <w:rPr>
          <w:rFonts w:asciiTheme="minorHAnsi" w:hAnsiTheme="minorHAnsi"/>
        </w:rPr>
        <w:t xml:space="preserve">that are </w:t>
      </w:r>
      <w:r w:rsidR="001D0FDF" w:rsidRPr="00AD65E1">
        <w:rPr>
          <w:rFonts w:asciiTheme="minorHAnsi" w:hAnsiTheme="minorHAnsi"/>
        </w:rPr>
        <w:t xml:space="preserve">in arrears in excess of three years and </w:t>
      </w:r>
      <w:r w:rsidR="00BC26DD" w:rsidRPr="00AD65E1">
        <w:rPr>
          <w:rFonts w:asciiTheme="minorHAnsi" w:hAnsiTheme="minorHAnsi"/>
        </w:rPr>
        <w:t>assist</w:t>
      </w:r>
      <w:r w:rsidR="001D0FDF" w:rsidRPr="00AD65E1">
        <w:rPr>
          <w:rFonts w:asciiTheme="minorHAnsi" w:hAnsiTheme="minorHAnsi"/>
        </w:rPr>
        <w:t xml:space="preserve"> them to identify appropriate options </w:t>
      </w:r>
      <w:r w:rsidR="00BC26DD" w:rsidRPr="00AD65E1">
        <w:rPr>
          <w:rFonts w:asciiTheme="minorHAnsi" w:hAnsiTheme="minorHAnsi"/>
        </w:rPr>
        <w:t xml:space="preserve">to rectify </w:t>
      </w:r>
      <w:r w:rsidR="001D0FDF" w:rsidRPr="00AD65E1">
        <w:rPr>
          <w:rFonts w:asciiTheme="minorHAnsi" w:hAnsiTheme="minorHAnsi"/>
        </w:rPr>
        <w:t xml:space="preserve">the situation and </w:t>
      </w:r>
      <w:r w:rsidR="00BC26DD" w:rsidRPr="00AD65E1">
        <w:rPr>
          <w:rFonts w:asciiTheme="minorHAnsi" w:hAnsiTheme="minorHAnsi"/>
        </w:rPr>
        <w:t xml:space="preserve">to </w:t>
      </w:r>
      <w:r w:rsidR="00F126E5" w:rsidRPr="00AD65E1">
        <w:rPr>
          <w:rFonts w:asciiTheme="minorHAnsi" w:hAnsiTheme="minorHAnsi"/>
        </w:rPr>
        <w:t xml:space="preserve">request </w:t>
      </w:r>
      <w:r w:rsidR="001D0FDF" w:rsidRPr="00AD65E1">
        <w:rPr>
          <w:rFonts w:asciiTheme="minorHAnsi" w:hAnsiTheme="minorHAnsi"/>
        </w:rPr>
        <w:t xml:space="preserve">a plan for making payment of contributions, and to report back </w:t>
      </w:r>
      <w:r w:rsidR="00BC26DD" w:rsidRPr="00AD65E1">
        <w:rPr>
          <w:rFonts w:asciiTheme="minorHAnsi" w:hAnsiTheme="minorHAnsi"/>
        </w:rPr>
        <w:t>at</w:t>
      </w:r>
      <w:r w:rsidR="001D0FDF" w:rsidRPr="00AD65E1">
        <w:rPr>
          <w:rFonts w:asciiTheme="minorHAnsi" w:hAnsiTheme="minorHAnsi"/>
        </w:rPr>
        <w:t xml:space="preserve"> each </w:t>
      </w:r>
      <w:r w:rsidR="00BC26DD" w:rsidRPr="00AD65E1">
        <w:rPr>
          <w:rFonts w:asciiTheme="minorHAnsi" w:hAnsiTheme="minorHAnsi"/>
        </w:rPr>
        <w:t xml:space="preserve">meeting of the </w:t>
      </w:r>
      <w:r w:rsidR="001D0FDF" w:rsidRPr="00AD65E1">
        <w:rPr>
          <w:rFonts w:asciiTheme="minorHAnsi" w:hAnsiTheme="minorHAnsi"/>
        </w:rPr>
        <w:t xml:space="preserve">Standing Committee </w:t>
      </w:r>
      <w:r w:rsidR="00BC26DD" w:rsidRPr="00AD65E1">
        <w:rPr>
          <w:rFonts w:asciiTheme="minorHAnsi" w:hAnsiTheme="minorHAnsi"/>
        </w:rPr>
        <w:t>and</w:t>
      </w:r>
      <w:r w:rsidR="001D0FDF" w:rsidRPr="00AD65E1">
        <w:rPr>
          <w:rFonts w:asciiTheme="minorHAnsi" w:hAnsiTheme="minorHAnsi"/>
        </w:rPr>
        <w:t xml:space="preserve"> the Conference of the Parties on activities taken in this regard and results achieved; and </w:t>
      </w:r>
      <w:r w:rsidR="00B32E40" w:rsidRPr="00AD65E1">
        <w:rPr>
          <w:rFonts w:asciiTheme="minorHAnsi" w:hAnsiTheme="minorHAnsi"/>
        </w:rPr>
        <w:t xml:space="preserve">AGREES that the Standing Committee should continue to consider </w:t>
      </w:r>
      <w:r w:rsidR="00F126E5" w:rsidRPr="00AD65E1">
        <w:rPr>
          <w:rFonts w:asciiTheme="minorHAnsi" w:hAnsiTheme="minorHAnsi"/>
        </w:rPr>
        <w:t xml:space="preserve">appropriate action concerning </w:t>
      </w:r>
      <w:r w:rsidR="00B32E40" w:rsidRPr="00AD65E1">
        <w:rPr>
          <w:rFonts w:asciiTheme="minorHAnsi" w:hAnsiTheme="minorHAnsi"/>
        </w:rPr>
        <w:t xml:space="preserve">Parties that </w:t>
      </w:r>
      <w:r w:rsidR="00F126E5" w:rsidRPr="00AD65E1">
        <w:rPr>
          <w:rFonts w:asciiTheme="minorHAnsi" w:hAnsiTheme="minorHAnsi"/>
        </w:rPr>
        <w:t xml:space="preserve">have neither paid their </w:t>
      </w:r>
      <w:r w:rsidR="00B32E40" w:rsidRPr="00AD65E1">
        <w:rPr>
          <w:rFonts w:asciiTheme="minorHAnsi" w:hAnsiTheme="minorHAnsi"/>
        </w:rPr>
        <w:t>arrears</w:t>
      </w:r>
      <w:r w:rsidR="00F126E5" w:rsidRPr="00AD65E1">
        <w:rPr>
          <w:rFonts w:asciiTheme="minorHAnsi" w:hAnsiTheme="minorHAnsi"/>
        </w:rPr>
        <w:t xml:space="preserve"> nor submitted a payment plan for this purpose</w:t>
      </w:r>
      <w:r w:rsidR="00B32E40" w:rsidRPr="00AD65E1">
        <w:rPr>
          <w:rFonts w:asciiTheme="minorHAnsi" w:hAnsiTheme="minorHAnsi"/>
        </w:rPr>
        <w:t xml:space="preserve">; </w:t>
      </w:r>
    </w:p>
    <w:bookmarkEnd w:id="1"/>
    <w:p w:rsidR="00B32E40" w:rsidRPr="00FB1011" w:rsidRDefault="00B32E40" w:rsidP="00AD65E1">
      <w:pPr>
        <w:rPr>
          <w:rFonts w:asciiTheme="minorHAnsi" w:hAnsiTheme="minorHAnsi"/>
        </w:rPr>
      </w:pPr>
    </w:p>
    <w:p w:rsidR="00B32E40" w:rsidRPr="00AD65E1" w:rsidRDefault="00AD65E1" w:rsidP="00AD65E1">
      <w:pPr>
        <w:rPr>
          <w:rFonts w:asciiTheme="minorHAnsi" w:hAnsiTheme="minorHAnsi"/>
        </w:rPr>
      </w:pPr>
      <w:r>
        <w:rPr>
          <w:rFonts w:asciiTheme="minorHAnsi" w:hAnsiTheme="minorHAnsi"/>
        </w:rPr>
        <w:t>20.</w:t>
      </w:r>
      <w:r>
        <w:rPr>
          <w:rFonts w:asciiTheme="minorHAnsi" w:hAnsiTheme="minorHAnsi"/>
        </w:rPr>
        <w:tab/>
      </w:r>
      <w:r w:rsidR="00B32E40" w:rsidRPr="00AD65E1">
        <w:rPr>
          <w:rFonts w:asciiTheme="minorHAnsi" w:hAnsiTheme="minorHAnsi"/>
        </w:rPr>
        <w:t xml:space="preserve">NOTES with concern the continued fall in voluntary contributions from Contracting Parties and URGES Contracting Parties and others to reverse this trend in order to fund important non-core </w:t>
      </w:r>
      <w:r w:rsidR="00957260" w:rsidRPr="00AD65E1">
        <w:rPr>
          <w:rFonts w:asciiTheme="minorHAnsi" w:hAnsiTheme="minorHAnsi"/>
        </w:rPr>
        <w:t>priorities for 2019-2021</w:t>
      </w:r>
      <w:r w:rsidR="001D0FDF" w:rsidRPr="00AD65E1">
        <w:rPr>
          <w:rFonts w:asciiTheme="minorHAnsi" w:hAnsiTheme="minorHAnsi"/>
        </w:rPr>
        <w:t xml:space="preserve"> to support the unfunded core areas of the Secretariat’s work and priorities arising from Resolutions</w:t>
      </w:r>
      <w:r w:rsidR="00B32E40" w:rsidRPr="00AD65E1">
        <w:rPr>
          <w:rFonts w:asciiTheme="minorHAnsi" w:hAnsiTheme="minorHAnsi"/>
        </w:rPr>
        <w:t>;</w:t>
      </w:r>
    </w:p>
    <w:p w:rsidR="00730CBE" w:rsidRPr="00AA24E2" w:rsidRDefault="00730CBE" w:rsidP="00AD65E1">
      <w:pPr>
        <w:rPr>
          <w:rFonts w:asciiTheme="minorHAnsi" w:hAnsiTheme="minorHAnsi"/>
        </w:rPr>
      </w:pPr>
    </w:p>
    <w:p w:rsidR="0049707C" w:rsidRPr="00AD65E1" w:rsidRDefault="00AD65E1" w:rsidP="00AD65E1">
      <w:pPr>
        <w:rPr>
          <w:rFonts w:asciiTheme="minorHAnsi" w:hAnsiTheme="minorHAnsi"/>
        </w:rPr>
      </w:pPr>
      <w:r>
        <w:rPr>
          <w:rFonts w:asciiTheme="minorHAnsi" w:hAnsiTheme="minorHAnsi"/>
        </w:rPr>
        <w:t>21.</w:t>
      </w:r>
      <w:r>
        <w:rPr>
          <w:rFonts w:asciiTheme="minorHAnsi" w:hAnsiTheme="minorHAnsi"/>
        </w:rPr>
        <w:tab/>
      </w:r>
      <w:r w:rsidR="00730CBE" w:rsidRPr="00AD65E1">
        <w:rPr>
          <w:rFonts w:asciiTheme="minorHAnsi" w:hAnsiTheme="minorHAnsi"/>
        </w:rPr>
        <w:t>REQUESTS the Secretariat to undertake approaches to secure voluntary financial support for activities to implement the Convention</w:t>
      </w:r>
      <w:r w:rsidR="00E50224" w:rsidRPr="00AD65E1">
        <w:rPr>
          <w:rFonts w:asciiTheme="minorHAnsi" w:hAnsiTheme="minorHAnsi"/>
        </w:rPr>
        <w:t xml:space="preserve"> </w:t>
      </w:r>
      <w:r w:rsidR="004F18A1" w:rsidRPr="00AD65E1">
        <w:rPr>
          <w:rFonts w:asciiTheme="minorHAnsi" w:hAnsiTheme="minorHAnsi"/>
        </w:rPr>
        <w:t>in line with the Secretariat’s resource mobilization action plan (see document</w:t>
      </w:r>
      <w:r w:rsidR="00B02FB3" w:rsidRPr="00AD65E1">
        <w:rPr>
          <w:rFonts w:asciiTheme="minorHAnsi" w:hAnsiTheme="minorHAnsi"/>
        </w:rPr>
        <w:t xml:space="preserve"> </w:t>
      </w:r>
      <w:r w:rsidR="004149AD" w:rsidRPr="00AD65E1">
        <w:rPr>
          <w:rFonts w:asciiTheme="minorHAnsi" w:hAnsiTheme="minorHAnsi"/>
        </w:rPr>
        <w:t xml:space="preserve">Doc. </w:t>
      </w:r>
      <w:r w:rsidR="00322C05" w:rsidRPr="00AD65E1">
        <w:rPr>
          <w:rFonts w:asciiTheme="minorHAnsi" w:hAnsiTheme="minorHAnsi"/>
        </w:rPr>
        <w:t>SC54-17</w:t>
      </w:r>
      <w:r w:rsidR="004F18A1" w:rsidRPr="00AD65E1">
        <w:rPr>
          <w:rFonts w:asciiTheme="minorHAnsi" w:hAnsiTheme="minorHAnsi"/>
        </w:rPr>
        <w:t>)</w:t>
      </w:r>
      <w:r w:rsidR="000467E7" w:rsidRPr="00AD65E1">
        <w:rPr>
          <w:rFonts w:asciiTheme="minorHAnsi" w:hAnsiTheme="minorHAnsi"/>
        </w:rPr>
        <w:t>;</w:t>
      </w:r>
    </w:p>
    <w:p w:rsidR="004F18A1" w:rsidRPr="00977E6E" w:rsidRDefault="004F18A1" w:rsidP="00AD65E1">
      <w:pPr>
        <w:pStyle w:val="ListParagraph"/>
        <w:ind w:left="425"/>
        <w:rPr>
          <w:rFonts w:cs="Arial"/>
          <w:i/>
        </w:rPr>
      </w:pPr>
    </w:p>
    <w:p w:rsidR="007D064F" w:rsidRPr="00AD65E1" w:rsidRDefault="00AD65E1" w:rsidP="00AD65E1">
      <w:pPr>
        <w:rPr>
          <w:rFonts w:asciiTheme="minorHAnsi" w:hAnsiTheme="minorHAnsi"/>
        </w:rPr>
      </w:pPr>
      <w:r>
        <w:rPr>
          <w:rFonts w:asciiTheme="minorHAnsi" w:hAnsiTheme="minorHAnsi"/>
        </w:rPr>
        <w:lastRenderedPageBreak/>
        <w:t>22.</w:t>
      </w:r>
      <w:r>
        <w:rPr>
          <w:rFonts w:asciiTheme="minorHAnsi" w:hAnsiTheme="minorHAnsi"/>
        </w:rPr>
        <w:tab/>
      </w:r>
      <w:r w:rsidR="007D064F" w:rsidRPr="00AD65E1">
        <w:rPr>
          <w:rFonts w:asciiTheme="minorHAnsi" w:hAnsiTheme="minorHAnsi"/>
        </w:rPr>
        <w:t>NOTES WITH GRATITUDE that</w:t>
      </w:r>
      <w:r w:rsidR="00422BD2" w:rsidRPr="00AD65E1">
        <w:rPr>
          <w:rFonts w:asciiTheme="minorHAnsi" w:hAnsiTheme="minorHAnsi"/>
        </w:rPr>
        <w:t>,</w:t>
      </w:r>
      <w:r w:rsidR="007D064F" w:rsidRPr="00AD65E1">
        <w:rPr>
          <w:rFonts w:asciiTheme="minorHAnsi" w:hAnsiTheme="minorHAnsi"/>
        </w:rPr>
        <w:t xml:space="preserve"> at the 10th meeting of the Conference of the Parties</w:t>
      </w:r>
      <w:r w:rsidR="00422BD2" w:rsidRPr="00AD65E1">
        <w:rPr>
          <w:rFonts w:asciiTheme="minorHAnsi" w:hAnsiTheme="minorHAnsi"/>
        </w:rPr>
        <w:t>,</w:t>
      </w:r>
      <w:r w:rsidR="007D064F" w:rsidRPr="00AD65E1">
        <w:rPr>
          <w:rFonts w:asciiTheme="minorHAnsi" w:hAnsiTheme="minorHAnsi"/>
        </w:rPr>
        <w:t xml:space="preserve"> the Contracting Parties of Africa assessed at less than CHF 2,000 agreed to increase their payments to that level, and that the difference between CHF 2,000 and their assessment will form a voluntary contribution specifically earmarked for African Regional Initiatives; </w:t>
      </w:r>
    </w:p>
    <w:p w:rsidR="00B02FB3" w:rsidRDefault="00B02FB3" w:rsidP="00AD65E1">
      <w:pPr>
        <w:pStyle w:val="ListParagraph"/>
        <w:ind w:left="425"/>
        <w:rPr>
          <w:rFonts w:asciiTheme="minorHAnsi" w:hAnsiTheme="minorHAnsi"/>
        </w:rPr>
      </w:pPr>
    </w:p>
    <w:p w:rsidR="00C61012" w:rsidRPr="00AD65E1" w:rsidRDefault="00AD65E1" w:rsidP="00AD65E1">
      <w:pPr>
        <w:rPr>
          <w:rFonts w:asciiTheme="minorHAnsi" w:hAnsiTheme="minorHAnsi"/>
        </w:rPr>
      </w:pPr>
      <w:r>
        <w:rPr>
          <w:rFonts w:asciiTheme="minorHAnsi" w:hAnsiTheme="minorHAnsi"/>
        </w:rPr>
        <w:t>23.</w:t>
      </w:r>
      <w:r>
        <w:rPr>
          <w:rFonts w:asciiTheme="minorHAnsi" w:hAnsiTheme="minorHAnsi"/>
        </w:rPr>
        <w:tab/>
      </w:r>
      <w:r w:rsidR="001D5FC6" w:rsidRPr="00AD65E1">
        <w:rPr>
          <w:rFonts w:asciiTheme="minorHAnsi" w:hAnsiTheme="minorHAnsi"/>
        </w:rPr>
        <w:t>AGREES</w:t>
      </w:r>
      <w:r w:rsidR="004B08CD" w:rsidRPr="00AD65E1">
        <w:rPr>
          <w:rFonts w:asciiTheme="minorHAnsi" w:hAnsiTheme="minorHAnsi"/>
        </w:rPr>
        <w:t xml:space="preserve"> to cease the Small Grants Fund Programme</w:t>
      </w:r>
      <w:r w:rsidR="00D6650E" w:rsidRPr="00AD65E1">
        <w:rPr>
          <w:rFonts w:asciiTheme="minorHAnsi" w:hAnsiTheme="minorHAnsi"/>
        </w:rPr>
        <w:t xml:space="preserve"> and </w:t>
      </w:r>
      <w:r w:rsidR="00C61012" w:rsidRPr="00AD65E1">
        <w:rPr>
          <w:rFonts w:asciiTheme="minorHAnsi" w:hAnsiTheme="minorHAnsi"/>
        </w:rPr>
        <w:t>EXPRESSES gratitude to the government</w:t>
      </w:r>
      <w:r w:rsidR="00382F90" w:rsidRPr="00AD65E1">
        <w:rPr>
          <w:rFonts w:asciiTheme="minorHAnsi" w:hAnsiTheme="minorHAnsi"/>
        </w:rPr>
        <w:t>s</w:t>
      </w:r>
      <w:r w:rsidR="00C61012" w:rsidRPr="00AD65E1">
        <w:rPr>
          <w:rFonts w:asciiTheme="minorHAnsi" w:hAnsiTheme="minorHAnsi"/>
        </w:rPr>
        <w:t xml:space="preserve"> of Switzerland</w:t>
      </w:r>
      <w:r w:rsidR="00F136F5" w:rsidRPr="00AD65E1">
        <w:rPr>
          <w:rFonts w:asciiTheme="minorHAnsi" w:hAnsiTheme="minorHAnsi"/>
        </w:rPr>
        <w:t>,</w:t>
      </w:r>
      <w:r w:rsidR="00C61012" w:rsidRPr="00AD65E1">
        <w:rPr>
          <w:rFonts w:asciiTheme="minorHAnsi" w:hAnsiTheme="minorHAnsi"/>
        </w:rPr>
        <w:t xml:space="preserve"> </w:t>
      </w:r>
      <w:r w:rsidR="00382F90" w:rsidRPr="00AD65E1">
        <w:rPr>
          <w:rFonts w:asciiTheme="minorHAnsi" w:hAnsiTheme="minorHAnsi"/>
        </w:rPr>
        <w:t xml:space="preserve">the </w:t>
      </w:r>
      <w:r w:rsidR="00C61012" w:rsidRPr="00AD65E1">
        <w:rPr>
          <w:rFonts w:asciiTheme="minorHAnsi" w:hAnsiTheme="minorHAnsi"/>
        </w:rPr>
        <w:t>United States of America and to Danone</w:t>
      </w:r>
      <w:r w:rsidR="0078029B" w:rsidRPr="00AD65E1">
        <w:rPr>
          <w:rFonts w:asciiTheme="minorHAnsi" w:hAnsiTheme="minorHAnsi"/>
        </w:rPr>
        <w:t>,</w:t>
      </w:r>
      <w:r w:rsidR="00382F90" w:rsidRPr="00AD65E1">
        <w:rPr>
          <w:rFonts w:asciiTheme="minorHAnsi" w:hAnsiTheme="minorHAnsi"/>
        </w:rPr>
        <w:t xml:space="preserve"> the</w:t>
      </w:r>
      <w:r w:rsidR="00C61012" w:rsidRPr="00AD65E1">
        <w:rPr>
          <w:rFonts w:asciiTheme="minorHAnsi" w:hAnsiTheme="minorHAnsi"/>
        </w:rPr>
        <w:t xml:space="preserve"> MAVA Foundation </w:t>
      </w:r>
      <w:r w:rsidR="0078029B" w:rsidRPr="00AD65E1">
        <w:rPr>
          <w:rFonts w:asciiTheme="minorHAnsi" w:hAnsiTheme="minorHAnsi"/>
        </w:rPr>
        <w:t xml:space="preserve">and the Nagao Natural Environment Foundation </w:t>
      </w:r>
      <w:r w:rsidR="00C61012" w:rsidRPr="00AD65E1">
        <w:rPr>
          <w:rFonts w:asciiTheme="minorHAnsi" w:hAnsiTheme="minorHAnsi"/>
        </w:rPr>
        <w:t>for their voluntary contributions to non-core activities of the Convention nam</w:t>
      </w:r>
      <w:r w:rsidR="00896FD6" w:rsidRPr="00AD65E1">
        <w:rPr>
          <w:rFonts w:asciiTheme="minorHAnsi" w:hAnsiTheme="minorHAnsi"/>
        </w:rPr>
        <w:t>ely, the Swiss Grant for Africa</w:t>
      </w:r>
      <w:r w:rsidR="008C6E36" w:rsidRPr="00AD65E1">
        <w:rPr>
          <w:rFonts w:asciiTheme="minorHAnsi" w:hAnsiTheme="minorHAnsi"/>
        </w:rPr>
        <w:t>,</w:t>
      </w:r>
      <w:r w:rsidR="00C61012" w:rsidRPr="00AD65E1">
        <w:rPr>
          <w:rFonts w:asciiTheme="minorHAnsi" w:hAnsiTheme="minorHAnsi"/>
        </w:rPr>
        <w:t xml:space="preserve"> Wetland</w:t>
      </w:r>
      <w:r w:rsidR="00672D6E" w:rsidRPr="00AD65E1">
        <w:rPr>
          <w:rFonts w:asciiTheme="minorHAnsi" w:hAnsiTheme="minorHAnsi"/>
        </w:rPr>
        <w:t>s</w:t>
      </w:r>
      <w:r w:rsidR="00C61012" w:rsidRPr="00AD65E1">
        <w:rPr>
          <w:rFonts w:asciiTheme="minorHAnsi" w:hAnsiTheme="minorHAnsi"/>
        </w:rPr>
        <w:t xml:space="preserve"> for the Future</w:t>
      </w:r>
      <w:r w:rsidR="00672D6E" w:rsidRPr="00AD65E1">
        <w:rPr>
          <w:rFonts w:asciiTheme="minorHAnsi" w:hAnsiTheme="minorHAnsi"/>
        </w:rPr>
        <w:t xml:space="preserve"> Fund</w:t>
      </w:r>
      <w:r w:rsidR="008C6E36" w:rsidRPr="00AD65E1">
        <w:rPr>
          <w:rFonts w:asciiTheme="minorHAnsi" w:hAnsiTheme="minorHAnsi"/>
        </w:rPr>
        <w:t xml:space="preserve"> and Nagao Wetland Fund</w:t>
      </w:r>
      <w:r w:rsidR="00382F90" w:rsidRPr="00AD65E1">
        <w:rPr>
          <w:rFonts w:asciiTheme="minorHAnsi" w:hAnsiTheme="minorHAnsi"/>
        </w:rPr>
        <w:t>;</w:t>
      </w:r>
      <w:r w:rsidR="00C61012" w:rsidRPr="00AD65E1">
        <w:rPr>
          <w:rFonts w:asciiTheme="minorHAnsi" w:hAnsiTheme="minorHAnsi"/>
        </w:rPr>
        <w:t xml:space="preserve"> </w:t>
      </w:r>
    </w:p>
    <w:p w:rsidR="007D064F" w:rsidRPr="00FB1011" w:rsidRDefault="007D064F" w:rsidP="00AD65E1">
      <w:pPr>
        <w:rPr>
          <w:rFonts w:asciiTheme="minorHAnsi" w:hAnsiTheme="minorHAnsi"/>
        </w:rPr>
      </w:pPr>
    </w:p>
    <w:p w:rsidR="00B87A76" w:rsidRPr="00AD65E1" w:rsidRDefault="00AD65E1" w:rsidP="00AD65E1">
      <w:pPr>
        <w:rPr>
          <w:rFonts w:asciiTheme="minorHAnsi" w:hAnsiTheme="minorHAnsi"/>
        </w:rPr>
      </w:pPr>
      <w:r>
        <w:rPr>
          <w:rFonts w:asciiTheme="minorHAnsi" w:hAnsiTheme="minorHAnsi"/>
        </w:rPr>
        <w:t>24.</w:t>
      </w:r>
      <w:r>
        <w:rPr>
          <w:rFonts w:asciiTheme="minorHAnsi" w:hAnsiTheme="minorHAnsi"/>
        </w:rPr>
        <w:tab/>
      </w:r>
      <w:r w:rsidR="00B87A76" w:rsidRPr="00AD65E1">
        <w:rPr>
          <w:rFonts w:asciiTheme="minorHAnsi" w:hAnsiTheme="minorHAnsi"/>
        </w:rPr>
        <w:t>DECIDES that the Reserve Fund:</w:t>
      </w:r>
      <w:r w:rsidR="00C6757F" w:rsidRPr="00AD65E1">
        <w:rPr>
          <w:rFonts w:asciiTheme="minorHAnsi" w:hAnsiTheme="minorHAnsi"/>
        </w:rPr>
        <w:t xml:space="preserve"> </w:t>
      </w:r>
    </w:p>
    <w:p w:rsidR="00B87A76" w:rsidRPr="00422BD2" w:rsidRDefault="00B87A76" w:rsidP="00AD65E1">
      <w:pPr>
        <w:pStyle w:val="MGfulltext"/>
        <w:numPr>
          <w:ilvl w:val="1"/>
          <w:numId w:val="30"/>
        </w:numPr>
        <w:spacing w:after="0"/>
        <w:ind w:left="850" w:hanging="425"/>
        <w:rPr>
          <w:rFonts w:asciiTheme="minorHAnsi" w:eastAsia="Batang" w:hAnsiTheme="minorHAnsi" w:cs="Times New Roman"/>
          <w:sz w:val="22"/>
          <w:szCs w:val="22"/>
        </w:rPr>
      </w:pPr>
      <w:r w:rsidRPr="00422BD2">
        <w:rPr>
          <w:rFonts w:asciiTheme="minorHAnsi" w:eastAsia="Batang" w:hAnsiTheme="minorHAnsi" w:cs="Times New Roman"/>
          <w:sz w:val="22"/>
          <w:szCs w:val="22"/>
        </w:rPr>
        <w:t>provides for unforeseen and unavoidable expenditures;</w:t>
      </w:r>
    </w:p>
    <w:p w:rsidR="00C6757F" w:rsidRPr="00422BD2" w:rsidRDefault="00C6757F" w:rsidP="00AD65E1">
      <w:pPr>
        <w:pStyle w:val="MGfulltext"/>
        <w:numPr>
          <w:ilvl w:val="1"/>
          <w:numId w:val="30"/>
        </w:numPr>
        <w:spacing w:after="0"/>
        <w:ind w:left="850" w:hanging="425"/>
        <w:rPr>
          <w:rFonts w:asciiTheme="minorHAnsi" w:eastAsia="Batang" w:hAnsiTheme="minorHAnsi" w:cs="Times New Roman"/>
          <w:sz w:val="22"/>
          <w:szCs w:val="22"/>
        </w:rPr>
      </w:pPr>
      <w:r w:rsidRPr="00422BD2">
        <w:rPr>
          <w:rFonts w:asciiTheme="minorHAnsi" w:eastAsia="Batang" w:hAnsiTheme="minorHAnsi" w:cs="Times New Roman"/>
          <w:sz w:val="22"/>
          <w:szCs w:val="22"/>
        </w:rPr>
        <w:t>receives realized triennial core budget surpluses (or deficits);</w:t>
      </w:r>
    </w:p>
    <w:p w:rsidR="00B87A76" w:rsidRPr="00422BD2" w:rsidRDefault="00B87A76" w:rsidP="00AD65E1">
      <w:pPr>
        <w:pStyle w:val="MGfulltext"/>
        <w:numPr>
          <w:ilvl w:val="1"/>
          <w:numId w:val="30"/>
        </w:numPr>
        <w:spacing w:after="0"/>
        <w:ind w:left="850" w:hanging="425"/>
        <w:rPr>
          <w:rFonts w:asciiTheme="minorHAnsi" w:eastAsia="Batang" w:hAnsiTheme="minorHAnsi" w:cs="Times New Roman"/>
          <w:sz w:val="22"/>
          <w:szCs w:val="22"/>
        </w:rPr>
      </w:pPr>
      <w:r w:rsidRPr="00422BD2">
        <w:rPr>
          <w:rFonts w:asciiTheme="minorHAnsi" w:eastAsia="Batang" w:hAnsiTheme="minorHAnsi" w:cs="Times New Roman"/>
          <w:sz w:val="22"/>
          <w:szCs w:val="22"/>
        </w:rPr>
        <w:t>should not be lower than 6% of t</w:t>
      </w:r>
      <w:r w:rsidR="00AA063C" w:rsidRPr="00422BD2">
        <w:rPr>
          <w:rFonts w:asciiTheme="minorHAnsi" w:eastAsia="Batang" w:hAnsiTheme="minorHAnsi" w:cs="Times New Roman"/>
          <w:sz w:val="22"/>
          <w:szCs w:val="22"/>
        </w:rPr>
        <w:t>h</w:t>
      </w:r>
      <w:r w:rsidRPr="00422BD2">
        <w:rPr>
          <w:rFonts w:asciiTheme="minorHAnsi" w:eastAsia="Batang" w:hAnsiTheme="minorHAnsi" w:cs="Times New Roman"/>
          <w:sz w:val="22"/>
          <w:szCs w:val="22"/>
        </w:rPr>
        <w:t>e annual core budget of the Convention and not greater than 15%;</w:t>
      </w:r>
    </w:p>
    <w:p w:rsidR="00B87A76" w:rsidRPr="00422BD2" w:rsidRDefault="00B87A76" w:rsidP="00AD65E1">
      <w:pPr>
        <w:pStyle w:val="MGfulltext"/>
        <w:numPr>
          <w:ilvl w:val="1"/>
          <w:numId w:val="30"/>
        </w:numPr>
        <w:spacing w:after="0"/>
        <w:ind w:left="850" w:hanging="425"/>
        <w:rPr>
          <w:rFonts w:asciiTheme="minorHAnsi" w:eastAsia="Batang" w:hAnsiTheme="minorHAnsi" w:cs="Times New Roman"/>
          <w:sz w:val="22"/>
          <w:szCs w:val="22"/>
        </w:rPr>
      </w:pPr>
      <w:r w:rsidRPr="00422BD2">
        <w:rPr>
          <w:rFonts w:asciiTheme="minorHAnsi" w:eastAsia="Batang" w:hAnsiTheme="minorHAnsi" w:cs="Times New Roman"/>
          <w:sz w:val="22"/>
          <w:szCs w:val="22"/>
        </w:rPr>
        <w:t>should be administered by the Secretary General with the approval of the Subgroup on Finance established by the Standing Committee;</w:t>
      </w:r>
    </w:p>
    <w:p w:rsidR="00422BD2" w:rsidRPr="00422BD2" w:rsidRDefault="00422BD2" w:rsidP="00A616A2">
      <w:pPr>
        <w:ind w:left="426" w:hanging="426"/>
        <w:rPr>
          <w:rFonts w:asciiTheme="minorHAnsi" w:hAnsiTheme="minorHAnsi"/>
        </w:rPr>
      </w:pPr>
    </w:p>
    <w:p w:rsidR="00DD4FC4" w:rsidRPr="00AD65E1" w:rsidRDefault="00AD65E1" w:rsidP="00AD65E1">
      <w:pPr>
        <w:rPr>
          <w:rFonts w:asciiTheme="minorHAnsi" w:hAnsiTheme="minorHAnsi"/>
        </w:rPr>
      </w:pPr>
      <w:r>
        <w:rPr>
          <w:rFonts w:asciiTheme="minorHAnsi" w:hAnsiTheme="minorHAnsi"/>
        </w:rPr>
        <w:t>25.</w:t>
      </w:r>
      <w:r>
        <w:rPr>
          <w:rFonts w:asciiTheme="minorHAnsi" w:hAnsiTheme="minorHAnsi"/>
        </w:rPr>
        <w:tab/>
      </w:r>
      <w:r w:rsidR="0046771B" w:rsidRPr="00AD65E1">
        <w:rPr>
          <w:rFonts w:asciiTheme="minorHAnsi" w:hAnsiTheme="minorHAnsi"/>
        </w:rPr>
        <w:t xml:space="preserve">REQUESTS the Secretariat to endeavour to maintain the Reserve Fund over the 2019-2021 triennium and to report annually to the Standing Committee on </w:t>
      </w:r>
      <w:r w:rsidR="005F6AE1" w:rsidRPr="00AD65E1">
        <w:rPr>
          <w:rFonts w:asciiTheme="minorHAnsi" w:hAnsiTheme="minorHAnsi"/>
        </w:rPr>
        <w:t>its</w:t>
      </w:r>
      <w:r w:rsidR="0046771B" w:rsidRPr="00AD65E1">
        <w:rPr>
          <w:rFonts w:asciiTheme="minorHAnsi" w:hAnsiTheme="minorHAnsi"/>
        </w:rPr>
        <w:t xml:space="preserve"> status and </w:t>
      </w:r>
      <w:r w:rsidR="005F6AE1" w:rsidRPr="00AD65E1">
        <w:rPr>
          <w:rFonts w:asciiTheme="minorHAnsi" w:hAnsiTheme="minorHAnsi"/>
        </w:rPr>
        <w:t xml:space="preserve">to seek the concurrence of the </w:t>
      </w:r>
      <w:r w:rsidR="0046771B" w:rsidRPr="00AD65E1">
        <w:rPr>
          <w:rFonts w:asciiTheme="minorHAnsi" w:hAnsiTheme="minorHAnsi"/>
        </w:rPr>
        <w:t>Subgroup on Finance prior to any use of the Fund</w:t>
      </w:r>
      <w:r w:rsidR="00E17EE6" w:rsidRPr="00AD65E1">
        <w:rPr>
          <w:rFonts w:asciiTheme="minorHAnsi" w:hAnsiTheme="minorHAnsi"/>
        </w:rPr>
        <w:t>;</w:t>
      </w:r>
      <w:r w:rsidR="0046771B" w:rsidRPr="00AD65E1">
        <w:rPr>
          <w:rFonts w:asciiTheme="minorHAnsi" w:hAnsiTheme="minorHAnsi"/>
        </w:rPr>
        <w:t xml:space="preserve"> </w:t>
      </w:r>
    </w:p>
    <w:p w:rsidR="0046771B" w:rsidRPr="00AD65E1" w:rsidRDefault="0046771B" w:rsidP="00AD65E1">
      <w:pPr>
        <w:rPr>
          <w:rFonts w:asciiTheme="minorHAnsi" w:hAnsiTheme="minorHAnsi"/>
        </w:rPr>
      </w:pPr>
    </w:p>
    <w:p w:rsidR="008C6E36" w:rsidRPr="00AD65E1" w:rsidRDefault="00AD65E1" w:rsidP="00AD65E1">
      <w:pPr>
        <w:rPr>
          <w:rFonts w:asciiTheme="minorHAnsi" w:hAnsiTheme="minorHAnsi"/>
        </w:rPr>
      </w:pPr>
      <w:r>
        <w:rPr>
          <w:rFonts w:asciiTheme="minorHAnsi" w:hAnsiTheme="minorHAnsi"/>
        </w:rPr>
        <w:t>26.</w:t>
      </w:r>
      <w:r>
        <w:rPr>
          <w:rFonts w:asciiTheme="minorHAnsi" w:hAnsiTheme="minorHAnsi"/>
        </w:rPr>
        <w:tab/>
      </w:r>
      <w:r w:rsidR="005863D6" w:rsidRPr="00AD65E1">
        <w:rPr>
          <w:rFonts w:asciiTheme="minorHAnsi" w:hAnsiTheme="minorHAnsi"/>
        </w:rPr>
        <w:t xml:space="preserve">REQUESTS the Secretariat to utilize the UN Conference on Trade and Development’s list of Small Island Developing States (SIDS) when determining eligibility for sponsorship for delegate travel and to consider SIDS as </w:t>
      </w:r>
      <w:r w:rsidR="005F64E0" w:rsidRPr="00AD65E1">
        <w:rPr>
          <w:rFonts w:asciiTheme="minorHAnsi" w:hAnsiTheme="minorHAnsi"/>
        </w:rPr>
        <w:t>eligible</w:t>
      </w:r>
      <w:r w:rsidR="005863D6" w:rsidRPr="00AD65E1">
        <w:rPr>
          <w:rFonts w:asciiTheme="minorHAnsi" w:hAnsiTheme="minorHAnsi"/>
        </w:rPr>
        <w:t xml:space="preserve"> for support whether or not they are formally classified as such on economic grounds in the OECD Development Assistance Committee (DAC) list</w:t>
      </w:r>
      <w:r w:rsidR="00E17EE6" w:rsidRPr="00AD65E1">
        <w:rPr>
          <w:rFonts w:asciiTheme="minorHAnsi" w:hAnsiTheme="minorHAnsi"/>
        </w:rPr>
        <w:t>; and</w:t>
      </w:r>
    </w:p>
    <w:p w:rsidR="008C6E36" w:rsidRPr="00AD65E1" w:rsidRDefault="008C6E36" w:rsidP="00AD65E1">
      <w:pPr>
        <w:rPr>
          <w:rFonts w:asciiTheme="minorHAnsi" w:hAnsiTheme="minorHAnsi"/>
        </w:rPr>
      </w:pPr>
    </w:p>
    <w:p w:rsidR="00730CBE" w:rsidRPr="00AD65E1" w:rsidRDefault="00AD65E1" w:rsidP="00AD65E1">
      <w:pPr>
        <w:rPr>
          <w:rFonts w:asciiTheme="minorHAnsi" w:hAnsiTheme="minorHAnsi"/>
        </w:rPr>
      </w:pPr>
      <w:r>
        <w:rPr>
          <w:rFonts w:asciiTheme="minorHAnsi" w:hAnsiTheme="minorHAnsi"/>
        </w:rPr>
        <w:t>27.</w:t>
      </w:r>
      <w:r>
        <w:rPr>
          <w:rFonts w:asciiTheme="minorHAnsi" w:hAnsiTheme="minorHAnsi"/>
        </w:rPr>
        <w:tab/>
      </w:r>
      <w:r w:rsidR="00ED4036" w:rsidRPr="00AD65E1">
        <w:rPr>
          <w:rFonts w:asciiTheme="minorHAnsi" w:hAnsiTheme="minorHAnsi"/>
        </w:rPr>
        <w:t xml:space="preserve">CONFIRMS </w:t>
      </w:r>
      <w:r w:rsidR="00DD4FC4" w:rsidRPr="00AD65E1">
        <w:rPr>
          <w:rFonts w:asciiTheme="minorHAnsi" w:hAnsiTheme="minorHAnsi"/>
        </w:rPr>
        <w:t xml:space="preserve">that </w:t>
      </w:r>
      <w:r w:rsidR="008C6E36" w:rsidRPr="00AD65E1">
        <w:rPr>
          <w:rFonts w:asciiTheme="minorHAnsi" w:hAnsiTheme="minorHAnsi"/>
        </w:rPr>
        <w:t xml:space="preserve">this </w:t>
      </w:r>
      <w:r w:rsidR="00D41049" w:rsidRPr="00AD65E1">
        <w:rPr>
          <w:rFonts w:asciiTheme="minorHAnsi" w:hAnsiTheme="minorHAnsi"/>
        </w:rPr>
        <w:t xml:space="preserve">Resolution </w:t>
      </w:r>
      <w:r w:rsidR="00ED4036" w:rsidRPr="00AD65E1">
        <w:rPr>
          <w:rFonts w:asciiTheme="minorHAnsi" w:hAnsiTheme="minorHAnsi"/>
        </w:rPr>
        <w:t>and its annexes</w:t>
      </w:r>
      <w:r w:rsidR="00DD4FC4" w:rsidRPr="00AD65E1">
        <w:rPr>
          <w:rFonts w:asciiTheme="minorHAnsi" w:hAnsiTheme="minorHAnsi"/>
        </w:rPr>
        <w:t xml:space="preserve"> supersede</w:t>
      </w:r>
      <w:r w:rsidR="00D41049" w:rsidRPr="00AD65E1">
        <w:rPr>
          <w:rFonts w:asciiTheme="minorHAnsi" w:hAnsiTheme="minorHAnsi"/>
        </w:rPr>
        <w:t xml:space="preserve"> and replace </w:t>
      </w:r>
      <w:r w:rsidR="00ED4036" w:rsidRPr="00AD65E1">
        <w:rPr>
          <w:rFonts w:asciiTheme="minorHAnsi" w:hAnsiTheme="minorHAnsi"/>
        </w:rPr>
        <w:t xml:space="preserve">Resolution XII.1 </w:t>
      </w:r>
      <w:r w:rsidR="00EE60AF" w:rsidRPr="00AD65E1">
        <w:rPr>
          <w:rFonts w:asciiTheme="minorHAnsi" w:hAnsiTheme="minorHAnsi"/>
        </w:rPr>
        <w:t>(Punta del Este, 2015)</w:t>
      </w:r>
      <w:r w:rsidR="00913CF1" w:rsidRPr="00AD65E1">
        <w:rPr>
          <w:rFonts w:asciiTheme="minorHAnsi" w:hAnsiTheme="minorHAnsi"/>
        </w:rPr>
        <w:t>.</w:t>
      </w:r>
      <w:r w:rsidR="00EE60AF" w:rsidRPr="00AD65E1">
        <w:rPr>
          <w:rFonts w:asciiTheme="minorHAnsi" w:hAnsiTheme="minorHAnsi"/>
        </w:rPr>
        <w:t xml:space="preserve"> </w:t>
      </w:r>
    </w:p>
    <w:p w:rsidR="00730CBE" w:rsidRDefault="00730CBE" w:rsidP="00730CBE">
      <w:pPr>
        <w:rPr>
          <w:rFonts w:cs="Arial"/>
          <w:i/>
        </w:rPr>
      </w:pPr>
    </w:p>
    <w:p w:rsidR="00DD4FC4" w:rsidRDefault="00DD4FC4" w:rsidP="00730CBE">
      <w:pPr>
        <w:rPr>
          <w:rFonts w:cs="Arial"/>
          <w:i/>
        </w:rPr>
      </w:pPr>
    </w:p>
    <w:p w:rsidR="00DD4FC4" w:rsidRDefault="00DD4FC4" w:rsidP="00730CBE">
      <w:pPr>
        <w:rPr>
          <w:rFonts w:cs="Arial"/>
          <w:i/>
        </w:rPr>
      </w:pPr>
    </w:p>
    <w:p w:rsidR="00DD4FC4" w:rsidRPr="00730CBE" w:rsidRDefault="00DD4FC4" w:rsidP="00730CBE">
      <w:pPr>
        <w:rPr>
          <w:rFonts w:cs="Arial"/>
          <w:i/>
        </w:rPr>
      </w:pPr>
    </w:p>
    <w:p w:rsidR="00ED2630" w:rsidRDefault="00ED2630">
      <w:pPr>
        <w:rPr>
          <w:rFonts w:cs="Arial"/>
          <w:b/>
        </w:rPr>
        <w:sectPr w:rsidR="00ED2630" w:rsidSect="00ED2630">
          <w:headerReference w:type="default" r:id="rId9"/>
          <w:footerReference w:type="default" r:id="rId10"/>
          <w:pgSz w:w="11906" w:h="16838"/>
          <w:pgMar w:top="1440" w:right="1440" w:bottom="1440" w:left="1440" w:header="709" w:footer="709" w:gutter="0"/>
          <w:cols w:space="708"/>
          <w:titlePg/>
          <w:docGrid w:linePitch="360"/>
        </w:sectPr>
      </w:pPr>
    </w:p>
    <w:p w:rsidR="00ED2630" w:rsidRDefault="0049707C" w:rsidP="00A217FF">
      <w:pPr>
        <w:pStyle w:val="ListParagraph"/>
        <w:ind w:left="0" w:firstLine="0"/>
        <w:contextualSpacing w:val="0"/>
        <w:rPr>
          <w:rFonts w:cs="Arial"/>
          <w:b/>
          <w:sz w:val="24"/>
          <w:szCs w:val="24"/>
        </w:rPr>
      </w:pPr>
      <w:r w:rsidRPr="00A217FF">
        <w:rPr>
          <w:rFonts w:cs="Arial"/>
          <w:b/>
          <w:sz w:val="24"/>
          <w:szCs w:val="24"/>
        </w:rPr>
        <w:lastRenderedPageBreak/>
        <w:t>Annex 1</w:t>
      </w:r>
    </w:p>
    <w:p w:rsidR="0049707C" w:rsidRPr="00A217FF" w:rsidRDefault="0049707C" w:rsidP="00A217FF">
      <w:pPr>
        <w:pStyle w:val="ListParagraph"/>
        <w:ind w:left="0" w:firstLine="0"/>
        <w:contextualSpacing w:val="0"/>
        <w:rPr>
          <w:rFonts w:cs="Arial"/>
          <w:b/>
          <w:sz w:val="24"/>
          <w:szCs w:val="24"/>
        </w:rPr>
      </w:pPr>
      <w:r w:rsidRPr="00A217FF">
        <w:rPr>
          <w:rFonts w:cs="Arial"/>
          <w:b/>
          <w:sz w:val="24"/>
          <w:szCs w:val="24"/>
        </w:rPr>
        <w:t>Proposed budget scenarios for 2019-2021</w:t>
      </w:r>
    </w:p>
    <w:p w:rsidR="00A217FF" w:rsidRDefault="00A217FF" w:rsidP="00A217FF">
      <w:pPr>
        <w:pStyle w:val="ListParagraph"/>
        <w:ind w:left="0" w:firstLine="0"/>
        <w:contextualSpacing w:val="0"/>
        <w:rPr>
          <w:rFonts w:cs="Arial"/>
          <w:b/>
        </w:rPr>
      </w:pPr>
    </w:p>
    <w:p w:rsidR="0049707C" w:rsidRDefault="0049707C" w:rsidP="00A217FF">
      <w:pPr>
        <w:pStyle w:val="ListParagraph"/>
        <w:ind w:left="0" w:firstLine="0"/>
        <w:contextualSpacing w:val="0"/>
        <w:rPr>
          <w:rFonts w:cs="Arial"/>
          <w:b/>
        </w:rPr>
      </w:pPr>
      <w:r>
        <w:rPr>
          <w:rFonts w:cs="Arial"/>
          <w:b/>
        </w:rPr>
        <w:t>Scenario A, 0% increase compared to 2016-2018 triennium</w:t>
      </w:r>
    </w:p>
    <w:tbl>
      <w:tblPr>
        <w:tblW w:w="9242" w:type="dxa"/>
        <w:tblLook w:val="04A0" w:firstRow="1" w:lastRow="0" w:firstColumn="1" w:lastColumn="0" w:noHBand="0" w:noVBand="1"/>
      </w:tblPr>
      <w:tblGrid>
        <w:gridCol w:w="4641"/>
        <w:gridCol w:w="1203"/>
        <w:gridCol w:w="1072"/>
        <w:gridCol w:w="1046"/>
        <w:gridCol w:w="1280"/>
      </w:tblGrid>
      <w:tr w:rsidR="00C03DD1" w:rsidRPr="00A217FF" w:rsidTr="00A217FF">
        <w:tc>
          <w:tcPr>
            <w:tcW w:w="4641" w:type="dxa"/>
            <w:tcBorders>
              <w:top w:val="single" w:sz="4" w:space="0" w:color="auto"/>
              <w:left w:val="single" w:sz="4" w:space="0" w:color="auto"/>
              <w:bottom w:val="nil"/>
              <w:right w:val="single" w:sz="4" w:space="0" w:color="auto"/>
            </w:tcBorders>
            <w:shd w:val="clear" w:color="000000" w:fill="EBF1DE"/>
            <w:vAlign w:val="center"/>
            <w:hideMark/>
          </w:tcPr>
          <w:p w:rsidR="00C03DD1" w:rsidRPr="002D28C5" w:rsidRDefault="00C03DD1" w:rsidP="00A217FF">
            <w:pPr>
              <w:ind w:left="0" w:firstLine="0"/>
              <w:rPr>
                <w:rFonts w:asciiTheme="minorHAnsi" w:eastAsia="Times New Roman" w:hAnsiTheme="minorHAnsi" w:cs="Arial"/>
                <w:b/>
                <w:bCs/>
                <w:color w:val="1F497D"/>
                <w:sz w:val="24"/>
                <w:szCs w:val="24"/>
                <w:lang w:eastAsia="en-GB"/>
              </w:rPr>
            </w:pPr>
            <w:r w:rsidRPr="002D28C5">
              <w:rPr>
                <w:rFonts w:asciiTheme="minorHAnsi" w:eastAsia="Times New Roman" w:hAnsiTheme="minorHAnsi" w:cs="Arial"/>
                <w:b/>
                <w:bCs/>
                <w:color w:val="1F497D"/>
                <w:sz w:val="24"/>
                <w:szCs w:val="24"/>
                <w:lang w:eastAsia="en-GB"/>
              </w:rPr>
              <w:t>Ramsar Proposed Budget 2019-2021</w:t>
            </w:r>
          </w:p>
        </w:tc>
        <w:tc>
          <w:tcPr>
            <w:tcW w:w="1203" w:type="dxa"/>
            <w:tcBorders>
              <w:top w:val="single" w:sz="4" w:space="0" w:color="auto"/>
              <w:left w:val="nil"/>
              <w:bottom w:val="nil"/>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Budget 2019-2021</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203" w:type="dxa"/>
            <w:tcBorders>
              <w:top w:val="nil"/>
              <w:left w:val="nil"/>
              <w:bottom w:val="single" w:sz="4" w:space="0" w:color="auto"/>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rsidR="00C03DD1" w:rsidRPr="00A217FF" w:rsidRDefault="00C03DD1" w:rsidP="00A217FF">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3,779</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3,779</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3,779</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11,337</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Voluntary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1,065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3,195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225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675</w:t>
            </w:r>
          </w:p>
        </w:tc>
      </w:tr>
      <w:tr w:rsidR="00C03DD1" w:rsidRPr="00A217FF" w:rsidTr="00A217FF">
        <w:tc>
          <w:tcPr>
            <w:tcW w:w="4641" w:type="dxa"/>
            <w:tcBorders>
              <w:top w:val="nil"/>
              <w:left w:val="single" w:sz="4" w:space="0" w:color="auto"/>
              <w:bottom w:val="nil"/>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w:t>
            </w:r>
          </w:p>
        </w:tc>
      </w:tr>
      <w:tr w:rsidR="00C03DD1" w:rsidRPr="00A217FF" w:rsidTr="00A217FF">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15,243</w:t>
            </w:r>
          </w:p>
        </w:tc>
      </w:tr>
      <w:tr w:rsidR="00C03DD1" w:rsidRPr="00A217FF" w:rsidTr="00A217FF">
        <w:trPr>
          <w:trHeight w:val="397"/>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203" w:type="dxa"/>
            <w:tcBorders>
              <w:top w:val="nil"/>
              <w:left w:val="nil"/>
              <w:bottom w:val="single" w:sz="4" w:space="0" w:color="auto"/>
              <w:right w:val="single" w:sz="4" w:space="0" w:color="auto"/>
            </w:tcBorders>
            <w:shd w:val="clear" w:color="auto" w:fill="auto"/>
            <w:noWrap/>
            <w:vAlign w:val="bottom"/>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w:t>
            </w:r>
            <w:r w:rsidR="00C03DD1" w:rsidRPr="00A217FF">
              <w:rPr>
                <w:rFonts w:asciiTheme="minorHAnsi" w:eastAsia="Times New Roman" w:hAnsiTheme="minorHAnsi" w:cs="Arial"/>
                <w:b/>
                <w:bCs/>
                <w:color w:val="000000"/>
                <w:sz w:val="20"/>
                <w:szCs w:val="20"/>
                <w:lang w:eastAsia="en-GB"/>
              </w:rPr>
              <w:t xml:space="preserve"> Secretariat Senior Management</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2,950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2,791</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159</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B. </w:t>
            </w:r>
            <w:r w:rsidR="00C03DD1" w:rsidRPr="00A217FF">
              <w:rPr>
                <w:rFonts w:asciiTheme="minorHAnsi" w:eastAsia="Times New Roman" w:hAnsiTheme="minorHAnsi" w:cs="Arial"/>
                <w:b/>
                <w:bCs/>
                <w:sz w:val="20"/>
                <w:szCs w:val="20"/>
                <w:lang w:eastAsia="en-GB"/>
              </w:rPr>
              <w:t>Resource Mobilization and Outreach</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1,976</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1,368</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Web/IT support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209</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C. </w:t>
            </w:r>
            <w:r w:rsidR="00C03DD1" w:rsidRPr="00A217FF">
              <w:rPr>
                <w:rFonts w:asciiTheme="minorHAnsi" w:eastAsia="Times New Roman" w:hAnsiTheme="minorHAnsi" w:cs="Arial"/>
                <w:b/>
                <w:bCs/>
                <w:sz w:val="20"/>
                <w:szCs w:val="20"/>
                <w:lang w:eastAsia="en-GB"/>
              </w:rPr>
              <w:t>Regional Advice and Support</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1,250</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1,272</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1,286</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3,808</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1,178</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1,196</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1,214</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3,588</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w:t>
            </w:r>
            <w:r w:rsidR="00C03DD1" w:rsidRPr="00A217FF">
              <w:rPr>
                <w:rFonts w:asciiTheme="minorHAnsi" w:eastAsia="Times New Roman" w:hAnsiTheme="minorHAnsi" w:cs="Arial"/>
                <w:b/>
                <w:bCs/>
                <w:sz w:val="20"/>
                <w:szCs w:val="20"/>
                <w:lang w:eastAsia="en-GB"/>
              </w:rPr>
              <w:t xml:space="preserve"> Support to Regional Initiatives</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360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Regional networks and centers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E. </w:t>
            </w:r>
            <w:r w:rsidR="00C03DD1" w:rsidRPr="00A217FF">
              <w:rPr>
                <w:rFonts w:asciiTheme="minorHAnsi" w:eastAsia="Times New Roman" w:hAnsiTheme="minorHAnsi" w:cs="Arial"/>
                <w:b/>
                <w:bCs/>
                <w:sz w:val="20"/>
                <w:szCs w:val="20"/>
                <w:lang w:eastAsia="en-GB"/>
              </w:rPr>
              <w:t>Science and Policy</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749</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728</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717</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2,194</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1,700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meetings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(maintenance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96</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215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G. </w:t>
            </w:r>
            <w:r w:rsidR="00C03DD1" w:rsidRPr="00A217FF">
              <w:rPr>
                <w:rFonts w:asciiTheme="minorHAnsi" w:eastAsia="Times New Roman" w:hAnsiTheme="minorHAnsi" w:cs="Arial"/>
                <w:b/>
                <w:bCs/>
                <w:sz w:val="20"/>
                <w:szCs w:val="20"/>
                <w:lang w:eastAsia="en-GB"/>
              </w:rPr>
              <w:t>Administration</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493</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496</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500</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1,489</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217</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221</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224</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662</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Secretariat Staff Travel</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155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465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Operating Costs including equipment</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285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delegates’ support</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meetings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SC translation</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Simultaneous interpretation at SC meetings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I. </w:t>
            </w:r>
            <w:r w:rsidR="00C03DD1" w:rsidRPr="00A217FF">
              <w:rPr>
                <w:rFonts w:asciiTheme="minorHAnsi" w:eastAsia="Times New Roman" w:hAnsiTheme="minorHAnsi" w:cs="Arial"/>
                <w:b/>
                <w:bCs/>
                <w:sz w:val="20"/>
                <w:szCs w:val="20"/>
                <w:lang w:eastAsia="en-GB"/>
              </w:rPr>
              <w:t>IUCN Administrative Service Charges (maximum)</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1,686</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Administration, Human Resources, Finance &amp; IT services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1,686</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J. </w:t>
            </w:r>
            <w:r w:rsidR="00C03DD1" w:rsidRPr="00A217FF">
              <w:rPr>
                <w:rFonts w:asciiTheme="minorHAnsi" w:eastAsia="Times New Roman" w:hAnsiTheme="minorHAnsi" w:cs="Arial"/>
                <w:b/>
                <w:bCs/>
                <w:sz w:val="20"/>
                <w:szCs w:val="20"/>
                <w:lang w:eastAsia="en-GB"/>
              </w:rPr>
              <w:t>Miscellaneous - Reserve Fund</w:t>
            </w:r>
          </w:p>
        </w:tc>
        <w:tc>
          <w:tcPr>
            <w:tcW w:w="1203"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330</w:t>
            </w:r>
          </w:p>
        </w:tc>
      </w:tr>
      <w:tr w:rsidR="00C03DD1" w:rsidRPr="00A217FF"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C03DD1" w:rsidRPr="00A217FF" w:rsidTr="00A217FF">
        <w:tc>
          <w:tcPr>
            <w:tcW w:w="4641" w:type="dxa"/>
            <w:tcBorders>
              <w:top w:val="single" w:sz="4" w:space="0" w:color="auto"/>
              <w:left w:val="single" w:sz="4" w:space="0" w:color="auto"/>
              <w:bottom w:val="nil"/>
              <w:right w:val="single" w:sz="4" w:space="0" w:color="auto"/>
            </w:tcBorders>
            <w:shd w:val="clear" w:color="auto" w:fill="auto"/>
            <w:noWrap/>
            <w:vAlign w:val="center"/>
            <w:hideMark/>
          </w:tcPr>
          <w:p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203"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C03DD1" w:rsidRPr="00A217FF" w:rsidTr="00A217FF">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280" w:type="dxa"/>
            <w:tcBorders>
              <w:top w:val="nil"/>
              <w:left w:val="nil"/>
              <w:bottom w:val="single" w:sz="4" w:space="0" w:color="auto"/>
              <w:right w:val="single" w:sz="4" w:space="0" w:color="auto"/>
            </w:tcBorders>
            <w:shd w:val="clear" w:color="000000" w:fill="C4D79B"/>
            <w:noWrap/>
            <w:vAlign w:val="center"/>
            <w:hideMark/>
          </w:tcPr>
          <w:p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15,243</w:t>
            </w:r>
          </w:p>
        </w:tc>
      </w:tr>
    </w:tbl>
    <w:p w:rsidR="00C72A9C" w:rsidRPr="002D28C5" w:rsidRDefault="00C72A9C" w:rsidP="002D28C5">
      <w:pPr>
        <w:rPr>
          <w:rFonts w:cs="Arial"/>
          <w:b/>
        </w:rPr>
      </w:pPr>
      <w:r w:rsidRPr="002D28C5">
        <w:rPr>
          <w:rFonts w:cs="Arial"/>
          <w:b/>
        </w:rPr>
        <w:lastRenderedPageBreak/>
        <w:t>Scenario B, 2.9% increase</w:t>
      </w:r>
    </w:p>
    <w:tbl>
      <w:tblPr>
        <w:tblW w:w="9242" w:type="dxa"/>
        <w:tblLook w:val="04A0" w:firstRow="1" w:lastRow="0" w:firstColumn="1" w:lastColumn="0" w:noHBand="0" w:noVBand="1"/>
      </w:tblPr>
      <w:tblGrid>
        <w:gridCol w:w="4641"/>
        <w:gridCol w:w="1203"/>
        <w:gridCol w:w="1072"/>
        <w:gridCol w:w="1046"/>
        <w:gridCol w:w="1280"/>
      </w:tblGrid>
      <w:tr w:rsidR="002D28C5" w:rsidRPr="00A217FF" w:rsidTr="002D28C5">
        <w:tc>
          <w:tcPr>
            <w:tcW w:w="4641" w:type="dxa"/>
            <w:tcBorders>
              <w:top w:val="single" w:sz="4" w:space="0" w:color="auto"/>
              <w:left w:val="single" w:sz="4" w:space="0" w:color="auto"/>
              <w:bottom w:val="nil"/>
              <w:right w:val="single" w:sz="4" w:space="0" w:color="auto"/>
            </w:tcBorders>
            <w:shd w:val="clear" w:color="000000" w:fill="EBF1DE"/>
            <w:vAlign w:val="center"/>
            <w:hideMark/>
          </w:tcPr>
          <w:p w:rsidR="002D28C5" w:rsidRPr="002D28C5" w:rsidRDefault="002D28C5" w:rsidP="00D30053">
            <w:pPr>
              <w:ind w:left="0" w:firstLine="0"/>
              <w:rPr>
                <w:rFonts w:eastAsia="Times New Roman" w:cs="Arial"/>
                <w:b/>
                <w:bCs/>
                <w:color w:val="1F497D"/>
                <w:sz w:val="24"/>
                <w:szCs w:val="24"/>
                <w:lang w:eastAsia="en-GB"/>
              </w:rPr>
            </w:pPr>
            <w:r w:rsidRPr="002D28C5">
              <w:rPr>
                <w:rFonts w:eastAsia="Times New Roman" w:cs="Arial"/>
                <w:b/>
                <w:bCs/>
                <w:color w:val="1F497D"/>
                <w:sz w:val="24"/>
                <w:szCs w:val="24"/>
                <w:lang w:eastAsia="en-GB"/>
              </w:rPr>
              <w:t>2.9% increase, Proposed Budget 2019-2021</w:t>
            </w:r>
          </w:p>
        </w:tc>
        <w:tc>
          <w:tcPr>
            <w:tcW w:w="1203"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Budget 2019-2021</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203"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3,882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3,882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3,882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11,646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Voluntary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1,097</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1,097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1,097</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3,290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243</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243</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243</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729</w:t>
            </w:r>
          </w:p>
        </w:tc>
      </w:tr>
      <w:tr w:rsidR="002D28C5" w:rsidRPr="00A217FF" w:rsidTr="002D28C5">
        <w:tc>
          <w:tcPr>
            <w:tcW w:w="4641" w:type="dxa"/>
            <w:tcBorders>
              <w:top w:val="nil"/>
              <w:left w:val="single" w:sz="4" w:space="0" w:color="auto"/>
              <w:bottom w:val="nil"/>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11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33</w:t>
            </w:r>
          </w:p>
        </w:tc>
      </w:tr>
      <w:tr w:rsidR="002D28C5" w:rsidRPr="00A217FF"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15,698</w:t>
            </w:r>
          </w:p>
        </w:tc>
      </w:tr>
      <w:tr w:rsidR="002D28C5" w:rsidRPr="00A217FF" w:rsidTr="002D28C5">
        <w:trPr>
          <w:trHeight w:val="389"/>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203" w:type="dxa"/>
            <w:tcBorders>
              <w:top w:val="nil"/>
              <w:left w:val="nil"/>
              <w:bottom w:val="single" w:sz="4" w:space="0" w:color="auto"/>
              <w:right w:val="single" w:sz="4" w:space="0" w:color="auto"/>
            </w:tcBorders>
            <w:shd w:val="clear" w:color="auto" w:fill="auto"/>
            <w:noWrap/>
            <w:vAlign w:val="bottom"/>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2,950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2,791</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1,976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1,368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Web/IT support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209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1,250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1,272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1,286</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3,808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1,178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1,196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1,214</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3,588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360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Regional networks and centers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755</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733</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722</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2,210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1,700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150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(maintenance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97</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216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639</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642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647</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1,927</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298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302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306</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905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Secretariat Staff Travel</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525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Operating Costs including equipment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285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delegates’ support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SC translation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Simultaneous interpretation at SC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1,686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Administration, Human Resources, Finance &amp; IT services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1,686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330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2D28C5" w:rsidRPr="00A217FF" w:rsidTr="002D28C5">
        <w:tc>
          <w:tcPr>
            <w:tcW w:w="4641" w:type="dxa"/>
            <w:tcBorders>
              <w:top w:val="single" w:sz="4" w:space="0" w:color="auto"/>
              <w:left w:val="single" w:sz="4" w:space="0" w:color="auto"/>
              <w:bottom w:val="nil"/>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2D28C5" w:rsidRPr="00A217FF"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15,697</w:t>
            </w:r>
          </w:p>
        </w:tc>
      </w:tr>
    </w:tbl>
    <w:p w:rsidR="00ED2630" w:rsidRDefault="00ED2630" w:rsidP="002D28C5">
      <w:pPr>
        <w:rPr>
          <w:rFonts w:cs="Arial"/>
          <w:b/>
        </w:rPr>
      </w:pPr>
    </w:p>
    <w:p w:rsidR="00ED2630" w:rsidRDefault="00ED2630">
      <w:pPr>
        <w:rPr>
          <w:rFonts w:cs="Arial"/>
          <w:b/>
        </w:rPr>
      </w:pPr>
      <w:r>
        <w:rPr>
          <w:rFonts w:cs="Arial"/>
          <w:b/>
        </w:rPr>
        <w:br w:type="page"/>
      </w:r>
    </w:p>
    <w:p w:rsidR="00C03DD1" w:rsidRPr="002D28C5" w:rsidRDefault="00C03DD1" w:rsidP="002D28C5">
      <w:pPr>
        <w:rPr>
          <w:rFonts w:cs="Arial"/>
          <w:b/>
        </w:rPr>
      </w:pPr>
      <w:r w:rsidRPr="002D28C5">
        <w:rPr>
          <w:rFonts w:cs="Arial"/>
          <w:b/>
        </w:rPr>
        <w:lastRenderedPageBreak/>
        <w:t>Scenario C, 4.3% increase</w:t>
      </w:r>
    </w:p>
    <w:tbl>
      <w:tblPr>
        <w:tblW w:w="9242" w:type="dxa"/>
        <w:tblLook w:val="04A0" w:firstRow="1" w:lastRow="0" w:firstColumn="1" w:lastColumn="0" w:noHBand="0" w:noVBand="1"/>
      </w:tblPr>
      <w:tblGrid>
        <w:gridCol w:w="4641"/>
        <w:gridCol w:w="1203"/>
        <w:gridCol w:w="1072"/>
        <w:gridCol w:w="1046"/>
        <w:gridCol w:w="1280"/>
      </w:tblGrid>
      <w:tr w:rsidR="002D28C5" w:rsidRPr="00A217FF" w:rsidTr="002D28C5">
        <w:tc>
          <w:tcPr>
            <w:tcW w:w="4641" w:type="dxa"/>
            <w:tcBorders>
              <w:top w:val="single" w:sz="4" w:space="0" w:color="auto"/>
              <w:left w:val="single" w:sz="4" w:space="0" w:color="auto"/>
              <w:bottom w:val="nil"/>
              <w:right w:val="single" w:sz="4" w:space="0" w:color="auto"/>
            </w:tcBorders>
            <w:shd w:val="clear" w:color="000000" w:fill="EBF1DE"/>
            <w:vAlign w:val="center"/>
            <w:hideMark/>
          </w:tcPr>
          <w:p w:rsidR="002D28C5" w:rsidRPr="002D28C5" w:rsidRDefault="002D28C5" w:rsidP="00D30053">
            <w:pPr>
              <w:ind w:left="0" w:firstLine="0"/>
              <w:rPr>
                <w:rFonts w:eastAsia="Times New Roman" w:cs="Arial"/>
                <w:b/>
                <w:bCs/>
                <w:color w:val="1F497D"/>
                <w:sz w:val="24"/>
                <w:szCs w:val="24"/>
                <w:lang w:eastAsia="en-GB"/>
              </w:rPr>
            </w:pPr>
            <w:r w:rsidRPr="002D28C5">
              <w:rPr>
                <w:rFonts w:eastAsia="Times New Roman" w:cs="Arial"/>
                <w:b/>
                <w:bCs/>
                <w:color w:val="1F497D"/>
                <w:sz w:val="24"/>
                <w:szCs w:val="24"/>
                <w:lang w:eastAsia="en-GB"/>
              </w:rPr>
              <w:t>4.3% increase, Proposed Budget 2019-2021</w:t>
            </w:r>
          </w:p>
        </w:tc>
        <w:tc>
          <w:tcPr>
            <w:tcW w:w="1203"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Budget 2019-2021</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203"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rsidR="002D28C5" w:rsidRPr="00A217FF" w:rsidRDefault="002D28C5" w:rsidP="00D30053">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3,882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3,882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4,066</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11,830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Voluntary contributions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1,097</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1,097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1,149</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3,342</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243</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243</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243</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729</w:t>
            </w:r>
          </w:p>
        </w:tc>
      </w:tr>
      <w:tr w:rsidR="002D28C5" w:rsidRPr="00A217FF" w:rsidTr="002D28C5">
        <w:tc>
          <w:tcPr>
            <w:tcW w:w="4641" w:type="dxa"/>
            <w:tcBorders>
              <w:top w:val="nil"/>
              <w:left w:val="single" w:sz="4" w:space="0" w:color="auto"/>
              <w:bottom w:val="nil"/>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color w:val="000000"/>
                <w:lang w:eastAsia="en-GB"/>
              </w:rPr>
            </w:pPr>
            <w:r w:rsidRPr="00C03DD1">
              <w:rPr>
                <w:rFonts w:eastAsia="Times New Roman" w:cs="Arial"/>
                <w:color w:val="000000"/>
                <w:lang w:eastAsia="en-GB"/>
              </w:rPr>
              <w:t>11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33</w:t>
            </w:r>
          </w:p>
        </w:tc>
      </w:tr>
      <w:tr w:rsidR="002D28C5" w:rsidRPr="00A217FF"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5,469</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15,934</w:t>
            </w:r>
          </w:p>
        </w:tc>
      </w:tr>
      <w:tr w:rsidR="00ED2630" w:rsidRPr="00A217FF" w:rsidTr="00ED2630">
        <w:trPr>
          <w:trHeight w:val="340"/>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ED2630" w:rsidRPr="00A217FF" w:rsidRDefault="00ED2630"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203" w:type="dxa"/>
            <w:tcBorders>
              <w:top w:val="nil"/>
              <w:left w:val="nil"/>
              <w:bottom w:val="single" w:sz="4" w:space="0" w:color="auto"/>
              <w:right w:val="single" w:sz="4" w:space="0" w:color="auto"/>
            </w:tcBorders>
            <w:shd w:val="clear" w:color="auto" w:fill="auto"/>
            <w:noWrap/>
            <w:vAlign w:val="bottom"/>
            <w:hideMark/>
          </w:tcPr>
          <w:p w:rsidR="00ED2630" w:rsidRPr="00A217FF" w:rsidRDefault="00ED2630"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rsidR="00ED2630" w:rsidRPr="00A217FF" w:rsidRDefault="00ED2630"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rsidR="00ED2630" w:rsidRPr="00A217FF" w:rsidRDefault="00ED2630" w:rsidP="00D30053">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ED2630" w:rsidRPr="00A217FF" w:rsidRDefault="00ED2630"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2,950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2,791</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1,976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1,368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Web/IT support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209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1,250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1,272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1,286</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3,808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1,178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1,196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1,214</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3,588</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360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Regional networks and centers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755</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733</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722</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2,210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1,700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implementation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150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(maintenance and development)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97</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216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639</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642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647</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1,927</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 and social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298</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302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306</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905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Other employment benefits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75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Secretariat Staff Travel</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175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525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Operating Costs including equipment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285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386</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686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delegates’ support</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135</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SC translation</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bookmarkStart w:id="2" w:name="_GoBack"/>
            <w:bookmarkEnd w:id="2"/>
            <w:r w:rsidRPr="00C03DD1">
              <w:rPr>
                <w:rFonts w:eastAsia="Times New Roman" w:cs="Arial"/>
                <w:lang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180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Simultaneous interpretation at SC meetings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105</w:t>
            </w:r>
          </w:p>
        </w:tc>
      </w:tr>
      <w:tr w:rsidR="002D28C5" w:rsidRPr="002D28C5" w:rsidTr="002D28C5">
        <w:tc>
          <w:tcPr>
            <w:tcW w:w="4641" w:type="dxa"/>
            <w:tcBorders>
              <w:top w:val="nil"/>
              <w:left w:val="single" w:sz="4" w:space="0" w:color="auto"/>
              <w:bottom w:val="single" w:sz="4" w:space="0" w:color="auto"/>
              <w:right w:val="single" w:sz="4" w:space="0" w:color="auto"/>
            </w:tcBorders>
            <w:shd w:val="clear" w:color="auto" w:fill="auto"/>
            <w:noWrap/>
            <w:vAlign w:val="center"/>
          </w:tcPr>
          <w:p w:rsidR="002D28C5" w:rsidRPr="002D28C5" w:rsidRDefault="002D28C5" w:rsidP="002D28C5">
            <w:pPr>
              <w:ind w:left="0" w:firstLine="0"/>
              <w:rPr>
                <w:rFonts w:asciiTheme="minorHAnsi" w:eastAsia="Times New Roman" w:hAnsiTheme="minorHAnsi" w:cs="Arial"/>
                <w:sz w:val="20"/>
                <w:szCs w:val="20"/>
                <w:lang w:eastAsia="en-GB"/>
              </w:rPr>
            </w:pPr>
            <w:r w:rsidRPr="002D28C5">
              <w:rPr>
                <w:rFonts w:asciiTheme="minorHAnsi" w:eastAsia="Times New Roman" w:hAnsiTheme="minorHAnsi" w:cs="Arial"/>
                <w:sz w:val="20"/>
                <w:szCs w:val="20"/>
                <w:lang w:eastAsia="en-GB"/>
              </w:rPr>
              <w:t>Conference of the Parties</w:t>
            </w:r>
          </w:p>
        </w:tc>
        <w:tc>
          <w:tcPr>
            <w:tcW w:w="1203" w:type="dxa"/>
            <w:tcBorders>
              <w:top w:val="nil"/>
              <w:left w:val="nil"/>
              <w:bottom w:val="single" w:sz="4" w:space="0" w:color="auto"/>
              <w:right w:val="single" w:sz="4" w:space="0" w:color="auto"/>
            </w:tcBorders>
            <w:shd w:val="clear" w:color="auto" w:fill="auto"/>
            <w:noWrap/>
            <w:vAlign w:val="center"/>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0</w:t>
            </w:r>
          </w:p>
        </w:tc>
        <w:tc>
          <w:tcPr>
            <w:tcW w:w="1072" w:type="dxa"/>
            <w:tcBorders>
              <w:top w:val="nil"/>
              <w:left w:val="nil"/>
              <w:bottom w:val="single" w:sz="4" w:space="0" w:color="auto"/>
              <w:right w:val="single" w:sz="4" w:space="0" w:color="auto"/>
            </w:tcBorders>
            <w:shd w:val="clear" w:color="auto" w:fill="auto"/>
            <w:noWrap/>
            <w:vAlign w:val="center"/>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0</w:t>
            </w:r>
          </w:p>
        </w:tc>
        <w:tc>
          <w:tcPr>
            <w:tcW w:w="1046" w:type="dxa"/>
            <w:tcBorders>
              <w:top w:val="nil"/>
              <w:left w:val="nil"/>
              <w:bottom w:val="single" w:sz="4" w:space="0" w:color="auto"/>
              <w:right w:val="single" w:sz="4" w:space="0" w:color="auto"/>
            </w:tcBorders>
            <w:shd w:val="clear" w:color="auto" w:fill="auto"/>
            <w:noWrap/>
            <w:vAlign w:val="center"/>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236</w:t>
            </w:r>
          </w:p>
        </w:tc>
        <w:tc>
          <w:tcPr>
            <w:tcW w:w="1280" w:type="dxa"/>
            <w:tcBorders>
              <w:top w:val="nil"/>
              <w:left w:val="nil"/>
              <w:bottom w:val="single" w:sz="4" w:space="0" w:color="auto"/>
              <w:right w:val="single" w:sz="4" w:space="0" w:color="auto"/>
            </w:tcBorders>
            <w:shd w:val="clear" w:color="auto" w:fill="auto"/>
            <w:noWrap/>
            <w:vAlign w:val="center"/>
          </w:tcPr>
          <w:p w:rsidR="002D28C5" w:rsidRPr="00C03DD1" w:rsidRDefault="002D28C5" w:rsidP="00D30053">
            <w:pPr>
              <w:ind w:left="0" w:firstLine="0"/>
              <w:jc w:val="right"/>
              <w:rPr>
                <w:rFonts w:eastAsia="Times New Roman" w:cs="Arial"/>
                <w:lang w:eastAsia="en-GB"/>
              </w:rPr>
            </w:pPr>
            <w:r w:rsidRPr="00C03DD1">
              <w:rPr>
                <w:rFonts w:eastAsia="Times New Roman" w:cs="Arial"/>
                <w:lang w:eastAsia="en-GB"/>
              </w:rPr>
              <w:t>236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1,686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Administration, Human Resources, Finance &amp; IT services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1,686</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203"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330</w:t>
            </w:r>
          </w:p>
        </w:tc>
      </w:tr>
      <w:tr w:rsidR="002D28C5" w:rsidRPr="00A217FF"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2D28C5" w:rsidRPr="00A217FF" w:rsidTr="002D28C5">
        <w:tc>
          <w:tcPr>
            <w:tcW w:w="4641" w:type="dxa"/>
            <w:tcBorders>
              <w:top w:val="single" w:sz="4" w:space="0" w:color="auto"/>
              <w:left w:val="single" w:sz="4" w:space="0" w:color="auto"/>
              <w:bottom w:val="nil"/>
              <w:right w:val="single" w:sz="4" w:space="0" w:color="auto"/>
            </w:tcBorders>
            <w:shd w:val="clear" w:color="auto" w:fill="auto"/>
            <w:noWrap/>
            <w:vAlign w:val="center"/>
            <w:hideMark/>
          </w:tcPr>
          <w:p w:rsidR="002D28C5" w:rsidRPr="00A217FF" w:rsidRDefault="002D28C5" w:rsidP="00D30053">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203"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rsidR="002D28C5" w:rsidRPr="00A217FF" w:rsidRDefault="002D28C5" w:rsidP="00D30053">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2D28C5" w:rsidRPr="00A217FF"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2D28C5" w:rsidRPr="00A217FF" w:rsidRDefault="002D28C5" w:rsidP="00D30053">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5,469</w:t>
            </w:r>
          </w:p>
        </w:tc>
        <w:tc>
          <w:tcPr>
            <w:tcW w:w="1280" w:type="dxa"/>
            <w:tcBorders>
              <w:top w:val="nil"/>
              <w:left w:val="nil"/>
              <w:bottom w:val="single" w:sz="4" w:space="0" w:color="auto"/>
              <w:right w:val="single" w:sz="4" w:space="0" w:color="auto"/>
            </w:tcBorders>
            <w:shd w:val="clear" w:color="000000" w:fill="C4D79B"/>
            <w:noWrap/>
            <w:vAlign w:val="center"/>
            <w:hideMark/>
          </w:tcPr>
          <w:p w:rsidR="002D28C5" w:rsidRPr="00C03DD1" w:rsidRDefault="002D28C5" w:rsidP="00D30053">
            <w:pPr>
              <w:ind w:left="0" w:firstLine="0"/>
              <w:jc w:val="right"/>
              <w:rPr>
                <w:rFonts w:eastAsia="Times New Roman" w:cs="Arial"/>
                <w:b/>
                <w:bCs/>
                <w:color w:val="000000"/>
                <w:lang w:eastAsia="en-GB"/>
              </w:rPr>
            </w:pPr>
            <w:r w:rsidRPr="00C03DD1">
              <w:rPr>
                <w:rFonts w:eastAsia="Times New Roman" w:cs="Arial"/>
                <w:b/>
                <w:bCs/>
                <w:color w:val="000000"/>
                <w:lang w:eastAsia="en-GB"/>
              </w:rPr>
              <w:t>15,933</w:t>
            </w:r>
          </w:p>
        </w:tc>
      </w:tr>
    </w:tbl>
    <w:p w:rsidR="00C72A9C" w:rsidRPr="00ED2630" w:rsidRDefault="00C72A9C" w:rsidP="00ED2630">
      <w:pPr>
        <w:ind w:left="0" w:firstLine="0"/>
        <w:rPr>
          <w:rFonts w:cs="Arial"/>
          <w:b/>
          <w:sz w:val="4"/>
          <w:szCs w:val="4"/>
        </w:rPr>
      </w:pPr>
    </w:p>
    <w:sectPr w:rsidR="00C72A9C" w:rsidRPr="00ED2630" w:rsidSect="00ED2630">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FF" w:rsidRDefault="00A217FF" w:rsidP="00DF2386">
      <w:r>
        <w:separator/>
      </w:r>
    </w:p>
  </w:endnote>
  <w:endnote w:type="continuationSeparator" w:id="0">
    <w:p w:rsidR="00A217FF" w:rsidRDefault="00A217F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FF" w:rsidRDefault="00A217FF" w:rsidP="002137E0">
    <w:pPr>
      <w:pStyle w:val="Header"/>
      <w:rPr>
        <w:noProof/>
      </w:rPr>
    </w:pPr>
    <w:r>
      <w:t>SC54-7.3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D2630">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FF" w:rsidRDefault="00A217FF" w:rsidP="00DF2386">
      <w:r>
        <w:separator/>
      </w:r>
    </w:p>
  </w:footnote>
  <w:footnote w:type="continuationSeparator" w:id="0">
    <w:p w:rsidR="00A217FF" w:rsidRDefault="00A217FF"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FF" w:rsidRDefault="00A217FF">
    <w:pPr>
      <w:pStyle w:val="Header"/>
    </w:pPr>
  </w:p>
  <w:p w:rsidR="00A217FF" w:rsidRDefault="00A2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F21"/>
    <w:rsid w:val="0001102A"/>
    <w:rsid w:val="000133D1"/>
    <w:rsid w:val="00014168"/>
    <w:rsid w:val="00017A16"/>
    <w:rsid w:val="000260B4"/>
    <w:rsid w:val="00026E09"/>
    <w:rsid w:val="00037CE0"/>
    <w:rsid w:val="0004295A"/>
    <w:rsid w:val="000467E7"/>
    <w:rsid w:val="0005215D"/>
    <w:rsid w:val="00053929"/>
    <w:rsid w:val="00074DE8"/>
    <w:rsid w:val="00080177"/>
    <w:rsid w:val="000937A7"/>
    <w:rsid w:val="00096371"/>
    <w:rsid w:val="000A3E3E"/>
    <w:rsid w:val="000A3F5A"/>
    <w:rsid w:val="000A5278"/>
    <w:rsid w:val="000A7AEC"/>
    <w:rsid w:val="000C2489"/>
    <w:rsid w:val="000D039A"/>
    <w:rsid w:val="000D5C76"/>
    <w:rsid w:val="000E2FA0"/>
    <w:rsid w:val="000E47E9"/>
    <w:rsid w:val="00102D6A"/>
    <w:rsid w:val="00104F7B"/>
    <w:rsid w:val="00106197"/>
    <w:rsid w:val="0012096C"/>
    <w:rsid w:val="00127828"/>
    <w:rsid w:val="00150BB8"/>
    <w:rsid w:val="00161BDA"/>
    <w:rsid w:val="0017123E"/>
    <w:rsid w:val="00171618"/>
    <w:rsid w:val="001819B1"/>
    <w:rsid w:val="0018239F"/>
    <w:rsid w:val="0018623B"/>
    <w:rsid w:val="001936D6"/>
    <w:rsid w:val="00197946"/>
    <w:rsid w:val="001A2D10"/>
    <w:rsid w:val="001A386F"/>
    <w:rsid w:val="001B1561"/>
    <w:rsid w:val="001B773B"/>
    <w:rsid w:val="001B79AE"/>
    <w:rsid w:val="001C22F2"/>
    <w:rsid w:val="001C5E41"/>
    <w:rsid w:val="001C77BC"/>
    <w:rsid w:val="001D0FDF"/>
    <w:rsid w:val="001D48BB"/>
    <w:rsid w:val="001D5FC6"/>
    <w:rsid w:val="001E00E3"/>
    <w:rsid w:val="001E22DA"/>
    <w:rsid w:val="001E5FD0"/>
    <w:rsid w:val="001F2349"/>
    <w:rsid w:val="001F5C62"/>
    <w:rsid w:val="002005D2"/>
    <w:rsid w:val="0020298B"/>
    <w:rsid w:val="002035D8"/>
    <w:rsid w:val="00206111"/>
    <w:rsid w:val="00212850"/>
    <w:rsid w:val="002137E0"/>
    <w:rsid w:val="00214C88"/>
    <w:rsid w:val="00223428"/>
    <w:rsid w:val="00227712"/>
    <w:rsid w:val="00233EC7"/>
    <w:rsid w:val="0023550A"/>
    <w:rsid w:val="00236D86"/>
    <w:rsid w:val="00241822"/>
    <w:rsid w:val="00267D03"/>
    <w:rsid w:val="00271A5C"/>
    <w:rsid w:val="002741AC"/>
    <w:rsid w:val="00275F13"/>
    <w:rsid w:val="00277A87"/>
    <w:rsid w:val="002819C0"/>
    <w:rsid w:val="00281C69"/>
    <w:rsid w:val="002822F8"/>
    <w:rsid w:val="0029247A"/>
    <w:rsid w:val="00295556"/>
    <w:rsid w:val="002957DC"/>
    <w:rsid w:val="00295BB5"/>
    <w:rsid w:val="002A5A4D"/>
    <w:rsid w:val="002B0CEF"/>
    <w:rsid w:val="002B4262"/>
    <w:rsid w:val="002C3209"/>
    <w:rsid w:val="002D28C5"/>
    <w:rsid w:val="002D5A4D"/>
    <w:rsid w:val="002E22AF"/>
    <w:rsid w:val="002E660E"/>
    <w:rsid w:val="00302B21"/>
    <w:rsid w:val="003107B5"/>
    <w:rsid w:val="00322C05"/>
    <w:rsid w:val="00324398"/>
    <w:rsid w:val="00335704"/>
    <w:rsid w:val="003441D3"/>
    <w:rsid w:val="00352486"/>
    <w:rsid w:val="00357919"/>
    <w:rsid w:val="00363957"/>
    <w:rsid w:val="00366633"/>
    <w:rsid w:val="00382F90"/>
    <w:rsid w:val="00384FC3"/>
    <w:rsid w:val="003969AD"/>
    <w:rsid w:val="003A3804"/>
    <w:rsid w:val="003A52BE"/>
    <w:rsid w:val="003A5809"/>
    <w:rsid w:val="003A5866"/>
    <w:rsid w:val="003A6E9F"/>
    <w:rsid w:val="003C1EA0"/>
    <w:rsid w:val="003D01D9"/>
    <w:rsid w:val="003D4CD6"/>
    <w:rsid w:val="003F7105"/>
    <w:rsid w:val="004029A2"/>
    <w:rsid w:val="004149AD"/>
    <w:rsid w:val="004228C7"/>
    <w:rsid w:val="00422BD2"/>
    <w:rsid w:val="00426DD9"/>
    <w:rsid w:val="0042798B"/>
    <w:rsid w:val="00434913"/>
    <w:rsid w:val="00436E55"/>
    <w:rsid w:val="004474F8"/>
    <w:rsid w:val="00454034"/>
    <w:rsid w:val="0046771B"/>
    <w:rsid w:val="00467A8D"/>
    <w:rsid w:val="004717A4"/>
    <w:rsid w:val="00477550"/>
    <w:rsid w:val="004844A8"/>
    <w:rsid w:val="00491DF5"/>
    <w:rsid w:val="00496803"/>
    <w:rsid w:val="0049707C"/>
    <w:rsid w:val="004A01E5"/>
    <w:rsid w:val="004B08CD"/>
    <w:rsid w:val="004B2272"/>
    <w:rsid w:val="004B4108"/>
    <w:rsid w:val="004B420F"/>
    <w:rsid w:val="004B6688"/>
    <w:rsid w:val="004F18A1"/>
    <w:rsid w:val="004F20C4"/>
    <w:rsid w:val="004F38CE"/>
    <w:rsid w:val="00521308"/>
    <w:rsid w:val="00522533"/>
    <w:rsid w:val="005244A4"/>
    <w:rsid w:val="00527783"/>
    <w:rsid w:val="0053257A"/>
    <w:rsid w:val="005464D2"/>
    <w:rsid w:val="00553DEA"/>
    <w:rsid w:val="005814B5"/>
    <w:rsid w:val="005863D6"/>
    <w:rsid w:val="005B0E16"/>
    <w:rsid w:val="005D35BD"/>
    <w:rsid w:val="005D3E9D"/>
    <w:rsid w:val="005D57D6"/>
    <w:rsid w:val="005E4BF4"/>
    <w:rsid w:val="005F1D0B"/>
    <w:rsid w:val="005F64E0"/>
    <w:rsid w:val="005F6AE1"/>
    <w:rsid w:val="00607AC7"/>
    <w:rsid w:val="006211E5"/>
    <w:rsid w:val="006256D3"/>
    <w:rsid w:val="00627BB7"/>
    <w:rsid w:val="00641220"/>
    <w:rsid w:val="00644A13"/>
    <w:rsid w:val="0065136E"/>
    <w:rsid w:val="00670D71"/>
    <w:rsid w:val="00672D6E"/>
    <w:rsid w:val="00673291"/>
    <w:rsid w:val="00695F7A"/>
    <w:rsid w:val="006B7BB7"/>
    <w:rsid w:val="006C05A5"/>
    <w:rsid w:val="006C1D07"/>
    <w:rsid w:val="006D3CBA"/>
    <w:rsid w:val="006D6374"/>
    <w:rsid w:val="006E7DCE"/>
    <w:rsid w:val="006F3E3D"/>
    <w:rsid w:val="006F6E6B"/>
    <w:rsid w:val="007050FF"/>
    <w:rsid w:val="007204E3"/>
    <w:rsid w:val="007236B4"/>
    <w:rsid w:val="00730CBE"/>
    <w:rsid w:val="00752764"/>
    <w:rsid w:val="007629C8"/>
    <w:rsid w:val="00764209"/>
    <w:rsid w:val="00766962"/>
    <w:rsid w:val="00775287"/>
    <w:rsid w:val="0078029B"/>
    <w:rsid w:val="00786D6D"/>
    <w:rsid w:val="007936EA"/>
    <w:rsid w:val="0079408E"/>
    <w:rsid w:val="007A224B"/>
    <w:rsid w:val="007A653C"/>
    <w:rsid w:val="007B3669"/>
    <w:rsid w:val="007D064F"/>
    <w:rsid w:val="007D33F4"/>
    <w:rsid w:val="007F0899"/>
    <w:rsid w:val="007F3ABE"/>
    <w:rsid w:val="00803C20"/>
    <w:rsid w:val="00814323"/>
    <w:rsid w:val="008328E9"/>
    <w:rsid w:val="0083353F"/>
    <w:rsid w:val="00835BCB"/>
    <w:rsid w:val="00835CDC"/>
    <w:rsid w:val="008445F1"/>
    <w:rsid w:val="008446C3"/>
    <w:rsid w:val="00850B09"/>
    <w:rsid w:val="008514F2"/>
    <w:rsid w:val="00863B9D"/>
    <w:rsid w:val="00863BE6"/>
    <w:rsid w:val="008775BC"/>
    <w:rsid w:val="00882F1B"/>
    <w:rsid w:val="008926BA"/>
    <w:rsid w:val="00896FD6"/>
    <w:rsid w:val="008A70CE"/>
    <w:rsid w:val="008B313D"/>
    <w:rsid w:val="008C0B07"/>
    <w:rsid w:val="008C25E4"/>
    <w:rsid w:val="008C2DAE"/>
    <w:rsid w:val="008C3FB1"/>
    <w:rsid w:val="008C6E36"/>
    <w:rsid w:val="008C6E9B"/>
    <w:rsid w:val="008E620B"/>
    <w:rsid w:val="008F43D2"/>
    <w:rsid w:val="009015A7"/>
    <w:rsid w:val="009041D7"/>
    <w:rsid w:val="009059A9"/>
    <w:rsid w:val="00913CF1"/>
    <w:rsid w:val="0092515E"/>
    <w:rsid w:val="009315CC"/>
    <w:rsid w:val="0094052C"/>
    <w:rsid w:val="00942FBD"/>
    <w:rsid w:val="0094770B"/>
    <w:rsid w:val="00947D4A"/>
    <w:rsid w:val="00951D88"/>
    <w:rsid w:val="00957260"/>
    <w:rsid w:val="00971CD2"/>
    <w:rsid w:val="00972C4F"/>
    <w:rsid w:val="00977E6E"/>
    <w:rsid w:val="00981341"/>
    <w:rsid w:val="00994B64"/>
    <w:rsid w:val="009A515B"/>
    <w:rsid w:val="009B2267"/>
    <w:rsid w:val="009B2FCA"/>
    <w:rsid w:val="009C42FF"/>
    <w:rsid w:val="009C573B"/>
    <w:rsid w:val="009E0AE8"/>
    <w:rsid w:val="009E495F"/>
    <w:rsid w:val="009E5374"/>
    <w:rsid w:val="009F1E3B"/>
    <w:rsid w:val="009F345D"/>
    <w:rsid w:val="00A108EA"/>
    <w:rsid w:val="00A13218"/>
    <w:rsid w:val="00A134B7"/>
    <w:rsid w:val="00A217FF"/>
    <w:rsid w:val="00A227A3"/>
    <w:rsid w:val="00A433E8"/>
    <w:rsid w:val="00A550B1"/>
    <w:rsid w:val="00A60B73"/>
    <w:rsid w:val="00A616A2"/>
    <w:rsid w:val="00A62ABF"/>
    <w:rsid w:val="00A67F2E"/>
    <w:rsid w:val="00A75E4E"/>
    <w:rsid w:val="00A768EA"/>
    <w:rsid w:val="00A80080"/>
    <w:rsid w:val="00AA063C"/>
    <w:rsid w:val="00AA1858"/>
    <w:rsid w:val="00AA24E2"/>
    <w:rsid w:val="00AA6EAE"/>
    <w:rsid w:val="00AB4951"/>
    <w:rsid w:val="00AC2E85"/>
    <w:rsid w:val="00AD65E1"/>
    <w:rsid w:val="00AE4EEA"/>
    <w:rsid w:val="00AF2796"/>
    <w:rsid w:val="00B02FB3"/>
    <w:rsid w:val="00B25283"/>
    <w:rsid w:val="00B315A0"/>
    <w:rsid w:val="00B32E40"/>
    <w:rsid w:val="00B34A18"/>
    <w:rsid w:val="00B468CE"/>
    <w:rsid w:val="00B54F35"/>
    <w:rsid w:val="00B579CB"/>
    <w:rsid w:val="00B626CD"/>
    <w:rsid w:val="00B70083"/>
    <w:rsid w:val="00B73D0E"/>
    <w:rsid w:val="00B8058B"/>
    <w:rsid w:val="00B87A76"/>
    <w:rsid w:val="00B9303A"/>
    <w:rsid w:val="00B961C4"/>
    <w:rsid w:val="00BB28F6"/>
    <w:rsid w:val="00BB3B4B"/>
    <w:rsid w:val="00BC2609"/>
    <w:rsid w:val="00BC26DD"/>
    <w:rsid w:val="00BC4468"/>
    <w:rsid w:val="00BD4CE7"/>
    <w:rsid w:val="00BE5629"/>
    <w:rsid w:val="00BE764D"/>
    <w:rsid w:val="00BF28C7"/>
    <w:rsid w:val="00BF5DD8"/>
    <w:rsid w:val="00C03DD1"/>
    <w:rsid w:val="00C12DA1"/>
    <w:rsid w:val="00C13145"/>
    <w:rsid w:val="00C13A7C"/>
    <w:rsid w:val="00C16975"/>
    <w:rsid w:val="00C24936"/>
    <w:rsid w:val="00C34785"/>
    <w:rsid w:val="00C40DCC"/>
    <w:rsid w:val="00C61012"/>
    <w:rsid w:val="00C6757F"/>
    <w:rsid w:val="00C67C97"/>
    <w:rsid w:val="00C70EC0"/>
    <w:rsid w:val="00C7135A"/>
    <w:rsid w:val="00C72A9C"/>
    <w:rsid w:val="00C83C4D"/>
    <w:rsid w:val="00C83F07"/>
    <w:rsid w:val="00CA1CBE"/>
    <w:rsid w:val="00CA3EAA"/>
    <w:rsid w:val="00CD5DAF"/>
    <w:rsid w:val="00CE4F89"/>
    <w:rsid w:val="00CE7104"/>
    <w:rsid w:val="00CE750F"/>
    <w:rsid w:val="00CE778B"/>
    <w:rsid w:val="00CF1498"/>
    <w:rsid w:val="00CF4437"/>
    <w:rsid w:val="00CF6A1A"/>
    <w:rsid w:val="00D06197"/>
    <w:rsid w:val="00D12474"/>
    <w:rsid w:val="00D160CB"/>
    <w:rsid w:val="00D245A1"/>
    <w:rsid w:val="00D24CB3"/>
    <w:rsid w:val="00D3680D"/>
    <w:rsid w:val="00D41049"/>
    <w:rsid w:val="00D415E2"/>
    <w:rsid w:val="00D42055"/>
    <w:rsid w:val="00D60B3D"/>
    <w:rsid w:val="00D647C3"/>
    <w:rsid w:val="00D6650E"/>
    <w:rsid w:val="00D83D91"/>
    <w:rsid w:val="00D9386E"/>
    <w:rsid w:val="00D9633A"/>
    <w:rsid w:val="00DB4C0C"/>
    <w:rsid w:val="00DD4FC4"/>
    <w:rsid w:val="00DF2386"/>
    <w:rsid w:val="00DF7FE7"/>
    <w:rsid w:val="00E16CC7"/>
    <w:rsid w:val="00E17EE6"/>
    <w:rsid w:val="00E20094"/>
    <w:rsid w:val="00E46367"/>
    <w:rsid w:val="00E50224"/>
    <w:rsid w:val="00E631A8"/>
    <w:rsid w:val="00E63F0B"/>
    <w:rsid w:val="00E642B6"/>
    <w:rsid w:val="00E75CA2"/>
    <w:rsid w:val="00E77109"/>
    <w:rsid w:val="00E777F3"/>
    <w:rsid w:val="00E96B53"/>
    <w:rsid w:val="00EA3A7F"/>
    <w:rsid w:val="00EC588F"/>
    <w:rsid w:val="00ED2630"/>
    <w:rsid w:val="00ED3AEB"/>
    <w:rsid w:val="00ED4036"/>
    <w:rsid w:val="00EE60AF"/>
    <w:rsid w:val="00F078F1"/>
    <w:rsid w:val="00F126E5"/>
    <w:rsid w:val="00F136F5"/>
    <w:rsid w:val="00F14404"/>
    <w:rsid w:val="00F26C2E"/>
    <w:rsid w:val="00F32D03"/>
    <w:rsid w:val="00F344DE"/>
    <w:rsid w:val="00F52E89"/>
    <w:rsid w:val="00F56BB7"/>
    <w:rsid w:val="00F7138B"/>
    <w:rsid w:val="00F73E71"/>
    <w:rsid w:val="00F73EE2"/>
    <w:rsid w:val="00F847E5"/>
    <w:rsid w:val="00FB6EE7"/>
    <w:rsid w:val="00FB70D8"/>
    <w:rsid w:val="00FC42BB"/>
    <w:rsid w:val="00FC7A32"/>
    <w:rsid w:val="00FD27EB"/>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4BE9-0940-4CDF-A76E-1474BCE4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5</cp:revision>
  <cp:lastPrinted>2018-01-11T16:48:00Z</cp:lastPrinted>
  <dcterms:created xsi:type="dcterms:W3CDTF">2018-03-11T10:16:00Z</dcterms:created>
  <dcterms:modified xsi:type="dcterms:W3CDTF">2018-03-11T11:06:00Z</dcterms:modified>
</cp:coreProperties>
</file>