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B1F9D" w14:textId="77777777" w:rsidR="001F486F" w:rsidRPr="00A7640F" w:rsidRDefault="001F486F" w:rsidP="001F486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A7640F">
        <w:rPr>
          <w:bCs/>
          <w:sz w:val="24"/>
          <w:szCs w:val="24"/>
          <w:lang w:val="es-ES_tradnl"/>
        </w:rPr>
        <w:t>CONVENCIÓN DE RAMSAR SOBRE LOS HUMEDALES</w:t>
      </w:r>
    </w:p>
    <w:p w14:paraId="3678B39D" w14:textId="77777777" w:rsidR="001F486F" w:rsidRPr="00A7640F" w:rsidRDefault="001F486F" w:rsidP="001F486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A7640F">
        <w:rPr>
          <w:bCs/>
          <w:sz w:val="24"/>
          <w:szCs w:val="24"/>
          <w:lang w:val="es-ES_tradnl"/>
        </w:rPr>
        <w:t>54ª Reunión del Comité Permanente</w:t>
      </w:r>
    </w:p>
    <w:p w14:paraId="4F8F55E4" w14:textId="77777777" w:rsidR="001F486F" w:rsidRPr="00A7640F" w:rsidRDefault="001F486F" w:rsidP="001F486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A7640F">
        <w:rPr>
          <w:bCs/>
          <w:sz w:val="24"/>
          <w:szCs w:val="24"/>
          <w:lang w:val="es-ES_tradnl"/>
        </w:rPr>
        <w:t>Gland, Suiza, 23 a 27 de abril de 2018</w:t>
      </w:r>
    </w:p>
    <w:p w14:paraId="48DEED16" w14:textId="77777777" w:rsidR="00CB4555" w:rsidRPr="00A7640F" w:rsidRDefault="00CB4555" w:rsidP="001A001C">
      <w:pPr>
        <w:spacing w:after="0" w:line="240" w:lineRule="auto"/>
        <w:outlineLvl w:val="0"/>
        <w:rPr>
          <w:b/>
          <w:sz w:val="14"/>
          <w:szCs w:val="14"/>
          <w:lang w:val="es-ES_tradnl"/>
        </w:rPr>
      </w:pPr>
    </w:p>
    <w:p w14:paraId="2B3A35FE" w14:textId="77777777" w:rsidR="00CB4555" w:rsidRPr="00A7640F" w:rsidRDefault="008F0443" w:rsidP="001A001C">
      <w:pPr>
        <w:spacing w:after="0" w:line="240" w:lineRule="auto"/>
        <w:jc w:val="right"/>
        <w:rPr>
          <w:sz w:val="28"/>
          <w:szCs w:val="28"/>
          <w:lang w:val="es-ES_tradnl"/>
        </w:rPr>
      </w:pPr>
      <w:r w:rsidRPr="00A7640F">
        <w:rPr>
          <w:b/>
          <w:sz w:val="28"/>
          <w:szCs w:val="28"/>
          <w:lang w:val="es-ES_tradnl"/>
        </w:rPr>
        <w:t xml:space="preserve">Doc. </w:t>
      </w:r>
      <w:r w:rsidR="00CB4555" w:rsidRPr="00A7640F">
        <w:rPr>
          <w:b/>
          <w:sz w:val="28"/>
          <w:szCs w:val="28"/>
          <w:lang w:val="es-ES_tradnl"/>
        </w:rPr>
        <w:t>SC54-</w:t>
      </w:r>
      <w:r w:rsidRPr="00A7640F">
        <w:rPr>
          <w:b/>
          <w:sz w:val="28"/>
          <w:szCs w:val="28"/>
          <w:lang w:val="es-ES_tradnl"/>
        </w:rPr>
        <w:t xml:space="preserve">28.1 </w:t>
      </w:r>
    </w:p>
    <w:p w14:paraId="7336124F" w14:textId="77777777" w:rsidR="00CB4555" w:rsidRPr="00A7640F" w:rsidRDefault="00CB4555" w:rsidP="001A001C">
      <w:pPr>
        <w:tabs>
          <w:tab w:val="left" w:pos="8325"/>
        </w:tabs>
        <w:spacing w:after="0" w:line="240" w:lineRule="auto"/>
        <w:rPr>
          <w:b/>
          <w:sz w:val="28"/>
          <w:szCs w:val="28"/>
          <w:lang w:val="es-ES_tradnl"/>
        </w:rPr>
      </w:pPr>
    </w:p>
    <w:p w14:paraId="7C695403" w14:textId="77777777" w:rsidR="00CB4555" w:rsidRPr="00A7640F" w:rsidRDefault="001F486F" w:rsidP="0000256A">
      <w:pPr>
        <w:autoSpaceDE w:val="0"/>
        <w:autoSpaceDN w:val="0"/>
        <w:adjustRightInd w:val="0"/>
        <w:spacing w:after="0" w:line="240" w:lineRule="auto"/>
        <w:jc w:val="center"/>
        <w:rPr>
          <w:rFonts w:cs="Garamond-Bold"/>
          <w:b/>
          <w:bCs/>
          <w:sz w:val="28"/>
          <w:szCs w:val="28"/>
          <w:lang w:val="es-ES_tradnl"/>
        </w:rPr>
      </w:pPr>
      <w:r w:rsidRPr="00A7640F">
        <w:rPr>
          <w:rFonts w:cs="Garamond-Bold"/>
          <w:b/>
          <w:bCs/>
          <w:sz w:val="28"/>
          <w:szCs w:val="28"/>
          <w:lang w:val="es-ES_tradnl"/>
        </w:rPr>
        <w:t>Acreditación de Ciudad de Humedal</w:t>
      </w:r>
    </w:p>
    <w:p w14:paraId="6FC8E5E8" w14:textId="77777777" w:rsidR="000B0398" w:rsidRPr="00A7640F" w:rsidRDefault="001F486F" w:rsidP="0000256A">
      <w:pPr>
        <w:autoSpaceDE w:val="0"/>
        <w:autoSpaceDN w:val="0"/>
        <w:adjustRightInd w:val="0"/>
        <w:spacing w:after="0" w:line="240" w:lineRule="auto"/>
        <w:jc w:val="center"/>
        <w:rPr>
          <w:rFonts w:cs="Garamond-Bold"/>
          <w:b/>
          <w:bCs/>
          <w:sz w:val="28"/>
          <w:szCs w:val="28"/>
          <w:lang w:val="es-ES_tradnl"/>
        </w:rPr>
      </w:pPr>
      <w:r w:rsidRPr="00A7640F">
        <w:rPr>
          <w:rFonts w:cs="Garamond-Bold"/>
          <w:b/>
          <w:bCs/>
          <w:sz w:val="28"/>
          <w:szCs w:val="28"/>
          <w:lang w:val="es-ES_tradnl"/>
        </w:rPr>
        <w:t>Informe de la Secretaría</w:t>
      </w:r>
    </w:p>
    <w:p w14:paraId="0928E800" w14:textId="77777777" w:rsidR="00CB4555" w:rsidRPr="00A7640F" w:rsidRDefault="00CB4555" w:rsidP="001A001C">
      <w:pPr>
        <w:spacing w:after="0" w:line="240" w:lineRule="auto"/>
        <w:rPr>
          <w:sz w:val="14"/>
          <w:szCs w:val="14"/>
          <w:lang w:val="es-ES_tradnl"/>
        </w:rPr>
      </w:pPr>
    </w:p>
    <w:p w14:paraId="0158FF14" w14:textId="77777777" w:rsidR="00CB4555" w:rsidRPr="00A7640F" w:rsidRDefault="00CB4555" w:rsidP="001A001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lang w:val="es-ES_tradnl"/>
        </w:rPr>
      </w:pPr>
      <w:r w:rsidRPr="00A7640F">
        <w:rPr>
          <w:rFonts w:eastAsia="Calibri" w:cs="Times New Roman"/>
          <w:noProof/>
          <w:lang w:eastAsia="en-GB"/>
        </w:rPr>
        <mc:AlternateContent>
          <mc:Choice Requires="wps">
            <w:drawing>
              <wp:inline distT="0" distB="0" distL="0" distR="0" wp14:anchorId="54EE92AC" wp14:editId="5F7DBB8E">
                <wp:extent cx="5731510" cy="830580"/>
                <wp:effectExtent l="0" t="0" r="21590" b="266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0BD29" w14:textId="77777777" w:rsidR="00CE1B89" w:rsidRPr="00CE1B89" w:rsidRDefault="00CE1B89" w:rsidP="00CB4555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CE1B89">
                              <w:rPr>
                                <w:b/>
                                <w:bCs/>
                                <w:lang w:val="es-ES_tradnl"/>
                              </w:rPr>
                              <w:t>Acciones solicitadas:</w:t>
                            </w:r>
                          </w:p>
                          <w:p w14:paraId="0155B227" w14:textId="77777777" w:rsidR="00CE1B89" w:rsidRPr="00CE1B89" w:rsidRDefault="00CE1B89" w:rsidP="00CB4555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</w:p>
                          <w:p w14:paraId="4FA03724" w14:textId="18A890B2" w:rsidR="00CE1B89" w:rsidRPr="00CE1B89" w:rsidRDefault="00CE1B89" w:rsidP="00693474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  <w:lang w:val="es-ES_tradnl"/>
                              </w:rPr>
                            </w:pPr>
                            <w:r w:rsidRPr="00CE1B89">
                              <w:rPr>
                                <w:lang w:val="es-ES_tradnl"/>
                              </w:rPr>
                              <w:t>Se invita al Comité Permanente a tomar nota de los progresos realizados en el sistema de acreditación de Ciudad de Humedal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51.3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">
                <v:textbox>
                  <w:txbxContent>
                    <w:p w14:paraId="72B0BD29" w14:textId="77777777" w:rsidR="00CE1B89" w:rsidRPr="00CE1B89" w:rsidRDefault="00CE1B89" w:rsidP="00CB4555">
                      <w:pPr>
                        <w:spacing w:after="0" w:line="240" w:lineRule="auto"/>
                        <w:rPr>
                          <w:b/>
                          <w:bCs/>
                          <w:lang w:val="es-ES_tradnl"/>
                        </w:rPr>
                      </w:pPr>
                      <w:r w:rsidRPr="00CE1B89">
                        <w:rPr>
                          <w:b/>
                          <w:bCs/>
                          <w:lang w:val="es-ES_tradnl"/>
                        </w:rPr>
                        <w:t>Acciones solicitadas:</w:t>
                      </w:r>
                    </w:p>
                    <w:p w14:paraId="0155B227" w14:textId="77777777" w:rsidR="00CE1B89" w:rsidRPr="00CE1B89" w:rsidRDefault="00CE1B89" w:rsidP="00CB4555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sz w:val="14"/>
                          <w:szCs w:val="14"/>
                          <w:lang w:val="es-ES_tradnl"/>
                        </w:rPr>
                      </w:pPr>
                    </w:p>
                    <w:p w14:paraId="4FA03724" w14:textId="18A890B2" w:rsidR="00CE1B89" w:rsidRPr="00CE1B89" w:rsidRDefault="00CE1B89" w:rsidP="00693474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  <w:lang w:val="es-ES_tradnl"/>
                        </w:rPr>
                      </w:pPr>
                      <w:r w:rsidRPr="00CE1B89">
                        <w:rPr>
                          <w:lang w:val="es-ES_tradnl"/>
                        </w:rPr>
                        <w:t>Se invita al Comité Permanente a tomar nota de los progresos realizados en el sistema de acreditación de Ciudad de Humedal</w:t>
                      </w:r>
                      <w:r>
                        <w:rPr>
                          <w:rFonts w:cs="Calibri"/>
                          <w:lang w:val="es-ES_tradn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3E42C9" w14:textId="77777777" w:rsidR="00CB4555" w:rsidRPr="00A7640F" w:rsidRDefault="00CB4555" w:rsidP="001A001C">
      <w:pPr>
        <w:spacing w:after="0" w:line="240" w:lineRule="auto"/>
        <w:rPr>
          <w:b/>
          <w:lang w:val="es-ES_tradnl"/>
        </w:rPr>
      </w:pPr>
    </w:p>
    <w:p w14:paraId="4594EC6A" w14:textId="77777777" w:rsidR="003A2C60" w:rsidRPr="00A7640F" w:rsidRDefault="003A2C60" w:rsidP="001A001C">
      <w:pPr>
        <w:spacing w:after="0" w:line="240" w:lineRule="auto"/>
        <w:rPr>
          <w:b/>
          <w:lang w:val="es-ES_tradnl"/>
        </w:rPr>
      </w:pPr>
    </w:p>
    <w:p w14:paraId="7D3E8A2D" w14:textId="77777777" w:rsidR="00CB4555" w:rsidRPr="00A7640F" w:rsidRDefault="001F486F" w:rsidP="001A001C">
      <w:pPr>
        <w:spacing w:after="0" w:line="240" w:lineRule="auto"/>
        <w:rPr>
          <w:rFonts w:cs="Garamond-Bold"/>
          <w:b/>
          <w:bCs/>
          <w:lang w:val="es-ES_tradnl"/>
        </w:rPr>
      </w:pPr>
      <w:r w:rsidRPr="00A7640F">
        <w:rPr>
          <w:rFonts w:cs="Garamond-Bold"/>
          <w:b/>
          <w:bCs/>
          <w:lang w:val="es-ES_tradnl"/>
        </w:rPr>
        <w:t>Antecedentes</w:t>
      </w:r>
    </w:p>
    <w:p w14:paraId="6347E139" w14:textId="77777777" w:rsidR="00CB4555" w:rsidRPr="00A7640F" w:rsidRDefault="00CB4555" w:rsidP="001A001C">
      <w:pPr>
        <w:pStyle w:val="Default"/>
        <w:ind w:left="360"/>
        <w:rPr>
          <w:rFonts w:asciiTheme="minorHAnsi" w:hAnsiTheme="minorHAnsi" w:cs="Calibri"/>
          <w:color w:val="auto"/>
          <w:sz w:val="22"/>
          <w:szCs w:val="22"/>
          <w:lang w:val="es-ES_tradnl"/>
        </w:rPr>
      </w:pPr>
    </w:p>
    <w:p w14:paraId="579831BB" w14:textId="15C3BD2E" w:rsidR="00CB4555" w:rsidRPr="00A7640F" w:rsidRDefault="001A001C" w:rsidP="001A001C">
      <w:pPr>
        <w:pStyle w:val="NoSpacing"/>
        <w:ind w:left="425" w:hanging="425"/>
        <w:rPr>
          <w:lang w:val="es-ES_tradnl"/>
        </w:rPr>
      </w:pPr>
      <w:r w:rsidRPr="00A7640F">
        <w:rPr>
          <w:lang w:val="es-ES_tradnl"/>
        </w:rPr>
        <w:t>1.</w:t>
      </w:r>
      <w:r w:rsidRPr="00A7640F">
        <w:rPr>
          <w:lang w:val="es-ES_tradnl"/>
        </w:rPr>
        <w:tab/>
      </w:r>
      <w:r w:rsidR="001F486F" w:rsidRPr="00A7640F">
        <w:rPr>
          <w:lang w:val="es-ES_tradnl"/>
        </w:rPr>
        <w:t>Este documento ha sido preparado por la Secretaría como actualización de la aplicación del sistema de acreditación de Ciudad de Humedal.</w:t>
      </w:r>
    </w:p>
    <w:p w14:paraId="04B8AD9A" w14:textId="77777777" w:rsidR="00CB4555" w:rsidRPr="00A7640F" w:rsidRDefault="00CB4555" w:rsidP="001A001C">
      <w:pPr>
        <w:pStyle w:val="NoSpacing"/>
        <w:ind w:left="425" w:hanging="425"/>
        <w:rPr>
          <w:lang w:val="es-ES_tradnl"/>
        </w:rPr>
      </w:pPr>
    </w:p>
    <w:p w14:paraId="3BE8982E" w14:textId="783C661D" w:rsidR="00CB4555" w:rsidRPr="00A7640F" w:rsidRDefault="001A001C" w:rsidP="001A001C">
      <w:pPr>
        <w:pStyle w:val="NoSpacing"/>
        <w:ind w:left="425" w:hanging="425"/>
        <w:rPr>
          <w:lang w:val="es-ES_tradnl"/>
        </w:rPr>
      </w:pPr>
      <w:r w:rsidRPr="00A7640F">
        <w:rPr>
          <w:lang w:val="es-ES_tradnl"/>
        </w:rPr>
        <w:t>2.</w:t>
      </w:r>
      <w:r w:rsidRPr="00A7640F">
        <w:rPr>
          <w:lang w:val="es-ES_tradnl"/>
        </w:rPr>
        <w:tab/>
      </w:r>
      <w:r w:rsidR="001F486F" w:rsidRPr="00A7640F">
        <w:rPr>
          <w:lang w:val="es-ES_tradnl"/>
        </w:rPr>
        <w:t>En la Resolución</w:t>
      </w:r>
      <w:r w:rsidR="00CB4555" w:rsidRPr="00A7640F">
        <w:rPr>
          <w:lang w:val="es-ES_tradnl"/>
        </w:rPr>
        <w:t xml:space="preserve"> XII.10 </w:t>
      </w:r>
      <w:r w:rsidR="001F486F" w:rsidRPr="00A7640F">
        <w:rPr>
          <w:lang w:val="es-ES_tradnl"/>
        </w:rPr>
        <w:t xml:space="preserve">sobre la </w:t>
      </w:r>
      <w:r w:rsidR="001F486F" w:rsidRPr="00A7640F">
        <w:rPr>
          <w:i/>
          <w:lang w:val="es-ES_tradnl"/>
        </w:rPr>
        <w:t xml:space="preserve">Acreditación de Ciudad de Humedal de la Convención de Ramsar </w:t>
      </w:r>
      <w:r w:rsidR="001F486F" w:rsidRPr="00A7640F">
        <w:rPr>
          <w:lang w:val="es-ES_tradnl"/>
        </w:rPr>
        <w:t>se puso de relieve la importancia de los humedales en entornos urbanos y periurbanos (según se definen estos últimos en la Resolución</w:t>
      </w:r>
      <w:r w:rsidR="00CB4555" w:rsidRPr="00A7640F">
        <w:rPr>
          <w:lang w:val="es-ES_tradnl"/>
        </w:rPr>
        <w:t xml:space="preserve"> X.27</w:t>
      </w:r>
      <w:r w:rsidR="001442F9" w:rsidRPr="00A7640F">
        <w:rPr>
          <w:lang w:val="es-ES_tradnl"/>
        </w:rPr>
        <w:t xml:space="preserve"> </w:t>
      </w:r>
      <w:r w:rsidR="001F486F" w:rsidRPr="00A7640F">
        <w:rPr>
          <w:lang w:val="es-ES_tradnl"/>
        </w:rPr>
        <w:t xml:space="preserve">sobre </w:t>
      </w:r>
      <w:r w:rsidR="001F486F" w:rsidRPr="00A7640F">
        <w:rPr>
          <w:i/>
          <w:lang w:val="es-ES_tradnl"/>
        </w:rPr>
        <w:t>Humedales y urbanización</w:t>
      </w:r>
      <w:r w:rsidR="00CB4555" w:rsidRPr="00A7640F">
        <w:rPr>
          <w:lang w:val="es-ES_tradnl"/>
        </w:rPr>
        <w:t xml:space="preserve">) </w:t>
      </w:r>
      <w:r w:rsidR="001F486F" w:rsidRPr="00A7640F">
        <w:rPr>
          <w:lang w:val="es-ES_tradnl"/>
        </w:rPr>
        <w:t xml:space="preserve">y se aprobó el </w:t>
      </w:r>
      <w:r w:rsidR="00CE1B89" w:rsidRPr="00A7640F">
        <w:rPr>
          <w:lang w:val="es-ES_tradnl"/>
        </w:rPr>
        <w:t>establecimiento</w:t>
      </w:r>
      <w:r w:rsidR="001F486F" w:rsidRPr="00A7640F">
        <w:rPr>
          <w:lang w:val="es-ES_tradnl"/>
        </w:rPr>
        <w:t xml:space="preserve"> de un sistema voluntario de acreditación de Ciudad de Humedal para reconocer a las </w:t>
      </w:r>
      <w:r w:rsidR="00CE1B89" w:rsidRPr="00A7640F">
        <w:rPr>
          <w:lang w:val="es-ES_tradnl"/>
        </w:rPr>
        <w:t>autoridades</w:t>
      </w:r>
      <w:r w:rsidR="001F486F" w:rsidRPr="00A7640F">
        <w:rPr>
          <w:lang w:val="es-ES_tradnl"/>
        </w:rPr>
        <w:t xml:space="preserve"> municipales que demuestran mantener vinculaciones fuertes y positivas con los </w:t>
      </w:r>
      <w:r w:rsidR="00CE1B89" w:rsidRPr="00A7640F">
        <w:rPr>
          <w:lang w:val="es-ES_tradnl"/>
        </w:rPr>
        <w:t>humedales</w:t>
      </w:r>
      <w:r w:rsidR="00CE1B89">
        <w:rPr>
          <w:lang w:val="es-ES_tradnl"/>
        </w:rPr>
        <w:t xml:space="preserve"> (según se explica en el a</w:t>
      </w:r>
      <w:r w:rsidR="001F486F" w:rsidRPr="00A7640F">
        <w:rPr>
          <w:lang w:val="es-ES_tradnl"/>
        </w:rPr>
        <w:t>nexo de la Resolución</w:t>
      </w:r>
      <w:r w:rsidR="00CB4555" w:rsidRPr="00A7640F">
        <w:rPr>
          <w:lang w:val="es-ES_tradnl"/>
        </w:rPr>
        <w:t xml:space="preserve"> XI</w:t>
      </w:r>
      <w:r w:rsidR="00F56B27" w:rsidRPr="00A7640F">
        <w:rPr>
          <w:lang w:val="es-ES_tradnl"/>
        </w:rPr>
        <w:t>I</w:t>
      </w:r>
      <w:r w:rsidR="00CB4555" w:rsidRPr="00A7640F">
        <w:rPr>
          <w:lang w:val="es-ES_tradnl"/>
        </w:rPr>
        <w:t xml:space="preserve">.10). </w:t>
      </w:r>
    </w:p>
    <w:p w14:paraId="6522EF21" w14:textId="77777777" w:rsidR="00CB4555" w:rsidRPr="00A7640F" w:rsidRDefault="00CB4555" w:rsidP="001A001C">
      <w:pPr>
        <w:pStyle w:val="NoSpacing"/>
        <w:ind w:left="425" w:hanging="425"/>
        <w:rPr>
          <w:lang w:val="es-ES_tradnl"/>
        </w:rPr>
      </w:pPr>
    </w:p>
    <w:p w14:paraId="083CBDB4" w14:textId="0A043EF9" w:rsidR="00BD14D1" w:rsidRPr="00A7640F" w:rsidRDefault="001A001C" w:rsidP="001A001C">
      <w:pPr>
        <w:pStyle w:val="NoSpacing"/>
        <w:ind w:left="425" w:hanging="425"/>
        <w:rPr>
          <w:lang w:val="es-ES_tradnl"/>
        </w:rPr>
      </w:pPr>
      <w:bookmarkStart w:id="0" w:name="_GoBack"/>
      <w:bookmarkEnd w:id="0"/>
      <w:r w:rsidRPr="00A7640F">
        <w:rPr>
          <w:lang w:val="es-ES_tradnl"/>
        </w:rPr>
        <w:t>3.</w:t>
      </w:r>
      <w:r w:rsidRPr="00A7640F">
        <w:rPr>
          <w:lang w:val="es-ES_tradnl"/>
        </w:rPr>
        <w:tab/>
      </w:r>
      <w:r w:rsidR="001F486F" w:rsidRPr="00A7640F">
        <w:rPr>
          <w:lang w:val="es-ES_tradnl"/>
        </w:rPr>
        <w:t xml:space="preserve">Mediante la </w:t>
      </w:r>
      <w:r w:rsidR="00CE1B89" w:rsidRPr="00A7640F">
        <w:rPr>
          <w:lang w:val="es-ES_tradnl"/>
        </w:rPr>
        <w:t>Decisión</w:t>
      </w:r>
      <w:r w:rsidR="001F486F" w:rsidRPr="00A7640F">
        <w:rPr>
          <w:lang w:val="es-ES_tradnl"/>
        </w:rPr>
        <w:t xml:space="preserve"> </w:t>
      </w:r>
      <w:r w:rsidR="00CB4555" w:rsidRPr="00A7640F">
        <w:rPr>
          <w:lang w:val="es-ES_tradnl"/>
        </w:rPr>
        <w:t>SC53-14</w:t>
      </w:r>
      <w:r w:rsidR="00324E44" w:rsidRPr="00A7640F">
        <w:rPr>
          <w:lang w:val="es-ES_tradnl"/>
        </w:rPr>
        <w:t>,</w:t>
      </w:r>
      <w:r w:rsidR="00CB4555" w:rsidRPr="00A7640F">
        <w:rPr>
          <w:lang w:val="es-ES_tradnl"/>
        </w:rPr>
        <w:t xml:space="preserve"> </w:t>
      </w:r>
      <w:r w:rsidR="001F486F" w:rsidRPr="00A7640F">
        <w:rPr>
          <w:lang w:val="es-ES_tradnl"/>
        </w:rPr>
        <w:t xml:space="preserve">el </w:t>
      </w:r>
      <w:r w:rsidR="00CE1B89">
        <w:rPr>
          <w:lang w:val="es-ES_tradnl"/>
        </w:rPr>
        <w:t>Comité Permanente</w:t>
      </w:r>
      <w:r w:rsidR="00CB4555" w:rsidRPr="00A7640F">
        <w:rPr>
          <w:lang w:val="es-ES_tradnl"/>
        </w:rPr>
        <w:t xml:space="preserve">: (i) </w:t>
      </w:r>
      <w:r w:rsidR="004E0D78" w:rsidRPr="00A7640F">
        <w:rPr>
          <w:lang w:val="es-ES_tradnl"/>
        </w:rPr>
        <w:t xml:space="preserve">confirmó la composición del Comité Asesor Independiente (CAI) hasta la COP13, tal como se establecía en la Resolución XII.10, con la excepción de que la Presidencia sería Túnez y la Copresidencia sería la República de Corea, mientras que ONU-Hábitat sería </w:t>
      </w:r>
      <w:r w:rsidR="00CE1B89">
        <w:rPr>
          <w:lang w:val="es-ES_tradnl"/>
        </w:rPr>
        <w:t>miembro</w:t>
      </w:r>
      <w:r w:rsidR="004E0D78" w:rsidRPr="00A7640F">
        <w:rPr>
          <w:lang w:val="es-ES_tradnl"/>
        </w:rPr>
        <w:t xml:space="preserve"> del Comité</w:t>
      </w:r>
      <w:r w:rsidR="00CB4555" w:rsidRPr="00A7640F">
        <w:rPr>
          <w:lang w:val="es-ES_tradnl"/>
        </w:rPr>
        <w:t xml:space="preserve">; (ii) </w:t>
      </w:r>
      <w:r w:rsidR="004E0D78" w:rsidRPr="00A7640F">
        <w:rPr>
          <w:lang w:val="es-ES_tradnl"/>
        </w:rPr>
        <w:t xml:space="preserve">acogió con beneplácito la oferta del Centro Regional Ramsar para Asia </w:t>
      </w:r>
      <w:r w:rsidR="004E0D78" w:rsidRPr="00CE1B89">
        <w:rPr>
          <w:lang w:val="es-ES_tradnl"/>
        </w:rPr>
        <w:t>Oriental</w:t>
      </w:r>
      <w:r w:rsidR="004E0D78" w:rsidRPr="00A7640F">
        <w:rPr>
          <w:lang w:val="es-ES_tradnl"/>
        </w:rPr>
        <w:t xml:space="preserve"> </w:t>
      </w:r>
      <w:r w:rsidR="00F56B27" w:rsidRPr="00A7640F">
        <w:rPr>
          <w:lang w:val="es-ES_tradnl"/>
        </w:rPr>
        <w:t>(</w:t>
      </w:r>
      <w:r w:rsidR="00CB4555" w:rsidRPr="00A7640F">
        <w:rPr>
          <w:lang w:val="es-ES_tradnl"/>
        </w:rPr>
        <w:t>RRC-EA</w:t>
      </w:r>
      <w:r w:rsidR="00F56B27" w:rsidRPr="00A7640F">
        <w:rPr>
          <w:lang w:val="es-ES_tradnl"/>
        </w:rPr>
        <w:t>)</w:t>
      </w:r>
      <w:r w:rsidR="004E0D78" w:rsidRPr="00A7640F">
        <w:rPr>
          <w:lang w:val="es-ES_tradnl"/>
        </w:rPr>
        <w:t xml:space="preserve"> de participar en el CAI; </w:t>
      </w:r>
      <w:r w:rsidR="00CB4555" w:rsidRPr="00A7640F">
        <w:rPr>
          <w:lang w:val="es-ES_tradnl"/>
        </w:rPr>
        <w:t xml:space="preserve">(iii) </w:t>
      </w:r>
      <w:r w:rsidR="004E0D78" w:rsidRPr="00A7640F">
        <w:rPr>
          <w:lang w:val="es-ES_tradnl"/>
        </w:rPr>
        <w:t xml:space="preserve">acordó que la participación de la Secretaria General o su designado en le CAI debería ser </w:t>
      </w:r>
      <w:r w:rsidR="00CE1B89" w:rsidRPr="00A7640F">
        <w:rPr>
          <w:lang w:val="es-ES_tradnl"/>
        </w:rPr>
        <w:t>mayormente</w:t>
      </w:r>
      <w:r w:rsidR="004E0D78" w:rsidRPr="00A7640F">
        <w:rPr>
          <w:lang w:val="es-ES_tradnl"/>
        </w:rPr>
        <w:t xml:space="preserve"> simbólica</w:t>
      </w:r>
      <w:r w:rsidR="00CB4555" w:rsidRPr="00A7640F">
        <w:rPr>
          <w:lang w:val="es-ES_tradnl"/>
        </w:rPr>
        <w:t>; (iv)</w:t>
      </w:r>
      <w:r w:rsidR="00324E44" w:rsidRPr="00A7640F">
        <w:rPr>
          <w:lang w:val="es-ES_tradnl"/>
        </w:rPr>
        <w:t> </w:t>
      </w:r>
      <w:r w:rsidR="00CB4555" w:rsidRPr="00A7640F">
        <w:rPr>
          <w:lang w:val="es-ES_tradnl"/>
        </w:rPr>
        <w:t>c</w:t>
      </w:r>
      <w:r w:rsidR="004E0D78" w:rsidRPr="00A7640F">
        <w:rPr>
          <w:lang w:val="es-ES_tradnl"/>
        </w:rPr>
        <w:t xml:space="preserve">onfirmó que la función administrativa de la Secretaría debería ser mínima y debería limitarse a la recepción de </w:t>
      </w:r>
      <w:r w:rsidR="00CE1B89" w:rsidRPr="00A7640F">
        <w:rPr>
          <w:lang w:val="es-ES_tradnl"/>
        </w:rPr>
        <w:t>solicitudes</w:t>
      </w:r>
      <w:r w:rsidR="004E0D78" w:rsidRPr="00A7640F">
        <w:rPr>
          <w:lang w:val="es-ES_tradnl"/>
        </w:rPr>
        <w:t xml:space="preserve"> y su envío al CAI, sin que </w:t>
      </w:r>
      <w:r w:rsidR="00CE1B89" w:rsidRPr="00A7640F">
        <w:rPr>
          <w:lang w:val="es-ES_tradnl"/>
        </w:rPr>
        <w:t>ello</w:t>
      </w:r>
      <w:r w:rsidR="004E0D78" w:rsidRPr="00A7640F">
        <w:rPr>
          <w:lang w:val="es-ES_tradnl"/>
        </w:rPr>
        <w:t xml:space="preserve"> </w:t>
      </w:r>
      <w:r w:rsidR="00CE1B89" w:rsidRPr="00A7640F">
        <w:rPr>
          <w:lang w:val="es-ES_tradnl"/>
        </w:rPr>
        <w:t>repercutiera</w:t>
      </w:r>
      <w:r w:rsidR="004E0D78" w:rsidRPr="00A7640F">
        <w:rPr>
          <w:lang w:val="es-ES_tradnl"/>
        </w:rPr>
        <w:t xml:space="preserve"> en la financiación con cargo al presupuesto básico</w:t>
      </w:r>
      <w:r w:rsidR="00CB4555" w:rsidRPr="00A7640F">
        <w:rPr>
          <w:lang w:val="es-ES_tradnl"/>
        </w:rPr>
        <w:t>; (v)</w:t>
      </w:r>
      <w:r w:rsidR="004E0D78" w:rsidRPr="00A7640F">
        <w:rPr>
          <w:lang w:val="es-ES_tradnl"/>
        </w:rPr>
        <w:t xml:space="preserve"> tomó nota de las enmiendas específicas propuestas al </w:t>
      </w:r>
      <w:r w:rsidR="00CE1B89" w:rsidRPr="00A7640F">
        <w:rPr>
          <w:lang w:val="es-ES_tradnl"/>
        </w:rPr>
        <w:t>documento</w:t>
      </w:r>
      <w:r w:rsidR="004E0D78" w:rsidRPr="00A7640F">
        <w:rPr>
          <w:lang w:val="es-ES_tradnl"/>
        </w:rPr>
        <w:t xml:space="preserve"> </w:t>
      </w:r>
      <w:r w:rsidR="00CB4555" w:rsidRPr="00A7640F">
        <w:rPr>
          <w:lang w:val="es-ES_tradnl"/>
        </w:rPr>
        <w:t>SC53-16</w:t>
      </w:r>
      <w:r w:rsidR="004E0D78" w:rsidRPr="00A7640F">
        <w:rPr>
          <w:lang w:val="es-ES_tradnl"/>
        </w:rPr>
        <w:t xml:space="preserve">, </w:t>
      </w:r>
      <w:r w:rsidR="00CE1B89" w:rsidRPr="00A7640F">
        <w:rPr>
          <w:lang w:val="es-ES_tradnl"/>
        </w:rPr>
        <w:t>presentadas</w:t>
      </w:r>
      <w:r w:rsidR="004E0D78" w:rsidRPr="00A7640F">
        <w:rPr>
          <w:lang w:val="es-ES_tradnl"/>
        </w:rPr>
        <w:t xml:space="preserve"> por Sudáfrica; y</w:t>
      </w:r>
      <w:r w:rsidR="00CB4555" w:rsidRPr="00A7640F">
        <w:rPr>
          <w:lang w:val="es-ES_tradnl"/>
        </w:rPr>
        <w:t xml:space="preserve"> (vi) </w:t>
      </w:r>
      <w:r w:rsidR="004E0D78" w:rsidRPr="00A7640F">
        <w:rPr>
          <w:lang w:val="es-ES_tradnl"/>
        </w:rPr>
        <w:t xml:space="preserve">acordó </w:t>
      </w:r>
      <w:r w:rsidR="00CE1B89" w:rsidRPr="00A7640F">
        <w:rPr>
          <w:lang w:val="es-ES_tradnl"/>
        </w:rPr>
        <w:t>prorrogar</w:t>
      </w:r>
      <w:r w:rsidR="004E0D78" w:rsidRPr="00A7640F">
        <w:rPr>
          <w:lang w:val="es-ES_tradnl"/>
        </w:rPr>
        <w:t xml:space="preserve"> el plazo para la </w:t>
      </w:r>
      <w:r w:rsidR="00CE1B89" w:rsidRPr="00A7640F">
        <w:rPr>
          <w:lang w:val="es-ES_tradnl"/>
        </w:rPr>
        <w:t>presentación</w:t>
      </w:r>
      <w:r w:rsidR="004E0D78" w:rsidRPr="00A7640F">
        <w:rPr>
          <w:lang w:val="es-ES_tradnl"/>
        </w:rPr>
        <w:t xml:space="preserve"> de solicitudes de acreditación de Ciudad de Humedal hasta el</w:t>
      </w:r>
      <w:r w:rsidR="00CB4555" w:rsidRPr="00A7640F">
        <w:rPr>
          <w:lang w:val="es-ES_tradnl"/>
        </w:rPr>
        <w:t xml:space="preserve"> 31</w:t>
      </w:r>
      <w:r w:rsidR="004E0D78" w:rsidRPr="00A7640F">
        <w:rPr>
          <w:lang w:val="es-ES_tradnl"/>
        </w:rPr>
        <w:t xml:space="preserve"> de octubre de </w:t>
      </w:r>
      <w:r w:rsidR="00CB4555" w:rsidRPr="00A7640F">
        <w:rPr>
          <w:lang w:val="es-ES_tradnl"/>
        </w:rPr>
        <w:t>2017.</w:t>
      </w:r>
    </w:p>
    <w:p w14:paraId="1D464768" w14:textId="77777777" w:rsidR="00CB4555" w:rsidRPr="00A7640F" w:rsidRDefault="00CB4555" w:rsidP="001A001C">
      <w:pPr>
        <w:spacing w:after="0" w:line="240" w:lineRule="auto"/>
        <w:ind w:left="426" w:hanging="426"/>
        <w:rPr>
          <w:rStyle w:val="Strong"/>
          <w:rFonts w:cs="Calibri"/>
          <w:b w:val="0"/>
          <w:bCs w:val="0"/>
          <w:lang w:val="es-ES_tradnl"/>
        </w:rPr>
      </w:pPr>
    </w:p>
    <w:p w14:paraId="2C2E3048" w14:textId="0C0D0D04" w:rsidR="00CB4555" w:rsidRPr="00A7640F" w:rsidRDefault="00635FAF" w:rsidP="001A001C">
      <w:pPr>
        <w:spacing w:after="0" w:line="240" w:lineRule="auto"/>
        <w:rPr>
          <w:rFonts w:cs="Garamond-Bold"/>
          <w:b/>
          <w:bCs/>
          <w:lang w:val="es-ES_tradnl"/>
        </w:rPr>
      </w:pPr>
      <w:r w:rsidRPr="00A7640F">
        <w:rPr>
          <w:rFonts w:cs="Garamond-Bold"/>
          <w:b/>
          <w:bCs/>
          <w:lang w:val="es-ES_tradnl"/>
        </w:rPr>
        <w:t xml:space="preserve">Progresos realizados en la </w:t>
      </w:r>
      <w:r w:rsidR="00CE1B89" w:rsidRPr="00A7640F">
        <w:rPr>
          <w:rFonts w:cs="Garamond-Bold"/>
          <w:b/>
          <w:bCs/>
          <w:lang w:val="es-ES_tradnl"/>
        </w:rPr>
        <w:t>aplicación</w:t>
      </w:r>
      <w:r w:rsidRPr="00A7640F">
        <w:rPr>
          <w:rFonts w:cs="Garamond-Bold"/>
          <w:b/>
          <w:bCs/>
          <w:lang w:val="es-ES_tradnl"/>
        </w:rPr>
        <w:t xml:space="preserve"> de la </w:t>
      </w:r>
      <w:r w:rsidR="00CE1B89" w:rsidRPr="00A7640F">
        <w:rPr>
          <w:rFonts w:cs="Garamond-Bold"/>
          <w:b/>
          <w:bCs/>
          <w:lang w:val="es-ES_tradnl"/>
        </w:rPr>
        <w:t>acreditación</w:t>
      </w:r>
      <w:r w:rsidRPr="00A7640F">
        <w:rPr>
          <w:rFonts w:cs="Garamond-Bold"/>
          <w:b/>
          <w:bCs/>
          <w:lang w:val="es-ES_tradnl"/>
        </w:rPr>
        <w:t xml:space="preserve"> de Ciudad de Humedal</w:t>
      </w:r>
    </w:p>
    <w:p w14:paraId="02FF0949" w14:textId="77777777" w:rsidR="00CB4555" w:rsidRPr="00A7640F" w:rsidRDefault="00CB4555" w:rsidP="001A001C">
      <w:pPr>
        <w:spacing w:after="0" w:line="240" w:lineRule="auto"/>
        <w:rPr>
          <w:lang w:val="es-ES_tradnl"/>
        </w:rPr>
      </w:pPr>
    </w:p>
    <w:p w14:paraId="0D13E1CE" w14:textId="2950ADFE" w:rsidR="00CB4555" w:rsidRPr="00A7640F" w:rsidRDefault="001A001C" w:rsidP="001A001C">
      <w:pPr>
        <w:pStyle w:val="NoSpacing"/>
        <w:ind w:left="425" w:hanging="425"/>
        <w:rPr>
          <w:lang w:val="es-ES_tradnl"/>
        </w:rPr>
      </w:pPr>
      <w:r w:rsidRPr="00A7640F">
        <w:rPr>
          <w:lang w:val="es-ES_tradnl"/>
        </w:rPr>
        <w:t>4.</w:t>
      </w:r>
      <w:r w:rsidRPr="00A7640F">
        <w:rPr>
          <w:lang w:val="es-ES_tradnl"/>
        </w:rPr>
        <w:tab/>
      </w:r>
      <w:r w:rsidR="00A7640F" w:rsidRPr="00A7640F">
        <w:rPr>
          <w:lang w:val="es-ES_tradnl"/>
        </w:rPr>
        <w:t xml:space="preserve">Tras la </w:t>
      </w:r>
      <w:r w:rsidR="00CE1B89">
        <w:rPr>
          <w:lang w:val="es-ES_tradnl"/>
        </w:rPr>
        <w:t>adopción</w:t>
      </w:r>
      <w:r w:rsidR="00A7640F" w:rsidRPr="00A7640F">
        <w:rPr>
          <w:lang w:val="es-ES_tradnl"/>
        </w:rPr>
        <w:t xml:space="preserve"> de la Decisión </w:t>
      </w:r>
      <w:r w:rsidR="00CB4555" w:rsidRPr="00A7640F">
        <w:rPr>
          <w:lang w:val="es-ES_tradnl"/>
        </w:rPr>
        <w:t>SC53-14</w:t>
      </w:r>
      <w:r w:rsidR="00A7640F" w:rsidRPr="00A7640F">
        <w:rPr>
          <w:lang w:val="es-ES_tradnl"/>
        </w:rPr>
        <w:t xml:space="preserve"> del Comité Permanente, la </w:t>
      </w:r>
      <w:r w:rsidR="00CE1B89" w:rsidRPr="00A7640F">
        <w:rPr>
          <w:lang w:val="es-ES_tradnl"/>
        </w:rPr>
        <w:t>Secretaría</w:t>
      </w:r>
      <w:r w:rsidR="00A7640F" w:rsidRPr="00A7640F">
        <w:rPr>
          <w:lang w:val="es-ES_tradnl"/>
        </w:rPr>
        <w:t xml:space="preserve"> </w:t>
      </w:r>
      <w:r w:rsidR="00CE1B89">
        <w:rPr>
          <w:lang w:val="es-ES_tradnl"/>
        </w:rPr>
        <w:t xml:space="preserve">emitió </w:t>
      </w:r>
      <w:r w:rsidR="00A7640F" w:rsidRPr="00A7640F">
        <w:rPr>
          <w:lang w:val="es-ES_tradnl"/>
        </w:rPr>
        <w:t xml:space="preserve">una </w:t>
      </w:r>
      <w:r w:rsidR="00CE1B89" w:rsidRPr="00A7640F">
        <w:rPr>
          <w:lang w:val="es-ES_tradnl"/>
        </w:rPr>
        <w:t>convocatoria</w:t>
      </w:r>
      <w:r w:rsidR="00A7640F" w:rsidRPr="00A7640F">
        <w:rPr>
          <w:lang w:val="es-ES_tradnl"/>
        </w:rPr>
        <w:t xml:space="preserve"> de solicitudes para la acreditación de Ciudad de Humedal el 14 de junio de 2017.</w:t>
      </w:r>
    </w:p>
    <w:p w14:paraId="4ECA5CBA" w14:textId="77777777" w:rsidR="00CB4555" w:rsidRPr="00A7640F" w:rsidRDefault="00CB4555" w:rsidP="001A001C">
      <w:pPr>
        <w:pStyle w:val="NoSpacing"/>
        <w:ind w:left="425" w:hanging="425"/>
        <w:rPr>
          <w:lang w:val="es-ES_tradnl"/>
        </w:rPr>
      </w:pPr>
    </w:p>
    <w:p w14:paraId="44542194" w14:textId="477388B8" w:rsidR="00CB4555" w:rsidRPr="00A7640F" w:rsidRDefault="001A001C" w:rsidP="001A001C">
      <w:pPr>
        <w:pStyle w:val="NoSpacing"/>
        <w:ind w:left="425" w:hanging="425"/>
        <w:rPr>
          <w:lang w:val="es-ES_tradnl"/>
        </w:rPr>
      </w:pPr>
      <w:r w:rsidRPr="00A7640F">
        <w:rPr>
          <w:lang w:val="es-ES_tradnl"/>
        </w:rPr>
        <w:t>5.</w:t>
      </w:r>
      <w:r w:rsidRPr="00A7640F">
        <w:rPr>
          <w:lang w:val="es-ES_tradnl"/>
        </w:rPr>
        <w:tab/>
      </w:r>
      <w:r w:rsidR="00A7640F" w:rsidRPr="00A7640F">
        <w:rPr>
          <w:lang w:val="es-ES_tradnl"/>
        </w:rPr>
        <w:t xml:space="preserve">Tras la finalización del plazo límite para recibir las solicitudes el </w:t>
      </w:r>
      <w:r w:rsidR="00CB4555" w:rsidRPr="00A7640F">
        <w:rPr>
          <w:lang w:val="es-ES_tradnl"/>
        </w:rPr>
        <w:t xml:space="preserve">31 </w:t>
      </w:r>
      <w:r w:rsidR="00A7640F" w:rsidRPr="00A7640F">
        <w:rPr>
          <w:lang w:val="es-ES_tradnl"/>
        </w:rPr>
        <w:t>de octubre de</w:t>
      </w:r>
      <w:r w:rsidR="00CB4555" w:rsidRPr="00A7640F">
        <w:rPr>
          <w:lang w:val="es-ES_tradnl"/>
        </w:rPr>
        <w:t xml:space="preserve"> 2017, </w:t>
      </w:r>
      <w:r w:rsidR="00A7640F" w:rsidRPr="00A7640F">
        <w:rPr>
          <w:lang w:val="es-ES_tradnl"/>
        </w:rPr>
        <w:t xml:space="preserve">la </w:t>
      </w:r>
      <w:r w:rsidR="00CE1B89" w:rsidRPr="00A7640F">
        <w:rPr>
          <w:lang w:val="es-ES_tradnl"/>
        </w:rPr>
        <w:t>Secretaría</w:t>
      </w:r>
      <w:r w:rsidR="00A7640F" w:rsidRPr="00A7640F">
        <w:rPr>
          <w:lang w:val="es-ES_tradnl"/>
        </w:rPr>
        <w:t xml:space="preserve"> verificó el apoyo formal de las </w:t>
      </w:r>
      <w:r w:rsidR="00CE1B89" w:rsidRPr="00A7640F">
        <w:rPr>
          <w:lang w:val="es-ES_tradnl"/>
        </w:rPr>
        <w:t>solicitudes</w:t>
      </w:r>
      <w:r w:rsidR="00A7640F" w:rsidRPr="00A7640F">
        <w:rPr>
          <w:lang w:val="es-ES_tradnl"/>
        </w:rPr>
        <w:t xml:space="preserve"> por la </w:t>
      </w:r>
      <w:r w:rsidR="00CE1B89" w:rsidRPr="00A7640F">
        <w:rPr>
          <w:lang w:val="es-ES_tradnl"/>
        </w:rPr>
        <w:t>Autoridad</w:t>
      </w:r>
      <w:r w:rsidR="00A7640F" w:rsidRPr="00A7640F">
        <w:rPr>
          <w:lang w:val="es-ES_tradnl"/>
        </w:rPr>
        <w:t xml:space="preserve"> Administrativa</w:t>
      </w:r>
      <w:r w:rsidR="00CE1B89">
        <w:rPr>
          <w:lang w:val="es-ES_tradnl"/>
        </w:rPr>
        <w:t xml:space="preserve"> Ramsar de las Partes Contratantes correspondientes </w:t>
      </w:r>
      <w:r w:rsidR="00A7640F" w:rsidRPr="00A7640F">
        <w:rPr>
          <w:lang w:val="es-ES_tradnl"/>
        </w:rPr>
        <w:t xml:space="preserve">y remitió las solicitudes al CAI el 8 de noviembre de </w:t>
      </w:r>
      <w:r w:rsidR="00CB4555" w:rsidRPr="00A7640F">
        <w:rPr>
          <w:lang w:val="es-ES_tradnl"/>
        </w:rPr>
        <w:t>2017.</w:t>
      </w:r>
    </w:p>
    <w:p w14:paraId="6A990966" w14:textId="77777777" w:rsidR="003A2C60" w:rsidRPr="00A7640F" w:rsidRDefault="003A2C60" w:rsidP="001A001C">
      <w:pPr>
        <w:spacing w:after="0" w:line="240" w:lineRule="auto"/>
        <w:rPr>
          <w:rFonts w:ascii="Arial" w:hAnsi="Arial" w:cs="Arial"/>
          <w:lang w:val="es-ES_tradnl"/>
        </w:rPr>
      </w:pPr>
    </w:p>
    <w:p w14:paraId="0C0A77B5" w14:textId="020D3129" w:rsidR="00CB4555" w:rsidRPr="00A7640F" w:rsidRDefault="001A001C" w:rsidP="001A001C">
      <w:pPr>
        <w:pStyle w:val="NoSpacing"/>
        <w:ind w:left="425" w:hanging="425"/>
        <w:rPr>
          <w:lang w:val="es-ES_tradnl"/>
        </w:rPr>
      </w:pPr>
      <w:r w:rsidRPr="00A7640F">
        <w:rPr>
          <w:lang w:val="es-ES_tradnl"/>
        </w:rPr>
        <w:t>6.</w:t>
      </w:r>
      <w:r w:rsidRPr="00A7640F">
        <w:rPr>
          <w:lang w:val="es-ES_tradnl"/>
        </w:rPr>
        <w:tab/>
      </w:r>
      <w:r w:rsidR="00A7640F" w:rsidRPr="00A7640F">
        <w:rPr>
          <w:lang w:val="es-ES_tradnl"/>
        </w:rPr>
        <w:t xml:space="preserve">El CAI elaboró una metodología y un calendario formales para evaluar las solicitudes el </w:t>
      </w:r>
      <w:r w:rsidR="00CB4555" w:rsidRPr="00A7640F">
        <w:rPr>
          <w:lang w:val="es-ES_tradnl"/>
        </w:rPr>
        <w:t xml:space="preserve">10 </w:t>
      </w:r>
      <w:r w:rsidR="00A7640F" w:rsidRPr="00A7640F">
        <w:rPr>
          <w:lang w:val="es-ES_tradnl"/>
        </w:rPr>
        <w:t xml:space="preserve">de </w:t>
      </w:r>
      <w:r w:rsidR="00CE1B89" w:rsidRPr="00A7640F">
        <w:rPr>
          <w:lang w:val="es-ES_tradnl"/>
        </w:rPr>
        <w:t>octubre</w:t>
      </w:r>
      <w:r w:rsidR="00A7640F" w:rsidRPr="00A7640F">
        <w:rPr>
          <w:lang w:val="es-ES_tradnl"/>
        </w:rPr>
        <w:t xml:space="preserve"> de 2017 a modo de orientación para </w:t>
      </w:r>
      <w:r w:rsidR="00CE1B89" w:rsidRPr="00A7640F">
        <w:rPr>
          <w:lang w:val="es-ES_tradnl"/>
        </w:rPr>
        <w:t>explicar</w:t>
      </w:r>
      <w:r w:rsidR="00A7640F" w:rsidRPr="00A7640F">
        <w:rPr>
          <w:lang w:val="es-ES_tradnl"/>
        </w:rPr>
        <w:t xml:space="preserve"> cómo los miembros </w:t>
      </w:r>
      <w:r w:rsidR="00CE1B89" w:rsidRPr="00A7640F">
        <w:rPr>
          <w:lang w:val="es-ES_tradnl"/>
        </w:rPr>
        <w:t>evaluarían</w:t>
      </w:r>
      <w:r w:rsidR="00A7640F" w:rsidRPr="00A7640F">
        <w:rPr>
          <w:lang w:val="es-ES_tradnl"/>
        </w:rPr>
        <w:t xml:space="preserve"> las solicitudes y cómo el Comité </w:t>
      </w:r>
      <w:r w:rsidR="00CE1B89" w:rsidRPr="00A7640F">
        <w:rPr>
          <w:lang w:val="es-ES_tradnl"/>
        </w:rPr>
        <w:t>decidiría</w:t>
      </w:r>
      <w:r w:rsidR="00CE1B89">
        <w:rPr>
          <w:lang w:val="es-ES_tradnl"/>
        </w:rPr>
        <w:t>, para cada candidatura</w:t>
      </w:r>
      <w:r w:rsidR="00A7640F" w:rsidRPr="00A7640F">
        <w:rPr>
          <w:lang w:val="es-ES_tradnl"/>
        </w:rPr>
        <w:t xml:space="preserve">, si se habían cumplido todos los criterios establecidos por la </w:t>
      </w:r>
      <w:r w:rsidR="001F486F" w:rsidRPr="00A7640F">
        <w:rPr>
          <w:lang w:val="es-ES_tradnl"/>
        </w:rPr>
        <w:t>Resolución</w:t>
      </w:r>
      <w:r w:rsidR="00CB4555" w:rsidRPr="00A7640F">
        <w:rPr>
          <w:lang w:val="es-ES_tradnl"/>
        </w:rPr>
        <w:t xml:space="preserve"> XII.10 </w:t>
      </w:r>
      <w:r w:rsidR="00A7640F" w:rsidRPr="00A7640F">
        <w:rPr>
          <w:lang w:val="es-ES_tradnl"/>
        </w:rPr>
        <w:t xml:space="preserve">y </w:t>
      </w:r>
      <w:r w:rsidR="00CE1B89">
        <w:rPr>
          <w:lang w:val="es-ES_tradnl"/>
        </w:rPr>
        <w:t xml:space="preserve">si la ciudad en cuestión </w:t>
      </w:r>
      <w:r w:rsidR="00A7640F" w:rsidRPr="00A7640F">
        <w:rPr>
          <w:lang w:val="es-ES_tradnl"/>
        </w:rPr>
        <w:t>se recomendaría para su acreditación o no</w:t>
      </w:r>
      <w:r w:rsidR="00CB4555" w:rsidRPr="00A7640F">
        <w:rPr>
          <w:lang w:val="es-ES_tradnl"/>
        </w:rPr>
        <w:t>.</w:t>
      </w:r>
    </w:p>
    <w:p w14:paraId="089F1294" w14:textId="77777777" w:rsidR="00CB4555" w:rsidRPr="00A7640F" w:rsidRDefault="00CB4555" w:rsidP="001A001C">
      <w:pPr>
        <w:spacing w:after="0" w:line="240" w:lineRule="auto"/>
        <w:rPr>
          <w:rFonts w:ascii="Calibri" w:hAnsi="Calibri" w:cs="Arial"/>
          <w:lang w:val="es-ES_tradnl"/>
        </w:rPr>
      </w:pPr>
    </w:p>
    <w:p w14:paraId="5998779A" w14:textId="4DBF9D30" w:rsidR="0012096C" w:rsidRPr="00A7640F" w:rsidRDefault="007714C7" w:rsidP="007714C7">
      <w:pPr>
        <w:pStyle w:val="NoSpacing"/>
        <w:ind w:left="425" w:hanging="425"/>
        <w:rPr>
          <w:lang w:val="es-ES_tradnl"/>
        </w:rPr>
      </w:pPr>
      <w:r w:rsidRPr="00A7640F">
        <w:rPr>
          <w:lang w:val="es-ES_tradnl"/>
        </w:rPr>
        <w:t>7.</w:t>
      </w:r>
      <w:r w:rsidRPr="00A7640F">
        <w:rPr>
          <w:lang w:val="es-ES_tradnl"/>
        </w:rPr>
        <w:tab/>
      </w:r>
      <w:r w:rsidR="00A7640F" w:rsidRPr="00A7640F">
        <w:rPr>
          <w:lang w:val="es-ES_tradnl"/>
        </w:rPr>
        <w:t xml:space="preserve">Las </w:t>
      </w:r>
      <w:r w:rsidR="00CE1B89" w:rsidRPr="00A7640F">
        <w:rPr>
          <w:lang w:val="es-ES_tradnl"/>
        </w:rPr>
        <w:t>siguientes</w:t>
      </w:r>
      <w:r w:rsidR="00A7640F" w:rsidRPr="00A7640F">
        <w:rPr>
          <w:lang w:val="es-ES_tradnl"/>
        </w:rPr>
        <w:t xml:space="preserve"> </w:t>
      </w:r>
      <w:r w:rsidR="00CE1B89" w:rsidRPr="00A7640F">
        <w:rPr>
          <w:lang w:val="es-ES_tradnl"/>
        </w:rPr>
        <w:t>etapas</w:t>
      </w:r>
      <w:r w:rsidR="00A7640F" w:rsidRPr="00A7640F">
        <w:rPr>
          <w:lang w:val="es-ES_tradnl"/>
        </w:rPr>
        <w:t xml:space="preserve"> se </w:t>
      </w:r>
      <w:r w:rsidR="00CE1B89" w:rsidRPr="00A7640F">
        <w:rPr>
          <w:lang w:val="es-ES_tradnl"/>
        </w:rPr>
        <w:t>describen</w:t>
      </w:r>
      <w:r w:rsidR="00A7640F" w:rsidRPr="00A7640F">
        <w:rPr>
          <w:lang w:val="es-ES_tradnl"/>
        </w:rPr>
        <w:t xml:space="preserve"> en la Resolución </w:t>
      </w:r>
      <w:r w:rsidRPr="00A7640F">
        <w:rPr>
          <w:lang w:val="es-ES_tradnl"/>
        </w:rPr>
        <w:t>XII.10</w:t>
      </w:r>
      <w:r w:rsidR="00A7640F" w:rsidRPr="00A7640F">
        <w:rPr>
          <w:lang w:val="es-ES_tradnl"/>
        </w:rPr>
        <w:t xml:space="preserve">, párrafos </w:t>
      </w:r>
      <w:r w:rsidRPr="00A7640F">
        <w:rPr>
          <w:lang w:val="es-ES_tradnl"/>
        </w:rPr>
        <w:t xml:space="preserve">15.c </w:t>
      </w:r>
      <w:r w:rsidR="00A7640F" w:rsidRPr="00A7640F">
        <w:rPr>
          <w:lang w:val="es-ES_tradnl"/>
        </w:rPr>
        <w:t>a</w:t>
      </w:r>
      <w:r w:rsidRPr="00A7640F">
        <w:rPr>
          <w:lang w:val="es-ES_tradnl"/>
        </w:rPr>
        <w:t xml:space="preserve"> 15.e:</w:t>
      </w:r>
    </w:p>
    <w:p w14:paraId="493145DB" w14:textId="77777777" w:rsidR="007714C7" w:rsidRPr="00A7640F" w:rsidRDefault="007714C7" w:rsidP="007714C7">
      <w:pPr>
        <w:pStyle w:val="NoSpacing"/>
        <w:ind w:left="425" w:hanging="425"/>
        <w:rPr>
          <w:lang w:val="es-ES_tradnl"/>
        </w:rPr>
      </w:pPr>
    </w:p>
    <w:p w14:paraId="0251C684" w14:textId="2AD29BD1" w:rsidR="007714C7" w:rsidRPr="00A7640F" w:rsidRDefault="007714C7" w:rsidP="007714C7">
      <w:pPr>
        <w:spacing w:after="0" w:line="240" w:lineRule="auto"/>
        <w:ind w:left="425"/>
        <w:rPr>
          <w:i/>
          <w:lang w:val="es-ES_tradnl"/>
        </w:rPr>
      </w:pPr>
      <w:r w:rsidRPr="00A7640F">
        <w:rPr>
          <w:lang w:val="es-ES_tradnl"/>
        </w:rPr>
        <w:t>“</w:t>
      </w:r>
      <w:r w:rsidRPr="00A7640F">
        <w:rPr>
          <w:i/>
          <w:lang w:val="es-ES_tradnl"/>
        </w:rPr>
        <w:t xml:space="preserve">15.c. </w:t>
      </w:r>
      <w:r w:rsidR="00A7640F" w:rsidRPr="00A7640F">
        <w:rPr>
          <w:rFonts w:ascii="Calibri" w:hAnsi="Calibri" w:cs="Calibri"/>
          <w:i/>
          <w:lang w:val="es-ES_tradnl"/>
        </w:rPr>
        <w:t>El Comité Asesor Independiente examinará las solicitudes y decidirá si concede la acreditación o no a las ciudades propuestas, y comunicará su decisión al menos 60 días antes de la última reunión plenaria del Comité Permanente</w:t>
      </w:r>
      <w:r w:rsidRPr="00A7640F">
        <w:rPr>
          <w:i/>
          <w:lang w:val="es-ES_tradnl"/>
        </w:rPr>
        <w:t xml:space="preserve">; </w:t>
      </w:r>
    </w:p>
    <w:p w14:paraId="16397545" w14:textId="77777777" w:rsidR="007714C7" w:rsidRPr="00A7640F" w:rsidRDefault="007714C7" w:rsidP="007714C7">
      <w:pPr>
        <w:spacing w:after="0" w:line="240" w:lineRule="auto"/>
        <w:ind w:left="425"/>
        <w:rPr>
          <w:i/>
          <w:lang w:val="es-ES_tradnl"/>
        </w:rPr>
      </w:pPr>
    </w:p>
    <w:p w14:paraId="35549E34" w14:textId="0D67C843" w:rsidR="007714C7" w:rsidRPr="00A7640F" w:rsidRDefault="007714C7" w:rsidP="007714C7">
      <w:pPr>
        <w:spacing w:after="0" w:line="240" w:lineRule="auto"/>
        <w:ind w:left="425"/>
        <w:rPr>
          <w:i/>
          <w:lang w:val="es-ES_tradnl"/>
        </w:rPr>
      </w:pPr>
      <w:r w:rsidRPr="00A7640F">
        <w:rPr>
          <w:i/>
          <w:lang w:val="es-ES_tradnl"/>
        </w:rPr>
        <w:t xml:space="preserve">15.d. </w:t>
      </w:r>
      <w:r w:rsidR="00A7640F" w:rsidRPr="00A7640F">
        <w:rPr>
          <w:rFonts w:ascii="Calibri" w:hAnsi="Calibri" w:cs="Calibri"/>
          <w:i/>
          <w:lang w:val="es-ES_tradnl"/>
        </w:rPr>
        <w:t>El Comité Permanente examinará el informe del Comité Asesor Independiente en el que se enumerarán las ciudades cuya acreditación se ha aprobado y lo remitirá a la Conferencia de las Partes</w:t>
      </w:r>
      <w:r w:rsidRPr="00A7640F">
        <w:rPr>
          <w:i/>
          <w:lang w:val="es-ES_tradnl"/>
        </w:rPr>
        <w:t xml:space="preserve">; </w:t>
      </w:r>
    </w:p>
    <w:p w14:paraId="0A45FBF9" w14:textId="77777777" w:rsidR="007714C7" w:rsidRPr="00A7640F" w:rsidRDefault="007714C7" w:rsidP="007714C7">
      <w:pPr>
        <w:spacing w:after="0" w:line="240" w:lineRule="auto"/>
        <w:ind w:left="425"/>
        <w:rPr>
          <w:i/>
          <w:lang w:val="es-ES_tradnl"/>
        </w:rPr>
      </w:pPr>
    </w:p>
    <w:p w14:paraId="39E03315" w14:textId="6B8B4E6E" w:rsidR="007714C7" w:rsidRPr="00A7640F" w:rsidRDefault="007714C7" w:rsidP="007714C7">
      <w:pPr>
        <w:spacing w:after="0" w:line="240" w:lineRule="auto"/>
        <w:ind w:left="425"/>
        <w:rPr>
          <w:lang w:val="es-ES_tradnl"/>
        </w:rPr>
      </w:pPr>
      <w:r w:rsidRPr="00A7640F">
        <w:rPr>
          <w:i/>
          <w:lang w:val="es-ES_tradnl"/>
        </w:rPr>
        <w:t xml:space="preserve">15.e. </w:t>
      </w:r>
      <w:r w:rsidR="00A7640F" w:rsidRPr="00A7640F">
        <w:rPr>
          <w:rFonts w:ascii="Calibri" w:hAnsi="Calibri" w:cs="Calibri"/>
          <w:i/>
          <w:lang w:val="es-ES_tradnl"/>
        </w:rPr>
        <w:t>El Secretario General facilitará a la Parte Contratante un certificado de acreditación en el que figure el logotipo de la Convención de Ramsar para la Ciudad de Humedal, que será válido durante seis años</w:t>
      </w:r>
      <w:r w:rsidRPr="00A7640F">
        <w:rPr>
          <w:i/>
          <w:lang w:val="es-ES_tradnl"/>
        </w:rPr>
        <w:t>;</w:t>
      </w:r>
      <w:r w:rsidRPr="00A7640F">
        <w:rPr>
          <w:lang w:val="es-ES_tradnl"/>
        </w:rPr>
        <w:t>”</w:t>
      </w:r>
    </w:p>
    <w:p w14:paraId="69148C3C" w14:textId="77777777" w:rsidR="007714C7" w:rsidRPr="00A7640F" w:rsidRDefault="007714C7" w:rsidP="007714C7">
      <w:pPr>
        <w:spacing w:after="0" w:line="240" w:lineRule="auto"/>
        <w:ind w:left="425"/>
        <w:rPr>
          <w:lang w:val="es-ES_tradnl"/>
        </w:rPr>
      </w:pPr>
    </w:p>
    <w:p w14:paraId="5454D14E" w14:textId="3F5ADE77" w:rsidR="007714C7" w:rsidRPr="00A7640F" w:rsidRDefault="007714C7" w:rsidP="007714C7">
      <w:pPr>
        <w:pStyle w:val="NoSpacing"/>
        <w:ind w:left="425" w:hanging="425"/>
        <w:rPr>
          <w:lang w:val="es-ES_tradnl"/>
        </w:rPr>
      </w:pPr>
      <w:r w:rsidRPr="00A7640F">
        <w:rPr>
          <w:lang w:val="es-ES_tradnl"/>
        </w:rPr>
        <w:t>8.</w:t>
      </w:r>
      <w:r w:rsidRPr="00A7640F">
        <w:rPr>
          <w:lang w:val="es-ES_tradnl"/>
        </w:rPr>
        <w:tab/>
      </w:r>
      <w:r w:rsidR="00A7640F" w:rsidRPr="00A7640F">
        <w:rPr>
          <w:lang w:val="es-ES_tradnl"/>
        </w:rPr>
        <w:t xml:space="preserve">De conformidad con el párrafo </w:t>
      </w:r>
      <w:r w:rsidR="004009AB" w:rsidRPr="00A7640F">
        <w:rPr>
          <w:lang w:val="es-ES_tradnl"/>
        </w:rPr>
        <w:t xml:space="preserve">15.c </w:t>
      </w:r>
      <w:r w:rsidR="00A7640F" w:rsidRPr="00A7640F">
        <w:rPr>
          <w:lang w:val="es-ES_tradnl"/>
        </w:rPr>
        <w:t xml:space="preserve">de la Resolución </w:t>
      </w:r>
      <w:r w:rsidR="004009AB" w:rsidRPr="00A7640F">
        <w:rPr>
          <w:lang w:val="es-ES_tradnl"/>
        </w:rPr>
        <w:t xml:space="preserve">XII.10, </w:t>
      </w:r>
      <w:r w:rsidR="00A7640F" w:rsidRPr="00A7640F">
        <w:rPr>
          <w:lang w:val="es-ES_tradnl"/>
        </w:rPr>
        <w:t xml:space="preserve">el </w:t>
      </w:r>
      <w:r w:rsidR="00CE1B89" w:rsidRPr="00A7640F">
        <w:rPr>
          <w:lang w:val="es-ES_tradnl"/>
        </w:rPr>
        <w:t>Comité</w:t>
      </w:r>
      <w:r w:rsidR="00A7640F" w:rsidRPr="00A7640F">
        <w:rPr>
          <w:lang w:val="es-ES_tradnl"/>
        </w:rPr>
        <w:t xml:space="preserve"> Asesor Independiente ha facilitado un informe sobre sus deliberaciones, que se presentará a los miembros del Comité Permanente para que lo examinen en una sesión a puerta cerrada durante su </w:t>
      </w:r>
      <w:r w:rsidR="004009AB" w:rsidRPr="00A7640F">
        <w:rPr>
          <w:lang w:val="es-ES_tradnl"/>
        </w:rPr>
        <w:t>54</w:t>
      </w:r>
      <w:r w:rsidR="002324A2">
        <w:rPr>
          <w:lang w:val="es-ES_tradnl"/>
        </w:rPr>
        <w:t>ª reunión.</w:t>
      </w:r>
    </w:p>
    <w:sectPr w:rsidR="007714C7" w:rsidRPr="00A7640F" w:rsidSect="004009AB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81E37" w14:textId="77777777" w:rsidR="00CE1B89" w:rsidRDefault="00CE1B89" w:rsidP="00CB4555">
      <w:pPr>
        <w:spacing w:after="0" w:line="240" w:lineRule="auto"/>
      </w:pPr>
      <w:r>
        <w:separator/>
      </w:r>
    </w:p>
  </w:endnote>
  <w:endnote w:type="continuationSeparator" w:id="0">
    <w:p w14:paraId="6204F6E5" w14:textId="77777777" w:rsidR="00CE1B89" w:rsidRDefault="00CE1B89" w:rsidP="00CB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26000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B3CB4" w14:textId="77777777" w:rsidR="00CE1B89" w:rsidRPr="004009AB" w:rsidRDefault="00CE1B89" w:rsidP="004009AB">
        <w:pPr>
          <w:pStyle w:val="Footer"/>
          <w:rPr>
            <w:sz w:val="20"/>
            <w:szCs w:val="20"/>
          </w:rPr>
        </w:pPr>
        <w:r w:rsidRPr="004009AB">
          <w:rPr>
            <w:sz w:val="20"/>
            <w:szCs w:val="20"/>
          </w:rPr>
          <w:t>SC54-</w:t>
        </w:r>
        <w:r>
          <w:rPr>
            <w:sz w:val="20"/>
            <w:szCs w:val="20"/>
          </w:rPr>
          <w:t>28.1</w:t>
        </w:r>
        <w:r w:rsidRPr="004009AB">
          <w:rPr>
            <w:sz w:val="20"/>
            <w:szCs w:val="20"/>
          </w:rPr>
          <w:tab/>
        </w:r>
        <w:r w:rsidRPr="004009AB">
          <w:rPr>
            <w:sz w:val="20"/>
            <w:szCs w:val="20"/>
          </w:rPr>
          <w:tab/>
        </w:r>
        <w:r w:rsidRPr="004009AB">
          <w:rPr>
            <w:sz w:val="20"/>
            <w:szCs w:val="20"/>
          </w:rPr>
          <w:fldChar w:fldCharType="begin"/>
        </w:r>
        <w:r w:rsidRPr="004009AB">
          <w:rPr>
            <w:sz w:val="20"/>
            <w:szCs w:val="20"/>
          </w:rPr>
          <w:instrText xml:space="preserve"> PAGE   \* MERGEFORMAT </w:instrText>
        </w:r>
        <w:r w:rsidRPr="004009AB">
          <w:rPr>
            <w:sz w:val="20"/>
            <w:szCs w:val="20"/>
          </w:rPr>
          <w:fldChar w:fldCharType="separate"/>
        </w:r>
        <w:r w:rsidR="00DF350A">
          <w:rPr>
            <w:noProof/>
            <w:sz w:val="20"/>
            <w:szCs w:val="20"/>
          </w:rPr>
          <w:t>2</w:t>
        </w:r>
        <w:r w:rsidRPr="004009A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12614" w14:textId="77777777" w:rsidR="00CE1B89" w:rsidRDefault="00CE1B89" w:rsidP="00CB4555">
      <w:pPr>
        <w:spacing w:after="0" w:line="240" w:lineRule="auto"/>
      </w:pPr>
      <w:r>
        <w:separator/>
      </w:r>
    </w:p>
  </w:footnote>
  <w:footnote w:type="continuationSeparator" w:id="0">
    <w:p w14:paraId="1DAB75EF" w14:textId="77777777" w:rsidR="00CE1B89" w:rsidRDefault="00CE1B89" w:rsidP="00CB4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C22"/>
    <w:multiLevelType w:val="hybridMultilevel"/>
    <w:tmpl w:val="55F86400"/>
    <w:lvl w:ilvl="0" w:tplc="56765E8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4089"/>
    <w:multiLevelType w:val="hybridMultilevel"/>
    <w:tmpl w:val="96361DB2"/>
    <w:lvl w:ilvl="0" w:tplc="3A44A3F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F0341"/>
    <w:multiLevelType w:val="hybridMultilevel"/>
    <w:tmpl w:val="B2A02750"/>
    <w:lvl w:ilvl="0" w:tplc="D8B2AF7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55"/>
    <w:rsid w:val="0000256A"/>
    <w:rsid w:val="00081E7E"/>
    <w:rsid w:val="000824DE"/>
    <w:rsid w:val="000B0398"/>
    <w:rsid w:val="000F2B69"/>
    <w:rsid w:val="0012096C"/>
    <w:rsid w:val="00120A13"/>
    <w:rsid w:val="00135F64"/>
    <w:rsid w:val="001442F9"/>
    <w:rsid w:val="00160141"/>
    <w:rsid w:val="001A001C"/>
    <w:rsid w:val="001A7807"/>
    <w:rsid w:val="001F486F"/>
    <w:rsid w:val="00227E45"/>
    <w:rsid w:val="002324A2"/>
    <w:rsid w:val="00267514"/>
    <w:rsid w:val="00295556"/>
    <w:rsid w:val="002D7364"/>
    <w:rsid w:val="002E4EDD"/>
    <w:rsid w:val="003175EA"/>
    <w:rsid w:val="00324E44"/>
    <w:rsid w:val="003A2C60"/>
    <w:rsid w:val="004009AB"/>
    <w:rsid w:val="0040495B"/>
    <w:rsid w:val="00467E69"/>
    <w:rsid w:val="004D7246"/>
    <w:rsid w:val="004E0D78"/>
    <w:rsid w:val="00513187"/>
    <w:rsid w:val="00552EA8"/>
    <w:rsid w:val="00560E61"/>
    <w:rsid w:val="005C209D"/>
    <w:rsid w:val="006158C8"/>
    <w:rsid w:val="00635FAF"/>
    <w:rsid w:val="00693474"/>
    <w:rsid w:val="006F4BAF"/>
    <w:rsid w:val="00764345"/>
    <w:rsid w:val="007714C7"/>
    <w:rsid w:val="007856BE"/>
    <w:rsid w:val="007A1DA5"/>
    <w:rsid w:val="007D15F1"/>
    <w:rsid w:val="007D357C"/>
    <w:rsid w:val="00856877"/>
    <w:rsid w:val="008E0A78"/>
    <w:rsid w:val="008F0443"/>
    <w:rsid w:val="00954A1A"/>
    <w:rsid w:val="00A56276"/>
    <w:rsid w:val="00A7640F"/>
    <w:rsid w:val="00A829F2"/>
    <w:rsid w:val="00B010FA"/>
    <w:rsid w:val="00B10250"/>
    <w:rsid w:val="00B94A32"/>
    <w:rsid w:val="00BD14D1"/>
    <w:rsid w:val="00C02291"/>
    <w:rsid w:val="00C43209"/>
    <w:rsid w:val="00C87B38"/>
    <w:rsid w:val="00CB4555"/>
    <w:rsid w:val="00CC56B7"/>
    <w:rsid w:val="00CE1B89"/>
    <w:rsid w:val="00D0318D"/>
    <w:rsid w:val="00D3356A"/>
    <w:rsid w:val="00D869EB"/>
    <w:rsid w:val="00DF350A"/>
    <w:rsid w:val="00EB7ADF"/>
    <w:rsid w:val="00F56B27"/>
    <w:rsid w:val="00F90826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B9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55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B4555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CB4555"/>
    <w:rPr>
      <w:b/>
      <w:bCs/>
    </w:rPr>
  </w:style>
  <w:style w:type="paragraph" w:customStyle="1" w:styleId="Default">
    <w:name w:val="Default"/>
    <w:rsid w:val="00CB455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character" w:customStyle="1" w:styleId="intro-resume">
    <w:name w:val="intro-resume"/>
    <w:basedOn w:val="DefaultParagraphFont"/>
    <w:rsid w:val="00CB4555"/>
  </w:style>
  <w:style w:type="table" w:styleId="TableGrid">
    <w:name w:val="Table Grid"/>
    <w:basedOn w:val="TableNormal"/>
    <w:uiPriority w:val="59"/>
    <w:rsid w:val="00CB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55"/>
  </w:style>
  <w:style w:type="paragraph" w:styleId="Footer">
    <w:name w:val="footer"/>
    <w:basedOn w:val="Normal"/>
    <w:link w:val="FooterChar"/>
    <w:uiPriority w:val="99"/>
    <w:unhideWhenUsed/>
    <w:rsid w:val="00CB4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55"/>
  </w:style>
  <w:style w:type="paragraph" w:styleId="BalloonText">
    <w:name w:val="Balloon Text"/>
    <w:basedOn w:val="Normal"/>
    <w:link w:val="BalloonTextChar"/>
    <w:uiPriority w:val="99"/>
    <w:semiHidden/>
    <w:unhideWhenUsed/>
    <w:rsid w:val="005C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5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6BE"/>
    <w:rPr>
      <w:b/>
      <w:bCs/>
      <w:sz w:val="20"/>
      <w:szCs w:val="20"/>
    </w:rPr>
  </w:style>
  <w:style w:type="paragraph" w:styleId="NoSpacing">
    <w:name w:val="No Spacing"/>
    <w:uiPriority w:val="1"/>
    <w:qFormat/>
    <w:rsid w:val="001A001C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F486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486F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55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B4555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CB4555"/>
    <w:rPr>
      <w:b/>
      <w:bCs/>
    </w:rPr>
  </w:style>
  <w:style w:type="paragraph" w:customStyle="1" w:styleId="Default">
    <w:name w:val="Default"/>
    <w:rsid w:val="00CB455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character" w:customStyle="1" w:styleId="intro-resume">
    <w:name w:val="intro-resume"/>
    <w:basedOn w:val="DefaultParagraphFont"/>
    <w:rsid w:val="00CB4555"/>
  </w:style>
  <w:style w:type="table" w:styleId="TableGrid">
    <w:name w:val="Table Grid"/>
    <w:basedOn w:val="TableNormal"/>
    <w:uiPriority w:val="59"/>
    <w:rsid w:val="00CB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55"/>
  </w:style>
  <w:style w:type="paragraph" w:styleId="Footer">
    <w:name w:val="footer"/>
    <w:basedOn w:val="Normal"/>
    <w:link w:val="FooterChar"/>
    <w:uiPriority w:val="99"/>
    <w:unhideWhenUsed/>
    <w:rsid w:val="00CB4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55"/>
  </w:style>
  <w:style w:type="paragraph" w:styleId="BalloonText">
    <w:name w:val="Balloon Text"/>
    <w:basedOn w:val="Normal"/>
    <w:link w:val="BalloonTextChar"/>
    <w:uiPriority w:val="99"/>
    <w:semiHidden/>
    <w:unhideWhenUsed/>
    <w:rsid w:val="005C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5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6BE"/>
    <w:rPr>
      <w:b/>
      <w:bCs/>
      <w:sz w:val="20"/>
      <w:szCs w:val="20"/>
    </w:rPr>
  </w:style>
  <w:style w:type="paragraph" w:styleId="NoSpacing">
    <w:name w:val="No Spacing"/>
    <w:uiPriority w:val="1"/>
    <w:qFormat/>
    <w:rsid w:val="001A001C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F486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486F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3304</Characters>
  <Application>Microsoft Office Word</Application>
  <DocSecurity>4</DocSecurity>
  <Lines>71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Ramsar\OuedraogoP</dc:creator>
  <cp:lastModifiedBy>Ramsar\JenningsE</cp:lastModifiedBy>
  <cp:revision>2</cp:revision>
  <cp:lastPrinted>2018-01-22T09:34:00Z</cp:lastPrinted>
  <dcterms:created xsi:type="dcterms:W3CDTF">2018-02-06T18:00:00Z</dcterms:created>
  <dcterms:modified xsi:type="dcterms:W3CDTF">2018-02-06T18:00:00Z</dcterms:modified>
</cp:coreProperties>
</file>