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8B4CF" w14:textId="156BF1FA" w:rsidR="00D3554A" w:rsidRPr="00D11EA8" w:rsidRDefault="00D84DDF" w:rsidP="00684ACE">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_tradnl"/>
        </w:rPr>
      </w:pPr>
      <w:r w:rsidRPr="00D11EA8">
        <w:rPr>
          <w:bCs/>
          <w:sz w:val="24"/>
          <w:szCs w:val="24"/>
          <w:lang w:val="es-ES_tradnl"/>
        </w:rPr>
        <w:t>CONVENCIÓN DE RAMSAR SOBRE LOS HUMEDALES</w:t>
      </w:r>
      <w:r w:rsidR="00D3554A" w:rsidRPr="00D11EA8">
        <w:rPr>
          <w:bCs/>
          <w:sz w:val="24"/>
          <w:szCs w:val="24"/>
          <w:lang w:val="es-ES_tradnl"/>
        </w:rPr>
        <w:t xml:space="preserve"> </w:t>
      </w:r>
    </w:p>
    <w:p w14:paraId="3CFD1C13" w14:textId="3584756E" w:rsidR="00D3554A" w:rsidRPr="00D11EA8" w:rsidRDefault="00D3554A" w:rsidP="00684ACE">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_tradnl"/>
        </w:rPr>
      </w:pPr>
      <w:r w:rsidRPr="00D11EA8">
        <w:rPr>
          <w:bCs/>
          <w:sz w:val="24"/>
          <w:szCs w:val="24"/>
          <w:lang w:val="es-ES_tradnl"/>
        </w:rPr>
        <w:t>5</w:t>
      </w:r>
      <w:r w:rsidR="00361D1A" w:rsidRPr="00D11EA8">
        <w:rPr>
          <w:bCs/>
          <w:sz w:val="24"/>
          <w:szCs w:val="24"/>
          <w:lang w:val="es-ES_tradnl"/>
        </w:rPr>
        <w:t>4</w:t>
      </w:r>
      <w:r w:rsidR="00D84DDF" w:rsidRPr="00D11EA8">
        <w:rPr>
          <w:bCs/>
          <w:sz w:val="24"/>
          <w:szCs w:val="24"/>
          <w:lang w:val="es-ES_tradnl"/>
        </w:rPr>
        <w:t>ª Reunión del Comité Permanente</w:t>
      </w:r>
    </w:p>
    <w:p w14:paraId="552AEB8E" w14:textId="1EA0822C" w:rsidR="00D3554A" w:rsidRPr="00D11EA8" w:rsidRDefault="00D3554A" w:rsidP="00425317">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es-ES_tradnl"/>
        </w:rPr>
      </w:pPr>
      <w:r w:rsidRPr="00D11EA8">
        <w:rPr>
          <w:bCs/>
          <w:sz w:val="24"/>
          <w:szCs w:val="24"/>
          <w:lang w:val="es-ES_tradnl"/>
        </w:rPr>
        <w:t>Gland,</w:t>
      </w:r>
      <w:r w:rsidR="00D84DDF" w:rsidRPr="00D11EA8">
        <w:rPr>
          <w:bCs/>
          <w:sz w:val="24"/>
          <w:szCs w:val="24"/>
          <w:lang w:val="es-ES_tradnl"/>
        </w:rPr>
        <w:t xml:space="preserve"> Suiza, 23 a 27 de abril de</w:t>
      </w:r>
      <w:r w:rsidR="00361D1A" w:rsidRPr="00D11EA8">
        <w:rPr>
          <w:bCs/>
          <w:sz w:val="24"/>
          <w:szCs w:val="24"/>
          <w:lang w:val="es-ES_tradnl"/>
        </w:rPr>
        <w:t xml:space="preserve"> 2018</w:t>
      </w:r>
    </w:p>
    <w:p w14:paraId="6A9B7A94" w14:textId="77777777" w:rsidR="00D3554A" w:rsidRPr="00D11EA8" w:rsidRDefault="00D3554A" w:rsidP="00425317">
      <w:pPr>
        <w:outlineLvl w:val="0"/>
        <w:rPr>
          <w:b/>
          <w:lang w:val="es-ES_tradnl"/>
        </w:rPr>
      </w:pPr>
    </w:p>
    <w:p w14:paraId="69BA715B" w14:textId="3CBEF5A2" w:rsidR="00D3554A" w:rsidRPr="00D11EA8" w:rsidRDefault="002536A8" w:rsidP="00425317">
      <w:pPr>
        <w:jc w:val="right"/>
        <w:rPr>
          <w:rFonts w:cs="Arial"/>
          <w:sz w:val="28"/>
          <w:szCs w:val="28"/>
          <w:lang w:val="es-ES_tradnl"/>
        </w:rPr>
      </w:pPr>
      <w:r>
        <w:rPr>
          <w:rFonts w:cs="Arial"/>
          <w:b/>
          <w:sz w:val="28"/>
          <w:szCs w:val="28"/>
          <w:lang w:val="es-ES_tradnl"/>
        </w:rPr>
        <w:t>Doc. S</w:t>
      </w:r>
      <w:r w:rsidR="001458BA" w:rsidRPr="00D11EA8">
        <w:rPr>
          <w:rFonts w:cs="Arial"/>
          <w:b/>
          <w:sz w:val="28"/>
          <w:szCs w:val="28"/>
          <w:lang w:val="es-ES_tradnl"/>
        </w:rPr>
        <w:t>C54</w:t>
      </w:r>
      <w:r w:rsidR="00D3554A" w:rsidRPr="00D11EA8">
        <w:rPr>
          <w:rFonts w:cs="Arial"/>
          <w:b/>
          <w:sz w:val="28"/>
          <w:szCs w:val="28"/>
          <w:lang w:val="es-ES_tradnl"/>
        </w:rPr>
        <w:t>-</w:t>
      </w:r>
      <w:r w:rsidR="003C6FF2" w:rsidRPr="00D11EA8">
        <w:rPr>
          <w:rFonts w:cs="Arial"/>
          <w:b/>
          <w:sz w:val="28"/>
          <w:szCs w:val="28"/>
          <w:lang w:val="es-ES_tradnl"/>
        </w:rPr>
        <w:t xml:space="preserve">22 </w:t>
      </w:r>
    </w:p>
    <w:p w14:paraId="309B97FC" w14:textId="77777777" w:rsidR="00D3554A" w:rsidRPr="00D11EA8" w:rsidRDefault="00D3554A" w:rsidP="00425317">
      <w:pPr>
        <w:rPr>
          <w:rFonts w:cs="Arial"/>
          <w:b/>
          <w:sz w:val="28"/>
          <w:szCs w:val="28"/>
          <w:lang w:val="es-ES_tradnl"/>
        </w:rPr>
      </w:pPr>
    </w:p>
    <w:p w14:paraId="5C2275E9" w14:textId="68ECA08E" w:rsidR="00617241" w:rsidRPr="00D11EA8" w:rsidRDefault="00D84DDF" w:rsidP="00425317">
      <w:pPr>
        <w:jc w:val="center"/>
        <w:rPr>
          <w:rFonts w:asciiTheme="minorHAnsi" w:eastAsiaTheme="minorHAnsi" w:hAnsiTheme="minorHAnsi"/>
          <w:b/>
          <w:sz w:val="28"/>
          <w:szCs w:val="24"/>
          <w:lang w:val="es-ES_tradnl"/>
        </w:rPr>
      </w:pPr>
      <w:r w:rsidRPr="00D11EA8">
        <w:rPr>
          <w:rFonts w:asciiTheme="minorHAnsi" w:eastAsiaTheme="minorHAnsi" w:hAnsiTheme="minorHAnsi"/>
          <w:b/>
          <w:sz w:val="28"/>
          <w:szCs w:val="24"/>
          <w:lang w:val="es-ES_tradnl"/>
        </w:rPr>
        <w:t>Informe de la Presidencia del Grupo de Examen Científico y Técnico (GECT)</w:t>
      </w:r>
    </w:p>
    <w:p w14:paraId="311263E8" w14:textId="77777777" w:rsidR="00D3554A" w:rsidRPr="00D11EA8" w:rsidRDefault="00C34061" w:rsidP="00425317">
      <w:pPr>
        <w:tabs>
          <w:tab w:val="left" w:pos="5325"/>
        </w:tabs>
        <w:rPr>
          <w:b/>
          <w:bCs/>
          <w:lang w:val="es-ES_tradnl"/>
        </w:rPr>
      </w:pPr>
      <w:r w:rsidRPr="00D11EA8">
        <w:rPr>
          <w:b/>
          <w:bCs/>
          <w:lang w:val="es-ES_tradnl"/>
        </w:rPr>
        <w:tab/>
      </w:r>
    </w:p>
    <w:p w14:paraId="298F8337" w14:textId="77777777" w:rsidR="003A256C" w:rsidRPr="00D11EA8" w:rsidRDefault="003A256C" w:rsidP="0098291C">
      <w:pPr>
        <w:pStyle w:val="ColorfulList-Accent11"/>
        <w:pBdr>
          <w:top w:val="single" w:sz="4" w:space="1" w:color="auto"/>
          <w:left w:val="single" w:sz="4" w:space="4" w:color="auto"/>
          <w:bottom w:val="single" w:sz="4" w:space="11" w:color="auto"/>
          <w:right w:val="single" w:sz="4" w:space="4" w:color="auto"/>
        </w:pBdr>
        <w:ind w:left="425"/>
        <w:rPr>
          <w:b/>
          <w:bCs/>
          <w:lang w:val="es-ES_tradnl"/>
        </w:rPr>
      </w:pPr>
    </w:p>
    <w:p w14:paraId="01A996D9" w14:textId="2349107C" w:rsidR="00A749CF" w:rsidRPr="00D11EA8" w:rsidRDefault="00D84DDF" w:rsidP="0098291C">
      <w:pPr>
        <w:pStyle w:val="ColorfulList-Accent11"/>
        <w:pBdr>
          <w:top w:val="single" w:sz="4" w:space="1" w:color="auto"/>
          <w:left w:val="single" w:sz="4" w:space="4" w:color="auto"/>
          <w:bottom w:val="single" w:sz="4" w:space="11" w:color="auto"/>
          <w:right w:val="single" w:sz="4" w:space="4" w:color="auto"/>
        </w:pBdr>
        <w:ind w:left="425"/>
        <w:rPr>
          <w:b/>
          <w:bCs/>
          <w:lang w:val="es-ES_tradnl"/>
        </w:rPr>
      </w:pPr>
      <w:r w:rsidRPr="00D11EA8">
        <w:rPr>
          <w:b/>
          <w:bCs/>
          <w:lang w:val="es-ES_tradnl"/>
        </w:rPr>
        <w:t>Acciones solicitadas</w:t>
      </w:r>
      <w:r w:rsidR="00A749CF" w:rsidRPr="00D11EA8">
        <w:rPr>
          <w:b/>
          <w:bCs/>
          <w:lang w:val="es-ES_tradnl"/>
        </w:rPr>
        <w:t xml:space="preserve">: </w:t>
      </w:r>
    </w:p>
    <w:p w14:paraId="620CA958" w14:textId="77777777" w:rsidR="003A256C" w:rsidRPr="00D11EA8" w:rsidRDefault="003A256C" w:rsidP="0098291C">
      <w:pPr>
        <w:pStyle w:val="ColorfulList-Accent11"/>
        <w:pBdr>
          <w:top w:val="single" w:sz="4" w:space="1" w:color="auto"/>
          <w:left w:val="single" w:sz="4" w:space="4" w:color="auto"/>
          <w:bottom w:val="single" w:sz="4" w:space="11" w:color="auto"/>
          <w:right w:val="single" w:sz="4" w:space="4" w:color="auto"/>
        </w:pBdr>
        <w:ind w:left="425"/>
        <w:rPr>
          <w:lang w:val="es-ES_tradnl"/>
        </w:rPr>
      </w:pPr>
    </w:p>
    <w:p w14:paraId="1AC97CC0" w14:textId="4B2D10C4" w:rsidR="0026561C" w:rsidRPr="00D11EA8" w:rsidRDefault="00D84DDF" w:rsidP="0098291C">
      <w:pPr>
        <w:pStyle w:val="ColorfulList-Accent11"/>
        <w:pBdr>
          <w:top w:val="single" w:sz="4" w:space="1" w:color="auto"/>
          <w:left w:val="single" w:sz="4" w:space="4" w:color="auto"/>
          <w:bottom w:val="single" w:sz="4" w:space="11" w:color="auto"/>
          <w:right w:val="single" w:sz="4" w:space="4" w:color="auto"/>
        </w:pBdr>
        <w:ind w:left="425"/>
        <w:rPr>
          <w:lang w:val="es-ES_tradnl"/>
        </w:rPr>
      </w:pPr>
      <w:r w:rsidRPr="00D11EA8">
        <w:rPr>
          <w:lang w:val="es-ES_tradnl"/>
        </w:rPr>
        <w:t>Se invita al Comité Permanente a hacer lo siguiente:</w:t>
      </w:r>
    </w:p>
    <w:p w14:paraId="3EC38048" w14:textId="77777777" w:rsidR="00536AB3" w:rsidRPr="00D11EA8" w:rsidRDefault="00536AB3" w:rsidP="0098291C">
      <w:pPr>
        <w:pStyle w:val="ColorfulList-Accent11"/>
        <w:pBdr>
          <w:top w:val="single" w:sz="4" w:space="1" w:color="auto"/>
          <w:left w:val="single" w:sz="4" w:space="4" w:color="auto"/>
          <w:bottom w:val="single" w:sz="4" w:space="11" w:color="auto"/>
          <w:right w:val="single" w:sz="4" w:space="4" w:color="auto"/>
        </w:pBdr>
        <w:ind w:left="425"/>
        <w:rPr>
          <w:lang w:val="es-ES_tradnl"/>
        </w:rPr>
      </w:pPr>
    </w:p>
    <w:p w14:paraId="6D1D1C46" w14:textId="7FF9BCA4" w:rsidR="0026561C" w:rsidRPr="00D11EA8" w:rsidRDefault="00D84DDF" w:rsidP="0098291C">
      <w:pPr>
        <w:pStyle w:val="ColorfulList-Accent11"/>
        <w:numPr>
          <w:ilvl w:val="0"/>
          <w:numId w:val="2"/>
        </w:numPr>
        <w:pBdr>
          <w:top w:val="single" w:sz="4" w:space="1" w:color="auto"/>
          <w:left w:val="single" w:sz="4" w:space="4" w:color="auto"/>
          <w:bottom w:val="single" w:sz="4" w:space="11" w:color="auto"/>
          <w:right w:val="single" w:sz="4" w:space="4" w:color="auto"/>
        </w:pBdr>
        <w:ind w:left="425" w:hanging="425"/>
        <w:rPr>
          <w:lang w:val="es-ES_tradnl"/>
        </w:rPr>
      </w:pPr>
      <w:r w:rsidRPr="00D11EA8">
        <w:rPr>
          <w:lang w:val="es-ES_tradnl"/>
        </w:rPr>
        <w:t>tomar nota del informe de la Presidencia del Grupo de Examen Científico y Técnico (GECT)</w:t>
      </w:r>
      <w:r w:rsidR="0026561C" w:rsidRPr="00D11EA8">
        <w:rPr>
          <w:lang w:val="es-ES_tradnl"/>
        </w:rPr>
        <w:t>;</w:t>
      </w:r>
      <w:r w:rsidR="00A97C27" w:rsidRPr="00D11EA8">
        <w:rPr>
          <w:lang w:val="es-ES_tradnl"/>
        </w:rPr>
        <w:t xml:space="preserve"> </w:t>
      </w:r>
      <w:r w:rsidRPr="00D11EA8">
        <w:rPr>
          <w:lang w:val="es-ES_tradnl"/>
        </w:rPr>
        <w:t>y</w:t>
      </w:r>
    </w:p>
    <w:p w14:paraId="10D2ACA2" w14:textId="77777777" w:rsidR="003A256C" w:rsidRPr="00D11EA8" w:rsidRDefault="003A256C" w:rsidP="0098291C">
      <w:pPr>
        <w:pStyle w:val="ColorfulList-Accent11"/>
        <w:pBdr>
          <w:top w:val="single" w:sz="4" w:space="1" w:color="auto"/>
          <w:left w:val="single" w:sz="4" w:space="4" w:color="auto"/>
          <w:bottom w:val="single" w:sz="4" w:space="11" w:color="auto"/>
          <w:right w:val="single" w:sz="4" w:space="4" w:color="auto"/>
        </w:pBdr>
        <w:ind w:left="425"/>
        <w:rPr>
          <w:lang w:val="es-ES_tradnl"/>
        </w:rPr>
      </w:pPr>
    </w:p>
    <w:p w14:paraId="7D35786C" w14:textId="639085E1" w:rsidR="005B2F75" w:rsidRPr="00D11EA8" w:rsidRDefault="00D84DDF" w:rsidP="0098291C">
      <w:pPr>
        <w:pStyle w:val="ColorfulList-Accent11"/>
        <w:numPr>
          <w:ilvl w:val="0"/>
          <w:numId w:val="2"/>
        </w:numPr>
        <w:pBdr>
          <w:top w:val="single" w:sz="4" w:space="1" w:color="auto"/>
          <w:left w:val="single" w:sz="4" w:space="4" w:color="auto"/>
          <w:bottom w:val="single" w:sz="4" w:space="11" w:color="auto"/>
          <w:right w:val="single" w:sz="4" w:space="4" w:color="auto"/>
        </w:pBdr>
        <w:ind w:left="425" w:hanging="425"/>
        <w:rPr>
          <w:b/>
          <w:lang w:val="es-ES_tradnl"/>
        </w:rPr>
      </w:pPr>
      <w:r w:rsidRPr="00D11EA8">
        <w:rPr>
          <w:lang w:val="es-ES_tradnl"/>
        </w:rPr>
        <w:t>estudiar maneras de alentar a las Partes Contratantes a apoyar a los Coordi</w:t>
      </w:r>
      <w:r w:rsidR="006B6A1E">
        <w:rPr>
          <w:lang w:val="es-ES_tradnl"/>
        </w:rPr>
        <w:t>nadores Nacionales del GECT de forma tangible</w:t>
      </w:r>
      <w:r w:rsidR="00D52209" w:rsidRPr="00D11EA8">
        <w:rPr>
          <w:rFonts w:cs="Calibri"/>
          <w:lang w:val="es-ES_tradnl"/>
        </w:rPr>
        <w:t>.</w:t>
      </w:r>
      <w:r w:rsidR="00D52209" w:rsidRPr="00D11EA8">
        <w:rPr>
          <w:b/>
          <w:lang w:val="es-ES_tradnl"/>
        </w:rPr>
        <w:t xml:space="preserve"> </w:t>
      </w:r>
    </w:p>
    <w:p w14:paraId="0759C292" w14:textId="77777777" w:rsidR="004D03E9" w:rsidRPr="00D11EA8" w:rsidRDefault="004D03E9" w:rsidP="00684ACE">
      <w:pPr>
        <w:rPr>
          <w:b/>
          <w:lang w:val="es-ES_tradnl"/>
        </w:rPr>
      </w:pPr>
    </w:p>
    <w:p w14:paraId="198A0DEB" w14:textId="77777777" w:rsidR="0014728B" w:rsidRPr="00D11EA8" w:rsidRDefault="0014728B" w:rsidP="004D0A2C">
      <w:pPr>
        <w:rPr>
          <w:b/>
          <w:lang w:val="es-ES_tradnl"/>
        </w:rPr>
      </w:pPr>
    </w:p>
    <w:p w14:paraId="6044B0A8" w14:textId="5BC67FA8" w:rsidR="003E6C9D" w:rsidRPr="00D11EA8" w:rsidRDefault="003E6C9D" w:rsidP="00684ACE">
      <w:pPr>
        <w:rPr>
          <w:b/>
          <w:lang w:val="es-ES_tradnl"/>
        </w:rPr>
      </w:pPr>
      <w:r w:rsidRPr="00D11EA8">
        <w:rPr>
          <w:b/>
          <w:lang w:val="es-ES_tradnl"/>
        </w:rPr>
        <w:t>Introduc</w:t>
      </w:r>
      <w:r w:rsidR="00D84DDF" w:rsidRPr="00D11EA8">
        <w:rPr>
          <w:b/>
          <w:lang w:val="es-ES_tradnl"/>
        </w:rPr>
        <w:t>ción</w:t>
      </w:r>
    </w:p>
    <w:p w14:paraId="463A1764" w14:textId="77777777" w:rsidR="005B2F75" w:rsidRPr="00D11EA8" w:rsidRDefault="005B2F75" w:rsidP="00425317">
      <w:pPr>
        <w:rPr>
          <w:b/>
          <w:lang w:val="es-ES_tradnl"/>
        </w:rPr>
      </w:pPr>
    </w:p>
    <w:p w14:paraId="3DA0228E" w14:textId="517A1D1A" w:rsidR="003E6C9D" w:rsidRPr="00D11EA8" w:rsidRDefault="0014728B" w:rsidP="0098291C">
      <w:pPr>
        <w:rPr>
          <w:lang w:val="es-ES_tradnl"/>
        </w:rPr>
      </w:pPr>
      <w:r w:rsidRPr="00D11EA8">
        <w:rPr>
          <w:lang w:val="es-ES_tradnl"/>
        </w:rPr>
        <w:t>1.</w:t>
      </w:r>
      <w:r w:rsidRPr="00D11EA8">
        <w:rPr>
          <w:lang w:val="es-ES_tradnl"/>
        </w:rPr>
        <w:tab/>
      </w:r>
      <w:r w:rsidR="00D84DDF" w:rsidRPr="00D11EA8">
        <w:rPr>
          <w:lang w:val="es-ES_tradnl"/>
        </w:rPr>
        <w:t xml:space="preserve">El presente informe de la Presidencia del Grupo de Examen Científico y Técnico </w:t>
      </w:r>
      <w:r w:rsidR="00C34061" w:rsidRPr="00D11EA8">
        <w:rPr>
          <w:lang w:val="es-ES_tradnl"/>
        </w:rPr>
        <w:t>(</w:t>
      </w:r>
      <w:r w:rsidR="00D84DDF" w:rsidRPr="00D11EA8">
        <w:rPr>
          <w:lang w:val="es-ES_tradnl"/>
        </w:rPr>
        <w:t>GECT</w:t>
      </w:r>
      <w:r w:rsidR="00C34061" w:rsidRPr="00D11EA8">
        <w:rPr>
          <w:lang w:val="es-ES_tradnl"/>
        </w:rPr>
        <w:t>)</w:t>
      </w:r>
      <w:r w:rsidR="003E6C9D" w:rsidRPr="00D11EA8">
        <w:rPr>
          <w:lang w:val="es-ES_tradnl"/>
        </w:rPr>
        <w:t xml:space="preserve"> </w:t>
      </w:r>
      <w:r w:rsidR="00D84DDF" w:rsidRPr="00D11EA8">
        <w:rPr>
          <w:lang w:val="es-ES_tradnl"/>
        </w:rPr>
        <w:t xml:space="preserve">se centra en los avances realizados en el plan de trabajo del GECT </w:t>
      </w:r>
      <w:r w:rsidR="00617DDB" w:rsidRPr="00D11EA8">
        <w:rPr>
          <w:lang w:val="es-ES_tradnl"/>
        </w:rPr>
        <w:t>(2016-2018)</w:t>
      </w:r>
      <w:r w:rsidR="00B44FE5" w:rsidRPr="00D11EA8">
        <w:rPr>
          <w:lang w:val="es-ES_tradnl"/>
        </w:rPr>
        <w:t xml:space="preserve"> </w:t>
      </w:r>
      <w:r w:rsidR="00D84DDF" w:rsidRPr="00D11EA8">
        <w:rPr>
          <w:lang w:val="es-ES_tradnl"/>
        </w:rPr>
        <w:t xml:space="preserve">y las </w:t>
      </w:r>
      <w:r w:rsidR="00D11EA8" w:rsidRPr="00D11EA8">
        <w:rPr>
          <w:lang w:val="es-ES_tradnl"/>
        </w:rPr>
        <w:t>actividades</w:t>
      </w:r>
      <w:r w:rsidR="00D84DDF" w:rsidRPr="00D11EA8">
        <w:rPr>
          <w:lang w:val="es-ES_tradnl"/>
        </w:rPr>
        <w:t xml:space="preserve"> del Grupo desde la 53ª reunión del Comité Permanente</w:t>
      </w:r>
      <w:r w:rsidR="003E6C9D" w:rsidRPr="00D11EA8">
        <w:rPr>
          <w:lang w:val="es-ES_tradnl"/>
        </w:rPr>
        <w:t>.</w:t>
      </w:r>
    </w:p>
    <w:p w14:paraId="435A8983" w14:textId="77777777" w:rsidR="00DA6E71" w:rsidRPr="00D11EA8" w:rsidRDefault="00DA6E71" w:rsidP="00684ACE">
      <w:pPr>
        <w:pStyle w:val="ListParagraph"/>
        <w:ind w:left="360"/>
        <w:rPr>
          <w:lang w:val="es-ES_tradnl"/>
        </w:rPr>
      </w:pPr>
    </w:p>
    <w:p w14:paraId="035A3DF6" w14:textId="7745F901" w:rsidR="004B074A" w:rsidRPr="00D11EA8" w:rsidRDefault="00C34061" w:rsidP="00684ACE">
      <w:pPr>
        <w:rPr>
          <w:b/>
          <w:lang w:val="es-ES_tradnl"/>
        </w:rPr>
      </w:pPr>
      <w:r w:rsidRPr="00D11EA8">
        <w:rPr>
          <w:b/>
          <w:lang w:val="es-ES_tradnl"/>
        </w:rPr>
        <w:t>2</w:t>
      </w:r>
      <w:r w:rsidR="001458BA" w:rsidRPr="00D11EA8">
        <w:rPr>
          <w:b/>
          <w:lang w:val="es-ES_tradnl"/>
        </w:rPr>
        <w:t>1</w:t>
      </w:r>
      <w:r w:rsidR="00D84DDF" w:rsidRPr="00D11EA8">
        <w:rPr>
          <w:b/>
          <w:lang w:val="es-ES_tradnl"/>
        </w:rPr>
        <w:t>ª reunión del GECT</w:t>
      </w:r>
    </w:p>
    <w:p w14:paraId="3807B1E7" w14:textId="77777777" w:rsidR="005B2F75" w:rsidRPr="00D11EA8" w:rsidRDefault="005B2F75" w:rsidP="00425317">
      <w:pPr>
        <w:rPr>
          <w:b/>
          <w:lang w:val="es-ES_tradnl"/>
        </w:rPr>
      </w:pPr>
    </w:p>
    <w:p w14:paraId="1A40B2DA" w14:textId="7295C60A" w:rsidR="009F6C47" w:rsidRPr="00D11EA8" w:rsidRDefault="0014728B" w:rsidP="0098291C">
      <w:pPr>
        <w:rPr>
          <w:lang w:val="es-ES_tradnl"/>
        </w:rPr>
      </w:pPr>
      <w:r w:rsidRPr="00D11EA8">
        <w:rPr>
          <w:lang w:val="es-ES_tradnl"/>
        </w:rPr>
        <w:t>2.</w:t>
      </w:r>
      <w:r w:rsidRPr="00D11EA8">
        <w:rPr>
          <w:lang w:val="es-ES_tradnl"/>
        </w:rPr>
        <w:tab/>
      </w:r>
      <w:r w:rsidR="00D84DDF" w:rsidRPr="00D11EA8">
        <w:rPr>
          <w:lang w:val="es-ES_tradnl"/>
        </w:rPr>
        <w:t xml:space="preserve">La </w:t>
      </w:r>
      <w:r w:rsidR="006B6A1E">
        <w:rPr>
          <w:lang w:val="es-ES_tradnl"/>
        </w:rPr>
        <w:t xml:space="preserve">21ª </w:t>
      </w:r>
      <w:r w:rsidR="00D84DDF" w:rsidRPr="00D11EA8">
        <w:rPr>
          <w:lang w:val="es-ES_tradnl"/>
        </w:rPr>
        <w:t>reunión</w:t>
      </w:r>
      <w:r w:rsidR="006B6A1E">
        <w:rPr>
          <w:lang w:val="es-ES_tradnl"/>
        </w:rPr>
        <w:t xml:space="preserve"> del GECT (</w:t>
      </w:r>
      <w:r w:rsidR="00D84DDF" w:rsidRPr="00D11EA8">
        <w:rPr>
          <w:lang w:val="es-ES_tradnl"/>
        </w:rPr>
        <w:t>GECT</w:t>
      </w:r>
      <w:r w:rsidR="001458BA" w:rsidRPr="00D11EA8">
        <w:rPr>
          <w:lang w:val="es-ES_tradnl"/>
        </w:rPr>
        <w:t>21</w:t>
      </w:r>
      <w:r w:rsidR="006B6A1E">
        <w:rPr>
          <w:lang w:val="es-ES_tradnl"/>
        </w:rPr>
        <w:t>)</w:t>
      </w:r>
      <w:r w:rsidR="009F6C47" w:rsidRPr="00D11EA8">
        <w:rPr>
          <w:lang w:val="es-ES_tradnl"/>
        </w:rPr>
        <w:t xml:space="preserve"> </w:t>
      </w:r>
      <w:r w:rsidR="00D84DDF" w:rsidRPr="00D11EA8">
        <w:rPr>
          <w:lang w:val="es-ES_tradnl"/>
        </w:rPr>
        <w:t xml:space="preserve">tuvo lugar del 15 al 19 de enero de </w:t>
      </w:r>
      <w:r w:rsidR="001458BA" w:rsidRPr="00D11EA8">
        <w:rPr>
          <w:lang w:val="es-ES_tradnl"/>
        </w:rPr>
        <w:t>2018</w:t>
      </w:r>
      <w:r w:rsidR="009F6C47" w:rsidRPr="00D11EA8">
        <w:rPr>
          <w:lang w:val="es-ES_tradnl"/>
        </w:rPr>
        <w:t xml:space="preserve"> </w:t>
      </w:r>
      <w:r w:rsidR="00D84DDF" w:rsidRPr="00D11EA8">
        <w:rPr>
          <w:lang w:val="es-ES_tradnl"/>
        </w:rPr>
        <w:t xml:space="preserve">en la sede de la Secretaría de Ramsar. Asistieron 16 miembros del GECT y 20 observadores, entre los que </w:t>
      </w:r>
      <w:r w:rsidR="006B6A1E">
        <w:rPr>
          <w:lang w:val="es-ES_tradnl"/>
        </w:rPr>
        <w:t xml:space="preserve">figuraban </w:t>
      </w:r>
      <w:r w:rsidR="00D84DDF" w:rsidRPr="00D11EA8">
        <w:rPr>
          <w:lang w:val="es-ES_tradnl"/>
        </w:rPr>
        <w:t xml:space="preserve">10 </w:t>
      </w:r>
      <w:r w:rsidR="006B6A1E">
        <w:rPr>
          <w:lang w:val="es-ES_tradnl"/>
        </w:rPr>
        <w:t>C</w:t>
      </w:r>
      <w:r w:rsidR="00D11EA8" w:rsidRPr="00D11EA8">
        <w:rPr>
          <w:lang w:val="es-ES_tradnl"/>
        </w:rPr>
        <w:t>oordinadores</w:t>
      </w:r>
      <w:r w:rsidR="006B6A1E">
        <w:rPr>
          <w:lang w:val="es-ES_tradnl"/>
        </w:rPr>
        <w:t xml:space="preserve"> Nacionales</w:t>
      </w:r>
      <w:r w:rsidR="00D84DDF" w:rsidRPr="00D11EA8">
        <w:rPr>
          <w:lang w:val="es-ES_tradnl"/>
        </w:rPr>
        <w:t xml:space="preserve"> </w:t>
      </w:r>
      <w:r w:rsidR="006B6A1E">
        <w:rPr>
          <w:lang w:val="es-ES_tradnl"/>
        </w:rPr>
        <w:t xml:space="preserve">(CN) </w:t>
      </w:r>
      <w:r w:rsidR="00D84DDF" w:rsidRPr="00D11EA8">
        <w:rPr>
          <w:lang w:val="es-ES_tradnl"/>
        </w:rPr>
        <w:t xml:space="preserve">del GECT de Alemania, Austria, </w:t>
      </w:r>
      <w:r w:rsidR="008B3F40" w:rsidRPr="00D11EA8">
        <w:rPr>
          <w:lang w:val="es-ES_tradnl"/>
        </w:rPr>
        <w:t>China, Croa</w:t>
      </w:r>
      <w:r w:rsidR="00D84DDF" w:rsidRPr="00D11EA8">
        <w:rPr>
          <w:lang w:val="es-ES_tradnl"/>
        </w:rPr>
        <w:t>ci</w:t>
      </w:r>
      <w:r w:rsidR="008B3F40" w:rsidRPr="00D11EA8">
        <w:rPr>
          <w:lang w:val="es-ES_tradnl"/>
        </w:rPr>
        <w:t>a,</w:t>
      </w:r>
      <w:r w:rsidR="00947DB3" w:rsidRPr="00D11EA8">
        <w:rPr>
          <w:lang w:val="es-ES_tradnl"/>
        </w:rPr>
        <w:t xml:space="preserve"> Dinamarca, Finlandia, Omán,</w:t>
      </w:r>
      <w:r w:rsidR="00D84DDF" w:rsidRPr="00D11EA8">
        <w:rPr>
          <w:lang w:val="es-ES_tradnl"/>
        </w:rPr>
        <w:t xml:space="preserve"> el Reino Unido</w:t>
      </w:r>
      <w:r w:rsidR="00947DB3" w:rsidRPr="00D11EA8">
        <w:rPr>
          <w:lang w:val="es-ES_tradnl"/>
        </w:rPr>
        <w:t xml:space="preserve">, la </w:t>
      </w:r>
      <w:r w:rsidR="00D84DDF" w:rsidRPr="00D11EA8">
        <w:rPr>
          <w:lang w:val="es-ES_tradnl"/>
        </w:rPr>
        <w:t>República Checa</w:t>
      </w:r>
      <w:r w:rsidR="00947DB3" w:rsidRPr="00D11EA8">
        <w:rPr>
          <w:lang w:val="es-ES_tradnl"/>
        </w:rPr>
        <w:t xml:space="preserve"> y el </w:t>
      </w:r>
      <w:r w:rsidR="000D57AE" w:rsidRPr="00D11EA8">
        <w:rPr>
          <w:lang w:val="es-ES_tradnl"/>
        </w:rPr>
        <w:t>Sene</w:t>
      </w:r>
      <w:r w:rsidR="000D57AE">
        <w:rPr>
          <w:lang w:val="es-ES_tradnl"/>
        </w:rPr>
        <w:t>g</w:t>
      </w:r>
      <w:r w:rsidR="000D57AE" w:rsidRPr="00D11EA8">
        <w:rPr>
          <w:lang w:val="es-ES_tradnl"/>
        </w:rPr>
        <w:t>al</w:t>
      </w:r>
      <w:r w:rsidR="00753A94" w:rsidRPr="00D11EA8">
        <w:rPr>
          <w:lang w:val="es-ES_tradnl"/>
        </w:rPr>
        <w:t>.</w:t>
      </w:r>
      <w:r w:rsidR="009F6C47" w:rsidRPr="00D11EA8">
        <w:rPr>
          <w:lang w:val="es-ES_tradnl"/>
        </w:rPr>
        <w:t xml:space="preserve"> </w:t>
      </w:r>
      <w:r w:rsidR="000D57AE">
        <w:rPr>
          <w:lang w:val="es-ES_tradnl"/>
        </w:rPr>
        <w:t xml:space="preserve"> </w:t>
      </w:r>
    </w:p>
    <w:p w14:paraId="3F1A170F" w14:textId="77777777" w:rsidR="005B2F75" w:rsidRPr="00D11EA8" w:rsidRDefault="005B2F75" w:rsidP="00684ACE">
      <w:pPr>
        <w:pStyle w:val="ListParagraph"/>
        <w:ind w:left="360"/>
        <w:rPr>
          <w:lang w:val="es-ES_tradnl"/>
        </w:rPr>
      </w:pPr>
    </w:p>
    <w:p w14:paraId="66F36753" w14:textId="20B2065B" w:rsidR="00A13607" w:rsidRPr="00D11EA8" w:rsidRDefault="00947DB3" w:rsidP="00684ACE">
      <w:pPr>
        <w:rPr>
          <w:b/>
          <w:lang w:val="es-ES_tradnl"/>
        </w:rPr>
      </w:pPr>
      <w:r w:rsidRPr="00D11EA8">
        <w:rPr>
          <w:b/>
          <w:lang w:val="es-ES_tradnl"/>
        </w:rPr>
        <w:t xml:space="preserve">Actualización sobre </w:t>
      </w:r>
      <w:r w:rsidRPr="006B6A1E">
        <w:rPr>
          <w:b/>
          <w:lang w:val="es-ES_tradnl"/>
        </w:rPr>
        <w:t xml:space="preserve">tareas </w:t>
      </w:r>
      <w:r w:rsidR="006B6A1E" w:rsidRPr="006B6A1E">
        <w:rPr>
          <w:b/>
          <w:lang w:val="es-ES_tradnl"/>
        </w:rPr>
        <w:t>de alta prioridad</w:t>
      </w:r>
    </w:p>
    <w:p w14:paraId="22CFC2EE" w14:textId="77777777" w:rsidR="005B2F75" w:rsidRPr="00D11EA8" w:rsidRDefault="005B2F75" w:rsidP="00425317">
      <w:pPr>
        <w:rPr>
          <w:b/>
          <w:lang w:val="es-ES_tradnl"/>
        </w:rPr>
      </w:pPr>
    </w:p>
    <w:p w14:paraId="446E7A47" w14:textId="129B12F1" w:rsidR="003E6C9D" w:rsidRPr="00D11EA8" w:rsidRDefault="0014728B" w:rsidP="0098291C">
      <w:pPr>
        <w:rPr>
          <w:lang w:val="es-ES_tradnl"/>
        </w:rPr>
      </w:pPr>
      <w:r w:rsidRPr="00D11EA8">
        <w:rPr>
          <w:lang w:val="es-ES_tradnl"/>
        </w:rPr>
        <w:t>3.</w:t>
      </w:r>
      <w:r w:rsidRPr="00D11EA8">
        <w:rPr>
          <w:lang w:val="es-ES_tradnl"/>
        </w:rPr>
        <w:tab/>
      </w:r>
      <w:r w:rsidR="00947DB3" w:rsidRPr="00D11EA8">
        <w:rPr>
          <w:lang w:val="es-ES_tradnl"/>
        </w:rPr>
        <w:t>El Comité Permanente</w:t>
      </w:r>
      <w:r w:rsidR="006D39A8" w:rsidRPr="00D11EA8">
        <w:rPr>
          <w:lang w:val="es-ES_tradnl"/>
        </w:rPr>
        <w:t xml:space="preserve"> </w:t>
      </w:r>
      <w:r w:rsidR="00947DB3" w:rsidRPr="00D11EA8">
        <w:rPr>
          <w:lang w:val="es-ES_tradnl"/>
        </w:rPr>
        <w:t xml:space="preserve">designó </w:t>
      </w:r>
      <w:r w:rsidR="006B6A1E">
        <w:rPr>
          <w:lang w:val="es-ES_tradnl"/>
        </w:rPr>
        <w:t xml:space="preserve">el informe </w:t>
      </w:r>
      <w:r w:rsidR="006B6A1E" w:rsidRPr="006B6A1E">
        <w:rPr>
          <w:i/>
          <w:lang w:val="es-ES_tradnl"/>
        </w:rPr>
        <w:t>Estado de los humedales del mundo y de los servicios que prestan a las personas</w:t>
      </w:r>
      <w:r w:rsidR="00056DC4" w:rsidRPr="006B6A1E">
        <w:rPr>
          <w:i/>
          <w:lang w:val="es-ES_tradnl"/>
        </w:rPr>
        <w:t xml:space="preserve"> </w:t>
      </w:r>
      <w:r w:rsidR="00056DC4" w:rsidRPr="00D11EA8">
        <w:rPr>
          <w:lang w:val="es-ES_tradnl"/>
        </w:rPr>
        <w:t>(</w:t>
      </w:r>
      <w:r w:rsidR="006B6A1E">
        <w:rPr>
          <w:lang w:val="es-ES_tradnl"/>
        </w:rPr>
        <w:t>que pasa a</w:t>
      </w:r>
      <w:r w:rsidR="00947DB3" w:rsidRPr="00D11EA8">
        <w:rPr>
          <w:lang w:val="es-ES_tradnl"/>
        </w:rPr>
        <w:t xml:space="preserve"> titularse </w:t>
      </w:r>
      <w:r w:rsidR="006B6A1E">
        <w:rPr>
          <w:i/>
          <w:lang w:val="es-ES_tradnl"/>
        </w:rPr>
        <w:t>Perspectiva Mundial sobre los Humedales: Estado de los humedales del mundo y de los servicios que prestan a las personas</w:t>
      </w:r>
      <w:r w:rsidR="00056DC4" w:rsidRPr="00D11EA8">
        <w:rPr>
          <w:lang w:val="es-ES_tradnl"/>
        </w:rPr>
        <w:t>)</w:t>
      </w:r>
      <w:r w:rsidR="00350839" w:rsidRPr="00D11EA8">
        <w:rPr>
          <w:lang w:val="es-ES_tradnl"/>
        </w:rPr>
        <w:t xml:space="preserve"> </w:t>
      </w:r>
      <w:r w:rsidR="00947DB3" w:rsidRPr="00D11EA8">
        <w:rPr>
          <w:lang w:val="es-ES_tradnl"/>
        </w:rPr>
        <w:t xml:space="preserve">y otras ocho tareas del plan de trabajo del GECT como </w:t>
      </w:r>
      <w:r w:rsidR="006B6A1E">
        <w:rPr>
          <w:lang w:val="es-ES_tradnl"/>
        </w:rPr>
        <w:t>tareas de alta prioridad</w:t>
      </w:r>
      <w:r w:rsidR="00947DB3" w:rsidRPr="00D11EA8">
        <w:rPr>
          <w:lang w:val="es-ES_tradnl"/>
        </w:rPr>
        <w:t>.</w:t>
      </w:r>
    </w:p>
    <w:p w14:paraId="0F75A744" w14:textId="77777777" w:rsidR="008513D4" w:rsidRPr="00D11EA8" w:rsidRDefault="008513D4" w:rsidP="008513D4">
      <w:pPr>
        <w:rPr>
          <w:u w:val="single"/>
          <w:lang w:val="es-ES_tradnl"/>
        </w:rPr>
      </w:pPr>
    </w:p>
    <w:p w14:paraId="5D55BEB2" w14:textId="5B4947AD" w:rsidR="005B2F75" w:rsidRDefault="006B6A1E" w:rsidP="008513D4">
      <w:pPr>
        <w:ind w:left="0" w:firstLine="0"/>
        <w:rPr>
          <w:u w:val="single"/>
          <w:lang w:val="es-ES_tradnl"/>
        </w:rPr>
      </w:pPr>
      <w:r w:rsidRPr="006B6A1E">
        <w:rPr>
          <w:u w:val="single"/>
          <w:lang w:val="es-ES_tradnl"/>
        </w:rPr>
        <w:t>Perspectiva Mundial sobre los Humedales: Estado de los humedales del mundo y de los servicios que prestan a las personas</w:t>
      </w:r>
    </w:p>
    <w:p w14:paraId="254F9E5A" w14:textId="77777777" w:rsidR="006B6A1E" w:rsidRPr="006B6A1E" w:rsidRDefault="006B6A1E" w:rsidP="008513D4">
      <w:pPr>
        <w:ind w:left="0" w:firstLine="0"/>
        <w:rPr>
          <w:u w:val="single"/>
          <w:lang w:val="es-ES_tradnl"/>
        </w:rPr>
      </w:pPr>
    </w:p>
    <w:p w14:paraId="3D81A8C0" w14:textId="6C5F9040" w:rsidR="00111E4E" w:rsidRPr="00D11EA8" w:rsidRDefault="0014728B" w:rsidP="0098291C">
      <w:pPr>
        <w:rPr>
          <w:lang w:val="es-ES_tradnl"/>
        </w:rPr>
      </w:pPr>
      <w:r w:rsidRPr="00D11EA8">
        <w:rPr>
          <w:lang w:val="es-ES_tradnl"/>
        </w:rPr>
        <w:t xml:space="preserve">4. </w:t>
      </w:r>
      <w:r w:rsidRPr="00D11EA8">
        <w:rPr>
          <w:lang w:val="es-ES_tradnl"/>
        </w:rPr>
        <w:tab/>
      </w:r>
      <w:r w:rsidR="00947DB3" w:rsidRPr="00D11EA8">
        <w:rPr>
          <w:lang w:val="es-ES_tradnl"/>
        </w:rPr>
        <w:t>La publicación</w:t>
      </w:r>
      <w:r w:rsidR="00920621" w:rsidRPr="00D11EA8">
        <w:rPr>
          <w:lang w:val="es-ES_tradnl"/>
        </w:rPr>
        <w:t xml:space="preserve"> </w:t>
      </w:r>
      <w:r w:rsidR="006B6A1E">
        <w:rPr>
          <w:i/>
          <w:lang w:val="es-ES_tradnl"/>
        </w:rPr>
        <w:t>Perspectiva Mundial sobre los Humedales</w:t>
      </w:r>
      <w:r w:rsidR="006F1C34" w:rsidRPr="00D11EA8">
        <w:rPr>
          <w:lang w:val="es-ES_tradnl"/>
        </w:rPr>
        <w:t xml:space="preserve"> </w:t>
      </w:r>
      <w:r w:rsidR="006B6A1E">
        <w:rPr>
          <w:lang w:val="es-ES_tradnl"/>
        </w:rPr>
        <w:t>(</w:t>
      </w:r>
      <w:r w:rsidR="006B6A1E" w:rsidRPr="006B6A1E">
        <w:rPr>
          <w:i/>
          <w:lang w:val="es-ES_tradnl"/>
        </w:rPr>
        <w:t>Global Wetland Outlook</w:t>
      </w:r>
      <w:r w:rsidR="006B6A1E">
        <w:rPr>
          <w:lang w:val="es-ES_tradnl"/>
        </w:rPr>
        <w:t xml:space="preserve">, en inglés) en principio se publicará </w:t>
      </w:r>
      <w:r w:rsidR="00947DB3" w:rsidRPr="00D11EA8">
        <w:rPr>
          <w:lang w:val="es-ES_tradnl"/>
        </w:rPr>
        <w:t xml:space="preserve">antes de la COP13 o durante la conferencia. Se distribuyó un primer borrador a los CN del GECT en mayo de 2017 solicitando sus </w:t>
      </w:r>
      <w:r w:rsidR="006B6A1E">
        <w:rPr>
          <w:lang w:val="es-ES_tradnl"/>
        </w:rPr>
        <w:t>comentarios</w:t>
      </w:r>
      <w:r w:rsidR="00947DB3" w:rsidRPr="00D11EA8">
        <w:rPr>
          <w:lang w:val="es-ES_tradnl"/>
        </w:rPr>
        <w:t xml:space="preserve">. La Secretaría organizó un pequeño taller de redacción en septiembre de 2017 en el que los autores principales y el </w:t>
      </w:r>
      <w:r w:rsidR="00D11EA8" w:rsidRPr="00D11EA8">
        <w:rPr>
          <w:lang w:val="es-ES_tradnl"/>
        </w:rPr>
        <w:t>editor</w:t>
      </w:r>
      <w:r w:rsidR="006B6A1E">
        <w:rPr>
          <w:lang w:val="es-ES_tradnl"/>
        </w:rPr>
        <w:t xml:space="preserve"> </w:t>
      </w:r>
      <w:r w:rsidR="00947DB3" w:rsidRPr="00D11EA8">
        <w:rPr>
          <w:lang w:val="es-ES_tradnl"/>
        </w:rPr>
        <w:t xml:space="preserve">tuvieron en cuenta los comentarios recibidos y trabajaron </w:t>
      </w:r>
      <w:r w:rsidR="006B6A1E">
        <w:rPr>
          <w:lang w:val="es-ES_tradnl"/>
        </w:rPr>
        <w:t xml:space="preserve">en un segundo borrador. Esa </w:t>
      </w:r>
      <w:r w:rsidR="00947DB3" w:rsidRPr="00D11EA8">
        <w:rPr>
          <w:lang w:val="es-ES_tradnl"/>
        </w:rPr>
        <w:t xml:space="preserve">versión preliminar se distribuyó a siete </w:t>
      </w:r>
      <w:r w:rsidR="006B6A1E">
        <w:rPr>
          <w:lang w:val="es-ES_tradnl"/>
        </w:rPr>
        <w:t>revisores externos a</w:t>
      </w:r>
      <w:r w:rsidR="00947DB3" w:rsidRPr="00D11EA8">
        <w:rPr>
          <w:lang w:val="es-ES_tradnl"/>
        </w:rPr>
        <w:t xml:space="preserve"> principios de diciembre de </w:t>
      </w:r>
      <w:r w:rsidR="00056DC4" w:rsidRPr="00D11EA8">
        <w:rPr>
          <w:lang w:val="es-ES_tradnl"/>
        </w:rPr>
        <w:t xml:space="preserve">2017. </w:t>
      </w:r>
      <w:r w:rsidR="00947DB3" w:rsidRPr="00D11EA8">
        <w:rPr>
          <w:lang w:val="es-ES_tradnl"/>
        </w:rPr>
        <w:t xml:space="preserve">En la </w:t>
      </w:r>
      <w:r w:rsidR="00D11EA8" w:rsidRPr="00D11EA8">
        <w:rPr>
          <w:lang w:val="es-ES_tradnl"/>
        </w:rPr>
        <w:t>reunión</w:t>
      </w:r>
      <w:r w:rsidR="00947DB3" w:rsidRPr="00D11EA8">
        <w:rPr>
          <w:lang w:val="es-ES_tradnl"/>
        </w:rPr>
        <w:t xml:space="preserve"> </w:t>
      </w:r>
      <w:r w:rsidR="00D84DDF" w:rsidRPr="00D11EA8">
        <w:rPr>
          <w:lang w:val="es-ES_tradnl"/>
        </w:rPr>
        <w:t>GECT</w:t>
      </w:r>
      <w:r w:rsidR="00056DC4" w:rsidRPr="00D11EA8">
        <w:rPr>
          <w:lang w:val="es-ES_tradnl"/>
        </w:rPr>
        <w:t>21</w:t>
      </w:r>
      <w:r w:rsidR="00851CE3" w:rsidRPr="00D11EA8">
        <w:rPr>
          <w:lang w:val="es-ES_tradnl"/>
        </w:rPr>
        <w:t xml:space="preserve">, </w:t>
      </w:r>
      <w:r w:rsidR="006B6A1E">
        <w:rPr>
          <w:lang w:val="es-ES_tradnl"/>
        </w:rPr>
        <w:t>el Grupo examinó</w:t>
      </w:r>
      <w:r w:rsidR="00947DB3" w:rsidRPr="00D11EA8">
        <w:rPr>
          <w:lang w:val="es-ES_tradnl"/>
        </w:rPr>
        <w:t xml:space="preserve"> los comentarios recibidos </w:t>
      </w:r>
      <w:r w:rsidR="006B6A1E">
        <w:rPr>
          <w:lang w:val="es-ES_tradnl"/>
        </w:rPr>
        <w:t xml:space="preserve">y </w:t>
      </w:r>
      <w:r w:rsidR="006B6A1E">
        <w:rPr>
          <w:lang w:val="es-ES_tradnl"/>
        </w:rPr>
        <w:lastRenderedPageBreak/>
        <w:t xml:space="preserve">determinó </w:t>
      </w:r>
      <w:r w:rsidR="00947DB3" w:rsidRPr="00D11EA8">
        <w:rPr>
          <w:lang w:val="es-ES_tradnl"/>
        </w:rPr>
        <w:t xml:space="preserve">los siguientes pasos a seguir para finalizar la publicación </w:t>
      </w:r>
      <w:r w:rsidR="006B6A1E">
        <w:rPr>
          <w:i/>
          <w:lang w:val="es-ES_tradnl"/>
        </w:rPr>
        <w:t>Perspectiva Mundial sobre los Humedales</w:t>
      </w:r>
      <w:r w:rsidR="006B6A1E">
        <w:rPr>
          <w:lang w:val="es-ES_tradnl"/>
        </w:rPr>
        <w:t xml:space="preserve"> y sus notas técnicas adjuntas</w:t>
      </w:r>
      <w:r w:rsidR="00947DB3" w:rsidRPr="00D11EA8">
        <w:rPr>
          <w:lang w:val="es-ES_tradnl"/>
        </w:rPr>
        <w:t>.</w:t>
      </w:r>
    </w:p>
    <w:p w14:paraId="3233B1C8" w14:textId="77777777" w:rsidR="00111E4E" w:rsidRPr="00D11EA8" w:rsidRDefault="00111E4E" w:rsidP="00684ACE">
      <w:pPr>
        <w:rPr>
          <w:lang w:val="es-ES_tradnl"/>
        </w:rPr>
      </w:pPr>
    </w:p>
    <w:p w14:paraId="04380BF1" w14:textId="20173057" w:rsidR="00111E4E" w:rsidRPr="00D11EA8" w:rsidRDefault="0014728B" w:rsidP="0098291C">
      <w:pPr>
        <w:rPr>
          <w:color w:val="212121"/>
          <w:lang w:val="es-ES_tradnl"/>
        </w:rPr>
      </w:pPr>
      <w:r w:rsidRPr="00D11EA8">
        <w:rPr>
          <w:lang w:val="es-ES_tradnl"/>
        </w:rPr>
        <w:t>5.</w:t>
      </w:r>
      <w:r w:rsidRPr="00D11EA8">
        <w:rPr>
          <w:lang w:val="es-ES_tradnl"/>
        </w:rPr>
        <w:tab/>
      </w:r>
      <w:r w:rsidR="00947DB3" w:rsidRPr="00D11EA8">
        <w:rPr>
          <w:lang w:val="es-ES_tradnl"/>
        </w:rPr>
        <w:t>El Centro Mundial de Vigilancia de la Conse</w:t>
      </w:r>
      <w:r w:rsidR="002D5E2B">
        <w:rPr>
          <w:lang w:val="es-ES_tradnl"/>
        </w:rPr>
        <w:t>rvación de ONU Medio Ambiente</w:t>
      </w:r>
      <w:r w:rsidR="00947DB3" w:rsidRPr="00D11EA8">
        <w:rPr>
          <w:lang w:val="es-ES_tradnl"/>
        </w:rPr>
        <w:t xml:space="preserve"> </w:t>
      </w:r>
      <w:r w:rsidR="00D11EA8" w:rsidRPr="00D11EA8">
        <w:rPr>
          <w:lang w:val="es-ES_tradnl"/>
        </w:rPr>
        <w:t>realizó</w:t>
      </w:r>
      <w:r w:rsidR="00947DB3" w:rsidRPr="00D11EA8">
        <w:rPr>
          <w:lang w:val="es-ES_tradnl"/>
        </w:rPr>
        <w:t xml:space="preserve"> un análisis </w:t>
      </w:r>
      <w:r w:rsidR="00D11EA8" w:rsidRPr="00D11EA8">
        <w:rPr>
          <w:lang w:val="es-ES_tradnl"/>
        </w:rPr>
        <w:t>actualizado</w:t>
      </w:r>
      <w:r w:rsidR="002D5E2B">
        <w:rPr>
          <w:lang w:val="es-ES_tradnl"/>
        </w:rPr>
        <w:t xml:space="preserve"> de la extensión (superficie</w:t>
      </w:r>
      <w:r w:rsidR="00947DB3" w:rsidRPr="00D11EA8">
        <w:rPr>
          <w:lang w:val="es-ES_tradnl"/>
        </w:rPr>
        <w:t xml:space="preserve">) mundial de los humedales que </w:t>
      </w:r>
      <w:r w:rsidR="00D11EA8" w:rsidRPr="00D11EA8">
        <w:rPr>
          <w:lang w:val="es-ES_tradnl"/>
        </w:rPr>
        <w:t>actualmente</w:t>
      </w:r>
      <w:r w:rsidR="00947DB3" w:rsidRPr="00D11EA8">
        <w:rPr>
          <w:lang w:val="es-ES_tradnl"/>
        </w:rPr>
        <w:t xml:space="preserve"> abarca todas las regiones de Ramsar y </w:t>
      </w:r>
      <w:r w:rsidR="002D5E2B">
        <w:rPr>
          <w:lang w:val="es-ES_tradnl"/>
        </w:rPr>
        <w:t xml:space="preserve">se incorporará en la </w:t>
      </w:r>
      <w:r w:rsidR="006B6A1E">
        <w:rPr>
          <w:i/>
          <w:lang w:val="es-ES_tradnl"/>
        </w:rPr>
        <w:t>Perspectiva Mundial sobre los Humedales</w:t>
      </w:r>
      <w:r w:rsidR="00724095" w:rsidRPr="00D11EA8">
        <w:rPr>
          <w:lang w:val="es-ES_tradnl"/>
        </w:rPr>
        <w:t xml:space="preserve">. </w:t>
      </w:r>
      <w:r w:rsidR="002D5E2B">
        <w:rPr>
          <w:lang w:val="es-ES_tradnl"/>
        </w:rPr>
        <w:t>Según el Índice WET (Tendencias de la extensión de los humedales),</w:t>
      </w:r>
      <w:r w:rsidR="00947DB3" w:rsidRPr="00D11EA8">
        <w:rPr>
          <w:lang w:val="es-ES_tradnl"/>
        </w:rPr>
        <w:t xml:space="preserve"> </w:t>
      </w:r>
      <w:r w:rsidR="002D5E2B">
        <w:rPr>
          <w:lang w:val="es-ES_tradnl"/>
        </w:rPr>
        <w:t xml:space="preserve">entre 1970 y 2015 </w:t>
      </w:r>
      <w:r w:rsidR="00947DB3" w:rsidRPr="00D11EA8">
        <w:rPr>
          <w:lang w:val="es-ES_tradnl"/>
        </w:rPr>
        <w:t xml:space="preserve">se </w:t>
      </w:r>
      <w:r w:rsidR="002D5E2B">
        <w:rPr>
          <w:lang w:val="es-ES_tradnl"/>
        </w:rPr>
        <w:t xml:space="preserve">ha producido una disminución </w:t>
      </w:r>
      <w:r w:rsidR="00947DB3" w:rsidRPr="00D11EA8">
        <w:rPr>
          <w:lang w:val="es-ES_tradnl"/>
        </w:rPr>
        <w:t xml:space="preserve">en torno al </w:t>
      </w:r>
      <w:r w:rsidR="00111E4E" w:rsidRPr="00D11EA8">
        <w:rPr>
          <w:color w:val="212121"/>
          <w:lang w:val="es-ES_tradnl"/>
        </w:rPr>
        <w:t>35</w:t>
      </w:r>
      <w:r w:rsidR="00947DB3" w:rsidRPr="00D11EA8">
        <w:rPr>
          <w:color w:val="212121"/>
          <w:lang w:val="es-ES_tradnl"/>
        </w:rPr>
        <w:t xml:space="preserve"> </w:t>
      </w:r>
      <w:r w:rsidR="00111E4E" w:rsidRPr="00D11EA8">
        <w:rPr>
          <w:color w:val="212121"/>
          <w:lang w:val="es-ES_tradnl"/>
        </w:rPr>
        <w:t xml:space="preserve">% </w:t>
      </w:r>
      <w:r w:rsidR="00947DB3" w:rsidRPr="00D11EA8">
        <w:rPr>
          <w:color w:val="212121"/>
          <w:lang w:val="es-ES_tradnl"/>
        </w:rPr>
        <w:t>e</w:t>
      </w:r>
      <w:r w:rsidR="002D5E2B">
        <w:rPr>
          <w:color w:val="212121"/>
          <w:lang w:val="es-ES_tradnl"/>
        </w:rPr>
        <w:t>n las zonas de humedales costero</w:t>
      </w:r>
      <w:r w:rsidR="00947DB3" w:rsidRPr="00D11EA8">
        <w:rPr>
          <w:color w:val="212121"/>
          <w:lang w:val="es-ES_tradnl"/>
        </w:rPr>
        <w:t>s y continentales estudiadas. La disminución varía entre regiones: África</w:t>
      </w:r>
      <w:r w:rsidR="00111E4E" w:rsidRPr="00D11EA8">
        <w:rPr>
          <w:color w:val="212121"/>
          <w:lang w:val="es-ES_tradnl"/>
        </w:rPr>
        <w:t xml:space="preserve"> (</w:t>
      </w:r>
      <w:r w:rsidR="00111E4E" w:rsidRPr="00F6077B">
        <w:rPr>
          <w:lang w:val="es-ES_tradnl"/>
        </w:rPr>
        <w:t>42</w:t>
      </w:r>
      <w:r w:rsidR="002D5E2B" w:rsidRPr="00F6077B">
        <w:rPr>
          <w:lang w:val="es-ES_tradnl"/>
        </w:rPr>
        <w:t xml:space="preserve"> </w:t>
      </w:r>
      <w:r w:rsidR="00111E4E" w:rsidRPr="00F6077B">
        <w:rPr>
          <w:lang w:val="es-ES_tradnl"/>
        </w:rPr>
        <w:t>%)</w:t>
      </w:r>
      <w:r w:rsidR="002D5E2B" w:rsidRPr="00F6077B">
        <w:rPr>
          <w:lang w:val="es-ES_tradnl"/>
        </w:rPr>
        <w:t>,</w:t>
      </w:r>
      <w:r w:rsidR="00724095" w:rsidRPr="00F6077B">
        <w:rPr>
          <w:lang w:val="es-ES_tradnl"/>
        </w:rPr>
        <w:t xml:space="preserve"> </w:t>
      </w:r>
      <w:r w:rsidR="00F6077B" w:rsidRPr="00D11EA8">
        <w:rPr>
          <w:color w:val="212121"/>
          <w:lang w:val="es-ES_tradnl"/>
        </w:rPr>
        <w:t>América del Norte (17</w:t>
      </w:r>
      <w:r w:rsidR="00F6077B">
        <w:rPr>
          <w:color w:val="212121"/>
          <w:lang w:val="es-ES_tradnl"/>
        </w:rPr>
        <w:t xml:space="preserve"> </w:t>
      </w:r>
      <w:r w:rsidR="00F6077B" w:rsidRPr="00D11EA8">
        <w:rPr>
          <w:color w:val="212121"/>
          <w:lang w:val="es-ES_tradnl"/>
        </w:rPr>
        <w:t>%)</w:t>
      </w:r>
      <w:r w:rsidR="00F6077B">
        <w:rPr>
          <w:color w:val="212121"/>
          <w:lang w:val="es-ES_tradnl"/>
        </w:rPr>
        <w:t>,</w:t>
      </w:r>
      <w:r w:rsidR="00F6077B" w:rsidRPr="00D11EA8">
        <w:rPr>
          <w:color w:val="212121"/>
          <w:lang w:val="es-ES_tradnl"/>
        </w:rPr>
        <w:t xml:space="preserve"> </w:t>
      </w:r>
      <w:r w:rsidR="00F6077B" w:rsidRPr="00F6077B">
        <w:rPr>
          <w:lang w:val="es-ES_tradnl"/>
        </w:rPr>
        <w:t>América Latina</w:t>
      </w:r>
      <w:r w:rsidR="00F6077B" w:rsidRPr="00D11EA8">
        <w:rPr>
          <w:color w:val="212121"/>
          <w:lang w:val="es-ES_tradnl"/>
        </w:rPr>
        <w:t xml:space="preserve"> y el Caribe (59</w:t>
      </w:r>
      <w:r w:rsidR="00F6077B">
        <w:rPr>
          <w:color w:val="212121"/>
          <w:lang w:val="es-ES_tradnl"/>
        </w:rPr>
        <w:t xml:space="preserve"> </w:t>
      </w:r>
      <w:r w:rsidR="00F6077B" w:rsidRPr="00D11EA8">
        <w:rPr>
          <w:color w:val="212121"/>
          <w:lang w:val="es-ES_tradnl"/>
        </w:rPr>
        <w:t>%)</w:t>
      </w:r>
      <w:r w:rsidR="00F6077B">
        <w:rPr>
          <w:color w:val="212121"/>
          <w:lang w:val="es-ES_tradnl"/>
        </w:rPr>
        <w:t xml:space="preserve">, </w:t>
      </w:r>
      <w:r w:rsidR="00247AF9" w:rsidRPr="00F6077B">
        <w:rPr>
          <w:lang w:val="es-ES_tradnl"/>
        </w:rPr>
        <w:t>Asia</w:t>
      </w:r>
      <w:r w:rsidR="00247AF9" w:rsidRPr="00D11EA8">
        <w:rPr>
          <w:color w:val="212121"/>
          <w:lang w:val="es-ES_tradnl"/>
        </w:rPr>
        <w:t xml:space="preserve"> (32</w:t>
      </w:r>
      <w:r w:rsidR="002D5E2B">
        <w:rPr>
          <w:color w:val="212121"/>
          <w:lang w:val="es-ES_tradnl"/>
        </w:rPr>
        <w:t xml:space="preserve"> %),</w:t>
      </w:r>
      <w:r w:rsidR="00247AF9" w:rsidRPr="00D11EA8">
        <w:rPr>
          <w:color w:val="212121"/>
          <w:lang w:val="es-ES_tradnl"/>
        </w:rPr>
        <w:t xml:space="preserve"> </w:t>
      </w:r>
      <w:r w:rsidR="00724095" w:rsidRPr="00D11EA8">
        <w:rPr>
          <w:color w:val="212121"/>
          <w:lang w:val="es-ES_tradnl"/>
        </w:rPr>
        <w:t>Europ</w:t>
      </w:r>
      <w:r w:rsidR="00947DB3" w:rsidRPr="00D11EA8">
        <w:rPr>
          <w:color w:val="212121"/>
          <w:lang w:val="es-ES_tradnl"/>
        </w:rPr>
        <w:t>a</w:t>
      </w:r>
      <w:r w:rsidR="00724095" w:rsidRPr="00D11EA8">
        <w:rPr>
          <w:color w:val="212121"/>
          <w:lang w:val="es-ES_tradnl"/>
        </w:rPr>
        <w:t xml:space="preserve"> (35</w:t>
      </w:r>
      <w:r w:rsidR="002D5E2B">
        <w:rPr>
          <w:color w:val="212121"/>
          <w:lang w:val="es-ES_tradnl"/>
        </w:rPr>
        <w:t xml:space="preserve"> </w:t>
      </w:r>
      <w:r w:rsidR="00F6077B">
        <w:rPr>
          <w:color w:val="212121"/>
          <w:lang w:val="es-ES_tradnl"/>
        </w:rPr>
        <w:t>%)</w:t>
      </w:r>
      <w:r w:rsidR="00247AF9" w:rsidRPr="00D11EA8">
        <w:rPr>
          <w:color w:val="212121"/>
          <w:lang w:val="es-ES_tradnl"/>
        </w:rPr>
        <w:t xml:space="preserve"> </w:t>
      </w:r>
      <w:r w:rsidR="00947DB3" w:rsidRPr="00D11EA8">
        <w:rPr>
          <w:color w:val="212121"/>
          <w:lang w:val="es-ES_tradnl"/>
        </w:rPr>
        <w:t xml:space="preserve">y Oceanía </w:t>
      </w:r>
      <w:r w:rsidR="00724095" w:rsidRPr="00D11EA8">
        <w:rPr>
          <w:color w:val="212121"/>
          <w:lang w:val="es-ES_tradnl"/>
        </w:rPr>
        <w:t>(12</w:t>
      </w:r>
      <w:r w:rsidR="002D5E2B">
        <w:rPr>
          <w:color w:val="212121"/>
          <w:lang w:val="es-ES_tradnl"/>
        </w:rPr>
        <w:t xml:space="preserve"> </w:t>
      </w:r>
      <w:r w:rsidR="00724095" w:rsidRPr="00D11EA8">
        <w:rPr>
          <w:color w:val="212121"/>
          <w:lang w:val="es-ES_tradnl"/>
        </w:rPr>
        <w:t xml:space="preserve">%). </w:t>
      </w:r>
      <w:r w:rsidR="00F6077B">
        <w:rPr>
          <w:color w:val="212121"/>
          <w:lang w:val="es-ES_tradnl"/>
        </w:rPr>
        <w:t>Ha</w:t>
      </w:r>
      <w:r w:rsidR="00947DB3" w:rsidRPr="00D11EA8">
        <w:rPr>
          <w:color w:val="212121"/>
          <w:lang w:val="es-ES_tradnl"/>
        </w:rPr>
        <w:t>y que tener en cuenta que el Índice WET indica los cambios en los humedales estudiados y no debe considerarse nece</w:t>
      </w:r>
      <w:r w:rsidR="00F6077B">
        <w:rPr>
          <w:color w:val="212121"/>
          <w:lang w:val="es-ES_tradnl"/>
        </w:rPr>
        <w:t xml:space="preserve">sariamente como un dato sobre </w:t>
      </w:r>
      <w:r w:rsidR="00947DB3" w:rsidRPr="00D11EA8">
        <w:rPr>
          <w:color w:val="212121"/>
          <w:lang w:val="es-ES_tradnl"/>
        </w:rPr>
        <w:t xml:space="preserve">el cambio total producido en cada región. No obstante, el análisis </w:t>
      </w:r>
      <w:r w:rsidR="00D11EA8" w:rsidRPr="00D11EA8">
        <w:rPr>
          <w:color w:val="212121"/>
          <w:lang w:val="es-ES_tradnl"/>
        </w:rPr>
        <w:t>actualizado</w:t>
      </w:r>
      <w:r w:rsidR="00947DB3" w:rsidRPr="00D11EA8">
        <w:rPr>
          <w:color w:val="212121"/>
          <w:lang w:val="es-ES_tradnl"/>
        </w:rPr>
        <w:t xml:space="preserve"> confirma que se siguen perdiendo humedales.</w:t>
      </w:r>
    </w:p>
    <w:p w14:paraId="752EDE8F" w14:textId="77777777" w:rsidR="005B2F75" w:rsidRPr="00D11EA8" w:rsidRDefault="005B2F75" w:rsidP="00425317">
      <w:pPr>
        <w:pStyle w:val="ListParagraph"/>
        <w:ind w:left="426" w:hanging="426"/>
        <w:rPr>
          <w:lang w:val="es-ES_tradnl"/>
        </w:rPr>
      </w:pPr>
    </w:p>
    <w:p w14:paraId="221D1521" w14:textId="39DCDA57" w:rsidR="007745C6" w:rsidRPr="00D11EA8" w:rsidRDefault="00F6077B" w:rsidP="007745C6">
      <w:pPr>
        <w:pStyle w:val="ListParagraph"/>
        <w:ind w:left="0" w:firstLine="0"/>
        <w:rPr>
          <w:u w:val="single"/>
          <w:lang w:val="es-ES_tradnl"/>
        </w:rPr>
      </w:pPr>
      <w:r w:rsidRPr="00F6077B">
        <w:rPr>
          <w:u w:val="single"/>
          <w:lang w:val="es-ES_tradnl"/>
        </w:rPr>
        <w:t>Tarea</w:t>
      </w:r>
      <w:r w:rsidR="00C25CA9" w:rsidRPr="00D11EA8">
        <w:rPr>
          <w:u w:val="single"/>
          <w:lang w:val="es-ES_tradnl"/>
        </w:rPr>
        <w:t xml:space="preserve"> 1.1</w:t>
      </w:r>
      <w:r w:rsidR="007745C6" w:rsidRPr="00D11EA8">
        <w:rPr>
          <w:u w:val="single"/>
          <w:lang w:val="es-ES_tradnl"/>
        </w:rPr>
        <w:t>:</w:t>
      </w:r>
      <w:r w:rsidR="00E430C1" w:rsidRPr="00D11EA8">
        <w:rPr>
          <w:u w:val="single"/>
          <w:lang w:val="es-ES_tradnl"/>
        </w:rPr>
        <w:t xml:space="preserve"> </w:t>
      </w:r>
      <w:r w:rsidRPr="00F6077B">
        <w:rPr>
          <w:u w:val="single"/>
          <w:lang w:val="es-ES_tradnl"/>
        </w:rPr>
        <w:t>La observación de la Tierra como herramienta de “buenas prácticas” para los inventarios, mapas y vigilancia de los humedales, incluyendo los sitios Ramsar</w:t>
      </w:r>
    </w:p>
    <w:p w14:paraId="50C04C28" w14:textId="77777777" w:rsidR="007745C6" w:rsidRPr="00D11EA8" w:rsidRDefault="007745C6" w:rsidP="00C34061">
      <w:pPr>
        <w:pStyle w:val="ListParagraph"/>
        <w:ind w:left="426" w:hanging="426"/>
        <w:rPr>
          <w:lang w:val="es-ES_tradnl"/>
        </w:rPr>
      </w:pPr>
    </w:p>
    <w:p w14:paraId="7C368B12" w14:textId="1C730856" w:rsidR="00417407" w:rsidRPr="00D11EA8" w:rsidRDefault="0014728B" w:rsidP="00425317">
      <w:pPr>
        <w:rPr>
          <w:lang w:val="es-ES_tradnl"/>
        </w:rPr>
      </w:pPr>
      <w:r w:rsidRPr="00D11EA8">
        <w:rPr>
          <w:lang w:val="es-ES_tradnl"/>
        </w:rPr>
        <w:t>6.</w:t>
      </w:r>
      <w:r w:rsidRPr="00D11EA8">
        <w:rPr>
          <w:lang w:val="es-ES_tradnl"/>
        </w:rPr>
        <w:tab/>
      </w:r>
      <w:r w:rsidR="00947DB3" w:rsidRPr="00D11EA8">
        <w:rPr>
          <w:lang w:val="es-ES_tradnl"/>
        </w:rPr>
        <w:t xml:space="preserve">Se facilitó a los CN del GECT un primer borrador de </w:t>
      </w:r>
      <w:r w:rsidR="00947DB3" w:rsidRPr="001B7944">
        <w:rPr>
          <w:lang w:val="es-ES_tradnl"/>
        </w:rPr>
        <w:t xml:space="preserve">un </w:t>
      </w:r>
      <w:r w:rsidR="001B7944" w:rsidRPr="001B7944">
        <w:rPr>
          <w:lang w:val="es-ES_tradnl"/>
        </w:rPr>
        <w:t>informe t</w:t>
      </w:r>
      <w:r w:rsidR="00947DB3" w:rsidRPr="001B7944">
        <w:rPr>
          <w:lang w:val="es-ES_tradnl"/>
        </w:rPr>
        <w:t>écnico</w:t>
      </w:r>
      <w:r w:rsidR="00947DB3" w:rsidRPr="00F6077B">
        <w:rPr>
          <w:lang w:val="es-ES_tradnl"/>
        </w:rPr>
        <w:t xml:space="preserve"> de Ramsar </w:t>
      </w:r>
      <w:r w:rsidR="00F6077B">
        <w:rPr>
          <w:lang w:val="es-ES_tradnl"/>
        </w:rPr>
        <w:t>titulado</w:t>
      </w:r>
      <w:r w:rsidR="00947DB3" w:rsidRPr="00D11EA8">
        <w:rPr>
          <w:lang w:val="es-ES_tradnl"/>
        </w:rPr>
        <w:t xml:space="preserve"> </w:t>
      </w:r>
      <w:r w:rsidR="00677383" w:rsidRPr="00D11EA8">
        <w:rPr>
          <w:rFonts w:asciiTheme="minorHAnsi" w:hAnsiTheme="minorHAnsi"/>
          <w:i/>
          <w:lang w:val="es-ES_tradnl"/>
        </w:rPr>
        <w:t>Best practice guidelines for the use of Earth Observation for wetland inventory, assessment and monitoring</w:t>
      </w:r>
      <w:r w:rsidR="002773E4" w:rsidRPr="00D11EA8">
        <w:rPr>
          <w:lang w:val="es-ES_tradnl"/>
        </w:rPr>
        <w:t xml:space="preserve"> </w:t>
      </w:r>
      <w:r w:rsidR="00F6077B">
        <w:rPr>
          <w:lang w:val="es-ES_tradnl"/>
        </w:rPr>
        <w:t xml:space="preserve">[Directrices sobre buenas prácticas </w:t>
      </w:r>
      <w:r w:rsidR="001B7944">
        <w:rPr>
          <w:lang w:val="es-ES_tradnl"/>
        </w:rPr>
        <w:t>para</w:t>
      </w:r>
      <w:r w:rsidR="00F6077B">
        <w:rPr>
          <w:lang w:val="es-ES_tradnl"/>
        </w:rPr>
        <w:t xml:space="preserve"> la utilización de la observación de la Tierra para los inventarios, la evaluación y el seguimiento de los humedales] </w:t>
      </w:r>
      <w:r w:rsidR="00B83231" w:rsidRPr="00D11EA8">
        <w:rPr>
          <w:lang w:val="es-ES_tradnl"/>
        </w:rPr>
        <w:t xml:space="preserve">en julio de 2017. En la reunión </w:t>
      </w:r>
      <w:r w:rsidR="00D84DDF" w:rsidRPr="00D11EA8">
        <w:rPr>
          <w:lang w:val="es-ES_tradnl"/>
        </w:rPr>
        <w:t>GECT</w:t>
      </w:r>
      <w:r w:rsidR="002773E4" w:rsidRPr="00D11EA8">
        <w:rPr>
          <w:lang w:val="es-ES_tradnl"/>
        </w:rPr>
        <w:t xml:space="preserve">21 </w:t>
      </w:r>
      <w:r w:rsidR="00B83231" w:rsidRPr="00D11EA8">
        <w:rPr>
          <w:lang w:val="es-ES_tradnl"/>
        </w:rPr>
        <w:t>se realizaron avances considerables en</w:t>
      </w:r>
      <w:r w:rsidR="00F6077B">
        <w:rPr>
          <w:lang w:val="es-ES_tradnl"/>
        </w:rPr>
        <w:t xml:space="preserve"> la finalización del borrador</w:t>
      </w:r>
      <w:r w:rsidR="00B83231" w:rsidRPr="00D11EA8">
        <w:rPr>
          <w:lang w:val="es-ES_tradnl"/>
        </w:rPr>
        <w:t>, que está previsto entregar a la Secretaría durante el primer trimestre de 2018.</w:t>
      </w:r>
    </w:p>
    <w:p w14:paraId="53822AFF" w14:textId="77777777" w:rsidR="00417407" w:rsidRPr="00D11EA8" w:rsidRDefault="00417407" w:rsidP="0098291C">
      <w:pPr>
        <w:pStyle w:val="ListParagraph"/>
        <w:ind w:left="426"/>
        <w:rPr>
          <w:lang w:val="es-ES_tradnl"/>
        </w:rPr>
      </w:pPr>
    </w:p>
    <w:p w14:paraId="43B86369" w14:textId="3A0206EC" w:rsidR="007745C6" w:rsidRPr="00D11EA8" w:rsidRDefault="00F6077B" w:rsidP="007745C6">
      <w:pPr>
        <w:pStyle w:val="ListParagraph"/>
        <w:ind w:left="0" w:firstLine="0"/>
        <w:rPr>
          <w:u w:val="single"/>
          <w:lang w:val="es-ES_tradnl"/>
        </w:rPr>
      </w:pPr>
      <w:r>
        <w:rPr>
          <w:u w:val="single"/>
          <w:lang w:val="es-ES_tradnl"/>
        </w:rPr>
        <w:t>Tarea</w:t>
      </w:r>
      <w:r w:rsidR="005A083B" w:rsidRPr="00D11EA8">
        <w:rPr>
          <w:u w:val="single"/>
          <w:lang w:val="es-ES_tradnl"/>
        </w:rPr>
        <w:t xml:space="preserve"> 1.</w:t>
      </w:r>
      <w:r w:rsidR="00F153FA">
        <w:rPr>
          <w:u w:val="single"/>
          <w:lang w:val="es-ES_tradnl"/>
        </w:rPr>
        <w:t>2</w:t>
      </w:r>
      <w:bookmarkStart w:id="0" w:name="_GoBack"/>
      <w:bookmarkEnd w:id="0"/>
      <w:r w:rsidR="007745C6" w:rsidRPr="00D11EA8">
        <w:rPr>
          <w:u w:val="single"/>
          <w:lang w:val="es-ES_tradnl"/>
        </w:rPr>
        <w:t>:</w:t>
      </w:r>
      <w:r w:rsidR="00667409" w:rsidRPr="00D11EA8">
        <w:rPr>
          <w:u w:val="single"/>
          <w:lang w:val="es-ES_tradnl"/>
        </w:rPr>
        <w:t xml:space="preserve"> </w:t>
      </w:r>
      <w:r w:rsidRPr="00F6077B">
        <w:rPr>
          <w:u w:val="single"/>
          <w:lang w:val="es-ES_tradnl"/>
        </w:rPr>
        <w:t>Desarrollo de lineamientos para los inventarios de turberas para su posible designación como Humedales de Importancia Internacional</w:t>
      </w:r>
    </w:p>
    <w:p w14:paraId="13CA86C4" w14:textId="77777777" w:rsidR="007745C6" w:rsidRPr="00D11EA8" w:rsidRDefault="007745C6" w:rsidP="00C34061">
      <w:pPr>
        <w:pStyle w:val="ListParagraph"/>
        <w:ind w:left="426" w:hanging="426"/>
        <w:rPr>
          <w:lang w:val="es-ES_tradnl"/>
        </w:rPr>
      </w:pPr>
    </w:p>
    <w:p w14:paraId="5BA0DBF4" w14:textId="3007CE6C" w:rsidR="00C25CA9" w:rsidRPr="00D11EA8" w:rsidRDefault="00425317" w:rsidP="00425317">
      <w:pPr>
        <w:rPr>
          <w:lang w:val="es-ES_tradnl"/>
        </w:rPr>
      </w:pPr>
      <w:r w:rsidRPr="00D11EA8">
        <w:rPr>
          <w:lang w:val="es-ES_tradnl"/>
        </w:rPr>
        <w:t>7.</w:t>
      </w:r>
      <w:r w:rsidRPr="00D11EA8">
        <w:rPr>
          <w:lang w:val="es-ES_tradnl"/>
        </w:rPr>
        <w:tab/>
      </w:r>
      <w:r w:rsidR="00B83231" w:rsidRPr="00D11EA8">
        <w:rPr>
          <w:lang w:val="es-ES_tradnl"/>
        </w:rPr>
        <w:t xml:space="preserve">En la reunión </w:t>
      </w:r>
      <w:r w:rsidR="00D84DDF" w:rsidRPr="00D11EA8">
        <w:rPr>
          <w:lang w:val="es-ES_tradnl"/>
        </w:rPr>
        <w:t>GECT</w:t>
      </w:r>
      <w:r w:rsidR="00C4216D" w:rsidRPr="00D11EA8">
        <w:rPr>
          <w:lang w:val="es-ES_tradnl"/>
        </w:rPr>
        <w:t>21</w:t>
      </w:r>
      <w:r w:rsidR="006F5698" w:rsidRPr="00D11EA8">
        <w:rPr>
          <w:lang w:val="es-ES_tradnl"/>
        </w:rPr>
        <w:t>,</w:t>
      </w:r>
      <w:r w:rsidR="00C4216D" w:rsidRPr="00D11EA8">
        <w:rPr>
          <w:lang w:val="es-ES_tradnl"/>
        </w:rPr>
        <w:t xml:space="preserve"> </w:t>
      </w:r>
      <w:r w:rsidR="00B83231" w:rsidRPr="00D11EA8">
        <w:rPr>
          <w:lang w:val="es-ES_tradnl"/>
        </w:rPr>
        <w:t>el</w:t>
      </w:r>
      <w:r w:rsidR="00C4216D" w:rsidRPr="00D11EA8">
        <w:rPr>
          <w:lang w:val="es-ES_tradnl"/>
        </w:rPr>
        <w:t xml:space="preserve"> </w:t>
      </w:r>
      <w:r w:rsidR="00D84DDF" w:rsidRPr="00D11EA8">
        <w:rPr>
          <w:lang w:val="es-ES_tradnl"/>
        </w:rPr>
        <w:t>GECT</w:t>
      </w:r>
      <w:r w:rsidR="00C4216D" w:rsidRPr="00D11EA8">
        <w:rPr>
          <w:lang w:val="es-ES_tradnl"/>
        </w:rPr>
        <w:t xml:space="preserve"> </w:t>
      </w:r>
      <w:r w:rsidR="00B83231" w:rsidRPr="00D11EA8">
        <w:rPr>
          <w:lang w:val="es-ES_tradnl"/>
        </w:rPr>
        <w:t xml:space="preserve">finalizó el proyecto de resolución </w:t>
      </w:r>
      <w:r w:rsidR="001A67EB" w:rsidRPr="001A67EB">
        <w:rPr>
          <w:i/>
          <w:lang w:val="es-ES_tradnl"/>
        </w:rPr>
        <w:t>Orientaciones para identificar Humedales de Importancia Internacional (sitios Ramsar) para regular el cambio climático mundial como argumento adicional a los criterios de Ramsar existentes</w:t>
      </w:r>
      <w:r w:rsidR="001A67EB">
        <w:rPr>
          <w:i/>
          <w:color w:val="FF0000"/>
          <w:lang w:val="es-ES_tradnl"/>
        </w:rPr>
        <w:t xml:space="preserve"> </w:t>
      </w:r>
      <w:r w:rsidR="00B83231" w:rsidRPr="00D11EA8">
        <w:rPr>
          <w:lang w:val="es-ES_tradnl"/>
        </w:rPr>
        <w:t xml:space="preserve">y lo presentó a la Secretaría. El Grupo </w:t>
      </w:r>
      <w:r w:rsidR="001A67EB">
        <w:rPr>
          <w:lang w:val="es-ES_tradnl"/>
        </w:rPr>
        <w:t xml:space="preserve">realizó observaciones </w:t>
      </w:r>
      <w:r w:rsidR="00D11EA8" w:rsidRPr="00D11EA8">
        <w:rPr>
          <w:lang w:val="es-ES_tradnl"/>
        </w:rPr>
        <w:t>adicionales</w:t>
      </w:r>
      <w:r w:rsidR="00B83231" w:rsidRPr="00D11EA8">
        <w:rPr>
          <w:lang w:val="es-ES_tradnl"/>
        </w:rPr>
        <w:t xml:space="preserve"> sobre el borrador </w:t>
      </w:r>
      <w:r w:rsidR="00627F99">
        <w:rPr>
          <w:lang w:val="es-ES_tradnl"/>
        </w:rPr>
        <w:t>de la nota informativa científica y t</w:t>
      </w:r>
      <w:r w:rsidR="001A67EB">
        <w:rPr>
          <w:lang w:val="es-ES_tradnl"/>
        </w:rPr>
        <w:t xml:space="preserve">écnica </w:t>
      </w:r>
      <w:r w:rsidR="00B83231" w:rsidRPr="00D11EA8">
        <w:rPr>
          <w:lang w:val="es-ES_tradnl"/>
        </w:rPr>
        <w:t xml:space="preserve">sobre inventarios de turberas tropicales que está redactando el </w:t>
      </w:r>
      <w:r w:rsidR="007B629E" w:rsidRPr="00D11EA8">
        <w:rPr>
          <w:lang w:val="es-ES_tradnl"/>
        </w:rPr>
        <w:t>Greifswald Mire Center</w:t>
      </w:r>
      <w:r w:rsidR="00B83231" w:rsidRPr="00D11EA8">
        <w:rPr>
          <w:lang w:val="es-ES_tradnl"/>
        </w:rPr>
        <w:t xml:space="preserve"> y cuya </w:t>
      </w:r>
      <w:r w:rsidR="00D11EA8" w:rsidRPr="00D11EA8">
        <w:rPr>
          <w:lang w:val="es-ES_tradnl"/>
        </w:rPr>
        <w:t>finalización</w:t>
      </w:r>
      <w:r w:rsidR="00B83231" w:rsidRPr="00D11EA8">
        <w:rPr>
          <w:lang w:val="es-ES_tradnl"/>
        </w:rPr>
        <w:t xml:space="preserve"> está prevista en 2018.</w:t>
      </w:r>
    </w:p>
    <w:p w14:paraId="4522F5CF" w14:textId="77777777" w:rsidR="005B2F75" w:rsidRPr="00D11EA8" w:rsidRDefault="005B2F75" w:rsidP="00684ACE">
      <w:pPr>
        <w:pStyle w:val="ListParagraph"/>
        <w:ind w:left="426" w:hanging="426"/>
        <w:rPr>
          <w:lang w:val="es-ES_tradnl"/>
        </w:rPr>
      </w:pPr>
    </w:p>
    <w:p w14:paraId="693CDBB1" w14:textId="0DC1E9AB" w:rsidR="00A97C27" w:rsidRPr="00D11EA8" w:rsidRDefault="00F6077B" w:rsidP="0098291C">
      <w:pPr>
        <w:rPr>
          <w:lang w:val="es-ES_tradnl"/>
        </w:rPr>
      </w:pPr>
      <w:r>
        <w:rPr>
          <w:u w:val="single"/>
          <w:lang w:val="es-ES_tradnl"/>
        </w:rPr>
        <w:t>Tarea</w:t>
      </w:r>
      <w:r w:rsidR="00C25CA9" w:rsidRPr="00D11EA8">
        <w:rPr>
          <w:u w:val="single"/>
          <w:lang w:val="es-ES_tradnl"/>
        </w:rPr>
        <w:t xml:space="preserve"> 2.1</w:t>
      </w:r>
      <w:r w:rsidR="007745C6" w:rsidRPr="00D11EA8">
        <w:rPr>
          <w:u w:val="single"/>
          <w:lang w:val="es-ES_tradnl"/>
        </w:rPr>
        <w:t>:</w:t>
      </w:r>
      <w:r w:rsidR="00667409" w:rsidRPr="00D11EA8">
        <w:rPr>
          <w:u w:val="single"/>
          <w:lang w:val="es-ES_tradnl"/>
        </w:rPr>
        <w:t xml:space="preserve"> </w:t>
      </w:r>
      <w:r w:rsidR="00B54017" w:rsidRPr="00B54017">
        <w:rPr>
          <w:u w:val="single"/>
          <w:lang w:val="es-ES_tradnl"/>
        </w:rPr>
        <w:t>Juego de herramientas para el manejo de los sitios Ramsar</w:t>
      </w:r>
    </w:p>
    <w:p w14:paraId="5EC4F8CE" w14:textId="77777777" w:rsidR="007745C6" w:rsidRPr="00D11EA8" w:rsidRDefault="007745C6" w:rsidP="00C34061">
      <w:pPr>
        <w:pStyle w:val="ListParagraph"/>
        <w:ind w:left="426" w:hanging="426"/>
        <w:rPr>
          <w:lang w:val="es-ES_tradnl"/>
        </w:rPr>
      </w:pPr>
    </w:p>
    <w:p w14:paraId="4589D911" w14:textId="5C63722F" w:rsidR="00C25CA9" w:rsidRPr="00D11EA8" w:rsidRDefault="0014728B" w:rsidP="0098291C">
      <w:pPr>
        <w:ind w:left="426"/>
        <w:rPr>
          <w:lang w:val="es-ES_tradnl"/>
        </w:rPr>
      </w:pPr>
      <w:r w:rsidRPr="00D11EA8">
        <w:rPr>
          <w:lang w:val="es-ES_tradnl"/>
        </w:rPr>
        <w:t>8.</w:t>
      </w:r>
      <w:r w:rsidRPr="00D11EA8">
        <w:rPr>
          <w:lang w:val="es-ES_tradnl"/>
        </w:rPr>
        <w:tab/>
      </w:r>
      <w:r w:rsidR="00B83231" w:rsidRPr="00D11EA8">
        <w:rPr>
          <w:lang w:val="es-ES_tradnl"/>
        </w:rPr>
        <w:t xml:space="preserve">Después de solicitar las </w:t>
      </w:r>
      <w:r w:rsidR="00D11EA8" w:rsidRPr="00D11EA8">
        <w:rPr>
          <w:lang w:val="es-ES_tradnl"/>
        </w:rPr>
        <w:t>contribuciones</w:t>
      </w:r>
      <w:r w:rsidR="00B83231" w:rsidRPr="00D11EA8">
        <w:rPr>
          <w:lang w:val="es-ES_tradnl"/>
        </w:rPr>
        <w:t xml:space="preserve"> de los CN del GECT, el </w:t>
      </w:r>
      <w:r w:rsidR="00FC4EF6">
        <w:rPr>
          <w:lang w:val="es-ES_tradnl"/>
        </w:rPr>
        <w:t>GECT</w:t>
      </w:r>
      <w:r w:rsidR="00B83231" w:rsidRPr="00D11EA8">
        <w:rPr>
          <w:lang w:val="es-ES_tradnl"/>
        </w:rPr>
        <w:t xml:space="preserve"> y el </w:t>
      </w:r>
      <w:r w:rsidR="00FC4EF6">
        <w:rPr>
          <w:lang w:val="es-ES_tradnl"/>
        </w:rPr>
        <w:t>e</w:t>
      </w:r>
      <w:r w:rsidR="00B83231" w:rsidRPr="00D11EA8">
        <w:rPr>
          <w:lang w:val="es-ES_tradnl"/>
        </w:rPr>
        <w:t xml:space="preserve">quipo de </w:t>
      </w:r>
      <w:r w:rsidR="00FC4EF6">
        <w:rPr>
          <w:lang w:val="es-ES_tradnl"/>
        </w:rPr>
        <w:t>c</w:t>
      </w:r>
      <w:r w:rsidR="00D11EA8" w:rsidRPr="00D11EA8">
        <w:rPr>
          <w:lang w:val="es-ES_tradnl"/>
        </w:rPr>
        <w:t>omunicaciones</w:t>
      </w:r>
      <w:r w:rsidR="00B83231" w:rsidRPr="00D11EA8">
        <w:rPr>
          <w:lang w:val="es-ES_tradnl"/>
        </w:rPr>
        <w:t xml:space="preserve"> d</w:t>
      </w:r>
      <w:r w:rsidR="00FC4EF6">
        <w:rPr>
          <w:lang w:val="es-ES_tradnl"/>
        </w:rPr>
        <w:t>e la Secretaría</w:t>
      </w:r>
      <w:r w:rsidR="00B83231" w:rsidRPr="00D11EA8">
        <w:rPr>
          <w:lang w:val="es-ES_tradnl"/>
        </w:rPr>
        <w:t xml:space="preserve"> elaboraron un</w:t>
      </w:r>
      <w:r w:rsidR="00FF31E2">
        <w:rPr>
          <w:lang w:val="es-ES_tradnl"/>
        </w:rPr>
        <w:t xml:space="preserve"> “J</w:t>
      </w:r>
      <w:r w:rsidR="00B83231" w:rsidRPr="00D11EA8">
        <w:rPr>
          <w:lang w:val="es-ES_tradnl"/>
        </w:rPr>
        <w:t xml:space="preserve">uego de </w:t>
      </w:r>
      <w:r w:rsidR="00D11EA8" w:rsidRPr="00D11EA8">
        <w:rPr>
          <w:lang w:val="es-ES_tradnl"/>
        </w:rPr>
        <w:t>herramientas</w:t>
      </w:r>
      <w:r w:rsidR="00B83231" w:rsidRPr="00D11EA8">
        <w:rPr>
          <w:lang w:val="es-ES_tradnl"/>
        </w:rPr>
        <w:t xml:space="preserve"> </w:t>
      </w:r>
      <w:r w:rsidR="00FF31E2">
        <w:rPr>
          <w:lang w:val="es-ES_tradnl"/>
        </w:rPr>
        <w:t xml:space="preserve">para el manejo de los </w:t>
      </w:r>
      <w:r w:rsidR="00B83231" w:rsidRPr="00D11EA8">
        <w:rPr>
          <w:lang w:val="es-ES_tradnl"/>
        </w:rPr>
        <w:t>sitios Ramsar</w:t>
      </w:r>
      <w:r w:rsidR="00FF31E2">
        <w:rPr>
          <w:lang w:val="es-ES_tradnl"/>
        </w:rPr>
        <w:t>”</w:t>
      </w:r>
      <w:r w:rsidR="00B83231" w:rsidRPr="00D11EA8">
        <w:rPr>
          <w:lang w:val="es-ES_tradnl"/>
        </w:rPr>
        <w:t xml:space="preserve"> </w:t>
      </w:r>
      <w:r w:rsidR="00FF31E2">
        <w:rPr>
          <w:lang w:val="es-ES_tradnl"/>
        </w:rPr>
        <w:t>en línea</w:t>
      </w:r>
      <w:r w:rsidR="00B83231" w:rsidRPr="00D11EA8">
        <w:rPr>
          <w:lang w:val="es-ES_tradnl"/>
        </w:rPr>
        <w:t xml:space="preserve"> que está disponible en la siguiente dirección:</w:t>
      </w:r>
      <w:r w:rsidR="009955E1" w:rsidRPr="00D11EA8">
        <w:rPr>
          <w:lang w:val="es-ES_tradnl"/>
        </w:rPr>
        <w:t xml:space="preserve"> </w:t>
      </w:r>
      <w:hyperlink r:id="rId9" w:history="1">
        <w:r w:rsidR="002536A8" w:rsidRPr="006D15F6">
          <w:rPr>
            <w:rStyle w:val="Hyperlink"/>
            <w:lang w:val="es-ES"/>
          </w:rPr>
          <w:t>https://www.ramsar.org/es/recursos/juego-de-herramientas-para-el-manejo-de-sitios-ramsar</w:t>
        </w:r>
      </w:hyperlink>
      <w:r w:rsidR="009955E1" w:rsidRPr="00D11EA8">
        <w:rPr>
          <w:lang w:val="es-ES_tradnl"/>
        </w:rPr>
        <w:t xml:space="preserve">. </w:t>
      </w:r>
      <w:r w:rsidR="00B83231" w:rsidRPr="00D11EA8">
        <w:rPr>
          <w:lang w:val="es-ES_tradnl"/>
        </w:rPr>
        <w:t>El</w:t>
      </w:r>
      <w:r w:rsidR="00FF31E2">
        <w:rPr>
          <w:lang w:val="es-ES_tradnl"/>
        </w:rPr>
        <w:t xml:space="preserve"> juego de herramientas incluye</w:t>
      </w:r>
      <w:r w:rsidR="00B83231" w:rsidRPr="00D11EA8">
        <w:rPr>
          <w:lang w:val="es-ES_tradnl"/>
        </w:rPr>
        <w:t xml:space="preserve"> la guía para profesionales </w:t>
      </w:r>
      <w:r w:rsidR="0024760B">
        <w:rPr>
          <w:lang w:val="es-ES_tradnl"/>
        </w:rPr>
        <w:t>elaborada por el</w:t>
      </w:r>
      <w:r w:rsidR="00B83231" w:rsidRPr="00D11EA8">
        <w:rPr>
          <w:lang w:val="es-ES_tradnl"/>
        </w:rPr>
        <w:t xml:space="preserve"> </w:t>
      </w:r>
      <w:r w:rsidR="0024760B">
        <w:rPr>
          <w:lang w:val="es-ES_tradnl"/>
        </w:rPr>
        <w:t xml:space="preserve">Centro Regional Ramsar para Asia Oriental sobre </w:t>
      </w:r>
      <w:r w:rsidR="0024760B">
        <w:rPr>
          <w:i/>
          <w:lang w:val="es-ES_tradnl"/>
        </w:rPr>
        <w:t>D</w:t>
      </w:r>
      <w:r w:rsidR="009955E1" w:rsidRPr="0024760B">
        <w:rPr>
          <w:i/>
          <w:lang w:val="es-ES_tradnl"/>
        </w:rPr>
        <w:t>esigna</w:t>
      </w:r>
      <w:r w:rsidR="0024760B" w:rsidRPr="0024760B">
        <w:rPr>
          <w:i/>
          <w:lang w:val="es-ES_tradnl"/>
        </w:rPr>
        <w:t>ción</w:t>
      </w:r>
      <w:r w:rsidR="0024760B">
        <w:rPr>
          <w:i/>
          <w:lang w:val="es-ES_tradnl"/>
        </w:rPr>
        <w:t xml:space="preserve"> y manejo de sitios Ramsar</w:t>
      </w:r>
      <w:r w:rsidR="009955E1" w:rsidRPr="00D11EA8">
        <w:rPr>
          <w:lang w:val="es-ES_tradnl"/>
        </w:rPr>
        <w:t xml:space="preserve">. </w:t>
      </w:r>
    </w:p>
    <w:p w14:paraId="54594009" w14:textId="77777777" w:rsidR="005B2F75" w:rsidRPr="00D11EA8" w:rsidRDefault="005B2F75" w:rsidP="00684ACE">
      <w:pPr>
        <w:pStyle w:val="ListParagraph"/>
        <w:ind w:left="426" w:hanging="426"/>
        <w:rPr>
          <w:lang w:val="es-ES_tradnl"/>
        </w:rPr>
      </w:pPr>
    </w:p>
    <w:p w14:paraId="7EFA7175" w14:textId="4A49843B" w:rsidR="0014427D" w:rsidRPr="0024760B" w:rsidRDefault="00F6077B" w:rsidP="0024760B">
      <w:pPr>
        <w:ind w:left="0" w:firstLine="0"/>
        <w:rPr>
          <w:u w:val="single"/>
          <w:lang w:val="es-ES_tradnl"/>
        </w:rPr>
      </w:pPr>
      <w:r w:rsidRPr="0024760B">
        <w:rPr>
          <w:u w:val="single"/>
          <w:lang w:val="es-ES_tradnl"/>
        </w:rPr>
        <w:t>Tarea</w:t>
      </w:r>
      <w:r w:rsidR="00C25CA9" w:rsidRPr="0024760B">
        <w:rPr>
          <w:u w:val="single"/>
          <w:lang w:val="es-ES_tradnl"/>
        </w:rPr>
        <w:t xml:space="preserve"> 3.1</w:t>
      </w:r>
      <w:r w:rsidR="00674B66" w:rsidRPr="0024760B">
        <w:rPr>
          <w:u w:val="single"/>
          <w:lang w:val="es-ES_tradnl"/>
        </w:rPr>
        <w:t>:</w:t>
      </w:r>
      <w:r w:rsidR="00667409" w:rsidRPr="0024760B">
        <w:rPr>
          <w:u w:val="single"/>
          <w:lang w:val="es-ES_tradnl"/>
        </w:rPr>
        <w:t xml:space="preserve"> </w:t>
      </w:r>
      <w:r w:rsidR="0024760B" w:rsidRPr="0024760B">
        <w:rPr>
          <w:u w:val="single"/>
          <w:lang w:val="es-ES_tradnl"/>
        </w:rPr>
        <w:t>Nota sobre políticas con juego de herramientas sobre la evaluación y valoración de los servicios de los ecosistemas de humedales</w:t>
      </w:r>
    </w:p>
    <w:p w14:paraId="68DF8DB0" w14:textId="77777777" w:rsidR="0014427D" w:rsidRPr="00D11EA8" w:rsidRDefault="0014427D" w:rsidP="00C34061">
      <w:pPr>
        <w:pStyle w:val="ListParagraph"/>
        <w:ind w:left="426" w:hanging="426"/>
        <w:rPr>
          <w:lang w:val="es-ES_tradnl"/>
        </w:rPr>
      </w:pPr>
    </w:p>
    <w:p w14:paraId="634B8043" w14:textId="70FE93E3" w:rsidR="00C25CA9" w:rsidRPr="00D11EA8" w:rsidRDefault="005B4A70" w:rsidP="00682B21">
      <w:pPr>
        <w:rPr>
          <w:lang w:val="es-ES_tradnl"/>
        </w:rPr>
      </w:pPr>
      <w:r w:rsidRPr="00D11EA8">
        <w:rPr>
          <w:lang w:val="es-ES_tradnl"/>
        </w:rPr>
        <w:t>9.</w:t>
      </w:r>
      <w:r w:rsidRPr="00D11EA8">
        <w:rPr>
          <w:lang w:val="es-ES_tradnl"/>
        </w:rPr>
        <w:tab/>
      </w:r>
      <w:r w:rsidR="00C83926" w:rsidRPr="00D11EA8">
        <w:rPr>
          <w:lang w:val="es-ES_tradnl"/>
        </w:rPr>
        <w:t xml:space="preserve">El </w:t>
      </w:r>
      <w:r w:rsidR="00D84DDF" w:rsidRPr="00D11EA8">
        <w:rPr>
          <w:lang w:val="es-ES_tradnl"/>
        </w:rPr>
        <w:t>GECT</w:t>
      </w:r>
      <w:r w:rsidR="006A5F9A" w:rsidRPr="00D11EA8">
        <w:rPr>
          <w:lang w:val="es-ES_tradnl"/>
        </w:rPr>
        <w:t xml:space="preserve"> </w:t>
      </w:r>
      <w:r w:rsidR="0024760B">
        <w:rPr>
          <w:lang w:val="es-ES_tradnl"/>
        </w:rPr>
        <w:t xml:space="preserve">elaboró una </w:t>
      </w:r>
      <w:r w:rsidR="00627F99" w:rsidRPr="00627F99">
        <w:rPr>
          <w:lang w:val="es-ES_tradnl"/>
        </w:rPr>
        <w:t>n</w:t>
      </w:r>
      <w:r w:rsidR="0024760B" w:rsidRPr="00627F99">
        <w:rPr>
          <w:lang w:val="es-ES_tradnl"/>
        </w:rPr>
        <w:t>ota sobre</w:t>
      </w:r>
      <w:r w:rsidR="0024760B">
        <w:rPr>
          <w:lang w:val="es-ES_tradnl"/>
        </w:rPr>
        <w:t xml:space="preserve"> p</w:t>
      </w:r>
      <w:r w:rsidR="00C83926" w:rsidRPr="00D11EA8">
        <w:rPr>
          <w:lang w:val="es-ES_tradnl"/>
        </w:rPr>
        <w:t xml:space="preserve">olíticas </w:t>
      </w:r>
      <w:r w:rsidR="0024760B" w:rsidRPr="009B6F63">
        <w:rPr>
          <w:lang w:val="es-ES_tradnl"/>
        </w:rPr>
        <w:t>titulada</w:t>
      </w:r>
      <w:r w:rsidR="009B6F63" w:rsidRPr="003D0363">
        <w:rPr>
          <w:i/>
          <w:lang w:val="es-ES"/>
        </w:rPr>
        <w:t xml:space="preserve"> </w:t>
      </w:r>
      <w:r w:rsidR="009B6F63" w:rsidRPr="009B6F63">
        <w:rPr>
          <w:i/>
          <w:lang w:val="es-ES_tradnl"/>
        </w:rPr>
        <w:t>Integración de</w:t>
      </w:r>
      <w:r w:rsidR="0024760B" w:rsidRPr="009B6F63">
        <w:rPr>
          <w:i/>
          <w:lang w:val="es-ES_tradnl"/>
        </w:rPr>
        <w:t xml:space="preserve"> los múltiples valores de los humedales en la toma de decisiones</w:t>
      </w:r>
      <w:r w:rsidR="00293A0B" w:rsidRPr="00D11EA8">
        <w:rPr>
          <w:lang w:val="es-ES_tradnl"/>
        </w:rPr>
        <w:t>,</w:t>
      </w:r>
      <w:r w:rsidR="00333625" w:rsidRPr="00D11EA8">
        <w:rPr>
          <w:lang w:val="es-ES_tradnl"/>
        </w:rPr>
        <w:t xml:space="preserve"> </w:t>
      </w:r>
      <w:r w:rsidR="00C83926" w:rsidRPr="00D11EA8">
        <w:rPr>
          <w:lang w:val="es-ES_tradnl"/>
        </w:rPr>
        <w:t xml:space="preserve">con un protocolo anexo para evaluar los múltiples valores de los humedales. </w:t>
      </w:r>
      <w:r w:rsidR="009B6F63">
        <w:rPr>
          <w:lang w:val="es-ES_tradnl"/>
        </w:rPr>
        <w:t xml:space="preserve">El protocolo es una adaptación al </w:t>
      </w:r>
      <w:r w:rsidR="009B6F63" w:rsidRPr="00D11EA8">
        <w:rPr>
          <w:lang w:val="es-ES_tradnl"/>
        </w:rPr>
        <w:t>contexto de Ramsar</w:t>
      </w:r>
      <w:r w:rsidR="009B6F63">
        <w:rPr>
          <w:lang w:val="es-ES_tradnl"/>
        </w:rPr>
        <w:t xml:space="preserve"> de la </w:t>
      </w:r>
      <w:r w:rsidR="00C83926" w:rsidRPr="00D11EA8">
        <w:rPr>
          <w:lang w:val="es-ES_tradnl"/>
        </w:rPr>
        <w:t xml:space="preserve">guía en seis pasos de la IPBES para </w:t>
      </w:r>
      <w:r w:rsidR="009B6F63">
        <w:rPr>
          <w:lang w:val="es-ES_tradnl"/>
        </w:rPr>
        <w:t>la</w:t>
      </w:r>
      <w:r w:rsidR="00C83926" w:rsidRPr="00D11EA8">
        <w:rPr>
          <w:lang w:val="es-ES_tradnl"/>
        </w:rPr>
        <w:t xml:space="preserve"> </w:t>
      </w:r>
      <w:r w:rsidR="00D11EA8" w:rsidRPr="00D11EA8">
        <w:rPr>
          <w:lang w:val="es-ES_tradnl"/>
        </w:rPr>
        <w:t>conceptualización</w:t>
      </w:r>
      <w:r w:rsidR="00C83926" w:rsidRPr="00D11EA8">
        <w:rPr>
          <w:lang w:val="es-ES_tradnl"/>
        </w:rPr>
        <w:t xml:space="preserve"> diversa de la naturaleza y sus </w:t>
      </w:r>
      <w:r w:rsidR="00D11EA8" w:rsidRPr="00D11EA8">
        <w:rPr>
          <w:lang w:val="es-ES_tradnl"/>
        </w:rPr>
        <w:t>beneficios</w:t>
      </w:r>
      <w:r w:rsidR="00C83926" w:rsidRPr="00D11EA8">
        <w:rPr>
          <w:lang w:val="es-ES_tradnl"/>
        </w:rPr>
        <w:t xml:space="preserve">. La Secretaría de la Convención de </w:t>
      </w:r>
      <w:r w:rsidR="00D11EA8" w:rsidRPr="00D11EA8">
        <w:rPr>
          <w:lang w:val="es-ES_tradnl"/>
        </w:rPr>
        <w:t>Ramsar</w:t>
      </w:r>
      <w:r w:rsidR="00C83926" w:rsidRPr="00D11EA8">
        <w:rPr>
          <w:lang w:val="es-ES_tradnl"/>
        </w:rPr>
        <w:t xml:space="preserve"> coordinó </w:t>
      </w:r>
      <w:r w:rsidR="009B6F63">
        <w:rPr>
          <w:lang w:val="es-ES_tradnl"/>
        </w:rPr>
        <w:t xml:space="preserve">su publicación </w:t>
      </w:r>
      <w:r w:rsidR="001B7196">
        <w:rPr>
          <w:lang w:val="es-ES_tradnl"/>
        </w:rPr>
        <w:t xml:space="preserve">junto </w:t>
      </w:r>
      <w:r w:rsidR="009B6F63">
        <w:rPr>
          <w:lang w:val="es-ES_tradnl"/>
        </w:rPr>
        <w:t xml:space="preserve">con </w:t>
      </w:r>
      <w:r w:rsidR="007159E6" w:rsidRPr="00D11EA8">
        <w:rPr>
          <w:lang w:val="es-ES_tradnl"/>
        </w:rPr>
        <w:t xml:space="preserve">la Secretaría de la </w:t>
      </w:r>
      <w:r w:rsidR="001B7196" w:rsidRPr="00FC7670">
        <w:rPr>
          <w:lang w:val="es-ES_tradnl"/>
        </w:rPr>
        <w:t xml:space="preserve">Plataforma </w:t>
      </w:r>
      <w:r w:rsidR="001B7196" w:rsidRPr="00FC7670">
        <w:rPr>
          <w:lang w:val="es-ES_tradnl"/>
        </w:rPr>
        <w:lastRenderedPageBreak/>
        <w:t xml:space="preserve">Intergubernamental Científico-normativa sobre Diversidad Biológica y Servicios de los Ecosistemas </w:t>
      </w:r>
      <w:r w:rsidR="007159E6" w:rsidRPr="00D11EA8">
        <w:rPr>
          <w:lang w:val="es-ES_tradnl"/>
        </w:rPr>
        <w:t xml:space="preserve">(IPBES) el 19 de septiembre de 2017. El resultado </w:t>
      </w:r>
      <w:r w:rsidR="001B7196">
        <w:rPr>
          <w:lang w:val="es-ES_tradnl"/>
        </w:rPr>
        <w:t xml:space="preserve">fueron </w:t>
      </w:r>
      <w:r w:rsidR="007159E6" w:rsidRPr="00D11EA8">
        <w:rPr>
          <w:lang w:val="es-ES_tradnl"/>
        </w:rPr>
        <w:t xml:space="preserve">15.500 impresiones </w:t>
      </w:r>
      <w:r w:rsidR="001B7196">
        <w:rPr>
          <w:lang w:val="es-ES_tradnl"/>
        </w:rPr>
        <w:t xml:space="preserve">en </w:t>
      </w:r>
      <w:r w:rsidR="007159E6" w:rsidRPr="00D11EA8">
        <w:rPr>
          <w:lang w:val="es-ES_tradnl"/>
        </w:rPr>
        <w:t xml:space="preserve">Twitter y 511 </w:t>
      </w:r>
      <w:r w:rsidR="00D11EA8" w:rsidRPr="00D11EA8">
        <w:rPr>
          <w:lang w:val="es-ES_tradnl"/>
        </w:rPr>
        <w:t>descargas</w:t>
      </w:r>
      <w:r w:rsidR="007159E6" w:rsidRPr="00D11EA8">
        <w:rPr>
          <w:lang w:val="es-ES_tradnl"/>
        </w:rPr>
        <w:t xml:space="preserve"> </w:t>
      </w:r>
      <w:r w:rsidR="00627F99">
        <w:rPr>
          <w:lang w:val="es-ES_tradnl"/>
        </w:rPr>
        <w:t>desde sitio web de Ramsar. La n</w:t>
      </w:r>
      <w:r w:rsidR="001B7196">
        <w:rPr>
          <w:lang w:val="es-ES_tradnl"/>
        </w:rPr>
        <w:t>ota sobre políticas</w:t>
      </w:r>
      <w:r w:rsidR="008E5897" w:rsidRPr="00D11EA8">
        <w:rPr>
          <w:lang w:val="es-ES_tradnl"/>
        </w:rPr>
        <w:t xml:space="preserve"> </w:t>
      </w:r>
      <w:r w:rsidR="007159E6" w:rsidRPr="00D11EA8">
        <w:rPr>
          <w:lang w:val="es-ES_tradnl"/>
        </w:rPr>
        <w:t xml:space="preserve">se compartió </w:t>
      </w:r>
      <w:r w:rsidR="001B7196">
        <w:rPr>
          <w:lang w:val="es-ES_tradnl"/>
        </w:rPr>
        <w:t>con los principales asociados</w:t>
      </w:r>
      <w:r w:rsidR="007159E6" w:rsidRPr="00D11EA8">
        <w:rPr>
          <w:lang w:val="es-ES_tradnl"/>
        </w:rPr>
        <w:t xml:space="preserve"> y </w:t>
      </w:r>
      <w:r w:rsidR="00D11EA8" w:rsidRPr="00D11EA8">
        <w:rPr>
          <w:lang w:val="es-ES_tradnl"/>
        </w:rPr>
        <w:t>colaboradores</w:t>
      </w:r>
      <w:r w:rsidR="007159E6" w:rsidRPr="00D11EA8">
        <w:rPr>
          <w:lang w:val="es-ES_tradnl"/>
        </w:rPr>
        <w:t xml:space="preserve">, </w:t>
      </w:r>
      <w:r w:rsidR="001B7196">
        <w:rPr>
          <w:lang w:val="es-ES_tradnl"/>
        </w:rPr>
        <w:t xml:space="preserve">tales como </w:t>
      </w:r>
      <w:r w:rsidR="007159E6" w:rsidRPr="00D11EA8">
        <w:rPr>
          <w:lang w:val="es-ES_tradnl"/>
        </w:rPr>
        <w:t xml:space="preserve">ONU Medio Ambiente, </w:t>
      </w:r>
      <w:r w:rsidR="001B7196">
        <w:rPr>
          <w:lang w:val="es-ES_tradnl"/>
        </w:rPr>
        <w:t>la Asociación Mundial para el Agua (</w:t>
      </w:r>
      <w:r w:rsidR="00682B21" w:rsidRPr="00D11EA8">
        <w:rPr>
          <w:lang w:val="es-ES_tradnl"/>
        </w:rPr>
        <w:t>Global Water Partnership</w:t>
      </w:r>
      <w:r w:rsidR="001B7196">
        <w:rPr>
          <w:lang w:val="es-ES_tradnl"/>
        </w:rPr>
        <w:t>, en inglés)</w:t>
      </w:r>
      <w:r w:rsidR="00682B21" w:rsidRPr="00D11EA8">
        <w:rPr>
          <w:lang w:val="es-ES_tradnl"/>
        </w:rPr>
        <w:t xml:space="preserve">, </w:t>
      </w:r>
      <w:r w:rsidR="007159E6" w:rsidRPr="00D11EA8">
        <w:rPr>
          <w:lang w:val="es-ES_tradnl"/>
        </w:rPr>
        <w:t xml:space="preserve">las </w:t>
      </w:r>
      <w:r w:rsidR="00D11EA8" w:rsidRPr="00D11EA8">
        <w:rPr>
          <w:lang w:val="es-ES_tradnl"/>
        </w:rPr>
        <w:t>Secretarías</w:t>
      </w:r>
      <w:r w:rsidR="007159E6" w:rsidRPr="00D11EA8">
        <w:rPr>
          <w:lang w:val="es-ES_tradnl"/>
        </w:rPr>
        <w:t xml:space="preserve"> de la IPBES, ONU-Agua, el Conveni</w:t>
      </w:r>
      <w:r w:rsidR="00627F99">
        <w:rPr>
          <w:lang w:val="es-ES_tradnl"/>
        </w:rPr>
        <w:t>o sobre la Diversidad Biológica,</w:t>
      </w:r>
      <w:r w:rsidR="007159E6" w:rsidRPr="00D11EA8">
        <w:rPr>
          <w:lang w:val="es-ES_tradnl"/>
        </w:rPr>
        <w:t xml:space="preserve"> la </w:t>
      </w:r>
      <w:r w:rsidR="007159E6" w:rsidRPr="001B7196">
        <w:rPr>
          <w:lang w:val="es-ES_tradnl"/>
        </w:rPr>
        <w:t>Convención de las Naciones Unidas de Lu</w:t>
      </w:r>
      <w:r w:rsidR="001B7196" w:rsidRPr="001B7196">
        <w:rPr>
          <w:lang w:val="es-ES_tradnl"/>
        </w:rPr>
        <w:t>cha contra la Desertificación</w:t>
      </w:r>
      <w:r w:rsidR="007159E6" w:rsidRPr="001B7196">
        <w:rPr>
          <w:lang w:val="es-ES_tradnl"/>
        </w:rPr>
        <w:t xml:space="preserve"> y la Convención sobre las Especies Migratorias, así como </w:t>
      </w:r>
      <w:r w:rsidR="00682B21" w:rsidRPr="001B7196">
        <w:rPr>
          <w:lang w:val="es-ES_tradnl"/>
        </w:rPr>
        <w:t xml:space="preserve">BirdLife International, </w:t>
      </w:r>
      <w:r w:rsidR="001B7196" w:rsidRPr="001B7196">
        <w:rPr>
          <w:lang w:val="es-ES_tradnl"/>
        </w:rPr>
        <w:t>el Programa Mundial del Agua de la UICN, el Instituto Internacional para el Manejo del Agua (IWMI)</w:t>
      </w:r>
      <w:r w:rsidR="00682B21" w:rsidRPr="001B7196">
        <w:rPr>
          <w:lang w:val="es-ES_tradnl"/>
        </w:rPr>
        <w:t xml:space="preserve">, Wetlands International </w:t>
      </w:r>
      <w:r w:rsidR="007159E6" w:rsidRPr="001B7196">
        <w:rPr>
          <w:lang w:val="es-ES_tradnl"/>
        </w:rPr>
        <w:t xml:space="preserve">y </w:t>
      </w:r>
      <w:r w:rsidR="00682B21" w:rsidRPr="001B7196">
        <w:rPr>
          <w:lang w:val="es-ES_tradnl"/>
        </w:rPr>
        <w:t xml:space="preserve">Wildfowl and Wetlands Trust. </w:t>
      </w:r>
      <w:r w:rsidR="007159E6" w:rsidRPr="001B7196">
        <w:rPr>
          <w:lang w:val="es-ES_tradnl"/>
        </w:rPr>
        <w:t>La Secretaría</w:t>
      </w:r>
      <w:r w:rsidR="00627F99">
        <w:rPr>
          <w:lang w:val="es-ES_tradnl"/>
        </w:rPr>
        <w:t xml:space="preserve"> de la IPBES compartió la n</w:t>
      </w:r>
      <w:r w:rsidR="001B7196">
        <w:rPr>
          <w:lang w:val="es-ES_tradnl"/>
        </w:rPr>
        <w:t xml:space="preserve">ota sobre políticas </w:t>
      </w:r>
      <w:r w:rsidR="00E539EA">
        <w:rPr>
          <w:lang w:val="es-ES_tradnl"/>
        </w:rPr>
        <w:t>con su red de 13.000 su</w:t>
      </w:r>
      <w:r w:rsidR="007159E6" w:rsidRPr="00D11EA8">
        <w:rPr>
          <w:lang w:val="es-ES_tradnl"/>
        </w:rPr>
        <w:t xml:space="preserve">scriptores </w:t>
      </w:r>
      <w:r w:rsidR="00E539EA">
        <w:rPr>
          <w:lang w:val="es-ES_tradnl"/>
        </w:rPr>
        <w:t>y la incluyó en su sitio web</w:t>
      </w:r>
      <w:r w:rsidR="007159E6" w:rsidRPr="00D11EA8">
        <w:rPr>
          <w:lang w:val="es-ES_tradnl"/>
        </w:rPr>
        <w:t>.</w:t>
      </w:r>
    </w:p>
    <w:p w14:paraId="628476AF" w14:textId="77777777" w:rsidR="00674B66" w:rsidRPr="00D11EA8" w:rsidRDefault="00674B66" w:rsidP="004D0A2C">
      <w:pPr>
        <w:rPr>
          <w:lang w:val="es-ES_tradnl"/>
        </w:rPr>
      </w:pPr>
    </w:p>
    <w:p w14:paraId="0ECA0A71" w14:textId="3362D677" w:rsidR="00674B66" w:rsidRPr="00D11EA8" w:rsidRDefault="00F6077B" w:rsidP="005B4A70">
      <w:pPr>
        <w:rPr>
          <w:u w:val="single"/>
          <w:lang w:val="es-ES_tradnl"/>
        </w:rPr>
      </w:pPr>
      <w:r>
        <w:rPr>
          <w:u w:val="single"/>
          <w:lang w:val="es-ES_tradnl"/>
        </w:rPr>
        <w:t>Tarea</w:t>
      </w:r>
      <w:r w:rsidR="00674B66" w:rsidRPr="00D11EA8">
        <w:rPr>
          <w:u w:val="single"/>
          <w:lang w:val="es-ES_tradnl"/>
        </w:rPr>
        <w:t xml:space="preserve"> 3.2: </w:t>
      </w:r>
      <w:r w:rsidR="00E539EA" w:rsidRPr="00E539EA">
        <w:rPr>
          <w:u w:val="single"/>
          <w:lang w:val="es-ES_tradnl"/>
        </w:rPr>
        <w:t>Los ecosistemas de humedales y la re</w:t>
      </w:r>
      <w:r w:rsidR="00E539EA">
        <w:rPr>
          <w:u w:val="single"/>
          <w:lang w:val="es-ES_tradnl"/>
        </w:rPr>
        <w:t>ducción del riesgo de desastres</w:t>
      </w:r>
    </w:p>
    <w:p w14:paraId="77FF55FB" w14:textId="77777777" w:rsidR="005B2F75" w:rsidRPr="00E539EA" w:rsidRDefault="005B2F75" w:rsidP="00684ACE">
      <w:pPr>
        <w:pStyle w:val="ListParagraph"/>
        <w:ind w:left="426" w:hanging="426"/>
        <w:rPr>
          <w:u w:val="single"/>
          <w:lang w:val="es-ES_tradnl"/>
        </w:rPr>
      </w:pPr>
    </w:p>
    <w:p w14:paraId="19928296" w14:textId="02E60CC7" w:rsidR="007627FA" w:rsidRPr="00D11EA8" w:rsidRDefault="005B4A70" w:rsidP="0098291C">
      <w:pPr>
        <w:rPr>
          <w:lang w:val="es-ES_tradnl"/>
        </w:rPr>
      </w:pPr>
      <w:r w:rsidRPr="00D11EA8">
        <w:rPr>
          <w:lang w:val="es-ES_tradnl"/>
        </w:rPr>
        <w:t>10.</w:t>
      </w:r>
      <w:r w:rsidRPr="00D11EA8">
        <w:rPr>
          <w:lang w:val="es-ES_tradnl"/>
        </w:rPr>
        <w:tab/>
      </w:r>
      <w:r w:rsidR="00E539EA">
        <w:rPr>
          <w:lang w:val="es-ES_tradnl"/>
        </w:rPr>
        <w:t>Wetlands Internacional, encabezado por Ritesh Kumar,</w:t>
      </w:r>
      <w:r w:rsidR="00627F99">
        <w:rPr>
          <w:lang w:val="es-ES_tradnl"/>
        </w:rPr>
        <w:t xml:space="preserve"> miembro del GECT, redactó una n</w:t>
      </w:r>
      <w:r w:rsidR="00E539EA">
        <w:rPr>
          <w:lang w:val="es-ES_tradnl"/>
        </w:rPr>
        <w:t xml:space="preserve">ota sobre políticas </w:t>
      </w:r>
      <w:r w:rsidR="00F7002F">
        <w:rPr>
          <w:lang w:val="es-ES_tradnl"/>
        </w:rPr>
        <w:t xml:space="preserve">titulada </w:t>
      </w:r>
      <w:r w:rsidR="00F7002F">
        <w:rPr>
          <w:i/>
          <w:lang w:val="es-ES_tradnl"/>
        </w:rPr>
        <w:t>Humedales para la reducción del riesgo de desastres: Opciones eficaces para comunidades resilientes</w:t>
      </w:r>
      <w:r w:rsidR="00536F62" w:rsidRPr="00D11EA8">
        <w:rPr>
          <w:i/>
          <w:lang w:val="es-ES_tradnl"/>
        </w:rPr>
        <w:t xml:space="preserve">. </w:t>
      </w:r>
      <w:r w:rsidR="00536F62" w:rsidRPr="00D11EA8">
        <w:rPr>
          <w:lang w:val="es-ES_tradnl"/>
        </w:rPr>
        <w:t xml:space="preserve">Su publicación el 13 de octubre de 2017 con </w:t>
      </w:r>
      <w:r w:rsidR="00D11EA8" w:rsidRPr="00D11EA8">
        <w:rPr>
          <w:lang w:val="es-ES_tradnl"/>
        </w:rPr>
        <w:t>motivo</w:t>
      </w:r>
      <w:r w:rsidR="00536F62" w:rsidRPr="00D11EA8">
        <w:rPr>
          <w:lang w:val="es-ES_tradnl"/>
        </w:rPr>
        <w:t xml:space="preserve"> del Día Internacional </w:t>
      </w:r>
      <w:r w:rsidR="00F7002F">
        <w:rPr>
          <w:lang w:val="es-ES_tradnl"/>
        </w:rPr>
        <w:t>para la</w:t>
      </w:r>
      <w:r w:rsidR="00536F62" w:rsidRPr="00D11EA8">
        <w:rPr>
          <w:lang w:val="es-ES_tradnl"/>
        </w:rPr>
        <w:t xml:space="preserve"> Reducción </w:t>
      </w:r>
      <w:r w:rsidR="00F7002F">
        <w:rPr>
          <w:lang w:val="es-ES_tradnl"/>
        </w:rPr>
        <w:t xml:space="preserve">de los Desastres conjuntamente con </w:t>
      </w:r>
      <w:r w:rsidR="00B23E41">
        <w:rPr>
          <w:lang w:val="es-ES_tradnl"/>
        </w:rPr>
        <w:t xml:space="preserve">la Asociación para el Medio Ambiente y Reducción del Riesgo de Desastres </w:t>
      </w:r>
      <w:r w:rsidR="002A719E" w:rsidRPr="00D11EA8">
        <w:rPr>
          <w:lang w:val="es-ES_tradnl"/>
        </w:rPr>
        <w:t>(</w:t>
      </w:r>
      <w:r w:rsidR="008E5897" w:rsidRPr="00D11EA8">
        <w:rPr>
          <w:lang w:val="es-ES_tradnl"/>
        </w:rPr>
        <w:t>PEDRR</w:t>
      </w:r>
      <w:r w:rsidR="002A719E" w:rsidRPr="00D11EA8">
        <w:rPr>
          <w:lang w:val="es-ES_tradnl"/>
        </w:rPr>
        <w:t>)</w:t>
      </w:r>
      <w:r w:rsidR="008E5897" w:rsidRPr="00D11EA8">
        <w:rPr>
          <w:lang w:val="es-ES_tradnl"/>
        </w:rPr>
        <w:t xml:space="preserve"> </w:t>
      </w:r>
      <w:r w:rsidR="00536F62" w:rsidRPr="00D11EA8">
        <w:rPr>
          <w:lang w:val="es-ES_tradnl"/>
        </w:rPr>
        <w:t xml:space="preserve">y </w:t>
      </w:r>
      <w:r w:rsidR="008E5897" w:rsidRPr="00D11EA8">
        <w:rPr>
          <w:lang w:val="es-ES_tradnl"/>
        </w:rPr>
        <w:t>Wetlands International</w:t>
      </w:r>
      <w:r w:rsidR="00B23E41">
        <w:rPr>
          <w:lang w:val="es-ES_tradnl"/>
        </w:rPr>
        <w:t xml:space="preserve"> dio lugar a </w:t>
      </w:r>
      <w:r w:rsidR="002A719E" w:rsidRPr="00B23E41">
        <w:rPr>
          <w:lang w:val="es-ES_tradnl"/>
        </w:rPr>
        <w:t>376 d</w:t>
      </w:r>
      <w:r w:rsidR="00B23E41">
        <w:rPr>
          <w:lang w:val="es-ES_tradnl"/>
        </w:rPr>
        <w:t xml:space="preserve">escargas y unas </w:t>
      </w:r>
      <w:r w:rsidR="00B23E41" w:rsidRPr="00B23E41">
        <w:rPr>
          <w:lang w:val="es-ES_tradnl"/>
        </w:rPr>
        <w:t>20.</w:t>
      </w:r>
      <w:r w:rsidR="002A719E" w:rsidRPr="00B23E41">
        <w:rPr>
          <w:lang w:val="es-ES_tradnl"/>
        </w:rPr>
        <w:t>000</w:t>
      </w:r>
      <w:r w:rsidR="009C573E" w:rsidRPr="00B23E41">
        <w:rPr>
          <w:lang w:val="es-ES_tradnl"/>
        </w:rPr>
        <w:t xml:space="preserve"> </w:t>
      </w:r>
      <w:r w:rsidR="00627F99">
        <w:rPr>
          <w:lang w:val="es-ES_tradnl"/>
        </w:rPr>
        <w:t>impresiones</w:t>
      </w:r>
      <w:r w:rsidR="006F5698" w:rsidRPr="00B23E41">
        <w:rPr>
          <w:lang w:val="es-ES_tradnl"/>
        </w:rPr>
        <w:t xml:space="preserve"> </w:t>
      </w:r>
      <w:r w:rsidR="00B23E41" w:rsidRPr="00B23E41">
        <w:rPr>
          <w:lang w:val="es-ES_tradnl"/>
        </w:rPr>
        <w:t>en las redes sociales</w:t>
      </w:r>
      <w:r w:rsidR="002A719E" w:rsidRPr="00B23E41">
        <w:rPr>
          <w:lang w:val="es-ES_tradnl"/>
        </w:rPr>
        <w:t>.</w:t>
      </w:r>
      <w:r w:rsidR="00536F62" w:rsidRPr="00B23E41">
        <w:rPr>
          <w:lang w:val="es-ES_tradnl"/>
        </w:rPr>
        <w:t xml:space="preserve"> Se preparó </w:t>
      </w:r>
      <w:r w:rsidR="00536F62" w:rsidRPr="00D11EA8">
        <w:rPr>
          <w:lang w:val="es-ES_tradnl"/>
        </w:rPr>
        <w:t>un artículo web sobre los vínculos entre la pérdida de humedales, la</w:t>
      </w:r>
      <w:r w:rsidR="00B23E41">
        <w:rPr>
          <w:lang w:val="es-ES_tradnl"/>
        </w:rPr>
        <w:t xml:space="preserve">s migraciones y los conflictos junto </w:t>
      </w:r>
      <w:r w:rsidR="00536F62" w:rsidRPr="00D11EA8">
        <w:rPr>
          <w:lang w:val="es-ES_tradnl"/>
        </w:rPr>
        <w:t>con</w:t>
      </w:r>
      <w:r w:rsidR="003272B4" w:rsidRPr="00D11EA8">
        <w:rPr>
          <w:lang w:val="es-ES_tradnl"/>
        </w:rPr>
        <w:t xml:space="preserve"> Wetlands International</w:t>
      </w:r>
      <w:r w:rsidR="002A719E" w:rsidRPr="00D11EA8">
        <w:rPr>
          <w:lang w:val="es-ES_tradnl"/>
        </w:rPr>
        <w:t xml:space="preserve"> </w:t>
      </w:r>
      <w:r w:rsidR="00536F62" w:rsidRPr="00D11EA8">
        <w:rPr>
          <w:lang w:val="es-ES_tradnl"/>
        </w:rPr>
        <w:t>y</w:t>
      </w:r>
      <w:r w:rsidR="002A719E" w:rsidRPr="00D11EA8">
        <w:rPr>
          <w:lang w:val="es-ES_tradnl"/>
        </w:rPr>
        <w:t xml:space="preserve"> </w:t>
      </w:r>
      <w:r w:rsidR="002A719E" w:rsidRPr="00B23E41">
        <w:rPr>
          <w:lang w:val="es-ES_tradnl"/>
        </w:rPr>
        <w:t>PEDRR</w:t>
      </w:r>
      <w:r w:rsidR="001F6182" w:rsidRPr="00D11EA8">
        <w:rPr>
          <w:lang w:val="es-ES_tradnl"/>
        </w:rPr>
        <w:t xml:space="preserve">. </w:t>
      </w:r>
    </w:p>
    <w:p w14:paraId="24A86679" w14:textId="77777777" w:rsidR="007627FA" w:rsidRPr="00D11EA8" w:rsidRDefault="007627FA" w:rsidP="00684ACE">
      <w:pPr>
        <w:rPr>
          <w:lang w:val="es-ES_tradnl"/>
        </w:rPr>
      </w:pPr>
    </w:p>
    <w:p w14:paraId="6B6FE95A" w14:textId="5980F908" w:rsidR="00946070" w:rsidRPr="00D11EA8" w:rsidRDefault="00F6077B" w:rsidP="007627FA">
      <w:pPr>
        <w:rPr>
          <w:u w:val="single"/>
          <w:lang w:val="es-ES_tradnl"/>
        </w:rPr>
      </w:pPr>
      <w:r>
        <w:rPr>
          <w:u w:val="single"/>
          <w:lang w:val="es-ES_tradnl"/>
        </w:rPr>
        <w:t>Tarea</w:t>
      </w:r>
      <w:r w:rsidR="00C25CA9" w:rsidRPr="00D11EA8">
        <w:rPr>
          <w:u w:val="single"/>
          <w:lang w:val="es-ES_tradnl"/>
        </w:rPr>
        <w:t xml:space="preserve"> 4.1</w:t>
      </w:r>
      <w:r w:rsidR="00946070" w:rsidRPr="00D11EA8">
        <w:rPr>
          <w:u w:val="single"/>
          <w:lang w:val="es-ES_tradnl"/>
        </w:rPr>
        <w:t>:</w:t>
      </w:r>
      <w:r w:rsidR="00667409" w:rsidRPr="00D11EA8">
        <w:rPr>
          <w:u w:val="single"/>
          <w:lang w:val="es-ES_tradnl"/>
        </w:rPr>
        <w:t xml:space="preserve"> </w:t>
      </w:r>
      <w:r w:rsidR="00B23E41">
        <w:rPr>
          <w:u w:val="single"/>
          <w:lang w:val="es-ES_tradnl"/>
        </w:rPr>
        <w:t>Necesidades hídricas de los humedales</w:t>
      </w:r>
      <w:r w:rsidR="00946070" w:rsidRPr="00D11EA8">
        <w:rPr>
          <w:u w:val="single"/>
          <w:lang w:val="es-ES_tradnl"/>
        </w:rPr>
        <w:t xml:space="preserve"> </w:t>
      </w:r>
    </w:p>
    <w:p w14:paraId="3F5800C8" w14:textId="77777777" w:rsidR="00946070" w:rsidRPr="00D11EA8" w:rsidRDefault="00946070" w:rsidP="007627FA">
      <w:pPr>
        <w:rPr>
          <w:lang w:val="es-ES_tradnl"/>
        </w:rPr>
      </w:pPr>
    </w:p>
    <w:p w14:paraId="2E22BF77" w14:textId="517620F4" w:rsidR="007627FA" w:rsidRPr="0089357F" w:rsidRDefault="005B4A70" w:rsidP="0098291C">
      <w:pPr>
        <w:rPr>
          <w:lang w:val="es-ES_tradnl"/>
        </w:rPr>
      </w:pPr>
      <w:r w:rsidRPr="00D11EA8">
        <w:rPr>
          <w:lang w:val="es-ES_tradnl"/>
        </w:rPr>
        <w:t>11.</w:t>
      </w:r>
      <w:r w:rsidRPr="00D11EA8">
        <w:rPr>
          <w:lang w:val="es-ES_tradnl"/>
        </w:rPr>
        <w:tab/>
      </w:r>
      <w:r w:rsidR="0089357F">
        <w:rPr>
          <w:lang w:val="es-ES_tradnl"/>
        </w:rPr>
        <w:t>Al final de la reunión GECT21 se entregó a l</w:t>
      </w:r>
      <w:r w:rsidR="00322E6C" w:rsidRPr="00D11EA8">
        <w:rPr>
          <w:lang w:val="es-ES_tradnl"/>
        </w:rPr>
        <w:t>a Secretaría</w:t>
      </w:r>
      <w:r w:rsidR="0089357F">
        <w:rPr>
          <w:lang w:val="es-ES_tradnl"/>
        </w:rPr>
        <w:t xml:space="preserve"> </w:t>
      </w:r>
      <w:r w:rsidR="00322E6C" w:rsidRPr="00D11EA8">
        <w:rPr>
          <w:lang w:val="es-ES_tradnl"/>
        </w:rPr>
        <w:t xml:space="preserve">un </w:t>
      </w:r>
      <w:r w:rsidR="0089357F">
        <w:rPr>
          <w:lang w:val="es-ES_tradnl"/>
        </w:rPr>
        <w:t xml:space="preserve">último </w:t>
      </w:r>
      <w:r w:rsidR="00322E6C" w:rsidRPr="00D11EA8">
        <w:rPr>
          <w:lang w:val="es-ES_tradnl"/>
        </w:rPr>
        <w:t xml:space="preserve">borrador </w:t>
      </w:r>
      <w:r w:rsidR="00627F99">
        <w:rPr>
          <w:lang w:val="es-ES_tradnl"/>
        </w:rPr>
        <w:t>de una n</w:t>
      </w:r>
      <w:r w:rsidR="00B23E41">
        <w:rPr>
          <w:lang w:val="es-ES_tradnl"/>
        </w:rPr>
        <w:t xml:space="preserve">ota sobre políticas titulada </w:t>
      </w:r>
      <w:r w:rsidR="007627FA" w:rsidRPr="00D11EA8">
        <w:rPr>
          <w:i/>
          <w:lang w:val="es-ES_tradnl"/>
        </w:rPr>
        <w:t>Implementing environmental flows with benefits for society and different wetland ecosystems in the river system</w:t>
      </w:r>
      <w:r w:rsidR="00EB7D7A">
        <w:rPr>
          <w:lang w:val="es-ES_tradnl"/>
        </w:rPr>
        <w:t xml:space="preserve"> [Aplicación de los caudales ambientales con beneficios para la sociedad y distintos ecosistemas de humedales en el sistema fluvial]</w:t>
      </w:r>
      <w:r w:rsidR="00627F99">
        <w:rPr>
          <w:lang w:val="es-ES_tradnl"/>
        </w:rPr>
        <w:t xml:space="preserve"> para su publicación. La n</w:t>
      </w:r>
      <w:r w:rsidR="0089357F">
        <w:rPr>
          <w:lang w:val="es-ES_tradnl"/>
        </w:rPr>
        <w:t xml:space="preserve">ota sobre </w:t>
      </w:r>
      <w:r w:rsidR="000D57AE">
        <w:rPr>
          <w:lang w:val="es-ES_tradnl"/>
        </w:rPr>
        <w:t>políticas</w:t>
      </w:r>
      <w:r w:rsidR="0089357F">
        <w:rPr>
          <w:lang w:val="es-ES_tradnl"/>
        </w:rPr>
        <w:t xml:space="preserve"> se deriva </w:t>
      </w:r>
      <w:r w:rsidR="00322E6C" w:rsidRPr="00D11EA8">
        <w:rPr>
          <w:lang w:val="es-ES_tradnl"/>
        </w:rPr>
        <w:t>de un info</w:t>
      </w:r>
      <w:r w:rsidR="00D11EA8">
        <w:rPr>
          <w:lang w:val="es-ES_tradnl"/>
        </w:rPr>
        <w:t xml:space="preserve">rme técnico más </w:t>
      </w:r>
      <w:r w:rsidR="00322E6C" w:rsidRPr="00D11EA8">
        <w:rPr>
          <w:lang w:val="es-ES_tradnl"/>
        </w:rPr>
        <w:t>exhaustivo sobre</w:t>
      </w:r>
      <w:r w:rsidR="00EB7D7A">
        <w:rPr>
          <w:lang w:val="es-ES_tradnl"/>
        </w:rPr>
        <w:t xml:space="preserve"> los caudales</w:t>
      </w:r>
      <w:r w:rsidR="00322E6C" w:rsidRPr="00D11EA8">
        <w:rPr>
          <w:lang w:val="es-ES_tradnl"/>
        </w:rPr>
        <w:t xml:space="preserve"> </w:t>
      </w:r>
      <w:r w:rsidR="00D11EA8" w:rsidRPr="00D11EA8">
        <w:rPr>
          <w:lang w:val="es-ES_tradnl"/>
        </w:rPr>
        <w:t>ambientales</w:t>
      </w:r>
      <w:r w:rsidR="00322E6C" w:rsidRPr="00D11EA8">
        <w:rPr>
          <w:lang w:val="es-ES_tradnl"/>
        </w:rPr>
        <w:t xml:space="preserve"> </w:t>
      </w:r>
      <w:r w:rsidR="00EB7D7A" w:rsidRPr="00EB7D7A">
        <w:rPr>
          <w:lang w:val="es-ES_tradnl"/>
        </w:rPr>
        <w:t xml:space="preserve">realizado </w:t>
      </w:r>
      <w:r w:rsidR="00322E6C" w:rsidRPr="00EB7D7A">
        <w:rPr>
          <w:lang w:val="es-ES_tradnl"/>
        </w:rPr>
        <w:t xml:space="preserve">por </w:t>
      </w:r>
      <w:r w:rsidR="004E42E9" w:rsidRPr="00EB7D7A">
        <w:rPr>
          <w:lang w:val="es-ES_tradnl"/>
        </w:rPr>
        <w:t>WWF</w:t>
      </w:r>
      <w:r w:rsidR="009D561C" w:rsidRPr="00EB7D7A">
        <w:rPr>
          <w:lang w:val="es-ES_tradnl"/>
        </w:rPr>
        <w:t>-</w:t>
      </w:r>
      <w:r w:rsidR="00322E6C" w:rsidRPr="00EB7D7A">
        <w:rPr>
          <w:lang w:val="es-ES_tradnl"/>
        </w:rPr>
        <w:t xml:space="preserve">Reino Unido en el </w:t>
      </w:r>
      <w:r w:rsidR="007627FA" w:rsidRPr="00EB7D7A">
        <w:rPr>
          <w:lang w:val="es-ES_tradnl"/>
        </w:rPr>
        <w:t>20</w:t>
      </w:r>
      <w:r w:rsidR="00EB7D7A" w:rsidRPr="00EB7D7A">
        <w:rPr>
          <w:lang w:val="es-ES_tradnl"/>
        </w:rPr>
        <w:t>º Simposio Internacional de Ríos celebrado en</w:t>
      </w:r>
      <w:r w:rsidR="007627FA" w:rsidRPr="00EB7D7A">
        <w:rPr>
          <w:lang w:val="es-ES_tradnl"/>
        </w:rPr>
        <w:t xml:space="preserve"> 2017</w:t>
      </w:r>
      <w:r w:rsidR="00322E6C" w:rsidRPr="00EB7D7A">
        <w:rPr>
          <w:lang w:val="es-ES_tradnl"/>
        </w:rPr>
        <w:t xml:space="preserve"> en </w:t>
      </w:r>
      <w:r w:rsidR="007627FA" w:rsidRPr="00EB7D7A">
        <w:rPr>
          <w:lang w:val="es-ES_tradnl"/>
        </w:rPr>
        <w:t>Brisbane</w:t>
      </w:r>
      <w:r w:rsidR="00322E6C" w:rsidRPr="00D11EA8">
        <w:rPr>
          <w:lang w:val="es-ES_tradnl"/>
        </w:rPr>
        <w:t xml:space="preserve"> (</w:t>
      </w:r>
      <w:r w:rsidR="007627FA" w:rsidRPr="00D11EA8">
        <w:rPr>
          <w:lang w:val="es-ES_tradnl"/>
        </w:rPr>
        <w:t>Australia</w:t>
      </w:r>
      <w:r w:rsidR="00322E6C" w:rsidRPr="00D11EA8">
        <w:rPr>
          <w:lang w:val="es-ES_tradnl"/>
        </w:rPr>
        <w:t xml:space="preserve">) titulado </w:t>
      </w:r>
      <w:r w:rsidR="007627FA" w:rsidRPr="00D11EA8">
        <w:rPr>
          <w:i/>
          <w:lang w:val="es-ES_tradnl"/>
        </w:rPr>
        <w:t>Listen to the river: Lessons from a global review of environmental flow success stories</w:t>
      </w:r>
      <w:r w:rsidR="0089357F">
        <w:rPr>
          <w:lang w:val="es-ES_tradnl"/>
        </w:rPr>
        <w:t xml:space="preserve"> [Escuchemos al río: Lecciones de un examen mundial de casos de éxito en materia </w:t>
      </w:r>
      <w:r w:rsidR="0089357F" w:rsidRPr="0089357F">
        <w:rPr>
          <w:lang w:val="es-ES_tradnl"/>
        </w:rPr>
        <w:t>de caudales ambientales].</w:t>
      </w:r>
    </w:p>
    <w:p w14:paraId="061804A9" w14:textId="77777777" w:rsidR="005B2F75" w:rsidRPr="00D11EA8" w:rsidRDefault="005B2F75" w:rsidP="00684ACE">
      <w:pPr>
        <w:pStyle w:val="ListParagraph"/>
        <w:ind w:left="426" w:hanging="426"/>
        <w:rPr>
          <w:lang w:val="es-ES_tradnl"/>
        </w:rPr>
      </w:pPr>
    </w:p>
    <w:p w14:paraId="6277855C" w14:textId="184B45EE" w:rsidR="00946070" w:rsidRPr="00D11EA8" w:rsidRDefault="00F6077B" w:rsidP="00C34061">
      <w:pPr>
        <w:pStyle w:val="ListParagraph"/>
        <w:ind w:left="426" w:hanging="426"/>
        <w:rPr>
          <w:u w:val="single"/>
          <w:lang w:val="es-ES_tradnl"/>
        </w:rPr>
      </w:pPr>
      <w:r>
        <w:rPr>
          <w:u w:val="single"/>
          <w:lang w:val="es-ES_tradnl"/>
        </w:rPr>
        <w:t>Tarea</w:t>
      </w:r>
      <w:r w:rsidR="00C25CA9" w:rsidRPr="00D11EA8">
        <w:rPr>
          <w:u w:val="single"/>
          <w:lang w:val="es-ES_tradnl"/>
        </w:rPr>
        <w:t xml:space="preserve"> 4.2</w:t>
      </w:r>
      <w:r w:rsidR="00946070" w:rsidRPr="00D11EA8">
        <w:rPr>
          <w:u w:val="single"/>
          <w:lang w:val="es-ES_tradnl"/>
        </w:rPr>
        <w:t>:</w:t>
      </w:r>
      <w:r w:rsidR="00667409" w:rsidRPr="00D11EA8">
        <w:rPr>
          <w:u w:val="single"/>
          <w:lang w:val="es-ES_tradnl"/>
        </w:rPr>
        <w:t xml:space="preserve"> </w:t>
      </w:r>
      <w:r w:rsidR="0089357F" w:rsidRPr="0089357F">
        <w:rPr>
          <w:u w:val="single"/>
          <w:lang w:val="es-ES_tradnl"/>
        </w:rPr>
        <w:t>Examen y análisis de los Informes de las Misiones Ramsar de Asesoramiento (MRA)</w:t>
      </w:r>
      <w:r w:rsidR="00542B80" w:rsidRPr="00D11EA8">
        <w:rPr>
          <w:u w:val="single"/>
          <w:lang w:val="es-ES_tradnl"/>
        </w:rPr>
        <w:t xml:space="preserve"> </w:t>
      </w:r>
    </w:p>
    <w:p w14:paraId="1E43FC95" w14:textId="77777777" w:rsidR="00946070" w:rsidRPr="00D11EA8" w:rsidRDefault="00946070" w:rsidP="00C34061">
      <w:pPr>
        <w:pStyle w:val="ListParagraph"/>
        <w:ind w:left="426" w:hanging="426"/>
        <w:rPr>
          <w:lang w:val="es-ES_tradnl"/>
        </w:rPr>
      </w:pPr>
    </w:p>
    <w:p w14:paraId="313D91A8" w14:textId="7B7ABC95" w:rsidR="00C25CA9" w:rsidRPr="00D11EA8" w:rsidRDefault="005B4A70" w:rsidP="0098291C">
      <w:pPr>
        <w:rPr>
          <w:lang w:val="es-ES_tradnl"/>
        </w:rPr>
      </w:pPr>
      <w:r w:rsidRPr="00D11EA8">
        <w:rPr>
          <w:lang w:val="es-ES_tradnl"/>
        </w:rPr>
        <w:t>12.</w:t>
      </w:r>
      <w:r w:rsidRPr="00D11EA8">
        <w:rPr>
          <w:lang w:val="es-ES_tradnl"/>
        </w:rPr>
        <w:tab/>
      </w:r>
      <w:r w:rsidR="00CE678B" w:rsidRPr="00D11EA8">
        <w:rPr>
          <w:lang w:val="es-ES_tradnl"/>
        </w:rPr>
        <w:t xml:space="preserve">WWF </w:t>
      </w:r>
      <w:r w:rsidR="00CA4E51" w:rsidRPr="00D11EA8">
        <w:rPr>
          <w:lang w:val="es-ES_tradnl"/>
        </w:rPr>
        <w:t>ha aportado 22.</w:t>
      </w:r>
      <w:r w:rsidR="00CE678B" w:rsidRPr="00D11EA8">
        <w:rPr>
          <w:lang w:val="es-ES_tradnl"/>
        </w:rPr>
        <w:t xml:space="preserve">000 </w:t>
      </w:r>
      <w:r w:rsidR="00CA4E51" w:rsidRPr="00D11EA8">
        <w:rPr>
          <w:lang w:val="es-ES_tradnl"/>
        </w:rPr>
        <w:t>francos suizos para esta tarea</w:t>
      </w:r>
      <w:r w:rsidR="00627F99">
        <w:rPr>
          <w:lang w:val="es-ES_tradnl"/>
        </w:rPr>
        <w:t>. Se contrató a dos consultores (</w:t>
      </w:r>
      <w:r w:rsidR="005A083B" w:rsidRPr="00D11EA8">
        <w:rPr>
          <w:lang w:val="es-ES_tradnl"/>
        </w:rPr>
        <w:t xml:space="preserve">Tim Jones </w:t>
      </w:r>
      <w:r w:rsidR="00CA4E51" w:rsidRPr="00D11EA8">
        <w:rPr>
          <w:lang w:val="es-ES_tradnl"/>
        </w:rPr>
        <w:t>y</w:t>
      </w:r>
      <w:r w:rsidR="00627F99">
        <w:rPr>
          <w:lang w:val="es-ES_tradnl"/>
        </w:rPr>
        <w:t xml:space="preserve"> Dave Pritchard)</w:t>
      </w:r>
      <w:r w:rsidR="006B3F45" w:rsidRPr="00D11EA8">
        <w:rPr>
          <w:lang w:val="es-ES_tradnl"/>
        </w:rPr>
        <w:t xml:space="preserve"> </w:t>
      </w:r>
      <w:r w:rsidR="00CA4E51" w:rsidRPr="00D11EA8">
        <w:rPr>
          <w:lang w:val="es-ES_tradnl"/>
        </w:rPr>
        <w:t xml:space="preserve">para </w:t>
      </w:r>
      <w:r w:rsidR="00B223A6">
        <w:rPr>
          <w:lang w:val="es-ES_tradnl"/>
        </w:rPr>
        <w:t xml:space="preserve">realizar un examen y análisis de los informes de las MRA. El informe final </w:t>
      </w:r>
      <w:r w:rsidR="00CA4E51" w:rsidRPr="00D11EA8">
        <w:rPr>
          <w:lang w:val="es-ES_tradnl"/>
        </w:rPr>
        <w:t xml:space="preserve">se </w:t>
      </w:r>
      <w:r w:rsidR="00D11EA8" w:rsidRPr="00D11EA8">
        <w:rPr>
          <w:lang w:val="es-ES_tradnl"/>
        </w:rPr>
        <w:t>presentó</w:t>
      </w:r>
      <w:r w:rsidR="00CA4E51" w:rsidRPr="00D11EA8">
        <w:rPr>
          <w:lang w:val="es-ES_tradnl"/>
        </w:rPr>
        <w:t xml:space="preserve"> a la </w:t>
      </w:r>
      <w:r w:rsidR="00D11EA8" w:rsidRPr="00D11EA8">
        <w:rPr>
          <w:lang w:val="es-ES_tradnl"/>
        </w:rPr>
        <w:t>Secretaría</w:t>
      </w:r>
      <w:r w:rsidR="00CA4E51" w:rsidRPr="00D11EA8">
        <w:rPr>
          <w:lang w:val="es-ES_tradnl"/>
        </w:rPr>
        <w:t xml:space="preserve"> </w:t>
      </w:r>
      <w:r w:rsidR="00D11EA8" w:rsidRPr="00D11EA8">
        <w:rPr>
          <w:lang w:val="es-ES_tradnl"/>
        </w:rPr>
        <w:t>en</w:t>
      </w:r>
      <w:r w:rsidR="00CA4E51" w:rsidRPr="00D11EA8">
        <w:rPr>
          <w:lang w:val="es-ES_tradnl"/>
        </w:rPr>
        <w:t xml:space="preserve"> enero de </w:t>
      </w:r>
      <w:r w:rsidR="00682B21" w:rsidRPr="00D11EA8">
        <w:rPr>
          <w:lang w:val="es-ES_tradnl"/>
        </w:rPr>
        <w:t>2018</w:t>
      </w:r>
      <w:r w:rsidR="006B3F45" w:rsidRPr="00D11EA8">
        <w:rPr>
          <w:lang w:val="es-ES_tradnl"/>
        </w:rPr>
        <w:t xml:space="preserve">. </w:t>
      </w:r>
      <w:r w:rsidR="00CA4E51" w:rsidRPr="00D11EA8">
        <w:rPr>
          <w:lang w:val="es-ES_tradnl"/>
        </w:rPr>
        <w:t xml:space="preserve">Del análisis exhaustivo se han derivado </w:t>
      </w:r>
      <w:r w:rsidR="00B223A6">
        <w:rPr>
          <w:lang w:val="es-ES_tradnl"/>
        </w:rPr>
        <w:t>sendos</w:t>
      </w:r>
      <w:r w:rsidR="00CA4E51" w:rsidRPr="00D11EA8">
        <w:rPr>
          <w:lang w:val="es-ES_tradnl"/>
        </w:rPr>
        <w:t xml:space="preserve"> </w:t>
      </w:r>
      <w:r w:rsidR="00B223A6">
        <w:rPr>
          <w:lang w:val="es-ES_tradnl"/>
        </w:rPr>
        <w:t xml:space="preserve">borradores de </w:t>
      </w:r>
      <w:r w:rsidR="00627F99">
        <w:rPr>
          <w:lang w:val="es-ES_tradnl"/>
        </w:rPr>
        <w:t>nota sobre políticas y nota informativa</w:t>
      </w:r>
      <w:r w:rsidR="00CA4E51" w:rsidRPr="00D11EA8">
        <w:rPr>
          <w:lang w:val="es-ES_tradnl"/>
        </w:rPr>
        <w:t xml:space="preserve">. El </w:t>
      </w:r>
      <w:r w:rsidR="00B223A6">
        <w:rPr>
          <w:lang w:val="es-ES_tradnl"/>
        </w:rPr>
        <w:t xml:space="preserve">borrador de </w:t>
      </w:r>
      <w:r w:rsidR="00627F99">
        <w:rPr>
          <w:lang w:val="es-ES_tradnl"/>
        </w:rPr>
        <w:t>nota informativa</w:t>
      </w:r>
      <w:r w:rsidR="00B223A6">
        <w:rPr>
          <w:lang w:val="es-ES_tradnl"/>
        </w:rPr>
        <w:t xml:space="preserve"> se remitirá </w:t>
      </w:r>
      <w:r w:rsidR="00CA4E51" w:rsidRPr="00D11EA8">
        <w:rPr>
          <w:lang w:val="es-ES_tradnl"/>
        </w:rPr>
        <w:t xml:space="preserve">a los CN del GECT </w:t>
      </w:r>
      <w:r w:rsidR="00B223A6">
        <w:rPr>
          <w:lang w:val="es-ES_tradnl"/>
        </w:rPr>
        <w:t>solicitando</w:t>
      </w:r>
      <w:r w:rsidR="00CA4E51" w:rsidRPr="00D11EA8">
        <w:rPr>
          <w:lang w:val="es-ES_tradnl"/>
        </w:rPr>
        <w:t xml:space="preserve"> sus comentarios. </w:t>
      </w:r>
      <w:r w:rsidR="00B223A6">
        <w:rPr>
          <w:lang w:val="es-ES_tradnl"/>
        </w:rPr>
        <w:t>Es</w:t>
      </w:r>
      <w:r w:rsidR="00CA4E51" w:rsidRPr="00D11EA8">
        <w:rPr>
          <w:lang w:val="es-ES_tradnl"/>
        </w:rPr>
        <w:t xml:space="preserve">tá previsto que ambos </w:t>
      </w:r>
      <w:r w:rsidR="00B223A6">
        <w:rPr>
          <w:lang w:val="es-ES_tradnl"/>
        </w:rPr>
        <w:t xml:space="preserve">borradores </w:t>
      </w:r>
      <w:r w:rsidR="00CA4E51" w:rsidRPr="00D11EA8">
        <w:rPr>
          <w:lang w:val="es-ES_tradnl"/>
        </w:rPr>
        <w:t xml:space="preserve">se publiquen en </w:t>
      </w:r>
      <w:r w:rsidR="00B223A6">
        <w:rPr>
          <w:lang w:val="es-ES_tradnl"/>
        </w:rPr>
        <w:t>el primer trimestre de 2018</w:t>
      </w:r>
      <w:r w:rsidR="00CA4E51" w:rsidRPr="00D11EA8">
        <w:rPr>
          <w:lang w:val="es-ES_tradnl"/>
        </w:rPr>
        <w:t>.</w:t>
      </w:r>
    </w:p>
    <w:p w14:paraId="2209B658" w14:textId="77777777" w:rsidR="005B2F75" w:rsidRPr="00D11EA8" w:rsidRDefault="005B2F75" w:rsidP="00684ACE">
      <w:pPr>
        <w:pStyle w:val="ListParagraph"/>
        <w:ind w:left="426" w:hanging="426"/>
        <w:rPr>
          <w:lang w:val="es-ES_tradnl"/>
        </w:rPr>
      </w:pPr>
    </w:p>
    <w:p w14:paraId="69A51F6A" w14:textId="5365AAB8" w:rsidR="00946070" w:rsidRPr="00D11EA8" w:rsidRDefault="00F6077B" w:rsidP="00C34061">
      <w:pPr>
        <w:pStyle w:val="ListParagraph"/>
        <w:ind w:left="426" w:hanging="426"/>
        <w:rPr>
          <w:u w:val="single"/>
          <w:lang w:val="es-ES_tradnl"/>
        </w:rPr>
      </w:pPr>
      <w:r>
        <w:rPr>
          <w:u w:val="single"/>
          <w:lang w:val="es-ES_tradnl"/>
        </w:rPr>
        <w:t>Tarea</w:t>
      </w:r>
      <w:r w:rsidR="00C25CA9" w:rsidRPr="00D11EA8">
        <w:rPr>
          <w:u w:val="single"/>
          <w:lang w:val="es-ES_tradnl"/>
        </w:rPr>
        <w:t xml:space="preserve"> 5.1</w:t>
      </w:r>
      <w:r w:rsidR="00946070" w:rsidRPr="00D11EA8">
        <w:rPr>
          <w:u w:val="single"/>
          <w:lang w:val="es-ES_tradnl"/>
        </w:rPr>
        <w:t>:</w:t>
      </w:r>
      <w:r w:rsidR="00A02677" w:rsidRPr="00D11EA8">
        <w:rPr>
          <w:u w:val="single"/>
          <w:lang w:val="es-ES_tradnl"/>
        </w:rPr>
        <w:t xml:space="preserve"> </w:t>
      </w:r>
      <w:r w:rsidR="00B223A6" w:rsidRPr="00B223A6">
        <w:rPr>
          <w:u w:val="single"/>
          <w:lang w:val="es-ES_tradnl"/>
        </w:rPr>
        <w:t>Promover las buenas prácticas de restauración de los humedales</w:t>
      </w:r>
    </w:p>
    <w:p w14:paraId="7EB3105A" w14:textId="77777777" w:rsidR="00946070" w:rsidRPr="00D11EA8" w:rsidRDefault="00946070" w:rsidP="00C34061">
      <w:pPr>
        <w:pStyle w:val="ListParagraph"/>
        <w:ind w:left="426" w:hanging="426"/>
        <w:rPr>
          <w:lang w:val="es-ES_tradnl"/>
        </w:rPr>
      </w:pPr>
    </w:p>
    <w:p w14:paraId="36874DA6" w14:textId="67C04B77" w:rsidR="008869D6" w:rsidRPr="00D11EA8" w:rsidRDefault="005B4A70" w:rsidP="0098291C">
      <w:pPr>
        <w:rPr>
          <w:i/>
          <w:lang w:val="es-ES_tradnl"/>
        </w:rPr>
      </w:pPr>
      <w:r w:rsidRPr="00D11EA8">
        <w:rPr>
          <w:lang w:val="es-ES_tradnl"/>
        </w:rPr>
        <w:t>13.</w:t>
      </w:r>
      <w:r w:rsidRPr="00D11EA8">
        <w:rPr>
          <w:lang w:val="es-ES_tradnl"/>
        </w:rPr>
        <w:tab/>
      </w:r>
      <w:r w:rsidR="00F36AEE">
        <w:rPr>
          <w:lang w:val="es-ES_tradnl"/>
        </w:rPr>
        <w:t>D</w:t>
      </w:r>
      <w:r w:rsidR="00F36AEE" w:rsidRPr="00D11EA8">
        <w:rPr>
          <w:lang w:val="es-ES_tradnl"/>
        </w:rPr>
        <w:t>urante la reunión GECT21</w:t>
      </w:r>
      <w:r w:rsidR="00F36AEE">
        <w:rPr>
          <w:lang w:val="es-ES_tradnl"/>
        </w:rPr>
        <w:t xml:space="preserve"> se perfec</w:t>
      </w:r>
      <w:r w:rsidR="00626967">
        <w:rPr>
          <w:lang w:val="es-ES_tradnl"/>
        </w:rPr>
        <w:t xml:space="preserve">cionó un borrador de nota informativa </w:t>
      </w:r>
      <w:r w:rsidR="00F36AEE">
        <w:rPr>
          <w:lang w:val="es-ES_tradnl"/>
        </w:rPr>
        <w:t>titulada</w:t>
      </w:r>
      <w:r w:rsidR="00C3740C" w:rsidRPr="00D11EA8">
        <w:rPr>
          <w:lang w:val="es-ES_tradnl"/>
        </w:rPr>
        <w:t xml:space="preserve"> </w:t>
      </w:r>
      <w:r w:rsidR="0096379F" w:rsidRPr="00D11EA8">
        <w:rPr>
          <w:i/>
          <w:lang w:val="es-ES_tradnl"/>
        </w:rPr>
        <w:t>T</w:t>
      </w:r>
      <w:r w:rsidR="00352F8E" w:rsidRPr="00D11EA8">
        <w:rPr>
          <w:i/>
          <w:lang w:val="es-ES_tradnl"/>
        </w:rPr>
        <w:t xml:space="preserve">he </w:t>
      </w:r>
      <w:r w:rsidR="0096379F" w:rsidRPr="00D11EA8">
        <w:rPr>
          <w:i/>
          <w:lang w:val="es-ES_tradnl"/>
        </w:rPr>
        <w:t>p</w:t>
      </w:r>
      <w:r w:rsidR="00C3740C" w:rsidRPr="00D11EA8">
        <w:rPr>
          <w:i/>
          <w:lang w:val="es-ES_tradnl"/>
        </w:rPr>
        <w:t xml:space="preserve">otential and </w:t>
      </w:r>
      <w:r w:rsidR="0096379F" w:rsidRPr="00D11EA8">
        <w:rPr>
          <w:i/>
          <w:lang w:val="es-ES_tradnl"/>
        </w:rPr>
        <w:t>rationale</w:t>
      </w:r>
      <w:r w:rsidR="00C3740C" w:rsidRPr="00D11EA8">
        <w:rPr>
          <w:i/>
          <w:lang w:val="es-ES_tradnl"/>
        </w:rPr>
        <w:t xml:space="preserve"> for </w:t>
      </w:r>
      <w:r w:rsidR="0096379F" w:rsidRPr="00D11EA8">
        <w:rPr>
          <w:i/>
          <w:lang w:val="es-ES_tradnl"/>
        </w:rPr>
        <w:t>wetland restoration</w:t>
      </w:r>
      <w:r w:rsidR="00C3740C" w:rsidRPr="00D11EA8">
        <w:rPr>
          <w:i/>
          <w:lang w:val="es-ES_tradnl"/>
        </w:rPr>
        <w:t xml:space="preserve"> in a </w:t>
      </w:r>
      <w:r w:rsidR="0096379F" w:rsidRPr="00D11EA8">
        <w:rPr>
          <w:i/>
          <w:lang w:val="es-ES_tradnl"/>
        </w:rPr>
        <w:t>climate change context</w:t>
      </w:r>
      <w:r w:rsidR="00425317" w:rsidRPr="00D11EA8">
        <w:rPr>
          <w:i/>
          <w:lang w:val="es-ES_tradnl"/>
        </w:rPr>
        <w:t xml:space="preserve"> </w:t>
      </w:r>
      <w:r w:rsidR="00F36AEE">
        <w:rPr>
          <w:lang w:val="es-ES_tradnl"/>
        </w:rPr>
        <w:t>[El potencial y la justificación de la restauración de humedales en un contexto de cambio climático]</w:t>
      </w:r>
      <w:r w:rsidR="00632B23">
        <w:rPr>
          <w:lang w:val="es-ES_tradnl"/>
        </w:rPr>
        <w:t>, qu</w:t>
      </w:r>
      <w:r w:rsidR="00F04799" w:rsidRPr="00D11EA8">
        <w:rPr>
          <w:lang w:val="es-ES_tradnl"/>
        </w:rPr>
        <w:t>e se ha</w:t>
      </w:r>
      <w:r w:rsidR="0084214B" w:rsidRPr="00D11EA8">
        <w:rPr>
          <w:lang w:val="es-ES_tradnl"/>
        </w:rPr>
        <w:t xml:space="preserve"> compartido con los CN del GECT</w:t>
      </w:r>
      <w:r w:rsidR="00425317" w:rsidRPr="00D11EA8">
        <w:rPr>
          <w:lang w:val="es-ES_tradnl"/>
        </w:rPr>
        <w:t xml:space="preserve">. </w:t>
      </w:r>
      <w:r w:rsidR="0084214B" w:rsidRPr="00D11EA8">
        <w:rPr>
          <w:lang w:val="es-ES_tradnl"/>
        </w:rPr>
        <w:t>Está previsto</w:t>
      </w:r>
      <w:r w:rsidR="00632B23">
        <w:rPr>
          <w:lang w:val="es-ES_tradnl"/>
        </w:rPr>
        <w:t xml:space="preserve"> entregar</w:t>
      </w:r>
      <w:r w:rsidR="0084214B" w:rsidRPr="00D11EA8">
        <w:rPr>
          <w:lang w:val="es-ES_tradnl"/>
        </w:rPr>
        <w:t xml:space="preserve"> el borrador a la Secretaría a mediados de febrero de 2018.</w:t>
      </w:r>
    </w:p>
    <w:p w14:paraId="7FBAA401" w14:textId="77777777" w:rsidR="00DA6E71" w:rsidRPr="00D11EA8" w:rsidRDefault="00DA6E71" w:rsidP="00684ACE">
      <w:pPr>
        <w:rPr>
          <w:lang w:val="es-ES_tradnl"/>
        </w:rPr>
      </w:pPr>
    </w:p>
    <w:p w14:paraId="3632BE3D" w14:textId="006F1FC4" w:rsidR="00065F4C" w:rsidRPr="00D11EA8" w:rsidRDefault="0084214B" w:rsidP="00425317">
      <w:pPr>
        <w:tabs>
          <w:tab w:val="left" w:pos="270"/>
        </w:tabs>
        <w:ind w:left="360" w:hanging="360"/>
        <w:rPr>
          <w:b/>
          <w:lang w:val="es-ES_tradnl"/>
        </w:rPr>
      </w:pPr>
      <w:r w:rsidRPr="00D11EA8">
        <w:rPr>
          <w:b/>
          <w:lang w:val="es-ES_tradnl"/>
        </w:rPr>
        <w:lastRenderedPageBreak/>
        <w:t xml:space="preserve">Actualización sobre tareas menos </w:t>
      </w:r>
      <w:r w:rsidR="00D11EA8" w:rsidRPr="00D11EA8">
        <w:rPr>
          <w:b/>
          <w:lang w:val="es-ES_tradnl"/>
        </w:rPr>
        <w:t>prioritarias</w:t>
      </w:r>
    </w:p>
    <w:p w14:paraId="53B8F803" w14:textId="77777777" w:rsidR="005B2F75" w:rsidRPr="00D11EA8" w:rsidRDefault="005B2F75" w:rsidP="00425317">
      <w:pPr>
        <w:tabs>
          <w:tab w:val="left" w:pos="270"/>
        </w:tabs>
        <w:ind w:left="360" w:hanging="360"/>
        <w:rPr>
          <w:b/>
          <w:lang w:val="es-ES_tradnl"/>
        </w:rPr>
      </w:pPr>
    </w:p>
    <w:p w14:paraId="7A0F5A5C" w14:textId="5CC18B3E" w:rsidR="00804F25" w:rsidRPr="00D11EA8" w:rsidRDefault="005B4A70" w:rsidP="00425317">
      <w:pPr>
        <w:tabs>
          <w:tab w:val="left" w:pos="426"/>
        </w:tabs>
        <w:rPr>
          <w:rFonts w:ascii="Times" w:eastAsiaTheme="minorHAnsi" w:hAnsi="Times"/>
          <w:sz w:val="20"/>
          <w:szCs w:val="20"/>
          <w:lang w:val="es-ES_tradnl"/>
        </w:rPr>
      </w:pPr>
      <w:r w:rsidRPr="00D11EA8">
        <w:rPr>
          <w:lang w:val="es-ES_tradnl"/>
        </w:rPr>
        <w:t>14.</w:t>
      </w:r>
      <w:r w:rsidR="00FC369F" w:rsidRPr="00D11EA8">
        <w:rPr>
          <w:lang w:val="es-ES_tradnl"/>
        </w:rPr>
        <w:t xml:space="preserve"> </w:t>
      </w:r>
      <w:r w:rsidR="0084214B" w:rsidRPr="00D11EA8">
        <w:rPr>
          <w:lang w:val="es-ES_tradnl"/>
        </w:rPr>
        <w:t>A la</w:t>
      </w:r>
      <w:r w:rsidR="00632B23">
        <w:rPr>
          <w:lang w:val="es-ES_tradnl"/>
        </w:rPr>
        <w:t xml:space="preserve"> luz de los avances logrados en</w:t>
      </w:r>
      <w:r w:rsidR="0084214B" w:rsidRPr="00D11EA8">
        <w:rPr>
          <w:lang w:val="es-ES_tradnl"/>
        </w:rPr>
        <w:t xml:space="preserve"> las tareas de alta </w:t>
      </w:r>
      <w:r w:rsidR="00D11EA8" w:rsidRPr="00D11EA8">
        <w:rPr>
          <w:lang w:val="es-ES_tradnl"/>
        </w:rPr>
        <w:t>prioridad</w:t>
      </w:r>
      <w:r w:rsidR="0084214B" w:rsidRPr="00D11EA8">
        <w:rPr>
          <w:lang w:val="es-ES_tradnl"/>
        </w:rPr>
        <w:t xml:space="preserve">, </w:t>
      </w:r>
      <w:r w:rsidR="00632B23">
        <w:rPr>
          <w:lang w:val="es-ES_tradnl"/>
        </w:rPr>
        <w:t xml:space="preserve">también </w:t>
      </w:r>
      <w:r w:rsidR="0084214B" w:rsidRPr="00D11EA8">
        <w:rPr>
          <w:lang w:val="es-ES_tradnl"/>
        </w:rPr>
        <w:t xml:space="preserve">se han realizado progresos voluntariamente </w:t>
      </w:r>
      <w:r w:rsidR="00632B23">
        <w:rPr>
          <w:lang w:val="es-ES_tradnl"/>
        </w:rPr>
        <w:t>en varias tar</w:t>
      </w:r>
      <w:r w:rsidR="0084214B" w:rsidRPr="00D11EA8">
        <w:rPr>
          <w:lang w:val="es-ES_tradnl"/>
        </w:rPr>
        <w:t xml:space="preserve">eas de menor prioridad, que requieren un tiempo y recursos limitados. </w:t>
      </w:r>
      <w:r w:rsidR="00632B23">
        <w:rPr>
          <w:lang w:val="es-ES_tradnl"/>
        </w:rPr>
        <w:t>A continuación se citan algunos ejemplos:</w:t>
      </w:r>
    </w:p>
    <w:p w14:paraId="3A0A825E" w14:textId="77777777" w:rsidR="00BA7A3B" w:rsidRPr="00D11EA8" w:rsidRDefault="00BA7A3B" w:rsidP="00BA7A3B">
      <w:pPr>
        <w:pStyle w:val="ListParagraph"/>
        <w:tabs>
          <w:tab w:val="left" w:pos="426"/>
        </w:tabs>
        <w:ind w:left="426"/>
        <w:rPr>
          <w:rFonts w:ascii="Times" w:eastAsiaTheme="minorHAnsi" w:hAnsi="Times"/>
          <w:sz w:val="20"/>
          <w:szCs w:val="20"/>
          <w:lang w:val="es-ES_tradnl"/>
        </w:rPr>
      </w:pPr>
    </w:p>
    <w:p w14:paraId="40382F3C" w14:textId="56DCD1D3" w:rsidR="00804F25" w:rsidRPr="00D11EA8" w:rsidRDefault="00F6077B" w:rsidP="0054560C">
      <w:pPr>
        <w:pStyle w:val="ListParagraph"/>
        <w:numPr>
          <w:ilvl w:val="0"/>
          <w:numId w:val="19"/>
        </w:numPr>
        <w:tabs>
          <w:tab w:val="left" w:pos="426"/>
        </w:tabs>
        <w:ind w:hanging="294"/>
        <w:rPr>
          <w:rFonts w:asciiTheme="minorHAnsi" w:eastAsiaTheme="minorHAnsi" w:hAnsiTheme="minorHAnsi"/>
          <w:lang w:val="es-ES_tradnl"/>
        </w:rPr>
      </w:pPr>
      <w:r>
        <w:rPr>
          <w:rFonts w:asciiTheme="minorHAnsi" w:eastAsiaTheme="minorHAnsi" w:hAnsiTheme="minorHAnsi"/>
          <w:i/>
          <w:lang w:val="es-ES_tradnl"/>
        </w:rPr>
        <w:t>Tarea</w:t>
      </w:r>
      <w:r w:rsidR="00804F25" w:rsidRPr="00D11EA8">
        <w:rPr>
          <w:rFonts w:asciiTheme="minorHAnsi" w:eastAsiaTheme="minorHAnsi" w:hAnsiTheme="minorHAnsi"/>
          <w:i/>
          <w:lang w:val="es-ES_tradnl"/>
        </w:rPr>
        <w:t xml:space="preserve"> 2.</w:t>
      </w:r>
      <w:r w:rsidR="00804F25" w:rsidRPr="00B75A96">
        <w:rPr>
          <w:rFonts w:asciiTheme="minorHAnsi" w:eastAsiaTheme="minorHAnsi" w:hAnsiTheme="minorHAnsi"/>
          <w:i/>
          <w:lang w:val="es-ES_tradnl"/>
        </w:rPr>
        <w:t>2</w:t>
      </w:r>
      <w:r w:rsidR="0054560C" w:rsidRPr="00B75A96">
        <w:rPr>
          <w:rFonts w:asciiTheme="minorHAnsi" w:eastAsiaTheme="minorHAnsi" w:hAnsiTheme="minorHAnsi"/>
          <w:i/>
          <w:lang w:val="es-ES_tradnl"/>
        </w:rPr>
        <w:t>,</w:t>
      </w:r>
      <w:r w:rsidR="00804F25" w:rsidRPr="00B75A96">
        <w:rPr>
          <w:rFonts w:asciiTheme="minorHAnsi" w:eastAsiaTheme="minorHAnsi" w:hAnsiTheme="minorHAnsi"/>
          <w:i/>
          <w:lang w:val="es-ES_tradnl"/>
        </w:rPr>
        <w:t xml:space="preserve"> </w:t>
      </w:r>
      <w:r w:rsidR="00632B23" w:rsidRPr="00B75A96">
        <w:rPr>
          <w:rFonts w:asciiTheme="minorHAnsi" w:eastAsiaTheme="minorHAnsi" w:hAnsiTheme="minorHAnsi"/>
          <w:i/>
          <w:lang w:val="es-ES_tradnl"/>
        </w:rPr>
        <w:t>Manejo de los humedales para reducir el riesgo de enfermedades transmitidas por el agua o por vectores acuáticos</w:t>
      </w:r>
      <w:r w:rsidR="0054560C" w:rsidRPr="00B75A96">
        <w:rPr>
          <w:rFonts w:asciiTheme="minorHAnsi" w:eastAsiaTheme="minorHAnsi" w:hAnsiTheme="minorHAnsi"/>
          <w:lang w:val="es-ES_tradnl"/>
        </w:rPr>
        <w:t xml:space="preserve">: </w:t>
      </w:r>
      <w:r w:rsidR="00B75A96" w:rsidRPr="00B75A96">
        <w:rPr>
          <w:rFonts w:asciiTheme="minorHAnsi" w:eastAsiaTheme="minorHAnsi" w:hAnsiTheme="minorHAnsi"/>
          <w:lang w:val="es-ES_tradnl"/>
        </w:rPr>
        <w:t xml:space="preserve">Durante la reunión GECT21 se perfeccionó un borrador de </w:t>
      </w:r>
      <w:r w:rsidR="001B676B">
        <w:rPr>
          <w:rFonts w:asciiTheme="minorHAnsi" w:eastAsiaTheme="minorHAnsi" w:hAnsiTheme="minorHAnsi"/>
          <w:lang w:val="es-ES_tradnl"/>
        </w:rPr>
        <w:t>nota</w:t>
      </w:r>
      <w:r w:rsidR="00B75A96" w:rsidRPr="00B75A96">
        <w:rPr>
          <w:rFonts w:asciiTheme="minorHAnsi" w:eastAsiaTheme="minorHAnsi" w:hAnsiTheme="minorHAnsi"/>
          <w:lang w:val="es-ES_tradnl"/>
        </w:rPr>
        <w:t xml:space="preserve"> sobre políticas</w:t>
      </w:r>
      <w:r w:rsidR="00B75A96">
        <w:rPr>
          <w:rFonts w:asciiTheme="minorHAnsi" w:eastAsiaTheme="minorHAnsi" w:hAnsiTheme="minorHAnsi"/>
          <w:color w:val="FF0000"/>
          <w:lang w:val="es-ES_tradnl"/>
        </w:rPr>
        <w:t xml:space="preserve"> </w:t>
      </w:r>
      <w:r w:rsidR="0084214B" w:rsidRPr="00D11EA8">
        <w:rPr>
          <w:rFonts w:asciiTheme="minorHAnsi" w:eastAsiaTheme="minorHAnsi" w:hAnsiTheme="minorHAnsi"/>
          <w:lang w:val="es-ES_tradnl"/>
        </w:rPr>
        <w:t xml:space="preserve">y está previsto que se publique en línea para consultar al </w:t>
      </w:r>
      <w:r w:rsidR="00D84DDF" w:rsidRPr="00D11EA8">
        <w:rPr>
          <w:rFonts w:asciiTheme="minorHAnsi" w:eastAsiaTheme="minorHAnsi" w:hAnsiTheme="minorHAnsi"/>
          <w:lang w:val="es-ES_tradnl"/>
        </w:rPr>
        <w:t>GECT</w:t>
      </w:r>
      <w:r w:rsidR="0084214B" w:rsidRPr="00D11EA8">
        <w:rPr>
          <w:rFonts w:asciiTheme="minorHAnsi" w:eastAsiaTheme="minorHAnsi" w:hAnsiTheme="minorHAnsi"/>
          <w:lang w:val="es-ES_tradnl"/>
        </w:rPr>
        <w:t xml:space="preserve"> en febrero de </w:t>
      </w:r>
      <w:r w:rsidR="0054560C" w:rsidRPr="00D11EA8">
        <w:rPr>
          <w:rFonts w:asciiTheme="minorHAnsi" w:eastAsiaTheme="minorHAnsi" w:hAnsiTheme="minorHAnsi"/>
          <w:lang w:val="es-ES_tradnl"/>
        </w:rPr>
        <w:t xml:space="preserve">2018. </w:t>
      </w:r>
      <w:r w:rsidR="00B75A96">
        <w:rPr>
          <w:rFonts w:asciiTheme="minorHAnsi" w:eastAsiaTheme="minorHAnsi" w:hAnsiTheme="minorHAnsi"/>
          <w:lang w:val="es-ES_tradnl"/>
        </w:rPr>
        <w:t xml:space="preserve">La intención es </w:t>
      </w:r>
      <w:r w:rsidR="001B676B">
        <w:rPr>
          <w:rFonts w:asciiTheme="minorHAnsi" w:eastAsiaTheme="minorHAnsi" w:hAnsiTheme="minorHAnsi"/>
          <w:lang w:val="es-ES_tradnl"/>
        </w:rPr>
        <w:t xml:space="preserve">presentar un proyecto definitivo </w:t>
      </w:r>
      <w:r w:rsidR="00B75A96">
        <w:rPr>
          <w:rFonts w:asciiTheme="minorHAnsi" w:eastAsiaTheme="minorHAnsi" w:hAnsiTheme="minorHAnsi"/>
          <w:lang w:val="es-ES_tradnl"/>
        </w:rPr>
        <w:t xml:space="preserve">a la Secretaría </w:t>
      </w:r>
      <w:r w:rsidR="0084214B" w:rsidRPr="00D11EA8">
        <w:rPr>
          <w:rFonts w:asciiTheme="minorHAnsi" w:eastAsiaTheme="minorHAnsi" w:hAnsiTheme="minorHAnsi"/>
          <w:lang w:val="es-ES_tradnl"/>
        </w:rPr>
        <w:t>durante el primer trimestre de 2018.</w:t>
      </w:r>
    </w:p>
    <w:p w14:paraId="4678D787" w14:textId="77777777" w:rsidR="0054560C" w:rsidRPr="00D11EA8" w:rsidRDefault="0054560C" w:rsidP="0054560C">
      <w:pPr>
        <w:pStyle w:val="ListParagraph"/>
        <w:tabs>
          <w:tab w:val="left" w:pos="426"/>
        </w:tabs>
        <w:rPr>
          <w:rFonts w:asciiTheme="minorHAnsi" w:eastAsiaTheme="minorHAnsi" w:hAnsiTheme="minorHAnsi"/>
          <w:lang w:val="es-ES_tradnl"/>
        </w:rPr>
      </w:pPr>
    </w:p>
    <w:p w14:paraId="24F141DE" w14:textId="2035CFCC" w:rsidR="00BA7A3B" w:rsidRPr="00D11EA8" w:rsidRDefault="00F6077B" w:rsidP="002536A8">
      <w:pPr>
        <w:pStyle w:val="ListParagraph"/>
        <w:numPr>
          <w:ilvl w:val="0"/>
          <w:numId w:val="19"/>
        </w:numPr>
        <w:tabs>
          <w:tab w:val="left" w:pos="426"/>
        </w:tabs>
        <w:rPr>
          <w:rFonts w:asciiTheme="minorHAnsi" w:eastAsiaTheme="minorHAnsi" w:hAnsiTheme="minorHAnsi"/>
          <w:lang w:val="es-ES_tradnl"/>
        </w:rPr>
      </w:pPr>
      <w:r>
        <w:rPr>
          <w:rFonts w:asciiTheme="minorHAnsi" w:eastAsiaTheme="minorHAnsi" w:hAnsiTheme="minorHAnsi"/>
          <w:i/>
          <w:lang w:val="es-ES_tradnl"/>
        </w:rPr>
        <w:t>Tarea</w:t>
      </w:r>
      <w:r w:rsidR="00E10649">
        <w:rPr>
          <w:rFonts w:asciiTheme="minorHAnsi" w:eastAsiaTheme="minorHAnsi" w:hAnsiTheme="minorHAnsi"/>
          <w:i/>
          <w:lang w:val="es-ES_tradnl"/>
        </w:rPr>
        <w:t xml:space="preserve"> 2.6, Registro de M</w:t>
      </w:r>
      <w:r w:rsidR="0054560C" w:rsidRPr="00D11EA8">
        <w:rPr>
          <w:rFonts w:asciiTheme="minorHAnsi" w:eastAsiaTheme="minorHAnsi" w:hAnsiTheme="minorHAnsi"/>
          <w:i/>
          <w:lang w:val="es-ES_tradnl"/>
        </w:rPr>
        <w:t>ontreux</w:t>
      </w:r>
      <w:r w:rsidR="0054560C" w:rsidRPr="00D11EA8">
        <w:rPr>
          <w:rFonts w:asciiTheme="minorHAnsi" w:eastAsiaTheme="minorHAnsi" w:hAnsiTheme="minorHAnsi"/>
          <w:lang w:val="es-ES_tradnl"/>
        </w:rPr>
        <w:t xml:space="preserve">: </w:t>
      </w:r>
      <w:r w:rsidR="00E10649">
        <w:rPr>
          <w:rFonts w:asciiTheme="minorHAnsi" w:eastAsiaTheme="minorHAnsi" w:hAnsiTheme="minorHAnsi"/>
          <w:lang w:val="es-ES_tradnl"/>
        </w:rPr>
        <w:t xml:space="preserve">Se ha publicado en el sitio web de Ramsar un informe titulado </w:t>
      </w:r>
      <w:r w:rsidR="0054560C" w:rsidRPr="00D11EA8">
        <w:rPr>
          <w:i/>
          <w:lang w:val="es-ES_tradnl"/>
        </w:rPr>
        <w:t>Change in ecological character of wetland sites – Ramsar guidance and mechanisms</w:t>
      </w:r>
      <w:r w:rsidR="00E10649">
        <w:rPr>
          <w:lang w:val="es-ES_tradnl"/>
        </w:rPr>
        <w:t xml:space="preserve"> [Cambios en las características ecológicas de los sitios de humedales – Orientaciones y mecanismos de Ramsar], elaborado en 2014 como parte del </w:t>
      </w:r>
      <w:r w:rsidR="0084214B" w:rsidRPr="00D11EA8">
        <w:rPr>
          <w:lang w:val="es-ES_tradnl"/>
        </w:rPr>
        <w:t>plan de trabajo del G</w:t>
      </w:r>
      <w:r w:rsidR="00D84DDF" w:rsidRPr="00D11EA8">
        <w:rPr>
          <w:lang w:val="es-ES_tradnl"/>
        </w:rPr>
        <w:t>ECT</w:t>
      </w:r>
      <w:r w:rsidR="0084214B" w:rsidRPr="00D11EA8">
        <w:rPr>
          <w:lang w:val="es-ES_tradnl"/>
        </w:rPr>
        <w:t xml:space="preserve"> para</w:t>
      </w:r>
      <w:r w:rsidR="0054560C" w:rsidRPr="00D11EA8">
        <w:rPr>
          <w:lang w:val="es-ES_tradnl"/>
        </w:rPr>
        <w:t xml:space="preserve"> 2013-2015</w:t>
      </w:r>
      <w:r w:rsidR="00E10649">
        <w:rPr>
          <w:lang w:val="es-ES_tradnl"/>
        </w:rPr>
        <w:t xml:space="preserve">. El informe forma parte del </w:t>
      </w:r>
      <w:r w:rsidR="00E10649" w:rsidRPr="001355DA">
        <w:rPr>
          <w:lang w:val="es-ES_tradnl"/>
        </w:rPr>
        <w:t>Juego de herramientas para el manejo de los sitios Ramsar</w:t>
      </w:r>
      <w:r w:rsidR="00E10649" w:rsidRPr="00D11EA8">
        <w:rPr>
          <w:lang w:val="es-ES_tradnl"/>
        </w:rPr>
        <w:t xml:space="preserve"> </w:t>
      </w:r>
      <w:r w:rsidR="0084214B" w:rsidRPr="00D11EA8">
        <w:rPr>
          <w:lang w:val="es-ES_tradnl"/>
        </w:rPr>
        <w:t xml:space="preserve">(véase la Tarea </w:t>
      </w:r>
      <w:r w:rsidR="0054560C" w:rsidRPr="00D11EA8">
        <w:rPr>
          <w:lang w:val="es-ES_tradnl"/>
        </w:rPr>
        <w:t xml:space="preserve">2.1) </w:t>
      </w:r>
      <w:r w:rsidR="0084214B" w:rsidRPr="00D11EA8">
        <w:rPr>
          <w:lang w:val="es-ES_tradnl"/>
        </w:rPr>
        <w:t>y se puede descargar aquí</w:t>
      </w:r>
      <w:r w:rsidR="0054560C" w:rsidRPr="00D11EA8">
        <w:rPr>
          <w:lang w:val="es-ES_tradnl"/>
        </w:rPr>
        <w:t xml:space="preserve">: </w:t>
      </w:r>
      <w:hyperlink r:id="rId10" w:history="1">
        <w:r w:rsidR="002536A8" w:rsidRPr="006D15F6">
          <w:rPr>
            <w:rStyle w:val="Hyperlink"/>
            <w:lang w:val="es-ES"/>
          </w:rPr>
          <w:t>https://www.ramsar.org/es/recursos/reconocer-y-evaluar-las-amenazas-contra-los-sitios</w:t>
        </w:r>
      </w:hyperlink>
      <w:r w:rsidR="00A97C27" w:rsidRPr="00D11EA8">
        <w:rPr>
          <w:lang w:val="es-ES_tradnl"/>
        </w:rPr>
        <w:t>.</w:t>
      </w:r>
      <w:r w:rsidR="0054560C" w:rsidRPr="00D11EA8">
        <w:rPr>
          <w:lang w:val="es-ES_tradnl"/>
        </w:rPr>
        <w:t xml:space="preserve"> </w:t>
      </w:r>
    </w:p>
    <w:p w14:paraId="5678A3BC" w14:textId="77777777" w:rsidR="00BA7A3B" w:rsidRPr="00D11EA8" w:rsidRDefault="00BA7A3B" w:rsidP="00BA7A3B">
      <w:pPr>
        <w:pStyle w:val="ListParagraph"/>
        <w:tabs>
          <w:tab w:val="left" w:pos="426"/>
        </w:tabs>
        <w:rPr>
          <w:rFonts w:asciiTheme="minorHAnsi" w:eastAsiaTheme="minorHAnsi" w:hAnsiTheme="minorHAnsi"/>
          <w:lang w:val="es-ES_tradnl"/>
        </w:rPr>
      </w:pPr>
    </w:p>
    <w:p w14:paraId="6D2E4513" w14:textId="629D65DA" w:rsidR="00692729" w:rsidRPr="00D11EA8" w:rsidRDefault="00F6077B" w:rsidP="0098291C">
      <w:pPr>
        <w:pStyle w:val="ListParagraph"/>
        <w:numPr>
          <w:ilvl w:val="0"/>
          <w:numId w:val="19"/>
        </w:numPr>
        <w:tabs>
          <w:tab w:val="left" w:pos="426"/>
        </w:tabs>
        <w:rPr>
          <w:rFonts w:ascii="Times" w:hAnsi="Times"/>
          <w:sz w:val="20"/>
          <w:szCs w:val="20"/>
          <w:lang w:val="es-ES_tradnl"/>
        </w:rPr>
      </w:pPr>
      <w:r>
        <w:rPr>
          <w:i/>
          <w:lang w:val="es-ES_tradnl"/>
        </w:rPr>
        <w:t>Tarea</w:t>
      </w:r>
      <w:r w:rsidR="00EE5B9C" w:rsidRPr="00D11EA8">
        <w:rPr>
          <w:i/>
          <w:lang w:val="es-ES_tradnl"/>
        </w:rPr>
        <w:t xml:space="preserve"> 5.3</w:t>
      </w:r>
      <w:r w:rsidR="0054560C" w:rsidRPr="00D11EA8">
        <w:rPr>
          <w:i/>
          <w:lang w:val="es-ES_tradnl"/>
        </w:rPr>
        <w:t xml:space="preserve">, </w:t>
      </w:r>
      <w:r w:rsidR="001355DA" w:rsidRPr="001355DA">
        <w:rPr>
          <w:i/>
          <w:lang w:val="es-ES_tradnl"/>
        </w:rPr>
        <w:t>Asesoramiento para la 13ª reunión de la Conferencia de las Partes sobre métodos prácticos para la rehumidificación y restauración de las turberas</w:t>
      </w:r>
      <w:r w:rsidR="00C614A4" w:rsidRPr="00D11EA8">
        <w:rPr>
          <w:lang w:val="es-ES_tradnl"/>
        </w:rPr>
        <w:t xml:space="preserve">: </w:t>
      </w:r>
      <w:r w:rsidR="00012D3E">
        <w:rPr>
          <w:lang w:val="es-ES_tradnl"/>
        </w:rPr>
        <w:t xml:space="preserve">Durante la reunión GECT21, el Grupo perfeccionó un proyecto de resolución </w:t>
      </w:r>
      <w:r w:rsidR="0050650A">
        <w:rPr>
          <w:lang w:val="es-ES_tradnl"/>
        </w:rPr>
        <w:t xml:space="preserve">titulado </w:t>
      </w:r>
      <w:r w:rsidR="0050650A" w:rsidRPr="0008677B">
        <w:rPr>
          <w:i/>
          <w:lang w:val="es-ES_tradnl"/>
        </w:rPr>
        <w:t>Restauración de turberas degradadas para mitigar el cambio climático y adaptarse a él y potenciar la biodiversidad</w:t>
      </w:r>
      <w:r w:rsidR="004C77A6">
        <w:rPr>
          <w:i/>
          <w:lang w:val="es-ES_tradnl"/>
        </w:rPr>
        <w:t xml:space="preserve">. </w:t>
      </w:r>
      <w:r w:rsidR="004C77A6">
        <w:rPr>
          <w:lang w:val="es-ES_tradnl"/>
        </w:rPr>
        <w:t>El</w:t>
      </w:r>
      <w:r w:rsidR="0084214B" w:rsidRPr="00D11EA8">
        <w:rPr>
          <w:lang w:val="es-ES_tradnl"/>
        </w:rPr>
        <w:t xml:space="preserve"> proyecto de resolución se</w:t>
      </w:r>
      <w:r w:rsidR="004C77A6">
        <w:rPr>
          <w:lang w:val="es-ES_tradnl"/>
        </w:rPr>
        <w:t xml:space="preserve"> ha presentado a la Secretaría</w:t>
      </w:r>
      <w:r w:rsidR="0084214B" w:rsidRPr="00D11EA8">
        <w:rPr>
          <w:lang w:val="es-ES_tradnl"/>
        </w:rPr>
        <w:t xml:space="preserve">. El Grupo también ha avanzado en un </w:t>
      </w:r>
      <w:r w:rsidR="002F7095">
        <w:rPr>
          <w:lang w:val="es-ES_tradnl"/>
        </w:rPr>
        <w:t>borrador de informe t</w:t>
      </w:r>
      <w:r w:rsidR="004C77A6">
        <w:rPr>
          <w:lang w:val="es-ES_tradnl"/>
        </w:rPr>
        <w:t>écnico de</w:t>
      </w:r>
      <w:r w:rsidR="0084214B" w:rsidRPr="00D11EA8">
        <w:rPr>
          <w:lang w:val="es-ES_tradnl"/>
        </w:rPr>
        <w:t xml:space="preserve"> Ramsar </w:t>
      </w:r>
      <w:r w:rsidR="004C77A6">
        <w:rPr>
          <w:lang w:val="es-ES_tradnl"/>
        </w:rPr>
        <w:t>titulado</w:t>
      </w:r>
      <w:r w:rsidR="00C614A4" w:rsidRPr="00D11EA8">
        <w:rPr>
          <w:lang w:val="es-ES_tradnl"/>
        </w:rPr>
        <w:t xml:space="preserve"> </w:t>
      </w:r>
      <w:r w:rsidR="00C614A4" w:rsidRPr="00D11EA8">
        <w:rPr>
          <w:i/>
          <w:lang w:val="es-ES_tradnl"/>
        </w:rPr>
        <w:t>Peatland restoration and rewetting methodologies</w:t>
      </w:r>
      <w:r w:rsidR="004C77A6">
        <w:rPr>
          <w:lang w:val="es-ES_tradnl"/>
        </w:rPr>
        <w:t xml:space="preserve"> [Metologías para la restauración y rehumidificación de turberas],</w:t>
      </w:r>
      <w:r w:rsidR="00C614A4" w:rsidRPr="00D11EA8">
        <w:rPr>
          <w:lang w:val="es-ES_tradnl"/>
        </w:rPr>
        <w:t xml:space="preserve"> </w:t>
      </w:r>
      <w:r w:rsidR="0084214B" w:rsidRPr="00D11EA8">
        <w:rPr>
          <w:lang w:val="es-ES_tradnl"/>
        </w:rPr>
        <w:t xml:space="preserve">que se entregará a la </w:t>
      </w:r>
      <w:r w:rsidR="00D11EA8" w:rsidRPr="00D11EA8">
        <w:rPr>
          <w:lang w:val="es-ES_tradnl"/>
        </w:rPr>
        <w:t>Secretaría</w:t>
      </w:r>
      <w:r w:rsidR="0084214B" w:rsidRPr="00D11EA8">
        <w:rPr>
          <w:lang w:val="es-ES_tradnl"/>
        </w:rPr>
        <w:t xml:space="preserve"> en el segundo trimestre de </w:t>
      </w:r>
      <w:r w:rsidR="001539AF" w:rsidRPr="00D11EA8">
        <w:rPr>
          <w:lang w:val="es-ES_tradnl"/>
        </w:rPr>
        <w:t xml:space="preserve">2018. </w:t>
      </w:r>
    </w:p>
    <w:p w14:paraId="231CEBAE" w14:textId="77777777" w:rsidR="00DA6E71" w:rsidRPr="00D11EA8" w:rsidRDefault="00DA6E71" w:rsidP="00682B21">
      <w:pPr>
        <w:tabs>
          <w:tab w:val="left" w:pos="270"/>
        </w:tabs>
        <w:ind w:left="0" w:firstLine="0"/>
        <w:rPr>
          <w:rFonts w:ascii="Times" w:eastAsiaTheme="minorHAnsi" w:hAnsi="Times"/>
          <w:sz w:val="20"/>
          <w:szCs w:val="20"/>
          <w:lang w:val="es-ES_tradnl"/>
        </w:rPr>
      </w:pPr>
    </w:p>
    <w:p w14:paraId="278A3CC4" w14:textId="284A918C" w:rsidR="00425317" w:rsidRPr="00D11EA8" w:rsidRDefault="003A1859" w:rsidP="00425317">
      <w:pPr>
        <w:tabs>
          <w:tab w:val="left" w:pos="270"/>
        </w:tabs>
        <w:rPr>
          <w:b/>
          <w:lang w:val="es-ES_tradnl"/>
        </w:rPr>
      </w:pPr>
      <w:r w:rsidRPr="00D11EA8">
        <w:rPr>
          <w:b/>
          <w:lang w:val="es-ES_tradnl"/>
        </w:rPr>
        <w:t>Actualización sobre</w:t>
      </w:r>
      <w:r w:rsidR="004C77A6">
        <w:rPr>
          <w:b/>
          <w:lang w:val="es-ES_tradnl"/>
        </w:rPr>
        <w:t xml:space="preserve"> tareas de asesoramiento </w:t>
      </w:r>
      <w:r w:rsidR="004C77A6" w:rsidRPr="004C77A6">
        <w:rPr>
          <w:b/>
          <w:i/>
          <w:lang w:val="es-ES_tradnl"/>
        </w:rPr>
        <w:t>ad hoc</w:t>
      </w:r>
    </w:p>
    <w:p w14:paraId="7D49FAC6" w14:textId="77777777" w:rsidR="005B2F75" w:rsidRPr="00D11EA8" w:rsidRDefault="005B2F75" w:rsidP="00425317">
      <w:pPr>
        <w:ind w:left="0" w:firstLine="0"/>
        <w:rPr>
          <w:lang w:val="es-ES_tradnl"/>
        </w:rPr>
      </w:pPr>
    </w:p>
    <w:p w14:paraId="1A267A63" w14:textId="1F3ECDA6" w:rsidR="00425317" w:rsidRPr="00D11EA8" w:rsidRDefault="003A1859" w:rsidP="00425317">
      <w:pPr>
        <w:ind w:left="0" w:firstLine="0"/>
        <w:rPr>
          <w:u w:val="single"/>
          <w:lang w:val="es-ES_tradnl"/>
        </w:rPr>
      </w:pPr>
      <w:r w:rsidRPr="00D11EA8">
        <w:rPr>
          <w:rFonts w:asciiTheme="minorHAnsi" w:hAnsiTheme="minorHAnsi"/>
          <w:u w:val="single"/>
          <w:lang w:val="es-ES_tradnl"/>
        </w:rPr>
        <w:t xml:space="preserve">Proyectos de </w:t>
      </w:r>
      <w:r w:rsidR="00D11EA8" w:rsidRPr="00D11EA8">
        <w:rPr>
          <w:rFonts w:asciiTheme="minorHAnsi" w:hAnsiTheme="minorHAnsi"/>
          <w:u w:val="single"/>
          <w:lang w:val="es-ES_tradnl"/>
        </w:rPr>
        <w:t>resolución</w:t>
      </w:r>
      <w:r w:rsidRPr="00D11EA8">
        <w:rPr>
          <w:rFonts w:asciiTheme="minorHAnsi" w:hAnsiTheme="minorHAnsi"/>
          <w:u w:val="single"/>
          <w:lang w:val="es-ES_tradnl"/>
        </w:rPr>
        <w:t xml:space="preserve"> prepar</w:t>
      </w:r>
      <w:r w:rsidR="00D11EA8">
        <w:rPr>
          <w:rFonts w:asciiTheme="minorHAnsi" w:hAnsiTheme="minorHAnsi"/>
          <w:u w:val="single"/>
          <w:lang w:val="es-ES_tradnl"/>
        </w:rPr>
        <w:t xml:space="preserve">ados por </w:t>
      </w:r>
      <w:r w:rsidR="00DC4BC6">
        <w:rPr>
          <w:rFonts w:asciiTheme="minorHAnsi" w:hAnsiTheme="minorHAnsi"/>
          <w:u w:val="single"/>
          <w:lang w:val="es-ES_tradnl"/>
        </w:rPr>
        <w:t>Partes Contratantes</w:t>
      </w:r>
    </w:p>
    <w:p w14:paraId="5131F690" w14:textId="77777777" w:rsidR="00425317" w:rsidRPr="00D11EA8" w:rsidRDefault="00425317" w:rsidP="0098291C">
      <w:pPr>
        <w:pStyle w:val="ListParagraph"/>
        <w:ind w:left="426"/>
        <w:rPr>
          <w:rFonts w:asciiTheme="minorHAnsi" w:hAnsiTheme="minorHAnsi"/>
          <w:i/>
          <w:lang w:val="es-ES_tradnl"/>
        </w:rPr>
      </w:pPr>
    </w:p>
    <w:p w14:paraId="04CCE0E9" w14:textId="3C08FDCE" w:rsidR="005841CC" w:rsidRPr="00D11EA8" w:rsidRDefault="003A1859" w:rsidP="0098291C">
      <w:pPr>
        <w:pStyle w:val="ListParagraph"/>
        <w:numPr>
          <w:ilvl w:val="0"/>
          <w:numId w:val="27"/>
        </w:numPr>
        <w:ind w:left="426" w:hanging="426"/>
        <w:rPr>
          <w:rFonts w:asciiTheme="minorHAnsi" w:hAnsiTheme="minorHAnsi"/>
          <w:lang w:val="es-ES_tradnl"/>
        </w:rPr>
      </w:pPr>
      <w:r w:rsidRPr="00D11EA8">
        <w:rPr>
          <w:rFonts w:asciiTheme="minorHAnsi" w:hAnsiTheme="minorHAnsi"/>
          <w:lang w:val="es-ES_tradnl"/>
        </w:rPr>
        <w:t xml:space="preserve">En la reunión </w:t>
      </w:r>
      <w:r w:rsidR="00D84DDF" w:rsidRPr="00D11EA8">
        <w:rPr>
          <w:rFonts w:asciiTheme="minorHAnsi" w:hAnsiTheme="minorHAnsi"/>
          <w:lang w:val="es-ES_tradnl"/>
        </w:rPr>
        <w:t>GECT</w:t>
      </w:r>
      <w:r w:rsidR="00425317" w:rsidRPr="00D11EA8">
        <w:rPr>
          <w:rFonts w:asciiTheme="minorHAnsi" w:hAnsiTheme="minorHAnsi"/>
          <w:lang w:val="es-ES_tradnl"/>
        </w:rPr>
        <w:t xml:space="preserve">21, </w:t>
      </w:r>
      <w:r w:rsidRPr="00D11EA8">
        <w:rPr>
          <w:rFonts w:asciiTheme="minorHAnsi" w:hAnsiTheme="minorHAnsi"/>
          <w:lang w:val="es-ES_tradnl"/>
        </w:rPr>
        <w:t xml:space="preserve">la Secretaría informó de que las Partes Contrates están </w:t>
      </w:r>
      <w:r w:rsidR="00D11EA8" w:rsidRPr="00D11EA8">
        <w:rPr>
          <w:rFonts w:asciiTheme="minorHAnsi" w:hAnsiTheme="minorHAnsi"/>
          <w:lang w:val="es-ES_tradnl"/>
        </w:rPr>
        <w:t>preparando</w:t>
      </w:r>
      <w:r w:rsidRPr="00D11EA8">
        <w:rPr>
          <w:rFonts w:asciiTheme="minorHAnsi" w:hAnsiTheme="minorHAnsi"/>
          <w:lang w:val="es-ES_tradnl"/>
        </w:rPr>
        <w:t xml:space="preserve"> varios proye</w:t>
      </w:r>
      <w:r w:rsidR="00F56414">
        <w:rPr>
          <w:rFonts w:asciiTheme="minorHAnsi" w:hAnsiTheme="minorHAnsi"/>
          <w:lang w:val="es-ES_tradnl"/>
        </w:rPr>
        <w:t>ctos de resolución que tienen</w:t>
      </w:r>
      <w:r w:rsidRPr="00D11EA8">
        <w:rPr>
          <w:rFonts w:asciiTheme="minorHAnsi" w:hAnsiTheme="minorHAnsi"/>
          <w:lang w:val="es-ES_tradnl"/>
        </w:rPr>
        <w:t xml:space="preserve"> componentes científicos y técnicos y/o prevén ac</w:t>
      </w:r>
      <w:r w:rsidR="00F56414">
        <w:rPr>
          <w:rFonts w:asciiTheme="minorHAnsi" w:hAnsiTheme="minorHAnsi"/>
          <w:lang w:val="es-ES_tradnl"/>
        </w:rPr>
        <w:t xml:space="preserve">tuaciones por parte del GECT. </w:t>
      </w:r>
      <w:r w:rsidRPr="00D11EA8">
        <w:rPr>
          <w:rFonts w:asciiTheme="minorHAnsi" w:hAnsiTheme="minorHAnsi"/>
          <w:lang w:val="es-ES_tradnl"/>
        </w:rPr>
        <w:t xml:space="preserve">Se designaron personas </w:t>
      </w:r>
      <w:r w:rsidR="00F56414">
        <w:rPr>
          <w:rFonts w:asciiTheme="minorHAnsi" w:hAnsiTheme="minorHAnsi"/>
          <w:lang w:val="es-ES_tradnl"/>
        </w:rPr>
        <w:t xml:space="preserve">de contacto del </w:t>
      </w:r>
      <w:r w:rsidRPr="00D11EA8">
        <w:rPr>
          <w:rFonts w:asciiTheme="minorHAnsi" w:hAnsiTheme="minorHAnsi"/>
          <w:lang w:val="es-ES_tradnl"/>
        </w:rPr>
        <w:t xml:space="preserve">GECT para cada proyecto de resolución. Una vez que </w:t>
      </w:r>
      <w:r w:rsidR="00F56414">
        <w:rPr>
          <w:rFonts w:asciiTheme="minorHAnsi" w:hAnsiTheme="minorHAnsi"/>
          <w:lang w:val="es-ES_tradnl"/>
        </w:rPr>
        <w:t>todos los</w:t>
      </w:r>
      <w:r w:rsidRPr="00D11EA8">
        <w:rPr>
          <w:rFonts w:asciiTheme="minorHAnsi" w:hAnsiTheme="minorHAnsi"/>
          <w:lang w:val="es-ES_tradnl"/>
        </w:rPr>
        <w:t xml:space="preserve"> proyecto</w:t>
      </w:r>
      <w:r w:rsidR="00F56414">
        <w:rPr>
          <w:rFonts w:asciiTheme="minorHAnsi" w:hAnsiTheme="minorHAnsi"/>
          <w:lang w:val="es-ES_tradnl"/>
        </w:rPr>
        <w:t xml:space="preserve">s de resolución hayan </w:t>
      </w:r>
      <w:r w:rsidRPr="00D11EA8">
        <w:rPr>
          <w:rFonts w:asciiTheme="minorHAnsi" w:hAnsiTheme="minorHAnsi"/>
          <w:lang w:val="es-ES_tradnl"/>
        </w:rPr>
        <w:t xml:space="preserve">sido </w:t>
      </w:r>
      <w:r w:rsidR="00D11EA8" w:rsidRPr="00D11EA8">
        <w:rPr>
          <w:rFonts w:asciiTheme="minorHAnsi" w:hAnsiTheme="minorHAnsi"/>
          <w:lang w:val="es-ES_tradnl"/>
        </w:rPr>
        <w:t>presentado</w:t>
      </w:r>
      <w:r w:rsidR="00F56414">
        <w:rPr>
          <w:rFonts w:asciiTheme="minorHAnsi" w:hAnsiTheme="minorHAnsi"/>
          <w:lang w:val="es-ES_tradnl"/>
        </w:rPr>
        <w:t>s</w:t>
      </w:r>
      <w:r w:rsidRPr="00D11EA8">
        <w:rPr>
          <w:rFonts w:asciiTheme="minorHAnsi" w:hAnsiTheme="minorHAnsi"/>
          <w:lang w:val="es-ES_tradnl"/>
        </w:rPr>
        <w:t xml:space="preserve"> formalmente a la Secretaría a más tardar el </w:t>
      </w:r>
      <w:r w:rsidR="005841CC" w:rsidRPr="00D11EA8">
        <w:rPr>
          <w:rFonts w:asciiTheme="minorHAnsi" w:hAnsiTheme="minorHAnsi"/>
          <w:lang w:val="es-ES_tradnl"/>
        </w:rPr>
        <w:t xml:space="preserve">22 </w:t>
      </w:r>
      <w:r w:rsidRPr="00D11EA8">
        <w:rPr>
          <w:rFonts w:asciiTheme="minorHAnsi" w:hAnsiTheme="minorHAnsi"/>
          <w:lang w:val="es-ES_tradnl"/>
        </w:rPr>
        <w:t xml:space="preserve">de febrero de </w:t>
      </w:r>
      <w:r w:rsidR="00F56414">
        <w:rPr>
          <w:rFonts w:asciiTheme="minorHAnsi" w:hAnsiTheme="minorHAnsi"/>
          <w:lang w:val="es-ES_tradnl"/>
        </w:rPr>
        <w:t xml:space="preserve">2018, </w:t>
      </w:r>
      <w:r w:rsidRPr="00D11EA8">
        <w:rPr>
          <w:rFonts w:asciiTheme="minorHAnsi" w:hAnsiTheme="minorHAnsi"/>
          <w:lang w:val="es-ES_tradnl"/>
        </w:rPr>
        <w:t xml:space="preserve">la persona </w:t>
      </w:r>
      <w:r w:rsidR="00F56414">
        <w:rPr>
          <w:rFonts w:asciiTheme="minorHAnsi" w:hAnsiTheme="minorHAnsi"/>
          <w:lang w:val="es-ES_tradnl"/>
        </w:rPr>
        <w:t xml:space="preserve">de contacto </w:t>
      </w:r>
      <w:r w:rsidRPr="00D11EA8">
        <w:rPr>
          <w:rFonts w:asciiTheme="minorHAnsi" w:hAnsiTheme="minorHAnsi"/>
          <w:lang w:val="es-ES_tradnl"/>
        </w:rPr>
        <w:t xml:space="preserve">pertinente del GECT </w:t>
      </w:r>
      <w:r w:rsidR="00F56414">
        <w:rPr>
          <w:rFonts w:asciiTheme="minorHAnsi" w:hAnsiTheme="minorHAnsi"/>
          <w:lang w:val="es-ES_tradnl"/>
        </w:rPr>
        <w:t xml:space="preserve">dirigirá las deliberaciones </w:t>
      </w:r>
      <w:r w:rsidRPr="00D11EA8">
        <w:rPr>
          <w:rFonts w:asciiTheme="minorHAnsi" w:hAnsiTheme="minorHAnsi"/>
          <w:lang w:val="es-ES_tradnl"/>
        </w:rPr>
        <w:t xml:space="preserve">en </w:t>
      </w:r>
      <w:r w:rsidR="00F56414">
        <w:rPr>
          <w:rFonts w:asciiTheme="minorHAnsi" w:hAnsiTheme="minorHAnsi"/>
          <w:lang w:val="es-ES_tradnl"/>
        </w:rPr>
        <w:t>línea</w:t>
      </w:r>
      <w:r w:rsidRPr="00D11EA8">
        <w:rPr>
          <w:rFonts w:asciiTheme="minorHAnsi" w:hAnsiTheme="minorHAnsi"/>
          <w:lang w:val="es-ES_tradnl"/>
        </w:rPr>
        <w:t xml:space="preserve"> para </w:t>
      </w:r>
      <w:r w:rsidR="00D11EA8" w:rsidRPr="00D11EA8">
        <w:rPr>
          <w:rFonts w:asciiTheme="minorHAnsi" w:hAnsiTheme="minorHAnsi"/>
          <w:lang w:val="es-ES_tradnl"/>
        </w:rPr>
        <w:t>preparar</w:t>
      </w:r>
      <w:r w:rsidRPr="00D11EA8">
        <w:rPr>
          <w:rFonts w:asciiTheme="minorHAnsi" w:hAnsiTheme="minorHAnsi"/>
          <w:lang w:val="es-ES_tradnl"/>
        </w:rPr>
        <w:t xml:space="preserve"> los co</w:t>
      </w:r>
      <w:r w:rsidR="00D11EA8">
        <w:rPr>
          <w:rFonts w:asciiTheme="minorHAnsi" w:hAnsiTheme="minorHAnsi"/>
          <w:lang w:val="es-ES_tradnl"/>
        </w:rPr>
        <w:t xml:space="preserve">mentarios </w:t>
      </w:r>
      <w:r w:rsidRPr="00D11EA8">
        <w:rPr>
          <w:rFonts w:asciiTheme="minorHAnsi" w:hAnsiTheme="minorHAnsi"/>
          <w:lang w:val="es-ES_tradnl"/>
        </w:rPr>
        <w:t>del GECT</w:t>
      </w:r>
      <w:r w:rsidR="00F56414">
        <w:rPr>
          <w:rFonts w:asciiTheme="minorHAnsi" w:hAnsiTheme="minorHAnsi"/>
          <w:lang w:val="es-ES_tradnl"/>
        </w:rPr>
        <w:t>. La Presidencia del GECT transmitirá e</w:t>
      </w:r>
      <w:r w:rsidRPr="00D11EA8">
        <w:rPr>
          <w:rFonts w:asciiTheme="minorHAnsi" w:hAnsiTheme="minorHAnsi"/>
          <w:lang w:val="es-ES_tradnl"/>
        </w:rPr>
        <w:t>sos</w:t>
      </w:r>
      <w:r w:rsidR="00F56414">
        <w:rPr>
          <w:rFonts w:asciiTheme="minorHAnsi" w:hAnsiTheme="minorHAnsi"/>
          <w:lang w:val="es-ES_tradnl"/>
        </w:rPr>
        <w:t xml:space="preserve"> comentarios en la 54ª reunión del Comité Permanente (SC54).</w:t>
      </w:r>
    </w:p>
    <w:p w14:paraId="42DD0204" w14:textId="77777777" w:rsidR="00CE27ED" w:rsidRPr="00D11EA8" w:rsidRDefault="00CE27ED" w:rsidP="004D0A2C">
      <w:pPr>
        <w:tabs>
          <w:tab w:val="left" w:pos="270"/>
        </w:tabs>
        <w:ind w:left="360" w:hanging="360"/>
        <w:rPr>
          <w:b/>
          <w:lang w:val="es-ES_tradnl"/>
        </w:rPr>
      </w:pPr>
    </w:p>
    <w:p w14:paraId="17637888" w14:textId="3C58AEDF" w:rsidR="00CE27ED" w:rsidRPr="00D11EA8" w:rsidRDefault="000D57AE" w:rsidP="00FC369F">
      <w:pPr>
        <w:pStyle w:val="ListParagraph"/>
        <w:ind w:left="426"/>
        <w:rPr>
          <w:rFonts w:asciiTheme="minorHAnsi" w:hAnsiTheme="minorHAnsi"/>
          <w:u w:val="single"/>
          <w:lang w:val="es-ES_tradnl"/>
        </w:rPr>
      </w:pPr>
      <w:r w:rsidRPr="00D11EA8">
        <w:rPr>
          <w:rFonts w:asciiTheme="minorHAnsi" w:hAnsiTheme="minorHAnsi"/>
          <w:u w:val="single"/>
          <w:lang w:val="es-ES_tradnl"/>
        </w:rPr>
        <w:t>Cuestiones</w:t>
      </w:r>
      <w:r w:rsidR="003A1859" w:rsidRPr="00D11EA8">
        <w:rPr>
          <w:rFonts w:asciiTheme="minorHAnsi" w:hAnsiTheme="minorHAnsi"/>
          <w:u w:val="single"/>
          <w:lang w:val="es-ES_tradnl"/>
        </w:rPr>
        <w:t xml:space="preserve"> emergentes</w:t>
      </w:r>
    </w:p>
    <w:p w14:paraId="5E13B4BF" w14:textId="77777777" w:rsidR="00CE27ED" w:rsidRPr="00D11EA8" w:rsidRDefault="00CE27ED" w:rsidP="00FC369F">
      <w:pPr>
        <w:pStyle w:val="ListParagraph"/>
        <w:ind w:left="426"/>
        <w:rPr>
          <w:rFonts w:asciiTheme="minorHAnsi" w:hAnsiTheme="minorHAnsi"/>
          <w:lang w:val="es-ES_tradnl"/>
        </w:rPr>
      </w:pPr>
    </w:p>
    <w:p w14:paraId="3509FE32" w14:textId="30352B0F" w:rsidR="007E0DC5" w:rsidRPr="00155B1E" w:rsidRDefault="00CE27ED" w:rsidP="00155B1E">
      <w:pPr>
        <w:tabs>
          <w:tab w:val="left" w:pos="3119"/>
        </w:tabs>
        <w:rPr>
          <w:rFonts w:cs="Arial"/>
          <w:lang w:val="es-ES_tradnl"/>
        </w:rPr>
      </w:pPr>
      <w:r w:rsidRPr="00D11EA8">
        <w:rPr>
          <w:rFonts w:asciiTheme="minorHAnsi" w:hAnsiTheme="minorHAnsi"/>
          <w:lang w:val="es-ES_tradnl"/>
        </w:rPr>
        <w:t>16.</w:t>
      </w:r>
      <w:r w:rsidRPr="00D11EA8">
        <w:rPr>
          <w:rFonts w:asciiTheme="minorHAnsi" w:hAnsiTheme="minorHAnsi"/>
          <w:lang w:val="es-ES_tradnl"/>
        </w:rPr>
        <w:tab/>
      </w:r>
      <w:r w:rsidR="00A46180">
        <w:rPr>
          <w:rFonts w:asciiTheme="minorHAnsi" w:hAnsiTheme="minorHAnsi"/>
          <w:lang w:val="es-ES_tradnl"/>
        </w:rPr>
        <w:t>En l</w:t>
      </w:r>
      <w:r w:rsidR="003A1859" w:rsidRPr="00D11EA8">
        <w:rPr>
          <w:rFonts w:asciiTheme="minorHAnsi" w:hAnsiTheme="minorHAnsi"/>
          <w:lang w:val="es-ES_tradnl"/>
        </w:rPr>
        <w:t>a reunión GEC</w:t>
      </w:r>
      <w:r w:rsidR="00D84DDF" w:rsidRPr="00D11EA8">
        <w:rPr>
          <w:rFonts w:asciiTheme="minorHAnsi" w:hAnsiTheme="minorHAnsi"/>
          <w:lang w:val="es-ES_tradnl"/>
        </w:rPr>
        <w:t>T</w:t>
      </w:r>
      <w:r w:rsidR="007E0DC5" w:rsidRPr="00D11EA8">
        <w:rPr>
          <w:rFonts w:asciiTheme="minorHAnsi" w:hAnsiTheme="minorHAnsi"/>
          <w:lang w:val="es-ES_tradnl"/>
        </w:rPr>
        <w:t xml:space="preserve">20 </w:t>
      </w:r>
      <w:r w:rsidR="003A1859" w:rsidRPr="00D11EA8">
        <w:rPr>
          <w:rFonts w:asciiTheme="minorHAnsi" w:hAnsiTheme="minorHAnsi"/>
          <w:lang w:val="es-ES_tradnl"/>
        </w:rPr>
        <w:t xml:space="preserve">se debatió sobre la infección </w:t>
      </w:r>
      <w:r w:rsidR="00A46180">
        <w:rPr>
          <w:rFonts w:asciiTheme="minorHAnsi" w:hAnsiTheme="minorHAnsi"/>
          <w:lang w:val="es-ES_tradnl"/>
        </w:rPr>
        <w:t xml:space="preserve">actual por </w:t>
      </w:r>
      <w:r w:rsidR="003A1859" w:rsidRPr="00D11EA8">
        <w:rPr>
          <w:rFonts w:asciiTheme="minorHAnsi" w:hAnsiTheme="minorHAnsi"/>
          <w:lang w:val="es-ES_tradnl"/>
        </w:rPr>
        <w:t xml:space="preserve">varios virus de la </w:t>
      </w:r>
      <w:r w:rsidR="00A46180">
        <w:rPr>
          <w:rFonts w:asciiTheme="minorHAnsi" w:hAnsiTheme="minorHAnsi"/>
          <w:lang w:val="es-ES_tradnl"/>
        </w:rPr>
        <w:t>influenza</w:t>
      </w:r>
      <w:r w:rsidR="003A1859" w:rsidRPr="00D11EA8">
        <w:rPr>
          <w:rFonts w:asciiTheme="minorHAnsi" w:hAnsiTheme="minorHAnsi"/>
          <w:lang w:val="es-ES_tradnl"/>
        </w:rPr>
        <w:t xml:space="preserve"> aviar </w:t>
      </w:r>
      <w:r w:rsidR="009306B4">
        <w:rPr>
          <w:rFonts w:asciiTheme="minorHAnsi" w:hAnsiTheme="minorHAnsi"/>
          <w:lang w:val="es-ES_tradnl"/>
        </w:rPr>
        <w:t>altamente patógena</w:t>
      </w:r>
      <w:r w:rsidR="003A1859" w:rsidRPr="00D11EA8">
        <w:rPr>
          <w:rFonts w:asciiTheme="minorHAnsi" w:hAnsiTheme="minorHAnsi"/>
          <w:lang w:val="es-ES_tradnl"/>
        </w:rPr>
        <w:t>. Se recordó que Ramsar había adoptado orientaciones exhaustivas sobre</w:t>
      </w:r>
      <w:r w:rsidR="00F41D3A">
        <w:rPr>
          <w:rFonts w:asciiTheme="minorHAnsi" w:hAnsiTheme="minorHAnsi"/>
          <w:lang w:val="es-ES_tradnl"/>
        </w:rPr>
        <w:t xml:space="preserve"> las</w:t>
      </w:r>
      <w:r w:rsidR="003A1859" w:rsidRPr="00D11EA8">
        <w:rPr>
          <w:rFonts w:asciiTheme="minorHAnsi" w:hAnsiTheme="minorHAnsi"/>
          <w:lang w:val="es-ES_tradnl"/>
        </w:rPr>
        <w:t xml:space="preserve"> respuestas adecuadas </w:t>
      </w:r>
      <w:r w:rsidR="00F41D3A">
        <w:rPr>
          <w:rFonts w:asciiTheme="minorHAnsi" w:hAnsiTheme="minorHAnsi"/>
          <w:lang w:val="es-ES_tradnl"/>
        </w:rPr>
        <w:t>a la influenz</w:t>
      </w:r>
      <w:r w:rsidR="003A1859" w:rsidRPr="00D11EA8">
        <w:rPr>
          <w:rFonts w:asciiTheme="minorHAnsi" w:hAnsiTheme="minorHAnsi"/>
          <w:lang w:val="es-ES_tradnl"/>
        </w:rPr>
        <w:t xml:space="preserve">a aviar a través de la </w:t>
      </w:r>
      <w:r w:rsidR="00F41D3A" w:rsidRPr="00F41D3A">
        <w:rPr>
          <w:rFonts w:asciiTheme="minorHAnsi" w:hAnsiTheme="minorHAnsi"/>
          <w:lang w:val="es-ES_tradnl"/>
        </w:rPr>
        <w:t>Resolución</w:t>
      </w:r>
      <w:r w:rsidR="00DA57FF" w:rsidRPr="00D11EA8">
        <w:rPr>
          <w:rFonts w:cs="Arial"/>
          <w:color w:val="191919"/>
          <w:lang w:val="es-ES_tradnl"/>
        </w:rPr>
        <w:t xml:space="preserve"> IX.23</w:t>
      </w:r>
      <w:r w:rsidR="00F41D3A">
        <w:rPr>
          <w:rFonts w:cs="Arial"/>
          <w:color w:val="191919"/>
          <w:lang w:val="es-ES_tradnl"/>
        </w:rPr>
        <w:t xml:space="preserve">, </w:t>
      </w:r>
      <w:r w:rsidR="00F41D3A" w:rsidRPr="00F41D3A">
        <w:rPr>
          <w:rFonts w:cs="Arial"/>
          <w:i/>
          <w:color w:val="191919"/>
          <w:lang w:val="es-ES_tradnl"/>
        </w:rPr>
        <w:t>La gripe aviar hiperpatogénica y sus consecuencias para la conservación y el uso racional de los humedales y las aves acuáticas</w:t>
      </w:r>
      <w:r w:rsidR="00BF5B49" w:rsidRPr="00D11EA8">
        <w:rPr>
          <w:rFonts w:cs="Arial"/>
          <w:color w:val="191919"/>
          <w:lang w:val="es-ES_tradnl"/>
        </w:rPr>
        <w:t>,</w:t>
      </w:r>
      <w:r w:rsidR="00DA57FF" w:rsidRPr="00D11EA8">
        <w:rPr>
          <w:rFonts w:cs="Arial"/>
          <w:color w:val="191919"/>
          <w:lang w:val="es-ES_tradnl"/>
        </w:rPr>
        <w:t xml:space="preserve"> </w:t>
      </w:r>
      <w:r w:rsidR="003A1859" w:rsidRPr="00D11EA8">
        <w:rPr>
          <w:rFonts w:cs="Arial"/>
          <w:color w:val="191919"/>
          <w:lang w:val="es-ES_tradnl"/>
        </w:rPr>
        <w:t xml:space="preserve">y la </w:t>
      </w:r>
      <w:r w:rsidR="00F41D3A">
        <w:rPr>
          <w:rFonts w:cs="Arial"/>
          <w:color w:val="191919"/>
          <w:lang w:val="es-ES_tradnl"/>
        </w:rPr>
        <w:t>Resolución</w:t>
      </w:r>
      <w:r w:rsidR="00DA57FF" w:rsidRPr="00D11EA8">
        <w:rPr>
          <w:rFonts w:cs="Arial"/>
          <w:color w:val="191919"/>
          <w:lang w:val="es-ES_tradnl"/>
        </w:rPr>
        <w:t xml:space="preserve"> X.21</w:t>
      </w:r>
      <w:r w:rsidR="00F41D3A">
        <w:rPr>
          <w:rFonts w:cs="Arial"/>
          <w:color w:val="191919"/>
          <w:lang w:val="es-ES_tradnl"/>
        </w:rPr>
        <w:t xml:space="preserve">, </w:t>
      </w:r>
      <w:r w:rsidR="00F41D3A">
        <w:rPr>
          <w:rFonts w:cs="Arial"/>
          <w:i/>
          <w:color w:val="191919"/>
          <w:lang w:val="es-ES_tradnl"/>
        </w:rPr>
        <w:t>Lineamientos para hacer frente a la propagación continua de la gripe aviar hiperpatogénica</w:t>
      </w:r>
      <w:r w:rsidR="00BF5B49" w:rsidRPr="00D11EA8">
        <w:rPr>
          <w:rFonts w:cs="Arial"/>
          <w:color w:val="191919"/>
          <w:lang w:val="es-ES_tradnl"/>
        </w:rPr>
        <w:t>,</w:t>
      </w:r>
      <w:r w:rsidR="007E0DC5" w:rsidRPr="00D11EA8">
        <w:rPr>
          <w:rFonts w:cs="Arial"/>
          <w:color w:val="191919"/>
          <w:lang w:val="es-ES_tradnl"/>
        </w:rPr>
        <w:t xml:space="preserve"> </w:t>
      </w:r>
      <w:r w:rsidR="007C79BB" w:rsidRPr="00D11EA8">
        <w:rPr>
          <w:rFonts w:cs="Arial"/>
          <w:color w:val="191919"/>
          <w:lang w:val="es-ES_tradnl"/>
        </w:rPr>
        <w:t xml:space="preserve">y que estas orientaciones de Ramsar </w:t>
      </w:r>
      <w:r w:rsidR="00155B1E">
        <w:rPr>
          <w:rFonts w:cs="Arial"/>
          <w:color w:val="191919"/>
          <w:lang w:val="es-ES_tradnl"/>
        </w:rPr>
        <w:t xml:space="preserve">cuentan </w:t>
      </w:r>
      <w:r w:rsidR="007C79BB" w:rsidRPr="00D11EA8">
        <w:rPr>
          <w:rFonts w:cs="Arial"/>
          <w:color w:val="191919"/>
          <w:lang w:val="es-ES_tradnl"/>
        </w:rPr>
        <w:t xml:space="preserve">con el </w:t>
      </w:r>
      <w:r w:rsidR="00D11EA8">
        <w:rPr>
          <w:rFonts w:cs="Arial"/>
          <w:color w:val="191919"/>
          <w:lang w:val="es-ES_tradnl"/>
        </w:rPr>
        <w:t>respald</w:t>
      </w:r>
      <w:r w:rsidR="00D11EA8" w:rsidRPr="00D11EA8">
        <w:rPr>
          <w:rFonts w:cs="Arial"/>
          <w:color w:val="191919"/>
          <w:lang w:val="es-ES_tradnl"/>
        </w:rPr>
        <w:t>o</w:t>
      </w:r>
      <w:r w:rsidR="007C79BB" w:rsidRPr="00D11EA8">
        <w:rPr>
          <w:rFonts w:cs="Arial"/>
          <w:color w:val="191919"/>
          <w:lang w:val="es-ES_tradnl"/>
        </w:rPr>
        <w:t xml:space="preserve"> de </w:t>
      </w:r>
      <w:r w:rsidR="00D11EA8" w:rsidRPr="00D11EA8">
        <w:rPr>
          <w:rFonts w:cs="Arial"/>
          <w:color w:val="191919"/>
          <w:lang w:val="es-ES_tradnl"/>
        </w:rPr>
        <w:t>orientaciones</w:t>
      </w:r>
      <w:r w:rsidR="007C79BB" w:rsidRPr="00D11EA8">
        <w:rPr>
          <w:rFonts w:cs="Arial"/>
          <w:color w:val="191919"/>
          <w:lang w:val="es-ES_tradnl"/>
        </w:rPr>
        <w:t xml:space="preserve"> complementarias </w:t>
      </w:r>
      <w:r w:rsidR="00D11EA8" w:rsidRPr="00D11EA8">
        <w:rPr>
          <w:rFonts w:cs="Arial"/>
          <w:color w:val="191919"/>
          <w:lang w:val="es-ES_tradnl"/>
        </w:rPr>
        <w:t>elaboradas</w:t>
      </w:r>
      <w:r w:rsidR="007C79BB" w:rsidRPr="00D11EA8">
        <w:rPr>
          <w:rFonts w:cs="Arial"/>
          <w:color w:val="191919"/>
          <w:lang w:val="es-ES_tradnl"/>
        </w:rPr>
        <w:t xml:space="preserve"> por la Convención sobre las Especies Migra</w:t>
      </w:r>
      <w:r w:rsidR="00155B1E">
        <w:rPr>
          <w:rFonts w:cs="Arial"/>
          <w:color w:val="191919"/>
          <w:lang w:val="es-ES_tradnl"/>
        </w:rPr>
        <w:t>torias</w:t>
      </w:r>
      <w:r w:rsidR="007C79BB" w:rsidRPr="00D11EA8">
        <w:rPr>
          <w:rFonts w:cs="Arial"/>
          <w:color w:val="191919"/>
          <w:lang w:val="es-ES_tradnl"/>
        </w:rPr>
        <w:t xml:space="preserve"> y el</w:t>
      </w:r>
      <w:r w:rsidR="00155B1E">
        <w:rPr>
          <w:rFonts w:cs="Arial"/>
          <w:color w:val="191919"/>
          <w:lang w:val="es-ES_tradnl"/>
        </w:rPr>
        <w:t xml:space="preserve"> </w:t>
      </w:r>
      <w:r w:rsidR="00155B1E" w:rsidRPr="009306B4">
        <w:rPr>
          <w:rFonts w:cs="Arial"/>
          <w:lang w:val="es-ES_tradnl"/>
        </w:rPr>
        <w:t>Acuerdo sobre las aves migratorias de África y Eurasia</w:t>
      </w:r>
      <w:r w:rsidR="00155B1E">
        <w:rPr>
          <w:rFonts w:cs="Arial"/>
          <w:color w:val="191919"/>
          <w:lang w:val="es-ES_tradnl"/>
        </w:rPr>
        <w:t xml:space="preserve">. </w:t>
      </w:r>
      <w:r w:rsidR="007C79BB" w:rsidRPr="00D11EA8">
        <w:rPr>
          <w:rFonts w:cs="Arial"/>
          <w:color w:val="191919"/>
          <w:lang w:val="es-ES_tradnl"/>
        </w:rPr>
        <w:t xml:space="preserve">El Grupo convino en que </w:t>
      </w:r>
      <w:r w:rsidR="00155B1E">
        <w:rPr>
          <w:rFonts w:cs="Arial"/>
          <w:color w:val="191919"/>
          <w:lang w:val="es-ES_tradnl"/>
        </w:rPr>
        <w:lastRenderedPageBreak/>
        <w:t xml:space="preserve">sería </w:t>
      </w:r>
      <w:r w:rsidR="007C79BB" w:rsidRPr="00D11EA8">
        <w:rPr>
          <w:rFonts w:cs="Arial"/>
          <w:color w:val="191919"/>
          <w:lang w:val="es-ES_tradnl"/>
        </w:rPr>
        <w:t xml:space="preserve">útil recordar a las Partes Contratantes </w:t>
      </w:r>
      <w:r w:rsidR="00155B1E">
        <w:rPr>
          <w:rFonts w:cs="Arial"/>
          <w:color w:val="191919"/>
          <w:lang w:val="es-ES_tradnl"/>
        </w:rPr>
        <w:t>sobre</w:t>
      </w:r>
      <w:r w:rsidR="007C79BB" w:rsidRPr="00D11EA8">
        <w:rPr>
          <w:rFonts w:cs="Arial"/>
          <w:color w:val="191919"/>
          <w:lang w:val="es-ES_tradnl"/>
        </w:rPr>
        <w:t xml:space="preserve"> estas orientaciones, que hacen hincapié en la necesidad de garantizar que</w:t>
      </w:r>
      <w:r w:rsidR="00155B1E">
        <w:rPr>
          <w:rFonts w:cs="Arial"/>
          <w:color w:val="191919"/>
          <w:lang w:val="es-ES_tradnl"/>
        </w:rPr>
        <w:t xml:space="preserve"> las respuestas no comprometan involuntariamente el uso racional de los humedales</w:t>
      </w:r>
      <w:r w:rsidR="007E0DC5" w:rsidRPr="00D11EA8">
        <w:rPr>
          <w:rFonts w:cs="Arial"/>
          <w:color w:val="191919"/>
          <w:lang w:val="es-ES_tradnl"/>
        </w:rPr>
        <w:t>.</w:t>
      </w:r>
      <w:r w:rsidR="002E32B8" w:rsidRPr="00D11EA8">
        <w:rPr>
          <w:rFonts w:cs="Arial"/>
          <w:color w:val="191919"/>
          <w:lang w:val="es-ES_tradnl"/>
        </w:rPr>
        <w:t xml:space="preserve"> </w:t>
      </w:r>
      <w:r w:rsidR="00155B1E">
        <w:rPr>
          <w:rFonts w:cs="Arial"/>
          <w:color w:val="191919"/>
          <w:lang w:val="es-ES_tradnl"/>
        </w:rPr>
        <w:t xml:space="preserve">Además, el Grupo observó </w:t>
      </w:r>
      <w:r w:rsidR="007C79BB" w:rsidRPr="00D11EA8">
        <w:rPr>
          <w:rFonts w:cs="Arial"/>
          <w:color w:val="191919"/>
          <w:lang w:val="es-ES_tradnl"/>
        </w:rPr>
        <w:t xml:space="preserve">que las respuestas letales a las aves silvestres no cuentan con </w:t>
      </w:r>
      <w:r w:rsidR="00155B1E">
        <w:rPr>
          <w:rFonts w:cs="Arial"/>
          <w:color w:val="191919"/>
          <w:lang w:val="es-ES_tradnl"/>
        </w:rPr>
        <w:t xml:space="preserve">la aprobación </w:t>
      </w:r>
      <w:r w:rsidR="007C79BB" w:rsidRPr="00D11EA8">
        <w:rPr>
          <w:rFonts w:cs="Arial"/>
          <w:color w:val="191919"/>
          <w:lang w:val="es-ES_tradnl"/>
        </w:rPr>
        <w:t xml:space="preserve">de </w:t>
      </w:r>
      <w:r w:rsidR="00D11EA8" w:rsidRPr="00D11EA8">
        <w:rPr>
          <w:rFonts w:cs="Arial"/>
          <w:color w:val="191919"/>
          <w:lang w:val="es-ES_tradnl"/>
        </w:rPr>
        <w:t>las</w:t>
      </w:r>
      <w:r w:rsidR="007C79BB" w:rsidRPr="00D11EA8">
        <w:rPr>
          <w:rFonts w:cs="Arial"/>
          <w:color w:val="191919"/>
          <w:lang w:val="es-ES_tradnl"/>
        </w:rPr>
        <w:t xml:space="preserve"> orientaciones de Ramsar</w:t>
      </w:r>
      <w:r w:rsidR="00155B1E">
        <w:rPr>
          <w:rFonts w:cs="Arial"/>
          <w:color w:val="191919"/>
          <w:lang w:val="es-ES_tradnl"/>
        </w:rPr>
        <w:t xml:space="preserve">, </w:t>
      </w:r>
      <w:r w:rsidR="007C79BB" w:rsidRPr="00D11EA8">
        <w:rPr>
          <w:rFonts w:cs="Arial"/>
          <w:color w:val="191919"/>
          <w:lang w:val="es-ES_tradnl"/>
        </w:rPr>
        <w:t xml:space="preserve">de </w:t>
      </w:r>
      <w:r w:rsidR="00155B1E">
        <w:rPr>
          <w:rFonts w:cs="Arial"/>
          <w:color w:val="191919"/>
          <w:lang w:val="es-ES_tradnl"/>
        </w:rPr>
        <w:t xml:space="preserve">la </w:t>
      </w:r>
      <w:r w:rsidR="00D11EA8" w:rsidRPr="00D11EA8">
        <w:rPr>
          <w:rFonts w:cs="Arial"/>
          <w:color w:val="191919"/>
          <w:lang w:val="es-ES_tradnl"/>
        </w:rPr>
        <w:t>Organización</w:t>
      </w:r>
      <w:r w:rsidR="007C79BB" w:rsidRPr="00D11EA8">
        <w:rPr>
          <w:rFonts w:cs="Arial"/>
          <w:color w:val="191919"/>
          <w:lang w:val="es-ES_tradnl"/>
        </w:rPr>
        <w:t xml:space="preserve"> de las Naciones Unidas para la Alimentación y la </w:t>
      </w:r>
      <w:r w:rsidR="00D11EA8">
        <w:rPr>
          <w:rFonts w:cs="Arial"/>
          <w:color w:val="191919"/>
          <w:lang w:val="es-ES_tradnl"/>
        </w:rPr>
        <w:t>A</w:t>
      </w:r>
      <w:r w:rsidR="00D11EA8" w:rsidRPr="00D11EA8">
        <w:rPr>
          <w:rFonts w:cs="Arial"/>
          <w:color w:val="191919"/>
          <w:lang w:val="es-ES_tradnl"/>
        </w:rPr>
        <w:t>gricultura</w:t>
      </w:r>
      <w:r w:rsidR="007C79BB" w:rsidRPr="00D11EA8">
        <w:rPr>
          <w:rFonts w:cs="Arial"/>
          <w:color w:val="191919"/>
          <w:lang w:val="es-ES_tradnl"/>
        </w:rPr>
        <w:t xml:space="preserve"> ni </w:t>
      </w:r>
      <w:r w:rsidR="00155B1E">
        <w:rPr>
          <w:rFonts w:cs="Arial"/>
          <w:color w:val="191919"/>
          <w:lang w:val="es-ES_tradnl"/>
        </w:rPr>
        <w:t>de la Organización Mundial de Sanidad Animal. En</w:t>
      </w:r>
      <w:r w:rsidR="00B76B6B" w:rsidRPr="00D11EA8">
        <w:rPr>
          <w:rFonts w:cs="Arial"/>
          <w:color w:val="191919"/>
          <w:lang w:val="es-ES_tradnl"/>
        </w:rPr>
        <w:t xml:space="preserve"> consecuencia, después de la reunión</w:t>
      </w:r>
      <w:r w:rsidR="00FE5AAC" w:rsidRPr="00D11EA8">
        <w:rPr>
          <w:rFonts w:cs="Arial"/>
          <w:color w:val="191919"/>
          <w:lang w:val="es-ES_tradnl"/>
        </w:rPr>
        <w:t xml:space="preserve"> SC53</w:t>
      </w:r>
      <w:r w:rsidR="00B76B6B" w:rsidRPr="00D11EA8">
        <w:rPr>
          <w:rFonts w:cs="Arial"/>
          <w:color w:val="191919"/>
          <w:lang w:val="es-ES_tradnl"/>
        </w:rPr>
        <w:t xml:space="preserve">, celebrada en junio de </w:t>
      </w:r>
      <w:r w:rsidR="005E05E6" w:rsidRPr="00D11EA8">
        <w:rPr>
          <w:rFonts w:cs="Arial"/>
          <w:color w:val="191919"/>
          <w:lang w:val="es-ES_tradnl"/>
        </w:rPr>
        <w:t>2017</w:t>
      </w:r>
      <w:r w:rsidR="00FE5AAC" w:rsidRPr="00D11EA8">
        <w:rPr>
          <w:rFonts w:cs="Arial"/>
          <w:color w:val="191919"/>
          <w:lang w:val="es-ES_tradnl"/>
        </w:rPr>
        <w:t xml:space="preserve">, </w:t>
      </w:r>
      <w:r w:rsidR="00B76B6B" w:rsidRPr="00D11EA8">
        <w:rPr>
          <w:rFonts w:cs="Arial"/>
          <w:color w:val="191919"/>
          <w:lang w:val="es-ES_tradnl"/>
        </w:rPr>
        <w:t xml:space="preserve">la Presidencia del </w:t>
      </w:r>
      <w:r w:rsidR="00B76B6B" w:rsidRPr="00155B1E">
        <w:rPr>
          <w:rFonts w:cs="Arial"/>
          <w:lang w:val="es-ES_tradnl"/>
        </w:rPr>
        <w:t>G</w:t>
      </w:r>
      <w:r w:rsidR="00D84DDF" w:rsidRPr="00155B1E">
        <w:rPr>
          <w:rFonts w:cs="Arial"/>
          <w:lang w:val="es-ES_tradnl"/>
        </w:rPr>
        <w:t>ECT</w:t>
      </w:r>
      <w:r w:rsidR="00880AA7" w:rsidRPr="00155B1E">
        <w:rPr>
          <w:rFonts w:cs="Arial"/>
          <w:lang w:val="es-ES_tradnl"/>
        </w:rPr>
        <w:t xml:space="preserve"> </w:t>
      </w:r>
      <w:r w:rsidR="00B76B6B" w:rsidRPr="00155B1E">
        <w:rPr>
          <w:rFonts w:cs="Arial"/>
          <w:lang w:val="es-ES_tradnl"/>
        </w:rPr>
        <w:t xml:space="preserve">envió un recordatorio a las Partes Contratantes a través del </w:t>
      </w:r>
      <w:r w:rsidR="00155B1E" w:rsidRPr="00155B1E">
        <w:rPr>
          <w:rFonts w:cs="Arial"/>
          <w:lang w:val="es-ES_tradnl"/>
        </w:rPr>
        <w:t xml:space="preserve">Foro de </w:t>
      </w:r>
      <w:r w:rsidR="00B76B6B" w:rsidRPr="00155B1E">
        <w:rPr>
          <w:rFonts w:cs="Arial"/>
          <w:lang w:val="es-ES_tradnl"/>
        </w:rPr>
        <w:t xml:space="preserve">Ramsar </w:t>
      </w:r>
      <w:r w:rsidR="00155B1E" w:rsidRPr="00155B1E">
        <w:rPr>
          <w:rFonts w:cs="Arial"/>
          <w:lang w:val="es-ES_tradnl"/>
        </w:rPr>
        <w:t>y del espacio de trabajo del GECT</w:t>
      </w:r>
      <w:r w:rsidR="00880AA7" w:rsidRPr="00155B1E">
        <w:rPr>
          <w:rFonts w:cs="Arial"/>
          <w:lang w:val="es-ES_tradnl"/>
        </w:rPr>
        <w:t>.</w:t>
      </w:r>
    </w:p>
    <w:p w14:paraId="5B6992D6" w14:textId="77777777" w:rsidR="007E0DC5" w:rsidRPr="00D11EA8" w:rsidRDefault="007E0DC5" w:rsidP="00684ACE">
      <w:pPr>
        <w:pStyle w:val="ListParagraph"/>
        <w:ind w:left="426"/>
        <w:rPr>
          <w:rFonts w:asciiTheme="minorHAnsi" w:hAnsiTheme="minorHAnsi"/>
          <w:lang w:val="es-ES_tradnl"/>
        </w:rPr>
      </w:pPr>
    </w:p>
    <w:p w14:paraId="7C33114D" w14:textId="77777777" w:rsidR="00FF6E85" w:rsidRPr="00D11EA8" w:rsidRDefault="00C25CA9" w:rsidP="007E0DC5">
      <w:pPr>
        <w:pStyle w:val="ListParagraph"/>
        <w:ind w:left="426"/>
        <w:rPr>
          <w:rFonts w:asciiTheme="minorHAnsi" w:hAnsiTheme="minorHAnsi"/>
          <w:lang w:val="es-ES_tradnl"/>
        </w:rPr>
      </w:pPr>
      <w:r w:rsidRPr="00D11EA8">
        <w:rPr>
          <w:u w:val="single"/>
          <w:lang w:val="es-ES_tradnl"/>
        </w:rPr>
        <w:t>IPBES</w:t>
      </w:r>
    </w:p>
    <w:p w14:paraId="4E2BB6F3" w14:textId="77777777" w:rsidR="004D0A2C" w:rsidRPr="00D11EA8" w:rsidRDefault="004D0A2C" w:rsidP="007E0DC5">
      <w:pPr>
        <w:pStyle w:val="ListParagraph"/>
        <w:ind w:left="426"/>
        <w:rPr>
          <w:rFonts w:asciiTheme="minorHAnsi" w:hAnsiTheme="minorHAnsi"/>
          <w:lang w:val="es-ES_tradnl"/>
        </w:rPr>
      </w:pPr>
    </w:p>
    <w:p w14:paraId="7E166B67" w14:textId="5C9402E2" w:rsidR="00C25CA9" w:rsidRPr="00D11EA8" w:rsidRDefault="00FF6E85" w:rsidP="0098291C">
      <w:pPr>
        <w:rPr>
          <w:lang w:val="es-ES_tradnl"/>
        </w:rPr>
      </w:pPr>
      <w:r w:rsidRPr="00D11EA8">
        <w:rPr>
          <w:lang w:val="es-ES_tradnl"/>
        </w:rPr>
        <w:t>17.</w:t>
      </w:r>
      <w:r w:rsidRPr="00D11EA8">
        <w:rPr>
          <w:lang w:val="es-ES_tradnl"/>
        </w:rPr>
        <w:tab/>
      </w:r>
      <w:r w:rsidR="00155B1E">
        <w:rPr>
          <w:lang w:val="es-ES_tradnl"/>
        </w:rPr>
        <w:t>La P</w:t>
      </w:r>
      <w:r w:rsidR="00C9134B" w:rsidRPr="00D11EA8">
        <w:rPr>
          <w:lang w:val="es-ES_tradnl"/>
        </w:rPr>
        <w:t xml:space="preserve">residencia del GECT asistió a la 9ª reunión del </w:t>
      </w:r>
      <w:r w:rsidR="00A07AC3">
        <w:rPr>
          <w:lang w:val="es-ES_tradnl"/>
        </w:rPr>
        <w:t xml:space="preserve">Grupo </w:t>
      </w:r>
      <w:r w:rsidR="00A07AC3" w:rsidRPr="009306B4">
        <w:rPr>
          <w:lang w:val="es-ES_tradnl"/>
        </w:rPr>
        <w:t>multidisciplinario de expertos</w:t>
      </w:r>
      <w:r w:rsidR="00A07AC3">
        <w:rPr>
          <w:lang w:val="es-ES_tradnl"/>
        </w:rPr>
        <w:t xml:space="preserve"> </w:t>
      </w:r>
      <w:r w:rsidR="00C9134B" w:rsidRPr="00D11EA8">
        <w:rPr>
          <w:lang w:val="es-ES_tradnl"/>
        </w:rPr>
        <w:t xml:space="preserve">de la IPBES, que </w:t>
      </w:r>
      <w:r w:rsidR="00A07AC3">
        <w:rPr>
          <w:lang w:val="es-ES_tradnl"/>
        </w:rPr>
        <w:t>se celebró</w:t>
      </w:r>
      <w:r w:rsidR="00C9134B" w:rsidRPr="00D11EA8">
        <w:rPr>
          <w:lang w:val="es-ES_tradnl"/>
        </w:rPr>
        <w:t xml:space="preserve"> del 2</w:t>
      </w:r>
      <w:r w:rsidR="003312C3" w:rsidRPr="00D11EA8">
        <w:rPr>
          <w:lang w:val="es-ES_tradnl"/>
        </w:rPr>
        <w:t>0</w:t>
      </w:r>
      <w:r w:rsidR="00B7341F" w:rsidRPr="00D11EA8">
        <w:rPr>
          <w:lang w:val="es-ES_tradnl"/>
        </w:rPr>
        <w:t xml:space="preserve"> </w:t>
      </w:r>
      <w:r w:rsidR="00C9134B" w:rsidRPr="00D11EA8">
        <w:rPr>
          <w:lang w:val="es-ES_tradnl"/>
        </w:rPr>
        <w:t>al</w:t>
      </w:r>
      <w:r w:rsidR="003239E4" w:rsidRPr="00D11EA8">
        <w:rPr>
          <w:lang w:val="es-ES_tradnl"/>
        </w:rPr>
        <w:t xml:space="preserve"> </w:t>
      </w:r>
      <w:r w:rsidR="003312C3" w:rsidRPr="00D11EA8">
        <w:rPr>
          <w:lang w:val="es-ES_tradnl"/>
        </w:rPr>
        <w:t xml:space="preserve">22 </w:t>
      </w:r>
      <w:r w:rsidR="00C9134B" w:rsidRPr="00D11EA8">
        <w:rPr>
          <w:lang w:val="es-ES_tradnl"/>
        </w:rPr>
        <w:t>de junio de</w:t>
      </w:r>
      <w:r w:rsidR="003312C3" w:rsidRPr="00D11EA8">
        <w:rPr>
          <w:lang w:val="es-ES_tradnl"/>
        </w:rPr>
        <w:t xml:space="preserve"> 2017</w:t>
      </w:r>
      <w:r w:rsidR="00F858F1" w:rsidRPr="00D11EA8">
        <w:rPr>
          <w:lang w:val="es-ES_tradnl"/>
        </w:rPr>
        <w:t xml:space="preserve"> </w:t>
      </w:r>
      <w:r w:rsidR="00C9134B" w:rsidRPr="00D11EA8">
        <w:rPr>
          <w:lang w:val="es-ES_tradnl"/>
        </w:rPr>
        <w:t>en</w:t>
      </w:r>
      <w:r w:rsidR="00F858F1" w:rsidRPr="00D11EA8">
        <w:rPr>
          <w:lang w:val="es-ES_tradnl"/>
        </w:rPr>
        <w:t xml:space="preserve"> Bonn</w:t>
      </w:r>
      <w:r w:rsidR="00C9134B" w:rsidRPr="00D11EA8">
        <w:rPr>
          <w:lang w:val="es-ES_tradnl"/>
        </w:rPr>
        <w:t xml:space="preserve"> (Alemania). </w:t>
      </w:r>
      <w:r w:rsidR="00A07AC3">
        <w:rPr>
          <w:lang w:val="es-ES_tradnl"/>
        </w:rPr>
        <w:t>E</w:t>
      </w:r>
      <w:r w:rsidR="00A07AC3" w:rsidRPr="00D11EA8">
        <w:rPr>
          <w:lang w:val="es-ES_tradnl"/>
        </w:rPr>
        <w:t xml:space="preserve">n </w:t>
      </w:r>
      <w:r w:rsidR="00A07AC3">
        <w:rPr>
          <w:lang w:val="es-ES_tradnl"/>
        </w:rPr>
        <w:t xml:space="preserve">el sexto período de sesiones de la </w:t>
      </w:r>
      <w:r w:rsidR="00E464D7" w:rsidRPr="00A07AC3">
        <w:rPr>
          <w:lang w:val="es-ES_tradnl"/>
        </w:rPr>
        <w:t>IPBES</w:t>
      </w:r>
      <w:r w:rsidR="00A07AC3">
        <w:rPr>
          <w:lang w:val="es-ES_tradnl"/>
        </w:rPr>
        <w:t xml:space="preserve"> (IPBES</w:t>
      </w:r>
      <w:r w:rsidR="00E464D7" w:rsidRPr="00D11EA8">
        <w:rPr>
          <w:lang w:val="es-ES_tradnl"/>
        </w:rPr>
        <w:t>-6</w:t>
      </w:r>
      <w:r w:rsidR="00A07AC3">
        <w:rPr>
          <w:lang w:val="es-ES_tradnl"/>
        </w:rPr>
        <w:t>), que tendrá lugar</w:t>
      </w:r>
      <w:r w:rsidR="00E464D7" w:rsidRPr="00D11EA8">
        <w:rPr>
          <w:lang w:val="es-ES_tradnl"/>
        </w:rPr>
        <w:t xml:space="preserve"> </w:t>
      </w:r>
      <w:r w:rsidR="00C12F2B" w:rsidRPr="00D11EA8">
        <w:rPr>
          <w:lang w:val="es-ES_tradnl"/>
        </w:rPr>
        <w:t xml:space="preserve">en marzo de </w:t>
      </w:r>
      <w:r w:rsidR="00E464D7" w:rsidRPr="00D11EA8">
        <w:rPr>
          <w:lang w:val="es-ES_tradnl"/>
        </w:rPr>
        <w:t>2018</w:t>
      </w:r>
      <w:r w:rsidR="00A07AC3">
        <w:rPr>
          <w:lang w:val="es-ES_tradnl"/>
        </w:rPr>
        <w:t xml:space="preserve">, se </w:t>
      </w:r>
      <w:r w:rsidR="00C12F2B" w:rsidRPr="00D11EA8">
        <w:rPr>
          <w:lang w:val="es-ES_tradnl"/>
        </w:rPr>
        <w:t>examinará</w:t>
      </w:r>
      <w:r w:rsidR="00A07AC3">
        <w:rPr>
          <w:lang w:val="es-ES_tradnl"/>
        </w:rPr>
        <w:t>n</w:t>
      </w:r>
      <w:r w:rsidR="00C12F2B" w:rsidRPr="00D11EA8">
        <w:rPr>
          <w:lang w:val="es-ES_tradnl"/>
        </w:rPr>
        <w:t xml:space="preserve"> el</w:t>
      </w:r>
      <w:r w:rsidR="00A07AC3">
        <w:rPr>
          <w:lang w:val="es-ES_tradnl"/>
        </w:rPr>
        <w:t xml:space="preserve"> informe</w:t>
      </w:r>
      <w:r w:rsidR="00C12F2B" w:rsidRPr="00D11EA8">
        <w:rPr>
          <w:lang w:val="es-ES_tradnl"/>
        </w:rPr>
        <w:t xml:space="preserve"> </w:t>
      </w:r>
      <w:r w:rsidR="00E464D7" w:rsidRPr="009306B4">
        <w:rPr>
          <w:i/>
          <w:lang w:val="es-ES_tradnl"/>
        </w:rPr>
        <w:t>Land Degradation and Restoration Assessment</w:t>
      </w:r>
      <w:r w:rsidR="00A07AC3">
        <w:rPr>
          <w:lang w:val="es-ES_tradnl"/>
        </w:rPr>
        <w:t xml:space="preserve"> [Evaluación </w:t>
      </w:r>
      <w:r w:rsidR="005C1EFC">
        <w:rPr>
          <w:lang w:val="es-ES_tradnl"/>
        </w:rPr>
        <w:t>sobre</w:t>
      </w:r>
      <w:r w:rsidR="00A07AC3">
        <w:rPr>
          <w:lang w:val="es-ES_tradnl"/>
        </w:rPr>
        <w:t xml:space="preserve"> la degradación y restauración de la tierra] y otras </w:t>
      </w:r>
      <w:r w:rsidR="00C12F2B" w:rsidRPr="00D11EA8">
        <w:rPr>
          <w:lang w:val="es-ES_tradnl"/>
        </w:rPr>
        <w:t>evaluaciones regionales</w:t>
      </w:r>
      <w:r w:rsidR="00E464D7" w:rsidRPr="00D11EA8">
        <w:rPr>
          <w:lang w:val="es-ES_tradnl"/>
        </w:rPr>
        <w:t xml:space="preserve">. </w:t>
      </w:r>
    </w:p>
    <w:p w14:paraId="3D235A89" w14:textId="77777777" w:rsidR="00E464D7" w:rsidRPr="00D11EA8" w:rsidRDefault="00E464D7" w:rsidP="00684ACE">
      <w:pPr>
        <w:rPr>
          <w:rFonts w:asciiTheme="minorHAnsi" w:hAnsiTheme="minorHAnsi"/>
          <w:lang w:val="es-ES_tradnl"/>
        </w:rPr>
      </w:pPr>
    </w:p>
    <w:p w14:paraId="28FB2F12" w14:textId="16450832" w:rsidR="00E464D7" w:rsidRPr="00081215" w:rsidRDefault="004D0A2C" w:rsidP="00081215">
      <w:pPr>
        <w:rPr>
          <w:rFonts w:asciiTheme="minorHAnsi" w:hAnsiTheme="minorHAnsi"/>
          <w:lang w:val="es-ES_tradnl"/>
        </w:rPr>
      </w:pPr>
      <w:r w:rsidRPr="00D11EA8">
        <w:rPr>
          <w:lang w:val="es-ES_tradnl"/>
        </w:rPr>
        <w:t>18.</w:t>
      </w:r>
      <w:r w:rsidRPr="00D11EA8">
        <w:rPr>
          <w:lang w:val="es-ES_tradnl"/>
        </w:rPr>
        <w:tab/>
      </w:r>
      <w:r w:rsidR="00C12F2B" w:rsidRPr="00D11EA8">
        <w:rPr>
          <w:lang w:val="es-ES_tradnl"/>
        </w:rPr>
        <w:t xml:space="preserve">En la Resolución </w:t>
      </w:r>
      <w:r w:rsidR="0055238F" w:rsidRPr="00D11EA8">
        <w:rPr>
          <w:lang w:val="es-ES_tradnl"/>
        </w:rPr>
        <w:t>XII.2</w:t>
      </w:r>
      <w:r w:rsidR="00A07AC3">
        <w:rPr>
          <w:lang w:val="es-ES_tradnl"/>
        </w:rPr>
        <w:t xml:space="preserve">, </w:t>
      </w:r>
      <w:r w:rsidR="00A07AC3" w:rsidRPr="00A07AC3">
        <w:rPr>
          <w:i/>
          <w:lang w:val="es-ES_tradnl"/>
        </w:rPr>
        <w:t xml:space="preserve">El Plan Estratégico de Ramsar para </w:t>
      </w:r>
      <w:r w:rsidR="00BF5B49" w:rsidRPr="00A07AC3">
        <w:rPr>
          <w:i/>
          <w:lang w:val="es-ES_tradnl"/>
        </w:rPr>
        <w:t>2016</w:t>
      </w:r>
      <w:r w:rsidR="00BF5B49" w:rsidRPr="00D11EA8">
        <w:rPr>
          <w:i/>
          <w:lang w:val="es-ES_tradnl"/>
        </w:rPr>
        <w:t>-2024</w:t>
      </w:r>
      <w:r w:rsidR="00A07AC3">
        <w:rPr>
          <w:lang w:val="es-ES_tradnl"/>
        </w:rPr>
        <w:t xml:space="preserve">, </w:t>
      </w:r>
      <w:r w:rsidR="00C12F2B" w:rsidRPr="00D11EA8">
        <w:rPr>
          <w:lang w:val="es-ES_tradnl"/>
        </w:rPr>
        <w:t xml:space="preserve">se pide a la </w:t>
      </w:r>
      <w:r w:rsidR="00D11EA8" w:rsidRPr="00D11EA8">
        <w:rPr>
          <w:lang w:val="es-ES_tradnl"/>
        </w:rPr>
        <w:t>Secretaría</w:t>
      </w:r>
      <w:r w:rsidR="00C12F2B" w:rsidRPr="00D11EA8">
        <w:rPr>
          <w:lang w:val="es-ES_tradnl"/>
        </w:rPr>
        <w:t xml:space="preserve"> </w:t>
      </w:r>
      <w:r w:rsidR="0055238F" w:rsidRPr="00D11EA8">
        <w:rPr>
          <w:lang w:val="es-ES_tradnl"/>
        </w:rPr>
        <w:t>“</w:t>
      </w:r>
      <w:r w:rsidR="007B3DE2">
        <w:rPr>
          <w:lang w:val="es-ES_tradnl"/>
        </w:rPr>
        <w:t>que presente a la IPBES una solicitud de evaluación temática de las situación y las tendencias actuales de los humedales, incluido su estado</w:t>
      </w:r>
      <w:r w:rsidR="0055238F" w:rsidRPr="00D11EA8">
        <w:rPr>
          <w:lang w:val="es-ES_tradnl"/>
        </w:rPr>
        <w:t>”</w:t>
      </w:r>
      <w:r w:rsidR="00FF6E85" w:rsidRPr="00D11EA8">
        <w:rPr>
          <w:lang w:val="es-ES_tradnl"/>
        </w:rPr>
        <w:t>.</w:t>
      </w:r>
      <w:r w:rsidR="0055238F" w:rsidRPr="00D11EA8">
        <w:rPr>
          <w:lang w:val="es-ES_tradnl"/>
        </w:rPr>
        <w:t xml:space="preserve"> </w:t>
      </w:r>
      <w:r w:rsidR="00C12F2B" w:rsidRPr="00D11EA8">
        <w:rPr>
          <w:lang w:val="es-ES_tradnl"/>
        </w:rPr>
        <w:t xml:space="preserve">Se </w:t>
      </w:r>
      <w:r w:rsidR="00081215" w:rsidRPr="00015015">
        <w:rPr>
          <w:rFonts w:asciiTheme="minorHAnsi" w:hAnsiTheme="minorHAnsi"/>
          <w:lang w:val="es-ES_tradnl"/>
        </w:rPr>
        <w:t>prevé que en el sexto período de sesiones de la IPBES, que tendrá lugar en marzo de 2018, esta reciba la solicitud de aprobación de una convocatoria de propuestas para el segundo programa de trabajo. Si se mantiene esa fecha, la convocatoria formal de propuestas se publicará poco tiempo después</w:t>
      </w:r>
      <w:r w:rsidR="00C12F2B" w:rsidRPr="00D11EA8">
        <w:rPr>
          <w:lang w:val="es-ES_tradnl"/>
        </w:rPr>
        <w:t xml:space="preserve">. Con arreglo a las directrices </w:t>
      </w:r>
      <w:r w:rsidR="00D11EA8" w:rsidRPr="00D11EA8">
        <w:rPr>
          <w:lang w:val="es-ES_tradnl"/>
        </w:rPr>
        <w:t>provisionales</w:t>
      </w:r>
      <w:r w:rsidR="00081215">
        <w:rPr>
          <w:lang w:val="es-ES_tradnl"/>
        </w:rPr>
        <w:t xml:space="preserve"> </w:t>
      </w:r>
      <w:r w:rsidR="00C12F2B" w:rsidRPr="00D11EA8">
        <w:rPr>
          <w:lang w:val="es-ES_tradnl"/>
        </w:rPr>
        <w:t>aprobadas por el</w:t>
      </w:r>
      <w:r w:rsidR="00947DB3" w:rsidRPr="00D11EA8">
        <w:rPr>
          <w:lang w:val="es-ES_tradnl"/>
        </w:rPr>
        <w:t xml:space="preserve"> Comité Permanente</w:t>
      </w:r>
      <w:r w:rsidR="00081215">
        <w:rPr>
          <w:lang w:val="es-ES_tradnl"/>
        </w:rPr>
        <w:t xml:space="preserve"> (CP)</w:t>
      </w:r>
      <w:r w:rsidR="00FA7E71" w:rsidRPr="00D11EA8">
        <w:rPr>
          <w:lang w:val="es-ES_tradnl"/>
        </w:rPr>
        <w:t xml:space="preserve"> </w:t>
      </w:r>
      <w:r w:rsidR="00C12F2B" w:rsidRPr="00D11EA8">
        <w:rPr>
          <w:lang w:val="es-ES_tradnl"/>
        </w:rPr>
        <w:t xml:space="preserve">mediante la Decisión </w:t>
      </w:r>
      <w:r w:rsidR="00E464D7" w:rsidRPr="00D11EA8">
        <w:rPr>
          <w:lang w:val="es-ES_tradnl"/>
        </w:rPr>
        <w:t xml:space="preserve">SC47-24, </w:t>
      </w:r>
      <w:r w:rsidR="00081215">
        <w:rPr>
          <w:lang w:val="es-ES_tradnl"/>
        </w:rPr>
        <w:t xml:space="preserve">el CP </w:t>
      </w:r>
      <w:r w:rsidR="00C12F2B" w:rsidRPr="00D11EA8">
        <w:rPr>
          <w:lang w:val="es-ES_tradnl"/>
        </w:rPr>
        <w:t xml:space="preserve">es el que decide qué propuestas </w:t>
      </w:r>
      <w:r w:rsidR="00081215">
        <w:rPr>
          <w:lang w:val="es-ES_tradnl"/>
        </w:rPr>
        <w:t xml:space="preserve">se deben </w:t>
      </w:r>
      <w:r w:rsidR="00C12F2B" w:rsidRPr="00D11EA8">
        <w:rPr>
          <w:lang w:val="es-ES_tradnl"/>
        </w:rPr>
        <w:t xml:space="preserve">presentar a la IPBES en nombre de la Convención de Ramsar. </w:t>
      </w:r>
      <w:r w:rsidR="00081215" w:rsidRPr="00015015">
        <w:rPr>
          <w:rFonts w:asciiTheme="minorHAnsi" w:hAnsiTheme="minorHAnsi"/>
          <w:lang w:val="es-ES_tradnl"/>
        </w:rPr>
        <w:t>Según se reconoce en las directrices provisionales</w:t>
      </w:r>
      <w:r w:rsidR="00081215">
        <w:rPr>
          <w:rFonts w:asciiTheme="minorHAnsi" w:hAnsiTheme="minorHAnsi"/>
          <w:lang w:val="es-ES_tradnl"/>
        </w:rPr>
        <w:t xml:space="preserve"> y se indica en informes anteriores de la Presidencia del GECT, “d</w:t>
      </w:r>
      <w:r w:rsidR="00081215" w:rsidRPr="00015015">
        <w:rPr>
          <w:rFonts w:asciiTheme="minorHAnsi" w:hAnsiTheme="minorHAnsi"/>
          <w:lang w:val="es-ES_tradnl"/>
        </w:rPr>
        <w:t>ebido a restricciones de tiempo, es probable que haya que presentar las propuestas a los miembros del Comité Permanente de forma virtual y que su aprobación o las observaciones al respecto se deban realizar en un corto espacio de tiempo”</w:t>
      </w:r>
      <w:r w:rsidR="00E464D7" w:rsidRPr="00D11EA8">
        <w:rPr>
          <w:lang w:val="es-ES_tradnl"/>
        </w:rPr>
        <w:t>.</w:t>
      </w:r>
    </w:p>
    <w:p w14:paraId="4749A0BA" w14:textId="77777777" w:rsidR="00E464D7" w:rsidRPr="00D11EA8" w:rsidRDefault="00E464D7" w:rsidP="00684ACE">
      <w:pPr>
        <w:rPr>
          <w:rFonts w:asciiTheme="minorHAnsi" w:hAnsiTheme="minorHAnsi"/>
          <w:lang w:val="es-ES_tradnl"/>
        </w:rPr>
      </w:pPr>
    </w:p>
    <w:p w14:paraId="6EA7DB94" w14:textId="38A8E1B6" w:rsidR="00FA7E71" w:rsidRPr="00D11EA8" w:rsidRDefault="00C12F2B" w:rsidP="00073463">
      <w:pPr>
        <w:keepNext/>
        <w:rPr>
          <w:rFonts w:asciiTheme="minorHAnsi" w:hAnsiTheme="minorHAnsi"/>
          <w:u w:val="single"/>
          <w:lang w:val="es-ES_tradnl"/>
        </w:rPr>
      </w:pPr>
      <w:r w:rsidRPr="00D11EA8">
        <w:rPr>
          <w:rFonts w:asciiTheme="minorHAnsi" w:hAnsiTheme="minorHAnsi"/>
          <w:u w:val="single"/>
          <w:lang w:val="es-ES_tradnl"/>
        </w:rPr>
        <w:t xml:space="preserve">Participación del </w:t>
      </w:r>
      <w:r w:rsidR="00D84DDF" w:rsidRPr="00D11EA8">
        <w:rPr>
          <w:rFonts w:asciiTheme="minorHAnsi" w:hAnsiTheme="minorHAnsi"/>
          <w:u w:val="single"/>
          <w:lang w:val="es-ES_tradnl"/>
        </w:rPr>
        <w:t>GECT</w:t>
      </w:r>
      <w:r w:rsidR="00E464D7" w:rsidRPr="00D11EA8">
        <w:rPr>
          <w:rFonts w:asciiTheme="minorHAnsi" w:hAnsiTheme="minorHAnsi"/>
          <w:u w:val="single"/>
          <w:lang w:val="es-ES_tradnl"/>
        </w:rPr>
        <w:t xml:space="preserve"> </w:t>
      </w:r>
      <w:r w:rsidR="00374A32">
        <w:rPr>
          <w:rFonts w:asciiTheme="minorHAnsi" w:hAnsiTheme="minorHAnsi"/>
          <w:u w:val="single"/>
          <w:lang w:val="es-ES_tradnl"/>
        </w:rPr>
        <w:t>en evaluaciones mundiales</w:t>
      </w:r>
      <w:r w:rsidRPr="00D11EA8">
        <w:rPr>
          <w:rFonts w:asciiTheme="minorHAnsi" w:hAnsiTheme="minorHAnsi"/>
          <w:u w:val="single"/>
          <w:lang w:val="es-ES_tradnl"/>
        </w:rPr>
        <w:t xml:space="preserve"> </w:t>
      </w:r>
    </w:p>
    <w:p w14:paraId="389FBF11" w14:textId="77777777" w:rsidR="00FA7E71" w:rsidRPr="00D11EA8" w:rsidRDefault="00FA7E71" w:rsidP="00073463">
      <w:pPr>
        <w:keepNext/>
        <w:rPr>
          <w:rFonts w:asciiTheme="minorHAnsi" w:hAnsiTheme="minorHAnsi"/>
          <w:lang w:val="es-ES_tradnl"/>
        </w:rPr>
      </w:pPr>
    </w:p>
    <w:p w14:paraId="6371C438" w14:textId="69B5612C" w:rsidR="004B6E8B" w:rsidRPr="00D11EA8" w:rsidRDefault="00FA7E71" w:rsidP="00073463">
      <w:pPr>
        <w:keepNext/>
        <w:rPr>
          <w:rFonts w:asciiTheme="minorHAnsi" w:hAnsiTheme="minorHAnsi"/>
          <w:lang w:val="es-ES_tradnl"/>
        </w:rPr>
      </w:pPr>
      <w:r w:rsidRPr="00D11EA8">
        <w:rPr>
          <w:lang w:val="es-ES_tradnl"/>
        </w:rPr>
        <w:t>19.</w:t>
      </w:r>
      <w:r w:rsidRPr="00D11EA8">
        <w:rPr>
          <w:lang w:val="es-ES_tradnl"/>
        </w:rPr>
        <w:tab/>
      </w:r>
      <w:r w:rsidR="00C12F2B" w:rsidRPr="00D11EA8">
        <w:rPr>
          <w:lang w:val="es-ES_tradnl"/>
        </w:rPr>
        <w:t>El GE</w:t>
      </w:r>
      <w:r w:rsidR="00D84DDF" w:rsidRPr="00D11EA8">
        <w:rPr>
          <w:lang w:val="es-ES_tradnl"/>
        </w:rPr>
        <w:t>CT</w:t>
      </w:r>
      <w:r w:rsidR="006757F7" w:rsidRPr="00D11EA8">
        <w:rPr>
          <w:lang w:val="es-ES_tradnl"/>
        </w:rPr>
        <w:t xml:space="preserve">, </w:t>
      </w:r>
      <w:r w:rsidR="00C12F2B" w:rsidRPr="00D11EA8">
        <w:rPr>
          <w:lang w:val="es-ES_tradnl"/>
        </w:rPr>
        <w:t xml:space="preserve">con la ayuda de la Secretaría, participó en </w:t>
      </w:r>
      <w:r w:rsidR="00374A32">
        <w:rPr>
          <w:lang w:val="es-ES_tradnl"/>
        </w:rPr>
        <w:t xml:space="preserve">la </w:t>
      </w:r>
      <w:r w:rsidR="00C12F2B" w:rsidRPr="00D11EA8">
        <w:rPr>
          <w:lang w:val="es-ES_tradnl"/>
        </w:rPr>
        <w:t>evaluación externa</w:t>
      </w:r>
      <w:r w:rsidR="00374A32">
        <w:rPr>
          <w:lang w:val="es-ES_tradnl"/>
        </w:rPr>
        <w:t xml:space="preserve"> de las siguientes evaluaciones ambientales mundiales, incluyendo datos del Índice WET en los casos pertinentes</w:t>
      </w:r>
      <w:r w:rsidR="004B6E8B" w:rsidRPr="00D11EA8">
        <w:rPr>
          <w:lang w:val="es-ES_tradnl"/>
        </w:rPr>
        <w:t>:</w:t>
      </w:r>
    </w:p>
    <w:p w14:paraId="1E817867" w14:textId="77777777" w:rsidR="00E464D7" w:rsidRPr="00A34EF2" w:rsidRDefault="00E464D7" w:rsidP="00684ACE">
      <w:pPr>
        <w:rPr>
          <w:rFonts w:asciiTheme="minorHAnsi" w:hAnsiTheme="minorHAnsi"/>
          <w:lang w:val="es-ES_tradnl"/>
        </w:rPr>
      </w:pPr>
    </w:p>
    <w:p w14:paraId="67F4DC03" w14:textId="095C6219" w:rsidR="004B6E8B" w:rsidRPr="00A34EF2" w:rsidRDefault="005C1EFC" w:rsidP="002536A8">
      <w:pPr>
        <w:pStyle w:val="ListParagraph"/>
        <w:numPr>
          <w:ilvl w:val="0"/>
          <w:numId w:val="12"/>
        </w:numPr>
        <w:ind w:left="850" w:hanging="425"/>
        <w:rPr>
          <w:lang w:val="es-ES_tradnl"/>
        </w:rPr>
      </w:pPr>
      <w:r w:rsidRPr="00A34EF2">
        <w:rPr>
          <w:lang w:val="es-ES_tradnl"/>
        </w:rPr>
        <w:t xml:space="preserve">Evaluación de la </w:t>
      </w:r>
      <w:r w:rsidR="004B6E8B" w:rsidRPr="00A34EF2">
        <w:rPr>
          <w:lang w:val="es-ES_tradnl"/>
        </w:rPr>
        <w:t>IPBES</w:t>
      </w:r>
      <w:r w:rsidRPr="00A34EF2">
        <w:rPr>
          <w:lang w:val="es-ES_tradnl"/>
        </w:rPr>
        <w:t xml:space="preserve"> sobre la degradación y restauración de la tierra </w:t>
      </w:r>
      <w:r w:rsidR="00F631E2" w:rsidRPr="00A34EF2">
        <w:rPr>
          <w:lang w:val="es-ES_tradnl"/>
        </w:rPr>
        <w:t>(</w:t>
      </w:r>
      <w:r w:rsidRPr="00A34EF2">
        <w:rPr>
          <w:lang w:val="es-ES_tradnl"/>
        </w:rPr>
        <w:t>segundo borrador</w:t>
      </w:r>
      <w:r w:rsidR="00F631E2" w:rsidRPr="00A34EF2">
        <w:rPr>
          <w:lang w:val="es-ES_tradnl"/>
        </w:rPr>
        <w:t>)</w:t>
      </w:r>
    </w:p>
    <w:p w14:paraId="37A93BB4" w14:textId="6C0E0A1A" w:rsidR="004B6E8B" w:rsidRPr="00A34EF2" w:rsidRDefault="005C1EFC" w:rsidP="002536A8">
      <w:pPr>
        <w:pStyle w:val="ListParagraph"/>
        <w:numPr>
          <w:ilvl w:val="0"/>
          <w:numId w:val="12"/>
        </w:numPr>
        <w:ind w:left="850" w:hanging="425"/>
        <w:rPr>
          <w:lang w:val="es-ES_tradnl"/>
        </w:rPr>
      </w:pPr>
      <w:r w:rsidRPr="00A34EF2">
        <w:rPr>
          <w:lang w:val="es-ES_tradnl"/>
        </w:rPr>
        <w:t xml:space="preserve">Evaluación mundial de la biodiversidad de la IPBES </w:t>
      </w:r>
      <w:r w:rsidR="00F631E2" w:rsidRPr="00A34EF2">
        <w:rPr>
          <w:lang w:val="es-ES_tradnl"/>
        </w:rPr>
        <w:t>(</w:t>
      </w:r>
      <w:r w:rsidRPr="00A34EF2">
        <w:rPr>
          <w:lang w:val="es-ES_tradnl"/>
        </w:rPr>
        <w:t>primer borrador</w:t>
      </w:r>
      <w:r w:rsidR="00F631E2" w:rsidRPr="00A34EF2">
        <w:rPr>
          <w:lang w:val="es-ES_tradnl"/>
        </w:rPr>
        <w:t>)</w:t>
      </w:r>
    </w:p>
    <w:p w14:paraId="72642F58" w14:textId="1BAC08B1" w:rsidR="004B6E8B" w:rsidRPr="00A34EF2" w:rsidRDefault="005C1EFC" w:rsidP="002536A8">
      <w:pPr>
        <w:pStyle w:val="ListParagraph"/>
        <w:numPr>
          <w:ilvl w:val="0"/>
          <w:numId w:val="12"/>
        </w:numPr>
        <w:ind w:left="850" w:hanging="425"/>
        <w:rPr>
          <w:lang w:val="es-ES_tradnl"/>
        </w:rPr>
      </w:pPr>
      <w:r w:rsidRPr="00A34EF2">
        <w:rPr>
          <w:lang w:val="es-ES_tradnl"/>
        </w:rPr>
        <w:t xml:space="preserve">Evaluaciones regionales de la </w:t>
      </w:r>
      <w:r w:rsidR="004B6E8B" w:rsidRPr="00A34EF2">
        <w:rPr>
          <w:lang w:val="es-ES_tradnl"/>
        </w:rPr>
        <w:t xml:space="preserve">IPBES </w:t>
      </w:r>
      <w:r w:rsidR="00F631E2" w:rsidRPr="00A34EF2">
        <w:rPr>
          <w:lang w:val="es-ES_tradnl"/>
        </w:rPr>
        <w:t>(</w:t>
      </w:r>
      <w:r w:rsidRPr="00A34EF2">
        <w:rPr>
          <w:lang w:val="es-ES_tradnl"/>
        </w:rPr>
        <w:t>segundos borradores</w:t>
      </w:r>
      <w:r w:rsidR="00F631E2" w:rsidRPr="00A34EF2">
        <w:rPr>
          <w:lang w:val="es-ES_tradnl"/>
        </w:rPr>
        <w:t>)</w:t>
      </w:r>
    </w:p>
    <w:p w14:paraId="087943B3" w14:textId="7AC713D6" w:rsidR="004B6E8B" w:rsidRPr="00A34EF2" w:rsidRDefault="00036195" w:rsidP="002536A8">
      <w:pPr>
        <w:pStyle w:val="ListParagraph"/>
        <w:numPr>
          <w:ilvl w:val="0"/>
          <w:numId w:val="12"/>
        </w:numPr>
        <w:ind w:left="850" w:hanging="425"/>
        <w:rPr>
          <w:lang w:val="es-ES_tradnl"/>
        </w:rPr>
      </w:pPr>
      <w:r>
        <w:rPr>
          <w:lang w:val="es-ES_tradnl"/>
        </w:rPr>
        <w:t xml:space="preserve">Sexto informe </w:t>
      </w:r>
      <w:r w:rsidR="00A34EF2" w:rsidRPr="00036195">
        <w:rPr>
          <w:i/>
          <w:lang w:val="es-ES_tradnl"/>
        </w:rPr>
        <w:t>Perspectivas del Medio Ambi</w:t>
      </w:r>
      <w:r w:rsidRPr="00036195">
        <w:rPr>
          <w:i/>
          <w:lang w:val="es-ES_tradnl"/>
        </w:rPr>
        <w:t>ente Mundial</w:t>
      </w:r>
      <w:r w:rsidR="00A34EF2" w:rsidRPr="00A34EF2">
        <w:rPr>
          <w:lang w:val="es-ES_tradnl"/>
        </w:rPr>
        <w:t xml:space="preserve"> </w:t>
      </w:r>
      <w:r w:rsidR="00B77D2C" w:rsidRPr="00A34EF2">
        <w:rPr>
          <w:lang w:val="es-ES_tradnl"/>
        </w:rPr>
        <w:t>(GEO</w:t>
      </w:r>
      <w:r w:rsidR="004B6E8B" w:rsidRPr="00A34EF2">
        <w:rPr>
          <w:lang w:val="es-ES_tradnl"/>
        </w:rPr>
        <w:t>-6</w:t>
      </w:r>
      <w:r w:rsidR="00B77D2C" w:rsidRPr="00A34EF2">
        <w:rPr>
          <w:lang w:val="es-ES_tradnl"/>
        </w:rPr>
        <w:t>)</w:t>
      </w:r>
      <w:r w:rsidR="004B6E8B" w:rsidRPr="00A34EF2">
        <w:rPr>
          <w:lang w:val="es-ES_tradnl"/>
        </w:rPr>
        <w:t xml:space="preserve"> (</w:t>
      </w:r>
      <w:r w:rsidR="005C1EFC" w:rsidRPr="00A34EF2">
        <w:rPr>
          <w:lang w:val="es-ES_tradnl"/>
        </w:rPr>
        <w:t>segundo borrador</w:t>
      </w:r>
      <w:r w:rsidR="00A34EF2" w:rsidRPr="00A34EF2">
        <w:rPr>
          <w:lang w:val="es-ES_tradnl"/>
        </w:rPr>
        <w:t xml:space="preserve">—capítulo </w:t>
      </w:r>
      <w:r w:rsidR="004B6E8B" w:rsidRPr="00A34EF2">
        <w:rPr>
          <w:lang w:val="es-ES_tradnl"/>
        </w:rPr>
        <w:t xml:space="preserve">6 </w:t>
      </w:r>
      <w:r w:rsidR="00A34EF2" w:rsidRPr="00A34EF2">
        <w:rPr>
          <w:lang w:val="es-ES_tradnl"/>
        </w:rPr>
        <w:t>sobre agua dulce</w:t>
      </w:r>
      <w:r w:rsidR="004B6E8B" w:rsidRPr="00A34EF2">
        <w:rPr>
          <w:lang w:val="es-ES_tradnl"/>
        </w:rPr>
        <w:t>)</w:t>
      </w:r>
    </w:p>
    <w:p w14:paraId="2F26DFE7" w14:textId="6E8CC1FA" w:rsidR="004B6E8B" w:rsidRPr="00A34EF2" w:rsidRDefault="00A34EF2" w:rsidP="002536A8">
      <w:pPr>
        <w:pStyle w:val="ListParagraph"/>
        <w:numPr>
          <w:ilvl w:val="0"/>
          <w:numId w:val="12"/>
        </w:numPr>
        <w:ind w:left="850" w:hanging="425"/>
        <w:rPr>
          <w:lang w:val="es-ES_tradnl"/>
        </w:rPr>
      </w:pPr>
      <w:r w:rsidRPr="00974A4D">
        <w:rPr>
          <w:i/>
          <w:lang w:val="es-ES_tradnl"/>
        </w:rPr>
        <w:t>Perspectiva Global de la Tierra</w:t>
      </w:r>
      <w:r w:rsidRPr="00A34EF2">
        <w:rPr>
          <w:lang w:val="es-ES_tradnl"/>
        </w:rPr>
        <w:t xml:space="preserve"> (</w:t>
      </w:r>
      <w:r w:rsidR="004B6E8B" w:rsidRPr="00A34EF2">
        <w:rPr>
          <w:i/>
          <w:lang w:val="es-ES_tradnl"/>
        </w:rPr>
        <w:t>Global Land Outlook</w:t>
      </w:r>
      <w:r w:rsidRPr="00A34EF2">
        <w:rPr>
          <w:lang w:val="es-ES_tradnl"/>
        </w:rPr>
        <w:t>, GLO) (capítulo 8 sobre recursos hídricos</w:t>
      </w:r>
      <w:r w:rsidR="004B6E8B" w:rsidRPr="00A34EF2">
        <w:rPr>
          <w:lang w:val="es-ES_tradnl"/>
        </w:rPr>
        <w:t>)</w:t>
      </w:r>
    </w:p>
    <w:p w14:paraId="01686B67" w14:textId="77777777" w:rsidR="002654E8" w:rsidRPr="00A34EF2" w:rsidRDefault="002654E8" w:rsidP="002654E8">
      <w:pPr>
        <w:pStyle w:val="ListParagraph"/>
        <w:rPr>
          <w:lang w:val="es-ES_tradnl"/>
        </w:rPr>
      </w:pPr>
    </w:p>
    <w:p w14:paraId="1DECF0AA" w14:textId="17277488" w:rsidR="000C23C4" w:rsidRPr="00D11EA8" w:rsidRDefault="00834262" w:rsidP="000C23C4">
      <w:pPr>
        <w:rPr>
          <w:rFonts w:cstheme="minorHAnsi"/>
          <w:color w:val="000000"/>
          <w:u w:val="single"/>
          <w:lang w:val="es-ES_tradnl"/>
        </w:rPr>
      </w:pPr>
      <w:r w:rsidRPr="00D11EA8">
        <w:rPr>
          <w:rFonts w:cstheme="minorHAnsi"/>
          <w:color w:val="000000"/>
          <w:u w:val="single"/>
          <w:lang w:val="es-ES_tradnl"/>
        </w:rPr>
        <w:t>Acreditación de Ciudad de Humedal</w:t>
      </w:r>
    </w:p>
    <w:p w14:paraId="25D95D9C" w14:textId="77777777" w:rsidR="000C23C4" w:rsidRPr="00D11EA8" w:rsidRDefault="000C23C4" w:rsidP="00425317">
      <w:pPr>
        <w:rPr>
          <w:color w:val="000000"/>
          <w:lang w:val="es-ES_tradnl"/>
        </w:rPr>
      </w:pPr>
    </w:p>
    <w:p w14:paraId="1EE90353" w14:textId="5E2D9E01" w:rsidR="002654E8" w:rsidRPr="00D11EA8" w:rsidRDefault="00A34EF2" w:rsidP="000C23C4">
      <w:pPr>
        <w:pStyle w:val="ListParagraph"/>
        <w:numPr>
          <w:ilvl w:val="0"/>
          <w:numId w:val="29"/>
        </w:numPr>
        <w:ind w:left="426" w:hanging="426"/>
        <w:rPr>
          <w:color w:val="000000"/>
          <w:lang w:val="es-ES_tradnl"/>
        </w:rPr>
      </w:pPr>
      <w:r>
        <w:rPr>
          <w:color w:val="000000"/>
          <w:lang w:val="es-ES_tradnl"/>
        </w:rPr>
        <w:t>En</w:t>
      </w:r>
      <w:r w:rsidR="00834262" w:rsidRPr="00D11EA8">
        <w:rPr>
          <w:color w:val="000000"/>
          <w:lang w:val="es-ES_tradnl"/>
        </w:rPr>
        <w:t xml:space="preserve"> virtud de la </w:t>
      </w:r>
      <w:r w:rsidR="00D11EA8" w:rsidRPr="00D11EA8">
        <w:rPr>
          <w:color w:val="000000"/>
          <w:lang w:val="es-ES_tradnl"/>
        </w:rPr>
        <w:t>R</w:t>
      </w:r>
      <w:r w:rsidR="00D11EA8" w:rsidRPr="00D11EA8">
        <w:rPr>
          <w:rFonts w:cstheme="minorHAnsi"/>
          <w:color w:val="000000"/>
          <w:lang w:val="es-ES_tradnl"/>
        </w:rPr>
        <w:t>esolución</w:t>
      </w:r>
      <w:r w:rsidR="002654E8" w:rsidRPr="00D11EA8">
        <w:rPr>
          <w:rFonts w:cstheme="minorHAnsi"/>
          <w:color w:val="000000"/>
          <w:lang w:val="es-ES_tradnl"/>
        </w:rPr>
        <w:t xml:space="preserve"> XII.10, </w:t>
      </w:r>
      <w:r w:rsidR="00834262" w:rsidRPr="00D11EA8">
        <w:rPr>
          <w:rFonts w:cstheme="minorHAnsi"/>
          <w:color w:val="000000"/>
          <w:lang w:val="es-ES_tradnl"/>
        </w:rPr>
        <w:t xml:space="preserve">un </w:t>
      </w:r>
      <w:r w:rsidR="00D11EA8" w:rsidRPr="00D11EA8">
        <w:rPr>
          <w:rFonts w:cstheme="minorHAnsi"/>
          <w:color w:val="000000"/>
          <w:lang w:val="es-ES_tradnl"/>
        </w:rPr>
        <w:t>miembro</w:t>
      </w:r>
      <w:r w:rsidR="00834262" w:rsidRPr="00D11EA8">
        <w:rPr>
          <w:rFonts w:cstheme="minorHAnsi"/>
          <w:color w:val="000000"/>
          <w:lang w:val="es-ES_tradnl"/>
        </w:rPr>
        <w:t xml:space="preserve"> del GECT forma parte del Comité Asesor Independiente (CAI). En la reunión </w:t>
      </w:r>
      <w:r w:rsidR="00D84DDF" w:rsidRPr="00D11EA8">
        <w:rPr>
          <w:rFonts w:cstheme="minorHAnsi"/>
          <w:color w:val="000000"/>
          <w:lang w:val="es-ES_tradnl"/>
        </w:rPr>
        <w:t>GECT</w:t>
      </w:r>
      <w:r w:rsidR="002654E8" w:rsidRPr="00D11EA8">
        <w:rPr>
          <w:rFonts w:cstheme="minorHAnsi"/>
          <w:color w:val="000000"/>
          <w:lang w:val="es-ES_tradnl"/>
        </w:rPr>
        <w:t xml:space="preserve">21, </w:t>
      </w:r>
      <w:r w:rsidR="00834262" w:rsidRPr="00D11EA8">
        <w:rPr>
          <w:rFonts w:cstheme="minorHAnsi"/>
          <w:color w:val="000000"/>
          <w:lang w:val="es-ES_tradnl"/>
        </w:rPr>
        <w:t xml:space="preserve">el miembro del GECT </w:t>
      </w:r>
      <w:r w:rsidR="00D11EA8" w:rsidRPr="00D11EA8">
        <w:rPr>
          <w:rFonts w:cstheme="minorHAnsi"/>
          <w:color w:val="000000"/>
          <w:lang w:val="es-ES_tradnl"/>
        </w:rPr>
        <w:t>explicó</w:t>
      </w:r>
      <w:r>
        <w:rPr>
          <w:rFonts w:cstheme="minorHAnsi"/>
          <w:color w:val="000000"/>
          <w:lang w:val="es-ES_tradnl"/>
        </w:rPr>
        <w:t xml:space="preserve"> que las actividades </w:t>
      </w:r>
      <w:r w:rsidR="00834262" w:rsidRPr="00D11EA8">
        <w:rPr>
          <w:rFonts w:cstheme="minorHAnsi"/>
          <w:color w:val="000000"/>
          <w:lang w:val="es-ES_tradnl"/>
        </w:rPr>
        <w:t>del CAI lleva</w:t>
      </w:r>
      <w:r>
        <w:rPr>
          <w:rFonts w:cstheme="minorHAnsi"/>
          <w:color w:val="000000"/>
          <w:lang w:val="es-ES_tradnl"/>
        </w:rPr>
        <w:t>n</w:t>
      </w:r>
      <w:r w:rsidR="00834262" w:rsidRPr="00D11EA8">
        <w:rPr>
          <w:rFonts w:cstheme="minorHAnsi"/>
          <w:color w:val="000000"/>
          <w:lang w:val="es-ES_tradnl"/>
        </w:rPr>
        <w:t xml:space="preserve"> retraso </w:t>
      </w:r>
      <w:r>
        <w:rPr>
          <w:rFonts w:cstheme="minorHAnsi"/>
          <w:color w:val="000000"/>
          <w:lang w:val="es-ES_tradnl"/>
        </w:rPr>
        <w:t>pero</w:t>
      </w:r>
      <w:r w:rsidR="00834262" w:rsidRPr="00D11EA8">
        <w:rPr>
          <w:rFonts w:cstheme="minorHAnsi"/>
          <w:color w:val="000000"/>
          <w:lang w:val="es-ES_tradnl"/>
        </w:rPr>
        <w:t xml:space="preserve"> funciona</w:t>
      </w:r>
      <w:r>
        <w:rPr>
          <w:rFonts w:cstheme="minorHAnsi"/>
          <w:color w:val="000000"/>
          <w:lang w:val="es-ES_tradnl"/>
        </w:rPr>
        <w:t>n</w:t>
      </w:r>
      <w:r w:rsidR="00834262" w:rsidRPr="00D11EA8">
        <w:rPr>
          <w:rFonts w:cstheme="minorHAnsi"/>
          <w:color w:val="000000"/>
          <w:lang w:val="es-ES_tradnl"/>
        </w:rPr>
        <w:t xml:space="preserve"> bien en términos generales. </w:t>
      </w:r>
      <w:r>
        <w:rPr>
          <w:rFonts w:cstheme="minorHAnsi"/>
          <w:color w:val="000000"/>
          <w:lang w:val="es-ES_tradnl"/>
        </w:rPr>
        <w:t>Indicó que el examen consistió</w:t>
      </w:r>
      <w:r w:rsidR="00834262" w:rsidRPr="00D11EA8">
        <w:rPr>
          <w:rFonts w:cstheme="minorHAnsi"/>
          <w:color w:val="000000"/>
          <w:lang w:val="es-ES_tradnl"/>
        </w:rPr>
        <w:t xml:space="preserve"> en leer las propuestas y la </w:t>
      </w:r>
      <w:r w:rsidR="00D11EA8" w:rsidRPr="00D11EA8">
        <w:rPr>
          <w:rFonts w:cstheme="minorHAnsi"/>
          <w:color w:val="000000"/>
          <w:lang w:val="es-ES_tradnl"/>
        </w:rPr>
        <w:t>documentación</w:t>
      </w:r>
      <w:r>
        <w:rPr>
          <w:rFonts w:cstheme="minorHAnsi"/>
          <w:color w:val="000000"/>
          <w:lang w:val="es-ES_tradnl"/>
        </w:rPr>
        <w:t xml:space="preserve"> justificativa </w:t>
      </w:r>
      <w:r w:rsidR="00834262" w:rsidRPr="00D11EA8">
        <w:rPr>
          <w:rFonts w:cstheme="minorHAnsi"/>
          <w:color w:val="000000"/>
          <w:lang w:val="es-ES_tradnl"/>
        </w:rPr>
        <w:t xml:space="preserve">y </w:t>
      </w:r>
      <w:r w:rsidR="00FA1DFD">
        <w:rPr>
          <w:rFonts w:cstheme="minorHAnsi"/>
          <w:color w:val="000000"/>
          <w:lang w:val="es-ES_tradnl"/>
        </w:rPr>
        <w:t>evaluar</w:t>
      </w:r>
      <w:r w:rsidR="00834262" w:rsidRPr="00D11EA8">
        <w:rPr>
          <w:rFonts w:cstheme="minorHAnsi"/>
          <w:color w:val="000000"/>
          <w:lang w:val="es-ES_tradnl"/>
        </w:rPr>
        <w:t xml:space="preserve"> las propuestas </w:t>
      </w:r>
      <w:r w:rsidR="00D11EA8" w:rsidRPr="00D11EA8">
        <w:rPr>
          <w:rFonts w:cstheme="minorHAnsi"/>
          <w:color w:val="000000"/>
          <w:lang w:val="es-ES_tradnl"/>
        </w:rPr>
        <w:t>en</w:t>
      </w:r>
      <w:r w:rsidR="00834262" w:rsidRPr="00D11EA8">
        <w:rPr>
          <w:rFonts w:cstheme="minorHAnsi"/>
          <w:color w:val="000000"/>
          <w:lang w:val="es-ES_tradnl"/>
        </w:rPr>
        <w:t xml:space="preserve"> función de cada </w:t>
      </w:r>
      <w:r w:rsidR="00834262" w:rsidRPr="00D11EA8">
        <w:rPr>
          <w:rFonts w:cstheme="minorHAnsi"/>
          <w:color w:val="000000"/>
          <w:lang w:val="es-ES_tradnl"/>
        </w:rPr>
        <w:lastRenderedPageBreak/>
        <w:t xml:space="preserve">criterio </w:t>
      </w:r>
      <w:r w:rsidR="00FA1DFD">
        <w:rPr>
          <w:rFonts w:cstheme="minorHAnsi"/>
          <w:color w:val="000000"/>
          <w:lang w:val="es-ES_tradnl"/>
        </w:rPr>
        <w:t xml:space="preserve">eligiendo </w:t>
      </w:r>
      <w:r w:rsidR="00834262" w:rsidRPr="00D11EA8">
        <w:rPr>
          <w:rFonts w:cstheme="minorHAnsi"/>
          <w:color w:val="000000"/>
          <w:lang w:val="es-ES_tradnl"/>
        </w:rPr>
        <w:t xml:space="preserve">“sí” o “no” </w:t>
      </w:r>
      <w:r w:rsidR="00FA1DFD">
        <w:rPr>
          <w:rFonts w:cstheme="minorHAnsi"/>
          <w:color w:val="000000"/>
          <w:lang w:val="es-ES_tradnl"/>
        </w:rPr>
        <w:t>como respuesta</w:t>
      </w:r>
      <w:r w:rsidR="00834262" w:rsidRPr="00D11EA8">
        <w:rPr>
          <w:rFonts w:cstheme="minorHAnsi"/>
          <w:color w:val="000000"/>
          <w:lang w:val="es-ES_tradnl"/>
        </w:rPr>
        <w:t xml:space="preserve">. </w:t>
      </w:r>
      <w:r w:rsidR="00AA11D5" w:rsidRPr="00D11EA8">
        <w:rPr>
          <w:rFonts w:cstheme="minorHAnsi"/>
          <w:color w:val="000000"/>
          <w:lang w:val="es-ES_tradnl"/>
        </w:rPr>
        <w:t xml:space="preserve">Al evaluar el programa, se deberían tener en cuenta las </w:t>
      </w:r>
      <w:r w:rsidR="00D11EA8" w:rsidRPr="00D11EA8">
        <w:rPr>
          <w:rFonts w:cstheme="minorHAnsi"/>
          <w:color w:val="000000"/>
          <w:lang w:val="es-ES_tradnl"/>
        </w:rPr>
        <w:t>sugerencias</w:t>
      </w:r>
      <w:r w:rsidR="00FA1DFD">
        <w:rPr>
          <w:rFonts w:cstheme="minorHAnsi"/>
          <w:color w:val="000000"/>
          <w:lang w:val="es-ES_tradnl"/>
        </w:rPr>
        <w:t xml:space="preserve"> </w:t>
      </w:r>
      <w:r w:rsidR="00AA11D5" w:rsidRPr="00D11EA8">
        <w:rPr>
          <w:rFonts w:cstheme="minorHAnsi"/>
          <w:color w:val="000000"/>
          <w:lang w:val="es-ES_tradnl"/>
        </w:rPr>
        <w:t xml:space="preserve">realizadas para </w:t>
      </w:r>
      <w:r w:rsidR="00FA1DFD">
        <w:rPr>
          <w:rFonts w:cstheme="minorHAnsi"/>
          <w:color w:val="000000"/>
          <w:lang w:val="es-ES_tradnl"/>
        </w:rPr>
        <w:t xml:space="preserve">mejorarlo, que se adjuntan </w:t>
      </w:r>
      <w:r w:rsidR="00AA11D5" w:rsidRPr="00D11EA8">
        <w:rPr>
          <w:rFonts w:cstheme="minorHAnsi"/>
          <w:color w:val="000000"/>
          <w:lang w:val="es-ES_tradnl"/>
        </w:rPr>
        <w:t>en el Anexo 1</w:t>
      </w:r>
      <w:r w:rsidR="002654E8" w:rsidRPr="00D11EA8">
        <w:rPr>
          <w:color w:val="000000"/>
          <w:lang w:val="es-ES_tradnl"/>
        </w:rPr>
        <w:t>.</w:t>
      </w:r>
    </w:p>
    <w:p w14:paraId="6C315A95" w14:textId="77777777" w:rsidR="00DA6E71" w:rsidRPr="00D11EA8" w:rsidRDefault="00DA6E71" w:rsidP="0098291C">
      <w:pPr>
        <w:rPr>
          <w:i/>
          <w:lang w:val="es-ES_tradnl"/>
        </w:rPr>
      </w:pPr>
    </w:p>
    <w:p w14:paraId="3C32DCC4" w14:textId="513F6E29" w:rsidR="00DA3C34" w:rsidRPr="00D11EA8" w:rsidRDefault="00AA11D5" w:rsidP="00684ACE">
      <w:pPr>
        <w:rPr>
          <w:rFonts w:asciiTheme="minorHAnsi" w:hAnsiTheme="minorHAnsi"/>
          <w:b/>
          <w:lang w:val="es-ES_tradnl"/>
        </w:rPr>
      </w:pPr>
      <w:r w:rsidRPr="00D11EA8">
        <w:rPr>
          <w:rFonts w:asciiTheme="minorHAnsi" w:hAnsiTheme="minorHAnsi"/>
          <w:b/>
          <w:lang w:val="es-ES_tradnl"/>
        </w:rPr>
        <w:t xml:space="preserve">Participación de los </w:t>
      </w:r>
      <w:r w:rsidR="00D11EA8" w:rsidRPr="00D11EA8">
        <w:rPr>
          <w:rFonts w:asciiTheme="minorHAnsi" w:hAnsiTheme="minorHAnsi"/>
          <w:b/>
          <w:lang w:val="es-ES_tradnl"/>
        </w:rPr>
        <w:t>Coordinadores</w:t>
      </w:r>
      <w:r w:rsidRPr="00D11EA8">
        <w:rPr>
          <w:rFonts w:asciiTheme="minorHAnsi" w:hAnsiTheme="minorHAnsi"/>
          <w:b/>
          <w:lang w:val="es-ES_tradnl"/>
        </w:rPr>
        <w:t xml:space="preserve"> Nacionales del GECT</w:t>
      </w:r>
    </w:p>
    <w:p w14:paraId="064C1709" w14:textId="77777777" w:rsidR="00033ADF" w:rsidRPr="00D11EA8" w:rsidRDefault="00033ADF" w:rsidP="00425317">
      <w:pPr>
        <w:rPr>
          <w:rFonts w:asciiTheme="minorHAnsi" w:hAnsiTheme="minorHAnsi"/>
          <w:b/>
          <w:lang w:val="es-ES_tradnl"/>
        </w:rPr>
      </w:pPr>
    </w:p>
    <w:p w14:paraId="301C60DA" w14:textId="0A280216" w:rsidR="000B5FFE" w:rsidRPr="00D11EA8" w:rsidRDefault="004D0A2C" w:rsidP="0098291C">
      <w:pPr>
        <w:rPr>
          <w:rFonts w:asciiTheme="minorHAnsi" w:hAnsiTheme="minorHAnsi"/>
          <w:lang w:val="es-ES_tradnl"/>
        </w:rPr>
      </w:pPr>
      <w:r w:rsidRPr="00D11EA8">
        <w:rPr>
          <w:rFonts w:asciiTheme="minorHAnsi" w:hAnsiTheme="minorHAnsi"/>
          <w:lang w:val="es-ES_tradnl"/>
        </w:rPr>
        <w:t>21.</w:t>
      </w:r>
      <w:r w:rsidR="002D5F19" w:rsidRPr="00D11EA8">
        <w:rPr>
          <w:rFonts w:asciiTheme="minorHAnsi" w:hAnsiTheme="minorHAnsi"/>
          <w:lang w:val="es-ES_tradnl"/>
        </w:rPr>
        <w:t xml:space="preserve"> </w:t>
      </w:r>
      <w:r w:rsidR="000C23C4" w:rsidRPr="00D11EA8">
        <w:rPr>
          <w:rFonts w:asciiTheme="minorHAnsi" w:hAnsiTheme="minorHAnsi"/>
          <w:lang w:val="es-ES_tradnl"/>
        </w:rPr>
        <w:tab/>
      </w:r>
      <w:r w:rsidR="00AA11D5" w:rsidRPr="00D11EA8">
        <w:rPr>
          <w:rFonts w:asciiTheme="minorHAnsi" w:hAnsiTheme="minorHAnsi"/>
          <w:lang w:val="es-ES_tradnl"/>
        </w:rPr>
        <w:t xml:space="preserve">Con la notable excepción de los </w:t>
      </w:r>
      <w:r w:rsidR="0084214B" w:rsidRPr="00D11EA8">
        <w:rPr>
          <w:rFonts w:asciiTheme="minorHAnsi" w:hAnsiTheme="minorHAnsi"/>
          <w:lang w:val="es-ES_tradnl"/>
        </w:rPr>
        <w:t>CN del GECT</w:t>
      </w:r>
      <w:r w:rsidR="00A97C27" w:rsidRPr="00D11EA8">
        <w:rPr>
          <w:rFonts w:asciiTheme="minorHAnsi" w:hAnsiTheme="minorHAnsi"/>
          <w:lang w:val="es-ES_tradnl"/>
        </w:rPr>
        <w:t xml:space="preserve"> </w:t>
      </w:r>
      <w:r w:rsidR="00AA11D5" w:rsidRPr="00D11EA8">
        <w:rPr>
          <w:rFonts w:asciiTheme="minorHAnsi" w:hAnsiTheme="minorHAnsi"/>
          <w:lang w:val="es-ES_tradnl"/>
        </w:rPr>
        <w:t xml:space="preserve">que han asistido a </w:t>
      </w:r>
      <w:r w:rsidR="00D11EA8" w:rsidRPr="00D11EA8">
        <w:rPr>
          <w:rFonts w:asciiTheme="minorHAnsi" w:hAnsiTheme="minorHAnsi"/>
          <w:lang w:val="es-ES_tradnl"/>
        </w:rPr>
        <w:t>reuniones</w:t>
      </w:r>
      <w:r w:rsidR="00AA11D5" w:rsidRPr="00D11EA8">
        <w:rPr>
          <w:rFonts w:asciiTheme="minorHAnsi" w:hAnsiTheme="minorHAnsi"/>
          <w:lang w:val="es-ES_tradnl"/>
        </w:rPr>
        <w:t xml:space="preserve">, la participación de </w:t>
      </w:r>
      <w:r w:rsidR="00974A4D">
        <w:rPr>
          <w:rFonts w:asciiTheme="minorHAnsi" w:hAnsiTheme="minorHAnsi"/>
          <w:lang w:val="es-ES_tradnl"/>
        </w:rPr>
        <w:t xml:space="preserve">dichos Coordinadores Nacionales </w:t>
      </w:r>
      <w:r w:rsidR="00AA11D5" w:rsidRPr="00D11EA8">
        <w:rPr>
          <w:rFonts w:asciiTheme="minorHAnsi" w:hAnsiTheme="minorHAnsi"/>
          <w:lang w:val="es-ES_tradnl"/>
        </w:rPr>
        <w:t xml:space="preserve">sigue siendo baja. </w:t>
      </w:r>
      <w:r w:rsidR="00135AB5">
        <w:rPr>
          <w:rFonts w:asciiTheme="minorHAnsi" w:hAnsiTheme="minorHAnsi"/>
          <w:lang w:val="es-ES_tradnl"/>
        </w:rPr>
        <w:t>Durante e</w:t>
      </w:r>
      <w:r w:rsidR="00AA11D5" w:rsidRPr="00D11EA8">
        <w:rPr>
          <w:rFonts w:asciiTheme="minorHAnsi" w:hAnsiTheme="minorHAnsi"/>
          <w:lang w:val="es-ES_tradnl"/>
        </w:rPr>
        <w:t xml:space="preserve">ste trienio </w:t>
      </w:r>
      <w:r w:rsidR="00D11EA8" w:rsidRPr="00D11EA8">
        <w:rPr>
          <w:rFonts w:asciiTheme="minorHAnsi" w:hAnsiTheme="minorHAnsi"/>
          <w:lang w:val="es-ES_tradnl"/>
        </w:rPr>
        <w:t>aproximadamente</w:t>
      </w:r>
      <w:r w:rsidR="00AA11D5" w:rsidRPr="00D11EA8">
        <w:rPr>
          <w:rFonts w:asciiTheme="minorHAnsi" w:hAnsiTheme="minorHAnsi"/>
          <w:lang w:val="es-ES_tradnl"/>
        </w:rPr>
        <w:t xml:space="preserve"> </w:t>
      </w:r>
      <w:r w:rsidR="00380FD2" w:rsidRPr="00D11EA8">
        <w:rPr>
          <w:rFonts w:asciiTheme="minorHAnsi" w:hAnsiTheme="minorHAnsi"/>
          <w:lang w:val="es-ES_tradnl"/>
        </w:rPr>
        <w:t>1</w:t>
      </w:r>
      <w:r w:rsidR="005841CC" w:rsidRPr="00D11EA8">
        <w:rPr>
          <w:rFonts w:asciiTheme="minorHAnsi" w:hAnsiTheme="minorHAnsi"/>
          <w:lang w:val="es-ES_tradnl"/>
        </w:rPr>
        <w:t>5</w:t>
      </w:r>
      <w:r w:rsidR="000B5FFE" w:rsidRPr="00D11EA8">
        <w:rPr>
          <w:rFonts w:asciiTheme="minorHAnsi" w:hAnsiTheme="minorHAnsi"/>
          <w:lang w:val="es-ES_tradnl"/>
        </w:rPr>
        <w:t xml:space="preserve"> </w:t>
      </w:r>
      <w:r w:rsidR="0084214B" w:rsidRPr="00D11EA8">
        <w:rPr>
          <w:rFonts w:asciiTheme="minorHAnsi" w:hAnsiTheme="minorHAnsi"/>
          <w:lang w:val="es-ES_tradnl"/>
        </w:rPr>
        <w:t>CN del GECT</w:t>
      </w:r>
      <w:r w:rsidR="00056DC4" w:rsidRPr="00D11EA8">
        <w:rPr>
          <w:rFonts w:asciiTheme="minorHAnsi" w:hAnsiTheme="minorHAnsi"/>
          <w:lang w:val="es-ES_tradnl"/>
        </w:rPr>
        <w:t xml:space="preserve"> </w:t>
      </w:r>
      <w:r w:rsidR="000B5FFE" w:rsidRPr="00D11EA8">
        <w:rPr>
          <w:rFonts w:asciiTheme="minorHAnsi" w:hAnsiTheme="minorHAnsi"/>
          <w:lang w:val="es-ES_tradnl"/>
        </w:rPr>
        <w:t>(</w:t>
      </w:r>
      <w:r w:rsidR="00AA11D5" w:rsidRPr="00D11EA8">
        <w:rPr>
          <w:rFonts w:asciiTheme="minorHAnsi" w:hAnsiTheme="minorHAnsi"/>
          <w:lang w:val="es-ES_tradnl"/>
        </w:rPr>
        <w:t xml:space="preserve">la mitad de ellos en representación de Partes </w:t>
      </w:r>
      <w:r w:rsidR="00D11EA8" w:rsidRPr="00D11EA8">
        <w:rPr>
          <w:rFonts w:asciiTheme="minorHAnsi" w:hAnsiTheme="minorHAnsi"/>
          <w:lang w:val="es-ES_tradnl"/>
        </w:rPr>
        <w:t>Contratantes</w:t>
      </w:r>
      <w:r w:rsidR="00AA11D5" w:rsidRPr="00D11EA8">
        <w:rPr>
          <w:rFonts w:asciiTheme="minorHAnsi" w:hAnsiTheme="minorHAnsi"/>
          <w:lang w:val="es-ES_tradnl"/>
        </w:rPr>
        <w:t xml:space="preserve"> europeas) han participado en labores relacionadas con tareas del </w:t>
      </w:r>
      <w:r w:rsidR="00D84DDF" w:rsidRPr="00D11EA8">
        <w:rPr>
          <w:rFonts w:asciiTheme="minorHAnsi" w:hAnsiTheme="minorHAnsi"/>
          <w:lang w:val="es-ES_tradnl"/>
        </w:rPr>
        <w:t>GECT</w:t>
      </w:r>
      <w:r w:rsidR="00AA11D5" w:rsidRPr="00D11EA8">
        <w:rPr>
          <w:rFonts w:asciiTheme="minorHAnsi" w:hAnsiTheme="minorHAnsi"/>
          <w:lang w:val="es-ES_tradnl"/>
        </w:rPr>
        <w:t xml:space="preserve">. La Presidencia del GECT </w:t>
      </w:r>
      <w:r w:rsidR="00D11EA8" w:rsidRPr="00D11EA8">
        <w:rPr>
          <w:rFonts w:asciiTheme="minorHAnsi" w:hAnsiTheme="minorHAnsi"/>
          <w:lang w:val="es-ES_tradnl"/>
        </w:rPr>
        <w:t>preguntó</w:t>
      </w:r>
      <w:r w:rsidR="00AA11D5" w:rsidRPr="00D11EA8">
        <w:rPr>
          <w:rFonts w:asciiTheme="minorHAnsi" w:hAnsiTheme="minorHAnsi"/>
          <w:lang w:val="es-ES_tradnl"/>
        </w:rPr>
        <w:t xml:space="preserve"> a est</w:t>
      </w:r>
      <w:r w:rsidR="00135AB5">
        <w:rPr>
          <w:rFonts w:asciiTheme="minorHAnsi" w:hAnsiTheme="minorHAnsi"/>
          <w:lang w:val="es-ES_tradnl"/>
        </w:rPr>
        <w:t>os CN activos por qué participaban. Preguntó también s</w:t>
      </w:r>
      <w:r w:rsidR="00AA11D5" w:rsidRPr="00D11EA8">
        <w:rPr>
          <w:rFonts w:asciiTheme="minorHAnsi" w:hAnsiTheme="minorHAnsi"/>
          <w:lang w:val="es-ES_tradnl"/>
        </w:rPr>
        <w:t xml:space="preserve">i su </w:t>
      </w:r>
      <w:r w:rsidR="00D11EA8" w:rsidRPr="00D11EA8">
        <w:rPr>
          <w:rFonts w:asciiTheme="minorHAnsi" w:hAnsiTheme="minorHAnsi"/>
          <w:lang w:val="es-ES_tradnl"/>
        </w:rPr>
        <w:t>trabajo</w:t>
      </w:r>
      <w:r w:rsidR="00135AB5">
        <w:rPr>
          <w:rFonts w:asciiTheme="minorHAnsi" w:hAnsiTheme="minorHAnsi"/>
          <w:lang w:val="es-ES_tradnl"/>
        </w:rPr>
        <w:t xml:space="preserve"> en el GECT estaba</w:t>
      </w:r>
      <w:r w:rsidR="00AA11D5" w:rsidRPr="00D11EA8">
        <w:rPr>
          <w:rFonts w:asciiTheme="minorHAnsi" w:hAnsiTheme="minorHAnsi"/>
          <w:lang w:val="es-ES_tradnl"/>
        </w:rPr>
        <w:t xml:space="preserve"> reconocido formalmente o apoyado por sus instituciones o si participa</w:t>
      </w:r>
      <w:r w:rsidR="00135AB5">
        <w:rPr>
          <w:rFonts w:asciiTheme="minorHAnsi" w:hAnsiTheme="minorHAnsi"/>
          <w:lang w:val="es-ES_tradnl"/>
        </w:rPr>
        <w:t>ba</w:t>
      </w:r>
      <w:r w:rsidR="00AA11D5" w:rsidRPr="00D11EA8">
        <w:rPr>
          <w:rFonts w:asciiTheme="minorHAnsi" w:hAnsiTheme="minorHAnsi"/>
          <w:lang w:val="es-ES_tradnl"/>
        </w:rPr>
        <w:t xml:space="preserve">n </w:t>
      </w:r>
      <w:r w:rsidR="00D11EA8" w:rsidRPr="00D11EA8">
        <w:rPr>
          <w:rFonts w:asciiTheme="minorHAnsi" w:hAnsiTheme="minorHAnsi"/>
          <w:lang w:val="es-ES_tradnl"/>
        </w:rPr>
        <w:t>simplemente</w:t>
      </w:r>
      <w:r w:rsidR="00AA11D5" w:rsidRPr="00D11EA8">
        <w:rPr>
          <w:rFonts w:asciiTheme="minorHAnsi" w:hAnsiTheme="minorHAnsi"/>
          <w:lang w:val="es-ES_tradnl"/>
        </w:rPr>
        <w:t xml:space="preserve"> por su </w:t>
      </w:r>
      <w:r w:rsidR="00135AB5">
        <w:rPr>
          <w:rFonts w:asciiTheme="minorHAnsi" w:hAnsiTheme="minorHAnsi"/>
          <w:lang w:val="es-ES_tradnl"/>
        </w:rPr>
        <w:t>compromiso personal.</w:t>
      </w:r>
    </w:p>
    <w:p w14:paraId="4BBC67F5" w14:textId="77777777" w:rsidR="000B5FFE" w:rsidRPr="00D11EA8" w:rsidRDefault="000B5FFE" w:rsidP="00684ACE">
      <w:pPr>
        <w:pStyle w:val="ListParagraph"/>
        <w:ind w:left="426"/>
        <w:rPr>
          <w:rFonts w:asciiTheme="minorHAnsi" w:eastAsia="Times New Roman" w:hAnsiTheme="minorHAnsi" w:cs="Segoe UI"/>
          <w:color w:val="212121"/>
          <w:lang w:val="es-ES_tradnl"/>
        </w:rPr>
      </w:pPr>
    </w:p>
    <w:p w14:paraId="15ECF6E7" w14:textId="5C7070DB" w:rsidR="005B2F75" w:rsidRPr="00D11EA8" w:rsidRDefault="004D0A2C" w:rsidP="0098291C">
      <w:pPr>
        <w:rPr>
          <w:rFonts w:asciiTheme="minorHAnsi" w:hAnsiTheme="minorHAnsi"/>
          <w:color w:val="212121"/>
          <w:lang w:val="es-ES_tradnl"/>
        </w:rPr>
      </w:pPr>
      <w:r w:rsidRPr="00D11EA8">
        <w:rPr>
          <w:lang w:val="es-ES_tradnl"/>
        </w:rPr>
        <w:t>22.</w:t>
      </w:r>
      <w:r w:rsidRPr="00D11EA8">
        <w:rPr>
          <w:lang w:val="es-ES_tradnl"/>
        </w:rPr>
        <w:tab/>
      </w:r>
      <w:r w:rsidR="00AA11D5" w:rsidRPr="00D11EA8">
        <w:rPr>
          <w:lang w:val="es-ES_tradnl"/>
        </w:rPr>
        <w:t xml:space="preserve">Las respuestas indican que los </w:t>
      </w:r>
      <w:r w:rsidR="0084214B" w:rsidRPr="00D11EA8">
        <w:rPr>
          <w:rFonts w:asciiTheme="minorHAnsi" w:hAnsiTheme="minorHAnsi"/>
          <w:color w:val="000000"/>
          <w:lang w:val="es-ES_tradnl"/>
        </w:rPr>
        <w:t>CN del GECT</w:t>
      </w:r>
      <w:r w:rsidR="004B6E8B" w:rsidRPr="00D11EA8">
        <w:rPr>
          <w:rFonts w:asciiTheme="minorHAnsi" w:hAnsiTheme="minorHAnsi"/>
          <w:color w:val="000000"/>
          <w:lang w:val="es-ES_tradnl"/>
        </w:rPr>
        <w:t xml:space="preserve"> </w:t>
      </w:r>
      <w:r w:rsidR="00AA11D5" w:rsidRPr="00D11EA8">
        <w:rPr>
          <w:rFonts w:asciiTheme="minorHAnsi" w:hAnsiTheme="minorHAnsi"/>
          <w:color w:val="000000"/>
          <w:lang w:val="es-ES_tradnl"/>
        </w:rPr>
        <w:t xml:space="preserve">que participan en la labor del Grupo lo hacen principalmente por su compromiso personal </w:t>
      </w:r>
      <w:r w:rsidR="00135AB5">
        <w:rPr>
          <w:rFonts w:asciiTheme="minorHAnsi" w:hAnsiTheme="minorHAnsi"/>
          <w:color w:val="000000"/>
          <w:lang w:val="es-ES_tradnl"/>
        </w:rPr>
        <w:t xml:space="preserve">y la voluntad de </w:t>
      </w:r>
      <w:r w:rsidR="00D11EA8" w:rsidRPr="00D11EA8">
        <w:rPr>
          <w:rFonts w:asciiTheme="minorHAnsi" w:hAnsiTheme="minorHAnsi"/>
          <w:color w:val="000000"/>
          <w:lang w:val="es-ES_tradnl"/>
        </w:rPr>
        <w:t>contribuir</w:t>
      </w:r>
      <w:r w:rsidR="00AA11D5" w:rsidRPr="00D11EA8">
        <w:rPr>
          <w:rFonts w:asciiTheme="minorHAnsi" w:hAnsiTheme="minorHAnsi"/>
          <w:color w:val="000000"/>
          <w:lang w:val="es-ES_tradnl"/>
        </w:rPr>
        <w:t xml:space="preserve"> a la conservación de los </w:t>
      </w:r>
      <w:r w:rsidR="00D11EA8" w:rsidRPr="00D11EA8">
        <w:rPr>
          <w:rFonts w:asciiTheme="minorHAnsi" w:hAnsiTheme="minorHAnsi"/>
          <w:color w:val="000000"/>
          <w:lang w:val="es-ES_tradnl"/>
        </w:rPr>
        <w:t>humedales</w:t>
      </w:r>
      <w:r w:rsidR="00AA11D5" w:rsidRPr="00D11EA8">
        <w:rPr>
          <w:rFonts w:asciiTheme="minorHAnsi" w:hAnsiTheme="minorHAnsi"/>
          <w:color w:val="000000"/>
          <w:lang w:val="es-ES_tradnl"/>
        </w:rPr>
        <w:t xml:space="preserve"> y a la labor de</w:t>
      </w:r>
      <w:r w:rsidR="00135AB5">
        <w:rPr>
          <w:rFonts w:asciiTheme="minorHAnsi" w:hAnsiTheme="minorHAnsi"/>
          <w:color w:val="000000"/>
          <w:lang w:val="es-ES_tradnl"/>
        </w:rPr>
        <w:t xml:space="preserve"> l</w:t>
      </w:r>
      <w:r w:rsidR="00AA11D5" w:rsidRPr="00D11EA8">
        <w:rPr>
          <w:rFonts w:asciiTheme="minorHAnsi" w:hAnsiTheme="minorHAnsi"/>
          <w:color w:val="000000"/>
          <w:lang w:val="es-ES_tradnl"/>
        </w:rPr>
        <w:t xml:space="preserve">a Convención de Ramsar. Estos </w:t>
      </w:r>
      <w:r w:rsidR="0084214B" w:rsidRPr="00D11EA8">
        <w:rPr>
          <w:rFonts w:asciiTheme="minorHAnsi" w:hAnsiTheme="minorHAnsi"/>
          <w:color w:val="000000"/>
          <w:lang w:val="es-ES_tradnl"/>
        </w:rPr>
        <w:t>CN del GECT</w:t>
      </w:r>
      <w:r w:rsidR="004B6E8B" w:rsidRPr="00D11EA8">
        <w:rPr>
          <w:rFonts w:asciiTheme="minorHAnsi" w:hAnsiTheme="minorHAnsi"/>
          <w:color w:val="000000"/>
          <w:lang w:val="es-ES_tradnl"/>
        </w:rPr>
        <w:t xml:space="preserve"> </w:t>
      </w:r>
      <w:r w:rsidR="00AA11D5" w:rsidRPr="00D11EA8">
        <w:rPr>
          <w:rFonts w:asciiTheme="minorHAnsi" w:hAnsiTheme="minorHAnsi"/>
          <w:color w:val="000000"/>
          <w:lang w:val="es-ES_tradnl"/>
        </w:rPr>
        <w:t xml:space="preserve">también consideran que </w:t>
      </w:r>
      <w:r w:rsidR="00135AB5">
        <w:rPr>
          <w:rFonts w:asciiTheme="minorHAnsi" w:hAnsiTheme="minorHAnsi"/>
          <w:color w:val="000000"/>
          <w:lang w:val="es-ES_tradnl"/>
        </w:rPr>
        <w:t>su</w:t>
      </w:r>
      <w:r w:rsidR="00AA11D5" w:rsidRPr="00D11EA8">
        <w:rPr>
          <w:rFonts w:asciiTheme="minorHAnsi" w:hAnsiTheme="minorHAnsi"/>
          <w:color w:val="000000"/>
          <w:lang w:val="es-ES_tradnl"/>
        </w:rPr>
        <w:t xml:space="preserve"> participación en el trabajo del GECT les aporta beneficios </w:t>
      </w:r>
      <w:r w:rsidR="00D11EA8" w:rsidRPr="00D11EA8">
        <w:rPr>
          <w:rFonts w:asciiTheme="minorHAnsi" w:hAnsiTheme="minorHAnsi"/>
          <w:color w:val="000000"/>
          <w:lang w:val="es-ES_tradnl"/>
        </w:rPr>
        <w:t>personales</w:t>
      </w:r>
      <w:r w:rsidR="00AA11D5" w:rsidRPr="00D11EA8">
        <w:rPr>
          <w:rFonts w:asciiTheme="minorHAnsi" w:hAnsiTheme="minorHAnsi"/>
          <w:color w:val="000000"/>
          <w:lang w:val="es-ES_tradnl"/>
        </w:rPr>
        <w:t xml:space="preserve">: puede ser una oportunidad de aprendizaje para ampliar </w:t>
      </w:r>
      <w:r w:rsidR="00135AB5">
        <w:rPr>
          <w:rFonts w:asciiTheme="minorHAnsi" w:hAnsiTheme="minorHAnsi"/>
          <w:color w:val="000000"/>
          <w:lang w:val="es-ES_tradnl"/>
        </w:rPr>
        <w:t>sus</w:t>
      </w:r>
      <w:r w:rsidR="00AA11D5" w:rsidRPr="00D11EA8">
        <w:rPr>
          <w:rFonts w:asciiTheme="minorHAnsi" w:hAnsiTheme="minorHAnsi"/>
          <w:color w:val="000000"/>
          <w:lang w:val="es-ES_tradnl"/>
        </w:rPr>
        <w:t xml:space="preserve"> conocimientos</w:t>
      </w:r>
      <w:r w:rsidR="00135AB5">
        <w:rPr>
          <w:rFonts w:asciiTheme="minorHAnsi" w:hAnsiTheme="minorHAnsi"/>
          <w:color w:val="000000"/>
          <w:lang w:val="es-ES_tradnl"/>
        </w:rPr>
        <w:t xml:space="preserve"> y </w:t>
      </w:r>
      <w:r w:rsidR="000D2E66">
        <w:rPr>
          <w:rFonts w:asciiTheme="minorHAnsi" w:hAnsiTheme="minorHAnsi"/>
          <w:color w:val="000000"/>
          <w:lang w:val="es-ES_tradnl"/>
        </w:rPr>
        <w:t xml:space="preserve">también una manera </w:t>
      </w:r>
      <w:r w:rsidR="00AA11D5" w:rsidRPr="00D11EA8">
        <w:rPr>
          <w:rFonts w:asciiTheme="minorHAnsi" w:hAnsiTheme="minorHAnsi"/>
          <w:color w:val="000000"/>
          <w:lang w:val="es-ES_tradnl"/>
        </w:rPr>
        <w:t xml:space="preserve">de obtener </w:t>
      </w:r>
      <w:r w:rsidR="00D11EA8" w:rsidRPr="00D11EA8">
        <w:rPr>
          <w:rFonts w:asciiTheme="minorHAnsi" w:hAnsiTheme="minorHAnsi"/>
          <w:color w:val="000000"/>
          <w:lang w:val="es-ES_tradnl"/>
        </w:rPr>
        <w:t>información</w:t>
      </w:r>
      <w:r w:rsidR="00135AB5">
        <w:rPr>
          <w:rFonts w:asciiTheme="minorHAnsi" w:hAnsiTheme="minorHAnsi"/>
          <w:color w:val="000000"/>
          <w:lang w:val="es-ES_tradnl"/>
        </w:rPr>
        <w:t xml:space="preserve"> actualizada</w:t>
      </w:r>
      <w:r w:rsidR="00AA11D5" w:rsidRPr="00D11EA8">
        <w:rPr>
          <w:rFonts w:asciiTheme="minorHAnsi" w:hAnsiTheme="minorHAnsi"/>
          <w:color w:val="000000"/>
          <w:lang w:val="es-ES_tradnl"/>
        </w:rPr>
        <w:t xml:space="preserve"> sobre </w:t>
      </w:r>
      <w:r w:rsidR="00135AB5">
        <w:rPr>
          <w:rFonts w:asciiTheme="minorHAnsi" w:hAnsiTheme="minorHAnsi"/>
          <w:color w:val="000000"/>
          <w:lang w:val="es-ES_tradnl"/>
        </w:rPr>
        <w:t>cuestiones internacionales</w:t>
      </w:r>
      <w:r w:rsidR="00AA11D5" w:rsidRPr="00D11EA8">
        <w:rPr>
          <w:rFonts w:asciiTheme="minorHAnsi" w:hAnsiTheme="minorHAnsi"/>
          <w:color w:val="000000"/>
          <w:lang w:val="es-ES_tradnl"/>
        </w:rPr>
        <w:t xml:space="preserve"> y de </w:t>
      </w:r>
      <w:r w:rsidR="00135AB5">
        <w:rPr>
          <w:rFonts w:asciiTheme="minorHAnsi" w:hAnsiTheme="minorHAnsi"/>
          <w:color w:val="000000"/>
          <w:lang w:val="es-ES_tradnl"/>
        </w:rPr>
        <w:t>ampliar su red de contactos</w:t>
      </w:r>
      <w:r w:rsidR="00AA11D5" w:rsidRPr="00D11EA8">
        <w:rPr>
          <w:rFonts w:asciiTheme="minorHAnsi" w:hAnsiTheme="minorHAnsi"/>
          <w:color w:val="000000"/>
          <w:lang w:val="es-ES_tradnl"/>
        </w:rPr>
        <w:t xml:space="preserve">. No obstante, en general los </w:t>
      </w:r>
      <w:r w:rsidR="0084214B" w:rsidRPr="00D11EA8">
        <w:rPr>
          <w:rFonts w:asciiTheme="minorHAnsi" w:hAnsiTheme="minorHAnsi"/>
          <w:color w:val="000000"/>
          <w:lang w:val="es-ES_tradnl"/>
        </w:rPr>
        <w:t>CN del GECT</w:t>
      </w:r>
      <w:r w:rsidR="004B6E8B" w:rsidRPr="00D11EA8">
        <w:rPr>
          <w:rFonts w:asciiTheme="minorHAnsi" w:hAnsiTheme="minorHAnsi"/>
          <w:color w:val="000000"/>
          <w:lang w:val="es-ES_tradnl"/>
        </w:rPr>
        <w:t xml:space="preserve"> </w:t>
      </w:r>
      <w:r w:rsidR="00AA11D5" w:rsidRPr="00D11EA8">
        <w:rPr>
          <w:rFonts w:asciiTheme="minorHAnsi" w:hAnsiTheme="minorHAnsi"/>
          <w:color w:val="000000"/>
          <w:lang w:val="es-ES_tradnl"/>
        </w:rPr>
        <w:t xml:space="preserve">no cuentan con el </w:t>
      </w:r>
      <w:r w:rsidR="00135AB5">
        <w:rPr>
          <w:rFonts w:asciiTheme="minorHAnsi" w:hAnsiTheme="minorHAnsi"/>
          <w:color w:val="000000"/>
          <w:lang w:val="es-ES_tradnl"/>
        </w:rPr>
        <w:t>a</w:t>
      </w:r>
      <w:r w:rsidR="00AA11D5" w:rsidRPr="00D11EA8">
        <w:rPr>
          <w:rFonts w:asciiTheme="minorHAnsi" w:hAnsiTheme="minorHAnsi"/>
          <w:color w:val="000000"/>
          <w:lang w:val="es-ES_tradnl"/>
        </w:rPr>
        <w:t xml:space="preserve">poyo de los gobiernos de las Partes </w:t>
      </w:r>
      <w:r w:rsidR="00D11EA8" w:rsidRPr="00D11EA8">
        <w:rPr>
          <w:rFonts w:asciiTheme="minorHAnsi" w:hAnsiTheme="minorHAnsi"/>
          <w:color w:val="000000"/>
          <w:lang w:val="es-ES_tradnl"/>
        </w:rPr>
        <w:t>Contra</w:t>
      </w:r>
      <w:r w:rsidR="00D11EA8">
        <w:rPr>
          <w:rFonts w:asciiTheme="minorHAnsi" w:hAnsiTheme="minorHAnsi"/>
          <w:color w:val="000000"/>
          <w:lang w:val="es-ES_tradnl"/>
        </w:rPr>
        <w:t>ta</w:t>
      </w:r>
      <w:r w:rsidR="00D11EA8" w:rsidRPr="00D11EA8">
        <w:rPr>
          <w:rFonts w:asciiTheme="minorHAnsi" w:hAnsiTheme="minorHAnsi"/>
          <w:color w:val="000000"/>
          <w:lang w:val="es-ES_tradnl"/>
        </w:rPr>
        <w:t>ntes</w:t>
      </w:r>
      <w:r w:rsidR="00AA11D5" w:rsidRPr="00D11EA8">
        <w:rPr>
          <w:rFonts w:asciiTheme="minorHAnsi" w:hAnsiTheme="minorHAnsi"/>
          <w:color w:val="000000"/>
          <w:lang w:val="es-ES_tradnl"/>
        </w:rPr>
        <w:t xml:space="preserve"> para participar </w:t>
      </w:r>
      <w:r w:rsidR="00D11EA8" w:rsidRPr="00D11EA8">
        <w:rPr>
          <w:rFonts w:asciiTheme="minorHAnsi" w:hAnsiTheme="minorHAnsi"/>
          <w:color w:val="000000"/>
          <w:lang w:val="es-ES_tradnl"/>
        </w:rPr>
        <w:t>en</w:t>
      </w:r>
      <w:r w:rsidR="00AA11D5" w:rsidRPr="00D11EA8">
        <w:rPr>
          <w:rFonts w:asciiTheme="minorHAnsi" w:hAnsiTheme="minorHAnsi"/>
          <w:color w:val="000000"/>
          <w:lang w:val="es-ES_tradnl"/>
        </w:rPr>
        <w:t xml:space="preserve"> </w:t>
      </w:r>
      <w:r w:rsidR="00135AB5">
        <w:rPr>
          <w:rFonts w:asciiTheme="minorHAnsi" w:hAnsiTheme="minorHAnsi"/>
          <w:color w:val="000000"/>
          <w:lang w:val="es-ES_tradnl"/>
        </w:rPr>
        <w:t xml:space="preserve">el </w:t>
      </w:r>
      <w:r w:rsidR="00AA11D5" w:rsidRPr="00D11EA8">
        <w:rPr>
          <w:rFonts w:asciiTheme="minorHAnsi" w:hAnsiTheme="minorHAnsi"/>
          <w:color w:val="000000"/>
          <w:lang w:val="es-ES_tradnl"/>
        </w:rPr>
        <w:t xml:space="preserve">trabajo del GECT. Los </w:t>
      </w:r>
      <w:r w:rsidR="00135AB5">
        <w:rPr>
          <w:rFonts w:asciiTheme="minorHAnsi" w:hAnsiTheme="minorHAnsi"/>
          <w:color w:val="000000"/>
          <w:lang w:val="es-ES_tradnl"/>
        </w:rPr>
        <w:t xml:space="preserve">responsables de las instituciones en las que trabajan </w:t>
      </w:r>
      <w:r w:rsidR="00AA11D5" w:rsidRPr="00D11EA8">
        <w:rPr>
          <w:rFonts w:asciiTheme="minorHAnsi" w:hAnsiTheme="minorHAnsi"/>
          <w:color w:val="000000"/>
          <w:lang w:val="es-ES_tradnl"/>
        </w:rPr>
        <w:t xml:space="preserve">los CN suelen considerar esta labor como poco prioritaria, y algunos CN hacen su trabajo relacionado con el GECT fuera de su horario de trabajo. A menudo </w:t>
      </w:r>
      <w:r w:rsidR="00135AB5">
        <w:rPr>
          <w:rFonts w:asciiTheme="minorHAnsi" w:hAnsiTheme="minorHAnsi"/>
          <w:color w:val="000000"/>
          <w:lang w:val="es-ES_tradnl"/>
        </w:rPr>
        <w:t>no existe</w:t>
      </w:r>
      <w:r w:rsidR="00AA11D5" w:rsidRPr="00D11EA8">
        <w:rPr>
          <w:rFonts w:asciiTheme="minorHAnsi" w:hAnsiTheme="minorHAnsi"/>
          <w:color w:val="000000"/>
          <w:lang w:val="es-ES_tradnl"/>
        </w:rPr>
        <w:t xml:space="preserve"> </w:t>
      </w:r>
      <w:r w:rsidR="00D11EA8" w:rsidRPr="00D11EA8">
        <w:rPr>
          <w:rFonts w:asciiTheme="minorHAnsi" w:hAnsiTheme="minorHAnsi"/>
          <w:color w:val="000000"/>
          <w:lang w:val="es-ES_tradnl"/>
        </w:rPr>
        <w:t>presupuesto</w:t>
      </w:r>
      <w:r w:rsidR="00AA11D5" w:rsidRPr="00D11EA8">
        <w:rPr>
          <w:rFonts w:asciiTheme="minorHAnsi" w:hAnsiTheme="minorHAnsi"/>
          <w:color w:val="000000"/>
          <w:lang w:val="es-ES_tradnl"/>
        </w:rPr>
        <w:t xml:space="preserve"> para que los CN asistan a </w:t>
      </w:r>
      <w:r w:rsidR="00D11EA8" w:rsidRPr="00D11EA8">
        <w:rPr>
          <w:rFonts w:asciiTheme="minorHAnsi" w:hAnsiTheme="minorHAnsi"/>
          <w:color w:val="000000"/>
          <w:lang w:val="es-ES_tradnl"/>
        </w:rPr>
        <w:t>reuniones</w:t>
      </w:r>
      <w:r w:rsidR="00AA11D5" w:rsidRPr="00D11EA8">
        <w:rPr>
          <w:rFonts w:asciiTheme="minorHAnsi" w:hAnsiTheme="minorHAnsi"/>
          <w:color w:val="000000"/>
          <w:lang w:val="es-ES_tradnl"/>
        </w:rPr>
        <w:t xml:space="preserve"> y en un caso el CN utilizó su</w:t>
      </w:r>
      <w:r w:rsidR="00135AB5">
        <w:rPr>
          <w:rFonts w:asciiTheme="minorHAnsi" w:hAnsiTheme="minorHAnsi"/>
          <w:color w:val="000000"/>
          <w:lang w:val="es-ES_tradnl"/>
        </w:rPr>
        <w:t xml:space="preserve"> tiempo de vacaciones</w:t>
      </w:r>
      <w:r w:rsidR="00AA11D5" w:rsidRPr="00D11EA8">
        <w:rPr>
          <w:rFonts w:asciiTheme="minorHAnsi" w:hAnsiTheme="minorHAnsi"/>
          <w:color w:val="000000"/>
          <w:lang w:val="es-ES_tradnl"/>
        </w:rPr>
        <w:t xml:space="preserve"> para </w:t>
      </w:r>
      <w:r w:rsidR="00D11EA8" w:rsidRPr="00D11EA8">
        <w:rPr>
          <w:rFonts w:asciiTheme="minorHAnsi" w:hAnsiTheme="minorHAnsi"/>
          <w:color w:val="000000"/>
          <w:lang w:val="es-ES_tradnl"/>
        </w:rPr>
        <w:t>asistir</w:t>
      </w:r>
      <w:r w:rsidR="00AA11D5" w:rsidRPr="00D11EA8">
        <w:rPr>
          <w:rFonts w:asciiTheme="minorHAnsi" w:hAnsiTheme="minorHAnsi"/>
          <w:color w:val="000000"/>
          <w:lang w:val="es-ES_tradnl"/>
        </w:rPr>
        <w:t xml:space="preserve"> a </w:t>
      </w:r>
      <w:r w:rsidR="00D11EA8" w:rsidRPr="00D11EA8">
        <w:rPr>
          <w:rFonts w:asciiTheme="minorHAnsi" w:hAnsiTheme="minorHAnsi"/>
          <w:color w:val="000000"/>
          <w:lang w:val="es-ES_tradnl"/>
        </w:rPr>
        <w:t>reuniones</w:t>
      </w:r>
      <w:r w:rsidR="00135AB5">
        <w:rPr>
          <w:rFonts w:asciiTheme="minorHAnsi" w:hAnsiTheme="minorHAnsi"/>
          <w:color w:val="000000"/>
          <w:lang w:val="es-ES_tradnl"/>
        </w:rPr>
        <w:t xml:space="preserve"> del GECT</w:t>
      </w:r>
      <w:r w:rsidR="00AA11D5" w:rsidRPr="00D11EA8">
        <w:rPr>
          <w:rFonts w:asciiTheme="minorHAnsi" w:hAnsiTheme="minorHAnsi"/>
          <w:color w:val="000000"/>
          <w:lang w:val="es-ES_tradnl"/>
        </w:rPr>
        <w:t>.</w:t>
      </w:r>
    </w:p>
    <w:p w14:paraId="3EC8A7AD" w14:textId="77777777" w:rsidR="001C5C4A" w:rsidRPr="00D11EA8" w:rsidRDefault="001C5C4A" w:rsidP="00684ACE">
      <w:pPr>
        <w:rPr>
          <w:rFonts w:asciiTheme="minorHAnsi" w:hAnsiTheme="minorHAnsi"/>
          <w:b/>
          <w:lang w:val="es-ES_tradnl"/>
        </w:rPr>
      </w:pPr>
    </w:p>
    <w:p w14:paraId="32D574AF" w14:textId="2F9326B7" w:rsidR="00536AB3" w:rsidRPr="00D11EA8" w:rsidRDefault="00D11EA8" w:rsidP="00684ACE">
      <w:pPr>
        <w:rPr>
          <w:u w:val="single"/>
          <w:lang w:val="es-ES_tradnl"/>
        </w:rPr>
      </w:pPr>
      <w:r w:rsidRPr="00D11EA8">
        <w:rPr>
          <w:u w:val="single"/>
          <w:lang w:val="es-ES_tradnl"/>
        </w:rPr>
        <w:t>Prioridades</w:t>
      </w:r>
      <w:r w:rsidR="00AA11D5" w:rsidRPr="00D11EA8">
        <w:rPr>
          <w:u w:val="single"/>
          <w:lang w:val="es-ES_tradnl"/>
        </w:rPr>
        <w:t xml:space="preserve"> futuras</w:t>
      </w:r>
    </w:p>
    <w:p w14:paraId="41EA3970" w14:textId="77777777" w:rsidR="00CC6773" w:rsidRPr="00D11EA8" w:rsidRDefault="00CC6773" w:rsidP="00CC6773">
      <w:pPr>
        <w:rPr>
          <w:rFonts w:cs="Arial"/>
          <w:lang w:val="es-ES_tradnl"/>
        </w:rPr>
      </w:pPr>
    </w:p>
    <w:p w14:paraId="51AA4BB0" w14:textId="09CD9F00" w:rsidR="006F016C" w:rsidRPr="00D11EA8" w:rsidRDefault="00867F99" w:rsidP="00867F99">
      <w:pPr>
        <w:rPr>
          <w:color w:val="FF0000"/>
          <w:lang w:val="es-ES_tradnl"/>
        </w:rPr>
      </w:pPr>
      <w:r w:rsidRPr="00D11EA8">
        <w:rPr>
          <w:lang w:val="es-ES_tradnl"/>
        </w:rPr>
        <w:t>23.</w:t>
      </w:r>
      <w:r w:rsidRPr="00D11EA8">
        <w:rPr>
          <w:lang w:val="es-ES_tradnl"/>
        </w:rPr>
        <w:tab/>
      </w:r>
      <w:r w:rsidR="008A20BE" w:rsidRPr="00D11EA8">
        <w:rPr>
          <w:lang w:val="es-ES_tradnl"/>
        </w:rPr>
        <w:t>Tras consul</w:t>
      </w:r>
      <w:r w:rsidR="00303B31">
        <w:rPr>
          <w:lang w:val="es-ES_tradnl"/>
        </w:rPr>
        <w:t>t</w:t>
      </w:r>
      <w:r w:rsidR="008A20BE" w:rsidRPr="00D11EA8">
        <w:rPr>
          <w:lang w:val="es-ES_tradnl"/>
        </w:rPr>
        <w:t xml:space="preserve">ar a los miembros del GECT durante la reunión </w:t>
      </w:r>
      <w:r w:rsidR="00D84DDF" w:rsidRPr="00D11EA8">
        <w:rPr>
          <w:lang w:val="es-ES_tradnl"/>
        </w:rPr>
        <w:t>GECT</w:t>
      </w:r>
      <w:r w:rsidR="009074B1" w:rsidRPr="00D11EA8">
        <w:rPr>
          <w:lang w:val="es-ES_tradnl"/>
        </w:rPr>
        <w:t>21</w:t>
      </w:r>
      <w:r w:rsidR="008A20BE" w:rsidRPr="00D11EA8">
        <w:rPr>
          <w:lang w:val="es-ES_tradnl"/>
        </w:rPr>
        <w:t xml:space="preserve"> y a la Secretaría</w:t>
      </w:r>
      <w:r w:rsidR="00135AB5">
        <w:rPr>
          <w:lang w:val="es-ES_tradnl"/>
        </w:rPr>
        <w:t xml:space="preserve">, la Presidencia </w:t>
      </w:r>
      <w:r w:rsidR="008A20BE" w:rsidRPr="00D11EA8">
        <w:rPr>
          <w:lang w:val="es-ES_tradnl"/>
        </w:rPr>
        <w:t xml:space="preserve">del GECT recomienda mantener las </w:t>
      </w:r>
      <w:r w:rsidR="00052C47">
        <w:rPr>
          <w:lang w:val="es-ES_tradnl"/>
        </w:rPr>
        <w:t xml:space="preserve">áreas temáticas de trabajo </w:t>
      </w:r>
      <w:r w:rsidR="008A20BE" w:rsidRPr="00D11EA8">
        <w:rPr>
          <w:lang w:val="es-ES_tradnl"/>
        </w:rPr>
        <w:t xml:space="preserve">actuales, </w:t>
      </w:r>
      <w:r w:rsidR="00D11EA8" w:rsidRPr="00D11EA8">
        <w:rPr>
          <w:lang w:val="es-ES_tradnl"/>
        </w:rPr>
        <w:t>adoptadas</w:t>
      </w:r>
      <w:r w:rsidR="008A20BE" w:rsidRPr="00D11EA8">
        <w:rPr>
          <w:lang w:val="es-ES_tradnl"/>
        </w:rPr>
        <w:t xml:space="preserve"> por las Partes Contra</w:t>
      </w:r>
      <w:r w:rsidR="00D11EA8">
        <w:rPr>
          <w:lang w:val="es-ES_tradnl"/>
        </w:rPr>
        <w:t>tant</w:t>
      </w:r>
      <w:r w:rsidR="008A20BE" w:rsidRPr="00D11EA8">
        <w:rPr>
          <w:lang w:val="es-ES_tradnl"/>
        </w:rPr>
        <w:t xml:space="preserve">es en la </w:t>
      </w:r>
      <w:r w:rsidR="00D11EA8" w:rsidRPr="00D11EA8">
        <w:rPr>
          <w:lang w:val="es-ES_tradnl"/>
        </w:rPr>
        <w:t>Resolución</w:t>
      </w:r>
      <w:r w:rsidR="009074B1" w:rsidRPr="00D11EA8">
        <w:rPr>
          <w:lang w:val="es-ES_tradnl"/>
        </w:rPr>
        <w:t xml:space="preserve"> </w:t>
      </w:r>
      <w:r w:rsidR="00FE7A28" w:rsidRPr="00D11EA8">
        <w:rPr>
          <w:lang w:val="es-ES_tradnl"/>
        </w:rPr>
        <w:t>XII.5</w:t>
      </w:r>
      <w:r w:rsidR="009074B1" w:rsidRPr="00D11EA8">
        <w:rPr>
          <w:lang w:val="es-ES_tradnl"/>
        </w:rPr>
        <w:t xml:space="preserve">, </w:t>
      </w:r>
      <w:r w:rsidR="008A20BE" w:rsidRPr="00D11EA8">
        <w:rPr>
          <w:lang w:val="es-ES_tradnl"/>
        </w:rPr>
        <w:t xml:space="preserve">con pequeñas </w:t>
      </w:r>
      <w:r w:rsidR="00D11EA8" w:rsidRPr="00D11EA8">
        <w:rPr>
          <w:lang w:val="es-ES_tradnl"/>
        </w:rPr>
        <w:t>modificaciones</w:t>
      </w:r>
      <w:r w:rsidR="008A20BE" w:rsidRPr="00D11EA8">
        <w:rPr>
          <w:lang w:val="es-ES_tradnl"/>
        </w:rPr>
        <w:t xml:space="preserve"> </w:t>
      </w:r>
      <w:r w:rsidR="009074B1" w:rsidRPr="00D11EA8">
        <w:rPr>
          <w:lang w:val="es-ES_tradnl"/>
        </w:rPr>
        <w:t>(</w:t>
      </w:r>
      <w:r w:rsidR="008A20BE" w:rsidRPr="00D11EA8">
        <w:rPr>
          <w:lang w:val="es-ES_tradnl"/>
        </w:rPr>
        <w:t xml:space="preserve">véase el documento </w:t>
      </w:r>
      <w:r w:rsidR="009074B1" w:rsidRPr="00D11EA8">
        <w:rPr>
          <w:lang w:val="es-ES_tradnl"/>
        </w:rPr>
        <w:t>SC</w:t>
      </w:r>
      <w:r w:rsidRPr="00D11EA8">
        <w:rPr>
          <w:lang w:val="es-ES_tradnl"/>
        </w:rPr>
        <w:t>54-23</w:t>
      </w:r>
      <w:r w:rsidR="00052C47">
        <w:rPr>
          <w:lang w:val="es-ES_tradnl"/>
        </w:rPr>
        <w:t xml:space="preserve">, </w:t>
      </w:r>
      <w:r w:rsidR="00052C47" w:rsidRPr="00303B31">
        <w:rPr>
          <w:i/>
          <w:lang w:val="es-ES_tradnl"/>
        </w:rPr>
        <w:t>Proyecto de resolución sobre las prioridades científicas y técnicas de la Convención</w:t>
      </w:r>
      <w:r w:rsidR="00052C47" w:rsidRPr="00052C47">
        <w:rPr>
          <w:lang w:val="es-ES_tradnl"/>
        </w:rPr>
        <w:t>)</w:t>
      </w:r>
      <w:r w:rsidR="00052C47">
        <w:rPr>
          <w:i/>
          <w:lang w:val="es-ES_tradnl"/>
        </w:rPr>
        <w:t xml:space="preserve">. </w:t>
      </w:r>
      <w:r w:rsidR="00052C47" w:rsidRPr="00052C47">
        <w:rPr>
          <w:lang w:val="es-ES_tradnl"/>
        </w:rPr>
        <w:t>Ad</w:t>
      </w:r>
      <w:r w:rsidR="008A20BE" w:rsidRPr="00052C47">
        <w:rPr>
          <w:lang w:val="es-ES_tradnl"/>
        </w:rPr>
        <w:t>emás</w:t>
      </w:r>
      <w:r w:rsidR="008A20BE" w:rsidRPr="00D11EA8">
        <w:rPr>
          <w:lang w:val="es-ES_tradnl"/>
        </w:rPr>
        <w:t xml:space="preserve">, el </w:t>
      </w:r>
      <w:r w:rsidR="00D84DDF" w:rsidRPr="00D11EA8">
        <w:rPr>
          <w:lang w:val="es-ES_tradnl"/>
        </w:rPr>
        <w:t>GECT</w:t>
      </w:r>
      <w:r w:rsidR="009074B1" w:rsidRPr="00D11EA8">
        <w:rPr>
          <w:lang w:val="es-ES_tradnl"/>
        </w:rPr>
        <w:t xml:space="preserve"> </w:t>
      </w:r>
      <w:r w:rsidR="008A20BE" w:rsidRPr="00D11EA8">
        <w:rPr>
          <w:lang w:val="es-ES_tradnl"/>
        </w:rPr>
        <w:t xml:space="preserve">recomienda </w:t>
      </w:r>
      <w:r w:rsidR="00D11EA8" w:rsidRPr="00D11EA8">
        <w:rPr>
          <w:lang w:val="es-ES_tradnl"/>
        </w:rPr>
        <w:t>que</w:t>
      </w:r>
      <w:r w:rsidR="008A20BE" w:rsidRPr="00D11EA8">
        <w:rPr>
          <w:lang w:val="es-ES_tradnl"/>
        </w:rPr>
        <w:t xml:space="preserve"> se </w:t>
      </w:r>
      <w:r w:rsidR="00D11EA8" w:rsidRPr="00D11EA8">
        <w:rPr>
          <w:lang w:val="es-ES_tradnl"/>
        </w:rPr>
        <w:t>examine</w:t>
      </w:r>
      <w:r w:rsidR="007C27E0">
        <w:rPr>
          <w:lang w:val="es-ES_tradnl"/>
        </w:rPr>
        <w:t xml:space="preserve"> </w:t>
      </w:r>
      <w:r w:rsidR="008A20BE" w:rsidRPr="00D11EA8">
        <w:rPr>
          <w:lang w:val="es-ES_tradnl"/>
        </w:rPr>
        <w:t xml:space="preserve">la siguiente lista de prioridades , cada una de las cuales </w:t>
      </w:r>
      <w:r w:rsidR="00D11EA8" w:rsidRPr="00D11EA8">
        <w:rPr>
          <w:lang w:val="es-ES_tradnl"/>
        </w:rPr>
        <w:t>corresponde</w:t>
      </w:r>
      <w:r w:rsidR="007C27E0">
        <w:rPr>
          <w:lang w:val="es-ES_tradnl"/>
        </w:rPr>
        <w:t xml:space="preserve"> a un área temática de trabajo, </w:t>
      </w:r>
      <w:r w:rsidR="008A20BE" w:rsidRPr="00D11EA8">
        <w:rPr>
          <w:lang w:val="es-ES_tradnl"/>
        </w:rPr>
        <w:t xml:space="preserve">basada </w:t>
      </w:r>
      <w:r w:rsidR="003826BD">
        <w:rPr>
          <w:lang w:val="es-ES_tradnl"/>
        </w:rPr>
        <w:t xml:space="preserve">en </w:t>
      </w:r>
      <w:r w:rsidR="008A20BE" w:rsidRPr="00D11EA8">
        <w:rPr>
          <w:lang w:val="es-ES_tradnl"/>
        </w:rPr>
        <w:t>el Plan Estratégico de la Convención,</w:t>
      </w:r>
      <w:r w:rsidR="003826BD">
        <w:rPr>
          <w:lang w:val="es-ES_tradnl"/>
        </w:rPr>
        <w:t xml:space="preserve"> en procedimientos internacionales pertinentes para la Convención y en las necesidades de las Partes Contratantes:</w:t>
      </w:r>
      <w:r w:rsidR="009074B1" w:rsidRPr="00D11EA8">
        <w:rPr>
          <w:color w:val="FF0000"/>
          <w:lang w:val="es-ES_tradnl"/>
        </w:rPr>
        <w:t xml:space="preserve"> </w:t>
      </w:r>
    </w:p>
    <w:p w14:paraId="0D267C27" w14:textId="77777777" w:rsidR="006F016C" w:rsidRPr="00D11EA8" w:rsidRDefault="006F016C" w:rsidP="00CC6773">
      <w:pPr>
        <w:rPr>
          <w:rFonts w:cs="Arial"/>
          <w:lang w:val="es-ES_tradnl"/>
        </w:rPr>
      </w:pPr>
    </w:p>
    <w:p w14:paraId="18759626" w14:textId="6BAF9AE1" w:rsidR="00FE7A28" w:rsidRPr="00D11EA8" w:rsidRDefault="003826BD" w:rsidP="00867F99">
      <w:pPr>
        <w:pStyle w:val="ListParagraph"/>
        <w:numPr>
          <w:ilvl w:val="0"/>
          <w:numId w:val="18"/>
        </w:numPr>
        <w:ind w:left="850" w:hanging="425"/>
        <w:rPr>
          <w:rFonts w:cs="Arial"/>
          <w:lang w:val="es-ES_tradnl"/>
        </w:rPr>
      </w:pPr>
      <w:r>
        <w:rPr>
          <w:rFonts w:cs="Arial"/>
          <w:lang w:val="es-ES_tradnl"/>
        </w:rPr>
        <w:t>B</w:t>
      </w:r>
      <w:r w:rsidR="00A26220" w:rsidRPr="00D11EA8">
        <w:rPr>
          <w:rFonts w:cs="Arial"/>
          <w:lang w:val="es-ES_tradnl"/>
        </w:rPr>
        <w:t xml:space="preserve">rindar orientaciones a las Partes </w:t>
      </w:r>
      <w:r w:rsidR="00D11EA8" w:rsidRPr="00D11EA8">
        <w:rPr>
          <w:rFonts w:cs="Arial"/>
          <w:lang w:val="es-ES_tradnl"/>
        </w:rPr>
        <w:t>Contratantes</w:t>
      </w:r>
      <w:r w:rsidR="00A26220" w:rsidRPr="00D11EA8">
        <w:rPr>
          <w:rFonts w:cs="Arial"/>
          <w:lang w:val="es-ES_tradnl"/>
        </w:rPr>
        <w:t xml:space="preserve"> sobre </w:t>
      </w:r>
      <w:r>
        <w:rPr>
          <w:rFonts w:cs="Arial"/>
          <w:lang w:val="es-ES_tradnl"/>
        </w:rPr>
        <w:t>la presentación de</w:t>
      </w:r>
      <w:r w:rsidR="00A26220" w:rsidRPr="00D11EA8">
        <w:rPr>
          <w:rFonts w:cs="Arial"/>
          <w:lang w:val="es-ES_tradnl"/>
        </w:rPr>
        <w:t xml:space="preserve"> informes nacionales sobre los inventarios de humedales, que contribuirán a los </w:t>
      </w:r>
      <w:r w:rsidR="00D11EA8" w:rsidRPr="00D11EA8">
        <w:rPr>
          <w:rFonts w:cs="Arial"/>
          <w:lang w:val="es-ES_tradnl"/>
        </w:rPr>
        <w:t>informes</w:t>
      </w:r>
      <w:r w:rsidR="00A26220" w:rsidRPr="00D11EA8">
        <w:rPr>
          <w:rFonts w:cs="Arial"/>
          <w:lang w:val="es-ES_tradnl"/>
        </w:rPr>
        <w:t xml:space="preserve"> que hay que presentar en el marco </w:t>
      </w:r>
      <w:r>
        <w:rPr>
          <w:rFonts w:cs="Arial"/>
          <w:lang w:val="es-ES_tradnl"/>
        </w:rPr>
        <w:t>del indicador 6.6.1 de los</w:t>
      </w:r>
      <w:r w:rsidR="00A26220" w:rsidRPr="00D11EA8">
        <w:rPr>
          <w:rFonts w:cs="Arial"/>
          <w:lang w:val="es-ES_tradnl"/>
        </w:rPr>
        <w:t xml:space="preserve"> Objetivo</w:t>
      </w:r>
      <w:r>
        <w:rPr>
          <w:rFonts w:cs="Arial"/>
          <w:lang w:val="es-ES_tradnl"/>
        </w:rPr>
        <w:t>s</w:t>
      </w:r>
      <w:r w:rsidR="00A26220" w:rsidRPr="00D11EA8">
        <w:rPr>
          <w:rFonts w:cs="Arial"/>
          <w:lang w:val="es-ES_tradnl"/>
        </w:rPr>
        <w:t xml:space="preserve"> de Desarrollo </w:t>
      </w:r>
      <w:r w:rsidR="00D11EA8" w:rsidRPr="00D11EA8">
        <w:rPr>
          <w:rFonts w:cs="Arial"/>
          <w:lang w:val="es-ES_tradnl"/>
        </w:rPr>
        <w:t>Sostenible</w:t>
      </w:r>
      <w:r>
        <w:rPr>
          <w:rFonts w:cs="Arial"/>
          <w:lang w:val="es-ES_tradnl"/>
        </w:rPr>
        <w:t>.</w:t>
      </w:r>
    </w:p>
    <w:p w14:paraId="720DE932" w14:textId="77777777" w:rsidR="006F016C" w:rsidRPr="00D11EA8" w:rsidRDefault="006F016C" w:rsidP="00867F99">
      <w:pPr>
        <w:pStyle w:val="ListParagraph"/>
        <w:ind w:left="850"/>
        <w:rPr>
          <w:rFonts w:cs="Arial"/>
          <w:lang w:val="es-ES_tradnl"/>
        </w:rPr>
      </w:pPr>
    </w:p>
    <w:p w14:paraId="1AB8289D" w14:textId="562E9FCC" w:rsidR="006F016C" w:rsidRPr="00A16F1B" w:rsidRDefault="00BB7C3F" w:rsidP="00867F99">
      <w:pPr>
        <w:pStyle w:val="ListParagraph"/>
        <w:numPr>
          <w:ilvl w:val="0"/>
          <w:numId w:val="18"/>
        </w:numPr>
        <w:ind w:left="850" w:hanging="425"/>
        <w:rPr>
          <w:rFonts w:cs="Arial"/>
          <w:lang w:val="es-ES_tradnl"/>
        </w:rPr>
      </w:pPr>
      <w:r w:rsidRPr="00A16F1B">
        <w:rPr>
          <w:rFonts w:eastAsia="Times New Roman"/>
          <w:color w:val="000000"/>
          <w:lang w:val="es-ES_tradnl"/>
        </w:rPr>
        <w:t xml:space="preserve">Realizar un examen </w:t>
      </w:r>
      <w:r w:rsidR="003826BD" w:rsidRPr="00A16F1B">
        <w:rPr>
          <w:rFonts w:eastAsia="Times New Roman"/>
          <w:color w:val="000000"/>
          <w:lang w:val="es-ES_tradnl"/>
        </w:rPr>
        <w:t xml:space="preserve">de los inventarios nacionales de humedales y </w:t>
      </w:r>
      <w:r w:rsidRPr="00A16F1B">
        <w:rPr>
          <w:rFonts w:eastAsia="Times New Roman"/>
          <w:color w:val="000000"/>
          <w:lang w:val="es-ES_tradnl"/>
        </w:rPr>
        <w:t xml:space="preserve">una </w:t>
      </w:r>
      <w:r w:rsidR="00D11EA8" w:rsidRPr="00A16F1B">
        <w:rPr>
          <w:rFonts w:eastAsia="Times New Roman"/>
          <w:color w:val="000000"/>
          <w:lang w:val="es-ES_tradnl"/>
        </w:rPr>
        <w:t>recopilación</w:t>
      </w:r>
      <w:r w:rsidRPr="00A16F1B">
        <w:rPr>
          <w:rFonts w:eastAsia="Times New Roman"/>
          <w:color w:val="000000"/>
          <w:lang w:val="es-ES_tradnl"/>
        </w:rPr>
        <w:t xml:space="preserve"> de datos y de </w:t>
      </w:r>
      <w:r w:rsidR="00D11EA8" w:rsidRPr="00A16F1B">
        <w:rPr>
          <w:rFonts w:eastAsia="Times New Roman"/>
          <w:color w:val="000000"/>
          <w:lang w:val="es-ES_tradnl"/>
        </w:rPr>
        <w:t>información</w:t>
      </w:r>
      <w:r w:rsidRPr="00A16F1B">
        <w:rPr>
          <w:rFonts w:eastAsia="Times New Roman"/>
          <w:color w:val="000000"/>
          <w:lang w:val="es-ES_tradnl"/>
        </w:rPr>
        <w:t xml:space="preserve"> </w:t>
      </w:r>
      <w:r w:rsidR="00A63A58" w:rsidRPr="00A16F1B">
        <w:rPr>
          <w:rFonts w:eastAsia="Times New Roman"/>
          <w:color w:val="000000"/>
          <w:lang w:val="es-ES_tradnl"/>
        </w:rPr>
        <w:t>contenidos en</w:t>
      </w:r>
      <w:r w:rsidR="003826BD" w:rsidRPr="00A16F1B">
        <w:rPr>
          <w:rFonts w:eastAsia="Times New Roman"/>
          <w:color w:val="000000"/>
          <w:lang w:val="es-ES_tradnl"/>
        </w:rPr>
        <w:t xml:space="preserve"> estos </w:t>
      </w:r>
      <w:r w:rsidRPr="00A16F1B">
        <w:rPr>
          <w:rFonts w:eastAsia="Times New Roman"/>
          <w:color w:val="000000"/>
          <w:lang w:val="es-ES_tradnl"/>
        </w:rPr>
        <w:t xml:space="preserve">a fin de actualizar el </w:t>
      </w:r>
      <w:r w:rsidR="00A16F1B">
        <w:rPr>
          <w:rFonts w:eastAsia="Times New Roman"/>
          <w:color w:val="000000"/>
          <w:lang w:val="es-ES_tradnl"/>
        </w:rPr>
        <w:t>examen mundial de inventarios de humedales de 1999 “</w:t>
      </w:r>
      <w:r w:rsidR="009074B1" w:rsidRPr="00A16F1B">
        <w:rPr>
          <w:rFonts w:eastAsia="Times New Roman"/>
          <w:lang w:val="es-ES_tradnl"/>
        </w:rPr>
        <w:t>Global Review of Wetland Inventory</w:t>
      </w:r>
      <w:r w:rsidR="00A16F1B">
        <w:rPr>
          <w:rFonts w:eastAsia="Times New Roman"/>
          <w:lang w:val="es-ES_tradnl"/>
        </w:rPr>
        <w:t>”</w:t>
      </w:r>
      <w:r w:rsidR="009074B1" w:rsidRPr="00A16F1B">
        <w:rPr>
          <w:rFonts w:eastAsia="Times New Roman"/>
          <w:color w:val="000000"/>
          <w:lang w:val="es-ES_tradnl"/>
        </w:rPr>
        <w:t xml:space="preserve"> (GRoWI) </w:t>
      </w:r>
      <w:r w:rsidRPr="00A16F1B">
        <w:rPr>
          <w:rFonts w:eastAsia="Times New Roman"/>
          <w:color w:val="000000"/>
          <w:lang w:val="es-ES_tradnl"/>
        </w:rPr>
        <w:t xml:space="preserve">a partir de la </w:t>
      </w:r>
      <w:r w:rsidR="00D11EA8" w:rsidRPr="00A16F1B">
        <w:rPr>
          <w:rFonts w:eastAsia="Times New Roman"/>
          <w:color w:val="000000"/>
          <w:lang w:val="es-ES_tradnl"/>
        </w:rPr>
        <w:t>información</w:t>
      </w:r>
      <w:r w:rsidRPr="00A16F1B">
        <w:rPr>
          <w:rFonts w:eastAsia="Times New Roman"/>
          <w:color w:val="000000"/>
          <w:lang w:val="es-ES_tradnl"/>
        </w:rPr>
        <w:t xml:space="preserve"> aportada por las Partes </w:t>
      </w:r>
      <w:r w:rsidR="00D11EA8" w:rsidRPr="00A16F1B">
        <w:rPr>
          <w:rFonts w:eastAsia="Times New Roman"/>
          <w:color w:val="000000"/>
          <w:lang w:val="es-ES_tradnl"/>
        </w:rPr>
        <w:t xml:space="preserve">Contratantes </w:t>
      </w:r>
      <w:r w:rsidR="00A16F1B">
        <w:rPr>
          <w:rFonts w:eastAsia="Times New Roman"/>
          <w:color w:val="000000"/>
          <w:lang w:val="es-ES_tradnl"/>
        </w:rPr>
        <w:t>en sus informes n</w:t>
      </w:r>
      <w:r w:rsidRPr="00A16F1B">
        <w:rPr>
          <w:rFonts w:eastAsia="Times New Roman"/>
          <w:color w:val="000000"/>
          <w:lang w:val="es-ES_tradnl"/>
        </w:rPr>
        <w:t>acionales a la COP13 y otras fuentes tales como</w:t>
      </w:r>
      <w:r w:rsidR="00A16F1B">
        <w:rPr>
          <w:rFonts w:eastAsia="Times New Roman"/>
          <w:color w:val="000000"/>
          <w:lang w:val="es-ES_tradnl"/>
        </w:rPr>
        <w:t xml:space="preserve"> la iniciativa</w:t>
      </w:r>
      <w:r w:rsidRPr="00A16F1B">
        <w:rPr>
          <w:rFonts w:eastAsia="Times New Roman"/>
          <w:color w:val="000000"/>
          <w:lang w:val="es-ES_tradnl"/>
        </w:rPr>
        <w:t xml:space="preserve"> </w:t>
      </w:r>
      <w:r w:rsidR="00A97C27" w:rsidRPr="00A16F1B">
        <w:rPr>
          <w:rFonts w:eastAsia="Times New Roman"/>
          <w:color w:val="000000"/>
          <w:lang w:val="es-ES_tradnl"/>
        </w:rPr>
        <w:t>Global Mangrove Watch</w:t>
      </w:r>
      <w:r w:rsidR="00A16F1B">
        <w:rPr>
          <w:rFonts w:eastAsia="Times New Roman"/>
          <w:color w:val="000000"/>
          <w:lang w:val="es-ES_tradnl"/>
        </w:rPr>
        <w:t>, sobre los manglares</w:t>
      </w:r>
      <w:r w:rsidR="006F016C" w:rsidRPr="00A16F1B">
        <w:rPr>
          <w:rFonts w:eastAsia="Times New Roman"/>
          <w:color w:val="000000"/>
          <w:lang w:val="es-ES_tradnl"/>
        </w:rPr>
        <w:t>;</w:t>
      </w:r>
    </w:p>
    <w:p w14:paraId="25FAD5D8" w14:textId="77777777" w:rsidR="009074B1" w:rsidRPr="00D11EA8" w:rsidRDefault="009074B1" w:rsidP="00867F99">
      <w:pPr>
        <w:pStyle w:val="ListParagraph"/>
        <w:ind w:left="850"/>
        <w:rPr>
          <w:rFonts w:cs="Arial"/>
          <w:lang w:val="es-ES_tradnl"/>
        </w:rPr>
      </w:pPr>
    </w:p>
    <w:p w14:paraId="22EA8BE6" w14:textId="30441D66" w:rsidR="009074B1" w:rsidRPr="00D11EA8" w:rsidRDefault="00A16F1B" w:rsidP="00867F99">
      <w:pPr>
        <w:pStyle w:val="ListParagraph"/>
        <w:numPr>
          <w:ilvl w:val="0"/>
          <w:numId w:val="18"/>
        </w:numPr>
        <w:ind w:left="850" w:hanging="425"/>
        <w:rPr>
          <w:rFonts w:cs="Arial"/>
          <w:lang w:val="es-ES_tradnl"/>
        </w:rPr>
      </w:pPr>
      <w:r w:rsidRPr="00A16F1B">
        <w:rPr>
          <w:rFonts w:cs="Arial"/>
          <w:lang w:val="es-ES_tradnl"/>
        </w:rPr>
        <w:t xml:space="preserve">Asesorar sobre </w:t>
      </w:r>
      <w:r>
        <w:rPr>
          <w:rFonts w:cs="Arial"/>
          <w:lang w:val="es-ES_tradnl"/>
        </w:rPr>
        <w:t>la manera en que</w:t>
      </w:r>
      <w:r w:rsidR="00BB7C3F" w:rsidRPr="00D11EA8">
        <w:rPr>
          <w:rFonts w:cs="Arial"/>
          <w:lang w:val="es-ES_tradnl"/>
        </w:rPr>
        <w:t xml:space="preserve"> los humedales pueden servir de capital </w:t>
      </w:r>
      <w:r w:rsidR="00D11EA8" w:rsidRPr="00D11EA8">
        <w:rPr>
          <w:rFonts w:cs="Arial"/>
          <w:lang w:val="es-ES_tradnl"/>
        </w:rPr>
        <w:t>natural</w:t>
      </w:r>
      <w:r w:rsidR="00BB7C3F" w:rsidRPr="00D11EA8">
        <w:rPr>
          <w:rFonts w:cs="Arial"/>
          <w:lang w:val="es-ES_tradnl"/>
        </w:rPr>
        <w:t xml:space="preserve"> para fomentar las inversiones en </w:t>
      </w:r>
      <w:r w:rsidR="00210B8A">
        <w:rPr>
          <w:rFonts w:cs="Arial"/>
          <w:lang w:val="es-ES_tradnl"/>
        </w:rPr>
        <w:t xml:space="preserve">su </w:t>
      </w:r>
      <w:r w:rsidR="00D11EA8" w:rsidRPr="00D11EA8">
        <w:rPr>
          <w:rFonts w:cs="Arial"/>
          <w:lang w:val="es-ES_tradnl"/>
        </w:rPr>
        <w:t>restauración</w:t>
      </w:r>
      <w:r w:rsidR="00BB7C3F" w:rsidRPr="00D11EA8">
        <w:rPr>
          <w:rFonts w:cs="Arial"/>
          <w:lang w:val="es-ES_tradnl"/>
        </w:rPr>
        <w:t xml:space="preserve"> </w:t>
      </w:r>
      <w:r w:rsidR="005528A0" w:rsidRPr="00D11EA8">
        <w:rPr>
          <w:rFonts w:cs="Arial"/>
          <w:lang w:val="es-ES_tradnl"/>
        </w:rPr>
        <w:t xml:space="preserve">y uso racional </w:t>
      </w:r>
      <w:r w:rsidR="00BB7C3F" w:rsidRPr="00D11EA8">
        <w:rPr>
          <w:rFonts w:cs="Arial"/>
          <w:lang w:val="es-ES_tradnl"/>
        </w:rPr>
        <w:t xml:space="preserve">y para </w:t>
      </w:r>
      <w:r w:rsidR="00D11EA8" w:rsidRPr="00D11EA8">
        <w:rPr>
          <w:rFonts w:cs="Arial"/>
          <w:lang w:val="es-ES_tradnl"/>
        </w:rPr>
        <w:t>promover</w:t>
      </w:r>
      <w:r w:rsidR="00BB7C3F" w:rsidRPr="00D11EA8">
        <w:rPr>
          <w:rFonts w:cs="Arial"/>
          <w:lang w:val="es-ES_tradnl"/>
        </w:rPr>
        <w:t xml:space="preserve"> los humedales como soluciones </w:t>
      </w:r>
      <w:r w:rsidR="00210B8A">
        <w:rPr>
          <w:rFonts w:cs="Arial"/>
          <w:lang w:val="es-ES_tradnl"/>
        </w:rPr>
        <w:t>o infraestructuras naturales</w:t>
      </w:r>
      <w:r w:rsidR="000D3EC5" w:rsidRPr="00D11EA8">
        <w:rPr>
          <w:rFonts w:cs="Arial"/>
          <w:lang w:val="es-ES_tradnl"/>
        </w:rPr>
        <w:t>;</w:t>
      </w:r>
    </w:p>
    <w:p w14:paraId="1B05B486" w14:textId="77777777" w:rsidR="006F016C" w:rsidRPr="00D11EA8" w:rsidRDefault="006F016C" w:rsidP="00867F99">
      <w:pPr>
        <w:pStyle w:val="ListParagraph"/>
        <w:ind w:left="850"/>
        <w:rPr>
          <w:rFonts w:cs="Arial"/>
          <w:lang w:val="es-ES_tradnl"/>
        </w:rPr>
      </w:pPr>
    </w:p>
    <w:p w14:paraId="44EB3479" w14:textId="622C962B" w:rsidR="000D3EC5" w:rsidRPr="00D11EA8" w:rsidRDefault="00BB7C3F" w:rsidP="00867F99">
      <w:pPr>
        <w:pStyle w:val="ListParagraph"/>
        <w:numPr>
          <w:ilvl w:val="0"/>
          <w:numId w:val="18"/>
        </w:numPr>
        <w:ind w:left="850" w:hanging="425"/>
        <w:rPr>
          <w:rFonts w:cs="Arial"/>
          <w:lang w:val="es-ES_tradnl"/>
        </w:rPr>
      </w:pPr>
      <w:r w:rsidRPr="00D11EA8">
        <w:rPr>
          <w:rFonts w:cs="Arial"/>
          <w:lang w:val="es-ES_tradnl"/>
        </w:rPr>
        <w:lastRenderedPageBreak/>
        <w:t xml:space="preserve">Brindar </w:t>
      </w:r>
      <w:r w:rsidR="00D11EA8" w:rsidRPr="00D11EA8">
        <w:rPr>
          <w:rFonts w:cs="Arial"/>
          <w:lang w:val="es-ES_tradnl"/>
        </w:rPr>
        <w:t>orientaciones</w:t>
      </w:r>
      <w:r w:rsidRPr="00D11EA8">
        <w:rPr>
          <w:rFonts w:cs="Arial"/>
          <w:lang w:val="es-ES_tradnl"/>
        </w:rPr>
        <w:t xml:space="preserve"> sobre </w:t>
      </w:r>
      <w:r w:rsidR="00D11EA8" w:rsidRPr="00D11EA8">
        <w:rPr>
          <w:rFonts w:cs="Arial"/>
          <w:lang w:val="es-ES_tradnl"/>
        </w:rPr>
        <w:t>metodologías</w:t>
      </w:r>
      <w:r w:rsidRPr="00D11EA8">
        <w:rPr>
          <w:rFonts w:cs="Arial"/>
          <w:lang w:val="es-ES_tradnl"/>
        </w:rPr>
        <w:t xml:space="preserve"> para contabilizar el </w:t>
      </w:r>
      <w:r w:rsidR="00D11EA8" w:rsidRPr="00D11EA8">
        <w:rPr>
          <w:rFonts w:cs="Arial"/>
          <w:lang w:val="es-ES_tradnl"/>
        </w:rPr>
        <w:t>secuestro</w:t>
      </w:r>
      <w:r w:rsidRPr="00D11EA8">
        <w:rPr>
          <w:rFonts w:cs="Arial"/>
          <w:lang w:val="es-ES_tradnl"/>
        </w:rPr>
        <w:t xml:space="preserve"> de carbono que contribuyan</w:t>
      </w:r>
      <w:r w:rsidR="00210B8A">
        <w:rPr>
          <w:rFonts w:cs="Arial"/>
          <w:lang w:val="es-ES_tradnl"/>
        </w:rPr>
        <w:t xml:space="preserve">, </w:t>
      </w:r>
      <w:r w:rsidRPr="00D11EA8">
        <w:rPr>
          <w:rFonts w:cs="Arial"/>
          <w:lang w:val="es-ES_tradnl"/>
        </w:rPr>
        <w:t>entre otras cosas</w:t>
      </w:r>
      <w:r w:rsidR="00210B8A">
        <w:rPr>
          <w:rFonts w:cs="Arial"/>
          <w:lang w:val="es-ES_tradnl"/>
        </w:rPr>
        <w:t>, a los informes sobre las c</w:t>
      </w:r>
      <w:r w:rsidRPr="00D11EA8">
        <w:rPr>
          <w:rFonts w:cs="Arial"/>
          <w:lang w:val="es-ES_tradnl"/>
        </w:rPr>
        <w:t xml:space="preserve">ontribuciones determinadas a nivel nacional </w:t>
      </w:r>
      <w:r w:rsidR="00210B8A">
        <w:rPr>
          <w:rFonts w:cs="Arial"/>
          <w:lang w:val="es-ES_tradnl"/>
        </w:rPr>
        <w:t>que hay que presentar en el marco de la CMNUCC</w:t>
      </w:r>
      <w:r w:rsidR="000D3EC5" w:rsidRPr="00D11EA8">
        <w:rPr>
          <w:rFonts w:cs="Arial"/>
          <w:lang w:val="es-ES_tradnl"/>
        </w:rPr>
        <w:t xml:space="preserve">; </w:t>
      </w:r>
    </w:p>
    <w:p w14:paraId="0E48DDDA" w14:textId="77777777" w:rsidR="006F016C" w:rsidRPr="00D11EA8" w:rsidRDefault="006F016C" w:rsidP="00867F99">
      <w:pPr>
        <w:pStyle w:val="ListParagraph"/>
        <w:ind w:left="850"/>
        <w:rPr>
          <w:rFonts w:cs="Arial"/>
          <w:lang w:val="es-ES_tradnl"/>
        </w:rPr>
      </w:pPr>
    </w:p>
    <w:p w14:paraId="1C73AA25" w14:textId="6B8360A3" w:rsidR="000D3EC5" w:rsidRPr="00210B8A" w:rsidRDefault="00BB7C3F" w:rsidP="00867F99">
      <w:pPr>
        <w:pStyle w:val="ListParagraph"/>
        <w:numPr>
          <w:ilvl w:val="0"/>
          <w:numId w:val="18"/>
        </w:numPr>
        <w:ind w:left="850" w:hanging="425"/>
        <w:rPr>
          <w:rFonts w:cs="Arial"/>
          <w:lang w:val="es-ES_tradnl"/>
        </w:rPr>
      </w:pPr>
      <w:r w:rsidRPr="00210B8A">
        <w:rPr>
          <w:rFonts w:cs="Arial"/>
          <w:lang w:val="es-ES_tradnl"/>
        </w:rPr>
        <w:t xml:space="preserve">Brindar asesoramiento relativo a la solicitud de la </w:t>
      </w:r>
      <w:r w:rsidR="00D11EA8" w:rsidRPr="00210B8A">
        <w:rPr>
          <w:rFonts w:cs="Arial"/>
          <w:lang w:val="es-ES_tradnl"/>
        </w:rPr>
        <w:t>Resolución</w:t>
      </w:r>
      <w:r w:rsidR="00847794" w:rsidRPr="00210B8A">
        <w:rPr>
          <w:rFonts w:cs="Arial"/>
          <w:lang w:val="es-ES_tradnl"/>
        </w:rPr>
        <w:t xml:space="preserve"> XII.</w:t>
      </w:r>
      <w:r w:rsidR="006F016C" w:rsidRPr="00210B8A">
        <w:rPr>
          <w:rFonts w:cs="Arial"/>
          <w:lang w:val="es-ES_tradnl"/>
        </w:rPr>
        <w:t>2</w:t>
      </w:r>
      <w:r w:rsidRPr="00210B8A">
        <w:rPr>
          <w:rFonts w:cs="Arial"/>
          <w:lang w:val="es-ES_tradnl"/>
        </w:rPr>
        <w:t xml:space="preserve"> de </w:t>
      </w:r>
      <w:r w:rsidR="00210B8A">
        <w:rPr>
          <w:rFonts w:cs="Arial"/>
          <w:lang w:val="es-ES_tradnl"/>
        </w:rPr>
        <w:t xml:space="preserve">presentar una </w:t>
      </w:r>
      <w:r w:rsidR="001F180D">
        <w:rPr>
          <w:rFonts w:cs="Arial"/>
          <w:lang w:val="es-ES_tradnl"/>
        </w:rPr>
        <w:t>petición</w:t>
      </w:r>
      <w:r w:rsidR="00210B8A">
        <w:rPr>
          <w:rFonts w:cs="Arial"/>
          <w:lang w:val="es-ES_tradnl"/>
        </w:rPr>
        <w:t xml:space="preserve"> de evaluación temática a la IPBES</w:t>
      </w:r>
      <w:r w:rsidR="00847794" w:rsidRPr="00210B8A">
        <w:rPr>
          <w:lang w:val="es-ES_tradnl"/>
        </w:rPr>
        <w:t>;</w:t>
      </w:r>
    </w:p>
    <w:p w14:paraId="1C531EE4" w14:textId="77777777" w:rsidR="00F23EB8" w:rsidRPr="00D11EA8" w:rsidRDefault="00F23EB8" w:rsidP="00867F99">
      <w:pPr>
        <w:pStyle w:val="ListParagraph"/>
        <w:ind w:left="850"/>
        <w:rPr>
          <w:rFonts w:cs="Arial"/>
          <w:lang w:val="es-ES_tradnl"/>
        </w:rPr>
      </w:pPr>
    </w:p>
    <w:p w14:paraId="3BD4D550" w14:textId="1058301A" w:rsidR="000D3EC5" w:rsidRPr="00D11EA8" w:rsidRDefault="00210B8A" w:rsidP="00867F99">
      <w:pPr>
        <w:pStyle w:val="ListParagraph"/>
        <w:numPr>
          <w:ilvl w:val="0"/>
          <w:numId w:val="18"/>
        </w:numPr>
        <w:ind w:left="850" w:hanging="425"/>
        <w:rPr>
          <w:rFonts w:cs="Arial"/>
          <w:lang w:val="es-ES_tradnl"/>
        </w:rPr>
      </w:pPr>
      <w:r w:rsidRPr="00210B8A">
        <w:rPr>
          <w:rFonts w:cs="Arial"/>
          <w:lang w:val="es-ES_tradnl"/>
        </w:rPr>
        <w:t xml:space="preserve">Asesorar sobre los temas </w:t>
      </w:r>
      <w:r w:rsidR="007C2DDD">
        <w:rPr>
          <w:rFonts w:cs="Arial"/>
          <w:lang w:val="es-ES_tradnl"/>
        </w:rPr>
        <w:t>principales de</w:t>
      </w:r>
      <w:r w:rsidRPr="00210B8A">
        <w:rPr>
          <w:rFonts w:cs="Arial"/>
          <w:lang w:val="es-ES_tradnl"/>
        </w:rPr>
        <w:t xml:space="preserve"> ediciones futuras de la </w:t>
      </w:r>
      <w:r w:rsidR="006B6A1E" w:rsidRPr="00210B8A">
        <w:rPr>
          <w:rFonts w:cs="Arial"/>
          <w:i/>
          <w:lang w:val="es-ES_tradnl"/>
        </w:rPr>
        <w:t>Perspectiva</w:t>
      </w:r>
      <w:r w:rsidR="006B6A1E">
        <w:rPr>
          <w:rFonts w:cs="Arial"/>
          <w:i/>
          <w:lang w:val="es-ES_tradnl"/>
        </w:rPr>
        <w:t xml:space="preserve"> Mundial sobre los Humedales</w:t>
      </w:r>
      <w:r w:rsidR="002507A4" w:rsidRPr="00D11EA8">
        <w:rPr>
          <w:rFonts w:cs="Arial"/>
          <w:lang w:val="es-ES_tradnl"/>
        </w:rPr>
        <w:t xml:space="preserve">, </w:t>
      </w:r>
      <w:r w:rsidR="00E4141A" w:rsidRPr="00D11EA8">
        <w:rPr>
          <w:rFonts w:cs="Arial"/>
          <w:lang w:val="es-ES_tradnl"/>
        </w:rPr>
        <w:t>teniendo en cuenta la labor de las Organizaciones Internacionales Asociadas y otras organizaciones;</w:t>
      </w:r>
    </w:p>
    <w:p w14:paraId="6F0838A6" w14:textId="77777777" w:rsidR="006F016C" w:rsidRPr="00D11EA8" w:rsidRDefault="006F016C" w:rsidP="00867F99">
      <w:pPr>
        <w:pStyle w:val="ListParagraph"/>
        <w:ind w:left="850"/>
        <w:rPr>
          <w:rFonts w:cs="Arial"/>
          <w:lang w:val="es-ES_tradnl"/>
        </w:rPr>
      </w:pPr>
    </w:p>
    <w:p w14:paraId="2972294C" w14:textId="29370E15" w:rsidR="000D3EC5" w:rsidRPr="00D11EA8" w:rsidRDefault="00E4141A" w:rsidP="00867F99">
      <w:pPr>
        <w:pStyle w:val="ListParagraph"/>
        <w:numPr>
          <w:ilvl w:val="0"/>
          <w:numId w:val="18"/>
        </w:numPr>
        <w:ind w:left="850" w:hanging="425"/>
        <w:rPr>
          <w:rFonts w:cs="Arial"/>
          <w:lang w:val="es-ES_tradnl"/>
        </w:rPr>
      </w:pPr>
      <w:r w:rsidRPr="00D11EA8">
        <w:rPr>
          <w:rFonts w:cs="Arial"/>
          <w:lang w:val="es-ES_tradnl"/>
        </w:rPr>
        <w:t>Asesorar</w:t>
      </w:r>
      <w:r w:rsidR="002536A8">
        <w:rPr>
          <w:rFonts w:cs="Arial"/>
          <w:lang w:val="es-ES_tradnl"/>
        </w:rPr>
        <w:t xml:space="preserve"> a</w:t>
      </w:r>
      <w:r w:rsidRPr="00D11EA8">
        <w:rPr>
          <w:rFonts w:cs="Arial"/>
          <w:lang w:val="es-ES_tradnl"/>
        </w:rPr>
        <w:t xml:space="preserve"> </w:t>
      </w:r>
      <w:r w:rsidR="002536A8" w:rsidRPr="00D11EA8">
        <w:rPr>
          <w:rFonts w:cs="Arial"/>
          <w:lang w:val="es-ES_tradnl"/>
        </w:rPr>
        <w:t xml:space="preserve">las Partes Contratantes </w:t>
      </w:r>
      <w:r w:rsidRPr="00D11EA8">
        <w:rPr>
          <w:rFonts w:cs="Arial"/>
          <w:lang w:val="es-ES_tradnl"/>
        </w:rPr>
        <w:t xml:space="preserve">sobre el examen del cuarto Plan </w:t>
      </w:r>
      <w:r w:rsidR="00D11EA8" w:rsidRPr="00D11EA8">
        <w:rPr>
          <w:rFonts w:cs="Arial"/>
          <w:lang w:val="es-ES_tradnl"/>
        </w:rPr>
        <w:t>Estratégico</w:t>
      </w:r>
      <w:r w:rsidR="007C2DDD">
        <w:rPr>
          <w:rFonts w:cs="Arial"/>
          <w:lang w:val="es-ES_tradnl"/>
        </w:rPr>
        <w:t xml:space="preserve"> de la Convención q</w:t>
      </w:r>
      <w:r w:rsidRPr="00D11EA8">
        <w:rPr>
          <w:rFonts w:cs="Arial"/>
          <w:lang w:val="es-ES_tradnl"/>
        </w:rPr>
        <w:t xml:space="preserve">ue habrá que presentar a la </w:t>
      </w:r>
      <w:r w:rsidR="000603D8" w:rsidRPr="00D11EA8">
        <w:rPr>
          <w:rFonts w:cs="Arial"/>
          <w:lang w:val="es-ES_tradnl"/>
        </w:rPr>
        <w:t>COP14 (</w:t>
      </w:r>
      <w:r w:rsidR="007C2DDD">
        <w:rPr>
          <w:rFonts w:cs="Arial"/>
          <w:lang w:val="es-ES_tradnl"/>
        </w:rPr>
        <w:t xml:space="preserve">con arreglo a la </w:t>
      </w:r>
      <w:r w:rsidR="00D11EA8" w:rsidRPr="00D11EA8">
        <w:rPr>
          <w:rFonts w:cs="Arial"/>
          <w:lang w:val="es-ES_tradnl"/>
        </w:rPr>
        <w:t>Resolución</w:t>
      </w:r>
      <w:r w:rsidR="000603D8" w:rsidRPr="00D11EA8">
        <w:rPr>
          <w:rFonts w:cs="Arial"/>
          <w:lang w:val="es-ES_tradnl"/>
        </w:rPr>
        <w:t xml:space="preserve"> XII.2); </w:t>
      </w:r>
    </w:p>
    <w:p w14:paraId="1BA71F27" w14:textId="77777777" w:rsidR="006F016C" w:rsidRPr="00D11EA8" w:rsidRDefault="006F016C" w:rsidP="00867F99">
      <w:pPr>
        <w:pStyle w:val="ListParagraph"/>
        <w:ind w:left="850"/>
        <w:rPr>
          <w:rFonts w:cs="Arial"/>
          <w:lang w:val="es-ES_tradnl"/>
        </w:rPr>
      </w:pPr>
    </w:p>
    <w:p w14:paraId="7562ED23" w14:textId="4BCB4306" w:rsidR="006F016C" w:rsidRPr="00D11EA8" w:rsidRDefault="00E4141A" w:rsidP="00867F99">
      <w:pPr>
        <w:pStyle w:val="ListParagraph"/>
        <w:numPr>
          <w:ilvl w:val="0"/>
          <w:numId w:val="18"/>
        </w:numPr>
        <w:ind w:left="850" w:hanging="425"/>
        <w:rPr>
          <w:rFonts w:cs="Arial"/>
          <w:lang w:val="es-ES_tradnl"/>
        </w:rPr>
      </w:pPr>
      <w:r w:rsidRPr="00D11EA8">
        <w:rPr>
          <w:lang w:val="es-ES_tradnl"/>
        </w:rPr>
        <w:t xml:space="preserve">Brindar asesoramiento sobre la aplicación de enfoques integrados y </w:t>
      </w:r>
      <w:r w:rsidR="007C2DDD">
        <w:rPr>
          <w:lang w:val="es-ES_tradnl"/>
        </w:rPr>
        <w:t>de gestión del paisaje</w:t>
      </w:r>
      <w:r w:rsidRPr="00D11EA8">
        <w:rPr>
          <w:lang w:val="es-ES_tradnl"/>
        </w:rPr>
        <w:t>; y</w:t>
      </w:r>
    </w:p>
    <w:p w14:paraId="6F304CFA" w14:textId="77777777" w:rsidR="000D3EC5" w:rsidRPr="00D11EA8" w:rsidRDefault="000D3EC5" w:rsidP="00867F99">
      <w:pPr>
        <w:pStyle w:val="ListParagraph"/>
        <w:ind w:left="850"/>
        <w:rPr>
          <w:rFonts w:cs="Arial"/>
          <w:lang w:val="es-ES_tradnl"/>
        </w:rPr>
      </w:pPr>
    </w:p>
    <w:p w14:paraId="2B05F700" w14:textId="7F4D2D8E" w:rsidR="000D3EC5" w:rsidRPr="00D11EA8" w:rsidRDefault="000603D8" w:rsidP="00867F99">
      <w:pPr>
        <w:pStyle w:val="ListParagraph"/>
        <w:numPr>
          <w:ilvl w:val="0"/>
          <w:numId w:val="18"/>
        </w:numPr>
        <w:ind w:left="850" w:hanging="425"/>
        <w:rPr>
          <w:rFonts w:cs="Arial"/>
          <w:lang w:val="es-ES_tradnl"/>
        </w:rPr>
      </w:pPr>
      <w:r w:rsidRPr="00D11EA8">
        <w:rPr>
          <w:lang w:val="es-ES_tradnl"/>
        </w:rPr>
        <w:t>Col</w:t>
      </w:r>
      <w:r w:rsidR="00E4141A" w:rsidRPr="00D11EA8">
        <w:rPr>
          <w:lang w:val="es-ES_tradnl"/>
        </w:rPr>
        <w:t>aborar c</w:t>
      </w:r>
      <w:r w:rsidR="007C2DDD">
        <w:rPr>
          <w:lang w:val="es-ES_tradnl"/>
        </w:rPr>
        <w:t>on los centros regionales para encontrar</w:t>
      </w:r>
      <w:r w:rsidRPr="00D11EA8">
        <w:rPr>
          <w:lang w:val="es-ES_tradnl"/>
        </w:rPr>
        <w:t xml:space="preserve"> op</w:t>
      </w:r>
      <w:r w:rsidR="00E4141A" w:rsidRPr="00D11EA8">
        <w:rPr>
          <w:lang w:val="es-ES_tradnl"/>
        </w:rPr>
        <w:t xml:space="preserve">ortunidades para </w:t>
      </w:r>
      <w:r w:rsidR="001F180D">
        <w:rPr>
          <w:lang w:val="es-ES_tradnl"/>
        </w:rPr>
        <w:t xml:space="preserve">organizar </w:t>
      </w:r>
      <w:r w:rsidR="00E4141A" w:rsidRPr="00D11EA8">
        <w:rPr>
          <w:lang w:val="es-ES_tradnl"/>
        </w:rPr>
        <w:t>talleres de capacitación sobre gestión de humedales.</w:t>
      </w:r>
    </w:p>
    <w:p w14:paraId="1EE18F4C" w14:textId="7966A8FD" w:rsidR="00867F99" w:rsidRPr="00D11EA8" w:rsidRDefault="00867F99">
      <w:pPr>
        <w:spacing w:after="200" w:line="276" w:lineRule="auto"/>
        <w:ind w:left="0" w:firstLine="0"/>
        <w:rPr>
          <w:rFonts w:cs="Arial"/>
          <w:lang w:val="es-ES_tradnl"/>
        </w:rPr>
      </w:pPr>
      <w:r w:rsidRPr="00D11EA8">
        <w:rPr>
          <w:rFonts w:cs="Arial"/>
          <w:lang w:val="es-ES_tradnl"/>
        </w:rPr>
        <w:br w:type="page"/>
      </w:r>
    </w:p>
    <w:p w14:paraId="3885EB6E" w14:textId="6B18455C" w:rsidR="00A431E5" w:rsidRPr="00D11EA8" w:rsidRDefault="00A431E5" w:rsidP="00867F99">
      <w:pPr>
        <w:rPr>
          <w:b/>
          <w:sz w:val="24"/>
          <w:szCs w:val="24"/>
          <w:lang w:val="es-ES_tradnl"/>
        </w:rPr>
      </w:pPr>
      <w:r w:rsidRPr="00D11EA8">
        <w:rPr>
          <w:b/>
          <w:sz w:val="24"/>
          <w:szCs w:val="24"/>
          <w:lang w:val="es-ES_tradnl"/>
        </w:rPr>
        <w:lastRenderedPageBreak/>
        <w:t>An</w:t>
      </w:r>
      <w:r w:rsidR="00E4141A" w:rsidRPr="00D11EA8">
        <w:rPr>
          <w:b/>
          <w:sz w:val="24"/>
          <w:szCs w:val="24"/>
          <w:lang w:val="es-ES_tradnl"/>
        </w:rPr>
        <w:t>exo</w:t>
      </w:r>
      <w:r w:rsidRPr="00D11EA8">
        <w:rPr>
          <w:b/>
          <w:sz w:val="24"/>
          <w:szCs w:val="24"/>
          <w:lang w:val="es-ES_tradnl"/>
        </w:rPr>
        <w:t xml:space="preserve"> </w:t>
      </w:r>
      <w:r w:rsidR="00073463" w:rsidRPr="00D11EA8">
        <w:rPr>
          <w:b/>
          <w:sz w:val="24"/>
          <w:szCs w:val="24"/>
          <w:lang w:val="es-ES_tradnl"/>
        </w:rPr>
        <w:t>1</w:t>
      </w:r>
    </w:p>
    <w:p w14:paraId="04A5B780" w14:textId="77777777" w:rsidR="00A431E5" w:rsidRPr="00D11EA8" w:rsidRDefault="00A431E5" w:rsidP="00867F99">
      <w:pPr>
        <w:rPr>
          <w:b/>
          <w:sz w:val="24"/>
          <w:szCs w:val="24"/>
          <w:lang w:val="es-ES_tradnl"/>
        </w:rPr>
      </w:pPr>
    </w:p>
    <w:p w14:paraId="3A44BEE5" w14:textId="64DCA95D" w:rsidR="00A431E5" w:rsidRDefault="00D11EA8" w:rsidP="00A431E5">
      <w:pPr>
        <w:rPr>
          <w:b/>
          <w:sz w:val="24"/>
          <w:szCs w:val="24"/>
          <w:lang w:val="es-ES_tradnl"/>
        </w:rPr>
      </w:pPr>
      <w:r w:rsidRPr="00D11EA8">
        <w:rPr>
          <w:b/>
          <w:sz w:val="24"/>
          <w:szCs w:val="24"/>
          <w:lang w:val="es-ES_tradnl"/>
        </w:rPr>
        <w:t>Consideraciones</w:t>
      </w:r>
      <w:r>
        <w:rPr>
          <w:b/>
          <w:sz w:val="24"/>
          <w:szCs w:val="24"/>
          <w:lang w:val="es-ES_tradnl"/>
        </w:rPr>
        <w:t xml:space="preserve"> para mejorar el procedimiento </w:t>
      </w:r>
      <w:r w:rsidR="00E4141A" w:rsidRPr="00D11EA8">
        <w:rPr>
          <w:b/>
          <w:sz w:val="24"/>
          <w:szCs w:val="24"/>
          <w:lang w:val="es-ES_tradnl"/>
        </w:rPr>
        <w:t>de acre</w:t>
      </w:r>
      <w:r w:rsidR="007C2DDD">
        <w:rPr>
          <w:b/>
          <w:sz w:val="24"/>
          <w:szCs w:val="24"/>
          <w:lang w:val="es-ES_tradnl"/>
        </w:rPr>
        <w:t>ditación de Ciudad de Humedal</w:t>
      </w:r>
    </w:p>
    <w:p w14:paraId="1E2DFA01" w14:textId="77777777" w:rsidR="007C2DDD" w:rsidRPr="00D11EA8" w:rsidRDefault="007C2DDD" w:rsidP="00A431E5">
      <w:pPr>
        <w:rPr>
          <w:lang w:val="es-ES_tradnl"/>
        </w:rPr>
      </w:pPr>
    </w:p>
    <w:p w14:paraId="7A5C32E7" w14:textId="7F09423A" w:rsidR="00A431E5" w:rsidRPr="00D11EA8" w:rsidRDefault="00867F99" w:rsidP="00867F99">
      <w:pPr>
        <w:rPr>
          <w:lang w:val="es-ES_tradnl"/>
        </w:rPr>
      </w:pPr>
      <w:r w:rsidRPr="00D11EA8">
        <w:rPr>
          <w:lang w:val="es-ES_tradnl"/>
        </w:rPr>
        <w:t>1.</w:t>
      </w:r>
      <w:r w:rsidRPr="00D11EA8">
        <w:rPr>
          <w:lang w:val="es-ES_tradnl"/>
        </w:rPr>
        <w:tab/>
      </w:r>
      <w:r w:rsidR="00A431E5" w:rsidRPr="007C2DDD">
        <w:rPr>
          <w:i/>
          <w:lang w:val="es-ES_tradnl"/>
        </w:rPr>
        <w:t>T</w:t>
      </w:r>
      <w:r w:rsidR="007C2DDD" w:rsidRPr="007C2DDD">
        <w:rPr>
          <w:i/>
          <w:lang w:val="es-ES_tradnl"/>
        </w:rPr>
        <w:t>iempo</w:t>
      </w:r>
      <w:r w:rsidR="001D2585" w:rsidRPr="007C2DDD">
        <w:rPr>
          <w:lang w:val="es-ES_tradnl"/>
        </w:rPr>
        <w:t xml:space="preserve">: </w:t>
      </w:r>
      <w:r w:rsidR="007C2DDD" w:rsidRPr="007C2DDD">
        <w:rPr>
          <w:lang w:val="es-ES_tradnl"/>
        </w:rPr>
        <w:t>El</w:t>
      </w:r>
      <w:r w:rsidR="00E4141A" w:rsidRPr="007C2DDD">
        <w:rPr>
          <w:lang w:val="es-ES_tradnl"/>
        </w:rPr>
        <w:t xml:space="preserve"> tiempo asignado </w:t>
      </w:r>
      <w:r w:rsidR="007C2DDD">
        <w:rPr>
          <w:lang w:val="es-ES_tradnl"/>
        </w:rPr>
        <w:t xml:space="preserve">al </w:t>
      </w:r>
      <w:r w:rsidR="007C2DDD" w:rsidRPr="007C2DDD">
        <w:rPr>
          <w:lang w:val="es-ES_tradnl"/>
        </w:rPr>
        <w:t xml:space="preserve">Comité Asesor Independiente (CAI) </w:t>
      </w:r>
      <w:r w:rsidR="00E4141A" w:rsidRPr="007C2DDD">
        <w:rPr>
          <w:lang w:val="es-ES_tradnl"/>
        </w:rPr>
        <w:t xml:space="preserve">para </w:t>
      </w:r>
      <w:r w:rsidR="007C2DDD">
        <w:rPr>
          <w:lang w:val="es-ES_tradnl"/>
        </w:rPr>
        <w:t>realizar su</w:t>
      </w:r>
      <w:r w:rsidR="00E4141A" w:rsidRPr="007C2DDD">
        <w:rPr>
          <w:lang w:val="es-ES_tradnl"/>
        </w:rPr>
        <w:t xml:space="preserve"> examen fue corto, sobre</w:t>
      </w:r>
      <w:r w:rsidR="00E4141A" w:rsidRPr="00D11EA8">
        <w:rPr>
          <w:lang w:val="es-ES_tradnl"/>
        </w:rPr>
        <w:t xml:space="preserve"> todo </w:t>
      </w:r>
      <w:r w:rsidR="007C2DDD">
        <w:rPr>
          <w:lang w:val="es-ES_tradnl"/>
        </w:rPr>
        <w:t xml:space="preserve">dado </w:t>
      </w:r>
      <w:r w:rsidR="00E4141A" w:rsidRPr="00D11EA8">
        <w:rPr>
          <w:lang w:val="es-ES_tradnl"/>
        </w:rPr>
        <w:t xml:space="preserve">el largo espacio de </w:t>
      </w:r>
      <w:r w:rsidR="00D11EA8" w:rsidRPr="00D11EA8">
        <w:rPr>
          <w:lang w:val="es-ES_tradnl"/>
        </w:rPr>
        <w:t>tiempo</w:t>
      </w:r>
      <w:r w:rsidR="007C2DDD">
        <w:rPr>
          <w:lang w:val="es-ES_tradnl"/>
        </w:rPr>
        <w:t xml:space="preserve"> disponible </w:t>
      </w:r>
      <w:r w:rsidR="00E4141A" w:rsidRPr="00D11EA8">
        <w:rPr>
          <w:lang w:val="es-ES_tradnl"/>
        </w:rPr>
        <w:t xml:space="preserve">para remitir el </w:t>
      </w:r>
      <w:r w:rsidR="00D11EA8" w:rsidRPr="00D11EA8">
        <w:rPr>
          <w:lang w:val="es-ES_tradnl"/>
        </w:rPr>
        <w:t>informe</w:t>
      </w:r>
      <w:r w:rsidR="00E4141A" w:rsidRPr="00D11EA8">
        <w:rPr>
          <w:lang w:val="es-ES_tradnl"/>
        </w:rPr>
        <w:t xml:space="preserve"> del CAI a la </w:t>
      </w:r>
      <w:r w:rsidR="00A431E5" w:rsidRPr="00D11EA8">
        <w:rPr>
          <w:lang w:val="es-ES_tradnl"/>
        </w:rPr>
        <w:t xml:space="preserve">COP13. </w:t>
      </w:r>
      <w:r w:rsidR="00E4141A" w:rsidRPr="00D11EA8">
        <w:rPr>
          <w:lang w:val="es-ES_tradnl"/>
        </w:rPr>
        <w:t xml:space="preserve">Sería </w:t>
      </w:r>
      <w:r w:rsidR="005E03AC">
        <w:rPr>
          <w:lang w:val="es-ES_tradnl"/>
        </w:rPr>
        <w:t>recomendable</w:t>
      </w:r>
      <w:r w:rsidR="00E4141A" w:rsidRPr="00D11EA8">
        <w:rPr>
          <w:lang w:val="es-ES_tradnl"/>
        </w:rPr>
        <w:t xml:space="preserve"> </w:t>
      </w:r>
      <w:r w:rsidR="007C2DDD">
        <w:rPr>
          <w:lang w:val="es-ES_tradnl"/>
        </w:rPr>
        <w:t xml:space="preserve">realizar una evaluación rigurosa </w:t>
      </w:r>
      <w:r w:rsidR="00E4141A" w:rsidRPr="00D11EA8">
        <w:rPr>
          <w:lang w:val="es-ES_tradnl"/>
        </w:rPr>
        <w:t xml:space="preserve">de las pruebas que justifican una </w:t>
      </w:r>
      <w:r w:rsidR="00D11EA8" w:rsidRPr="00D11EA8">
        <w:rPr>
          <w:lang w:val="es-ES_tradnl"/>
        </w:rPr>
        <w:t>propuesta</w:t>
      </w:r>
      <w:r w:rsidR="00E4141A" w:rsidRPr="00D11EA8">
        <w:rPr>
          <w:lang w:val="es-ES_tradnl"/>
        </w:rPr>
        <w:t xml:space="preserve">, aunque </w:t>
      </w:r>
      <w:r w:rsidR="007C2DDD">
        <w:rPr>
          <w:lang w:val="es-ES_tradnl"/>
        </w:rPr>
        <w:t>es p</w:t>
      </w:r>
      <w:r w:rsidR="007C2DDD" w:rsidRPr="00D11EA8">
        <w:rPr>
          <w:lang w:val="es-ES_tradnl"/>
        </w:rPr>
        <w:t xml:space="preserve">osible que </w:t>
      </w:r>
      <w:r w:rsidR="00E4141A" w:rsidRPr="00D11EA8">
        <w:rPr>
          <w:lang w:val="es-ES_tradnl"/>
        </w:rPr>
        <w:t>las visitas a los</w:t>
      </w:r>
      <w:r w:rsidR="00D11EA8">
        <w:rPr>
          <w:lang w:val="es-ES_tradnl"/>
        </w:rPr>
        <w:t xml:space="preserve"> sitios </w:t>
      </w:r>
      <w:r w:rsidR="00E4141A" w:rsidRPr="00D11EA8">
        <w:rPr>
          <w:lang w:val="es-ES_tradnl"/>
        </w:rPr>
        <w:t xml:space="preserve">estén fuera del alcance del </w:t>
      </w:r>
      <w:r w:rsidR="007C2DDD">
        <w:rPr>
          <w:lang w:val="es-ES_tradnl"/>
        </w:rPr>
        <w:t>procedimiento</w:t>
      </w:r>
      <w:r w:rsidR="00E4141A" w:rsidRPr="00D11EA8">
        <w:rPr>
          <w:lang w:val="es-ES_tradnl"/>
        </w:rPr>
        <w:t>.</w:t>
      </w:r>
    </w:p>
    <w:p w14:paraId="3E19AE58" w14:textId="77777777" w:rsidR="00A431E5" w:rsidRPr="00D11EA8" w:rsidRDefault="00A431E5" w:rsidP="00867F99">
      <w:pPr>
        <w:rPr>
          <w:lang w:val="es-ES_tradnl"/>
        </w:rPr>
      </w:pPr>
    </w:p>
    <w:p w14:paraId="7A424B7E" w14:textId="7CA17825" w:rsidR="00A431E5" w:rsidRPr="00D11EA8" w:rsidRDefault="00867F99" w:rsidP="00867F99">
      <w:pPr>
        <w:rPr>
          <w:lang w:val="es-ES_tradnl"/>
        </w:rPr>
      </w:pPr>
      <w:r w:rsidRPr="00D11EA8">
        <w:rPr>
          <w:lang w:val="es-ES_tradnl"/>
        </w:rPr>
        <w:t>2.</w:t>
      </w:r>
      <w:r w:rsidRPr="00D11EA8">
        <w:rPr>
          <w:lang w:val="es-ES_tradnl"/>
        </w:rPr>
        <w:tab/>
      </w:r>
      <w:r w:rsidR="00E4141A" w:rsidRPr="00D11EA8">
        <w:rPr>
          <w:i/>
          <w:lang w:val="es-ES_tradnl"/>
        </w:rPr>
        <w:t>Examen en función de los criterios</w:t>
      </w:r>
      <w:r w:rsidR="001D2585" w:rsidRPr="00D11EA8">
        <w:rPr>
          <w:lang w:val="es-ES_tradnl"/>
        </w:rPr>
        <w:t>:</w:t>
      </w:r>
      <w:r w:rsidR="00A431E5" w:rsidRPr="00D11EA8">
        <w:rPr>
          <w:lang w:val="es-ES_tradnl"/>
        </w:rPr>
        <w:t xml:space="preserve"> </w:t>
      </w:r>
      <w:r w:rsidR="00E4141A" w:rsidRPr="00D11EA8">
        <w:rPr>
          <w:lang w:val="es-ES_tradnl"/>
        </w:rPr>
        <w:t>Una simple respuesta binaria (sí/no)</w:t>
      </w:r>
      <w:r w:rsidR="005E03AC">
        <w:rPr>
          <w:lang w:val="es-ES_tradnl"/>
        </w:rPr>
        <w:t xml:space="preserve"> al realizar el examen </w:t>
      </w:r>
      <w:r w:rsidR="00E4141A" w:rsidRPr="00D11EA8">
        <w:rPr>
          <w:lang w:val="es-ES_tradnl"/>
        </w:rPr>
        <w:t xml:space="preserve">no </w:t>
      </w:r>
      <w:r w:rsidR="007C2DDD">
        <w:rPr>
          <w:lang w:val="es-ES_tradnl"/>
        </w:rPr>
        <w:t xml:space="preserve">permite </w:t>
      </w:r>
      <w:r w:rsidR="005E03AC">
        <w:rPr>
          <w:lang w:val="es-ES_tradnl"/>
        </w:rPr>
        <w:t>evaluar</w:t>
      </w:r>
      <w:r w:rsidR="00E4141A" w:rsidRPr="00D11EA8">
        <w:rPr>
          <w:lang w:val="es-ES_tradnl"/>
        </w:rPr>
        <w:t xml:space="preserve"> </w:t>
      </w:r>
      <w:r w:rsidR="007C2DDD">
        <w:rPr>
          <w:lang w:val="es-ES_tradnl"/>
        </w:rPr>
        <w:t xml:space="preserve">en qué medida se cumplen los criterios </w:t>
      </w:r>
      <w:r w:rsidR="00E4141A" w:rsidRPr="00D11EA8">
        <w:rPr>
          <w:lang w:val="es-ES_tradnl"/>
        </w:rPr>
        <w:t xml:space="preserve">y </w:t>
      </w:r>
      <w:r w:rsidR="00E4141A" w:rsidRPr="007C2DDD">
        <w:rPr>
          <w:lang w:val="es-ES_tradnl"/>
        </w:rPr>
        <w:t>tampo</w:t>
      </w:r>
      <w:r w:rsidR="007C2DDD" w:rsidRPr="007C2DDD">
        <w:rPr>
          <w:lang w:val="es-ES_tradnl"/>
        </w:rPr>
        <w:t>co ofrece la oportunidad</w:t>
      </w:r>
      <w:r w:rsidR="00E4141A" w:rsidRPr="00D11EA8">
        <w:rPr>
          <w:lang w:val="es-ES_tradnl"/>
        </w:rPr>
        <w:t xml:space="preserve"> </w:t>
      </w:r>
      <w:r w:rsidR="007C2DDD">
        <w:rPr>
          <w:lang w:val="es-ES_tradnl"/>
        </w:rPr>
        <w:t>de incluir</w:t>
      </w:r>
      <w:r w:rsidR="00E4141A" w:rsidRPr="00D11EA8">
        <w:rPr>
          <w:lang w:val="es-ES_tradnl"/>
        </w:rPr>
        <w:t xml:space="preserve"> comentarios detallados sobre la calidad </w:t>
      </w:r>
      <w:r w:rsidR="007C2DDD">
        <w:rPr>
          <w:lang w:val="es-ES_tradnl"/>
        </w:rPr>
        <w:t xml:space="preserve">de los resultados de la ciudad </w:t>
      </w:r>
      <w:r w:rsidR="004511B8">
        <w:rPr>
          <w:lang w:val="es-ES_tradnl"/>
        </w:rPr>
        <w:t>respecto</w:t>
      </w:r>
      <w:r w:rsidR="00E4141A" w:rsidRPr="00D11EA8">
        <w:rPr>
          <w:lang w:val="es-ES_tradnl"/>
        </w:rPr>
        <w:t xml:space="preserve"> de cada criterio. </w:t>
      </w:r>
      <w:r w:rsidR="007C2DDD">
        <w:rPr>
          <w:lang w:val="es-ES_tradnl"/>
        </w:rPr>
        <w:t>Una mejora en este sentido s</w:t>
      </w:r>
      <w:r w:rsidR="00E4141A" w:rsidRPr="00D11EA8">
        <w:rPr>
          <w:lang w:val="es-ES_tradnl"/>
        </w:rPr>
        <w:t xml:space="preserve">ería </w:t>
      </w:r>
      <w:r w:rsidR="007C2DDD">
        <w:rPr>
          <w:lang w:val="es-ES_tradnl"/>
        </w:rPr>
        <w:t>beneficiosa</w:t>
      </w:r>
      <w:r w:rsidR="00E4141A" w:rsidRPr="00D11EA8">
        <w:rPr>
          <w:lang w:val="es-ES_tradnl"/>
        </w:rPr>
        <w:t xml:space="preserve"> para exámenes futuro</w:t>
      </w:r>
      <w:r w:rsidR="007C2DDD">
        <w:rPr>
          <w:lang w:val="es-ES_tradnl"/>
        </w:rPr>
        <w:t>s de las ciudades acreditadas</w:t>
      </w:r>
      <w:r w:rsidR="00E4141A" w:rsidRPr="00D11EA8">
        <w:rPr>
          <w:lang w:val="es-ES_tradnl"/>
        </w:rPr>
        <w:t xml:space="preserve"> y </w:t>
      </w:r>
      <w:r w:rsidR="004511B8" w:rsidRPr="00D11EA8">
        <w:rPr>
          <w:lang w:val="es-ES_tradnl"/>
        </w:rPr>
        <w:t>también</w:t>
      </w:r>
      <w:r w:rsidR="00E4141A" w:rsidRPr="00D11EA8">
        <w:rPr>
          <w:lang w:val="es-ES_tradnl"/>
        </w:rPr>
        <w:t xml:space="preserve"> para </w:t>
      </w:r>
      <w:r w:rsidR="007C2DDD" w:rsidRPr="00D11EA8">
        <w:rPr>
          <w:lang w:val="es-ES_tradnl"/>
        </w:rPr>
        <w:t xml:space="preserve">futuras </w:t>
      </w:r>
      <w:r w:rsidR="00E4141A" w:rsidRPr="00D11EA8">
        <w:rPr>
          <w:lang w:val="es-ES_tradnl"/>
        </w:rPr>
        <w:t xml:space="preserve">rondas de acreditación. Por ejemplo, los </w:t>
      </w:r>
      <w:r w:rsidR="004511B8" w:rsidRPr="00D11EA8">
        <w:rPr>
          <w:lang w:val="es-ES_tradnl"/>
        </w:rPr>
        <w:t>miembros</w:t>
      </w:r>
      <w:r w:rsidR="00E4141A" w:rsidRPr="00D11EA8">
        <w:rPr>
          <w:lang w:val="es-ES_tradnl"/>
        </w:rPr>
        <w:t xml:space="preserve"> del CAI</w:t>
      </w:r>
      <w:r w:rsidR="007C2DDD">
        <w:rPr>
          <w:lang w:val="es-ES_tradnl"/>
        </w:rPr>
        <w:t xml:space="preserve"> podrían escribir un comentario</w:t>
      </w:r>
      <w:r w:rsidR="00E4141A" w:rsidRPr="00D11EA8">
        <w:rPr>
          <w:lang w:val="es-ES_tradnl"/>
        </w:rPr>
        <w:t xml:space="preserve"> sobre cada propuesta en función de cada criterio, </w:t>
      </w:r>
      <w:r w:rsidR="004511B8" w:rsidRPr="00D11EA8">
        <w:rPr>
          <w:lang w:val="es-ES_tradnl"/>
        </w:rPr>
        <w:t>incluso</w:t>
      </w:r>
      <w:r w:rsidR="00E37094" w:rsidRPr="00D11EA8">
        <w:rPr>
          <w:lang w:val="es-ES_tradnl"/>
        </w:rPr>
        <w:t xml:space="preserve"> si esto es cualitativo. Además, para </w:t>
      </w:r>
      <w:r w:rsidR="004511B8" w:rsidRPr="00D11EA8">
        <w:rPr>
          <w:lang w:val="es-ES_tradnl"/>
        </w:rPr>
        <w:t>obtener</w:t>
      </w:r>
      <w:r w:rsidR="004511B8">
        <w:rPr>
          <w:lang w:val="es-ES_tradnl"/>
        </w:rPr>
        <w:t xml:space="preserve"> </w:t>
      </w:r>
      <w:r w:rsidR="004511B8" w:rsidRPr="00D11EA8">
        <w:rPr>
          <w:lang w:val="es-ES_tradnl"/>
        </w:rPr>
        <w:t>la</w:t>
      </w:r>
      <w:r w:rsidR="00E37094" w:rsidRPr="00D11EA8">
        <w:rPr>
          <w:lang w:val="es-ES_tradnl"/>
        </w:rPr>
        <w:t xml:space="preserve"> </w:t>
      </w:r>
      <w:r w:rsidR="004511B8" w:rsidRPr="00D11EA8">
        <w:rPr>
          <w:lang w:val="es-ES_tradnl"/>
        </w:rPr>
        <w:t>acreditación</w:t>
      </w:r>
      <w:r w:rsidR="00E37094" w:rsidRPr="00D11EA8">
        <w:rPr>
          <w:lang w:val="es-ES_tradnl"/>
        </w:rPr>
        <w:t xml:space="preserve"> es necesario cumplir plenamente todos los </w:t>
      </w:r>
      <w:r w:rsidR="004511B8" w:rsidRPr="00D11EA8">
        <w:rPr>
          <w:lang w:val="es-ES_tradnl"/>
        </w:rPr>
        <w:t>criterios</w:t>
      </w:r>
      <w:r w:rsidR="00E37094" w:rsidRPr="00D11EA8">
        <w:rPr>
          <w:lang w:val="es-ES_tradnl"/>
        </w:rPr>
        <w:t>. Un enfoque menos binario con un</w:t>
      </w:r>
      <w:r w:rsidR="00702160">
        <w:rPr>
          <w:lang w:val="es-ES_tradnl"/>
        </w:rPr>
        <w:t xml:space="preserve">a guía o sistema de puntuación más transparentes y matizados mejoraría </w:t>
      </w:r>
      <w:r w:rsidR="00E37094" w:rsidRPr="00D11EA8">
        <w:rPr>
          <w:lang w:val="es-ES_tradnl"/>
        </w:rPr>
        <w:t>la calidad de la acreditación</w:t>
      </w:r>
      <w:r w:rsidR="00A431E5" w:rsidRPr="00D11EA8">
        <w:rPr>
          <w:lang w:val="es-ES_tradnl"/>
        </w:rPr>
        <w:t>.</w:t>
      </w:r>
    </w:p>
    <w:p w14:paraId="5C5725B2" w14:textId="77777777" w:rsidR="00A431E5" w:rsidRPr="00D11EA8" w:rsidRDefault="00A431E5" w:rsidP="00867F99">
      <w:pPr>
        <w:rPr>
          <w:lang w:val="es-ES_tradnl"/>
        </w:rPr>
      </w:pPr>
    </w:p>
    <w:p w14:paraId="164E007F" w14:textId="752D1F8D" w:rsidR="00A431E5" w:rsidRPr="00D11EA8" w:rsidRDefault="00867F99" w:rsidP="00867F99">
      <w:pPr>
        <w:rPr>
          <w:lang w:val="es-ES_tradnl"/>
        </w:rPr>
      </w:pPr>
      <w:r w:rsidRPr="00D11EA8">
        <w:rPr>
          <w:lang w:val="es-ES_tradnl"/>
        </w:rPr>
        <w:t>3.</w:t>
      </w:r>
      <w:r w:rsidRPr="00D11EA8">
        <w:rPr>
          <w:lang w:val="es-ES_tradnl"/>
        </w:rPr>
        <w:tab/>
      </w:r>
      <w:r w:rsidR="004511B8" w:rsidRPr="00D11EA8">
        <w:rPr>
          <w:i/>
          <w:lang w:val="es-ES_tradnl"/>
        </w:rPr>
        <w:t>Interacción</w:t>
      </w:r>
      <w:r w:rsidR="00E37094" w:rsidRPr="00D11EA8">
        <w:rPr>
          <w:i/>
          <w:lang w:val="es-ES_tradnl"/>
        </w:rPr>
        <w:t xml:space="preserve">: </w:t>
      </w:r>
      <w:r w:rsidR="00702160">
        <w:rPr>
          <w:lang w:val="es-ES_tradnl"/>
        </w:rPr>
        <w:t>L</w:t>
      </w:r>
      <w:r w:rsidR="00E37094" w:rsidRPr="00D11EA8">
        <w:rPr>
          <w:lang w:val="es-ES_tradnl"/>
        </w:rPr>
        <w:t xml:space="preserve">os miembros del CAI tuvieron </w:t>
      </w:r>
      <w:r w:rsidR="00702160">
        <w:rPr>
          <w:lang w:val="es-ES_tradnl"/>
        </w:rPr>
        <w:t xml:space="preserve">pocas </w:t>
      </w:r>
      <w:r w:rsidR="00E37094" w:rsidRPr="00D11EA8">
        <w:rPr>
          <w:lang w:val="es-ES_tradnl"/>
        </w:rPr>
        <w:t xml:space="preserve">oportunidades de interactuar entre </w:t>
      </w:r>
      <w:r w:rsidR="00702160">
        <w:rPr>
          <w:lang w:val="es-ES_tradnl"/>
        </w:rPr>
        <w:t>ellos</w:t>
      </w:r>
      <w:r w:rsidR="00E37094" w:rsidRPr="00D11EA8">
        <w:rPr>
          <w:lang w:val="es-ES_tradnl"/>
        </w:rPr>
        <w:t xml:space="preserve"> durante </w:t>
      </w:r>
      <w:r w:rsidR="00702160">
        <w:rPr>
          <w:lang w:val="es-ES_tradnl"/>
        </w:rPr>
        <w:t>el procedimiento</w:t>
      </w:r>
      <w:r w:rsidR="00E37094" w:rsidRPr="00D11EA8">
        <w:rPr>
          <w:lang w:val="es-ES_tradnl"/>
        </w:rPr>
        <w:t xml:space="preserve">, </w:t>
      </w:r>
      <w:r w:rsidR="004511B8" w:rsidRPr="00D11EA8">
        <w:rPr>
          <w:lang w:val="es-ES_tradnl"/>
        </w:rPr>
        <w:t>principalmente</w:t>
      </w:r>
      <w:r w:rsidR="00E37094" w:rsidRPr="00D11EA8">
        <w:rPr>
          <w:lang w:val="es-ES_tradnl"/>
        </w:rPr>
        <w:t xml:space="preserve"> debido al poco </w:t>
      </w:r>
      <w:r w:rsidR="004511B8" w:rsidRPr="00D11EA8">
        <w:rPr>
          <w:lang w:val="es-ES_tradnl"/>
        </w:rPr>
        <w:t>tiempo</w:t>
      </w:r>
      <w:r w:rsidR="00E37094" w:rsidRPr="00D11EA8">
        <w:rPr>
          <w:lang w:val="es-ES_tradnl"/>
        </w:rPr>
        <w:t xml:space="preserve"> asignado </w:t>
      </w:r>
      <w:r w:rsidR="00702160">
        <w:rPr>
          <w:lang w:val="es-ES_tradnl"/>
        </w:rPr>
        <w:t>a esta labor</w:t>
      </w:r>
      <w:r w:rsidR="00E37094" w:rsidRPr="00D11EA8">
        <w:rPr>
          <w:lang w:val="es-ES_tradnl"/>
        </w:rPr>
        <w:t xml:space="preserve">. Sería </w:t>
      </w:r>
      <w:r w:rsidR="00702160">
        <w:rPr>
          <w:lang w:val="es-ES_tradnl"/>
        </w:rPr>
        <w:t>bueno</w:t>
      </w:r>
      <w:r w:rsidR="00E37094" w:rsidRPr="00D11EA8">
        <w:rPr>
          <w:lang w:val="es-ES_tradnl"/>
        </w:rPr>
        <w:t xml:space="preserve"> contar </w:t>
      </w:r>
      <w:r w:rsidR="004511B8" w:rsidRPr="00D11EA8">
        <w:rPr>
          <w:lang w:val="es-ES_tradnl"/>
        </w:rPr>
        <w:t>con</w:t>
      </w:r>
      <w:r w:rsidR="00702160">
        <w:rPr>
          <w:lang w:val="es-ES_tradnl"/>
        </w:rPr>
        <w:t xml:space="preserve"> un procedimiento</w:t>
      </w:r>
      <w:r w:rsidR="00E37094" w:rsidRPr="00D11EA8">
        <w:rPr>
          <w:lang w:val="es-ES_tradnl"/>
        </w:rPr>
        <w:t xml:space="preserve"> más </w:t>
      </w:r>
      <w:r w:rsidR="004511B8" w:rsidRPr="00D11EA8">
        <w:rPr>
          <w:lang w:val="es-ES_tradnl"/>
        </w:rPr>
        <w:t>interactivo</w:t>
      </w:r>
      <w:r w:rsidR="00E37094" w:rsidRPr="00D11EA8">
        <w:rPr>
          <w:lang w:val="es-ES_tradnl"/>
        </w:rPr>
        <w:t xml:space="preserve"> y</w:t>
      </w:r>
      <w:r w:rsidR="00702160">
        <w:rPr>
          <w:lang w:val="es-ES_tradnl"/>
        </w:rPr>
        <w:t xml:space="preserve"> meditado en el que haya </w:t>
      </w:r>
      <w:r w:rsidR="00E37094" w:rsidRPr="00D11EA8">
        <w:rPr>
          <w:lang w:val="es-ES_tradnl"/>
        </w:rPr>
        <w:t>al menos</w:t>
      </w:r>
      <w:r w:rsidR="004511B8">
        <w:rPr>
          <w:lang w:val="es-ES_tradnl"/>
        </w:rPr>
        <w:t xml:space="preserve"> </w:t>
      </w:r>
      <w:r w:rsidR="00E37094" w:rsidRPr="00D11EA8">
        <w:rPr>
          <w:lang w:val="es-ES_tradnl"/>
        </w:rPr>
        <w:t xml:space="preserve">una reunión presencial, siempre que </w:t>
      </w:r>
      <w:r w:rsidR="00702160" w:rsidRPr="00D11EA8">
        <w:rPr>
          <w:lang w:val="es-ES_tradnl"/>
        </w:rPr>
        <w:t xml:space="preserve">el tiempo y el presupuesto </w:t>
      </w:r>
      <w:r w:rsidR="00E37094" w:rsidRPr="00D11EA8">
        <w:rPr>
          <w:lang w:val="es-ES_tradnl"/>
        </w:rPr>
        <w:t>lo permitan.</w:t>
      </w:r>
    </w:p>
    <w:p w14:paraId="46287174" w14:textId="77777777" w:rsidR="00A431E5" w:rsidRPr="00D11EA8" w:rsidRDefault="00A431E5" w:rsidP="00867F99">
      <w:pPr>
        <w:rPr>
          <w:lang w:val="es-ES_tradnl"/>
        </w:rPr>
      </w:pPr>
    </w:p>
    <w:p w14:paraId="18953A4C" w14:textId="6F630EBD" w:rsidR="00A431E5" w:rsidRPr="00D11EA8" w:rsidRDefault="002561C5" w:rsidP="00867F99">
      <w:pPr>
        <w:rPr>
          <w:lang w:val="es-ES_tradnl"/>
        </w:rPr>
      </w:pPr>
      <w:r w:rsidRPr="00D11EA8">
        <w:rPr>
          <w:lang w:val="es-ES_tradnl"/>
        </w:rPr>
        <w:t>4</w:t>
      </w:r>
      <w:r w:rsidR="00867F99" w:rsidRPr="00D11EA8">
        <w:rPr>
          <w:lang w:val="es-ES_tradnl"/>
        </w:rPr>
        <w:t>.</w:t>
      </w:r>
      <w:r w:rsidR="00867F99" w:rsidRPr="00D11EA8">
        <w:rPr>
          <w:lang w:val="es-ES_tradnl"/>
        </w:rPr>
        <w:tab/>
      </w:r>
      <w:r w:rsidR="00702160" w:rsidRPr="00702160">
        <w:rPr>
          <w:i/>
          <w:lang w:val="es-ES_tradnl"/>
        </w:rPr>
        <w:t>Composición del CAI</w:t>
      </w:r>
      <w:r w:rsidR="001D2585" w:rsidRPr="00D11EA8">
        <w:rPr>
          <w:lang w:val="es-ES_tradnl"/>
        </w:rPr>
        <w:t>:</w:t>
      </w:r>
      <w:r w:rsidR="00A431E5" w:rsidRPr="00D11EA8">
        <w:rPr>
          <w:lang w:val="es-ES_tradnl"/>
        </w:rPr>
        <w:t xml:space="preserve"> </w:t>
      </w:r>
      <w:r w:rsidR="00702160">
        <w:rPr>
          <w:lang w:val="es-ES_tradnl"/>
        </w:rPr>
        <w:t xml:space="preserve">En el futuro se debería formalizar el procedimiento para designar a </w:t>
      </w:r>
      <w:r w:rsidR="004511B8" w:rsidRPr="00D11EA8">
        <w:rPr>
          <w:lang w:val="es-ES_tradnl"/>
        </w:rPr>
        <w:t>los</w:t>
      </w:r>
      <w:r w:rsidR="00E37094" w:rsidRPr="00D11EA8">
        <w:rPr>
          <w:lang w:val="es-ES_tradnl"/>
        </w:rPr>
        <w:t xml:space="preserve"> miembros </w:t>
      </w:r>
      <w:r w:rsidR="00702160">
        <w:rPr>
          <w:lang w:val="es-ES_tradnl"/>
        </w:rPr>
        <w:t xml:space="preserve">y la Presidencia </w:t>
      </w:r>
      <w:r w:rsidR="00E37094" w:rsidRPr="00D11EA8">
        <w:rPr>
          <w:lang w:val="es-ES_tradnl"/>
        </w:rPr>
        <w:t xml:space="preserve">del CAI para garantizar </w:t>
      </w:r>
      <w:r w:rsidR="004511B8">
        <w:rPr>
          <w:lang w:val="es-ES_tradnl"/>
        </w:rPr>
        <w:t>q</w:t>
      </w:r>
      <w:r w:rsidR="00E37094" w:rsidRPr="00D11EA8">
        <w:rPr>
          <w:lang w:val="es-ES_tradnl"/>
        </w:rPr>
        <w:t xml:space="preserve">ue la </w:t>
      </w:r>
      <w:r w:rsidR="004511B8" w:rsidRPr="00D11EA8">
        <w:rPr>
          <w:lang w:val="es-ES_tradnl"/>
        </w:rPr>
        <w:t>representación</w:t>
      </w:r>
      <w:r w:rsidR="00E37094" w:rsidRPr="00D11EA8">
        <w:rPr>
          <w:lang w:val="es-ES_tradnl"/>
        </w:rPr>
        <w:t xml:space="preserve"> de</w:t>
      </w:r>
      <w:r w:rsidR="00702160">
        <w:rPr>
          <w:lang w:val="es-ES_tradnl"/>
        </w:rPr>
        <w:t xml:space="preserve"> l</w:t>
      </w:r>
      <w:r w:rsidR="00E37094" w:rsidRPr="00D11EA8">
        <w:rPr>
          <w:lang w:val="es-ES_tradnl"/>
        </w:rPr>
        <w:t xml:space="preserve">as organizaciones </w:t>
      </w:r>
      <w:r w:rsidR="00702160">
        <w:rPr>
          <w:lang w:val="es-ES_tradnl"/>
        </w:rPr>
        <w:t>que componen el CAI sea completa, esté</w:t>
      </w:r>
      <w:r w:rsidR="00E37094" w:rsidRPr="00D11EA8">
        <w:rPr>
          <w:lang w:val="es-ES_tradnl"/>
        </w:rPr>
        <w:t xml:space="preserve"> actualizada y sea </w:t>
      </w:r>
      <w:r w:rsidR="004511B8" w:rsidRPr="00D11EA8">
        <w:rPr>
          <w:lang w:val="es-ES_tradnl"/>
        </w:rPr>
        <w:t>oficialmente</w:t>
      </w:r>
      <w:r w:rsidR="00E37094" w:rsidRPr="00D11EA8">
        <w:rPr>
          <w:lang w:val="es-ES_tradnl"/>
        </w:rPr>
        <w:t xml:space="preserve"> </w:t>
      </w:r>
      <w:r w:rsidR="004511B8" w:rsidRPr="00D11EA8">
        <w:rPr>
          <w:lang w:val="es-ES_tradnl"/>
        </w:rPr>
        <w:t>reconocida</w:t>
      </w:r>
      <w:r w:rsidR="00E37094" w:rsidRPr="00D11EA8">
        <w:rPr>
          <w:lang w:val="es-ES_tradnl"/>
        </w:rPr>
        <w:t>.</w:t>
      </w:r>
    </w:p>
    <w:p w14:paraId="4D94DEEC" w14:textId="4051A0C4" w:rsidR="008513D4" w:rsidRPr="00D11EA8" w:rsidRDefault="008513D4" w:rsidP="00867F99">
      <w:pPr>
        <w:rPr>
          <w:lang w:val="es-ES_tradnl"/>
        </w:rPr>
      </w:pPr>
    </w:p>
    <w:p w14:paraId="169145CA" w14:textId="389DF9E4" w:rsidR="008513D4" w:rsidRPr="00D11EA8" w:rsidRDefault="008513D4" w:rsidP="008513D4">
      <w:pPr>
        <w:rPr>
          <w:lang w:val="es-ES_tradnl"/>
        </w:rPr>
      </w:pPr>
      <w:r w:rsidRPr="00D11EA8">
        <w:rPr>
          <w:lang w:val="es-ES_tradnl"/>
        </w:rPr>
        <w:t>5.</w:t>
      </w:r>
      <w:r w:rsidRPr="00D11EA8">
        <w:rPr>
          <w:i/>
          <w:lang w:val="es-ES_tradnl"/>
        </w:rPr>
        <w:tab/>
      </w:r>
      <w:r w:rsidR="00E37094" w:rsidRPr="00D11EA8">
        <w:rPr>
          <w:i/>
          <w:lang w:val="es-ES_tradnl"/>
        </w:rPr>
        <w:t>Idiomas</w:t>
      </w:r>
      <w:r w:rsidRPr="00D11EA8">
        <w:rPr>
          <w:lang w:val="es-ES_tradnl"/>
        </w:rPr>
        <w:t>:</w:t>
      </w:r>
      <w:r w:rsidR="00E37094" w:rsidRPr="00D11EA8">
        <w:rPr>
          <w:lang w:val="es-ES_tradnl"/>
        </w:rPr>
        <w:t xml:space="preserve"> Es posible que haya que </w:t>
      </w:r>
      <w:r w:rsidR="004511B8" w:rsidRPr="00D11EA8">
        <w:rPr>
          <w:lang w:val="es-ES_tradnl"/>
        </w:rPr>
        <w:t>ampliar</w:t>
      </w:r>
      <w:r w:rsidR="00E37094" w:rsidRPr="00D11EA8">
        <w:rPr>
          <w:lang w:val="es-ES_tradnl"/>
        </w:rPr>
        <w:t xml:space="preserve"> la </w:t>
      </w:r>
      <w:r w:rsidR="004511B8" w:rsidRPr="00D11EA8">
        <w:rPr>
          <w:lang w:val="es-ES_tradnl"/>
        </w:rPr>
        <w:t>capacidad</w:t>
      </w:r>
      <w:r w:rsidR="00E37094" w:rsidRPr="00D11EA8">
        <w:rPr>
          <w:lang w:val="es-ES_tradnl"/>
        </w:rPr>
        <w:t xml:space="preserve"> </w:t>
      </w:r>
      <w:r w:rsidR="004511B8" w:rsidRPr="00D11EA8">
        <w:rPr>
          <w:lang w:val="es-ES_tradnl"/>
        </w:rPr>
        <w:t>lingüística</w:t>
      </w:r>
      <w:r w:rsidR="000D57AE">
        <w:rPr>
          <w:lang w:val="es-ES_tradnl"/>
        </w:rPr>
        <w:t xml:space="preserve"> del CAI para reflejar </w:t>
      </w:r>
      <w:r w:rsidR="00E37094" w:rsidRPr="00D11EA8">
        <w:rPr>
          <w:lang w:val="es-ES_tradnl"/>
        </w:rPr>
        <w:t xml:space="preserve">los </w:t>
      </w:r>
      <w:r w:rsidR="00702160">
        <w:rPr>
          <w:lang w:val="es-ES_tradnl"/>
        </w:rPr>
        <w:t>países que presentan propuestas.</w:t>
      </w:r>
    </w:p>
    <w:p w14:paraId="2FEA3034" w14:textId="77777777" w:rsidR="00A431E5" w:rsidRPr="00D11EA8" w:rsidRDefault="00A431E5" w:rsidP="00867F99">
      <w:pPr>
        <w:rPr>
          <w:lang w:val="es-ES_tradnl"/>
        </w:rPr>
      </w:pPr>
    </w:p>
    <w:p w14:paraId="46481661" w14:textId="6DE701E2" w:rsidR="00A431E5" w:rsidRPr="00D11EA8" w:rsidRDefault="008513D4" w:rsidP="00867F99">
      <w:pPr>
        <w:rPr>
          <w:lang w:val="es-ES_tradnl"/>
        </w:rPr>
      </w:pPr>
      <w:r w:rsidRPr="00D11EA8">
        <w:rPr>
          <w:lang w:val="es-ES_tradnl"/>
        </w:rPr>
        <w:t>6</w:t>
      </w:r>
      <w:r w:rsidR="00867F99" w:rsidRPr="00D11EA8">
        <w:rPr>
          <w:lang w:val="es-ES_tradnl"/>
        </w:rPr>
        <w:t>.</w:t>
      </w:r>
      <w:r w:rsidR="00867F99" w:rsidRPr="00D11EA8">
        <w:rPr>
          <w:lang w:val="es-ES_tradnl"/>
        </w:rPr>
        <w:tab/>
      </w:r>
      <w:r w:rsidR="00702160">
        <w:rPr>
          <w:i/>
          <w:lang w:val="es-ES_tradnl"/>
        </w:rPr>
        <w:t>Observaciones</w:t>
      </w:r>
      <w:r w:rsidR="001D2585" w:rsidRPr="00D11EA8">
        <w:rPr>
          <w:lang w:val="es-ES_tradnl"/>
        </w:rPr>
        <w:t>:</w:t>
      </w:r>
      <w:r w:rsidR="00A431E5" w:rsidRPr="00D11EA8">
        <w:rPr>
          <w:lang w:val="es-ES_tradnl"/>
        </w:rPr>
        <w:t xml:space="preserve"> </w:t>
      </w:r>
      <w:r w:rsidR="00E37094" w:rsidRPr="00D11EA8">
        <w:rPr>
          <w:lang w:val="es-ES_tradnl"/>
        </w:rPr>
        <w:t xml:space="preserve">Se debería procurar obtener observaciones sinceras de todos los miembros del CAI sobre la calidad del examen </w:t>
      </w:r>
      <w:r w:rsidR="00702160">
        <w:rPr>
          <w:lang w:val="es-ES_tradnl"/>
        </w:rPr>
        <w:t xml:space="preserve">y la </w:t>
      </w:r>
      <w:r w:rsidR="00E37094" w:rsidRPr="00D11EA8">
        <w:rPr>
          <w:lang w:val="es-ES_tradnl"/>
        </w:rPr>
        <w:t xml:space="preserve">acreditación </w:t>
      </w:r>
      <w:r w:rsidR="00702160" w:rsidRPr="00D11EA8">
        <w:rPr>
          <w:lang w:val="es-ES_tradnl"/>
        </w:rPr>
        <w:t>de 2017-20</w:t>
      </w:r>
      <w:r w:rsidR="00702160">
        <w:rPr>
          <w:lang w:val="es-ES_tradnl"/>
        </w:rPr>
        <w:t>18</w:t>
      </w:r>
      <w:r w:rsidR="00A431E5" w:rsidRPr="00D11EA8">
        <w:rPr>
          <w:lang w:val="es-ES_tradnl"/>
        </w:rPr>
        <w:t>.</w:t>
      </w:r>
    </w:p>
    <w:p w14:paraId="568F58C2" w14:textId="77777777" w:rsidR="00A431E5" w:rsidRPr="00D11EA8" w:rsidRDefault="00A431E5" w:rsidP="00867F99">
      <w:pPr>
        <w:rPr>
          <w:lang w:val="es-ES_tradnl"/>
        </w:rPr>
      </w:pPr>
    </w:p>
    <w:p w14:paraId="544CFC4B" w14:textId="4E18902D" w:rsidR="003272B4" w:rsidRPr="00D11EA8" w:rsidRDefault="008513D4" w:rsidP="00867F99">
      <w:pPr>
        <w:rPr>
          <w:lang w:val="es-ES_tradnl"/>
        </w:rPr>
      </w:pPr>
      <w:r w:rsidRPr="00D11EA8">
        <w:rPr>
          <w:lang w:val="es-ES_tradnl"/>
        </w:rPr>
        <w:t>7</w:t>
      </w:r>
      <w:r w:rsidR="00867F99" w:rsidRPr="00D11EA8">
        <w:rPr>
          <w:lang w:val="es-ES_tradnl"/>
        </w:rPr>
        <w:t>.</w:t>
      </w:r>
      <w:r w:rsidR="00867F99" w:rsidRPr="00D11EA8">
        <w:rPr>
          <w:lang w:val="es-ES_tradnl"/>
        </w:rPr>
        <w:tab/>
      </w:r>
      <w:r w:rsidR="00E37094" w:rsidRPr="00D11EA8">
        <w:rPr>
          <w:i/>
          <w:lang w:val="es-ES_tradnl"/>
        </w:rPr>
        <w:t>Apoyo ejecutivo</w:t>
      </w:r>
      <w:r w:rsidR="001D2585" w:rsidRPr="00D11EA8">
        <w:rPr>
          <w:lang w:val="es-ES_tradnl"/>
        </w:rPr>
        <w:t>:</w:t>
      </w:r>
      <w:r w:rsidR="00A431E5" w:rsidRPr="00D11EA8">
        <w:rPr>
          <w:lang w:val="es-ES_tradnl"/>
        </w:rPr>
        <w:t xml:space="preserve"> </w:t>
      </w:r>
      <w:r w:rsidR="00702160">
        <w:rPr>
          <w:lang w:val="es-ES_tradnl"/>
        </w:rPr>
        <w:t xml:space="preserve">El Centro Regional Ramsar para Asia Oriental </w:t>
      </w:r>
      <w:r w:rsidR="001D2585" w:rsidRPr="00D11EA8">
        <w:rPr>
          <w:lang w:val="es-ES_tradnl"/>
        </w:rPr>
        <w:t>(RRC– EA)</w:t>
      </w:r>
      <w:r w:rsidR="00A431E5" w:rsidRPr="00D11EA8">
        <w:rPr>
          <w:lang w:val="es-ES_tradnl"/>
        </w:rPr>
        <w:t xml:space="preserve"> </w:t>
      </w:r>
      <w:r w:rsidR="004511B8">
        <w:rPr>
          <w:lang w:val="es-ES_tradnl"/>
        </w:rPr>
        <w:t>apoyó</w:t>
      </w:r>
      <w:r w:rsidR="00E37094" w:rsidRPr="00D11EA8">
        <w:rPr>
          <w:lang w:val="es-ES_tradnl"/>
        </w:rPr>
        <w:t xml:space="preserve"> el </w:t>
      </w:r>
      <w:r w:rsidR="004511B8">
        <w:rPr>
          <w:lang w:val="es-ES_tradnl"/>
        </w:rPr>
        <w:t>proceso</w:t>
      </w:r>
      <w:r w:rsidR="00E37094" w:rsidRPr="00D11EA8">
        <w:rPr>
          <w:lang w:val="es-ES_tradnl"/>
        </w:rPr>
        <w:t xml:space="preserve"> de </w:t>
      </w:r>
      <w:r w:rsidR="004511B8" w:rsidRPr="00D11EA8">
        <w:rPr>
          <w:lang w:val="es-ES_tradnl"/>
        </w:rPr>
        <w:t>acreditación</w:t>
      </w:r>
      <w:r w:rsidR="00E37094" w:rsidRPr="00D11EA8">
        <w:rPr>
          <w:lang w:val="es-ES_tradnl"/>
        </w:rPr>
        <w:t xml:space="preserve"> </w:t>
      </w:r>
      <w:r w:rsidR="00E37094" w:rsidRPr="00D11EA8">
        <w:rPr>
          <w:i/>
          <w:lang w:val="es-ES_tradnl"/>
        </w:rPr>
        <w:t>pr</w:t>
      </w:r>
      <w:r w:rsidR="00A431E5" w:rsidRPr="00D11EA8">
        <w:rPr>
          <w:i/>
          <w:lang w:val="es-ES_tradnl"/>
        </w:rPr>
        <w:t>o bono</w:t>
      </w:r>
      <w:r w:rsidR="00E37094" w:rsidRPr="00D11EA8">
        <w:rPr>
          <w:lang w:val="es-ES_tradnl"/>
        </w:rPr>
        <w:t xml:space="preserve"> y merece un agradecimiento por su gran ayuda. </w:t>
      </w:r>
      <w:r w:rsidR="00702160">
        <w:rPr>
          <w:lang w:val="es-ES_tradnl"/>
        </w:rPr>
        <w:t>En el futuro e</w:t>
      </w:r>
      <w:r w:rsidR="00E37094" w:rsidRPr="00D11EA8">
        <w:rPr>
          <w:lang w:val="es-ES_tradnl"/>
        </w:rPr>
        <w:t xml:space="preserve">sta función </w:t>
      </w:r>
      <w:r w:rsidR="00702160">
        <w:rPr>
          <w:lang w:val="es-ES_tradnl"/>
        </w:rPr>
        <w:t xml:space="preserve">se debería </w:t>
      </w:r>
      <w:r w:rsidR="00E37094" w:rsidRPr="00D11EA8">
        <w:rPr>
          <w:lang w:val="es-ES_tradnl"/>
        </w:rPr>
        <w:t>formalizar y presupuestar y</w:t>
      </w:r>
      <w:r w:rsidR="00702160">
        <w:rPr>
          <w:lang w:val="es-ES_tradnl"/>
        </w:rPr>
        <w:t xml:space="preserve"> también habría que documentar</w:t>
      </w:r>
      <w:r w:rsidR="00E37094" w:rsidRPr="00D11EA8">
        <w:rPr>
          <w:lang w:val="es-ES_tradnl"/>
        </w:rPr>
        <w:t xml:space="preserve"> los </w:t>
      </w:r>
      <w:r w:rsidR="004511B8" w:rsidRPr="00D11EA8">
        <w:rPr>
          <w:lang w:val="es-ES_tradnl"/>
        </w:rPr>
        <w:t>procedimientos</w:t>
      </w:r>
      <w:r w:rsidR="00E37094" w:rsidRPr="00D11EA8">
        <w:rPr>
          <w:lang w:val="es-ES_tradnl"/>
        </w:rPr>
        <w:t xml:space="preserve"> formales para </w:t>
      </w:r>
      <w:r w:rsidR="004511B8" w:rsidRPr="00D11EA8">
        <w:rPr>
          <w:lang w:val="es-ES_tradnl"/>
        </w:rPr>
        <w:t>gestionar</w:t>
      </w:r>
      <w:r w:rsidR="00E37094" w:rsidRPr="00D11EA8">
        <w:rPr>
          <w:lang w:val="es-ES_tradnl"/>
        </w:rPr>
        <w:t xml:space="preserve"> los posibles conflictos de intereses </w:t>
      </w:r>
      <w:r w:rsidR="00702160">
        <w:rPr>
          <w:lang w:val="es-ES_tradnl"/>
        </w:rPr>
        <w:t xml:space="preserve">(es importante señalar </w:t>
      </w:r>
      <w:r w:rsidR="00E37094" w:rsidRPr="00D11EA8">
        <w:rPr>
          <w:lang w:val="es-ES_tradnl"/>
        </w:rPr>
        <w:t xml:space="preserve">que los posibles conflictos de </w:t>
      </w:r>
      <w:r w:rsidR="004511B8" w:rsidRPr="00D11EA8">
        <w:rPr>
          <w:lang w:val="es-ES_tradnl"/>
        </w:rPr>
        <w:t>intereses</w:t>
      </w:r>
      <w:r w:rsidR="00E37094" w:rsidRPr="00D11EA8">
        <w:rPr>
          <w:lang w:val="es-ES_tradnl"/>
        </w:rPr>
        <w:t xml:space="preserve"> </w:t>
      </w:r>
      <w:r w:rsidR="000D57AE">
        <w:rPr>
          <w:lang w:val="es-ES_tradnl"/>
        </w:rPr>
        <w:t>fueron</w:t>
      </w:r>
      <w:r w:rsidR="00E37094" w:rsidRPr="00D11EA8">
        <w:rPr>
          <w:lang w:val="es-ES_tradnl"/>
        </w:rPr>
        <w:t xml:space="preserve"> gestionados con éxito por el personal del </w:t>
      </w:r>
      <w:r w:rsidR="00A431E5" w:rsidRPr="00702160">
        <w:rPr>
          <w:lang w:val="es-ES_tradnl"/>
        </w:rPr>
        <w:t>RRC</w:t>
      </w:r>
      <w:r w:rsidR="001D2585" w:rsidRPr="00702160">
        <w:rPr>
          <w:lang w:val="es-ES_tradnl"/>
        </w:rPr>
        <w:t>–</w:t>
      </w:r>
      <w:r w:rsidR="001D2585" w:rsidRPr="00D11EA8">
        <w:rPr>
          <w:lang w:val="es-ES_tradnl"/>
        </w:rPr>
        <w:t xml:space="preserve"> </w:t>
      </w:r>
      <w:r w:rsidR="00A431E5" w:rsidRPr="00D11EA8">
        <w:rPr>
          <w:lang w:val="es-ES_tradnl"/>
        </w:rPr>
        <w:t>EA,</w:t>
      </w:r>
      <w:r w:rsidR="00E37094" w:rsidRPr="00D11EA8">
        <w:rPr>
          <w:lang w:val="es-ES_tradnl"/>
        </w:rPr>
        <w:t xml:space="preserve"> que </w:t>
      </w:r>
      <w:r w:rsidR="00702160">
        <w:rPr>
          <w:lang w:val="es-ES_tradnl"/>
        </w:rPr>
        <w:t xml:space="preserve">se abstuvo de participar </w:t>
      </w:r>
      <w:r w:rsidR="00E37094" w:rsidRPr="00D11EA8">
        <w:rPr>
          <w:lang w:val="es-ES_tradnl"/>
        </w:rPr>
        <w:t xml:space="preserve">en la </w:t>
      </w:r>
      <w:r w:rsidR="004511B8" w:rsidRPr="00D11EA8">
        <w:rPr>
          <w:lang w:val="es-ES_tradnl"/>
        </w:rPr>
        <w:t>acreditación</w:t>
      </w:r>
      <w:r w:rsidR="00702160">
        <w:rPr>
          <w:lang w:val="es-ES_tradnl"/>
        </w:rPr>
        <w:t xml:space="preserve"> de </w:t>
      </w:r>
      <w:r w:rsidR="00E37094" w:rsidRPr="00D11EA8">
        <w:rPr>
          <w:lang w:val="es-ES_tradnl"/>
        </w:rPr>
        <w:t xml:space="preserve">candidaturas </w:t>
      </w:r>
      <w:r w:rsidR="00702160">
        <w:rPr>
          <w:lang w:val="es-ES_tradnl"/>
        </w:rPr>
        <w:t>de</w:t>
      </w:r>
      <w:r w:rsidR="00E37094" w:rsidRPr="00D11EA8">
        <w:rPr>
          <w:lang w:val="es-ES_tradnl"/>
        </w:rPr>
        <w:t xml:space="preserve"> la República de Corea</w:t>
      </w:r>
      <w:r w:rsidR="00A431E5" w:rsidRPr="00D11EA8">
        <w:rPr>
          <w:lang w:val="es-ES_tradnl"/>
        </w:rPr>
        <w:t>).</w:t>
      </w:r>
    </w:p>
    <w:sectPr w:rsidR="003272B4" w:rsidRPr="00D11EA8" w:rsidSect="003C6FF2">
      <w:footerReference w:type="default" r:id="rId11"/>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EC952" w14:textId="77777777" w:rsidR="00626967" w:rsidRDefault="00626967" w:rsidP="00684ACE">
      <w:r>
        <w:separator/>
      </w:r>
    </w:p>
  </w:endnote>
  <w:endnote w:type="continuationSeparator" w:id="0">
    <w:p w14:paraId="7BEBB223" w14:textId="77777777" w:rsidR="00626967" w:rsidRDefault="00626967" w:rsidP="00684ACE">
      <w:r>
        <w:continuationSeparator/>
      </w:r>
    </w:p>
  </w:endnote>
  <w:endnote w:type="continuationNotice" w:id="1">
    <w:p w14:paraId="44603B64" w14:textId="77777777" w:rsidR="00626967" w:rsidRDefault="00626967" w:rsidP="00684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roxima_nova_ltsemibold">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5B60A" w14:textId="22D0E98A" w:rsidR="00626967" w:rsidRPr="003A256C" w:rsidRDefault="00626967" w:rsidP="003A256C">
    <w:pPr>
      <w:pStyle w:val="Footer"/>
      <w:tabs>
        <w:tab w:val="clear" w:pos="9026"/>
        <w:tab w:val="right" w:pos="9000"/>
      </w:tabs>
      <w:rPr>
        <w:sz w:val="20"/>
        <w:szCs w:val="20"/>
        <w:lang w:val="en-US"/>
      </w:rPr>
    </w:pPr>
    <w:r w:rsidRPr="003A256C">
      <w:rPr>
        <w:sz w:val="20"/>
        <w:szCs w:val="20"/>
        <w:lang w:val="en-US"/>
      </w:rPr>
      <w:t>S</w:t>
    </w:r>
    <w:r>
      <w:rPr>
        <w:sz w:val="20"/>
        <w:szCs w:val="20"/>
        <w:lang w:val="en-US"/>
      </w:rPr>
      <w:t>C54</w:t>
    </w:r>
    <w:r w:rsidRPr="003A256C">
      <w:rPr>
        <w:sz w:val="20"/>
        <w:szCs w:val="20"/>
        <w:lang w:val="en-US"/>
      </w:rPr>
      <w:t>-</w:t>
    </w:r>
    <w:r>
      <w:rPr>
        <w:sz w:val="20"/>
        <w:szCs w:val="20"/>
        <w:lang w:val="en-US"/>
      </w:rPr>
      <w:t>22</w:t>
    </w:r>
    <w:r w:rsidRPr="003A256C">
      <w:rPr>
        <w:sz w:val="20"/>
        <w:szCs w:val="20"/>
        <w:lang w:val="en-US"/>
      </w:rPr>
      <w:tab/>
    </w:r>
    <w:r w:rsidRPr="003A256C">
      <w:rPr>
        <w:sz w:val="20"/>
        <w:szCs w:val="20"/>
        <w:lang w:val="en-US"/>
      </w:rPr>
      <w:tab/>
    </w:r>
    <w:r w:rsidRPr="003A256C">
      <w:rPr>
        <w:sz w:val="20"/>
        <w:szCs w:val="20"/>
        <w:lang w:val="en-US"/>
      </w:rPr>
      <w:fldChar w:fldCharType="begin"/>
    </w:r>
    <w:r w:rsidRPr="003A256C">
      <w:rPr>
        <w:sz w:val="20"/>
        <w:szCs w:val="20"/>
        <w:lang w:val="en-US"/>
      </w:rPr>
      <w:instrText xml:space="preserve"> PAGE   \* MERGEFORMAT </w:instrText>
    </w:r>
    <w:r w:rsidRPr="003A256C">
      <w:rPr>
        <w:sz w:val="20"/>
        <w:szCs w:val="20"/>
        <w:lang w:val="en-US"/>
      </w:rPr>
      <w:fldChar w:fldCharType="separate"/>
    </w:r>
    <w:r w:rsidR="00F153FA">
      <w:rPr>
        <w:noProof/>
        <w:sz w:val="20"/>
        <w:szCs w:val="20"/>
        <w:lang w:val="en-US"/>
      </w:rPr>
      <w:t>2</w:t>
    </w:r>
    <w:r w:rsidRPr="003A256C">
      <w:rPr>
        <w:noProof/>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860FD" w14:textId="77777777" w:rsidR="00626967" w:rsidRDefault="00626967" w:rsidP="00684ACE">
      <w:r>
        <w:separator/>
      </w:r>
    </w:p>
  </w:footnote>
  <w:footnote w:type="continuationSeparator" w:id="0">
    <w:p w14:paraId="6817E119" w14:textId="77777777" w:rsidR="00626967" w:rsidRDefault="00626967" w:rsidP="00684ACE">
      <w:r>
        <w:continuationSeparator/>
      </w:r>
    </w:p>
  </w:footnote>
  <w:footnote w:type="continuationNotice" w:id="1">
    <w:p w14:paraId="26F6931C" w14:textId="77777777" w:rsidR="00626967" w:rsidRDefault="00626967" w:rsidP="00684A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71E5"/>
    <w:multiLevelType w:val="hybridMultilevel"/>
    <w:tmpl w:val="50F2E8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780119"/>
    <w:multiLevelType w:val="hybridMultilevel"/>
    <w:tmpl w:val="84E0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4029B3"/>
    <w:multiLevelType w:val="hybridMultilevel"/>
    <w:tmpl w:val="D040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BE133C"/>
    <w:multiLevelType w:val="hybridMultilevel"/>
    <w:tmpl w:val="502AAE96"/>
    <w:lvl w:ilvl="0" w:tplc="77986E14">
      <w:start w:val="7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DB52BC"/>
    <w:multiLevelType w:val="hybridMultilevel"/>
    <w:tmpl w:val="A900F4B6"/>
    <w:lvl w:ilvl="0" w:tplc="77B03E7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AC5957"/>
    <w:multiLevelType w:val="hybridMultilevel"/>
    <w:tmpl w:val="E194AA1A"/>
    <w:lvl w:ilvl="0" w:tplc="A8F20060">
      <w:start w:val="1"/>
      <w:numFmt w:val="decimal"/>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76883"/>
    <w:multiLevelType w:val="hybridMultilevel"/>
    <w:tmpl w:val="15EC3B88"/>
    <w:lvl w:ilvl="0" w:tplc="34E6C664">
      <w:start w:val="15"/>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7">
    <w:nsid w:val="30C11C85"/>
    <w:multiLevelType w:val="hybridMultilevel"/>
    <w:tmpl w:val="DE5066FE"/>
    <w:lvl w:ilvl="0" w:tplc="7E3419B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E9F"/>
    <w:multiLevelType w:val="hybridMultilevel"/>
    <w:tmpl w:val="04D47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34743A"/>
    <w:multiLevelType w:val="hybridMultilevel"/>
    <w:tmpl w:val="318AC674"/>
    <w:lvl w:ilvl="0" w:tplc="A8F20060">
      <w:start w:val="1"/>
      <w:numFmt w:val="decimal"/>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236DB"/>
    <w:multiLevelType w:val="hybridMultilevel"/>
    <w:tmpl w:val="3B92A906"/>
    <w:lvl w:ilvl="0" w:tplc="34E6C664">
      <w:start w:val="15"/>
      <w:numFmt w:val="decimal"/>
      <w:lvlText w:val="%1."/>
      <w:lvlJc w:val="left"/>
      <w:pPr>
        <w:ind w:left="720"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CD1202"/>
    <w:multiLevelType w:val="hybridMultilevel"/>
    <w:tmpl w:val="FC8AC0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50051C3C"/>
    <w:multiLevelType w:val="hybridMultilevel"/>
    <w:tmpl w:val="D23AA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A500F1"/>
    <w:multiLevelType w:val="hybridMultilevel"/>
    <w:tmpl w:val="CC2A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0826B2"/>
    <w:multiLevelType w:val="hybridMultilevel"/>
    <w:tmpl w:val="471687E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17FB8"/>
    <w:multiLevelType w:val="hybridMultilevel"/>
    <w:tmpl w:val="D4008ED2"/>
    <w:lvl w:ilvl="0" w:tplc="0980ECCA">
      <w:start w:val="20"/>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0758D7"/>
    <w:multiLevelType w:val="hybridMultilevel"/>
    <w:tmpl w:val="0C48A7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B50124"/>
    <w:multiLevelType w:val="hybridMultilevel"/>
    <w:tmpl w:val="E5C09154"/>
    <w:lvl w:ilvl="0" w:tplc="A8F20060">
      <w:start w:val="1"/>
      <w:numFmt w:val="decimal"/>
      <w:lvlText w:val="%1."/>
      <w:lvlJc w:val="left"/>
      <w:pPr>
        <w:ind w:left="720"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EE6248"/>
    <w:multiLevelType w:val="hybridMultilevel"/>
    <w:tmpl w:val="36AE2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EA27EB"/>
    <w:multiLevelType w:val="hybridMultilevel"/>
    <w:tmpl w:val="D040BDDA"/>
    <w:lvl w:ilvl="0" w:tplc="0980ECCA">
      <w:start w:val="20"/>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A832D1"/>
    <w:multiLevelType w:val="hybridMultilevel"/>
    <w:tmpl w:val="5560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F6AF1"/>
    <w:multiLevelType w:val="hybridMultilevel"/>
    <w:tmpl w:val="76E21EC8"/>
    <w:lvl w:ilvl="0" w:tplc="34E6C664">
      <w:start w:val="15"/>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23">
    <w:nsid w:val="65DC7CB3"/>
    <w:multiLevelType w:val="hybridMultilevel"/>
    <w:tmpl w:val="27E60F4C"/>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701D3"/>
    <w:multiLevelType w:val="hybridMultilevel"/>
    <w:tmpl w:val="EFF8B998"/>
    <w:lvl w:ilvl="0" w:tplc="A8F20060">
      <w:start w:val="1"/>
      <w:numFmt w:val="decimal"/>
      <w:lvlText w:val="%1."/>
      <w:lvlJc w:val="left"/>
      <w:pPr>
        <w:ind w:left="720" w:hanging="360"/>
      </w:pPr>
      <w:rPr>
        <w:rFonts w:asciiTheme="minorHAnsi" w:hAnsi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8731C7"/>
    <w:multiLevelType w:val="hybridMultilevel"/>
    <w:tmpl w:val="C57CD5E0"/>
    <w:lvl w:ilvl="0" w:tplc="B72C80C6">
      <w:start w:val="23"/>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5E6E82"/>
    <w:multiLevelType w:val="hybridMultilevel"/>
    <w:tmpl w:val="9AB0FA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6B66BDB"/>
    <w:multiLevelType w:val="hybridMultilevel"/>
    <w:tmpl w:val="36AE2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0B0E25"/>
    <w:multiLevelType w:val="hybridMultilevel"/>
    <w:tmpl w:val="CC9C01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9A21914"/>
    <w:multiLevelType w:val="hybridMultilevel"/>
    <w:tmpl w:val="A21CA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EC4D64"/>
    <w:multiLevelType w:val="hybridMultilevel"/>
    <w:tmpl w:val="050A957A"/>
    <w:lvl w:ilvl="0" w:tplc="BB2E456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21"/>
  </w:num>
  <w:num w:numId="4">
    <w:abstractNumId w:val="2"/>
  </w:num>
  <w:num w:numId="5">
    <w:abstractNumId w:val="3"/>
  </w:num>
  <w:num w:numId="6">
    <w:abstractNumId w:val="5"/>
  </w:num>
  <w:num w:numId="7">
    <w:abstractNumId w:val="23"/>
  </w:num>
  <w:num w:numId="8">
    <w:abstractNumId w:val="15"/>
  </w:num>
  <w:num w:numId="9">
    <w:abstractNumId w:val="4"/>
  </w:num>
  <w:num w:numId="10">
    <w:abstractNumId w:val="27"/>
  </w:num>
  <w:num w:numId="11">
    <w:abstractNumId w:val="19"/>
  </w:num>
  <w:num w:numId="12">
    <w:abstractNumId w:val="29"/>
  </w:num>
  <w:num w:numId="13">
    <w:abstractNumId w:val="13"/>
  </w:num>
  <w:num w:numId="14">
    <w:abstractNumId w:val="24"/>
  </w:num>
  <w:num w:numId="15">
    <w:abstractNumId w:val="8"/>
  </w:num>
  <w:num w:numId="16">
    <w:abstractNumId w:val="30"/>
  </w:num>
  <w:num w:numId="17">
    <w:abstractNumId w:val="14"/>
  </w:num>
  <w:num w:numId="18">
    <w:abstractNumId w:val="12"/>
  </w:num>
  <w:num w:numId="19">
    <w:abstractNumId w:val="1"/>
  </w:num>
  <w:num w:numId="20">
    <w:abstractNumId w:val="26"/>
  </w:num>
  <w:num w:numId="21">
    <w:abstractNumId w:val="28"/>
  </w:num>
  <w:num w:numId="22">
    <w:abstractNumId w:val="0"/>
  </w:num>
  <w:num w:numId="23">
    <w:abstractNumId w:val="11"/>
  </w:num>
  <w:num w:numId="24">
    <w:abstractNumId w:val="9"/>
  </w:num>
  <w:num w:numId="25">
    <w:abstractNumId w:val="18"/>
  </w:num>
  <w:num w:numId="26">
    <w:abstractNumId w:val="10"/>
  </w:num>
  <w:num w:numId="27">
    <w:abstractNumId w:val="6"/>
  </w:num>
  <w:num w:numId="28">
    <w:abstractNumId w:val="22"/>
  </w:num>
  <w:num w:numId="29">
    <w:abstractNumId w:val="20"/>
  </w:num>
  <w:num w:numId="30">
    <w:abstractNumId w:val="16"/>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al Gardner">
    <w15:presenceInfo w15:providerId="AD" w15:userId="S-1-5-21-1185815387-1807681615-1777090905-7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4A"/>
    <w:rsid w:val="000011A7"/>
    <w:rsid w:val="00012D3E"/>
    <w:rsid w:val="00024BF3"/>
    <w:rsid w:val="00033ADF"/>
    <w:rsid w:val="00036195"/>
    <w:rsid w:val="00052C47"/>
    <w:rsid w:val="000561A6"/>
    <w:rsid w:val="00056DC4"/>
    <w:rsid w:val="000603D8"/>
    <w:rsid w:val="00065F4C"/>
    <w:rsid w:val="000674B2"/>
    <w:rsid w:val="00070697"/>
    <w:rsid w:val="00073463"/>
    <w:rsid w:val="00081215"/>
    <w:rsid w:val="0008677B"/>
    <w:rsid w:val="00090733"/>
    <w:rsid w:val="00094FA4"/>
    <w:rsid w:val="000B5FFE"/>
    <w:rsid w:val="000C23C4"/>
    <w:rsid w:val="000C4662"/>
    <w:rsid w:val="000D15CD"/>
    <w:rsid w:val="000D2C2E"/>
    <w:rsid w:val="000D2E66"/>
    <w:rsid w:val="000D3EC5"/>
    <w:rsid w:val="000D57AE"/>
    <w:rsid w:val="000E4331"/>
    <w:rsid w:val="000F0780"/>
    <w:rsid w:val="000F4F18"/>
    <w:rsid w:val="000F5750"/>
    <w:rsid w:val="000F7E2E"/>
    <w:rsid w:val="00111E4E"/>
    <w:rsid w:val="00117514"/>
    <w:rsid w:val="00124F46"/>
    <w:rsid w:val="00127E32"/>
    <w:rsid w:val="001311F9"/>
    <w:rsid w:val="001355DA"/>
    <w:rsid w:val="00135AB5"/>
    <w:rsid w:val="0014427D"/>
    <w:rsid w:val="001446F4"/>
    <w:rsid w:val="001458BA"/>
    <w:rsid w:val="0014728B"/>
    <w:rsid w:val="001539AF"/>
    <w:rsid w:val="0015480C"/>
    <w:rsid w:val="001550B5"/>
    <w:rsid w:val="00155B1E"/>
    <w:rsid w:val="00162130"/>
    <w:rsid w:val="0016617C"/>
    <w:rsid w:val="0017502F"/>
    <w:rsid w:val="001824B4"/>
    <w:rsid w:val="00192C83"/>
    <w:rsid w:val="00193A9E"/>
    <w:rsid w:val="001A0CDB"/>
    <w:rsid w:val="001A5672"/>
    <w:rsid w:val="001A67EB"/>
    <w:rsid w:val="001B146F"/>
    <w:rsid w:val="001B676B"/>
    <w:rsid w:val="001B7196"/>
    <w:rsid w:val="001B7944"/>
    <w:rsid w:val="001C5C4A"/>
    <w:rsid w:val="001D2585"/>
    <w:rsid w:val="001D6E65"/>
    <w:rsid w:val="001E6140"/>
    <w:rsid w:val="001F180D"/>
    <w:rsid w:val="001F6182"/>
    <w:rsid w:val="0020021D"/>
    <w:rsid w:val="002004F0"/>
    <w:rsid w:val="00203EB0"/>
    <w:rsid w:val="00210B8A"/>
    <w:rsid w:val="002112F0"/>
    <w:rsid w:val="00213B9E"/>
    <w:rsid w:val="00216B90"/>
    <w:rsid w:val="00231E88"/>
    <w:rsid w:val="002357F3"/>
    <w:rsid w:val="00243BD1"/>
    <w:rsid w:val="00245600"/>
    <w:rsid w:val="0024760B"/>
    <w:rsid w:val="00247AF9"/>
    <w:rsid w:val="002507A4"/>
    <w:rsid w:val="002513E4"/>
    <w:rsid w:val="00251F99"/>
    <w:rsid w:val="002536A8"/>
    <w:rsid w:val="00255DA7"/>
    <w:rsid w:val="002561C5"/>
    <w:rsid w:val="00257C5F"/>
    <w:rsid w:val="0026161A"/>
    <w:rsid w:val="002654E8"/>
    <w:rsid w:val="0026561C"/>
    <w:rsid w:val="002676DE"/>
    <w:rsid w:val="00273DEF"/>
    <w:rsid w:val="002773E4"/>
    <w:rsid w:val="00290341"/>
    <w:rsid w:val="00293A0B"/>
    <w:rsid w:val="002964CD"/>
    <w:rsid w:val="002A3AA7"/>
    <w:rsid w:val="002A719E"/>
    <w:rsid w:val="002B6122"/>
    <w:rsid w:val="002C2C4E"/>
    <w:rsid w:val="002C5CE0"/>
    <w:rsid w:val="002D260C"/>
    <w:rsid w:val="002D5E2B"/>
    <w:rsid w:val="002D5F19"/>
    <w:rsid w:val="002E32B8"/>
    <w:rsid w:val="002E37C2"/>
    <w:rsid w:val="002F5346"/>
    <w:rsid w:val="002F7095"/>
    <w:rsid w:val="0030292B"/>
    <w:rsid w:val="00303B31"/>
    <w:rsid w:val="003159B1"/>
    <w:rsid w:val="00316352"/>
    <w:rsid w:val="0032076C"/>
    <w:rsid w:val="00322E6C"/>
    <w:rsid w:val="003239E4"/>
    <w:rsid w:val="003257E2"/>
    <w:rsid w:val="003272B4"/>
    <w:rsid w:val="003312C3"/>
    <w:rsid w:val="00333625"/>
    <w:rsid w:val="00340D71"/>
    <w:rsid w:val="003428F1"/>
    <w:rsid w:val="00350839"/>
    <w:rsid w:val="00352F8E"/>
    <w:rsid w:val="00357740"/>
    <w:rsid w:val="00361D1A"/>
    <w:rsid w:val="00366A05"/>
    <w:rsid w:val="00371C47"/>
    <w:rsid w:val="00374A32"/>
    <w:rsid w:val="0037712A"/>
    <w:rsid w:val="00380FD2"/>
    <w:rsid w:val="00381688"/>
    <w:rsid w:val="003826BD"/>
    <w:rsid w:val="00384DB3"/>
    <w:rsid w:val="003879EE"/>
    <w:rsid w:val="003A076D"/>
    <w:rsid w:val="003A1859"/>
    <w:rsid w:val="003A256C"/>
    <w:rsid w:val="003A4773"/>
    <w:rsid w:val="003A6364"/>
    <w:rsid w:val="003C2CD0"/>
    <w:rsid w:val="003C3450"/>
    <w:rsid w:val="003C6FF2"/>
    <w:rsid w:val="003D0363"/>
    <w:rsid w:val="003D26E3"/>
    <w:rsid w:val="003E6B09"/>
    <w:rsid w:val="003E6C9D"/>
    <w:rsid w:val="003F1FFA"/>
    <w:rsid w:val="003F2902"/>
    <w:rsid w:val="00417407"/>
    <w:rsid w:val="00417923"/>
    <w:rsid w:val="00425317"/>
    <w:rsid w:val="00437527"/>
    <w:rsid w:val="00450762"/>
    <w:rsid w:val="004511B8"/>
    <w:rsid w:val="00461518"/>
    <w:rsid w:val="00463935"/>
    <w:rsid w:val="00487C7A"/>
    <w:rsid w:val="004A1CE9"/>
    <w:rsid w:val="004A7E4B"/>
    <w:rsid w:val="004B074A"/>
    <w:rsid w:val="004B6E8B"/>
    <w:rsid w:val="004C507F"/>
    <w:rsid w:val="004C7321"/>
    <w:rsid w:val="004C77A6"/>
    <w:rsid w:val="004D03E9"/>
    <w:rsid w:val="004D0A2C"/>
    <w:rsid w:val="004D6ED5"/>
    <w:rsid w:val="004E42E9"/>
    <w:rsid w:val="004E7994"/>
    <w:rsid w:val="004F0D76"/>
    <w:rsid w:val="004F5FC6"/>
    <w:rsid w:val="004F70ED"/>
    <w:rsid w:val="005031E4"/>
    <w:rsid w:val="0050443F"/>
    <w:rsid w:val="00505803"/>
    <w:rsid w:val="0050650A"/>
    <w:rsid w:val="00526519"/>
    <w:rsid w:val="00536AB3"/>
    <w:rsid w:val="00536F62"/>
    <w:rsid w:val="00542B80"/>
    <w:rsid w:val="0054560C"/>
    <w:rsid w:val="00551D3B"/>
    <w:rsid w:val="0055238F"/>
    <w:rsid w:val="005528A0"/>
    <w:rsid w:val="005841CC"/>
    <w:rsid w:val="005932F4"/>
    <w:rsid w:val="00596D5B"/>
    <w:rsid w:val="005A083B"/>
    <w:rsid w:val="005B2F75"/>
    <w:rsid w:val="005B4A70"/>
    <w:rsid w:val="005B559B"/>
    <w:rsid w:val="005C0B55"/>
    <w:rsid w:val="005C1EFC"/>
    <w:rsid w:val="005D0CAB"/>
    <w:rsid w:val="005E03AC"/>
    <w:rsid w:val="005E05E6"/>
    <w:rsid w:val="005F6F94"/>
    <w:rsid w:val="00617241"/>
    <w:rsid w:val="00617DDB"/>
    <w:rsid w:val="00626967"/>
    <w:rsid w:val="00627F99"/>
    <w:rsid w:val="00632B23"/>
    <w:rsid w:val="00640C6F"/>
    <w:rsid w:val="00647D5B"/>
    <w:rsid w:val="00667409"/>
    <w:rsid w:val="00674B66"/>
    <w:rsid w:val="006757F7"/>
    <w:rsid w:val="006763E1"/>
    <w:rsid w:val="00677383"/>
    <w:rsid w:val="00682B21"/>
    <w:rsid w:val="00684ACE"/>
    <w:rsid w:val="00692729"/>
    <w:rsid w:val="00693879"/>
    <w:rsid w:val="006A5F9A"/>
    <w:rsid w:val="006B3F45"/>
    <w:rsid w:val="006B6A1E"/>
    <w:rsid w:val="006B7A65"/>
    <w:rsid w:val="006D13A7"/>
    <w:rsid w:val="006D19FD"/>
    <w:rsid w:val="006D39A8"/>
    <w:rsid w:val="006D737D"/>
    <w:rsid w:val="006E361F"/>
    <w:rsid w:val="006F016C"/>
    <w:rsid w:val="006F1C34"/>
    <w:rsid w:val="006F5698"/>
    <w:rsid w:val="006F5B44"/>
    <w:rsid w:val="00700A7B"/>
    <w:rsid w:val="00702160"/>
    <w:rsid w:val="00714631"/>
    <w:rsid w:val="007159E6"/>
    <w:rsid w:val="0072024E"/>
    <w:rsid w:val="00724095"/>
    <w:rsid w:val="00727D89"/>
    <w:rsid w:val="00746440"/>
    <w:rsid w:val="00753A94"/>
    <w:rsid w:val="007627FA"/>
    <w:rsid w:val="007745C6"/>
    <w:rsid w:val="00784472"/>
    <w:rsid w:val="007B278C"/>
    <w:rsid w:val="007B3DE2"/>
    <w:rsid w:val="007B629E"/>
    <w:rsid w:val="007C27E0"/>
    <w:rsid w:val="007C2DDD"/>
    <w:rsid w:val="007C79BB"/>
    <w:rsid w:val="007D3024"/>
    <w:rsid w:val="007E0DC5"/>
    <w:rsid w:val="00804F25"/>
    <w:rsid w:val="00807313"/>
    <w:rsid w:val="008306CE"/>
    <w:rsid w:val="00834262"/>
    <w:rsid w:val="0084214B"/>
    <w:rsid w:val="00847794"/>
    <w:rsid w:val="008513D4"/>
    <w:rsid w:val="00851CE3"/>
    <w:rsid w:val="00854B52"/>
    <w:rsid w:val="00864E29"/>
    <w:rsid w:val="008654BC"/>
    <w:rsid w:val="0086635E"/>
    <w:rsid w:val="00867F99"/>
    <w:rsid w:val="00870D33"/>
    <w:rsid w:val="008725FF"/>
    <w:rsid w:val="00880AA7"/>
    <w:rsid w:val="00880E68"/>
    <w:rsid w:val="008869D6"/>
    <w:rsid w:val="0089357F"/>
    <w:rsid w:val="00896C45"/>
    <w:rsid w:val="008A06D7"/>
    <w:rsid w:val="008A20BE"/>
    <w:rsid w:val="008A2602"/>
    <w:rsid w:val="008A29A6"/>
    <w:rsid w:val="008B37C7"/>
    <w:rsid w:val="008B3841"/>
    <w:rsid w:val="008B3F40"/>
    <w:rsid w:val="008E5897"/>
    <w:rsid w:val="008F0B5F"/>
    <w:rsid w:val="00905185"/>
    <w:rsid w:val="009074B1"/>
    <w:rsid w:val="00920621"/>
    <w:rsid w:val="00920E9B"/>
    <w:rsid w:val="0092247B"/>
    <w:rsid w:val="009261F2"/>
    <w:rsid w:val="0092798D"/>
    <w:rsid w:val="009306B4"/>
    <w:rsid w:val="009362A5"/>
    <w:rsid w:val="00941744"/>
    <w:rsid w:val="00946070"/>
    <w:rsid w:val="00947C37"/>
    <w:rsid w:val="00947DB3"/>
    <w:rsid w:val="0096379F"/>
    <w:rsid w:val="00965ECD"/>
    <w:rsid w:val="009728AB"/>
    <w:rsid w:val="00974A4D"/>
    <w:rsid w:val="009779FE"/>
    <w:rsid w:val="0098291C"/>
    <w:rsid w:val="009955E1"/>
    <w:rsid w:val="009A0B9B"/>
    <w:rsid w:val="009B138B"/>
    <w:rsid w:val="009B147A"/>
    <w:rsid w:val="009B5AE4"/>
    <w:rsid w:val="009B6F63"/>
    <w:rsid w:val="009C47D4"/>
    <w:rsid w:val="009C573E"/>
    <w:rsid w:val="009C64E0"/>
    <w:rsid w:val="009D03D4"/>
    <w:rsid w:val="009D1B8C"/>
    <w:rsid w:val="009D442E"/>
    <w:rsid w:val="009D561C"/>
    <w:rsid w:val="009E1525"/>
    <w:rsid w:val="009F450A"/>
    <w:rsid w:val="009F6C47"/>
    <w:rsid w:val="00A02677"/>
    <w:rsid w:val="00A06613"/>
    <w:rsid w:val="00A07AC3"/>
    <w:rsid w:val="00A13607"/>
    <w:rsid w:val="00A16F1B"/>
    <w:rsid w:val="00A17088"/>
    <w:rsid w:val="00A256AA"/>
    <w:rsid w:val="00A259EE"/>
    <w:rsid w:val="00A26220"/>
    <w:rsid w:val="00A30DD0"/>
    <w:rsid w:val="00A34EF2"/>
    <w:rsid w:val="00A35433"/>
    <w:rsid w:val="00A35571"/>
    <w:rsid w:val="00A369F4"/>
    <w:rsid w:val="00A40334"/>
    <w:rsid w:val="00A431E5"/>
    <w:rsid w:val="00A46180"/>
    <w:rsid w:val="00A56949"/>
    <w:rsid w:val="00A600AF"/>
    <w:rsid w:val="00A63A58"/>
    <w:rsid w:val="00A647CC"/>
    <w:rsid w:val="00A749CF"/>
    <w:rsid w:val="00A8537D"/>
    <w:rsid w:val="00A926A7"/>
    <w:rsid w:val="00A939CF"/>
    <w:rsid w:val="00A94804"/>
    <w:rsid w:val="00A97C27"/>
    <w:rsid w:val="00AA11D5"/>
    <w:rsid w:val="00AC3324"/>
    <w:rsid w:val="00AC50FA"/>
    <w:rsid w:val="00AE1D01"/>
    <w:rsid w:val="00AE2413"/>
    <w:rsid w:val="00B04A3F"/>
    <w:rsid w:val="00B17E48"/>
    <w:rsid w:val="00B223A6"/>
    <w:rsid w:val="00B23E41"/>
    <w:rsid w:val="00B44FE5"/>
    <w:rsid w:val="00B462A4"/>
    <w:rsid w:val="00B54017"/>
    <w:rsid w:val="00B7341F"/>
    <w:rsid w:val="00B75A96"/>
    <w:rsid w:val="00B76B6B"/>
    <w:rsid w:val="00B77D2C"/>
    <w:rsid w:val="00B82658"/>
    <w:rsid w:val="00B83231"/>
    <w:rsid w:val="00BA7A3B"/>
    <w:rsid w:val="00BB7C3F"/>
    <w:rsid w:val="00BD5086"/>
    <w:rsid w:val="00BE2173"/>
    <w:rsid w:val="00BE4674"/>
    <w:rsid w:val="00BF5B49"/>
    <w:rsid w:val="00BF67FF"/>
    <w:rsid w:val="00C0443E"/>
    <w:rsid w:val="00C12F2B"/>
    <w:rsid w:val="00C25CA9"/>
    <w:rsid w:val="00C2701C"/>
    <w:rsid w:val="00C3088E"/>
    <w:rsid w:val="00C34061"/>
    <w:rsid w:val="00C3740C"/>
    <w:rsid w:val="00C37590"/>
    <w:rsid w:val="00C411D1"/>
    <w:rsid w:val="00C4216D"/>
    <w:rsid w:val="00C4222C"/>
    <w:rsid w:val="00C51E99"/>
    <w:rsid w:val="00C614A4"/>
    <w:rsid w:val="00C83926"/>
    <w:rsid w:val="00C86EAE"/>
    <w:rsid w:val="00C9134B"/>
    <w:rsid w:val="00CA4E51"/>
    <w:rsid w:val="00CC1A24"/>
    <w:rsid w:val="00CC5377"/>
    <w:rsid w:val="00CC6773"/>
    <w:rsid w:val="00CD05B0"/>
    <w:rsid w:val="00CE27ED"/>
    <w:rsid w:val="00CE678B"/>
    <w:rsid w:val="00D11EA8"/>
    <w:rsid w:val="00D12D3B"/>
    <w:rsid w:val="00D3554A"/>
    <w:rsid w:val="00D35808"/>
    <w:rsid w:val="00D37207"/>
    <w:rsid w:val="00D52209"/>
    <w:rsid w:val="00D84DDF"/>
    <w:rsid w:val="00D87C44"/>
    <w:rsid w:val="00D9799A"/>
    <w:rsid w:val="00DA3C34"/>
    <w:rsid w:val="00DA57FF"/>
    <w:rsid w:val="00DA6E71"/>
    <w:rsid w:val="00DA6EFE"/>
    <w:rsid w:val="00DB2AF8"/>
    <w:rsid w:val="00DB733E"/>
    <w:rsid w:val="00DC4BC6"/>
    <w:rsid w:val="00DD1236"/>
    <w:rsid w:val="00DD2684"/>
    <w:rsid w:val="00DE2BF8"/>
    <w:rsid w:val="00E10649"/>
    <w:rsid w:val="00E25E30"/>
    <w:rsid w:val="00E350AA"/>
    <w:rsid w:val="00E37094"/>
    <w:rsid w:val="00E4141A"/>
    <w:rsid w:val="00E430C1"/>
    <w:rsid w:val="00E464D7"/>
    <w:rsid w:val="00E539EA"/>
    <w:rsid w:val="00E63BC2"/>
    <w:rsid w:val="00E84EA2"/>
    <w:rsid w:val="00E90607"/>
    <w:rsid w:val="00E92EFD"/>
    <w:rsid w:val="00E96AF3"/>
    <w:rsid w:val="00E97539"/>
    <w:rsid w:val="00EA20C4"/>
    <w:rsid w:val="00EA6920"/>
    <w:rsid w:val="00EB423E"/>
    <w:rsid w:val="00EB7D7A"/>
    <w:rsid w:val="00EC0883"/>
    <w:rsid w:val="00EC60E5"/>
    <w:rsid w:val="00EE5B9C"/>
    <w:rsid w:val="00EE6CD1"/>
    <w:rsid w:val="00EF45BD"/>
    <w:rsid w:val="00F04799"/>
    <w:rsid w:val="00F14911"/>
    <w:rsid w:val="00F153FA"/>
    <w:rsid w:val="00F23EB8"/>
    <w:rsid w:val="00F24E42"/>
    <w:rsid w:val="00F33D52"/>
    <w:rsid w:val="00F36AEE"/>
    <w:rsid w:val="00F402A7"/>
    <w:rsid w:val="00F41D3A"/>
    <w:rsid w:val="00F47300"/>
    <w:rsid w:val="00F50632"/>
    <w:rsid w:val="00F52814"/>
    <w:rsid w:val="00F55436"/>
    <w:rsid w:val="00F56414"/>
    <w:rsid w:val="00F569E7"/>
    <w:rsid w:val="00F6077B"/>
    <w:rsid w:val="00F631E2"/>
    <w:rsid w:val="00F7002F"/>
    <w:rsid w:val="00F858F1"/>
    <w:rsid w:val="00F901FB"/>
    <w:rsid w:val="00F9066C"/>
    <w:rsid w:val="00FA1DFD"/>
    <w:rsid w:val="00FA22BF"/>
    <w:rsid w:val="00FA7E71"/>
    <w:rsid w:val="00FB7D69"/>
    <w:rsid w:val="00FC369F"/>
    <w:rsid w:val="00FC4EF6"/>
    <w:rsid w:val="00FC6DC9"/>
    <w:rsid w:val="00FC7E7D"/>
    <w:rsid w:val="00FE5AAC"/>
    <w:rsid w:val="00FE6D4F"/>
    <w:rsid w:val="00FE7A28"/>
    <w:rsid w:val="00FF31E2"/>
    <w:rsid w:val="00FF3472"/>
    <w:rsid w:val="00FF6E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3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2C"/>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3554A"/>
    <w:pPr>
      <w:ind w:left="720"/>
      <w:contextualSpacing/>
    </w:pPr>
  </w:style>
  <w:style w:type="paragraph" w:styleId="BalloonText">
    <w:name w:val="Balloon Text"/>
    <w:basedOn w:val="Normal"/>
    <w:link w:val="BalloonTextChar"/>
    <w:uiPriority w:val="99"/>
    <w:semiHidden/>
    <w:unhideWhenUsed/>
    <w:rsid w:val="0026561C"/>
    <w:rPr>
      <w:rFonts w:ascii="Tahoma" w:hAnsi="Tahoma" w:cs="Tahoma"/>
      <w:sz w:val="16"/>
      <w:szCs w:val="16"/>
    </w:rPr>
  </w:style>
  <w:style w:type="character" w:customStyle="1" w:styleId="BalloonTextChar">
    <w:name w:val="Balloon Text Char"/>
    <w:basedOn w:val="DefaultParagraphFont"/>
    <w:link w:val="BalloonText"/>
    <w:uiPriority w:val="99"/>
    <w:semiHidden/>
    <w:rsid w:val="0026561C"/>
    <w:rPr>
      <w:rFonts w:ascii="Tahoma" w:eastAsia="Calibri" w:hAnsi="Tahoma" w:cs="Tahoma"/>
      <w:sz w:val="16"/>
      <w:szCs w:val="16"/>
    </w:rPr>
  </w:style>
  <w:style w:type="paragraph" w:styleId="Header">
    <w:name w:val="header"/>
    <w:basedOn w:val="Normal"/>
    <w:link w:val="HeaderChar"/>
    <w:uiPriority w:val="99"/>
    <w:unhideWhenUsed/>
    <w:rsid w:val="003E6C9D"/>
    <w:pPr>
      <w:tabs>
        <w:tab w:val="center" w:pos="4513"/>
        <w:tab w:val="right" w:pos="9026"/>
      </w:tabs>
    </w:pPr>
  </w:style>
  <w:style w:type="character" w:customStyle="1" w:styleId="HeaderChar">
    <w:name w:val="Header Char"/>
    <w:basedOn w:val="DefaultParagraphFont"/>
    <w:link w:val="Header"/>
    <w:uiPriority w:val="99"/>
    <w:rsid w:val="003E6C9D"/>
    <w:rPr>
      <w:rFonts w:ascii="Calibri" w:eastAsia="Calibri" w:hAnsi="Calibri" w:cs="Times New Roman"/>
    </w:rPr>
  </w:style>
  <w:style w:type="paragraph" w:styleId="Footer">
    <w:name w:val="footer"/>
    <w:basedOn w:val="Normal"/>
    <w:link w:val="FooterChar"/>
    <w:uiPriority w:val="99"/>
    <w:unhideWhenUsed/>
    <w:rsid w:val="003E6C9D"/>
    <w:pPr>
      <w:tabs>
        <w:tab w:val="center" w:pos="4513"/>
        <w:tab w:val="right" w:pos="9026"/>
      </w:tabs>
    </w:pPr>
  </w:style>
  <w:style w:type="character" w:customStyle="1" w:styleId="FooterChar">
    <w:name w:val="Footer Char"/>
    <w:basedOn w:val="DefaultParagraphFont"/>
    <w:link w:val="Footer"/>
    <w:uiPriority w:val="99"/>
    <w:rsid w:val="003E6C9D"/>
    <w:rPr>
      <w:rFonts w:ascii="Calibri" w:eastAsia="Calibri" w:hAnsi="Calibri" w:cs="Times New Roman"/>
    </w:rPr>
  </w:style>
  <w:style w:type="paragraph" w:styleId="ListParagraph">
    <w:name w:val="List Paragraph"/>
    <w:basedOn w:val="Normal"/>
    <w:uiPriority w:val="34"/>
    <w:qFormat/>
    <w:rsid w:val="003E6C9D"/>
    <w:pPr>
      <w:ind w:left="720"/>
      <w:contextualSpacing/>
    </w:pPr>
  </w:style>
  <w:style w:type="table" w:styleId="LightList">
    <w:name w:val="Light List"/>
    <w:basedOn w:val="TableNormal"/>
    <w:uiPriority w:val="61"/>
    <w:rsid w:val="005A0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4D0A2C"/>
    <w:pPr>
      <w:autoSpaceDE w:val="0"/>
      <w:autoSpaceDN w:val="0"/>
      <w:adjustRightInd w:val="0"/>
      <w:spacing w:after="0" w:line="240" w:lineRule="auto"/>
      <w:ind w:left="425" w:hanging="425"/>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239E4"/>
    <w:rPr>
      <w:sz w:val="16"/>
      <w:szCs w:val="16"/>
    </w:rPr>
  </w:style>
  <w:style w:type="paragraph" w:styleId="CommentText">
    <w:name w:val="annotation text"/>
    <w:basedOn w:val="Normal"/>
    <w:link w:val="CommentTextChar"/>
    <w:uiPriority w:val="99"/>
    <w:semiHidden/>
    <w:unhideWhenUsed/>
    <w:rsid w:val="004D0A2C"/>
    <w:pPr>
      <w:spacing w:after="200"/>
      <w:ind w:left="0" w:firstLine="0"/>
    </w:pPr>
    <w:rPr>
      <w:sz w:val="20"/>
      <w:szCs w:val="20"/>
    </w:rPr>
  </w:style>
  <w:style w:type="character" w:customStyle="1" w:styleId="CommentTextChar">
    <w:name w:val="Comment Text Char"/>
    <w:basedOn w:val="DefaultParagraphFont"/>
    <w:link w:val="CommentText"/>
    <w:uiPriority w:val="99"/>
    <w:semiHidden/>
    <w:rsid w:val="003239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39E4"/>
    <w:rPr>
      <w:b/>
      <w:bCs/>
    </w:rPr>
  </w:style>
  <w:style w:type="character" w:customStyle="1" w:styleId="CommentSubjectChar">
    <w:name w:val="Comment Subject Char"/>
    <w:basedOn w:val="CommentTextChar"/>
    <w:link w:val="CommentSubject"/>
    <w:uiPriority w:val="99"/>
    <w:semiHidden/>
    <w:rsid w:val="003239E4"/>
    <w:rPr>
      <w:rFonts w:ascii="Calibri" w:eastAsia="Calibri" w:hAnsi="Calibri" w:cs="Times New Roman"/>
      <w:b/>
      <w:bCs/>
      <w:sz w:val="20"/>
      <w:szCs w:val="20"/>
    </w:rPr>
  </w:style>
  <w:style w:type="character" w:styleId="Strong">
    <w:name w:val="Strong"/>
    <w:basedOn w:val="DefaultParagraphFont"/>
    <w:uiPriority w:val="22"/>
    <w:qFormat/>
    <w:rsid w:val="00FE6D4F"/>
    <w:rPr>
      <w:rFonts w:ascii="proxima_nova_ltsemibold" w:hAnsi="proxima_nova_ltsemibold" w:hint="default"/>
      <w:b w:val="0"/>
      <w:bCs w:val="0"/>
    </w:rPr>
  </w:style>
  <w:style w:type="paragraph" w:styleId="NormalWeb">
    <w:name w:val="Normal (Web)"/>
    <w:basedOn w:val="Normal"/>
    <w:uiPriority w:val="99"/>
    <w:unhideWhenUsed/>
    <w:rsid w:val="0032076C"/>
    <w:pPr>
      <w:spacing w:before="100" w:beforeAutospacing="1" w:after="100" w:afterAutospacing="1"/>
    </w:pPr>
    <w:rPr>
      <w:rFonts w:ascii="Times" w:eastAsiaTheme="minorHAnsi" w:hAnsi="Times"/>
      <w:sz w:val="20"/>
      <w:szCs w:val="20"/>
      <w:lang w:val="en-US"/>
    </w:rPr>
  </w:style>
  <w:style w:type="paragraph" w:customStyle="1" w:styleId="xmsonormal">
    <w:name w:val="x_msonormal"/>
    <w:basedOn w:val="Normal"/>
    <w:rsid w:val="00111E4E"/>
    <w:pPr>
      <w:spacing w:before="100" w:beforeAutospacing="1" w:after="100" w:afterAutospacing="1"/>
    </w:pPr>
    <w:rPr>
      <w:rFonts w:ascii="Times" w:eastAsiaTheme="minorHAnsi" w:hAnsi="Times" w:cstheme="minorBidi"/>
      <w:sz w:val="20"/>
      <w:szCs w:val="20"/>
      <w:lang w:val="en-US"/>
    </w:rPr>
  </w:style>
  <w:style w:type="character" w:customStyle="1" w:styleId="apple-converted-space">
    <w:name w:val="apple-converted-space"/>
    <w:basedOn w:val="DefaultParagraphFont"/>
    <w:rsid w:val="00111E4E"/>
  </w:style>
  <w:style w:type="character" w:styleId="Hyperlink">
    <w:name w:val="Hyperlink"/>
    <w:basedOn w:val="DefaultParagraphFont"/>
    <w:uiPriority w:val="99"/>
    <w:unhideWhenUsed/>
    <w:rsid w:val="009955E1"/>
    <w:rPr>
      <w:color w:val="0000FF" w:themeColor="hyperlink"/>
      <w:u w:val="single"/>
    </w:rPr>
  </w:style>
  <w:style w:type="paragraph" w:styleId="DocumentMap">
    <w:name w:val="Document Map"/>
    <w:basedOn w:val="Normal"/>
    <w:link w:val="DocumentMapChar"/>
    <w:uiPriority w:val="99"/>
    <w:semiHidden/>
    <w:unhideWhenUsed/>
    <w:rsid w:val="00056DC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56DC4"/>
    <w:rPr>
      <w:rFonts w:ascii="Lucida Grande" w:eastAsia="Calibri" w:hAnsi="Lucida Grande" w:cs="Lucida Grande"/>
      <w:sz w:val="24"/>
      <w:szCs w:val="24"/>
    </w:rPr>
  </w:style>
  <w:style w:type="paragraph" w:styleId="Revision">
    <w:name w:val="Revision"/>
    <w:hidden/>
    <w:uiPriority w:val="99"/>
    <w:semiHidden/>
    <w:rsid w:val="004D0A2C"/>
    <w:pPr>
      <w:spacing w:after="0" w:line="240" w:lineRule="auto"/>
      <w:ind w:left="425" w:hanging="425"/>
    </w:pPr>
    <w:rPr>
      <w:rFonts w:ascii="Calibri" w:eastAsia="Calibri" w:hAnsi="Calibri" w:cs="Times New Roman"/>
    </w:rPr>
  </w:style>
  <w:style w:type="character" w:styleId="FollowedHyperlink">
    <w:name w:val="FollowedHyperlink"/>
    <w:basedOn w:val="DefaultParagraphFont"/>
    <w:uiPriority w:val="99"/>
    <w:semiHidden/>
    <w:unhideWhenUsed/>
    <w:rsid w:val="001F61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2C"/>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3554A"/>
    <w:pPr>
      <w:ind w:left="720"/>
      <w:contextualSpacing/>
    </w:pPr>
  </w:style>
  <w:style w:type="paragraph" w:styleId="BalloonText">
    <w:name w:val="Balloon Text"/>
    <w:basedOn w:val="Normal"/>
    <w:link w:val="BalloonTextChar"/>
    <w:uiPriority w:val="99"/>
    <w:semiHidden/>
    <w:unhideWhenUsed/>
    <w:rsid w:val="0026561C"/>
    <w:rPr>
      <w:rFonts w:ascii="Tahoma" w:hAnsi="Tahoma" w:cs="Tahoma"/>
      <w:sz w:val="16"/>
      <w:szCs w:val="16"/>
    </w:rPr>
  </w:style>
  <w:style w:type="character" w:customStyle="1" w:styleId="BalloonTextChar">
    <w:name w:val="Balloon Text Char"/>
    <w:basedOn w:val="DefaultParagraphFont"/>
    <w:link w:val="BalloonText"/>
    <w:uiPriority w:val="99"/>
    <w:semiHidden/>
    <w:rsid w:val="0026561C"/>
    <w:rPr>
      <w:rFonts w:ascii="Tahoma" w:eastAsia="Calibri" w:hAnsi="Tahoma" w:cs="Tahoma"/>
      <w:sz w:val="16"/>
      <w:szCs w:val="16"/>
    </w:rPr>
  </w:style>
  <w:style w:type="paragraph" w:styleId="Header">
    <w:name w:val="header"/>
    <w:basedOn w:val="Normal"/>
    <w:link w:val="HeaderChar"/>
    <w:uiPriority w:val="99"/>
    <w:unhideWhenUsed/>
    <w:rsid w:val="003E6C9D"/>
    <w:pPr>
      <w:tabs>
        <w:tab w:val="center" w:pos="4513"/>
        <w:tab w:val="right" w:pos="9026"/>
      </w:tabs>
    </w:pPr>
  </w:style>
  <w:style w:type="character" w:customStyle="1" w:styleId="HeaderChar">
    <w:name w:val="Header Char"/>
    <w:basedOn w:val="DefaultParagraphFont"/>
    <w:link w:val="Header"/>
    <w:uiPriority w:val="99"/>
    <w:rsid w:val="003E6C9D"/>
    <w:rPr>
      <w:rFonts w:ascii="Calibri" w:eastAsia="Calibri" w:hAnsi="Calibri" w:cs="Times New Roman"/>
    </w:rPr>
  </w:style>
  <w:style w:type="paragraph" w:styleId="Footer">
    <w:name w:val="footer"/>
    <w:basedOn w:val="Normal"/>
    <w:link w:val="FooterChar"/>
    <w:uiPriority w:val="99"/>
    <w:unhideWhenUsed/>
    <w:rsid w:val="003E6C9D"/>
    <w:pPr>
      <w:tabs>
        <w:tab w:val="center" w:pos="4513"/>
        <w:tab w:val="right" w:pos="9026"/>
      </w:tabs>
    </w:pPr>
  </w:style>
  <w:style w:type="character" w:customStyle="1" w:styleId="FooterChar">
    <w:name w:val="Footer Char"/>
    <w:basedOn w:val="DefaultParagraphFont"/>
    <w:link w:val="Footer"/>
    <w:uiPriority w:val="99"/>
    <w:rsid w:val="003E6C9D"/>
    <w:rPr>
      <w:rFonts w:ascii="Calibri" w:eastAsia="Calibri" w:hAnsi="Calibri" w:cs="Times New Roman"/>
    </w:rPr>
  </w:style>
  <w:style w:type="paragraph" w:styleId="ListParagraph">
    <w:name w:val="List Paragraph"/>
    <w:basedOn w:val="Normal"/>
    <w:uiPriority w:val="34"/>
    <w:qFormat/>
    <w:rsid w:val="003E6C9D"/>
    <w:pPr>
      <w:ind w:left="720"/>
      <w:contextualSpacing/>
    </w:pPr>
  </w:style>
  <w:style w:type="table" w:styleId="LightList">
    <w:name w:val="Light List"/>
    <w:basedOn w:val="TableNormal"/>
    <w:uiPriority w:val="61"/>
    <w:rsid w:val="005A0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4D0A2C"/>
    <w:pPr>
      <w:autoSpaceDE w:val="0"/>
      <w:autoSpaceDN w:val="0"/>
      <w:adjustRightInd w:val="0"/>
      <w:spacing w:after="0" w:line="240" w:lineRule="auto"/>
      <w:ind w:left="425" w:hanging="425"/>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239E4"/>
    <w:rPr>
      <w:sz w:val="16"/>
      <w:szCs w:val="16"/>
    </w:rPr>
  </w:style>
  <w:style w:type="paragraph" w:styleId="CommentText">
    <w:name w:val="annotation text"/>
    <w:basedOn w:val="Normal"/>
    <w:link w:val="CommentTextChar"/>
    <w:uiPriority w:val="99"/>
    <w:semiHidden/>
    <w:unhideWhenUsed/>
    <w:rsid w:val="004D0A2C"/>
    <w:pPr>
      <w:spacing w:after="200"/>
      <w:ind w:left="0" w:firstLine="0"/>
    </w:pPr>
    <w:rPr>
      <w:sz w:val="20"/>
      <w:szCs w:val="20"/>
    </w:rPr>
  </w:style>
  <w:style w:type="character" w:customStyle="1" w:styleId="CommentTextChar">
    <w:name w:val="Comment Text Char"/>
    <w:basedOn w:val="DefaultParagraphFont"/>
    <w:link w:val="CommentText"/>
    <w:uiPriority w:val="99"/>
    <w:semiHidden/>
    <w:rsid w:val="003239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39E4"/>
    <w:rPr>
      <w:b/>
      <w:bCs/>
    </w:rPr>
  </w:style>
  <w:style w:type="character" w:customStyle="1" w:styleId="CommentSubjectChar">
    <w:name w:val="Comment Subject Char"/>
    <w:basedOn w:val="CommentTextChar"/>
    <w:link w:val="CommentSubject"/>
    <w:uiPriority w:val="99"/>
    <w:semiHidden/>
    <w:rsid w:val="003239E4"/>
    <w:rPr>
      <w:rFonts w:ascii="Calibri" w:eastAsia="Calibri" w:hAnsi="Calibri" w:cs="Times New Roman"/>
      <w:b/>
      <w:bCs/>
      <w:sz w:val="20"/>
      <w:szCs w:val="20"/>
    </w:rPr>
  </w:style>
  <w:style w:type="character" w:styleId="Strong">
    <w:name w:val="Strong"/>
    <w:basedOn w:val="DefaultParagraphFont"/>
    <w:uiPriority w:val="22"/>
    <w:qFormat/>
    <w:rsid w:val="00FE6D4F"/>
    <w:rPr>
      <w:rFonts w:ascii="proxima_nova_ltsemibold" w:hAnsi="proxima_nova_ltsemibold" w:hint="default"/>
      <w:b w:val="0"/>
      <w:bCs w:val="0"/>
    </w:rPr>
  </w:style>
  <w:style w:type="paragraph" w:styleId="NormalWeb">
    <w:name w:val="Normal (Web)"/>
    <w:basedOn w:val="Normal"/>
    <w:uiPriority w:val="99"/>
    <w:unhideWhenUsed/>
    <w:rsid w:val="0032076C"/>
    <w:pPr>
      <w:spacing w:before="100" w:beforeAutospacing="1" w:after="100" w:afterAutospacing="1"/>
    </w:pPr>
    <w:rPr>
      <w:rFonts w:ascii="Times" w:eastAsiaTheme="minorHAnsi" w:hAnsi="Times"/>
      <w:sz w:val="20"/>
      <w:szCs w:val="20"/>
      <w:lang w:val="en-US"/>
    </w:rPr>
  </w:style>
  <w:style w:type="paragraph" w:customStyle="1" w:styleId="xmsonormal">
    <w:name w:val="x_msonormal"/>
    <w:basedOn w:val="Normal"/>
    <w:rsid w:val="00111E4E"/>
    <w:pPr>
      <w:spacing w:before="100" w:beforeAutospacing="1" w:after="100" w:afterAutospacing="1"/>
    </w:pPr>
    <w:rPr>
      <w:rFonts w:ascii="Times" w:eastAsiaTheme="minorHAnsi" w:hAnsi="Times" w:cstheme="minorBidi"/>
      <w:sz w:val="20"/>
      <w:szCs w:val="20"/>
      <w:lang w:val="en-US"/>
    </w:rPr>
  </w:style>
  <w:style w:type="character" w:customStyle="1" w:styleId="apple-converted-space">
    <w:name w:val="apple-converted-space"/>
    <w:basedOn w:val="DefaultParagraphFont"/>
    <w:rsid w:val="00111E4E"/>
  </w:style>
  <w:style w:type="character" w:styleId="Hyperlink">
    <w:name w:val="Hyperlink"/>
    <w:basedOn w:val="DefaultParagraphFont"/>
    <w:uiPriority w:val="99"/>
    <w:unhideWhenUsed/>
    <w:rsid w:val="009955E1"/>
    <w:rPr>
      <w:color w:val="0000FF" w:themeColor="hyperlink"/>
      <w:u w:val="single"/>
    </w:rPr>
  </w:style>
  <w:style w:type="paragraph" w:styleId="DocumentMap">
    <w:name w:val="Document Map"/>
    <w:basedOn w:val="Normal"/>
    <w:link w:val="DocumentMapChar"/>
    <w:uiPriority w:val="99"/>
    <w:semiHidden/>
    <w:unhideWhenUsed/>
    <w:rsid w:val="00056DC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56DC4"/>
    <w:rPr>
      <w:rFonts w:ascii="Lucida Grande" w:eastAsia="Calibri" w:hAnsi="Lucida Grande" w:cs="Lucida Grande"/>
      <w:sz w:val="24"/>
      <w:szCs w:val="24"/>
    </w:rPr>
  </w:style>
  <w:style w:type="paragraph" w:styleId="Revision">
    <w:name w:val="Revision"/>
    <w:hidden/>
    <w:uiPriority w:val="99"/>
    <w:semiHidden/>
    <w:rsid w:val="004D0A2C"/>
    <w:pPr>
      <w:spacing w:after="0" w:line="240" w:lineRule="auto"/>
      <w:ind w:left="425" w:hanging="425"/>
    </w:pPr>
    <w:rPr>
      <w:rFonts w:ascii="Calibri" w:eastAsia="Calibri" w:hAnsi="Calibri" w:cs="Times New Roman"/>
    </w:rPr>
  </w:style>
  <w:style w:type="character" w:styleId="FollowedHyperlink">
    <w:name w:val="FollowedHyperlink"/>
    <w:basedOn w:val="DefaultParagraphFont"/>
    <w:uiPriority w:val="99"/>
    <w:semiHidden/>
    <w:unhideWhenUsed/>
    <w:rsid w:val="001F6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681">
      <w:bodyDiv w:val="1"/>
      <w:marLeft w:val="0"/>
      <w:marRight w:val="0"/>
      <w:marTop w:val="0"/>
      <w:marBottom w:val="0"/>
      <w:divBdr>
        <w:top w:val="none" w:sz="0" w:space="0" w:color="auto"/>
        <w:left w:val="none" w:sz="0" w:space="0" w:color="auto"/>
        <w:bottom w:val="none" w:sz="0" w:space="0" w:color="auto"/>
        <w:right w:val="none" w:sz="0" w:space="0" w:color="auto"/>
      </w:divBdr>
    </w:div>
    <w:div w:id="46073373">
      <w:bodyDiv w:val="1"/>
      <w:marLeft w:val="0"/>
      <w:marRight w:val="0"/>
      <w:marTop w:val="0"/>
      <w:marBottom w:val="0"/>
      <w:divBdr>
        <w:top w:val="none" w:sz="0" w:space="0" w:color="auto"/>
        <w:left w:val="none" w:sz="0" w:space="0" w:color="auto"/>
        <w:bottom w:val="none" w:sz="0" w:space="0" w:color="auto"/>
        <w:right w:val="none" w:sz="0" w:space="0" w:color="auto"/>
      </w:divBdr>
      <w:divsChild>
        <w:div w:id="1277717021">
          <w:marLeft w:val="0"/>
          <w:marRight w:val="0"/>
          <w:marTop w:val="0"/>
          <w:marBottom w:val="0"/>
          <w:divBdr>
            <w:top w:val="none" w:sz="0" w:space="0" w:color="auto"/>
            <w:left w:val="none" w:sz="0" w:space="0" w:color="auto"/>
            <w:bottom w:val="none" w:sz="0" w:space="0" w:color="auto"/>
            <w:right w:val="none" w:sz="0" w:space="0" w:color="auto"/>
          </w:divBdr>
          <w:divsChild>
            <w:div w:id="1316955761">
              <w:marLeft w:val="0"/>
              <w:marRight w:val="0"/>
              <w:marTop w:val="0"/>
              <w:marBottom w:val="0"/>
              <w:divBdr>
                <w:top w:val="none" w:sz="0" w:space="0" w:color="auto"/>
                <w:left w:val="none" w:sz="0" w:space="0" w:color="auto"/>
                <w:bottom w:val="none" w:sz="0" w:space="0" w:color="auto"/>
                <w:right w:val="none" w:sz="0" w:space="0" w:color="auto"/>
              </w:divBdr>
              <w:divsChild>
                <w:div w:id="3214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4432">
      <w:bodyDiv w:val="1"/>
      <w:marLeft w:val="0"/>
      <w:marRight w:val="0"/>
      <w:marTop w:val="0"/>
      <w:marBottom w:val="0"/>
      <w:divBdr>
        <w:top w:val="none" w:sz="0" w:space="0" w:color="auto"/>
        <w:left w:val="none" w:sz="0" w:space="0" w:color="auto"/>
        <w:bottom w:val="none" w:sz="0" w:space="0" w:color="auto"/>
        <w:right w:val="none" w:sz="0" w:space="0" w:color="auto"/>
      </w:divBdr>
    </w:div>
    <w:div w:id="128405571">
      <w:bodyDiv w:val="1"/>
      <w:marLeft w:val="0"/>
      <w:marRight w:val="0"/>
      <w:marTop w:val="0"/>
      <w:marBottom w:val="0"/>
      <w:divBdr>
        <w:top w:val="none" w:sz="0" w:space="0" w:color="auto"/>
        <w:left w:val="none" w:sz="0" w:space="0" w:color="auto"/>
        <w:bottom w:val="none" w:sz="0" w:space="0" w:color="auto"/>
        <w:right w:val="none" w:sz="0" w:space="0" w:color="auto"/>
      </w:divBdr>
      <w:divsChild>
        <w:div w:id="1301763238">
          <w:marLeft w:val="0"/>
          <w:marRight w:val="0"/>
          <w:marTop w:val="0"/>
          <w:marBottom w:val="0"/>
          <w:divBdr>
            <w:top w:val="none" w:sz="0" w:space="0" w:color="auto"/>
            <w:left w:val="none" w:sz="0" w:space="0" w:color="auto"/>
            <w:bottom w:val="none" w:sz="0" w:space="0" w:color="auto"/>
            <w:right w:val="none" w:sz="0" w:space="0" w:color="auto"/>
          </w:divBdr>
          <w:divsChild>
            <w:div w:id="1656032619">
              <w:marLeft w:val="0"/>
              <w:marRight w:val="0"/>
              <w:marTop w:val="0"/>
              <w:marBottom w:val="0"/>
              <w:divBdr>
                <w:top w:val="none" w:sz="0" w:space="0" w:color="auto"/>
                <w:left w:val="none" w:sz="0" w:space="0" w:color="auto"/>
                <w:bottom w:val="none" w:sz="0" w:space="0" w:color="auto"/>
                <w:right w:val="none" w:sz="0" w:space="0" w:color="auto"/>
              </w:divBdr>
              <w:divsChild>
                <w:div w:id="13994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0421">
      <w:bodyDiv w:val="1"/>
      <w:marLeft w:val="0"/>
      <w:marRight w:val="0"/>
      <w:marTop w:val="0"/>
      <w:marBottom w:val="0"/>
      <w:divBdr>
        <w:top w:val="none" w:sz="0" w:space="0" w:color="auto"/>
        <w:left w:val="none" w:sz="0" w:space="0" w:color="auto"/>
        <w:bottom w:val="none" w:sz="0" w:space="0" w:color="auto"/>
        <w:right w:val="none" w:sz="0" w:space="0" w:color="auto"/>
      </w:divBdr>
    </w:div>
    <w:div w:id="646856270">
      <w:bodyDiv w:val="1"/>
      <w:marLeft w:val="0"/>
      <w:marRight w:val="0"/>
      <w:marTop w:val="0"/>
      <w:marBottom w:val="0"/>
      <w:divBdr>
        <w:top w:val="none" w:sz="0" w:space="0" w:color="auto"/>
        <w:left w:val="none" w:sz="0" w:space="0" w:color="auto"/>
        <w:bottom w:val="none" w:sz="0" w:space="0" w:color="auto"/>
        <w:right w:val="none" w:sz="0" w:space="0" w:color="auto"/>
      </w:divBdr>
    </w:div>
    <w:div w:id="647827299">
      <w:bodyDiv w:val="1"/>
      <w:marLeft w:val="0"/>
      <w:marRight w:val="0"/>
      <w:marTop w:val="0"/>
      <w:marBottom w:val="0"/>
      <w:divBdr>
        <w:top w:val="none" w:sz="0" w:space="0" w:color="auto"/>
        <w:left w:val="none" w:sz="0" w:space="0" w:color="auto"/>
        <w:bottom w:val="none" w:sz="0" w:space="0" w:color="auto"/>
        <w:right w:val="none" w:sz="0" w:space="0" w:color="auto"/>
      </w:divBdr>
    </w:div>
    <w:div w:id="1225414656">
      <w:bodyDiv w:val="1"/>
      <w:marLeft w:val="0"/>
      <w:marRight w:val="0"/>
      <w:marTop w:val="0"/>
      <w:marBottom w:val="0"/>
      <w:divBdr>
        <w:top w:val="none" w:sz="0" w:space="0" w:color="auto"/>
        <w:left w:val="none" w:sz="0" w:space="0" w:color="auto"/>
        <w:bottom w:val="none" w:sz="0" w:space="0" w:color="auto"/>
        <w:right w:val="none" w:sz="0" w:space="0" w:color="auto"/>
      </w:divBdr>
    </w:div>
    <w:div w:id="1362242588">
      <w:bodyDiv w:val="1"/>
      <w:marLeft w:val="0"/>
      <w:marRight w:val="0"/>
      <w:marTop w:val="0"/>
      <w:marBottom w:val="0"/>
      <w:divBdr>
        <w:top w:val="none" w:sz="0" w:space="0" w:color="auto"/>
        <w:left w:val="none" w:sz="0" w:space="0" w:color="auto"/>
        <w:bottom w:val="none" w:sz="0" w:space="0" w:color="auto"/>
        <w:right w:val="none" w:sz="0" w:space="0" w:color="auto"/>
      </w:divBdr>
      <w:divsChild>
        <w:div w:id="1096250862">
          <w:marLeft w:val="0"/>
          <w:marRight w:val="0"/>
          <w:marTop w:val="0"/>
          <w:marBottom w:val="0"/>
          <w:divBdr>
            <w:top w:val="none" w:sz="0" w:space="0" w:color="auto"/>
            <w:left w:val="none" w:sz="0" w:space="0" w:color="auto"/>
            <w:bottom w:val="none" w:sz="0" w:space="0" w:color="auto"/>
            <w:right w:val="none" w:sz="0" w:space="0" w:color="auto"/>
          </w:divBdr>
          <w:divsChild>
            <w:div w:id="2140032968">
              <w:marLeft w:val="0"/>
              <w:marRight w:val="0"/>
              <w:marTop w:val="0"/>
              <w:marBottom w:val="0"/>
              <w:divBdr>
                <w:top w:val="none" w:sz="0" w:space="0" w:color="auto"/>
                <w:left w:val="none" w:sz="0" w:space="0" w:color="auto"/>
                <w:bottom w:val="none" w:sz="0" w:space="0" w:color="auto"/>
                <w:right w:val="none" w:sz="0" w:space="0" w:color="auto"/>
              </w:divBdr>
              <w:divsChild>
                <w:div w:id="1539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21215">
      <w:bodyDiv w:val="1"/>
      <w:marLeft w:val="0"/>
      <w:marRight w:val="0"/>
      <w:marTop w:val="0"/>
      <w:marBottom w:val="0"/>
      <w:divBdr>
        <w:top w:val="none" w:sz="0" w:space="0" w:color="auto"/>
        <w:left w:val="none" w:sz="0" w:space="0" w:color="auto"/>
        <w:bottom w:val="none" w:sz="0" w:space="0" w:color="auto"/>
        <w:right w:val="none" w:sz="0" w:space="0" w:color="auto"/>
      </w:divBdr>
    </w:div>
    <w:div w:id="1709182435">
      <w:bodyDiv w:val="1"/>
      <w:marLeft w:val="0"/>
      <w:marRight w:val="0"/>
      <w:marTop w:val="0"/>
      <w:marBottom w:val="0"/>
      <w:divBdr>
        <w:top w:val="none" w:sz="0" w:space="0" w:color="auto"/>
        <w:left w:val="none" w:sz="0" w:space="0" w:color="auto"/>
        <w:bottom w:val="none" w:sz="0" w:space="0" w:color="auto"/>
        <w:right w:val="none" w:sz="0" w:space="0" w:color="auto"/>
      </w:divBdr>
      <w:divsChild>
        <w:div w:id="1638222329">
          <w:marLeft w:val="0"/>
          <w:marRight w:val="0"/>
          <w:marTop w:val="0"/>
          <w:marBottom w:val="0"/>
          <w:divBdr>
            <w:top w:val="none" w:sz="0" w:space="0" w:color="auto"/>
            <w:left w:val="none" w:sz="0" w:space="0" w:color="auto"/>
            <w:bottom w:val="none" w:sz="0" w:space="0" w:color="auto"/>
            <w:right w:val="none" w:sz="0" w:space="0" w:color="auto"/>
          </w:divBdr>
        </w:div>
      </w:divsChild>
    </w:div>
    <w:div w:id="1859615644">
      <w:bodyDiv w:val="1"/>
      <w:marLeft w:val="0"/>
      <w:marRight w:val="0"/>
      <w:marTop w:val="0"/>
      <w:marBottom w:val="0"/>
      <w:divBdr>
        <w:top w:val="none" w:sz="0" w:space="0" w:color="auto"/>
        <w:left w:val="none" w:sz="0" w:space="0" w:color="auto"/>
        <w:bottom w:val="none" w:sz="0" w:space="0" w:color="auto"/>
        <w:right w:val="none" w:sz="0" w:space="0" w:color="auto"/>
      </w:divBdr>
      <w:divsChild>
        <w:div w:id="1378319362">
          <w:marLeft w:val="0"/>
          <w:marRight w:val="0"/>
          <w:marTop w:val="0"/>
          <w:marBottom w:val="0"/>
          <w:divBdr>
            <w:top w:val="none" w:sz="0" w:space="0" w:color="auto"/>
            <w:left w:val="none" w:sz="0" w:space="0" w:color="auto"/>
            <w:bottom w:val="none" w:sz="0" w:space="0" w:color="auto"/>
            <w:right w:val="none" w:sz="0" w:space="0" w:color="auto"/>
          </w:divBdr>
        </w:div>
      </w:divsChild>
    </w:div>
    <w:div w:id="1866825082">
      <w:bodyDiv w:val="1"/>
      <w:marLeft w:val="0"/>
      <w:marRight w:val="0"/>
      <w:marTop w:val="0"/>
      <w:marBottom w:val="0"/>
      <w:divBdr>
        <w:top w:val="none" w:sz="0" w:space="0" w:color="auto"/>
        <w:left w:val="none" w:sz="0" w:space="0" w:color="auto"/>
        <w:bottom w:val="none" w:sz="0" w:space="0" w:color="auto"/>
        <w:right w:val="none" w:sz="0" w:space="0" w:color="auto"/>
      </w:divBdr>
      <w:divsChild>
        <w:div w:id="1043941662">
          <w:marLeft w:val="0"/>
          <w:marRight w:val="0"/>
          <w:marTop w:val="0"/>
          <w:marBottom w:val="0"/>
          <w:divBdr>
            <w:top w:val="none" w:sz="0" w:space="0" w:color="auto"/>
            <w:left w:val="none" w:sz="0" w:space="0" w:color="auto"/>
            <w:bottom w:val="none" w:sz="0" w:space="0" w:color="auto"/>
            <w:right w:val="none" w:sz="0" w:space="0" w:color="auto"/>
          </w:divBdr>
        </w:div>
        <w:div w:id="370879427">
          <w:marLeft w:val="0"/>
          <w:marRight w:val="0"/>
          <w:marTop w:val="0"/>
          <w:marBottom w:val="0"/>
          <w:divBdr>
            <w:top w:val="none" w:sz="0" w:space="0" w:color="auto"/>
            <w:left w:val="none" w:sz="0" w:space="0" w:color="auto"/>
            <w:bottom w:val="none" w:sz="0" w:space="0" w:color="auto"/>
            <w:right w:val="none" w:sz="0" w:space="0" w:color="auto"/>
          </w:divBdr>
        </w:div>
        <w:div w:id="2140299425">
          <w:marLeft w:val="0"/>
          <w:marRight w:val="0"/>
          <w:marTop w:val="0"/>
          <w:marBottom w:val="0"/>
          <w:divBdr>
            <w:top w:val="none" w:sz="0" w:space="0" w:color="auto"/>
            <w:left w:val="none" w:sz="0" w:space="0" w:color="auto"/>
            <w:bottom w:val="none" w:sz="0" w:space="0" w:color="auto"/>
            <w:right w:val="none" w:sz="0" w:space="0" w:color="auto"/>
          </w:divBdr>
        </w:div>
        <w:div w:id="596136035">
          <w:marLeft w:val="0"/>
          <w:marRight w:val="0"/>
          <w:marTop w:val="0"/>
          <w:marBottom w:val="0"/>
          <w:divBdr>
            <w:top w:val="none" w:sz="0" w:space="0" w:color="auto"/>
            <w:left w:val="none" w:sz="0" w:space="0" w:color="auto"/>
            <w:bottom w:val="none" w:sz="0" w:space="0" w:color="auto"/>
            <w:right w:val="none" w:sz="0" w:space="0" w:color="auto"/>
          </w:divBdr>
        </w:div>
        <w:div w:id="1955214156">
          <w:marLeft w:val="720"/>
          <w:marRight w:val="0"/>
          <w:marTop w:val="280"/>
          <w:marBottom w:val="0"/>
          <w:divBdr>
            <w:top w:val="none" w:sz="0" w:space="0" w:color="auto"/>
            <w:left w:val="none" w:sz="0" w:space="0" w:color="auto"/>
            <w:bottom w:val="none" w:sz="0" w:space="0" w:color="auto"/>
            <w:right w:val="none" w:sz="0" w:space="0" w:color="auto"/>
          </w:divBdr>
        </w:div>
        <w:div w:id="2105608074">
          <w:marLeft w:val="720"/>
          <w:marRight w:val="0"/>
          <w:marTop w:val="280"/>
          <w:marBottom w:val="0"/>
          <w:divBdr>
            <w:top w:val="none" w:sz="0" w:space="0" w:color="auto"/>
            <w:left w:val="none" w:sz="0" w:space="0" w:color="auto"/>
            <w:bottom w:val="none" w:sz="0" w:space="0" w:color="auto"/>
            <w:right w:val="none" w:sz="0" w:space="0" w:color="auto"/>
          </w:divBdr>
        </w:div>
        <w:div w:id="1021974259">
          <w:marLeft w:val="720"/>
          <w:marRight w:val="0"/>
          <w:marTop w:val="280"/>
          <w:marBottom w:val="0"/>
          <w:divBdr>
            <w:top w:val="none" w:sz="0" w:space="0" w:color="auto"/>
            <w:left w:val="none" w:sz="0" w:space="0" w:color="auto"/>
            <w:bottom w:val="none" w:sz="0" w:space="0" w:color="auto"/>
            <w:right w:val="none" w:sz="0" w:space="0" w:color="auto"/>
          </w:divBdr>
        </w:div>
      </w:divsChild>
    </w:div>
    <w:div w:id="1875382507">
      <w:bodyDiv w:val="1"/>
      <w:marLeft w:val="0"/>
      <w:marRight w:val="0"/>
      <w:marTop w:val="0"/>
      <w:marBottom w:val="0"/>
      <w:divBdr>
        <w:top w:val="none" w:sz="0" w:space="0" w:color="auto"/>
        <w:left w:val="none" w:sz="0" w:space="0" w:color="auto"/>
        <w:bottom w:val="none" w:sz="0" w:space="0" w:color="auto"/>
        <w:right w:val="none" w:sz="0" w:space="0" w:color="auto"/>
      </w:divBdr>
    </w:div>
    <w:div w:id="20799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ramsar.org/es/recursos/reconocer-y-evaluar-las-amenazas-contra-los-sitios" TargetMode="External"/><Relationship Id="rId4" Type="http://schemas.microsoft.com/office/2007/relationships/stylesWithEffects" Target="stylesWithEffects.xml"/><Relationship Id="rId9" Type="http://schemas.openxmlformats.org/officeDocument/2006/relationships/hyperlink" Target="https://www.ramsar.org/es/recursos/juego-de-herramientas-para-el-manejo-de-sitios-ram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95DE5-6A9F-477B-953B-5F24A9AE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3538</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Ramsar\BonellsM</dc:creator>
  <cp:lastModifiedBy>Ramsar\JenningsE</cp:lastModifiedBy>
  <cp:revision>3</cp:revision>
  <cp:lastPrinted>2017-02-20T10:15:00Z</cp:lastPrinted>
  <dcterms:created xsi:type="dcterms:W3CDTF">2018-01-30T14:15:00Z</dcterms:created>
  <dcterms:modified xsi:type="dcterms:W3CDTF">2018-02-23T18:55:00Z</dcterms:modified>
</cp:coreProperties>
</file>