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8B4CF" w14:textId="1494BFC2" w:rsidR="00D3554A" w:rsidRPr="00787562" w:rsidRDefault="000A5DD1" w:rsidP="00684ACE">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787562">
        <w:rPr>
          <w:bCs/>
          <w:sz w:val="24"/>
          <w:szCs w:val="24"/>
          <w:lang w:val="fr-FR"/>
        </w:rPr>
        <w:t>CONVENTION DE RAMSAR SUR LES ZONES HUMIDES</w:t>
      </w:r>
      <w:r w:rsidR="00D3554A" w:rsidRPr="00787562">
        <w:rPr>
          <w:bCs/>
          <w:sz w:val="24"/>
          <w:szCs w:val="24"/>
          <w:lang w:val="fr-FR"/>
        </w:rPr>
        <w:t xml:space="preserve"> </w:t>
      </w:r>
    </w:p>
    <w:p w14:paraId="3CFD1C13" w14:textId="25D2F0B4" w:rsidR="00D3554A" w:rsidRPr="00787562" w:rsidRDefault="00D3554A" w:rsidP="00684ACE">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787562">
        <w:rPr>
          <w:bCs/>
          <w:sz w:val="24"/>
          <w:szCs w:val="24"/>
          <w:lang w:val="fr-FR"/>
        </w:rPr>
        <w:t>5</w:t>
      </w:r>
      <w:r w:rsidR="00361D1A" w:rsidRPr="00787562">
        <w:rPr>
          <w:bCs/>
          <w:sz w:val="24"/>
          <w:szCs w:val="24"/>
          <w:lang w:val="fr-FR"/>
        </w:rPr>
        <w:t>4</w:t>
      </w:r>
      <w:r w:rsidR="000A5DD1" w:rsidRPr="00787562">
        <w:rPr>
          <w:sz w:val="24"/>
          <w:vertAlign w:val="superscript"/>
          <w:lang w:val="fr-FR"/>
        </w:rPr>
        <w:t>e</w:t>
      </w:r>
      <w:r w:rsidRPr="00787562">
        <w:rPr>
          <w:bCs/>
          <w:sz w:val="24"/>
          <w:szCs w:val="24"/>
          <w:lang w:val="fr-FR"/>
        </w:rPr>
        <w:t xml:space="preserve"> </w:t>
      </w:r>
      <w:r w:rsidR="000A5DD1" w:rsidRPr="00787562">
        <w:rPr>
          <w:bCs/>
          <w:sz w:val="24"/>
          <w:szCs w:val="24"/>
          <w:lang w:val="fr-FR"/>
        </w:rPr>
        <w:t>Réunion du Comité permanent</w:t>
      </w:r>
    </w:p>
    <w:p w14:paraId="552AEB8E" w14:textId="25663013" w:rsidR="00D3554A" w:rsidRPr="00787562" w:rsidRDefault="00D3554A" w:rsidP="00425317">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sidRPr="00787562">
        <w:rPr>
          <w:bCs/>
          <w:sz w:val="24"/>
          <w:szCs w:val="24"/>
          <w:lang w:val="fr-FR"/>
        </w:rPr>
        <w:t xml:space="preserve">Gland, </w:t>
      </w:r>
      <w:r w:rsidR="000A5DD1" w:rsidRPr="00787562">
        <w:rPr>
          <w:bCs/>
          <w:sz w:val="24"/>
          <w:szCs w:val="24"/>
          <w:lang w:val="fr-FR"/>
        </w:rPr>
        <w:t>Suisse</w:t>
      </w:r>
      <w:r w:rsidR="00361D1A" w:rsidRPr="00787562">
        <w:rPr>
          <w:bCs/>
          <w:sz w:val="24"/>
          <w:szCs w:val="24"/>
          <w:lang w:val="fr-FR"/>
        </w:rPr>
        <w:t xml:space="preserve">, </w:t>
      </w:r>
      <w:r w:rsidR="004D03E9" w:rsidRPr="00787562">
        <w:rPr>
          <w:bCs/>
          <w:sz w:val="24"/>
          <w:szCs w:val="24"/>
          <w:lang w:val="fr-FR"/>
        </w:rPr>
        <w:t xml:space="preserve">23 </w:t>
      </w:r>
      <w:r w:rsidR="000A5DD1" w:rsidRPr="00787562">
        <w:rPr>
          <w:bCs/>
          <w:sz w:val="24"/>
          <w:szCs w:val="24"/>
          <w:lang w:val="fr-FR"/>
        </w:rPr>
        <w:t>au</w:t>
      </w:r>
      <w:r w:rsidR="004D03E9" w:rsidRPr="00787562">
        <w:rPr>
          <w:bCs/>
          <w:sz w:val="24"/>
          <w:szCs w:val="24"/>
          <w:lang w:val="fr-FR"/>
        </w:rPr>
        <w:t xml:space="preserve"> </w:t>
      </w:r>
      <w:r w:rsidR="00361D1A" w:rsidRPr="00787562">
        <w:rPr>
          <w:bCs/>
          <w:sz w:val="24"/>
          <w:szCs w:val="24"/>
          <w:lang w:val="fr-FR"/>
        </w:rPr>
        <w:t xml:space="preserve">27 </w:t>
      </w:r>
      <w:r w:rsidR="000A5DD1" w:rsidRPr="00787562">
        <w:rPr>
          <w:bCs/>
          <w:sz w:val="24"/>
          <w:szCs w:val="24"/>
          <w:lang w:val="fr-FR"/>
        </w:rPr>
        <w:t>avril</w:t>
      </w:r>
      <w:r w:rsidR="00361D1A" w:rsidRPr="00787562">
        <w:rPr>
          <w:bCs/>
          <w:sz w:val="24"/>
          <w:szCs w:val="24"/>
          <w:lang w:val="fr-FR"/>
        </w:rPr>
        <w:t xml:space="preserve"> 2018</w:t>
      </w:r>
    </w:p>
    <w:p w14:paraId="6A9B7A94" w14:textId="77777777" w:rsidR="00D3554A" w:rsidRPr="00787562" w:rsidRDefault="00D3554A" w:rsidP="00425317">
      <w:pPr>
        <w:outlineLvl w:val="0"/>
        <w:rPr>
          <w:b/>
          <w:lang w:val="fr-FR"/>
        </w:rPr>
      </w:pPr>
    </w:p>
    <w:p w14:paraId="69BA715B" w14:textId="08DA7829" w:rsidR="00D3554A" w:rsidRPr="00787562" w:rsidRDefault="005F3D87" w:rsidP="00425317">
      <w:pPr>
        <w:jc w:val="right"/>
        <w:rPr>
          <w:rFonts w:cs="Arial"/>
          <w:sz w:val="28"/>
          <w:szCs w:val="28"/>
          <w:lang w:val="fr-FR"/>
        </w:rPr>
      </w:pPr>
      <w:r w:rsidRPr="00787562">
        <w:rPr>
          <w:rFonts w:cs="Arial"/>
          <w:b/>
          <w:sz w:val="28"/>
          <w:szCs w:val="28"/>
          <w:lang w:val="fr-FR"/>
        </w:rPr>
        <w:t xml:space="preserve">Doc. </w:t>
      </w:r>
      <w:r w:rsidR="001458BA" w:rsidRPr="00787562">
        <w:rPr>
          <w:rFonts w:cs="Arial"/>
          <w:b/>
          <w:sz w:val="28"/>
          <w:szCs w:val="28"/>
          <w:lang w:val="fr-FR"/>
        </w:rPr>
        <w:t>SC54</w:t>
      </w:r>
      <w:r w:rsidR="00D3554A" w:rsidRPr="00787562">
        <w:rPr>
          <w:rFonts w:cs="Arial"/>
          <w:b/>
          <w:sz w:val="28"/>
          <w:szCs w:val="28"/>
          <w:lang w:val="fr-FR"/>
        </w:rPr>
        <w:t>-</w:t>
      </w:r>
      <w:r w:rsidR="003C6FF2" w:rsidRPr="00787562">
        <w:rPr>
          <w:rFonts w:cs="Arial"/>
          <w:b/>
          <w:sz w:val="28"/>
          <w:szCs w:val="28"/>
          <w:lang w:val="fr-FR"/>
        </w:rPr>
        <w:t xml:space="preserve">22 </w:t>
      </w:r>
    </w:p>
    <w:p w14:paraId="309B97FC" w14:textId="77777777" w:rsidR="00D3554A" w:rsidRPr="00787562" w:rsidRDefault="00D3554A" w:rsidP="00425317">
      <w:pPr>
        <w:rPr>
          <w:rFonts w:cs="Arial"/>
          <w:b/>
          <w:sz w:val="28"/>
          <w:szCs w:val="28"/>
          <w:lang w:val="fr-FR"/>
        </w:rPr>
      </w:pPr>
    </w:p>
    <w:p w14:paraId="5C2275E9" w14:textId="0F400D5E" w:rsidR="00617241" w:rsidRPr="00787562" w:rsidRDefault="00D3554A" w:rsidP="00425317">
      <w:pPr>
        <w:jc w:val="center"/>
        <w:rPr>
          <w:rFonts w:asciiTheme="minorHAnsi" w:eastAsiaTheme="minorHAnsi" w:hAnsiTheme="minorHAnsi"/>
          <w:b/>
          <w:sz w:val="28"/>
          <w:szCs w:val="24"/>
          <w:lang w:val="fr-FR"/>
        </w:rPr>
      </w:pPr>
      <w:r w:rsidRPr="00787562">
        <w:rPr>
          <w:rFonts w:asciiTheme="minorHAnsi" w:eastAsiaTheme="minorHAnsi" w:hAnsiTheme="minorHAnsi"/>
          <w:b/>
          <w:sz w:val="28"/>
          <w:szCs w:val="24"/>
          <w:lang w:val="fr-FR"/>
        </w:rPr>
        <w:t>R</w:t>
      </w:r>
      <w:r w:rsidR="000A5DD1" w:rsidRPr="00787562">
        <w:rPr>
          <w:rFonts w:asciiTheme="minorHAnsi" w:eastAsiaTheme="minorHAnsi" w:hAnsiTheme="minorHAnsi"/>
          <w:b/>
          <w:sz w:val="28"/>
          <w:szCs w:val="24"/>
          <w:lang w:val="fr-FR"/>
        </w:rPr>
        <w:t xml:space="preserve">apport du Président du Groupe d’évaluation scientifique et technique (GEST) </w:t>
      </w:r>
    </w:p>
    <w:p w14:paraId="311263E8" w14:textId="77777777" w:rsidR="00D3554A" w:rsidRPr="00787562" w:rsidRDefault="00C34061" w:rsidP="00425317">
      <w:pPr>
        <w:tabs>
          <w:tab w:val="left" w:pos="5325"/>
        </w:tabs>
        <w:rPr>
          <w:b/>
          <w:bCs/>
          <w:lang w:val="fr-FR"/>
        </w:rPr>
      </w:pPr>
      <w:r w:rsidRPr="00787562">
        <w:rPr>
          <w:b/>
          <w:bCs/>
          <w:lang w:val="fr-FR"/>
        </w:rPr>
        <w:tab/>
      </w:r>
    </w:p>
    <w:p w14:paraId="298F8337" w14:textId="77777777" w:rsidR="003A256C" w:rsidRPr="00787562" w:rsidRDefault="003A256C" w:rsidP="00720CE8">
      <w:pPr>
        <w:pStyle w:val="ColorfulList-Accent11"/>
        <w:pBdr>
          <w:top w:val="single" w:sz="4" w:space="1" w:color="auto"/>
          <w:left w:val="single" w:sz="4" w:space="4" w:color="auto"/>
          <w:bottom w:val="single" w:sz="4" w:space="11" w:color="auto"/>
          <w:right w:val="single" w:sz="4" w:space="12" w:color="auto"/>
        </w:pBdr>
        <w:ind w:left="425"/>
        <w:rPr>
          <w:b/>
          <w:bCs/>
          <w:lang w:val="fr-FR"/>
        </w:rPr>
      </w:pPr>
    </w:p>
    <w:p w14:paraId="01A996D9" w14:textId="66704513" w:rsidR="00A749CF" w:rsidRPr="00787562" w:rsidRDefault="000A5DD1" w:rsidP="00720CE8">
      <w:pPr>
        <w:pStyle w:val="ColorfulList-Accent11"/>
        <w:pBdr>
          <w:top w:val="single" w:sz="4" w:space="1" w:color="auto"/>
          <w:left w:val="single" w:sz="4" w:space="4" w:color="auto"/>
          <w:bottom w:val="single" w:sz="4" w:space="11" w:color="auto"/>
          <w:right w:val="single" w:sz="4" w:space="12" w:color="auto"/>
        </w:pBdr>
        <w:ind w:left="425"/>
        <w:rPr>
          <w:b/>
          <w:bCs/>
          <w:lang w:val="fr-FR"/>
        </w:rPr>
      </w:pPr>
      <w:r w:rsidRPr="00787562">
        <w:rPr>
          <w:b/>
          <w:bCs/>
          <w:lang w:val="fr-FR"/>
        </w:rPr>
        <w:t>Mesures requises </w:t>
      </w:r>
      <w:r w:rsidR="00A749CF" w:rsidRPr="00787562">
        <w:rPr>
          <w:b/>
          <w:bCs/>
          <w:lang w:val="fr-FR"/>
        </w:rPr>
        <w:t xml:space="preserve">: </w:t>
      </w:r>
    </w:p>
    <w:p w14:paraId="620CA958" w14:textId="77777777" w:rsidR="003A256C" w:rsidRPr="00787562" w:rsidRDefault="003A256C" w:rsidP="00720CE8">
      <w:pPr>
        <w:pStyle w:val="ColorfulList-Accent11"/>
        <w:pBdr>
          <w:top w:val="single" w:sz="4" w:space="1" w:color="auto"/>
          <w:left w:val="single" w:sz="4" w:space="4" w:color="auto"/>
          <w:bottom w:val="single" w:sz="4" w:space="11" w:color="auto"/>
          <w:right w:val="single" w:sz="4" w:space="12" w:color="auto"/>
        </w:pBdr>
        <w:ind w:left="425"/>
        <w:rPr>
          <w:lang w:val="fr-FR"/>
        </w:rPr>
      </w:pPr>
    </w:p>
    <w:p w14:paraId="1AC97CC0" w14:textId="6B6F1AD6" w:rsidR="0026561C" w:rsidRPr="00787562" w:rsidRDefault="000A5DD1" w:rsidP="00720CE8">
      <w:pPr>
        <w:pStyle w:val="ColorfulList-Accent11"/>
        <w:pBdr>
          <w:top w:val="single" w:sz="4" w:space="1" w:color="auto"/>
          <w:left w:val="single" w:sz="4" w:space="4" w:color="auto"/>
          <w:bottom w:val="single" w:sz="4" w:space="11" w:color="auto"/>
          <w:right w:val="single" w:sz="4" w:space="12" w:color="auto"/>
        </w:pBdr>
        <w:ind w:left="425"/>
        <w:rPr>
          <w:lang w:val="fr-FR"/>
        </w:rPr>
      </w:pPr>
      <w:r w:rsidRPr="00787562">
        <w:rPr>
          <w:lang w:val="fr-FR"/>
        </w:rPr>
        <w:t>Le Comité permanent est invité à :</w:t>
      </w:r>
      <w:r w:rsidR="0026561C" w:rsidRPr="00787562">
        <w:rPr>
          <w:lang w:val="fr-FR"/>
        </w:rPr>
        <w:t xml:space="preserve"> </w:t>
      </w:r>
    </w:p>
    <w:p w14:paraId="3EC38048" w14:textId="77777777" w:rsidR="00536AB3" w:rsidRPr="00787562" w:rsidRDefault="00536AB3" w:rsidP="00720CE8">
      <w:pPr>
        <w:pStyle w:val="ColorfulList-Accent11"/>
        <w:pBdr>
          <w:top w:val="single" w:sz="4" w:space="1" w:color="auto"/>
          <w:left w:val="single" w:sz="4" w:space="4" w:color="auto"/>
          <w:bottom w:val="single" w:sz="4" w:space="11" w:color="auto"/>
          <w:right w:val="single" w:sz="4" w:space="12" w:color="auto"/>
        </w:pBdr>
        <w:ind w:left="425"/>
        <w:rPr>
          <w:lang w:val="fr-FR"/>
        </w:rPr>
      </w:pPr>
    </w:p>
    <w:p w14:paraId="6D1D1C46" w14:textId="3D4DF635" w:rsidR="0026561C" w:rsidRPr="00787562" w:rsidRDefault="00841AA4" w:rsidP="00720CE8">
      <w:pPr>
        <w:pStyle w:val="ColorfulList-Accent11"/>
        <w:numPr>
          <w:ilvl w:val="0"/>
          <w:numId w:val="2"/>
        </w:numPr>
        <w:pBdr>
          <w:top w:val="single" w:sz="4" w:space="1" w:color="auto"/>
          <w:left w:val="single" w:sz="4" w:space="4" w:color="auto"/>
          <w:bottom w:val="single" w:sz="4" w:space="11" w:color="auto"/>
          <w:right w:val="single" w:sz="4" w:space="12" w:color="auto"/>
        </w:pBdr>
        <w:ind w:left="425" w:hanging="425"/>
        <w:rPr>
          <w:lang w:val="fr-FR"/>
        </w:rPr>
      </w:pPr>
      <w:r w:rsidRPr="00787562">
        <w:rPr>
          <w:lang w:val="fr-FR"/>
        </w:rPr>
        <w:t>p</w:t>
      </w:r>
      <w:r w:rsidR="000A5DD1" w:rsidRPr="00787562">
        <w:rPr>
          <w:lang w:val="fr-FR"/>
        </w:rPr>
        <w:t xml:space="preserve">rendre note du rapport du Président du Groupe d’évaluation scientifique et technique (GEST); et </w:t>
      </w:r>
    </w:p>
    <w:p w14:paraId="10D2ACA2" w14:textId="77777777" w:rsidR="003A256C" w:rsidRPr="00787562" w:rsidRDefault="003A256C" w:rsidP="00720CE8">
      <w:pPr>
        <w:pStyle w:val="ColorfulList-Accent11"/>
        <w:pBdr>
          <w:top w:val="single" w:sz="4" w:space="1" w:color="auto"/>
          <w:left w:val="single" w:sz="4" w:space="4" w:color="auto"/>
          <w:bottom w:val="single" w:sz="4" w:space="11" w:color="auto"/>
          <w:right w:val="single" w:sz="4" w:space="12" w:color="auto"/>
        </w:pBdr>
        <w:ind w:left="425"/>
        <w:rPr>
          <w:lang w:val="fr-FR"/>
        </w:rPr>
      </w:pPr>
    </w:p>
    <w:p w14:paraId="7D35786C" w14:textId="5E927886" w:rsidR="005B2F75" w:rsidRPr="00787562" w:rsidRDefault="00841AA4" w:rsidP="00720CE8">
      <w:pPr>
        <w:pStyle w:val="ColorfulList-Accent11"/>
        <w:numPr>
          <w:ilvl w:val="0"/>
          <w:numId w:val="2"/>
        </w:numPr>
        <w:pBdr>
          <w:top w:val="single" w:sz="4" w:space="1" w:color="auto"/>
          <w:left w:val="single" w:sz="4" w:space="4" w:color="auto"/>
          <w:bottom w:val="single" w:sz="4" w:space="11" w:color="auto"/>
          <w:right w:val="single" w:sz="4" w:space="12" w:color="auto"/>
        </w:pBdr>
        <w:ind w:left="425" w:hanging="425"/>
        <w:rPr>
          <w:lang w:val="fr-FR"/>
        </w:rPr>
      </w:pPr>
      <w:r w:rsidRPr="00787562">
        <w:rPr>
          <w:lang w:val="fr-FR"/>
        </w:rPr>
        <w:t>e</w:t>
      </w:r>
      <w:r w:rsidR="000A5DD1" w:rsidRPr="00787562">
        <w:rPr>
          <w:lang w:val="fr-FR"/>
        </w:rPr>
        <w:t>nvisager des moyens d’encourager les Parties contractantes à soutenir les Correspondants nationaux du GEST (CN GEST) de façon tangible.</w:t>
      </w:r>
      <w:r w:rsidR="00D52209" w:rsidRPr="00787562">
        <w:rPr>
          <w:lang w:val="fr-FR"/>
        </w:rPr>
        <w:t xml:space="preserve"> </w:t>
      </w:r>
    </w:p>
    <w:p w14:paraId="0759C292" w14:textId="77777777" w:rsidR="004D03E9" w:rsidRPr="00787562" w:rsidRDefault="004D03E9" w:rsidP="00684ACE">
      <w:pPr>
        <w:rPr>
          <w:b/>
          <w:lang w:val="fr-FR"/>
        </w:rPr>
      </w:pPr>
    </w:p>
    <w:p w14:paraId="198A0DEB" w14:textId="77777777" w:rsidR="0014728B" w:rsidRPr="00787562" w:rsidRDefault="0014728B" w:rsidP="004D0A2C">
      <w:pPr>
        <w:rPr>
          <w:b/>
          <w:lang w:val="fr-FR"/>
        </w:rPr>
      </w:pPr>
    </w:p>
    <w:p w14:paraId="6044B0A8" w14:textId="77777777" w:rsidR="003E6C9D" w:rsidRPr="00787562" w:rsidRDefault="003E6C9D" w:rsidP="00684ACE">
      <w:pPr>
        <w:rPr>
          <w:b/>
          <w:lang w:val="fr-FR"/>
        </w:rPr>
      </w:pPr>
      <w:r w:rsidRPr="00787562">
        <w:rPr>
          <w:b/>
          <w:lang w:val="fr-FR"/>
        </w:rPr>
        <w:t xml:space="preserve">Introduction </w:t>
      </w:r>
    </w:p>
    <w:p w14:paraId="463A1764" w14:textId="77777777" w:rsidR="005B2F75" w:rsidRPr="00787562" w:rsidRDefault="005B2F75" w:rsidP="00425317">
      <w:pPr>
        <w:rPr>
          <w:b/>
          <w:lang w:val="fr-FR"/>
        </w:rPr>
      </w:pPr>
    </w:p>
    <w:p w14:paraId="3DA0228E" w14:textId="020D8DE7" w:rsidR="003E6C9D" w:rsidRPr="00787562" w:rsidRDefault="0014728B" w:rsidP="0098291C">
      <w:pPr>
        <w:rPr>
          <w:lang w:val="fr-FR"/>
        </w:rPr>
      </w:pPr>
      <w:r w:rsidRPr="00787562">
        <w:rPr>
          <w:lang w:val="fr-FR"/>
        </w:rPr>
        <w:t>1.</w:t>
      </w:r>
      <w:r w:rsidRPr="00787562">
        <w:rPr>
          <w:lang w:val="fr-FR"/>
        </w:rPr>
        <w:tab/>
      </w:r>
      <w:r w:rsidR="000A5DD1" w:rsidRPr="00787562">
        <w:rPr>
          <w:lang w:val="fr-FR"/>
        </w:rPr>
        <w:t xml:space="preserve">Le présent rapport du Président du Groupe d’évaluation scientifique et technique (GEST) se concentre sur les progrès du plan de travail du GEST </w:t>
      </w:r>
      <w:r w:rsidR="00617DDB" w:rsidRPr="00787562">
        <w:rPr>
          <w:lang w:val="fr-FR"/>
        </w:rPr>
        <w:t>(2016</w:t>
      </w:r>
      <w:r w:rsidR="000A5DD1" w:rsidRPr="00787562">
        <w:rPr>
          <w:lang w:val="fr-FR"/>
        </w:rPr>
        <w:noBreakHyphen/>
      </w:r>
      <w:r w:rsidR="00617DDB" w:rsidRPr="00787562">
        <w:rPr>
          <w:lang w:val="fr-FR"/>
        </w:rPr>
        <w:t>2018)</w:t>
      </w:r>
      <w:r w:rsidR="00B44FE5" w:rsidRPr="00787562">
        <w:rPr>
          <w:lang w:val="fr-FR"/>
        </w:rPr>
        <w:t xml:space="preserve"> </w:t>
      </w:r>
      <w:r w:rsidR="000A5DD1" w:rsidRPr="00787562">
        <w:rPr>
          <w:lang w:val="fr-FR"/>
        </w:rPr>
        <w:t>et les activités du GEST depuis la 53</w:t>
      </w:r>
      <w:r w:rsidR="000A5DD1" w:rsidRPr="00787562">
        <w:rPr>
          <w:vertAlign w:val="superscript"/>
          <w:lang w:val="fr-FR"/>
        </w:rPr>
        <w:t>e</w:t>
      </w:r>
      <w:r w:rsidR="000A5DD1" w:rsidRPr="00787562">
        <w:rPr>
          <w:lang w:val="fr-FR"/>
        </w:rPr>
        <w:t xml:space="preserve"> Réunion du Comité permanent. </w:t>
      </w:r>
    </w:p>
    <w:p w14:paraId="435A8983" w14:textId="77777777" w:rsidR="00DA6E71" w:rsidRPr="00787562" w:rsidRDefault="00DA6E71" w:rsidP="00684ACE">
      <w:pPr>
        <w:pStyle w:val="ListParagraph"/>
        <w:ind w:left="360"/>
        <w:rPr>
          <w:lang w:val="fr-FR"/>
        </w:rPr>
      </w:pPr>
    </w:p>
    <w:p w14:paraId="035A3DF6" w14:textId="40406A74" w:rsidR="004B074A" w:rsidRPr="00787562" w:rsidRDefault="00C34061" w:rsidP="00684ACE">
      <w:pPr>
        <w:rPr>
          <w:b/>
          <w:lang w:val="fr-FR"/>
        </w:rPr>
      </w:pPr>
      <w:r w:rsidRPr="00787562">
        <w:rPr>
          <w:b/>
          <w:lang w:val="fr-FR"/>
        </w:rPr>
        <w:t>2</w:t>
      </w:r>
      <w:r w:rsidR="001458BA" w:rsidRPr="00787562">
        <w:rPr>
          <w:b/>
          <w:lang w:val="fr-FR"/>
        </w:rPr>
        <w:t>1</w:t>
      </w:r>
      <w:r w:rsidR="000A5DD1" w:rsidRPr="00787562">
        <w:rPr>
          <w:b/>
          <w:vertAlign w:val="superscript"/>
          <w:lang w:val="fr-FR"/>
        </w:rPr>
        <w:t>e</w:t>
      </w:r>
      <w:r w:rsidR="000A5DD1" w:rsidRPr="00787562">
        <w:rPr>
          <w:b/>
          <w:lang w:val="fr-FR"/>
        </w:rPr>
        <w:t xml:space="preserve"> Réunion du GEST</w:t>
      </w:r>
      <w:r w:rsidRPr="00787562">
        <w:rPr>
          <w:b/>
          <w:lang w:val="fr-FR"/>
        </w:rPr>
        <w:t xml:space="preserve"> </w:t>
      </w:r>
    </w:p>
    <w:p w14:paraId="3807B1E7" w14:textId="77777777" w:rsidR="005B2F75" w:rsidRPr="00787562" w:rsidRDefault="005B2F75" w:rsidP="00425317">
      <w:pPr>
        <w:rPr>
          <w:b/>
          <w:lang w:val="fr-FR"/>
        </w:rPr>
      </w:pPr>
    </w:p>
    <w:p w14:paraId="1A40B2DA" w14:textId="19E3E61A" w:rsidR="009F6C47" w:rsidRPr="00787562" w:rsidRDefault="0014728B" w:rsidP="0098291C">
      <w:pPr>
        <w:rPr>
          <w:lang w:val="fr-FR"/>
        </w:rPr>
      </w:pPr>
      <w:r w:rsidRPr="00787562">
        <w:rPr>
          <w:lang w:val="fr-FR"/>
        </w:rPr>
        <w:t>2.</w:t>
      </w:r>
      <w:r w:rsidRPr="00787562">
        <w:rPr>
          <w:lang w:val="fr-FR"/>
        </w:rPr>
        <w:tab/>
      </w:r>
      <w:r w:rsidR="000A5DD1" w:rsidRPr="00787562">
        <w:rPr>
          <w:lang w:val="fr-FR"/>
        </w:rPr>
        <w:t xml:space="preserve">La </w:t>
      </w:r>
      <w:r w:rsidR="005F3D87" w:rsidRPr="00787562">
        <w:rPr>
          <w:lang w:val="fr-FR"/>
        </w:rPr>
        <w:t>21</w:t>
      </w:r>
      <w:r w:rsidR="005F3D87" w:rsidRPr="00787562">
        <w:rPr>
          <w:vertAlign w:val="superscript"/>
          <w:lang w:val="fr-FR"/>
        </w:rPr>
        <w:t>e</w:t>
      </w:r>
      <w:r w:rsidR="005F3D87" w:rsidRPr="00787562">
        <w:rPr>
          <w:lang w:val="fr-FR"/>
        </w:rPr>
        <w:t xml:space="preserve"> Réunion du </w:t>
      </w:r>
      <w:r w:rsidR="000A5DD1" w:rsidRPr="00787562">
        <w:rPr>
          <w:lang w:val="fr-FR"/>
        </w:rPr>
        <w:t>GEST</w:t>
      </w:r>
      <w:r w:rsidR="009F6C47" w:rsidRPr="00787562">
        <w:rPr>
          <w:lang w:val="fr-FR"/>
        </w:rPr>
        <w:t xml:space="preserve"> </w:t>
      </w:r>
      <w:r w:rsidR="000A5DD1" w:rsidRPr="00787562">
        <w:rPr>
          <w:lang w:val="fr-FR"/>
        </w:rPr>
        <w:t>a eu lieu du 15 au 19 janvier 2018 au siège du Secrétariat Ramsar. Seize membres du GEST et 20 observateurs y ont assisté. Parmi eux, il y avait 10 CN GEST d’Allemagne, d’Autriche, de Chine, de Croatie, du Danemark, de Finlande, d’Oman, de République tchèque, du Royaume-Uni</w:t>
      </w:r>
      <w:r w:rsidR="00D8231E" w:rsidRPr="00787562">
        <w:rPr>
          <w:lang w:val="fr-FR"/>
        </w:rPr>
        <w:t xml:space="preserve"> </w:t>
      </w:r>
      <w:r w:rsidR="000A5DD1" w:rsidRPr="00787562">
        <w:rPr>
          <w:lang w:val="fr-FR"/>
        </w:rPr>
        <w:t xml:space="preserve">et du Sénégal. </w:t>
      </w:r>
    </w:p>
    <w:p w14:paraId="3F1A170F" w14:textId="77777777" w:rsidR="005B2F75" w:rsidRPr="00787562" w:rsidRDefault="005B2F75" w:rsidP="00684ACE">
      <w:pPr>
        <w:pStyle w:val="ListParagraph"/>
        <w:ind w:left="360"/>
        <w:rPr>
          <w:lang w:val="fr-FR"/>
        </w:rPr>
      </w:pPr>
    </w:p>
    <w:p w14:paraId="66F36753" w14:textId="658C3D32" w:rsidR="00A13607" w:rsidRPr="00787562" w:rsidRDefault="000A5DD1" w:rsidP="00684ACE">
      <w:pPr>
        <w:rPr>
          <w:b/>
          <w:lang w:val="fr-FR"/>
        </w:rPr>
      </w:pPr>
      <w:r w:rsidRPr="00787562">
        <w:rPr>
          <w:b/>
          <w:lang w:val="fr-FR"/>
        </w:rPr>
        <w:t>Mise à jour sur les tâches hautement prioritaires</w:t>
      </w:r>
      <w:r w:rsidR="00A13607" w:rsidRPr="00787562">
        <w:rPr>
          <w:b/>
          <w:lang w:val="fr-FR"/>
        </w:rPr>
        <w:t xml:space="preserve"> </w:t>
      </w:r>
    </w:p>
    <w:p w14:paraId="22CFC2EE" w14:textId="77777777" w:rsidR="005B2F75" w:rsidRPr="00787562" w:rsidRDefault="005B2F75" w:rsidP="00425317">
      <w:pPr>
        <w:rPr>
          <w:b/>
          <w:lang w:val="fr-FR"/>
        </w:rPr>
      </w:pPr>
    </w:p>
    <w:p w14:paraId="446E7A47" w14:textId="56FF37B4" w:rsidR="003E6C9D" w:rsidRPr="00787562" w:rsidRDefault="0014728B" w:rsidP="0098291C">
      <w:pPr>
        <w:rPr>
          <w:lang w:val="fr-FR"/>
        </w:rPr>
      </w:pPr>
      <w:r w:rsidRPr="00787562">
        <w:rPr>
          <w:lang w:val="fr-FR"/>
        </w:rPr>
        <w:t>3.</w:t>
      </w:r>
      <w:r w:rsidRPr="00787562">
        <w:rPr>
          <w:lang w:val="fr-FR"/>
        </w:rPr>
        <w:tab/>
      </w:r>
      <w:r w:rsidR="000A5DD1" w:rsidRPr="00787562">
        <w:rPr>
          <w:lang w:val="fr-FR"/>
        </w:rPr>
        <w:t>Le Comité permanent a décidé que l’</w:t>
      </w:r>
      <w:r w:rsidR="000A5DD1" w:rsidRPr="00787562">
        <w:rPr>
          <w:i/>
          <w:lang w:val="fr-FR"/>
        </w:rPr>
        <w:t>État mondial des zones humides et de leurs services à l’humanité</w:t>
      </w:r>
      <w:r w:rsidR="00EC4D39" w:rsidRPr="00787562">
        <w:rPr>
          <w:i/>
          <w:lang w:val="fr-FR"/>
        </w:rPr>
        <w:t xml:space="preserve"> </w:t>
      </w:r>
      <w:r w:rsidR="00056DC4" w:rsidRPr="00787562">
        <w:rPr>
          <w:lang w:val="fr-FR"/>
        </w:rPr>
        <w:t>(</w:t>
      </w:r>
      <w:r w:rsidR="000A5DD1" w:rsidRPr="00787562">
        <w:rPr>
          <w:lang w:val="fr-FR"/>
        </w:rPr>
        <w:t xml:space="preserve">qui porte désormais le titre de </w:t>
      </w:r>
      <w:r w:rsidR="000A5DD1" w:rsidRPr="00787562">
        <w:rPr>
          <w:i/>
          <w:lang w:val="fr-FR"/>
        </w:rPr>
        <w:t xml:space="preserve">Perspectives mondiales </w:t>
      </w:r>
      <w:r w:rsidR="00EC4D39" w:rsidRPr="00787562">
        <w:rPr>
          <w:i/>
          <w:lang w:val="fr-FR"/>
        </w:rPr>
        <w:t>pour les</w:t>
      </w:r>
      <w:r w:rsidR="000A5DD1" w:rsidRPr="00787562">
        <w:rPr>
          <w:i/>
          <w:lang w:val="fr-FR"/>
        </w:rPr>
        <w:t xml:space="preserve"> zones humides : État mondial des zones humides et de leurs services à l’humanité) </w:t>
      </w:r>
      <w:r w:rsidR="000A5DD1" w:rsidRPr="00787562">
        <w:rPr>
          <w:lang w:val="fr-FR"/>
        </w:rPr>
        <w:t xml:space="preserve">et huit autres tâches du plan de travail du GEST étaient hautement prioritaires. </w:t>
      </w:r>
    </w:p>
    <w:p w14:paraId="0F75A744" w14:textId="77777777" w:rsidR="008513D4" w:rsidRPr="00787562" w:rsidRDefault="008513D4" w:rsidP="008513D4">
      <w:pPr>
        <w:rPr>
          <w:u w:val="single"/>
          <w:lang w:val="fr-FR"/>
        </w:rPr>
      </w:pPr>
    </w:p>
    <w:p w14:paraId="61A6BA60" w14:textId="64883345" w:rsidR="008513D4" w:rsidRPr="00787562" w:rsidRDefault="00EC4D39" w:rsidP="00DB4028">
      <w:pPr>
        <w:ind w:left="0" w:firstLine="0"/>
        <w:rPr>
          <w:b/>
          <w:u w:val="single"/>
          <w:lang w:val="fr-FR"/>
        </w:rPr>
      </w:pPr>
      <w:r w:rsidRPr="00787562">
        <w:rPr>
          <w:u w:val="single"/>
          <w:lang w:val="fr-FR"/>
        </w:rPr>
        <w:t xml:space="preserve">Perspectives mondiales pour les zones humides : État mondial des zones humides et de leurs services à l’humanité </w:t>
      </w:r>
    </w:p>
    <w:p w14:paraId="5D55BEB2" w14:textId="77777777" w:rsidR="005B2F75" w:rsidRPr="00787562" w:rsidRDefault="005B2F75" w:rsidP="008513D4">
      <w:pPr>
        <w:ind w:left="0" w:firstLine="0"/>
        <w:rPr>
          <w:lang w:val="fr-FR"/>
        </w:rPr>
      </w:pPr>
    </w:p>
    <w:p w14:paraId="3D81A8C0" w14:textId="5882F85F" w:rsidR="00111E4E" w:rsidRPr="00787562" w:rsidRDefault="0014728B" w:rsidP="0098291C">
      <w:pPr>
        <w:rPr>
          <w:lang w:val="fr-FR"/>
        </w:rPr>
      </w:pPr>
      <w:r w:rsidRPr="00787562">
        <w:rPr>
          <w:lang w:val="fr-FR"/>
        </w:rPr>
        <w:t xml:space="preserve">4. </w:t>
      </w:r>
      <w:r w:rsidRPr="00787562">
        <w:rPr>
          <w:lang w:val="fr-FR"/>
        </w:rPr>
        <w:tab/>
      </w:r>
      <w:r w:rsidR="00EC4D39" w:rsidRPr="00787562">
        <w:rPr>
          <w:lang w:val="fr-FR"/>
        </w:rPr>
        <w:t>Les</w:t>
      </w:r>
      <w:r w:rsidR="00920621" w:rsidRPr="00787562">
        <w:rPr>
          <w:lang w:val="fr-FR"/>
        </w:rPr>
        <w:t xml:space="preserve"> </w:t>
      </w:r>
      <w:r w:rsidR="00EC4D39" w:rsidRPr="00787562">
        <w:rPr>
          <w:i/>
          <w:lang w:val="fr-FR"/>
        </w:rPr>
        <w:t>Perspectives mondiales pour les zones humides</w:t>
      </w:r>
      <w:r w:rsidR="006F1C34" w:rsidRPr="00787562">
        <w:rPr>
          <w:lang w:val="fr-FR"/>
        </w:rPr>
        <w:t xml:space="preserve"> </w:t>
      </w:r>
      <w:r w:rsidR="00EC4D39" w:rsidRPr="00787562">
        <w:rPr>
          <w:lang w:val="fr-FR"/>
        </w:rPr>
        <w:t>sont prête</w:t>
      </w:r>
      <w:r w:rsidR="00350839" w:rsidRPr="00787562">
        <w:rPr>
          <w:lang w:val="fr-FR"/>
        </w:rPr>
        <w:t xml:space="preserve">s </w:t>
      </w:r>
      <w:r w:rsidR="00EC4D39" w:rsidRPr="00787562">
        <w:rPr>
          <w:lang w:val="fr-FR"/>
        </w:rPr>
        <w:t>à être lancées avant ou au moment de la COP13. Le premier projet a été communiqué aux CN GEST pour commentaires</w:t>
      </w:r>
      <w:r w:rsidR="005F3D87" w:rsidRPr="00787562">
        <w:rPr>
          <w:lang w:val="fr-FR"/>
        </w:rPr>
        <w:t>,</w:t>
      </w:r>
      <w:r w:rsidR="00EC4D39" w:rsidRPr="00787562">
        <w:rPr>
          <w:lang w:val="fr-FR"/>
        </w:rPr>
        <w:t xml:space="preserve"> en mai 2017. Le Secrétariat a facilité un petit atelier de rédaction en septembre 2017, auquel les principaux auteurs et </w:t>
      </w:r>
      <w:r w:rsidR="00041DFE">
        <w:rPr>
          <w:lang w:val="fr-FR"/>
        </w:rPr>
        <w:t xml:space="preserve">le </w:t>
      </w:r>
      <w:r w:rsidR="005F3D87" w:rsidRPr="00787562">
        <w:rPr>
          <w:lang w:val="fr-FR"/>
        </w:rPr>
        <w:t>réviseur</w:t>
      </w:r>
      <w:r w:rsidR="00EC4D39" w:rsidRPr="00787562">
        <w:rPr>
          <w:lang w:val="fr-FR"/>
        </w:rPr>
        <w:t xml:space="preserve"> ont examiné les commentaires reçus et ont travaillé à un deuxième projet. Ce</w:t>
      </w:r>
      <w:r w:rsidR="00041DFE">
        <w:rPr>
          <w:lang w:val="fr-FR"/>
        </w:rPr>
        <w:t>lui-ci</w:t>
      </w:r>
      <w:r w:rsidR="00EC4D39" w:rsidRPr="00787562">
        <w:rPr>
          <w:lang w:val="fr-FR"/>
        </w:rPr>
        <w:t xml:space="preserve"> a été remis à sept réviseurs externes au début de décembre 2017. À</w:t>
      </w:r>
      <w:r w:rsidR="00AB2E7A" w:rsidRPr="00787562">
        <w:rPr>
          <w:lang w:val="fr-FR"/>
        </w:rPr>
        <w:t> </w:t>
      </w:r>
      <w:r w:rsidR="00EC4D39" w:rsidRPr="00787562">
        <w:rPr>
          <w:lang w:val="fr-FR"/>
        </w:rPr>
        <w:t xml:space="preserve">la </w:t>
      </w:r>
      <w:r w:rsidR="005F3D87" w:rsidRPr="00787562">
        <w:rPr>
          <w:lang w:val="fr-FR"/>
        </w:rPr>
        <w:lastRenderedPageBreak/>
        <w:t>21</w:t>
      </w:r>
      <w:r w:rsidR="005F3D87" w:rsidRPr="00787562">
        <w:rPr>
          <w:vertAlign w:val="superscript"/>
          <w:lang w:val="fr-FR"/>
        </w:rPr>
        <w:t>e</w:t>
      </w:r>
      <w:r w:rsidR="005F3D87" w:rsidRPr="00787562">
        <w:rPr>
          <w:lang w:val="fr-FR"/>
        </w:rPr>
        <w:t xml:space="preserve"> Réunion du GEST</w:t>
      </w:r>
      <w:r w:rsidR="00EC4D39" w:rsidRPr="00787562">
        <w:rPr>
          <w:lang w:val="fr-FR"/>
        </w:rPr>
        <w:t xml:space="preserve">, le Groupe a examiné les commentaires reçus et déterminé les nouvelles étapes en vue de la finalisation des </w:t>
      </w:r>
      <w:r w:rsidR="00EC4D39" w:rsidRPr="00787562">
        <w:rPr>
          <w:i/>
          <w:lang w:val="fr-FR"/>
        </w:rPr>
        <w:t>Perspectives mondiales pour les zones humides</w:t>
      </w:r>
      <w:r w:rsidR="00EC4D39" w:rsidRPr="00787562">
        <w:rPr>
          <w:lang w:val="fr-FR"/>
        </w:rPr>
        <w:t xml:space="preserve"> et des notes techniques d’accompagnement.</w:t>
      </w:r>
    </w:p>
    <w:p w14:paraId="3233B1C8" w14:textId="77777777" w:rsidR="00111E4E" w:rsidRPr="00787562" w:rsidRDefault="00111E4E" w:rsidP="00684ACE">
      <w:pPr>
        <w:rPr>
          <w:lang w:val="fr-FR"/>
        </w:rPr>
      </w:pPr>
    </w:p>
    <w:p w14:paraId="04380BF1" w14:textId="2CCC0EA8" w:rsidR="00111E4E" w:rsidRPr="00787562" w:rsidRDefault="0014728B" w:rsidP="0098291C">
      <w:pPr>
        <w:rPr>
          <w:color w:val="212121"/>
          <w:lang w:val="fr-FR"/>
        </w:rPr>
      </w:pPr>
      <w:r w:rsidRPr="00787562">
        <w:rPr>
          <w:lang w:val="fr-FR"/>
        </w:rPr>
        <w:t>5.</w:t>
      </w:r>
      <w:r w:rsidRPr="00787562">
        <w:rPr>
          <w:lang w:val="fr-FR"/>
        </w:rPr>
        <w:tab/>
      </w:r>
      <w:r w:rsidR="00EC4D39" w:rsidRPr="00787562">
        <w:rPr>
          <w:lang w:val="fr-FR"/>
        </w:rPr>
        <w:t>Le Centre mondial de surveillance continue de la conservation de la nature d’ONU Environnement</w:t>
      </w:r>
      <w:r w:rsidR="005F3D87" w:rsidRPr="00787562">
        <w:rPr>
          <w:lang w:val="fr-FR"/>
        </w:rPr>
        <w:t xml:space="preserve"> (PNUE-WCMC)</w:t>
      </w:r>
      <w:r w:rsidR="00EC4D39" w:rsidRPr="00787562">
        <w:rPr>
          <w:lang w:val="fr-FR"/>
        </w:rPr>
        <w:t xml:space="preserve"> a conduit et mis à jour une analyse de l’étendue mondiale (superficie) des zones humides qui porte maintenant sur toutes les régions Ramsar et qui sera intégrée dans les </w:t>
      </w:r>
      <w:r w:rsidR="00EC4D39" w:rsidRPr="00787562">
        <w:rPr>
          <w:i/>
          <w:lang w:val="fr-FR"/>
        </w:rPr>
        <w:t>Perspectives mondiales pour les zones humides</w:t>
      </w:r>
      <w:r w:rsidR="00724095" w:rsidRPr="00787562">
        <w:rPr>
          <w:lang w:val="fr-FR"/>
        </w:rPr>
        <w:t xml:space="preserve">. </w:t>
      </w:r>
      <w:r w:rsidR="00EC4D39" w:rsidRPr="00787562">
        <w:rPr>
          <w:lang w:val="fr-FR"/>
        </w:rPr>
        <w:t xml:space="preserve">L’Indice de tendance de l’étendue des zones humides </w:t>
      </w:r>
      <w:r w:rsidR="002513E4" w:rsidRPr="00787562">
        <w:rPr>
          <w:lang w:val="fr-FR"/>
        </w:rPr>
        <w:t>(</w:t>
      </w:r>
      <w:r w:rsidR="00724095" w:rsidRPr="00787562">
        <w:rPr>
          <w:lang w:val="fr-FR"/>
        </w:rPr>
        <w:t>WET</w:t>
      </w:r>
      <w:r w:rsidR="002513E4" w:rsidRPr="00787562">
        <w:rPr>
          <w:lang w:val="fr-FR"/>
        </w:rPr>
        <w:t>)</w:t>
      </w:r>
      <w:r w:rsidR="00724095" w:rsidRPr="00787562">
        <w:rPr>
          <w:lang w:val="fr-FR"/>
        </w:rPr>
        <w:t xml:space="preserve"> </w:t>
      </w:r>
      <w:r w:rsidR="00EC4D39" w:rsidRPr="00787562">
        <w:rPr>
          <w:lang w:val="fr-FR"/>
        </w:rPr>
        <w:t xml:space="preserve">a mis en évidence un déclin d’environ </w:t>
      </w:r>
      <w:r w:rsidR="00111E4E" w:rsidRPr="00787562">
        <w:rPr>
          <w:color w:val="212121"/>
          <w:lang w:val="fr-FR"/>
        </w:rPr>
        <w:t xml:space="preserve">35% </w:t>
      </w:r>
      <w:r w:rsidR="00EC4D39" w:rsidRPr="00787562">
        <w:rPr>
          <w:color w:val="212121"/>
          <w:lang w:val="fr-FR"/>
        </w:rPr>
        <w:t xml:space="preserve">dans la superficie des zones humides côtières et </w:t>
      </w:r>
      <w:r w:rsidR="00041DFE">
        <w:rPr>
          <w:color w:val="212121"/>
          <w:lang w:val="fr-FR"/>
        </w:rPr>
        <w:t>continentales</w:t>
      </w:r>
      <w:r w:rsidR="00EC4D39" w:rsidRPr="00787562">
        <w:rPr>
          <w:color w:val="212121"/>
          <w:lang w:val="fr-FR"/>
        </w:rPr>
        <w:t xml:space="preserve"> étudiées entre 1970 et 2015. Les déclins varient</w:t>
      </w:r>
      <w:r w:rsidR="005F3D87" w:rsidRPr="00787562">
        <w:rPr>
          <w:color w:val="212121"/>
          <w:lang w:val="fr-FR"/>
        </w:rPr>
        <w:t xml:space="preserve"> selon les régions</w:t>
      </w:r>
      <w:r w:rsidR="00EC4D39" w:rsidRPr="00787562">
        <w:rPr>
          <w:color w:val="212121"/>
          <w:lang w:val="fr-FR"/>
        </w:rPr>
        <w:t xml:space="preserve"> : Afrique </w:t>
      </w:r>
      <w:r w:rsidR="00111E4E" w:rsidRPr="00787562">
        <w:rPr>
          <w:color w:val="212121"/>
          <w:lang w:val="fr-FR"/>
        </w:rPr>
        <w:t>(42%)</w:t>
      </w:r>
      <w:r w:rsidR="00724095" w:rsidRPr="00787562">
        <w:rPr>
          <w:color w:val="212121"/>
          <w:lang w:val="fr-FR"/>
        </w:rPr>
        <w:t xml:space="preserve">; </w:t>
      </w:r>
      <w:r w:rsidR="00091C7F" w:rsidRPr="00787562">
        <w:rPr>
          <w:color w:val="212121"/>
          <w:lang w:val="fr-FR"/>
        </w:rPr>
        <w:t xml:space="preserve">Amérique du Nord (17%); Amérique latine et Caraïbes (59%); </w:t>
      </w:r>
      <w:r w:rsidR="00247AF9" w:rsidRPr="00787562">
        <w:rPr>
          <w:color w:val="212121"/>
          <w:lang w:val="fr-FR"/>
        </w:rPr>
        <w:t>Asi</w:t>
      </w:r>
      <w:r w:rsidR="00EC4D39" w:rsidRPr="00787562">
        <w:rPr>
          <w:color w:val="212121"/>
          <w:lang w:val="fr-FR"/>
        </w:rPr>
        <w:t>e</w:t>
      </w:r>
      <w:r w:rsidR="00247AF9" w:rsidRPr="00787562">
        <w:rPr>
          <w:color w:val="212121"/>
          <w:lang w:val="fr-FR"/>
        </w:rPr>
        <w:t xml:space="preserve"> (32%); </w:t>
      </w:r>
      <w:r w:rsidR="00091C7F" w:rsidRPr="00787562">
        <w:rPr>
          <w:color w:val="212121"/>
          <w:lang w:val="fr-FR"/>
        </w:rPr>
        <w:t>Europe (35%)</w:t>
      </w:r>
      <w:r w:rsidR="00724095" w:rsidRPr="00787562">
        <w:rPr>
          <w:color w:val="212121"/>
          <w:lang w:val="fr-FR"/>
        </w:rPr>
        <w:t xml:space="preserve"> </w:t>
      </w:r>
      <w:r w:rsidR="00EC4D39" w:rsidRPr="00787562">
        <w:rPr>
          <w:color w:val="212121"/>
          <w:lang w:val="fr-FR"/>
        </w:rPr>
        <w:t>et Océanie</w:t>
      </w:r>
      <w:r w:rsidR="00724095" w:rsidRPr="00787562">
        <w:rPr>
          <w:color w:val="212121"/>
          <w:lang w:val="fr-FR"/>
        </w:rPr>
        <w:t xml:space="preserve"> (12%). </w:t>
      </w:r>
      <w:r w:rsidR="00374011" w:rsidRPr="00787562">
        <w:rPr>
          <w:color w:val="212121"/>
          <w:lang w:val="fr-FR"/>
        </w:rPr>
        <w:t xml:space="preserve">À noter que l’Indice WET </w:t>
      </w:r>
      <w:r w:rsidR="005F3D87" w:rsidRPr="00787562">
        <w:rPr>
          <w:color w:val="212121"/>
          <w:lang w:val="fr-FR"/>
        </w:rPr>
        <w:t>signale</w:t>
      </w:r>
      <w:r w:rsidR="00374011" w:rsidRPr="00787562">
        <w:rPr>
          <w:color w:val="212121"/>
          <w:lang w:val="fr-FR"/>
        </w:rPr>
        <w:t xml:space="preserve"> des changements dans les zones humides étudiées et ne doit pas nécessairement être pris comme une indication d</w:t>
      </w:r>
      <w:r w:rsidR="005F3D87" w:rsidRPr="00787562">
        <w:rPr>
          <w:color w:val="212121"/>
          <w:lang w:val="fr-FR"/>
        </w:rPr>
        <w:t>u</w:t>
      </w:r>
      <w:r w:rsidR="00374011" w:rsidRPr="00787562">
        <w:rPr>
          <w:color w:val="212121"/>
          <w:lang w:val="fr-FR"/>
        </w:rPr>
        <w:t xml:space="preserve"> changement tota</w:t>
      </w:r>
      <w:r w:rsidR="005F3D87" w:rsidRPr="00787562">
        <w:rPr>
          <w:color w:val="212121"/>
          <w:lang w:val="fr-FR"/>
        </w:rPr>
        <w:t>l</w:t>
      </w:r>
      <w:r w:rsidR="00374011" w:rsidRPr="00787562">
        <w:rPr>
          <w:color w:val="212121"/>
          <w:lang w:val="fr-FR"/>
        </w:rPr>
        <w:t xml:space="preserve"> dans chaque région. Néanmoins, l’analyse mise à jour confirme que la disparition des zones humides se poursuit.</w:t>
      </w:r>
    </w:p>
    <w:p w14:paraId="752EDE8F" w14:textId="77777777" w:rsidR="005B2F75" w:rsidRPr="00787562" w:rsidRDefault="005B2F75" w:rsidP="00425317">
      <w:pPr>
        <w:pStyle w:val="ListParagraph"/>
        <w:ind w:left="426" w:hanging="426"/>
        <w:rPr>
          <w:lang w:val="fr-FR"/>
        </w:rPr>
      </w:pPr>
    </w:p>
    <w:p w14:paraId="221D1521" w14:textId="53D81F36" w:rsidR="007745C6" w:rsidRPr="00787562" w:rsidRDefault="003C433A" w:rsidP="007745C6">
      <w:pPr>
        <w:pStyle w:val="ListParagraph"/>
        <w:ind w:left="0" w:firstLine="0"/>
        <w:rPr>
          <w:u w:val="single"/>
          <w:lang w:val="fr-FR"/>
        </w:rPr>
      </w:pPr>
      <w:r w:rsidRPr="00787562">
        <w:rPr>
          <w:u w:val="single"/>
          <w:lang w:val="fr-FR"/>
        </w:rPr>
        <w:t xml:space="preserve">Tâche </w:t>
      </w:r>
      <w:r w:rsidR="00C25CA9" w:rsidRPr="00787562">
        <w:rPr>
          <w:u w:val="single"/>
          <w:lang w:val="fr-FR"/>
        </w:rPr>
        <w:t>1.1</w:t>
      </w:r>
      <w:r w:rsidRPr="00787562">
        <w:rPr>
          <w:u w:val="single"/>
          <w:lang w:val="fr-FR"/>
        </w:rPr>
        <w:t xml:space="preserve"> </w:t>
      </w:r>
      <w:r w:rsidR="007745C6" w:rsidRPr="00787562">
        <w:rPr>
          <w:u w:val="single"/>
          <w:lang w:val="fr-FR"/>
        </w:rPr>
        <w:t>:</w:t>
      </w:r>
      <w:r w:rsidR="00E430C1" w:rsidRPr="00787562">
        <w:rPr>
          <w:u w:val="single"/>
          <w:lang w:val="fr-FR"/>
        </w:rPr>
        <w:t xml:space="preserve"> </w:t>
      </w:r>
      <w:r w:rsidRPr="00787562">
        <w:rPr>
          <w:u w:val="single"/>
          <w:lang w:val="fr-FR"/>
        </w:rPr>
        <w:t>Observation de la Terre en tant qu’outil de « meilleures pratiques » pour l’inventaire, la cartographie et le suivi des zones humides, y compris des Sites Ramsar</w:t>
      </w:r>
    </w:p>
    <w:p w14:paraId="50C04C28" w14:textId="77777777" w:rsidR="007745C6" w:rsidRPr="00787562" w:rsidRDefault="007745C6" w:rsidP="00C34061">
      <w:pPr>
        <w:pStyle w:val="ListParagraph"/>
        <w:ind w:left="426" w:hanging="426"/>
        <w:rPr>
          <w:lang w:val="fr-FR"/>
        </w:rPr>
      </w:pPr>
    </w:p>
    <w:p w14:paraId="7C368B12" w14:textId="0B0D4C4A" w:rsidR="00417407" w:rsidRPr="00787562" w:rsidRDefault="0014728B" w:rsidP="00425317">
      <w:pPr>
        <w:rPr>
          <w:lang w:val="fr-FR"/>
        </w:rPr>
      </w:pPr>
      <w:r w:rsidRPr="00787562">
        <w:rPr>
          <w:lang w:val="fr-FR"/>
        </w:rPr>
        <w:t>6.</w:t>
      </w:r>
      <w:r w:rsidRPr="00787562">
        <w:rPr>
          <w:lang w:val="fr-FR"/>
        </w:rPr>
        <w:tab/>
      </w:r>
      <w:r w:rsidR="001826A6" w:rsidRPr="00787562">
        <w:rPr>
          <w:lang w:val="fr-FR"/>
        </w:rPr>
        <w:t xml:space="preserve">Un premier projet de Rapport technique Ramsar sur les </w:t>
      </w:r>
      <w:r w:rsidR="001826A6" w:rsidRPr="00787562">
        <w:rPr>
          <w:rFonts w:asciiTheme="minorHAnsi" w:hAnsiTheme="minorHAnsi"/>
          <w:i/>
          <w:lang w:val="fr-FR"/>
        </w:rPr>
        <w:t xml:space="preserve">Orientations relatives aux meilleures pratiques pour </w:t>
      </w:r>
      <w:r w:rsidR="00041DFE">
        <w:rPr>
          <w:rFonts w:asciiTheme="minorHAnsi" w:hAnsiTheme="minorHAnsi"/>
          <w:i/>
          <w:lang w:val="fr-FR"/>
        </w:rPr>
        <w:t>l’</w:t>
      </w:r>
      <w:r w:rsidR="001826A6" w:rsidRPr="00787562">
        <w:rPr>
          <w:rFonts w:asciiTheme="minorHAnsi" w:hAnsiTheme="minorHAnsi"/>
          <w:i/>
          <w:lang w:val="fr-FR"/>
        </w:rPr>
        <w:t xml:space="preserve">utilisation de l’Observation de la Terre pour l’inventaire, l’évaluation et le suivi des zones humides </w:t>
      </w:r>
      <w:r w:rsidR="001826A6" w:rsidRPr="00787562">
        <w:rPr>
          <w:lang w:val="fr-FR"/>
        </w:rPr>
        <w:t>a été communiqué aux CN GEST en juillet </w:t>
      </w:r>
      <w:r w:rsidR="00505803" w:rsidRPr="00787562">
        <w:rPr>
          <w:lang w:val="fr-FR"/>
        </w:rPr>
        <w:t>2017</w:t>
      </w:r>
      <w:r w:rsidR="00596D5B" w:rsidRPr="00787562">
        <w:rPr>
          <w:lang w:val="fr-FR"/>
        </w:rPr>
        <w:t>.</w:t>
      </w:r>
      <w:r w:rsidR="002773E4" w:rsidRPr="00787562">
        <w:rPr>
          <w:lang w:val="fr-FR"/>
        </w:rPr>
        <w:t xml:space="preserve"> </w:t>
      </w:r>
      <w:r w:rsidR="001826A6" w:rsidRPr="00787562">
        <w:rPr>
          <w:lang w:val="fr-FR"/>
        </w:rPr>
        <w:t xml:space="preserve">La </w:t>
      </w:r>
      <w:r w:rsidR="005F3D87" w:rsidRPr="00787562">
        <w:rPr>
          <w:lang w:val="fr-FR"/>
        </w:rPr>
        <w:t>21</w:t>
      </w:r>
      <w:r w:rsidR="005F3D87" w:rsidRPr="00787562">
        <w:rPr>
          <w:vertAlign w:val="superscript"/>
          <w:lang w:val="fr-FR"/>
        </w:rPr>
        <w:t>e</w:t>
      </w:r>
      <w:r w:rsidR="005F3D87" w:rsidRPr="00787562">
        <w:rPr>
          <w:lang w:val="fr-FR"/>
        </w:rPr>
        <w:t xml:space="preserve"> Réunion du GEST</w:t>
      </w:r>
      <w:r w:rsidR="002773E4" w:rsidRPr="00787562">
        <w:rPr>
          <w:lang w:val="fr-FR"/>
        </w:rPr>
        <w:t xml:space="preserve"> </w:t>
      </w:r>
      <w:r w:rsidR="001826A6" w:rsidRPr="00787562">
        <w:rPr>
          <w:lang w:val="fr-FR"/>
        </w:rPr>
        <w:t>a fait d’importants progrès vers la finalisation du projet, qui devrait être remis au Secrétariat au premier trimestre de </w:t>
      </w:r>
      <w:r w:rsidR="002E37C2" w:rsidRPr="00787562">
        <w:rPr>
          <w:lang w:val="fr-FR"/>
        </w:rPr>
        <w:t>2018.</w:t>
      </w:r>
      <w:r w:rsidR="002773E4" w:rsidRPr="00787562">
        <w:rPr>
          <w:lang w:val="fr-FR"/>
        </w:rPr>
        <w:t xml:space="preserve"> </w:t>
      </w:r>
    </w:p>
    <w:p w14:paraId="53822AFF" w14:textId="77777777" w:rsidR="00417407" w:rsidRPr="00787562" w:rsidRDefault="00417407" w:rsidP="0098291C">
      <w:pPr>
        <w:pStyle w:val="ListParagraph"/>
        <w:ind w:left="426"/>
        <w:rPr>
          <w:lang w:val="fr-FR"/>
        </w:rPr>
      </w:pPr>
    </w:p>
    <w:p w14:paraId="43B86369" w14:textId="6FA3F743" w:rsidR="007745C6" w:rsidRPr="00787562" w:rsidRDefault="00D234AB" w:rsidP="007745C6">
      <w:pPr>
        <w:pStyle w:val="ListParagraph"/>
        <w:ind w:left="0" w:firstLine="0"/>
        <w:rPr>
          <w:u w:val="single"/>
          <w:lang w:val="fr-FR"/>
        </w:rPr>
      </w:pPr>
      <w:r w:rsidRPr="00787562">
        <w:rPr>
          <w:u w:val="single"/>
          <w:lang w:val="fr-FR"/>
        </w:rPr>
        <w:t xml:space="preserve">Tâche </w:t>
      </w:r>
      <w:r w:rsidR="005A083B" w:rsidRPr="00787562">
        <w:rPr>
          <w:u w:val="single"/>
          <w:lang w:val="fr-FR"/>
        </w:rPr>
        <w:t>1.</w:t>
      </w:r>
      <w:r w:rsidR="009B0D27">
        <w:rPr>
          <w:u w:val="single"/>
          <w:lang w:val="fr-FR"/>
        </w:rPr>
        <w:t>2</w:t>
      </w:r>
      <w:bookmarkStart w:id="0" w:name="_GoBack"/>
      <w:bookmarkEnd w:id="0"/>
      <w:r w:rsidR="007745C6" w:rsidRPr="00787562">
        <w:rPr>
          <w:u w:val="single"/>
          <w:lang w:val="fr-FR"/>
        </w:rPr>
        <w:t>:</w:t>
      </w:r>
      <w:r w:rsidR="00667409" w:rsidRPr="00787562">
        <w:rPr>
          <w:u w:val="single"/>
          <w:lang w:val="fr-FR"/>
        </w:rPr>
        <w:t xml:space="preserve"> </w:t>
      </w:r>
      <w:r w:rsidRPr="00787562">
        <w:rPr>
          <w:u w:val="single"/>
          <w:lang w:val="fr-FR"/>
        </w:rPr>
        <w:t>Élaboration de lignes directrices pour les inventaires de tourbières en vue d’une inscription possible sur la Liste des zones humides d’importance internationale</w:t>
      </w:r>
    </w:p>
    <w:p w14:paraId="13CA86C4" w14:textId="77777777" w:rsidR="007745C6" w:rsidRPr="00787562" w:rsidRDefault="007745C6" w:rsidP="00C34061">
      <w:pPr>
        <w:pStyle w:val="ListParagraph"/>
        <w:ind w:left="426" w:hanging="426"/>
        <w:rPr>
          <w:lang w:val="fr-FR"/>
        </w:rPr>
      </w:pPr>
    </w:p>
    <w:p w14:paraId="5BA0DBF4" w14:textId="0B88A8BB" w:rsidR="00C25CA9" w:rsidRPr="00787562" w:rsidRDefault="00425317" w:rsidP="00425317">
      <w:pPr>
        <w:rPr>
          <w:lang w:val="fr-FR"/>
        </w:rPr>
      </w:pPr>
      <w:r w:rsidRPr="00787562">
        <w:rPr>
          <w:lang w:val="fr-FR"/>
        </w:rPr>
        <w:t>7.</w:t>
      </w:r>
      <w:r w:rsidRPr="00787562">
        <w:rPr>
          <w:lang w:val="fr-FR"/>
        </w:rPr>
        <w:tab/>
      </w:r>
      <w:r w:rsidR="001826A6" w:rsidRPr="00787562">
        <w:rPr>
          <w:lang w:val="fr-FR"/>
        </w:rPr>
        <w:t xml:space="preserve">À </w:t>
      </w:r>
      <w:r w:rsidR="005F3D87" w:rsidRPr="00787562">
        <w:rPr>
          <w:lang w:val="fr-FR"/>
        </w:rPr>
        <w:t>s</w:t>
      </w:r>
      <w:r w:rsidR="001826A6" w:rsidRPr="00787562">
        <w:rPr>
          <w:lang w:val="fr-FR"/>
        </w:rPr>
        <w:t xml:space="preserve">a </w:t>
      </w:r>
      <w:r w:rsidR="005F3D87" w:rsidRPr="00787562">
        <w:rPr>
          <w:lang w:val="fr-FR"/>
        </w:rPr>
        <w:t>21</w:t>
      </w:r>
      <w:r w:rsidR="005F3D87" w:rsidRPr="00787562">
        <w:rPr>
          <w:vertAlign w:val="superscript"/>
          <w:lang w:val="fr-FR"/>
        </w:rPr>
        <w:t>e</w:t>
      </w:r>
      <w:r w:rsidR="005F3D87" w:rsidRPr="00787562">
        <w:rPr>
          <w:lang w:val="fr-FR"/>
        </w:rPr>
        <w:t xml:space="preserve"> Réunion</w:t>
      </w:r>
      <w:r w:rsidR="006F5698" w:rsidRPr="00787562">
        <w:rPr>
          <w:lang w:val="fr-FR"/>
        </w:rPr>
        <w:t>,</w:t>
      </w:r>
      <w:r w:rsidR="00C4216D" w:rsidRPr="00787562">
        <w:rPr>
          <w:lang w:val="fr-FR"/>
        </w:rPr>
        <w:t xml:space="preserve"> </w:t>
      </w:r>
      <w:r w:rsidR="001826A6" w:rsidRPr="00787562">
        <w:rPr>
          <w:lang w:val="fr-FR"/>
        </w:rPr>
        <w:t xml:space="preserve">le GEST a finalisé le projet de résolution sur les </w:t>
      </w:r>
      <w:r w:rsidR="00733653" w:rsidRPr="00787562">
        <w:rPr>
          <w:i/>
          <w:lang w:val="fr-FR"/>
        </w:rPr>
        <w:t>Orientations sur l’identification des zones humides d’importance internationale (Sites Ramsar) pour la régulation des changements du climat mondial en tant qu’argument additionnel aux critères Ramsar existants</w:t>
      </w:r>
      <w:r w:rsidR="006F5698" w:rsidRPr="00787562">
        <w:rPr>
          <w:i/>
          <w:lang w:val="fr-FR"/>
        </w:rPr>
        <w:t xml:space="preserve"> </w:t>
      </w:r>
      <w:r w:rsidR="001826A6" w:rsidRPr="00787562">
        <w:rPr>
          <w:lang w:val="fr-FR"/>
        </w:rPr>
        <w:t xml:space="preserve">et l’a soumis au Secrétariat. Le Groupe a fourni des commentaires supplémentaires </w:t>
      </w:r>
      <w:r w:rsidR="005F3D87" w:rsidRPr="00787562">
        <w:rPr>
          <w:lang w:val="fr-FR"/>
        </w:rPr>
        <w:t>sur le</w:t>
      </w:r>
      <w:r w:rsidR="001826A6" w:rsidRPr="00787562">
        <w:rPr>
          <w:lang w:val="fr-FR"/>
        </w:rPr>
        <w:t xml:space="preserve"> projet de Note d’orientation scientifique et technique sur les inventaires de tourbières tropicales rédigé par le </w:t>
      </w:r>
      <w:r w:rsidR="007B629E" w:rsidRPr="00787562">
        <w:rPr>
          <w:lang w:val="fr-FR"/>
        </w:rPr>
        <w:t>Greifswald Mire Center,</w:t>
      </w:r>
      <w:r w:rsidR="002E37C2" w:rsidRPr="00787562">
        <w:rPr>
          <w:lang w:val="fr-FR"/>
        </w:rPr>
        <w:t xml:space="preserve"> </w:t>
      </w:r>
      <w:r w:rsidR="001826A6" w:rsidRPr="00787562">
        <w:rPr>
          <w:lang w:val="fr-FR"/>
        </w:rPr>
        <w:t xml:space="preserve">et qui devrait être finalisé en 2018. </w:t>
      </w:r>
    </w:p>
    <w:p w14:paraId="4522F5CF" w14:textId="77777777" w:rsidR="005B2F75" w:rsidRPr="00787562" w:rsidRDefault="005B2F75" w:rsidP="00684ACE">
      <w:pPr>
        <w:pStyle w:val="ListParagraph"/>
        <w:ind w:left="426" w:hanging="426"/>
        <w:rPr>
          <w:lang w:val="fr-FR"/>
        </w:rPr>
      </w:pPr>
    </w:p>
    <w:p w14:paraId="693CDBB1" w14:textId="4556AF6C" w:rsidR="00A97C27" w:rsidRPr="00787562" w:rsidRDefault="00D234AB" w:rsidP="0098291C">
      <w:pPr>
        <w:rPr>
          <w:lang w:val="fr-FR"/>
        </w:rPr>
      </w:pPr>
      <w:r w:rsidRPr="00787562">
        <w:rPr>
          <w:u w:val="single"/>
          <w:lang w:val="fr-FR"/>
        </w:rPr>
        <w:t xml:space="preserve">Tâche </w:t>
      </w:r>
      <w:r w:rsidR="00C25CA9" w:rsidRPr="00787562">
        <w:rPr>
          <w:u w:val="single"/>
          <w:lang w:val="fr-FR"/>
        </w:rPr>
        <w:t>2.1</w:t>
      </w:r>
      <w:r w:rsidRPr="00787562">
        <w:rPr>
          <w:u w:val="single"/>
          <w:lang w:val="fr-FR"/>
        </w:rPr>
        <w:t xml:space="preserve"> </w:t>
      </w:r>
      <w:r w:rsidR="007745C6" w:rsidRPr="00787562">
        <w:rPr>
          <w:u w:val="single"/>
          <w:lang w:val="fr-FR"/>
        </w:rPr>
        <w:t>:</w:t>
      </w:r>
      <w:r w:rsidR="00667409" w:rsidRPr="00787562">
        <w:rPr>
          <w:u w:val="single"/>
          <w:lang w:val="fr-FR"/>
        </w:rPr>
        <w:t xml:space="preserve"> </w:t>
      </w:r>
      <w:r w:rsidRPr="00787562">
        <w:rPr>
          <w:u w:val="single"/>
          <w:lang w:val="fr-FR"/>
        </w:rPr>
        <w:t>Outil de gestion des Sites Ramsar</w:t>
      </w:r>
    </w:p>
    <w:p w14:paraId="5EC4F8CE" w14:textId="77777777" w:rsidR="007745C6" w:rsidRPr="00787562" w:rsidRDefault="007745C6" w:rsidP="00C34061">
      <w:pPr>
        <w:pStyle w:val="ListParagraph"/>
        <w:ind w:left="426" w:hanging="426"/>
        <w:rPr>
          <w:lang w:val="fr-FR"/>
        </w:rPr>
      </w:pPr>
    </w:p>
    <w:p w14:paraId="4589D911" w14:textId="34C64332" w:rsidR="00C25CA9" w:rsidRPr="00787562" w:rsidRDefault="0014728B" w:rsidP="0098291C">
      <w:pPr>
        <w:ind w:left="426"/>
        <w:rPr>
          <w:lang w:val="fr-FR"/>
        </w:rPr>
      </w:pPr>
      <w:r w:rsidRPr="00787562">
        <w:rPr>
          <w:lang w:val="fr-FR"/>
        </w:rPr>
        <w:t>8.</w:t>
      </w:r>
      <w:r w:rsidRPr="00787562">
        <w:rPr>
          <w:lang w:val="fr-FR"/>
        </w:rPr>
        <w:tab/>
      </w:r>
      <w:r w:rsidR="00084E7E" w:rsidRPr="00787562">
        <w:rPr>
          <w:lang w:val="fr-FR"/>
        </w:rPr>
        <w:t>Après avoir sollicité la contribution des CN GEST, le GEST et l’</w:t>
      </w:r>
      <w:r w:rsidR="005F3D87" w:rsidRPr="00787562">
        <w:rPr>
          <w:lang w:val="fr-FR"/>
        </w:rPr>
        <w:t>é</w:t>
      </w:r>
      <w:r w:rsidR="00084E7E" w:rsidRPr="00787562">
        <w:rPr>
          <w:lang w:val="fr-FR"/>
        </w:rPr>
        <w:t xml:space="preserve">quipe de communication du Secrétariat ont élaboré un outil de gestion des Sites Ramsar en ligne, disponible à l’adresse : </w:t>
      </w:r>
      <w:hyperlink r:id="rId9" w:history="1">
        <w:r w:rsidR="00DB4028" w:rsidRPr="006D15F6">
          <w:rPr>
            <w:rStyle w:val="Hyperlink"/>
            <w:lang w:val="fr-FR"/>
          </w:rPr>
          <w:t>https://www.ramsar.org/fr/ressources/outils-de-gestion-des-sites-ramsar</w:t>
        </w:r>
      </w:hyperlink>
      <w:r w:rsidR="009955E1" w:rsidRPr="00787562">
        <w:rPr>
          <w:lang w:val="fr-FR"/>
        </w:rPr>
        <w:t xml:space="preserve">. </w:t>
      </w:r>
      <w:r w:rsidR="00084E7E" w:rsidRPr="00787562">
        <w:rPr>
          <w:lang w:val="fr-FR"/>
        </w:rPr>
        <w:t>L’outil comprend le guide pratique du Centre régional Ramsar – Asie de l’Est sur l’</w:t>
      </w:r>
      <w:r w:rsidR="00084E7E" w:rsidRPr="00787562">
        <w:rPr>
          <w:i/>
          <w:lang w:val="fr-FR"/>
        </w:rPr>
        <w:t xml:space="preserve">Inscription et la gestion de Sites Ramsar. </w:t>
      </w:r>
    </w:p>
    <w:p w14:paraId="54594009" w14:textId="77777777" w:rsidR="005B2F75" w:rsidRPr="00787562" w:rsidRDefault="005B2F75" w:rsidP="00684ACE">
      <w:pPr>
        <w:pStyle w:val="ListParagraph"/>
        <w:ind w:left="426" w:hanging="426"/>
        <w:rPr>
          <w:lang w:val="fr-FR"/>
        </w:rPr>
      </w:pPr>
    </w:p>
    <w:p w14:paraId="7EFA7175" w14:textId="24EDE27A" w:rsidR="0014427D" w:rsidRPr="00787562" w:rsidRDefault="00D234AB" w:rsidP="00DB4028">
      <w:pPr>
        <w:pStyle w:val="ListParagraph"/>
        <w:ind w:left="0" w:firstLine="0"/>
        <w:rPr>
          <w:u w:val="single"/>
          <w:lang w:val="fr-FR"/>
        </w:rPr>
      </w:pPr>
      <w:r w:rsidRPr="00787562">
        <w:rPr>
          <w:u w:val="single"/>
          <w:lang w:val="fr-FR"/>
        </w:rPr>
        <w:t xml:space="preserve">Tâche </w:t>
      </w:r>
      <w:r w:rsidR="00C25CA9" w:rsidRPr="00787562">
        <w:rPr>
          <w:u w:val="single"/>
          <w:lang w:val="fr-FR"/>
        </w:rPr>
        <w:t>3.1</w:t>
      </w:r>
      <w:r w:rsidR="00674B66" w:rsidRPr="00787562">
        <w:rPr>
          <w:u w:val="single"/>
          <w:lang w:val="fr-FR"/>
        </w:rPr>
        <w:t>:</w:t>
      </w:r>
      <w:r w:rsidR="00667409" w:rsidRPr="00787562">
        <w:rPr>
          <w:u w:val="single"/>
          <w:lang w:val="fr-FR"/>
        </w:rPr>
        <w:t xml:space="preserve"> </w:t>
      </w:r>
      <w:r w:rsidRPr="00787562">
        <w:rPr>
          <w:u w:val="single"/>
          <w:lang w:val="fr-FR"/>
        </w:rPr>
        <w:t>Note d’orientation sur l’évaluation et la valorisation des services écosystémiques des zones humides, avec outils</w:t>
      </w:r>
    </w:p>
    <w:p w14:paraId="68DF8DB0" w14:textId="77777777" w:rsidR="0014427D" w:rsidRPr="00787562" w:rsidRDefault="0014427D" w:rsidP="00C34061">
      <w:pPr>
        <w:pStyle w:val="ListParagraph"/>
        <w:ind w:left="426" w:hanging="426"/>
        <w:rPr>
          <w:lang w:val="fr-FR"/>
        </w:rPr>
      </w:pPr>
    </w:p>
    <w:p w14:paraId="634B8043" w14:textId="7E6E3FF5" w:rsidR="00C25CA9" w:rsidRPr="00787562" w:rsidRDefault="005B4A70" w:rsidP="00682B21">
      <w:pPr>
        <w:rPr>
          <w:lang w:val="fr-FR"/>
        </w:rPr>
      </w:pPr>
      <w:r w:rsidRPr="00787562">
        <w:rPr>
          <w:lang w:val="fr-FR"/>
        </w:rPr>
        <w:t>9.</w:t>
      </w:r>
      <w:r w:rsidRPr="00787562">
        <w:rPr>
          <w:lang w:val="fr-FR"/>
        </w:rPr>
        <w:tab/>
      </w:r>
      <w:r w:rsidR="00084E7E" w:rsidRPr="00787562">
        <w:rPr>
          <w:lang w:val="fr-FR"/>
        </w:rPr>
        <w:t xml:space="preserve">Le GEST a publié une Note d’orientation intitulée </w:t>
      </w:r>
      <w:r w:rsidR="006F5698" w:rsidRPr="00787562">
        <w:rPr>
          <w:i/>
          <w:lang w:val="fr-FR"/>
        </w:rPr>
        <w:t>I</w:t>
      </w:r>
      <w:r w:rsidR="00D12D3B" w:rsidRPr="00787562">
        <w:rPr>
          <w:i/>
          <w:lang w:val="fr-FR"/>
        </w:rPr>
        <w:t>nt</w:t>
      </w:r>
      <w:r w:rsidR="00084E7E" w:rsidRPr="00787562">
        <w:rPr>
          <w:i/>
          <w:lang w:val="fr-FR"/>
        </w:rPr>
        <w:t xml:space="preserve">égrer les valeurs </w:t>
      </w:r>
      <w:r w:rsidR="00787562" w:rsidRPr="00787562">
        <w:rPr>
          <w:i/>
          <w:lang w:val="fr-FR"/>
        </w:rPr>
        <w:t xml:space="preserve">multiples </w:t>
      </w:r>
      <w:r w:rsidR="00084E7E" w:rsidRPr="00787562">
        <w:rPr>
          <w:i/>
          <w:lang w:val="fr-FR"/>
        </w:rPr>
        <w:t>des zones humides dans la prise de décisions</w:t>
      </w:r>
      <w:r w:rsidR="00293A0B" w:rsidRPr="00787562">
        <w:rPr>
          <w:lang w:val="fr-FR"/>
        </w:rPr>
        <w:t>,</w:t>
      </w:r>
      <w:r w:rsidR="00084E7E" w:rsidRPr="00787562">
        <w:rPr>
          <w:lang w:val="fr-FR"/>
        </w:rPr>
        <w:t xml:space="preserve"> avec un protocole en annexe pour évaluer les valeurs multiples des zones humides. L’annexe adaptait le guide de l’IPBES en six étapes pour une conceptualisation diverse de la nature et de ses avantages dans le contexte de Ramsar. Le Secrétariat de la Convention de Ramsar a coordonné le lancement, avec le Secrétariat de la </w:t>
      </w:r>
      <w:r w:rsidR="00084E7E" w:rsidRPr="00787562">
        <w:rPr>
          <w:lang w:val="fr-FR"/>
        </w:rPr>
        <w:lastRenderedPageBreak/>
        <w:t>Plateforme intergouvernementale, scientifique et politique, sur la biodiversité et les services écosystémiques (IPBES), le 19 septembre 2017, ce qui a donné lieu à 15 </w:t>
      </w:r>
      <w:r w:rsidR="008E5897" w:rsidRPr="00787562">
        <w:rPr>
          <w:lang w:val="fr-FR"/>
        </w:rPr>
        <w:t>500</w:t>
      </w:r>
      <w:r w:rsidR="00084E7E" w:rsidRPr="00787562">
        <w:rPr>
          <w:lang w:val="fr-FR"/>
        </w:rPr>
        <w:t> impressions</w:t>
      </w:r>
      <w:r w:rsidR="008E5897" w:rsidRPr="00787562">
        <w:rPr>
          <w:lang w:val="fr-FR"/>
        </w:rPr>
        <w:t xml:space="preserve"> Twitter </w:t>
      </w:r>
      <w:r w:rsidR="00084E7E" w:rsidRPr="00787562">
        <w:rPr>
          <w:lang w:val="fr-FR"/>
        </w:rPr>
        <w:t>et</w:t>
      </w:r>
      <w:r w:rsidR="008E5897" w:rsidRPr="00787562">
        <w:rPr>
          <w:lang w:val="fr-FR"/>
        </w:rPr>
        <w:t xml:space="preserve"> </w:t>
      </w:r>
      <w:r w:rsidR="002A719E" w:rsidRPr="00787562">
        <w:rPr>
          <w:lang w:val="fr-FR"/>
        </w:rPr>
        <w:t>511</w:t>
      </w:r>
      <w:r w:rsidR="00084E7E" w:rsidRPr="00787562">
        <w:rPr>
          <w:lang w:val="fr-FR"/>
        </w:rPr>
        <w:t> téléchargements du site web de Ramsar. La Note d’orientation a été partagée avec des partenaires clés et collaborat</w:t>
      </w:r>
      <w:r w:rsidR="00787562" w:rsidRPr="00787562">
        <w:rPr>
          <w:lang w:val="fr-FR"/>
        </w:rPr>
        <w:t>eurs</w:t>
      </w:r>
      <w:r w:rsidR="00084E7E" w:rsidRPr="00787562">
        <w:rPr>
          <w:lang w:val="fr-FR"/>
        </w:rPr>
        <w:t xml:space="preserve">, notamment : ONU Environnement, le Partenariat </w:t>
      </w:r>
      <w:r w:rsidR="00787562" w:rsidRPr="00787562">
        <w:rPr>
          <w:lang w:val="fr-FR"/>
        </w:rPr>
        <w:t>global</w:t>
      </w:r>
      <w:r w:rsidR="00084E7E" w:rsidRPr="00787562">
        <w:rPr>
          <w:lang w:val="fr-FR"/>
        </w:rPr>
        <w:t xml:space="preserve"> pour l’eau, les Secrétariats de l’IPBES, de ONU</w:t>
      </w:r>
      <w:r w:rsidR="00084E7E" w:rsidRPr="00787562">
        <w:rPr>
          <w:lang w:val="fr-FR"/>
        </w:rPr>
        <w:noBreakHyphen/>
        <w:t xml:space="preserve">Eau, de la Convention sur la diversité biologique, de la Convention des Nations Unies sur la lutte contre la désertification et de la Convention sur les espèces migratrices et </w:t>
      </w:r>
      <w:r w:rsidR="00682B21" w:rsidRPr="00787562">
        <w:rPr>
          <w:lang w:val="fr-FR"/>
        </w:rPr>
        <w:t xml:space="preserve">BirdLife International, </w:t>
      </w:r>
      <w:r w:rsidR="00084E7E" w:rsidRPr="00787562">
        <w:rPr>
          <w:lang w:val="fr-FR"/>
        </w:rPr>
        <w:t xml:space="preserve">le Programme mondial pour l’eau de l’UICN, l’Institut international de gestion de l’eau, Wetlands </w:t>
      </w:r>
      <w:r w:rsidR="00682B21" w:rsidRPr="00787562">
        <w:rPr>
          <w:lang w:val="fr-FR"/>
        </w:rPr>
        <w:t xml:space="preserve">International </w:t>
      </w:r>
      <w:r w:rsidR="00084E7E" w:rsidRPr="00787562">
        <w:rPr>
          <w:lang w:val="fr-FR"/>
        </w:rPr>
        <w:t>et le</w:t>
      </w:r>
      <w:r w:rsidR="00682B21" w:rsidRPr="00787562">
        <w:rPr>
          <w:lang w:val="fr-FR"/>
        </w:rPr>
        <w:t xml:space="preserve"> Wildfowl and Wetlands Trust. </w:t>
      </w:r>
      <w:r w:rsidR="00084E7E" w:rsidRPr="00787562">
        <w:rPr>
          <w:lang w:val="fr-FR"/>
        </w:rPr>
        <w:t>Le Secrétariat de l’</w:t>
      </w:r>
      <w:r w:rsidR="008E5897" w:rsidRPr="00787562">
        <w:rPr>
          <w:lang w:val="fr-FR"/>
        </w:rPr>
        <w:t>IPBES</w:t>
      </w:r>
      <w:r w:rsidR="004F0D76" w:rsidRPr="00787562">
        <w:rPr>
          <w:lang w:val="fr-FR"/>
        </w:rPr>
        <w:t xml:space="preserve"> </w:t>
      </w:r>
      <w:r w:rsidR="00084E7E" w:rsidRPr="00787562">
        <w:rPr>
          <w:lang w:val="fr-FR"/>
        </w:rPr>
        <w:t>a partagé la Note d’orientation sur son réseau de 13 000 souscripteurs et l’a fait figurer sur sa page web.</w:t>
      </w:r>
      <w:r w:rsidR="00333625" w:rsidRPr="00787562">
        <w:rPr>
          <w:lang w:val="fr-FR"/>
        </w:rPr>
        <w:t xml:space="preserve"> </w:t>
      </w:r>
    </w:p>
    <w:p w14:paraId="628476AF" w14:textId="77777777" w:rsidR="00674B66" w:rsidRPr="00787562" w:rsidRDefault="00674B66" w:rsidP="004D0A2C">
      <w:pPr>
        <w:rPr>
          <w:lang w:val="fr-FR"/>
        </w:rPr>
      </w:pPr>
    </w:p>
    <w:p w14:paraId="0ECA0A71" w14:textId="7B2D5C77" w:rsidR="00674B66" w:rsidRPr="00787562" w:rsidRDefault="00D234AB" w:rsidP="005B4A70">
      <w:pPr>
        <w:rPr>
          <w:u w:val="single"/>
          <w:lang w:val="fr-FR"/>
        </w:rPr>
      </w:pPr>
      <w:r w:rsidRPr="00787562">
        <w:rPr>
          <w:u w:val="single"/>
          <w:lang w:val="fr-FR"/>
        </w:rPr>
        <w:t xml:space="preserve">Tâche </w:t>
      </w:r>
      <w:r w:rsidR="00674B66" w:rsidRPr="00787562">
        <w:rPr>
          <w:u w:val="single"/>
          <w:lang w:val="fr-FR"/>
        </w:rPr>
        <w:t>3.2</w:t>
      </w:r>
      <w:r w:rsidRPr="00787562">
        <w:rPr>
          <w:u w:val="single"/>
          <w:lang w:val="fr-FR"/>
        </w:rPr>
        <w:t xml:space="preserve"> </w:t>
      </w:r>
      <w:r w:rsidR="00674B66" w:rsidRPr="00787562">
        <w:rPr>
          <w:u w:val="single"/>
          <w:lang w:val="fr-FR"/>
        </w:rPr>
        <w:t xml:space="preserve">: </w:t>
      </w:r>
      <w:r w:rsidRPr="00787562">
        <w:rPr>
          <w:u w:val="single"/>
          <w:lang w:val="fr-FR"/>
        </w:rPr>
        <w:t>Les écosystèmes de zones humides et la prévention des risques de catastrophe</w:t>
      </w:r>
    </w:p>
    <w:p w14:paraId="77FF55FB" w14:textId="77777777" w:rsidR="005B2F75" w:rsidRPr="00787562" w:rsidRDefault="005B2F75" w:rsidP="00684ACE">
      <w:pPr>
        <w:pStyle w:val="ListParagraph"/>
        <w:ind w:left="426" w:hanging="426"/>
        <w:rPr>
          <w:lang w:val="fr-FR"/>
        </w:rPr>
      </w:pPr>
    </w:p>
    <w:p w14:paraId="19928296" w14:textId="1C770F34" w:rsidR="007627FA" w:rsidRPr="00787562" w:rsidRDefault="005B4A70" w:rsidP="0098291C">
      <w:pPr>
        <w:rPr>
          <w:lang w:val="fr-FR"/>
        </w:rPr>
      </w:pPr>
      <w:r w:rsidRPr="00787562">
        <w:rPr>
          <w:lang w:val="fr-FR"/>
        </w:rPr>
        <w:t>10.</w:t>
      </w:r>
      <w:r w:rsidRPr="00787562">
        <w:rPr>
          <w:lang w:val="fr-FR"/>
        </w:rPr>
        <w:tab/>
      </w:r>
      <w:r w:rsidR="00B8726B" w:rsidRPr="00787562">
        <w:rPr>
          <w:lang w:val="fr-FR"/>
        </w:rPr>
        <w:t xml:space="preserve">Une Note d’orientation intitulée </w:t>
      </w:r>
      <w:r w:rsidR="00B8726B" w:rsidRPr="00787562">
        <w:rPr>
          <w:i/>
          <w:lang w:val="fr-FR"/>
        </w:rPr>
        <w:t xml:space="preserve">Les zones humides pour la prévention des risques de catastrophe – Choix </w:t>
      </w:r>
      <w:r w:rsidR="00787562">
        <w:rPr>
          <w:i/>
          <w:lang w:val="fr-FR"/>
        </w:rPr>
        <w:t xml:space="preserve">judicieux </w:t>
      </w:r>
      <w:r w:rsidR="00B8726B" w:rsidRPr="00787562">
        <w:rPr>
          <w:i/>
          <w:lang w:val="fr-FR"/>
        </w:rPr>
        <w:t xml:space="preserve">pour des communautés résilientes </w:t>
      </w:r>
      <w:r w:rsidR="00B8726B" w:rsidRPr="00787562">
        <w:rPr>
          <w:lang w:val="fr-FR"/>
        </w:rPr>
        <w:t>a été rédigée par</w:t>
      </w:r>
      <w:r w:rsidR="005A083B" w:rsidRPr="00787562">
        <w:rPr>
          <w:lang w:val="fr-FR"/>
        </w:rPr>
        <w:t xml:space="preserve"> Wetlands International, </w:t>
      </w:r>
      <w:r w:rsidR="00787562">
        <w:rPr>
          <w:lang w:val="fr-FR"/>
        </w:rPr>
        <w:t>sous la direction d’</w:t>
      </w:r>
      <w:r w:rsidR="00B8726B" w:rsidRPr="00787562">
        <w:rPr>
          <w:lang w:val="fr-FR"/>
        </w:rPr>
        <w:t xml:space="preserve">un membre du GEST, </w:t>
      </w:r>
      <w:r w:rsidR="005A083B" w:rsidRPr="00787562">
        <w:rPr>
          <w:lang w:val="fr-FR"/>
        </w:rPr>
        <w:t>Ritesh Kumar</w:t>
      </w:r>
      <w:r w:rsidR="00B8726B" w:rsidRPr="00787562">
        <w:rPr>
          <w:lang w:val="fr-FR"/>
        </w:rPr>
        <w:t xml:space="preserve">. Le lancement, le 13 octobre 2017, à l’occasion de la Journée internationale pour la </w:t>
      </w:r>
      <w:r w:rsidR="00787562">
        <w:rPr>
          <w:lang w:val="fr-FR"/>
        </w:rPr>
        <w:t>prévention</w:t>
      </w:r>
      <w:r w:rsidR="00B8726B" w:rsidRPr="00787562">
        <w:rPr>
          <w:lang w:val="fr-FR"/>
        </w:rPr>
        <w:t xml:space="preserve"> des catastrophe</w:t>
      </w:r>
      <w:r w:rsidR="00D76AB1">
        <w:rPr>
          <w:lang w:val="fr-FR"/>
        </w:rPr>
        <w:t>s</w:t>
      </w:r>
      <w:r w:rsidR="00B8726B" w:rsidRPr="00787562">
        <w:rPr>
          <w:lang w:val="fr-FR"/>
        </w:rPr>
        <w:t xml:space="preserve">, conjointement avec le </w:t>
      </w:r>
      <w:r w:rsidR="002A719E" w:rsidRPr="00787562">
        <w:rPr>
          <w:lang w:val="fr-FR"/>
        </w:rPr>
        <w:t>Partnership for Environment and Disaster Risk Reduction (</w:t>
      </w:r>
      <w:r w:rsidR="008E5897" w:rsidRPr="00787562">
        <w:rPr>
          <w:lang w:val="fr-FR"/>
        </w:rPr>
        <w:t>PEDRR</w:t>
      </w:r>
      <w:r w:rsidR="002A719E" w:rsidRPr="00787562">
        <w:rPr>
          <w:lang w:val="fr-FR"/>
        </w:rPr>
        <w:t>)</w:t>
      </w:r>
      <w:r w:rsidR="008E5897" w:rsidRPr="00787562">
        <w:rPr>
          <w:lang w:val="fr-FR"/>
        </w:rPr>
        <w:t xml:space="preserve"> </w:t>
      </w:r>
      <w:r w:rsidR="00B8726B" w:rsidRPr="00787562">
        <w:rPr>
          <w:lang w:val="fr-FR"/>
        </w:rPr>
        <w:t>et</w:t>
      </w:r>
      <w:r w:rsidR="008E5897" w:rsidRPr="00787562">
        <w:rPr>
          <w:lang w:val="fr-FR"/>
        </w:rPr>
        <w:t xml:space="preserve"> Wetlands International</w:t>
      </w:r>
      <w:r w:rsidR="00CE27ED" w:rsidRPr="00787562">
        <w:rPr>
          <w:lang w:val="fr-FR"/>
        </w:rPr>
        <w:t>,</w:t>
      </w:r>
      <w:r w:rsidR="00542B80" w:rsidRPr="00787562">
        <w:rPr>
          <w:lang w:val="fr-FR"/>
        </w:rPr>
        <w:t xml:space="preserve"> </w:t>
      </w:r>
      <w:r w:rsidR="00B8726B" w:rsidRPr="00787562">
        <w:rPr>
          <w:lang w:val="fr-FR"/>
        </w:rPr>
        <w:t xml:space="preserve">a résulté en </w:t>
      </w:r>
      <w:r w:rsidR="002A719E" w:rsidRPr="00787562">
        <w:rPr>
          <w:lang w:val="fr-FR"/>
        </w:rPr>
        <w:t>376</w:t>
      </w:r>
      <w:r w:rsidR="00B8726B" w:rsidRPr="00787562">
        <w:rPr>
          <w:lang w:val="fr-FR"/>
        </w:rPr>
        <w:t xml:space="preserve"> téléchargements, environ 20 000 impressions sur les réseaux sociaux. Un article web sur les liens entre la perte des zones humides, les migrations et les conflits a été préparé avec </w:t>
      </w:r>
      <w:r w:rsidR="003272B4" w:rsidRPr="00787562">
        <w:rPr>
          <w:lang w:val="fr-FR"/>
        </w:rPr>
        <w:t>Wetlands International</w:t>
      </w:r>
      <w:r w:rsidR="002A719E" w:rsidRPr="00787562">
        <w:rPr>
          <w:lang w:val="fr-FR"/>
        </w:rPr>
        <w:t xml:space="preserve"> </w:t>
      </w:r>
      <w:r w:rsidR="00B8726B" w:rsidRPr="00787562">
        <w:rPr>
          <w:lang w:val="fr-FR"/>
        </w:rPr>
        <w:t>et</w:t>
      </w:r>
      <w:r w:rsidR="002A719E" w:rsidRPr="00787562">
        <w:rPr>
          <w:lang w:val="fr-FR"/>
        </w:rPr>
        <w:t xml:space="preserve"> PEDRR</w:t>
      </w:r>
      <w:r w:rsidR="001F6182" w:rsidRPr="00787562">
        <w:rPr>
          <w:lang w:val="fr-FR"/>
        </w:rPr>
        <w:t xml:space="preserve">. </w:t>
      </w:r>
    </w:p>
    <w:p w14:paraId="24A86679" w14:textId="77777777" w:rsidR="007627FA" w:rsidRPr="00787562" w:rsidRDefault="007627FA" w:rsidP="00684ACE">
      <w:pPr>
        <w:rPr>
          <w:lang w:val="fr-FR"/>
        </w:rPr>
      </w:pPr>
    </w:p>
    <w:p w14:paraId="6B6FE95A" w14:textId="5B845608" w:rsidR="00946070" w:rsidRPr="00787562" w:rsidRDefault="00D234AB" w:rsidP="007627FA">
      <w:pPr>
        <w:rPr>
          <w:u w:val="single"/>
          <w:lang w:val="fr-FR"/>
        </w:rPr>
      </w:pPr>
      <w:r w:rsidRPr="00787562">
        <w:rPr>
          <w:u w:val="single"/>
          <w:lang w:val="fr-FR"/>
        </w:rPr>
        <w:t xml:space="preserve">Tâche </w:t>
      </w:r>
      <w:r w:rsidR="00C25CA9" w:rsidRPr="00787562">
        <w:rPr>
          <w:u w:val="single"/>
          <w:lang w:val="fr-FR"/>
        </w:rPr>
        <w:t>4.1</w:t>
      </w:r>
      <w:r w:rsidRPr="00787562">
        <w:rPr>
          <w:u w:val="single"/>
          <w:lang w:val="fr-FR"/>
        </w:rPr>
        <w:t xml:space="preserve"> </w:t>
      </w:r>
      <w:r w:rsidR="00946070" w:rsidRPr="00787562">
        <w:rPr>
          <w:u w:val="single"/>
          <w:lang w:val="fr-FR"/>
        </w:rPr>
        <w:t>:</w:t>
      </w:r>
      <w:r w:rsidR="00667409" w:rsidRPr="00787562">
        <w:rPr>
          <w:u w:val="single"/>
          <w:lang w:val="fr-FR"/>
        </w:rPr>
        <w:t xml:space="preserve"> </w:t>
      </w:r>
      <w:r w:rsidRPr="00787562">
        <w:rPr>
          <w:u w:val="single"/>
          <w:lang w:val="fr-FR"/>
        </w:rPr>
        <w:t>Besoins en eau des zones humides</w:t>
      </w:r>
    </w:p>
    <w:p w14:paraId="3F5800C8" w14:textId="77777777" w:rsidR="00946070" w:rsidRPr="00787562" w:rsidRDefault="00946070" w:rsidP="007627FA">
      <w:pPr>
        <w:rPr>
          <w:lang w:val="fr-FR"/>
        </w:rPr>
      </w:pPr>
    </w:p>
    <w:p w14:paraId="2E22BF77" w14:textId="4A977CCF" w:rsidR="007627FA" w:rsidRPr="00787562" w:rsidRDefault="005B4A70" w:rsidP="0098291C">
      <w:pPr>
        <w:rPr>
          <w:lang w:val="fr-FR"/>
        </w:rPr>
      </w:pPr>
      <w:r w:rsidRPr="00787562">
        <w:rPr>
          <w:lang w:val="fr-FR"/>
        </w:rPr>
        <w:t>11.</w:t>
      </w:r>
      <w:r w:rsidRPr="00787562">
        <w:rPr>
          <w:lang w:val="fr-FR"/>
        </w:rPr>
        <w:tab/>
      </w:r>
      <w:r w:rsidR="00B8726B" w:rsidRPr="00787562">
        <w:rPr>
          <w:lang w:val="fr-FR"/>
        </w:rPr>
        <w:t xml:space="preserve">Un projet final de la Note d’orientation intitulée </w:t>
      </w:r>
      <w:r w:rsidR="007627FA" w:rsidRPr="00787562">
        <w:rPr>
          <w:i/>
          <w:lang w:val="fr-FR"/>
        </w:rPr>
        <w:t>Implementing environmental flows with benefits for society and different wetland ecosystems in the river system</w:t>
      </w:r>
      <w:r w:rsidR="007B629E" w:rsidRPr="00787562">
        <w:rPr>
          <w:lang w:val="fr-FR"/>
        </w:rPr>
        <w:t xml:space="preserve">, </w:t>
      </w:r>
      <w:r w:rsidR="00B8726B" w:rsidRPr="00787562">
        <w:rPr>
          <w:lang w:val="fr-FR"/>
        </w:rPr>
        <w:t xml:space="preserve">issu d’un rapport technique plus complet sur les flux environnementaux publié par le </w:t>
      </w:r>
      <w:r w:rsidR="004E42E9" w:rsidRPr="00787562">
        <w:rPr>
          <w:lang w:val="fr-FR"/>
        </w:rPr>
        <w:t>WWF</w:t>
      </w:r>
      <w:r w:rsidR="00B8726B" w:rsidRPr="00787562">
        <w:rPr>
          <w:lang w:val="fr-FR"/>
        </w:rPr>
        <w:noBreakHyphen/>
        <w:t>Royaume-Uni au 20</w:t>
      </w:r>
      <w:r w:rsidR="00B8726B" w:rsidRPr="00787562">
        <w:rPr>
          <w:vertAlign w:val="superscript"/>
          <w:lang w:val="fr-FR"/>
        </w:rPr>
        <w:t>e</w:t>
      </w:r>
      <w:r w:rsidR="00B8726B" w:rsidRPr="00787562">
        <w:rPr>
          <w:lang w:val="fr-FR"/>
        </w:rPr>
        <w:t xml:space="preserve"> Symposium international sur les cours d’eau en 2017, à </w:t>
      </w:r>
      <w:r w:rsidR="007627FA" w:rsidRPr="00787562">
        <w:rPr>
          <w:lang w:val="fr-FR"/>
        </w:rPr>
        <w:t>Brisbane, Australi</w:t>
      </w:r>
      <w:r w:rsidR="00B8726B" w:rsidRPr="00787562">
        <w:rPr>
          <w:lang w:val="fr-FR"/>
        </w:rPr>
        <w:t>e</w:t>
      </w:r>
      <w:r w:rsidR="00946070" w:rsidRPr="00787562">
        <w:rPr>
          <w:lang w:val="fr-FR"/>
        </w:rPr>
        <w:t xml:space="preserve">, </w:t>
      </w:r>
      <w:r w:rsidR="00B8726B" w:rsidRPr="00787562">
        <w:rPr>
          <w:lang w:val="fr-FR"/>
        </w:rPr>
        <w:t>et intitulé</w:t>
      </w:r>
      <w:r w:rsidR="007627FA" w:rsidRPr="00787562">
        <w:rPr>
          <w:lang w:val="fr-FR"/>
        </w:rPr>
        <w:t xml:space="preserve"> </w:t>
      </w:r>
      <w:r w:rsidR="007627FA" w:rsidRPr="00787562">
        <w:rPr>
          <w:i/>
          <w:lang w:val="fr-FR"/>
        </w:rPr>
        <w:t>Listen to the river: Lessons from a global review of environmental flow success stories</w:t>
      </w:r>
      <w:r w:rsidR="00B8726B" w:rsidRPr="00787562">
        <w:rPr>
          <w:lang w:val="fr-FR"/>
        </w:rPr>
        <w:t xml:space="preserve">, a été remis au Secrétariat pour </w:t>
      </w:r>
      <w:r w:rsidR="002964CD" w:rsidRPr="00787562">
        <w:rPr>
          <w:lang w:val="fr-FR"/>
        </w:rPr>
        <w:t>production</w:t>
      </w:r>
      <w:r w:rsidR="007B629E" w:rsidRPr="00787562">
        <w:rPr>
          <w:lang w:val="fr-FR"/>
        </w:rPr>
        <w:t xml:space="preserve"> </w:t>
      </w:r>
      <w:r w:rsidR="00B8726B" w:rsidRPr="00787562">
        <w:rPr>
          <w:lang w:val="fr-FR"/>
        </w:rPr>
        <w:t xml:space="preserve">à la fin de la </w:t>
      </w:r>
      <w:r w:rsidR="001C05F3" w:rsidRPr="001C05F3">
        <w:rPr>
          <w:lang w:val="fr-FR"/>
        </w:rPr>
        <w:t>21</w:t>
      </w:r>
      <w:r w:rsidR="001C05F3" w:rsidRPr="001C05F3">
        <w:rPr>
          <w:vertAlign w:val="superscript"/>
          <w:lang w:val="fr-FR"/>
        </w:rPr>
        <w:t>e</w:t>
      </w:r>
      <w:r w:rsidR="001C05F3" w:rsidRPr="001C05F3">
        <w:rPr>
          <w:lang w:val="fr-FR"/>
        </w:rPr>
        <w:t xml:space="preserve"> Réunion du GEST</w:t>
      </w:r>
      <w:r w:rsidR="00B8726B" w:rsidRPr="00787562">
        <w:rPr>
          <w:lang w:val="fr-FR"/>
        </w:rPr>
        <w:t>.</w:t>
      </w:r>
    </w:p>
    <w:p w14:paraId="061804A9" w14:textId="77777777" w:rsidR="005B2F75" w:rsidRPr="00787562" w:rsidRDefault="005B2F75" w:rsidP="00684ACE">
      <w:pPr>
        <w:pStyle w:val="ListParagraph"/>
        <w:ind w:left="426" w:hanging="426"/>
        <w:rPr>
          <w:lang w:val="fr-FR"/>
        </w:rPr>
      </w:pPr>
    </w:p>
    <w:p w14:paraId="6277855C" w14:textId="1E5F04DB" w:rsidR="00946070" w:rsidRPr="00787562" w:rsidRDefault="00D234AB" w:rsidP="00C34061">
      <w:pPr>
        <w:pStyle w:val="ListParagraph"/>
        <w:ind w:left="426" w:hanging="426"/>
        <w:rPr>
          <w:u w:val="single"/>
          <w:lang w:val="fr-FR"/>
        </w:rPr>
      </w:pPr>
      <w:r w:rsidRPr="00787562">
        <w:rPr>
          <w:u w:val="single"/>
          <w:lang w:val="fr-FR"/>
        </w:rPr>
        <w:t xml:space="preserve">Tâche </w:t>
      </w:r>
      <w:r w:rsidR="00C25CA9" w:rsidRPr="00787562">
        <w:rPr>
          <w:u w:val="single"/>
          <w:lang w:val="fr-FR"/>
        </w:rPr>
        <w:t>4.2</w:t>
      </w:r>
      <w:r w:rsidRPr="00787562">
        <w:rPr>
          <w:u w:val="single"/>
          <w:lang w:val="fr-FR"/>
        </w:rPr>
        <w:t xml:space="preserve"> </w:t>
      </w:r>
      <w:r w:rsidR="00946070" w:rsidRPr="00787562">
        <w:rPr>
          <w:u w:val="single"/>
          <w:lang w:val="fr-FR"/>
        </w:rPr>
        <w:t>:</w:t>
      </w:r>
      <w:r w:rsidR="00667409" w:rsidRPr="00787562">
        <w:rPr>
          <w:u w:val="single"/>
          <w:lang w:val="fr-FR"/>
        </w:rPr>
        <w:t xml:space="preserve"> </w:t>
      </w:r>
      <w:r w:rsidRPr="00787562">
        <w:rPr>
          <w:u w:val="single"/>
          <w:lang w:val="fr-FR"/>
        </w:rPr>
        <w:t>Examen et analyse des rapports de Missions consultatives Ramsar</w:t>
      </w:r>
    </w:p>
    <w:p w14:paraId="1E43FC95" w14:textId="77777777" w:rsidR="00946070" w:rsidRPr="00787562" w:rsidRDefault="00946070" w:rsidP="00C34061">
      <w:pPr>
        <w:pStyle w:val="ListParagraph"/>
        <w:ind w:left="426" w:hanging="426"/>
        <w:rPr>
          <w:lang w:val="fr-FR"/>
        </w:rPr>
      </w:pPr>
    </w:p>
    <w:p w14:paraId="313D91A8" w14:textId="6B73756C" w:rsidR="00C25CA9" w:rsidRPr="00787562" w:rsidRDefault="005B4A70" w:rsidP="0098291C">
      <w:pPr>
        <w:rPr>
          <w:lang w:val="fr-FR"/>
        </w:rPr>
      </w:pPr>
      <w:r w:rsidRPr="00787562">
        <w:rPr>
          <w:lang w:val="fr-FR"/>
        </w:rPr>
        <w:t>12.</w:t>
      </w:r>
      <w:r w:rsidRPr="00787562">
        <w:rPr>
          <w:lang w:val="fr-FR"/>
        </w:rPr>
        <w:tab/>
      </w:r>
      <w:r w:rsidR="00B8726B" w:rsidRPr="00787562">
        <w:rPr>
          <w:lang w:val="fr-FR"/>
        </w:rPr>
        <w:t xml:space="preserve">Le </w:t>
      </w:r>
      <w:r w:rsidR="00CE678B" w:rsidRPr="00787562">
        <w:rPr>
          <w:lang w:val="fr-FR"/>
        </w:rPr>
        <w:t xml:space="preserve">WWF </w:t>
      </w:r>
      <w:r w:rsidR="00B8726B" w:rsidRPr="00787562">
        <w:rPr>
          <w:lang w:val="fr-FR"/>
        </w:rPr>
        <w:t xml:space="preserve">a </w:t>
      </w:r>
      <w:r w:rsidR="001C05F3">
        <w:rPr>
          <w:lang w:val="fr-FR"/>
        </w:rPr>
        <w:t xml:space="preserve">versé </w:t>
      </w:r>
      <w:r w:rsidR="00CE678B" w:rsidRPr="00787562">
        <w:rPr>
          <w:lang w:val="fr-FR"/>
        </w:rPr>
        <w:t>22</w:t>
      </w:r>
      <w:r w:rsidR="00B8726B" w:rsidRPr="00787562">
        <w:rPr>
          <w:lang w:val="fr-FR"/>
        </w:rPr>
        <w:t> </w:t>
      </w:r>
      <w:r w:rsidR="00CE678B" w:rsidRPr="00787562">
        <w:rPr>
          <w:lang w:val="fr-FR"/>
        </w:rPr>
        <w:t>000</w:t>
      </w:r>
      <w:r w:rsidR="00B8726B" w:rsidRPr="00787562">
        <w:rPr>
          <w:lang w:val="fr-FR"/>
        </w:rPr>
        <w:t> CHF pour cette tâche. Deux</w:t>
      </w:r>
      <w:r w:rsidR="006B3F45" w:rsidRPr="00787562">
        <w:rPr>
          <w:lang w:val="fr-FR"/>
        </w:rPr>
        <w:t xml:space="preserve"> consultants, </w:t>
      </w:r>
      <w:r w:rsidR="005A083B" w:rsidRPr="00787562">
        <w:rPr>
          <w:lang w:val="fr-FR"/>
        </w:rPr>
        <w:t xml:space="preserve">Tim Jones </w:t>
      </w:r>
      <w:r w:rsidR="00B8726B" w:rsidRPr="00787562">
        <w:rPr>
          <w:lang w:val="fr-FR"/>
        </w:rPr>
        <w:t>et</w:t>
      </w:r>
      <w:r w:rsidR="005A083B" w:rsidRPr="00787562">
        <w:rPr>
          <w:lang w:val="fr-FR"/>
        </w:rPr>
        <w:t xml:space="preserve"> Dave Pritchard</w:t>
      </w:r>
      <w:r w:rsidR="006B3F45" w:rsidRPr="00787562">
        <w:rPr>
          <w:lang w:val="fr-FR"/>
        </w:rPr>
        <w:t xml:space="preserve">, </w:t>
      </w:r>
      <w:r w:rsidR="00B8726B" w:rsidRPr="00787562">
        <w:rPr>
          <w:lang w:val="fr-FR"/>
        </w:rPr>
        <w:t>ont participé à l’étude et à l’analyse des rapports de MRC. Le rapport final a été soumis au Secrétariat en janvier 2018. Un projet de Note d’orientation et un projet de Note d’information sont issus de l’analyse exhaustive. Le projet de Note d’information sera communiqué aux CN GEST pour commentaire. Les deux projets devraient être publiés au premier trimestre de 2018.</w:t>
      </w:r>
    </w:p>
    <w:p w14:paraId="2209B658" w14:textId="77777777" w:rsidR="005B2F75" w:rsidRPr="00787562" w:rsidRDefault="005B2F75" w:rsidP="00684ACE">
      <w:pPr>
        <w:pStyle w:val="ListParagraph"/>
        <w:ind w:left="426" w:hanging="426"/>
        <w:rPr>
          <w:lang w:val="fr-FR"/>
        </w:rPr>
      </w:pPr>
    </w:p>
    <w:p w14:paraId="69A51F6A" w14:textId="2BE27282" w:rsidR="00946070" w:rsidRPr="00787562" w:rsidRDefault="00D234AB" w:rsidP="00C34061">
      <w:pPr>
        <w:pStyle w:val="ListParagraph"/>
        <w:ind w:left="426" w:hanging="426"/>
        <w:rPr>
          <w:u w:val="single"/>
          <w:lang w:val="fr-FR"/>
        </w:rPr>
      </w:pPr>
      <w:r w:rsidRPr="00787562">
        <w:rPr>
          <w:u w:val="single"/>
          <w:lang w:val="fr-FR"/>
        </w:rPr>
        <w:t xml:space="preserve">Tâche </w:t>
      </w:r>
      <w:r w:rsidR="00C25CA9" w:rsidRPr="00787562">
        <w:rPr>
          <w:u w:val="single"/>
          <w:lang w:val="fr-FR"/>
        </w:rPr>
        <w:t>5.1</w:t>
      </w:r>
      <w:r w:rsidRPr="00787562">
        <w:rPr>
          <w:u w:val="single"/>
          <w:lang w:val="fr-FR"/>
        </w:rPr>
        <w:t xml:space="preserve"> </w:t>
      </w:r>
      <w:r w:rsidR="00946070" w:rsidRPr="00787562">
        <w:rPr>
          <w:u w:val="single"/>
          <w:lang w:val="fr-FR"/>
        </w:rPr>
        <w:t>:</w:t>
      </w:r>
      <w:r w:rsidR="00A02677" w:rsidRPr="00787562">
        <w:rPr>
          <w:u w:val="single"/>
          <w:lang w:val="fr-FR"/>
        </w:rPr>
        <w:t xml:space="preserve"> </w:t>
      </w:r>
      <w:r w:rsidRPr="00787562">
        <w:rPr>
          <w:u w:val="single"/>
          <w:lang w:val="fr-FR"/>
        </w:rPr>
        <w:t>Promotion des meilleures pratiques pour la restauration des zones humides</w:t>
      </w:r>
    </w:p>
    <w:p w14:paraId="7EB3105A" w14:textId="77777777" w:rsidR="00946070" w:rsidRPr="00787562" w:rsidRDefault="00946070" w:rsidP="00C34061">
      <w:pPr>
        <w:pStyle w:val="ListParagraph"/>
        <w:ind w:left="426" w:hanging="426"/>
        <w:rPr>
          <w:lang w:val="fr-FR"/>
        </w:rPr>
      </w:pPr>
    </w:p>
    <w:p w14:paraId="36874DA6" w14:textId="2EDC3478" w:rsidR="008869D6" w:rsidRPr="00787562" w:rsidRDefault="005B4A70" w:rsidP="0098291C">
      <w:pPr>
        <w:rPr>
          <w:i/>
          <w:lang w:val="fr-FR"/>
        </w:rPr>
      </w:pPr>
      <w:r w:rsidRPr="00787562">
        <w:rPr>
          <w:lang w:val="fr-FR"/>
        </w:rPr>
        <w:t>13.</w:t>
      </w:r>
      <w:r w:rsidRPr="00787562">
        <w:rPr>
          <w:lang w:val="fr-FR"/>
        </w:rPr>
        <w:tab/>
      </w:r>
      <w:r w:rsidR="00B8726B" w:rsidRPr="00787562">
        <w:rPr>
          <w:lang w:val="fr-FR"/>
        </w:rPr>
        <w:t xml:space="preserve">Un projet de Note d’information intitulé </w:t>
      </w:r>
      <w:r w:rsidR="0096379F" w:rsidRPr="00787562">
        <w:rPr>
          <w:i/>
          <w:lang w:val="fr-FR"/>
        </w:rPr>
        <w:t>T</w:t>
      </w:r>
      <w:r w:rsidR="00352F8E" w:rsidRPr="00787562">
        <w:rPr>
          <w:i/>
          <w:lang w:val="fr-FR"/>
        </w:rPr>
        <w:t xml:space="preserve">he </w:t>
      </w:r>
      <w:r w:rsidR="0096379F" w:rsidRPr="00787562">
        <w:rPr>
          <w:i/>
          <w:lang w:val="fr-FR"/>
        </w:rPr>
        <w:t>p</w:t>
      </w:r>
      <w:r w:rsidR="00C3740C" w:rsidRPr="00787562">
        <w:rPr>
          <w:i/>
          <w:lang w:val="fr-FR"/>
        </w:rPr>
        <w:t xml:space="preserve">otential and </w:t>
      </w:r>
      <w:r w:rsidR="0096379F" w:rsidRPr="00787562">
        <w:rPr>
          <w:i/>
          <w:lang w:val="fr-FR"/>
        </w:rPr>
        <w:t>rationale</w:t>
      </w:r>
      <w:r w:rsidR="00C3740C" w:rsidRPr="00787562">
        <w:rPr>
          <w:i/>
          <w:lang w:val="fr-FR"/>
        </w:rPr>
        <w:t xml:space="preserve"> for </w:t>
      </w:r>
      <w:r w:rsidR="0096379F" w:rsidRPr="00787562">
        <w:rPr>
          <w:i/>
          <w:lang w:val="fr-FR"/>
        </w:rPr>
        <w:t>wetland restoration</w:t>
      </w:r>
      <w:r w:rsidR="00C3740C" w:rsidRPr="00787562">
        <w:rPr>
          <w:i/>
          <w:lang w:val="fr-FR"/>
        </w:rPr>
        <w:t xml:space="preserve"> in a </w:t>
      </w:r>
      <w:r w:rsidR="0096379F" w:rsidRPr="00787562">
        <w:rPr>
          <w:i/>
          <w:lang w:val="fr-FR"/>
        </w:rPr>
        <w:t>climate change context</w:t>
      </w:r>
      <w:r w:rsidR="00425317" w:rsidRPr="00787562">
        <w:rPr>
          <w:i/>
          <w:lang w:val="fr-FR"/>
        </w:rPr>
        <w:t xml:space="preserve">, </w:t>
      </w:r>
      <w:r w:rsidR="00B8726B" w:rsidRPr="00787562">
        <w:rPr>
          <w:lang w:val="fr-FR"/>
        </w:rPr>
        <w:t xml:space="preserve">qui a été partagé avec les CN GEST, a été affiné durant la </w:t>
      </w:r>
      <w:r w:rsidR="001C05F3" w:rsidRPr="001C05F3">
        <w:rPr>
          <w:lang w:val="fr-FR"/>
        </w:rPr>
        <w:t>21</w:t>
      </w:r>
      <w:r w:rsidR="001C05F3" w:rsidRPr="001C05F3">
        <w:rPr>
          <w:vertAlign w:val="superscript"/>
          <w:lang w:val="fr-FR"/>
        </w:rPr>
        <w:t>e</w:t>
      </w:r>
      <w:r w:rsidR="001C05F3" w:rsidRPr="001C05F3">
        <w:rPr>
          <w:lang w:val="fr-FR"/>
        </w:rPr>
        <w:t xml:space="preserve"> Réunion du GEST</w:t>
      </w:r>
      <w:r w:rsidR="00B8726B" w:rsidRPr="00787562">
        <w:rPr>
          <w:lang w:val="fr-FR"/>
        </w:rPr>
        <w:t>. Le projet devrait être livré au Secrétariat vers la mi</w:t>
      </w:r>
      <w:r w:rsidR="00B8726B" w:rsidRPr="00787562">
        <w:rPr>
          <w:lang w:val="fr-FR"/>
        </w:rPr>
        <w:noBreakHyphen/>
        <w:t xml:space="preserve">février 2018.  </w:t>
      </w:r>
    </w:p>
    <w:p w14:paraId="7FBAA401" w14:textId="77777777" w:rsidR="00DA6E71" w:rsidRPr="00787562" w:rsidRDefault="00DA6E71" w:rsidP="00684ACE">
      <w:pPr>
        <w:rPr>
          <w:lang w:val="fr-FR"/>
        </w:rPr>
      </w:pPr>
    </w:p>
    <w:p w14:paraId="3632BE3D" w14:textId="749263E6" w:rsidR="00065F4C" w:rsidRPr="00787562" w:rsidRDefault="00B8726B" w:rsidP="00B8726B">
      <w:pPr>
        <w:keepNext/>
        <w:keepLines/>
        <w:tabs>
          <w:tab w:val="left" w:pos="270"/>
        </w:tabs>
        <w:ind w:left="360" w:hanging="360"/>
        <w:rPr>
          <w:b/>
          <w:lang w:val="fr-FR"/>
        </w:rPr>
      </w:pPr>
      <w:r w:rsidRPr="00787562">
        <w:rPr>
          <w:b/>
          <w:lang w:val="fr-FR"/>
        </w:rPr>
        <w:t>Mise à jour sur les tâches de moindre priorité</w:t>
      </w:r>
    </w:p>
    <w:p w14:paraId="53B8F803" w14:textId="77777777" w:rsidR="005B2F75" w:rsidRPr="00787562" w:rsidRDefault="005B2F75" w:rsidP="00B8726B">
      <w:pPr>
        <w:keepNext/>
        <w:keepLines/>
        <w:tabs>
          <w:tab w:val="left" w:pos="270"/>
        </w:tabs>
        <w:ind w:left="360" w:hanging="360"/>
        <w:rPr>
          <w:b/>
          <w:lang w:val="fr-FR"/>
        </w:rPr>
      </w:pPr>
    </w:p>
    <w:p w14:paraId="7A0F5A5C" w14:textId="7B52465F" w:rsidR="00804F25" w:rsidRPr="00787562" w:rsidRDefault="005B4A70" w:rsidP="00B8726B">
      <w:pPr>
        <w:keepNext/>
        <w:keepLines/>
        <w:tabs>
          <w:tab w:val="left" w:pos="426"/>
        </w:tabs>
        <w:rPr>
          <w:rFonts w:ascii="Times" w:eastAsiaTheme="minorHAnsi" w:hAnsi="Times"/>
          <w:sz w:val="20"/>
          <w:szCs w:val="20"/>
          <w:lang w:val="fr-FR"/>
        </w:rPr>
      </w:pPr>
      <w:r w:rsidRPr="00787562">
        <w:rPr>
          <w:lang w:val="fr-FR"/>
        </w:rPr>
        <w:t>14.</w:t>
      </w:r>
      <w:r w:rsidR="00B8726B" w:rsidRPr="00787562">
        <w:rPr>
          <w:lang w:val="fr-FR"/>
        </w:rPr>
        <w:tab/>
        <w:t>À la lumière des progrès accomplis sur les tâches de haute priorité, plusieurs tâches de moindre priorité, nécessitant un temps et des ressources limités, ont été menées de manière volontaire, notamment :</w:t>
      </w:r>
      <w:r w:rsidR="00804F25" w:rsidRPr="00787562">
        <w:rPr>
          <w:lang w:val="fr-FR"/>
        </w:rPr>
        <w:t xml:space="preserve"> </w:t>
      </w:r>
    </w:p>
    <w:p w14:paraId="3A0A825E" w14:textId="77777777" w:rsidR="00BA7A3B" w:rsidRPr="00787562" w:rsidRDefault="00BA7A3B" w:rsidP="00BA7A3B">
      <w:pPr>
        <w:pStyle w:val="ListParagraph"/>
        <w:tabs>
          <w:tab w:val="left" w:pos="426"/>
        </w:tabs>
        <w:ind w:left="426"/>
        <w:rPr>
          <w:rFonts w:ascii="Times" w:eastAsiaTheme="minorHAnsi" w:hAnsi="Times"/>
          <w:sz w:val="20"/>
          <w:szCs w:val="20"/>
          <w:lang w:val="fr-FR"/>
        </w:rPr>
      </w:pPr>
    </w:p>
    <w:p w14:paraId="40382F3C" w14:textId="0BFD9F3E" w:rsidR="00804F25" w:rsidRPr="001C05F3" w:rsidRDefault="00D234AB" w:rsidP="0054560C">
      <w:pPr>
        <w:pStyle w:val="ListParagraph"/>
        <w:numPr>
          <w:ilvl w:val="0"/>
          <w:numId w:val="19"/>
        </w:numPr>
        <w:tabs>
          <w:tab w:val="left" w:pos="426"/>
        </w:tabs>
        <w:ind w:hanging="294"/>
        <w:rPr>
          <w:rFonts w:asciiTheme="minorHAnsi" w:eastAsiaTheme="minorHAnsi" w:hAnsiTheme="minorHAnsi"/>
          <w:lang w:val="fr-FR"/>
        </w:rPr>
      </w:pPr>
      <w:r w:rsidRPr="001C05F3">
        <w:rPr>
          <w:lang w:val="fr-FR"/>
        </w:rPr>
        <w:lastRenderedPageBreak/>
        <w:t xml:space="preserve">Tâche </w:t>
      </w:r>
      <w:r w:rsidR="00804F25" w:rsidRPr="001C05F3">
        <w:rPr>
          <w:rFonts w:asciiTheme="minorHAnsi" w:eastAsiaTheme="minorHAnsi" w:hAnsiTheme="minorHAnsi"/>
          <w:lang w:val="fr-FR"/>
        </w:rPr>
        <w:t>2.2</w:t>
      </w:r>
      <w:r w:rsidR="0054560C" w:rsidRPr="001C05F3">
        <w:rPr>
          <w:rFonts w:asciiTheme="minorHAnsi" w:eastAsiaTheme="minorHAnsi" w:hAnsiTheme="minorHAnsi"/>
          <w:lang w:val="fr-FR"/>
        </w:rPr>
        <w:t>,</w:t>
      </w:r>
      <w:r w:rsidR="00804F25" w:rsidRPr="001C05F3">
        <w:rPr>
          <w:rFonts w:asciiTheme="minorHAnsi" w:eastAsiaTheme="minorHAnsi" w:hAnsiTheme="minorHAnsi"/>
          <w:i/>
          <w:lang w:val="fr-FR"/>
        </w:rPr>
        <w:t xml:space="preserve"> </w:t>
      </w:r>
      <w:r w:rsidR="00B8726B" w:rsidRPr="001C05F3">
        <w:rPr>
          <w:rFonts w:asciiTheme="minorHAnsi" w:eastAsiaTheme="minorHAnsi" w:hAnsiTheme="minorHAnsi"/>
          <w:i/>
          <w:lang w:val="fr-FR"/>
        </w:rPr>
        <w:t xml:space="preserve">La gestion des zones humides pour réduire les risques de maladies </w:t>
      </w:r>
      <w:r w:rsidR="00523F1D" w:rsidRPr="001C05F3">
        <w:rPr>
          <w:rFonts w:asciiTheme="minorHAnsi" w:eastAsiaTheme="minorHAnsi" w:hAnsiTheme="minorHAnsi"/>
          <w:i/>
          <w:lang w:val="fr-FR"/>
        </w:rPr>
        <w:t xml:space="preserve">portées par l’eau </w:t>
      </w:r>
      <w:r w:rsidR="00B8726B" w:rsidRPr="001C05F3">
        <w:rPr>
          <w:rFonts w:asciiTheme="minorHAnsi" w:eastAsiaTheme="minorHAnsi" w:hAnsiTheme="minorHAnsi"/>
          <w:i/>
          <w:lang w:val="fr-FR"/>
        </w:rPr>
        <w:t>et portées par des vecteurs aquatiques</w:t>
      </w:r>
      <w:r w:rsidR="00523F1D" w:rsidRPr="001C05F3">
        <w:rPr>
          <w:rFonts w:asciiTheme="minorHAnsi" w:eastAsiaTheme="minorHAnsi" w:hAnsiTheme="minorHAnsi"/>
          <w:i/>
          <w:lang w:val="fr-FR"/>
        </w:rPr>
        <w:t> </w:t>
      </w:r>
      <w:r w:rsidR="0054560C" w:rsidRPr="001C05F3">
        <w:rPr>
          <w:rFonts w:asciiTheme="minorHAnsi" w:eastAsiaTheme="minorHAnsi" w:hAnsiTheme="minorHAnsi"/>
          <w:lang w:val="fr-FR"/>
        </w:rPr>
        <w:t xml:space="preserve">: </w:t>
      </w:r>
      <w:r w:rsidR="00523F1D" w:rsidRPr="001C05F3">
        <w:rPr>
          <w:rFonts w:asciiTheme="minorHAnsi" w:eastAsiaTheme="minorHAnsi" w:hAnsiTheme="minorHAnsi"/>
          <w:lang w:val="fr-FR"/>
        </w:rPr>
        <w:t xml:space="preserve">Un projet de Note d’orientation a été affiné durant la </w:t>
      </w:r>
      <w:r w:rsidR="001C05F3" w:rsidRPr="001C05F3">
        <w:rPr>
          <w:rFonts w:asciiTheme="minorHAnsi" w:eastAsiaTheme="minorHAnsi" w:hAnsiTheme="minorHAnsi"/>
          <w:lang w:val="fr-FR"/>
        </w:rPr>
        <w:t>21</w:t>
      </w:r>
      <w:r w:rsidR="001C05F3" w:rsidRPr="001C05F3">
        <w:rPr>
          <w:rFonts w:asciiTheme="minorHAnsi" w:eastAsiaTheme="minorHAnsi" w:hAnsiTheme="minorHAnsi"/>
          <w:vertAlign w:val="superscript"/>
          <w:lang w:val="fr-FR"/>
        </w:rPr>
        <w:t>e</w:t>
      </w:r>
      <w:r w:rsidR="001C05F3" w:rsidRPr="001C05F3">
        <w:rPr>
          <w:rFonts w:asciiTheme="minorHAnsi" w:eastAsiaTheme="minorHAnsi" w:hAnsiTheme="minorHAnsi"/>
          <w:lang w:val="fr-FR"/>
        </w:rPr>
        <w:t xml:space="preserve"> Réunion du GEST</w:t>
      </w:r>
      <w:r w:rsidR="00523F1D" w:rsidRPr="001C05F3">
        <w:rPr>
          <w:rFonts w:asciiTheme="minorHAnsi" w:eastAsiaTheme="minorHAnsi" w:hAnsiTheme="minorHAnsi"/>
          <w:lang w:val="fr-FR"/>
        </w:rPr>
        <w:t xml:space="preserve"> et devrait être disponible en ligne pour consultation du GEST en février 2018. Un projet final devrait être soumis au Secrétariat au premier trimestre de 2018.</w:t>
      </w:r>
      <w:r w:rsidR="0054560C" w:rsidRPr="001C05F3">
        <w:rPr>
          <w:rFonts w:asciiTheme="minorHAnsi" w:eastAsiaTheme="minorHAnsi" w:hAnsiTheme="minorHAnsi"/>
          <w:lang w:val="fr-FR"/>
        </w:rPr>
        <w:t xml:space="preserve"> </w:t>
      </w:r>
    </w:p>
    <w:p w14:paraId="4678D787" w14:textId="77777777" w:rsidR="0054560C" w:rsidRPr="001C05F3" w:rsidRDefault="0054560C" w:rsidP="0054560C">
      <w:pPr>
        <w:pStyle w:val="ListParagraph"/>
        <w:tabs>
          <w:tab w:val="left" w:pos="426"/>
        </w:tabs>
        <w:rPr>
          <w:rFonts w:asciiTheme="minorHAnsi" w:eastAsiaTheme="minorHAnsi" w:hAnsiTheme="minorHAnsi"/>
          <w:lang w:val="fr-FR"/>
        </w:rPr>
      </w:pPr>
    </w:p>
    <w:p w14:paraId="5678A3BC" w14:textId="2067629E" w:rsidR="00BA7A3B" w:rsidRPr="00DB4028" w:rsidRDefault="00D234AB" w:rsidP="00DB4028">
      <w:pPr>
        <w:pStyle w:val="ListParagraph"/>
        <w:numPr>
          <w:ilvl w:val="0"/>
          <w:numId w:val="19"/>
        </w:numPr>
        <w:tabs>
          <w:tab w:val="left" w:pos="426"/>
        </w:tabs>
        <w:rPr>
          <w:rFonts w:asciiTheme="minorHAnsi" w:eastAsiaTheme="minorHAnsi" w:hAnsiTheme="minorHAnsi"/>
          <w:lang w:val="fr-FR"/>
        </w:rPr>
      </w:pPr>
      <w:r w:rsidRPr="00DB4028">
        <w:rPr>
          <w:lang w:val="fr-FR"/>
        </w:rPr>
        <w:t xml:space="preserve">Tâche </w:t>
      </w:r>
      <w:r w:rsidR="00523F1D" w:rsidRPr="00DB4028">
        <w:rPr>
          <w:rFonts w:asciiTheme="minorHAnsi" w:eastAsiaTheme="minorHAnsi" w:hAnsiTheme="minorHAnsi"/>
          <w:lang w:val="fr-FR"/>
        </w:rPr>
        <w:t>2.6,</w:t>
      </w:r>
      <w:r w:rsidR="00523F1D" w:rsidRPr="00DB4028">
        <w:rPr>
          <w:rFonts w:asciiTheme="minorHAnsi" w:eastAsiaTheme="minorHAnsi" w:hAnsiTheme="minorHAnsi"/>
          <w:i/>
          <w:lang w:val="fr-FR"/>
        </w:rPr>
        <w:t xml:space="preserve"> Registre de Montreux :</w:t>
      </w:r>
      <w:r w:rsidR="0054560C" w:rsidRPr="00DB4028">
        <w:rPr>
          <w:rFonts w:asciiTheme="minorHAnsi" w:eastAsiaTheme="minorHAnsi" w:hAnsiTheme="minorHAnsi"/>
          <w:lang w:val="fr-FR"/>
        </w:rPr>
        <w:t xml:space="preserve"> </w:t>
      </w:r>
      <w:r w:rsidR="00523F1D" w:rsidRPr="00DB4028">
        <w:rPr>
          <w:rFonts w:asciiTheme="minorHAnsi" w:eastAsiaTheme="minorHAnsi" w:hAnsiTheme="minorHAnsi"/>
          <w:lang w:val="fr-FR"/>
        </w:rPr>
        <w:t xml:space="preserve">Un rapport sur les </w:t>
      </w:r>
      <w:r w:rsidR="0054560C" w:rsidRPr="00DB4028">
        <w:rPr>
          <w:i/>
          <w:lang w:val="fr-FR"/>
        </w:rPr>
        <w:t>Change</w:t>
      </w:r>
      <w:r w:rsidR="00523F1D" w:rsidRPr="00DB4028">
        <w:rPr>
          <w:i/>
          <w:lang w:val="fr-FR"/>
        </w:rPr>
        <w:t>ments dans les caractéristiques écologiques des sites de zones humides – Orientations et mécanismes Ramsar</w:t>
      </w:r>
      <w:r w:rsidR="0054560C" w:rsidRPr="00DB4028">
        <w:rPr>
          <w:lang w:val="fr-FR"/>
        </w:rPr>
        <w:t xml:space="preserve">, </w:t>
      </w:r>
      <w:r w:rsidR="00523F1D" w:rsidRPr="00DB4028">
        <w:rPr>
          <w:lang w:val="fr-FR"/>
        </w:rPr>
        <w:t xml:space="preserve">publié en 2014 dans le cadre du plan de travail du GEST </w:t>
      </w:r>
      <w:r w:rsidR="0054560C" w:rsidRPr="00DB4028">
        <w:rPr>
          <w:lang w:val="fr-FR"/>
        </w:rPr>
        <w:t xml:space="preserve">2013-2015, </w:t>
      </w:r>
      <w:r w:rsidR="00523F1D" w:rsidRPr="00DB4028">
        <w:rPr>
          <w:lang w:val="fr-FR"/>
        </w:rPr>
        <w:t xml:space="preserve">a été porté sur le site web de la Convention, dans le cadre de l’outil de gestion des Sites Ramsar (voir Tâche 2.1) et peut être téléchargé à cette adresse : </w:t>
      </w:r>
      <w:hyperlink r:id="rId10" w:history="1">
        <w:r w:rsidR="00DB4028" w:rsidRPr="006D15F6">
          <w:rPr>
            <w:rStyle w:val="Hyperlink"/>
            <w:lang w:val="fr-FR"/>
          </w:rPr>
          <w:t>https://www.ramsar.org/fr/ressources/reconnaitre-et-evaluer-les-menaces-pour-le-site</w:t>
        </w:r>
      </w:hyperlink>
      <w:r w:rsidR="00DB4028">
        <w:rPr>
          <w:lang w:val="fr-FR"/>
        </w:rPr>
        <w:t xml:space="preserve">. </w:t>
      </w:r>
    </w:p>
    <w:p w14:paraId="11A274CC" w14:textId="77777777" w:rsidR="00DB4028" w:rsidRPr="00DB4028" w:rsidRDefault="00DB4028" w:rsidP="00DB4028">
      <w:pPr>
        <w:pStyle w:val="ListParagraph"/>
        <w:tabs>
          <w:tab w:val="left" w:pos="426"/>
        </w:tabs>
        <w:ind w:firstLine="0"/>
        <w:rPr>
          <w:rFonts w:asciiTheme="minorHAnsi" w:eastAsiaTheme="minorHAnsi" w:hAnsiTheme="minorHAnsi"/>
          <w:lang w:val="fr-FR"/>
        </w:rPr>
      </w:pPr>
    </w:p>
    <w:p w14:paraId="6D2E4513" w14:textId="630D2179" w:rsidR="00692729" w:rsidRPr="00787562" w:rsidRDefault="00D234AB" w:rsidP="003D55CC">
      <w:pPr>
        <w:pStyle w:val="ListParagraph"/>
        <w:numPr>
          <w:ilvl w:val="0"/>
          <w:numId w:val="19"/>
        </w:numPr>
        <w:tabs>
          <w:tab w:val="left" w:pos="426"/>
        </w:tabs>
        <w:rPr>
          <w:rFonts w:ascii="Times" w:hAnsi="Times"/>
          <w:sz w:val="20"/>
          <w:szCs w:val="20"/>
          <w:lang w:val="fr-FR"/>
        </w:rPr>
      </w:pPr>
      <w:r w:rsidRPr="001C05F3">
        <w:rPr>
          <w:lang w:val="fr-FR"/>
        </w:rPr>
        <w:t xml:space="preserve">Tâche </w:t>
      </w:r>
      <w:r w:rsidR="00EE5B9C" w:rsidRPr="001C05F3">
        <w:rPr>
          <w:lang w:val="fr-FR"/>
        </w:rPr>
        <w:t>5.3</w:t>
      </w:r>
      <w:r w:rsidR="0054560C" w:rsidRPr="001C05F3">
        <w:rPr>
          <w:lang w:val="fr-FR"/>
        </w:rPr>
        <w:t>,</w:t>
      </w:r>
      <w:r w:rsidR="0054560C" w:rsidRPr="001C05F3">
        <w:rPr>
          <w:i/>
          <w:lang w:val="fr-FR"/>
        </w:rPr>
        <w:t xml:space="preserve"> </w:t>
      </w:r>
      <w:r w:rsidR="003D55CC" w:rsidRPr="001C05F3">
        <w:rPr>
          <w:i/>
          <w:lang w:val="fr-FR"/>
        </w:rPr>
        <w:t>Avis</w:t>
      </w:r>
      <w:r w:rsidR="003D55CC" w:rsidRPr="00787562">
        <w:rPr>
          <w:i/>
          <w:lang w:val="fr-FR"/>
        </w:rPr>
        <w:t xml:space="preserve"> pour la 13</w:t>
      </w:r>
      <w:r w:rsidR="003D55CC" w:rsidRPr="00787562">
        <w:rPr>
          <w:i/>
          <w:vertAlign w:val="superscript"/>
          <w:lang w:val="fr-FR"/>
        </w:rPr>
        <w:t>e</w:t>
      </w:r>
      <w:r w:rsidR="003D55CC" w:rsidRPr="00787562">
        <w:rPr>
          <w:i/>
          <w:lang w:val="fr-FR"/>
        </w:rPr>
        <w:t xml:space="preserve"> Session de la Conférence des Parties sur les méthodes pratiques de réhumidification et de restauration des tourbières</w:t>
      </w:r>
      <w:r w:rsidR="004838E3" w:rsidRPr="00787562">
        <w:rPr>
          <w:i/>
          <w:lang w:val="fr-FR"/>
        </w:rPr>
        <w:t xml:space="preserve"> </w:t>
      </w:r>
      <w:r w:rsidR="00523F1D" w:rsidRPr="00787562">
        <w:rPr>
          <w:lang w:val="fr-FR"/>
        </w:rPr>
        <w:t xml:space="preserve">: Au cours de la </w:t>
      </w:r>
      <w:r w:rsidR="001C05F3" w:rsidRPr="001C05F3">
        <w:rPr>
          <w:lang w:val="fr-FR"/>
        </w:rPr>
        <w:t>21</w:t>
      </w:r>
      <w:r w:rsidR="001C05F3" w:rsidRPr="001C05F3">
        <w:rPr>
          <w:vertAlign w:val="superscript"/>
          <w:lang w:val="fr-FR"/>
        </w:rPr>
        <w:t>e</w:t>
      </w:r>
      <w:r w:rsidR="001C05F3" w:rsidRPr="001C05F3">
        <w:rPr>
          <w:lang w:val="fr-FR"/>
        </w:rPr>
        <w:t xml:space="preserve"> Réunion du GEST</w:t>
      </w:r>
      <w:r w:rsidR="00523F1D" w:rsidRPr="00787562">
        <w:rPr>
          <w:lang w:val="fr-FR"/>
        </w:rPr>
        <w:t xml:space="preserve">, le Groupe a affiné un projet </w:t>
      </w:r>
      <w:r w:rsidR="0029547F" w:rsidRPr="00787562">
        <w:rPr>
          <w:lang w:val="fr-FR"/>
        </w:rPr>
        <w:t>de r</w:t>
      </w:r>
      <w:r w:rsidR="00523F1D" w:rsidRPr="00787562">
        <w:rPr>
          <w:lang w:val="fr-FR"/>
        </w:rPr>
        <w:t>ésolution intitulé</w:t>
      </w:r>
      <w:r w:rsidR="00C614A4" w:rsidRPr="00787562">
        <w:rPr>
          <w:lang w:val="fr-FR"/>
        </w:rPr>
        <w:t xml:space="preserve"> </w:t>
      </w:r>
      <w:r w:rsidR="00523F1D" w:rsidRPr="00787562">
        <w:rPr>
          <w:i/>
          <w:lang w:val="fr-FR"/>
        </w:rPr>
        <w:t>Restau</w:t>
      </w:r>
      <w:r w:rsidR="00C614A4" w:rsidRPr="00787562">
        <w:rPr>
          <w:i/>
          <w:lang w:val="fr-FR"/>
        </w:rPr>
        <w:t xml:space="preserve">ration </w:t>
      </w:r>
      <w:r w:rsidR="00523F1D" w:rsidRPr="00787562">
        <w:rPr>
          <w:i/>
          <w:lang w:val="fr-FR"/>
        </w:rPr>
        <w:t>des tourbières dégradées pour l’atténuation des changements climatiques et l’adaptation, et l’amélioration de la biodiversité</w:t>
      </w:r>
      <w:r w:rsidR="00C614A4" w:rsidRPr="00787562">
        <w:rPr>
          <w:lang w:val="fr-FR"/>
        </w:rPr>
        <w:t xml:space="preserve">. </w:t>
      </w:r>
      <w:r w:rsidR="00523F1D" w:rsidRPr="00787562">
        <w:rPr>
          <w:lang w:val="fr-FR"/>
        </w:rPr>
        <w:t>L</w:t>
      </w:r>
      <w:r w:rsidR="0029547F" w:rsidRPr="00787562">
        <w:rPr>
          <w:lang w:val="fr-FR"/>
        </w:rPr>
        <w:t>e projet de r</w:t>
      </w:r>
      <w:r w:rsidR="00523F1D" w:rsidRPr="00787562">
        <w:rPr>
          <w:lang w:val="fr-FR"/>
        </w:rPr>
        <w:t xml:space="preserve">ésolution a été soumis au Secrétariat. Le Groupe a également fait progresser un projet de Rapport technique Ramsar sur la </w:t>
      </w:r>
      <w:r w:rsidR="00523F1D" w:rsidRPr="00787562">
        <w:rPr>
          <w:i/>
          <w:lang w:val="fr-FR"/>
        </w:rPr>
        <w:t>Restauration des tourbières et les méthodologies de réhumidification</w:t>
      </w:r>
      <w:r w:rsidR="00C614A4" w:rsidRPr="00787562">
        <w:rPr>
          <w:lang w:val="fr-FR"/>
        </w:rPr>
        <w:t xml:space="preserve">, </w:t>
      </w:r>
      <w:r w:rsidR="00523F1D" w:rsidRPr="00787562">
        <w:rPr>
          <w:lang w:val="fr-FR"/>
        </w:rPr>
        <w:t>qui sera livré au Secrétariat au deuxième trimestre de 2018.</w:t>
      </w:r>
      <w:r w:rsidR="001539AF" w:rsidRPr="00787562">
        <w:rPr>
          <w:lang w:val="fr-FR"/>
        </w:rPr>
        <w:t xml:space="preserve"> </w:t>
      </w:r>
    </w:p>
    <w:p w14:paraId="231CEBAE" w14:textId="77777777" w:rsidR="00DA6E71" w:rsidRPr="00787562" w:rsidRDefault="00DA6E71" w:rsidP="00682B21">
      <w:pPr>
        <w:tabs>
          <w:tab w:val="left" w:pos="270"/>
        </w:tabs>
        <w:ind w:left="0" w:firstLine="0"/>
        <w:rPr>
          <w:rFonts w:ascii="Times" w:eastAsiaTheme="minorHAnsi" w:hAnsi="Times"/>
          <w:sz w:val="20"/>
          <w:szCs w:val="20"/>
          <w:lang w:val="fr-FR"/>
        </w:rPr>
      </w:pPr>
    </w:p>
    <w:p w14:paraId="278A3CC4" w14:textId="62F50B54" w:rsidR="00425317" w:rsidRPr="00787562" w:rsidRDefault="00523F1D" w:rsidP="00425317">
      <w:pPr>
        <w:tabs>
          <w:tab w:val="left" w:pos="270"/>
        </w:tabs>
        <w:rPr>
          <w:b/>
          <w:lang w:val="fr-FR"/>
        </w:rPr>
      </w:pPr>
      <w:r w:rsidRPr="00787562">
        <w:rPr>
          <w:b/>
          <w:lang w:val="fr-FR"/>
        </w:rPr>
        <w:t>Mise à jour sur les tâches consultatives spéciales</w:t>
      </w:r>
      <w:r w:rsidR="00CC1A24" w:rsidRPr="00787562">
        <w:rPr>
          <w:b/>
          <w:lang w:val="fr-FR"/>
        </w:rPr>
        <w:t xml:space="preserve"> </w:t>
      </w:r>
    </w:p>
    <w:p w14:paraId="7D49FAC6" w14:textId="77777777" w:rsidR="005B2F75" w:rsidRPr="00787562" w:rsidRDefault="005B2F75" w:rsidP="00425317">
      <w:pPr>
        <w:ind w:left="0" w:firstLine="0"/>
        <w:rPr>
          <w:lang w:val="fr-FR"/>
        </w:rPr>
      </w:pPr>
    </w:p>
    <w:p w14:paraId="1A267A63" w14:textId="0955B97B" w:rsidR="00425317" w:rsidRPr="00787562" w:rsidRDefault="0029547F" w:rsidP="00425317">
      <w:pPr>
        <w:ind w:left="0" w:firstLine="0"/>
        <w:rPr>
          <w:u w:val="single"/>
          <w:lang w:val="fr-FR"/>
        </w:rPr>
      </w:pPr>
      <w:r w:rsidRPr="00787562">
        <w:rPr>
          <w:rFonts w:asciiTheme="minorHAnsi" w:hAnsiTheme="minorHAnsi"/>
          <w:u w:val="single"/>
          <w:lang w:val="fr-FR"/>
        </w:rPr>
        <w:t xml:space="preserve">Projets </w:t>
      </w:r>
      <w:r w:rsidR="00523F1D" w:rsidRPr="00787562">
        <w:rPr>
          <w:rFonts w:asciiTheme="minorHAnsi" w:hAnsiTheme="minorHAnsi"/>
          <w:u w:val="single"/>
          <w:lang w:val="fr-FR"/>
        </w:rPr>
        <w:t xml:space="preserve">de </w:t>
      </w:r>
      <w:r w:rsidRPr="00787562">
        <w:rPr>
          <w:rFonts w:asciiTheme="minorHAnsi" w:hAnsiTheme="minorHAnsi"/>
          <w:u w:val="single"/>
          <w:lang w:val="fr-FR"/>
        </w:rPr>
        <w:t>r</w:t>
      </w:r>
      <w:r w:rsidR="00523F1D" w:rsidRPr="00787562">
        <w:rPr>
          <w:rFonts w:asciiTheme="minorHAnsi" w:hAnsiTheme="minorHAnsi"/>
          <w:u w:val="single"/>
          <w:lang w:val="fr-FR"/>
        </w:rPr>
        <w:t>ésolutions préparés par les Parties contractantes</w:t>
      </w:r>
    </w:p>
    <w:p w14:paraId="5131F690" w14:textId="77777777" w:rsidR="00425317" w:rsidRPr="00787562" w:rsidRDefault="00425317" w:rsidP="0098291C">
      <w:pPr>
        <w:pStyle w:val="ListParagraph"/>
        <w:ind w:left="426"/>
        <w:rPr>
          <w:rFonts w:asciiTheme="minorHAnsi" w:hAnsiTheme="minorHAnsi"/>
          <w:i/>
          <w:lang w:val="fr-FR"/>
        </w:rPr>
      </w:pPr>
    </w:p>
    <w:p w14:paraId="04CCE0E9" w14:textId="1D0E277F" w:rsidR="005841CC" w:rsidRPr="00787562" w:rsidRDefault="0029547F" w:rsidP="0098291C">
      <w:pPr>
        <w:pStyle w:val="ListParagraph"/>
        <w:numPr>
          <w:ilvl w:val="0"/>
          <w:numId w:val="27"/>
        </w:numPr>
        <w:ind w:left="426" w:hanging="426"/>
        <w:rPr>
          <w:rFonts w:asciiTheme="minorHAnsi" w:hAnsiTheme="minorHAnsi"/>
          <w:lang w:val="fr-FR"/>
        </w:rPr>
      </w:pPr>
      <w:r w:rsidRPr="00787562">
        <w:rPr>
          <w:rFonts w:asciiTheme="minorHAnsi" w:hAnsiTheme="minorHAnsi"/>
          <w:lang w:val="fr-FR"/>
        </w:rPr>
        <w:t xml:space="preserve">À la </w:t>
      </w:r>
      <w:r w:rsidR="001C05F3" w:rsidRPr="001C05F3">
        <w:rPr>
          <w:rFonts w:asciiTheme="minorHAnsi" w:hAnsiTheme="minorHAnsi"/>
          <w:lang w:val="fr-FR"/>
        </w:rPr>
        <w:t>21</w:t>
      </w:r>
      <w:r w:rsidR="001C05F3" w:rsidRPr="001C05F3">
        <w:rPr>
          <w:rFonts w:asciiTheme="minorHAnsi" w:hAnsiTheme="minorHAnsi"/>
          <w:vertAlign w:val="superscript"/>
          <w:lang w:val="fr-FR"/>
        </w:rPr>
        <w:t>e</w:t>
      </w:r>
      <w:r w:rsidR="001C05F3" w:rsidRPr="001C05F3">
        <w:rPr>
          <w:rFonts w:asciiTheme="minorHAnsi" w:hAnsiTheme="minorHAnsi"/>
          <w:lang w:val="fr-FR"/>
        </w:rPr>
        <w:t xml:space="preserve"> Réunion du GEST</w:t>
      </w:r>
      <w:r w:rsidRPr="00787562">
        <w:rPr>
          <w:rFonts w:asciiTheme="minorHAnsi" w:hAnsiTheme="minorHAnsi"/>
          <w:lang w:val="fr-FR"/>
        </w:rPr>
        <w:t xml:space="preserve">, le Secrétariat a signalé que les Parties contractantes préparent plusieurs projets de résolutions qui </w:t>
      </w:r>
      <w:r w:rsidR="001C05F3">
        <w:rPr>
          <w:rFonts w:asciiTheme="minorHAnsi" w:hAnsiTheme="minorHAnsi"/>
          <w:lang w:val="fr-FR"/>
        </w:rPr>
        <w:t xml:space="preserve">comportent </w:t>
      </w:r>
      <w:r w:rsidRPr="00787562">
        <w:rPr>
          <w:rFonts w:asciiTheme="minorHAnsi" w:hAnsiTheme="minorHAnsi"/>
          <w:lang w:val="fr-FR"/>
        </w:rPr>
        <w:t>des éléments scientifiques et techniques et/ou envisagent une action du GEST. Des points focaux du GEST ont été désignés pour chaque projet de résolution. Lorsque chaque projet de résolution aura été officiellement soumis au Secrétariat, avant le 22 février 2018, le point focal du GEST pertinent mènera les discussions (en ligne) pour développer les commentaires du GEST. Le Président du GEST fournira les commentaires à la 54</w:t>
      </w:r>
      <w:r w:rsidRPr="00787562">
        <w:rPr>
          <w:rFonts w:asciiTheme="minorHAnsi" w:hAnsiTheme="minorHAnsi"/>
          <w:vertAlign w:val="superscript"/>
          <w:lang w:val="fr-FR"/>
        </w:rPr>
        <w:t>e</w:t>
      </w:r>
      <w:r w:rsidRPr="00787562">
        <w:rPr>
          <w:rFonts w:asciiTheme="minorHAnsi" w:hAnsiTheme="minorHAnsi"/>
          <w:lang w:val="fr-FR"/>
        </w:rPr>
        <w:t> Réunion du Comité permanent.</w:t>
      </w:r>
      <w:r w:rsidR="00867F99" w:rsidRPr="00787562">
        <w:rPr>
          <w:rFonts w:asciiTheme="minorHAnsi" w:hAnsiTheme="minorHAnsi"/>
          <w:lang w:val="fr-FR"/>
        </w:rPr>
        <w:t xml:space="preserve">  </w:t>
      </w:r>
    </w:p>
    <w:p w14:paraId="42DD0204" w14:textId="77777777" w:rsidR="00CE27ED" w:rsidRPr="00787562" w:rsidRDefault="00CE27ED" w:rsidP="004D0A2C">
      <w:pPr>
        <w:tabs>
          <w:tab w:val="left" w:pos="270"/>
        </w:tabs>
        <w:ind w:left="360" w:hanging="360"/>
        <w:rPr>
          <w:b/>
          <w:lang w:val="fr-FR"/>
        </w:rPr>
      </w:pPr>
    </w:p>
    <w:p w14:paraId="17637888" w14:textId="4A5BFDFF" w:rsidR="00CE27ED" w:rsidRPr="00787562" w:rsidRDefault="0029547F" w:rsidP="00FC369F">
      <w:pPr>
        <w:pStyle w:val="ListParagraph"/>
        <w:ind w:left="426"/>
        <w:rPr>
          <w:rFonts w:asciiTheme="minorHAnsi" w:hAnsiTheme="minorHAnsi"/>
          <w:u w:val="single"/>
          <w:lang w:val="fr-FR"/>
        </w:rPr>
      </w:pPr>
      <w:r w:rsidRPr="00787562">
        <w:rPr>
          <w:rFonts w:asciiTheme="minorHAnsi" w:hAnsiTheme="minorHAnsi"/>
          <w:u w:val="single"/>
          <w:lang w:val="fr-FR"/>
        </w:rPr>
        <w:t>Questions émergentes</w:t>
      </w:r>
    </w:p>
    <w:p w14:paraId="5E13B4BF" w14:textId="77777777" w:rsidR="00CE27ED" w:rsidRPr="00787562" w:rsidRDefault="00CE27ED" w:rsidP="00FC369F">
      <w:pPr>
        <w:pStyle w:val="ListParagraph"/>
        <w:ind w:left="426"/>
        <w:rPr>
          <w:rFonts w:asciiTheme="minorHAnsi" w:hAnsiTheme="minorHAnsi"/>
          <w:lang w:val="fr-FR"/>
        </w:rPr>
      </w:pPr>
    </w:p>
    <w:p w14:paraId="3509FE32" w14:textId="3F4DD44C" w:rsidR="007E0DC5" w:rsidRPr="00787562" w:rsidRDefault="00CE27ED" w:rsidP="0098291C">
      <w:pPr>
        <w:rPr>
          <w:rFonts w:cs="Arial"/>
          <w:color w:val="191919"/>
          <w:lang w:val="fr-FR"/>
        </w:rPr>
      </w:pPr>
      <w:r w:rsidRPr="00787562">
        <w:rPr>
          <w:rFonts w:asciiTheme="minorHAnsi" w:hAnsiTheme="minorHAnsi"/>
          <w:lang w:val="fr-FR"/>
        </w:rPr>
        <w:t>16.</w:t>
      </w:r>
      <w:r w:rsidRPr="00787562">
        <w:rPr>
          <w:rFonts w:asciiTheme="minorHAnsi" w:hAnsiTheme="minorHAnsi"/>
          <w:lang w:val="fr-FR"/>
        </w:rPr>
        <w:tab/>
      </w:r>
      <w:r w:rsidR="006C5A28" w:rsidRPr="00787562">
        <w:rPr>
          <w:rFonts w:asciiTheme="minorHAnsi" w:hAnsiTheme="minorHAnsi"/>
          <w:lang w:val="fr-FR"/>
        </w:rPr>
        <w:t xml:space="preserve">La </w:t>
      </w:r>
      <w:r w:rsidR="001C05F3" w:rsidRPr="001C05F3">
        <w:rPr>
          <w:rFonts w:asciiTheme="minorHAnsi" w:hAnsiTheme="minorHAnsi"/>
          <w:lang w:val="fr-FR"/>
        </w:rPr>
        <w:t>2</w:t>
      </w:r>
      <w:r w:rsidR="001C05F3">
        <w:rPr>
          <w:rFonts w:asciiTheme="minorHAnsi" w:hAnsiTheme="minorHAnsi"/>
          <w:lang w:val="fr-FR"/>
        </w:rPr>
        <w:t>0</w:t>
      </w:r>
      <w:r w:rsidR="001C05F3" w:rsidRPr="001C05F3">
        <w:rPr>
          <w:rFonts w:asciiTheme="minorHAnsi" w:hAnsiTheme="minorHAnsi"/>
          <w:vertAlign w:val="superscript"/>
          <w:lang w:val="fr-FR"/>
        </w:rPr>
        <w:t>e</w:t>
      </w:r>
      <w:r w:rsidR="001C05F3" w:rsidRPr="001C05F3">
        <w:rPr>
          <w:rFonts w:asciiTheme="minorHAnsi" w:hAnsiTheme="minorHAnsi"/>
          <w:lang w:val="fr-FR"/>
        </w:rPr>
        <w:t xml:space="preserve"> Réunion du GEST</w:t>
      </w:r>
      <w:r w:rsidR="007E0DC5" w:rsidRPr="00787562">
        <w:rPr>
          <w:rFonts w:asciiTheme="minorHAnsi" w:hAnsiTheme="minorHAnsi"/>
          <w:lang w:val="fr-FR"/>
        </w:rPr>
        <w:t xml:space="preserve"> </w:t>
      </w:r>
      <w:r w:rsidR="006C5A28" w:rsidRPr="00787562">
        <w:rPr>
          <w:rFonts w:asciiTheme="minorHAnsi" w:hAnsiTheme="minorHAnsi"/>
          <w:lang w:val="fr-FR"/>
        </w:rPr>
        <w:t xml:space="preserve">a discuté de l’infection en cours </w:t>
      </w:r>
      <w:r w:rsidR="001C05F3">
        <w:rPr>
          <w:rFonts w:asciiTheme="minorHAnsi" w:hAnsiTheme="minorHAnsi"/>
          <w:lang w:val="fr-FR"/>
        </w:rPr>
        <w:t>par</w:t>
      </w:r>
      <w:r w:rsidR="006C5A28" w:rsidRPr="00787562">
        <w:rPr>
          <w:rFonts w:asciiTheme="minorHAnsi" w:hAnsiTheme="minorHAnsi"/>
          <w:lang w:val="fr-FR"/>
        </w:rPr>
        <w:t xml:space="preserve"> toute une gamme de virus de l’influenza aviaire hautement pathogène. Il a été rappelé que Ramsar a adopté des orientations complètes sur les réponses appropriées à l’influenza aviaire dans la Résolution </w:t>
      </w:r>
      <w:r w:rsidR="00DA57FF" w:rsidRPr="00787562">
        <w:rPr>
          <w:rFonts w:cs="Arial"/>
          <w:color w:val="191919"/>
          <w:lang w:val="fr-FR"/>
        </w:rPr>
        <w:t>IX.23</w:t>
      </w:r>
      <w:r w:rsidR="006E3E5C" w:rsidRPr="00787562">
        <w:rPr>
          <w:rFonts w:cs="Arial"/>
          <w:color w:val="191919"/>
          <w:lang w:val="fr-FR"/>
        </w:rPr>
        <w:t>,</w:t>
      </w:r>
      <w:r w:rsidR="00BF5B49" w:rsidRPr="00787562">
        <w:rPr>
          <w:rFonts w:cs="Arial"/>
          <w:color w:val="191919"/>
          <w:lang w:val="fr-FR"/>
        </w:rPr>
        <w:t xml:space="preserve"> </w:t>
      </w:r>
      <w:r w:rsidR="006E3E5C" w:rsidRPr="00787562">
        <w:rPr>
          <w:rFonts w:cs="Arial"/>
          <w:i/>
          <w:color w:val="191919"/>
          <w:lang w:val="fr-FR"/>
        </w:rPr>
        <w:t>L’influenza aviaire hautement pathogène et ses conséquences pour la conservation et l’utilisation rationnelle des zones humides et des oiseaux d’eau</w:t>
      </w:r>
      <w:r w:rsidR="00BF5B49" w:rsidRPr="00787562">
        <w:rPr>
          <w:rFonts w:cs="Arial"/>
          <w:color w:val="191919"/>
          <w:lang w:val="fr-FR"/>
        </w:rPr>
        <w:t>,</w:t>
      </w:r>
      <w:r w:rsidR="006C5A28" w:rsidRPr="00787562">
        <w:rPr>
          <w:rFonts w:cs="Arial"/>
          <w:color w:val="191919"/>
          <w:lang w:val="fr-FR"/>
        </w:rPr>
        <w:t xml:space="preserve"> et la Résolution </w:t>
      </w:r>
      <w:r w:rsidR="00DA57FF" w:rsidRPr="00787562">
        <w:rPr>
          <w:rFonts w:cs="Arial"/>
          <w:color w:val="191919"/>
          <w:lang w:val="fr-FR"/>
        </w:rPr>
        <w:t>X.21</w:t>
      </w:r>
      <w:r w:rsidR="006E3E5C" w:rsidRPr="00787562">
        <w:rPr>
          <w:rFonts w:cs="Arial"/>
          <w:color w:val="191919"/>
          <w:lang w:val="fr-FR"/>
        </w:rPr>
        <w:t>,</w:t>
      </w:r>
      <w:r w:rsidR="00BF5B49" w:rsidRPr="00787562">
        <w:rPr>
          <w:rFonts w:cs="Arial"/>
          <w:color w:val="191919"/>
          <w:lang w:val="fr-FR"/>
        </w:rPr>
        <w:t xml:space="preserve"> </w:t>
      </w:r>
      <w:r w:rsidR="006E3E5C" w:rsidRPr="00787562">
        <w:rPr>
          <w:rFonts w:cs="Arial"/>
          <w:bCs/>
          <w:i/>
          <w:color w:val="191919"/>
          <w:lang w:val="fr-FR"/>
        </w:rPr>
        <w:t>Orientations relatives à la lutte contre la propagation continue de l’influenza aviaire hautement pathogène</w:t>
      </w:r>
      <w:r w:rsidR="00BF5B49" w:rsidRPr="00787562">
        <w:rPr>
          <w:rFonts w:cs="Arial"/>
          <w:color w:val="191919"/>
          <w:lang w:val="fr-FR"/>
        </w:rPr>
        <w:t>,</w:t>
      </w:r>
      <w:r w:rsidR="007E0DC5" w:rsidRPr="00787562">
        <w:rPr>
          <w:rFonts w:cs="Arial"/>
          <w:color w:val="191919"/>
          <w:lang w:val="fr-FR"/>
        </w:rPr>
        <w:t xml:space="preserve"> </w:t>
      </w:r>
      <w:r w:rsidR="006C5A28" w:rsidRPr="00787562">
        <w:rPr>
          <w:rFonts w:cs="Arial"/>
          <w:color w:val="191919"/>
          <w:lang w:val="fr-FR"/>
        </w:rPr>
        <w:t>et que ces orientations Ramsar étaient soutenues par des orientations complémentaires de la Convention sur les espèces migratrices et</w:t>
      </w:r>
      <w:r w:rsidR="001C05F3">
        <w:rPr>
          <w:rFonts w:cs="Arial"/>
          <w:color w:val="191919"/>
          <w:lang w:val="fr-FR"/>
        </w:rPr>
        <w:t xml:space="preserve"> de</w:t>
      </w:r>
      <w:r w:rsidR="006C5A28" w:rsidRPr="00787562">
        <w:rPr>
          <w:rFonts w:cs="Arial"/>
          <w:color w:val="191919"/>
          <w:lang w:val="fr-FR"/>
        </w:rPr>
        <w:t xml:space="preserve"> l’Accord Afrique-Eurasie sur les oiseaux d’eau migrateurs. Le Groupe a convenu qu’il valait la peine de rappeler ces orientations aux Parties contractantes, en soulignant la nécessité de faire en sorte que les réactions ne compromettent pas</w:t>
      </w:r>
      <w:r w:rsidR="001C05F3">
        <w:rPr>
          <w:rFonts w:cs="Arial"/>
          <w:color w:val="191919"/>
          <w:lang w:val="fr-FR"/>
        </w:rPr>
        <w:t>,</w:t>
      </w:r>
      <w:r w:rsidR="006C5A28" w:rsidRPr="00787562">
        <w:rPr>
          <w:rFonts w:cs="Arial"/>
          <w:color w:val="191919"/>
          <w:lang w:val="fr-FR"/>
        </w:rPr>
        <w:t xml:space="preserve"> par inadvertance</w:t>
      </w:r>
      <w:r w:rsidR="001C05F3">
        <w:rPr>
          <w:rFonts w:cs="Arial"/>
          <w:color w:val="191919"/>
          <w:lang w:val="fr-FR"/>
        </w:rPr>
        <w:t>,</w:t>
      </w:r>
      <w:r w:rsidR="006C5A28" w:rsidRPr="00787562">
        <w:rPr>
          <w:rFonts w:cs="Arial"/>
          <w:color w:val="191919"/>
          <w:lang w:val="fr-FR"/>
        </w:rPr>
        <w:t xml:space="preserve"> l’utilisation rationnelle des zones humides. En outre, le Groupe a noté que les réactions létales aux oiseaux sauvages ne sont pas soutenues par les orientations Ramsar ni par les orientations de l’Organisation des Nations Unies pour l’alimentation et l’agriculture et de l’Organisation mondiale de la santé animale. En conséquence, après la 53</w:t>
      </w:r>
      <w:r w:rsidR="006C5A28" w:rsidRPr="00787562">
        <w:rPr>
          <w:rFonts w:cs="Arial"/>
          <w:color w:val="191919"/>
          <w:vertAlign w:val="superscript"/>
          <w:lang w:val="fr-FR"/>
        </w:rPr>
        <w:t>e</w:t>
      </w:r>
      <w:r w:rsidR="006C5A28" w:rsidRPr="00787562">
        <w:rPr>
          <w:rFonts w:cs="Arial"/>
          <w:color w:val="191919"/>
          <w:lang w:val="fr-FR"/>
        </w:rPr>
        <w:t xml:space="preserve"> Réunion du Comité permanent, en juin 2017, le Président du GEST a envoyé un rappel aux Parties contractantes via le Forum Ramsar et l’Espace de travail du GEST. </w:t>
      </w:r>
    </w:p>
    <w:p w14:paraId="5B6992D6" w14:textId="77777777" w:rsidR="007E0DC5" w:rsidRPr="00787562" w:rsidRDefault="007E0DC5" w:rsidP="00684ACE">
      <w:pPr>
        <w:pStyle w:val="ListParagraph"/>
        <w:ind w:left="426"/>
        <w:rPr>
          <w:rFonts w:asciiTheme="minorHAnsi" w:hAnsiTheme="minorHAnsi"/>
          <w:lang w:val="fr-FR"/>
        </w:rPr>
      </w:pPr>
    </w:p>
    <w:p w14:paraId="7C33114D" w14:textId="77777777" w:rsidR="00FF6E85" w:rsidRPr="00787562" w:rsidRDefault="00C25CA9" w:rsidP="007E0DC5">
      <w:pPr>
        <w:pStyle w:val="ListParagraph"/>
        <w:ind w:left="426"/>
        <w:rPr>
          <w:rFonts w:asciiTheme="minorHAnsi" w:hAnsiTheme="minorHAnsi"/>
          <w:lang w:val="fr-FR"/>
        </w:rPr>
      </w:pPr>
      <w:r w:rsidRPr="00787562">
        <w:rPr>
          <w:u w:val="single"/>
          <w:lang w:val="fr-FR"/>
        </w:rPr>
        <w:t>IPBES</w:t>
      </w:r>
    </w:p>
    <w:p w14:paraId="4E2BB6F3" w14:textId="77777777" w:rsidR="004D0A2C" w:rsidRPr="00787562" w:rsidRDefault="004D0A2C" w:rsidP="007E0DC5">
      <w:pPr>
        <w:pStyle w:val="ListParagraph"/>
        <w:ind w:left="426"/>
        <w:rPr>
          <w:rFonts w:asciiTheme="minorHAnsi" w:hAnsiTheme="minorHAnsi"/>
          <w:lang w:val="fr-FR"/>
        </w:rPr>
      </w:pPr>
    </w:p>
    <w:p w14:paraId="7E166B67" w14:textId="45513143" w:rsidR="00C25CA9" w:rsidRPr="00787562" w:rsidRDefault="00FF6E85" w:rsidP="0098291C">
      <w:pPr>
        <w:rPr>
          <w:lang w:val="fr-FR"/>
        </w:rPr>
      </w:pPr>
      <w:r w:rsidRPr="00787562">
        <w:rPr>
          <w:lang w:val="fr-FR"/>
        </w:rPr>
        <w:t>17.</w:t>
      </w:r>
      <w:r w:rsidRPr="00787562">
        <w:rPr>
          <w:lang w:val="fr-FR"/>
        </w:rPr>
        <w:tab/>
      </w:r>
      <w:r w:rsidR="006C5A28" w:rsidRPr="00787562">
        <w:rPr>
          <w:lang w:val="fr-FR"/>
        </w:rPr>
        <w:t>Le Président du GEST a assisté à la 9</w:t>
      </w:r>
      <w:r w:rsidR="006C5A28" w:rsidRPr="00787562">
        <w:rPr>
          <w:vertAlign w:val="superscript"/>
          <w:lang w:val="fr-FR"/>
        </w:rPr>
        <w:t>e</w:t>
      </w:r>
      <w:r w:rsidR="006C5A28" w:rsidRPr="00787562">
        <w:rPr>
          <w:lang w:val="fr-FR"/>
        </w:rPr>
        <w:t> session du Groupe d’experts pluridisciplinaire de l’IPBES, du 20 au 22 juin 2017, à Bonn, Allemagne. L’</w:t>
      </w:r>
      <w:r w:rsidR="00E464D7" w:rsidRPr="00787562">
        <w:rPr>
          <w:lang w:val="fr-FR"/>
        </w:rPr>
        <w:t>IPBES</w:t>
      </w:r>
      <w:r w:rsidR="006C5A28" w:rsidRPr="00787562">
        <w:rPr>
          <w:lang w:val="fr-FR"/>
        </w:rPr>
        <w:noBreakHyphen/>
      </w:r>
      <w:r w:rsidR="00E464D7" w:rsidRPr="00787562">
        <w:rPr>
          <w:lang w:val="fr-FR"/>
        </w:rPr>
        <w:t>6</w:t>
      </w:r>
      <w:r w:rsidR="006C5A28" w:rsidRPr="00787562">
        <w:rPr>
          <w:lang w:val="fr-FR"/>
        </w:rPr>
        <w:t xml:space="preserve">, en mars 2018, examinera l’Évaluation de la dégradation et de la restauration des terres, ainsi que des évaluations régionales. </w:t>
      </w:r>
    </w:p>
    <w:p w14:paraId="3D235A89" w14:textId="77777777" w:rsidR="00E464D7" w:rsidRPr="00787562" w:rsidRDefault="00E464D7" w:rsidP="00684ACE">
      <w:pPr>
        <w:rPr>
          <w:rFonts w:asciiTheme="minorHAnsi" w:hAnsiTheme="minorHAnsi"/>
          <w:lang w:val="fr-FR"/>
        </w:rPr>
      </w:pPr>
    </w:p>
    <w:p w14:paraId="28FB2F12" w14:textId="2B5B0DD0" w:rsidR="00E464D7" w:rsidRPr="00787562" w:rsidRDefault="004D0A2C" w:rsidP="0098291C">
      <w:pPr>
        <w:rPr>
          <w:lang w:val="fr-FR"/>
        </w:rPr>
      </w:pPr>
      <w:r w:rsidRPr="00787562">
        <w:rPr>
          <w:lang w:val="fr-FR"/>
        </w:rPr>
        <w:t>18.</w:t>
      </w:r>
      <w:r w:rsidRPr="00787562">
        <w:rPr>
          <w:lang w:val="fr-FR"/>
        </w:rPr>
        <w:tab/>
      </w:r>
      <w:r w:rsidR="006C5A28" w:rsidRPr="00787562">
        <w:rPr>
          <w:lang w:val="fr-FR"/>
        </w:rPr>
        <w:t>La Résolution </w:t>
      </w:r>
      <w:r w:rsidR="0055238F" w:rsidRPr="00787562">
        <w:rPr>
          <w:lang w:val="fr-FR"/>
        </w:rPr>
        <w:t>XII.2</w:t>
      </w:r>
      <w:r w:rsidR="00D10D53" w:rsidRPr="00787562">
        <w:rPr>
          <w:lang w:val="fr-FR"/>
        </w:rPr>
        <w:t>,</w:t>
      </w:r>
      <w:r w:rsidR="00BF5B49" w:rsidRPr="00787562">
        <w:rPr>
          <w:lang w:val="fr-FR"/>
        </w:rPr>
        <w:t xml:space="preserve"> </w:t>
      </w:r>
      <w:r w:rsidR="00D10D53" w:rsidRPr="00787562">
        <w:rPr>
          <w:i/>
          <w:lang w:val="fr-FR"/>
        </w:rPr>
        <w:t xml:space="preserve">Le Plan stratégique </w:t>
      </w:r>
      <w:r w:rsidR="00BF5B49" w:rsidRPr="00787562">
        <w:rPr>
          <w:i/>
          <w:lang w:val="fr-FR"/>
        </w:rPr>
        <w:t>Ramsar 2016-2024</w:t>
      </w:r>
      <w:r w:rsidR="006C5A28" w:rsidRPr="00787562">
        <w:rPr>
          <w:lang w:val="fr-FR"/>
        </w:rPr>
        <w:t>,</w:t>
      </w:r>
      <w:r w:rsidR="00D10D53" w:rsidRPr="00787562">
        <w:rPr>
          <w:lang w:val="fr-FR"/>
        </w:rPr>
        <w:t xml:space="preserve"> demande au Secrétariat « d</w:t>
      </w:r>
      <w:r w:rsidR="00C24AC7" w:rsidRPr="00787562">
        <w:rPr>
          <w:lang w:val="fr-FR"/>
        </w:rPr>
        <w:t>e </w:t>
      </w:r>
      <w:r w:rsidR="00D10D53" w:rsidRPr="00787562">
        <w:rPr>
          <w:lang w:val="fr-FR"/>
        </w:rPr>
        <w:t>soumettre à l’IPBES une demande d’évaluation thématique de la situation et des tendances actuelles des zones humides, notamment de leur état »</w:t>
      </w:r>
      <w:r w:rsidR="00FF6E85" w:rsidRPr="00787562">
        <w:rPr>
          <w:lang w:val="fr-FR"/>
        </w:rPr>
        <w:t>.</w:t>
      </w:r>
      <w:r w:rsidR="0055238F" w:rsidRPr="00787562">
        <w:rPr>
          <w:lang w:val="fr-FR"/>
        </w:rPr>
        <w:t xml:space="preserve"> </w:t>
      </w:r>
      <w:r w:rsidR="00C24AC7" w:rsidRPr="00787562">
        <w:rPr>
          <w:lang w:val="fr-FR"/>
        </w:rPr>
        <w:t>Il est prévu que l’IPBES</w:t>
      </w:r>
      <w:r w:rsidR="00C24AC7" w:rsidRPr="00787562">
        <w:rPr>
          <w:lang w:val="fr-FR"/>
        </w:rPr>
        <w:noBreakHyphen/>
      </w:r>
      <w:r w:rsidR="0055238F" w:rsidRPr="00787562">
        <w:rPr>
          <w:lang w:val="fr-FR"/>
        </w:rPr>
        <w:t>6</w:t>
      </w:r>
      <w:r w:rsidR="00C24AC7" w:rsidRPr="00787562">
        <w:rPr>
          <w:lang w:val="fr-FR"/>
        </w:rPr>
        <w:t xml:space="preserve">, en mars 2018, soit priée d’approuver un appel à propositions pour le deuxième programme de travail. Si </w:t>
      </w:r>
      <w:r w:rsidR="00DB1471">
        <w:rPr>
          <w:lang w:val="fr-FR"/>
        </w:rPr>
        <w:t>cela se confirme</w:t>
      </w:r>
      <w:r w:rsidR="00C24AC7" w:rsidRPr="00787562">
        <w:rPr>
          <w:lang w:val="fr-FR"/>
        </w:rPr>
        <w:t>, l’appel officiel à propositions sera émis peu après. Dans le cadre des lignes directrices intérimaires approuvées par le Comité permanent dans la Décision </w:t>
      </w:r>
      <w:r w:rsidR="00E464D7" w:rsidRPr="00787562">
        <w:rPr>
          <w:lang w:val="fr-FR"/>
        </w:rPr>
        <w:t xml:space="preserve">SC47-24, </w:t>
      </w:r>
      <w:r w:rsidR="00C24AC7" w:rsidRPr="00787562">
        <w:rPr>
          <w:lang w:val="fr-FR"/>
        </w:rPr>
        <w:t xml:space="preserve">c’est le Comité permanent qui décide des propositions à soumettre à l’IPBES, au nom de la Convention de Ramsar. Comme reconnu dans les lignes directrices intérimaires et noté dans des rapports précédents du Président du GEST, </w:t>
      </w:r>
      <w:r w:rsidR="006E3E5C" w:rsidRPr="00787562">
        <w:rPr>
          <w:lang w:val="fr-FR"/>
        </w:rPr>
        <w:t>« par manque de temps, il est probable que les propositions devront être présentées aux membres du Comité permanent de façon virtuelle et que l’approbation ou les commentaires [devront être] fournis dans de brefs délais</w:t>
      </w:r>
      <w:r w:rsidR="00E464D7" w:rsidRPr="00787562">
        <w:rPr>
          <w:lang w:val="fr-FR"/>
        </w:rPr>
        <w:t>.</w:t>
      </w:r>
      <w:r w:rsidR="006E3E5C" w:rsidRPr="00787562">
        <w:rPr>
          <w:lang w:val="fr-FR"/>
        </w:rPr>
        <w:t> »</w:t>
      </w:r>
    </w:p>
    <w:p w14:paraId="4749A0BA" w14:textId="77777777" w:rsidR="00E464D7" w:rsidRPr="00787562" w:rsidRDefault="00E464D7" w:rsidP="00684ACE">
      <w:pPr>
        <w:rPr>
          <w:rFonts w:asciiTheme="minorHAnsi" w:hAnsiTheme="minorHAnsi"/>
          <w:lang w:val="fr-FR"/>
        </w:rPr>
      </w:pPr>
    </w:p>
    <w:p w14:paraId="6EA7DB94" w14:textId="112F68F2" w:rsidR="00FA7E71" w:rsidRPr="00787562" w:rsidRDefault="00C24AC7" w:rsidP="00073463">
      <w:pPr>
        <w:keepNext/>
        <w:rPr>
          <w:rFonts w:asciiTheme="minorHAnsi" w:hAnsiTheme="minorHAnsi"/>
          <w:u w:val="single"/>
          <w:lang w:val="fr-FR"/>
        </w:rPr>
      </w:pPr>
      <w:r w:rsidRPr="00787562">
        <w:rPr>
          <w:rFonts w:asciiTheme="minorHAnsi" w:hAnsiTheme="minorHAnsi"/>
          <w:u w:val="single"/>
          <w:lang w:val="fr-FR"/>
        </w:rPr>
        <w:t>Participation du GEST à des évaluations mondiales</w:t>
      </w:r>
    </w:p>
    <w:p w14:paraId="389FBF11" w14:textId="77777777" w:rsidR="00FA7E71" w:rsidRPr="00787562" w:rsidRDefault="00FA7E71" w:rsidP="00073463">
      <w:pPr>
        <w:keepNext/>
        <w:rPr>
          <w:rFonts w:asciiTheme="minorHAnsi" w:hAnsiTheme="minorHAnsi"/>
          <w:lang w:val="fr-FR"/>
        </w:rPr>
      </w:pPr>
    </w:p>
    <w:p w14:paraId="6371C438" w14:textId="7E53A470" w:rsidR="004B6E8B" w:rsidRPr="00787562" w:rsidRDefault="00FA7E71" w:rsidP="00073463">
      <w:pPr>
        <w:keepNext/>
        <w:rPr>
          <w:rFonts w:asciiTheme="minorHAnsi" w:hAnsiTheme="minorHAnsi"/>
          <w:lang w:val="fr-FR"/>
        </w:rPr>
      </w:pPr>
      <w:r w:rsidRPr="00787562">
        <w:rPr>
          <w:lang w:val="fr-FR"/>
        </w:rPr>
        <w:t>19.</w:t>
      </w:r>
      <w:r w:rsidRPr="00787562">
        <w:rPr>
          <w:lang w:val="fr-FR"/>
        </w:rPr>
        <w:tab/>
      </w:r>
      <w:r w:rsidR="00FE79AE" w:rsidRPr="00787562">
        <w:rPr>
          <w:lang w:val="fr-FR"/>
        </w:rPr>
        <w:t>Le GEST, avec l’aide du Secrétariat, a participé à des processus d’examen externe</w:t>
      </w:r>
      <w:r w:rsidR="00DB1471">
        <w:rPr>
          <w:lang w:val="fr-FR"/>
        </w:rPr>
        <w:t>s</w:t>
      </w:r>
      <w:r w:rsidR="00FE79AE" w:rsidRPr="00787562">
        <w:rPr>
          <w:lang w:val="fr-FR"/>
        </w:rPr>
        <w:t>, notamment lorsque des données de l’Indice WET étaient pertinentes, pour les évaluations environnementales mondiales suivantes :</w:t>
      </w:r>
    </w:p>
    <w:p w14:paraId="1E817867" w14:textId="77777777" w:rsidR="00E464D7" w:rsidRPr="00787562" w:rsidRDefault="00E464D7" w:rsidP="00684ACE">
      <w:pPr>
        <w:rPr>
          <w:rFonts w:asciiTheme="minorHAnsi" w:hAnsiTheme="minorHAnsi"/>
          <w:lang w:val="fr-FR"/>
        </w:rPr>
      </w:pPr>
    </w:p>
    <w:p w14:paraId="67F4DC03" w14:textId="612ECB7B" w:rsidR="004B6E8B" w:rsidRPr="00787562" w:rsidRDefault="00FE79AE" w:rsidP="00DB4028">
      <w:pPr>
        <w:pStyle w:val="ListParagraph"/>
        <w:numPr>
          <w:ilvl w:val="0"/>
          <w:numId w:val="12"/>
        </w:numPr>
        <w:ind w:left="850" w:hanging="425"/>
        <w:rPr>
          <w:lang w:val="fr-FR"/>
        </w:rPr>
      </w:pPr>
      <w:r w:rsidRPr="00787562">
        <w:rPr>
          <w:lang w:val="fr-FR"/>
        </w:rPr>
        <w:t xml:space="preserve">Évaluation </w:t>
      </w:r>
      <w:r w:rsidR="004B6E8B" w:rsidRPr="00787562">
        <w:rPr>
          <w:lang w:val="fr-FR"/>
        </w:rPr>
        <w:t xml:space="preserve">IPBES </w:t>
      </w:r>
      <w:r w:rsidRPr="00787562">
        <w:rPr>
          <w:lang w:val="fr-FR"/>
        </w:rPr>
        <w:t xml:space="preserve">de la dégradation et de la restauration des terres (Deuxième projet) </w:t>
      </w:r>
    </w:p>
    <w:p w14:paraId="37A93BB4" w14:textId="0BBB13E9" w:rsidR="004B6E8B" w:rsidRPr="00787562" w:rsidRDefault="00FE79AE" w:rsidP="00DB4028">
      <w:pPr>
        <w:pStyle w:val="ListParagraph"/>
        <w:numPr>
          <w:ilvl w:val="0"/>
          <w:numId w:val="12"/>
        </w:numPr>
        <w:ind w:left="850" w:hanging="425"/>
        <w:rPr>
          <w:lang w:val="fr-FR"/>
        </w:rPr>
      </w:pPr>
      <w:r w:rsidRPr="00787562">
        <w:rPr>
          <w:lang w:val="fr-FR"/>
        </w:rPr>
        <w:t xml:space="preserve">Évaluation </w:t>
      </w:r>
      <w:r w:rsidR="004B6E8B" w:rsidRPr="00787562">
        <w:rPr>
          <w:lang w:val="fr-FR"/>
        </w:rPr>
        <w:t>IPBES</w:t>
      </w:r>
      <w:r w:rsidR="00E464D7" w:rsidRPr="00787562">
        <w:rPr>
          <w:lang w:val="fr-FR"/>
        </w:rPr>
        <w:t xml:space="preserve"> </w:t>
      </w:r>
      <w:r w:rsidRPr="00787562">
        <w:rPr>
          <w:lang w:val="fr-FR"/>
        </w:rPr>
        <w:t xml:space="preserve">de la biodiversité mondiale (Premier projet) </w:t>
      </w:r>
    </w:p>
    <w:p w14:paraId="72642F58" w14:textId="158FE69C" w:rsidR="004B6E8B" w:rsidRPr="00787562" w:rsidRDefault="00FE79AE" w:rsidP="00DB4028">
      <w:pPr>
        <w:pStyle w:val="ListParagraph"/>
        <w:numPr>
          <w:ilvl w:val="0"/>
          <w:numId w:val="12"/>
        </w:numPr>
        <w:ind w:left="850" w:hanging="425"/>
        <w:rPr>
          <w:lang w:val="fr-FR"/>
        </w:rPr>
      </w:pPr>
      <w:r w:rsidRPr="00787562">
        <w:rPr>
          <w:lang w:val="fr-FR"/>
        </w:rPr>
        <w:t xml:space="preserve">Évaluations régionales </w:t>
      </w:r>
      <w:r w:rsidR="004B6E8B" w:rsidRPr="00787562">
        <w:rPr>
          <w:lang w:val="fr-FR"/>
        </w:rPr>
        <w:t xml:space="preserve">IPBES </w:t>
      </w:r>
      <w:r w:rsidRPr="00787562">
        <w:rPr>
          <w:lang w:val="fr-FR"/>
        </w:rPr>
        <w:t>(Deuxièmes projets</w:t>
      </w:r>
      <w:r w:rsidR="00F631E2" w:rsidRPr="00787562">
        <w:rPr>
          <w:lang w:val="fr-FR"/>
        </w:rPr>
        <w:t>)</w:t>
      </w:r>
    </w:p>
    <w:p w14:paraId="087943B3" w14:textId="40F3D309" w:rsidR="004B6E8B" w:rsidRPr="00787562" w:rsidRDefault="00B77D2C" w:rsidP="00DB4028">
      <w:pPr>
        <w:pStyle w:val="ListParagraph"/>
        <w:numPr>
          <w:ilvl w:val="0"/>
          <w:numId w:val="12"/>
        </w:numPr>
        <w:ind w:left="850" w:hanging="425"/>
        <w:rPr>
          <w:lang w:val="fr-FR"/>
        </w:rPr>
      </w:pPr>
      <w:r w:rsidRPr="00787562">
        <w:rPr>
          <w:lang w:val="fr-FR"/>
        </w:rPr>
        <w:t>Six</w:t>
      </w:r>
      <w:r w:rsidR="00FE79AE" w:rsidRPr="00787562">
        <w:rPr>
          <w:lang w:val="fr-FR"/>
        </w:rPr>
        <w:t xml:space="preserve">ième </w:t>
      </w:r>
      <w:r w:rsidR="00CF3A38">
        <w:rPr>
          <w:lang w:val="fr-FR"/>
        </w:rPr>
        <w:t>édition de L’avenir de l’environnement mondial</w:t>
      </w:r>
      <w:r w:rsidRPr="00787562">
        <w:rPr>
          <w:lang w:val="fr-FR"/>
        </w:rPr>
        <w:t xml:space="preserve"> (GEO</w:t>
      </w:r>
      <w:r w:rsidR="004B6E8B" w:rsidRPr="00787562">
        <w:rPr>
          <w:lang w:val="fr-FR"/>
        </w:rPr>
        <w:t>-6</w:t>
      </w:r>
      <w:r w:rsidRPr="00787562">
        <w:rPr>
          <w:lang w:val="fr-FR"/>
        </w:rPr>
        <w:t>)</w:t>
      </w:r>
      <w:r w:rsidR="004B6E8B" w:rsidRPr="00787562">
        <w:rPr>
          <w:lang w:val="fr-FR"/>
        </w:rPr>
        <w:t xml:space="preserve"> (</w:t>
      </w:r>
      <w:r w:rsidR="00FE79AE" w:rsidRPr="00787562">
        <w:rPr>
          <w:lang w:val="fr-FR"/>
        </w:rPr>
        <w:t>Deuxième projet</w:t>
      </w:r>
      <w:r w:rsidR="004B6E8B" w:rsidRPr="00787562">
        <w:rPr>
          <w:lang w:val="fr-FR"/>
        </w:rPr>
        <w:t>—Chap</w:t>
      </w:r>
      <w:r w:rsidR="00FE79AE" w:rsidRPr="00787562">
        <w:rPr>
          <w:lang w:val="fr-FR"/>
        </w:rPr>
        <w:t>itre 6 sur les eaux douces</w:t>
      </w:r>
      <w:r w:rsidR="004B6E8B" w:rsidRPr="00787562">
        <w:rPr>
          <w:lang w:val="fr-FR"/>
        </w:rPr>
        <w:t>)</w:t>
      </w:r>
    </w:p>
    <w:p w14:paraId="2F26DFE7" w14:textId="38DE335E" w:rsidR="004B6E8B" w:rsidRPr="00787562" w:rsidRDefault="00FE79AE" w:rsidP="00DB4028">
      <w:pPr>
        <w:pStyle w:val="ListParagraph"/>
        <w:numPr>
          <w:ilvl w:val="0"/>
          <w:numId w:val="12"/>
        </w:numPr>
        <w:ind w:left="850" w:hanging="425"/>
        <w:rPr>
          <w:lang w:val="fr-FR"/>
        </w:rPr>
      </w:pPr>
      <w:r w:rsidRPr="00787562">
        <w:rPr>
          <w:lang w:val="fr-FR"/>
        </w:rPr>
        <w:t>Perspective</w:t>
      </w:r>
      <w:r w:rsidR="00CF3A38">
        <w:rPr>
          <w:lang w:val="fr-FR"/>
        </w:rPr>
        <w:t>s</w:t>
      </w:r>
      <w:r w:rsidRPr="00787562">
        <w:rPr>
          <w:lang w:val="fr-FR"/>
        </w:rPr>
        <w:t xml:space="preserve"> </w:t>
      </w:r>
      <w:r w:rsidR="00CF3A38">
        <w:rPr>
          <w:lang w:val="fr-FR"/>
        </w:rPr>
        <w:t>territoriales mondiales</w:t>
      </w:r>
      <w:r w:rsidR="004B6E8B" w:rsidRPr="00787562">
        <w:rPr>
          <w:lang w:val="fr-FR"/>
        </w:rPr>
        <w:t xml:space="preserve"> (Chap</w:t>
      </w:r>
      <w:r w:rsidRPr="00787562">
        <w:rPr>
          <w:lang w:val="fr-FR"/>
        </w:rPr>
        <w:t>itre </w:t>
      </w:r>
      <w:r w:rsidR="004B6E8B" w:rsidRPr="00787562">
        <w:rPr>
          <w:lang w:val="fr-FR"/>
        </w:rPr>
        <w:t xml:space="preserve">8 </w:t>
      </w:r>
      <w:r w:rsidRPr="00787562">
        <w:rPr>
          <w:lang w:val="fr-FR"/>
        </w:rPr>
        <w:t>sur les ressources en eau</w:t>
      </w:r>
      <w:r w:rsidR="004B6E8B" w:rsidRPr="00787562">
        <w:rPr>
          <w:lang w:val="fr-FR"/>
        </w:rPr>
        <w:t>)</w:t>
      </w:r>
    </w:p>
    <w:p w14:paraId="01686B67" w14:textId="77777777" w:rsidR="002654E8" w:rsidRPr="00787562" w:rsidRDefault="002654E8" w:rsidP="002654E8">
      <w:pPr>
        <w:pStyle w:val="ListParagraph"/>
        <w:rPr>
          <w:lang w:val="fr-FR"/>
        </w:rPr>
      </w:pPr>
    </w:p>
    <w:p w14:paraId="1DECF0AA" w14:textId="55D5D19A" w:rsidR="000C23C4" w:rsidRPr="00787562" w:rsidRDefault="00FE79AE" w:rsidP="000C23C4">
      <w:pPr>
        <w:rPr>
          <w:rFonts w:cstheme="minorHAnsi"/>
          <w:color w:val="000000"/>
          <w:u w:val="single"/>
          <w:lang w:val="fr-FR"/>
        </w:rPr>
      </w:pPr>
      <w:r w:rsidRPr="00787562">
        <w:rPr>
          <w:rFonts w:cstheme="minorHAnsi"/>
          <w:color w:val="000000"/>
          <w:u w:val="single"/>
          <w:lang w:val="fr-FR"/>
        </w:rPr>
        <w:t>Label Ville des Zones Humides accréditée</w:t>
      </w:r>
    </w:p>
    <w:p w14:paraId="25D95D9C" w14:textId="77777777" w:rsidR="000C23C4" w:rsidRPr="00787562" w:rsidRDefault="000C23C4" w:rsidP="00425317">
      <w:pPr>
        <w:rPr>
          <w:color w:val="000000"/>
          <w:lang w:val="fr-FR"/>
        </w:rPr>
      </w:pPr>
    </w:p>
    <w:p w14:paraId="1EE90353" w14:textId="06C22A21" w:rsidR="002654E8" w:rsidRPr="00787562" w:rsidRDefault="00987BAC" w:rsidP="000C23C4">
      <w:pPr>
        <w:pStyle w:val="ListParagraph"/>
        <w:numPr>
          <w:ilvl w:val="0"/>
          <w:numId w:val="29"/>
        </w:numPr>
        <w:ind w:left="426" w:hanging="426"/>
        <w:rPr>
          <w:color w:val="000000"/>
          <w:lang w:val="fr-FR"/>
        </w:rPr>
      </w:pPr>
      <w:r w:rsidRPr="00787562">
        <w:rPr>
          <w:color w:val="000000"/>
          <w:lang w:val="fr-FR"/>
        </w:rPr>
        <w:t>Dans le cadre de la Résolution </w:t>
      </w:r>
      <w:r w:rsidR="002654E8" w:rsidRPr="00787562">
        <w:rPr>
          <w:rFonts w:cstheme="minorHAnsi"/>
          <w:color w:val="000000"/>
          <w:lang w:val="fr-FR"/>
        </w:rPr>
        <w:t xml:space="preserve">XII.10, </w:t>
      </w:r>
      <w:r w:rsidRPr="00787562">
        <w:rPr>
          <w:rFonts w:cstheme="minorHAnsi"/>
          <w:color w:val="000000"/>
          <w:lang w:val="fr-FR"/>
        </w:rPr>
        <w:t xml:space="preserve">un membre du GEST siège au Comité consultatif indépendant (CCI). À la </w:t>
      </w:r>
      <w:r w:rsidR="00F96598" w:rsidRPr="00F96598">
        <w:rPr>
          <w:rFonts w:cstheme="minorHAnsi"/>
          <w:color w:val="000000"/>
          <w:lang w:val="fr-FR"/>
        </w:rPr>
        <w:t>2</w:t>
      </w:r>
      <w:r w:rsidR="00F96598">
        <w:rPr>
          <w:rFonts w:cstheme="minorHAnsi"/>
          <w:color w:val="000000"/>
          <w:lang w:val="fr-FR"/>
        </w:rPr>
        <w:t>1</w:t>
      </w:r>
      <w:r w:rsidR="00F96598" w:rsidRPr="00F96598">
        <w:rPr>
          <w:rFonts w:cstheme="minorHAnsi"/>
          <w:color w:val="000000"/>
          <w:vertAlign w:val="superscript"/>
          <w:lang w:val="fr-FR"/>
        </w:rPr>
        <w:t>e</w:t>
      </w:r>
      <w:r w:rsidR="00F96598" w:rsidRPr="00F96598">
        <w:rPr>
          <w:rFonts w:cstheme="minorHAnsi"/>
          <w:color w:val="000000"/>
          <w:lang w:val="fr-FR"/>
        </w:rPr>
        <w:t xml:space="preserve"> Réunion du GEST</w:t>
      </w:r>
      <w:r w:rsidRPr="00787562">
        <w:rPr>
          <w:rFonts w:cstheme="minorHAnsi"/>
          <w:color w:val="000000"/>
          <w:lang w:val="fr-FR"/>
        </w:rPr>
        <w:t>, le membre du GEST a indiqué que le processus CCI, bien qu’il ait été retardé, progressait généralement sans heurt. L’examen consiste à la lecture de propositions et de documentation d’appui et à la</w:t>
      </w:r>
      <w:r w:rsidR="005C00EB" w:rsidRPr="00787562">
        <w:rPr>
          <w:rFonts w:cstheme="minorHAnsi"/>
          <w:color w:val="000000"/>
          <w:lang w:val="fr-FR"/>
        </w:rPr>
        <w:t xml:space="preserve"> </w:t>
      </w:r>
      <w:r w:rsidRPr="00787562">
        <w:rPr>
          <w:rFonts w:cstheme="minorHAnsi"/>
          <w:color w:val="000000"/>
          <w:lang w:val="fr-FR"/>
        </w:rPr>
        <w:t xml:space="preserve">notation des propositions par rapport à chacun des critères sous </w:t>
      </w:r>
      <w:r w:rsidR="00F96598">
        <w:rPr>
          <w:rFonts w:cstheme="minorHAnsi"/>
          <w:color w:val="000000"/>
          <w:lang w:val="fr-FR"/>
        </w:rPr>
        <w:t xml:space="preserve">la </w:t>
      </w:r>
      <w:r w:rsidRPr="00787562">
        <w:rPr>
          <w:rFonts w:cstheme="minorHAnsi"/>
          <w:color w:val="000000"/>
          <w:lang w:val="fr-FR"/>
        </w:rPr>
        <w:t xml:space="preserve">forme oui/non. Comme le </w:t>
      </w:r>
      <w:r w:rsidR="002654E8" w:rsidRPr="00787562">
        <w:rPr>
          <w:color w:val="000000"/>
          <w:lang w:val="fr-FR"/>
        </w:rPr>
        <w:t>program</w:t>
      </w:r>
      <w:r w:rsidR="005E05E6" w:rsidRPr="00787562">
        <w:rPr>
          <w:color w:val="000000"/>
          <w:lang w:val="fr-FR"/>
        </w:rPr>
        <w:t>me</w:t>
      </w:r>
      <w:r w:rsidR="002654E8" w:rsidRPr="00787562">
        <w:rPr>
          <w:color w:val="000000"/>
          <w:lang w:val="fr-FR"/>
        </w:rPr>
        <w:t xml:space="preserve"> </w:t>
      </w:r>
      <w:r w:rsidRPr="00787562">
        <w:rPr>
          <w:color w:val="000000"/>
          <w:lang w:val="fr-FR"/>
        </w:rPr>
        <w:t>est évalué, les propositions d’amélioration du processus, jointes en annexe 1, devraient être examinées.</w:t>
      </w:r>
    </w:p>
    <w:p w14:paraId="6C315A95" w14:textId="77777777" w:rsidR="00DA6E71" w:rsidRPr="00787562" w:rsidRDefault="00DA6E71" w:rsidP="0098291C">
      <w:pPr>
        <w:rPr>
          <w:i/>
          <w:lang w:val="fr-FR"/>
        </w:rPr>
      </w:pPr>
    </w:p>
    <w:p w14:paraId="3C32DCC4" w14:textId="288D3417" w:rsidR="00DA3C34" w:rsidRPr="00787562" w:rsidRDefault="00DA3C34" w:rsidP="00684ACE">
      <w:pPr>
        <w:rPr>
          <w:rFonts w:asciiTheme="minorHAnsi" w:hAnsiTheme="minorHAnsi"/>
          <w:b/>
          <w:lang w:val="fr-FR"/>
        </w:rPr>
      </w:pPr>
      <w:r w:rsidRPr="00787562">
        <w:rPr>
          <w:rFonts w:asciiTheme="minorHAnsi" w:hAnsiTheme="minorHAnsi"/>
          <w:b/>
          <w:lang w:val="fr-FR"/>
        </w:rPr>
        <w:t xml:space="preserve">Engagement </w:t>
      </w:r>
      <w:r w:rsidR="00987BAC" w:rsidRPr="00787562">
        <w:rPr>
          <w:rFonts w:asciiTheme="minorHAnsi" w:hAnsiTheme="minorHAnsi"/>
          <w:b/>
          <w:lang w:val="fr-FR"/>
        </w:rPr>
        <w:t>des Correspondants nationaux du GEST</w:t>
      </w:r>
    </w:p>
    <w:p w14:paraId="064C1709" w14:textId="77777777" w:rsidR="00033ADF" w:rsidRPr="00787562" w:rsidRDefault="00033ADF" w:rsidP="00425317">
      <w:pPr>
        <w:rPr>
          <w:rFonts w:asciiTheme="minorHAnsi" w:hAnsiTheme="minorHAnsi"/>
          <w:b/>
          <w:lang w:val="fr-FR"/>
        </w:rPr>
      </w:pPr>
    </w:p>
    <w:p w14:paraId="301C60DA" w14:textId="65CCAE6D" w:rsidR="000B5FFE" w:rsidRPr="00787562" w:rsidRDefault="004D0A2C" w:rsidP="0098291C">
      <w:pPr>
        <w:rPr>
          <w:rFonts w:asciiTheme="minorHAnsi" w:hAnsiTheme="minorHAnsi"/>
          <w:lang w:val="fr-FR"/>
        </w:rPr>
      </w:pPr>
      <w:r w:rsidRPr="00787562">
        <w:rPr>
          <w:rFonts w:asciiTheme="minorHAnsi" w:hAnsiTheme="minorHAnsi"/>
          <w:lang w:val="fr-FR"/>
        </w:rPr>
        <w:t>21.</w:t>
      </w:r>
      <w:r w:rsidR="002D5F19" w:rsidRPr="00787562">
        <w:rPr>
          <w:rFonts w:asciiTheme="minorHAnsi" w:hAnsiTheme="minorHAnsi"/>
          <w:lang w:val="fr-FR"/>
        </w:rPr>
        <w:t xml:space="preserve"> </w:t>
      </w:r>
      <w:r w:rsidR="000C23C4" w:rsidRPr="00787562">
        <w:rPr>
          <w:rFonts w:asciiTheme="minorHAnsi" w:hAnsiTheme="minorHAnsi"/>
          <w:lang w:val="fr-FR"/>
        </w:rPr>
        <w:tab/>
      </w:r>
      <w:r w:rsidR="00987BAC" w:rsidRPr="00787562">
        <w:rPr>
          <w:rFonts w:asciiTheme="minorHAnsi" w:hAnsiTheme="minorHAnsi"/>
          <w:lang w:val="fr-FR"/>
        </w:rPr>
        <w:t xml:space="preserve">À l’exception notable des CN GEST qui ont assisté aux réunions, l’engagement des CN GEST reste très faible. Au cours de cette période triennale, environ 15 CN GEST (la moitié d’entre eux représentant des Parties contractantes européennes) ont participé aux travaux relatifs à l’une ou l’autre des tâches du GEST. Le Président du GEST a demandé à ces CN actifs pourquoi ils participaient : </w:t>
      </w:r>
      <w:r w:rsidR="00163EB5" w:rsidRPr="00787562">
        <w:rPr>
          <w:rFonts w:asciiTheme="minorHAnsi" w:hAnsiTheme="minorHAnsi"/>
          <w:lang w:val="fr-FR"/>
        </w:rPr>
        <w:t>leur travail auprès du GEST est</w:t>
      </w:r>
      <w:r w:rsidR="00163EB5" w:rsidRPr="00787562">
        <w:rPr>
          <w:rFonts w:asciiTheme="minorHAnsi" w:hAnsiTheme="minorHAnsi"/>
          <w:lang w:val="fr-FR"/>
        </w:rPr>
        <w:noBreakHyphen/>
        <w:t>il officiellement reconnu ou soutenu par leurs employeurs ou participent</w:t>
      </w:r>
      <w:r w:rsidR="00163EB5" w:rsidRPr="00787562">
        <w:rPr>
          <w:rFonts w:asciiTheme="minorHAnsi" w:hAnsiTheme="minorHAnsi"/>
          <w:lang w:val="fr-FR"/>
        </w:rPr>
        <w:noBreakHyphen/>
        <w:t xml:space="preserve">ils simplement par engagement personnel? </w:t>
      </w:r>
    </w:p>
    <w:p w14:paraId="4BBC67F5" w14:textId="77777777" w:rsidR="000B5FFE" w:rsidRPr="00787562" w:rsidRDefault="000B5FFE" w:rsidP="00684ACE">
      <w:pPr>
        <w:pStyle w:val="ListParagraph"/>
        <w:ind w:left="426"/>
        <w:rPr>
          <w:rFonts w:asciiTheme="minorHAnsi" w:eastAsia="Times New Roman" w:hAnsiTheme="minorHAnsi" w:cs="Segoe UI"/>
          <w:color w:val="212121"/>
          <w:lang w:val="fr-FR"/>
        </w:rPr>
      </w:pPr>
    </w:p>
    <w:p w14:paraId="15ECF6E7" w14:textId="5F2A8F57" w:rsidR="005B2F75" w:rsidRPr="00787562" w:rsidRDefault="004D0A2C" w:rsidP="0098291C">
      <w:pPr>
        <w:rPr>
          <w:rFonts w:asciiTheme="minorHAnsi" w:hAnsiTheme="minorHAnsi"/>
          <w:color w:val="212121"/>
          <w:lang w:val="fr-FR"/>
        </w:rPr>
      </w:pPr>
      <w:r w:rsidRPr="00787562">
        <w:rPr>
          <w:lang w:val="fr-FR"/>
        </w:rPr>
        <w:lastRenderedPageBreak/>
        <w:t>22.</w:t>
      </w:r>
      <w:r w:rsidRPr="00787562">
        <w:rPr>
          <w:lang w:val="fr-FR"/>
        </w:rPr>
        <w:tab/>
      </w:r>
      <w:r w:rsidR="00163EB5" w:rsidRPr="00787562">
        <w:rPr>
          <w:lang w:val="fr-FR"/>
        </w:rPr>
        <w:t xml:space="preserve">Les réponses suggèrent que les CN GEST qui ont participé aux travaux du GEST le font en priorité par engagement personnel, pour contribuer à la conservation des zones humides et aux travaux de la Convention de Ramsar. Ces CN GEST constatent également les avantages personnels de leur participation aux travaux du GEST : </w:t>
      </w:r>
      <w:r w:rsidR="00F96598">
        <w:rPr>
          <w:rFonts w:asciiTheme="minorHAnsi" w:hAnsiTheme="minorHAnsi"/>
          <w:color w:val="000000"/>
          <w:lang w:val="fr-FR"/>
        </w:rPr>
        <w:t>cette participation offre</w:t>
      </w:r>
      <w:r w:rsidR="00163EB5" w:rsidRPr="00787562">
        <w:rPr>
          <w:rFonts w:asciiTheme="minorHAnsi" w:hAnsiTheme="minorHAnsi"/>
          <w:color w:val="000000"/>
          <w:lang w:val="fr-FR"/>
        </w:rPr>
        <w:t xml:space="preserve"> une occasion d’apprentissage</w:t>
      </w:r>
      <w:r w:rsidR="00F96598">
        <w:rPr>
          <w:rFonts w:asciiTheme="minorHAnsi" w:hAnsiTheme="minorHAnsi"/>
          <w:color w:val="000000"/>
          <w:lang w:val="fr-FR"/>
        </w:rPr>
        <w:t>, permettant d’</w:t>
      </w:r>
      <w:r w:rsidR="00163EB5" w:rsidRPr="00787562">
        <w:rPr>
          <w:rFonts w:asciiTheme="minorHAnsi" w:hAnsiTheme="minorHAnsi"/>
          <w:color w:val="000000"/>
          <w:lang w:val="fr-FR"/>
        </w:rPr>
        <w:t xml:space="preserve">enrichir les connaissances et l’expertise ainsi qu’une possibilité de rester à jour sur l’évolution internationale et de participer aux réseaux. De manière générale, cependant, les CN GEST ne sont pas soutenus par les gouvernements des Parties contractantes </w:t>
      </w:r>
      <w:r w:rsidR="00F96598">
        <w:rPr>
          <w:rFonts w:asciiTheme="minorHAnsi" w:hAnsiTheme="minorHAnsi"/>
          <w:color w:val="000000"/>
          <w:lang w:val="fr-FR"/>
        </w:rPr>
        <w:t>pour</w:t>
      </w:r>
      <w:r w:rsidR="00163EB5" w:rsidRPr="00787562">
        <w:rPr>
          <w:rFonts w:asciiTheme="minorHAnsi" w:hAnsiTheme="minorHAnsi"/>
          <w:color w:val="000000"/>
          <w:lang w:val="fr-FR"/>
        </w:rPr>
        <w:t xml:space="preserve"> leur participation aux travaux du GEST. Les employeurs des CN considèrent généralement qu’il s’agit d’une faible priorité et certains CN font leur travail relatif au GEST en dehors de leur temps de travail. Souvent, il n’y a pas de budget pour permettre aux CN d’assister aux réunions et, dans un cas, le CN a profité de congés personnels pour assister aux réunions du GEST. </w:t>
      </w:r>
    </w:p>
    <w:p w14:paraId="3EC8A7AD" w14:textId="77777777" w:rsidR="001C5C4A" w:rsidRPr="00787562" w:rsidRDefault="001C5C4A" w:rsidP="00684ACE">
      <w:pPr>
        <w:rPr>
          <w:rFonts w:asciiTheme="minorHAnsi" w:hAnsiTheme="minorHAnsi"/>
          <w:b/>
          <w:lang w:val="fr-FR"/>
        </w:rPr>
      </w:pPr>
    </w:p>
    <w:p w14:paraId="32D574AF" w14:textId="76F7166E" w:rsidR="00536AB3" w:rsidRPr="00787562" w:rsidRDefault="00163EB5" w:rsidP="00684ACE">
      <w:pPr>
        <w:rPr>
          <w:u w:val="single"/>
          <w:lang w:val="fr-FR"/>
        </w:rPr>
      </w:pPr>
      <w:r w:rsidRPr="00787562">
        <w:rPr>
          <w:u w:val="single"/>
          <w:lang w:val="fr-FR"/>
        </w:rPr>
        <w:t>F</w:t>
      </w:r>
      <w:r w:rsidR="00CC6773" w:rsidRPr="00787562">
        <w:rPr>
          <w:u w:val="single"/>
          <w:lang w:val="fr-FR"/>
        </w:rPr>
        <w:t>uture</w:t>
      </w:r>
      <w:r w:rsidRPr="00787562">
        <w:rPr>
          <w:u w:val="single"/>
          <w:lang w:val="fr-FR"/>
        </w:rPr>
        <w:t>s</w:t>
      </w:r>
      <w:r w:rsidR="00CC6773" w:rsidRPr="00787562">
        <w:rPr>
          <w:u w:val="single"/>
          <w:lang w:val="fr-FR"/>
        </w:rPr>
        <w:t xml:space="preserve"> </w:t>
      </w:r>
      <w:r w:rsidRPr="00787562">
        <w:rPr>
          <w:u w:val="single"/>
          <w:lang w:val="fr-FR"/>
        </w:rPr>
        <w:t>priorités</w:t>
      </w:r>
      <w:r w:rsidR="00CC6773" w:rsidRPr="00787562">
        <w:rPr>
          <w:u w:val="single"/>
          <w:lang w:val="fr-FR"/>
        </w:rPr>
        <w:t xml:space="preserve"> </w:t>
      </w:r>
    </w:p>
    <w:p w14:paraId="41EA3970" w14:textId="77777777" w:rsidR="00CC6773" w:rsidRPr="00787562" w:rsidRDefault="00CC6773" w:rsidP="00CC6773">
      <w:pPr>
        <w:rPr>
          <w:rFonts w:cs="Arial"/>
          <w:lang w:val="fr-FR"/>
        </w:rPr>
      </w:pPr>
    </w:p>
    <w:p w14:paraId="51AA4BB0" w14:textId="0BF24FD2" w:rsidR="006F016C" w:rsidRPr="00787562" w:rsidRDefault="00867F99" w:rsidP="00867F99">
      <w:pPr>
        <w:rPr>
          <w:lang w:val="fr-FR"/>
        </w:rPr>
      </w:pPr>
      <w:r w:rsidRPr="00787562">
        <w:rPr>
          <w:lang w:val="fr-FR"/>
        </w:rPr>
        <w:t>23.</w:t>
      </w:r>
      <w:r w:rsidRPr="00787562">
        <w:rPr>
          <w:lang w:val="fr-FR"/>
        </w:rPr>
        <w:tab/>
      </w:r>
      <w:r w:rsidR="00163EB5" w:rsidRPr="00787562">
        <w:rPr>
          <w:lang w:val="fr-FR"/>
        </w:rPr>
        <w:t xml:space="preserve">Après consultation avec les membres du GEST, durant la </w:t>
      </w:r>
      <w:r w:rsidR="003F7DF3" w:rsidRPr="003F7DF3">
        <w:rPr>
          <w:lang w:val="fr-FR"/>
        </w:rPr>
        <w:t>2</w:t>
      </w:r>
      <w:r w:rsidR="003F7DF3">
        <w:rPr>
          <w:lang w:val="fr-FR"/>
        </w:rPr>
        <w:t>1</w:t>
      </w:r>
      <w:r w:rsidR="003F7DF3" w:rsidRPr="003F7DF3">
        <w:rPr>
          <w:vertAlign w:val="superscript"/>
          <w:lang w:val="fr-FR"/>
        </w:rPr>
        <w:t>e</w:t>
      </w:r>
      <w:r w:rsidR="003F7DF3" w:rsidRPr="003F7DF3">
        <w:rPr>
          <w:lang w:val="fr-FR"/>
        </w:rPr>
        <w:t xml:space="preserve"> Réunion du GEST</w:t>
      </w:r>
      <w:r w:rsidR="00163EB5" w:rsidRPr="00787562">
        <w:rPr>
          <w:lang w:val="fr-FR"/>
        </w:rPr>
        <w:t>, et le Secrétariat, le Président du GEST recommande de conserver les domaines de travail thématiques actuels adoptés par les Parties contractantes dans la Résolution </w:t>
      </w:r>
      <w:r w:rsidR="00FE7A28" w:rsidRPr="00787562">
        <w:rPr>
          <w:lang w:val="fr-FR"/>
        </w:rPr>
        <w:t>XII.5</w:t>
      </w:r>
      <w:r w:rsidR="009074B1" w:rsidRPr="00787562">
        <w:rPr>
          <w:lang w:val="fr-FR"/>
        </w:rPr>
        <w:t xml:space="preserve">, </w:t>
      </w:r>
      <w:r w:rsidR="00163EB5" w:rsidRPr="00787562">
        <w:rPr>
          <w:lang w:val="fr-FR"/>
        </w:rPr>
        <w:t>avec de légères modifications</w:t>
      </w:r>
      <w:r w:rsidR="009074B1" w:rsidRPr="00787562">
        <w:rPr>
          <w:lang w:val="fr-FR"/>
        </w:rPr>
        <w:t xml:space="preserve"> (</w:t>
      </w:r>
      <w:r w:rsidR="00090342" w:rsidRPr="00787562">
        <w:rPr>
          <w:lang w:val="fr-FR"/>
        </w:rPr>
        <w:t>voir</w:t>
      </w:r>
      <w:r w:rsidR="009074B1" w:rsidRPr="00787562">
        <w:rPr>
          <w:lang w:val="fr-FR"/>
        </w:rPr>
        <w:t xml:space="preserve"> doc</w:t>
      </w:r>
      <w:r w:rsidRPr="00787562">
        <w:rPr>
          <w:lang w:val="fr-FR"/>
        </w:rPr>
        <w:t>.</w:t>
      </w:r>
      <w:r w:rsidR="009074B1" w:rsidRPr="00787562">
        <w:rPr>
          <w:lang w:val="fr-FR"/>
        </w:rPr>
        <w:t xml:space="preserve"> SC</w:t>
      </w:r>
      <w:r w:rsidRPr="00787562">
        <w:rPr>
          <w:lang w:val="fr-FR"/>
        </w:rPr>
        <w:t>54-23</w:t>
      </w:r>
      <w:r w:rsidR="009074B1" w:rsidRPr="00787562">
        <w:rPr>
          <w:lang w:val="fr-FR"/>
        </w:rPr>
        <w:t xml:space="preserve"> </w:t>
      </w:r>
      <w:r w:rsidR="00090342" w:rsidRPr="00787562">
        <w:rPr>
          <w:i/>
          <w:lang w:val="fr-FR"/>
        </w:rPr>
        <w:t>Projet de ré</w:t>
      </w:r>
      <w:r w:rsidRPr="00787562">
        <w:rPr>
          <w:i/>
          <w:lang w:val="fr-FR"/>
        </w:rPr>
        <w:t xml:space="preserve">solution </w:t>
      </w:r>
      <w:r w:rsidR="00090342" w:rsidRPr="00787562">
        <w:rPr>
          <w:i/>
          <w:lang w:val="fr-FR"/>
        </w:rPr>
        <w:t>sur les priorités scientifiques et techniques de la</w:t>
      </w:r>
      <w:r w:rsidRPr="00787562">
        <w:rPr>
          <w:i/>
          <w:lang w:val="fr-FR"/>
        </w:rPr>
        <w:t xml:space="preserve"> Convention</w:t>
      </w:r>
      <w:r w:rsidR="00163EB5" w:rsidRPr="00787562">
        <w:rPr>
          <w:lang w:val="fr-FR"/>
        </w:rPr>
        <w:t>). En outre, le GEST recommande d’examiner la liste de priorités suivante, chacune entrant dans un domaine de travail thématique, fondé sur le Plan stratégique de la Convention, les processus internationaux pertinents pour les besoins de la Convention</w:t>
      </w:r>
      <w:r w:rsidR="009074B1" w:rsidRPr="00787562">
        <w:rPr>
          <w:lang w:val="fr-FR"/>
        </w:rPr>
        <w:t xml:space="preserve"> </w:t>
      </w:r>
      <w:r w:rsidR="00163EB5" w:rsidRPr="00787562">
        <w:rPr>
          <w:lang w:val="fr-FR"/>
        </w:rPr>
        <w:t>et des Parties contractantes :</w:t>
      </w:r>
      <w:r w:rsidR="009074B1" w:rsidRPr="00787562">
        <w:rPr>
          <w:lang w:val="fr-FR"/>
        </w:rPr>
        <w:t xml:space="preserve"> </w:t>
      </w:r>
    </w:p>
    <w:p w14:paraId="0D267C27" w14:textId="77777777" w:rsidR="006F016C" w:rsidRPr="00787562" w:rsidRDefault="006F016C" w:rsidP="00CC6773">
      <w:pPr>
        <w:rPr>
          <w:rFonts w:cs="Arial"/>
          <w:lang w:val="fr-FR"/>
        </w:rPr>
      </w:pPr>
    </w:p>
    <w:p w14:paraId="18759626" w14:textId="5A9C8B51" w:rsidR="00FE7A28" w:rsidRPr="00787562" w:rsidRDefault="0055764B" w:rsidP="00867F99">
      <w:pPr>
        <w:pStyle w:val="ListParagraph"/>
        <w:numPr>
          <w:ilvl w:val="0"/>
          <w:numId w:val="18"/>
        </w:numPr>
        <w:ind w:left="850" w:hanging="425"/>
        <w:rPr>
          <w:rFonts w:cs="Arial"/>
          <w:lang w:val="fr-FR"/>
        </w:rPr>
      </w:pPr>
      <w:r w:rsidRPr="00787562">
        <w:rPr>
          <w:rFonts w:cs="Arial"/>
          <w:lang w:val="fr-FR"/>
        </w:rPr>
        <w:t xml:space="preserve">fournir aux Parties contractantes </w:t>
      </w:r>
      <w:r w:rsidR="005F645B" w:rsidRPr="00787562">
        <w:rPr>
          <w:rFonts w:cs="Arial"/>
          <w:lang w:val="fr-FR"/>
        </w:rPr>
        <w:t xml:space="preserve">des orientations </w:t>
      </w:r>
      <w:r w:rsidRPr="00787562">
        <w:rPr>
          <w:rFonts w:cs="Arial"/>
          <w:lang w:val="fr-FR"/>
        </w:rPr>
        <w:t xml:space="preserve">relatives aux rapports nationaux sur les inventaires de zones humides, qui contribueront aux rapports dans le cadre de </w:t>
      </w:r>
      <w:r w:rsidR="00720CE8" w:rsidRPr="00787562">
        <w:rPr>
          <w:rFonts w:cs="Arial"/>
          <w:lang w:val="fr-FR"/>
        </w:rPr>
        <w:t>l’</w:t>
      </w:r>
      <w:r w:rsidR="00720CE8">
        <w:rPr>
          <w:rFonts w:cs="Arial"/>
          <w:lang w:val="fr-FR"/>
        </w:rPr>
        <w:t>indicateur</w:t>
      </w:r>
      <w:r w:rsidR="00720CE8" w:rsidRPr="00787562">
        <w:rPr>
          <w:rFonts w:cs="Arial"/>
          <w:lang w:val="fr-FR"/>
        </w:rPr>
        <w:t> </w:t>
      </w:r>
      <w:r w:rsidRPr="00787562">
        <w:rPr>
          <w:rFonts w:cs="Arial"/>
          <w:lang w:val="fr-FR"/>
        </w:rPr>
        <w:t xml:space="preserve">6.6.1 des Objectifs de développement durable; </w:t>
      </w:r>
    </w:p>
    <w:p w14:paraId="720DE932" w14:textId="77777777" w:rsidR="006F016C" w:rsidRPr="00787562" w:rsidRDefault="006F016C" w:rsidP="00867F99">
      <w:pPr>
        <w:pStyle w:val="ListParagraph"/>
        <w:ind w:left="850"/>
        <w:rPr>
          <w:rFonts w:cs="Arial"/>
          <w:lang w:val="fr-FR"/>
        </w:rPr>
      </w:pPr>
    </w:p>
    <w:p w14:paraId="1AB8289D" w14:textId="68770E97" w:rsidR="006F016C" w:rsidRPr="00787562" w:rsidRDefault="0055764B" w:rsidP="00867F99">
      <w:pPr>
        <w:pStyle w:val="ListParagraph"/>
        <w:numPr>
          <w:ilvl w:val="0"/>
          <w:numId w:val="18"/>
        </w:numPr>
        <w:ind w:left="850" w:hanging="425"/>
        <w:rPr>
          <w:rFonts w:cs="Arial"/>
          <w:lang w:val="fr-FR"/>
        </w:rPr>
      </w:pPr>
      <w:r w:rsidRPr="00787562">
        <w:rPr>
          <w:rFonts w:eastAsia="Times New Roman"/>
          <w:color w:val="000000"/>
          <w:lang w:val="fr-FR"/>
        </w:rPr>
        <w:t xml:space="preserve">entreprendre un examen et une compilation des données et de l’information </w:t>
      </w:r>
      <w:r w:rsidR="005F645B" w:rsidRPr="00787562">
        <w:rPr>
          <w:rFonts w:eastAsia="Times New Roman"/>
          <w:color w:val="000000"/>
          <w:lang w:val="fr-FR"/>
        </w:rPr>
        <w:t xml:space="preserve">issues </w:t>
      </w:r>
      <w:r w:rsidRPr="00787562">
        <w:rPr>
          <w:rFonts w:eastAsia="Times New Roman"/>
          <w:color w:val="000000"/>
          <w:lang w:val="fr-FR"/>
        </w:rPr>
        <w:t>des inventaires nationaux des zones humides afin de mettre à jour l’</w:t>
      </w:r>
      <w:r w:rsidR="005F645B" w:rsidRPr="00787562">
        <w:rPr>
          <w:rFonts w:eastAsia="Times New Roman"/>
          <w:color w:val="000000"/>
          <w:lang w:val="fr-FR"/>
        </w:rPr>
        <w:t>étude</w:t>
      </w:r>
      <w:r w:rsidRPr="00787562">
        <w:rPr>
          <w:rFonts w:eastAsia="Times New Roman"/>
          <w:color w:val="000000"/>
          <w:lang w:val="fr-FR"/>
        </w:rPr>
        <w:t xml:space="preserve"> mondial</w:t>
      </w:r>
      <w:r w:rsidR="005F645B" w:rsidRPr="00787562">
        <w:rPr>
          <w:rFonts w:eastAsia="Times New Roman"/>
          <w:color w:val="000000"/>
          <w:lang w:val="fr-FR"/>
        </w:rPr>
        <w:t>e</w:t>
      </w:r>
      <w:r w:rsidRPr="00787562">
        <w:rPr>
          <w:rFonts w:eastAsia="Times New Roman"/>
          <w:color w:val="000000"/>
          <w:lang w:val="fr-FR"/>
        </w:rPr>
        <w:t xml:space="preserve"> des inventaires de zones humides 1999 </w:t>
      </w:r>
      <w:r w:rsidR="009074B1" w:rsidRPr="00787562">
        <w:rPr>
          <w:rFonts w:eastAsia="Times New Roman"/>
          <w:color w:val="000000"/>
          <w:lang w:val="fr-FR"/>
        </w:rPr>
        <w:t xml:space="preserve">(GRoWI), </w:t>
      </w:r>
      <w:r w:rsidRPr="00787562">
        <w:rPr>
          <w:rFonts w:eastAsia="Times New Roman"/>
          <w:color w:val="000000"/>
          <w:lang w:val="fr-FR"/>
        </w:rPr>
        <w:t xml:space="preserve">en s’appuyant sur l’information fournie par les Parties contractantes dans leurs Rapports nationaux à la COP13 et d’autres sources telles que </w:t>
      </w:r>
      <w:r w:rsidR="00A97C27" w:rsidRPr="00787562">
        <w:rPr>
          <w:rFonts w:eastAsia="Times New Roman"/>
          <w:color w:val="000000"/>
          <w:lang w:val="fr-FR"/>
        </w:rPr>
        <w:t>Global Mangrove Watch</w:t>
      </w:r>
      <w:r w:rsidR="006F016C" w:rsidRPr="00787562">
        <w:rPr>
          <w:rFonts w:eastAsia="Times New Roman"/>
          <w:color w:val="000000"/>
          <w:lang w:val="fr-FR"/>
        </w:rPr>
        <w:t>;</w:t>
      </w:r>
    </w:p>
    <w:p w14:paraId="25FAD5D8" w14:textId="77777777" w:rsidR="009074B1" w:rsidRPr="00787562" w:rsidRDefault="009074B1" w:rsidP="00867F99">
      <w:pPr>
        <w:pStyle w:val="ListParagraph"/>
        <w:ind w:left="850"/>
        <w:rPr>
          <w:rFonts w:cs="Arial"/>
          <w:lang w:val="fr-FR"/>
        </w:rPr>
      </w:pPr>
    </w:p>
    <w:p w14:paraId="22EA8BE6" w14:textId="73F1A4D9" w:rsidR="009074B1" w:rsidRPr="00787562" w:rsidRDefault="005F645B" w:rsidP="00867F99">
      <w:pPr>
        <w:pStyle w:val="ListParagraph"/>
        <w:numPr>
          <w:ilvl w:val="0"/>
          <w:numId w:val="18"/>
        </w:numPr>
        <w:ind w:left="850" w:hanging="425"/>
        <w:rPr>
          <w:rFonts w:cs="Arial"/>
          <w:lang w:val="fr-FR"/>
        </w:rPr>
      </w:pPr>
      <w:r w:rsidRPr="00787562">
        <w:rPr>
          <w:rFonts w:cs="Arial"/>
          <w:lang w:val="fr-FR"/>
        </w:rPr>
        <w:t>conseiller sur le rôle des</w:t>
      </w:r>
      <w:r w:rsidR="0055764B" w:rsidRPr="00787562">
        <w:rPr>
          <w:rFonts w:cs="Arial"/>
          <w:lang w:val="fr-FR"/>
        </w:rPr>
        <w:t xml:space="preserve"> zones humides </w:t>
      </w:r>
      <w:r w:rsidRPr="00787562">
        <w:rPr>
          <w:rFonts w:cs="Arial"/>
          <w:lang w:val="fr-FR"/>
        </w:rPr>
        <w:t>en tant que</w:t>
      </w:r>
      <w:r w:rsidR="0055764B" w:rsidRPr="00787562">
        <w:rPr>
          <w:rFonts w:cs="Arial"/>
          <w:lang w:val="fr-FR"/>
        </w:rPr>
        <w:t xml:space="preserve"> capital naturel </w:t>
      </w:r>
      <w:r w:rsidRPr="00787562">
        <w:rPr>
          <w:rFonts w:cs="Arial"/>
          <w:lang w:val="fr-FR"/>
        </w:rPr>
        <w:t>pour encourager</w:t>
      </w:r>
      <w:r w:rsidR="0055764B" w:rsidRPr="00787562">
        <w:rPr>
          <w:rFonts w:cs="Arial"/>
          <w:lang w:val="fr-FR"/>
        </w:rPr>
        <w:t xml:space="preserve"> l’investissement dans la restauration et l’utilisation rationnelle des zones humides et promouvoir les zones humides comme des solutions naturelles/ une infrastructure naturelle; </w:t>
      </w:r>
    </w:p>
    <w:p w14:paraId="1B05B486" w14:textId="77777777" w:rsidR="006F016C" w:rsidRPr="00787562" w:rsidRDefault="006F016C" w:rsidP="00867F99">
      <w:pPr>
        <w:pStyle w:val="ListParagraph"/>
        <w:ind w:left="850"/>
        <w:rPr>
          <w:rFonts w:cs="Arial"/>
          <w:lang w:val="fr-FR"/>
        </w:rPr>
      </w:pPr>
    </w:p>
    <w:p w14:paraId="44EB3479" w14:textId="0773BC66" w:rsidR="000D3EC5" w:rsidRPr="00787562" w:rsidRDefault="0055764B" w:rsidP="00867F99">
      <w:pPr>
        <w:pStyle w:val="ListParagraph"/>
        <w:numPr>
          <w:ilvl w:val="0"/>
          <w:numId w:val="18"/>
        </w:numPr>
        <w:ind w:left="850" w:hanging="425"/>
        <w:rPr>
          <w:rFonts w:cs="Arial"/>
          <w:lang w:val="fr-FR"/>
        </w:rPr>
      </w:pPr>
      <w:r w:rsidRPr="00787562">
        <w:rPr>
          <w:rFonts w:cs="Arial"/>
          <w:lang w:val="fr-FR"/>
        </w:rPr>
        <w:t xml:space="preserve">fournir des orientations sur les méthodologies de comptabilité du piégeage du carbone qui contribueraient, entre autres, aux rapports sur les Contributions déterminées au </w:t>
      </w:r>
      <w:r w:rsidR="005F645B" w:rsidRPr="00787562">
        <w:rPr>
          <w:rFonts w:cs="Arial"/>
          <w:lang w:val="fr-FR"/>
        </w:rPr>
        <w:t xml:space="preserve">niveau </w:t>
      </w:r>
      <w:r w:rsidRPr="00787562">
        <w:rPr>
          <w:rFonts w:cs="Arial"/>
          <w:lang w:val="fr-FR"/>
        </w:rPr>
        <w:t xml:space="preserve">national </w:t>
      </w:r>
      <w:r w:rsidR="00847794" w:rsidRPr="00787562">
        <w:rPr>
          <w:rFonts w:cs="Arial"/>
          <w:lang w:val="fr-FR"/>
        </w:rPr>
        <w:t>(</w:t>
      </w:r>
      <w:r w:rsidRPr="00787562">
        <w:rPr>
          <w:rFonts w:cs="Arial"/>
          <w:lang w:val="fr-FR"/>
        </w:rPr>
        <w:t>CDN</w:t>
      </w:r>
      <w:r w:rsidR="00847794" w:rsidRPr="00787562">
        <w:rPr>
          <w:rFonts w:cs="Arial"/>
          <w:lang w:val="fr-FR"/>
        </w:rPr>
        <w:t>)</w:t>
      </w:r>
      <w:r w:rsidR="000D3EC5" w:rsidRPr="00787562">
        <w:rPr>
          <w:rFonts w:cs="Arial"/>
          <w:lang w:val="fr-FR"/>
        </w:rPr>
        <w:t xml:space="preserve"> </w:t>
      </w:r>
      <w:r w:rsidRPr="00787562">
        <w:rPr>
          <w:rFonts w:cs="Arial"/>
          <w:lang w:val="fr-FR"/>
        </w:rPr>
        <w:t>dans le cadre de la CCNUCC</w:t>
      </w:r>
      <w:r w:rsidR="000D3EC5" w:rsidRPr="00787562">
        <w:rPr>
          <w:rFonts w:cs="Arial"/>
          <w:lang w:val="fr-FR"/>
        </w:rPr>
        <w:t xml:space="preserve">; </w:t>
      </w:r>
    </w:p>
    <w:p w14:paraId="0E48DDDA" w14:textId="77777777" w:rsidR="006F016C" w:rsidRPr="00787562" w:rsidRDefault="006F016C" w:rsidP="00867F99">
      <w:pPr>
        <w:pStyle w:val="ListParagraph"/>
        <w:ind w:left="850"/>
        <w:rPr>
          <w:rFonts w:cs="Arial"/>
          <w:lang w:val="fr-FR"/>
        </w:rPr>
      </w:pPr>
    </w:p>
    <w:p w14:paraId="1C73AA25" w14:textId="43036F12" w:rsidR="000D3EC5" w:rsidRPr="00787562" w:rsidRDefault="0055764B" w:rsidP="00867F99">
      <w:pPr>
        <w:pStyle w:val="ListParagraph"/>
        <w:numPr>
          <w:ilvl w:val="0"/>
          <w:numId w:val="18"/>
        </w:numPr>
        <w:ind w:left="850" w:hanging="425"/>
        <w:rPr>
          <w:rFonts w:cs="Arial"/>
          <w:lang w:val="fr-FR"/>
        </w:rPr>
      </w:pPr>
      <w:r w:rsidRPr="00787562">
        <w:rPr>
          <w:rFonts w:cs="Arial"/>
          <w:lang w:val="fr-FR"/>
        </w:rPr>
        <w:t>fournir des avis relatifs à la demande contenue dans la Résolution </w:t>
      </w:r>
      <w:r w:rsidR="00847794" w:rsidRPr="00787562">
        <w:rPr>
          <w:rFonts w:cs="Arial"/>
          <w:lang w:val="fr-FR"/>
        </w:rPr>
        <w:t>XII.</w:t>
      </w:r>
      <w:r w:rsidR="006F016C" w:rsidRPr="00787562">
        <w:rPr>
          <w:rFonts w:cs="Arial"/>
          <w:lang w:val="fr-FR"/>
        </w:rPr>
        <w:t>2</w:t>
      </w:r>
      <w:r w:rsidRPr="00787562">
        <w:rPr>
          <w:rFonts w:cs="Arial"/>
          <w:lang w:val="fr-FR"/>
        </w:rPr>
        <w:t xml:space="preserve"> de </w:t>
      </w:r>
      <w:r w:rsidR="00867F99" w:rsidRPr="00787562">
        <w:rPr>
          <w:rFonts w:cs="Arial"/>
          <w:lang w:val="fr-FR"/>
        </w:rPr>
        <w:t>s</w:t>
      </w:r>
      <w:r w:rsidRPr="00787562">
        <w:rPr>
          <w:rFonts w:cs="Arial"/>
          <w:lang w:val="fr-FR"/>
        </w:rPr>
        <w:t xml:space="preserve">oumettre une demande d’évaluation thématique à l’IPBES; </w:t>
      </w:r>
      <w:r w:rsidR="006F016C" w:rsidRPr="00787562">
        <w:rPr>
          <w:rFonts w:cs="Arial"/>
          <w:lang w:val="fr-FR"/>
        </w:rPr>
        <w:t xml:space="preserve"> </w:t>
      </w:r>
    </w:p>
    <w:p w14:paraId="1C531EE4" w14:textId="77777777" w:rsidR="00F23EB8" w:rsidRPr="00787562" w:rsidRDefault="00F23EB8" w:rsidP="00867F99">
      <w:pPr>
        <w:pStyle w:val="ListParagraph"/>
        <w:ind w:left="850"/>
        <w:rPr>
          <w:rFonts w:cs="Arial"/>
          <w:lang w:val="fr-FR"/>
        </w:rPr>
      </w:pPr>
    </w:p>
    <w:p w14:paraId="3BD4D550" w14:textId="2C4CF058" w:rsidR="000D3EC5" w:rsidRPr="00787562" w:rsidRDefault="005F645B" w:rsidP="00867F99">
      <w:pPr>
        <w:pStyle w:val="ListParagraph"/>
        <w:numPr>
          <w:ilvl w:val="0"/>
          <w:numId w:val="18"/>
        </w:numPr>
        <w:ind w:left="850" w:hanging="425"/>
        <w:rPr>
          <w:rFonts w:cs="Arial"/>
          <w:lang w:val="fr-FR"/>
        </w:rPr>
      </w:pPr>
      <w:r w:rsidRPr="00787562">
        <w:rPr>
          <w:rFonts w:cs="Arial"/>
          <w:lang w:val="fr-FR"/>
        </w:rPr>
        <w:t>conseiller</w:t>
      </w:r>
      <w:r w:rsidR="00614DAD" w:rsidRPr="00787562">
        <w:rPr>
          <w:rFonts w:cs="Arial"/>
          <w:lang w:val="fr-FR"/>
        </w:rPr>
        <w:t xml:space="preserve"> sur les orientations des éditions futures des </w:t>
      </w:r>
      <w:r w:rsidR="00614DAD" w:rsidRPr="00787562">
        <w:rPr>
          <w:rFonts w:cs="Arial"/>
          <w:i/>
          <w:lang w:val="fr-FR"/>
        </w:rPr>
        <w:t>Perspectives mondiales pour les zones humides</w:t>
      </w:r>
      <w:r w:rsidR="002507A4" w:rsidRPr="00787562">
        <w:rPr>
          <w:rFonts w:cs="Arial"/>
          <w:lang w:val="fr-FR"/>
        </w:rPr>
        <w:t xml:space="preserve">, </w:t>
      </w:r>
      <w:r w:rsidR="00614DAD" w:rsidRPr="00787562">
        <w:rPr>
          <w:rFonts w:cs="Arial"/>
          <w:lang w:val="fr-FR"/>
        </w:rPr>
        <w:t xml:space="preserve">en tenant compte des travaux des Organisations internationales partenaires et d’autres organisations; </w:t>
      </w:r>
    </w:p>
    <w:p w14:paraId="6F0838A6" w14:textId="77777777" w:rsidR="006F016C" w:rsidRPr="00787562" w:rsidRDefault="006F016C" w:rsidP="00867F99">
      <w:pPr>
        <w:pStyle w:val="ListParagraph"/>
        <w:ind w:left="850"/>
        <w:rPr>
          <w:rFonts w:cs="Arial"/>
          <w:lang w:val="fr-FR"/>
        </w:rPr>
      </w:pPr>
    </w:p>
    <w:p w14:paraId="2972294C" w14:textId="3FC357CC" w:rsidR="000D3EC5" w:rsidRPr="00787562" w:rsidRDefault="00720CE8" w:rsidP="00867F99">
      <w:pPr>
        <w:pStyle w:val="ListParagraph"/>
        <w:numPr>
          <w:ilvl w:val="0"/>
          <w:numId w:val="18"/>
        </w:numPr>
        <w:ind w:left="850" w:hanging="425"/>
        <w:rPr>
          <w:rFonts w:cs="Arial"/>
          <w:lang w:val="fr-FR"/>
        </w:rPr>
      </w:pPr>
      <w:r>
        <w:rPr>
          <w:rFonts w:cs="Arial"/>
          <w:lang w:val="fr-FR"/>
        </w:rPr>
        <w:t xml:space="preserve">conseiller les </w:t>
      </w:r>
      <w:r w:rsidRPr="00787562">
        <w:rPr>
          <w:rFonts w:cs="Arial"/>
          <w:lang w:val="fr-FR"/>
        </w:rPr>
        <w:t>Parties contractantes</w:t>
      </w:r>
      <w:r w:rsidR="00A3274B" w:rsidRPr="00787562">
        <w:rPr>
          <w:rFonts w:cs="Arial"/>
          <w:lang w:val="fr-FR"/>
        </w:rPr>
        <w:t xml:space="preserve"> </w:t>
      </w:r>
      <w:r w:rsidR="00614DAD" w:rsidRPr="00787562">
        <w:rPr>
          <w:rFonts w:cs="Arial"/>
          <w:lang w:val="fr-FR"/>
        </w:rPr>
        <w:t>sur l’examen du 4</w:t>
      </w:r>
      <w:r w:rsidR="00614DAD" w:rsidRPr="00787562">
        <w:rPr>
          <w:rFonts w:cs="Arial"/>
          <w:vertAlign w:val="superscript"/>
          <w:lang w:val="fr-FR"/>
        </w:rPr>
        <w:t>e</w:t>
      </w:r>
      <w:r w:rsidR="00614DAD" w:rsidRPr="00787562">
        <w:rPr>
          <w:rFonts w:cs="Arial"/>
          <w:lang w:val="fr-FR"/>
        </w:rPr>
        <w:t> Plan stratégique de la Convention qui sera présenté à la COP14 (</w:t>
      </w:r>
      <w:r w:rsidR="005F645B" w:rsidRPr="00787562">
        <w:rPr>
          <w:rFonts w:cs="Arial"/>
          <w:lang w:val="fr-FR"/>
        </w:rPr>
        <w:t>conformément à</w:t>
      </w:r>
      <w:r w:rsidR="00614DAD" w:rsidRPr="00787562">
        <w:rPr>
          <w:rFonts w:cs="Arial"/>
          <w:lang w:val="fr-FR"/>
        </w:rPr>
        <w:t xml:space="preserve"> la Résolution </w:t>
      </w:r>
      <w:r w:rsidR="000603D8" w:rsidRPr="00787562">
        <w:rPr>
          <w:rFonts w:cs="Arial"/>
          <w:lang w:val="fr-FR"/>
        </w:rPr>
        <w:t xml:space="preserve">XII.2); </w:t>
      </w:r>
    </w:p>
    <w:p w14:paraId="1BA71F27" w14:textId="77777777" w:rsidR="006F016C" w:rsidRPr="00787562" w:rsidRDefault="006F016C" w:rsidP="00867F99">
      <w:pPr>
        <w:pStyle w:val="ListParagraph"/>
        <w:ind w:left="850"/>
        <w:rPr>
          <w:rFonts w:cs="Arial"/>
          <w:lang w:val="fr-FR"/>
        </w:rPr>
      </w:pPr>
    </w:p>
    <w:p w14:paraId="7562ED23" w14:textId="3E090605" w:rsidR="006F016C" w:rsidRPr="00787562" w:rsidRDefault="00614DAD" w:rsidP="00867F99">
      <w:pPr>
        <w:pStyle w:val="ListParagraph"/>
        <w:numPr>
          <w:ilvl w:val="0"/>
          <w:numId w:val="18"/>
        </w:numPr>
        <w:ind w:left="850" w:hanging="425"/>
        <w:rPr>
          <w:rFonts w:cs="Arial"/>
          <w:lang w:val="fr-FR"/>
        </w:rPr>
      </w:pPr>
      <w:r w:rsidRPr="00787562">
        <w:rPr>
          <w:lang w:val="fr-FR"/>
        </w:rPr>
        <w:t xml:space="preserve">fournir des avis sur l’application d’approches intégrées et de gestion des paysages; et </w:t>
      </w:r>
    </w:p>
    <w:p w14:paraId="6F304CFA" w14:textId="77777777" w:rsidR="000D3EC5" w:rsidRPr="00787562" w:rsidRDefault="000D3EC5" w:rsidP="00867F99">
      <w:pPr>
        <w:pStyle w:val="ListParagraph"/>
        <w:ind w:left="850"/>
        <w:rPr>
          <w:rFonts w:cs="Arial"/>
          <w:lang w:val="fr-FR"/>
        </w:rPr>
      </w:pPr>
    </w:p>
    <w:p w14:paraId="2B05F700" w14:textId="545F50C8" w:rsidR="000D3EC5" w:rsidRPr="00787562" w:rsidRDefault="00614DAD" w:rsidP="00867F99">
      <w:pPr>
        <w:pStyle w:val="ListParagraph"/>
        <w:numPr>
          <w:ilvl w:val="0"/>
          <w:numId w:val="18"/>
        </w:numPr>
        <w:ind w:left="850" w:hanging="425"/>
        <w:rPr>
          <w:rFonts w:cs="Arial"/>
          <w:lang w:val="fr-FR"/>
        </w:rPr>
      </w:pPr>
      <w:r w:rsidRPr="00787562">
        <w:rPr>
          <w:lang w:val="fr-FR"/>
        </w:rPr>
        <w:t>collaborer avec les centres régionaux pour définir des possibilités d’ateliers de renforcement des capacités sur la gestion des zones humides.</w:t>
      </w:r>
      <w:r w:rsidR="000603D8" w:rsidRPr="00787562">
        <w:rPr>
          <w:lang w:val="fr-FR"/>
        </w:rPr>
        <w:t xml:space="preserve"> </w:t>
      </w:r>
    </w:p>
    <w:p w14:paraId="1EE18F4C" w14:textId="7966A8FD" w:rsidR="00867F99" w:rsidRPr="00787562" w:rsidRDefault="00867F99">
      <w:pPr>
        <w:spacing w:after="200" w:line="276" w:lineRule="auto"/>
        <w:ind w:left="0" w:firstLine="0"/>
        <w:rPr>
          <w:rFonts w:cs="Arial"/>
          <w:lang w:val="fr-FR"/>
        </w:rPr>
      </w:pPr>
      <w:r w:rsidRPr="00787562">
        <w:rPr>
          <w:rFonts w:cs="Arial"/>
          <w:lang w:val="fr-FR"/>
        </w:rPr>
        <w:br w:type="page"/>
      </w:r>
    </w:p>
    <w:p w14:paraId="3885EB6E" w14:textId="67AAF753" w:rsidR="00A431E5" w:rsidRPr="00787562" w:rsidRDefault="00A431E5" w:rsidP="00867F99">
      <w:pPr>
        <w:rPr>
          <w:b/>
          <w:sz w:val="24"/>
          <w:szCs w:val="24"/>
          <w:lang w:val="fr-FR"/>
        </w:rPr>
      </w:pPr>
      <w:r w:rsidRPr="00787562">
        <w:rPr>
          <w:b/>
          <w:sz w:val="24"/>
          <w:szCs w:val="24"/>
          <w:lang w:val="fr-FR"/>
        </w:rPr>
        <w:lastRenderedPageBreak/>
        <w:t>Annex</w:t>
      </w:r>
      <w:r w:rsidR="00614DAD" w:rsidRPr="00787562">
        <w:rPr>
          <w:b/>
          <w:sz w:val="24"/>
          <w:szCs w:val="24"/>
          <w:lang w:val="fr-FR"/>
        </w:rPr>
        <w:t>e</w:t>
      </w:r>
      <w:r w:rsidRPr="00787562">
        <w:rPr>
          <w:b/>
          <w:sz w:val="24"/>
          <w:szCs w:val="24"/>
          <w:lang w:val="fr-FR"/>
        </w:rPr>
        <w:t xml:space="preserve"> </w:t>
      </w:r>
      <w:r w:rsidR="00073463" w:rsidRPr="00787562">
        <w:rPr>
          <w:b/>
          <w:sz w:val="24"/>
          <w:szCs w:val="24"/>
          <w:lang w:val="fr-FR"/>
        </w:rPr>
        <w:t>1</w:t>
      </w:r>
    </w:p>
    <w:p w14:paraId="04A5B780" w14:textId="77777777" w:rsidR="00A431E5" w:rsidRPr="00787562" w:rsidRDefault="00A431E5" w:rsidP="00867F99">
      <w:pPr>
        <w:rPr>
          <w:b/>
          <w:sz w:val="24"/>
          <w:szCs w:val="24"/>
          <w:lang w:val="fr-FR"/>
        </w:rPr>
      </w:pPr>
    </w:p>
    <w:p w14:paraId="647D697D" w14:textId="55A45633" w:rsidR="00A431E5" w:rsidRPr="00787562" w:rsidRDefault="00614DAD" w:rsidP="00A431E5">
      <w:pPr>
        <w:rPr>
          <w:b/>
          <w:sz w:val="24"/>
          <w:szCs w:val="24"/>
          <w:lang w:val="fr-FR"/>
        </w:rPr>
      </w:pPr>
      <w:r w:rsidRPr="00787562">
        <w:rPr>
          <w:b/>
          <w:sz w:val="24"/>
          <w:szCs w:val="24"/>
          <w:lang w:val="fr-FR"/>
        </w:rPr>
        <w:t>Considérations</w:t>
      </w:r>
      <w:r w:rsidR="00A431E5" w:rsidRPr="00787562">
        <w:rPr>
          <w:b/>
          <w:sz w:val="24"/>
          <w:szCs w:val="24"/>
          <w:lang w:val="fr-FR"/>
        </w:rPr>
        <w:t xml:space="preserve"> </w:t>
      </w:r>
      <w:r w:rsidRPr="00787562">
        <w:rPr>
          <w:b/>
          <w:sz w:val="24"/>
          <w:szCs w:val="24"/>
          <w:lang w:val="fr-FR"/>
        </w:rPr>
        <w:t xml:space="preserve">en vue d’améliorer le processus </w:t>
      </w:r>
      <w:r w:rsidR="00AC09F4">
        <w:rPr>
          <w:b/>
          <w:sz w:val="24"/>
          <w:szCs w:val="24"/>
          <w:lang w:val="fr-FR"/>
        </w:rPr>
        <w:t xml:space="preserve">d’attribution </w:t>
      </w:r>
      <w:r w:rsidRPr="00787562">
        <w:rPr>
          <w:b/>
          <w:sz w:val="24"/>
          <w:szCs w:val="24"/>
          <w:lang w:val="fr-FR"/>
        </w:rPr>
        <w:t xml:space="preserve">du </w:t>
      </w:r>
      <w:r w:rsidR="002D7D75" w:rsidRPr="00787562">
        <w:rPr>
          <w:b/>
          <w:sz w:val="24"/>
          <w:szCs w:val="24"/>
          <w:lang w:val="fr-FR"/>
        </w:rPr>
        <w:t xml:space="preserve">label Ville des Zones Humides accréditée </w:t>
      </w:r>
    </w:p>
    <w:p w14:paraId="3A44BEE5" w14:textId="77777777" w:rsidR="00A431E5" w:rsidRPr="00787562" w:rsidRDefault="00A431E5" w:rsidP="00A431E5">
      <w:pPr>
        <w:rPr>
          <w:lang w:val="fr-FR"/>
        </w:rPr>
      </w:pPr>
    </w:p>
    <w:p w14:paraId="7A5C32E7" w14:textId="74C6B6F0" w:rsidR="00A431E5" w:rsidRPr="00787562" w:rsidRDefault="00867F99" w:rsidP="00867F99">
      <w:pPr>
        <w:rPr>
          <w:lang w:val="fr-FR"/>
        </w:rPr>
      </w:pPr>
      <w:r w:rsidRPr="00787562">
        <w:rPr>
          <w:lang w:val="fr-FR"/>
        </w:rPr>
        <w:t>1.</w:t>
      </w:r>
      <w:r w:rsidRPr="00787562">
        <w:rPr>
          <w:lang w:val="fr-FR"/>
        </w:rPr>
        <w:tab/>
      </w:r>
      <w:r w:rsidR="002D7D75" w:rsidRPr="00787562">
        <w:rPr>
          <w:i/>
          <w:lang w:val="fr-FR"/>
        </w:rPr>
        <w:t>Le temps </w:t>
      </w:r>
      <w:r w:rsidR="001D2585" w:rsidRPr="00787562">
        <w:rPr>
          <w:lang w:val="fr-FR"/>
        </w:rPr>
        <w:t xml:space="preserve">: </w:t>
      </w:r>
      <w:r w:rsidR="001F1556">
        <w:rPr>
          <w:lang w:val="fr-FR"/>
        </w:rPr>
        <w:t>Le</w:t>
      </w:r>
      <w:r w:rsidR="002D7D75" w:rsidRPr="00787562">
        <w:rPr>
          <w:lang w:val="fr-FR"/>
        </w:rPr>
        <w:t xml:space="preserve"> Comité consultatif indépendant (CCI)</w:t>
      </w:r>
      <w:r w:rsidR="001F1556">
        <w:rPr>
          <w:lang w:val="fr-FR"/>
        </w:rPr>
        <w:t xml:space="preserve"> a disposé de peu de temps pour faire son examen</w:t>
      </w:r>
      <w:r w:rsidR="002D7D75" w:rsidRPr="00787562">
        <w:rPr>
          <w:lang w:val="fr-FR"/>
        </w:rPr>
        <w:t xml:space="preserve">, en particulier compte tenu de la durée </w:t>
      </w:r>
      <w:r w:rsidR="00AC09F4">
        <w:rPr>
          <w:lang w:val="fr-FR"/>
        </w:rPr>
        <w:t>prévue</w:t>
      </w:r>
      <w:r w:rsidR="002D7D75" w:rsidRPr="00787562">
        <w:rPr>
          <w:lang w:val="fr-FR"/>
        </w:rPr>
        <w:t xml:space="preserve"> pour la transmission du rapport du CCI à la COP13. Une évaluation plus rigoureuse des </w:t>
      </w:r>
      <w:r w:rsidR="00AC09F4">
        <w:rPr>
          <w:lang w:val="fr-FR"/>
        </w:rPr>
        <w:t>éléments</w:t>
      </w:r>
      <w:r w:rsidR="002D7D75" w:rsidRPr="00787562">
        <w:rPr>
          <w:lang w:val="fr-FR"/>
        </w:rPr>
        <w:t xml:space="preserve"> sous</w:t>
      </w:r>
      <w:r w:rsidR="002D7D75" w:rsidRPr="00787562">
        <w:rPr>
          <w:lang w:val="fr-FR"/>
        </w:rPr>
        <w:noBreakHyphen/>
        <w:t xml:space="preserve">tendant une proposition serait utile bien que des visites de sites puissent ne pas </w:t>
      </w:r>
      <w:r w:rsidR="00AC09F4">
        <w:rPr>
          <w:lang w:val="fr-FR"/>
        </w:rPr>
        <w:t xml:space="preserve">s’inscrire dans </w:t>
      </w:r>
      <w:r w:rsidR="00041DFE">
        <w:rPr>
          <w:lang w:val="fr-FR"/>
        </w:rPr>
        <w:t>la portée du</w:t>
      </w:r>
      <w:r w:rsidR="002D7D75" w:rsidRPr="00787562">
        <w:rPr>
          <w:lang w:val="fr-FR"/>
        </w:rPr>
        <w:t xml:space="preserve"> processus. </w:t>
      </w:r>
    </w:p>
    <w:p w14:paraId="3E19AE58" w14:textId="77777777" w:rsidR="00A431E5" w:rsidRPr="00787562" w:rsidRDefault="00A431E5" w:rsidP="00867F99">
      <w:pPr>
        <w:rPr>
          <w:lang w:val="fr-FR"/>
        </w:rPr>
      </w:pPr>
    </w:p>
    <w:p w14:paraId="7A424B7E" w14:textId="7DFA2FBB" w:rsidR="00A431E5" w:rsidRPr="00787562" w:rsidRDefault="00867F99" w:rsidP="00867F99">
      <w:pPr>
        <w:rPr>
          <w:lang w:val="fr-FR"/>
        </w:rPr>
      </w:pPr>
      <w:r w:rsidRPr="00787562">
        <w:rPr>
          <w:lang w:val="fr-FR"/>
        </w:rPr>
        <w:t>2.</w:t>
      </w:r>
      <w:r w:rsidRPr="00787562">
        <w:rPr>
          <w:lang w:val="fr-FR"/>
        </w:rPr>
        <w:tab/>
      </w:r>
      <w:r w:rsidR="002D7D75" w:rsidRPr="00787562">
        <w:rPr>
          <w:i/>
          <w:lang w:val="fr-FR"/>
        </w:rPr>
        <w:t>Examen par rapport aux critères </w:t>
      </w:r>
      <w:r w:rsidR="001D2585" w:rsidRPr="00787562">
        <w:rPr>
          <w:lang w:val="fr-FR"/>
        </w:rPr>
        <w:t>:</w:t>
      </w:r>
      <w:r w:rsidR="00A431E5" w:rsidRPr="00787562">
        <w:rPr>
          <w:lang w:val="fr-FR"/>
        </w:rPr>
        <w:t xml:space="preserve"> </w:t>
      </w:r>
      <w:r w:rsidR="002D7D75" w:rsidRPr="00787562">
        <w:rPr>
          <w:lang w:val="fr-FR"/>
        </w:rPr>
        <w:t xml:space="preserve">L’approche binaire simple </w:t>
      </w:r>
      <w:r w:rsidR="00AC09F4">
        <w:rPr>
          <w:lang w:val="fr-FR"/>
        </w:rPr>
        <w:t>(</w:t>
      </w:r>
      <w:r w:rsidR="002D7D75" w:rsidRPr="00787562">
        <w:rPr>
          <w:lang w:val="fr-FR"/>
        </w:rPr>
        <w:t>oui/non</w:t>
      </w:r>
      <w:r w:rsidR="00AC09F4">
        <w:rPr>
          <w:lang w:val="fr-FR"/>
        </w:rPr>
        <w:t>)</w:t>
      </w:r>
      <w:r w:rsidR="002D7D75" w:rsidRPr="00787562">
        <w:rPr>
          <w:lang w:val="fr-FR"/>
        </w:rPr>
        <w:t xml:space="preserve"> </w:t>
      </w:r>
      <w:r w:rsidR="00AC09F4">
        <w:rPr>
          <w:lang w:val="fr-FR"/>
        </w:rPr>
        <w:t xml:space="preserve">établie </w:t>
      </w:r>
      <w:r w:rsidR="002D7D75" w:rsidRPr="00787562">
        <w:rPr>
          <w:lang w:val="fr-FR"/>
        </w:rPr>
        <w:t xml:space="preserve">pour évaluer les propositions par rapport aux critères ne laisse aucune place </w:t>
      </w:r>
      <w:r w:rsidR="00AC09F4">
        <w:rPr>
          <w:lang w:val="fr-FR"/>
        </w:rPr>
        <w:t xml:space="preserve">à </w:t>
      </w:r>
      <w:r w:rsidR="002D7D75" w:rsidRPr="00787562">
        <w:rPr>
          <w:lang w:val="fr-FR"/>
        </w:rPr>
        <w:t xml:space="preserve">l’examen </w:t>
      </w:r>
      <w:r w:rsidR="00AC09F4">
        <w:rPr>
          <w:lang w:val="fr-FR"/>
        </w:rPr>
        <w:t>de la mesure dans laquelle</w:t>
      </w:r>
      <w:r w:rsidR="002D7D75" w:rsidRPr="00787562">
        <w:rPr>
          <w:lang w:val="fr-FR"/>
        </w:rPr>
        <w:t xml:space="preserve"> le critère est satisfait et aucune possibilité de commentaires détaillés sur la qualité de la candidature de la ville par rapport à chaque critère. Il serait utile</w:t>
      </w:r>
      <w:r w:rsidR="00AC09F4">
        <w:rPr>
          <w:lang w:val="fr-FR"/>
        </w:rPr>
        <w:t>, pour</w:t>
      </w:r>
      <w:r w:rsidR="002D7D75" w:rsidRPr="00787562">
        <w:rPr>
          <w:lang w:val="fr-FR"/>
        </w:rPr>
        <w:t xml:space="preserve"> les examens futurs, ainsi que les </w:t>
      </w:r>
      <w:r w:rsidR="00AC09F4">
        <w:rPr>
          <w:lang w:val="fr-FR"/>
        </w:rPr>
        <w:t>cycles</w:t>
      </w:r>
      <w:r w:rsidR="002D7D75" w:rsidRPr="00787562">
        <w:rPr>
          <w:lang w:val="fr-FR"/>
        </w:rPr>
        <w:t xml:space="preserve"> d’accréditation</w:t>
      </w:r>
      <w:r w:rsidR="00AC09F4" w:rsidRPr="00AC09F4">
        <w:rPr>
          <w:lang w:val="fr-FR"/>
        </w:rPr>
        <w:t xml:space="preserve"> </w:t>
      </w:r>
      <w:r w:rsidR="00AC09F4" w:rsidRPr="00787562">
        <w:rPr>
          <w:lang w:val="fr-FR"/>
        </w:rPr>
        <w:t>futurs</w:t>
      </w:r>
      <w:r w:rsidR="002D7D75" w:rsidRPr="00787562">
        <w:rPr>
          <w:lang w:val="fr-FR"/>
        </w:rPr>
        <w:t xml:space="preserve">, que cela soit amélioré. Par exemple, les membres du CCI pourraient rédiger un commentaire pour chaque proposition par rapport à chaque critère, même s’ils sont qualitatifs. En outre, l’accréditation a besoin de satisfaire </w:t>
      </w:r>
      <w:r w:rsidR="00AC09F4">
        <w:rPr>
          <w:lang w:val="fr-FR"/>
        </w:rPr>
        <w:t>entièrement</w:t>
      </w:r>
      <w:r w:rsidR="002D7D75" w:rsidRPr="00787562">
        <w:rPr>
          <w:lang w:val="fr-FR"/>
        </w:rPr>
        <w:t xml:space="preserve"> tous les critères. </w:t>
      </w:r>
      <w:r w:rsidR="00AC09F4">
        <w:rPr>
          <w:lang w:val="fr-FR"/>
        </w:rPr>
        <w:t>L</w:t>
      </w:r>
      <w:r w:rsidR="00AC09F4" w:rsidRPr="00787562">
        <w:rPr>
          <w:lang w:val="fr-FR"/>
        </w:rPr>
        <w:t xml:space="preserve">a qualité de l’accréditation </w:t>
      </w:r>
      <w:r w:rsidR="00AC09F4">
        <w:rPr>
          <w:lang w:val="fr-FR"/>
        </w:rPr>
        <w:t>gagnerait à l’adoption d’u</w:t>
      </w:r>
      <w:r w:rsidR="002D7D75" w:rsidRPr="00787562">
        <w:rPr>
          <w:lang w:val="fr-FR"/>
        </w:rPr>
        <w:t xml:space="preserve">ne approche moins binaire, avec </w:t>
      </w:r>
      <w:r w:rsidR="00AC09F4">
        <w:rPr>
          <w:lang w:val="fr-FR"/>
        </w:rPr>
        <w:t>un système de</w:t>
      </w:r>
      <w:r w:rsidR="002D7D75" w:rsidRPr="00787562">
        <w:rPr>
          <w:lang w:val="fr-FR"/>
        </w:rPr>
        <w:t xml:space="preserve"> rubrique</w:t>
      </w:r>
      <w:r w:rsidR="00AC09F4">
        <w:rPr>
          <w:lang w:val="fr-FR"/>
        </w:rPr>
        <w:t>s</w:t>
      </w:r>
      <w:r w:rsidR="002D7D75" w:rsidRPr="00787562">
        <w:rPr>
          <w:lang w:val="fr-FR"/>
        </w:rPr>
        <w:t xml:space="preserve"> ou d</w:t>
      </w:r>
      <w:r w:rsidR="000F4105" w:rsidRPr="00787562">
        <w:rPr>
          <w:lang w:val="fr-FR"/>
        </w:rPr>
        <w:t xml:space="preserve">e </w:t>
      </w:r>
      <w:r w:rsidR="002D7D75" w:rsidRPr="00787562">
        <w:rPr>
          <w:lang w:val="fr-FR"/>
        </w:rPr>
        <w:t>notation plus transparent et plus nuancé.</w:t>
      </w:r>
    </w:p>
    <w:p w14:paraId="5C5725B2" w14:textId="77777777" w:rsidR="00A431E5" w:rsidRPr="00787562" w:rsidRDefault="00A431E5" w:rsidP="00867F99">
      <w:pPr>
        <w:rPr>
          <w:lang w:val="fr-FR"/>
        </w:rPr>
      </w:pPr>
    </w:p>
    <w:p w14:paraId="164E007F" w14:textId="0206182A" w:rsidR="00A431E5" w:rsidRPr="00787562" w:rsidRDefault="00867F99" w:rsidP="00867F99">
      <w:pPr>
        <w:rPr>
          <w:lang w:val="fr-FR"/>
        </w:rPr>
      </w:pPr>
      <w:r w:rsidRPr="00787562">
        <w:rPr>
          <w:lang w:val="fr-FR"/>
        </w:rPr>
        <w:t>3.</w:t>
      </w:r>
      <w:r w:rsidRPr="00787562">
        <w:rPr>
          <w:lang w:val="fr-FR"/>
        </w:rPr>
        <w:tab/>
      </w:r>
      <w:r w:rsidR="00A431E5" w:rsidRPr="00787562">
        <w:rPr>
          <w:i/>
          <w:lang w:val="fr-FR"/>
        </w:rPr>
        <w:t>Interaction</w:t>
      </w:r>
      <w:r w:rsidR="002D7D75" w:rsidRPr="00787562">
        <w:rPr>
          <w:i/>
          <w:lang w:val="fr-FR"/>
        </w:rPr>
        <w:t> </w:t>
      </w:r>
      <w:r w:rsidR="001D2585" w:rsidRPr="00787562">
        <w:rPr>
          <w:lang w:val="fr-FR"/>
        </w:rPr>
        <w:t>:</w:t>
      </w:r>
      <w:r w:rsidR="002D7D75" w:rsidRPr="00787562">
        <w:rPr>
          <w:lang w:val="fr-FR"/>
        </w:rPr>
        <w:t xml:space="preserve"> La possibilité pour les membres du CCI d’interagir dans le processus était limitée, essentiellement en raison du temps trop bref attribué au processus. Un processus plus interactif serait bénéfique, avec peut</w:t>
      </w:r>
      <w:r w:rsidR="002D7D75" w:rsidRPr="00787562">
        <w:rPr>
          <w:lang w:val="fr-FR"/>
        </w:rPr>
        <w:noBreakHyphen/>
        <w:t>être une réunion face</w:t>
      </w:r>
      <w:r w:rsidR="002D7D75" w:rsidRPr="00787562">
        <w:rPr>
          <w:lang w:val="fr-FR"/>
        </w:rPr>
        <w:noBreakHyphen/>
        <w:t>à</w:t>
      </w:r>
      <w:r w:rsidR="002D7D75" w:rsidRPr="00787562">
        <w:rPr>
          <w:lang w:val="fr-FR"/>
        </w:rPr>
        <w:noBreakHyphen/>
        <w:t>face du CCI si le budget et le temps le permettent.</w:t>
      </w:r>
      <w:r w:rsidR="00A431E5" w:rsidRPr="00787562">
        <w:rPr>
          <w:lang w:val="fr-FR"/>
        </w:rPr>
        <w:t xml:space="preserve"> </w:t>
      </w:r>
    </w:p>
    <w:p w14:paraId="46287174" w14:textId="77777777" w:rsidR="00A431E5" w:rsidRPr="00787562" w:rsidRDefault="00A431E5" w:rsidP="00867F99">
      <w:pPr>
        <w:rPr>
          <w:lang w:val="fr-FR"/>
        </w:rPr>
      </w:pPr>
    </w:p>
    <w:p w14:paraId="18953A4C" w14:textId="6D2C122D" w:rsidR="00A431E5" w:rsidRPr="00787562" w:rsidRDefault="002561C5" w:rsidP="00867F99">
      <w:pPr>
        <w:rPr>
          <w:lang w:val="fr-FR"/>
        </w:rPr>
      </w:pPr>
      <w:r w:rsidRPr="00787562">
        <w:rPr>
          <w:lang w:val="fr-FR"/>
        </w:rPr>
        <w:t>4</w:t>
      </w:r>
      <w:r w:rsidR="00867F99" w:rsidRPr="00787562">
        <w:rPr>
          <w:lang w:val="fr-FR"/>
        </w:rPr>
        <w:t>.</w:t>
      </w:r>
      <w:r w:rsidR="00867F99" w:rsidRPr="00787562">
        <w:rPr>
          <w:lang w:val="fr-FR"/>
        </w:rPr>
        <w:tab/>
      </w:r>
      <w:r w:rsidR="002D7D75" w:rsidRPr="00787562">
        <w:rPr>
          <w:i/>
          <w:lang w:val="fr-FR"/>
        </w:rPr>
        <w:t>Composition du CCI </w:t>
      </w:r>
      <w:r w:rsidR="001D2585" w:rsidRPr="00787562">
        <w:rPr>
          <w:lang w:val="fr-FR"/>
        </w:rPr>
        <w:t>:</w:t>
      </w:r>
      <w:r w:rsidR="00A431E5" w:rsidRPr="00787562">
        <w:rPr>
          <w:lang w:val="fr-FR"/>
        </w:rPr>
        <w:t xml:space="preserve"> </w:t>
      </w:r>
      <w:r w:rsidR="002D7D75" w:rsidRPr="00AC09F4">
        <w:rPr>
          <w:lang w:val="fr-FR"/>
        </w:rPr>
        <w:t xml:space="preserve">Le processus de </w:t>
      </w:r>
      <w:r w:rsidR="00A431E5" w:rsidRPr="00AC09F4">
        <w:rPr>
          <w:lang w:val="fr-FR"/>
        </w:rPr>
        <w:t xml:space="preserve">nomination </w:t>
      </w:r>
      <w:r w:rsidR="002D7D75" w:rsidRPr="00AC09F4">
        <w:rPr>
          <w:lang w:val="fr-FR"/>
        </w:rPr>
        <w:t xml:space="preserve">des membres du CCI et </w:t>
      </w:r>
      <w:r w:rsidR="005725B2" w:rsidRPr="00AC09F4">
        <w:rPr>
          <w:lang w:val="fr-FR"/>
        </w:rPr>
        <w:t>du</w:t>
      </w:r>
      <w:r w:rsidR="002D7D75" w:rsidRPr="00AC09F4">
        <w:rPr>
          <w:lang w:val="fr-FR"/>
        </w:rPr>
        <w:t xml:space="preserve"> Président du CCI devrait</w:t>
      </w:r>
      <w:r w:rsidR="00AC09F4" w:rsidRPr="00AC09F4">
        <w:rPr>
          <w:lang w:val="fr-FR"/>
        </w:rPr>
        <w:t>,</w:t>
      </w:r>
      <w:r w:rsidR="002D7D75" w:rsidRPr="00AC09F4">
        <w:rPr>
          <w:lang w:val="fr-FR"/>
        </w:rPr>
        <w:t xml:space="preserve"> à l’avenir</w:t>
      </w:r>
      <w:r w:rsidR="00AC09F4" w:rsidRPr="00AC09F4">
        <w:rPr>
          <w:lang w:val="fr-FR"/>
        </w:rPr>
        <w:t>,</w:t>
      </w:r>
      <w:r w:rsidR="002D7D75" w:rsidRPr="00AC09F4">
        <w:rPr>
          <w:lang w:val="fr-FR"/>
        </w:rPr>
        <w:t xml:space="preserve"> être officialisé</w:t>
      </w:r>
      <w:r w:rsidR="002D7D75" w:rsidRPr="00787562">
        <w:rPr>
          <w:lang w:val="fr-FR"/>
        </w:rPr>
        <w:t xml:space="preserve"> pour </w:t>
      </w:r>
      <w:r w:rsidR="00AC09F4">
        <w:rPr>
          <w:lang w:val="fr-FR"/>
        </w:rPr>
        <w:t>faire en sorte</w:t>
      </w:r>
      <w:r w:rsidR="002D7D75" w:rsidRPr="00787562">
        <w:rPr>
          <w:lang w:val="fr-FR"/>
        </w:rPr>
        <w:t xml:space="preserve"> que la représentation d’organisations membres du CCI soit complète, à jour et officiellement reconnue.</w:t>
      </w:r>
      <w:r w:rsidR="00A431E5" w:rsidRPr="00787562">
        <w:rPr>
          <w:lang w:val="fr-FR"/>
        </w:rPr>
        <w:t xml:space="preserve"> </w:t>
      </w:r>
    </w:p>
    <w:p w14:paraId="4D94DEEC" w14:textId="4051A0C4" w:rsidR="008513D4" w:rsidRPr="00787562" w:rsidRDefault="008513D4" w:rsidP="00867F99">
      <w:pPr>
        <w:rPr>
          <w:lang w:val="fr-FR"/>
        </w:rPr>
      </w:pPr>
    </w:p>
    <w:p w14:paraId="169145CA" w14:textId="2858490C" w:rsidR="008513D4" w:rsidRPr="00787562" w:rsidRDefault="008513D4" w:rsidP="008513D4">
      <w:pPr>
        <w:rPr>
          <w:lang w:val="fr-FR"/>
        </w:rPr>
      </w:pPr>
      <w:r w:rsidRPr="00787562">
        <w:rPr>
          <w:lang w:val="fr-FR"/>
        </w:rPr>
        <w:t>5.</w:t>
      </w:r>
      <w:r w:rsidRPr="00787562">
        <w:rPr>
          <w:i/>
          <w:lang w:val="fr-FR"/>
        </w:rPr>
        <w:tab/>
        <w:t>Langues</w:t>
      </w:r>
      <w:r w:rsidR="002D7D75" w:rsidRPr="00787562">
        <w:rPr>
          <w:i/>
          <w:lang w:val="fr-FR"/>
        </w:rPr>
        <w:t> </w:t>
      </w:r>
      <w:r w:rsidRPr="00787562">
        <w:rPr>
          <w:lang w:val="fr-FR"/>
        </w:rPr>
        <w:t xml:space="preserve">: </w:t>
      </w:r>
      <w:r w:rsidR="002D7D75" w:rsidRPr="00787562">
        <w:rPr>
          <w:lang w:val="fr-FR"/>
        </w:rPr>
        <w:t xml:space="preserve">La capacité linguistique du CCI pourrait être élargie pour </w:t>
      </w:r>
      <w:r w:rsidR="00AC09F4">
        <w:rPr>
          <w:lang w:val="fr-FR"/>
        </w:rPr>
        <w:t xml:space="preserve">mieux </w:t>
      </w:r>
      <w:r w:rsidR="002D7D75" w:rsidRPr="00787562">
        <w:rPr>
          <w:lang w:val="fr-FR"/>
        </w:rPr>
        <w:t>refléter les pays qui soumettent une candidature.</w:t>
      </w:r>
    </w:p>
    <w:p w14:paraId="2FEA3034" w14:textId="77777777" w:rsidR="00A431E5" w:rsidRPr="00787562" w:rsidRDefault="00A431E5" w:rsidP="00867F99">
      <w:pPr>
        <w:rPr>
          <w:lang w:val="fr-FR"/>
        </w:rPr>
      </w:pPr>
    </w:p>
    <w:p w14:paraId="46481661" w14:textId="34CF713F" w:rsidR="00A431E5" w:rsidRPr="00787562" w:rsidRDefault="008513D4" w:rsidP="00867F99">
      <w:pPr>
        <w:rPr>
          <w:lang w:val="fr-FR"/>
        </w:rPr>
      </w:pPr>
      <w:r w:rsidRPr="00787562">
        <w:rPr>
          <w:lang w:val="fr-FR"/>
        </w:rPr>
        <w:t>6</w:t>
      </w:r>
      <w:r w:rsidR="00867F99" w:rsidRPr="00787562">
        <w:rPr>
          <w:lang w:val="fr-FR"/>
        </w:rPr>
        <w:t>.</w:t>
      </w:r>
      <w:r w:rsidR="00867F99" w:rsidRPr="00787562">
        <w:rPr>
          <w:lang w:val="fr-FR"/>
        </w:rPr>
        <w:tab/>
      </w:r>
      <w:r w:rsidR="002D7D75" w:rsidRPr="00787562">
        <w:rPr>
          <w:i/>
          <w:lang w:val="fr-FR"/>
        </w:rPr>
        <w:t>Commentaires </w:t>
      </w:r>
      <w:r w:rsidR="001D2585" w:rsidRPr="00787562">
        <w:rPr>
          <w:lang w:val="fr-FR"/>
        </w:rPr>
        <w:t>:</w:t>
      </w:r>
      <w:r w:rsidR="00A431E5" w:rsidRPr="00787562">
        <w:rPr>
          <w:lang w:val="fr-FR"/>
        </w:rPr>
        <w:t xml:space="preserve"> </w:t>
      </w:r>
      <w:r w:rsidR="00AC09F4">
        <w:rPr>
          <w:lang w:val="fr-FR"/>
        </w:rPr>
        <w:t>Il serait bon d’obtenir des</w:t>
      </w:r>
      <w:r w:rsidR="002D7D75" w:rsidRPr="00787562">
        <w:rPr>
          <w:lang w:val="fr-FR"/>
        </w:rPr>
        <w:t xml:space="preserve"> commentaires francs de tous les membres du CCI sur la qualité de l’étude et du processus d’accréditation </w:t>
      </w:r>
      <w:r w:rsidR="00A431E5" w:rsidRPr="00787562">
        <w:rPr>
          <w:lang w:val="fr-FR"/>
        </w:rPr>
        <w:t>2017-</w:t>
      </w:r>
      <w:r w:rsidR="001D2585" w:rsidRPr="00787562">
        <w:rPr>
          <w:lang w:val="fr-FR"/>
        </w:rPr>
        <w:t>20</w:t>
      </w:r>
      <w:r w:rsidR="00A431E5" w:rsidRPr="00787562">
        <w:rPr>
          <w:lang w:val="fr-FR"/>
        </w:rPr>
        <w:t>18</w:t>
      </w:r>
      <w:r w:rsidR="002D7D75" w:rsidRPr="00787562">
        <w:rPr>
          <w:lang w:val="fr-FR"/>
        </w:rPr>
        <w:t xml:space="preserve">. </w:t>
      </w:r>
    </w:p>
    <w:p w14:paraId="568F58C2" w14:textId="77777777" w:rsidR="00A431E5" w:rsidRPr="00787562" w:rsidRDefault="00A431E5" w:rsidP="00867F99">
      <w:pPr>
        <w:rPr>
          <w:lang w:val="fr-FR"/>
        </w:rPr>
      </w:pPr>
    </w:p>
    <w:p w14:paraId="544CFC4B" w14:textId="06650B34" w:rsidR="003272B4" w:rsidRPr="00787562" w:rsidRDefault="008513D4" w:rsidP="00867F99">
      <w:pPr>
        <w:rPr>
          <w:lang w:val="fr-FR"/>
        </w:rPr>
      </w:pPr>
      <w:r w:rsidRPr="00787562">
        <w:rPr>
          <w:lang w:val="fr-FR"/>
        </w:rPr>
        <w:t>7</w:t>
      </w:r>
      <w:r w:rsidR="00867F99" w:rsidRPr="00787562">
        <w:rPr>
          <w:lang w:val="fr-FR"/>
        </w:rPr>
        <w:t>.</w:t>
      </w:r>
      <w:r w:rsidR="00867F99" w:rsidRPr="00787562">
        <w:rPr>
          <w:lang w:val="fr-FR"/>
        </w:rPr>
        <w:tab/>
      </w:r>
      <w:r w:rsidR="002D7D75" w:rsidRPr="00787562">
        <w:rPr>
          <w:i/>
          <w:lang w:val="fr-FR"/>
        </w:rPr>
        <w:t>Appui exécutif </w:t>
      </w:r>
      <w:r w:rsidR="001D2585" w:rsidRPr="00787562">
        <w:rPr>
          <w:lang w:val="fr-FR"/>
        </w:rPr>
        <w:t>:</w:t>
      </w:r>
      <w:r w:rsidR="00A431E5" w:rsidRPr="00787562">
        <w:rPr>
          <w:lang w:val="fr-FR"/>
        </w:rPr>
        <w:t xml:space="preserve"> </w:t>
      </w:r>
      <w:r w:rsidR="002D7D75" w:rsidRPr="00787562">
        <w:rPr>
          <w:lang w:val="fr-FR"/>
        </w:rPr>
        <w:t xml:space="preserve">Le Centre régional </w:t>
      </w:r>
      <w:r w:rsidR="00A431E5" w:rsidRPr="00787562">
        <w:rPr>
          <w:lang w:val="fr-FR"/>
        </w:rPr>
        <w:t>Ramsar</w:t>
      </w:r>
      <w:r w:rsidR="002D7D75" w:rsidRPr="00787562">
        <w:rPr>
          <w:lang w:val="fr-FR"/>
        </w:rPr>
        <w:t xml:space="preserve"> </w:t>
      </w:r>
      <w:r w:rsidR="001D2585" w:rsidRPr="00787562">
        <w:rPr>
          <w:lang w:val="fr-FR"/>
        </w:rPr>
        <w:t xml:space="preserve">– </w:t>
      </w:r>
      <w:r w:rsidR="002D7D75" w:rsidRPr="00787562">
        <w:rPr>
          <w:lang w:val="fr-FR"/>
        </w:rPr>
        <w:t>Asie de l’Est (RRC–</w:t>
      </w:r>
      <w:r w:rsidR="001D2585" w:rsidRPr="00787562">
        <w:rPr>
          <w:lang w:val="fr-FR"/>
        </w:rPr>
        <w:t>EA)</w:t>
      </w:r>
      <w:r w:rsidR="00A431E5" w:rsidRPr="00787562">
        <w:rPr>
          <w:lang w:val="fr-FR"/>
        </w:rPr>
        <w:t xml:space="preserve"> </w:t>
      </w:r>
      <w:r w:rsidR="002D7D75" w:rsidRPr="00787562">
        <w:rPr>
          <w:lang w:val="fr-FR"/>
        </w:rPr>
        <w:t xml:space="preserve">a soutenu gratuitement le processus d’accréditation et doit être remercié pour son rôle utile. À l’avenir, ce rôle devrait être officialisé et un budget devrait être prévu, et les processus officiels de gestion </w:t>
      </w:r>
      <w:r w:rsidR="00AC09F4">
        <w:rPr>
          <w:lang w:val="fr-FR"/>
        </w:rPr>
        <w:t>d’</w:t>
      </w:r>
      <w:r w:rsidR="001F1556">
        <w:rPr>
          <w:lang w:val="fr-FR"/>
        </w:rPr>
        <w:t>éventuels</w:t>
      </w:r>
      <w:r w:rsidR="002D7D75" w:rsidRPr="00787562">
        <w:rPr>
          <w:lang w:val="fr-FR"/>
        </w:rPr>
        <w:t xml:space="preserve"> conflit</w:t>
      </w:r>
      <w:r w:rsidR="001F1556">
        <w:rPr>
          <w:lang w:val="fr-FR"/>
        </w:rPr>
        <w:t>s</w:t>
      </w:r>
      <w:r w:rsidR="002D7D75" w:rsidRPr="00787562">
        <w:rPr>
          <w:lang w:val="fr-FR"/>
        </w:rPr>
        <w:t xml:space="preserve"> d’intérêt</w:t>
      </w:r>
      <w:r w:rsidR="00AC09F4">
        <w:rPr>
          <w:lang w:val="fr-FR"/>
        </w:rPr>
        <w:t>s</w:t>
      </w:r>
      <w:r w:rsidR="001F1556">
        <w:rPr>
          <w:lang w:val="fr-FR"/>
        </w:rPr>
        <w:t xml:space="preserve"> </w:t>
      </w:r>
      <w:r w:rsidR="002D7D75" w:rsidRPr="00787562">
        <w:rPr>
          <w:lang w:val="fr-FR"/>
        </w:rPr>
        <w:t xml:space="preserve">être documentés (notant que </w:t>
      </w:r>
      <w:r w:rsidR="001F1556">
        <w:rPr>
          <w:lang w:val="fr-FR"/>
        </w:rPr>
        <w:t>les risques de</w:t>
      </w:r>
      <w:r w:rsidR="002D7D75" w:rsidRPr="00787562">
        <w:rPr>
          <w:lang w:val="fr-FR"/>
        </w:rPr>
        <w:t xml:space="preserve"> conflit</w:t>
      </w:r>
      <w:r w:rsidR="001F1556">
        <w:rPr>
          <w:lang w:val="fr-FR"/>
        </w:rPr>
        <w:t>s</w:t>
      </w:r>
      <w:r w:rsidR="002D7D75" w:rsidRPr="00787562">
        <w:rPr>
          <w:lang w:val="fr-FR"/>
        </w:rPr>
        <w:t xml:space="preserve"> d’intérêt</w:t>
      </w:r>
      <w:r w:rsidR="001F1556">
        <w:rPr>
          <w:lang w:val="fr-FR"/>
        </w:rPr>
        <w:t>s</w:t>
      </w:r>
      <w:r w:rsidR="002D7D75" w:rsidRPr="00787562">
        <w:rPr>
          <w:lang w:val="fr-FR"/>
        </w:rPr>
        <w:t xml:space="preserve"> </w:t>
      </w:r>
      <w:r w:rsidR="001F1556">
        <w:rPr>
          <w:lang w:val="fr-FR"/>
        </w:rPr>
        <w:t>ont</w:t>
      </w:r>
      <w:r w:rsidR="002D7D75" w:rsidRPr="00787562">
        <w:rPr>
          <w:lang w:val="fr-FR"/>
        </w:rPr>
        <w:t xml:space="preserve"> été traité</w:t>
      </w:r>
      <w:r w:rsidR="001F1556">
        <w:rPr>
          <w:lang w:val="fr-FR"/>
        </w:rPr>
        <w:t>s</w:t>
      </w:r>
      <w:r w:rsidR="002D7D75" w:rsidRPr="00787562">
        <w:rPr>
          <w:lang w:val="fr-FR"/>
        </w:rPr>
        <w:t xml:space="preserve"> avec succès par le personnel du RRC–</w:t>
      </w:r>
      <w:r w:rsidR="00A431E5" w:rsidRPr="00787562">
        <w:rPr>
          <w:lang w:val="fr-FR"/>
        </w:rPr>
        <w:t xml:space="preserve">EA, </w:t>
      </w:r>
      <w:r w:rsidR="001F1556">
        <w:rPr>
          <w:lang w:val="fr-FR"/>
        </w:rPr>
        <w:t>qui ont veillé</w:t>
      </w:r>
      <w:r w:rsidR="002D7D75" w:rsidRPr="00787562">
        <w:rPr>
          <w:lang w:val="fr-FR"/>
        </w:rPr>
        <w:t xml:space="preserve"> à ne pas être impliqué dans l’accréditation de soumissions </w:t>
      </w:r>
      <w:r w:rsidR="001F1556">
        <w:rPr>
          <w:lang w:val="fr-FR"/>
        </w:rPr>
        <w:t>de</w:t>
      </w:r>
      <w:r w:rsidR="002D7D75" w:rsidRPr="00787562">
        <w:rPr>
          <w:lang w:val="fr-FR"/>
        </w:rPr>
        <w:t xml:space="preserve"> la République de Corée). </w:t>
      </w:r>
    </w:p>
    <w:sectPr w:rsidR="003272B4" w:rsidRPr="00787562" w:rsidSect="003C6FF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88C38" w14:textId="77777777" w:rsidR="00772605" w:rsidRDefault="00772605" w:rsidP="00684ACE">
      <w:r>
        <w:separator/>
      </w:r>
    </w:p>
  </w:endnote>
  <w:endnote w:type="continuationSeparator" w:id="0">
    <w:p w14:paraId="38E04FD7" w14:textId="77777777" w:rsidR="00772605" w:rsidRDefault="00772605" w:rsidP="00684ACE">
      <w:r>
        <w:continuationSeparator/>
      </w:r>
    </w:p>
  </w:endnote>
  <w:endnote w:type="continuationNotice" w:id="1">
    <w:p w14:paraId="5A9656FA" w14:textId="77777777" w:rsidR="00772605" w:rsidRDefault="00772605" w:rsidP="00684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roxima_nova_ltsemibold">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0F48B" w14:textId="77777777" w:rsidR="00987BAC" w:rsidRDefault="00987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5B60A" w14:textId="22D0E98A" w:rsidR="00987BAC" w:rsidRPr="003A256C" w:rsidRDefault="00987BAC" w:rsidP="003A256C">
    <w:pPr>
      <w:pStyle w:val="Footer"/>
      <w:tabs>
        <w:tab w:val="clear" w:pos="9026"/>
        <w:tab w:val="right" w:pos="9000"/>
      </w:tabs>
      <w:rPr>
        <w:sz w:val="20"/>
        <w:szCs w:val="20"/>
        <w:lang w:val="en-US"/>
      </w:rPr>
    </w:pPr>
    <w:r w:rsidRPr="003A256C">
      <w:rPr>
        <w:sz w:val="20"/>
        <w:szCs w:val="20"/>
        <w:lang w:val="en-US"/>
      </w:rPr>
      <w:t>S</w:t>
    </w:r>
    <w:r>
      <w:rPr>
        <w:sz w:val="20"/>
        <w:szCs w:val="20"/>
        <w:lang w:val="en-US"/>
      </w:rPr>
      <w:t>C54</w:t>
    </w:r>
    <w:r w:rsidRPr="003A256C">
      <w:rPr>
        <w:sz w:val="20"/>
        <w:szCs w:val="20"/>
        <w:lang w:val="en-US"/>
      </w:rPr>
      <w:t>-</w:t>
    </w:r>
    <w:r>
      <w:rPr>
        <w:sz w:val="20"/>
        <w:szCs w:val="20"/>
        <w:lang w:val="en-US"/>
      </w:rPr>
      <w:t>22</w:t>
    </w:r>
    <w:r w:rsidRPr="003A256C">
      <w:rPr>
        <w:sz w:val="20"/>
        <w:szCs w:val="20"/>
        <w:lang w:val="en-US"/>
      </w:rPr>
      <w:tab/>
    </w:r>
    <w:r w:rsidRPr="003A256C">
      <w:rPr>
        <w:sz w:val="20"/>
        <w:szCs w:val="20"/>
        <w:lang w:val="en-US"/>
      </w:rPr>
      <w:tab/>
    </w:r>
    <w:r w:rsidRPr="003A256C">
      <w:rPr>
        <w:sz w:val="20"/>
        <w:szCs w:val="20"/>
        <w:lang w:val="en-US"/>
      </w:rPr>
      <w:fldChar w:fldCharType="begin"/>
    </w:r>
    <w:r w:rsidRPr="003A256C">
      <w:rPr>
        <w:sz w:val="20"/>
        <w:szCs w:val="20"/>
        <w:lang w:val="en-US"/>
      </w:rPr>
      <w:instrText xml:space="preserve"> PAGE   \* MERGEFORMAT </w:instrText>
    </w:r>
    <w:r w:rsidRPr="003A256C">
      <w:rPr>
        <w:sz w:val="20"/>
        <w:szCs w:val="20"/>
        <w:lang w:val="en-US"/>
      </w:rPr>
      <w:fldChar w:fldCharType="separate"/>
    </w:r>
    <w:r w:rsidR="009B0D27">
      <w:rPr>
        <w:noProof/>
        <w:sz w:val="20"/>
        <w:szCs w:val="20"/>
        <w:lang w:val="en-US"/>
      </w:rPr>
      <w:t>2</w:t>
    </w:r>
    <w:r w:rsidRPr="003A256C">
      <w:rPr>
        <w:noProof/>
        <w:sz w:val="20"/>
        <w:szCs w:val="2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F7C6" w14:textId="77777777" w:rsidR="00987BAC" w:rsidRDefault="00987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42FBE" w14:textId="77777777" w:rsidR="00772605" w:rsidRDefault="00772605" w:rsidP="00684ACE">
      <w:r>
        <w:separator/>
      </w:r>
    </w:p>
  </w:footnote>
  <w:footnote w:type="continuationSeparator" w:id="0">
    <w:p w14:paraId="1B7C9AB2" w14:textId="77777777" w:rsidR="00772605" w:rsidRDefault="00772605" w:rsidP="00684ACE">
      <w:r>
        <w:continuationSeparator/>
      </w:r>
    </w:p>
  </w:footnote>
  <w:footnote w:type="continuationNotice" w:id="1">
    <w:p w14:paraId="4B408891" w14:textId="77777777" w:rsidR="00772605" w:rsidRDefault="00772605" w:rsidP="00684A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106B" w14:textId="77777777" w:rsidR="00987BAC" w:rsidRDefault="00987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8E61D" w14:textId="77777777" w:rsidR="00987BAC" w:rsidRDefault="00987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BFD8E" w14:textId="77777777" w:rsidR="00987BAC" w:rsidRDefault="00987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71E5"/>
    <w:multiLevelType w:val="hybridMultilevel"/>
    <w:tmpl w:val="50F2E8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780119"/>
    <w:multiLevelType w:val="hybridMultilevel"/>
    <w:tmpl w:val="84E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029B3"/>
    <w:multiLevelType w:val="hybridMultilevel"/>
    <w:tmpl w:val="D040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BE133C"/>
    <w:multiLevelType w:val="hybridMultilevel"/>
    <w:tmpl w:val="502AAE96"/>
    <w:lvl w:ilvl="0" w:tplc="77986E14">
      <w:start w:val="7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DB52BC"/>
    <w:multiLevelType w:val="hybridMultilevel"/>
    <w:tmpl w:val="A900F4B6"/>
    <w:lvl w:ilvl="0" w:tplc="77B03E7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C5957"/>
    <w:multiLevelType w:val="hybridMultilevel"/>
    <w:tmpl w:val="E194AA1A"/>
    <w:lvl w:ilvl="0" w:tplc="A8F20060">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76883"/>
    <w:multiLevelType w:val="hybridMultilevel"/>
    <w:tmpl w:val="15EC3B8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7">
    <w:nsid w:val="30C11C85"/>
    <w:multiLevelType w:val="hybridMultilevel"/>
    <w:tmpl w:val="B64E5A7E"/>
    <w:lvl w:ilvl="0" w:tplc="07CEBD2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E9F"/>
    <w:multiLevelType w:val="hybridMultilevel"/>
    <w:tmpl w:val="04D47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34743A"/>
    <w:multiLevelType w:val="hybridMultilevel"/>
    <w:tmpl w:val="318AC674"/>
    <w:lvl w:ilvl="0" w:tplc="A8F20060">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236DB"/>
    <w:multiLevelType w:val="hybridMultilevel"/>
    <w:tmpl w:val="3B92A906"/>
    <w:lvl w:ilvl="0" w:tplc="34E6C664">
      <w:start w:val="15"/>
      <w:numFmt w:val="decimal"/>
      <w:lvlText w:val="%1."/>
      <w:lvlJc w:val="left"/>
      <w:pPr>
        <w:ind w:left="720"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CD1202"/>
    <w:multiLevelType w:val="hybridMultilevel"/>
    <w:tmpl w:val="FC8AC0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50051C3C"/>
    <w:multiLevelType w:val="hybridMultilevel"/>
    <w:tmpl w:val="D23AA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A500F1"/>
    <w:multiLevelType w:val="hybridMultilevel"/>
    <w:tmpl w:val="CC2A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0826B2"/>
    <w:multiLevelType w:val="hybridMultilevel"/>
    <w:tmpl w:val="471687E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17FB8"/>
    <w:multiLevelType w:val="hybridMultilevel"/>
    <w:tmpl w:val="D4008ED2"/>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0758D7"/>
    <w:multiLevelType w:val="hybridMultilevel"/>
    <w:tmpl w:val="0C48A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B50124"/>
    <w:multiLevelType w:val="hybridMultilevel"/>
    <w:tmpl w:val="E5C09154"/>
    <w:lvl w:ilvl="0" w:tplc="A8F20060">
      <w:start w:val="1"/>
      <w:numFmt w:val="decimal"/>
      <w:lvlText w:val="%1."/>
      <w:lvlJc w:val="left"/>
      <w:pPr>
        <w:ind w:left="720"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EE6248"/>
    <w:multiLevelType w:val="hybridMultilevel"/>
    <w:tmpl w:val="36AE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EA27EB"/>
    <w:multiLevelType w:val="hybridMultilevel"/>
    <w:tmpl w:val="D040BDDA"/>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A832D1"/>
    <w:multiLevelType w:val="hybridMultilevel"/>
    <w:tmpl w:val="556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F6AF1"/>
    <w:multiLevelType w:val="hybridMultilevel"/>
    <w:tmpl w:val="76E21EC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3">
    <w:nsid w:val="65DC7CB3"/>
    <w:multiLevelType w:val="hybridMultilevel"/>
    <w:tmpl w:val="27E60F4C"/>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701D3"/>
    <w:multiLevelType w:val="hybridMultilevel"/>
    <w:tmpl w:val="EFF8B998"/>
    <w:lvl w:ilvl="0" w:tplc="A8F20060">
      <w:start w:val="1"/>
      <w:numFmt w:val="decimal"/>
      <w:lvlText w:val="%1."/>
      <w:lvlJc w:val="left"/>
      <w:pPr>
        <w:ind w:left="720" w:hanging="360"/>
      </w:pPr>
      <w:rPr>
        <w:rFonts w:asciiTheme="minorHAnsi" w:hAnsi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731C7"/>
    <w:multiLevelType w:val="hybridMultilevel"/>
    <w:tmpl w:val="C57CD5E0"/>
    <w:lvl w:ilvl="0" w:tplc="B72C80C6">
      <w:start w:val="23"/>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5E6E82"/>
    <w:multiLevelType w:val="hybridMultilevel"/>
    <w:tmpl w:val="9AB0FA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6B66BDB"/>
    <w:multiLevelType w:val="hybridMultilevel"/>
    <w:tmpl w:val="36AE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0B0E25"/>
    <w:multiLevelType w:val="hybridMultilevel"/>
    <w:tmpl w:val="CC9C01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9A21914"/>
    <w:multiLevelType w:val="hybridMultilevel"/>
    <w:tmpl w:val="A21CA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EC4D64"/>
    <w:multiLevelType w:val="hybridMultilevel"/>
    <w:tmpl w:val="050A957A"/>
    <w:lvl w:ilvl="0" w:tplc="BB2E456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21"/>
  </w:num>
  <w:num w:numId="4">
    <w:abstractNumId w:val="2"/>
  </w:num>
  <w:num w:numId="5">
    <w:abstractNumId w:val="3"/>
  </w:num>
  <w:num w:numId="6">
    <w:abstractNumId w:val="5"/>
  </w:num>
  <w:num w:numId="7">
    <w:abstractNumId w:val="23"/>
  </w:num>
  <w:num w:numId="8">
    <w:abstractNumId w:val="15"/>
  </w:num>
  <w:num w:numId="9">
    <w:abstractNumId w:val="4"/>
  </w:num>
  <w:num w:numId="10">
    <w:abstractNumId w:val="27"/>
  </w:num>
  <w:num w:numId="11">
    <w:abstractNumId w:val="19"/>
  </w:num>
  <w:num w:numId="12">
    <w:abstractNumId w:val="29"/>
  </w:num>
  <w:num w:numId="13">
    <w:abstractNumId w:val="13"/>
  </w:num>
  <w:num w:numId="14">
    <w:abstractNumId w:val="24"/>
  </w:num>
  <w:num w:numId="15">
    <w:abstractNumId w:val="8"/>
  </w:num>
  <w:num w:numId="16">
    <w:abstractNumId w:val="30"/>
  </w:num>
  <w:num w:numId="17">
    <w:abstractNumId w:val="14"/>
  </w:num>
  <w:num w:numId="18">
    <w:abstractNumId w:val="12"/>
  </w:num>
  <w:num w:numId="19">
    <w:abstractNumId w:val="1"/>
  </w:num>
  <w:num w:numId="20">
    <w:abstractNumId w:val="26"/>
  </w:num>
  <w:num w:numId="21">
    <w:abstractNumId w:val="28"/>
  </w:num>
  <w:num w:numId="22">
    <w:abstractNumId w:val="0"/>
  </w:num>
  <w:num w:numId="23">
    <w:abstractNumId w:val="11"/>
  </w:num>
  <w:num w:numId="24">
    <w:abstractNumId w:val="9"/>
  </w:num>
  <w:num w:numId="25">
    <w:abstractNumId w:val="18"/>
  </w:num>
  <w:num w:numId="26">
    <w:abstractNumId w:val="10"/>
  </w:num>
  <w:num w:numId="27">
    <w:abstractNumId w:val="6"/>
  </w:num>
  <w:num w:numId="28">
    <w:abstractNumId w:val="22"/>
  </w:num>
  <w:num w:numId="29">
    <w:abstractNumId w:val="20"/>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4A"/>
    <w:rsid w:val="000011A7"/>
    <w:rsid w:val="00006349"/>
    <w:rsid w:val="00015C3D"/>
    <w:rsid w:val="00024BF3"/>
    <w:rsid w:val="00033ADF"/>
    <w:rsid w:val="00041DFE"/>
    <w:rsid w:val="000561A6"/>
    <w:rsid w:val="00056DC4"/>
    <w:rsid w:val="000603D8"/>
    <w:rsid w:val="00060673"/>
    <w:rsid w:val="00065F4C"/>
    <w:rsid w:val="000674B2"/>
    <w:rsid w:val="00070697"/>
    <w:rsid w:val="00071C4F"/>
    <w:rsid w:val="00073463"/>
    <w:rsid w:val="00084E7E"/>
    <w:rsid w:val="00090342"/>
    <w:rsid w:val="00090733"/>
    <w:rsid w:val="00091C7F"/>
    <w:rsid w:val="00094FA4"/>
    <w:rsid w:val="000A5808"/>
    <w:rsid w:val="000A5DD1"/>
    <w:rsid w:val="000B5FFE"/>
    <w:rsid w:val="000C23C4"/>
    <w:rsid w:val="000C4662"/>
    <w:rsid w:val="000D15CD"/>
    <w:rsid w:val="000D2C2E"/>
    <w:rsid w:val="000D3EC5"/>
    <w:rsid w:val="000E4331"/>
    <w:rsid w:val="000F0780"/>
    <w:rsid w:val="000F4105"/>
    <w:rsid w:val="000F4F18"/>
    <w:rsid w:val="000F5750"/>
    <w:rsid w:val="000F7E2E"/>
    <w:rsid w:val="00111E4E"/>
    <w:rsid w:val="00117514"/>
    <w:rsid w:val="00124F46"/>
    <w:rsid w:val="00127E32"/>
    <w:rsid w:val="001311F9"/>
    <w:rsid w:val="0014427D"/>
    <w:rsid w:val="001446F4"/>
    <w:rsid w:val="001458BA"/>
    <w:rsid w:val="0014728B"/>
    <w:rsid w:val="001539AF"/>
    <w:rsid w:val="0015480C"/>
    <w:rsid w:val="001550B5"/>
    <w:rsid w:val="00162130"/>
    <w:rsid w:val="00163EB5"/>
    <w:rsid w:val="0016617C"/>
    <w:rsid w:val="0017502F"/>
    <w:rsid w:val="001824B4"/>
    <w:rsid w:val="001826A6"/>
    <w:rsid w:val="00192C83"/>
    <w:rsid w:val="00193A9E"/>
    <w:rsid w:val="001A5672"/>
    <w:rsid w:val="001B146F"/>
    <w:rsid w:val="001C05F3"/>
    <w:rsid w:val="001C5C4A"/>
    <w:rsid w:val="001D2585"/>
    <w:rsid w:val="001D6E65"/>
    <w:rsid w:val="001E6140"/>
    <w:rsid w:val="001F1556"/>
    <w:rsid w:val="001F6182"/>
    <w:rsid w:val="0020021D"/>
    <w:rsid w:val="002004F0"/>
    <w:rsid w:val="00203EB0"/>
    <w:rsid w:val="002112F0"/>
    <w:rsid w:val="00213B9E"/>
    <w:rsid w:val="00216B90"/>
    <w:rsid w:val="00231E88"/>
    <w:rsid w:val="002357F3"/>
    <w:rsid w:val="00243BD1"/>
    <w:rsid w:val="00245600"/>
    <w:rsid w:val="00247AF9"/>
    <w:rsid w:val="002507A4"/>
    <w:rsid w:val="002513E4"/>
    <w:rsid w:val="00251F99"/>
    <w:rsid w:val="00255DA7"/>
    <w:rsid w:val="002561C5"/>
    <w:rsid w:val="0026161A"/>
    <w:rsid w:val="002654E8"/>
    <w:rsid w:val="0026561C"/>
    <w:rsid w:val="002676DE"/>
    <w:rsid w:val="00273DEF"/>
    <w:rsid w:val="002773E4"/>
    <w:rsid w:val="00290341"/>
    <w:rsid w:val="00293A0B"/>
    <w:rsid w:val="0029547F"/>
    <w:rsid w:val="002964CD"/>
    <w:rsid w:val="002A3AA7"/>
    <w:rsid w:val="002A719E"/>
    <w:rsid w:val="002B6122"/>
    <w:rsid w:val="002C2C4E"/>
    <w:rsid w:val="002C5CE0"/>
    <w:rsid w:val="002D260C"/>
    <w:rsid w:val="002D5F19"/>
    <w:rsid w:val="002D7D75"/>
    <w:rsid w:val="002E32B8"/>
    <w:rsid w:val="002E37C2"/>
    <w:rsid w:val="002F5346"/>
    <w:rsid w:val="0030292B"/>
    <w:rsid w:val="003067BF"/>
    <w:rsid w:val="003159B1"/>
    <w:rsid w:val="00316352"/>
    <w:rsid w:val="0032076C"/>
    <w:rsid w:val="003239E4"/>
    <w:rsid w:val="003257E2"/>
    <w:rsid w:val="003272B4"/>
    <w:rsid w:val="003312C3"/>
    <w:rsid w:val="00333625"/>
    <w:rsid w:val="00340D71"/>
    <w:rsid w:val="003428F1"/>
    <w:rsid w:val="00350839"/>
    <w:rsid w:val="00352F8E"/>
    <w:rsid w:val="00357740"/>
    <w:rsid w:val="00361D1A"/>
    <w:rsid w:val="0036553E"/>
    <w:rsid w:val="00366A05"/>
    <w:rsid w:val="00371C47"/>
    <w:rsid w:val="00374011"/>
    <w:rsid w:val="0037712A"/>
    <w:rsid w:val="00380FD2"/>
    <w:rsid w:val="00381688"/>
    <w:rsid w:val="00384DB3"/>
    <w:rsid w:val="003879EE"/>
    <w:rsid w:val="003A076D"/>
    <w:rsid w:val="003A256C"/>
    <w:rsid w:val="003A4773"/>
    <w:rsid w:val="003C2CD0"/>
    <w:rsid w:val="003C3450"/>
    <w:rsid w:val="003C433A"/>
    <w:rsid w:val="003C6FF2"/>
    <w:rsid w:val="003D26E3"/>
    <w:rsid w:val="003D55CC"/>
    <w:rsid w:val="003E6B09"/>
    <w:rsid w:val="003E6C9D"/>
    <w:rsid w:val="003F1FFA"/>
    <w:rsid w:val="003F2902"/>
    <w:rsid w:val="003F7DF3"/>
    <w:rsid w:val="00417407"/>
    <w:rsid w:val="00425317"/>
    <w:rsid w:val="00437527"/>
    <w:rsid w:val="00450762"/>
    <w:rsid w:val="00456AF9"/>
    <w:rsid w:val="00461518"/>
    <w:rsid w:val="00463935"/>
    <w:rsid w:val="004838E3"/>
    <w:rsid w:val="00487C7A"/>
    <w:rsid w:val="004A1CE9"/>
    <w:rsid w:val="004A7E4B"/>
    <w:rsid w:val="004B074A"/>
    <w:rsid w:val="004B6E8B"/>
    <w:rsid w:val="004C507F"/>
    <w:rsid w:val="004C7321"/>
    <w:rsid w:val="004D03E9"/>
    <w:rsid w:val="004D0A2C"/>
    <w:rsid w:val="004D6ED5"/>
    <w:rsid w:val="004E42E9"/>
    <w:rsid w:val="004E7994"/>
    <w:rsid w:val="004F0D76"/>
    <w:rsid w:val="004F5FC6"/>
    <w:rsid w:val="004F6525"/>
    <w:rsid w:val="004F70ED"/>
    <w:rsid w:val="005031E4"/>
    <w:rsid w:val="0050443F"/>
    <w:rsid w:val="00505803"/>
    <w:rsid w:val="00523F1D"/>
    <w:rsid w:val="00524F47"/>
    <w:rsid w:val="00526519"/>
    <w:rsid w:val="00536AB3"/>
    <w:rsid w:val="00542B80"/>
    <w:rsid w:val="0054560C"/>
    <w:rsid w:val="00551D3B"/>
    <w:rsid w:val="0055238F"/>
    <w:rsid w:val="00554286"/>
    <w:rsid w:val="0055764B"/>
    <w:rsid w:val="005725B2"/>
    <w:rsid w:val="005841CC"/>
    <w:rsid w:val="005932F4"/>
    <w:rsid w:val="00596D5B"/>
    <w:rsid w:val="005A083B"/>
    <w:rsid w:val="005B2F75"/>
    <w:rsid w:val="005B4A70"/>
    <w:rsid w:val="005B559B"/>
    <w:rsid w:val="005C00EB"/>
    <w:rsid w:val="005C0B55"/>
    <w:rsid w:val="005D0CAB"/>
    <w:rsid w:val="005E05E6"/>
    <w:rsid w:val="005F3D87"/>
    <w:rsid w:val="005F645B"/>
    <w:rsid w:val="005F6F94"/>
    <w:rsid w:val="00614DAD"/>
    <w:rsid w:val="00617241"/>
    <w:rsid w:val="00617DDB"/>
    <w:rsid w:val="00640C6F"/>
    <w:rsid w:val="00647D5B"/>
    <w:rsid w:val="00667409"/>
    <w:rsid w:val="00674B66"/>
    <w:rsid w:val="006757F7"/>
    <w:rsid w:val="006763E1"/>
    <w:rsid w:val="00677383"/>
    <w:rsid w:val="00682B21"/>
    <w:rsid w:val="00684ACE"/>
    <w:rsid w:val="00692729"/>
    <w:rsid w:val="00693879"/>
    <w:rsid w:val="006A5F9A"/>
    <w:rsid w:val="006B3F45"/>
    <w:rsid w:val="006B7A65"/>
    <w:rsid w:val="006C5A28"/>
    <w:rsid w:val="006D13A7"/>
    <w:rsid w:val="006D19FD"/>
    <w:rsid w:val="006D39A8"/>
    <w:rsid w:val="006D737D"/>
    <w:rsid w:val="006E361F"/>
    <w:rsid w:val="006E3E5C"/>
    <w:rsid w:val="006F016C"/>
    <w:rsid w:val="006F1C34"/>
    <w:rsid w:val="006F5698"/>
    <w:rsid w:val="006F5B44"/>
    <w:rsid w:val="00700A7B"/>
    <w:rsid w:val="00714631"/>
    <w:rsid w:val="0072024E"/>
    <w:rsid w:val="00720CE8"/>
    <w:rsid w:val="00724095"/>
    <w:rsid w:val="00727D89"/>
    <w:rsid w:val="00733653"/>
    <w:rsid w:val="00733692"/>
    <w:rsid w:val="00746440"/>
    <w:rsid w:val="00753A94"/>
    <w:rsid w:val="007627FA"/>
    <w:rsid w:val="00772605"/>
    <w:rsid w:val="007745C6"/>
    <w:rsid w:val="00784472"/>
    <w:rsid w:val="00787562"/>
    <w:rsid w:val="007B278C"/>
    <w:rsid w:val="007B629E"/>
    <w:rsid w:val="007D3024"/>
    <w:rsid w:val="007E0DC5"/>
    <w:rsid w:val="00804F25"/>
    <w:rsid w:val="00807313"/>
    <w:rsid w:val="008306CE"/>
    <w:rsid w:val="00841AA4"/>
    <w:rsid w:val="00847794"/>
    <w:rsid w:val="008513D4"/>
    <w:rsid w:val="00851CE3"/>
    <w:rsid w:val="00854B52"/>
    <w:rsid w:val="00864E29"/>
    <w:rsid w:val="008654BC"/>
    <w:rsid w:val="0086635E"/>
    <w:rsid w:val="00867F99"/>
    <w:rsid w:val="00870D33"/>
    <w:rsid w:val="008725FF"/>
    <w:rsid w:val="00880AA7"/>
    <w:rsid w:val="00880E68"/>
    <w:rsid w:val="008869D6"/>
    <w:rsid w:val="00896C45"/>
    <w:rsid w:val="008A06D7"/>
    <w:rsid w:val="008A2602"/>
    <w:rsid w:val="008A29A6"/>
    <w:rsid w:val="008B37C7"/>
    <w:rsid w:val="008B3841"/>
    <w:rsid w:val="008B3F40"/>
    <w:rsid w:val="008C1AE7"/>
    <w:rsid w:val="008E5897"/>
    <w:rsid w:val="008F0B5F"/>
    <w:rsid w:val="00905185"/>
    <w:rsid w:val="009074B1"/>
    <w:rsid w:val="00920621"/>
    <w:rsid w:val="00920E9B"/>
    <w:rsid w:val="0092247B"/>
    <w:rsid w:val="009261F2"/>
    <w:rsid w:val="0092798D"/>
    <w:rsid w:val="009362A5"/>
    <w:rsid w:val="00941744"/>
    <w:rsid w:val="00946070"/>
    <w:rsid w:val="00947C37"/>
    <w:rsid w:val="0096379F"/>
    <w:rsid w:val="00965ECD"/>
    <w:rsid w:val="009779FE"/>
    <w:rsid w:val="0098291C"/>
    <w:rsid w:val="00987BAC"/>
    <w:rsid w:val="009955E1"/>
    <w:rsid w:val="009A0B9B"/>
    <w:rsid w:val="009A35FE"/>
    <w:rsid w:val="009B0D27"/>
    <w:rsid w:val="009B138B"/>
    <w:rsid w:val="009B147A"/>
    <w:rsid w:val="009B5AE4"/>
    <w:rsid w:val="009C47D4"/>
    <w:rsid w:val="009C573E"/>
    <w:rsid w:val="009C64E0"/>
    <w:rsid w:val="009D1B8C"/>
    <w:rsid w:val="009D442E"/>
    <w:rsid w:val="009D561C"/>
    <w:rsid w:val="009E1525"/>
    <w:rsid w:val="009F450A"/>
    <w:rsid w:val="009F6C47"/>
    <w:rsid w:val="00A02677"/>
    <w:rsid w:val="00A06613"/>
    <w:rsid w:val="00A13607"/>
    <w:rsid w:val="00A1635D"/>
    <w:rsid w:val="00A17088"/>
    <w:rsid w:val="00A256AA"/>
    <w:rsid w:val="00A259EE"/>
    <w:rsid w:val="00A30DD0"/>
    <w:rsid w:val="00A3274B"/>
    <w:rsid w:val="00A35571"/>
    <w:rsid w:val="00A369F4"/>
    <w:rsid w:val="00A40334"/>
    <w:rsid w:val="00A431E5"/>
    <w:rsid w:val="00A56949"/>
    <w:rsid w:val="00A600AF"/>
    <w:rsid w:val="00A647CC"/>
    <w:rsid w:val="00A749CF"/>
    <w:rsid w:val="00A830B4"/>
    <w:rsid w:val="00A8537D"/>
    <w:rsid w:val="00A926A7"/>
    <w:rsid w:val="00A939CF"/>
    <w:rsid w:val="00A94804"/>
    <w:rsid w:val="00A97C27"/>
    <w:rsid w:val="00AB2E7A"/>
    <w:rsid w:val="00AC09F4"/>
    <w:rsid w:val="00AC3324"/>
    <w:rsid w:val="00AC50FA"/>
    <w:rsid w:val="00AE1D01"/>
    <w:rsid w:val="00AE2413"/>
    <w:rsid w:val="00B04A3F"/>
    <w:rsid w:val="00B17E48"/>
    <w:rsid w:val="00B44FE5"/>
    <w:rsid w:val="00B462A4"/>
    <w:rsid w:val="00B7341F"/>
    <w:rsid w:val="00B77D2C"/>
    <w:rsid w:val="00B82658"/>
    <w:rsid w:val="00B8726B"/>
    <w:rsid w:val="00BA7A3B"/>
    <w:rsid w:val="00BB6538"/>
    <w:rsid w:val="00BD5086"/>
    <w:rsid w:val="00BE4674"/>
    <w:rsid w:val="00BF5B49"/>
    <w:rsid w:val="00BF67FF"/>
    <w:rsid w:val="00C0443E"/>
    <w:rsid w:val="00C24AC7"/>
    <w:rsid w:val="00C25CA9"/>
    <w:rsid w:val="00C2701C"/>
    <w:rsid w:val="00C3088E"/>
    <w:rsid w:val="00C34061"/>
    <w:rsid w:val="00C3740C"/>
    <w:rsid w:val="00C37590"/>
    <w:rsid w:val="00C411D1"/>
    <w:rsid w:val="00C4216D"/>
    <w:rsid w:val="00C4222C"/>
    <w:rsid w:val="00C51E99"/>
    <w:rsid w:val="00C614A4"/>
    <w:rsid w:val="00C86EAE"/>
    <w:rsid w:val="00C9767C"/>
    <w:rsid w:val="00CC1A24"/>
    <w:rsid w:val="00CC5377"/>
    <w:rsid w:val="00CC6773"/>
    <w:rsid w:val="00CD05B0"/>
    <w:rsid w:val="00CE27ED"/>
    <w:rsid w:val="00CE678B"/>
    <w:rsid w:val="00CF3A38"/>
    <w:rsid w:val="00D10D53"/>
    <w:rsid w:val="00D12D3B"/>
    <w:rsid w:val="00D234AB"/>
    <w:rsid w:val="00D3554A"/>
    <w:rsid w:val="00D35808"/>
    <w:rsid w:val="00D37207"/>
    <w:rsid w:val="00D52209"/>
    <w:rsid w:val="00D738DF"/>
    <w:rsid w:val="00D76AB1"/>
    <w:rsid w:val="00D8231E"/>
    <w:rsid w:val="00D87C44"/>
    <w:rsid w:val="00D9799A"/>
    <w:rsid w:val="00DA3C34"/>
    <w:rsid w:val="00DA57FF"/>
    <w:rsid w:val="00DA6E71"/>
    <w:rsid w:val="00DA6EFE"/>
    <w:rsid w:val="00DB1471"/>
    <w:rsid w:val="00DB2AF8"/>
    <w:rsid w:val="00DB4028"/>
    <w:rsid w:val="00DB733E"/>
    <w:rsid w:val="00DD1236"/>
    <w:rsid w:val="00DD2684"/>
    <w:rsid w:val="00DE2BF8"/>
    <w:rsid w:val="00E05C12"/>
    <w:rsid w:val="00E14CF4"/>
    <w:rsid w:val="00E25E30"/>
    <w:rsid w:val="00E350AA"/>
    <w:rsid w:val="00E430C1"/>
    <w:rsid w:val="00E464D7"/>
    <w:rsid w:val="00E63BC2"/>
    <w:rsid w:val="00E83542"/>
    <w:rsid w:val="00E84EA2"/>
    <w:rsid w:val="00E90607"/>
    <w:rsid w:val="00E92EFD"/>
    <w:rsid w:val="00E94099"/>
    <w:rsid w:val="00E96AF3"/>
    <w:rsid w:val="00E97539"/>
    <w:rsid w:val="00EA6920"/>
    <w:rsid w:val="00EB423E"/>
    <w:rsid w:val="00EC0883"/>
    <w:rsid w:val="00EC4D39"/>
    <w:rsid w:val="00EC60E5"/>
    <w:rsid w:val="00EE5B9C"/>
    <w:rsid w:val="00EE6CD1"/>
    <w:rsid w:val="00EF45BD"/>
    <w:rsid w:val="00F23EB8"/>
    <w:rsid w:val="00F24E42"/>
    <w:rsid w:val="00F33D52"/>
    <w:rsid w:val="00F36CEB"/>
    <w:rsid w:val="00F402A7"/>
    <w:rsid w:val="00F47300"/>
    <w:rsid w:val="00F50632"/>
    <w:rsid w:val="00F52814"/>
    <w:rsid w:val="00F55436"/>
    <w:rsid w:val="00F569E7"/>
    <w:rsid w:val="00F631E2"/>
    <w:rsid w:val="00F858F1"/>
    <w:rsid w:val="00F901FB"/>
    <w:rsid w:val="00F9066C"/>
    <w:rsid w:val="00F96598"/>
    <w:rsid w:val="00FA7E71"/>
    <w:rsid w:val="00FB7D69"/>
    <w:rsid w:val="00FC369F"/>
    <w:rsid w:val="00FC6DC9"/>
    <w:rsid w:val="00FC7E7D"/>
    <w:rsid w:val="00FE5AAC"/>
    <w:rsid w:val="00FE6D4F"/>
    <w:rsid w:val="00FE79AE"/>
    <w:rsid w:val="00FE7A28"/>
    <w:rsid w:val="00FF3472"/>
    <w:rsid w:val="00FF6E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3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2C"/>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554A"/>
    <w:pPr>
      <w:ind w:left="720"/>
      <w:contextualSpacing/>
    </w:pPr>
  </w:style>
  <w:style w:type="paragraph" w:styleId="BalloonText">
    <w:name w:val="Balloon Text"/>
    <w:basedOn w:val="Normal"/>
    <w:link w:val="BalloonTextChar"/>
    <w:uiPriority w:val="99"/>
    <w:semiHidden/>
    <w:unhideWhenUsed/>
    <w:rsid w:val="0026561C"/>
    <w:rPr>
      <w:rFonts w:ascii="Tahoma" w:hAnsi="Tahoma" w:cs="Tahoma"/>
      <w:sz w:val="16"/>
      <w:szCs w:val="16"/>
    </w:rPr>
  </w:style>
  <w:style w:type="character" w:customStyle="1" w:styleId="BalloonTextChar">
    <w:name w:val="Balloon Text Char"/>
    <w:basedOn w:val="DefaultParagraphFont"/>
    <w:link w:val="BalloonText"/>
    <w:uiPriority w:val="99"/>
    <w:semiHidden/>
    <w:rsid w:val="0026561C"/>
    <w:rPr>
      <w:rFonts w:ascii="Tahoma" w:eastAsia="Calibri" w:hAnsi="Tahoma" w:cs="Tahoma"/>
      <w:sz w:val="16"/>
      <w:szCs w:val="16"/>
    </w:rPr>
  </w:style>
  <w:style w:type="paragraph" w:styleId="Header">
    <w:name w:val="header"/>
    <w:basedOn w:val="Normal"/>
    <w:link w:val="HeaderChar"/>
    <w:uiPriority w:val="99"/>
    <w:unhideWhenUsed/>
    <w:rsid w:val="003E6C9D"/>
    <w:pPr>
      <w:tabs>
        <w:tab w:val="center" w:pos="4513"/>
        <w:tab w:val="right" w:pos="9026"/>
      </w:tabs>
    </w:pPr>
  </w:style>
  <w:style w:type="character" w:customStyle="1" w:styleId="HeaderChar">
    <w:name w:val="Header Char"/>
    <w:basedOn w:val="DefaultParagraphFont"/>
    <w:link w:val="Header"/>
    <w:uiPriority w:val="99"/>
    <w:rsid w:val="003E6C9D"/>
    <w:rPr>
      <w:rFonts w:ascii="Calibri" w:eastAsia="Calibri" w:hAnsi="Calibri" w:cs="Times New Roman"/>
    </w:rPr>
  </w:style>
  <w:style w:type="paragraph" w:styleId="Footer">
    <w:name w:val="footer"/>
    <w:basedOn w:val="Normal"/>
    <w:link w:val="FooterChar"/>
    <w:uiPriority w:val="99"/>
    <w:unhideWhenUsed/>
    <w:rsid w:val="003E6C9D"/>
    <w:pPr>
      <w:tabs>
        <w:tab w:val="center" w:pos="4513"/>
        <w:tab w:val="right" w:pos="9026"/>
      </w:tabs>
    </w:pPr>
  </w:style>
  <w:style w:type="character" w:customStyle="1" w:styleId="FooterChar">
    <w:name w:val="Footer Char"/>
    <w:basedOn w:val="DefaultParagraphFont"/>
    <w:link w:val="Footer"/>
    <w:uiPriority w:val="99"/>
    <w:rsid w:val="003E6C9D"/>
    <w:rPr>
      <w:rFonts w:ascii="Calibri" w:eastAsia="Calibri" w:hAnsi="Calibri" w:cs="Times New Roman"/>
    </w:rPr>
  </w:style>
  <w:style w:type="paragraph" w:styleId="ListParagraph">
    <w:name w:val="List Paragraph"/>
    <w:basedOn w:val="Normal"/>
    <w:uiPriority w:val="34"/>
    <w:qFormat/>
    <w:rsid w:val="003E6C9D"/>
    <w:pPr>
      <w:ind w:left="720"/>
      <w:contextualSpacing/>
    </w:pPr>
  </w:style>
  <w:style w:type="table" w:styleId="LightList">
    <w:name w:val="Light List"/>
    <w:basedOn w:val="TableNormal"/>
    <w:uiPriority w:val="61"/>
    <w:rsid w:val="005A0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4D0A2C"/>
    <w:pPr>
      <w:autoSpaceDE w:val="0"/>
      <w:autoSpaceDN w:val="0"/>
      <w:adjustRightInd w:val="0"/>
      <w:spacing w:after="0" w:line="240" w:lineRule="auto"/>
      <w:ind w:left="425" w:hanging="425"/>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239E4"/>
    <w:rPr>
      <w:sz w:val="16"/>
      <w:szCs w:val="16"/>
    </w:rPr>
  </w:style>
  <w:style w:type="paragraph" w:styleId="CommentText">
    <w:name w:val="annotation text"/>
    <w:basedOn w:val="Normal"/>
    <w:link w:val="CommentTextChar"/>
    <w:uiPriority w:val="99"/>
    <w:semiHidden/>
    <w:unhideWhenUsed/>
    <w:rsid w:val="004D0A2C"/>
    <w:pPr>
      <w:spacing w:after="200"/>
      <w:ind w:left="0" w:firstLine="0"/>
    </w:pPr>
    <w:rPr>
      <w:sz w:val="20"/>
      <w:szCs w:val="20"/>
    </w:rPr>
  </w:style>
  <w:style w:type="character" w:customStyle="1" w:styleId="CommentTextChar">
    <w:name w:val="Comment Text Char"/>
    <w:basedOn w:val="DefaultParagraphFont"/>
    <w:link w:val="CommentText"/>
    <w:uiPriority w:val="99"/>
    <w:semiHidden/>
    <w:rsid w:val="003239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9E4"/>
    <w:rPr>
      <w:b/>
      <w:bCs/>
    </w:rPr>
  </w:style>
  <w:style w:type="character" w:customStyle="1" w:styleId="CommentSubjectChar">
    <w:name w:val="Comment Subject Char"/>
    <w:basedOn w:val="CommentTextChar"/>
    <w:link w:val="CommentSubject"/>
    <w:uiPriority w:val="99"/>
    <w:semiHidden/>
    <w:rsid w:val="003239E4"/>
    <w:rPr>
      <w:rFonts w:ascii="Calibri" w:eastAsia="Calibri" w:hAnsi="Calibri" w:cs="Times New Roman"/>
      <w:b/>
      <w:bCs/>
      <w:sz w:val="20"/>
      <w:szCs w:val="20"/>
    </w:rPr>
  </w:style>
  <w:style w:type="character" w:styleId="Strong">
    <w:name w:val="Strong"/>
    <w:basedOn w:val="DefaultParagraphFont"/>
    <w:uiPriority w:val="22"/>
    <w:qFormat/>
    <w:rsid w:val="00FE6D4F"/>
    <w:rPr>
      <w:rFonts w:ascii="proxima_nova_ltsemibold" w:hAnsi="proxima_nova_ltsemibold" w:hint="default"/>
      <w:b w:val="0"/>
      <w:bCs w:val="0"/>
    </w:rPr>
  </w:style>
  <w:style w:type="paragraph" w:styleId="NormalWeb">
    <w:name w:val="Normal (Web)"/>
    <w:basedOn w:val="Normal"/>
    <w:uiPriority w:val="99"/>
    <w:unhideWhenUsed/>
    <w:rsid w:val="0032076C"/>
    <w:pPr>
      <w:spacing w:before="100" w:beforeAutospacing="1" w:after="100" w:afterAutospacing="1"/>
    </w:pPr>
    <w:rPr>
      <w:rFonts w:ascii="Times" w:eastAsiaTheme="minorHAnsi" w:hAnsi="Times"/>
      <w:sz w:val="20"/>
      <w:szCs w:val="20"/>
      <w:lang w:val="en-US"/>
    </w:rPr>
  </w:style>
  <w:style w:type="paragraph" w:customStyle="1" w:styleId="xmsonormal">
    <w:name w:val="x_msonormal"/>
    <w:basedOn w:val="Normal"/>
    <w:rsid w:val="00111E4E"/>
    <w:pPr>
      <w:spacing w:before="100" w:beforeAutospacing="1" w:after="100" w:afterAutospacing="1"/>
    </w:pPr>
    <w:rPr>
      <w:rFonts w:ascii="Times" w:eastAsiaTheme="minorHAnsi" w:hAnsi="Times" w:cstheme="minorBidi"/>
      <w:sz w:val="20"/>
      <w:szCs w:val="20"/>
      <w:lang w:val="en-US"/>
    </w:rPr>
  </w:style>
  <w:style w:type="character" w:customStyle="1" w:styleId="apple-converted-space">
    <w:name w:val="apple-converted-space"/>
    <w:basedOn w:val="DefaultParagraphFont"/>
    <w:rsid w:val="00111E4E"/>
  </w:style>
  <w:style w:type="character" w:styleId="Hyperlink">
    <w:name w:val="Hyperlink"/>
    <w:basedOn w:val="DefaultParagraphFont"/>
    <w:uiPriority w:val="99"/>
    <w:unhideWhenUsed/>
    <w:rsid w:val="009955E1"/>
    <w:rPr>
      <w:color w:val="0000FF" w:themeColor="hyperlink"/>
      <w:u w:val="single"/>
    </w:rPr>
  </w:style>
  <w:style w:type="paragraph" w:styleId="DocumentMap">
    <w:name w:val="Document Map"/>
    <w:basedOn w:val="Normal"/>
    <w:link w:val="DocumentMapChar"/>
    <w:uiPriority w:val="99"/>
    <w:semiHidden/>
    <w:unhideWhenUsed/>
    <w:rsid w:val="00056DC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56DC4"/>
    <w:rPr>
      <w:rFonts w:ascii="Lucida Grande" w:eastAsia="Calibri" w:hAnsi="Lucida Grande" w:cs="Lucida Grande"/>
      <w:sz w:val="24"/>
      <w:szCs w:val="24"/>
    </w:rPr>
  </w:style>
  <w:style w:type="paragraph" w:styleId="Revision">
    <w:name w:val="Revision"/>
    <w:hidden/>
    <w:uiPriority w:val="99"/>
    <w:semiHidden/>
    <w:rsid w:val="004D0A2C"/>
    <w:pPr>
      <w:spacing w:after="0" w:line="240" w:lineRule="auto"/>
      <w:ind w:left="425" w:hanging="425"/>
    </w:pPr>
    <w:rPr>
      <w:rFonts w:ascii="Calibri" w:eastAsia="Calibri" w:hAnsi="Calibri" w:cs="Times New Roman"/>
    </w:rPr>
  </w:style>
  <w:style w:type="character" w:styleId="FollowedHyperlink">
    <w:name w:val="FollowedHyperlink"/>
    <w:basedOn w:val="DefaultParagraphFont"/>
    <w:uiPriority w:val="99"/>
    <w:semiHidden/>
    <w:unhideWhenUsed/>
    <w:rsid w:val="001F61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2C"/>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554A"/>
    <w:pPr>
      <w:ind w:left="720"/>
      <w:contextualSpacing/>
    </w:pPr>
  </w:style>
  <w:style w:type="paragraph" w:styleId="BalloonText">
    <w:name w:val="Balloon Text"/>
    <w:basedOn w:val="Normal"/>
    <w:link w:val="BalloonTextChar"/>
    <w:uiPriority w:val="99"/>
    <w:semiHidden/>
    <w:unhideWhenUsed/>
    <w:rsid w:val="0026561C"/>
    <w:rPr>
      <w:rFonts w:ascii="Tahoma" w:hAnsi="Tahoma" w:cs="Tahoma"/>
      <w:sz w:val="16"/>
      <w:szCs w:val="16"/>
    </w:rPr>
  </w:style>
  <w:style w:type="character" w:customStyle="1" w:styleId="BalloonTextChar">
    <w:name w:val="Balloon Text Char"/>
    <w:basedOn w:val="DefaultParagraphFont"/>
    <w:link w:val="BalloonText"/>
    <w:uiPriority w:val="99"/>
    <w:semiHidden/>
    <w:rsid w:val="0026561C"/>
    <w:rPr>
      <w:rFonts w:ascii="Tahoma" w:eastAsia="Calibri" w:hAnsi="Tahoma" w:cs="Tahoma"/>
      <w:sz w:val="16"/>
      <w:szCs w:val="16"/>
    </w:rPr>
  </w:style>
  <w:style w:type="paragraph" w:styleId="Header">
    <w:name w:val="header"/>
    <w:basedOn w:val="Normal"/>
    <w:link w:val="HeaderChar"/>
    <w:uiPriority w:val="99"/>
    <w:unhideWhenUsed/>
    <w:rsid w:val="003E6C9D"/>
    <w:pPr>
      <w:tabs>
        <w:tab w:val="center" w:pos="4513"/>
        <w:tab w:val="right" w:pos="9026"/>
      </w:tabs>
    </w:pPr>
  </w:style>
  <w:style w:type="character" w:customStyle="1" w:styleId="HeaderChar">
    <w:name w:val="Header Char"/>
    <w:basedOn w:val="DefaultParagraphFont"/>
    <w:link w:val="Header"/>
    <w:uiPriority w:val="99"/>
    <w:rsid w:val="003E6C9D"/>
    <w:rPr>
      <w:rFonts w:ascii="Calibri" w:eastAsia="Calibri" w:hAnsi="Calibri" w:cs="Times New Roman"/>
    </w:rPr>
  </w:style>
  <w:style w:type="paragraph" w:styleId="Footer">
    <w:name w:val="footer"/>
    <w:basedOn w:val="Normal"/>
    <w:link w:val="FooterChar"/>
    <w:uiPriority w:val="99"/>
    <w:unhideWhenUsed/>
    <w:rsid w:val="003E6C9D"/>
    <w:pPr>
      <w:tabs>
        <w:tab w:val="center" w:pos="4513"/>
        <w:tab w:val="right" w:pos="9026"/>
      </w:tabs>
    </w:pPr>
  </w:style>
  <w:style w:type="character" w:customStyle="1" w:styleId="FooterChar">
    <w:name w:val="Footer Char"/>
    <w:basedOn w:val="DefaultParagraphFont"/>
    <w:link w:val="Footer"/>
    <w:uiPriority w:val="99"/>
    <w:rsid w:val="003E6C9D"/>
    <w:rPr>
      <w:rFonts w:ascii="Calibri" w:eastAsia="Calibri" w:hAnsi="Calibri" w:cs="Times New Roman"/>
    </w:rPr>
  </w:style>
  <w:style w:type="paragraph" w:styleId="ListParagraph">
    <w:name w:val="List Paragraph"/>
    <w:basedOn w:val="Normal"/>
    <w:uiPriority w:val="34"/>
    <w:qFormat/>
    <w:rsid w:val="003E6C9D"/>
    <w:pPr>
      <w:ind w:left="720"/>
      <w:contextualSpacing/>
    </w:pPr>
  </w:style>
  <w:style w:type="table" w:styleId="LightList">
    <w:name w:val="Light List"/>
    <w:basedOn w:val="TableNormal"/>
    <w:uiPriority w:val="61"/>
    <w:rsid w:val="005A0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4D0A2C"/>
    <w:pPr>
      <w:autoSpaceDE w:val="0"/>
      <w:autoSpaceDN w:val="0"/>
      <w:adjustRightInd w:val="0"/>
      <w:spacing w:after="0" w:line="240" w:lineRule="auto"/>
      <w:ind w:left="425" w:hanging="425"/>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239E4"/>
    <w:rPr>
      <w:sz w:val="16"/>
      <w:szCs w:val="16"/>
    </w:rPr>
  </w:style>
  <w:style w:type="paragraph" w:styleId="CommentText">
    <w:name w:val="annotation text"/>
    <w:basedOn w:val="Normal"/>
    <w:link w:val="CommentTextChar"/>
    <w:uiPriority w:val="99"/>
    <w:semiHidden/>
    <w:unhideWhenUsed/>
    <w:rsid w:val="004D0A2C"/>
    <w:pPr>
      <w:spacing w:after="200"/>
      <w:ind w:left="0" w:firstLine="0"/>
    </w:pPr>
    <w:rPr>
      <w:sz w:val="20"/>
      <w:szCs w:val="20"/>
    </w:rPr>
  </w:style>
  <w:style w:type="character" w:customStyle="1" w:styleId="CommentTextChar">
    <w:name w:val="Comment Text Char"/>
    <w:basedOn w:val="DefaultParagraphFont"/>
    <w:link w:val="CommentText"/>
    <w:uiPriority w:val="99"/>
    <w:semiHidden/>
    <w:rsid w:val="003239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9E4"/>
    <w:rPr>
      <w:b/>
      <w:bCs/>
    </w:rPr>
  </w:style>
  <w:style w:type="character" w:customStyle="1" w:styleId="CommentSubjectChar">
    <w:name w:val="Comment Subject Char"/>
    <w:basedOn w:val="CommentTextChar"/>
    <w:link w:val="CommentSubject"/>
    <w:uiPriority w:val="99"/>
    <w:semiHidden/>
    <w:rsid w:val="003239E4"/>
    <w:rPr>
      <w:rFonts w:ascii="Calibri" w:eastAsia="Calibri" w:hAnsi="Calibri" w:cs="Times New Roman"/>
      <w:b/>
      <w:bCs/>
      <w:sz w:val="20"/>
      <w:szCs w:val="20"/>
    </w:rPr>
  </w:style>
  <w:style w:type="character" w:styleId="Strong">
    <w:name w:val="Strong"/>
    <w:basedOn w:val="DefaultParagraphFont"/>
    <w:uiPriority w:val="22"/>
    <w:qFormat/>
    <w:rsid w:val="00FE6D4F"/>
    <w:rPr>
      <w:rFonts w:ascii="proxima_nova_ltsemibold" w:hAnsi="proxima_nova_ltsemibold" w:hint="default"/>
      <w:b w:val="0"/>
      <w:bCs w:val="0"/>
    </w:rPr>
  </w:style>
  <w:style w:type="paragraph" w:styleId="NormalWeb">
    <w:name w:val="Normal (Web)"/>
    <w:basedOn w:val="Normal"/>
    <w:uiPriority w:val="99"/>
    <w:unhideWhenUsed/>
    <w:rsid w:val="0032076C"/>
    <w:pPr>
      <w:spacing w:before="100" w:beforeAutospacing="1" w:after="100" w:afterAutospacing="1"/>
    </w:pPr>
    <w:rPr>
      <w:rFonts w:ascii="Times" w:eastAsiaTheme="minorHAnsi" w:hAnsi="Times"/>
      <w:sz w:val="20"/>
      <w:szCs w:val="20"/>
      <w:lang w:val="en-US"/>
    </w:rPr>
  </w:style>
  <w:style w:type="paragraph" w:customStyle="1" w:styleId="xmsonormal">
    <w:name w:val="x_msonormal"/>
    <w:basedOn w:val="Normal"/>
    <w:rsid w:val="00111E4E"/>
    <w:pPr>
      <w:spacing w:before="100" w:beforeAutospacing="1" w:after="100" w:afterAutospacing="1"/>
    </w:pPr>
    <w:rPr>
      <w:rFonts w:ascii="Times" w:eastAsiaTheme="minorHAnsi" w:hAnsi="Times" w:cstheme="minorBidi"/>
      <w:sz w:val="20"/>
      <w:szCs w:val="20"/>
      <w:lang w:val="en-US"/>
    </w:rPr>
  </w:style>
  <w:style w:type="character" w:customStyle="1" w:styleId="apple-converted-space">
    <w:name w:val="apple-converted-space"/>
    <w:basedOn w:val="DefaultParagraphFont"/>
    <w:rsid w:val="00111E4E"/>
  </w:style>
  <w:style w:type="character" w:styleId="Hyperlink">
    <w:name w:val="Hyperlink"/>
    <w:basedOn w:val="DefaultParagraphFont"/>
    <w:uiPriority w:val="99"/>
    <w:unhideWhenUsed/>
    <w:rsid w:val="009955E1"/>
    <w:rPr>
      <w:color w:val="0000FF" w:themeColor="hyperlink"/>
      <w:u w:val="single"/>
    </w:rPr>
  </w:style>
  <w:style w:type="paragraph" w:styleId="DocumentMap">
    <w:name w:val="Document Map"/>
    <w:basedOn w:val="Normal"/>
    <w:link w:val="DocumentMapChar"/>
    <w:uiPriority w:val="99"/>
    <w:semiHidden/>
    <w:unhideWhenUsed/>
    <w:rsid w:val="00056DC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56DC4"/>
    <w:rPr>
      <w:rFonts w:ascii="Lucida Grande" w:eastAsia="Calibri" w:hAnsi="Lucida Grande" w:cs="Lucida Grande"/>
      <w:sz w:val="24"/>
      <w:szCs w:val="24"/>
    </w:rPr>
  </w:style>
  <w:style w:type="paragraph" w:styleId="Revision">
    <w:name w:val="Revision"/>
    <w:hidden/>
    <w:uiPriority w:val="99"/>
    <w:semiHidden/>
    <w:rsid w:val="004D0A2C"/>
    <w:pPr>
      <w:spacing w:after="0" w:line="240" w:lineRule="auto"/>
      <w:ind w:left="425" w:hanging="425"/>
    </w:pPr>
    <w:rPr>
      <w:rFonts w:ascii="Calibri" w:eastAsia="Calibri" w:hAnsi="Calibri" w:cs="Times New Roman"/>
    </w:rPr>
  </w:style>
  <w:style w:type="character" w:styleId="FollowedHyperlink">
    <w:name w:val="FollowedHyperlink"/>
    <w:basedOn w:val="DefaultParagraphFont"/>
    <w:uiPriority w:val="99"/>
    <w:semiHidden/>
    <w:unhideWhenUsed/>
    <w:rsid w:val="001F6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681">
      <w:bodyDiv w:val="1"/>
      <w:marLeft w:val="0"/>
      <w:marRight w:val="0"/>
      <w:marTop w:val="0"/>
      <w:marBottom w:val="0"/>
      <w:divBdr>
        <w:top w:val="none" w:sz="0" w:space="0" w:color="auto"/>
        <w:left w:val="none" w:sz="0" w:space="0" w:color="auto"/>
        <w:bottom w:val="none" w:sz="0" w:space="0" w:color="auto"/>
        <w:right w:val="none" w:sz="0" w:space="0" w:color="auto"/>
      </w:divBdr>
    </w:div>
    <w:div w:id="106584432">
      <w:bodyDiv w:val="1"/>
      <w:marLeft w:val="0"/>
      <w:marRight w:val="0"/>
      <w:marTop w:val="0"/>
      <w:marBottom w:val="0"/>
      <w:divBdr>
        <w:top w:val="none" w:sz="0" w:space="0" w:color="auto"/>
        <w:left w:val="none" w:sz="0" w:space="0" w:color="auto"/>
        <w:bottom w:val="none" w:sz="0" w:space="0" w:color="auto"/>
        <w:right w:val="none" w:sz="0" w:space="0" w:color="auto"/>
      </w:divBdr>
    </w:div>
    <w:div w:id="128405571">
      <w:bodyDiv w:val="1"/>
      <w:marLeft w:val="0"/>
      <w:marRight w:val="0"/>
      <w:marTop w:val="0"/>
      <w:marBottom w:val="0"/>
      <w:divBdr>
        <w:top w:val="none" w:sz="0" w:space="0" w:color="auto"/>
        <w:left w:val="none" w:sz="0" w:space="0" w:color="auto"/>
        <w:bottom w:val="none" w:sz="0" w:space="0" w:color="auto"/>
        <w:right w:val="none" w:sz="0" w:space="0" w:color="auto"/>
      </w:divBdr>
      <w:divsChild>
        <w:div w:id="1301763238">
          <w:marLeft w:val="0"/>
          <w:marRight w:val="0"/>
          <w:marTop w:val="0"/>
          <w:marBottom w:val="0"/>
          <w:divBdr>
            <w:top w:val="none" w:sz="0" w:space="0" w:color="auto"/>
            <w:left w:val="none" w:sz="0" w:space="0" w:color="auto"/>
            <w:bottom w:val="none" w:sz="0" w:space="0" w:color="auto"/>
            <w:right w:val="none" w:sz="0" w:space="0" w:color="auto"/>
          </w:divBdr>
          <w:divsChild>
            <w:div w:id="1656032619">
              <w:marLeft w:val="0"/>
              <w:marRight w:val="0"/>
              <w:marTop w:val="0"/>
              <w:marBottom w:val="0"/>
              <w:divBdr>
                <w:top w:val="none" w:sz="0" w:space="0" w:color="auto"/>
                <w:left w:val="none" w:sz="0" w:space="0" w:color="auto"/>
                <w:bottom w:val="none" w:sz="0" w:space="0" w:color="auto"/>
                <w:right w:val="none" w:sz="0" w:space="0" w:color="auto"/>
              </w:divBdr>
              <w:divsChild>
                <w:div w:id="13994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0421">
      <w:bodyDiv w:val="1"/>
      <w:marLeft w:val="0"/>
      <w:marRight w:val="0"/>
      <w:marTop w:val="0"/>
      <w:marBottom w:val="0"/>
      <w:divBdr>
        <w:top w:val="none" w:sz="0" w:space="0" w:color="auto"/>
        <w:left w:val="none" w:sz="0" w:space="0" w:color="auto"/>
        <w:bottom w:val="none" w:sz="0" w:space="0" w:color="auto"/>
        <w:right w:val="none" w:sz="0" w:space="0" w:color="auto"/>
      </w:divBdr>
    </w:div>
    <w:div w:id="646856270">
      <w:bodyDiv w:val="1"/>
      <w:marLeft w:val="0"/>
      <w:marRight w:val="0"/>
      <w:marTop w:val="0"/>
      <w:marBottom w:val="0"/>
      <w:divBdr>
        <w:top w:val="none" w:sz="0" w:space="0" w:color="auto"/>
        <w:left w:val="none" w:sz="0" w:space="0" w:color="auto"/>
        <w:bottom w:val="none" w:sz="0" w:space="0" w:color="auto"/>
        <w:right w:val="none" w:sz="0" w:space="0" w:color="auto"/>
      </w:divBdr>
    </w:div>
    <w:div w:id="647827299">
      <w:bodyDiv w:val="1"/>
      <w:marLeft w:val="0"/>
      <w:marRight w:val="0"/>
      <w:marTop w:val="0"/>
      <w:marBottom w:val="0"/>
      <w:divBdr>
        <w:top w:val="none" w:sz="0" w:space="0" w:color="auto"/>
        <w:left w:val="none" w:sz="0" w:space="0" w:color="auto"/>
        <w:bottom w:val="none" w:sz="0" w:space="0" w:color="auto"/>
        <w:right w:val="none" w:sz="0" w:space="0" w:color="auto"/>
      </w:divBdr>
    </w:div>
    <w:div w:id="1225414656">
      <w:bodyDiv w:val="1"/>
      <w:marLeft w:val="0"/>
      <w:marRight w:val="0"/>
      <w:marTop w:val="0"/>
      <w:marBottom w:val="0"/>
      <w:divBdr>
        <w:top w:val="none" w:sz="0" w:space="0" w:color="auto"/>
        <w:left w:val="none" w:sz="0" w:space="0" w:color="auto"/>
        <w:bottom w:val="none" w:sz="0" w:space="0" w:color="auto"/>
        <w:right w:val="none" w:sz="0" w:space="0" w:color="auto"/>
      </w:divBdr>
    </w:div>
    <w:div w:id="1362242588">
      <w:bodyDiv w:val="1"/>
      <w:marLeft w:val="0"/>
      <w:marRight w:val="0"/>
      <w:marTop w:val="0"/>
      <w:marBottom w:val="0"/>
      <w:divBdr>
        <w:top w:val="none" w:sz="0" w:space="0" w:color="auto"/>
        <w:left w:val="none" w:sz="0" w:space="0" w:color="auto"/>
        <w:bottom w:val="none" w:sz="0" w:space="0" w:color="auto"/>
        <w:right w:val="none" w:sz="0" w:space="0" w:color="auto"/>
      </w:divBdr>
      <w:divsChild>
        <w:div w:id="1096250862">
          <w:marLeft w:val="0"/>
          <w:marRight w:val="0"/>
          <w:marTop w:val="0"/>
          <w:marBottom w:val="0"/>
          <w:divBdr>
            <w:top w:val="none" w:sz="0" w:space="0" w:color="auto"/>
            <w:left w:val="none" w:sz="0" w:space="0" w:color="auto"/>
            <w:bottom w:val="none" w:sz="0" w:space="0" w:color="auto"/>
            <w:right w:val="none" w:sz="0" w:space="0" w:color="auto"/>
          </w:divBdr>
          <w:divsChild>
            <w:div w:id="2140032968">
              <w:marLeft w:val="0"/>
              <w:marRight w:val="0"/>
              <w:marTop w:val="0"/>
              <w:marBottom w:val="0"/>
              <w:divBdr>
                <w:top w:val="none" w:sz="0" w:space="0" w:color="auto"/>
                <w:left w:val="none" w:sz="0" w:space="0" w:color="auto"/>
                <w:bottom w:val="none" w:sz="0" w:space="0" w:color="auto"/>
                <w:right w:val="none" w:sz="0" w:space="0" w:color="auto"/>
              </w:divBdr>
              <w:divsChild>
                <w:div w:id="1539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21215">
      <w:bodyDiv w:val="1"/>
      <w:marLeft w:val="0"/>
      <w:marRight w:val="0"/>
      <w:marTop w:val="0"/>
      <w:marBottom w:val="0"/>
      <w:divBdr>
        <w:top w:val="none" w:sz="0" w:space="0" w:color="auto"/>
        <w:left w:val="none" w:sz="0" w:space="0" w:color="auto"/>
        <w:bottom w:val="none" w:sz="0" w:space="0" w:color="auto"/>
        <w:right w:val="none" w:sz="0" w:space="0" w:color="auto"/>
      </w:divBdr>
    </w:div>
    <w:div w:id="1709182435">
      <w:bodyDiv w:val="1"/>
      <w:marLeft w:val="0"/>
      <w:marRight w:val="0"/>
      <w:marTop w:val="0"/>
      <w:marBottom w:val="0"/>
      <w:divBdr>
        <w:top w:val="none" w:sz="0" w:space="0" w:color="auto"/>
        <w:left w:val="none" w:sz="0" w:space="0" w:color="auto"/>
        <w:bottom w:val="none" w:sz="0" w:space="0" w:color="auto"/>
        <w:right w:val="none" w:sz="0" w:space="0" w:color="auto"/>
      </w:divBdr>
      <w:divsChild>
        <w:div w:id="1638222329">
          <w:marLeft w:val="0"/>
          <w:marRight w:val="0"/>
          <w:marTop w:val="0"/>
          <w:marBottom w:val="0"/>
          <w:divBdr>
            <w:top w:val="none" w:sz="0" w:space="0" w:color="auto"/>
            <w:left w:val="none" w:sz="0" w:space="0" w:color="auto"/>
            <w:bottom w:val="none" w:sz="0" w:space="0" w:color="auto"/>
            <w:right w:val="none" w:sz="0" w:space="0" w:color="auto"/>
          </w:divBdr>
        </w:div>
      </w:divsChild>
    </w:div>
    <w:div w:id="1859615644">
      <w:bodyDiv w:val="1"/>
      <w:marLeft w:val="0"/>
      <w:marRight w:val="0"/>
      <w:marTop w:val="0"/>
      <w:marBottom w:val="0"/>
      <w:divBdr>
        <w:top w:val="none" w:sz="0" w:space="0" w:color="auto"/>
        <w:left w:val="none" w:sz="0" w:space="0" w:color="auto"/>
        <w:bottom w:val="none" w:sz="0" w:space="0" w:color="auto"/>
        <w:right w:val="none" w:sz="0" w:space="0" w:color="auto"/>
      </w:divBdr>
      <w:divsChild>
        <w:div w:id="1378319362">
          <w:marLeft w:val="0"/>
          <w:marRight w:val="0"/>
          <w:marTop w:val="0"/>
          <w:marBottom w:val="0"/>
          <w:divBdr>
            <w:top w:val="none" w:sz="0" w:space="0" w:color="auto"/>
            <w:left w:val="none" w:sz="0" w:space="0" w:color="auto"/>
            <w:bottom w:val="none" w:sz="0" w:space="0" w:color="auto"/>
            <w:right w:val="none" w:sz="0" w:space="0" w:color="auto"/>
          </w:divBdr>
        </w:div>
      </w:divsChild>
    </w:div>
    <w:div w:id="1866825082">
      <w:bodyDiv w:val="1"/>
      <w:marLeft w:val="0"/>
      <w:marRight w:val="0"/>
      <w:marTop w:val="0"/>
      <w:marBottom w:val="0"/>
      <w:divBdr>
        <w:top w:val="none" w:sz="0" w:space="0" w:color="auto"/>
        <w:left w:val="none" w:sz="0" w:space="0" w:color="auto"/>
        <w:bottom w:val="none" w:sz="0" w:space="0" w:color="auto"/>
        <w:right w:val="none" w:sz="0" w:space="0" w:color="auto"/>
      </w:divBdr>
      <w:divsChild>
        <w:div w:id="1043941662">
          <w:marLeft w:val="0"/>
          <w:marRight w:val="0"/>
          <w:marTop w:val="0"/>
          <w:marBottom w:val="0"/>
          <w:divBdr>
            <w:top w:val="none" w:sz="0" w:space="0" w:color="auto"/>
            <w:left w:val="none" w:sz="0" w:space="0" w:color="auto"/>
            <w:bottom w:val="none" w:sz="0" w:space="0" w:color="auto"/>
            <w:right w:val="none" w:sz="0" w:space="0" w:color="auto"/>
          </w:divBdr>
        </w:div>
        <w:div w:id="370879427">
          <w:marLeft w:val="0"/>
          <w:marRight w:val="0"/>
          <w:marTop w:val="0"/>
          <w:marBottom w:val="0"/>
          <w:divBdr>
            <w:top w:val="none" w:sz="0" w:space="0" w:color="auto"/>
            <w:left w:val="none" w:sz="0" w:space="0" w:color="auto"/>
            <w:bottom w:val="none" w:sz="0" w:space="0" w:color="auto"/>
            <w:right w:val="none" w:sz="0" w:space="0" w:color="auto"/>
          </w:divBdr>
        </w:div>
        <w:div w:id="2140299425">
          <w:marLeft w:val="0"/>
          <w:marRight w:val="0"/>
          <w:marTop w:val="0"/>
          <w:marBottom w:val="0"/>
          <w:divBdr>
            <w:top w:val="none" w:sz="0" w:space="0" w:color="auto"/>
            <w:left w:val="none" w:sz="0" w:space="0" w:color="auto"/>
            <w:bottom w:val="none" w:sz="0" w:space="0" w:color="auto"/>
            <w:right w:val="none" w:sz="0" w:space="0" w:color="auto"/>
          </w:divBdr>
        </w:div>
        <w:div w:id="596136035">
          <w:marLeft w:val="0"/>
          <w:marRight w:val="0"/>
          <w:marTop w:val="0"/>
          <w:marBottom w:val="0"/>
          <w:divBdr>
            <w:top w:val="none" w:sz="0" w:space="0" w:color="auto"/>
            <w:left w:val="none" w:sz="0" w:space="0" w:color="auto"/>
            <w:bottom w:val="none" w:sz="0" w:space="0" w:color="auto"/>
            <w:right w:val="none" w:sz="0" w:space="0" w:color="auto"/>
          </w:divBdr>
        </w:div>
        <w:div w:id="1955214156">
          <w:marLeft w:val="720"/>
          <w:marRight w:val="0"/>
          <w:marTop w:val="280"/>
          <w:marBottom w:val="0"/>
          <w:divBdr>
            <w:top w:val="none" w:sz="0" w:space="0" w:color="auto"/>
            <w:left w:val="none" w:sz="0" w:space="0" w:color="auto"/>
            <w:bottom w:val="none" w:sz="0" w:space="0" w:color="auto"/>
            <w:right w:val="none" w:sz="0" w:space="0" w:color="auto"/>
          </w:divBdr>
        </w:div>
        <w:div w:id="2105608074">
          <w:marLeft w:val="720"/>
          <w:marRight w:val="0"/>
          <w:marTop w:val="280"/>
          <w:marBottom w:val="0"/>
          <w:divBdr>
            <w:top w:val="none" w:sz="0" w:space="0" w:color="auto"/>
            <w:left w:val="none" w:sz="0" w:space="0" w:color="auto"/>
            <w:bottom w:val="none" w:sz="0" w:space="0" w:color="auto"/>
            <w:right w:val="none" w:sz="0" w:space="0" w:color="auto"/>
          </w:divBdr>
        </w:div>
        <w:div w:id="1021974259">
          <w:marLeft w:val="720"/>
          <w:marRight w:val="0"/>
          <w:marTop w:val="280"/>
          <w:marBottom w:val="0"/>
          <w:divBdr>
            <w:top w:val="none" w:sz="0" w:space="0" w:color="auto"/>
            <w:left w:val="none" w:sz="0" w:space="0" w:color="auto"/>
            <w:bottom w:val="none" w:sz="0" w:space="0" w:color="auto"/>
            <w:right w:val="none" w:sz="0" w:space="0" w:color="auto"/>
          </w:divBdr>
        </w:div>
      </w:divsChild>
    </w:div>
    <w:div w:id="1875382507">
      <w:bodyDiv w:val="1"/>
      <w:marLeft w:val="0"/>
      <w:marRight w:val="0"/>
      <w:marTop w:val="0"/>
      <w:marBottom w:val="0"/>
      <w:divBdr>
        <w:top w:val="none" w:sz="0" w:space="0" w:color="auto"/>
        <w:left w:val="none" w:sz="0" w:space="0" w:color="auto"/>
        <w:bottom w:val="none" w:sz="0" w:space="0" w:color="auto"/>
        <w:right w:val="none" w:sz="0" w:space="0" w:color="auto"/>
      </w:divBdr>
    </w:div>
    <w:div w:id="2079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amsar.org/fr/ressources/reconnaitre-et-evaluer-les-menaces-pour-le-site" TargetMode="External"/><Relationship Id="rId4" Type="http://schemas.microsoft.com/office/2007/relationships/stylesWithEffects" Target="stylesWithEffects.xml"/><Relationship Id="rId9" Type="http://schemas.openxmlformats.org/officeDocument/2006/relationships/hyperlink" Target="https://www.ramsar.org/fr/ressources/outils-de-gestion-des-sites-rams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7432-3801-4779-B2C8-334F8D02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3326</Words>
  <Characters>18961</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Ramsar\BonellsM</dc:creator>
  <cp:lastModifiedBy>Ramsar\JenningsE</cp:lastModifiedBy>
  <cp:revision>3</cp:revision>
  <cp:lastPrinted>2017-02-20T10:15:00Z</cp:lastPrinted>
  <dcterms:created xsi:type="dcterms:W3CDTF">2018-01-30T14:13:00Z</dcterms:created>
  <dcterms:modified xsi:type="dcterms:W3CDTF">2018-02-23T18:54:00Z</dcterms:modified>
</cp:coreProperties>
</file>