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8B4CF" w14:textId="77777777" w:rsidR="00D3554A" w:rsidRPr="008B3841" w:rsidRDefault="0092247B" w:rsidP="00684AC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RAMSAR </w:t>
      </w:r>
      <w:r w:rsidR="00D3554A" w:rsidRPr="008B3841">
        <w:rPr>
          <w:bCs/>
          <w:sz w:val="24"/>
          <w:szCs w:val="24"/>
        </w:rPr>
        <w:t xml:space="preserve">CONVENTION ON WETLANDS </w:t>
      </w:r>
    </w:p>
    <w:p w14:paraId="3CFD1C13" w14:textId="77777777" w:rsidR="00D3554A" w:rsidRPr="008B3841" w:rsidRDefault="00D3554A" w:rsidP="00684ACE">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8B3841">
        <w:rPr>
          <w:bCs/>
          <w:sz w:val="24"/>
          <w:szCs w:val="24"/>
        </w:rPr>
        <w:t>5</w:t>
      </w:r>
      <w:r w:rsidR="00361D1A" w:rsidRPr="008B3841">
        <w:rPr>
          <w:bCs/>
          <w:sz w:val="24"/>
          <w:szCs w:val="24"/>
        </w:rPr>
        <w:t>4</w:t>
      </w:r>
      <w:r w:rsidR="00361D1A" w:rsidRPr="0098291C">
        <w:rPr>
          <w:sz w:val="24"/>
        </w:rPr>
        <w:t>th</w:t>
      </w:r>
      <w:r w:rsidRPr="008B3841">
        <w:rPr>
          <w:bCs/>
          <w:sz w:val="24"/>
          <w:szCs w:val="24"/>
        </w:rPr>
        <w:t xml:space="preserve"> Meeting of the Standing Committee</w:t>
      </w:r>
    </w:p>
    <w:p w14:paraId="552AEB8E" w14:textId="77777777" w:rsidR="00D3554A" w:rsidRPr="008B3841" w:rsidRDefault="00D3554A" w:rsidP="00425317">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sidRPr="008B3841">
        <w:rPr>
          <w:bCs/>
          <w:sz w:val="24"/>
          <w:szCs w:val="24"/>
        </w:rPr>
        <w:t>Gland, S</w:t>
      </w:r>
      <w:r w:rsidR="00361D1A" w:rsidRPr="008B3841">
        <w:rPr>
          <w:bCs/>
          <w:sz w:val="24"/>
          <w:szCs w:val="24"/>
        </w:rPr>
        <w:t xml:space="preserve">witzerland, </w:t>
      </w:r>
      <w:r w:rsidR="004D03E9" w:rsidRPr="008B3841">
        <w:rPr>
          <w:bCs/>
          <w:sz w:val="24"/>
          <w:szCs w:val="24"/>
        </w:rPr>
        <w:t xml:space="preserve">23 – </w:t>
      </w:r>
      <w:r w:rsidR="00361D1A" w:rsidRPr="008B3841">
        <w:rPr>
          <w:bCs/>
          <w:sz w:val="24"/>
          <w:szCs w:val="24"/>
        </w:rPr>
        <w:t>27 April 2018</w:t>
      </w:r>
    </w:p>
    <w:p w14:paraId="6A9B7A94" w14:textId="77777777" w:rsidR="00D3554A" w:rsidRPr="008B3841" w:rsidRDefault="00D3554A" w:rsidP="00425317">
      <w:pPr>
        <w:outlineLvl w:val="0"/>
        <w:rPr>
          <w:b/>
        </w:rPr>
      </w:pPr>
    </w:p>
    <w:p w14:paraId="69BA715B" w14:textId="05EB9032" w:rsidR="00D3554A" w:rsidRPr="008B3841" w:rsidRDefault="00DF6A13" w:rsidP="00425317">
      <w:pPr>
        <w:jc w:val="right"/>
        <w:rPr>
          <w:rFonts w:cs="Arial"/>
          <w:sz w:val="28"/>
          <w:szCs w:val="28"/>
        </w:rPr>
      </w:pPr>
      <w:r>
        <w:rPr>
          <w:rFonts w:cs="Arial"/>
          <w:b/>
          <w:sz w:val="28"/>
          <w:szCs w:val="28"/>
        </w:rPr>
        <w:t xml:space="preserve">Doc. </w:t>
      </w:r>
      <w:r w:rsidR="001458BA" w:rsidRPr="008B3841">
        <w:rPr>
          <w:rFonts w:cs="Arial"/>
          <w:b/>
          <w:sz w:val="28"/>
          <w:szCs w:val="28"/>
        </w:rPr>
        <w:t>SC54</w:t>
      </w:r>
      <w:r w:rsidR="00D3554A" w:rsidRPr="008B3841">
        <w:rPr>
          <w:rFonts w:cs="Arial"/>
          <w:b/>
          <w:sz w:val="28"/>
          <w:szCs w:val="28"/>
        </w:rPr>
        <w:t>-</w:t>
      </w:r>
      <w:r w:rsidR="003C6FF2">
        <w:rPr>
          <w:rFonts w:cs="Arial"/>
          <w:b/>
          <w:sz w:val="28"/>
          <w:szCs w:val="28"/>
        </w:rPr>
        <w:t>22</w:t>
      </w:r>
      <w:r w:rsidR="003C6FF2" w:rsidRPr="008B3841">
        <w:rPr>
          <w:rFonts w:cs="Arial"/>
          <w:b/>
          <w:sz w:val="28"/>
          <w:szCs w:val="28"/>
        </w:rPr>
        <w:t xml:space="preserve"> </w:t>
      </w:r>
    </w:p>
    <w:p w14:paraId="309B97FC" w14:textId="77777777" w:rsidR="00D3554A" w:rsidRPr="008B3841" w:rsidRDefault="00D3554A" w:rsidP="00425317">
      <w:pPr>
        <w:rPr>
          <w:rFonts w:cs="Arial"/>
          <w:b/>
          <w:sz w:val="28"/>
          <w:szCs w:val="28"/>
        </w:rPr>
      </w:pPr>
    </w:p>
    <w:p w14:paraId="5C2275E9" w14:textId="77777777" w:rsidR="00617241" w:rsidRPr="008B3841" w:rsidRDefault="00D3554A" w:rsidP="00425317">
      <w:pPr>
        <w:jc w:val="center"/>
        <w:rPr>
          <w:rFonts w:asciiTheme="minorHAnsi" w:eastAsiaTheme="minorHAnsi" w:hAnsiTheme="minorHAnsi"/>
          <w:b/>
          <w:sz w:val="28"/>
          <w:szCs w:val="24"/>
        </w:rPr>
      </w:pPr>
      <w:r w:rsidRPr="008B3841">
        <w:rPr>
          <w:rFonts w:asciiTheme="minorHAnsi" w:eastAsiaTheme="minorHAnsi" w:hAnsiTheme="minorHAnsi"/>
          <w:b/>
          <w:sz w:val="28"/>
          <w:szCs w:val="24"/>
        </w:rPr>
        <w:t>Report of the Chair of the Scientific and Technical Review Panel (STRP)</w:t>
      </w:r>
    </w:p>
    <w:p w14:paraId="311263E8" w14:textId="77777777" w:rsidR="00D3554A" w:rsidRPr="008B3841" w:rsidRDefault="00C34061" w:rsidP="00425317">
      <w:pPr>
        <w:tabs>
          <w:tab w:val="left" w:pos="5325"/>
        </w:tabs>
        <w:rPr>
          <w:b/>
          <w:bCs/>
        </w:rPr>
      </w:pPr>
      <w:r w:rsidRPr="008B3841">
        <w:rPr>
          <w:b/>
          <w:bCs/>
        </w:rPr>
        <w:tab/>
      </w:r>
    </w:p>
    <w:p w14:paraId="298F8337" w14:textId="77777777" w:rsidR="003A256C" w:rsidRPr="008B3841" w:rsidRDefault="003A256C" w:rsidP="0098291C">
      <w:pPr>
        <w:pStyle w:val="ColorfulList-Accent11"/>
        <w:pBdr>
          <w:top w:val="single" w:sz="4" w:space="1" w:color="auto"/>
          <w:left w:val="single" w:sz="4" w:space="4" w:color="auto"/>
          <w:bottom w:val="single" w:sz="4" w:space="11" w:color="auto"/>
          <w:right w:val="single" w:sz="4" w:space="4" w:color="auto"/>
        </w:pBdr>
        <w:ind w:left="425"/>
        <w:rPr>
          <w:b/>
          <w:bCs/>
        </w:rPr>
      </w:pPr>
    </w:p>
    <w:p w14:paraId="01A996D9" w14:textId="77777777" w:rsidR="00A749CF" w:rsidRPr="008B3841" w:rsidRDefault="00A749CF" w:rsidP="0098291C">
      <w:pPr>
        <w:pStyle w:val="ColorfulList-Accent11"/>
        <w:pBdr>
          <w:top w:val="single" w:sz="4" w:space="1" w:color="auto"/>
          <w:left w:val="single" w:sz="4" w:space="4" w:color="auto"/>
          <w:bottom w:val="single" w:sz="4" w:space="11" w:color="auto"/>
          <w:right w:val="single" w:sz="4" w:space="4" w:color="auto"/>
        </w:pBdr>
        <w:ind w:left="425"/>
        <w:rPr>
          <w:b/>
          <w:bCs/>
        </w:rPr>
      </w:pPr>
      <w:r w:rsidRPr="008B3841">
        <w:rPr>
          <w:b/>
          <w:bCs/>
        </w:rPr>
        <w:t xml:space="preserve">Actions requested: </w:t>
      </w:r>
    </w:p>
    <w:p w14:paraId="620CA958" w14:textId="77777777" w:rsidR="003A256C" w:rsidRPr="008B3841" w:rsidRDefault="003A256C" w:rsidP="0098291C">
      <w:pPr>
        <w:pStyle w:val="ColorfulList-Accent11"/>
        <w:pBdr>
          <w:top w:val="single" w:sz="4" w:space="1" w:color="auto"/>
          <w:left w:val="single" w:sz="4" w:space="4" w:color="auto"/>
          <w:bottom w:val="single" w:sz="4" w:space="11" w:color="auto"/>
          <w:right w:val="single" w:sz="4" w:space="4" w:color="auto"/>
        </w:pBdr>
        <w:ind w:left="425"/>
      </w:pPr>
    </w:p>
    <w:p w14:paraId="1AC97CC0" w14:textId="77777777" w:rsidR="0026561C" w:rsidRPr="008B3841" w:rsidRDefault="0026561C" w:rsidP="0098291C">
      <w:pPr>
        <w:pStyle w:val="ColorfulList-Accent11"/>
        <w:pBdr>
          <w:top w:val="single" w:sz="4" w:space="1" w:color="auto"/>
          <w:left w:val="single" w:sz="4" w:space="4" w:color="auto"/>
          <w:bottom w:val="single" w:sz="4" w:space="11" w:color="auto"/>
          <w:right w:val="single" w:sz="4" w:space="4" w:color="auto"/>
        </w:pBdr>
        <w:ind w:left="425"/>
      </w:pPr>
      <w:r w:rsidRPr="008B3841">
        <w:t xml:space="preserve">The Standing Committee is invited to: </w:t>
      </w:r>
    </w:p>
    <w:p w14:paraId="3EC38048" w14:textId="77777777" w:rsidR="00536AB3" w:rsidRPr="008B3841" w:rsidRDefault="00536AB3" w:rsidP="0098291C">
      <w:pPr>
        <w:pStyle w:val="ColorfulList-Accent11"/>
        <w:pBdr>
          <w:top w:val="single" w:sz="4" w:space="1" w:color="auto"/>
          <w:left w:val="single" w:sz="4" w:space="4" w:color="auto"/>
          <w:bottom w:val="single" w:sz="4" w:space="11" w:color="auto"/>
          <w:right w:val="single" w:sz="4" w:space="4" w:color="auto"/>
        </w:pBdr>
        <w:ind w:left="425"/>
      </w:pPr>
    </w:p>
    <w:p w14:paraId="6D1D1C46" w14:textId="77777777" w:rsidR="0026561C" w:rsidRPr="008B3841" w:rsidRDefault="004D03E9" w:rsidP="0098291C">
      <w:pPr>
        <w:pStyle w:val="ColorfulList-Accent11"/>
        <w:numPr>
          <w:ilvl w:val="0"/>
          <w:numId w:val="2"/>
        </w:numPr>
        <w:pBdr>
          <w:top w:val="single" w:sz="4" w:space="1" w:color="auto"/>
          <w:left w:val="single" w:sz="4" w:space="4" w:color="auto"/>
          <w:bottom w:val="single" w:sz="4" w:space="11" w:color="auto"/>
          <w:right w:val="single" w:sz="4" w:space="4" w:color="auto"/>
        </w:pBdr>
        <w:ind w:left="425" w:hanging="425"/>
      </w:pPr>
      <w:r w:rsidRPr="008B3841">
        <w:t xml:space="preserve">take </w:t>
      </w:r>
      <w:r w:rsidR="00251F99" w:rsidRPr="008B3841">
        <w:t>note</w:t>
      </w:r>
      <w:r w:rsidRPr="008B3841">
        <w:t xml:space="preserve"> of</w:t>
      </w:r>
      <w:r w:rsidR="00251F99" w:rsidRPr="008B3841">
        <w:t xml:space="preserve"> the report of the </w:t>
      </w:r>
      <w:r w:rsidR="001A5672">
        <w:t xml:space="preserve">Chair of the </w:t>
      </w:r>
      <w:r w:rsidR="00251F99" w:rsidRPr="008B3841">
        <w:t xml:space="preserve">Scientific and Technical </w:t>
      </w:r>
      <w:r w:rsidR="0026561C" w:rsidRPr="008B3841">
        <w:t>R</w:t>
      </w:r>
      <w:r w:rsidR="00251F99" w:rsidRPr="008B3841">
        <w:t xml:space="preserve">eview </w:t>
      </w:r>
      <w:r w:rsidR="0026561C" w:rsidRPr="008B3841">
        <w:t>P</w:t>
      </w:r>
      <w:r w:rsidR="00251F99" w:rsidRPr="008B3841">
        <w:t>anel (STRP)</w:t>
      </w:r>
      <w:r w:rsidR="0026561C" w:rsidRPr="008B3841">
        <w:t>;</w:t>
      </w:r>
      <w:r w:rsidR="00A97C27">
        <w:t xml:space="preserve"> and</w:t>
      </w:r>
    </w:p>
    <w:p w14:paraId="10D2ACA2" w14:textId="77777777" w:rsidR="003A256C" w:rsidRPr="008B3841" w:rsidRDefault="003A256C" w:rsidP="0098291C">
      <w:pPr>
        <w:pStyle w:val="ColorfulList-Accent11"/>
        <w:pBdr>
          <w:top w:val="single" w:sz="4" w:space="1" w:color="auto"/>
          <w:left w:val="single" w:sz="4" w:space="4" w:color="auto"/>
          <w:bottom w:val="single" w:sz="4" w:space="11" w:color="auto"/>
          <w:right w:val="single" w:sz="4" w:space="4" w:color="auto"/>
        </w:pBdr>
        <w:ind w:left="425"/>
      </w:pPr>
    </w:p>
    <w:p w14:paraId="7D35786C" w14:textId="77777777" w:rsidR="005B2F75" w:rsidRPr="008B3841" w:rsidRDefault="00361D1A" w:rsidP="0098291C">
      <w:pPr>
        <w:pStyle w:val="ColorfulList-Accent11"/>
        <w:numPr>
          <w:ilvl w:val="0"/>
          <w:numId w:val="2"/>
        </w:numPr>
        <w:pBdr>
          <w:top w:val="single" w:sz="4" w:space="1" w:color="auto"/>
          <w:left w:val="single" w:sz="4" w:space="4" w:color="auto"/>
          <w:bottom w:val="single" w:sz="4" w:space="11" w:color="auto"/>
          <w:right w:val="single" w:sz="4" w:space="4" w:color="auto"/>
        </w:pBdr>
        <w:ind w:left="425" w:hanging="425"/>
        <w:rPr>
          <w:b/>
        </w:rPr>
      </w:pPr>
      <w:r w:rsidRPr="008B3841">
        <w:t xml:space="preserve">consider ways to encourage </w:t>
      </w:r>
      <w:r w:rsidR="00D35808" w:rsidRPr="008B3841">
        <w:t xml:space="preserve">Contracting Parties </w:t>
      </w:r>
      <w:r w:rsidRPr="008B3841">
        <w:t xml:space="preserve">to </w:t>
      </w:r>
      <w:r w:rsidR="00D52209" w:rsidRPr="008B3841">
        <w:t>support</w:t>
      </w:r>
      <w:r w:rsidR="001A5672">
        <w:t xml:space="preserve"> STRP National Focal Points</w:t>
      </w:r>
      <w:r w:rsidR="00A926A7">
        <w:t xml:space="preserve"> (NFPs)</w:t>
      </w:r>
      <w:r w:rsidR="00D52209" w:rsidRPr="008B3841">
        <w:t xml:space="preserve"> in </w:t>
      </w:r>
      <w:r w:rsidR="00D52209" w:rsidRPr="003A4773">
        <w:t>tangible</w:t>
      </w:r>
      <w:r w:rsidR="00D52209" w:rsidRPr="008B3841">
        <w:t xml:space="preserve"> ways</w:t>
      </w:r>
      <w:r w:rsidR="00D52209" w:rsidRPr="008B3841">
        <w:rPr>
          <w:rFonts w:cs="Calibri"/>
        </w:rPr>
        <w:t>.</w:t>
      </w:r>
      <w:r w:rsidR="00D52209" w:rsidRPr="008B3841">
        <w:rPr>
          <w:b/>
        </w:rPr>
        <w:t xml:space="preserve"> </w:t>
      </w:r>
    </w:p>
    <w:p w14:paraId="0759C292" w14:textId="77777777" w:rsidR="004D03E9" w:rsidRPr="008B3841" w:rsidRDefault="004D03E9" w:rsidP="00684ACE">
      <w:pPr>
        <w:rPr>
          <w:b/>
        </w:rPr>
      </w:pPr>
    </w:p>
    <w:p w14:paraId="198A0DEB" w14:textId="77777777" w:rsidR="0014728B" w:rsidRPr="008B3841" w:rsidRDefault="0014728B" w:rsidP="004D0A2C">
      <w:pPr>
        <w:rPr>
          <w:b/>
        </w:rPr>
      </w:pPr>
    </w:p>
    <w:p w14:paraId="6044B0A8" w14:textId="77777777" w:rsidR="003E6C9D" w:rsidRPr="008B3841" w:rsidRDefault="003E6C9D" w:rsidP="00684ACE">
      <w:pPr>
        <w:rPr>
          <w:b/>
        </w:rPr>
      </w:pPr>
      <w:r w:rsidRPr="008B3841">
        <w:rPr>
          <w:b/>
        </w:rPr>
        <w:t xml:space="preserve">Introduction </w:t>
      </w:r>
    </w:p>
    <w:p w14:paraId="463A1764" w14:textId="77777777" w:rsidR="005B2F75" w:rsidRPr="008B3841" w:rsidRDefault="005B2F75" w:rsidP="00425317">
      <w:pPr>
        <w:rPr>
          <w:b/>
        </w:rPr>
      </w:pPr>
    </w:p>
    <w:p w14:paraId="3DA0228E" w14:textId="77777777" w:rsidR="003E6C9D" w:rsidRPr="008B3841" w:rsidRDefault="0014728B" w:rsidP="0098291C">
      <w:r>
        <w:t>1.</w:t>
      </w:r>
      <w:r>
        <w:tab/>
      </w:r>
      <w:r w:rsidR="003E6C9D" w:rsidRPr="008B3841">
        <w:t xml:space="preserve">This report from the Chair of the </w:t>
      </w:r>
      <w:r w:rsidR="00C34061" w:rsidRPr="008B3841">
        <w:t>Scientific and Technical Review Panel (</w:t>
      </w:r>
      <w:r w:rsidR="003E6C9D" w:rsidRPr="008B3841">
        <w:t>STRP</w:t>
      </w:r>
      <w:r w:rsidR="00C34061" w:rsidRPr="008B3841">
        <w:t>)</w:t>
      </w:r>
      <w:r w:rsidR="003E6C9D" w:rsidRPr="008B3841">
        <w:t xml:space="preserve"> focuses </w:t>
      </w:r>
      <w:r w:rsidR="009F6C47" w:rsidRPr="008B3841">
        <w:t xml:space="preserve">on </w:t>
      </w:r>
      <w:r w:rsidR="001458BA" w:rsidRPr="008B3841">
        <w:t xml:space="preserve">progress on the </w:t>
      </w:r>
      <w:r w:rsidR="006D39A8" w:rsidRPr="008B3841">
        <w:t>STRP work plan</w:t>
      </w:r>
      <w:r w:rsidR="00617DDB" w:rsidRPr="008B3841">
        <w:t xml:space="preserve"> (2016-2018)</w:t>
      </w:r>
      <w:r w:rsidR="00B44FE5" w:rsidRPr="008B3841">
        <w:t xml:space="preserve"> </w:t>
      </w:r>
      <w:r w:rsidR="000D15CD" w:rsidRPr="008B3841">
        <w:t xml:space="preserve">and STRP activities </w:t>
      </w:r>
      <w:r w:rsidR="00B44FE5" w:rsidRPr="008B3841">
        <w:t>since the 53</w:t>
      </w:r>
      <w:r w:rsidR="00B44FE5" w:rsidRPr="001A5672">
        <w:t>rd</w:t>
      </w:r>
      <w:r w:rsidR="00B44FE5" w:rsidRPr="008B3841">
        <w:t xml:space="preserve"> meeting of the Standing Committee</w:t>
      </w:r>
      <w:r w:rsidR="003E6C9D" w:rsidRPr="008B3841">
        <w:t>.</w:t>
      </w:r>
    </w:p>
    <w:p w14:paraId="435A8983" w14:textId="77777777" w:rsidR="00DA6E71" w:rsidRPr="008B3841" w:rsidRDefault="00DA6E71" w:rsidP="00684ACE">
      <w:pPr>
        <w:pStyle w:val="ListParagraph"/>
        <w:ind w:left="360"/>
      </w:pPr>
    </w:p>
    <w:p w14:paraId="035A3DF6" w14:textId="77777777" w:rsidR="004B074A" w:rsidRPr="008B3841" w:rsidRDefault="00C34061" w:rsidP="00684ACE">
      <w:pPr>
        <w:rPr>
          <w:b/>
        </w:rPr>
      </w:pPr>
      <w:r w:rsidRPr="008B3841">
        <w:rPr>
          <w:b/>
        </w:rPr>
        <w:t>2</w:t>
      </w:r>
      <w:r w:rsidR="001458BA" w:rsidRPr="008B3841">
        <w:rPr>
          <w:b/>
        </w:rPr>
        <w:t>1</w:t>
      </w:r>
      <w:r w:rsidR="001A5672">
        <w:rPr>
          <w:b/>
        </w:rPr>
        <w:t>st</w:t>
      </w:r>
      <w:r w:rsidRPr="008B3841">
        <w:rPr>
          <w:b/>
        </w:rPr>
        <w:t xml:space="preserve"> Meeting of the </w:t>
      </w:r>
      <w:r w:rsidR="00CE678B" w:rsidRPr="008B3841">
        <w:rPr>
          <w:b/>
        </w:rPr>
        <w:t>STRP</w:t>
      </w:r>
      <w:r w:rsidRPr="008B3841">
        <w:rPr>
          <w:b/>
        </w:rPr>
        <w:t xml:space="preserve"> (STRP</w:t>
      </w:r>
      <w:r w:rsidR="001458BA" w:rsidRPr="008B3841">
        <w:rPr>
          <w:b/>
        </w:rPr>
        <w:t>21</w:t>
      </w:r>
      <w:r w:rsidRPr="008B3841">
        <w:rPr>
          <w:b/>
        </w:rPr>
        <w:t>)</w:t>
      </w:r>
    </w:p>
    <w:p w14:paraId="3807B1E7" w14:textId="77777777" w:rsidR="005B2F75" w:rsidRPr="008B3841" w:rsidRDefault="005B2F75" w:rsidP="00425317">
      <w:pPr>
        <w:rPr>
          <w:b/>
        </w:rPr>
      </w:pPr>
    </w:p>
    <w:p w14:paraId="1A40B2DA" w14:textId="7DC985F4" w:rsidR="009F6C47" w:rsidRPr="008B3841" w:rsidRDefault="0014728B" w:rsidP="0098291C">
      <w:r>
        <w:t>2.</w:t>
      </w:r>
      <w:r>
        <w:tab/>
      </w:r>
      <w:r w:rsidR="001458BA" w:rsidRPr="008B3841">
        <w:t>STRP21</w:t>
      </w:r>
      <w:r w:rsidR="009F6C47" w:rsidRPr="008B3841">
        <w:t xml:space="preserve"> was held </w:t>
      </w:r>
      <w:r w:rsidR="003A256C" w:rsidRPr="008B3841">
        <w:t xml:space="preserve">from </w:t>
      </w:r>
      <w:r w:rsidR="001458BA" w:rsidRPr="008B3841">
        <w:t>1</w:t>
      </w:r>
      <w:r w:rsidR="002E37C2">
        <w:t>5</w:t>
      </w:r>
      <w:r w:rsidR="00617DDB" w:rsidRPr="008B3841">
        <w:t xml:space="preserve"> to </w:t>
      </w:r>
      <w:r w:rsidR="001458BA" w:rsidRPr="008B3841">
        <w:t>19 January 2018</w:t>
      </w:r>
      <w:r w:rsidR="009F6C47" w:rsidRPr="008B3841">
        <w:t xml:space="preserve"> at the Ramsar Secretariat</w:t>
      </w:r>
      <w:r w:rsidR="00371C47" w:rsidRPr="008B3841">
        <w:t xml:space="preserve"> headquarters</w:t>
      </w:r>
      <w:r w:rsidR="009F6C47" w:rsidRPr="008B3841">
        <w:t xml:space="preserve">. </w:t>
      </w:r>
      <w:r w:rsidR="00213B9E">
        <w:t>16</w:t>
      </w:r>
      <w:r w:rsidR="009F6C47" w:rsidRPr="008B3841">
        <w:t xml:space="preserve"> </w:t>
      </w:r>
      <w:r w:rsidR="00A13607" w:rsidRPr="008B3841">
        <w:t xml:space="preserve">STRP </w:t>
      </w:r>
      <w:r w:rsidR="009F6C47" w:rsidRPr="008B3841">
        <w:t xml:space="preserve">members and </w:t>
      </w:r>
      <w:r w:rsidR="00213B9E">
        <w:t>20</w:t>
      </w:r>
      <w:r w:rsidR="009F6C47" w:rsidRPr="008B3841">
        <w:t xml:space="preserve"> observers </w:t>
      </w:r>
      <w:r w:rsidR="009F6C47" w:rsidRPr="006F5698">
        <w:t xml:space="preserve">attended. </w:t>
      </w:r>
      <w:r w:rsidR="007E0DC5" w:rsidRPr="006F5698">
        <w:t>Included in these figures we</w:t>
      </w:r>
      <w:r w:rsidR="00753A94" w:rsidRPr="006F5698">
        <w:t>re</w:t>
      </w:r>
      <w:r w:rsidR="002E37C2" w:rsidRPr="006F5698">
        <w:t xml:space="preserve"> </w:t>
      </w:r>
      <w:r w:rsidR="00213B9E" w:rsidRPr="006F5698">
        <w:t>1</w:t>
      </w:r>
      <w:r w:rsidR="00941744">
        <w:t>0</w:t>
      </w:r>
      <w:r w:rsidR="00753A94" w:rsidRPr="006F5698">
        <w:t xml:space="preserve"> </w:t>
      </w:r>
      <w:r w:rsidR="009F6C47" w:rsidRPr="006F5698">
        <w:t xml:space="preserve">STRP </w:t>
      </w:r>
      <w:r w:rsidR="00A926A7">
        <w:t xml:space="preserve">NFPs </w:t>
      </w:r>
      <w:r w:rsidR="00753A94" w:rsidRPr="006F5698">
        <w:t xml:space="preserve">from </w:t>
      </w:r>
      <w:r w:rsidR="00753A94" w:rsidRPr="0098291C">
        <w:t>Austria,</w:t>
      </w:r>
      <w:r w:rsidR="008B3F40" w:rsidRPr="0098291C">
        <w:t xml:space="preserve"> China, Croatia,</w:t>
      </w:r>
      <w:r w:rsidR="00753A94" w:rsidRPr="0098291C">
        <w:t xml:space="preserve"> </w:t>
      </w:r>
      <w:r w:rsidR="00213B9E" w:rsidRPr="006F5698">
        <w:t xml:space="preserve">Czech Republic, </w:t>
      </w:r>
      <w:r w:rsidR="00753A94" w:rsidRPr="0098291C">
        <w:t>Denmark, Finland</w:t>
      </w:r>
      <w:r w:rsidR="00273DEF" w:rsidRPr="0098291C">
        <w:t xml:space="preserve">, </w:t>
      </w:r>
      <w:r w:rsidR="00213B9E" w:rsidRPr="006F5698">
        <w:t>Germany</w:t>
      </w:r>
      <w:r w:rsidR="00213B9E" w:rsidRPr="0098291C">
        <w:t xml:space="preserve">, </w:t>
      </w:r>
      <w:r w:rsidR="008B3F40" w:rsidRPr="0098291C">
        <w:t>Oman</w:t>
      </w:r>
      <w:r w:rsidR="00213B9E" w:rsidRPr="006F5698">
        <w:t>, Senegal</w:t>
      </w:r>
      <w:r w:rsidR="008B3F40" w:rsidRPr="0098291C">
        <w:t xml:space="preserve"> and the United Kingdom</w:t>
      </w:r>
      <w:r w:rsidR="00753A94" w:rsidRPr="006F5698">
        <w:t>.</w:t>
      </w:r>
      <w:r w:rsidR="009F6C47" w:rsidRPr="008B3841">
        <w:t xml:space="preserve"> </w:t>
      </w:r>
    </w:p>
    <w:p w14:paraId="3F1A170F" w14:textId="77777777" w:rsidR="005B2F75" w:rsidRPr="008B3841" w:rsidRDefault="005B2F75" w:rsidP="00684ACE">
      <w:pPr>
        <w:pStyle w:val="ListParagraph"/>
        <w:ind w:left="360"/>
      </w:pPr>
    </w:p>
    <w:p w14:paraId="66F36753" w14:textId="77777777" w:rsidR="00A13607" w:rsidRPr="008B3841" w:rsidRDefault="00A13607" w:rsidP="00684ACE">
      <w:pPr>
        <w:rPr>
          <w:b/>
        </w:rPr>
      </w:pPr>
      <w:r w:rsidRPr="008B3841">
        <w:rPr>
          <w:b/>
        </w:rPr>
        <w:t xml:space="preserve">Update on high priority tasks </w:t>
      </w:r>
    </w:p>
    <w:p w14:paraId="22CFC2EE" w14:textId="77777777" w:rsidR="005B2F75" w:rsidRPr="008B3841" w:rsidRDefault="005B2F75" w:rsidP="00425317">
      <w:pPr>
        <w:rPr>
          <w:b/>
        </w:rPr>
      </w:pPr>
    </w:p>
    <w:p w14:paraId="446E7A47" w14:textId="77777777" w:rsidR="003E6C9D" w:rsidRPr="008B3841" w:rsidRDefault="0014728B" w:rsidP="0098291C">
      <w:r>
        <w:t>3.</w:t>
      </w:r>
      <w:r>
        <w:tab/>
      </w:r>
      <w:r w:rsidR="00350839" w:rsidRPr="008B3841">
        <w:t>The Standing Committee</w:t>
      </w:r>
      <w:r w:rsidR="006D39A8" w:rsidRPr="008B3841">
        <w:t xml:space="preserve"> designated </w:t>
      </w:r>
      <w:r w:rsidR="00CD05B0" w:rsidRPr="008B3841">
        <w:t xml:space="preserve">the </w:t>
      </w:r>
      <w:r w:rsidR="00CD05B0" w:rsidRPr="00A926A7">
        <w:rPr>
          <w:i/>
        </w:rPr>
        <w:t>State of the World’s Wetlands and their Services to People</w:t>
      </w:r>
      <w:r w:rsidR="00056DC4" w:rsidRPr="0098291C">
        <w:rPr>
          <w:i/>
        </w:rPr>
        <w:t xml:space="preserve"> report</w:t>
      </w:r>
      <w:r w:rsidR="00056DC4" w:rsidRPr="008B3841">
        <w:t xml:space="preserve"> (now </w:t>
      </w:r>
      <w:r w:rsidR="00FC7E7D">
        <w:t>to be entitled</w:t>
      </w:r>
      <w:r w:rsidR="00056DC4" w:rsidRPr="008B3841">
        <w:t xml:space="preserve"> the </w:t>
      </w:r>
      <w:r w:rsidR="00056DC4" w:rsidRPr="00A926A7">
        <w:rPr>
          <w:i/>
        </w:rPr>
        <w:t>Global Wetland Outlook</w:t>
      </w:r>
      <w:r w:rsidR="00273DEF" w:rsidRPr="00A926A7">
        <w:rPr>
          <w:i/>
        </w:rPr>
        <w:t>: State of the World’s Wetlands and their Services to People</w:t>
      </w:r>
      <w:r w:rsidR="00056DC4" w:rsidRPr="008B3841">
        <w:t>)</w:t>
      </w:r>
      <w:r w:rsidR="00350839" w:rsidRPr="008B3841">
        <w:t xml:space="preserve"> </w:t>
      </w:r>
      <w:r w:rsidR="00CD05B0" w:rsidRPr="008B3841">
        <w:t xml:space="preserve">and eight other tasks </w:t>
      </w:r>
      <w:r w:rsidR="00437527" w:rsidRPr="008B3841">
        <w:t xml:space="preserve">in the STRP work plan </w:t>
      </w:r>
      <w:r w:rsidR="00CD05B0" w:rsidRPr="008B3841">
        <w:t xml:space="preserve">as </w:t>
      </w:r>
      <w:r w:rsidR="00437527" w:rsidRPr="008B3841">
        <w:t>high priorit</w:t>
      </w:r>
      <w:r w:rsidR="00617DDB" w:rsidRPr="008B3841">
        <w:t>ies</w:t>
      </w:r>
      <w:r w:rsidR="00437527" w:rsidRPr="008B3841">
        <w:t xml:space="preserve">. </w:t>
      </w:r>
    </w:p>
    <w:p w14:paraId="0F75A744" w14:textId="77777777" w:rsidR="008513D4" w:rsidRDefault="008513D4" w:rsidP="008513D4">
      <w:pPr>
        <w:rPr>
          <w:u w:val="single"/>
        </w:rPr>
      </w:pPr>
    </w:p>
    <w:p w14:paraId="61A6BA60" w14:textId="43181F4D" w:rsidR="008513D4" w:rsidRPr="00FC7E7D" w:rsidRDefault="008513D4" w:rsidP="008513D4">
      <w:pPr>
        <w:rPr>
          <w:b/>
          <w:u w:val="single"/>
        </w:rPr>
      </w:pPr>
      <w:r w:rsidRPr="00FC7E7D">
        <w:rPr>
          <w:u w:val="single"/>
        </w:rPr>
        <w:t>Global Wetland Outlook: State of the World’s Wetlands and their Services to People</w:t>
      </w:r>
    </w:p>
    <w:p w14:paraId="5D55BEB2" w14:textId="77777777" w:rsidR="005B2F75" w:rsidRPr="008B3841" w:rsidRDefault="005B2F75" w:rsidP="008513D4">
      <w:pPr>
        <w:ind w:left="0" w:firstLine="0"/>
      </w:pPr>
    </w:p>
    <w:p w14:paraId="3D81A8C0" w14:textId="77777777" w:rsidR="00111E4E" w:rsidRPr="008B3841" w:rsidRDefault="0014728B" w:rsidP="0098291C">
      <w:r>
        <w:t xml:space="preserve">4. </w:t>
      </w:r>
      <w:r>
        <w:tab/>
      </w:r>
      <w:r w:rsidR="00920621">
        <w:t xml:space="preserve">The </w:t>
      </w:r>
      <w:r w:rsidR="00350839" w:rsidRPr="008B3841">
        <w:rPr>
          <w:i/>
        </w:rPr>
        <w:t>Global Wetland Outlook</w:t>
      </w:r>
      <w:r w:rsidR="006F1C34" w:rsidRPr="008B3841">
        <w:t xml:space="preserve"> </w:t>
      </w:r>
      <w:r w:rsidR="00350839" w:rsidRPr="008B3841">
        <w:t xml:space="preserve">is on track to be launched prior to or at COP13. A first draft was provided to STRP </w:t>
      </w:r>
      <w:r w:rsidR="00056DC4" w:rsidRPr="008B3841">
        <w:t xml:space="preserve">NFPs </w:t>
      </w:r>
      <w:r w:rsidR="00350839" w:rsidRPr="008B3841">
        <w:t xml:space="preserve">for comments in May 2017. The Secretariat facilitated a small writing workshop in September 2017, </w:t>
      </w:r>
      <w:r w:rsidR="00FC7E7D">
        <w:t>at which</w:t>
      </w:r>
      <w:r w:rsidR="00350839" w:rsidRPr="008B3841">
        <w:t xml:space="preserve"> the lead authors and editor considered </w:t>
      </w:r>
      <w:r w:rsidR="001A5672">
        <w:t>the</w:t>
      </w:r>
      <w:r w:rsidR="00684ACE">
        <w:t xml:space="preserve"> </w:t>
      </w:r>
      <w:r w:rsidR="001A5672">
        <w:t>comments that had been received</w:t>
      </w:r>
      <w:r w:rsidR="00056DC4" w:rsidRPr="008B3841">
        <w:t xml:space="preserve"> and worked on a second draft</w:t>
      </w:r>
      <w:r w:rsidR="00350839" w:rsidRPr="008B3841">
        <w:t xml:space="preserve">. </w:t>
      </w:r>
      <w:r w:rsidR="00056DC4" w:rsidRPr="008B3841">
        <w:t>Th</w:t>
      </w:r>
      <w:r w:rsidR="00851CE3">
        <w:t>at</w:t>
      </w:r>
      <w:r w:rsidR="00111E4E" w:rsidRPr="008B3841">
        <w:t xml:space="preserve"> draft was released to seven external reviewers in early Decemb</w:t>
      </w:r>
      <w:r w:rsidR="00056DC4" w:rsidRPr="008B3841">
        <w:t xml:space="preserve">er 2017. </w:t>
      </w:r>
      <w:r w:rsidR="00851CE3">
        <w:t xml:space="preserve">At </w:t>
      </w:r>
      <w:r w:rsidR="00056DC4" w:rsidRPr="008B3841">
        <w:t>STRP21</w:t>
      </w:r>
      <w:r w:rsidR="00851CE3">
        <w:t>, the Panel</w:t>
      </w:r>
      <w:r w:rsidR="00056DC4" w:rsidRPr="008B3841">
        <w:t xml:space="preserve"> considered the</w:t>
      </w:r>
      <w:r w:rsidR="00111E4E" w:rsidRPr="008B3841">
        <w:t xml:space="preserve"> comments </w:t>
      </w:r>
      <w:r w:rsidR="00056DC4" w:rsidRPr="008B3841">
        <w:t xml:space="preserve">received </w:t>
      </w:r>
      <w:r w:rsidR="00111E4E" w:rsidRPr="008B3841">
        <w:t xml:space="preserve">and identified </w:t>
      </w:r>
      <w:r w:rsidR="00851CE3">
        <w:t xml:space="preserve">the </w:t>
      </w:r>
      <w:r w:rsidR="00111E4E" w:rsidRPr="008B3841">
        <w:t>next s</w:t>
      </w:r>
      <w:r w:rsidR="00056DC4" w:rsidRPr="008B3841">
        <w:t xml:space="preserve">teps for finalizing the </w:t>
      </w:r>
      <w:r w:rsidR="00056DC4" w:rsidRPr="00851CE3">
        <w:rPr>
          <w:i/>
        </w:rPr>
        <w:t>Global W</w:t>
      </w:r>
      <w:r w:rsidR="00111E4E" w:rsidRPr="00851CE3">
        <w:rPr>
          <w:i/>
        </w:rPr>
        <w:t>etland Outlook</w:t>
      </w:r>
      <w:r w:rsidR="00111E4E" w:rsidRPr="008B3841">
        <w:t xml:space="preserve"> and accompanying technical note</w:t>
      </w:r>
      <w:r w:rsidR="00273DEF" w:rsidRPr="008B3841">
        <w:t>s</w:t>
      </w:r>
      <w:r w:rsidR="00111E4E" w:rsidRPr="008B3841">
        <w:t>.</w:t>
      </w:r>
    </w:p>
    <w:p w14:paraId="3233B1C8" w14:textId="77777777" w:rsidR="00111E4E" w:rsidRPr="008B3841" w:rsidRDefault="00111E4E" w:rsidP="00684ACE"/>
    <w:p w14:paraId="04380BF1" w14:textId="77777777" w:rsidR="00111E4E" w:rsidRPr="008B3841" w:rsidRDefault="0014728B" w:rsidP="0098291C">
      <w:pPr>
        <w:rPr>
          <w:color w:val="212121"/>
        </w:rPr>
      </w:pPr>
      <w:r w:rsidRPr="0014728B">
        <w:lastRenderedPageBreak/>
        <w:t>5.</w:t>
      </w:r>
      <w:r w:rsidRPr="0014728B">
        <w:tab/>
      </w:r>
      <w:r w:rsidR="00111E4E" w:rsidRPr="0098291C">
        <w:t>The UN</w:t>
      </w:r>
      <w:r w:rsidR="00273DEF" w:rsidRPr="0098291C">
        <w:t xml:space="preserve"> Environment</w:t>
      </w:r>
      <w:r w:rsidR="00111E4E" w:rsidRPr="0098291C">
        <w:t xml:space="preserve"> World Conservation Monitoring Centre has </w:t>
      </w:r>
      <w:r w:rsidR="00724095" w:rsidRPr="0098291C">
        <w:t>conducted an updated analysis</w:t>
      </w:r>
      <w:r w:rsidR="006757F7" w:rsidRPr="0098291C">
        <w:t xml:space="preserve"> of the global extent (area) of wetlands</w:t>
      </w:r>
      <w:r w:rsidR="00724095" w:rsidRPr="0098291C">
        <w:t xml:space="preserve"> that now extends to all Ramsar regions, which will be incorporated into the </w:t>
      </w:r>
      <w:r w:rsidR="00724095" w:rsidRPr="0098291C">
        <w:rPr>
          <w:i/>
        </w:rPr>
        <w:t>Global Wetland Outlook</w:t>
      </w:r>
      <w:r w:rsidR="00724095" w:rsidRPr="0098291C">
        <w:t xml:space="preserve">. The </w:t>
      </w:r>
      <w:r w:rsidR="002513E4" w:rsidRPr="002513E4">
        <w:t>Wetland Extent Trends (</w:t>
      </w:r>
      <w:r w:rsidR="00724095" w:rsidRPr="0098291C">
        <w:t>WET</w:t>
      </w:r>
      <w:r w:rsidR="002513E4" w:rsidRPr="002513E4">
        <w:t>)</w:t>
      </w:r>
      <w:r w:rsidR="00724095" w:rsidRPr="0098291C">
        <w:t xml:space="preserve"> Index found</w:t>
      </w:r>
      <w:r w:rsidR="00111E4E" w:rsidRPr="008B3841">
        <w:rPr>
          <w:color w:val="212121"/>
        </w:rPr>
        <w:t xml:space="preserve"> a decline of about 35% in both coastal and inland wetland areas studied between 1970 and 2015</w:t>
      </w:r>
      <w:r w:rsidR="00724095" w:rsidRPr="008B3841">
        <w:rPr>
          <w:color w:val="212121"/>
        </w:rPr>
        <w:t xml:space="preserve">. Regional declines varied: </w:t>
      </w:r>
      <w:r w:rsidR="00111E4E" w:rsidRPr="008B3841">
        <w:rPr>
          <w:color w:val="212121"/>
        </w:rPr>
        <w:t>Africa (42%)</w:t>
      </w:r>
      <w:r w:rsidR="00724095" w:rsidRPr="008B3841">
        <w:rPr>
          <w:color w:val="212121"/>
        </w:rPr>
        <w:t xml:space="preserve">; </w:t>
      </w:r>
      <w:r w:rsidR="00247AF9" w:rsidRPr="008B3841">
        <w:rPr>
          <w:color w:val="212121"/>
        </w:rPr>
        <w:t xml:space="preserve">Asia (32%); </w:t>
      </w:r>
      <w:r w:rsidR="00724095" w:rsidRPr="008B3841">
        <w:rPr>
          <w:color w:val="212121"/>
        </w:rPr>
        <w:t xml:space="preserve">Europe (35%); </w:t>
      </w:r>
      <w:r w:rsidR="00247AF9" w:rsidRPr="008B3841">
        <w:rPr>
          <w:color w:val="212121"/>
        </w:rPr>
        <w:t xml:space="preserve">Latin America and the Caribbean (59%); </w:t>
      </w:r>
      <w:r w:rsidR="00724095" w:rsidRPr="008B3841">
        <w:rPr>
          <w:color w:val="212121"/>
        </w:rPr>
        <w:t>North America (17%); and Oceania (12%). Note that the WET Index indicates changes to those wetlands studied and should not necessarily be taken as</w:t>
      </w:r>
      <w:r w:rsidR="009F450A">
        <w:rPr>
          <w:color w:val="212121"/>
        </w:rPr>
        <w:t xml:space="preserve"> an</w:t>
      </w:r>
      <w:r w:rsidR="00724095" w:rsidRPr="008B3841">
        <w:rPr>
          <w:color w:val="212121"/>
        </w:rPr>
        <w:t xml:space="preserve"> indication of the total change in each region. Nevertheless, </w:t>
      </w:r>
      <w:r w:rsidR="002773E4" w:rsidRPr="008B3841">
        <w:rPr>
          <w:color w:val="212121"/>
        </w:rPr>
        <w:t xml:space="preserve">the </w:t>
      </w:r>
      <w:r w:rsidR="00724095" w:rsidRPr="008B3841">
        <w:rPr>
          <w:color w:val="212121"/>
        </w:rPr>
        <w:t>updated analysis confirms that wetland losses continue.</w:t>
      </w:r>
    </w:p>
    <w:p w14:paraId="752EDE8F" w14:textId="77777777" w:rsidR="005B2F75" w:rsidRPr="008B3841" w:rsidRDefault="005B2F75" w:rsidP="00425317">
      <w:pPr>
        <w:pStyle w:val="ListParagraph"/>
        <w:ind w:left="426" w:hanging="426"/>
      </w:pPr>
    </w:p>
    <w:p w14:paraId="221D1521" w14:textId="77777777" w:rsidR="007745C6" w:rsidRPr="007745C6" w:rsidRDefault="00C25CA9" w:rsidP="007745C6">
      <w:pPr>
        <w:pStyle w:val="ListParagraph"/>
        <w:ind w:left="0" w:firstLine="0"/>
        <w:rPr>
          <w:u w:val="single"/>
        </w:rPr>
      </w:pPr>
      <w:r w:rsidRPr="0098291C">
        <w:rPr>
          <w:u w:val="single"/>
        </w:rPr>
        <w:t>Task 1.1</w:t>
      </w:r>
      <w:r w:rsidR="007745C6">
        <w:rPr>
          <w:u w:val="single"/>
        </w:rPr>
        <w:t>:</w:t>
      </w:r>
      <w:r w:rsidR="00E430C1" w:rsidRPr="0098291C">
        <w:rPr>
          <w:u w:val="single"/>
        </w:rPr>
        <w:t xml:space="preserve"> Earth observation as a “best practice” tool for inventorying, mapping and monitoring wetlands, including Ramsar Sites</w:t>
      </w:r>
    </w:p>
    <w:p w14:paraId="50C04C28" w14:textId="77777777" w:rsidR="007745C6" w:rsidRPr="008B3841" w:rsidRDefault="007745C6" w:rsidP="00C34061">
      <w:pPr>
        <w:pStyle w:val="ListParagraph"/>
        <w:ind w:left="426" w:hanging="426"/>
      </w:pPr>
    </w:p>
    <w:p w14:paraId="7C368B12" w14:textId="77777777" w:rsidR="00417407" w:rsidRDefault="0014728B" w:rsidP="00425317">
      <w:r>
        <w:t>6.</w:t>
      </w:r>
      <w:r>
        <w:tab/>
      </w:r>
      <w:r w:rsidR="00596D5B" w:rsidRPr="008B3841">
        <w:t xml:space="preserve">A </w:t>
      </w:r>
      <w:r w:rsidR="002773E4" w:rsidRPr="008B3841">
        <w:t>first draft of a</w:t>
      </w:r>
      <w:r w:rsidR="00596D5B" w:rsidRPr="008B3841">
        <w:t xml:space="preserve"> Ramsar Technical Report</w:t>
      </w:r>
      <w:r w:rsidR="00F55436" w:rsidRPr="008B3841">
        <w:t xml:space="preserve"> </w:t>
      </w:r>
      <w:r w:rsidR="00596D5B" w:rsidRPr="008B3841">
        <w:t>on</w:t>
      </w:r>
      <w:r w:rsidR="00677383" w:rsidRPr="0098291C">
        <w:rPr>
          <w:rFonts w:asciiTheme="minorHAnsi" w:hAnsiTheme="minorHAnsi"/>
        </w:rPr>
        <w:t xml:space="preserve"> </w:t>
      </w:r>
      <w:r w:rsidR="00677383" w:rsidRPr="00425317">
        <w:rPr>
          <w:rFonts w:asciiTheme="minorHAnsi" w:hAnsiTheme="minorHAnsi"/>
          <w:i/>
        </w:rPr>
        <w:t>Best practice guidelines for the use of Earth Observation for wetland inventory, assessment and monitoring</w:t>
      </w:r>
      <w:r w:rsidR="002773E4" w:rsidRPr="008B3841">
        <w:t xml:space="preserve"> was provided </w:t>
      </w:r>
      <w:r w:rsidR="00F55436" w:rsidRPr="008B3841">
        <w:t xml:space="preserve">to STRP </w:t>
      </w:r>
      <w:r w:rsidR="007745C6">
        <w:t>NFP</w:t>
      </w:r>
      <w:r w:rsidR="00425317">
        <w:t>s</w:t>
      </w:r>
      <w:r w:rsidR="00505803" w:rsidRPr="008B3841">
        <w:t xml:space="preserve"> in July 2017</w:t>
      </w:r>
      <w:r w:rsidR="00596D5B" w:rsidRPr="008B3841">
        <w:t>.</w:t>
      </w:r>
      <w:r w:rsidR="002773E4" w:rsidRPr="008B3841">
        <w:t xml:space="preserve"> STRP21 made significant progress on finalizing the </w:t>
      </w:r>
      <w:r w:rsidR="000C4662">
        <w:t>draft</w:t>
      </w:r>
      <w:r w:rsidR="002773E4" w:rsidRPr="008B3841">
        <w:t xml:space="preserve">, which is expected to be </w:t>
      </w:r>
      <w:r w:rsidR="002E37C2">
        <w:t xml:space="preserve">delivered to the Secretariat </w:t>
      </w:r>
      <w:r w:rsidR="002E37C2" w:rsidRPr="0098291C">
        <w:t xml:space="preserve">in the </w:t>
      </w:r>
      <w:r w:rsidR="002E37C2">
        <w:t>first</w:t>
      </w:r>
      <w:r w:rsidR="002E37C2" w:rsidRPr="0098291C">
        <w:t xml:space="preserve"> quarter of 2018</w:t>
      </w:r>
      <w:r w:rsidR="002E37C2">
        <w:t>.</w:t>
      </w:r>
      <w:r w:rsidR="002773E4" w:rsidRPr="008B3841">
        <w:t xml:space="preserve"> </w:t>
      </w:r>
    </w:p>
    <w:p w14:paraId="53822AFF" w14:textId="77777777" w:rsidR="00417407" w:rsidRDefault="00417407" w:rsidP="0098291C">
      <w:pPr>
        <w:pStyle w:val="ListParagraph"/>
        <w:ind w:left="426"/>
      </w:pPr>
    </w:p>
    <w:p w14:paraId="43B86369" w14:textId="658B204E" w:rsidR="007745C6" w:rsidRPr="000C4662" w:rsidRDefault="005A083B" w:rsidP="007745C6">
      <w:pPr>
        <w:pStyle w:val="ListParagraph"/>
        <w:ind w:left="0" w:firstLine="0"/>
        <w:rPr>
          <w:u w:val="single"/>
        </w:rPr>
      </w:pPr>
      <w:r w:rsidRPr="000C4662">
        <w:rPr>
          <w:u w:val="single"/>
        </w:rPr>
        <w:t>Task 1.</w:t>
      </w:r>
      <w:r w:rsidR="00B8437C">
        <w:rPr>
          <w:u w:val="single"/>
        </w:rPr>
        <w:t>2</w:t>
      </w:r>
      <w:bookmarkStart w:id="0" w:name="_GoBack"/>
      <w:bookmarkEnd w:id="0"/>
      <w:r w:rsidR="007745C6" w:rsidRPr="000C4662">
        <w:rPr>
          <w:u w:val="single"/>
        </w:rPr>
        <w:t>:</w:t>
      </w:r>
      <w:r w:rsidR="00667409" w:rsidRPr="000C4662">
        <w:rPr>
          <w:u w:val="single"/>
        </w:rPr>
        <w:t xml:space="preserve"> Development of guidelines for inventories of peatlands for possible designation as Wetlands of International Importance</w:t>
      </w:r>
    </w:p>
    <w:p w14:paraId="13CA86C4" w14:textId="77777777" w:rsidR="007745C6" w:rsidRPr="008B3841" w:rsidRDefault="007745C6" w:rsidP="00C34061">
      <w:pPr>
        <w:pStyle w:val="ListParagraph"/>
        <w:ind w:left="426" w:hanging="426"/>
      </w:pPr>
    </w:p>
    <w:p w14:paraId="5BA0DBF4" w14:textId="77777777" w:rsidR="00C25CA9" w:rsidRPr="008B3841" w:rsidRDefault="00425317" w:rsidP="00425317">
      <w:r>
        <w:t>7.</w:t>
      </w:r>
      <w:r>
        <w:tab/>
      </w:r>
      <w:r w:rsidR="002E37C2">
        <w:t>At</w:t>
      </w:r>
      <w:r w:rsidR="00C4216D">
        <w:t xml:space="preserve"> STRP21</w:t>
      </w:r>
      <w:r w:rsidR="006F5698">
        <w:t>,</w:t>
      </w:r>
      <w:r w:rsidR="00C4216D">
        <w:t xml:space="preserve"> the STRP finalized the draft resolution </w:t>
      </w:r>
      <w:r w:rsidR="00C4216D" w:rsidRPr="0098291C">
        <w:t>on</w:t>
      </w:r>
      <w:r w:rsidR="007B629E" w:rsidRPr="0098291C">
        <w:t xml:space="preserve"> </w:t>
      </w:r>
      <w:r w:rsidR="007B629E" w:rsidRPr="00425317">
        <w:rPr>
          <w:i/>
        </w:rPr>
        <w:t xml:space="preserve">Guidance on identifying </w:t>
      </w:r>
      <w:r w:rsidR="007B629E" w:rsidRPr="0098291C">
        <w:rPr>
          <w:i/>
        </w:rPr>
        <w:t>Wetlands of International Importance</w:t>
      </w:r>
      <w:r w:rsidR="007B629E" w:rsidRPr="00425317">
        <w:rPr>
          <w:i/>
        </w:rPr>
        <w:t xml:space="preserve"> (Ramsar </w:t>
      </w:r>
      <w:r w:rsidR="00A926A7" w:rsidRPr="00425317">
        <w:rPr>
          <w:i/>
        </w:rPr>
        <w:t>S</w:t>
      </w:r>
      <w:r w:rsidR="007B629E" w:rsidRPr="00425317">
        <w:rPr>
          <w:i/>
        </w:rPr>
        <w:t xml:space="preserve">ites) for global climate change regulation as an additional argument to existing Ramsar </w:t>
      </w:r>
      <w:r w:rsidR="006F5698" w:rsidRPr="00425317">
        <w:rPr>
          <w:i/>
        </w:rPr>
        <w:t xml:space="preserve">criteria </w:t>
      </w:r>
      <w:r w:rsidR="006F5698" w:rsidRPr="006F5698">
        <w:t>and</w:t>
      </w:r>
      <w:r w:rsidR="002E37C2" w:rsidRPr="006F5698">
        <w:t xml:space="preserve"> </w:t>
      </w:r>
      <w:r w:rsidR="002E37C2">
        <w:t xml:space="preserve">submitted it to the Secretariat. </w:t>
      </w:r>
      <w:r w:rsidR="00EC0883">
        <w:t>The Panel provided a</w:t>
      </w:r>
      <w:r w:rsidR="002E37C2">
        <w:t>dditional comme</w:t>
      </w:r>
      <w:r w:rsidR="007B629E">
        <w:t xml:space="preserve">nts </w:t>
      </w:r>
      <w:r w:rsidR="00EC0883">
        <w:t xml:space="preserve">to </w:t>
      </w:r>
      <w:r w:rsidR="007B629E">
        <w:t xml:space="preserve">the draft Scientific and Technical Briefing </w:t>
      </w:r>
      <w:r w:rsidR="002E37C2">
        <w:t>N</w:t>
      </w:r>
      <w:r w:rsidR="007B629E">
        <w:t>ote</w:t>
      </w:r>
      <w:r w:rsidR="002E37C2" w:rsidRPr="0098291C">
        <w:t xml:space="preserve"> on </w:t>
      </w:r>
      <w:r w:rsidR="002E37C2">
        <w:t xml:space="preserve">tropical peatland </w:t>
      </w:r>
      <w:r w:rsidR="002E37C2" w:rsidRPr="0098291C">
        <w:t>inventories</w:t>
      </w:r>
      <w:r w:rsidR="007B629E">
        <w:t>, being drafted by Greifswald Mire Center,</w:t>
      </w:r>
      <w:r w:rsidR="002E37C2">
        <w:t xml:space="preserve"> which is expecte</w:t>
      </w:r>
      <w:r w:rsidR="007B629E">
        <w:t>d to be finalized in 2018</w:t>
      </w:r>
      <w:r w:rsidR="002E37C2">
        <w:t xml:space="preserve">. </w:t>
      </w:r>
    </w:p>
    <w:p w14:paraId="4522F5CF" w14:textId="77777777" w:rsidR="005B2F75" w:rsidRPr="008B3841" w:rsidRDefault="005B2F75" w:rsidP="00684ACE">
      <w:pPr>
        <w:pStyle w:val="ListParagraph"/>
        <w:ind w:left="426" w:hanging="426"/>
      </w:pPr>
    </w:p>
    <w:p w14:paraId="693CDBB1" w14:textId="77777777" w:rsidR="00A97C27" w:rsidRPr="0098291C" w:rsidRDefault="00C25CA9" w:rsidP="0098291C">
      <w:r w:rsidRPr="0098291C">
        <w:rPr>
          <w:u w:val="single"/>
        </w:rPr>
        <w:t>Task 2.1</w:t>
      </w:r>
      <w:r w:rsidR="007745C6" w:rsidRPr="00425317">
        <w:rPr>
          <w:u w:val="single"/>
        </w:rPr>
        <w:t>:</w:t>
      </w:r>
      <w:r w:rsidR="00667409" w:rsidRPr="0098291C">
        <w:rPr>
          <w:u w:val="single"/>
        </w:rPr>
        <w:t xml:space="preserve"> Ramsar wetland Sites management toolkit</w:t>
      </w:r>
    </w:p>
    <w:p w14:paraId="5EC4F8CE" w14:textId="77777777" w:rsidR="007745C6" w:rsidRPr="008B3841" w:rsidRDefault="007745C6" w:rsidP="00C34061">
      <w:pPr>
        <w:pStyle w:val="ListParagraph"/>
        <w:ind w:left="426" w:hanging="426"/>
      </w:pPr>
    </w:p>
    <w:p w14:paraId="4589D911" w14:textId="350CABB5" w:rsidR="00C25CA9" w:rsidRPr="008B3841" w:rsidRDefault="0014728B" w:rsidP="0098291C">
      <w:pPr>
        <w:ind w:left="426"/>
      </w:pPr>
      <w:r w:rsidRPr="0014728B">
        <w:t>8.</w:t>
      </w:r>
      <w:r w:rsidRPr="0014728B">
        <w:tab/>
      </w:r>
      <w:r w:rsidR="009955E1" w:rsidRPr="008B3841">
        <w:t>After soliciting input from STRP</w:t>
      </w:r>
      <w:r w:rsidR="00A926A7">
        <w:t xml:space="preserve"> </w:t>
      </w:r>
      <w:r w:rsidR="007745C6">
        <w:t>NFPs</w:t>
      </w:r>
      <w:r w:rsidR="009955E1" w:rsidRPr="008B3841">
        <w:t>, t</w:t>
      </w:r>
      <w:r w:rsidR="002C2C4E" w:rsidRPr="008B3841">
        <w:t xml:space="preserve">he STRP </w:t>
      </w:r>
      <w:r w:rsidR="009955E1" w:rsidRPr="008B3841">
        <w:t xml:space="preserve">and the </w:t>
      </w:r>
      <w:r w:rsidR="007745C6">
        <w:t>Secretariat</w:t>
      </w:r>
      <w:r w:rsidR="009955E1" w:rsidRPr="008B3841">
        <w:t xml:space="preserve"> Communications Team </w:t>
      </w:r>
      <w:r w:rsidR="002C2C4E" w:rsidRPr="008B3841">
        <w:t>develop</w:t>
      </w:r>
      <w:r w:rsidR="009955E1" w:rsidRPr="008B3841">
        <w:t>ed</w:t>
      </w:r>
      <w:r w:rsidR="002C2C4E" w:rsidRPr="008B3841">
        <w:t xml:space="preserve"> an online </w:t>
      </w:r>
      <w:r w:rsidR="005A083B" w:rsidRPr="008B3841">
        <w:t>Ramsar Sites management toolkit</w:t>
      </w:r>
      <w:r w:rsidR="009955E1" w:rsidRPr="008B3841">
        <w:t xml:space="preserve">, which is available at </w:t>
      </w:r>
      <w:hyperlink r:id="rId9" w:history="1">
        <w:r w:rsidR="009955E1" w:rsidRPr="008B3841">
          <w:rPr>
            <w:rStyle w:val="Hyperlink"/>
          </w:rPr>
          <w:t>https://www.ramsar.org/resources/ramsar-sites-management-toolkit</w:t>
        </w:r>
      </w:hyperlink>
      <w:r w:rsidR="009955E1" w:rsidRPr="008B3841">
        <w:t xml:space="preserve">. </w:t>
      </w:r>
      <w:r w:rsidR="005B559B">
        <w:t>T</w:t>
      </w:r>
      <w:r w:rsidR="009955E1" w:rsidRPr="008B3841">
        <w:t>he toolkit includes the Ramsar Regional Center – East Asia’s practitioner’s guide on</w:t>
      </w:r>
      <w:r w:rsidR="00A926A7">
        <w:t xml:space="preserve"> the </w:t>
      </w:r>
      <w:r w:rsidR="00A926A7" w:rsidRPr="00A926A7">
        <w:rPr>
          <w:i/>
        </w:rPr>
        <w:t>D</w:t>
      </w:r>
      <w:r w:rsidR="009955E1" w:rsidRPr="00A926A7">
        <w:rPr>
          <w:i/>
        </w:rPr>
        <w:t>esignati</w:t>
      </w:r>
      <w:r w:rsidR="00A926A7" w:rsidRPr="00A926A7">
        <w:rPr>
          <w:i/>
        </w:rPr>
        <w:t>on</w:t>
      </w:r>
      <w:r w:rsidR="00A926A7" w:rsidRPr="0098291C">
        <w:rPr>
          <w:i/>
        </w:rPr>
        <w:t xml:space="preserve"> </w:t>
      </w:r>
      <w:r w:rsidR="009955E1" w:rsidRPr="0098291C">
        <w:rPr>
          <w:i/>
        </w:rPr>
        <w:t xml:space="preserve">and </w:t>
      </w:r>
      <w:r w:rsidR="009955E1" w:rsidRPr="00A926A7">
        <w:rPr>
          <w:i/>
        </w:rPr>
        <w:t>manag</w:t>
      </w:r>
      <w:r w:rsidR="00A926A7" w:rsidRPr="00A926A7">
        <w:rPr>
          <w:i/>
        </w:rPr>
        <w:t>ement of</w:t>
      </w:r>
      <w:r w:rsidR="009955E1" w:rsidRPr="0098291C">
        <w:rPr>
          <w:i/>
        </w:rPr>
        <w:t xml:space="preserve"> Ramsar Sites</w:t>
      </w:r>
      <w:r w:rsidR="009955E1" w:rsidRPr="008B3841">
        <w:t xml:space="preserve">. </w:t>
      </w:r>
    </w:p>
    <w:p w14:paraId="54594009" w14:textId="77777777" w:rsidR="005B2F75" w:rsidRPr="008B3841" w:rsidRDefault="005B2F75" w:rsidP="00684ACE">
      <w:pPr>
        <w:pStyle w:val="ListParagraph"/>
        <w:ind w:left="426" w:hanging="426"/>
      </w:pPr>
    </w:p>
    <w:p w14:paraId="7EFA7175" w14:textId="77777777" w:rsidR="0014427D" w:rsidRPr="0014427D" w:rsidRDefault="00C25CA9" w:rsidP="00C34061">
      <w:pPr>
        <w:pStyle w:val="ListParagraph"/>
        <w:ind w:left="426" w:hanging="426"/>
        <w:rPr>
          <w:u w:val="single"/>
        </w:rPr>
      </w:pPr>
      <w:r w:rsidRPr="0098291C">
        <w:rPr>
          <w:u w:val="single"/>
        </w:rPr>
        <w:t>Task 3.1</w:t>
      </w:r>
      <w:r w:rsidR="00674B66">
        <w:rPr>
          <w:u w:val="single"/>
        </w:rPr>
        <w:t>:</w:t>
      </w:r>
      <w:r w:rsidR="00667409" w:rsidRPr="0098291C">
        <w:rPr>
          <w:u w:val="single"/>
        </w:rPr>
        <w:t xml:space="preserve"> Wetland ecosystem services assessment and valuation Policy Brief with toolkit</w:t>
      </w:r>
    </w:p>
    <w:p w14:paraId="68DF8DB0" w14:textId="77777777" w:rsidR="0014427D" w:rsidRPr="008B3841" w:rsidRDefault="0014427D" w:rsidP="00C34061">
      <w:pPr>
        <w:pStyle w:val="ListParagraph"/>
        <w:ind w:left="426" w:hanging="426"/>
      </w:pPr>
    </w:p>
    <w:p w14:paraId="634B8043" w14:textId="77777777" w:rsidR="00C25CA9" w:rsidRPr="008B3841" w:rsidRDefault="005B4A70" w:rsidP="00682B21">
      <w:r w:rsidRPr="005B4A70">
        <w:t>9.</w:t>
      </w:r>
      <w:r w:rsidRPr="005B4A70">
        <w:tab/>
      </w:r>
      <w:r w:rsidR="006A5F9A" w:rsidRPr="008B3841">
        <w:t>The STRP produced a</w:t>
      </w:r>
      <w:r w:rsidR="003C2CD0" w:rsidRPr="008B3841">
        <w:t xml:space="preserve"> </w:t>
      </w:r>
      <w:r w:rsidR="00E25E30" w:rsidRPr="008B3841">
        <w:t>P</w:t>
      </w:r>
      <w:r w:rsidR="003C2CD0" w:rsidRPr="008B3841">
        <w:t xml:space="preserve">olicy </w:t>
      </w:r>
      <w:r w:rsidR="00E25E30" w:rsidRPr="008B3841">
        <w:t>B</w:t>
      </w:r>
      <w:r w:rsidR="003C2CD0" w:rsidRPr="008B3841">
        <w:t xml:space="preserve">rief </w:t>
      </w:r>
      <w:r w:rsidR="00D12D3B" w:rsidRPr="00A97C27">
        <w:t>on</w:t>
      </w:r>
      <w:r w:rsidR="00D12D3B" w:rsidRPr="0098291C">
        <w:rPr>
          <w:i/>
        </w:rPr>
        <w:t xml:space="preserve"> </w:t>
      </w:r>
      <w:r w:rsidR="006F5698" w:rsidRPr="006F5698">
        <w:rPr>
          <w:i/>
        </w:rPr>
        <w:t>I</w:t>
      </w:r>
      <w:r w:rsidR="00D12D3B" w:rsidRPr="006F5698">
        <w:rPr>
          <w:i/>
        </w:rPr>
        <w:t>ntegrating</w:t>
      </w:r>
      <w:r w:rsidR="00333625" w:rsidRPr="006F5698">
        <w:rPr>
          <w:i/>
        </w:rPr>
        <w:t xml:space="preserve"> multiple wetland values into decision making</w:t>
      </w:r>
      <w:r w:rsidR="00293A0B" w:rsidRPr="008B3841">
        <w:t>,</w:t>
      </w:r>
      <w:r w:rsidR="00333625" w:rsidRPr="008B3841">
        <w:t xml:space="preserve"> with an annexed protocol for assessing multiple values of wetlands</w:t>
      </w:r>
      <w:r w:rsidR="006A5F9A" w:rsidRPr="008B3841">
        <w:t xml:space="preserve">. The annex adapted the IPBES six-step guide for diverse conceptualization of nature and its benefits into a Ramsar context. </w:t>
      </w:r>
      <w:r w:rsidR="006A5F9A" w:rsidRPr="008513D4">
        <w:rPr>
          <w:rFonts w:asciiTheme="minorHAnsi" w:hAnsiTheme="minorHAnsi"/>
        </w:rPr>
        <w:t xml:space="preserve">The </w:t>
      </w:r>
      <w:r w:rsidR="001311F9" w:rsidRPr="008513D4">
        <w:rPr>
          <w:rFonts w:asciiTheme="minorHAnsi" w:hAnsiTheme="minorHAnsi"/>
        </w:rPr>
        <w:t xml:space="preserve">Ramsar Convention Secretariat </w:t>
      </w:r>
      <w:r w:rsidR="006A5F9A" w:rsidRPr="008513D4">
        <w:rPr>
          <w:rFonts w:asciiTheme="minorHAnsi" w:hAnsiTheme="minorHAnsi"/>
        </w:rPr>
        <w:t>coordinated a launch with the</w:t>
      </w:r>
      <w:r w:rsidR="00A30DD0" w:rsidRPr="008513D4">
        <w:rPr>
          <w:rFonts w:asciiTheme="minorHAnsi" w:hAnsiTheme="minorHAnsi"/>
        </w:rPr>
        <w:t xml:space="preserve"> Secretariat of the</w:t>
      </w:r>
      <w:r w:rsidR="00B82658" w:rsidRPr="008513D4">
        <w:rPr>
          <w:rFonts w:asciiTheme="minorHAnsi" w:hAnsiTheme="minorHAnsi"/>
        </w:rPr>
        <w:t xml:space="preserve"> </w:t>
      </w:r>
      <w:r w:rsidR="00B82658" w:rsidRPr="008513D4">
        <w:rPr>
          <w:rFonts w:asciiTheme="minorHAnsi" w:hAnsiTheme="minorHAnsi"/>
          <w:shd w:val="clear" w:color="auto" w:fill="FFFFFF"/>
        </w:rPr>
        <w:t>Intergovernmental Science-Policy Platform on Biodiversity and Ecosystem Services (</w:t>
      </w:r>
      <w:r w:rsidR="006A5F9A" w:rsidRPr="008513D4">
        <w:rPr>
          <w:rFonts w:asciiTheme="minorHAnsi" w:hAnsiTheme="minorHAnsi"/>
        </w:rPr>
        <w:t>IPBES</w:t>
      </w:r>
      <w:r w:rsidR="00B82658" w:rsidRPr="008513D4">
        <w:rPr>
          <w:rFonts w:asciiTheme="minorHAnsi" w:hAnsiTheme="minorHAnsi"/>
        </w:rPr>
        <w:t>)</w:t>
      </w:r>
      <w:r w:rsidR="006A5F9A" w:rsidRPr="008513D4">
        <w:rPr>
          <w:rFonts w:asciiTheme="minorHAnsi" w:hAnsiTheme="minorHAnsi"/>
        </w:rPr>
        <w:t xml:space="preserve"> </w:t>
      </w:r>
      <w:r w:rsidR="001F6182" w:rsidRPr="008513D4">
        <w:rPr>
          <w:rFonts w:asciiTheme="minorHAnsi" w:hAnsiTheme="minorHAnsi"/>
        </w:rPr>
        <w:t>o</w:t>
      </w:r>
      <w:r w:rsidR="00505803" w:rsidRPr="008513D4">
        <w:rPr>
          <w:rFonts w:asciiTheme="minorHAnsi" w:hAnsiTheme="minorHAnsi"/>
        </w:rPr>
        <w:t xml:space="preserve">n </w:t>
      </w:r>
      <w:r w:rsidR="001F6182" w:rsidRPr="008513D4">
        <w:rPr>
          <w:rFonts w:asciiTheme="minorHAnsi" w:hAnsiTheme="minorHAnsi"/>
        </w:rPr>
        <w:t xml:space="preserve">19 </w:t>
      </w:r>
      <w:r w:rsidR="00505803" w:rsidRPr="008513D4">
        <w:rPr>
          <w:rFonts w:asciiTheme="minorHAnsi" w:hAnsiTheme="minorHAnsi"/>
        </w:rPr>
        <w:t>September 2017</w:t>
      </w:r>
      <w:r w:rsidR="008E5897" w:rsidRPr="008513D4">
        <w:rPr>
          <w:rFonts w:asciiTheme="minorHAnsi" w:hAnsiTheme="minorHAnsi"/>
        </w:rPr>
        <w:t>,</w:t>
      </w:r>
      <w:r w:rsidR="008E5897" w:rsidRPr="008B3841">
        <w:t xml:space="preserve"> which resulted in 15,500 Twitter impressions </w:t>
      </w:r>
      <w:r w:rsidR="008E5897" w:rsidRPr="008F0B5F">
        <w:t xml:space="preserve">and </w:t>
      </w:r>
      <w:r w:rsidR="002A719E" w:rsidRPr="0098291C">
        <w:t>511</w:t>
      </w:r>
      <w:r w:rsidR="008E5897" w:rsidRPr="008F0B5F">
        <w:t xml:space="preserve"> downloads</w:t>
      </w:r>
      <w:r w:rsidR="008E5897" w:rsidRPr="008B3841">
        <w:t xml:space="preserve"> from the Ramsar website. The Policy Brief was shared with key partners and collaborators including: </w:t>
      </w:r>
      <w:r w:rsidR="00682B21">
        <w:t xml:space="preserve">UN Environment, the Global Water Partnership, the Secretariats of IPBES, UN-Water, the Convention on Biological Diversity, the UN Convention to Combat Desertification and the Convention on Migratory Species, and </w:t>
      </w:r>
      <w:r w:rsidR="00682B21" w:rsidRPr="0014427D">
        <w:t>BirdLife International</w:t>
      </w:r>
      <w:r w:rsidR="00682B21">
        <w:t>,</w:t>
      </w:r>
      <w:r w:rsidR="00682B21" w:rsidRPr="0014427D">
        <w:t xml:space="preserve"> IUCN Global Water Programme, the Internati</w:t>
      </w:r>
      <w:r w:rsidR="00682B21">
        <w:t>onal Water Management Institute, Wetlands International</w:t>
      </w:r>
      <w:r w:rsidR="00682B21" w:rsidRPr="0014427D">
        <w:t xml:space="preserve"> </w:t>
      </w:r>
      <w:r w:rsidR="00682B21">
        <w:t xml:space="preserve">and the </w:t>
      </w:r>
      <w:r w:rsidR="00682B21" w:rsidRPr="0014427D">
        <w:t>Wildfowl and Wetlands Trust</w:t>
      </w:r>
      <w:r w:rsidR="00682B21">
        <w:t xml:space="preserve">. </w:t>
      </w:r>
      <w:r w:rsidR="004F0D76">
        <w:t xml:space="preserve">The </w:t>
      </w:r>
      <w:r w:rsidR="008E5897" w:rsidRPr="008B3841">
        <w:t>IPBES</w:t>
      </w:r>
      <w:r w:rsidR="004F0D76">
        <w:t xml:space="preserve"> Secretariat</w:t>
      </w:r>
      <w:r w:rsidR="008E5897" w:rsidRPr="008B3841">
        <w:t xml:space="preserve"> shared the Policy Brief with </w:t>
      </w:r>
      <w:r w:rsidR="00247AF9" w:rsidRPr="008B3841">
        <w:t xml:space="preserve">its </w:t>
      </w:r>
      <w:r w:rsidR="008E5897" w:rsidRPr="008B3841">
        <w:t xml:space="preserve">network of 13,000 subscribers and featured it on </w:t>
      </w:r>
      <w:r w:rsidR="00247AF9" w:rsidRPr="008B3841">
        <w:t>its</w:t>
      </w:r>
      <w:r w:rsidR="008E5897" w:rsidRPr="008B3841">
        <w:t xml:space="preserve"> webpage</w:t>
      </w:r>
      <w:r w:rsidR="00941744">
        <w:t>.</w:t>
      </w:r>
      <w:r w:rsidR="00333625" w:rsidRPr="008B3841">
        <w:t xml:space="preserve"> </w:t>
      </w:r>
    </w:p>
    <w:p w14:paraId="628476AF" w14:textId="77777777" w:rsidR="00674B66" w:rsidRDefault="00674B66" w:rsidP="004D0A2C"/>
    <w:p w14:paraId="0ECA0A71" w14:textId="77777777" w:rsidR="00674B66" w:rsidRPr="00674B66" w:rsidRDefault="00674B66" w:rsidP="005B4A70">
      <w:pPr>
        <w:rPr>
          <w:u w:val="single"/>
        </w:rPr>
      </w:pPr>
      <w:r w:rsidRPr="004D0A2C">
        <w:rPr>
          <w:u w:val="single"/>
        </w:rPr>
        <w:lastRenderedPageBreak/>
        <w:t>Task 3.2</w:t>
      </w:r>
      <w:r>
        <w:rPr>
          <w:u w:val="single"/>
        </w:rPr>
        <w:t>:</w:t>
      </w:r>
      <w:r w:rsidRPr="004D0A2C">
        <w:rPr>
          <w:u w:val="single"/>
        </w:rPr>
        <w:t xml:space="preserve"> Wetland Ecosystems and Disaster Risk Reduction</w:t>
      </w:r>
    </w:p>
    <w:p w14:paraId="77FF55FB" w14:textId="77777777" w:rsidR="005B2F75" w:rsidRPr="008B3841" w:rsidRDefault="005B2F75" w:rsidP="00684ACE">
      <w:pPr>
        <w:pStyle w:val="ListParagraph"/>
        <w:ind w:left="426" w:hanging="426"/>
      </w:pPr>
    </w:p>
    <w:p w14:paraId="19928296" w14:textId="5B443799" w:rsidR="007627FA" w:rsidRPr="008B3841" w:rsidRDefault="005B4A70" w:rsidP="0098291C">
      <w:r w:rsidRPr="005B4A70">
        <w:t>10.</w:t>
      </w:r>
      <w:r w:rsidRPr="005B4A70">
        <w:tab/>
      </w:r>
      <w:r w:rsidR="00FC369F" w:rsidRPr="008B3841">
        <w:t>A</w:t>
      </w:r>
      <w:r w:rsidR="003C2CD0" w:rsidRPr="008B3841">
        <w:t xml:space="preserve"> </w:t>
      </w:r>
      <w:r w:rsidR="00EE6CD1" w:rsidRPr="008B3841">
        <w:t>P</w:t>
      </w:r>
      <w:r w:rsidR="003C2CD0" w:rsidRPr="008B3841">
        <w:t xml:space="preserve">olicy </w:t>
      </w:r>
      <w:r w:rsidR="00EE6CD1" w:rsidRPr="008B3841">
        <w:t>B</w:t>
      </w:r>
      <w:r w:rsidR="003C2CD0" w:rsidRPr="008B3841">
        <w:t xml:space="preserve">rief on </w:t>
      </w:r>
      <w:r w:rsidR="00674B66" w:rsidRPr="00674B66">
        <w:rPr>
          <w:i/>
        </w:rPr>
        <w:t>W</w:t>
      </w:r>
      <w:r w:rsidR="003C2CD0" w:rsidRPr="00674B66">
        <w:rPr>
          <w:i/>
        </w:rPr>
        <w:t xml:space="preserve">etlands </w:t>
      </w:r>
      <w:r w:rsidR="006F5698" w:rsidRPr="006F5698">
        <w:rPr>
          <w:i/>
        </w:rPr>
        <w:t>for</w:t>
      </w:r>
      <w:r w:rsidR="003C2CD0" w:rsidRPr="006F5698">
        <w:rPr>
          <w:i/>
        </w:rPr>
        <w:t xml:space="preserve"> disaster risk reduction</w:t>
      </w:r>
      <w:r w:rsidR="006F5698" w:rsidRPr="006F5698">
        <w:rPr>
          <w:i/>
        </w:rPr>
        <w:t>—Effective choices for resilient communities</w:t>
      </w:r>
      <w:r w:rsidR="003C2CD0" w:rsidRPr="0098291C">
        <w:rPr>
          <w:i/>
        </w:rPr>
        <w:t xml:space="preserve"> </w:t>
      </w:r>
      <w:r w:rsidR="003C2CD0" w:rsidRPr="008B3841">
        <w:t>was</w:t>
      </w:r>
      <w:r w:rsidR="005A083B" w:rsidRPr="008B3841">
        <w:t xml:space="preserve"> drafted by Wetlands International, with </w:t>
      </w:r>
      <w:r w:rsidR="003C2CD0" w:rsidRPr="008B3841">
        <w:t xml:space="preserve">STRP member </w:t>
      </w:r>
      <w:r w:rsidR="005A083B" w:rsidRPr="008B3841">
        <w:t>Ritesh Kumar as the lead.</w:t>
      </w:r>
      <w:r w:rsidR="00E25E30" w:rsidRPr="008B3841">
        <w:t xml:space="preserve"> </w:t>
      </w:r>
      <w:r w:rsidR="00CE27ED">
        <w:t>Its</w:t>
      </w:r>
      <w:r w:rsidR="00542B80" w:rsidRPr="008B3841">
        <w:t xml:space="preserve"> launch </w:t>
      </w:r>
      <w:r w:rsidR="008E5897" w:rsidRPr="008B3841">
        <w:t>on</w:t>
      </w:r>
      <w:r w:rsidR="001F6182" w:rsidRPr="008B3841">
        <w:t xml:space="preserve"> 13 October 2017 for the</w:t>
      </w:r>
      <w:r w:rsidR="008E5897" w:rsidRPr="008B3841">
        <w:t xml:space="preserve"> International Day for Disaster Reduction</w:t>
      </w:r>
      <w:r w:rsidR="00542B80" w:rsidRPr="008B3841">
        <w:t>, in conjunction with</w:t>
      </w:r>
      <w:r w:rsidR="008E5897" w:rsidRPr="008B3841">
        <w:t xml:space="preserve"> </w:t>
      </w:r>
      <w:r w:rsidR="002A719E">
        <w:t xml:space="preserve">the </w:t>
      </w:r>
      <w:r w:rsidR="002A719E" w:rsidRPr="008B3841">
        <w:t xml:space="preserve">Partnership for Environment and Disaster Risk Reduction </w:t>
      </w:r>
      <w:r w:rsidR="002A719E">
        <w:t>(</w:t>
      </w:r>
      <w:r w:rsidR="008E5897" w:rsidRPr="008B3841">
        <w:t>PEDRR</w:t>
      </w:r>
      <w:r w:rsidR="002A719E">
        <w:t>)</w:t>
      </w:r>
      <w:r w:rsidR="008E5897" w:rsidRPr="008B3841">
        <w:t xml:space="preserve"> and Wetlands International</w:t>
      </w:r>
      <w:r w:rsidR="00CE27ED">
        <w:t>,</w:t>
      </w:r>
      <w:r w:rsidR="00542B80" w:rsidRPr="008B3841">
        <w:t xml:space="preserve"> </w:t>
      </w:r>
      <w:r w:rsidR="00542B80" w:rsidRPr="006F5698">
        <w:t xml:space="preserve">resulted </w:t>
      </w:r>
      <w:r w:rsidR="00542B80" w:rsidRPr="0098291C">
        <w:t xml:space="preserve">in </w:t>
      </w:r>
      <w:r w:rsidR="002A719E" w:rsidRPr="0098291C">
        <w:t>376</w:t>
      </w:r>
      <w:r w:rsidR="002A719E" w:rsidRPr="006F5698">
        <w:t xml:space="preserve"> downloads</w:t>
      </w:r>
      <w:r w:rsidR="00461518">
        <w:t xml:space="preserve">, </w:t>
      </w:r>
      <w:r w:rsidR="006F5698" w:rsidRPr="006F5698">
        <w:t>earn</w:t>
      </w:r>
      <w:r w:rsidR="00461518">
        <w:t>ing</w:t>
      </w:r>
      <w:r w:rsidR="006F5698" w:rsidRPr="006F5698">
        <w:t xml:space="preserve"> approximately</w:t>
      </w:r>
      <w:r w:rsidR="00425317">
        <w:t xml:space="preserve"> </w:t>
      </w:r>
      <w:r w:rsidR="002A719E" w:rsidRPr="0098291C">
        <w:t>20,000</w:t>
      </w:r>
      <w:r w:rsidR="009C573E" w:rsidRPr="0098291C">
        <w:t xml:space="preserve"> </w:t>
      </w:r>
      <w:r w:rsidR="00425317">
        <w:t>i</w:t>
      </w:r>
      <w:r w:rsidR="006F5698" w:rsidRPr="006F5698">
        <w:t>mpressions on social media</w:t>
      </w:r>
      <w:r w:rsidR="002A719E" w:rsidRPr="006F5698">
        <w:t xml:space="preserve">. </w:t>
      </w:r>
      <w:r w:rsidR="001F6182" w:rsidRPr="006F5698">
        <w:t xml:space="preserve">A web article on the </w:t>
      </w:r>
      <w:r w:rsidR="001F6182" w:rsidRPr="008B3841">
        <w:t>link</w:t>
      </w:r>
      <w:r w:rsidR="00946070">
        <w:t>s</w:t>
      </w:r>
      <w:r w:rsidR="001F6182" w:rsidRPr="006F5698">
        <w:t xml:space="preserve"> between wetland loss</w:t>
      </w:r>
      <w:r w:rsidR="00946070">
        <w:t>,</w:t>
      </w:r>
      <w:r w:rsidR="001F6182" w:rsidRPr="008B3841">
        <w:t xml:space="preserve"> </w:t>
      </w:r>
      <w:r w:rsidR="001F6182" w:rsidRPr="006F5698">
        <w:t>migration and conflict</w:t>
      </w:r>
      <w:r w:rsidR="003272B4" w:rsidRPr="006F5698">
        <w:t xml:space="preserve"> was prepared with Wetland</w:t>
      </w:r>
      <w:r w:rsidR="003272B4" w:rsidRPr="008B3841">
        <w:t>s International</w:t>
      </w:r>
      <w:r w:rsidR="002A719E">
        <w:t xml:space="preserve"> and PEDRR</w:t>
      </w:r>
      <w:r w:rsidR="001F6182" w:rsidRPr="008B3841">
        <w:t xml:space="preserve">. </w:t>
      </w:r>
    </w:p>
    <w:p w14:paraId="24A86679" w14:textId="77777777" w:rsidR="007627FA" w:rsidRPr="008B3841" w:rsidRDefault="007627FA" w:rsidP="00684ACE"/>
    <w:p w14:paraId="6B6FE95A" w14:textId="77777777" w:rsidR="00946070" w:rsidRPr="0098291C" w:rsidRDefault="00C25CA9" w:rsidP="007627FA">
      <w:pPr>
        <w:rPr>
          <w:u w:val="single"/>
        </w:rPr>
      </w:pPr>
      <w:r w:rsidRPr="0098291C">
        <w:rPr>
          <w:u w:val="single"/>
        </w:rPr>
        <w:t>Task 4.1</w:t>
      </w:r>
      <w:r w:rsidR="00946070" w:rsidRPr="0098291C">
        <w:rPr>
          <w:u w:val="single"/>
        </w:rPr>
        <w:t>:</w:t>
      </w:r>
      <w:r w:rsidR="00667409" w:rsidRPr="0098291C">
        <w:rPr>
          <w:u w:val="single"/>
        </w:rPr>
        <w:t xml:space="preserve"> Water requirements for wetlands</w:t>
      </w:r>
      <w:r w:rsidR="00946070" w:rsidRPr="0098291C">
        <w:rPr>
          <w:u w:val="single"/>
        </w:rPr>
        <w:t xml:space="preserve"> </w:t>
      </w:r>
    </w:p>
    <w:p w14:paraId="3F5800C8" w14:textId="77777777" w:rsidR="00946070" w:rsidRPr="008B3841" w:rsidRDefault="00946070" w:rsidP="007627FA"/>
    <w:p w14:paraId="2E22BF77" w14:textId="3724DF72" w:rsidR="007627FA" w:rsidRPr="008B3841" w:rsidRDefault="005B4A70" w:rsidP="0098291C">
      <w:r>
        <w:t>11.</w:t>
      </w:r>
      <w:r>
        <w:tab/>
      </w:r>
      <w:r w:rsidR="000F7E2E">
        <w:t>A</w:t>
      </w:r>
      <w:r w:rsidR="00425317">
        <w:t xml:space="preserve"> </w:t>
      </w:r>
      <w:r w:rsidR="007B629E">
        <w:t xml:space="preserve">final </w:t>
      </w:r>
      <w:r w:rsidR="002E37C2">
        <w:t xml:space="preserve">draft </w:t>
      </w:r>
      <w:r w:rsidR="00EE6CD1" w:rsidRPr="008B3841">
        <w:t>P</w:t>
      </w:r>
      <w:r w:rsidR="004E42E9" w:rsidRPr="008B3841">
        <w:t xml:space="preserve">olicy </w:t>
      </w:r>
      <w:r w:rsidR="00EE6CD1" w:rsidRPr="008B3841">
        <w:t>B</w:t>
      </w:r>
      <w:r w:rsidR="004E42E9" w:rsidRPr="008B3841">
        <w:t xml:space="preserve">rief </w:t>
      </w:r>
      <w:r w:rsidR="007627FA" w:rsidRPr="008B3841">
        <w:t xml:space="preserve">on </w:t>
      </w:r>
      <w:r w:rsidR="007627FA" w:rsidRPr="008B3841">
        <w:rPr>
          <w:i/>
        </w:rPr>
        <w:t>Implementing environmental flows with benefits for society and different wetland ecosystems in the river system</w:t>
      </w:r>
      <w:r w:rsidR="007B629E">
        <w:t xml:space="preserve">, </w:t>
      </w:r>
      <w:r w:rsidR="004E42E9" w:rsidRPr="008B3841">
        <w:t xml:space="preserve">derived from a more comprehensive technical </w:t>
      </w:r>
      <w:r w:rsidR="00CE678B" w:rsidRPr="008B3841">
        <w:t xml:space="preserve">report on environmental flows </w:t>
      </w:r>
      <w:r w:rsidR="007627FA" w:rsidRPr="008B3841">
        <w:t>issued by</w:t>
      </w:r>
      <w:r w:rsidR="004E42E9" w:rsidRPr="008B3841">
        <w:t xml:space="preserve"> WWF</w:t>
      </w:r>
      <w:r w:rsidR="009D561C">
        <w:t>-UK</w:t>
      </w:r>
      <w:r w:rsidR="007627FA" w:rsidRPr="008B3841">
        <w:t xml:space="preserve"> at the 20</w:t>
      </w:r>
      <w:r w:rsidR="007627FA" w:rsidRPr="0020021D">
        <w:t>th</w:t>
      </w:r>
      <w:r w:rsidR="000561A6">
        <w:t xml:space="preserve"> International </w:t>
      </w:r>
      <w:r w:rsidR="000561A6" w:rsidRPr="008B3841">
        <w:t>River</w:t>
      </w:r>
      <w:r w:rsidR="000561A6" w:rsidRPr="0020021D">
        <w:rPr>
          <w:i/>
        </w:rPr>
        <w:t>s</w:t>
      </w:r>
      <w:r w:rsidR="007627FA" w:rsidRPr="0020021D">
        <w:rPr>
          <w:i/>
        </w:rPr>
        <w:t>ymposium</w:t>
      </w:r>
      <w:r w:rsidR="007627FA" w:rsidRPr="008B3841">
        <w:t xml:space="preserve"> in 2017 in Brisbane, Australia</w:t>
      </w:r>
      <w:r w:rsidR="00946070">
        <w:t xml:space="preserve">, </w:t>
      </w:r>
      <w:r w:rsidR="0098291C">
        <w:t>entitled</w:t>
      </w:r>
      <w:r w:rsidR="007627FA" w:rsidRPr="008B3841">
        <w:t xml:space="preserve"> </w:t>
      </w:r>
      <w:r w:rsidR="007627FA" w:rsidRPr="007B629E">
        <w:rPr>
          <w:i/>
        </w:rPr>
        <w:t>Listen to the river: Lessons from a global review of environmental flow success stories</w:t>
      </w:r>
      <w:r w:rsidR="007B629E">
        <w:t xml:space="preserve">, was delivered </w:t>
      </w:r>
      <w:r w:rsidR="002964CD">
        <w:t>to the Secretariat for production</w:t>
      </w:r>
      <w:r w:rsidR="007B629E">
        <w:t xml:space="preserve"> at the end of STRP21.</w:t>
      </w:r>
    </w:p>
    <w:p w14:paraId="061804A9" w14:textId="77777777" w:rsidR="005B2F75" w:rsidRPr="008B3841" w:rsidRDefault="005B2F75" w:rsidP="00684ACE">
      <w:pPr>
        <w:pStyle w:val="ListParagraph"/>
        <w:ind w:left="426" w:hanging="426"/>
      </w:pPr>
    </w:p>
    <w:p w14:paraId="6277855C" w14:textId="77777777" w:rsidR="00946070" w:rsidRPr="00946070" w:rsidRDefault="00C25CA9" w:rsidP="00C34061">
      <w:pPr>
        <w:pStyle w:val="ListParagraph"/>
        <w:ind w:left="426" w:hanging="426"/>
        <w:rPr>
          <w:u w:val="single"/>
        </w:rPr>
      </w:pPr>
      <w:r w:rsidRPr="0098291C">
        <w:rPr>
          <w:u w:val="single"/>
        </w:rPr>
        <w:t>Task 4.2</w:t>
      </w:r>
      <w:r w:rsidR="00946070" w:rsidRPr="00946070">
        <w:rPr>
          <w:u w:val="single"/>
        </w:rPr>
        <w:t>:</w:t>
      </w:r>
      <w:r w:rsidR="00667409" w:rsidRPr="0098291C">
        <w:rPr>
          <w:u w:val="single"/>
        </w:rPr>
        <w:t xml:space="preserve"> </w:t>
      </w:r>
      <w:r w:rsidR="007627FA" w:rsidRPr="0098291C">
        <w:rPr>
          <w:u w:val="single"/>
        </w:rPr>
        <w:t>Review and analysis of Ramsar Advisory Missions (RAMs) Reports</w:t>
      </w:r>
      <w:r w:rsidR="00542B80" w:rsidRPr="0098291C">
        <w:rPr>
          <w:u w:val="single"/>
        </w:rPr>
        <w:t xml:space="preserve"> </w:t>
      </w:r>
    </w:p>
    <w:p w14:paraId="1E43FC95" w14:textId="77777777" w:rsidR="00946070" w:rsidRPr="008B3841" w:rsidRDefault="00946070" w:rsidP="00C34061">
      <w:pPr>
        <w:pStyle w:val="ListParagraph"/>
        <w:ind w:left="426" w:hanging="426"/>
      </w:pPr>
    </w:p>
    <w:p w14:paraId="313D91A8" w14:textId="77777777" w:rsidR="00C25CA9" w:rsidRPr="008B3841" w:rsidRDefault="005B4A70" w:rsidP="0098291C">
      <w:r w:rsidRPr="005B4A70">
        <w:t>12.</w:t>
      </w:r>
      <w:r w:rsidRPr="005B4A70">
        <w:tab/>
      </w:r>
      <w:r w:rsidR="00CE678B" w:rsidRPr="008B3841">
        <w:t xml:space="preserve">WWF has provided CHF 22,000 for this task. </w:t>
      </w:r>
      <w:r w:rsidR="006B3F45" w:rsidRPr="008B3841">
        <w:t xml:space="preserve">Two consultants, </w:t>
      </w:r>
      <w:r w:rsidR="005A083B" w:rsidRPr="008B3841">
        <w:t>Tim Jones and Dave Pritchard</w:t>
      </w:r>
      <w:r w:rsidR="006B3F45" w:rsidRPr="008B3841">
        <w:t>, were engaged to conduct a</w:t>
      </w:r>
      <w:r w:rsidR="004E42E9" w:rsidRPr="008B3841">
        <w:t xml:space="preserve"> review</w:t>
      </w:r>
      <w:r w:rsidR="00333625" w:rsidRPr="008B3841">
        <w:t xml:space="preserve"> and </w:t>
      </w:r>
      <w:r w:rsidR="003239E4" w:rsidRPr="008B3841">
        <w:t>analys</w:t>
      </w:r>
      <w:r w:rsidR="006B3F45" w:rsidRPr="008B3841">
        <w:t>is of</w:t>
      </w:r>
      <w:r w:rsidR="004E42E9" w:rsidRPr="008B3841">
        <w:t xml:space="preserve"> the reports of</w:t>
      </w:r>
      <w:r w:rsidR="00BA7A3B">
        <w:t xml:space="preserve"> RAMs</w:t>
      </w:r>
      <w:r w:rsidR="006B3F45" w:rsidRPr="008B3841">
        <w:t>.</w:t>
      </w:r>
      <w:r w:rsidR="00682B21">
        <w:t xml:space="preserve"> The final report was submitted to the Secretariat in January 2018</w:t>
      </w:r>
      <w:r w:rsidR="006B3F45" w:rsidRPr="008B3841">
        <w:t xml:space="preserve">. </w:t>
      </w:r>
      <w:r w:rsidR="004E42E9" w:rsidRPr="008B3841">
        <w:t>A</w:t>
      </w:r>
      <w:r w:rsidR="006F1C34" w:rsidRPr="008B3841">
        <w:t xml:space="preserve"> </w:t>
      </w:r>
      <w:r w:rsidR="00417407">
        <w:t xml:space="preserve">draft </w:t>
      </w:r>
      <w:r w:rsidR="006F1C34" w:rsidRPr="008B3841">
        <w:t>Policy Brief and</w:t>
      </w:r>
      <w:r w:rsidR="00417407">
        <w:t xml:space="preserve"> draft</w:t>
      </w:r>
      <w:r w:rsidR="006F1C34" w:rsidRPr="008B3841">
        <w:t xml:space="preserve"> Briefing Note</w:t>
      </w:r>
      <w:r w:rsidR="006B3F45" w:rsidRPr="008B3841">
        <w:t xml:space="preserve"> </w:t>
      </w:r>
      <w:r w:rsidR="00417407">
        <w:t xml:space="preserve">have been </w:t>
      </w:r>
      <w:r w:rsidR="006F1C34" w:rsidRPr="008B3841">
        <w:t>derived from the comprehensive analysis</w:t>
      </w:r>
      <w:r w:rsidR="004E42E9" w:rsidRPr="008B3841">
        <w:t>.</w:t>
      </w:r>
      <w:r w:rsidR="000F4F18">
        <w:t xml:space="preserve"> </w:t>
      </w:r>
      <w:r w:rsidR="000F4F18" w:rsidRPr="0098291C">
        <w:t xml:space="preserve">The </w:t>
      </w:r>
      <w:r w:rsidR="000F4F18">
        <w:t>draft Briefing Note will be circulated to</w:t>
      </w:r>
      <w:r w:rsidR="00BA7A3B">
        <w:t xml:space="preserve"> STRP</w:t>
      </w:r>
      <w:r w:rsidR="000F4F18">
        <w:t xml:space="preserve"> </w:t>
      </w:r>
      <w:r w:rsidR="00EC0883">
        <w:t xml:space="preserve">NFPs </w:t>
      </w:r>
      <w:r w:rsidR="000F4F18">
        <w:t>for feedback.</w:t>
      </w:r>
      <w:r w:rsidR="004E42E9" w:rsidRPr="008B3841">
        <w:t xml:space="preserve"> </w:t>
      </w:r>
      <w:r w:rsidR="002964CD">
        <w:t>It is expected that both draft</w:t>
      </w:r>
      <w:r w:rsidR="004A7E4B">
        <w:t>s</w:t>
      </w:r>
      <w:r w:rsidR="002964CD">
        <w:t xml:space="preserve"> </w:t>
      </w:r>
      <w:r w:rsidR="002654E8">
        <w:t xml:space="preserve">will </w:t>
      </w:r>
      <w:r w:rsidR="002964CD">
        <w:t>be publishe</w:t>
      </w:r>
      <w:r w:rsidR="000F4F18">
        <w:t>d</w:t>
      </w:r>
      <w:r w:rsidR="000F4F18" w:rsidRPr="0098291C">
        <w:t xml:space="preserve"> in </w:t>
      </w:r>
      <w:r w:rsidR="000F4F18">
        <w:t>the first quarter of 2018.</w:t>
      </w:r>
    </w:p>
    <w:p w14:paraId="2209B658" w14:textId="77777777" w:rsidR="005B2F75" w:rsidRPr="008B3841" w:rsidRDefault="005B2F75" w:rsidP="00684ACE">
      <w:pPr>
        <w:pStyle w:val="ListParagraph"/>
        <w:ind w:left="426" w:hanging="426"/>
      </w:pPr>
    </w:p>
    <w:p w14:paraId="69A51F6A" w14:textId="77777777" w:rsidR="00946070" w:rsidRPr="00946070" w:rsidRDefault="00C25CA9" w:rsidP="00C34061">
      <w:pPr>
        <w:pStyle w:val="ListParagraph"/>
        <w:ind w:left="426" w:hanging="426"/>
        <w:rPr>
          <w:u w:val="single"/>
        </w:rPr>
      </w:pPr>
      <w:r w:rsidRPr="0098291C">
        <w:rPr>
          <w:u w:val="single"/>
        </w:rPr>
        <w:t>Task 5.1</w:t>
      </w:r>
      <w:r w:rsidR="00946070">
        <w:rPr>
          <w:u w:val="single"/>
        </w:rPr>
        <w:t>:</w:t>
      </w:r>
      <w:r w:rsidR="00A02677" w:rsidRPr="0098291C">
        <w:rPr>
          <w:u w:val="single"/>
        </w:rPr>
        <w:t xml:space="preserve"> Promoting best practices in wetland restoration</w:t>
      </w:r>
      <w:r w:rsidR="005A083B" w:rsidRPr="0098291C">
        <w:rPr>
          <w:u w:val="single"/>
        </w:rPr>
        <w:t xml:space="preserve"> </w:t>
      </w:r>
    </w:p>
    <w:p w14:paraId="7EB3105A" w14:textId="77777777" w:rsidR="00946070" w:rsidRPr="008B3841" w:rsidRDefault="00946070" w:rsidP="00C34061">
      <w:pPr>
        <w:pStyle w:val="ListParagraph"/>
        <w:ind w:left="426" w:hanging="426"/>
      </w:pPr>
    </w:p>
    <w:p w14:paraId="36874DA6" w14:textId="77777777" w:rsidR="008869D6" w:rsidRPr="008B3841" w:rsidRDefault="005B4A70" w:rsidP="0098291C">
      <w:pPr>
        <w:rPr>
          <w:i/>
        </w:rPr>
      </w:pPr>
      <w:r w:rsidRPr="005B4A70">
        <w:t>13.</w:t>
      </w:r>
      <w:r w:rsidRPr="005B4A70">
        <w:tab/>
      </w:r>
      <w:r w:rsidR="00C3740C" w:rsidRPr="008B3841">
        <w:t xml:space="preserve">A </w:t>
      </w:r>
      <w:r w:rsidR="002964CD">
        <w:t xml:space="preserve">draft </w:t>
      </w:r>
      <w:r w:rsidR="00C3740C" w:rsidRPr="008B3841">
        <w:t xml:space="preserve">Briefing Note on </w:t>
      </w:r>
      <w:r w:rsidR="0096379F" w:rsidRPr="0096379F">
        <w:rPr>
          <w:i/>
        </w:rPr>
        <w:t>T</w:t>
      </w:r>
      <w:r w:rsidR="00352F8E" w:rsidRPr="0096379F">
        <w:rPr>
          <w:i/>
        </w:rPr>
        <w:t xml:space="preserve">he </w:t>
      </w:r>
      <w:r w:rsidR="0096379F" w:rsidRPr="0096379F">
        <w:rPr>
          <w:i/>
        </w:rPr>
        <w:t>p</w:t>
      </w:r>
      <w:r w:rsidR="00C3740C" w:rsidRPr="0096379F">
        <w:rPr>
          <w:i/>
        </w:rPr>
        <w:t>otential</w:t>
      </w:r>
      <w:r w:rsidR="00C3740C" w:rsidRPr="00417407">
        <w:rPr>
          <w:i/>
        </w:rPr>
        <w:t xml:space="preserve"> and </w:t>
      </w:r>
      <w:r w:rsidR="0096379F" w:rsidRPr="0096379F">
        <w:rPr>
          <w:i/>
        </w:rPr>
        <w:t>rationale</w:t>
      </w:r>
      <w:r w:rsidR="00C3740C" w:rsidRPr="00417407">
        <w:rPr>
          <w:i/>
        </w:rPr>
        <w:t xml:space="preserve"> for </w:t>
      </w:r>
      <w:r w:rsidR="0096379F" w:rsidRPr="0096379F">
        <w:rPr>
          <w:i/>
        </w:rPr>
        <w:t>wetland restoration</w:t>
      </w:r>
      <w:r w:rsidR="00C3740C" w:rsidRPr="00417407">
        <w:rPr>
          <w:i/>
        </w:rPr>
        <w:t xml:space="preserve"> in a </w:t>
      </w:r>
      <w:r w:rsidR="0096379F" w:rsidRPr="0096379F">
        <w:rPr>
          <w:i/>
        </w:rPr>
        <w:t>climate change context</w:t>
      </w:r>
      <w:r w:rsidR="00425317">
        <w:rPr>
          <w:i/>
        </w:rPr>
        <w:t xml:space="preserve">, </w:t>
      </w:r>
      <w:r w:rsidR="00425317" w:rsidRPr="00425317">
        <w:t>which</w:t>
      </w:r>
      <w:r w:rsidR="00352F8E" w:rsidRPr="008B3841">
        <w:t xml:space="preserve"> </w:t>
      </w:r>
      <w:r w:rsidR="000F4F18">
        <w:t>has been shared with STRP</w:t>
      </w:r>
      <w:r w:rsidR="00EC0883">
        <w:t xml:space="preserve"> NFPs</w:t>
      </w:r>
      <w:r w:rsidR="00425317">
        <w:t xml:space="preserve">, </w:t>
      </w:r>
      <w:r w:rsidR="00E25E30" w:rsidRPr="008B3841">
        <w:t>was</w:t>
      </w:r>
      <w:r w:rsidR="00352F8E" w:rsidRPr="008B3841">
        <w:t xml:space="preserve"> </w:t>
      </w:r>
      <w:r w:rsidR="002964CD">
        <w:t>refined du</w:t>
      </w:r>
      <w:r w:rsidR="00425317">
        <w:t xml:space="preserve">ring STRP21. The draft </w:t>
      </w:r>
      <w:r w:rsidR="00417407">
        <w:t>is expected to</w:t>
      </w:r>
      <w:r w:rsidR="00417407" w:rsidRPr="0098291C">
        <w:t xml:space="preserve"> </w:t>
      </w:r>
      <w:r w:rsidR="002964CD" w:rsidRPr="0098291C">
        <w:t>b</w:t>
      </w:r>
      <w:r w:rsidR="00417407" w:rsidRPr="0098291C">
        <w:t>e</w:t>
      </w:r>
      <w:r w:rsidR="002964CD" w:rsidRPr="0098291C">
        <w:t xml:space="preserve"> </w:t>
      </w:r>
      <w:r w:rsidR="002964CD">
        <w:t>delivered to the Secretariat by mid-February</w:t>
      </w:r>
      <w:r w:rsidR="0054560C">
        <w:t xml:space="preserve"> 2018</w:t>
      </w:r>
      <w:r w:rsidR="002964CD">
        <w:t xml:space="preserve">. </w:t>
      </w:r>
    </w:p>
    <w:p w14:paraId="7FBAA401" w14:textId="77777777" w:rsidR="00DA6E71" w:rsidRPr="008B3841" w:rsidRDefault="00DA6E71" w:rsidP="00684ACE"/>
    <w:p w14:paraId="3632BE3D" w14:textId="77777777" w:rsidR="00065F4C" w:rsidRPr="008B3841" w:rsidRDefault="00065F4C" w:rsidP="00425317">
      <w:pPr>
        <w:tabs>
          <w:tab w:val="left" w:pos="270"/>
        </w:tabs>
        <w:ind w:left="360" w:hanging="360"/>
        <w:rPr>
          <w:b/>
        </w:rPr>
      </w:pPr>
      <w:r w:rsidRPr="008B3841">
        <w:rPr>
          <w:b/>
        </w:rPr>
        <w:t>Update on lower priority tasks</w:t>
      </w:r>
    </w:p>
    <w:p w14:paraId="53B8F803" w14:textId="77777777" w:rsidR="005B2F75" w:rsidRPr="008B3841" w:rsidRDefault="005B2F75" w:rsidP="00425317">
      <w:pPr>
        <w:tabs>
          <w:tab w:val="left" w:pos="270"/>
        </w:tabs>
        <w:ind w:left="360" w:hanging="360"/>
        <w:rPr>
          <w:b/>
        </w:rPr>
      </w:pPr>
    </w:p>
    <w:p w14:paraId="7A0F5A5C" w14:textId="77777777" w:rsidR="00804F25" w:rsidRPr="00425317" w:rsidRDefault="005B4A70" w:rsidP="00425317">
      <w:pPr>
        <w:tabs>
          <w:tab w:val="left" w:pos="426"/>
        </w:tabs>
        <w:rPr>
          <w:rFonts w:ascii="Times" w:eastAsiaTheme="minorHAnsi" w:hAnsi="Times"/>
          <w:sz w:val="20"/>
          <w:szCs w:val="20"/>
          <w:lang w:val="en-US"/>
        </w:rPr>
      </w:pPr>
      <w:r w:rsidRPr="00682B21">
        <w:t>14.</w:t>
      </w:r>
      <w:r w:rsidR="00FC369F" w:rsidRPr="00682B21">
        <w:t xml:space="preserve"> </w:t>
      </w:r>
      <w:r w:rsidR="00EE5B9C" w:rsidRPr="00682B21">
        <w:t>In light</w:t>
      </w:r>
      <w:r w:rsidR="00EE5B9C" w:rsidRPr="0098291C">
        <w:t xml:space="preserve"> of the progress </w:t>
      </w:r>
      <w:r w:rsidR="00BA7A3B" w:rsidRPr="00BA7A3B">
        <w:t xml:space="preserve">made </w:t>
      </w:r>
      <w:r w:rsidR="00EE5B9C" w:rsidRPr="00BA7A3B">
        <w:t>with</w:t>
      </w:r>
      <w:r w:rsidR="00EE5B9C" w:rsidRPr="0098291C">
        <w:t xml:space="preserve"> high priority tasks</w:t>
      </w:r>
      <w:r w:rsidR="00804F25" w:rsidRPr="0098291C">
        <w:t xml:space="preserve">, </w:t>
      </w:r>
      <w:r w:rsidR="00804F25" w:rsidRPr="00BA7A3B">
        <w:t>a number</w:t>
      </w:r>
      <w:r w:rsidR="00804F25" w:rsidRPr="0098291C">
        <w:t xml:space="preserve"> of </w:t>
      </w:r>
      <w:r w:rsidR="00804F25" w:rsidRPr="00BA7A3B">
        <w:t>low priority</w:t>
      </w:r>
      <w:r w:rsidR="00804F25" w:rsidRPr="0098291C">
        <w:t xml:space="preserve"> tasks</w:t>
      </w:r>
      <w:r w:rsidR="00804F25" w:rsidRPr="00BA7A3B">
        <w:t xml:space="preserve">, requiring limited time and resources, have been progressed voluntarily, including: </w:t>
      </w:r>
    </w:p>
    <w:p w14:paraId="3A0A825E" w14:textId="77777777" w:rsidR="00BA7A3B" w:rsidRPr="00BA7A3B" w:rsidRDefault="00BA7A3B" w:rsidP="00BA7A3B">
      <w:pPr>
        <w:pStyle w:val="ListParagraph"/>
        <w:tabs>
          <w:tab w:val="left" w:pos="426"/>
        </w:tabs>
        <w:ind w:left="426"/>
        <w:rPr>
          <w:rFonts w:ascii="Times" w:eastAsiaTheme="minorHAnsi" w:hAnsi="Times"/>
          <w:sz w:val="20"/>
          <w:szCs w:val="20"/>
          <w:lang w:val="en-US"/>
        </w:rPr>
      </w:pPr>
    </w:p>
    <w:p w14:paraId="40382F3C" w14:textId="77777777" w:rsidR="00804F25" w:rsidRPr="00BA7A3B" w:rsidRDefault="00804F25" w:rsidP="0054560C">
      <w:pPr>
        <w:pStyle w:val="ListParagraph"/>
        <w:numPr>
          <w:ilvl w:val="0"/>
          <w:numId w:val="19"/>
        </w:numPr>
        <w:tabs>
          <w:tab w:val="left" w:pos="426"/>
        </w:tabs>
        <w:ind w:hanging="294"/>
        <w:rPr>
          <w:rFonts w:asciiTheme="minorHAnsi" w:eastAsiaTheme="minorHAnsi" w:hAnsiTheme="minorHAnsi"/>
          <w:lang w:val="en-US"/>
        </w:rPr>
      </w:pPr>
      <w:r w:rsidRPr="00BA7A3B">
        <w:rPr>
          <w:rFonts w:asciiTheme="minorHAnsi" w:eastAsiaTheme="minorHAnsi" w:hAnsiTheme="minorHAnsi"/>
          <w:i/>
          <w:lang w:val="en-US"/>
        </w:rPr>
        <w:t>Task 2.2</w:t>
      </w:r>
      <w:r w:rsidR="0054560C" w:rsidRPr="00BA7A3B">
        <w:rPr>
          <w:rFonts w:asciiTheme="minorHAnsi" w:eastAsiaTheme="minorHAnsi" w:hAnsiTheme="minorHAnsi"/>
          <w:i/>
          <w:lang w:val="en-US"/>
        </w:rPr>
        <w:t>,</w:t>
      </w:r>
      <w:r w:rsidRPr="00BA7A3B">
        <w:rPr>
          <w:rFonts w:asciiTheme="minorHAnsi" w:eastAsiaTheme="minorHAnsi" w:hAnsiTheme="minorHAnsi"/>
          <w:i/>
          <w:lang w:val="en-US"/>
        </w:rPr>
        <w:t xml:space="preserve"> </w:t>
      </w:r>
      <w:r w:rsidR="0054560C" w:rsidRPr="00BA7A3B">
        <w:rPr>
          <w:rFonts w:asciiTheme="minorHAnsi" w:eastAsiaTheme="minorHAnsi" w:hAnsiTheme="minorHAnsi"/>
          <w:i/>
          <w:lang w:val="en-US"/>
        </w:rPr>
        <w:t xml:space="preserve">Wetland management to reduce </w:t>
      </w:r>
      <w:r w:rsidR="0054560C" w:rsidRPr="0098291C">
        <w:rPr>
          <w:rFonts w:asciiTheme="minorHAnsi" w:hAnsiTheme="minorHAnsi"/>
          <w:i/>
          <w:lang w:val="en-US"/>
        </w:rPr>
        <w:t xml:space="preserve">the </w:t>
      </w:r>
      <w:r w:rsidR="0054560C" w:rsidRPr="00BA7A3B">
        <w:rPr>
          <w:rFonts w:asciiTheme="minorHAnsi" w:eastAsiaTheme="minorHAnsi" w:hAnsiTheme="minorHAnsi"/>
          <w:i/>
          <w:lang w:val="en-US"/>
        </w:rPr>
        <w:t>risk of waterborne and aquatic-vector borne diseases</w:t>
      </w:r>
      <w:r w:rsidR="0054560C" w:rsidRPr="00BA7A3B">
        <w:rPr>
          <w:rFonts w:asciiTheme="minorHAnsi" w:eastAsiaTheme="minorHAnsi" w:hAnsiTheme="minorHAnsi"/>
          <w:lang w:val="en-US"/>
        </w:rPr>
        <w:t xml:space="preserve">: </w:t>
      </w:r>
      <w:r w:rsidR="00BA7A3B">
        <w:rPr>
          <w:rFonts w:asciiTheme="minorHAnsi" w:eastAsiaTheme="minorHAnsi" w:hAnsiTheme="minorHAnsi"/>
          <w:lang w:val="en-US"/>
        </w:rPr>
        <w:t>A</w:t>
      </w:r>
      <w:r w:rsidR="0054560C" w:rsidRPr="00BA7A3B">
        <w:rPr>
          <w:rFonts w:asciiTheme="minorHAnsi" w:eastAsiaTheme="minorHAnsi" w:hAnsiTheme="minorHAnsi"/>
          <w:lang w:val="en-US"/>
        </w:rPr>
        <w:t xml:space="preserve"> draft Policy Brief was refined during STRP21 and </w:t>
      </w:r>
      <w:r w:rsidR="00A97C27">
        <w:rPr>
          <w:rFonts w:asciiTheme="minorHAnsi" w:eastAsiaTheme="minorHAnsi" w:hAnsiTheme="minorHAnsi"/>
          <w:lang w:val="en-US"/>
        </w:rPr>
        <w:t>should</w:t>
      </w:r>
      <w:r w:rsidR="0054560C" w:rsidRPr="00BA7A3B">
        <w:rPr>
          <w:rFonts w:asciiTheme="minorHAnsi" w:eastAsiaTheme="minorHAnsi" w:hAnsiTheme="minorHAnsi"/>
          <w:lang w:val="en-US"/>
        </w:rPr>
        <w:t xml:space="preserve"> be available online for STRP consultation in February 2018. A final draft is expected to be submitted to the Secretariat </w:t>
      </w:r>
      <w:r w:rsidR="002654E8">
        <w:rPr>
          <w:rFonts w:asciiTheme="minorHAnsi" w:eastAsiaTheme="minorHAnsi" w:hAnsiTheme="minorHAnsi"/>
          <w:lang w:val="en-US"/>
        </w:rPr>
        <w:t>in the first quarter of</w:t>
      </w:r>
      <w:r w:rsidR="0054560C" w:rsidRPr="00BA7A3B">
        <w:rPr>
          <w:rFonts w:asciiTheme="minorHAnsi" w:eastAsiaTheme="minorHAnsi" w:hAnsiTheme="minorHAnsi"/>
          <w:lang w:val="en-US"/>
        </w:rPr>
        <w:t xml:space="preserve"> 2018. </w:t>
      </w:r>
    </w:p>
    <w:p w14:paraId="4678D787" w14:textId="77777777" w:rsidR="0054560C" w:rsidRPr="00BA7A3B" w:rsidRDefault="0054560C" w:rsidP="0054560C">
      <w:pPr>
        <w:pStyle w:val="ListParagraph"/>
        <w:tabs>
          <w:tab w:val="left" w:pos="426"/>
        </w:tabs>
        <w:rPr>
          <w:rFonts w:asciiTheme="minorHAnsi" w:eastAsiaTheme="minorHAnsi" w:hAnsiTheme="minorHAnsi"/>
          <w:lang w:val="en-US"/>
        </w:rPr>
      </w:pPr>
    </w:p>
    <w:p w14:paraId="24F141DE" w14:textId="2F165D10" w:rsidR="00BA7A3B" w:rsidRPr="00BA7A3B" w:rsidRDefault="0054560C" w:rsidP="00BA7A3B">
      <w:pPr>
        <w:pStyle w:val="ListParagraph"/>
        <w:numPr>
          <w:ilvl w:val="0"/>
          <w:numId w:val="19"/>
        </w:numPr>
        <w:tabs>
          <w:tab w:val="left" w:pos="426"/>
        </w:tabs>
        <w:rPr>
          <w:rFonts w:asciiTheme="minorHAnsi" w:eastAsiaTheme="minorHAnsi" w:hAnsiTheme="minorHAnsi"/>
          <w:lang w:val="en-US"/>
        </w:rPr>
      </w:pPr>
      <w:r w:rsidRPr="00BA7A3B">
        <w:rPr>
          <w:rFonts w:asciiTheme="minorHAnsi" w:eastAsiaTheme="minorHAnsi" w:hAnsiTheme="minorHAnsi"/>
          <w:i/>
          <w:lang w:val="en-US"/>
        </w:rPr>
        <w:t>Task 2.6, Montreux Record</w:t>
      </w:r>
      <w:r w:rsidRPr="00BA7A3B">
        <w:rPr>
          <w:rFonts w:asciiTheme="minorHAnsi" w:eastAsiaTheme="minorHAnsi" w:hAnsiTheme="minorHAnsi"/>
          <w:lang w:val="en-US"/>
        </w:rPr>
        <w:t xml:space="preserve">: </w:t>
      </w:r>
      <w:r w:rsidR="00BA7A3B">
        <w:rPr>
          <w:rFonts w:asciiTheme="minorHAnsi" w:eastAsiaTheme="minorHAnsi" w:hAnsiTheme="minorHAnsi"/>
          <w:lang w:val="en-US"/>
        </w:rPr>
        <w:t>A</w:t>
      </w:r>
      <w:r w:rsidRPr="00BA7A3B">
        <w:rPr>
          <w:rFonts w:asciiTheme="minorHAnsi" w:eastAsiaTheme="minorHAnsi" w:hAnsiTheme="minorHAnsi"/>
          <w:lang w:val="en-US"/>
        </w:rPr>
        <w:t xml:space="preserve"> report on </w:t>
      </w:r>
      <w:r w:rsidRPr="00BA7A3B">
        <w:rPr>
          <w:i/>
        </w:rPr>
        <w:t>Change in ecological character of wetland sites – Ramsar guidance and mechanisms</w:t>
      </w:r>
      <w:r w:rsidRPr="00BA7A3B">
        <w:t xml:space="preserve">, produced </w:t>
      </w:r>
      <w:r w:rsidR="008513D4">
        <w:t>i</w:t>
      </w:r>
      <w:r w:rsidRPr="00BA7A3B">
        <w:t xml:space="preserve">n 2014 as part of the STRP 2013-2015 </w:t>
      </w:r>
      <w:r w:rsidRPr="0098291C">
        <w:t xml:space="preserve">work plan, </w:t>
      </w:r>
      <w:r w:rsidRPr="00BA7A3B">
        <w:t>has been uploaded to the Convention’s</w:t>
      </w:r>
      <w:r w:rsidR="00867F99">
        <w:t xml:space="preserve"> </w:t>
      </w:r>
      <w:r w:rsidRPr="00BA7A3B">
        <w:t xml:space="preserve">website, as part as the Ramsar Sites management toolkit (see Task 2.1) and can be downloaded here: </w:t>
      </w:r>
      <w:hyperlink r:id="rId10" w:history="1">
        <w:r w:rsidRPr="00BA7A3B">
          <w:rPr>
            <w:rStyle w:val="Hyperlink"/>
          </w:rPr>
          <w:t>https://www.ramsar.org/resources/recognising-and-assessing-threats-to-the-site</w:t>
        </w:r>
      </w:hyperlink>
      <w:r w:rsidR="00A97C27">
        <w:t>.</w:t>
      </w:r>
      <w:r w:rsidRPr="00BA7A3B">
        <w:t xml:space="preserve"> </w:t>
      </w:r>
    </w:p>
    <w:p w14:paraId="5678A3BC" w14:textId="77777777" w:rsidR="00BA7A3B" w:rsidRPr="00BA7A3B" w:rsidRDefault="00BA7A3B" w:rsidP="00BA7A3B">
      <w:pPr>
        <w:pStyle w:val="ListParagraph"/>
        <w:tabs>
          <w:tab w:val="left" w:pos="426"/>
        </w:tabs>
        <w:rPr>
          <w:rFonts w:asciiTheme="minorHAnsi" w:eastAsiaTheme="minorHAnsi" w:hAnsiTheme="minorHAnsi"/>
          <w:lang w:val="en-US"/>
        </w:rPr>
      </w:pPr>
    </w:p>
    <w:p w14:paraId="6D2E4513" w14:textId="77777777" w:rsidR="00692729" w:rsidRPr="00BA7A3B" w:rsidRDefault="00EE5B9C" w:rsidP="0098291C">
      <w:pPr>
        <w:pStyle w:val="ListParagraph"/>
        <w:numPr>
          <w:ilvl w:val="0"/>
          <w:numId w:val="19"/>
        </w:numPr>
        <w:tabs>
          <w:tab w:val="left" w:pos="426"/>
        </w:tabs>
        <w:rPr>
          <w:rFonts w:ascii="Times" w:hAnsi="Times"/>
          <w:sz w:val="20"/>
          <w:szCs w:val="20"/>
          <w:lang w:val="en-US"/>
        </w:rPr>
      </w:pPr>
      <w:r w:rsidRPr="00BA7A3B">
        <w:rPr>
          <w:i/>
          <w:lang w:val="en-US"/>
        </w:rPr>
        <w:t>Task 5.3</w:t>
      </w:r>
      <w:r w:rsidR="0054560C" w:rsidRPr="00BA7A3B">
        <w:rPr>
          <w:i/>
          <w:lang w:val="en-US"/>
        </w:rPr>
        <w:t xml:space="preserve">, </w:t>
      </w:r>
      <w:r w:rsidR="002676DE" w:rsidRPr="00BA7A3B">
        <w:rPr>
          <w:i/>
          <w:lang w:val="en-US"/>
        </w:rPr>
        <w:t>Advice for the 13th Meeting of the Conference of the Parties on practical methods for rewetting and restoring peatlands</w:t>
      </w:r>
      <w:r w:rsidR="00C614A4" w:rsidRPr="00BA7A3B">
        <w:rPr>
          <w:lang w:val="en-US"/>
        </w:rPr>
        <w:t>: During STRP21</w:t>
      </w:r>
      <w:r w:rsidR="00BA7A3B">
        <w:rPr>
          <w:lang w:val="en-US"/>
        </w:rPr>
        <w:t>,</w:t>
      </w:r>
      <w:r w:rsidR="00C614A4" w:rsidRPr="00BA7A3B">
        <w:rPr>
          <w:lang w:val="en-US"/>
        </w:rPr>
        <w:t xml:space="preserve"> the Panel further refined a Draft </w:t>
      </w:r>
      <w:r w:rsidR="00C614A4" w:rsidRPr="00BA7A3B">
        <w:rPr>
          <w:lang w:val="en-US"/>
        </w:rPr>
        <w:lastRenderedPageBreak/>
        <w:t xml:space="preserve">Resolution on </w:t>
      </w:r>
      <w:r w:rsidR="00C614A4" w:rsidRPr="00BA7A3B">
        <w:rPr>
          <w:i/>
          <w:lang w:val="en-US"/>
        </w:rPr>
        <w:t>Restoration of degraded peatlands to mitigate and adapt to climate change and enhance biodiversity</w:t>
      </w:r>
      <w:r w:rsidR="00C614A4" w:rsidRPr="00BA7A3B">
        <w:rPr>
          <w:lang w:val="en-US"/>
        </w:rPr>
        <w:t xml:space="preserve">. The Draft Resolution has been submitted to the Secretariat. The Panel also progressed a draft Ramsar Technical Report on </w:t>
      </w:r>
      <w:r w:rsidR="00C614A4" w:rsidRPr="00BA7A3B">
        <w:rPr>
          <w:i/>
          <w:lang w:val="en-US"/>
        </w:rPr>
        <w:t>Peatland restoration and rewetting methodologies</w:t>
      </w:r>
      <w:r w:rsidR="00C614A4" w:rsidRPr="00BA7A3B">
        <w:rPr>
          <w:lang w:val="en-US"/>
        </w:rPr>
        <w:t>, wh</w:t>
      </w:r>
      <w:r w:rsidR="001539AF" w:rsidRPr="00BA7A3B">
        <w:rPr>
          <w:lang w:val="en-US"/>
        </w:rPr>
        <w:t>ich</w:t>
      </w:r>
      <w:r w:rsidR="001539AF" w:rsidRPr="0098291C">
        <w:rPr>
          <w:lang w:val="en-US"/>
        </w:rPr>
        <w:t xml:space="preserve"> will be </w:t>
      </w:r>
      <w:r w:rsidR="001539AF" w:rsidRPr="00BA7A3B">
        <w:rPr>
          <w:lang w:val="en-US"/>
        </w:rPr>
        <w:t xml:space="preserve">delivered to the Secretariat in the second quarter of 2018. </w:t>
      </w:r>
    </w:p>
    <w:p w14:paraId="231CEBAE" w14:textId="77777777" w:rsidR="00DA6E71" w:rsidRPr="008B3841" w:rsidRDefault="00DA6E71" w:rsidP="00682B21">
      <w:pPr>
        <w:tabs>
          <w:tab w:val="left" w:pos="270"/>
        </w:tabs>
        <w:ind w:left="0" w:firstLine="0"/>
        <w:rPr>
          <w:rFonts w:ascii="Times" w:eastAsiaTheme="minorHAnsi" w:hAnsi="Times"/>
          <w:sz w:val="20"/>
          <w:szCs w:val="20"/>
          <w:lang w:val="en-US"/>
        </w:rPr>
      </w:pPr>
    </w:p>
    <w:p w14:paraId="278A3CC4" w14:textId="77777777" w:rsidR="00425317" w:rsidRPr="00425317" w:rsidRDefault="00CC1A24" w:rsidP="00425317">
      <w:pPr>
        <w:tabs>
          <w:tab w:val="left" w:pos="270"/>
        </w:tabs>
        <w:rPr>
          <w:b/>
        </w:rPr>
      </w:pPr>
      <w:r w:rsidRPr="008B3841">
        <w:rPr>
          <w:b/>
        </w:rPr>
        <w:t xml:space="preserve">Update on ad-hoc advisory tasks </w:t>
      </w:r>
    </w:p>
    <w:p w14:paraId="7D49FAC6" w14:textId="77777777" w:rsidR="005B2F75" w:rsidRDefault="005B2F75" w:rsidP="00425317">
      <w:pPr>
        <w:ind w:left="0" w:firstLine="0"/>
      </w:pPr>
    </w:p>
    <w:p w14:paraId="1A267A63" w14:textId="77777777" w:rsidR="00425317" w:rsidRPr="00682B21" w:rsidRDefault="00425317" w:rsidP="00425317">
      <w:pPr>
        <w:ind w:left="0" w:firstLine="0"/>
        <w:rPr>
          <w:u w:val="single"/>
        </w:rPr>
      </w:pPr>
      <w:r w:rsidRPr="00682B21">
        <w:rPr>
          <w:rFonts w:asciiTheme="minorHAnsi" w:hAnsiTheme="minorHAnsi"/>
          <w:u w:val="single"/>
        </w:rPr>
        <w:t>Draft resolutions prepared by Contracting Parties</w:t>
      </w:r>
    </w:p>
    <w:p w14:paraId="5131F690" w14:textId="77777777" w:rsidR="00425317" w:rsidRDefault="00425317" w:rsidP="0098291C">
      <w:pPr>
        <w:pStyle w:val="ListParagraph"/>
        <w:ind w:left="426"/>
        <w:rPr>
          <w:rFonts w:asciiTheme="minorHAnsi" w:hAnsiTheme="minorHAnsi"/>
          <w:i/>
        </w:rPr>
      </w:pPr>
    </w:p>
    <w:p w14:paraId="04CCE0E9" w14:textId="041AC83A" w:rsidR="005841CC" w:rsidRPr="0098291C" w:rsidRDefault="00425317" w:rsidP="0098291C">
      <w:pPr>
        <w:pStyle w:val="ListParagraph"/>
        <w:numPr>
          <w:ilvl w:val="0"/>
          <w:numId w:val="27"/>
        </w:numPr>
        <w:ind w:left="426" w:hanging="426"/>
        <w:rPr>
          <w:rFonts w:asciiTheme="minorHAnsi" w:hAnsiTheme="minorHAnsi"/>
        </w:rPr>
      </w:pPr>
      <w:r>
        <w:rPr>
          <w:rFonts w:asciiTheme="minorHAnsi" w:hAnsiTheme="minorHAnsi"/>
        </w:rPr>
        <w:t xml:space="preserve">At STRP21, the </w:t>
      </w:r>
      <w:r w:rsidR="005841CC" w:rsidRPr="000F4F18">
        <w:rPr>
          <w:rFonts w:asciiTheme="minorHAnsi" w:hAnsiTheme="minorHAnsi"/>
        </w:rPr>
        <w:t>Secretariat reported that Contracting Parties are preparing several draft resolutions that have scientific and technical components and/or contemplate STRP action. STRP point persons were designated for each draft resolution. Once each draft resolution has been formally submitted to the Secretariat by the 22 February 2018 deadline, the relevant STRP point person will lead the (online) discussions to develop STRP comments. The STRP Chair will provide these comments at SC54.</w:t>
      </w:r>
      <w:r w:rsidR="00867F99">
        <w:rPr>
          <w:rFonts w:asciiTheme="minorHAnsi" w:hAnsiTheme="minorHAnsi"/>
        </w:rPr>
        <w:t xml:space="preserve">  </w:t>
      </w:r>
    </w:p>
    <w:p w14:paraId="42DD0204" w14:textId="77777777" w:rsidR="00CE27ED" w:rsidRPr="004D0A2C" w:rsidRDefault="00CE27ED" w:rsidP="004D0A2C">
      <w:pPr>
        <w:tabs>
          <w:tab w:val="left" w:pos="270"/>
        </w:tabs>
        <w:ind w:left="360" w:hanging="360"/>
        <w:rPr>
          <w:b/>
        </w:rPr>
      </w:pPr>
    </w:p>
    <w:p w14:paraId="17637888" w14:textId="77777777" w:rsidR="00CE27ED" w:rsidRPr="00CE27ED" w:rsidRDefault="007E0DC5" w:rsidP="00FC369F">
      <w:pPr>
        <w:pStyle w:val="ListParagraph"/>
        <w:ind w:left="426"/>
        <w:rPr>
          <w:rFonts w:asciiTheme="minorHAnsi" w:hAnsiTheme="minorHAnsi"/>
          <w:u w:val="single"/>
        </w:rPr>
      </w:pPr>
      <w:r w:rsidRPr="0098291C">
        <w:rPr>
          <w:rFonts w:asciiTheme="minorHAnsi" w:hAnsiTheme="minorHAnsi"/>
          <w:u w:val="single"/>
        </w:rPr>
        <w:t>Emerging issues</w:t>
      </w:r>
    </w:p>
    <w:p w14:paraId="5E13B4BF" w14:textId="77777777" w:rsidR="00CE27ED" w:rsidRPr="008B3841" w:rsidRDefault="00CE27ED" w:rsidP="00FC369F">
      <w:pPr>
        <w:pStyle w:val="ListParagraph"/>
        <w:ind w:left="426"/>
        <w:rPr>
          <w:rFonts w:asciiTheme="minorHAnsi" w:hAnsiTheme="minorHAnsi"/>
        </w:rPr>
      </w:pPr>
    </w:p>
    <w:p w14:paraId="3509FE32" w14:textId="60F2D44D" w:rsidR="007E0DC5" w:rsidRPr="008B3841" w:rsidRDefault="00CE27ED" w:rsidP="0098291C">
      <w:pPr>
        <w:rPr>
          <w:rFonts w:cs="Arial"/>
          <w:color w:val="191919"/>
          <w:lang w:val="en-US"/>
        </w:rPr>
      </w:pPr>
      <w:r>
        <w:rPr>
          <w:rFonts w:asciiTheme="minorHAnsi" w:hAnsiTheme="minorHAnsi"/>
        </w:rPr>
        <w:t>16.</w:t>
      </w:r>
      <w:r>
        <w:rPr>
          <w:rFonts w:asciiTheme="minorHAnsi" w:hAnsiTheme="minorHAnsi"/>
        </w:rPr>
        <w:tab/>
      </w:r>
      <w:r w:rsidR="007E0DC5" w:rsidRPr="008B3841">
        <w:rPr>
          <w:rFonts w:asciiTheme="minorHAnsi" w:hAnsiTheme="minorHAnsi"/>
        </w:rPr>
        <w:t>STRP20 discussed t</w:t>
      </w:r>
      <w:r w:rsidR="007E0DC5" w:rsidRPr="008B3841">
        <w:rPr>
          <w:rFonts w:cs="Arial"/>
          <w:color w:val="191919"/>
          <w:lang w:val="en-US"/>
        </w:rPr>
        <w:t xml:space="preserve">he </w:t>
      </w:r>
      <w:r w:rsidR="00682B21">
        <w:rPr>
          <w:rFonts w:cs="Arial"/>
          <w:color w:val="191919"/>
          <w:lang w:val="en-US"/>
        </w:rPr>
        <w:t xml:space="preserve">ongoing </w:t>
      </w:r>
      <w:r w:rsidR="007E0DC5" w:rsidRPr="008B3841">
        <w:rPr>
          <w:rFonts w:cs="Arial"/>
          <w:color w:val="191919"/>
          <w:lang w:val="en-US"/>
        </w:rPr>
        <w:t xml:space="preserve">infection of </w:t>
      </w:r>
      <w:r w:rsidR="00216B90" w:rsidRPr="008B3841">
        <w:rPr>
          <w:rFonts w:cs="Arial"/>
          <w:color w:val="191919"/>
          <w:lang w:val="en-US"/>
        </w:rPr>
        <w:t xml:space="preserve">a range of </w:t>
      </w:r>
      <w:r w:rsidR="007E0DC5" w:rsidRPr="008B3841">
        <w:rPr>
          <w:rFonts w:cs="Arial"/>
          <w:color w:val="191919"/>
          <w:lang w:val="en-US"/>
        </w:rPr>
        <w:t>highly pathogenic avian influenza</w:t>
      </w:r>
      <w:r w:rsidR="00216B90" w:rsidRPr="008B3841">
        <w:rPr>
          <w:rFonts w:cs="Arial"/>
          <w:color w:val="191919"/>
          <w:lang w:val="en-US"/>
        </w:rPr>
        <w:t xml:space="preserve"> viruses</w:t>
      </w:r>
      <w:r w:rsidR="002E32B8" w:rsidRPr="008B3841">
        <w:rPr>
          <w:rFonts w:cs="Arial"/>
          <w:color w:val="191919"/>
          <w:lang w:val="en-US"/>
        </w:rPr>
        <w:t xml:space="preserve">. </w:t>
      </w:r>
      <w:r w:rsidR="007E0DC5" w:rsidRPr="008B3841">
        <w:rPr>
          <w:rFonts w:cs="Arial"/>
          <w:color w:val="191919"/>
          <w:lang w:val="en-US"/>
        </w:rPr>
        <w:t xml:space="preserve">It was recalled that Ramsar had adopted a </w:t>
      </w:r>
      <w:r w:rsidR="00682B21">
        <w:rPr>
          <w:rFonts w:cs="Arial"/>
          <w:color w:val="191919"/>
          <w:lang w:val="en-US"/>
        </w:rPr>
        <w:t xml:space="preserve">comprehensive </w:t>
      </w:r>
      <w:r w:rsidR="007E0DC5" w:rsidRPr="008B3841">
        <w:rPr>
          <w:rFonts w:cs="Arial"/>
          <w:color w:val="191919"/>
          <w:lang w:val="en-US"/>
        </w:rPr>
        <w:t>guidance on appropriate responses to avian influen</w:t>
      </w:r>
      <w:r w:rsidR="00DA57FF" w:rsidRPr="008B3841">
        <w:rPr>
          <w:rFonts w:cs="Arial"/>
          <w:color w:val="191919"/>
          <w:lang w:val="en-US"/>
        </w:rPr>
        <w:t xml:space="preserve">za </w:t>
      </w:r>
      <w:r w:rsidR="008B37C7">
        <w:rPr>
          <w:rFonts w:cs="Arial"/>
          <w:color w:val="191919"/>
          <w:lang w:val="en-US"/>
        </w:rPr>
        <w:t>through</w:t>
      </w:r>
      <w:r w:rsidR="00DA57FF" w:rsidRPr="008B3841">
        <w:rPr>
          <w:rFonts w:cs="Arial"/>
          <w:color w:val="191919"/>
          <w:lang w:val="en-US"/>
        </w:rPr>
        <w:t xml:space="preserve"> Resolution IX.23</w:t>
      </w:r>
      <w:r w:rsidR="00854B52">
        <w:rPr>
          <w:rFonts w:cs="Arial"/>
          <w:color w:val="191919"/>
          <w:lang w:val="en-US"/>
        </w:rPr>
        <w:t xml:space="preserve"> on</w:t>
      </w:r>
      <w:r w:rsidR="00BF5B49" w:rsidRPr="008B3841">
        <w:rPr>
          <w:rFonts w:cs="Arial"/>
          <w:color w:val="191919"/>
          <w:lang w:val="en-US"/>
        </w:rPr>
        <w:t xml:space="preserve"> </w:t>
      </w:r>
      <w:r w:rsidR="00BF5B49" w:rsidRPr="008B3841">
        <w:rPr>
          <w:rFonts w:cs="Arial"/>
          <w:i/>
          <w:color w:val="191919"/>
          <w:lang w:val="en-US"/>
        </w:rPr>
        <w:t>Highly pathogenic avian influenza and its consequences for wetland and waterbird conservation and wise use</w:t>
      </w:r>
      <w:r w:rsidR="00BF5B49" w:rsidRPr="008B3841">
        <w:rPr>
          <w:rFonts w:cs="Arial"/>
          <w:color w:val="191919"/>
          <w:lang w:val="en-US"/>
        </w:rPr>
        <w:t>,</w:t>
      </w:r>
      <w:r w:rsidR="00DA57FF" w:rsidRPr="008B3841">
        <w:rPr>
          <w:rFonts w:cs="Arial"/>
          <w:color w:val="191919"/>
          <w:lang w:val="en-US"/>
        </w:rPr>
        <w:t xml:space="preserve"> and</w:t>
      </w:r>
      <w:r w:rsidR="00854B52">
        <w:rPr>
          <w:rFonts w:cs="Arial"/>
          <w:color w:val="191919"/>
          <w:lang w:val="en-US"/>
        </w:rPr>
        <w:t xml:space="preserve"> Resolution</w:t>
      </w:r>
      <w:r w:rsidR="00DA57FF" w:rsidRPr="008B3841">
        <w:rPr>
          <w:rFonts w:cs="Arial"/>
          <w:color w:val="191919"/>
          <w:lang w:val="en-US"/>
        </w:rPr>
        <w:t xml:space="preserve"> X.21</w:t>
      </w:r>
      <w:r w:rsidR="00854B52">
        <w:rPr>
          <w:rFonts w:cs="Arial"/>
          <w:color w:val="191919"/>
          <w:lang w:val="en-US"/>
        </w:rPr>
        <w:t xml:space="preserve"> on</w:t>
      </w:r>
      <w:r w:rsidR="00BF5B49" w:rsidRPr="008B3841">
        <w:rPr>
          <w:rFonts w:cs="Arial"/>
          <w:color w:val="191919"/>
          <w:lang w:val="en-US"/>
        </w:rPr>
        <w:t xml:space="preserve"> </w:t>
      </w:r>
      <w:r w:rsidR="00BF5B49" w:rsidRPr="008B3841">
        <w:rPr>
          <w:rFonts w:cs="Arial"/>
          <w:i/>
          <w:color w:val="191919"/>
          <w:lang w:val="en-US"/>
        </w:rPr>
        <w:t>Guidance on responding to the continued spread of highly pathogenic avian influenza</w:t>
      </w:r>
      <w:r w:rsidR="00BF5B49" w:rsidRPr="008B3841">
        <w:rPr>
          <w:rFonts w:cs="Arial"/>
          <w:color w:val="191919"/>
          <w:lang w:val="en-US"/>
        </w:rPr>
        <w:t>,</w:t>
      </w:r>
      <w:r w:rsidR="007E0DC5" w:rsidRPr="008B3841">
        <w:rPr>
          <w:rFonts w:cs="Arial"/>
          <w:color w:val="191919"/>
          <w:lang w:val="en-US"/>
        </w:rPr>
        <w:t xml:space="preserve"> and </w:t>
      </w:r>
      <w:r w:rsidR="00A56949" w:rsidRPr="008B3841">
        <w:rPr>
          <w:rFonts w:cs="Arial"/>
          <w:color w:val="191919"/>
          <w:lang w:val="en-US"/>
        </w:rPr>
        <w:t xml:space="preserve">that </w:t>
      </w:r>
      <w:r w:rsidR="0026161A" w:rsidRPr="008B3841">
        <w:rPr>
          <w:rFonts w:cs="Arial"/>
          <w:color w:val="191919"/>
          <w:lang w:val="en-US"/>
        </w:rPr>
        <w:t>t</w:t>
      </w:r>
      <w:r w:rsidR="002E32B8" w:rsidRPr="008B3841">
        <w:rPr>
          <w:rFonts w:cs="Arial"/>
          <w:color w:val="191919"/>
          <w:lang w:val="en-US"/>
        </w:rPr>
        <w:t>his</w:t>
      </w:r>
      <w:r w:rsidR="0026161A" w:rsidRPr="008B3841">
        <w:rPr>
          <w:rFonts w:cs="Arial"/>
          <w:color w:val="191919"/>
          <w:lang w:val="en-US"/>
        </w:rPr>
        <w:t xml:space="preserve"> Ramsar guidance</w:t>
      </w:r>
      <w:r w:rsidR="007E0DC5" w:rsidRPr="008B3841">
        <w:rPr>
          <w:rFonts w:cs="Arial"/>
          <w:color w:val="191919"/>
          <w:lang w:val="en-US"/>
        </w:rPr>
        <w:t xml:space="preserve"> was supported by complementary guidance </w:t>
      </w:r>
      <w:r w:rsidR="008B37C7">
        <w:rPr>
          <w:rFonts w:cs="Arial"/>
          <w:color w:val="191919"/>
          <w:lang w:val="en-US"/>
        </w:rPr>
        <w:t>by</w:t>
      </w:r>
      <w:r w:rsidR="007E0DC5" w:rsidRPr="008B3841">
        <w:rPr>
          <w:rFonts w:cs="Arial"/>
          <w:color w:val="191919"/>
          <w:lang w:val="en-US"/>
        </w:rPr>
        <w:t xml:space="preserve"> the Convention on Migratory Species and the Africa</w:t>
      </w:r>
      <w:r w:rsidR="00DA57FF" w:rsidRPr="008B3841">
        <w:rPr>
          <w:rFonts w:cs="Arial"/>
          <w:color w:val="191919"/>
          <w:lang w:val="en-US"/>
        </w:rPr>
        <w:t>n</w:t>
      </w:r>
      <w:r w:rsidR="007E0DC5" w:rsidRPr="008B3841">
        <w:rPr>
          <w:rFonts w:cs="Arial"/>
          <w:color w:val="191919"/>
          <w:lang w:val="en-US"/>
        </w:rPr>
        <w:t xml:space="preserve">-Eurasian </w:t>
      </w:r>
      <w:r w:rsidR="00DA57FF" w:rsidRPr="008B3841">
        <w:rPr>
          <w:rFonts w:cs="Arial"/>
          <w:color w:val="191919"/>
          <w:lang w:val="en-US"/>
        </w:rPr>
        <w:t xml:space="preserve">Migratory </w:t>
      </w:r>
      <w:r w:rsidR="007E0DC5" w:rsidRPr="008B3841">
        <w:rPr>
          <w:rFonts w:cs="Arial"/>
          <w:color w:val="191919"/>
          <w:lang w:val="en-US"/>
        </w:rPr>
        <w:t>Waterbirds Agreement. The Panel agreed that there would be value in reminding Contracting Parties of this guidance, which stresses the need to ensure that responses do not inadvertently compromise the wise use of wetlands.</w:t>
      </w:r>
      <w:r w:rsidR="002E32B8" w:rsidRPr="008B3841">
        <w:rPr>
          <w:rFonts w:cs="Arial"/>
          <w:color w:val="191919"/>
          <w:lang w:val="en-US"/>
        </w:rPr>
        <w:t xml:space="preserve"> Furthermore, the Panel noted that lethal responses to wild birds are not supported by Ramsar </w:t>
      </w:r>
      <w:r w:rsidR="000C4662" w:rsidRPr="005B4A70">
        <w:rPr>
          <w:rFonts w:cs="Arial"/>
          <w:color w:val="191919"/>
          <w:lang w:val="en-US"/>
        </w:rPr>
        <w:t>guid</w:t>
      </w:r>
      <w:r w:rsidR="000C4662">
        <w:rPr>
          <w:rFonts w:cs="Arial"/>
          <w:color w:val="191919"/>
          <w:lang w:val="en-US"/>
        </w:rPr>
        <w:t>a</w:t>
      </w:r>
      <w:r w:rsidR="000C4662" w:rsidRPr="005B4A70">
        <w:rPr>
          <w:rFonts w:cs="Arial"/>
          <w:color w:val="191919"/>
          <w:lang w:val="en-US"/>
        </w:rPr>
        <w:t>nce</w:t>
      </w:r>
      <w:r w:rsidR="002E32B8" w:rsidRPr="008B3841">
        <w:rPr>
          <w:rFonts w:cs="Arial"/>
          <w:color w:val="191919"/>
          <w:lang w:val="en-US"/>
        </w:rPr>
        <w:t xml:space="preserve"> or by guidance </w:t>
      </w:r>
      <w:r w:rsidR="008B37C7">
        <w:rPr>
          <w:rFonts w:cs="Arial"/>
          <w:color w:val="191919"/>
          <w:lang w:val="en-US"/>
        </w:rPr>
        <w:t>by</w:t>
      </w:r>
      <w:r w:rsidR="008B37C7" w:rsidRPr="005B4A70">
        <w:rPr>
          <w:rFonts w:cs="Arial"/>
          <w:color w:val="191919"/>
          <w:lang w:val="en-US"/>
        </w:rPr>
        <w:t xml:space="preserve"> </w:t>
      </w:r>
      <w:r w:rsidR="008B37C7">
        <w:rPr>
          <w:rFonts w:cs="Arial"/>
          <w:color w:val="191919"/>
          <w:lang w:val="en-US"/>
        </w:rPr>
        <w:t xml:space="preserve">the UN </w:t>
      </w:r>
      <w:r w:rsidR="008B37C7" w:rsidRPr="008B37C7">
        <w:rPr>
          <w:rFonts w:cs="Arial"/>
          <w:color w:val="191919"/>
          <w:lang w:val="en-US"/>
        </w:rPr>
        <w:t>Food and Agriculture Organization</w:t>
      </w:r>
      <w:r w:rsidR="002E32B8" w:rsidRPr="008B3841">
        <w:rPr>
          <w:rFonts w:cs="Arial"/>
          <w:color w:val="191919"/>
          <w:lang w:val="en-US"/>
        </w:rPr>
        <w:t xml:space="preserve"> and the World </w:t>
      </w:r>
      <w:r w:rsidR="000C4662" w:rsidRPr="008B3841">
        <w:rPr>
          <w:rFonts w:cs="Arial"/>
          <w:color w:val="191919"/>
          <w:lang w:val="en-US"/>
        </w:rPr>
        <w:t>Organization</w:t>
      </w:r>
      <w:r w:rsidR="00A8537D" w:rsidRPr="008B3841">
        <w:rPr>
          <w:rFonts w:cs="Arial"/>
          <w:color w:val="191919"/>
          <w:lang w:val="en-US"/>
        </w:rPr>
        <w:t xml:space="preserve"> for Animal Health</w:t>
      </w:r>
      <w:r w:rsidR="002E32B8" w:rsidRPr="008B3841">
        <w:rPr>
          <w:rFonts w:cs="Arial"/>
          <w:color w:val="191919"/>
          <w:lang w:val="en-US"/>
        </w:rPr>
        <w:t>.</w:t>
      </w:r>
      <w:r w:rsidR="00880AA7" w:rsidRPr="008B3841">
        <w:rPr>
          <w:rFonts w:cs="Arial"/>
          <w:color w:val="191919"/>
          <w:lang w:val="en-US"/>
        </w:rPr>
        <w:t xml:space="preserve"> Accordingly, </w:t>
      </w:r>
      <w:r w:rsidR="00FE5AAC" w:rsidRPr="008B3841">
        <w:rPr>
          <w:rFonts w:cs="Arial"/>
          <w:color w:val="191919"/>
          <w:lang w:val="en-US"/>
        </w:rPr>
        <w:t>after SC53</w:t>
      </w:r>
      <w:r w:rsidR="005E05E6" w:rsidRPr="005E05E6">
        <w:rPr>
          <w:rFonts w:cs="Arial"/>
          <w:color w:val="191919"/>
          <w:lang w:val="en-US"/>
        </w:rPr>
        <w:t xml:space="preserve"> </w:t>
      </w:r>
      <w:r w:rsidR="005E05E6" w:rsidRPr="008B3841">
        <w:rPr>
          <w:rFonts w:cs="Arial"/>
          <w:color w:val="191919"/>
          <w:lang w:val="en-US"/>
        </w:rPr>
        <w:t>in June 2017</w:t>
      </w:r>
      <w:r w:rsidR="00FE5AAC" w:rsidRPr="008B3841">
        <w:rPr>
          <w:rFonts w:cs="Arial"/>
          <w:color w:val="191919"/>
          <w:lang w:val="en-US"/>
        </w:rPr>
        <w:t xml:space="preserve">, </w:t>
      </w:r>
      <w:r w:rsidR="00880AA7" w:rsidRPr="008B3841">
        <w:rPr>
          <w:rFonts w:cs="Arial"/>
          <w:color w:val="191919"/>
          <w:lang w:val="en-US"/>
        </w:rPr>
        <w:t>the STRP Chair sent a reminder to Contracting Parties via the Ramsar Forum and STRP Workspace.</w:t>
      </w:r>
    </w:p>
    <w:p w14:paraId="5B6992D6" w14:textId="77777777" w:rsidR="007E0DC5" w:rsidRPr="008B3841" w:rsidRDefault="007E0DC5" w:rsidP="00684ACE">
      <w:pPr>
        <w:pStyle w:val="ListParagraph"/>
        <w:ind w:left="426"/>
        <w:rPr>
          <w:rFonts w:asciiTheme="minorHAnsi" w:hAnsiTheme="minorHAnsi"/>
        </w:rPr>
      </w:pPr>
    </w:p>
    <w:p w14:paraId="7C33114D" w14:textId="77777777" w:rsidR="00FF6E85" w:rsidRDefault="00C25CA9" w:rsidP="007E0DC5">
      <w:pPr>
        <w:pStyle w:val="ListParagraph"/>
        <w:ind w:left="426"/>
        <w:rPr>
          <w:rFonts w:asciiTheme="minorHAnsi" w:hAnsiTheme="minorHAnsi"/>
        </w:rPr>
      </w:pPr>
      <w:r w:rsidRPr="0098291C">
        <w:rPr>
          <w:u w:val="single"/>
        </w:rPr>
        <w:t>IPBES</w:t>
      </w:r>
    </w:p>
    <w:p w14:paraId="4E2BB6F3" w14:textId="77777777" w:rsidR="004D0A2C" w:rsidRPr="008B3841" w:rsidRDefault="004D0A2C" w:rsidP="007E0DC5">
      <w:pPr>
        <w:pStyle w:val="ListParagraph"/>
        <w:ind w:left="426"/>
        <w:rPr>
          <w:rFonts w:asciiTheme="minorHAnsi" w:hAnsiTheme="minorHAnsi"/>
        </w:rPr>
      </w:pPr>
    </w:p>
    <w:p w14:paraId="7E166B67" w14:textId="77777777" w:rsidR="00C25CA9" w:rsidRPr="0098291C" w:rsidRDefault="00FF6E85" w:rsidP="0098291C">
      <w:r>
        <w:t>17.</w:t>
      </w:r>
      <w:r>
        <w:tab/>
      </w:r>
      <w:r w:rsidR="00F858F1" w:rsidRPr="0098291C">
        <w:t xml:space="preserve">The STRP Chair attended the </w:t>
      </w:r>
      <w:r w:rsidR="003312C3" w:rsidRPr="0098291C">
        <w:t>9</w:t>
      </w:r>
      <w:r w:rsidR="00F858F1" w:rsidRPr="0098291C">
        <w:t>th</w:t>
      </w:r>
      <w:r w:rsidR="00A8537D" w:rsidRPr="0098291C">
        <w:t xml:space="preserve"> </w:t>
      </w:r>
      <w:r w:rsidR="00F858F1" w:rsidRPr="0098291C">
        <w:t>meeting of the IPBES Multidiscipl</w:t>
      </w:r>
      <w:r w:rsidR="00F631E2" w:rsidRPr="0098291C">
        <w:t>inary Expert Panel</w:t>
      </w:r>
      <w:r w:rsidR="003312C3" w:rsidRPr="0098291C">
        <w:t xml:space="preserve"> from 20</w:t>
      </w:r>
      <w:r w:rsidR="00B7341F" w:rsidRPr="0098291C">
        <w:t xml:space="preserve"> </w:t>
      </w:r>
      <w:r w:rsidR="003239E4" w:rsidRPr="0098291C">
        <w:t xml:space="preserve">to </w:t>
      </w:r>
      <w:r w:rsidR="003312C3" w:rsidRPr="0098291C">
        <w:t>22 June 2017</w:t>
      </w:r>
      <w:r w:rsidR="00F858F1" w:rsidRPr="0098291C">
        <w:t xml:space="preserve"> in Bonn</w:t>
      </w:r>
      <w:r w:rsidR="003239E4" w:rsidRPr="0098291C">
        <w:t>, Germany</w:t>
      </w:r>
      <w:r w:rsidR="00F858F1" w:rsidRPr="0098291C">
        <w:t xml:space="preserve">. </w:t>
      </w:r>
      <w:r w:rsidR="00E464D7" w:rsidRPr="0098291C">
        <w:t xml:space="preserve">IPBES-6 in March 2018 will consider the Land Degradation and Restoration Assessment, as well as regional assessments. </w:t>
      </w:r>
    </w:p>
    <w:p w14:paraId="3D235A89" w14:textId="77777777" w:rsidR="00E464D7" w:rsidRPr="008B3841" w:rsidRDefault="00E464D7" w:rsidP="00684ACE">
      <w:pPr>
        <w:rPr>
          <w:rFonts w:asciiTheme="minorHAnsi" w:hAnsiTheme="minorHAnsi"/>
        </w:rPr>
      </w:pPr>
    </w:p>
    <w:p w14:paraId="28FB2F12" w14:textId="73D7A1A1" w:rsidR="00E464D7" w:rsidRPr="0098291C" w:rsidRDefault="004D0A2C" w:rsidP="0098291C">
      <w:r w:rsidRPr="00FF6E85">
        <w:t>18.</w:t>
      </w:r>
      <w:r>
        <w:tab/>
      </w:r>
      <w:r w:rsidR="0055238F" w:rsidRPr="0098291C">
        <w:t xml:space="preserve"> Resolution XII.2</w:t>
      </w:r>
      <w:r w:rsidR="00FF6E85">
        <w:t xml:space="preserve"> on</w:t>
      </w:r>
      <w:r w:rsidR="00BF5B49" w:rsidRPr="0098291C">
        <w:t xml:space="preserve"> </w:t>
      </w:r>
      <w:r w:rsidR="00BF5B49" w:rsidRPr="0098291C">
        <w:rPr>
          <w:i/>
        </w:rPr>
        <w:t>The Ramsar Strategic Plan 2016-2024</w:t>
      </w:r>
      <w:r w:rsidR="0055238F" w:rsidRPr="0098291C">
        <w:t xml:space="preserve"> requests the Secretariat “to submit to IPBES a request for a thematic assessment on the current status and trends of wetlands, including their condition</w:t>
      </w:r>
      <w:r w:rsidR="0055238F" w:rsidRPr="008B3841">
        <w:t>”</w:t>
      </w:r>
      <w:r w:rsidR="00FF6E85">
        <w:t>.</w:t>
      </w:r>
      <w:r w:rsidR="0055238F" w:rsidRPr="0098291C">
        <w:t xml:space="preserve"> It is anticipated that IPBES-6 in March 2018 will be asked to approve a call for proposals for the second work programme. </w:t>
      </w:r>
      <w:r w:rsidR="00A8537D" w:rsidRPr="0098291C">
        <w:t xml:space="preserve">If </w:t>
      </w:r>
      <w:r w:rsidR="0055238F" w:rsidRPr="0098291C">
        <w:t xml:space="preserve">that schedule holds, then the formal call for proposals </w:t>
      </w:r>
      <w:r w:rsidR="00A8537D" w:rsidRPr="0098291C">
        <w:t>will be</w:t>
      </w:r>
      <w:r w:rsidR="0055238F" w:rsidRPr="0098291C">
        <w:t xml:space="preserve"> issue</w:t>
      </w:r>
      <w:r w:rsidR="00A8537D" w:rsidRPr="0098291C">
        <w:t>d</w:t>
      </w:r>
      <w:r w:rsidR="0055238F" w:rsidRPr="0098291C">
        <w:t xml:space="preserve"> shortly thereafter.</w:t>
      </w:r>
      <w:r w:rsidR="00E464D7" w:rsidRPr="0098291C">
        <w:t xml:space="preserve"> Under interim guidelines approved by</w:t>
      </w:r>
      <w:r w:rsidR="00E464D7" w:rsidRPr="0098291C">
        <w:rPr>
          <w:rFonts w:asciiTheme="minorHAnsi" w:hAnsiTheme="minorHAnsi"/>
        </w:rPr>
        <w:t xml:space="preserve"> </w:t>
      </w:r>
      <w:r w:rsidR="00FA7E71">
        <w:t xml:space="preserve">the Standing </w:t>
      </w:r>
      <w:r w:rsidR="00425317">
        <w:t>Committee</w:t>
      </w:r>
      <w:r w:rsidR="00FA7E71">
        <w:t xml:space="preserve"> through</w:t>
      </w:r>
      <w:r w:rsidR="00FA7E71" w:rsidRPr="004D0A2C">
        <w:t xml:space="preserve"> </w:t>
      </w:r>
      <w:r w:rsidR="00E464D7" w:rsidRPr="0098291C">
        <w:t>Decision SC47-24, it is the Standing Committee that decides which proposals to submit to IPBES on behalf of the Ramsar Convention. As recognized in the interim guidelines and noted in previous STRP Chair reports, “</w:t>
      </w:r>
      <w:r w:rsidR="00DE2BF8" w:rsidRPr="0098291C">
        <w:t>D</w:t>
      </w:r>
      <w:r w:rsidR="00E464D7" w:rsidRPr="0098291C">
        <w:t>ue to timing constraints, it is likely that the proposals will need to be presented to Standing Committee members virtually and approval or comments</w:t>
      </w:r>
      <w:r w:rsidR="000561A6" w:rsidRPr="0098291C">
        <w:rPr>
          <w:rFonts w:asciiTheme="minorHAnsi" w:hAnsiTheme="minorHAnsi"/>
        </w:rPr>
        <w:t xml:space="preserve"> </w:t>
      </w:r>
      <w:r w:rsidR="000561A6">
        <w:rPr>
          <w:rFonts w:asciiTheme="minorHAnsi" w:hAnsiTheme="minorHAnsi"/>
        </w:rPr>
        <w:t>[</w:t>
      </w:r>
      <w:r w:rsidR="00B462A4">
        <w:rPr>
          <w:rFonts w:asciiTheme="minorHAnsi" w:hAnsiTheme="minorHAnsi"/>
        </w:rPr>
        <w:t xml:space="preserve">will </w:t>
      </w:r>
      <w:r w:rsidR="005E05E6">
        <w:rPr>
          <w:rFonts w:asciiTheme="minorHAnsi" w:hAnsiTheme="minorHAnsi"/>
        </w:rPr>
        <w:t xml:space="preserve">need to </w:t>
      </w:r>
      <w:r w:rsidR="00B462A4">
        <w:rPr>
          <w:rFonts w:asciiTheme="minorHAnsi" w:hAnsiTheme="minorHAnsi"/>
        </w:rPr>
        <w:t>be]</w:t>
      </w:r>
      <w:r w:rsidR="00E464D7" w:rsidRPr="008B3841">
        <w:rPr>
          <w:rFonts w:asciiTheme="minorHAnsi" w:hAnsiTheme="minorHAnsi"/>
        </w:rPr>
        <w:t xml:space="preserve"> </w:t>
      </w:r>
      <w:r w:rsidR="00E464D7" w:rsidRPr="0098291C">
        <w:t>provided within a short period.”</w:t>
      </w:r>
    </w:p>
    <w:p w14:paraId="4749A0BA" w14:textId="77777777" w:rsidR="00E464D7" w:rsidRPr="008B3841" w:rsidRDefault="00E464D7" w:rsidP="00684ACE">
      <w:pPr>
        <w:rPr>
          <w:rFonts w:asciiTheme="minorHAnsi" w:hAnsiTheme="minorHAnsi"/>
        </w:rPr>
      </w:pPr>
    </w:p>
    <w:p w14:paraId="6EA7DB94" w14:textId="77777777" w:rsidR="00FA7E71" w:rsidRPr="00FA7E71" w:rsidRDefault="00E464D7" w:rsidP="00073463">
      <w:pPr>
        <w:keepNext/>
        <w:rPr>
          <w:rFonts w:asciiTheme="minorHAnsi" w:hAnsiTheme="minorHAnsi"/>
          <w:u w:val="single"/>
        </w:rPr>
      </w:pPr>
      <w:r w:rsidRPr="0098291C">
        <w:rPr>
          <w:rFonts w:asciiTheme="minorHAnsi" w:hAnsiTheme="minorHAnsi"/>
          <w:u w:val="single"/>
        </w:rPr>
        <w:lastRenderedPageBreak/>
        <w:t>STRP participation in global assessments</w:t>
      </w:r>
    </w:p>
    <w:p w14:paraId="389FBF11" w14:textId="77777777" w:rsidR="00FA7E71" w:rsidRPr="008B3841" w:rsidRDefault="00FA7E71" w:rsidP="00073463">
      <w:pPr>
        <w:keepNext/>
        <w:rPr>
          <w:rFonts w:asciiTheme="minorHAnsi" w:hAnsiTheme="minorHAnsi"/>
        </w:rPr>
      </w:pPr>
    </w:p>
    <w:p w14:paraId="6371C438" w14:textId="77777777" w:rsidR="004B6E8B" w:rsidRPr="008B3841" w:rsidRDefault="00FA7E71" w:rsidP="00073463">
      <w:pPr>
        <w:keepNext/>
        <w:rPr>
          <w:rFonts w:asciiTheme="minorHAnsi" w:hAnsiTheme="minorHAnsi"/>
        </w:rPr>
      </w:pPr>
      <w:r>
        <w:t>19.</w:t>
      </w:r>
      <w:r>
        <w:tab/>
      </w:r>
      <w:r w:rsidR="004B6E8B" w:rsidRPr="008B3841">
        <w:rPr>
          <w:lang w:val="en-US"/>
        </w:rPr>
        <w:t>The STRP</w:t>
      </w:r>
      <w:r w:rsidR="006757F7">
        <w:rPr>
          <w:lang w:val="en-US"/>
        </w:rPr>
        <w:t xml:space="preserve">, with the assistance of the </w:t>
      </w:r>
      <w:r w:rsidR="002B6122">
        <w:rPr>
          <w:lang w:val="en-US"/>
        </w:rPr>
        <w:t>Secretariat</w:t>
      </w:r>
      <w:r w:rsidR="006757F7">
        <w:rPr>
          <w:lang w:val="en-US"/>
        </w:rPr>
        <w:t>,</w:t>
      </w:r>
      <w:r w:rsidR="004B6E8B" w:rsidRPr="008B3841">
        <w:rPr>
          <w:lang w:val="en-US"/>
        </w:rPr>
        <w:t xml:space="preserve"> </w:t>
      </w:r>
      <w:r w:rsidR="002B6122">
        <w:rPr>
          <w:lang w:val="en-US"/>
        </w:rPr>
        <w:t>participated in the external review processes</w:t>
      </w:r>
      <w:r w:rsidR="006757F7">
        <w:rPr>
          <w:lang w:val="en-US"/>
        </w:rPr>
        <w:t>,</w:t>
      </w:r>
      <w:r w:rsidR="00FE5AAC" w:rsidRPr="008B3841">
        <w:rPr>
          <w:lang w:val="en-US"/>
        </w:rPr>
        <w:t xml:space="preserve"> including </w:t>
      </w:r>
      <w:r w:rsidR="00807313" w:rsidRPr="008B3841">
        <w:rPr>
          <w:lang w:val="en-US"/>
        </w:rPr>
        <w:t xml:space="preserve">where relevant </w:t>
      </w:r>
      <w:r w:rsidR="00FE5AAC" w:rsidRPr="008B3841">
        <w:rPr>
          <w:lang w:val="en-US"/>
        </w:rPr>
        <w:t>data from the WET Index,</w:t>
      </w:r>
      <w:r w:rsidR="002B6122">
        <w:rPr>
          <w:lang w:val="en-US"/>
        </w:rPr>
        <w:t xml:space="preserve"> for</w:t>
      </w:r>
      <w:r w:rsidR="004B6E8B" w:rsidRPr="008B3841">
        <w:rPr>
          <w:lang w:val="en-US"/>
        </w:rPr>
        <w:t xml:space="preserve"> the following global environmental assessments:</w:t>
      </w:r>
    </w:p>
    <w:p w14:paraId="1E817867" w14:textId="77777777" w:rsidR="00E464D7" w:rsidRPr="008B3841" w:rsidRDefault="00E464D7" w:rsidP="00684ACE">
      <w:pPr>
        <w:rPr>
          <w:rFonts w:asciiTheme="minorHAnsi" w:hAnsiTheme="minorHAnsi"/>
        </w:rPr>
      </w:pPr>
    </w:p>
    <w:p w14:paraId="67F4DC03" w14:textId="77777777" w:rsidR="004B6E8B" w:rsidRPr="008B3841" w:rsidRDefault="004B6E8B" w:rsidP="00DF6A13">
      <w:pPr>
        <w:pStyle w:val="ListParagraph"/>
        <w:numPr>
          <w:ilvl w:val="0"/>
          <w:numId w:val="12"/>
        </w:numPr>
        <w:ind w:left="850" w:hanging="425"/>
        <w:rPr>
          <w:lang w:val="en-US"/>
        </w:rPr>
      </w:pPr>
      <w:r w:rsidRPr="008B3841">
        <w:rPr>
          <w:lang w:val="en-US"/>
        </w:rPr>
        <w:t>IPBES Land Degradation and Restoration Assessment</w:t>
      </w:r>
      <w:r w:rsidR="00F631E2" w:rsidRPr="008B3841">
        <w:rPr>
          <w:lang w:val="en-US"/>
        </w:rPr>
        <w:t xml:space="preserve"> (Second Order Draft)</w:t>
      </w:r>
    </w:p>
    <w:p w14:paraId="37A93BB4" w14:textId="77777777" w:rsidR="004B6E8B" w:rsidRPr="008B3841" w:rsidRDefault="004B6E8B" w:rsidP="00DF6A13">
      <w:pPr>
        <w:pStyle w:val="ListParagraph"/>
        <w:numPr>
          <w:ilvl w:val="0"/>
          <w:numId w:val="12"/>
        </w:numPr>
        <w:ind w:left="850" w:hanging="425"/>
        <w:rPr>
          <w:lang w:val="en-US"/>
        </w:rPr>
      </w:pPr>
      <w:r w:rsidRPr="008B3841">
        <w:rPr>
          <w:lang w:val="en-US"/>
        </w:rPr>
        <w:t>IPBES</w:t>
      </w:r>
      <w:r w:rsidR="00E464D7" w:rsidRPr="008B3841">
        <w:rPr>
          <w:lang w:val="en-US"/>
        </w:rPr>
        <w:t xml:space="preserve"> Global Biodiversity Assessment</w:t>
      </w:r>
      <w:r w:rsidRPr="008B3841">
        <w:rPr>
          <w:lang w:val="en-US"/>
        </w:rPr>
        <w:t xml:space="preserve"> </w:t>
      </w:r>
      <w:r w:rsidR="00F631E2" w:rsidRPr="008B3841">
        <w:rPr>
          <w:lang w:val="en-US"/>
        </w:rPr>
        <w:t>(First Order Draft)</w:t>
      </w:r>
    </w:p>
    <w:p w14:paraId="72642F58" w14:textId="77777777" w:rsidR="004B6E8B" w:rsidRPr="008B3841" w:rsidRDefault="004B6E8B" w:rsidP="00DF6A13">
      <w:pPr>
        <w:pStyle w:val="ListParagraph"/>
        <w:numPr>
          <w:ilvl w:val="0"/>
          <w:numId w:val="12"/>
        </w:numPr>
        <w:ind w:left="850" w:hanging="425"/>
        <w:rPr>
          <w:lang w:val="en-US"/>
        </w:rPr>
      </w:pPr>
      <w:r w:rsidRPr="008B3841">
        <w:rPr>
          <w:lang w:val="en-US"/>
        </w:rPr>
        <w:t xml:space="preserve">IPBES Regional Assessments </w:t>
      </w:r>
      <w:r w:rsidR="00F631E2" w:rsidRPr="008B3841">
        <w:rPr>
          <w:lang w:val="en-US"/>
        </w:rPr>
        <w:t>(Second Order Drafts)</w:t>
      </w:r>
    </w:p>
    <w:p w14:paraId="087943B3" w14:textId="77777777" w:rsidR="004B6E8B" w:rsidRPr="008B3841" w:rsidRDefault="00B77D2C" w:rsidP="00DF6A13">
      <w:pPr>
        <w:pStyle w:val="ListParagraph"/>
        <w:numPr>
          <w:ilvl w:val="0"/>
          <w:numId w:val="12"/>
        </w:numPr>
        <w:ind w:left="850" w:hanging="425"/>
        <w:rPr>
          <w:lang w:val="en-US"/>
        </w:rPr>
      </w:pPr>
      <w:r w:rsidRPr="008B3841">
        <w:rPr>
          <w:lang w:val="en-US"/>
        </w:rPr>
        <w:t xml:space="preserve">Sixth </w:t>
      </w:r>
      <w:r w:rsidR="004B6E8B" w:rsidRPr="008B3841">
        <w:rPr>
          <w:lang w:val="en-US"/>
        </w:rPr>
        <w:t>G</w:t>
      </w:r>
      <w:r w:rsidRPr="008B3841">
        <w:rPr>
          <w:lang w:val="en-US"/>
        </w:rPr>
        <w:t xml:space="preserve">lobal </w:t>
      </w:r>
      <w:r w:rsidR="004B6E8B" w:rsidRPr="008B3841">
        <w:rPr>
          <w:lang w:val="en-US"/>
        </w:rPr>
        <w:t>E</w:t>
      </w:r>
      <w:r w:rsidRPr="008B3841">
        <w:rPr>
          <w:lang w:val="en-US"/>
        </w:rPr>
        <w:t xml:space="preserve">nvironment </w:t>
      </w:r>
      <w:r w:rsidR="004B6E8B" w:rsidRPr="008B3841">
        <w:rPr>
          <w:lang w:val="en-US"/>
        </w:rPr>
        <w:t>O</w:t>
      </w:r>
      <w:r w:rsidRPr="008B3841">
        <w:rPr>
          <w:lang w:val="en-US"/>
        </w:rPr>
        <w:t>utlook (GEO</w:t>
      </w:r>
      <w:r w:rsidR="004B6E8B" w:rsidRPr="008B3841">
        <w:rPr>
          <w:lang w:val="en-US"/>
        </w:rPr>
        <w:t>-6</w:t>
      </w:r>
      <w:r w:rsidRPr="008B3841">
        <w:rPr>
          <w:lang w:val="en-US"/>
        </w:rPr>
        <w:t>)</w:t>
      </w:r>
      <w:r w:rsidR="004B6E8B" w:rsidRPr="008B3841">
        <w:rPr>
          <w:lang w:val="en-US"/>
        </w:rPr>
        <w:t xml:space="preserve"> (Second Order Draft—Chapter 6 on Freshwater)</w:t>
      </w:r>
    </w:p>
    <w:p w14:paraId="2F26DFE7" w14:textId="77777777" w:rsidR="004B6E8B" w:rsidRDefault="004B6E8B" w:rsidP="00DF6A13">
      <w:pPr>
        <w:pStyle w:val="ListParagraph"/>
        <w:numPr>
          <w:ilvl w:val="0"/>
          <w:numId w:val="12"/>
        </w:numPr>
        <w:ind w:left="850" w:hanging="425"/>
        <w:rPr>
          <w:lang w:val="en-US"/>
        </w:rPr>
      </w:pPr>
      <w:r w:rsidRPr="008B3841">
        <w:rPr>
          <w:lang w:val="en-US"/>
        </w:rPr>
        <w:t>Global Land Outlook (Chapter 8 on Water Resources)</w:t>
      </w:r>
    </w:p>
    <w:p w14:paraId="01686B67" w14:textId="77777777" w:rsidR="002654E8" w:rsidRDefault="002654E8" w:rsidP="002654E8">
      <w:pPr>
        <w:pStyle w:val="ListParagraph"/>
        <w:rPr>
          <w:lang w:val="en-US"/>
        </w:rPr>
      </w:pPr>
    </w:p>
    <w:p w14:paraId="1DECF0AA" w14:textId="77777777" w:rsidR="000C23C4" w:rsidRPr="000C4662" w:rsidRDefault="000C23C4" w:rsidP="000C23C4">
      <w:pPr>
        <w:rPr>
          <w:rFonts w:cstheme="minorHAnsi"/>
          <w:color w:val="000000"/>
          <w:u w:val="single"/>
          <w:lang w:val="en-AU"/>
        </w:rPr>
      </w:pPr>
      <w:r w:rsidRPr="000C4662">
        <w:rPr>
          <w:rFonts w:cstheme="minorHAnsi"/>
          <w:color w:val="000000"/>
          <w:u w:val="single"/>
          <w:lang w:val="en-AU"/>
        </w:rPr>
        <w:t>Wetland City Accreditation</w:t>
      </w:r>
    </w:p>
    <w:p w14:paraId="25D95D9C" w14:textId="77777777" w:rsidR="000C23C4" w:rsidRDefault="000C23C4" w:rsidP="00425317">
      <w:pPr>
        <w:rPr>
          <w:color w:val="000000"/>
          <w:lang w:val="en-US"/>
        </w:rPr>
      </w:pPr>
    </w:p>
    <w:p w14:paraId="1EE90353" w14:textId="3ECAE9D8" w:rsidR="002654E8" w:rsidRPr="000C23C4" w:rsidRDefault="002654E8" w:rsidP="000C23C4">
      <w:pPr>
        <w:pStyle w:val="ListParagraph"/>
        <w:numPr>
          <w:ilvl w:val="0"/>
          <w:numId w:val="29"/>
        </w:numPr>
        <w:ind w:left="426" w:hanging="426"/>
        <w:rPr>
          <w:color w:val="000000"/>
        </w:rPr>
      </w:pPr>
      <w:r w:rsidRPr="000C23C4">
        <w:rPr>
          <w:color w:val="000000"/>
          <w:lang w:val="en-US"/>
        </w:rPr>
        <w:t xml:space="preserve">Under </w:t>
      </w:r>
      <w:r w:rsidRPr="000C23C4">
        <w:rPr>
          <w:rFonts w:cstheme="minorHAnsi"/>
          <w:color w:val="000000"/>
          <w:lang w:val="en-AU"/>
        </w:rPr>
        <w:t xml:space="preserve">Resolution XII.10, an STRP member serves on the Independent Advisory Committee (IAC). At STRP21, </w:t>
      </w:r>
      <w:r w:rsidR="00F23EB8" w:rsidRPr="000C23C4">
        <w:rPr>
          <w:rFonts w:cstheme="minorHAnsi"/>
          <w:color w:val="000000"/>
          <w:lang w:val="en-AU"/>
        </w:rPr>
        <w:t xml:space="preserve">the STRP member </w:t>
      </w:r>
      <w:r w:rsidRPr="000C23C4">
        <w:rPr>
          <w:rFonts w:cstheme="minorHAnsi"/>
          <w:color w:val="000000"/>
          <w:lang w:val="en-AU"/>
        </w:rPr>
        <w:t>reported that t</w:t>
      </w:r>
      <w:r w:rsidRPr="000C23C4">
        <w:rPr>
          <w:color w:val="000000"/>
          <w:lang w:val="en-US"/>
        </w:rPr>
        <w:t>he IAC process, while delayed, generally went smoothly. The review consisted of reading the proposals and supporting documentation and rating the proposals against each criterion as yes/no. As the program</w:t>
      </w:r>
      <w:r w:rsidR="005E05E6">
        <w:rPr>
          <w:color w:val="000000"/>
          <w:lang w:val="en-US"/>
        </w:rPr>
        <w:t>me</w:t>
      </w:r>
      <w:r w:rsidRPr="000C23C4">
        <w:rPr>
          <w:color w:val="000000"/>
          <w:lang w:val="en-US"/>
        </w:rPr>
        <w:t xml:space="preserve"> is evaluated, the suggestions for improving the process, attached in Annex </w:t>
      </w:r>
      <w:r w:rsidR="00F23EB8" w:rsidRPr="000C23C4">
        <w:rPr>
          <w:color w:val="000000"/>
          <w:lang w:val="en-US"/>
        </w:rPr>
        <w:t>1</w:t>
      </w:r>
      <w:r w:rsidRPr="000C23C4">
        <w:rPr>
          <w:color w:val="000000"/>
          <w:lang w:val="en-US"/>
        </w:rPr>
        <w:t>, should be considered.</w:t>
      </w:r>
    </w:p>
    <w:p w14:paraId="6C315A95" w14:textId="77777777" w:rsidR="00DA6E71" w:rsidRPr="002654E8" w:rsidRDefault="00DA6E71" w:rsidP="0098291C">
      <w:pPr>
        <w:rPr>
          <w:i/>
        </w:rPr>
      </w:pPr>
    </w:p>
    <w:p w14:paraId="3C32DCC4" w14:textId="77777777" w:rsidR="00DA3C34" w:rsidRPr="008B3841" w:rsidRDefault="00DA3C34" w:rsidP="00684ACE">
      <w:pPr>
        <w:rPr>
          <w:rFonts w:asciiTheme="minorHAnsi" w:hAnsiTheme="minorHAnsi"/>
          <w:b/>
        </w:rPr>
      </w:pPr>
      <w:r w:rsidRPr="008B3841">
        <w:rPr>
          <w:rFonts w:asciiTheme="minorHAnsi" w:hAnsiTheme="minorHAnsi"/>
          <w:b/>
        </w:rPr>
        <w:t>Engagement by STRP National Focal Points</w:t>
      </w:r>
    </w:p>
    <w:p w14:paraId="064C1709" w14:textId="77777777" w:rsidR="00033ADF" w:rsidRPr="008B3841" w:rsidRDefault="00033ADF" w:rsidP="00425317">
      <w:pPr>
        <w:rPr>
          <w:rFonts w:asciiTheme="minorHAnsi" w:hAnsiTheme="minorHAnsi"/>
          <w:b/>
        </w:rPr>
      </w:pPr>
    </w:p>
    <w:p w14:paraId="301C60DA" w14:textId="77777777" w:rsidR="000B5FFE" w:rsidRPr="008B3841" w:rsidRDefault="004D0A2C" w:rsidP="0098291C">
      <w:pPr>
        <w:rPr>
          <w:rFonts w:asciiTheme="minorHAnsi" w:hAnsiTheme="minorHAnsi"/>
        </w:rPr>
      </w:pPr>
      <w:r>
        <w:rPr>
          <w:rFonts w:asciiTheme="minorHAnsi" w:hAnsiTheme="minorHAnsi"/>
        </w:rPr>
        <w:t>21.</w:t>
      </w:r>
      <w:r w:rsidR="002D5F19">
        <w:rPr>
          <w:rFonts w:asciiTheme="minorHAnsi" w:hAnsiTheme="minorHAnsi"/>
        </w:rPr>
        <w:t xml:space="preserve"> </w:t>
      </w:r>
      <w:r w:rsidR="000C23C4">
        <w:rPr>
          <w:rFonts w:asciiTheme="minorHAnsi" w:hAnsiTheme="minorHAnsi"/>
        </w:rPr>
        <w:tab/>
        <w:t xml:space="preserve">With the </w:t>
      </w:r>
      <w:r w:rsidR="00A97C27">
        <w:rPr>
          <w:rFonts w:asciiTheme="minorHAnsi" w:hAnsiTheme="minorHAnsi"/>
        </w:rPr>
        <w:t>notable exception of STRP NFPs who have attended meetings</w:t>
      </w:r>
      <w:r w:rsidR="00A97C27" w:rsidRPr="0098291C">
        <w:rPr>
          <w:rFonts w:asciiTheme="minorHAnsi" w:hAnsiTheme="minorHAnsi"/>
        </w:rPr>
        <w:t>,</w:t>
      </w:r>
      <w:r w:rsidR="00F52814" w:rsidRPr="008B3841">
        <w:rPr>
          <w:rFonts w:asciiTheme="minorHAnsi" w:hAnsiTheme="minorHAnsi"/>
        </w:rPr>
        <w:t xml:space="preserve"> </w:t>
      </w:r>
      <w:r w:rsidR="000B5FFE" w:rsidRPr="008B3841">
        <w:rPr>
          <w:rFonts w:asciiTheme="minorHAnsi" w:hAnsiTheme="minorHAnsi"/>
        </w:rPr>
        <w:t xml:space="preserve">engagement by STRP </w:t>
      </w:r>
      <w:r w:rsidR="00056DC4" w:rsidRPr="008B3841">
        <w:rPr>
          <w:rFonts w:asciiTheme="minorHAnsi" w:hAnsiTheme="minorHAnsi"/>
        </w:rPr>
        <w:t xml:space="preserve">NFPs </w:t>
      </w:r>
      <w:r w:rsidR="000B5FFE" w:rsidRPr="008B3841">
        <w:rPr>
          <w:rFonts w:asciiTheme="minorHAnsi" w:hAnsiTheme="minorHAnsi"/>
        </w:rPr>
        <w:t>remain</w:t>
      </w:r>
      <w:r w:rsidR="00056DC4" w:rsidRPr="008B3841">
        <w:rPr>
          <w:rFonts w:asciiTheme="minorHAnsi" w:hAnsiTheme="minorHAnsi"/>
        </w:rPr>
        <w:t>s</w:t>
      </w:r>
      <w:r w:rsidR="000B5FFE" w:rsidRPr="008B3841">
        <w:rPr>
          <w:rFonts w:asciiTheme="minorHAnsi" w:hAnsiTheme="minorHAnsi"/>
        </w:rPr>
        <w:t xml:space="preserve"> low. This triennium approximately </w:t>
      </w:r>
      <w:r w:rsidR="00380FD2">
        <w:rPr>
          <w:rFonts w:asciiTheme="minorHAnsi" w:hAnsiTheme="minorHAnsi"/>
        </w:rPr>
        <w:t>1</w:t>
      </w:r>
      <w:r w:rsidR="005841CC">
        <w:rPr>
          <w:rFonts w:asciiTheme="minorHAnsi" w:hAnsiTheme="minorHAnsi"/>
        </w:rPr>
        <w:t>5</w:t>
      </w:r>
      <w:r w:rsidR="000B5FFE" w:rsidRPr="008B3841">
        <w:rPr>
          <w:rFonts w:asciiTheme="minorHAnsi" w:hAnsiTheme="minorHAnsi"/>
        </w:rPr>
        <w:t xml:space="preserve"> STRP </w:t>
      </w:r>
      <w:r w:rsidR="00056DC4" w:rsidRPr="008B3841">
        <w:rPr>
          <w:rFonts w:asciiTheme="minorHAnsi" w:hAnsiTheme="minorHAnsi"/>
        </w:rPr>
        <w:t xml:space="preserve">NFPs </w:t>
      </w:r>
      <w:r w:rsidR="000B5FFE" w:rsidRPr="008B3841">
        <w:rPr>
          <w:rFonts w:asciiTheme="minorHAnsi" w:hAnsiTheme="minorHAnsi"/>
        </w:rPr>
        <w:t xml:space="preserve">(half </w:t>
      </w:r>
      <w:r w:rsidR="00FA7E71">
        <w:rPr>
          <w:rFonts w:asciiTheme="minorHAnsi" w:hAnsiTheme="minorHAnsi"/>
        </w:rPr>
        <w:t>of them representing</w:t>
      </w:r>
      <w:r w:rsidR="000B5FFE" w:rsidRPr="008B3841">
        <w:rPr>
          <w:rFonts w:asciiTheme="minorHAnsi" w:hAnsiTheme="minorHAnsi"/>
        </w:rPr>
        <w:t xml:space="preserve"> Europe</w:t>
      </w:r>
      <w:r w:rsidR="00FA7E71">
        <w:rPr>
          <w:rFonts w:asciiTheme="minorHAnsi" w:hAnsiTheme="minorHAnsi"/>
        </w:rPr>
        <w:t>an Contracting Parties</w:t>
      </w:r>
      <w:r w:rsidR="000B5FFE" w:rsidRPr="008B3841">
        <w:rPr>
          <w:rFonts w:asciiTheme="minorHAnsi" w:hAnsiTheme="minorHAnsi"/>
        </w:rPr>
        <w:t>) have participated in work related to a</w:t>
      </w:r>
      <w:r w:rsidR="00380FD2">
        <w:rPr>
          <w:rFonts w:asciiTheme="minorHAnsi" w:hAnsiTheme="minorHAnsi"/>
        </w:rPr>
        <w:t>n</w:t>
      </w:r>
      <w:r w:rsidR="000B5FFE" w:rsidRPr="008B3841">
        <w:rPr>
          <w:rFonts w:asciiTheme="minorHAnsi" w:hAnsiTheme="minorHAnsi"/>
        </w:rPr>
        <w:t xml:space="preserve"> STRP task. </w:t>
      </w:r>
      <w:r w:rsidR="002D5F19">
        <w:rPr>
          <w:rFonts w:asciiTheme="minorHAnsi" w:hAnsiTheme="minorHAnsi"/>
        </w:rPr>
        <w:t>The Chair of the STRP</w:t>
      </w:r>
      <w:r w:rsidR="000B5FFE" w:rsidRPr="008B3841">
        <w:rPr>
          <w:rFonts w:asciiTheme="minorHAnsi" w:hAnsiTheme="minorHAnsi"/>
        </w:rPr>
        <w:t xml:space="preserve"> asked these active </w:t>
      </w:r>
      <w:r w:rsidR="00056DC4" w:rsidRPr="008B3841">
        <w:rPr>
          <w:rFonts w:asciiTheme="minorHAnsi" w:hAnsiTheme="minorHAnsi"/>
        </w:rPr>
        <w:t xml:space="preserve">NFPs </w:t>
      </w:r>
      <w:r w:rsidR="000B5FFE" w:rsidRPr="008B3841">
        <w:rPr>
          <w:rFonts w:asciiTheme="minorHAnsi" w:hAnsiTheme="minorHAnsi"/>
        </w:rPr>
        <w:t xml:space="preserve">why they participate: is their STRP work formally recognized or supported by their employers, or do they participate simply </w:t>
      </w:r>
      <w:r w:rsidR="002D5F19">
        <w:rPr>
          <w:rFonts w:asciiTheme="minorHAnsi" w:hAnsiTheme="minorHAnsi"/>
        </w:rPr>
        <w:t>because</w:t>
      </w:r>
      <w:r w:rsidR="000B5FFE" w:rsidRPr="008B3841">
        <w:rPr>
          <w:rFonts w:asciiTheme="minorHAnsi" w:hAnsiTheme="minorHAnsi"/>
        </w:rPr>
        <w:t xml:space="preserve"> of </w:t>
      </w:r>
      <w:r w:rsidR="002D5F19">
        <w:rPr>
          <w:rFonts w:asciiTheme="minorHAnsi" w:hAnsiTheme="minorHAnsi"/>
        </w:rPr>
        <w:t>their</w:t>
      </w:r>
      <w:r w:rsidR="000B5FFE" w:rsidRPr="008B3841">
        <w:rPr>
          <w:rFonts w:asciiTheme="minorHAnsi" w:hAnsiTheme="minorHAnsi"/>
        </w:rPr>
        <w:t xml:space="preserve"> personal commitment?</w:t>
      </w:r>
    </w:p>
    <w:p w14:paraId="4BBC67F5" w14:textId="77777777" w:rsidR="000B5FFE" w:rsidRPr="008B3841" w:rsidRDefault="000B5FFE" w:rsidP="00684ACE">
      <w:pPr>
        <w:pStyle w:val="ListParagraph"/>
        <w:ind w:left="426"/>
        <w:rPr>
          <w:rFonts w:asciiTheme="minorHAnsi" w:eastAsia="Times New Roman" w:hAnsiTheme="minorHAnsi" w:cs="Segoe UI"/>
          <w:color w:val="212121"/>
          <w:lang w:val="en-US"/>
        </w:rPr>
      </w:pPr>
    </w:p>
    <w:p w14:paraId="15ECF6E7" w14:textId="77777777" w:rsidR="005B2F75" w:rsidRPr="0098291C" w:rsidRDefault="004D0A2C" w:rsidP="0098291C">
      <w:pPr>
        <w:rPr>
          <w:rFonts w:asciiTheme="minorHAnsi" w:hAnsiTheme="minorHAnsi"/>
          <w:color w:val="212121"/>
          <w:lang w:val="en-US"/>
        </w:rPr>
      </w:pPr>
      <w:r>
        <w:rPr>
          <w:lang w:val="en-US"/>
        </w:rPr>
        <w:t>22.</w:t>
      </w:r>
      <w:r>
        <w:rPr>
          <w:lang w:val="en-US"/>
        </w:rPr>
        <w:tab/>
      </w:r>
      <w:r w:rsidR="000B5FFE" w:rsidRPr="0098291C">
        <w:rPr>
          <w:rFonts w:asciiTheme="minorHAnsi" w:hAnsiTheme="minorHAnsi"/>
          <w:color w:val="000000"/>
          <w:lang w:val="en-US"/>
        </w:rPr>
        <w:t>The responses suggest that t</w:t>
      </w:r>
      <w:r w:rsidR="004B6E8B" w:rsidRPr="0098291C">
        <w:rPr>
          <w:rFonts w:asciiTheme="minorHAnsi" w:hAnsiTheme="minorHAnsi"/>
          <w:color w:val="000000"/>
          <w:lang w:val="en-US"/>
        </w:rPr>
        <w:t xml:space="preserve">he STRP NFPs who participate in the work of the STRP do so </w:t>
      </w:r>
      <w:r w:rsidR="000B5FFE" w:rsidRPr="0098291C">
        <w:rPr>
          <w:rFonts w:asciiTheme="minorHAnsi" w:hAnsiTheme="minorHAnsi"/>
          <w:color w:val="000000"/>
          <w:lang w:val="en-US"/>
        </w:rPr>
        <w:t xml:space="preserve">primarily </w:t>
      </w:r>
      <w:r w:rsidR="004B6E8B" w:rsidRPr="0098291C">
        <w:rPr>
          <w:rFonts w:asciiTheme="minorHAnsi" w:hAnsiTheme="minorHAnsi"/>
          <w:color w:val="000000"/>
          <w:lang w:val="en-US"/>
        </w:rPr>
        <w:t>because of their personal commitment to contribute to wetland conservation and the work of the Ramsar Convention.</w:t>
      </w:r>
      <w:r w:rsidR="00056DC4" w:rsidRPr="0098291C">
        <w:rPr>
          <w:rFonts w:asciiTheme="minorHAnsi" w:hAnsiTheme="minorHAnsi"/>
          <w:color w:val="000000"/>
          <w:lang w:val="en-US"/>
        </w:rPr>
        <w:t xml:space="preserve"> </w:t>
      </w:r>
      <w:r w:rsidR="004B6E8B" w:rsidRPr="0098291C">
        <w:rPr>
          <w:rFonts w:asciiTheme="minorHAnsi" w:hAnsiTheme="minorHAnsi"/>
          <w:color w:val="000000"/>
          <w:lang w:val="en-US"/>
        </w:rPr>
        <w:t xml:space="preserve">These STRP NFPs also see personal benefits to their </w:t>
      </w:r>
      <w:r w:rsidR="004B6E8B" w:rsidRPr="008B3841">
        <w:rPr>
          <w:lang w:val="en-US"/>
        </w:rPr>
        <w:t>participati</w:t>
      </w:r>
      <w:r w:rsidR="002D5F19">
        <w:rPr>
          <w:lang w:val="en-US"/>
        </w:rPr>
        <w:t>o</w:t>
      </w:r>
      <w:r w:rsidR="004B6E8B" w:rsidRPr="008B3841">
        <w:rPr>
          <w:lang w:val="en-US"/>
        </w:rPr>
        <w:t>n</w:t>
      </w:r>
      <w:r w:rsidR="004B6E8B" w:rsidRPr="0098291C">
        <w:rPr>
          <w:rFonts w:asciiTheme="minorHAnsi" w:hAnsiTheme="minorHAnsi"/>
          <w:color w:val="000000"/>
          <w:lang w:val="en-US"/>
        </w:rPr>
        <w:t xml:space="preserve"> in the STRP’s work</w:t>
      </w:r>
      <w:r w:rsidR="002D5F19">
        <w:rPr>
          <w:lang w:val="en-US"/>
        </w:rPr>
        <w:t>: i</w:t>
      </w:r>
      <w:r w:rsidR="004B6E8B" w:rsidRPr="008B3841">
        <w:rPr>
          <w:lang w:val="en-US"/>
        </w:rPr>
        <w:t>t</w:t>
      </w:r>
      <w:r w:rsidR="004B6E8B" w:rsidRPr="0098291C">
        <w:rPr>
          <w:rFonts w:asciiTheme="minorHAnsi" w:hAnsiTheme="minorHAnsi"/>
          <w:color w:val="000000"/>
          <w:lang w:val="en-US"/>
        </w:rPr>
        <w:t xml:space="preserve"> can be a learning opportunity to expand one’s knowledge and expertise,</w:t>
      </w:r>
      <w:r w:rsidR="00380FD2" w:rsidRPr="0098291C">
        <w:rPr>
          <w:rFonts w:asciiTheme="minorHAnsi" w:hAnsiTheme="minorHAnsi"/>
          <w:color w:val="000000"/>
          <w:lang w:val="en-US"/>
        </w:rPr>
        <w:t xml:space="preserve"> </w:t>
      </w:r>
      <w:r w:rsidR="00A97C27">
        <w:rPr>
          <w:rFonts w:asciiTheme="minorHAnsi" w:eastAsia="Times New Roman" w:hAnsiTheme="minorHAnsi" w:cs="Segoe UI"/>
          <w:color w:val="000000"/>
          <w:lang w:val="en-US"/>
        </w:rPr>
        <w:t>as well as</w:t>
      </w:r>
      <w:r w:rsidR="00A97C27" w:rsidRPr="0098291C">
        <w:rPr>
          <w:rFonts w:asciiTheme="minorHAnsi" w:hAnsiTheme="minorHAnsi"/>
          <w:color w:val="000000"/>
          <w:lang w:val="en-US"/>
        </w:rPr>
        <w:t xml:space="preserve"> an</w:t>
      </w:r>
      <w:r w:rsidR="00380FD2" w:rsidRPr="0098291C">
        <w:rPr>
          <w:lang w:val="en-US"/>
        </w:rPr>
        <w:t xml:space="preserve"> </w:t>
      </w:r>
      <w:r w:rsidR="00380FD2" w:rsidRPr="0098291C">
        <w:rPr>
          <w:rFonts w:asciiTheme="minorHAnsi" w:hAnsiTheme="minorHAnsi"/>
          <w:color w:val="000000"/>
          <w:lang w:val="en-US"/>
        </w:rPr>
        <w:t>opportunity to</w:t>
      </w:r>
      <w:r w:rsidR="004B6E8B" w:rsidRPr="0098291C">
        <w:rPr>
          <w:rFonts w:asciiTheme="minorHAnsi" w:hAnsiTheme="minorHAnsi"/>
          <w:color w:val="000000"/>
          <w:lang w:val="en-US"/>
        </w:rPr>
        <w:t xml:space="preserve"> be updated on international developments and </w:t>
      </w:r>
      <w:r w:rsidR="00380FD2" w:rsidRPr="0098291C">
        <w:rPr>
          <w:rFonts w:asciiTheme="minorHAnsi" w:hAnsiTheme="minorHAnsi"/>
          <w:color w:val="000000"/>
          <w:lang w:val="en-US"/>
        </w:rPr>
        <w:t xml:space="preserve">to </w:t>
      </w:r>
      <w:r w:rsidR="004B6E8B" w:rsidRPr="0098291C">
        <w:rPr>
          <w:rFonts w:asciiTheme="minorHAnsi" w:hAnsiTheme="minorHAnsi"/>
          <w:color w:val="000000"/>
          <w:lang w:val="en-US"/>
        </w:rPr>
        <w:t>engage in networking.</w:t>
      </w:r>
      <w:r w:rsidR="00056DC4" w:rsidRPr="0098291C">
        <w:rPr>
          <w:rFonts w:asciiTheme="minorHAnsi" w:hAnsiTheme="minorHAnsi"/>
          <w:color w:val="000000"/>
          <w:lang w:val="en-US"/>
        </w:rPr>
        <w:t xml:space="preserve"> </w:t>
      </w:r>
      <w:r w:rsidR="004B6E8B" w:rsidRPr="0098291C">
        <w:rPr>
          <w:rFonts w:asciiTheme="minorHAnsi" w:hAnsiTheme="minorHAnsi"/>
          <w:color w:val="000000"/>
          <w:lang w:val="en-US"/>
        </w:rPr>
        <w:t xml:space="preserve">Generally, however, the STRP NFPs are not supported by the governments of the Contracting Parties to participate in the STRP’s work. The NFPs’ employers generally consider it to be of low priority, and some NFPs do their STRP-related work </w:t>
      </w:r>
      <w:r w:rsidR="002D5F19">
        <w:rPr>
          <w:lang w:val="en-US"/>
        </w:rPr>
        <w:t>outside their work time</w:t>
      </w:r>
      <w:r w:rsidR="004B6E8B" w:rsidRPr="008B3841">
        <w:rPr>
          <w:lang w:val="en-US"/>
        </w:rPr>
        <w:t>.</w:t>
      </w:r>
      <w:r w:rsidR="004B6E8B" w:rsidRPr="0098291C">
        <w:rPr>
          <w:rFonts w:asciiTheme="minorHAnsi" w:hAnsiTheme="minorHAnsi"/>
          <w:color w:val="000000"/>
          <w:lang w:val="en-US"/>
        </w:rPr>
        <w:t xml:space="preserve"> Often there is no budget for NFPs to attend meetings, </w:t>
      </w:r>
      <w:r w:rsidR="000B5FFE" w:rsidRPr="0098291C">
        <w:rPr>
          <w:rFonts w:asciiTheme="minorHAnsi" w:hAnsiTheme="minorHAnsi"/>
          <w:color w:val="000000"/>
          <w:lang w:val="en-US"/>
        </w:rPr>
        <w:t>and in one instance the NFP used</w:t>
      </w:r>
      <w:r w:rsidR="004B6E8B" w:rsidRPr="0098291C">
        <w:rPr>
          <w:rFonts w:asciiTheme="minorHAnsi" w:hAnsiTheme="minorHAnsi"/>
          <w:color w:val="000000"/>
          <w:lang w:val="en-US"/>
        </w:rPr>
        <w:t xml:space="preserve"> personal leave to attend STRP meetings. </w:t>
      </w:r>
    </w:p>
    <w:p w14:paraId="3EC8A7AD" w14:textId="77777777" w:rsidR="001C5C4A" w:rsidRPr="008B3841" w:rsidRDefault="001C5C4A" w:rsidP="00684ACE">
      <w:pPr>
        <w:rPr>
          <w:rFonts w:asciiTheme="minorHAnsi" w:hAnsiTheme="minorHAnsi"/>
          <w:b/>
        </w:rPr>
      </w:pPr>
    </w:p>
    <w:p w14:paraId="32D574AF" w14:textId="77777777" w:rsidR="00536AB3" w:rsidRPr="000C4662" w:rsidRDefault="00CC6773" w:rsidP="00684ACE">
      <w:pPr>
        <w:rPr>
          <w:u w:val="single"/>
        </w:rPr>
      </w:pPr>
      <w:r w:rsidRPr="000C4662">
        <w:rPr>
          <w:u w:val="single"/>
        </w:rPr>
        <w:t xml:space="preserve">Future priorities </w:t>
      </w:r>
    </w:p>
    <w:p w14:paraId="41EA3970" w14:textId="77777777" w:rsidR="00CC6773" w:rsidRDefault="00CC6773" w:rsidP="00CC6773">
      <w:pPr>
        <w:rPr>
          <w:rFonts w:cs="Arial"/>
        </w:rPr>
      </w:pPr>
    </w:p>
    <w:p w14:paraId="51AA4BB0" w14:textId="4C6431BB" w:rsidR="006F016C" w:rsidRPr="00867F99" w:rsidRDefault="00867F99" w:rsidP="00867F99">
      <w:r>
        <w:t>23.</w:t>
      </w:r>
      <w:r>
        <w:tab/>
      </w:r>
      <w:r w:rsidR="00FE7A28" w:rsidRPr="00867F99">
        <w:t>A</w:t>
      </w:r>
      <w:r w:rsidR="009074B1" w:rsidRPr="00867F99">
        <w:t xml:space="preserve">fter consultation with STRP members, during STRP21, and the </w:t>
      </w:r>
      <w:r w:rsidR="00A97C27" w:rsidRPr="00867F99">
        <w:t>S</w:t>
      </w:r>
      <w:r w:rsidR="009074B1" w:rsidRPr="00867F99">
        <w:t>ecretariat, the STRP Chair recommends keeping the current Thematic Work Areas, adopte</w:t>
      </w:r>
      <w:r w:rsidR="00FE7A28" w:rsidRPr="00867F99">
        <w:t>d by Contracting Parties in Resolution</w:t>
      </w:r>
      <w:r w:rsidR="009074B1" w:rsidRPr="00867F99">
        <w:t xml:space="preserve"> </w:t>
      </w:r>
      <w:r w:rsidR="00FE7A28" w:rsidRPr="00867F99">
        <w:t>XII.5</w:t>
      </w:r>
      <w:r w:rsidR="009074B1" w:rsidRPr="00867F99">
        <w:t>, with slight refinements (see doc</w:t>
      </w:r>
      <w:r w:rsidRPr="00867F99">
        <w:t>.</w:t>
      </w:r>
      <w:r w:rsidR="009074B1" w:rsidRPr="00867F99">
        <w:t xml:space="preserve"> </w:t>
      </w:r>
      <w:r w:rsidR="009074B1" w:rsidRPr="00073463">
        <w:t>SC</w:t>
      </w:r>
      <w:r w:rsidRPr="00073463">
        <w:t>54</w:t>
      </w:r>
      <w:r w:rsidRPr="00867F99">
        <w:t>-23</w:t>
      </w:r>
      <w:r w:rsidR="009074B1" w:rsidRPr="00867F99">
        <w:t xml:space="preserve"> </w:t>
      </w:r>
      <w:r w:rsidRPr="00867F99">
        <w:rPr>
          <w:i/>
        </w:rPr>
        <w:t>Draft resolution on scientific and technical priorities of the Convention</w:t>
      </w:r>
      <w:r w:rsidR="009074B1" w:rsidRPr="00867F99">
        <w:t xml:space="preserve">). In addition, the STRP recommends </w:t>
      </w:r>
      <w:r w:rsidR="00A97C27" w:rsidRPr="00867F99">
        <w:t xml:space="preserve">consideration of </w:t>
      </w:r>
      <w:r w:rsidR="009074B1" w:rsidRPr="00867F99">
        <w:t>the following list of priorities, each of which falls under a T</w:t>
      </w:r>
      <w:r w:rsidR="00FE7A28" w:rsidRPr="00867F99">
        <w:t xml:space="preserve">hematic </w:t>
      </w:r>
      <w:r w:rsidR="009074B1" w:rsidRPr="00867F99">
        <w:t>W</w:t>
      </w:r>
      <w:r w:rsidR="00FE7A28" w:rsidRPr="00867F99">
        <w:t xml:space="preserve">ork </w:t>
      </w:r>
      <w:r w:rsidR="009074B1" w:rsidRPr="00867F99">
        <w:t>A</w:t>
      </w:r>
      <w:r w:rsidR="00FE7A28" w:rsidRPr="00867F99">
        <w:t>rea</w:t>
      </w:r>
      <w:r w:rsidR="009074B1" w:rsidRPr="00867F99">
        <w:t xml:space="preserve">, based on the Strategic Plan of the Convention, international processes of relevance to the Convention and </w:t>
      </w:r>
      <w:r w:rsidR="00FE7A28" w:rsidRPr="00867F99">
        <w:t>Contracting Parties’ needs</w:t>
      </w:r>
      <w:r w:rsidR="009074B1" w:rsidRPr="00867F99">
        <w:t xml:space="preserve">: </w:t>
      </w:r>
    </w:p>
    <w:p w14:paraId="0D267C27" w14:textId="77777777" w:rsidR="006F016C" w:rsidRDefault="006F016C" w:rsidP="00CC6773">
      <w:pPr>
        <w:rPr>
          <w:rFonts w:cs="Arial"/>
        </w:rPr>
      </w:pPr>
    </w:p>
    <w:p w14:paraId="18759626" w14:textId="4F3EC55A" w:rsidR="00FE7A28" w:rsidRDefault="00FE7A28" w:rsidP="00867F99">
      <w:pPr>
        <w:pStyle w:val="ListParagraph"/>
        <w:numPr>
          <w:ilvl w:val="0"/>
          <w:numId w:val="18"/>
        </w:numPr>
        <w:ind w:left="850" w:hanging="425"/>
        <w:rPr>
          <w:rFonts w:cs="Arial"/>
        </w:rPr>
      </w:pPr>
      <w:r>
        <w:rPr>
          <w:rFonts w:cs="Arial"/>
        </w:rPr>
        <w:lastRenderedPageBreak/>
        <w:t>Provide guidance to Contracting Parties relating to the national reporting on wetland inventories, which will contribute to reporting under Sustainable Development</w:t>
      </w:r>
      <w:r w:rsidR="006F016C">
        <w:rPr>
          <w:rFonts w:cs="Arial"/>
        </w:rPr>
        <w:t xml:space="preserve"> Goals</w:t>
      </w:r>
      <w:r>
        <w:rPr>
          <w:rFonts w:cs="Arial"/>
        </w:rPr>
        <w:t xml:space="preserve"> </w:t>
      </w:r>
      <w:r w:rsidR="000E11E4">
        <w:rPr>
          <w:rFonts w:cs="Arial"/>
        </w:rPr>
        <w:t xml:space="preserve">indicator </w:t>
      </w:r>
      <w:r>
        <w:rPr>
          <w:rFonts w:cs="Arial"/>
        </w:rPr>
        <w:t>6.6.1;</w:t>
      </w:r>
    </w:p>
    <w:p w14:paraId="720DE932" w14:textId="77777777" w:rsidR="006F016C" w:rsidRDefault="006F016C" w:rsidP="00867F99">
      <w:pPr>
        <w:pStyle w:val="ListParagraph"/>
        <w:ind w:left="850"/>
        <w:rPr>
          <w:rFonts w:cs="Arial"/>
        </w:rPr>
      </w:pPr>
    </w:p>
    <w:p w14:paraId="1AB8289D" w14:textId="77777777" w:rsidR="006F016C" w:rsidRPr="006F016C" w:rsidRDefault="009074B1" w:rsidP="00867F99">
      <w:pPr>
        <w:pStyle w:val="ListParagraph"/>
        <w:numPr>
          <w:ilvl w:val="0"/>
          <w:numId w:val="18"/>
        </w:numPr>
        <w:ind w:left="850" w:hanging="425"/>
        <w:rPr>
          <w:rFonts w:cs="Arial"/>
        </w:rPr>
      </w:pPr>
      <w:r>
        <w:rPr>
          <w:rFonts w:eastAsia="Times New Roman"/>
          <w:color w:val="000000"/>
        </w:rPr>
        <w:t>Undertake a review of, and compilation of data and information from, national wetland inventories, so as to update the 1999 Global Review of Wetland Inventory (GRoWI), building on the information provided by Contracting Parties in their National Reports to COP13</w:t>
      </w:r>
      <w:r w:rsidR="00A97C27">
        <w:rPr>
          <w:rFonts w:eastAsia="Times New Roman"/>
          <w:color w:val="000000"/>
        </w:rPr>
        <w:t xml:space="preserve"> and other sources such as the Global Mangrove Watch</w:t>
      </w:r>
      <w:r w:rsidR="006F016C">
        <w:rPr>
          <w:rFonts w:eastAsia="Times New Roman"/>
          <w:color w:val="000000"/>
        </w:rPr>
        <w:t>;</w:t>
      </w:r>
    </w:p>
    <w:p w14:paraId="25FAD5D8" w14:textId="77777777" w:rsidR="009074B1" w:rsidRDefault="009074B1" w:rsidP="00867F99">
      <w:pPr>
        <w:pStyle w:val="ListParagraph"/>
        <w:ind w:left="850"/>
        <w:rPr>
          <w:rFonts w:cs="Arial"/>
        </w:rPr>
      </w:pPr>
    </w:p>
    <w:p w14:paraId="22EA8BE6" w14:textId="3AD4A0B6" w:rsidR="009074B1" w:rsidRDefault="00847794" w:rsidP="00867F99">
      <w:pPr>
        <w:pStyle w:val="ListParagraph"/>
        <w:numPr>
          <w:ilvl w:val="0"/>
          <w:numId w:val="18"/>
        </w:numPr>
        <w:ind w:left="850" w:hanging="425"/>
        <w:rPr>
          <w:rFonts w:cs="Arial"/>
        </w:rPr>
      </w:pPr>
      <w:r>
        <w:rPr>
          <w:rFonts w:cs="Arial"/>
        </w:rPr>
        <w:t>Advi</w:t>
      </w:r>
      <w:r w:rsidR="00941744">
        <w:rPr>
          <w:rFonts w:cs="Arial"/>
        </w:rPr>
        <w:t>s</w:t>
      </w:r>
      <w:r>
        <w:rPr>
          <w:rFonts w:cs="Arial"/>
        </w:rPr>
        <w:t>e on how wetlands can act as n</w:t>
      </w:r>
      <w:r w:rsidR="000D3EC5">
        <w:rPr>
          <w:rFonts w:cs="Arial"/>
        </w:rPr>
        <w:t xml:space="preserve">atural capital to encourage investment on </w:t>
      </w:r>
      <w:r>
        <w:rPr>
          <w:rFonts w:cs="Arial"/>
        </w:rPr>
        <w:t xml:space="preserve">wetland </w:t>
      </w:r>
      <w:r w:rsidR="000D3EC5">
        <w:rPr>
          <w:rFonts w:cs="Arial"/>
        </w:rPr>
        <w:t>r</w:t>
      </w:r>
      <w:r>
        <w:rPr>
          <w:rFonts w:cs="Arial"/>
        </w:rPr>
        <w:t>estoration and wise use</w:t>
      </w:r>
      <w:r w:rsidR="00867F99">
        <w:rPr>
          <w:rFonts w:cs="Arial"/>
        </w:rPr>
        <w:t xml:space="preserve"> </w:t>
      </w:r>
      <w:r>
        <w:rPr>
          <w:rFonts w:cs="Arial"/>
        </w:rPr>
        <w:t>and to promote wetlands as natural solutions/ natural infrastructure</w:t>
      </w:r>
      <w:r w:rsidR="000D3EC5">
        <w:rPr>
          <w:rFonts w:cs="Arial"/>
        </w:rPr>
        <w:t>;</w:t>
      </w:r>
    </w:p>
    <w:p w14:paraId="1B05B486" w14:textId="77777777" w:rsidR="006F016C" w:rsidRDefault="006F016C" w:rsidP="00867F99">
      <w:pPr>
        <w:pStyle w:val="ListParagraph"/>
        <w:ind w:left="850"/>
        <w:rPr>
          <w:rFonts w:cs="Arial"/>
        </w:rPr>
      </w:pPr>
    </w:p>
    <w:p w14:paraId="44EB3479" w14:textId="77777777" w:rsidR="000D3EC5" w:rsidRDefault="00FE7A28" w:rsidP="00867F99">
      <w:pPr>
        <w:pStyle w:val="ListParagraph"/>
        <w:numPr>
          <w:ilvl w:val="0"/>
          <w:numId w:val="18"/>
        </w:numPr>
        <w:ind w:left="850" w:hanging="425"/>
        <w:rPr>
          <w:rFonts w:cs="Arial"/>
        </w:rPr>
      </w:pPr>
      <w:r>
        <w:rPr>
          <w:rFonts w:cs="Arial"/>
        </w:rPr>
        <w:t>Provide guidance on c</w:t>
      </w:r>
      <w:r w:rsidR="000D3EC5">
        <w:rPr>
          <w:rFonts w:cs="Arial"/>
        </w:rPr>
        <w:t>arbon sequestrat</w:t>
      </w:r>
      <w:r>
        <w:rPr>
          <w:rFonts w:cs="Arial"/>
        </w:rPr>
        <w:t xml:space="preserve">ion accounting methodologies, </w:t>
      </w:r>
      <w:r w:rsidR="00847794">
        <w:rPr>
          <w:rFonts w:cs="Arial"/>
        </w:rPr>
        <w:t>which would contribute</w:t>
      </w:r>
      <w:r w:rsidR="006F016C">
        <w:rPr>
          <w:rFonts w:cs="Arial"/>
        </w:rPr>
        <w:t>,</w:t>
      </w:r>
      <w:r w:rsidR="00847794">
        <w:rPr>
          <w:rFonts w:cs="Arial"/>
        </w:rPr>
        <w:t xml:space="preserve"> among other things</w:t>
      </w:r>
      <w:r w:rsidR="006F016C">
        <w:rPr>
          <w:rFonts w:cs="Arial"/>
        </w:rPr>
        <w:t>,</w:t>
      </w:r>
      <w:r w:rsidR="00847794">
        <w:rPr>
          <w:rFonts w:cs="Arial"/>
        </w:rPr>
        <w:t xml:space="preserve"> to the </w:t>
      </w:r>
      <w:r w:rsidR="000D3EC5">
        <w:rPr>
          <w:rFonts w:cs="Arial"/>
        </w:rPr>
        <w:t>N</w:t>
      </w:r>
      <w:r w:rsidR="00847794">
        <w:rPr>
          <w:rFonts w:cs="Arial"/>
        </w:rPr>
        <w:t xml:space="preserve">ationally </w:t>
      </w:r>
      <w:r w:rsidR="000D3EC5">
        <w:rPr>
          <w:rFonts w:cs="Arial"/>
        </w:rPr>
        <w:t>D</w:t>
      </w:r>
      <w:r w:rsidR="00847794">
        <w:rPr>
          <w:rFonts w:cs="Arial"/>
        </w:rPr>
        <w:t xml:space="preserve">etermined </w:t>
      </w:r>
      <w:r w:rsidR="000D3EC5">
        <w:rPr>
          <w:rFonts w:cs="Arial"/>
        </w:rPr>
        <w:t>C</w:t>
      </w:r>
      <w:r w:rsidR="00847794">
        <w:rPr>
          <w:rFonts w:cs="Arial"/>
        </w:rPr>
        <w:t>ontributions (NDCs)</w:t>
      </w:r>
      <w:r w:rsidR="000D3EC5">
        <w:rPr>
          <w:rFonts w:cs="Arial"/>
        </w:rPr>
        <w:t xml:space="preserve"> reporting</w:t>
      </w:r>
      <w:r w:rsidR="00847794">
        <w:rPr>
          <w:rFonts w:cs="Arial"/>
        </w:rPr>
        <w:t xml:space="preserve"> under UNFCCC</w:t>
      </w:r>
      <w:r w:rsidR="000D3EC5">
        <w:rPr>
          <w:rFonts w:cs="Arial"/>
        </w:rPr>
        <w:t xml:space="preserve">; </w:t>
      </w:r>
    </w:p>
    <w:p w14:paraId="0E48DDDA" w14:textId="77777777" w:rsidR="006F016C" w:rsidRDefault="006F016C" w:rsidP="00867F99">
      <w:pPr>
        <w:pStyle w:val="ListParagraph"/>
        <w:ind w:left="850"/>
        <w:rPr>
          <w:rFonts w:cs="Arial"/>
        </w:rPr>
      </w:pPr>
    </w:p>
    <w:p w14:paraId="1C73AA25" w14:textId="2F681C3F" w:rsidR="000D3EC5" w:rsidRPr="00F23EB8" w:rsidRDefault="006F016C" w:rsidP="00867F99">
      <w:pPr>
        <w:pStyle w:val="ListParagraph"/>
        <w:numPr>
          <w:ilvl w:val="0"/>
          <w:numId w:val="18"/>
        </w:numPr>
        <w:ind w:left="850" w:hanging="425"/>
        <w:rPr>
          <w:rFonts w:cs="Arial"/>
        </w:rPr>
      </w:pPr>
      <w:r>
        <w:rPr>
          <w:rFonts w:cs="Arial"/>
        </w:rPr>
        <w:t xml:space="preserve">Provide advice related to </w:t>
      </w:r>
      <w:r w:rsidR="00847794">
        <w:rPr>
          <w:rFonts w:cs="Arial"/>
        </w:rPr>
        <w:t>Resolution XII.</w:t>
      </w:r>
      <w:r>
        <w:rPr>
          <w:rFonts w:cs="Arial"/>
        </w:rPr>
        <w:t>2</w:t>
      </w:r>
      <w:r w:rsidR="00867F99">
        <w:rPr>
          <w:rFonts w:cs="Arial"/>
        </w:rPr>
        <w:t>’s</w:t>
      </w:r>
      <w:r>
        <w:rPr>
          <w:rFonts w:cs="Arial"/>
        </w:rPr>
        <w:t xml:space="preserve"> </w:t>
      </w:r>
      <w:r w:rsidR="00847794">
        <w:rPr>
          <w:rFonts w:cs="Arial"/>
        </w:rPr>
        <w:t>request to submit a</w:t>
      </w:r>
      <w:r w:rsidR="000D3EC5">
        <w:rPr>
          <w:rFonts w:cs="Arial"/>
        </w:rPr>
        <w:t xml:space="preserve"> t</w:t>
      </w:r>
      <w:r w:rsidR="00847794">
        <w:rPr>
          <w:rFonts w:cs="Arial"/>
        </w:rPr>
        <w:t>hematic assessment request</w:t>
      </w:r>
      <w:r w:rsidR="000D3EC5">
        <w:rPr>
          <w:rFonts w:cs="Arial"/>
        </w:rPr>
        <w:t xml:space="preserve"> to IPBES</w:t>
      </w:r>
      <w:r w:rsidR="00847794">
        <w:t>;</w:t>
      </w:r>
    </w:p>
    <w:p w14:paraId="1C531EE4" w14:textId="77777777" w:rsidR="00F23EB8" w:rsidRDefault="00F23EB8" w:rsidP="00867F99">
      <w:pPr>
        <w:pStyle w:val="ListParagraph"/>
        <w:ind w:left="850"/>
        <w:rPr>
          <w:rFonts w:cs="Arial"/>
        </w:rPr>
      </w:pPr>
    </w:p>
    <w:p w14:paraId="3BD4D550" w14:textId="166B2DE5" w:rsidR="000D3EC5" w:rsidRDefault="00847794" w:rsidP="00867F99">
      <w:pPr>
        <w:pStyle w:val="ListParagraph"/>
        <w:numPr>
          <w:ilvl w:val="0"/>
          <w:numId w:val="18"/>
        </w:numPr>
        <w:ind w:left="850" w:hanging="425"/>
        <w:rPr>
          <w:rFonts w:cs="Arial"/>
        </w:rPr>
      </w:pPr>
      <w:r>
        <w:rPr>
          <w:rFonts w:cs="Arial"/>
        </w:rPr>
        <w:t>Advi</w:t>
      </w:r>
      <w:r w:rsidR="00F23EB8">
        <w:rPr>
          <w:rFonts w:cs="Arial"/>
        </w:rPr>
        <w:t>s</w:t>
      </w:r>
      <w:r>
        <w:rPr>
          <w:rFonts w:cs="Arial"/>
        </w:rPr>
        <w:t>e on the f</w:t>
      </w:r>
      <w:r w:rsidR="000D3EC5">
        <w:rPr>
          <w:rFonts w:cs="Arial"/>
        </w:rPr>
        <w:t xml:space="preserve">ocus of future editions of the </w:t>
      </w:r>
      <w:r w:rsidR="000D3EC5" w:rsidRPr="00F23EB8">
        <w:rPr>
          <w:rFonts w:cs="Arial"/>
          <w:i/>
        </w:rPr>
        <w:t>G</w:t>
      </w:r>
      <w:r w:rsidR="002507A4" w:rsidRPr="00F23EB8">
        <w:rPr>
          <w:rFonts w:cs="Arial"/>
          <w:i/>
        </w:rPr>
        <w:t xml:space="preserve">lobal </w:t>
      </w:r>
      <w:r w:rsidR="000D3EC5" w:rsidRPr="00F23EB8">
        <w:rPr>
          <w:rFonts w:cs="Arial"/>
          <w:i/>
        </w:rPr>
        <w:t>W</w:t>
      </w:r>
      <w:r w:rsidR="002507A4" w:rsidRPr="00F23EB8">
        <w:rPr>
          <w:rFonts w:cs="Arial"/>
          <w:i/>
        </w:rPr>
        <w:t xml:space="preserve">etland </w:t>
      </w:r>
      <w:r w:rsidR="000D3EC5" w:rsidRPr="00F23EB8">
        <w:rPr>
          <w:rFonts w:cs="Arial"/>
          <w:i/>
        </w:rPr>
        <w:t>O</w:t>
      </w:r>
      <w:r w:rsidR="002507A4" w:rsidRPr="00F23EB8">
        <w:rPr>
          <w:rFonts w:cs="Arial"/>
          <w:i/>
        </w:rPr>
        <w:t>utlook</w:t>
      </w:r>
      <w:r w:rsidR="002507A4">
        <w:rPr>
          <w:rFonts w:cs="Arial"/>
        </w:rPr>
        <w:t xml:space="preserve">, taking into account the work of </w:t>
      </w:r>
      <w:r w:rsidR="00867F99">
        <w:rPr>
          <w:rFonts w:cs="Arial"/>
        </w:rPr>
        <w:t xml:space="preserve">International Organization Partners </w:t>
      </w:r>
      <w:r w:rsidR="002507A4">
        <w:rPr>
          <w:rFonts w:cs="Arial"/>
        </w:rPr>
        <w:t>and other organizations;</w:t>
      </w:r>
    </w:p>
    <w:p w14:paraId="6F0838A6" w14:textId="77777777" w:rsidR="006F016C" w:rsidRDefault="006F016C" w:rsidP="00867F99">
      <w:pPr>
        <w:pStyle w:val="ListParagraph"/>
        <w:ind w:left="850"/>
        <w:rPr>
          <w:rFonts w:cs="Arial"/>
        </w:rPr>
      </w:pPr>
    </w:p>
    <w:p w14:paraId="2972294C" w14:textId="001004E7" w:rsidR="000D3EC5" w:rsidRDefault="00C51552" w:rsidP="00867F99">
      <w:pPr>
        <w:pStyle w:val="ListParagraph"/>
        <w:numPr>
          <w:ilvl w:val="0"/>
          <w:numId w:val="18"/>
        </w:numPr>
        <w:ind w:left="850" w:hanging="425"/>
        <w:rPr>
          <w:rFonts w:cs="Arial"/>
        </w:rPr>
      </w:pPr>
      <w:r>
        <w:rPr>
          <w:rFonts w:cs="Arial"/>
        </w:rPr>
        <w:t>Advise Contracting Parties</w:t>
      </w:r>
      <w:r w:rsidR="009548A5">
        <w:rPr>
          <w:rFonts w:cs="Arial"/>
        </w:rPr>
        <w:t xml:space="preserve"> </w:t>
      </w:r>
      <w:r w:rsidR="000603D8">
        <w:rPr>
          <w:rFonts w:cs="Arial"/>
        </w:rPr>
        <w:t xml:space="preserve">on the review </w:t>
      </w:r>
      <w:r w:rsidR="000D3EC5">
        <w:rPr>
          <w:rFonts w:cs="Arial"/>
        </w:rPr>
        <w:t xml:space="preserve">of </w:t>
      </w:r>
      <w:r w:rsidR="000603D8">
        <w:rPr>
          <w:rFonts w:cs="Arial"/>
        </w:rPr>
        <w:t xml:space="preserve">the fourth Strategic Plan of the Convention to be presented at COP14 (per the terms of Resolution XII.2); </w:t>
      </w:r>
    </w:p>
    <w:p w14:paraId="1BA71F27" w14:textId="77777777" w:rsidR="006F016C" w:rsidRDefault="006F016C" w:rsidP="00867F99">
      <w:pPr>
        <w:pStyle w:val="ListParagraph"/>
        <w:ind w:left="850"/>
        <w:rPr>
          <w:rFonts w:cs="Arial"/>
        </w:rPr>
      </w:pPr>
    </w:p>
    <w:p w14:paraId="7562ED23" w14:textId="35F20DC8" w:rsidR="006F016C" w:rsidRPr="006F016C" w:rsidRDefault="006D13A7" w:rsidP="00867F99">
      <w:pPr>
        <w:pStyle w:val="ListParagraph"/>
        <w:numPr>
          <w:ilvl w:val="0"/>
          <w:numId w:val="18"/>
        </w:numPr>
        <w:ind w:left="850" w:hanging="425"/>
        <w:rPr>
          <w:rFonts w:cs="Arial"/>
        </w:rPr>
      </w:pPr>
      <w:r>
        <w:t>Provide advice</w:t>
      </w:r>
      <w:r w:rsidR="000D3EC5">
        <w:t xml:space="preserve"> on applying integrated and landscape-management approaches</w:t>
      </w:r>
      <w:r w:rsidR="000603D8">
        <w:t>; and</w:t>
      </w:r>
    </w:p>
    <w:p w14:paraId="6F304CFA" w14:textId="77777777" w:rsidR="000D3EC5" w:rsidRPr="000D3EC5" w:rsidRDefault="000D3EC5" w:rsidP="00867F99">
      <w:pPr>
        <w:pStyle w:val="ListParagraph"/>
        <w:ind w:left="850"/>
        <w:rPr>
          <w:rFonts w:cs="Arial"/>
        </w:rPr>
      </w:pPr>
    </w:p>
    <w:p w14:paraId="2B05F700" w14:textId="220791CB" w:rsidR="000D3EC5" w:rsidRPr="006F016C" w:rsidRDefault="000603D8" w:rsidP="00867F99">
      <w:pPr>
        <w:pStyle w:val="ListParagraph"/>
        <w:numPr>
          <w:ilvl w:val="0"/>
          <w:numId w:val="18"/>
        </w:numPr>
        <w:ind w:left="850" w:hanging="425"/>
        <w:rPr>
          <w:rFonts w:cs="Arial"/>
        </w:rPr>
      </w:pPr>
      <w:r w:rsidRPr="006F016C">
        <w:t>Collaborate with</w:t>
      </w:r>
      <w:r w:rsidR="00965ECD" w:rsidRPr="006F016C">
        <w:t xml:space="preserve"> regional </w:t>
      </w:r>
      <w:r w:rsidR="00867F99" w:rsidRPr="006F016C">
        <w:t>cent</w:t>
      </w:r>
      <w:r w:rsidR="00867F99">
        <w:t>res</w:t>
      </w:r>
      <w:r w:rsidR="00867F99" w:rsidRPr="006F016C">
        <w:t xml:space="preserve"> </w:t>
      </w:r>
      <w:r w:rsidRPr="006F016C">
        <w:t xml:space="preserve">to identify opportunities for capacity building </w:t>
      </w:r>
      <w:r w:rsidR="00965ECD" w:rsidRPr="006F016C">
        <w:t>workshops</w:t>
      </w:r>
      <w:r w:rsidRPr="006F016C">
        <w:t xml:space="preserve"> on </w:t>
      </w:r>
      <w:r w:rsidR="00965ECD" w:rsidRPr="006F016C">
        <w:t>wetland management</w:t>
      </w:r>
      <w:r w:rsidRPr="006F016C">
        <w:t xml:space="preserve">. </w:t>
      </w:r>
    </w:p>
    <w:p w14:paraId="1EE18F4C" w14:textId="7966A8FD" w:rsidR="00867F99" w:rsidRDefault="00867F99">
      <w:pPr>
        <w:spacing w:after="200" w:line="276" w:lineRule="auto"/>
        <w:ind w:left="0" w:firstLine="0"/>
        <w:rPr>
          <w:rFonts w:cs="Arial"/>
        </w:rPr>
      </w:pPr>
      <w:r>
        <w:rPr>
          <w:rFonts w:cs="Arial"/>
        </w:rPr>
        <w:br w:type="page"/>
      </w:r>
    </w:p>
    <w:p w14:paraId="3885EB6E" w14:textId="723A2874" w:rsidR="00A431E5" w:rsidRPr="00867F99" w:rsidRDefault="00A431E5" w:rsidP="00867F99">
      <w:pPr>
        <w:rPr>
          <w:b/>
          <w:sz w:val="24"/>
          <w:szCs w:val="24"/>
        </w:rPr>
      </w:pPr>
      <w:r w:rsidRPr="00867F99">
        <w:rPr>
          <w:b/>
          <w:sz w:val="24"/>
          <w:szCs w:val="24"/>
        </w:rPr>
        <w:lastRenderedPageBreak/>
        <w:t xml:space="preserve">Annex </w:t>
      </w:r>
      <w:r w:rsidR="00073463">
        <w:rPr>
          <w:b/>
          <w:sz w:val="24"/>
          <w:szCs w:val="24"/>
        </w:rPr>
        <w:t>1</w:t>
      </w:r>
    </w:p>
    <w:p w14:paraId="04A5B780" w14:textId="77777777" w:rsidR="00A431E5" w:rsidRPr="00867F99" w:rsidRDefault="00A431E5" w:rsidP="00867F99">
      <w:pPr>
        <w:rPr>
          <w:b/>
          <w:sz w:val="24"/>
          <w:szCs w:val="24"/>
        </w:rPr>
      </w:pPr>
    </w:p>
    <w:p w14:paraId="647D697D" w14:textId="77777777" w:rsidR="00A431E5" w:rsidRPr="00867F99" w:rsidRDefault="00A431E5" w:rsidP="00A431E5">
      <w:pPr>
        <w:rPr>
          <w:b/>
          <w:sz w:val="24"/>
          <w:szCs w:val="24"/>
        </w:rPr>
      </w:pPr>
      <w:r w:rsidRPr="00867F99">
        <w:rPr>
          <w:b/>
          <w:sz w:val="24"/>
          <w:szCs w:val="24"/>
        </w:rPr>
        <w:t>Considerations for improving the Wetland City Accreditation process</w:t>
      </w:r>
    </w:p>
    <w:p w14:paraId="3A44BEE5" w14:textId="77777777" w:rsidR="00A431E5" w:rsidRPr="00A431E5" w:rsidRDefault="00A431E5" w:rsidP="00A431E5"/>
    <w:p w14:paraId="7A5C32E7" w14:textId="25140B73" w:rsidR="00A431E5" w:rsidRPr="00A431E5" w:rsidRDefault="00867F99" w:rsidP="00867F99">
      <w:r w:rsidRPr="00867F99">
        <w:t>1.</w:t>
      </w:r>
      <w:r w:rsidRPr="00867F99">
        <w:tab/>
      </w:r>
      <w:r w:rsidR="00A431E5" w:rsidRPr="00867F99">
        <w:rPr>
          <w:i/>
        </w:rPr>
        <w:t>Time</w:t>
      </w:r>
      <w:r w:rsidR="001D2585">
        <w:t xml:space="preserve">: </w:t>
      </w:r>
      <w:r w:rsidR="00A431E5" w:rsidRPr="00A431E5">
        <w:t xml:space="preserve">The time allocation for review by the </w:t>
      </w:r>
      <w:r w:rsidR="002561C5">
        <w:t>Independent Advisory Committee (</w:t>
      </w:r>
      <w:r w:rsidR="00A431E5" w:rsidRPr="00A431E5">
        <w:t>IAC</w:t>
      </w:r>
      <w:r w:rsidR="002561C5">
        <w:t>)</w:t>
      </w:r>
      <w:r w:rsidR="00A431E5" w:rsidRPr="00A431E5">
        <w:t xml:space="preserve"> was short especially given the long timespan provided for transmission of the IAC report to COP13. A more rigorous evaluation of the evidence underpinning a proposal would be advantageous, though site visits might be beyond the scope of the process.</w:t>
      </w:r>
    </w:p>
    <w:p w14:paraId="3E19AE58" w14:textId="77777777" w:rsidR="00A431E5" w:rsidRPr="00A431E5" w:rsidRDefault="00A431E5" w:rsidP="00867F99"/>
    <w:p w14:paraId="7A424B7E" w14:textId="5E58F024" w:rsidR="00A431E5" w:rsidRPr="00A431E5" w:rsidRDefault="00867F99" w:rsidP="00867F99">
      <w:r w:rsidRPr="00867F99">
        <w:t>2.</w:t>
      </w:r>
      <w:r w:rsidRPr="00867F99">
        <w:tab/>
      </w:r>
      <w:r w:rsidR="00A431E5" w:rsidRPr="00867F99">
        <w:rPr>
          <w:i/>
        </w:rPr>
        <w:t>Review against criteria</w:t>
      </w:r>
      <w:r w:rsidR="001D2585">
        <w:t>:</w:t>
      </w:r>
      <w:r w:rsidR="00A431E5" w:rsidRPr="00A431E5">
        <w:t xml:space="preserve"> The simple binary yes/no approach to assessment against criteria leaves no room for consideration of the degree to which the criteria are satisfied in the assessment, and no opportunity for detailed commentary on the quality of the city’s performance against each criterion. It would benefit future reviews of the accredited cities, as well as future accreditation rounds, if this were improved. For example, IAC members could write a commentary for each proposal against each criterion, even if this were qualitative. In addition, the accreditation requires complete satisfaction of all criteria. A less binary approach with a more transparent and nuanced rubric or scoring system would be beneficial to the quality of the accreditation.</w:t>
      </w:r>
    </w:p>
    <w:p w14:paraId="5C5725B2" w14:textId="77777777" w:rsidR="00A431E5" w:rsidRPr="00A431E5" w:rsidRDefault="00A431E5" w:rsidP="00867F99"/>
    <w:p w14:paraId="164E007F" w14:textId="15018F70" w:rsidR="00A431E5" w:rsidRPr="00A431E5" w:rsidRDefault="00867F99" w:rsidP="00867F99">
      <w:r w:rsidRPr="00867F99">
        <w:t>3.</w:t>
      </w:r>
      <w:r w:rsidRPr="00867F99">
        <w:tab/>
      </w:r>
      <w:r w:rsidR="00A431E5" w:rsidRPr="00867F99">
        <w:rPr>
          <w:i/>
        </w:rPr>
        <w:t>Interaction</w:t>
      </w:r>
      <w:r w:rsidR="001D2585">
        <w:t>:</w:t>
      </w:r>
      <w:r w:rsidR="00A431E5" w:rsidRPr="00A431E5">
        <w:t xml:space="preserve"> The opportunity for IAC members to interact over the process was limited, largely due to the short time allocated for the process. A more interactive and considered process would be beneficial, ideally with perhaps at least one face-to-face IAC meeting, budget and time permitting. </w:t>
      </w:r>
    </w:p>
    <w:p w14:paraId="46287174" w14:textId="77777777" w:rsidR="00A431E5" w:rsidRPr="00A431E5" w:rsidRDefault="00A431E5" w:rsidP="00867F99"/>
    <w:p w14:paraId="18953A4C" w14:textId="6200A3B2" w:rsidR="00A431E5" w:rsidRDefault="002561C5" w:rsidP="00867F99">
      <w:r>
        <w:t>4</w:t>
      </w:r>
      <w:r w:rsidR="00867F99" w:rsidRPr="00867F99">
        <w:t>.</w:t>
      </w:r>
      <w:r w:rsidR="00867F99" w:rsidRPr="00867F99">
        <w:tab/>
      </w:r>
      <w:r w:rsidR="00A431E5" w:rsidRPr="00867F99">
        <w:rPr>
          <w:i/>
        </w:rPr>
        <w:t>IAC membership</w:t>
      </w:r>
      <w:r w:rsidR="001D2585">
        <w:t>:</w:t>
      </w:r>
      <w:r w:rsidR="00A431E5" w:rsidRPr="00A431E5">
        <w:t xml:space="preserve"> The nomination process for IAC membership and the IAC Chair should in the future be formali</w:t>
      </w:r>
      <w:r>
        <w:t>z</w:t>
      </w:r>
      <w:r w:rsidR="00A431E5" w:rsidRPr="00A431E5">
        <w:t xml:space="preserve">ed to ensure the representation of IAC Member organizations is complete, updated and officially recognized. </w:t>
      </w:r>
    </w:p>
    <w:p w14:paraId="4D94DEEC" w14:textId="4051A0C4" w:rsidR="008513D4" w:rsidRDefault="008513D4" w:rsidP="00867F99"/>
    <w:p w14:paraId="169145CA" w14:textId="518ED947" w:rsidR="008513D4" w:rsidRPr="00A431E5" w:rsidRDefault="008513D4" w:rsidP="008513D4">
      <w:r w:rsidRPr="008513D4">
        <w:t>5.</w:t>
      </w:r>
      <w:r>
        <w:rPr>
          <w:i/>
        </w:rPr>
        <w:tab/>
      </w:r>
      <w:r w:rsidRPr="00867F99">
        <w:rPr>
          <w:i/>
        </w:rPr>
        <w:t>Languages</w:t>
      </w:r>
      <w:r>
        <w:t>:</w:t>
      </w:r>
      <w:r w:rsidRPr="00A431E5">
        <w:t xml:space="preserve"> The linguistic capacity of the IAC may need to be broadened to reflect the submitting countries</w:t>
      </w:r>
      <w:r w:rsidRPr="00EC60E5">
        <w:t>.</w:t>
      </w:r>
    </w:p>
    <w:p w14:paraId="2FEA3034" w14:textId="77777777" w:rsidR="00A431E5" w:rsidRPr="00A431E5" w:rsidRDefault="00A431E5" w:rsidP="00867F99"/>
    <w:p w14:paraId="46481661" w14:textId="53E379F5" w:rsidR="00A431E5" w:rsidRPr="00A431E5" w:rsidRDefault="008513D4" w:rsidP="00867F99">
      <w:r>
        <w:t>6</w:t>
      </w:r>
      <w:r w:rsidR="00867F99" w:rsidRPr="00867F99">
        <w:t>.</w:t>
      </w:r>
      <w:r w:rsidR="00867F99" w:rsidRPr="00867F99">
        <w:tab/>
      </w:r>
      <w:r w:rsidR="00A431E5" w:rsidRPr="00867F99">
        <w:rPr>
          <w:i/>
        </w:rPr>
        <w:t>Feedback</w:t>
      </w:r>
      <w:r w:rsidR="001D2585">
        <w:t>:</w:t>
      </w:r>
      <w:r w:rsidR="00A431E5" w:rsidRPr="00A431E5">
        <w:t xml:space="preserve"> Frank feedback from all the IAC members on the quality of the 2017-</w:t>
      </w:r>
      <w:r w:rsidR="001D2585">
        <w:t>20</w:t>
      </w:r>
      <w:r w:rsidR="00A431E5" w:rsidRPr="00A431E5">
        <w:t>18 review and accreditation process should be sought.</w:t>
      </w:r>
    </w:p>
    <w:p w14:paraId="568F58C2" w14:textId="77777777" w:rsidR="00A431E5" w:rsidRPr="00A431E5" w:rsidRDefault="00A431E5" w:rsidP="00867F99"/>
    <w:p w14:paraId="544CFC4B" w14:textId="58CA8911" w:rsidR="003272B4" w:rsidRPr="0098291C" w:rsidRDefault="008513D4" w:rsidP="00867F99">
      <w:r>
        <w:t>7</w:t>
      </w:r>
      <w:r w:rsidR="00867F99" w:rsidRPr="00867F99">
        <w:t>.</w:t>
      </w:r>
      <w:r w:rsidR="00867F99" w:rsidRPr="00867F99">
        <w:tab/>
      </w:r>
      <w:r w:rsidR="00A431E5" w:rsidRPr="00867F99">
        <w:rPr>
          <w:i/>
        </w:rPr>
        <w:t>Executive support</w:t>
      </w:r>
      <w:r w:rsidR="001D2585">
        <w:t>:</w:t>
      </w:r>
      <w:r w:rsidR="00A431E5" w:rsidRPr="00A431E5">
        <w:t xml:space="preserve"> The Ramsar Regional </w:t>
      </w:r>
      <w:r w:rsidR="002561C5" w:rsidRPr="00A431E5">
        <w:t>Cent</w:t>
      </w:r>
      <w:r w:rsidR="002561C5">
        <w:t xml:space="preserve">er </w:t>
      </w:r>
      <w:r w:rsidR="001D2585">
        <w:t xml:space="preserve">– </w:t>
      </w:r>
      <w:r w:rsidR="00A431E5" w:rsidRPr="00A431E5">
        <w:t>East Asia</w:t>
      </w:r>
      <w:r w:rsidR="001D2585">
        <w:t xml:space="preserve"> (RRC– EA)</w:t>
      </w:r>
      <w:r w:rsidR="00A431E5" w:rsidRPr="00A431E5">
        <w:t xml:space="preserve"> supported the accreditation process </w:t>
      </w:r>
      <w:r w:rsidR="00A431E5" w:rsidRPr="00867F99">
        <w:rPr>
          <w:i/>
        </w:rPr>
        <w:t>pro bono</w:t>
      </w:r>
      <w:r w:rsidR="00A431E5" w:rsidRPr="00A431E5">
        <w:t>, and should be thanked for its helpful role. Such a role should in future be formali</w:t>
      </w:r>
      <w:r w:rsidR="002561C5">
        <w:t>z</w:t>
      </w:r>
      <w:r w:rsidR="00A431E5" w:rsidRPr="00A431E5">
        <w:t>ed and budgeted for, and formal processes for managing potential conflict of interest documented (noting that potential for conflict of interest was successfully handled by RRC</w:t>
      </w:r>
      <w:r w:rsidR="001D2585">
        <w:t xml:space="preserve">– </w:t>
      </w:r>
      <w:r w:rsidR="00A431E5" w:rsidRPr="00A431E5">
        <w:t>EA staff, who ensured that they were not involved in accreditation of submissions for the Republic of Korea).</w:t>
      </w:r>
    </w:p>
    <w:sectPr w:rsidR="003272B4" w:rsidRPr="0098291C" w:rsidSect="003C6FF2">
      <w:footerReference w:type="default" r:id="rId11"/>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EC952" w14:textId="77777777" w:rsidR="001550B5" w:rsidRDefault="001550B5" w:rsidP="00684ACE">
      <w:r>
        <w:separator/>
      </w:r>
    </w:p>
  </w:endnote>
  <w:endnote w:type="continuationSeparator" w:id="0">
    <w:p w14:paraId="7BEBB223" w14:textId="77777777" w:rsidR="001550B5" w:rsidRDefault="001550B5" w:rsidP="00684ACE">
      <w:r>
        <w:continuationSeparator/>
      </w:r>
    </w:p>
  </w:endnote>
  <w:endnote w:type="continuationNotice" w:id="1">
    <w:p w14:paraId="44603B64" w14:textId="77777777" w:rsidR="001550B5" w:rsidRDefault="001550B5" w:rsidP="00684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roxima_nova_ltsemibold">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5B60A" w14:textId="22D0E98A" w:rsidR="00FE5AAC" w:rsidRPr="003A256C" w:rsidRDefault="00FE5AAC" w:rsidP="003A256C">
    <w:pPr>
      <w:pStyle w:val="Footer"/>
      <w:tabs>
        <w:tab w:val="clear" w:pos="9026"/>
        <w:tab w:val="right" w:pos="9000"/>
      </w:tabs>
      <w:rPr>
        <w:sz w:val="20"/>
        <w:szCs w:val="20"/>
        <w:lang w:val="en-US"/>
      </w:rPr>
    </w:pPr>
    <w:r w:rsidRPr="003A256C">
      <w:rPr>
        <w:sz w:val="20"/>
        <w:szCs w:val="20"/>
        <w:lang w:val="en-US"/>
      </w:rPr>
      <w:t>S</w:t>
    </w:r>
    <w:r>
      <w:rPr>
        <w:sz w:val="20"/>
        <w:szCs w:val="20"/>
        <w:lang w:val="en-US"/>
      </w:rPr>
      <w:t>C54</w:t>
    </w:r>
    <w:r w:rsidRPr="003A256C">
      <w:rPr>
        <w:sz w:val="20"/>
        <w:szCs w:val="20"/>
        <w:lang w:val="en-US"/>
      </w:rPr>
      <w:t>-</w:t>
    </w:r>
    <w:r w:rsidR="003C6FF2">
      <w:rPr>
        <w:sz w:val="20"/>
        <w:szCs w:val="20"/>
        <w:lang w:val="en-US"/>
      </w:rPr>
      <w:t>22</w:t>
    </w:r>
    <w:r w:rsidRPr="003A256C">
      <w:rPr>
        <w:sz w:val="20"/>
        <w:szCs w:val="20"/>
        <w:lang w:val="en-US"/>
      </w:rPr>
      <w:tab/>
    </w:r>
    <w:r w:rsidRPr="003A256C">
      <w:rPr>
        <w:sz w:val="20"/>
        <w:szCs w:val="20"/>
        <w:lang w:val="en-US"/>
      </w:rPr>
      <w:tab/>
    </w:r>
    <w:r w:rsidRPr="003A256C">
      <w:rPr>
        <w:sz w:val="20"/>
        <w:szCs w:val="20"/>
        <w:lang w:val="en-US"/>
      </w:rPr>
      <w:fldChar w:fldCharType="begin"/>
    </w:r>
    <w:r w:rsidRPr="003A256C">
      <w:rPr>
        <w:sz w:val="20"/>
        <w:szCs w:val="20"/>
        <w:lang w:val="en-US"/>
      </w:rPr>
      <w:instrText xml:space="preserve"> PAGE   \* MERGEFORMAT </w:instrText>
    </w:r>
    <w:r w:rsidRPr="003A256C">
      <w:rPr>
        <w:sz w:val="20"/>
        <w:szCs w:val="20"/>
        <w:lang w:val="en-US"/>
      </w:rPr>
      <w:fldChar w:fldCharType="separate"/>
    </w:r>
    <w:r w:rsidR="00B8437C">
      <w:rPr>
        <w:noProof/>
        <w:sz w:val="20"/>
        <w:szCs w:val="20"/>
        <w:lang w:val="en-US"/>
      </w:rPr>
      <w:t>3</w:t>
    </w:r>
    <w:r w:rsidRPr="003A256C">
      <w:rPr>
        <w:noProof/>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860FD" w14:textId="77777777" w:rsidR="001550B5" w:rsidRDefault="001550B5" w:rsidP="00684ACE">
      <w:r>
        <w:separator/>
      </w:r>
    </w:p>
  </w:footnote>
  <w:footnote w:type="continuationSeparator" w:id="0">
    <w:p w14:paraId="6817E119" w14:textId="77777777" w:rsidR="001550B5" w:rsidRDefault="001550B5" w:rsidP="00684ACE">
      <w:r>
        <w:continuationSeparator/>
      </w:r>
    </w:p>
  </w:footnote>
  <w:footnote w:type="continuationNotice" w:id="1">
    <w:p w14:paraId="26F6931C" w14:textId="77777777" w:rsidR="001550B5" w:rsidRDefault="001550B5" w:rsidP="00684A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71E5"/>
    <w:multiLevelType w:val="hybridMultilevel"/>
    <w:tmpl w:val="50F2E8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780119"/>
    <w:multiLevelType w:val="hybridMultilevel"/>
    <w:tmpl w:val="84E0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029B3"/>
    <w:multiLevelType w:val="hybridMultilevel"/>
    <w:tmpl w:val="D040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BE133C"/>
    <w:multiLevelType w:val="hybridMultilevel"/>
    <w:tmpl w:val="502AAE96"/>
    <w:lvl w:ilvl="0" w:tplc="77986E14">
      <w:start w:val="7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DB52BC"/>
    <w:multiLevelType w:val="hybridMultilevel"/>
    <w:tmpl w:val="A900F4B6"/>
    <w:lvl w:ilvl="0" w:tplc="77B03E7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C5957"/>
    <w:multiLevelType w:val="hybridMultilevel"/>
    <w:tmpl w:val="E194AA1A"/>
    <w:lvl w:ilvl="0" w:tplc="A8F20060">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76883"/>
    <w:multiLevelType w:val="hybridMultilevel"/>
    <w:tmpl w:val="15EC3B8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7">
    <w:nsid w:val="30C11C85"/>
    <w:multiLevelType w:val="hybridMultilevel"/>
    <w:tmpl w:val="B8701C96"/>
    <w:lvl w:ilvl="0" w:tplc="1CB0D58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E9F"/>
    <w:multiLevelType w:val="hybridMultilevel"/>
    <w:tmpl w:val="04D47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34743A"/>
    <w:multiLevelType w:val="hybridMultilevel"/>
    <w:tmpl w:val="318AC674"/>
    <w:lvl w:ilvl="0" w:tplc="A8F20060">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236DB"/>
    <w:multiLevelType w:val="hybridMultilevel"/>
    <w:tmpl w:val="3B92A906"/>
    <w:lvl w:ilvl="0" w:tplc="34E6C664">
      <w:start w:val="15"/>
      <w:numFmt w:val="decimal"/>
      <w:lvlText w:val="%1."/>
      <w:lvlJc w:val="left"/>
      <w:pPr>
        <w:ind w:left="720"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CD1202"/>
    <w:multiLevelType w:val="hybridMultilevel"/>
    <w:tmpl w:val="FC8AC0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50051C3C"/>
    <w:multiLevelType w:val="hybridMultilevel"/>
    <w:tmpl w:val="D23AA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A500F1"/>
    <w:multiLevelType w:val="hybridMultilevel"/>
    <w:tmpl w:val="CC2A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0826B2"/>
    <w:multiLevelType w:val="hybridMultilevel"/>
    <w:tmpl w:val="471687E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17FB8"/>
    <w:multiLevelType w:val="hybridMultilevel"/>
    <w:tmpl w:val="D4008ED2"/>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0758D7"/>
    <w:multiLevelType w:val="hybridMultilevel"/>
    <w:tmpl w:val="0C48A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B50124"/>
    <w:multiLevelType w:val="hybridMultilevel"/>
    <w:tmpl w:val="E5C09154"/>
    <w:lvl w:ilvl="0" w:tplc="A8F20060">
      <w:start w:val="1"/>
      <w:numFmt w:val="decimal"/>
      <w:lvlText w:val="%1."/>
      <w:lvlJc w:val="left"/>
      <w:pPr>
        <w:ind w:left="720"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EE6248"/>
    <w:multiLevelType w:val="hybridMultilevel"/>
    <w:tmpl w:val="36AE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EA27EB"/>
    <w:multiLevelType w:val="hybridMultilevel"/>
    <w:tmpl w:val="D040BDDA"/>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A832D1"/>
    <w:multiLevelType w:val="hybridMultilevel"/>
    <w:tmpl w:val="5560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F6AF1"/>
    <w:multiLevelType w:val="hybridMultilevel"/>
    <w:tmpl w:val="76E21EC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3">
    <w:nsid w:val="65DC7CB3"/>
    <w:multiLevelType w:val="hybridMultilevel"/>
    <w:tmpl w:val="27E60F4C"/>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701D3"/>
    <w:multiLevelType w:val="hybridMultilevel"/>
    <w:tmpl w:val="EFF8B998"/>
    <w:lvl w:ilvl="0" w:tplc="A8F20060">
      <w:start w:val="1"/>
      <w:numFmt w:val="decimal"/>
      <w:lvlText w:val="%1."/>
      <w:lvlJc w:val="left"/>
      <w:pPr>
        <w:ind w:left="720" w:hanging="360"/>
      </w:pPr>
      <w:rPr>
        <w:rFonts w:asciiTheme="minorHAnsi" w:hAnsi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731C7"/>
    <w:multiLevelType w:val="hybridMultilevel"/>
    <w:tmpl w:val="C57CD5E0"/>
    <w:lvl w:ilvl="0" w:tplc="B72C80C6">
      <w:start w:val="23"/>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5E6E82"/>
    <w:multiLevelType w:val="hybridMultilevel"/>
    <w:tmpl w:val="9AB0FA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6B66BDB"/>
    <w:multiLevelType w:val="hybridMultilevel"/>
    <w:tmpl w:val="36AE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0B0E25"/>
    <w:multiLevelType w:val="hybridMultilevel"/>
    <w:tmpl w:val="CC9C01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9A21914"/>
    <w:multiLevelType w:val="hybridMultilevel"/>
    <w:tmpl w:val="A21CA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EC4D64"/>
    <w:multiLevelType w:val="hybridMultilevel"/>
    <w:tmpl w:val="050A957A"/>
    <w:lvl w:ilvl="0" w:tplc="BB2E456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21"/>
  </w:num>
  <w:num w:numId="4">
    <w:abstractNumId w:val="2"/>
  </w:num>
  <w:num w:numId="5">
    <w:abstractNumId w:val="3"/>
  </w:num>
  <w:num w:numId="6">
    <w:abstractNumId w:val="5"/>
  </w:num>
  <w:num w:numId="7">
    <w:abstractNumId w:val="23"/>
  </w:num>
  <w:num w:numId="8">
    <w:abstractNumId w:val="15"/>
  </w:num>
  <w:num w:numId="9">
    <w:abstractNumId w:val="4"/>
  </w:num>
  <w:num w:numId="10">
    <w:abstractNumId w:val="27"/>
  </w:num>
  <w:num w:numId="11">
    <w:abstractNumId w:val="19"/>
  </w:num>
  <w:num w:numId="12">
    <w:abstractNumId w:val="29"/>
  </w:num>
  <w:num w:numId="13">
    <w:abstractNumId w:val="13"/>
  </w:num>
  <w:num w:numId="14">
    <w:abstractNumId w:val="24"/>
  </w:num>
  <w:num w:numId="15">
    <w:abstractNumId w:val="8"/>
  </w:num>
  <w:num w:numId="16">
    <w:abstractNumId w:val="30"/>
  </w:num>
  <w:num w:numId="17">
    <w:abstractNumId w:val="14"/>
  </w:num>
  <w:num w:numId="18">
    <w:abstractNumId w:val="12"/>
  </w:num>
  <w:num w:numId="19">
    <w:abstractNumId w:val="1"/>
  </w:num>
  <w:num w:numId="20">
    <w:abstractNumId w:val="26"/>
  </w:num>
  <w:num w:numId="21">
    <w:abstractNumId w:val="28"/>
  </w:num>
  <w:num w:numId="22">
    <w:abstractNumId w:val="0"/>
  </w:num>
  <w:num w:numId="23">
    <w:abstractNumId w:val="11"/>
  </w:num>
  <w:num w:numId="24">
    <w:abstractNumId w:val="9"/>
  </w:num>
  <w:num w:numId="25">
    <w:abstractNumId w:val="18"/>
  </w:num>
  <w:num w:numId="26">
    <w:abstractNumId w:val="10"/>
  </w:num>
  <w:num w:numId="27">
    <w:abstractNumId w:val="6"/>
  </w:num>
  <w:num w:numId="28">
    <w:abstractNumId w:val="22"/>
  </w:num>
  <w:num w:numId="29">
    <w:abstractNumId w:val="20"/>
  </w:num>
  <w:num w:numId="30">
    <w:abstractNumId w:val="16"/>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al Gardner">
    <w15:presenceInfo w15:providerId="AD" w15:userId="S-1-5-21-1185815387-1807681615-1777090905-7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4A"/>
    <w:rsid w:val="000011A7"/>
    <w:rsid w:val="00024BF3"/>
    <w:rsid w:val="00033ADF"/>
    <w:rsid w:val="000561A6"/>
    <w:rsid w:val="00056DC4"/>
    <w:rsid w:val="000603D8"/>
    <w:rsid w:val="00065F4C"/>
    <w:rsid w:val="000674B2"/>
    <w:rsid w:val="00070697"/>
    <w:rsid w:val="00073463"/>
    <w:rsid w:val="00090733"/>
    <w:rsid w:val="00094FA4"/>
    <w:rsid w:val="000B5FFE"/>
    <w:rsid w:val="000B6E07"/>
    <w:rsid w:val="000C23C4"/>
    <w:rsid w:val="000C4662"/>
    <w:rsid w:val="000D15CD"/>
    <w:rsid w:val="000D2C2E"/>
    <w:rsid w:val="000D3EC5"/>
    <w:rsid w:val="000E11E4"/>
    <w:rsid w:val="000E4331"/>
    <w:rsid w:val="000F0780"/>
    <w:rsid w:val="000F4F18"/>
    <w:rsid w:val="000F5750"/>
    <w:rsid w:val="000F7E2E"/>
    <w:rsid w:val="00111E4E"/>
    <w:rsid w:val="00117514"/>
    <w:rsid w:val="00124F46"/>
    <w:rsid w:val="00127E32"/>
    <w:rsid w:val="001311F9"/>
    <w:rsid w:val="0014427D"/>
    <w:rsid w:val="001446F4"/>
    <w:rsid w:val="001458BA"/>
    <w:rsid w:val="0014728B"/>
    <w:rsid w:val="001539AF"/>
    <w:rsid w:val="0015480C"/>
    <w:rsid w:val="001550B5"/>
    <w:rsid w:val="00162130"/>
    <w:rsid w:val="0016617C"/>
    <w:rsid w:val="0017502F"/>
    <w:rsid w:val="001824B4"/>
    <w:rsid w:val="00192C83"/>
    <w:rsid w:val="00193A9E"/>
    <w:rsid w:val="001A5672"/>
    <w:rsid w:val="001B146F"/>
    <w:rsid w:val="001C5C4A"/>
    <w:rsid w:val="001D2585"/>
    <w:rsid w:val="001D6E65"/>
    <w:rsid w:val="001E6140"/>
    <w:rsid w:val="001F6182"/>
    <w:rsid w:val="0020021D"/>
    <w:rsid w:val="002004F0"/>
    <w:rsid w:val="00203EB0"/>
    <w:rsid w:val="002112F0"/>
    <w:rsid w:val="00213B9E"/>
    <w:rsid w:val="00216B90"/>
    <w:rsid w:val="00231E88"/>
    <w:rsid w:val="002357F3"/>
    <w:rsid w:val="00243BD1"/>
    <w:rsid w:val="00245600"/>
    <w:rsid w:val="00247AF9"/>
    <w:rsid w:val="002507A4"/>
    <w:rsid w:val="002513E4"/>
    <w:rsid w:val="00251F99"/>
    <w:rsid w:val="00255DA7"/>
    <w:rsid w:val="002561C5"/>
    <w:rsid w:val="0026161A"/>
    <w:rsid w:val="002654E8"/>
    <w:rsid w:val="0026561C"/>
    <w:rsid w:val="002676DE"/>
    <w:rsid w:val="00273DEF"/>
    <w:rsid w:val="002773E4"/>
    <w:rsid w:val="00290341"/>
    <w:rsid w:val="00293A0B"/>
    <w:rsid w:val="002964CD"/>
    <w:rsid w:val="002A3AA7"/>
    <w:rsid w:val="002A719E"/>
    <w:rsid w:val="002B6122"/>
    <w:rsid w:val="002C2C4E"/>
    <w:rsid w:val="002C5CE0"/>
    <w:rsid w:val="002D260C"/>
    <w:rsid w:val="002D5F19"/>
    <w:rsid w:val="002E32B8"/>
    <w:rsid w:val="002E37C2"/>
    <w:rsid w:val="002F5346"/>
    <w:rsid w:val="0030292B"/>
    <w:rsid w:val="003159B1"/>
    <w:rsid w:val="00316352"/>
    <w:rsid w:val="0032076C"/>
    <w:rsid w:val="003239E4"/>
    <w:rsid w:val="003257E2"/>
    <w:rsid w:val="003272B4"/>
    <w:rsid w:val="003312C3"/>
    <w:rsid w:val="00333625"/>
    <w:rsid w:val="00340D71"/>
    <w:rsid w:val="003428F1"/>
    <w:rsid w:val="00350839"/>
    <w:rsid w:val="00352F8E"/>
    <w:rsid w:val="00357740"/>
    <w:rsid w:val="00361D1A"/>
    <w:rsid w:val="00366A05"/>
    <w:rsid w:val="00371C47"/>
    <w:rsid w:val="0037712A"/>
    <w:rsid w:val="00380FD2"/>
    <w:rsid w:val="00381688"/>
    <w:rsid w:val="00384DB3"/>
    <w:rsid w:val="003879EE"/>
    <w:rsid w:val="003A076D"/>
    <w:rsid w:val="003A256C"/>
    <w:rsid w:val="003A4773"/>
    <w:rsid w:val="003C2CD0"/>
    <w:rsid w:val="003C3450"/>
    <w:rsid w:val="003C6FF2"/>
    <w:rsid w:val="003D26E3"/>
    <w:rsid w:val="003E6B09"/>
    <w:rsid w:val="003E6C9D"/>
    <w:rsid w:val="003F1FFA"/>
    <w:rsid w:val="003F2902"/>
    <w:rsid w:val="00404411"/>
    <w:rsid w:val="00417407"/>
    <w:rsid w:val="00425317"/>
    <w:rsid w:val="00437527"/>
    <w:rsid w:val="00450762"/>
    <w:rsid w:val="00461518"/>
    <w:rsid w:val="00463935"/>
    <w:rsid w:val="00487C7A"/>
    <w:rsid w:val="004A1CE9"/>
    <w:rsid w:val="004A7E4B"/>
    <w:rsid w:val="004B074A"/>
    <w:rsid w:val="004B6E8B"/>
    <w:rsid w:val="004C507F"/>
    <w:rsid w:val="004C7321"/>
    <w:rsid w:val="004D03E9"/>
    <w:rsid w:val="004D0A2C"/>
    <w:rsid w:val="004D6ED5"/>
    <w:rsid w:val="004E42E9"/>
    <w:rsid w:val="004E7994"/>
    <w:rsid w:val="004F0D76"/>
    <w:rsid w:val="004F5FC6"/>
    <w:rsid w:val="004F70ED"/>
    <w:rsid w:val="005031E4"/>
    <w:rsid w:val="0050342A"/>
    <w:rsid w:val="0050443F"/>
    <w:rsid w:val="00505803"/>
    <w:rsid w:val="00526519"/>
    <w:rsid w:val="00536AB3"/>
    <w:rsid w:val="00542B80"/>
    <w:rsid w:val="0054560C"/>
    <w:rsid w:val="00551D3B"/>
    <w:rsid w:val="0055238F"/>
    <w:rsid w:val="005841CC"/>
    <w:rsid w:val="005932F4"/>
    <w:rsid w:val="00596D5B"/>
    <w:rsid w:val="005A083B"/>
    <w:rsid w:val="005B2F75"/>
    <w:rsid w:val="005B4A70"/>
    <w:rsid w:val="005B559B"/>
    <w:rsid w:val="005C0B55"/>
    <w:rsid w:val="005D0CAB"/>
    <w:rsid w:val="005E05E6"/>
    <w:rsid w:val="005F6F94"/>
    <w:rsid w:val="00617241"/>
    <w:rsid w:val="00617DDB"/>
    <w:rsid w:val="00640C6F"/>
    <w:rsid w:val="00647D5B"/>
    <w:rsid w:val="00667409"/>
    <w:rsid w:val="00674B66"/>
    <w:rsid w:val="006757F7"/>
    <w:rsid w:val="006763E1"/>
    <w:rsid w:val="00677383"/>
    <w:rsid w:val="00682B21"/>
    <w:rsid w:val="00684ACE"/>
    <w:rsid w:val="00692729"/>
    <w:rsid w:val="00693879"/>
    <w:rsid w:val="006A5F9A"/>
    <w:rsid w:val="006B3F45"/>
    <w:rsid w:val="006B7A65"/>
    <w:rsid w:val="006D13A7"/>
    <w:rsid w:val="006D19FD"/>
    <w:rsid w:val="006D39A8"/>
    <w:rsid w:val="006D737D"/>
    <w:rsid w:val="006E361F"/>
    <w:rsid w:val="006F016C"/>
    <w:rsid w:val="006F1C34"/>
    <w:rsid w:val="006F5698"/>
    <w:rsid w:val="006F5B44"/>
    <w:rsid w:val="00700A7B"/>
    <w:rsid w:val="00714631"/>
    <w:rsid w:val="0072024E"/>
    <w:rsid w:val="00724095"/>
    <w:rsid w:val="00727D89"/>
    <w:rsid w:val="00746440"/>
    <w:rsid w:val="00753A94"/>
    <w:rsid w:val="007627FA"/>
    <w:rsid w:val="007745C6"/>
    <w:rsid w:val="00784472"/>
    <w:rsid w:val="007B278C"/>
    <w:rsid w:val="007B629E"/>
    <w:rsid w:val="007D3024"/>
    <w:rsid w:val="007E0DC5"/>
    <w:rsid w:val="00804F25"/>
    <w:rsid w:val="00807313"/>
    <w:rsid w:val="008306CE"/>
    <w:rsid w:val="00847794"/>
    <w:rsid w:val="008513D4"/>
    <w:rsid w:val="00851CE3"/>
    <w:rsid w:val="00854B52"/>
    <w:rsid w:val="00864E29"/>
    <w:rsid w:val="008654BC"/>
    <w:rsid w:val="0086635E"/>
    <w:rsid w:val="00867F99"/>
    <w:rsid w:val="00870D33"/>
    <w:rsid w:val="008725FF"/>
    <w:rsid w:val="00880AA7"/>
    <w:rsid w:val="00880E68"/>
    <w:rsid w:val="008869D6"/>
    <w:rsid w:val="00896C45"/>
    <w:rsid w:val="008A06D7"/>
    <w:rsid w:val="008A2602"/>
    <w:rsid w:val="008A29A6"/>
    <w:rsid w:val="008B37C7"/>
    <w:rsid w:val="008B3841"/>
    <w:rsid w:val="008B3F40"/>
    <w:rsid w:val="008E5897"/>
    <w:rsid w:val="008F0B5F"/>
    <w:rsid w:val="00905185"/>
    <w:rsid w:val="009074B1"/>
    <w:rsid w:val="00920621"/>
    <w:rsid w:val="00920E9B"/>
    <w:rsid w:val="0092247B"/>
    <w:rsid w:val="009261F2"/>
    <w:rsid w:val="0092798D"/>
    <w:rsid w:val="009362A5"/>
    <w:rsid w:val="00941744"/>
    <w:rsid w:val="00946070"/>
    <w:rsid w:val="00947C37"/>
    <w:rsid w:val="009548A5"/>
    <w:rsid w:val="0096379F"/>
    <w:rsid w:val="00965ECD"/>
    <w:rsid w:val="009779FE"/>
    <w:rsid w:val="0098291C"/>
    <w:rsid w:val="009955E1"/>
    <w:rsid w:val="009A0B9B"/>
    <w:rsid w:val="009B138B"/>
    <w:rsid w:val="009B147A"/>
    <w:rsid w:val="009B5AE4"/>
    <w:rsid w:val="009C47D4"/>
    <w:rsid w:val="009C573E"/>
    <w:rsid w:val="009C64E0"/>
    <w:rsid w:val="009D1B8C"/>
    <w:rsid w:val="009D442E"/>
    <w:rsid w:val="009D561C"/>
    <w:rsid w:val="009E1525"/>
    <w:rsid w:val="009F450A"/>
    <w:rsid w:val="009F6C47"/>
    <w:rsid w:val="00A02677"/>
    <w:rsid w:val="00A06613"/>
    <w:rsid w:val="00A13607"/>
    <w:rsid w:val="00A17088"/>
    <w:rsid w:val="00A256AA"/>
    <w:rsid w:val="00A259EE"/>
    <w:rsid w:val="00A30DD0"/>
    <w:rsid w:val="00A35571"/>
    <w:rsid w:val="00A369F4"/>
    <w:rsid w:val="00A40334"/>
    <w:rsid w:val="00A431E5"/>
    <w:rsid w:val="00A56949"/>
    <w:rsid w:val="00A600AF"/>
    <w:rsid w:val="00A647CC"/>
    <w:rsid w:val="00A749CF"/>
    <w:rsid w:val="00A8537D"/>
    <w:rsid w:val="00A926A7"/>
    <w:rsid w:val="00A939CF"/>
    <w:rsid w:val="00A94804"/>
    <w:rsid w:val="00A97C27"/>
    <w:rsid w:val="00AC3324"/>
    <w:rsid w:val="00AC50FA"/>
    <w:rsid w:val="00AE1D01"/>
    <w:rsid w:val="00AE2413"/>
    <w:rsid w:val="00B04A3F"/>
    <w:rsid w:val="00B17E48"/>
    <w:rsid w:val="00B44FE5"/>
    <w:rsid w:val="00B462A4"/>
    <w:rsid w:val="00B7341F"/>
    <w:rsid w:val="00B77D2C"/>
    <w:rsid w:val="00B82658"/>
    <w:rsid w:val="00B8437C"/>
    <w:rsid w:val="00BA7A3B"/>
    <w:rsid w:val="00BD5086"/>
    <w:rsid w:val="00BE4674"/>
    <w:rsid w:val="00BF5B49"/>
    <w:rsid w:val="00BF67FF"/>
    <w:rsid w:val="00C0443E"/>
    <w:rsid w:val="00C25CA9"/>
    <w:rsid w:val="00C2701C"/>
    <w:rsid w:val="00C3088E"/>
    <w:rsid w:val="00C34061"/>
    <w:rsid w:val="00C3740C"/>
    <w:rsid w:val="00C37590"/>
    <w:rsid w:val="00C411D1"/>
    <w:rsid w:val="00C4216D"/>
    <w:rsid w:val="00C4222C"/>
    <w:rsid w:val="00C51552"/>
    <w:rsid w:val="00C51E99"/>
    <w:rsid w:val="00C614A4"/>
    <w:rsid w:val="00C86EAE"/>
    <w:rsid w:val="00CC1A24"/>
    <w:rsid w:val="00CC5377"/>
    <w:rsid w:val="00CC6773"/>
    <w:rsid w:val="00CD05B0"/>
    <w:rsid w:val="00CE27ED"/>
    <w:rsid w:val="00CE678B"/>
    <w:rsid w:val="00D12D3B"/>
    <w:rsid w:val="00D3554A"/>
    <w:rsid w:val="00D35808"/>
    <w:rsid w:val="00D37207"/>
    <w:rsid w:val="00D52209"/>
    <w:rsid w:val="00D87C44"/>
    <w:rsid w:val="00D9799A"/>
    <w:rsid w:val="00DA3C34"/>
    <w:rsid w:val="00DA57FF"/>
    <w:rsid w:val="00DA6E71"/>
    <w:rsid w:val="00DA6EFE"/>
    <w:rsid w:val="00DB2AF8"/>
    <w:rsid w:val="00DB733E"/>
    <w:rsid w:val="00DD1236"/>
    <w:rsid w:val="00DD2684"/>
    <w:rsid w:val="00DE2BF8"/>
    <w:rsid w:val="00DF6A13"/>
    <w:rsid w:val="00E25E30"/>
    <w:rsid w:val="00E350AA"/>
    <w:rsid w:val="00E430C1"/>
    <w:rsid w:val="00E464D7"/>
    <w:rsid w:val="00E63BC2"/>
    <w:rsid w:val="00E84EA2"/>
    <w:rsid w:val="00E90607"/>
    <w:rsid w:val="00E92EFD"/>
    <w:rsid w:val="00E96AF3"/>
    <w:rsid w:val="00E97539"/>
    <w:rsid w:val="00EA6920"/>
    <w:rsid w:val="00EB423E"/>
    <w:rsid w:val="00EC0883"/>
    <w:rsid w:val="00EC60E5"/>
    <w:rsid w:val="00EE5B9C"/>
    <w:rsid w:val="00EE6CD1"/>
    <w:rsid w:val="00EF45BD"/>
    <w:rsid w:val="00F23EB8"/>
    <w:rsid w:val="00F24E42"/>
    <w:rsid w:val="00F33D52"/>
    <w:rsid w:val="00F402A7"/>
    <w:rsid w:val="00F47300"/>
    <w:rsid w:val="00F50632"/>
    <w:rsid w:val="00F52814"/>
    <w:rsid w:val="00F55436"/>
    <w:rsid w:val="00F569E7"/>
    <w:rsid w:val="00F631E2"/>
    <w:rsid w:val="00F858F1"/>
    <w:rsid w:val="00F901FB"/>
    <w:rsid w:val="00F9066C"/>
    <w:rsid w:val="00FA7E71"/>
    <w:rsid w:val="00FB7D69"/>
    <w:rsid w:val="00FC369F"/>
    <w:rsid w:val="00FC6DC9"/>
    <w:rsid w:val="00FC7E7D"/>
    <w:rsid w:val="00FE5AAC"/>
    <w:rsid w:val="00FE6D4F"/>
    <w:rsid w:val="00FE7A28"/>
    <w:rsid w:val="00FF3472"/>
    <w:rsid w:val="00FF6E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3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2C"/>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3554A"/>
    <w:pPr>
      <w:ind w:left="720"/>
      <w:contextualSpacing/>
    </w:pPr>
  </w:style>
  <w:style w:type="paragraph" w:styleId="BalloonText">
    <w:name w:val="Balloon Text"/>
    <w:basedOn w:val="Normal"/>
    <w:link w:val="BalloonTextChar"/>
    <w:uiPriority w:val="99"/>
    <w:semiHidden/>
    <w:unhideWhenUsed/>
    <w:rsid w:val="0026561C"/>
    <w:rPr>
      <w:rFonts w:ascii="Tahoma" w:hAnsi="Tahoma" w:cs="Tahoma"/>
      <w:sz w:val="16"/>
      <w:szCs w:val="16"/>
    </w:rPr>
  </w:style>
  <w:style w:type="character" w:customStyle="1" w:styleId="BalloonTextChar">
    <w:name w:val="Balloon Text Char"/>
    <w:basedOn w:val="DefaultParagraphFont"/>
    <w:link w:val="BalloonText"/>
    <w:uiPriority w:val="99"/>
    <w:semiHidden/>
    <w:rsid w:val="0026561C"/>
    <w:rPr>
      <w:rFonts w:ascii="Tahoma" w:eastAsia="Calibri" w:hAnsi="Tahoma" w:cs="Tahoma"/>
      <w:sz w:val="16"/>
      <w:szCs w:val="16"/>
    </w:rPr>
  </w:style>
  <w:style w:type="paragraph" w:styleId="Header">
    <w:name w:val="header"/>
    <w:basedOn w:val="Normal"/>
    <w:link w:val="HeaderChar"/>
    <w:uiPriority w:val="99"/>
    <w:unhideWhenUsed/>
    <w:rsid w:val="003E6C9D"/>
    <w:pPr>
      <w:tabs>
        <w:tab w:val="center" w:pos="4513"/>
        <w:tab w:val="right" w:pos="9026"/>
      </w:tabs>
    </w:pPr>
  </w:style>
  <w:style w:type="character" w:customStyle="1" w:styleId="HeaderChar">
    <w:name w:val="Header Char"/>
    <w:basedOn w:val="DefaultParagraphFont"/>
    <w:link w:val="Header"/>
    <w:uiPriority w:val="99"/>
    <w:rsid w:val="003E6C9D"/>
    <w:rPr>
      <w:rFonts w:ascii="Calibri" w:eastAsia="Calibri" w:hAnsi="Calibri" w:cs="Times New Roman"/>
    </w:rPr>
  </w:style>
  <w:style w:type="paragraph" w:styleId="Footer">
    <w:name w:val="footer"/>
    <w:basedOn w:val="Normal"/>
    <w:link w:val="FooterChar"/>
    <w:uiPriority w:val="99"/>
    <w:unhideWhenUsed/>
    <w:rsid w:val="003E6C9D"/>
    <w:pPr>
      <w:tabs>
        <w:tab w:val="center" w:pos="4513"/>
        <w:tab w:val="right" w:pos="9026"/>
      </w:tabs>
    </w:pPr>
  </w:style>
  <w:style w:type="character" w:customStyle="1" w:styleId="FooterChar">
    <w:name w:val="Footer Char"/>
    <w:basedOn w:val="DefaultParagraphFont"/>
    <w:link w:val="Footer"/>
    <w:uiPriority w:val="99"/>
    <w:rsid w:val="003E6C9D"/>
    <w:rPr>
      <w:rFonts w:ascii="Calibri" w:eastAsia="Calibri" w:hAnsi="Calibri" w:cs="Times New Roman"/>
    </w:rPr>
  </w:style>
  <w:style w:type="paragraph" w:styleId="ListParagraph">
    <w:name w:val="List Paragraph"/>
    <w:basedOn w:val="Normal"/>
    <w:uiPriority w:val="34"/>
    <w:qFormat/>
    <w:rsid w:val="003E6C9D"/>
    <w:pPr>
      <w:ind w:left="720"/>
      <w:contextualSpacing/>
    </w:pPr>
  </w:style>
  <w:style w:type="table" w:styleId="LightList">
    <w:name w:val="Light List"/>
    <w:basedOn w:val="TableNormal"/>
    <w:uiPriority w:val="61"/>
    <w:rsid w:val="005A0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4D0A2C"/>
    <w:pPr>
      <w:autoSpaceDE w:val="0"/>
      <w:autoSpaceDN w:val="0"/>
      <w:adjustRightInd w:val="0"/>
      <w:spacing w:after="0" w:line="240" w:lineRule="auto"/>
      <w:ind w:left="425" w:hanging="425"/>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239E4"/>
    <w:rPr>
      <w:sz w:val="16"/>
      <w:szCs w:val="16"/>
    </w:rPr>
  </w:style>
  <w:style w:type="paragraph" w:styleId="CommentText">
    <w:name w:val="annotation text"/>
    <w:basedOn w:val="Normal"/>
    <w:link w:val="CommentTextChar"/>
    <w:uiPriority w:val="99"/>
    <w:semiHidden/>
    <w:unhideWhenUsed/>
    <w:rsid w:val="004D0A2C"/>
    <w:pPr>
      <w:spacing w:after="200"/>
      <w:ind w:left="0" w:firstLine="0"/>
    </w:pPr>
    <w:rPr>
      <w:sz w:val="20"/>
      <w:szCs w:val="20"/>
    </w:rPr>
  </w:style>
  <w:style w:type="character" w:customStyle="1" w:styleId="CommentTextChar">
    <w:name w:val="Comment Text Char"/>
    <w:basedOn w:val="DefaultParagraphFont"/>
    <w:link w:val="CommentText"/>
    <w:uiPriority w:val="99"/>
    <w:semiHidden/>
    <w:rsid w:val="003239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39E4"/>
    <w:rPr>
      <w:b/>
      <w:bCs/>
    </w:rPr>
  </w:style>
  <w:style w:type="character" w:customStyle="1" w:styleId="CommentSubjectChar">
    <w:name w:val="Comment Subject Char"/>
    <w:basedOn w:val="CommentTextChar"/>
    <w:link w:val="CommentSubject"/>
    <w:uiPriority w:val="99"/>
    <w:semiHidden/>
    <w:rsid w:val="003239E4"/>
    <w:rPr>
      <w:rFonts w:ascii="Calibri" w:eastAsia="Calibri" w:hAnsi="Calibri" w:cs="Times New Roman"/>
      <w:b/>
      <w:bCs/>
      <w:sz w:val="20"/>
      <w:szCs w:val="20"/>
    </w:rPr>
  </w:style>
  <w:style w:type="character" w:styleId="Strong">
    <w:name w:val="Strong"/>
    <w:basedOn w:val="DefaultParagraphFont"/>
    <w:uiPriority w:val="22"/>
    <w:qFormat/>
    <w:rsid w:val="00FE6D4F"/>
    <w:rPr>
      <w:rFonts w:ascii="proxima_nova_ltsemibold" w:hAnsi="proxima_nova_ltsemibold" w:hint="default"/>
      <w:b w:val="0"/>
      <w:bCs w:val="0"/>
    </w:rPr>
  </w:style>
  <w:style w:type="paragraph" w:styleId="NormalWeb">
    <w:name w:val="Normal (Web)"/>
    <w:basedOn w:val="Normal"/>
    <w:uiPriority w:val="99"/>
    <w:unhideWhenUsed/>
    <w:rsid w:val="0032076C"/>
    <w:pPr>
      <w:spacing w:before="100" w:beforeAutospacing="1" w:after="100" w:afterAutospacing="1"/>
    </w:pPr>
    <w:rPr>
      <w:rFonts w:ascii="Times" w:eastAsiaTheme="minorHAnsi" w:hAnsi="Times"/>
      <w:sz w:val="20"/>
      <w:szCs w:val="20"/>
      <w:lang w:val="en-US"/>
    </w:rPr>
  </w:style>
  <w:style w:type="paragraph" w:customStyle="1" w:styleId="xmsonormal">
    <w:name w:val="x_msonormal"/>
    <w:basedOn w:val="Normal"/>
    <w:rsid w:val="00111E4E"/>
    <w:pPr>
      <w:spacing w:before="100" w:beforeAutospacing="1" w:after="100" w:afterAutospacing="1"/>
    </w:pPr>
    <w:rPr>
      <w:rFonts w:ascii="Times" w:eastAsiaTheme="minorHAnsi" w:hAnsi="Times" w:cstheme="minorBidi"/>
      <w:sz w:val="20"/>
      <w:szCs w:val="20"/>
      <w:lang w:val="en-US"/>
    </w:rPr>
  </w:style>
  <w:style w:type="character" w:customStyle="1" w:styleId="apple-converted-space">
    <w:name w:val="apple-converted-space"/>
    <w:basedOn w:val="DefaultParagraphFont"/>
    <w:rsid w:val="00111E4E"/>
  </w:style>
  <w:style w:type="character" w:styleId="Hyperlink">
    <w:name w:val="Hyperlink"/>
    <w:basedOn w:val="DefaultParagraphFont"/>
    <w:uiPriority w:val="99"/>
    <w:unhideWhenUsed/>
    <w:rsid w:val="009955E1"/>
    <w:rPr>
      <w:color w:val="0000FF" w:themeColor="hyperlink"/>
      <w:u w:val="single"/>
    </w:rPr>
  </w:style>
  <w:style w:type="paragraph" w:styleId="DocumentMap">
    <w:name w:val="Document Map"/>
    <w:basedOn w:val="Normal"/>
    <w:link w:val="DocumentMapChar"/>
    <w:uiPriority w:val="99"/>
    <w:semiHidden/>
    <w:unhideWhenUsed/>
    <w:rsid w:val="00056DC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56DC4"/>
    <w:rPr>
      <w:rFonts w:ascii="Lucida Grande" w:eastAsia="Calibri" w:hAnsi="Lucida Grande" w:cs="Lucida Grande"/>
      <w:sz w:val="24"/>
      <w:szCs w:val="24"/>
    </w:rPr>
  </w:style>
  <w:style w:type="paragraph" w:styleId="Revision">
    <w:name w:val="Revision"/>
    <w:hidden/>
    <w:uiPriority w:val="99"/>
    <w:semiHidden/>
    <w:rsid w:val="004D0A2C"/>
    <w:pPr>
      <w:spacing w:after="0" w:line="240" w:lineRule="auto"/>
      <w:ind w:left="425" w:hanging="425"/>
    </w:pPr>
    <w:rPr>
      <w:rFonts w:ascii="Calibri" w:eastAsia="Calibri" w:hAnsi="Calibri" w:cs="Times New Roman"/>
    </w:rPr>
  </w:style>
  <w:style w:type="character" w:styleId="FollowedHyperlink">
    <w:name w:val="FollowedHyperlink"/>
    <w:basedOn w:val="DefaultParagraphFont"/>
    <w:uiPriority w:val="99"/>
    <w:semiHidden/>
    <w:unhideWhenUsed/>
    <w:rsid w:val="001F61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2C"/>
    <w:pPr>
      <w:spacing w:after="0" w:line="240" w:lineRule="auto"/>
      <w:ind w:left="425" w:hanging="425"/>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3554A"/>
    <w:pPr>
      <w:ind w:left="720"/>
      <w:contextualSpacing/>
    </w:pPr>
  </w:style>
  <w:style w:type="paragraph" w:styleId="BalloonText">
    <w:name w:val="Balloon Text"/>
    <w:basedOn w:val="Normal"/>
    <w:link w:val="BalloonTextChar"/>
    <w:uiPriority w:val="99"/>
    <w:semiHidden/>
    <w:unhideWhenUsed/>
    <w:rsid w:val="0026561C"/>
    <w:rPr>
      <w:rFonts w:ascii="Tahoma" w:hAnsi="Tahoma" w:cs="Tahoma"/>
      <w:sz w:val="16"/>
      <w:szCs w:val="16"/>
    </w:rPr>
  </w:style>
  <w:style w:type="character" w:customStyle="1" w:styleId="BalloonTextChar">
    <w:name w:val="Balloon Text Char"/>
    <w:basedOn w:val="DefaultParagraphFont"/>
    <w:link w:val="BalloonText"/>
    <w:uiPriority w:val="99"/>
    <w:semiHidden/>
    <w:rsid w:val="0026561C"/>
    <w:rPr>
      <w:rFonts w:ascii="Tahoma" w:eastAsia="Calibri" w:hAnsi="Tahoma" w:cs="Tahoma"/>
      <w:sz w:val="16"/>
      <w:szCs w:val="16"/>
    </w:rPr>
  </w:style>
  <w:style w:type="paragraph" w:styleId="Header">
    <w:name w:val="header"/>
    <w:basedOn w:val="Normal"/>
    <w:link w:val="HeaderChar"/>
    <w:uiPriority w:val="99"/>
    <w:unhideWhenUsed/>
    <w:rsid w:val="003E6C9D"/>
    <w:pPr>
      <w:tabs>
        <w:tab w:val="center" w:pos="4513"/>
        <w:tab w:val="right" w:pos="9026"/>
      </w:tabs>
    </w:pPr>
  </w:style>
  <w:style w:type="character" w:customStyle="1" w:styleId="HeaderChar">
    <w:name w:val="Header Char"/>
    <w:basedOn w:val="DefaultParagraphFont"/>
    <w:link w:val="Header"/>
    <w:uiPriority w:val="99"/>
    <w:rsid w:val="003E6C9D"/>
    <w:rPr>
      <w:rFonts w:ascii="Calibri" w:eastAsia="Calibri" w:hAnsi="Calibri" w:cs="Times New Roman"/>
    </w:rPr>
  </w:style>
  <w:style w:type="paragraph" w:styleId="Footer">
    <w:name w:val="footer"/>
    <w:basedOn w:val="Normal"/>
    <w:link w:val="FooterChar"/>
    <w:uiPriority w:val="99"/>
    <w:unhideWhenUsed/>
    <w:rsid w:val="003E6C9D"/>
    <w:pPr>
      <w:tabs>
        <w:tab w:val="center" w:pos="4513"/>
        <w:tab w:val="right" w:pos="9026"/>
      </w:tabs>
    </w:pPr>
  </w:style>
  <w:style w:type="character" w:customStyle="1" w:styleId="FooterChar">
    <w:name w:val="Footer Char"/>
    <w:basedOn w:val="DefaultParagraphFont"/>
    <w:link w:val="Footer"/>
    <w:uiPriority w:val="99"/>
    <w:rsid w:val="003E6C9D"/>
    <w:rPr>
      <w:rFonts w:ascii="Calibri" w:eastAsia="Calibri" w:hAnsi="Calibri" w:cs="Times New Roman"/>
    </w:rPr>
  </w:style>
  <w:style w:type="paragraph" w:styleId="ListParagraph">
    <w:name w:val="List Paragraph"/>
    <w:basedOn w:val="Normal"/>
    <w:uiPriority w:val="34"/>
    <w:qFormat/>
    <w:rsid w:val="003E6C9D"/>
    <w:pPr>
      <w:ind w:left="720"/>
      <w:contextualSpacing/>
    </w:pPr>
  </w:style>
  <w:style w:type="table" w:styleId="LightList">
    <w:name w:val="Light List"/>
    <w:basedOn w:val="TableNormal"/>
    <w:uiPriority w:val="61"/>
    <w:rsid w:val="005A0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4D0A2C"/>
    <w:pPr>
      <w:autoSpaceDE w:val="0"/>
      <w:autoSpaceDN w:val="0"/>
      <w:adjustRightInd w:val="0"/>
      <w:spacing w:after="0" w:line="240" w:lineRule="auto"/>
      <w:ind w:left="425" w:hanging="425"/>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239E4"/>
    <w:rPr>
      <w:sz w:val="16"/>
      <w:szCs w:val="16"/>
    </w:rPr>
  </w:style>
  <w:style w:type="paragraph" w:styleId="CommentText">
    <w:name w:val="annotation text"/>
    <w:basedOn w:val="Normal"/>
    <w:link w:val="CommentTextChar"/>
    <w:uiPriority w:val="99"/>
    <w:semiHidden/>
    <w:unhideWhenUsed/>
    <w:rsid w:val="004D0A2C"/>
    <w:pPr>
      <w:spacing w:after="200"/>
      <w:ind w:left="0" w:firstLine="0"/>
    </w:pPr>
    <w:rPr>
      <w:sz w:val="20"/>
      <w:szCs w:val="20"/>
    </w:rPr>
  </w:style>
  <w:style w:type="character" w:customStyle="1" w:styleId="CommentTextChar">
    <w:name w:val="Comment Text Char"/>
    <w:basedOn w:val="DefaultParagraphFont"/>
    <w:link w:val="CommentText"/>
    <w:uiPriority w:val="99"/>
    <w:semiHidden/>
    <w:rsid w:val="003239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39E4"/>
    <w:rPr>
      <w:b/>
      <w:bCs/>
    </w:rPr>
  </w:style>
  <w:style w:type="character" w:customStyle="1" w:styleId="CommentSubjectChar">
    <w:name w:val="Comment Subject Char"/>
    <w:basedOn w:val="CommentTextChar"/>
    <w:link w:val="CommentSubject"/>
    <w:uiPriority w:val="99"/>
    <w:semiHidden/>
    <w:rsid w:val="003239E4"/>
    <w:rPr>
      <w:rFonts w:ascii="Calibri" w:eastAsia="Calibri" w:hAnsi="Calibri" w:cs="Times New Roman"/>
      <w:b/>
      <w:bCs/>
      <w:sz w:val="20"/>
      <w:szCs w:val="20"/>
    </w:rPr>
  </w:style>
  <w:style w:type="character" w:styleId="Strong">
    <w:name w:val="Strong"/>
    <w:basedOn w:val="DefaultParagraphFont"/>
    <w:uiPriority w:val="22"/>
    <w:qFormat/>
    <w:rsid w:val="00FE6D4F"/>
    <w:rPr>
      <w:rFonts w:ascii="proxima_nova_ltsemibold" w:hAnsi="proxima_nova_ltsemibold" w:hint="default"/>
      <w:b w:val="0"/>
      <w:bCs w:val="0"/>
    </w:rPr>
  </w:style>
  <w:style w:type="paragraph" w:styleId="NormalWeb">
    <w:name w:val="Normal (Web)"/>
    <w:basedOn w:val="Normal"/>
    <w:uiPriority w:val="99"/>
    <w:unhideWhenUsed/>
    <w:rsid w:val="0032076C"/>
    <w:pPr>
      <w:spacing w:before="100" w:beforeAutospacing="1" w:after="100" w:afterAutospacing="1"/>
    </w:pPr>
    <w:rPr>
      <w:rFonts w:ascii="Times" w:eastAsiaTheme="minorHAnsi" w:hAnsi="Times"/>
      <w:sz w:val="20"/>
      <w:szCs w:val="20"/>
      <w:lang w:val="en-US"/>
    </w:rPr>
  </w:style>
  <w:style w:type="paragraph" w:customStyle="1" w:styleId="xmsonormal">
    <w:name w:val="x_msonormal"/>
    <w:basedOn w:val="Normal"/>
    <w:rsid w:val="00111E4E"/>
    <w:pPr>
      <w:spacing w:before="100" w:beforeAutospacing="1" w:after="100" w:afterAutospacing="1"/>
    </w:pPr>
    <w:rPr>
      <w:rFonts w:ascii="Times" w:eastAsiaTheme="minorHAnsi" w:hAnsi="Times" w:cstheme="minorBidi"/>
      <w:sz w:val="20"/>
      <w:szCs w:val="20"/>
      <w:lang w:val="en-US"/>
    </w:rPr>
  </w:style>
  <w:style w:type="character" w:customStyle="1" w:styleId="apple-converted-space">
    <w:name w:val="apple-converted-space"/>
    <w:basedOn w:val="DefaultParagraphFont"/>
    <w:rsid w:val="00111E4E"/>
  </w:style>
  <w:style w:type="character" w:styleId="Hyperlink">
    <w:name w:val="Hyperlink"/>
    <w:basedOn w:val="DefaultParagraphFont"/>
    <w:uiPriority w:val="99"/>
    <w:unhideWhenUsed/>
    <w:rsid w:val="009955E1"/>
    <w:rPr>
      <w:color w:val="0000FF" w:themeColor="hyperlink"/>
      <w:u w:val="single"/>
    </w:rPr>
  </w:style>
  <w:style w:type="paragraph" w:styleId="DocumentMap">
    <w:name w:val="Document Map"/>
    <w:basedOn w:val="Normal"/>
    <w:link w:val="DocumentMapChar"/>
    <w:uiPriority w:val="99"/>
    <w:semiHidden/>
    <w:unhideWhenUsed/>
    <w:rsid w:val="00056DC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56DC4"/>
    <w:rPr>
      <w:rFonts w:ascii="Lucida Grande" w:eastAsia="Calibri" w:hAnsi="Lucida Grande" w:cs="Lucida Grande"/>
      <w:sz w:val="24"/>
      <w:szCs w:val="24"/>
    </w:rPr>
  </w:style>
  <w:style w:type="paragraph" w:styleId="Revision">
    <w:name w:val="Revision"/>
    <w:hidden/>
    <w:uiPriority w:val="99"/>
    <w:semiHidden/>
    <w:rsid w:val="004D0A2C"/>
    <w:pPr>
      <w:spacing w:after="0" w:line="240" w:lineRule="auto"/>
      <w:ind w:left="425" w:hanging="425"/>
    </w:pPr>
    <w:rPr>
      <w:rFonts w:ascii="Calibri" w:eastAsia="Calibri" w:hAnsi="Calibri" w:cs="Times New Roman"/>
    </w:rPr>
  </w:style>
  <w:style w:type="character" w:styleId="FollowedHyperlink">
    <w:name w:val="FollowedHyperlink"/>
    <w:basedOn w:val="DefaultParagraphFont"/>
    <w:uiPriority w:val="99"/>
    <w:semiHidden/>
    <w:unhideWhenUsed/>
    <w:rsid w:val="001F6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681">
      <w:bodyDiv w:val="1"/>
      <w:marLeft w:val="0"/>
      <w:marRight w:val="0"/>
      <w:marTop w:val="0"/>
      <w:marBottom w:val="0"/>
      <w:divBdr>
        <w:top w:val="none" w:sz="0" w:space="0" w:color="auto"/>
        <w:left w:val="none" w:sz="0" w:space="0" w:color="auto"/>
        <w:bottom w:val="none" w:sz="0" w:space="0" w:color="auto"/>
        <w:right w:val="none" w:sz="0" w:space="0" w:color="auto"/>
      </w:divBdr>
    </w:div>
    <w:div w:id="106584432">
      <w:bodyDiv w:val="1"/>
      <w:marLeft w:val="0"/>
      <w:marRight w:val="0"/>
      <w:marTop w:val="0"/>
      <w:marBottom w:val="0"/>
      <w:divBdr>
        <w:top w:val="none" w:sz="0" w:space="0" w:color="auto"/>
        <w:left w:val="none" w:sz="0" w:space="0" w:color="auto"/>
        <w:bottom w:val="none" w:sz="0" w:space="0" w:color="auto"/>
        <w:right w:val="none" w:sz="0" w:space="0" w:color="auto"/>
      </w:divBdr>
    </w:div>
    <w:div w:id="128405571">
      <w:bodyDiv w:val="1"/>
      <w:marLeft w:val="0"/>
      <w:marRight w:val="0"/>
      <w:marTop w:val="0"/>
      <w:marBottom w:val="0"/>
      <w:divBdr>
        <w:top w:val="none" w:sz="0" w:space="0" w:color="auto"/>
        <w:left w:val="none" w:sz="0" w:space="0" w:color="auto"/>
        <w:bottom w:val="none" w:sz="0" w:space="0" w:color="auto"/>
        <w:right w:val="none" w:sz="0" w:space="0" w:color="auto"/>
      </w:divBdr>
      <w:divsChild>
        <w:div w:id="1301763238">
          <w:marLeft w:val="0"/>
          <w:marRight w:val="0"/>
          <w:marTop w:val="0"/>
          <w:marBottom w:val="0"/>
          <w:divBdr>
            <w:top w:val="none" w:sz="0" w:space="0" w:color="auto"/>
            <w:left w:val="none" w:sz="0" w:space="0" w:color="auto"/>
            <w:bottom w:val="none" w:sz="0" w:space="0" w:color="auto"/>
            <w:right w:val="none" w:sz="0" w:space="0" w:color="auto"/>
          </w:divBdr>
          <w:divsChild>
            <w:div w:id="1656032619">
              <w:marLeft w:val="0"/>
              <w:marRight w:val="0"/>
              <w:marTop w:val="0"/>
              <w:marBottom w:val="0"/>
              <w:divBdr>
                <w:top w:val="none" w:sz="0" w:space="0" w:color="auto"/>
                <w:left w:val="none" w:sz="0" w:space="0" w:color="auto"/>
                <w:bottom w:val="none" w:sz="0" w:space="0" w:color="auto"/>
                <w:right w:val="none" w:sz="0" w:space="0" w:color="auto"/>
              </w:divBdr>
              <w:divsChild>
                <w:div w:id="13994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0421">
      <w:bodyDiv w:val="1"/>
      <w:marLeft w:val="0"/>
      <w:marRight w:val="0"/>
      <w:marTop w:val="0"/>
      <w:marBottom w:val="0"/>
      <w:divBdr>
        <w:top w:val="none" w:sz="0" w:space="0" w:color="auto"/>
        <w:left w:val="none" w:sz="0" w:space="0" w:color="auto"/>
        <w:bottom w:val="none" w:sz="0" w:space="0" w:color="auto"/>
        <w:right w:val="none" w:sz="0" w:space="0" w:color="auto"/>
      </w:divBdr>
    </w:div>
    <w:div w:id="646856270">
      <w:bodyDiv w:val="1"/>
      <w:marLeft w:val="0"/>
      <w:marRight w:val="0"/>
      <w:marTop w:val="0"/>
      <w:marBottom w:val="0"/>
      <w:divBdr>
        <w:top w:val="none" w:sz="0" w:space="0" w:color="auto"/>
        <w:left w:val="none" w:sz="0" w:space="0" w:color="auto"/>
        <w:bottom w:val="none" w:sz="0" w:space="0" w:color="auto"/>
        <w:right w:val="none" w:sz="0" w:space="0" w:color="auto"/>
      </w:divBdr>
    </w:div>
    <w:div w:id="647827299">
      <w:bodyDiv w:val="1"/>
      <w:marLeft w:val="0"/>
      <w:marRight w:val="0"/>
      <w:marTop w:val="0"/>
      <w:marBottom w:val="0"/>
      <w:divBdr>
        <w:top w:val="none" w:sz="0" w:space="0" w:color="auto"/>
        <w:left w:val="none" w:sz="0" w:space="0" w:color="auto"/>
        <w:bottom w:val="none" w:sz="0" w:space="0" w:color="auto"/>
        <w:right w:val="none" w:sz="0" w:space="0" w:color="auto"/>
      </w:divBdr>
    </w:div>
    <w:div w:id="1225414656">
      <w:bodyDiv w:val="1"/>
      <w:marLeft w:val="0"/>
      <w:marRight w:val="0"/>
      <w:marTop w:val="0"/>
      <w:marBottom w:val="0"/>
      <w:divBdr>
        <w:top w:val="none" w:sz="0" w:space="0" w:color="auto"/>
        <w:left w:val="none" w:sz="0" w:space="0" w:color="auto"/>
        <w:bottom w:val="none" w:sz="0" w:space="0" w:color="auto"/>
        <w:right w:val="none" w:sz="0" w:space="0" w:color="auto"/>
      </w:divBdr>
    </w:div>
    <w:div w:id="1362242588">
      <w:bodyDiv w:val="1"/>
      <w:marLeft w:val="0"/>
      <w:marRight w:val="0"/>
      <w:marTop w:val="0"/>
      <w:marBottom w:val="0"/>
      <w:divBdr>
        <w:top w:val="none" w:sz="0" w:space="0" w:color="auto"/>
        <w:left w:val="none" w:sz="0" w:space="0" w:color="auto"/>
        <w:bottom w:val="none" w:sz="0" w:space="0" w:color="auto"/>
        <w:right w:val="none" w:sz="0" w:space="0" w:color="auto"/>
      </w:divBdr>
      <w:divsChild>
        <w:div w:id="1096250862">
          <w:marLeft w:val="0"/>
          <w:marRight w:val="0"/>
          <w:marTop w:val="0"/>
          <w:marBottom w:val="0"/>
          <w:divBdr>
            <w:top w:val="none" w:sz="0" w:space="0" w:color="auto"/>
            <w:left w:val="none" w:sz="0" w:space="0" w:color="auto"/>
            <w:bottom w:val="none" w:sz="0" w:space="0" w:color="auto"/>
            <w:right w:val="none" w:sz="0" w:space="0" w:color="auto"/>
          </w:divBdr>
          <w:divsChild>
            <w:div w:id="2140032968">
              <w:marLeft w:val="0"/>
              <w:marRight w:val="0"/>
              <w:marTop w:val="0"/>
              <w:marBottom w:val="0"/>
              <w:divBdr>
                <w:top w:val="none" w:sz="0" w:space="0" w:color="auto"/>
                <w:left w:val="none" w:sz="0" w:space="0" w:color="auto"/>
                <w:bottom w:val="none" w:sz="0" w:space="0" w:color="auto"/>
                <w:right w:val="none" w:sz="0" w:space="0" w:color="auto"/>
              </w:divBdr>
              <w:divsChild>
                <w:div w:id="1539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21215">
      <w:bodyDiv w:val="1"/>
      <w:marLeft w:val="0"/>
      <w:marRight w:val="0"/>
      <w:marTop w:val="0"/>
      <w:marBottom w:val="0"/>
      <w:divBdr>
        <w:top w:val="none" w:sz="0" w:space="0" w:color="auto"/>
        <w:left w:val="none" w:sz="0" w:space="0" w:color="auto"/>
        <w:bottom w:val="none" w:sz="0" w:space="0" w:color="auto"/>
        <w:right w:val="none" w:sz="0" w:space="0" w:color="auto"/>
      </w:divBdr>
    </w:div>
    <w:div w:id="1709182435">
      <w:bodyDiv w:val="1"/>
      <w:marLeft w:val="0"/>
      <w:marRight w:val="0"/>
      <w:marTop w:val="0"/>
      <w:marBottom w:val="0"/>
      <w:divBdr>
        <w:top w:val="none" w:sz="0" w:space="0" w:color="auto"/>
        <w:left w:val="none" w:sz="0" w:space="0" w:color="auto"/>
        <w:bottom w:val="none" w:sz="0" w:space="0" w:color="auto"/>
        <w:right w:val="none" w:sz="0" w:space="0" w:color="auto"/>
      </w:divBdr>
      <w:divsChild>
        <w:div w:id="1638222329">
          <w:marLeft w:val="0"/>
          <w:marRight w:val="0"/>
          <w:marTop w:val="0"/>
          <w:marBottom w:val="0"/>
          <w:divBdr>
            <w:top w:val="none" w:sz="0" w:space="0" w:color="auto"/>
            <w:left w:val="none" w:sz="0" w:space="0" w:color="auto"/>
            <w:bottom w:val="none" w:sz="0" w:space="0" w:color="auto"/>
            <w:right w:val="none" w:sz="0" w:space="0" w:color="auto"/>
          </w:divBdr>
        </w:div>
      </w:divsChild>
    </w:div>
    <w:div w:id="1859615644">
      <w:bodyDiv w:val="1"/>
      <w:marLeft w:val="0"/>
      <w:marRight w:val="0"/>
      <w:marTop w:val="0"/>
      <w:marBottom w:val="0"/>
      <w:divBdr>
        <w:top w:val="none" w:sz="0" w:space="0" w:color="auto"/>
        <w:left w:val="none" w:sz="0" w:space="0" w:color="auto"/>
        <w:bottom w:val="none" w:sz="0" w:space="0" w:color="auto"/>
        <w:right w:val="none" w:sz="0" w:space="0" w:color="auto"/>
      </w:divBdr>
      <w:divsChild>
        <w:div w:id="1378319362">
          <w:marLeft w:val="0"/>
          <w:marRight w:val="0"/>
          <w:marTop w:val="0"/>
          <w:marBottom w:val="0"/>
          <w:divBdr>
            <w:top w:val="none" w:sz="0" w:space="0" w:color="auto"/>
            <w:left w:val="none" w:sz="0" w:space="0" w:color="auto"/>
            <w:bottom w:val="none" w:sz="0" w:space="0" w:color="auto"/>
            <w:right w:val="none" w:sz="0" w:space="0" w:color="auto"/>
          </w:divBdr>
        </w:div>
      </w:divsChild>
    </w:div>
    <w:div w:id="1866825082">
      <w:bodyDiv w:val="1"/>
      <w:marLeft w:val="0"/>
      <w:marRight w:val="0"/>
      <w:marTop w:val="0"/>
      <w:marBottom w:val="0"/>
      <w:divBdr>
        <w:top w:val="none" w:sz="0" w:space="0" w:color="auto"/>
        <w:left w:val="none" w:sz="0" w:space="0" w:color="auto"/>
        <w:bottom w:val="none" w:sz="0" w:space="0" w:color="auto"/>
        <w:right w:val="none" w:sz="0" w:space="0" w:color="auto"/>
      </w:divBdr>
      <w:divsChild>
        <w:div w:id="1043941662">
          <w:marLeft w:val="0"/>
          <w:marRight w:val="0"/>
          <w:marTop w:val="0"/>
          <w:marBottom w:val="0"/>
          <w:divBdr>
            <w:top w:val="none" w:sz="0" w:space="0" w:color="auto"/>
            <w:left w:val="none" w:sz="0" w:space="0" w:color="auto"/>
            <w:bottom w:val="none" w:sz="0" w:space="0" w:color="auto"/>
            <w:right w:val="none" w:sz="0" w:space="0" w:color="auto"/>
          </w:divBdr>
        </w:div>
        <w:div w:id="370879427">
          <w:marLeft w:val="0"/>
          <w:marRight w:val="0"/>
          <w:marTop w:val="0"/>
          <w:marBottom w:val="0"/>
          <w:divBdr>
            <w:top w:val="none" w:sz="0" w:space="0" w:color="auto"/>
            <w:left w:val="none" w:sz="0" w:space="0" w:color="auto"/>
            <w:bottom w:val="none" w:sz="0" w:space="0" w:color="auto"/>
            <w:right w:val="none" w:sz="0" w:space="0" w:color="auto"/>
          </w:divBdr>
        </w:div>
        <w:div w:id="2140299425">
          <w:marLeft w:val="0"/>
          <w:marRight w:val="0"/>
          <w:marTop w:val="0"/>
          <w:marBottom w:val="0"/>
          <w:divBdr>
            <w:top w:val="none" w:sz="0" w:space="0" w:color="auto"/>
            <w:left w:val="none" w:sz="0" w:space="0" w:color="auto"/>
            <w:bottom w:val="none" w:sz="0" w:space="0" w:color="auto"/>
            <w:right w:val="none" w:sz="0" w:space="0" w:color="auto"/>
          </w:divBdr>
        </w:div>
        <w:div w:id="596136035">
          <w:marLeft w:val="0"/>
          <w:marRight w:val="0"/>
          <w:marTop w:val="0"/>
          <w:marBottom w:val="0"/>
          <w:divBdr>
            <w:top w:val="none" w:sz="0" w:space="0" w:color="auto"/>
            <w:left w:val="none" w:sz="0" w:space="0" w:color="auto"/>
            <w:bottom w:val="none" w:sz="0" w:space="0" w:color="auto"/>
            <w:right w:val="none" w:sz="0" w:space="0" w:color="auto"/>
          </w:divBdr>
        </w:div>
        <w:div w:id="1955214156">
          <w:marLeft w:val="720"/>
          <w:marRight w:val="0"/>
          <w:marTop w:val="280"/>
          <w:marBottom w:val="0"/>
          <w:divBdr>
            <w:top w:val="none" w:sz="0" w:space="0" w:color="auto"/>
            <w:left w:val="none" w:sz="0" w:space="0" w:color="auto"/>
            <w:bottom w:val="none" w:sz="0" w:space="0" w:color="auto"/>
            <w:right w:val="none" w:sz="0" w:space="0" w:color="auto"/>
          </w:divBdr>
        </w:div>
        <w:div w:id="2105608074">
          <w:marLeft w:val="720"/>
          <w:marRight w:val="0"/>
          <w:marTop w:val="280"/>
          <w:marBottom w:val="0"/>
          <w:divBdr>
            <w:top w:val="none" w:sz="0" w:space="0" w:color="auto"/>
            <w:left w:val="none" w:sz="0" w:space="0" w:color="auto"/>
            <w:bottom w:val="none" w:sz="0" w:space="0" w:color="auto"/>
            <w:right w:val="none" w:sz="0" w:space="0" w:color="auto"/>
          </w:divBdr>
        </w:div>
        <w:div w:id="1021974259">
          <w:marLeft w:val="720"/>
          <w:marRight w:val="0"/>
          <w:marTop w:val="280"/>
          <w:marBottom w:val="0"/>
          <w:divBdr>
            <w:top w:val="none" w:sz="0" w:space="0" w:color="auto"/>
            <w:left w:val="none" w:sz="0" w:space="0" w:color="auto"/>
            <w:bottom w:val="none" w:sz="0" w:space="0" w:color="auto"/>
            <w:right w:val="none" w:sz="0" w:space="0" w:color="auto"/>
          </w:divBdr>
        </w:div>
      </w:divsChild>
    </w:div>
    <w:div w:id="1875382507">
      <w:bodyDiv w:val="1"/>
      <w:marLeft w:val="0"/>
      <w:marRight w:val="0"/>
      <w:marTop w:val="0"/>
      <w:marBottom w:val="0"/>
      <w:divBdr>
        <w:top w:val="none" w:sz="0" w:space="0" w:color="auto"/>
        <w:left w:val="none" w:sz="0" w:space="0" w:color="auto"/>
        <w:bottom w:val="none" w:sz="0" w:space="0" w:color="auto"/>
        <w:right w:val="none" w:sz="0" w:space="0" w:color="auto"/>
      </w:divBdr>
    </w:div>
    <w:div w:id="20799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amsar.org/resources/recognising-and-assessing-threats-to-the-site" TargetMode="External"/><Relationship Id="rId4" Type="http://schemas.microsoft.com/office/2007/relationships/stylesWithEffects" Target="stylesWithEffects.xml"/><Relationship Id="rId9" Type="http://schemas.openxmlformats.org/officeDocument/2006/relationships/hyperlink" Target="https://www.ramsar.org/resources/ramsar-sites-management-toolki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5E95-61A5-4533-8B4B-D4E56CDA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Ramsar\BonellsM</dc:creator>
  <cp:lastModifiedBy>Ramsar\JenningsE</cp:lastModifiedBy>
  <cp:revision>3</cp:revision>
  <cp:lastPrinted>2017-02-20T10:15:00Z</cp:lastPrinted>
  <dcterms:created xsi:type="dcterms:W3CDTF">2018-01-30T14:12:00Z</dcterms:created>
  <dcterms:modified xsi:type="dcterms:W3CDTF">2018-02-23T18:54:00Z</dcterms:modified>
</cp:coreProperties>
</file>