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2A34F" w14:textId="77D1BCDA" w:rsidR="00165F56" w:rsidRPr="0047280C" w:rsidRDefault="0047280C" w:rsidP="00165F56">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lang w:val="fr-CA"/>
        </w:rPr>
      </w:pPr>
      <w:r w:rsidRPr="0047280C">
        <w:rPr>
          <w:bCs/>
          <w:sz w:val="24"/>
          <w:szCs w:val="24"/>
          <w:lang w:val="fr-CA"/>
        </w:rPr>
        <w:t>CONVENTION DE RAMSAR SUR LES ZONES HUMIDES</w:t>
      </w:r>
    </w:p>
    <w:p w14:paraId="316FBF87" w14:textId="48008952" w:rsidR="00165F56" w:rsidRPr="0047280C" w:rsidRDefault="00165F56" w:rsidP="00165F56">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lang w:val="fr-CA"/>
        </w:rPr>
      </w:pPr>
      <w:r w:rsidRPr="0047280C">
        <w:rPr>
          <w:bCs/>
          <w:sz w:val="24"/>
          <w:szCs w:val="24"/>
          <w:lang w:val="fr-CA"/>
        </w:rPr>
        <w:t>54</w:t>
      </w:r>
      <w:r w:rsidR="0047280C" w:rsidRPr="0047280C">
        <w:rPr>
          <w:bCs/>
          <w:sz w:val="24"/>
          <w:szCs w:val="24"/>
          <w:vertAlign w:val="superscript"/>
          <w:lang w:val="fr-CA"/>
        </w:rPr>
        <w:t>e</w:t>
      </w:r>
      <w:r w:rsidRPr="0047280C">
        <w:rPr>
          <w:bCs/>
          <w:sz w:val="24"/>
          <w:szCs w:val="24"/>
          <w:lang w:val="fr-CA"/>
        </w:rPr>
        <w:t xml:space="preserve"> </w:t>
      </w:r>
      <w:r w:rsidR="0047280C" w:rsidRPr="0047280C">
        <w:rPr>
          <w:bCs/>
          <w:sz w:val="24"/>
          <w:szCs w:val="24"/>
          <w:lang w:val="fr-CA"/>
        </w:rPr>
        <w:t>Réunion du Comité permanent</w:t>
      </w:r>
    </w:p>
    <w:p w14:paraId="27136FDE" w14:textId="4DA7E93A" w:rsidR="00165F56" w:rsidRPr="0047280C" w:rsidRDefault="00165F56" w:rsidP="00165F56">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lang w:val="fr-CA"/>
        </w:rPr>
      </w:pPr>
      <w:r w:rsidRPr="0047280C">
        <w:rPr>
          <w:bCs/>
          <w:sz w:val="24"/>
          <w:szCs w:val="24"/>
          <w:lang w:val="fr-CA"/>
        </w:rPr>
        <w:t xml:space="preserve">Gland, </w:t>
      </w:r>
      <w:r w:rsidR="0047280C">
        <w:rPr>
          <w:bCs/>
          <w:sz w:val="24"/>
          <w:szCs w:val="24"/>
          <w:lang w:val="fr-CA"/>
        </w:rPr>
        <w:t>Suisse</w:t>
      </w:r>
      <w:r w:rsidRPr="0047280C">
        <w:rPr>
          <w:bCs/>
          <w:sz w:val="24"/>
          <w:szCs w:val="24"/>
          <w:lang w:val="fr-CA"/>
        </w:rPr>
        <w:t xml:space="preserve">, 23 </w:t>
      </w:r>
      <w:r w:rsidR="0047280C">
        <w:rPr>
          <w:bCs/>
          <w:sz w:val="24"/>
          <w:szCs w:val="24"/>
          <w:lang w:val="fr-CA"/>
        </w:rPr>
        <w:t>au</w:t>
      </w:r>
      <w:r w:rsidRPr="0047280C">
        <w:rPr>
          <w:bCs/>
          <w:sz w:val="24"/>
          <w:szCs w:val="24"/>
          <w:lang w:val="fr-CA"/>
        </w:rPr>
        <w:t xml:space="preserve"> 27 </w:t>
      </w:r>
      <w:r w:rsidR="0047280C">
        <w:rPr>
          <w:bCs/>
          <w:sz w:val="24"/>
          <w:szCs w:val="24"/>
          <w:lang w:val="fr-CA"/>
        </w:rPr>
        <w:t>avril</w:t>
      </w:r>
      <w:r w:rsidRPr="0047280C">
        <w:rPr>
          <w:bCs/>
          <w:sz w:val="24"/>
          <w:szCs w:val="24"/>
          <w:lang w:val="fr-CA"/>
        </w:rPr>
        <w:t xml:space="preserve"> 2018</w:t>
      </w:r>
    </w:p>
    <w:p w14:paraId="2FB76F9E" w14:textId="77777777" w:rsidR="00165F56" w:rsidRPr="0047280C" w:rsidRDefault="00165F56" w:rsidP="00165F56">
      <w:pPr>
        <w:tabs>
          <w:tab w:val="left" w:pos="3585"/>
          <w:tab w:val="center" w:pos="4513"/>
        </w:tabs>
        <w:spacing w:after="0" w:line="240" w:lineRule="auto"/>
        <w:outlineLvl w:val="0"/>
        <w:rPr>
          <w:b/>
          <w:sz w:val="28"/>
          <w:szCs w:val="28"/>
          <w:lang w:val="fr-CA"/>
        </w:rPr>
      </w:pPr>
    </w:p>
    <w:p w14:paraId="140899C1" w14:textId="1521307E" w:rsidR="00165F56" w:rsidRPr="0047280C" w:rsidRDefault="00D027C2" w:rsidP="00C63285">
      <w:pPr>
        <w:spacing w:after="0" w:line="240" w:lineRule="auto"/>
        <w:jc w:val="right"/>
        <w:rPr>
          <w:rFonts w:cs="Arial"/>
          <w:sz w:val="28"/>
          <w:szCs w:val="28"/>
          <w:lang w:val="fr-CA"/>
        </w:rPr>
      </w:pPr>
      <w:r w:rsidRPr="0047280C">
        <w:rPr>
          <w:rFonts w:cs="Arial"/>
          <w:b/>
          <w:sz w:val="28"/>
          <w:szCs w:val="28"/>
          <w:lang w:val="fr-CA"/>
        </w:rPr>
        <w:t xml:space="preserve">Doc. </w:t>
      </w:r>
      <w:r w:rsidR="00165F56" w:rsidRPr="0047280C">
        <w:rPr>
          <w:rFonts w:cs="Arial"/>
          <w:b/>
          <w:sz w:val="28"/>
          <w:szCs w:val="28"/>
          <w:lang w:val="fr-CA"/>
        </w:rPr>
        <w:t>SC54-</w:t>
      </w:r>
      <w:r w:rsidR="00173483" w:rsidRPr="0047280C">
        <w:rPr>
          <w:rFonts w:cs="Arial"/>
          <w:b/>
          <w:sz w:val="28"/>
          <w:szCs w:val="28"/>
          <w:lang w:val="fr-CA"/>
        </w:rPr>
        <w:t>21.</w:t>
      </w:r>
      <w:r w:rsidR="0040721B" w:rsidRPr="0047280C">
        <w:rPr>
          <w:rFonts w:cs="Arial"/>
          <w:b/>
          <w:sz w:val="28"/>
          <w:szCs w:val="28"/>
          <w:lang w:val="fr-CA"/>
        </w:rPr>
        <w:t>9</w:t>
      </w:r>
    </w:p>
    <w:p w14:paraId="28FF45F9" w14:textId="77777777" w:rsidR="00165F56" w:rsidRPr="0047280C" w:rsidRDefault="00165F56" w:rsidP="00C63285">
      <w:pPr>
        <w:spacing w:after="0" w:line="240" w:lineRule="auto"/>
        <w:rPr>
          <w:b/>
          <w:sz w:val="28"/>
          <w:lang w:val="fr-CA"/>
        </w:rPr>
      </w:pPr>
    </w:p>
    <w:p w14:paraId="642C3886" w14:textId="1C71BD2C" w:rsidR="002233D4" w:rsidRPr="0047280C" w:rsidRDefault="0047280C" w:rsidP="00C63285">
      <w:pPr>
        <w:spacing w:after="0" w:line="240" w:lineRule="auto"/>
        <w:ind w:left="425" w:hanging="425"/>
        <w:jc w:val="center"/>
        <w:rPr>
          <w:rFonts w:ascii="Calibri" w:eastAsia="Calibri" w:hAnsi="Calibri" w:cs="Arial"/>
          <w:b/>
          <w:sz w:val="28"/>
          <w:szCs w:val="28"/>
          <w:lang w:val="fr-CA"/>
        </w:rPr>
      </w:pPr>
      <w:r>
        <w:rPr>
          <w:rFonts w:ascii="Calibri" w:eastAsia="Calibri" w:hAnsi="Calibri" w:cs="Arial"/>
          <w:b/>
          <w:sz w:val="28"/>
          <w:szCs w:val="28"/>
          <w:lang w:val="fr-CA"/>
        </w:rPr>
        <w:t xml:space="preserve">Projet de résolution sur la promotion de la conservation, la restauration et la gestion durable des écosystèmes côtiers de carbone bleu </w:t>
      </w:r>
    </w:p>
    <w:p w14:paraId="0F814912" w14:textId="77777777" w:rsidR="00C63285" w:rsidRPr="0047280C" w:rsidRDefault="00C63285" w:rsidP="00C63285">
      <w:pPr>
        <w:spacing w:after="0" w:line="240" w:lineRule="auto"/>
        <w:ind w:left="425" w:hanging="425"/>
        <w:jc w:val="center"/>
        <w:rPr>
          <w:rFonts w:ascii="Calibri" w:eastAsia="Calibri" w:hAnsi="Calibri" w:cs="Arial"/>
          <w:lang w:val="fr-CA"/>
        </w:rPr>
      </w:pPr>
    </w:p>
    <w:p w14:paraId="6DDCE997" w14:textId="20D950C6" w:rsidR="00C63285" w:rsidRPr="0047280C" w:rsidRDefault="0047280C" w:rsidP="00C63285">
      <w:pPr>
        <w:spacing w:after="0" w:line="240" w:lineRule="auto"/>
        <w:ind w:right="16"/>
        <w:rPr>
          <w:rFonts w:eastAsia="Times New Roman" w:cs="Times New Roman"/>
          <w:i/>
          <w:lang w:val="fr-CA"/>
        </w:rPr>
      </w:pPr>
      <w:r>
        <w:rPr>
          <w:rFonts w:eastAsia="Times New Roman" w:cs="Times New Roman"/>
          <w:i/>
          <w:lang w:val="fr-CA"/>
        </w:rPr>
        <w:t>Présenté par l’Australie</w:t>
      </w:r>
    </w:p>
    <w:p w14:paraId="4EFA2C95" w14:textId="77777777" w:rsidR="00026CD4" w:rsidRPr="0047280C" w:rsidRDefault="00026CD4" w:rsidP="00C63285">
      <w:pPr>
        <w:spacing w:after="0" w:line="240" w:lineRule="auto"/>
        <w:ind w:right="16"/>
        <w:rPr>
          <w:rFonts w:ascii="Calibri" w:eastAsia="Calibri" w:hAnsi="Calibri" w:cs="Arial"/>
          <w:lang w:val="fr-CA"/>
        </w:rPr>
      </w:pPr>
    </w:p>
    <w:p w14:paraId="38BDDEB2" w14:textId="77777777" w:rsidR="00026CD4" w:rsidRPr="0047280C" w:rsidRDefault="00026CD4" w:rsidP="007014F7">
      <w:pPr>
        <w:spacing w:after="0" w:line="240" w:lineRule="auto"/>
        <w:jc w:val="both"/>
        <w:rPr>
          <w:lang w:val="fr-CA"/>
        </w:rPr>
      </w:pPr>
      <w:r w:rsidRPr="0047280C">
        <w:rPr>
          <w:noProof/>
          <w:lang w:val="en-GB" w:eastAsia="en-GB"/>
        </w:rPr>
        <mc:AlternateContent>
          <mc:Choice Requires="wps">
            <w:drawing>
              <wp:inline distT="0" distB="0" distL="0" distR="0" wp14:anchorId="0D6ACD94" wp14:editId="53274B57">
                <wp:extent cx="5820674" cy="83820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38200"/>
                        </a:xfrm>
                        <a:prstGeom prst="rect">
                          <a:avLst/>
                        </a:prstGeom>
                        <a:solidFill>
                          <a:srgbClr val="FFFFFF"/>
                        </a:solidFill>
                        <a:ln w="9525">
                          <a:solidFill>
                            <a:srgbClr val="000000"/>
                          </a:solidFill>
                          <a:miter lim="800000"/>
                          <a:headEnd/>
                          <a:tailEnd/>
                        </a:ln>
                      </wps:spPr>
                      <wps:txbx>
                        <w:txbxContent>
                          <w:p w14:paraId="7FBEA871" w14:textId="66FDD3CF" w:rsidR="00026CD4" w:rsidRPr="0047280C" w:rsidRDefault="0047280C" w:rsidP="00026CD4">
                            <w:pPr>
                              <w:rPr>
                                <w:rFonts w:cs="Calibri"/>
                                <w:b/>
                                <w:lang w:val="fr-CA"/>
                              </w:rPr>
                            </w:pPr>
                            <w:r>
                              <w:rPr>
                                <w:rFonts w:cs="Calibri"/>
                                <w:b/>
                                <w:lang w:val="fr-CA"/>
                              </w:rPr>
                              <w:t>Mesure requise </w:t>
                            </w:r>
                            <w:r w:rsidR="00026CD4" w:rsidRPr="0047280C">
                              <w:rPr>
                                <w:rFonts w:cs="Calibri"/>
                                <w:b/>
                                <w:lang w:val="fr-CA"/>
                              </w:rPr>
                              <w:t>:</w:t>
                            </w:r>
                          </w:p>
                          <w:p w14:paraId="5050F2FB" w14:textId="6B53AD3E" w:rsidR="00026CD4" w:rsidRPr="0047280C" w:rsidRDefault="0047280C" w:rsidP="00026CD4">
                            <w:pPr>
                              <w:widowControl w:val="0"/>
                              <w:numPr>
                                <w:ilvl w:val="0"/>
                                <w:numId w:val="30"/>
                              </w:numPr>
                              <w:spacing w:after="0" w:line="240" w:lineRule="auto"/>
                              <w:ind w:left="426" w:hanging="426"/>
                              <w:rPr>
                                <w:lang w:val="fr-CA"/>
                              </w:rPr>
                            </w:pPr>
                            <w:r w:rsidRPr="0047280C">
                              <w:rPr>
                                <w:rFonts w:ascii="Calibri" w:eastAsia="Calibri" w:hAnsi="Calibri" w:cs="Calibri Light"/>
                                <w:lang w:val="fr-CA"/>
                              </w:rPr>
                              <w:t>Le Comité permanent est invité à examiner le projet de résolution ci-joint pour examen à la 13</w:t>
                            </w:r>
                            <w:r w:rsidRPr="0047280C">
                              <w:rPr>
                                <w:rFonts w:ascii="Calibri" w:eastAsia="Calibri" w:hAnsi="Calibri" w:cs="Calibri Light"/>
                                <w:vertAlign w:val="superscript"/>
                                <w:lang w:val="fr-CA"/>
                              </w:rPr>
                              <w:t>e </w:t>
                            </w:r>
                            <w:r w:rsidRPr="0047280C">
                              <w:rPr>
                                <w:rFonts w:ascii="Calibri" w:eastAsia="Calibri" w:hAnsi="Calibri" w:cs="Calibri Light"/>
                                <w:lang w:val="fr-CA"/>
                              </w:rPr>
                              <w:t>Session de la Conférence des Parties</w:t>
                            </w:r>
                            <w:r w:rsidR="00026CD4" w:rsidRPr="0047280C">
                              <w:rPr>
                                <w:rFonts w:cs="Calibri"/>
                                <w:lang w:val="fr-CA"/>
                              </w:rPr>
                              <w:t>.</w:t>
                            </w:r>
                          </w:p>
                          <w:p w14:paraId="4C8671CE" w14:textId="77777777" w:rsidR="00026CD4" w:rsidRPr="001C1599" w:rsidRDefault="00026CD4" w:rsidP="00026CD4">
                            <w:pPr>
                              <w:widowControl w:val="0"/>
                              <w:ind w:left="426"/>
                            </w:pPr>
                          </w:p>
                          <w:p w14:paraId="5CC8D7E2" w14:textId="77777777" w:rsidR="00026CD4" w:rsidRPr="00841901" w:rsidRDefault="00026CD4" w:rsidP="00026CD4">
                            <w:pPr>
                              <w:widowControl w:val="0"/>
                              <w:numPr>
                                <w:ilvl w:val="0"/>
                                <w:numId w:val="30"/>
                              </w:numPr>
                              <w:spacing w:after="0" w:line="240" w:lineRule="auto"/>
                              <w:ind w:left="426" w:hanging="426"/>
                              <w:rPr>
                                <w:highlight w:val="yellow"/>
                              </w:rPr>
                            </w:pPr>
                            <w:r w:rsidRPr="00841901">
                              <w:rPr>
                                <w:highlight w:val="yellow"/>
                              </w:rPr>
                              <w:t>[Insert any other actions requested of the Standing Committee]</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0D6ACD94" id="_x0000_t202" coordsize="21600,21600" o:spt="202" path="m,l,21600r21600,l21600,xe">
                <v:stroke joinstyle="miter"/>
                <v:path gradientshapeok="t" o:connecttype="rect"/>
              </v:shapetype>
              <v:shape id="Text Box 1" o:spid="_x0000_s1026" type="#_x0000_t202" style="width:458.3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1kLAIAAFA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">
                <v:textbox>
                  <w:txbxContent>
                    <w:p w14:paraId="7FBEA871" w14:textId="66FDD3CF" w:rsidR="00026CD4" w:rsidRPr="0047280C" w:rsidRDefault="0047280C" w:rsidP="00026CD4">
                      <w:pPr>
                        <w:rPr>
                          <w:rFonts w:cs="Calibri"/>
                          <w:b/>
                          <w:lang w:val="fr-CA"/>
                        </w:rPr>
                      </w:pPr>
                      <w:r>
                        <w:rPr>
                          <w:rFonts w:cs="Calibri"/>
                          <w:b/>
                          <w:lang w:val="fr-CA"/>
                        </w:rPr>
                        <w:t>Mesure requise </w:t>
                      </w:r>
                      <w:r w:rsidR="00026CD4" w:rsidRPr="0047280C">
                        <w:rPr>
                          <w:rFonts w:cs="Calibri"/>
                          <w:b/>
                          <w:lang w:val="fr-CA"/>
                        </w:rPr>
                        <w:t>:</w:t>
                      </w:r>
                    </w:p>
                    <w:p w14:paraId="5050F2FB" w14:textId="6B53AD3E" w:rsidR="00026CD4" w:rsidRPr="0047280C" w:rsidRDefault="0047280C" w:rsidP="00026CD4">
                      <w:pPr>
                        <w:widowControl w:val="0"/>
                        <w:numPr>
                          <w:ilvl w:val="0"/>
                          <w:numId w:val="30"/>
                        </w:numPr>
                        <w:spacing w:after="0" w:line="240" w:lineRule="auto"/>
                        <w:ind w:left="426" w:hanging="426"/>
                        <w:rPr>
                          <w:lang w:val="fr-CA"/>
                        </w:rPr>
                      </w:pPr>
                      <w:r w:rsidRPr="0047280C">
                        <w:rPr>
                          <w:rFonts w:ascii="Calibri" w:eastAsia="Calibri" w:hAnsi="Calibri" w:cs="Calibri Light"/>
                          <w:lang w:val="fr-CA"/>
                        </w:rPr>
                        <w:t>Le Comité permanent est invité à examiner le projet de résolution ci-joint pour examen à la 13</w:t>
                      </w:r>
                      <w:r w:rsidRPr="0047280C">
                        <w:rPr>
                          <w:rFonts w:ascii="Calibri" w:eastAsia="Calibri" w:hAnsi="Calibri" w:cs="Calibri Light"/>
                          <w:vertAlign w:val="superscript"/>
                          <w:lang w:val="fr-CA"/>
                        </w:rPr>
                        <w:t>e </w:t>
                      </w:r>
                      <w:r w:rsidRPr="0047280C">
                        <w:rPr>
                          <w:rFonts w:ascii="Calibri" w:eastAsia="Calibri" w:hAnsi="Calibri" w:cs="Calibri Light"/>
                          <w:lang w:val="fr-CA"/>
                        </w:rPr>
                        <w:t>Session de la Conférence des Parties</w:t>
                      </w:r>
                      <w:r w:rsidR="00026CD4" w:rsidRPr="0047280C">
                        <w:rPr>
                          <w:rFonts w:cs="Calibri"/>
                          <w:lang w:val="fr-CA"/>
                        </w:rPr>
                        <w:t>.</w:t>
                      </w:r>
                    </w:p>
                    <w:p w14:paraId="4C8671CE" w14:textId="77777777" w:rsidR="00026CD4" w:rsidRPr="001C1599" w:rsidRDefault="00026CD4" w:rsidP="00026CD4">
                      <w:pPr>
                        <w:widowControl w:val="0"/>
                        <w:ind w:left="426"/>
                      </w:pPr>
                    </w:p>
                    <w:p w14:paraId="5CC8D7E2" w14:textId="77777777" w:rsidR="00026CD4" w:rsidRPr="00841901" w:rsidRDefault="00026CD4" w:rsidP="00026CD4">
                      <w:pPr>
                        <w:widowControl w:val="0"/>
                        <w:numPr>
                          <w:ilvl w:val="0"/>
                          <w:numId w:val="30"/>
                        </w:numPr>
                        <w:spacing w:after="0" w:line="240" w:lineRule="auto"/>
                        <w:ind w:left="426" w:hanging="426"/>
                        <w:rPr>
                          <w:highlight w:val="yellow"/>
                        </w:rPr>
                      </w:pPr>
                      <w:r w:rsidRPr="00841901">
                        <w:rPr>
                          <w:highlight w:val="yellow"/>
                        </w:rPr>
                        <w:t>[Insert any other actions requested of the Standing Committee]</w:t>
                      </w:r>
                    </w:p>
                  </w:txbxContent>
                </v:textbox>
                <w10:anchorlock/>
              </v:shape>
            </w:pict>
          </mc:Fallback>
        </mc:AlternateContent>
      </w:r>
    </w:p>
    <w:p w14:paraId="1B26C16E" w14:textId="77777777" w:rsidR="007014F7" w:rsidRPr="0047280C" w:rsidRDefault="007014F7" w:rsidP="007014F7">
      <w:pPr>
        <w:spacing w:after="0" w:line="240" w:lineRule="auto"/>
        <w:rPr>
          <w:rFonts w:cs="Arial"/>
          <w:b/>
          <w:lang w:val="fr-CA"/>
        </w:rPr>
      </w:pPr>
    </w:p>
    <w:p w14:paraId="38D747F1" w14:textId="77777777" w:rsidR="007014F7" w:rsidRPr="0047280C" w:rsidRDefault="007014F7" w:rsidP="007014F7">
      <w:pPr>
        <w:spacing w:after="0" w:line="240" w:lineRule="auto"/>
        <w:rPr>
          <w:rFonts w:cs="Arial"/>
          <w:b/>
          <w:lang w:val="fr-CA"/>
        </w:rPr>
      </w:pPr>
    </w:p>
    <w:p w14:paraId="33EB906E" w14:textId="77777777" w:rsidR="00026CD4" w:rsidRPr="0047280C" w:rsidRDefault="00026CD4" w:rsidP="007014F7">
      <w:pPr>
        <w:spacing w:after="0" w:line="240" w:lineRule="auto"/>
        <w:rPr>
          <w:rFonts w:cs="Arial"/>
          <w:b/>
          <w:lang w:val="fr-CA"/>
        </w:rPr>
      </w:pPr>
      <w:r w:rsidRPr="0047280C">
        <w:rPr>
          <w:rFonts w:cs="Arial"/>
          <w:b/>
          <w:lang w:val="fr-CA"/>
        </w:rPr>
        <w:t>Introduction</w:t>
      </w:r>
    </w:p>
    <w:p w14:paraId="705A3356" w14:textId="77777777" w:rsidR="007014F7" w:rsidRPr="0047280C" w:rsidRDefault="007014F7" w:rsidP="007014F7">
      <w:pPr>
        <w:spacing w:after="0" w:line="240" w:lineRule="auto"/>
        <w:rPr>
          <w:rFonts w:cs="Arial"/>
          <w:i/>
          <w:lang w:val="fr-CA"/>
        </w:rPr>
      </w:pPr>
    </w:p>
    <w:p w14:paraId="6F10A3D9" w14:textId="24697950" w:rsidR="00026CD4" w:rsidRPr="0047280C" w:rsidRDefault="00026CD4" w:rsidP="007014F7">
      <w:pPr>
        <w:spacing w:after="0" w:line="240" w:lineRule="auto"/>
        <w:rPr>
          <w:rFonts w:cs="Arial"/>
          <w:i/>
          <w:lang w:val="fr-CA"/>
        </w:rPr>
      </w:pPr>
      <w:r w:rsidRPr="0047280C">
        <w:rPr>
          <w:rFonts w:cs="Arial"/>
          <w:i/>
          <w:lang w:val="fr-CA"/>
        </w:rPr>
        <w:t xml:space="preserve">Information </w:t>
      </w:r>
      <w:r w:rsidR="0047280C">
        <w:rPr>
          <w:rFonts w:cs="Arial"/>
          <w:i/>
          <w:lang w:val="fr-CA"/>
        </w:rPr>
        <w:t>pour le Comité permanent</w:t>
      </w:r>
      <w:r w:rsidRPr="0047280C">
        <w:rPr>
          <w:rFonts w:cs="Arial"/>
          <w:i/>
          <w:lang w:val="fr-CA"/>
        </w:rPr>
        <w:t xml:space="preserve"> </w:t>
      </w:r>
    </w:p>
    <w:p w14:paraId="4F706B0B" w14:textId="77777777" w:rsidR="007014F7" w:rsidRPr="0047280C" w:rsidRDefault="007014F7" w:rsidP="007014F7">
      <w:pPr>
        <w:spacing w:after="0" w:line="240" w:lineRule="auto"/>
        <w:ind w:left="425" w:hanging="425"/>
        <w:rPr>
          <w:lang w:val="fr-CA"/>
        </w:rPr>
      </w:pPr>
    </w:p>
    <w:p w14:paraId="6C6ABE81" w14:textId="723422FB" w:rsidR="00654BC0" w:rsidRPr="0047280C" w:rsidRDefault="007014F7" w:rsidP="007014F7">
      <w:pPr>
        <w:spacing w:after="0" w:line="240" w:lineRule="auto"/>
        <w:ind w:left="425" w:hanging="425"/>
        <w:rPr>
          <w:rFonts w:cs="Arial"/>
          <w:lang w:val="fr-CA"/>
        </w:rPr>
      </w:pPr>
      <w:r w:rsidRPr="0047280C">
        <w:rPr>
          <w:lang w:val="fr-CA"/>
        </w:rPr>
        <w:t>1.</w:t>
      </w:r>
      <w:r w:rsidRPr="0047280C">
        <w:rPr>
          <w:lang w:val="fr-CA"/>
        </w:rPr>
        <w:tab/>
      </w:r>
      <w:r w:rsidR="00E26CF0">
        <w:rPr>
          <w:lang w:val="fr-CA"/>
        </w:rPr>
        <w:t>Les écosystèmes de carbone bleu –</w:t>
      </w:r>
      <w:r w:rsidR="00AB0556">
        <w:rPr>
          <w:lang w:val="fr-CA"/>
        </w:rPr>
        <w:t xml:space="preserve"> c’est-à-dire les </w:t>
      </w:r>
      <w:r w:rsidR="00E26CF0">
        <w:rPr>
          <w:lang w:val="fr-CA"/>
        </w:rPr>
        <w:t xml:space="preserve">systèmes de zones humides côtières qui piègent du carbone – jouent un rôle crucial, bien que </w:t>
      </w:r>
      <w:r w:rsidR="00AB0556">
        <w:rPr>
          <w:lang w:val="fr-CA"/>
        </w:rPr>
        <w:t xml:space="preserve">rarement </w:t>
      </w:r>
      <w:r w:rsidR="00E26CF0">
        <w:rPr>
          <w:lang w:val="fr-CA"/>
        </w:rPr>
        <w:t>reconnu</w:t>
      </w:r>
      <w:r w:rsidR="00AB0556">
        <w:rPr>
          <w:lang w:val="fr-CA"/>
        </w:rPr>
        <w:t xml:space="preserve"> à sa juste valeur</w:t>
      </w:r>
      <w:r w:rsidR="00E26CF0">
        <w:rPr>
          <w:lang w:val="fr-CA"/>
        </w:rPr>
        <w:t>, dans les efforts que déploient les pays pour gérer les changements climatiques et leurs impacts e</w:t>
      </w:r>
      <w:bookmarkStart w:id="0" w:name="_GoBack"/>
      <w:bookmarkEnd w:id="0"/>
      <w:r w:rsidR="00E26CF0">
        <w:rPr>
          <w:lang w:val="fr-CA"/>
        </w:rPr>
        <w:t xml:space="preserve">t pour réduire les émissions de carbone. </w:t>
      </w:r>
      <w:r w:rsidR="00AB0556">
        <w:rPr>
          <w:lang w:val="fr-CA"/>
        </w:rPr>
        <w:t>R</w:t>
      </w:r>
      <w:r w:rsidR="00E26CF0">
        <w:rPr>
          <w:lang w:val="fr-CA"/>
        </w:rPr>
        <w:t>econnaître l’importance des écosystèmes de carbone bleu et le</w:t>
      </w:r>
      <w:r w:rsidR="00AB0556">
        <w:rPr>
          <w:lang w:val="fr-CA"/>
        </w:rPr>
        <w:t>s gérer efficacement</w:t>
      </w:r>
      <w:r w:rsidR="00E26CF0">
        <w:rPr>
          <w:lang w:val="fr-CA"/>
        </w:rPr>
        <w:t xml:space="preserve"> </w:t>
      </w:r>
      <w:r w:rsidR="004F68DA">
        <w:rPr>
          <w:lang w:val="fr-CA"/>
        </w:rPr>
        <w:t>rehausse</w:t>
      </w:r>
      <w:r w:rsidR="00E26CF0">
        <w:rPr>
          <w:lang w:val="fr-CA"/>
        </w:rPr>
        <w:t xml:space="preserve"> aussi la pertinence et la valeur des zones humides et de la Convention de Ramsar dans les efforts internationaux de gestion des </w:t>
      </w:r>
      <w:r w:rsidR="00AB0556">
        <w:rPr>
          <w:lang w:val="fr-CA"/>
        </w:rPr>
        <w:t xml:space="preserve">grands </w:t>
      </w:r>
      <w:r w:rsidR="00E26CF0">
        <w:rPr>
          <w:lang w:val="fr-CA"/>
        </w:rPr>
        <w:t>problèmes d’envergure mondiale</w:t>
      </w:r>
      <w:r w:rsidR="00AB0556">
        <w:rPr>
          <w:lang w:val="fr-CA"/>
        </w:rPr>
        <w:t xml:space="preserve"> que sont, notamment,</w:t>
      </w:r>
      <w:r w:rsidR="00E26CF0">
        <w:rPr>
          <w:lang w:val="fr-CA"/>
        </w:rPr>
        <w:t xml:space="preserve"> la réduction des émissions de carbone et les changements climatiques. Sachant cela et, après consultation préliminaire avec les Parties contractantes à la 53</w:t>
      </w:r>
      <w:r w:rsidR="00E26CF0" w:rsidRPr="00E26CF0">
        <w:rPr>
          <w:vertAlign w:val="superscript"/>
          <w:lang w:val="fr-CA"/>
        </w:rPr>
        <w:t>e</w:t>
      </w:r>
      <w:r w:rsidR="00E26CF0">
        <w:rPr>
          <w:lang w:val="fr-CA"/>
        </w:rPr>
        <w:t> Réunion du Comité permanent, l’Australie a décidé</w:t>
      </w:r>
      <w:r w:rsidR="0052246B">
        <w:rPr>
          <w:lang w:val="fr-CA"/>
        </w:rPr>
        <w:t xml:space="preserve"> d’élaborer, pour examen par les Parties, un projet de résolution qui reconnaît l’importance des écosystèmes de carbone bleu et propose de développer des mesures pratiques</w:t>
      </w:r>
      <w:r w:rsidR="00AB0556">
        <w:rPr>
          <w:lang w:val="fr-CA"/>
        </w:rPr>
        <w:t xml:space="preserve">, au cours de </w:t>
      </w:r>
      <w:r w:rsidR="0052246B">
        <w:rPr>
          <w:lang w:val="fr-CA"/>
        </w:rPr>
        <w:t>la prochaine période triennale</w:t>
      </w:r>
      <w:r w:rsidR="00AB0556">
        <w:rPr>
          <w:lang w:val="fr-CA"/>
        </w:rPr>
        <w:t>,</w:t>
      </w:r>
      <w:r w:rsidR="0052246B">
        <w:rPr>
          <w:lang w:val="fr-CA"/>
        </w:rPr>
        <w:t xml:space="preserve"> pour aider les Parties et leur fournir des orientations. </w:t>
      </w:r>
    </w:p>
    <w:p w14:paraId="4A9EC811" w14:textId="77777777" w:rsidR="00967991" w:rsidRPr="0047280C" w:rsidRDefault="00967991" w:rsidP="007014F7">
      <w:pPr>
        <w:spacing w:after="0" w:line="240" w:lineRule="auto"/>
        <w:ind w:left="425" w:hanging="425"/>
        <w:rPr>
          <w:rFonts w:cs="Arial"/>
          <w:lang w:val="fr-CA"/>
        </w:rPr>
      </w:pPr>
    </w:p>
    <w:p w14:paraId="561B52AC" w14:textId="416C8F3E" w:rsidR="00026CD4" w:rsidRPr="0047280C" w:rsidRDefault="007014F7" w:rsidP="007014F7">
      <w:pPr>
        <w:spacing w:after="0" w:line="240" w:lineRule="auto"/>
        <w:ind w:left="425" w:hanging="425"/>
        <w:rPr>
          <w:rFonts w:cs="Arial"/>
          <w:lang w:val="fr-CA"/>
        </w:rPr>
      </w:pPr>
      <w:r w:rsidRPr="0047280C">
        <w:rPr>
          <w:rFonts w:cs="Arial"/>
          <w:lang w:val="fr-CA"/>
        </w:rPr>
        <w:t>2.</w:t>
      </w:r>
      <w:r w:rsidRPr="0047280C">
        <w:rPr>
          <w:rFonts w:cs="Arial"/>
          <w:lang w:val="fr-CA"/>
        </w:rPr>
        <w:tab/>
      </w:r>
      <w:r w:rsidR="0052246B">
        <w:rPr>
          <w:rFonts w:cs="Arial"/>
          <w:lang w:val="fr-CA"/>
        </w:rPr>
        <w:t>L’Australie a communiqué le projet de résolution pour commentaires aux Parties contractantes suivantes : Canada, Chine, Corée, Émirats arabes unis,</w:t>
      </w:r>
      <w:r w:rsidR="0052246B" w:rsidRPr="0052246B">
        <w:rPr>
          <w:rFonts w:cs="Arial"/>
          <w:lang w:val="fr-CA"/>
        </w:rPr>
        <w:t xml:space="preserve"> </w:t>
      </w:r>
      <w:r w:rsidR="0052246B">
        <w:rPr>
          <w:rFonts w:cs="Arial"/>
          <w:lang w:val="fr-CA"/>
        </w:rPr>
        <w:t>États</w:t>
      </w:r>
      <w:r w:rsidR="0052246B">
        <w:rPr>
          <w:rFonts w:cs="Arial"/>
          <w:lang w:val="fr-CA"/>
        </w:rPr>
        <w:noBreakHyphen/>
        <w:t xml:space="preserve">Unis d’Amérique, Indonésie, Japon, Royaume-Uni, Parties de la région océanienne (Fidji, </w:t>
      </w:r>
      <w:r w:rsidR="00BE3325" w:rsidRPr="0047280C">
        <w:rPr>
          <w:rFonts w:cs="Arial"/>
          <w:lang w:val="fr-CA"/>
        </w:rPr>
        <w:t xml:space="preserve">Kiribati, </w:t>
      </w:r>
      <w:r w:rsidR="0052246B">
        <w:rPr>
          <w:rFonts w:cs="Arial"/>
          <w:lang w:val="fr-CA"/>
        </w:rPr>
        <w:t>Nouvelle-Zélande, Palaos, Papouasie</w:t>
      </w:r>
      <w:r w:rsidR="0052246B">
        <w:rPr>
          <w:rFonts w:cs="Arial"/>
          <w:lang w:val="fr-CA"/>
        </w:rPr>
        <w:noBreakHyphen/>
        <w:t>Nouvelle</w:t>
      </w:r>
      <w:r w:rsidR="0052246B">
        <w:rPr>
          <w:rFonts w:cs="Arial"/>
          <w:lang w:val="fr-CA"/>
        </w:rPr>
        <w:noBreakHyphen/>
        <w:t xml:space="preserve">Guinée, République des Îles </w:t>
      </w:r>
      <w:r w:rsidR="00BE3325" w:rsidRPr="0047280C">
        <w:rPr>
          <w:rFonts w:cs="Arial"/>
          <w:lang w:val="fr-CA"/>
        </w:rPr>
        <w:t>Marshall, Samoa).</w:t>
      </w:r>
      <w:r w:rsidR="00026CD4" w:rsidRPr="0047280C">
        <w:rPr>
          <w:rFonts w:cs="Arial"/>
          <w:lang w:val="fr-CA"/>
        </w:rPr>
        <w:t xml:space="preserve"> Lew Young, </w:t>
      </w:r>
      <w:r w:rsidR="0052246B">
        <w:rPr>
          <w:rFonts w:cs="Arial"/>
          <w:lang w:val="fr-CA"/>
        </w:rPr>
        <w:t>Conseiller régional principal pour l’Asie</w:t>
      </w:r>
      <w:r w:rsidR="0052246B">
        <w:rPr>
          <w:rFonts w:cs="Arial"/>
          <w:lang w:val="fr-CA"/>
        </w:rPr>
        <w:noBreakHyphen/>
        <w:t xml:space="preserve">Océanie, a demandé que le projet de résolution soit également adressé à la </w:t>
      </w:r>
      <w:r w:rsidR="00026CD4" w:rsidRPr="0047280C">
        <w:rPr>
          <w:rFonts w:cs="Arial"/>
          <w:lang w:val="fr-CA"/>
        </w:rPr>
        <w:t xml:space="preserve">Japan International Cooperation </w:t>
      </w:r>
      <w:r w:rsidR="00BE3325" w:rsidRPr="0047280C">
        <w:rPr>
          <w:rFonts w:cs="Arial"/>
          <w:lang w:val="fr-CA"/>
        </w:rPr>
        <w:t>Agency</w:t>
      </w:r>
      <w:r w:rsidR="00026CD4" w:rsidRPr="0047280C">
        <w:rPr>
          <w:rFonts w:cs="Arial"/>
          <w:lang w:val="fr-CA"/>
        </w:rPr>
        <w:t xml:space="preserve"> (JICA) </w:t>
      </w:r>
      <w:r w:rsidR="0052246B">
        <w:rPr>
          <w:rFonts w:cs="Arial"/>
          <w:lang w:val="fr-CA"/>
        </w:rPr>
        <w:t>pour commentaires. Nous nous réjouissons d’avoir reçu des conseils avisés et des orientations utiles du Canada, des Émirats arabes unis, des États</w:t>
      </w:r>
      <w:r w:rsidR="0052246B">
        <w:rPr>
          <w:rFonts w:cs="Arial"/>
          <w:lang w:val="fr-CA"/>
        </w:rPr>
        <w:noBreakHyphen/>
        <w:t xml:space="preserve">Unis d’Amérique, du Royaume-Uni et de JICA. Le projet de résolution a ensuite été mis à jour pour tenir compte des commentaires. </w:t>
      </w:r>
    </w:p>
    <w:p w14:paraId="495D6F5F" w14:textId="77777777" w:rsidR="007014F7" w:rsidRPr="0047280C" w:rsidRDefault="007014F7" w:rsidP="007014F7">
      <w:pPr>
        <w:spacing w:after="0" w:line="240" w:lineRule="auto"/>
        <w:ind w:left="425" w:hanging="425"/>
        <w:rPr>
          <w:lang w:val="fr-CA"/>
        </w:rPr>
      </w:pPr>
    </w:p>
    <w:p w14:paraId="713F7B68" w14:textId="552EED1F" w:rsidR="002D25BF" w:rsidRPr="0047280C" w:rsidRDefault="007014F7" w:rsidP="007014F7">
      <w:pPr>
        <w:spacing w:after="0" w:line="240" w:lineRule="auto"/>
        <w:ind w:left="425" w:hanging="425"/>
        <w:rPr>
          <w:rFonts w:cs="Arial"/>
          <w:lang w:val="fr-CA"/>
        </w:rPr>
      </w:pPr>
      <w:r w:rsidRPr="0047280C">
        <w:rPr>
          <w:lang w:val="fr-CA"/>
        </w:rPr>
        <w:t>3.</w:t>
      </w:r>
      <w:r w:rsidRPr="0047280C">
        <w:rPr>
          <w:lang w:val="fr-CA"/>
        </w:rPr>
        <w:tab/>
      </w:r>
      <w:r w:rsidR="0052246B">
        <w:rPr>
          <w:lang w:val="fr-CA"/>
        </w:rPr>
        <w:t xml:space="preserve">Après consultation avec le Président du GEST, puis avec les Parties contractantes, le projet de résolution définit maintenant les mesures pratiques ayant l’objectif à long terme d’aider les Parties à appliquer </w:t>
      </w:r>
      <w:r w:rsidR="00E03E8E" w:rsidRPr="0047280C">
        <w:rPr>
          <w:lang w:val="fr-CA"/>
        </w:rPr>
        <w:t>(</w:t>
      </w:r>
      <w:r w:rsidR="00DF11AB">
        <w:rPr>
          <w:lang w:val="fr-CA"/>
        </w:rPr>
        <w:t xml:space="preserve">lorsque c’est pertinent au niveau local) des méthodes de piégeage du </w:t>
      </w:r>
      <w:r w:rsidR="00DF11AB">
        <w:rPr>
          <w:lang w:val="fr-CA"/>
        </w:rPr>
        <w:lastRenderedPageBreak/>
        <w:t xml:space="preserve">carbone qui peuvent contribuer, entre autres, aux rapports sur les Contributions déterminées au niveau national (CDN) dans le cadre de la CCNUCC. </w:t>
      </w:r>
    </w:p>
    <w:p w14:paraId="35EFBE1F" w14:textId="77777777" w:rsidR="007014F7" w:rsidRPr="0047280C" w:rsidRDefault="007014F7" w:rsidP="007014F7">
      <w:pPr>
        <w:keepNext/>
        <w:spacing w:after="0" w:line="240" w:lineRule="auto"/>
        <w:rPr>
          <w:rFonts w:cs="Arial"/>
          <w:i/>
          <w:lang w:val="fr-CA"/>
        </w:rPr>
      </w:pPr>
    </w:p>
    <w:p w14:paraId="2B6E2657" w14:textId="52FC214E" w:rsidR="00026CD4" w:rsidRPr="0047280C" w:rsidRDefault="00DF11AB" w:rsidP="007014F7">
      <w:pPr>
        <w:keepNext/>
        <w:spacing w:after="0" w:line="240" w:lineRule="auto"/>
        <w:rPr>
          <w:rFonts w:cs="Arial"/>
          <w:i/>
          <w:lang w:val="fr-CA"/>
        </w:rPr>
      </w:pPr>
      <w:r>
        <w:rPr>
          <w:rFonts w:cs="Arial"/>
          <w:i/>
          <w:lang w:val="fr-CA"/>
        </w:rPr>
        <w:t xml:space="preserve">Incidences financières de l’application </w:t>
      </w:r>
    </w:p>
    <w:p w14:paraId="20866DA0" w14:textId="77777777" w:rsidR="007014F7" w:rsidRPr="0047280C" w:rsidRDefault="007014F7" w:rsidP="007014F7">
      <w:pPr>
        <w:keepNext/>
        <w:spacing w:after="0" w:line="240" w:lineRule="auto"/>
        <w:rPr>
          <w:rFonts w:cs="Arial"/>
          <w:i/>
          <w:lang w:val="fr-CA"/>
        </w:rPr>
      </w:pPr>
    </w:p>
    <w:tbl>
      <w:tblPr>
        <w:tblStyle w:val="TableGrid"/>
        <w:tblW w:w="0" w:type="auto"/>
        <w:tblLook w:val="04A0" w:firstRow="1" w:lastRow="0" w:firstColumn="1" w:lastColumn="0" w:noHBand="0" w:noVBand="1"/>
      </w:tblPr>
      <w:tblGrid>
        <w:gridCol w:w="2583"/>
        <w:gridCol w:w="4356"/>
        <w:gridCol w:w="2077"/>
      </w:tblGrid>
      <w:tr w:rsidR="00026CD4" w:rsidRPr="0047280C" w14:paraId="4E43AC4E" w14:textId="77777777" w:rsidTr="00026CD4">
        <w:tc>
          <w:tcPr>
            <w:tcW w:w="2583" w:type="dxa"/>
          </w:tcPr>
          <w:p w14:paraId="0DE15532" w14:textId="0E177D26" w:rsidR="00026CD4" w:rsidRPr="0047280C" w:rsidRDefault="00026CD4" w:rsidP="00DF11AB">
            <w:pPr>
              <w:contextualSpacing/>
              <w:rPr>
                <w:rFonts w:cs="Arial"/>
                <w:lang w:val="fr-CA"/>
              </w:rPr>
            </w:pPr>
            <w:r w:rsidRPr="0047280C">
              <w:rPr>
                <w:rFonts w:cs="Arial"/>
                <w:lang w:val="fr-CA"/>
              </w:rPr>
              <w:t>Paragraph</w:t>
            </w:r>
            <w:r w:rsidR="00DF11AB">
              <w:rPr>
                <w:rFonts w:cs="Arial"/>
                <w:lang w:val="fr-CA"/>
              </w:rPr>
              <w:t>e</w:t>
            </w:r>
            <w:r w:rsidRPr="0047280C">
              <w:rPr>
                <w:rFonts w:cs="Arial"/>
                <w:lang w:val="fr-CA"/>
              </w:rPr>
              <w:t xml:space="preserve"> (</w:t>
            </w:r>
            <w:r w:rsidR="00DF11AB">
              <w:rPr>
                <w:rFonts w:cs="Arial"/>
                <w:lang w:val="fr-CA"/>
              </w:rPr>
              <w:t>numéro et partie essentielle du texte</w:t>
            </w:r>
            <w:r w:rsidRPr="0047280C">
              <w:rPr>
                <w:rFonts w:cs="Arial"/>
                <w:lang w:val="fr-CA"/>
              </w:rPr>
              <w:t>)</w:t>
            </w:r>
          </w:p>
        </w:tc>
        <w:tc>
          <w:tcPr>
            <w:tcW w:w="4356" w:type="dxa"/>
          </w:tcPr>
          <w:p w14:paraId="188E2560" w14:textId="77777777" w:rsidR="00026CD4" w:rsidRPr="0047280C" w:rsidRDefault="00026CD4" w:rsidP="001A3AB8">
            <w:pPr>
              <w:contextualSpacing/>
              <w:rPr>
                <w:rFonts w:cs="Arial"/>
                <w:lang w:val="fr-CA"/>
              </w:rPr>
            </w:pPr>
            <w:r w:rsidRPr="0047280C">
              <w:rPr>
                <w:rFonts w:cs="Arial"/>
                <w:lang w:val="fr-CA"/>
              </w:rPr>
              <w:t xml:space="preserve">Action </w:t>
            </w:r>
          </w:p>
        </w:tc>
        <w:tc>
          <w:tcPr>
            <w:tcW w:w="2077" w:type="dxa"/>
          </w:tcPr>
          <w:p w14:paraId="203C8EEC" w14:textId="5933EF57" w:rsidR="00026CD4" w:rsidRPr="0047280C" w:rsidRDefault="00DF11AB" w:rsidP="001A3AB8">
            <w:pPr>
              <w:contextualSpacing/>
              <w:rPr>
                <w:rFonts w:cs="Arial"/>
                <w:lang w:val="fr-CA"/>
              </w:rPr>
            </w:pPr>
            <w:r>
              <w:rPr>
                <w:rFonts w:cs="Arial"/>
                <w:lang w:val="fr-CA"/>
              </w:rPr>
              <w:t>Coût</w:t>
            </w:r>
            <w:r w:rsidR="00026CD4" w:rsidRPr="0047280C">
              <w:rPr>
                <w:rFonts w:cs="Arial"/>
                <w:lang w:val="fr-CA"/>
              </w:rPr>
              <w:t xml:space="preserve"> (CHF)</w:t>
            </w:r>
          </w:p>
        </w:tc>
      </w:tr>
      <w:tr w:rsidR="00026CD4" w:rsidRPr="0047280C" w14:paraId="124FC0E1" w14:textId="77777777" w:rsidTr="00026CD4">
        <w:tc>
          <w:tcPr>
            <w:tcW w:w="2583" w:type="dxa"/>
          </w:tcPr>
          <w:p w14:paraId="15360B7F" w14:textId="77777777" w:rsidR="00026CD4" w:rsidRPr="0047280C" w:rsidRDefault="00026CD4" w:rsidP="001A3AB8">
            <w:pPr>
              <w:contextualSpacing/>
              <w:rPr>
                <w:rFonts w:cs="Arial"/>
                <w:lang w:val="fr-CA"/>
              </w:rPr>
            </w:pPr>
          </w:p>
        </w:tc>
        <w:tc>
          <w:tcPr>
            <w:tcW w:w="4356" w:type="dxa"/>
          </w:tcPr>
          <w:p w14:paraId="5563D4D6" w14:textId="77777777" w:rsidR="00026CD4" w:rsidRPr="0047280C" w:rsidRDefault="00026CD4" w:rsidP="001A3AB8">
            <w:pPr>
              <w:contextualSpacing/>
              <w:rPr>
                <w:rFonts w:cs="Arial"/>
                <w:lang w:val="fr-CA"/>
              </w:rPr>
            </w:pPr>
          </w:p>
        </w:tc>
        <w:tc>
          <w:tcPr>
            <w:tcW w:w="2077" w:type="dxa"/>
          </w:tcPr>
          <w:p w14:paraId="71E8FD71" w14:textId="77777777" w:rsidR="00026CD4" w:rsidRPr="0047280C" w:rsidRDefault="00026CD4" w:rsidP="001A3AB8">
            <w:pPr>
              <w:contextualSpacing/>
              <w:rPr>
                <w:rFonts w:cs="Arial"/>
                <w:lang w:val="fr-CA"/>
              </w:rPr>
            </w:pPr>
          </w:p>
        </w:tc>
      </w:tr>
      <w:tr w:rsidR="00026CD4" w:rsidRPr="0047280C" w14:paraId="636BD7D7" w14:textId="77777777" w:rsidTr="00026CD4">
        <w:tc>
          <w:tcPr>
            <w:tcW w:w="2583" w:type="dxa"/>
          </w:tcPr>
          <w:p w14:paraId="18A72FB6" w14:textId="77777777" w:rsidR="00026CD4" w:rsidRPr="0047280C" w:rsidRDefault="00026CD4" w:rsidP="001A3AB8">
            <w:pPr>
              <w:contextualSpacing/>
              <w:rPr>
                <w:rFonts w:cs="Arial"/>
                <w:lang w:val="fr-CA"/>
              </w:rPr>
            </w:pPr>
          </w:p>
        </w:tc>
        <w:tc>
          <w:tcPr>
            <w:tcW w:w="4356" w:type="dxa"/>
          </w:tcPr>
          <w:p w14:paraId="60DE26E4" w14:textId="77777777" w:rsidR="00026CD4" w:rsidRPr="0047280C" w:rsidRDefault="00026CD4" w:rsidP="001A3AB8">
            <w:pPr>
              <w:contextualSpacing/>
              <w:rPr>
                <w:rFonts w:cs="Arial"/>
                <w:lang w:val="fr-CA"/>
              </w:rPr>
            </w:pPr>
          </w:p>
        </w:tc>
        <w:tc>
          <w:tcPr>
            <w:tcW w:w="2077" w:type="dxa"/>
          </w:tcPr>
          <w:p w14:paraId="4586E77F" w14:textId="77777777" w:rsidR="00026CD4" w:rsidRPr="0047280C" w:rsidRDefault="00026CD4" w:rsidP="001A3AB8">
            <w:pPr>
              <w:contextualSpacing/>
              <w:rPr>
                <w:rFonts w:cs="Arial"/>
                <w:lang w:val="fr-CA"/>
              </w:rPr>
            </w:pPr>
          </w:p>
        </w:tc>
      </w:tr>
      <w:tr w:rsidR="00026CD4" w:rsidRPr="0047280C" w14:paraId="7829394D" w14:textId="77777777" w:rsidTr="00026CD4">
        <w:tc>
          <w:tcPr>
            <w:tcW w:w="2583" w:type="dxa"/>
          </w:tcPr>
          <w:p w14:paraId="3B4431BE" w14:textId="77777777" w:rsidR="00026CD4" w:rsidRPr="0047280C" w:rsidRDefault="00026CD4" w:rsidP="001A3AB8">
            <w:pPr>
              <w:contextualSpacing/>
              <w:rPr>
                <w:rFonts w:cs="Arial"/>
                <w:lang w:val="fr-CA"/>
              </w:rPr>
            </w:pPr>
          </w:p>
        </w:tc>
        <w:tc>
          <w:tcPr>
            <w:tcW w:w="4356" w:type="dxa"/>
          </w:tcPr>
          <w:p w14:paraId="4235094F" w14:textId="77777777" w:rsidR="00026CD4" w:rsidRPr="0047280C" w:rsidRDefault="00026CD4" w:rsidP="001A3AB8">
            <w:pPr>
              <w:contextualSpacing/>
              <w:rPr>
                <w:rFonts w:cs="Arial"/>
                <w:lang w:val="fr-CA"/>
              </w:rPr>
            </w:pPr>
          </w:p>
        </w:tc>
        <w:tc>
          <w:tcPr>
            <w:tcW w:w="2077" w:type="dxa"/>
          </w:tcPr>
          <w:p w14:paraId="07B2F9E3" w14:textId="77777777" w:rsidR="00026CD4" w:rsidRPr="0047280C" w:rsidRDefault="00026CD4" w:rsidP="001A3AB8">
            <w:pPr>
              <w:contextualSpacing/>
              <w:rPr>
                <w:rFonts w:cs="Arial"/>
                <w:lang w:val="fr-CA"/>
              </w:rPr>
            </w:pPr>
          </w:p>
        </w:tc>
      </w:tr>
    </w:tbl>
    <w:p w14:paraId="608835E2" w14:textId="77777777" w:rsidR="00026CD4" w:rsidRPr="0047280C" w:rsidRDefault="00026CD4" w:rsidP="00026CD4">
      <w:pPr>
        <w:rPr>
          <w:rFonts w:cs="Arial"/>
          <w:lang w:val="fr-CA"/>
        </w:rPr>
      </w:pPr>
    </w:p>
    <w:p w14:paraId="53F566DF" w14:textId="77777777" w:rsidR="007014F7" w:rsidRPr="0047280C" w:rsidRDefault="007014F7" w:rsidP="00026CD4">
      <w:pPr>
        <w:rPr>
          <w:rFonts w:cs="Arial"/>
          <w:lang w:val="fr-CA"/>
        </w:rPr>
      </w:pPr>
    </w:p>
    <w:p w14:paraId="64880321" w14:textId="2A742859" w:rsidR="00026CD4" w:rsidRPr="0047280C" w:rsidRDefault="00DF11AB" w:rsidP="007014F7">
      <w:pPr>
        <w:spacing w:after="0" w:line="240" w:lineRule="auto"/>
        <w:ind w:right="17"/>
        <w:rPr>
          <w:rFonts w:eastAsia="Times New Roman" w:cs="Times New Roman"/>
          <w:b/>
          <w:bCs/>
          <w:sz w:val="24"/>
          <w:szCs w:val="24"/>
          <w:lang w:val="fr-CA"/>
        </w:rPr>
      </w:pPr>
      <w:r>
        <w:rPr>
          <w:rFonts w:eastAsia="Times New Roman" w:cs="Times New Roman"/>
          <w:b/>
          <w:bCs/>
          <w:sz w:val="24"/>
          <w:szCs w:val="24"/>
          <w:lang w:val="fr-CA"/>
        </w:rPr>
        <w:t>Projet de résolution</w:t>
      </w:r>
      <w:r w:rsidR="00026CD4" w:rsidRPr="0047280C">
        <w:rPr>
          <w:rFonts w:eastAsia="Times New Roman" w:cs="Times New Roman"/>
          <w:b/>
          <w:bCs/>
          <w:sz w:val="24"/>
          <w:szCs w:val="24"/>
          <w:lang w:val="fr-CA"/>
        </w:rPr>
        <w:t xml:space="preserve"> XIII.xx</w:t>
      </w:r>
    </w:p>
    <w:p w14:paraId="67A3C019" w14:textId="77777777" w:rsidR="007014F7" w:rsidRPr="0047280C" w:rsidRDefault="007014F7" w:rsidP="007014F7">
      <w:pPr>
        <w:spacing w:after="0" w:line="240" w:lineRule="auto"/>
        <w:ind w:right="17"/>
        <w:jc w:val="center"/>
        <w:rPr>
          <w:rFonts w:ascii="Calibri" w:eastAsia="Calibri" w:hAnsi="Calibri" w:cs="Arial"/>
          <w:b/>
          <w:sz w:val="24"/>
          <w:szCs w:val="24"/>
          <w:lang w:val="fr-CA"/>
        </w:rPr>
      </w:pPr>
    </w:p>
    <w:p w14:paraId="50ECF5A2" w14:textId="325E54CA" w:rsidR="00026CD4" w:rsidRPr="0047280C" w:rsidRDefault="00026CD4" w:rsidP="007014F7">
      <w:pPr>
        <w:spacing w:after="0" w:line="240" w:lineRule="auto"/>
        <w:ind w:right="17"/>
        <w:jc w:val="center"/>
        <w:rPr>
          <w:rFonts w:eastAsia="Times New Roman" w:cs="Times New Roman"/>
          <w:b/>
          <w:bCs/>
          <w:sz w:val="24"/>
          <w:szCs w:val="24"/>
          <w:lang w:val="fr-CA"/>
        </w:rPr>
      </w:pPr>
      <w:r w:rsidRPr="0047280C">
        <w:rPr>
          <w:rFonts w:ascii="Calibri" w:eastAsia="Calibri" w:hAnsi="Calibri" w:cs="Arial"/>
          <w:b/>
          <w:sz w:val="24"/>
          <w:szCs w:val="24"/>
          <w:lang w:val="fr-CA"/>
        </w:rPr>
        <w:t>Promo</w:t>
      </w:r>
      <w:r w:rsidR="00DF11AB">
        <w:rPr>
          <w:rFonts w:ascii="Calibri" w:eastAsia="Calibri" w:hAnsi="Calibri" w:cs="Arial"/>
          <w:b/>
          <w:sz w:val="24"/>
          <w:szCs w:val="24"/>
          <w:lang w:val="fr-CA"/>
        </w:rPr>
        <w:t xml:space="preserve">uvoir la conservation, la restauration et la gestion durable des écosystèmes côtiers de carbone bleu </w:t>
      </w:r>
    </w:p>
    <w:p w14:paraId="427EFBE2" w14:textId="77777777" w:rsidR="00165F56" w:rsidRPr="0047280C" w:rsidRDefault="00165F56" w:rsidP="00165F56">
      <w:pPr>
        <w:spacing w:after="0" w:line="240" w:lineRule="auto"/>
        <w:ind w:left="425" w:hanging="425"/>
        <w:jc w:val="center"/>
        <w:rPr>
          <w:rFonts w:ascii="Calibri" w:eastAsia="Calibri" w:hAnsi="Calibri" w:cs="Arial"/>
          <w:lang w:val="fr-CA"/>
        </w:rPr>
      </w:pPr>
    </w:p>
    <w:p w14:paraId="1C91ECA3" w14:textId="4E435186" w:rsidR="003C2910" w:rsidRPr="0047280C" w:rsidRDefault="00C63285" w:rsidP="00C63285">
      <w:pPr>
        <w:spacing w:after="0" w:line="240" w:lineRule="auto"/>
        <w:ind w:left="425" w:hanging="425"/>
        <w:rPr>
          <w:lang w:val="fr-CA"/>
        </w:rPr>
      </w:pPr>
      <w:r w:rsidRPr="0047280C">
        <w:rPr>
          <w:lang w:val="fr-CA"/>
        </w:rPr>
        <w:t>1.</w:t>
      </w:r>
      <w:r w:rsidRPr="0047280C">
        <w:rPr>
          <w:lang w:val="fr-CA"/>
        </w:rPr>
        <w:tab/>
      </w:r>
      <w:r w:rsidR="00B234FE" w:rsidRPr="0047280C">
        <w:rPr>
          <w:lang w:val="fr-CA"/>
        </w:rPr>
        <w:t>R</w:t>
      </w:r>
      <w:r w:rsidR="00DF11AB">
        <w:rPr>
          <w:lang w:val="fr-CA"/>
        </w:rPr>
        <w:t xml:space="preserve">APPELANT que l’Assemblée générale des Nations Unies, dans la </w:t>
      </w:r>
      <w:r w:rsidR="0067014D">
        <w:rPr>
          <w:lang w:val="fr-CA"/>
        </w:rPr>
        <w:t>r</w:t>
      </w:r>
      <w:r w:rsidR="00DF11AB">
        <w:rPr>
          <w:lang w:val="fr-CA"/>
        </w:rPr>
        <w:t xml:space="preserve">ésolution </w:t>
      </w:r>
      <w:r w:rsidR="00210FA6" w:rsidRPr="0047280C">
        <w:rPr>
          <w:lang w:val="fr-CA"/>
        </w:rPr>
        <w:t xml:space="preserve">A/RES/71/257, </w:t>
      </w:r>
      <w:r w:rsidR="00DF11AB">
        <w:rPr>
          <w:lang w:val="fr-CA"/>
        </w:rPr>
        <w:t xml:space="preserve">reconnaît le rôle crucial que jouent les écosystèmes côtiers de carbone bleu, tels que les mangroves, les </w:t>
      </w:r>
      <w:r w:rsidR="00DF11AB" w:rsidRPr="002135E8">
        <w:rPr>
          <w:lang w:val="fr-CA"/>
        </w:rPr>
        <w:t>marais littoraux</w:t>
      </w:r>
      <w:r w:rsidR="00DF11AB" w:rsidRPr="002135E8">
        <w:rPr>
          <w:rStyle w:val="FootnoteReference"/>
          <w:lang w:val="fr-CA"/>
        </w:rPr>
        <w:footnoteReference w:id="1"/>
      </w:r>
      <w:r w:rsidR="00DF11AB">
        <w:rPr>
          <w:lang w:val="fr-CA"/>
        </w:rPr>
        <w:t xml:space="preserve"> et les herbiers marins, dans l’adaptation aux changements climatiques et l’atténuation de leurs effets par le piégeage du carbone, ainsi que toute la gamme d’autres avantages que ces écosystèmes procurent, notamment des moyens d’existence durables, la sécurité alimentaire, la conservation de la biodiversité et la protection des littoraux</w:t>
      </w:r>
      <w:r w:rsidR="002135E8">
        <w:rPr>
          <w:lang w:val="fr-CA"/>
        </w:rPr>
        <w:t>,</w:t>
      </w:r>
      <w:r w:rsidR="00DF11AB">
        <w:rPr>
          <w:lang w:val="fr-CA"/>
        </w:rPr>
        <w:t xml:space="preserve"> et encourage les États et les institutions et organisations internationales pertinentes à collaborer à la protection et à la restauration de ces écosystèmes; </w:t>
      </w:r>
    </w:p>
    <w:p w14:paraId="252FF365" w14:textId="77777777" w:rsidR="00C63285" w:rsidRPr="0047280C" w:rsidRDefault="00C63285" w:rsidP="00C63285">
      <w:pPr>
        <w:pStyle w:val="ListParagraph"/>
        <w:spacing w:after="0" w:line="240" w:lineRule="auto"/>
        <w:ind w:left="425" w:hanging="425"/>
        <w:rPr>
          <w:lang w:val="fr-CA"/>
        </w:rPr>
      </w:pPr>
    </w:p>
    <w:p w14:paraId="3B993CCA" w14:textId="3476E787" w:rsidR="00B234FE" w:rsidRPr="0047280C" w:rsidRDefault="00C63285" w:rsidP="00C63285">
      <w:pPr>
        <w:pStyle w:val="ListNumber"/>
        <w:numPr>
          <w:ilvl w:val="0"/>
          <w:numId w:val="0"/>
        </w:numPr>
        <w:spacing w:after="0" w:line="240" w:lineRule="auto"/>
        <w:ind w:left="425" w:hanging="425"/>
        <w:contextualSpacing w:val="0"/>
        <w:rPr>
          <w:rFonts w:eastAsia="Calibri" w:cs="Arial"/>
          <w:lang w:val="fr-CA"/>
        </w:rPr>
      </w:pPr>
      <w:r w:rsidRPr="0047280C">
        <w:rPr>
          <w:rFonts w:cs="Garamond"/>
          <w:lang w:val="fr-CA"/>
        </w:rPr>
        <w:t>2.</w:t>
      </w:r>
      <w:r w:rsidRPr="0047280C">
        <w:rPr>
          <w:rFonts w:cs="Garamond"/>
          <w:lang w:val="fr-CA"/>
        </w:rPr>
        <w:tab/>
      </w:r>
      <w:r w:rsidR="00B234FE" w:rsidRPr="0047280C">
        <w:rPr>
          <w:rFonts w:cs="Garamond"/>
          <w:lang w:val="fr-CA"/>
        </w:rPr>
        <w:t>NOT</w:t>
      </w:r>
      <w:r w:rsidR="00AB2526">
        <w:rPr>
          <w:rFonts w:cs="Garamond"/>
          <w:lang w:val="fr-CA"/>
        </w:rPr>
        <w:t>ANT que la Convention de Ramsar est un cadre politique pertinent pour la conservation et la gestion des zones humides côtières, y compris les écosystèmes côtiers de carbone bleu, et que la restauration de zones humides dégradées, la priorité étant donné</w:t>
      </w:r>
      <w:r w:rsidR="00F94F75">
        <w:rPr>
          <w:rFonts w:cs="Garamond"/>
          <w:lang w:val="fr-CA"/>
        </w:rPr>
        <w:t>e</w:t>
      </w:r>
      <w:r w:rsidR="00AB2526">
        <w:rPr>
          <w:rFonts w:cs="Garamond"/>
          <w:lang w:val="fr-CA"/>
        </w:rPr>
        <w:t xml:space="preserve"> à celles qui sont importantes pour l’atténuation des changements climatiques et l’adaptation à ces changements, </w:t>
      </w:r>
      <w:r w:rsidR="002135E8">
        <w:rPr>
          <w:rFonts w:cs="Garamond"/>
          <w:lang w:val="fr-CA"/>
        </w:rPr>
        <w:t>est inscrite dans</w:t>
      </w:r>
      <w:r w:rsidR="00E31649">
        <w:rPr>
          <w:rFonts w:cs="Garamond"/>
          <w:lang w:val="fr-CA"/>
        </w:rPr>
        <w:t xml:space="preserve"> </w:t>
      </w:r>
      <w:r w:rsidR="002135E8">
        <w:rPr>
          <w:rFonts w:cs="Garamond"/>
          <w:lang w:val="fr-CA"/>
        </w:rPr>
        <w:t>l’</w:t>
      </w:r>
      <w:r w:rsidR="00E31649">
        <w:rPr>
          <w:rFonts w:cs="Garamond"/>
          <w:lang w:val="fr-CA"/>
        </w:rPr>
        <w:t xml:space="preserve">Objectif 12 du Plan stratégique Ramsar </w:t>
      </w:r>
      <w:r w:rsidR="00B234FE" w:rsidRPr="0047280C">
        <w:rPr>
          <w:rFonts w:eastAsia="Calibri" w:cs="Times New Roman"/>
          <w:lang w:val="fr-CA"/>
        </w:rPr>
        <w:t>2016-2024</w:t>
      </w:r>
      <w:r w:rsidR="00A82032" w:rsidRPr="0047280C">
        <w:rPr>
          <w:rFonts w:eastAsia="Calibri" w:cs="Arial"/>
          <w:lang w:val="fr-CA"/>
        </w:rPr>
        <w:t>;</w:t>
      </w:r>
      <w:r w:rsidR="00B234FE" w:rsidRPr="0047280C">
        <w:rPr>
          <w:rFonts w:eastAsia="Calibri" w:cs="Arial"/>
          <w:lang w:val="fr-CA"/>
        </w:rPr>
        <w:t xml:space="preserve"> </w:t>
      </w:r>
    </w:p>
    <w:p w14:paraId="00BDD5B9" w14:textId="77777777" w:rsidR="00C63285" w:rsidRPr="0047280C" w:rsidRDefault="00C63285" w:rsidP="00C63285">
      <w:pPr>
        <w:pStyle w:val="ListNumber"/>
        <w:numPr>
          <w:ilvl w:val="0"/>
          <w:numId w:val="0"/>
        </w:numPr>
        <w:spacing w:after="0" w:line="240" w:lineRule="auto"/>
        <w:ind w:left="425" w:hanging="425"/>
        <w:contextualSpacing w:val="0"/>
        <w:rPr>
          <w:rFonts w:eastAsia="Calibri" w:cs="Arial"/>
          <w:lang w:val="fr-CA"/>
        </w:rPr>
      </w:pPr>
    </w:p>
    <w:p w14:paraId="0DBCC080" w14:textId="1789662C" w:rsidR="00A77680" w:rsidRPr="0047280C" w:rsidRDefault="00C63285" w:rsidP="00C63285">
      <w:pPr>
        <w:pStyle w:val="Default"/>
        <w:ind w:left="425" w:hanging="425"/>
        <w:rPr>
          <w:rFonts w:asciiTheme="minorHAnsi" w:hAnsiTheme="minorHAnsi"/>
          <w:color w:val="auto"/>
          <w:sz w:val="22"/>
          <w:szCs w:val="22"/>
          <w:lang w:val="fr-CA"/>
        </w:rPr>
      </w:pPr>
      <w:r w:rsidRPr="0047280C">
        <w:rPr>
          <w:rFonts w:asciiTheme="minorHAnsi" w:hAnsiTheme="minorHAnsi"/>
          <w:color w:val="auto"/>
          <w:sz w:val="22"/>
          <w:szCs w:val="22"/>
          <w:lang w:val="fr-CA"/>
        </w:rPr>
        <w:t>3.</w:t>
      </w:r>
      <w:r w:rsidRPr="0047280C">
        <w:rPr>
          <w:rFonts w:asciiTheme="minorHAnsi" w:hAnsiTheme="minorHAnsi"/>
          <w:color w:val="auto"/>
          <w:sz w:val="22"/>
          <w:szCs w:val="22"/>
          <w:lang w:val="fr-CA"/>
        </w:rPr>
        <w:tab/>
      </w:r>
      <w:r w:rsidR="00E31649">
        <w:rPr>
          <w:rFonts w:asciiTheme="minorHAnsi" w:hAnsiTheme="minorHAnsi"/>
          <w:color w:val="auto"/>
          <w:sz w:val="22"/>
          <w:szCs w:val="22"/>
          <w:lang w:val="fr-CA"/>
        </w:rPr>
        <w:t>RAPPELANT </w:t>
      </w:r>
      <w:r w:rsidR="00A77680" w:rsidRPr="0047280C">
        <w:rPr>
          <w:rFonts w:asciiTheme="minorHAnsi" w:hAnsiTheme="minorHAnsi"/>
          <w:color w:val="auto"/>
          <w:sz w:val="22"/>
          <w:szCs w:val="22"/>
          <w:lang w:val="fr-CA"/>
        </w:rPr>
        <w:t>:</w:t>
      </w:r>
    </w:p>
    <w:p w14:paraId="66CBD9D2" w14:textId="77777777" w:rsidR="00721B97" w:rsidRPr="0047280C" w:rsidRDefault="00721B97" w:rsidP="00C63285">
      <w:pPr>
        <w:pStyle w:val="Default"/>
        <w:ind w:left="425" w:hanging="425"/>
        <w:rPr>
          <w:rFonts w:asciiTheme="minorHAnsi" w:hAnsiTheme="minorHAnsi"/>
          <w:color w:val="auto"/>
          <w:sz w:val="22"/>
          <w:szCs w:val="22"/>
          <w:lang w:val="fr-CA"/>
        </w:rPr>
      </w:pPr>
    </w:p>
    <w:p w14:paraId="567AEC0E" w14:textId="665828F3" w:rsidR="00721B97" w:rsidRPr="0047280C" w:rsidRDefault="00A77680" w:rsidP="00A77680">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i)</w:t>
      </w:r>
      <w:r w:rsidR="00BF32F0" w:rsidRPr="0047280C">
        <w:rPr>
          <w:rFonts w:asciiTheme="minorHAnsi" w:hAnsiTheme="minorHAnsi"/>
          <w:sz w:val="22"/>
          <w:szCs w:val="22"/>
          <w:lang w:val="fr-CA"/>
        </w:rPr>
        <w:tab/>
      </w:r>
      <w:r w:rsidR="00B70B74" w:rsidRPr="0047280C">
        <w:rPr>
          <w:rFonts w:asciiTheme="minorHAnsi" w:hAnsiTheme="minorHAnsi"/>
          <w:sz w:val="22"/>
          <w:szCs w:val="22"/>
          <w:lang w:val="fr-CA"/>
        </w:rPr>
        <w:t>la Ré</w:t>
      </w:r>
      <w:r w:rsidR="00BF32F0" w:rsidRPr="0047280C">
        <w:rPr>
          <w:sz w:val="22"/>
          <w:szCs w:val="22"/>
          <w:lang w:val="fr-CA" w:eastAsia="ja-JP"/>
        </w:rPr>
        <w:t>solution VIII.4</w:t>
      </w:r>
      <w:r w:rsidR="00370D08" w:rsidRPr="0047280C">
        <w:rPr>
          <w:sz w:val="22"/>
          <w:szCs w:val="22"/>
          <w:lang w:val="fr-CA" w:eastAsia="ja-JP"/>
        </w:rPr>
        <w:t xml:space="preserve">, </w:t>
      </w:r>
      <w:r w:rsidR="00370D08" w:rsidRPr="0047280C">
        <w:rPr>
          <w:rFonts w:cstheme="minorHAnsi"/>
          <w:bCs/>
          <w:i/>
          <w:sz w:val="22"/>
          <w:szCs w:val="22"/>
          <w:lang w:val="fr-CA"/>
        </w:rPr>
        <w:t>Questions relatives aux zones humides dans la gestion intégrée des zones côtières (GIZC)</w:t>
      </w:r>
      <w:r w:rsidR="001B3574" w:rsidRPr="0047280C">
        <w:rPr>
          <w:rFonts w:cstheme="minorHAnsi"/>
          <w:bCs/>
          <w:sz w:val="22"/>
          <w:szCs w:val="22"/>
          <w:lang w:val="fr-CA"/>
        </w:rPr>
        <w:t>,</w:t>
      </w:r>
      <w:r w:rsidR="00BF32F0" w:rsidRPr="0047280C">
        <w:rPr>
          <w:rFonts w:cstheme="minorHAnsi"/>
          <w:bCs/>
          <w:i/>
          <w:sz w:val="22"/>
          <w:szCs w:val="22"/>
          <w:lang w:val="fr-CA" w:eastAsia="ja-JP"/>
        </w:rPr>
        <w:t xml:space="preserve"> </w:t>
      </w:r>
      <w:r w:rsidR="00E31649">
        <w:rPr>
          <w:rFonts w:cstheme="minorHAnsi"/>
          <w:bCs/>
          <w:sz w:val="22"/>
          <w:szCs w:val="22"/>
          <w:lang w:val="fr-CA" w:eastAsia="ja-JP"/>
        </w:rPr>
        <w:t>qui priait les Parties contractantes de faire en sorte que leurs zones humides côtières avec leurs valeurs et fonctions, y compris leur rôle vital dans l’atténuation des effets des changements climatiques et de l’élévation du niveau de la mer, soient reconnues dans leurs politiques, leur planification et leur prise de décisions concernant l</w:t>
      </w:r>
      <w:r w:rsidR="002135E8">
        <w:rPr>
          <w:rFonts w:cstheme="minorHAnsi"/>
          <w:bCs/>
          <w:sz w:val="22"/>
          <w:szCs w:val="22"/>
          <w:lang w:val="fr-CA" w:eastAsia="ja-JP"/>
        </w:rPr>
        <w:t>es</w:t>
      </w:r>
      <w:r w:rsidR="00E31649">
        <w:rPr>
          <w:rFonts w:cstheme="minorHAnsi"/>
          <w:bCs/>
          <w:sz w:val="22"/>
          <w:szCs w:val="22"/>
          <w:lang w:val="fr-CA" w:eastAsia="ja-JP"/>
        </w:rPr>
        <w:t xml:space="preserve"> zone</w:t>
      </w:r>
      <w:r w:rsidR="002135E8">
        <w:rPr>
          <w:rFonts w:cstheme="minorHAnsi"/>
          <w:bCs/>
          <w:sz w:val="22"/>
          <w:szCs w:val="22"/>
          <w:lang w:val="fr-CA" w:eastAsia="ja-JP"/>
        </w:rPr>
        <w:t>s</w:t>
      </w:r>
      <w:r w:rsidR="00E31649">
        <w:rPr>
          <w:rFonts w:cstheme="minorHAnsi"/>
          <w:bCs/>
          <w:sz w:val="22"/>
          <w:szCs w:val="22"/>
          <w:lang w:val="fr-CA" w:eastAsia="ja-JP"/>
        </w:rPr>
        <w:t xml:space="preserve"> côtière</w:t>
      </w:r>
      <w:r w:rsidR="002135E8">
        <w:rPr>
          <w:rFonts w:cstheme="minorHAnsi"/>
          <w:bCs/>
          <w:sz w:val="22"/>
          <w:szCs w:val="22"/>
          <w:lang w:val="fr-CA" w:eastAsia="ja-JP"/>
        </w:rPr>
        <w:t>s</w:t>
      </w:r>
      <w:r w:rsidR="00E31649">
        <w:rPr>
          <w:rFonts w:cstheme="minorHAnsi"/>
          <w:bCs/>
          <w:sz w:val="22"/>
          <w:szCs w:val="22"/>
          <w:lang w:val="fr-CA" w:eastAsia="ja-JP"/>
        </w:rPr>
        <w:t>;</w:t>
      </w:r>
      <w:r w:rsidRPr="0047280C">
        <w:rPr>
          <w:rFonts w:asciiTheme="minorHAnsi" w:hAnsiTheme="minorHAnsi"/>
          <w:sz w:val="22"/>
          <w:szCs w:val="22"/>
          <w:lang w:val="fr-CA"/>
        </w:rPr>
        <w:t xml:space="preserve"> </w:t>
      </w:r>
      <w:r w:rsidR="003C2910" w:rsidRPr="0047280C">
        <w:rPr>
          <w:rFonts w:asciiTheme="minorHAnsi" w:hAnsiTheme="minorHAnsi"/>
          <w:sz w:val="22"/>
          <w:szCs w:val="22"/>
          <w:lang w:val="fr-CA"/>
        </w:rPr>
        <w:t xml:space="preserve"> </w:t>
      </w:r>
    </w:p>
    <w:p w14:paraId="1D319B03" w14:textId="44BEB645" w:rsidR="00BF32F0" w:rsidRPr="0047280C" w:rsidRDefault="00A77680" w:rsidP="00A77680">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ab/>
      </w:r>
    </w:p>
    <w:p w14:paraId="13147D06" w14:textId="6F499385" w:rsidR="00A77680" w:rsidRPr="0047280C" w:rsidRDefault="00BF32F0" w:rsidP="00A77680">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 xml:space="preserve">ii) </w:t>
      </w:r>
      <w:r w:rsidRPr="0047280C">
        <w:rPr>
          <w:rFonts w:asciiTheme="minorHAnsi" w:hAnsiTheme="minorHAnsi"/>
          <w:sz w:val="22"/>
          <w:szCs w:val="22"/>
          <w:lang w:val="fr-CA"/>
        </w:rPr>
        <w:tab/>
      </w:r>
      <w:r w:rsidR="00B70B74" w:rsidRPr="0047280C">
        <w:rPr>
          <w:rFonts w:asciiTheme="minorHAnsi" w:hAnsiTheme="minorHAnsi"/>
          <w:sz w:val="22"/>
          <w:szCs w:val="22"/>
          <w:lang w:val="fr-CA"/>
        </w:rPr>
        <w:t>la Ré</w:t>
      </w:r>
      <w:r w:rsidR="003C2910" w:rsidRPr="0047280C">
        <w:rPr>
          <w:rFonts w:asciiTheme="minorHAnsi" w:hAnsiTheme="minorHAnsi"/>
          <w:sz w:val="22"/>
          <w:szCs w:val="22"/>
          <w:lang w:val="fr-CA"/>
        </w:rPr>
        <w:t>solution X.24</w:t>
      </w:r>
      <w:r w:rsidR="00B70B74" w:rsidRPr="0047280C">
        <w:rPr>
          <w:rFonts w:asciiTheme="minorHAnsi" w:hAnsiTheme="minorHAnsi"/>
          <w:sz w:val="22"/>
          <w:szCs w:val="22"/>
          <w:lang w:val="fr-CA"/>
        </w:rPr>
        <w:t>,</w:t>
      </w:r>
      <w:r w:rsidR="003C2910" w:rsidRPr="0047280C">
        <w:rPr>
          <w:rFonts w:asciiTheme="minorHAnsi" w:hAnsiTheme="minorHAnsi"/>
          <w:sz w:val="22"/>
          <w:szCs w:val="22"/>
          <w:lang w:val="fr-CA"/>
        </w:rPr>
        <w:t xml:space="preserve"> </w:t>
      </w:r>
      <w:r w:rsidR="00B70B74" w:rsidRPr="0047280C">
        <w:rPr>
          <w:rFonts w:asciiTheme="minorHAnsi" w:hAnsiTheme="minorHAnsi"/>
          <w:i/>
          <w:sz w:val="22"/>
          <w:szCs w:val="22"/>
          <w:lang w:val="fr-CA"/>
        </w:rPr>
        <w:t>Les changements climatiques et les zones humides</w:t>
      </w:r>
      <w:r w:rsidR="00C14189" w:rsidRPr="0047280C">
        <w:rPr>
          <w:rFonts w:asciiTheme="minorHAnsi" w:hAnsiTheme="minorHAnsi"/>
          <w:sz w:val="22"/>
          <w:szCs w:val="22"/>
          <w:lang w:val="fr-CA"/>
        </w:rPr>
        <w:t xml:space="preserve">, </w:t>
      </w:r>
      <w:r w:rsidR="00E31649">
        <w:rPr>
          <w:rFonts w:asciiTheme="minorHAnsi" w:hAnsiTheme="minorHAnsi"/>
          <w:sz w:val="22"/>
          <w:szCs w:val="22"/>
          <w:lang w:val="fr-CA"/>
        </w:rPr>
        <w:t xml:space="preserve">qui priait les Parties contractantes de gérer les zones humides rationnellement pour renforcer leur résilience aux changements climatiques et de prendre des mesures d’urgence pour réduire la </w:t>
      </w:r>
      <w:r w:rsidR="00E31649">
        <w:rPr>
          <w:rFonts w:asciiTheme="minorHAnsi" w:hAnsiTheme="minorHAnsi"/>
          <w:sz w:val="22"/>
          <w:szCs w:val="22"/>
          <w:lang w:val="fr-CA"/>
        </w:rPr>
        <w:lastRenderedPageBreak/>
        <w:t xml:space="preserve">dégradation, promouvoir la restauration et améliorer les pratiques de gestion des types de zones humides </w:t>
      </w:r>
      <w:r w:rsidR="002135E8">
        <w:rPr>
          <w:rFonts w:asciiTheme="minorHAnsi" w:hAnsiTheme="minorHAnsi"/>
          <w:sz w:val="22"/>
          <w:szCs w:val="22"/>
          <w:lang w:val="fr-CA"/>
        </w:rPr>
        <w:t>qui sont d’importants</w:t>
      </w:r>
      <w:r w:rsidR="00E31649">
        <w:rPr>
          <w:rFonts w:asciiTheme="minorHAnsi" w:hAnsiTheme="minorHAnsi"/>
          <w:sz w:val="22"/>
          <w:szCs w:val="22"/>
          <w:lang w:val="fr-CA"/>
        </w:rPr>
        <w:t xml:space="preserve"> puits de gaz à effet de serre;</w:t>
      </w:r>
    </w:p>
    <w:p w14:paraId="331D821A" w14:textId="77777777" w:rsidR="00721B97" w:rsidRPr="0047280C" w:rsidRDefault="00721B97" w:rsidP="00A77680">
      <w:pPr>
        <w:pStyle w:val="Default"/>
        <w:ind w:left="850" w:hanging="425"/>
        <w:rPr>
          <w:rFonts w:asciiTheme="minorHAnsi" w:hAnsiTheme="minorHAnsi"/>
          <w:sz w:val="22"/>
          <w:szCs w:val="22"/>
          <w:lang w:val="fr-CA"/>
        </w:rPr>
      </w:pPr>
    </w:p>
    <w:p w14:paraId="140D107C" w14:textId="79724948" w:rsidR="00A77680" w:rsidRPr="0047280C" w:rsidRDefault="00A77680" w:rsidP="00A77680">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ii</w:t>
      </w:r>
      <w:r w:rsidR="00BF32F0" w:rsidRPr="0047280C">
        <w:rPr>
          <w:rFonts w:asciiTheme="minorHAnsi" w:hAnsiTheme="minorHAnsi"/>
          <w:sz w:val="22"/>
          <w:szCs w:val="22"/>
          <w:lang w:val="fr-CA"/>
        </w:rPr>
        <w:t>i</w:t>
      </w:r>
      <w:r w:rsidRPr="0047280C">
        <w:rPr>
          <w:rFonts w:asciiTheme="minorHAnsi" w:hAnsiTheme="minorHAnsi"/>
          <w:sz w:val="22"/>
          <w:szCs w:val="22"/>
          <w:lang w:val="fr-CA"/>
        </w:rPr>
        <w:t xml:space="preserve">) </w:t>
      </w:r>
      <w:r w:rsidRPr="0047280C">
        <w:rPr>
          <w:rFonts w:asciiTheme="minorHAnsi" w:hAnsiTheme="minorHAnsi"/>
          <w:sz w:val="22"/>
          <w:szCs w:val="22"/>
          <w:lang w:val="fr-CA"/>
        </w:rPr>
        <w:tab/>
      </w:r>
      <w:r w:rsidR="00E31649">
        <w:rPr>
          <w:rFonts w:asciiTheme="minorHAnsi" w:hAnsiTheme="minorHAnsi"/>
          <w:sz w:val="22"/>
          <w:szCs w:val="22"/>
          <w:lang w:val="fr-CA"/>
        </w:rPr>
        <w:t>l</w:t>
      </w:r>
      <w:r w:rsidR="00B70B74" w:rsidRPr="0047280C">
        <w:rPr>
          <w:rFonts w:asciiTheme="minorHAnsi" w:hAnsiTheme="minorHAnsi"/>
          <w:sz w:val="22"/>
          <w:szCs w:val="22"/>
          <w:lang w:val="fr-CA"/>
        </w:rPr>
        <w:t>a Ré</w:t>
      </w:r>
      <w:r w:rsidR="00C14189" w:rsidRPr="0047280C">
        <w:rPr>
          <w:rFonts w:asciiTheme="minorHAnsi" w:hAnsiTheme="minorHAnsi"/>
          <w:sz w:val="22"/>
          <w:szCs w:val="22"/>
          <w:lang w:val="fr-CA"/>
        </w:rPr>
        <w:t>solution XI.14</w:t>
      </w:r>
      <w:r w:rsidR="00B70B74" w:rsidRPr="0047280C">
        <w:rPr>
          <w:rFonts w:asciiTheme="minorHAnsi" w:hAnsiTheme="minorHAnsi"/>
          <w:sz w:val="22"/>
          <w:szCs w:val="22"/>
          <w:lang w:val="fr-CA"/>
        </w:rPr>
        <w:t>,</w:t>
      </w:r>
      <w:r w:rsidRPr="0047280C">
        <w:rPr>
          <w:rFonts w:asciiTheme="minorHAnsi" w:hAnsiTheme="minorHAnsi"/>
          <w:sz w:val="22"/>
          <w:szCs w:val="22"/>
          <w:lang w:val="fr-CA"/>
        </w:rPr>
        <w:t xml:space="preserve"> </w:t>
      </w:r>
      <w:r w:rsidR="00B70B74" w:rsidRPr="0047280C">
        <w:rPr>
          <w:rFonts w:asciiTheme="minorHAnsi" w:hAnsiTheme="minorHAnsi"/>
          <w:i/>
          <w:sz w:val="22"/>
          <w:szCs w:val="22"/>
          <w:lang w:val="fr-CA"/>
        </w:rPr>
        <w:t>Les changements climatiques et les zones humides : implications pour la Convention de Ramsar sur les zones humides</w:t>
      </w:r>
      <w:r w:rsidR="00E31649">
        <w:rPr>
          <w:rFonts w:asciiTheme="minorHAnsi" w:hAnsiTheme="minorHAnsi"/>
          <w:sz w:val="22"/>
          <w:szCs w:val="22"/>
          <w:lang w:val="fr-CA"/>
        </w:rPr>
        <w:t xml:space="preserve">, qui priait les Parties contractantes de maintenir ou d’améliorer les caractéristiques écologiques des zones humides afin de promouvoir leur capacité de contribuer </w:t>
      </w:r>
      <w:r w:rsidR="002135E8">
        <w:rPr>
          <w:rFonts w:asciiTheme="minorHAnsi" w:hAnsiTheme="minorHAnsi"/>
          <w:sz w:val="22"/>
          <w:szCs w:val="22"/>
          <w:lang w:val="fr-CA"/>
        </w:rPr>
        <w:t>aux solutions d</w:t>
      </w:r>
      <w:r w:rsidR="00E31649">
        <w:rPr>
          <w:rFonts w:asciiTheme="minorHAnsi" w:hAnsiTheme="minorHAnsi"/>
          <w:sz w:val="22"/>
          <w:szCs w:val="22"/>
          <w:lang w:val="fr-CA"/>
        </w:rPr>
        <w:t>’adaptation aux changements climatiques fondée</w:t>
      </w:r>
      <w:r w:rsidR="002135E8">
        <w:rPr>
          <w:rFonts w:asciiTheme="minorHAnsi" w:hAnsiTheme="minorHAnsi"/>
          <w:sz w:val="22"/>
          <w:szCs w:val="22"/>
          <w:lang w:val="fr-CA"/>
        </w:rPr>
        <w:t>s</w:t>
      </w:r>
      <w:r w:rsidR="00E31649">
        <w:rPr>
          <w:rFonts w:asciiTheme="minorHAnsi" w:hAnsiTheme="minorHAnsi"/>
          <w:sz w:val="22"/>
          <w:szCs w:val="22"/>
          <w:lang w:val="fr-CA"/>
        </w:rPr>
        <w:t xml:space="preserve"> sur la nature; et</w:t>
      </w:r>
      <w:r w:rsidR="003C2910" w:rsidRPr="0047280C">
        <w:rPr>
          <w:rFonts w:asciiTheme="minorHAnsi" w:hAnsiTheme="minorHAnsi"/>
          <w:sz w:val="22"/>
          <w:szCs w:val="22"/>
          <w:lang w:val="fr-CA"/>
        </w:rPr>
        <w:t xml:space="preserve"> </w:t>
      </w:r>
    </w:p>
    <w:p w14:paraId="08321050" w14:textId="77777777" w:rsidR="00721B97" w:rsidRPr="0047280C" w:rsidRDefault="00721B97" w:rsidP="00A77680">
      <w:pPr>
        <w:pStyle w:val="Default"/>
        <w:ind w:left="850" w:hanging="425"/>
        <w:rPr>
          <w:rFonts w:asciiTheme="minorHAnsi" w:hAnsiTheme="minorHAnsi"/>
          <w:sz w:val="22"/>
          <w:szCs w:val="22"/>
          <w:lang w:val="fr-CA"/>
        </w:rPr>
      </w:pPr>
    </w:p>
    <w:p w14:paraId="543E10D7" w14:textId="56BEBAC0" w:rsidR="003C2910" w:rsidRPr="0047280C" w:rsidRDefault="00A77680" w:rsidP="00A77680">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i</w:t>
      </w:r>
      <w:r w:rsidR="00BF32F0" w:rsidRPr="0047280C">
        <w:rPr>
          <w:rFonts w:asciiTheme="minorHAnsi" w:hAnsiTheme="minorHAnsi"/>
          <w:sz w:val="22"/>
          <w:szCs w:val="22"/>
          <w:lang w:val="fr-CA"/>
        </w:rPr>
        <w:t>v</w:t>
      </w:r>
      <w:r w:rsidRPr="0047280C">
        <w:rPr>
          <w:rFonts w:asciiTheme="minorHAnsi" w:hAnsiTheme="minorHAnsi"/>
          <w:sz w:val="22"/>
          <w:szCs w:val="22"/>
          <w:lang w:val="fr-CA"/>
        </w:rPr>
        <w:t xml:space="preserve">) </w:t>
      </w:r>
      <w:r w:rsidRPr="0047280C">
        <w:rPr>
          <w:rFonts w:asciiTheme="minorHAnsi" w:hAnsiTheme="minorHAnsi"/>
          <w:sz w:val="22"/>
          <w:szCs w:val="22"/>
          <w:lang w:val="fr-CA"/>
        </w:rPr>
        <w:tab/>
      </w:r>
      <w:r w:rsidR="00B70B74" w:rsidRPr="0047280C">
        <w:rPr>
          <w:rFonts w:asciiTheme="minorHAnsi" w:hAnsiTheme="minorHAnsi"/>
          <w:sz w:val="22"/>
          <w:szCs w:val="22"/>
          <w:lang w:val="fr-CA"/>
        </w:rPr>
        <w:t>la Ré</w:t>
      </w:r>
      <w:r w:rsidR="003C2910" w:rsidRPr="0047280C">
        <w:rPr>
          <w:rFonts w:asciiTheme="minorHAnsi" w:hAnsiTheme="minorHAnsi"/>
          <w:sz w:val="22"/>
          <w:szCs w:val="22"/>
          <w:lang w:val="fr-CA"/>
        </w:rPr>
        <w:t>solution XII.13</w:t>
      </w:r>
      <w:r w:rsidR="00B70B74" w:rsidRPr="0047280C">
        <w:rPr>
          <w:rFonts w:asciiTheme="minorHAnsi" w:hAnsiTheme="minorHAnsi"/>
          <w:sz w:val="22"/>
          <w:szCs w:val="22"/>
          <w:lang w:val="fr-CA"/>
        </w:rPr>
        <w:t>,</w:t>
      </w:r>
      <w:r w:rsidR="003C2910" w:rsidRPr="0047280C">
        <w:rPr>
          <w:rFonts w:asciiTheme="minorHAnsi" w:hAnsiTheme="minorHAnsi"/>
          <w:sz w:val="22"/>
          <w:szCs w:val="22"/>
          <w:lang w:val="fr-CA"/>
        </w:rPr>
        <w:t xml:space="preserve"> </w:t>
      </w:r>
      <w:r w:rsidR="00F27B52" w:rsidRPr="0047280C">
        <w:rPr>
          <w:rFonts w:asciiTheme="minorHAnsi" w:hAnsiTheme="minorHAnsi"/>
          <w:i/>
          <w:sz w:val="22"/>
          <w:szCs w:val="22"/>
          <w:lang w:val="fr-CA"/>
        </w:rPr>
        <w:t>Les zones humides et la prévention des risques de catastrophe</w:t>
      </w:r>
      <w:r w:rsidR="00F27B52" w:rsidRPr="0047280C">
        <w:rPr>
          <w:rFonts w:asciiTheme="minorHAnsi" w:hAnsiTheme="minorHAnsi"/>
          <w:sz w:val="22"/>
          <w:szCs w:val="22"/>
          <w:lang w:val="fr-CA"/>
        </w:rPr>
        <w:t xml:space="preserve">, </w:t>
      </w:r>
      <w:r w:rsidR="00E31649">
        <w:rPr>
          <w:rFonts w:asciiTheme="minorHAnsi" w:hAnsiTheme="minorHAnsi"/>
          <w:sz w:val="22"/>
          <w:szCs w:val="22"/>
          <w:lang w:val="fr-CA"/>
        </w:rPr>
        <w:t xml:space="preserve">qui accueillait favorablement les initiatives soutenant la conservation et la restauration des zones humides côtières et encourageait une participation à ces activités; </w:t>
      </w:r>
    </w:p>
    <w:p w14:paraId="6C18FB9B" w14:textId="77777777" w:rsidR="00C63285" w:rsidRPr="0047280C" w:rsidRDefault="00C63285" w:rsidP="00C63285">
      <w:pPr>
        <w:pStyle w:val="Default"/>
        <w:ind w:left="425" w:hanging="425"/>
        <w:rPr>
          <w:rFonts w:asciiTheme="minorHAnsi" w:hAnsiTheme="minorHAnsi"/>
          <w:color w:val="auto"/>
          <w:sz w:val="22"/>
          <w:szCs w:val="22"/>
          <w:lang w:val="fr-CA"/>
        </w:rPr>
      </w:pPr>
    </w:p>
    <w:p w14:paraId="15795642" w14:textId="28B24F42" w:rsidR="003C2910" w:rsidRPr="0047280C" w:rsidRDefault="009E556F" w:rsidP="00C63285">
      <w:pPr>
        <w:autoSpaceDE w:val="0"/>
        <w:autoSpaceDN w:val="0"/>
        <w:adjustRightInd w:val="0"/>
        <w:spacing w:after="0" w:line="240" w:lineRule="auto"/>
        <w:ind w:left="425" w:hanging="425"/>
        <w:rPr>
          <w:lang w:val="fr-CA"/>
        </w:rPr>
      </w:pPr>
      <w:r w:rsidRPr="0047280C">
        <w:rPr>
          <w:lang w:val="fr-CA"/>
        </w:rPr>
        <w:t>4</w:t>
      </w:r>
      <w:r w:rsidR="00C63285" w:rsidRPr="0047280C">
        <w:rPr>
          <w:lang w:val="fr-CA"/>
        </w:rPr>
        <w:t>.</w:t>
      </w:r>
      <w:r w:rsidR="00C63285" w:rsidRPr="0047280C">
        <w:rPr>
          <w:lang w:val="fr-CA"/>
        </w:rPr>
        <w:tab/>
      </w:r>
      <w:r w:rsidR="000C11F5" w:rsidRPr="0047280C">
        <w:rPr>
          <w:lang w:val="fr-CA"/>
        </w:rPr>
        <w:t xml:space="preserve">NOTANT que 151 pays possèdent au moins un écosystème côtier de carbone bleu (herbier marin, marais salé ou mangrove), que 71 pays possèdent les trois types, et que beaucoup de ces pays ont inscrit les zones humides côtières dans leurs Contributions déterminées au </w:t>
      </w:r>
      <w:r w:rsidR="002135E8">
        <w:rPr>
          <w:lang w:val="fr-CA"/>
        </w:rPr>
        <w:t>niveau</w:t>
      </w:r>
      <w:r w:rsidR="000C11F5" w:rsidRPr="0047280C">
        <w:rPr>
          <w:lang w:val="fr-CA"/>
        </w:rPr>
        <w:t xml:space="preserve"> national (CDN) au titre de l’Accord de Paris</w:t>
      </w:r>
      <w:r w:rsidR="00FC0700" w:rsidRPr="0047280C">
        <w:rPr>
          <w:rStyle w:val="FootnoteReference"/>
          <w:lang w:val="fr-CA"/>
        </w:rPr>
        <w:footnoteReference w:id="2"/>
      </w:r>
      <w:r w:rsidR="001E3465" w:rsidRPr="0047280C">
        <w:rPr>
          <w:lang w:val="fr-CA"/>
        </w:rPr>
        <w:t>;</w:t>
      </w:r>
      <w:r w:rsidR="003C2910" w:rsidRPr="0047280C">
        <w:rPr>
          <w:lang w:val="fr-CA"/>
        </w:rPr>
        <w:t xml:space="preserve"> </w:t>
      </w:r>
    </w:p>
    <w:p w14:paraId="6AEED9A5" w14:textId="77777777" w:rsidR="003C2910" w:rsidRPr="0047280C" w:rsidRDefault="003C2910" w:rsidP="00C63285">
      <w:pPr>
        <w:pStyle w:val="Default"/>
        <w:ind w:left="425" w:hanging="425"/>
        <w:rPr>
          <w:rFonts w:asciiTheme="minorHAnsi" w:hAnsiTheme="minorHAnsi"/>
          <w:color w:val="auto"/>
          <w:sz w:val="22"/>
          <w:szCs w:val="22"/>
          <w:lang w:val="fr-CA"/>
        </w:rPr>
      </w:pPr>
    </w:p>
    <w:p w14:paraId="68208D91" w14:textId="1148E0FC" w:rsidR="00632E4A" w:rsidRPr="0047280C" w:rsidRDefault="009E556F" w:rsidP="00C63285">
      <w:pPr>
        <w:pStyle w:val="Default"/>
        <w:ind w:left="425" w:hanging="425"/>
        <w:rPr>
          <w:rFonts w:asciiTheme="minorHAnsi" w:hAnsiTheme="minorHAnsi"/>
          <w:color w:val="auto"/>
          <w:sz w:val="22"/>
          <w:szCs w:val="22"/>
          <w:lang w:val="fr-CA"/>
        </w:rPr>
      </w:pPr>
      <w:r w:rsidRPr="0047280C">
        <w:rPr>
          <w:rFonts w:asciiTheme="minorHAnsi" w:hAnsiTheme="minorHAnsi"/>
          <w:color w:val="auto"/>
          <w:sz w:val="22"/>
          <w:szCs w:val="22"/>
          <w:lang w:val="fr-CA"/>
        </w:rPr>
        <w:t>5</w:t>
      </w:r>
      <w:r w:rsidR="00C63285" w:rsidRPr="0047280C">
        <w:rPr>
          <w:rFonts w:asciiTheme="minorHAnsi" w:hAnsiTheme="minorHAnsi"/>
          <w:color w:val="auto"/>
          <w:sz w:val="22"/>
          <w:szCs w:val="22"/>
          <w:lang w:val="fr-CA"/>
        </w:rPr>
        <w:t>.</w:t>
      </w:r>
      <w:r w:rsidR="00C63285" w:rsidRPr="0047280C">
        <w:rPr>
          <w:rFonts w:asciiTheme="minorHAnsi" w:hAnsiTheme="minorHAnsi"/>
          <w:color w:val="auto"/>
          <w:sz w:val="22"/>
          <w:szCs w:val="22"/>
          <w:lang w:val="fr-CA"/>
        </w:rPr>
        <w:tab/>
      </w:r>
      <w:r w:rsidR="003C2910" w:rsidRPr="0047280C">
        <w:rPr>
          <w:rFonts w:asciiTheme="minorHAnsi" w:hAnsiTheme="minorHAnsi"/>
          <w:color w:val="auto"/>
          <w:sz w:val="22"/>
          <w:szCs w:val="22"/>
          <w:lang w:val="fr-CA"/>
        </w:rPr>
        <w:t>RECO</w:t>
      </w:r>
      <w:r w:rsidR="00E31649">
        <w:rPr>
          <w:rFonts w:asciiTheme="minorHAnsi" w:hAnsiTheme="minorHAnsi"/>
          <w:color w:val="auto"/>
          <w:sz w:val="22"/>
          <w:szCs w:val="22"/>
          <w:lang w:val="fr-CA"/>
        </w:rPr>
        <w:t>NNAISSANT :</w:t>
      </w:r>
    </w:p>
    <w:p w14:paraId="61884937" w14:textId="77777777" w:rsidR="00721B97" w:rsidRPr="0047280C" w:rsidRDefault="00721B97" w:rsidP="00C63285">
      <w:pPr>
        <w:pStyle w:val="Default"/>
        <w:ind w:left="425" w:hanging="425"/>
        <w:rPr>
          <w:rFonts w:asciiTheme="minorHAnsi" w:hAnsiTheme="minorHAnsi"/>
          <w:color w:val="auto"/>
          <w:sz w:val="22"/>
          <w:szCs w:val="22"/>
          <w:lang w:val="fr-CA"/>
        </w:rPr>
      </w:pPr>
    </w:p>
    <w:p w14:paraId="43E3F2FB" w14:textId="11600A96" w:rsidR="00632E4A" w:rsidRPr="0047280C" w:rsidRDefault="003C2910" w:rsidP="00632E4A">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 xml:space="preserve"> </w:t>
      </w:r>
      <w:r w:rsidR="00632E4A" w:rsidRPr="0047280C">
        <w:rPr>
          <w:rFonts w:asciiTheme="minorHAnsi" w:hAnsiTheme="minorHAnsi"/>
          <w:sz w:val="22"/>
          <w:szCs w:val="22"/>
          <w:lang w:val="fr-CA"/>
        </w:rPr>
        <w:t>i)</w:t>
      </w:r>
      <w:r w:rsidR="00632E4A" w:rsidRPr="0047280C">
        <w:rPr>
          <w:rFonts w:asciiTheme="minorHAnsi" w:hAnsiTheme="minorHAnsi"/>
          <w:sz w:val="22"/>
          <w:szCs w:val="22"/>
          <w:lang w:val="fr-CA"/>
        </w:rPr>
        <w:tab/>
      </w:r>
      <w:r w:rsidR="00222EF4">
        <w:rPr>
          <w:rFonts w:asciiTheme="minorHAnsi" w:hAnsiTheme="minorHAnsi"/>
          <w:sz w:val="22"/>
          <w:szCs w:val="22"/>
          <w:lang w:val="fr-CA"/>
        </w:rPr>
        <w:t>la Convention-cadre des Nations Unies sur les changements climatiques (CCNUCC) comme traité international de l’environnement qui cherche à lutter contre les changements climatiques en limitant l</w:t>
      </w:r>
      <w:r w:rsidR="002135E8">
        <w:rPr>
          <w:rFonts w:asciiTheme="minorHAnsi" w:hAnsiTheme="minorHAnsi"/>
          <w:sz w:val="22"/>
          <w:szCs w:val="22"/>
          <w:lang w:val="fr-CA"/>
        </w:rPr>
        <w:t>’</w:t>
      </w:r>
      <w:r w:rsidR="00222EF4">
        <w:rPr>
          <w:rFonts w:asciiTheme="minorHAnsi" w:hAnsiTheme="minorHAnsi"/>
          <w:sz w:val="22"/>
          <w:szCs w:val="22"/>
          <w:lang w:val="fr-CA"/>
        </w:rPr>
        <w:t xml:space="preserve">augmentation de la température mondiale moyenne et les changements climatiques qui en découlent; </w:t>
      </w:r>
    </w:p>
    <w:p w14:paraId="209DF1DD" w14:textId="77777777" w:rsidR="00721B97" w:rsidRPr="0047280C" w:rsidRDefault="00721B97" w:rsidP="00632E4A">
      <w:pPr>
        <w:pStyle w:val="Default"/>
        <w:ind w:left="850" w:hanging="425"/>
        <w:rPr>
          <w:rFonts w:asciiTheme="minorHAnsi" w:hAnsiTheme="minorHAnsi"/>
          <w:sz w:val="22"/>
          <w:szCs w:val="22"/>
          <w:lang w:val="fr-CA"/>
        </w:rPr>
      </w:pPr>
    </w:p>
    <w:p w14:paraId="1AED51F7" w14:textId="2C82E58C" w:rsidR="00E17DF4" w:rsidRPr="0047280C" w:rsidRDefault="00E17DF4" w:rsidP="00632E4A">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ii)</w:t>
      </w:r>
      <w:r w:rsidRPr="0047280C">
        <w:rPr>
          <w:rFonts w:asciiTheme="minorHAnsi" w:hAnsiTheme="minorHAnsi"/>
          <w:sz w:val="22"/>
          <w:szCs w:val="22"/>
          <w:lang w:val="fr-CA"/>
        </w:rPr>
        <w:tab/>
      </w:r>
      <w:r w:rsidR="00222EF4">
        <w:rPr>
          <w:rFonts w:asciiTheme="minorHAnsi" w:hAnsiTheme="minorHAnsi"/>
          <w:sz w:val="22"/>
          <w:szCs w:val="22"/>
          <w:lang w:val="fr-CA"/>
        </w:rPr>
        <w:t>l’Accord de Paris comme accord visant à renforcer la réponse mondiale à la menace des changements climatiques; et</w:t>
      </w:r>
      <w:r w:rsidRPr="0047280C">
        <w:rPr>
          <w:rFonts w:asciiTheme="minorHAnsi" w:hAnsiTheme="minorHAnsi"/>
          <w:sz w:val="22"/>
          <w:szCs w:val="22"/>
          <w:lang w:val="fr-CA"/>
        </w:rPr>
        <w:t xml:space="preserve"> </w:t>
      </w:r>
    </w:p>
    <w:p w14:paraId="4A91606A" w14:textId="77777777" w:rsidR="00721B97" w:rsidRPr="0047280C" w:rsidRDefault="00721B97" w:rsidP="00632E4A">
      <w:pPr>
        <w:pStyle w:val="Default"/>
        <w:ind w:left="850" w:hanging="425"/>
        <w:rPr>
          <w:rFonts w:asciiTheme="minorHAnsi" w:hAnsiTheme="minorHAnsi"/>
          <w:sz w:val="22"/>
          <w:szCs w:val="22"/>
          <w:lang w:val="fr-CA"/>
        </w:rPr>
      </w:pPr>
    </w:p>
    <w:p w14:paraId="1D6E2ED9" w14:textId="049C12A2" w:rsidR="003C2910" w:rsidRPr="0047280C" w:rsidRDefault="00632E4A" w:rsidP="00632E4A">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ii</w:t>
      </w:r>
      <w:r w:rsidR="00222EF4">
        <w:rPr>
          <w:rFonts w:asciiTheme="minorHAnsi" w:hAnsiTheme="minorHAnsi"/>
          <w:sz w:val="22"/>
          <w:szCs w:val="22"/>
          <w:lang w:val="fr-CA"/>
        </w:rPr>
        <w:t>i</w:t>
      </w:r>
      <w:r w:rsidRPr="0047280C">
        <w:rPr>
          <w:rFonts w:asciiTheme="minorHAnsi" w:hAnsiTheme="minorHAnsi"/>
          <w:sz w:val="22"/>
          <w:szCs w:val="22"/>
          <w:lang w:val="fr-CA"/>
        </w:rPr>
        <w:t>)</w:t>
      </w:r>
      <w:r w:rsidRPr="0047280C">
        <w:rPr>
          <w:rFonts w:asciiTheme="minorHAnsi" w:hAnsiTheme="minorHAnsi"/>
          <w:sz w:val="22"/>
          <w:szCs w:val="22"/>
          <w:lang w:val="fr-CA"/>
        </w:rPr>
        <w:tab/>
      </w:r>
      <w:r w:rsidR="00222EF4">
        <w:rPr>
          <w:rFonts w:asciiTheme="minorHAnsi" w:hAnsiTheme="minorHAnsi"/>
          <w:sz w:val="22"/>
          <w:szCs w:val="22"/>
          <w:lang w:val="fr-CA"/>
        </w:rPr>
        <w:t>le Groupe d’experts intergouvernemental sur l’évo</w:t>
      </w:r>
      <w:r w:rsidR="002135E8">
        <w:rPr>
          <w:rFonts w:asciiTheme="minorHAnsi" w:hAnsiTheme="minorHAnsi"/>
          <w:sz w:val="22"/>
          <w:szCs w:val="22"/>
          <w:lang w:val="fr-CA"/>
        </w:rPr>
        <w:t xml:space="preserve">lution du climat (GIEC) comme </w:t>
      </w:r>
      <w:r w:rsidR="00222EF4">
        <w:rPr>
          <w:rFonts w:asciiTheme="minorHAnsi" w:hAnsiTheme="minorHAnsi"/>
          <w:sz w:val="22"/>
          <w:szCs w:val="22"/>
          <w:lang w:val="fr-CA"/>
        </w:rPr>
        <w:t xml:space="preserve">organisme international d’évaluation scientifique des changements climatiques, fournissant aux décideurs des évaluations régulières de la base scientifique des changements climatiques, de leurs impacts et des risques futurs ainsi que des solutions d’adaptation et d’atténuation, et notant que certains pays sont en train de mettre à l’essai la méthodologie contenue dans le </w:t>
      </w:r>
      <w:r w:rsidR="004148E5" w:rsidRPr="0047280C">
        <w:rPr>
          <w:i/>
          <w:sz w:val="22"/>
          <w:szCs w:val="22"/>
          <w:lang w:val="fr-CA"/>
        </w:rPr>
        <w:t>Suppl</w:t>
      </w:r>
      <w:r w:rsidR="004148E5">
        <w:rPr>
          <w:i/>
          <w:sz w:val="22"/>
          <w:szCs w:val="22"/>
          <w:lang w:val="fr-CA"/>
        </w:rPr>
        <w:t>é</w:t>
      </w:r>
      <w:r w:rsidR="004148E5" w:rsidRPr="0047280C">
        <w:rPr>
          <w:i/>
          <w:sz w:val="22"/>
          <w:szCs w:val="22"/>
          <w:lang w:val="fr-CA"/>
        </w:rPr>
        <w:t xml:space="preserve">ment </w:t>
      </w:r>
      <w:r w:rsidR="004148E5">
        <w:rPr>
          <w:i/>
          <w:sz w:val="22"/>
          <w:szCs w:val="22"/>
          <w:lang w:val="fr-CA"/>
        </w:rPr>
        <w:t xml:space="preserve">2013 aux Lignes directrices 2006 du GIEC pour les </w:t>
      </w:r>
      <w:r w:rsidR="00F35A98">
        <w:rPr>
          <w:i/>
          <w:sz w:val="22"/>
          <w:szCs w:val="22"/>
          <w:lang w:val="fr-CA"/>
        </w:rPr>
        <w:t>i</w:t>
      </w:r>
      <w:r w:rsidR="004148E5">
        <w:rPr>
          <w:i/>
          <w:sz w:val="22"/>
          <w:szCs w:val="22"/>
          <w:lang w:val="fr-CA"/>
        </w:rPr>
        <w:t xml:space="preserve">nventaires nationaux de gaz à effet de serre : </w:t>
      </w:r>
      <w:r w:rsidR="004148E5" w:rsidRPr="00F35A98">
        <w:rPr>
          <w:i/>
          <w:sz w:val="22"/>
          <w:szCs w:val="22"/>
          <w:lang w:val="fr-CA"/>
        </w:rPr>
        <w:t>zones</w:t>
      </w:r>
      <w:r w:rsidR="004148E5">
        <w:rPr>
          <w:i/>
          <w:sz w:val="22"/>
          <w:szCs w:val="22"/>
          <w:lang w:val="fr-CA"/>
        </w:rPr>
        <w:t xml:space="preserve"> humides</w:t>
      </w:r>
      <w:r w:rsidR="00222EF4">
        <w:rPr>
          <w:i/>
          <w:sz w:val="22"/>
          <w:szCs w:val="22"/>
          <w:lang w:val="fr-CA"/>
        </w:rPr>
        <w:t xml:space="preserve">; </w:t>
      </w:r>
    </w:p>
    <w:p w14:paraId="27080490" w14:textId="77777777" w:rsidR="00BF32F0" w:rsidRPr="0047280C" w:rsidRDefault="00BF32F0" w:rsidP="003C2910">
      <w:pPr>
        <w:autoSpaceDE w:val="0"/>
        <w:autoSpaceDN w:val="0"/>
        <w:adjustRightInd w:val="0"/>
        <w:spacing w:after="0" w:line="240" w:lineRule="auto"/>
        <w:ind w:left="720"/>
        <w:rPr>
          <w:iCs/>
          <w:lang w:val="fr-CA" w:eastAsia="ja-JP"/>
        </w:rPr>
      </w:pPr>
    </w:p>
    <w:p w14:paraId="79A3D7F5" w14:textId="24FCD534" w:rsidR="003C2910" w:rsidRPr="0047280C" w:rsidRDefault="00BF32F0" w:rsidP="00BF32F0">
      <w:pPr>
        <w:pStyle w:val="Default"/>
        <w:ind w:left="425" w:hanging="425"/>
        <w:rPr>
          <w:rFonts w:asciiTheme="minorHAnsi" w:hAnsiTheme="minorHAnsi"/>
          <w:color w:val="auto"/>
          <w:sz w:val="22"/>
          <w:szCs w:val="22"/>
          <w:lang w:val="fr-CA"/>
        </w:rPr>
      </w:pPr>
      <w:r w:rsidRPr="0047280C">
        <w:rPr>
          <w:rFonts w:asciiTheme="minorHAnsi" w:hAnsiTheme="minorHAnsi"/>
          <w:color w:val="auto"/>
          <w:sz w:val="22"/>
          <w:szCs w:val="22"/>
          <w:lang w:val="fr-CA"/>
        </w:rPr>
        <w:t>6.</w:t>
      </w:r>
      <w:r w:rsidRPr="0047280C">
        <w:rPr>
          <w:rFonts w:asciiTheme="minorHAnsi" w:hAnsiTheme="minorHAnsi"/>
          <w:color w:val="auto"/>
          <w:sz w:val="22"/>
          <w:szCs w:val="22"/>
          <w:lang w:val="fr-CA"/>
        </w:rPr>
        <w:tab/>
      </w:r>
      <w:r w:rsidR="00222EF4">
        <w:rPr>
          <w:rFonts w:asciiTheme="minorHAnsi" w:hAnsiTheme="minorHAnsi"/>
          <w:color w:val="auto"/>
          <w:sz w:val="22"/>
          <w:szCs w:val="22"/>
          <w:lang w:val="fr-CA"/>
        </w:rPr>
        <w:t xml:space="preserve">PROFONDÉMENT PRÉOCCUPÉE par </w:t>
      </w:r>
      <w:r w:rsidR="00F35A98">
        <w:rPr>
          <w:rFonts w:asciiTheme="minorHAnsi" w:hAnsiTheme="minorHAnsi"/>
          <w:color w:val="auto"/>
          <w:sz w:val="22"/>
          <w:szCs w:val="22"/>
          <w:lang w:val="fr-CA"/>
        </w:rPr>
        <w:t>la disparition, en quelques décennies, d’</w:t>
      </w:r>
      <w:r w:rsidR="00222EF4">
        <w:rPr>
          <w:rFonts w:asciiTheme="minorHAnsi" w:hAnsiTheme="minorHAnsi"/>
          <w:color w:val="auto"/>
          <w:sz w:val="22"/>
          <w:szCs w:val="22"/>
          <w:lang w:val="fr-CA"/>
        </w:rPr>
        <w:t>un tiers de la superficie couverte par les mangroves, les marais salés et les herbiers marins</w:t>
      </w:r>
      <w:r w:rsidR="00C07C56" w:rsidRPr="0047280C">
        <w:rPr>
          <w:rStyle w:val="FootnoteReference"/>
          <w:rFonts w:asciiTheme="minorHAnsi" w:hAnsiTheme="minorHAnsi"/>
          <w:color w:val="auto"/>
          <w:sz w:val="22"/>
          <w:szCs w:val="22"/>
          <w:lang w:val="fr-CA"/>
        </w:rPr>
        <w:footnoteReference w:id="3"/>
      </w:r>
      <w:r w:rsidR="00A82032" w:rsidRPr="0047280C">
        <w:rPr>
          <w:rFonts w:asciiTheme="minorHAnsi" w:hAnsiTheme="minorHAnsi"/>
          <w:color w:val="auto"/>
          <w:sz w:val="22"/>
          <w:szCs w:val="22"/>
          <w:lang w:val="fr-CA"/>
        </w:rPr>
        <w:t>;</w:t>
      </w:r>
    </w:p>
    <w:p w14:paraId="1DA0D56E" w14:textId="77777777" w:rsidR="00BF32F0" w:rsidRPr="0047280C" w:rsidRDefault="00BF32F0" w:rsidP="00BF32F0">
      <w:pPr>
        <w:pStyle w:val="Default"/>
        <w:ind w:left="425" w:hanging="425"/>
        <w:rPr>
          <w:rFonts w:asciiTheme="minorHAnsi" w:hAnsiTheme="minorHAnsi"/>
          <w:color w:val="auto"/>
          <w:sz w:val="22"/>
          <w:szCs w:val="22"/>
          <w:lang w:val="fr-CA"/>
        </w:rPr>
      </w:pPr>
    </w:p>
    <w:p w14:paraId="3E28A784" w14:textId="10997572" w:rsidR="00455594" w:rsidRPr="0047280C" w:rsidRDefault="00222EF4" w:rsidP="009D6605">
      <w:pPr>
        <w:spacing w:after="0" w:line="240" w:lineRule="auto"/>
        <w:jc w:val="center"/>
        <w:rPr>
          <w:i/>
          <w:lang w:val="fr-CA"/>
        </w:rPr>
      </w:pPr>
      <w:r>
        <w:rPr>
          <w:rFonts w:cs="Garamond"/>
          <w:lang w:val="fr-CA"/>
        </w:rPr>
        <w:t>LA CONFÉRENCE DES PARTIES CONTRACTANTES</w:t>
      </w:r>
    </w:p>
    <w:p w14:paraId="38AF4287" w14:textId="77777777" w:rsidR="00C63285" w:rsidRPr="0047280C" w:rsidRDefault="00C63285" w:rsidP="00C63285">
      <w:pPr>
        <w:pStyle w:val="Default"/>
        <w:ind w:left="425"/>
        <w:rPr>
          <w:rFonts w:asciiTheme="minorHAnsi" w:hAnsiTheme="minorHAnsi"/>
          <w:sz w:val="22"/>
          <w:szCs w:val="22"/>
          <w:lang w:val="fr-CA"/>
        </w:rPr>
      </w:pPr>
    </w:p>
    <w:p w14:paraId="36980B23" w14:textId="417C156F" w:rsidR="003C2910" w:rsidRPr="0047280C" w:rsidRDefault="00713D85" w:rsidP="00C63285">
      <w:pPr>
        <w:pStyle w:val="Default"/>
        <w:ind w:left="425" w:hanging="425"/>
        <w:rPr>
          <w:rFonts w:asciiTheme="minorHAnsi" w:hAnsiTheme="minorHAnsi"/>
          <w:color w:val="auto"/>
          <w:sz w:val="22"/>
          <w:szCs w:val="22"/>
          <w:lang w:val="fr-CA"/>
        </w:rPr>
      </w:pPr>
      <w:r w:rsidRPr="0047280C">
        <w:rPr>
          <w:rFonts w:asciiTheme="minorHAnsi" w:hAnsiTheme="minorHAnsi"/>
          <w:color w:val="auto"/>
          <w:sz w:val="22"/>
          <w:szCs w:val="22"/>
          <w:lang w:val="fr-CA"/>
        </w:rPr>
        <w:t>7</w:t>
      </w:r>
      <w:r w:rsidR="00C63285" w:rsidRPr="0047280C">
        <w:rPr>
          <w:rFonts w:asciiTheme="minorHAnsi" w:hAnsiTheme="minorHAnsi"/>
          <w:color w:val="auto"/>
          <w:sz w:val="22"/>
          <w:szCs w:val="22"/>
          <w:lang w:val="fr-CA"/>
        </w:rPr>
        <w:t>.</w:t>
      </w:r>
      <w:r w:rsidR="00C63285" w:rsidRPr="0047280C">
        <w:rPr>
          <w:rFonts w:asciiTheme="minorHAnsi" w:hAnsiTheme="minorHAnsi"/>
          <w:color w:val="auto"/>
          <w:sz w:val="22"/>
          <w:szCs w:val="22"/>
          <w:lang w:val="fr-CA"/>
        </w:rPr>
        <w:tab/>
      </w:r>
      <w:r w:rsidR="00427B85" w:rsidRPr="0047280C">
        <w:rPr>
          <w:rFonts w:asciiTheme="minorHAnsi" w:hAnsiTheme="minorHAnsi"/>
          <w:color w:val="auto"/>
          <w:sz w:val="22"/>
          <w:szCs w:val="22"/>
          <w:lang w:val="fr-CA"/>
        </w:rPr>
        <w:t>R</w:t>
      </w:r>
      <w:r w:rsidR="00222EF4">
        <w:rPr>
          <w:rFonts w:asciiTheme="minorHAnsi" w:hAnsiTheme="minorHAnsi"/>
          <w:color w:val="auto"/>
          <w:sz w:val="22"/>
          <w:szCs w:val="22"/>
          <w:lang w:val="fr-CA"/>
        </w:rPr>
        <w:t>ÉAFFIRME l’</w:t>
      </w:r>
      <w:r w:rsidR="003C2910" w:rsidRPr="0047280C">
        <w:rPr>
          <w:rFonts w:asciiTheme="minorHAnsi" w:hAnsiTheme="minorHAnsi"/>
          <w:color w:val="auto"/>
          <w:sz w:val="22"/>
          <w:szCs w:val="22"/>
          <w:lang w:val="fr-CA"/>
        </w:rPr>
        <w:t xml:space="preserve">importance </w:t>
      </w:r>
      <w:r w:rsidR="00222EF4">
        <w:rPr>
          <w:rFonts w:asciiTheme="minorHAnsi" w:hAnsiTheme="minorHAnsi"/>
          <w:color w:val="auto"/>
          <w:sz w:val="22"/>
          <w:szCs w:val="22"/>
          <w:lang w:val="fr-CA"/>
        </w:rPr>
        <w:t xml:space="preserve">de la Convention de Ramsar pour la conservation de toutes les zones humides, </w:t>
      </w:r>
      <w:r w:rsidR="00977218">
        <w:rPr>
          <w:rFonts w:asciiTheme="minorHAnsi" w:hAnsiTheme="minorHAnsi"/>
          <w:color w:val="auto"/>
          <w:sz w:val="22"/>
          <w:szCs w:val="22"/>
          <w:lang w:val="fr-CA"/>
        </w:rPr>
        <w:t>notamment</w:t>
      </w:r>
      <w:r w:rsidR="00222EF4">
        <w:rPr>
          <w:rFonts w:asciiTheme="minorHAnsi" w:hAnsiTheme="minorHAnsi"/>
          <w:color w:val="auto"/>
          <w:sz w:val="22"/>
          <w:szCs w:val="22"/>
          <w:lang w:val="fr-CA"/>
        </w:rPr>
        <w:t xml:space="preserve"> les écosystèmes côtiers de carbone bleu et écosystèmes associés, et le maintien de leurs caractéristiques écologiques. </w:t>
      </w:r>
    </w:p>
    <w:p w14:paraId="01F00C3E" w14:textId="77777777" w:rsidR="00C63285" w:rsidRPr="0047280C" w:rsidRDefault="00C63285" w:rsidP="00C63285">
      <w:pPr>
        <w:pStyle w:val="Default"/>
        <w:ind w:left="425" w:hanging="425"/>
        <w:rPr>
          <w:rFonts w:asciiTheme="minorHAnsi" w:hAnsiTheme="minorHAnsi"/>
          <w:color w:val="auto"/>
          <w:sz w:val="22"/>
          <w:szCs w:val="22"/>
          <w:lang w:val="fr-CA"/>
        </w:rPr>
      </w:pPr>
    </w:p>
    <w:p w14:paraId="711267C9" w14:textId="359F664A" w:rsidR="003C2910" w:rsidRPr="0047280C" w:rsidRDefault="00713D85" w:rsidP="00C63285">
      <w:pPr>
        <w:pStyle w:val="Default"/>
        <w:ind w:left="425" w:hanging="425"/>
        <w:rPr>
          <w:rFonts w:asciiTheme="minorHAnsi" w:hAnsiTheme="minorHAnsi"/>
          <w:color w:val="auto"/>
          <w:sz w:val="22"/>
          <w:szCs w:val="22"/>
          <w:lang w:val="fr-CA"/>
        </w:rPr>
      </w:pPr>
      <w:r w:rsidRPr="0047280C">
        <w:rPr>
          <w:rFonts w:asciiTheme="minorHAnsi" w:hAnsiTheme="minorHAnsi"/>
          <w:color w:val="auto"/>
          <w:sz w:val="22"/>
          <w:szCs w:val="22"/>
          <w:lang w:val="fr-CA"/>
        </w:rPr>
        <w:lastRenderedPageBreak/>
        <w:t>8</w:t>
      </w:r>
      <w:r w:rsidR="00427B85" w:rsidRPr="0047280C">
        <w:rPr>
          <w:rFonts w:asciiTheme="minorHAnsi" w:hAnsiTheme="minorHAnsi"/>
          <w:color w:val="auto"/>
          <w:sz w:val="22"/>
          <w:szCs w:val="22"/>
          <w:lang w:val="fr-CA"/>
        </w:rPr>
        <w:t>.</w:t>
      </w:r>
      <w:r w:rsidR="00427B85" w:rsidRPr="0047280C">
        <w:rPr>
          <w:rFonts w:asciiTheme="minorHAnsi" w:hAnsiTheme="minorHAnsi"/>
          <w:color w:val="auto"/>
          <w:sz w:val="22"/>
          <w:szCs w:val="22"/>
          <w:lang w:val="fr-CA"/>
        </w:rPr>
        <w:tab/>
      </w:r>
      <w:r w:rsidR="00222EF4">
        <w:rPr>
          <w:rFonts w:asciiTheme="minorHAnsi" w:hAnsiTheme="minorHAnsi"/>
          <w:color w:val="auto"/>
          <w:sz w:val="22"/>
          <w:szCs w:val="22"/>
          <w:lang w:val="fr-CA"/>
        </w:rPr>
        <w:t xml:space="preserve">AFFIRME </w:t>
      </w:r>
      <w:r w:rsidR="00977218">
        <w:rPr>
          <w:rFonts w:asciiTheme="minorHAnsi" w:hAnsiTheme="minorHAnsi"/>
          <w:color w:val="auto"/>
          <w:sz w:val="22"/>
          <w:szCs w:val="22"/>
          <w:lang w:val="fr-CA"/>
        </w:rPr>
        <w:t>l’</w:t>
      </w:r>
      <w:r w:rsidR="00222EF4">
        <w:rPr>
          <w:rFonts w:asciiTheme="minorHAnsi" w:hAnsiTheme="minorHAnsi"/>
          <w:color w:val="auto"/>
          <w:sz w:val="22"/>
          <w:szCs w:val="22"/>
          <w:lang w:val="fr-CA"/>
        </w:rPr>
        <w:t>importan</w:t>
      </w:r>
      <w:r w:rsidR="00977218">
        <w:rPr>
          <w:rFonts w:asciiTheme="minorHAnsi" w:hAnsiTheme="minorHAnsi"/>
          <w:color w:val="auto"/>
          <w:sz w:val="22"/>
          <w:szCs w:val="22"/>
          <w:lang w:val="fr-CA"/>
        </w:rPr>
        <w:t>c</w:t>
      </w:r>
      <w:r w:rsidR="00222EF4">
        <w:rPr>
          <w:rFonts w:asciiTheme="minorHAnsi" w:hAnsiTheme="minorHAnsi"/>
          <w:color w:val="auto"/>
          <w:sz w:val="22"/>
          <w:szCs w:val="22"/>
          <w:lang w:val="fr-CA"/>
        </w:rPr>
        <w:t xml:space="preserve">e des zones humides côtières pour l’atténuation des changements climatiques et l’adaptation à leurs effets et AFFIRME </w:t>
      </w:r>
      <w:r w:rsidR="00977218">
        <w:rPr>
          <w:rFonts w:asciiTheme="minorHAnsi" w:hAnsiTheme="minorHAnsi"/>
          <w:color w:val="auto"/>
          <w:sz w:val="22"/>
          <w:szCs w:val="22"/>
          <w:lang w:val="fr-CA"/>
        </w:rPr>
        <w:t>ÉGALEMENT</w:t>
      </w:r>
      <w:r w:rsidR="00222EF4">
        <w:rPr>
          <w:rFonts w:asciiTheme="minorHAnsi" w:hAnsiTheme="minorHAnsi"/>
          <w:color w:val="auto"/>
          <w:sz w:val="22"/>
          <w:szCs w:val="22"/>
          <w:lang w:val="fr-CA"/>
        </w:rPr>
        <w:t xml:space="preserve"> son intention de </w:t>
      </w:r>
      <w:r w:rsidR="00977218">
        <w:rPr>
          <w:rFonts w:asciiTheme="minorHAnsi" w:hAnsiTheme="minorHAnsi"/>
          <w:color w:val="auto"/>
          <w:sz w:val="22"/>
          <w:szCs w:val="22"/>
          <w:lang w:val="fr-CA"/>
        </w:rPr>
        <w:t>mener</w:t>
      </w:r>
      <w:r w:rsidR="00222EF4">
        <w:rPr>
          <w:rFonts w:asciiTheme="minorHAnsi" w:hAnsiTheme="minorHAnsi"/>
          <w:color w:val="auto"/>
          <w:sz w:val="22"/>
          <w:szCs w:val="22"/>
          <w:lang w:val="fr-CA"/>
        </w:rPr>
        <w:t xml:space="preserve"> des politiques et des projets en vue de conserver et restaurer ces écosystèmes.</w:t>
      </w:r>
    </w:p>
    <w:p w14:paraId="6A246BE0" w14:textId="77777777" w:rsidR="00C63285" w:rsidRPr="0047280C" w:rsidRDefault="00C63285" w:rsidP="00C63285">
      <w:pPr>
        <w:pStyle w:val="Default"/>
        <w:ind w:left="425" w:hanging="425"/>
        <w:rPr>
          <w:rFonts w:asciiTheme="minorHAnsi" w:hAnsiTheme="minorHAnsi"/>
          <w:color w:val="auto"/>
          <w:sz w:val="22"/>
          <w:szCs w:val="22"/>
          <w:lang w:val="fr-CA"/>
        </w:rPr>
      </w:pPr>
    </w:p>
    <w:p w14:paraId="124B69D6" w14:textId="2975EE3D" w:rsidR="003C2910" w:rsidRPr="0047280C" w:rsidRDefault="00713D85" w:rsidP="00C63285">
      <w:pPr>
        <w:pStyle w:val="Default"/>
        <w:ind w:left="425" w:hanging="425"/>
        <w:rPr>
          <w:rFonts w:asciiTheme="minorHAnsi" w:hAnsiTheme="minorHAnsi"/>
          <w:color w:val="auto"/>
          <w:sz w:val="22"/>
          <w:szCs w:val="22"/>
          <w:lang w:val="fr-CA"/>
        </w:rPr>
      </w:pPr>
      <w:r w:rsidRPr="0047280C">
        <w:rPr>
          <w:rFonts w:asciiTheme="minorHAnsi" w:hAnsiTheme="minorHAnsi"/>
          <w:color w:val="auto"/>
          <w:sz w:val="22"/>
          <w:szCs w:val="22"/>
          <w:lang w:val="fr-CA"/>
        </w:rPr>
        <w:t>9</w:t>
      </w:r>
      <w:r w:rsidR="00427B85" w:rsidRPr="0047280C">
        <w:rPr>
          <w:rFonts w:asciiTheme="minorHAnsi" w:hAnsiTheme="minorHAnsi"/>
          <w:color w:val="auto"/>
          <w:sz w:val="22"/>
          <w:szCs w:val="22"/>
          <w:lang w:val="fr-CA"/>
        </w:rPr>
        <w:t>.</w:t>
      </w:r>
      <w:r w:rsidR="00427B85" w:rsidRPr="0047280C">
        <w:rPr>
          <w:rFonts w:asciiTheme="minorHAnsi" w:hAnsiTheme="minorHAnsi"/>
          <w:color w:val="auto"/>
          <w:sz w:val="22"/>
          <w:szCs w:val="22"/>
          <w:lang w:val="fr-CA"/>
        </w:rPr>
        <w:tab/>
      </w:r>
      <w:r w:rsidR="00222EF4">
        <w:rPr>
          <w:rFonts w:asciiTheme="minorHAnsi" w:hAnsiTheme="minorHAnsi"/>
          <w:color w:val="auto"/>
          <w:sz w:val="22"/>
          <w:szCs w:val="22"/>
          <w:lang w:val="fr-CA"/>
        </w:rPr>
        <w:t xml:space="preserve">ENCOURAGE les Parties contractantes à la Convention de Ramsar </w:t>
      </w:r>
      <w:r w:rsidR="000E1E39">
        <w:rPr>
          <w:rFonts w:asciiTheme="minorHAnsi" w:hAnsiTheme="minorHAnsi"/>
          <w:color w:val="auto"/>
          <w:sz w:val="22"/>
          <w:szCs w:val="22"/>
          <w:lang w:val="fr-CA"/>
        </w:rPr>
        <w:t>ayant</w:t>
      </w:r>
      <w:r w:rsidR="00222EF4">
        <w:rPr>
          <w:rFonts w:asciiTheme="minorHAnsi" w:hAnsiTheme="minorHAnsi"/>
          <w:color w:val="auto"/>
          <w:sz w:val="22"/>
          <w:szCs w:val="22"/>
          <w:lang w:val="fr-CA"/>
        </w:rPr>
        <w:t xml:space="preserve"> des écosystèmes côtiers de carbone bleu sur leur territoire à déterminer </w:t>
      </w:r>
      <w:r w:rsidR="000E1E39">
        <w:rPr>
          <w:rFonts w:asciiTheme="minorHAnsi" w:hAnsiTheme="minorHAnsi"/>
          <w:color w:val="auto"/>
          <w:sz w:val="22"/>
          <w:szCs w:val="22"/>
          <w:lang w:val="fr-CA"/>
        </w:rPr>
        <w:t xml:space="preserve">les </w:t>
      </w:r>
      <w:r w:rsidR="00222EF4">
        <w:rPr>
          <w:rFonts w:asciiTheme="minorHAnsi" w:hAnsiTheme="minorHAnsi"/>
          <w:color w:val="auto"/>
          <w:sz w:val="22"/>
          <w:szCs w:val="22"/>
          <w:lang w:val="fr-CA"/>
        </w:rPr>
        <w:t>avantages de ces écosystèmes dans leurs pays, en particulier pour le développement durable et l’atténuation des changements climatiques et l’adaptation à ces changements</w:t>
      </w:r>
      <w:r w:rsidR="000E1E39" w:rsidRPr="000E1E39">
        <w:rPr>
          <w:rFonts w:asciiTheme="minorHAnsi" w:hAnsiTheme="minorHAnsi"/>
          <w:color w:val="auto"/>
          <w:sz w:val="22"/>
          <w:szCs w:val="22"/>
          <w:lang w:val="fr-CA"/>
        </w:rPr>
        <w:t xml:space="preserve"> </w:t>
      </w:r>
      <w:r w:rsidR="000E1E39">
        <w:rPr>
          <w:rFonts w:asciiTheme="minorHAnsi" w:hAnsiTheme="minorHAnsi"/>
          <w:color w:val="auto"/>
          <w:sz w:val="22"/>
          <w:szCs w:val="22"/>
          <w:lang w:val="fr-CA"/>
        </w:rPr>
        <w:t>et à sensibiliser à ces avantages</w:t>
      </w:r>
      <w:r w:rsidR="00222EF4">
        <w:rPr>
          <w:rFonts w:asciiTheme="minorHAnsi" w:hAnsiTheme="minorHAnsi"/>
          <w:color w:val="auto"/>
          <w:sz w:val="22"/>
          <w:szCs w:val="22"/>
          <w:lang w:val="fr-CA"/>
        </w:rPr>
        <w:t xml:space="preserve">. </w:t>
      </w:r>
    </w:p>
    <w:p w14:paraId="7227FB13" w14:textId="77777777" w:rsidR="00C63285" w:rsidRPr="0047280C" w:rsidRDefault="00C63285" w:rsidP="00C63285">
      <w:pPr>
        <w:pStyle w:val="Default"/>
        <w:rPr>
          <w:rFonts w:asciiTheme="minorHAnsi" w:hAnsiTheme="minorHAnsi"/>
          <w:caps/>
          <w:sz w:val="22"/>
          <w:szCs w:val="22"/>
          <w:lang w:val="fr-CA"/>
        </w:rPr>
      </w:pPr>
    </w:p>
    <w:p w14:paraId="02D7FAEC" w14:textId="61CA86AF" w:rsidR="00BC66FA" w:rsidRPr="0047280C" w:rsidRDefault="00713D85" w:rsidP="00427B85">
      <w:pPr>
        <w:pStyle w:val="NoSpacing"/>
        <w:ind w:left="425" w:hanging="425"/>
        <w:rPr>
          <w:lang w:val="fr-CA"/>
        </w:rPr>
      </w:pPr>
      <w:r w:rsidRPr="0047280C">
        <w:rPr>
          <w:caps/>
          <w:lang w:val="fr-CA"/>
        </w:rPr>
        <w:t>10</w:t>
      </w:r>
      <w:r w:rsidR="00427B85" w:rsidRPr="0047280C">
        <w:rPr>
          <w:caps/>
          <w:lang w:val="fr-CA"/>
        </w:rPr>
        <w:t>.</w:t>
      </w:r>
      <w:r w:rsidR="00427B85" w:rsidRPr="0047280C">
        <w:rPr>
          <w:caps/>
          <w:lang w:val="fr-CA"/>
        </w:rPr>
        <w:tab/>
      </w:r>
      <w:r w:rsidR="00B54452">
        <w:rPr>
          <w:caps/>
          <w:lang w:val="fr-CA"/>
        </w:rPr>
        <w:t xml:space="preserve">ENCOURAGE </w:t>
      </w:r>
      <w:r w:rsidR="000E1E39">
        <w:rPr>
          <w:caps/>
          <w:lang w:val="fr-CA"/>
        </w:rPr>
        <w:t>AUSSI</w:t>
      </w:r>
      <w:r w:rsidR="00B54452">
        <w:rPr>
          <w:caps/>
          <w:lang w:val="fr-CA"/>
        </w:rPr>
        <w:t xml:space="preserve"> </w:t>
      </w:r>
      <w:r w:rsidR="00B54452">
        <w:rPr>
          <w:lang w:val="fr-CA"/>
        </w:rPr>
        <w:t xml:space="preserve">les Parties contractantes ayant des écosystèmes côtiers de carbone bleu sur leur territoire à rassembler et analyser les données, établir la cartographie de ces écosystèmes et mettre cette information à la disposition du public dans le but :  </w:t>
      </w:r>
    </w:p>
    <w:p w14:paraId="2CD05EDE" w14:textId="77777777" w:rsidR="00721B97" w:rsidRPr="0047280C" w:rsidRDefault="00721B97" w:rsidP="00427B85">
      <w:pPr>
        <w:pStyle w:val="NoSpacing"/>
        <w:ind w:left="425" w:hanging="425"/>
        <w:rPr>
          <w:lang w:val="fr-CA"/>
        </w:rPr>
      </w:pPr>
    </w:p>
    <w:p w14:paraId="32C1DC51" w14:textId="1019C2C1" w:rsidR="007565A0" w:rsidRPr="0047280C" w:rsidRDefault="007565A0" w:rsidP="007565A0">
      <w:pPr>
        <w:pStyle w:val="NoSpacing"/>
        <w:ind w:left="425"/>
        <w:rPr>
          <w:lang w:val="fr-CA"/>
        </w:rPr>
      </w:pPr>
      <w:r w:rsidRPr="0047280C">
        <w:rPr>
          <w:lang w:val="fr-CA"/>
        </w:rPr>
        <w:t>i)</w:t>
      </w:r>
      <w:r w:rsidRPr="0047280C">
        <w:rPr>
          <w:lang w:val="fr-CA"/>
        </w:rPr>
        <w:tab/>
      </w:r>
      <w:r w:rsidR="006E6BFF">
        <w:rPr>
          <w:lang w:val="fr-CA"/>
        </w:rPr>
        <w:t xml:space="preserve">de mettre à jour leurs </w:t>
      </w:r>
      <w:r w:rsidR="000E1E39">
        <w:rPr>
          <w:lang w:val="fr-CA"/>
        </w:rPr>
        <w:t>i</w:t>
      </w:r>
      <w:r w:rsidR="006E6BFF">
        <w:rPr>
          <w:lang w:val="fr-CA"/>
        </w:rPr>
        <w:t>nventaires des zones humides;</w:t>
      </w:r>
    </w:p>
    <w:p w14:paraId="0A004852" w14:textId="77777777" w:rsidR="00721B97" w:rsidRPr="0047280C" w:rsidRDefault="00721B97" w:rsidP="007565A0">
      <w:pPr>
        <w:pStyle w:val="NoSpacing"/>
        <w:ind w:left="425"/>
        <w:rPr>
          <w:lang w:val="fr-CA"/>
        </w:rPr>
      </w:pPr>
    </w:p>
    <w:p w14:paraId="522DEC30" w14:textId="3458B066" w:rsidR="007565A0" w:rsidRPr="0047280C" w:rsidRDefault="007565A0" w:rsidP="007565A0">
      <w:pPr>
        <w:pStyle w:val="NoSpacing"/>
        <w:ind w:left="425"/>
        <w:rPr>
          <w:lang w:val="fr-CA"/>
        </w:rPr>
      </w:pPr>
      <w:r w:rsidRPr="0047280C">
        <w:rPr>
          <w:lang w:val="fr-CA"/>
        </w:rPr>
        <w:t xml:space="preserve">ii) </w:t>
      </w:r>
      <w:r w:rsidRPr="0047280C">
        <w:rPr>
          <w:lang w:val="fr-CA"/>
        </w:rPr>
        <w:tab/>
      </w:r>
      <w:r w:rsidR="006E6BFF">
        <w:rPr>
          <w:lang w:val="fr-CA"/>
        </w:rPr>
        <w:t xml:space="preserve">de déterminer la gamme des services </w:t>
      </w:r>
      <w:r w:rsidR="000E1E39">
        <w:rPr>
          <w:lang w:val="fr-CA"/>
        </w:rPr>
        <w:t>que ces écosystèmes</w:t>
      </w:r>
      <w:r w:rsidR="006E6BFF" w:rsidRPr="004152B6">
        <w:rPr>
          <w:lang w:val="fr-CA"/>
        </w:rPr>
        <w:t xml:space="preserve"> e</w:t>
      </w:r>
      <w:r w:rsidR="006E6BFF">
        <w:rPr>
          <w:lang w:val="fr-CA"/>
        </w:rPr>
        <w:t>ntretiennent;</w:t>
      </w:r>
      <w:r w:rsidRPr="0047280C">
        <w:rPr>
          <w:lang w:val="fr-CA"/>
        </w:rPr>
        <w:t xml:space="preserve">  </w:t>
      </w:r>
    </w:p>
    <w:p w14:paraId="67C8CDAD" w14:textId="77777777" w:rsidR="00721B97" w:rsidRPr="0047280C" w:rsidRDefault="00721B97" w:rsidP="007565A0">
      <w:pPr>
        <w:pStyle w:val="NoSpacing"/>
        <w:ind w:left="425"/>
        <w:rPr>
          <w:lang w:val="fr-CA"/>
        </w:rPr>
      </w:pPr>
    </w:p>
    <w:p w14:paraId="0AF38D3F" w14:textId="5BD971D2" w:rsidR="00A44D66" w:rsidRPr="0047280C" w:rsidRDefault="007565A0" w:rsidP="007565A0">
      <w:pPr>
        <w:pStyle w:val="NoSpacing"/>
        <w:ind w:left="720" w:hanging="295"/>
        <w:rPr>
          <w:lang w:val="fr-CA"/>
        </w:rPr>
      </w:pPr>
      <w:r w:rsidRPr="0047280C">
        <w:rPr>
          <w:lang w:val="fr-CA"/>
        </w:rPr>
        <w:t xml:space="preserve">iii) </w:t>
      </w:r>
      <w:r w:rsidRPr="0047280C">
        <w:rPr>
          <w:lang w:val="fr-CA"/>
        </w:rPr>
        <w:tab/>
      </w:r>
      <w:r w:rsidR="000E1E39">
        <w:rPr>
          <w:lang w:val="fr-CA"/>
        </w:rPr>
        <w:t>de contribuer à la</w:t>
      </w:r>
      <w:r w:rsidR="006E6BFF">
        <w:rPr>
          <w:lang w:val="fr-CA"/>
        </w:rPr>
        <w:t xml:space="preserve"> sensibilisation internationale à l’étendue mondiale de ces écosystèmes</w:t>
      </w:r>
      <w:r w:rsidR="00F35176">
        <w:rPr>
          <w:lang w:val="fr-CA"/>
        </w:rPr>
        <w:t>, éventuellement par l’intermédiaire de l’</w:t>
      </w:r>
      <w:r w:rsidR="000E1E39">
        <w:rPr>
          <w:lang w:val="fr-CA"/>
        </w:rPr>
        <w:t>É</w:t>
      </w:r>
      <w:r w:rsidR="00F35176">
        <w:rPr>
          <w:lang w:val="fr-CA"/>
        </w:rPr>
        <w:t xml:space="preserve">tat mondial des zones humides; </w:t>
      </w:r>
    </w:p>
    <w:p w14:paraId="6DFAF6F4" w14:textId="77777777" w:rsidR="00721B97" w:rsidRPr="0047280C" w:rsidRDefault="00721B97" w:rsidP="007565A0">
      <w:pPr>
        <w:pStyle w:val="NoSpacing"/>
        <w:ind w:left="720" w:hanging="295"/>
        <w:rPr>
          <w:lang w:val="fr-CA"/>
        </w:rPr>
      </w:pPr>
    </w:p>
    <w:p w14:paraId="7864A77A" w14:textId="5AA60E53" w:rsidR="000217C8" w:rsidRPr="0047280C" w:rsidRDefault="00A44D66" w:rsidP="007565A0">
      <w:pPr>
        <w:pStyle w:val="NoSpacing"/>
        <w:ind w:left="720" w:hanging="295"/>
        <w:rPr>
          <w:lang w:val="fr-CA"/>
        </w:rPr>
      </w:pPr>
      <w:r w:rsidRPr="0047280C">
        <w:rPr>
          <w:lang w:val="fr-CA"/>
        </w:rPr>
        <w:t xml:space="preserve">iv) </w:t>
      </w:r>
      <w:r w:rsidR="00B93381">
        <w:rPr>
          <w:lang w:val="fr-CA"/>
        </w:rPr>
        <w:tab/>
        <w:t xml:space="preserve">d’estimer les </w:t>
      </w:r>
      <w:r w:rsidR="000E1E39">
        <w:rPr>
          <w:lang w:val="fr-CA"/>
        </w:rPr>
        <w:t xml:space="preserve">quantités </w:t>
      </w:r>
      <w:r w:rsidR="00B93381">
        <w:rPr>
          <w:lang w:val="fr-CA"/>
        </w:rPr>
        <w:t xml:space="preserve">de carbone </w:t>
      </w:r>
      <w:r w:rsidR="000E1E39">
        <w:rPr>
          <w:lang w:val="fr-CA"/>
        </w:rPr>
        <w:t>stockées</w:t>
      </w:r>
      <w:r w:rsidR="00B93381">
        <w:rPr>
          <w:lang w:val="fr-CA"/>
        </w:rPr>
        <w:t xml:space="preserve"> dans leurs zones humides côtières; et</w:t>
      </w:r>
    </w:p>
    <w:p w14:paraId="069A8ECC" w14:textId="77777777" w:rsidR="000217C8" w:rsidRPr="0047280C" w:rsidRDefault="000217C8" w:rsidP="007565A0">
      <w:pPr>
        <w:pStyle w:val="NoSpacing"/>
        <w:ind w:left="720" w:hanging="295"/>
        <w:rPr>
          <w:lang w:val="fr-CA"/>
        </w:rPr>
      </w:pPr>
    </w:p>
    <w:p w14:paraId="46CAD956" w14:textId="6CCE28EB" w:rsidR="00BC66FA" w:rsidRPr="0047280C" w:rsidRDefault="00B93381" w:rsidP="000217C8">
      <w:pPr>
        <w:pStyle w:val="NoSpacing"/>
        <w:ind w:left="720" w:hanging="295"/>
        <w:rPr>
          <w:lang w:val="fr-CA"/>
        </w:rPr>
      </w:pPr>
      <w:r>
        <w:rPr>
          <w:lang w:val="fr-CA"/>
        </w:rPr>
        <w:t>v)</w:t>
      </w:r>
      <w:r>
        <w:rPr>
          <w:lang w:val="fr-CA"/>
        </w:rPr>
        <w:tab/>
        <w:t xml:space="preserve">de mettre à jour leurs inventaires des stocks nationaux de gaz à effet de serre et de carbone dans les zones humides. </w:t>
      </w:r>
    </w:p>
    <w:p w14:paraId="6F00814B" w14:textId="01C38532" w:rsidR="003C2910" w:rsidRPr="0047280C" w:rsidRDefault="003C2910" w:rsidP="00BC66FA">
      <w:pPr>
        <w:pStyle w:val="NoSpacing"/>
        <w:ind w:left="425"/>
        <w:rPr>
          <w:lang w:val="fr-CA"/>
        </w:rPr>
      </w:pPr>
    </w:p>
    <w:p w14:paraId="4F82716F" w14:textId="22E62588" w:rsidR="00044555" w:rsidRPr="0047280C" w:rsidRDefault="00427B85" w:rsidP="00044555">
      <w:pPr>
        <w:widowControl w:val="0"/>
        <w:tabs>
          <w:tab w:val="left" w:pos="426"/>
        </w:tabs>
        <w:autoSpaceDE w:val="0"/>
        <w:autoSpaceDN w:val="0"/>
        <w:adjustRightInd w:val="0"/>
        <w:spacing w:after="0" w:line="240" w:lineRule="auto"/>
        <w:ind w:left="425" w:hangingChars="193" w:hanging="425"/>
        <w:rPr>
          <w:rFonts w:eastAsiaTheme="minorEastAsia" w:cstheme="minorHAnsi"/>
          <w:lang w:val="fr-CA"/>
        </w:rPr>
      </w:pPr>
      <w:r w:rsidRPr="0047280C">
        <w:rPr>
          <w:lang w:val="fr-CA"/>
        </w:rPr>
        <w:t>1</w:t>
      </w:r>
      <w:r w:rsidR="00713D85" w:rsidRPr="0047280C">
        <w:rPr>
          <w:lang w:val="fr-CA"/>
        </w:rPr>
        <w:t>2</w:t>
      </w:r>
      <w:r w:rsidRPr="0047280C">
        <w:rPr>
          <w:lang w:val="fr-CA"/>
        </w:rPr>
        <w:t>.</w:t>
      </w:r>
      <w:r w:rsidRPr="0047280C">
        <w:rPr>
          <w:lang w:val="fr-CA"/>
        </w:rPr>
        <w:tab/>
      </w:r>
      <w:r w:rsidR="00B93381">
        <w:rPr>
          <w:lang w:val="fr-CA"/>
        </w:rPr>
        <w:t xml:space="preserve">ENCOURAGE </w:t>
      </w:r>
      <w:r w:rsidR="000E1E39">
        <w:rPr>
          <w:lang w:val="fr-CA" w:eastAsia="ja-JP"/>
        </w:rPr>
        <w:t>ÉGALEMENT</w:t>
      </w:r>
      <w:r w:rsidR="000E1E39">
        <w:rPr>
          <w:lang w:val="fr-CA"/>
        </w:rPr>
        <w:t xml:space="preserve"> </w:t>
      </w:r>
      <w:r w:rsidR="00B93381">
        <w:rPr>
          <w:lang w:val="fr-CA"/>
        </w:rPr>
        <w:t>les Parties contractantes ayant des écosystèmes côtiers de carbone bleu sur leur territoire à appliquer des approches intégrées et fondées sur les écosystèmes pour gérer leurs écosystèmes, conformément aux « </w:t>
      </w:r>
      <w:r w:rsidR="00B93381">
        <w:rPr>
          <w:rFonts w:eastAsiaTheme="minorEastAsia" w:cstheme="minorHAnsi"/>
          <w:i/>
          <w:lang w:val="fr-CA" w:eastAsia="ja-JP"/>
        </w:rPr>
        <w:t>Princip</w:t>
      </w:r>
      <w:r w:rsidR="00044555" w:rsidRPr="0047280C">
        <w:rPr>
          <w:rFonts w:eastAsiaTheme="minorEastAsia" w:cstheme="minorHAnsi"/>
          <w:i/>
          <w:lang w:val="fr-CA" w:eastAsia="ja-JP"/>
        </w:rPr>
        <w:t xml:space="preserve">es </w:t>
      </w:r>
      <w:r w:rsidR="00B93381">
        <w:rPr>
          <w:rFonts w:eastAsiaTheme="minorEastAsia" w:cstheme="minorHAnsi"/>
          <w:i/>
          <w:lang w:val="fr-CA" w:eastAsia="ja-JP"/>
        </w:rPr>
        <w:t xml:space="preserve">et lignes directrices pour intégrer les questions relatives aux zones humides dans la gestion intégrée de la zone côtière (GIZC) » </w:t>
      </w:r>
      <w:r w:rsidR="000E1E39">
        <w:rPr>
          <w:rFonts w:eastAsiaTheme="minorEastAsia" w:cstheme="minorHAnsi"/>
          <w:lang w:val="fr-CA" w:eastAsia="ja-JP"/>
        </w:rPr>
        <w:t>énoncés</w:t>
      </w:r>
      <w:r w:rsidR="00B93381" w:rsidRPr="00B93381">
        <w:rPr>
          <w:rFonts w:eastAsiaTheme="minorEastAsia" w:cstheme="minorHAnsi"/>
          <w:lang w:val="fr-CA" w:eastAsia="ja-JP"/>
        </w:rPr>
        <w:t xml:space="preserve"> dans la Résolution</w:t>
      </w:r>
      <w:r w:rsidR="00B93381">
        <w:rPr>
          <w:rFonts w:eastAsiaTheme="minorEastAsia" w:cstheme="minorHAnsi"/>
          <w:i/>
          <w:lang w:val="fr-CA" w:eastAsia="ja-JP"/>
        </w:rPr>
        <w:t xml:space="preserve"> </w:t>
      </w:r>
      <w:r w:rsidR="003C4EE5" w:rsidRPr="0047280C">
        <w:rPr>
          <w:rFonts w:eastAsiaTheme="minorEastAsia" w:cstheme="minorHAnsi"/>
          <w:bCs/>
          <w:lang w:val="fr-CA" w:eastAsia="ja-JP"/>
        </w:rPr>
        <w:t xml:space="preserve">VIII.4, </w:t>
      </w:r>
      <w:r w:rsidR="000E1E39">
        <w:rPr>
          <w:rFonts w:eastAsiaTheme="minorEastAsia" w:cstheme="minorHAnsi"/>
          <w:bCs/>
          <w:lang w:val="fr-CA" w:eastAsia="ja-JP"/>
        </w:rPr>
        <w:t>pour faire reconnaître</w:t>
      </w:r>
      <w:r w:rsidR="00B93381">
        <w:rPr>
          <w:rFonts w:eastAsiaTheme="minorEastAsia" w:cstheme="minorHAnsi"/>
          <w:bCs/>
          <w:lang w:val="fr-CA" w:eastAsia="ja-JP"/>
        </w:rPr>
        <w:t xml:space="preserve"> leurs valeurs, fonctions et services, notamment leur rôle en matière d’atténuation des changements climatiques et d’adaptation à ces changements.</w:t>
      </w:r>
      <w:r w:rsidR="00044555" w:rsidRPr="0047280C">
        <w:rPr>
          <w:rFonts w:eastAsiaTheme="minorEastAsia" w:cstheme="minorHAnsi"/>
          <w:bCs/>
          <w:lang w:val="fr-CA" w:eastAsia="ja-JP"/>
        </w:rPr>
        <w:t xml:space="preserve">  </w:t>
      </w:r>
    </w:p>
    <w:p w14:paraId="5A46802C" w14:textId="77777777" w:rsidR="00044555" w:rsidRPr="0047280C" w:rsidRDefault="00044555" w:rsidP="00044555">
      <w:pPr>
        <w:spacing w:after="0" w:line="240" w:lineRule="auto"/>
        <w:ind w:left="425" w:hanging="425"/>
        <w:rPr>
          <w:rFonts w:eastAsiaTheme="minorEastAsia"/>
          <w:lang w:val="fr-CA" w:eastAsia="ja-JP"/>
        </w:rPr>
      </w:pPr>
    </w:p>
    <w:p w14:paraId="5DAFF173" w14:textId="37A8BAA6" w:rsidR="00044555" w:rsidRPr="0047280C" w:rsidRDefault="00713D85" w:rsidP="00044555">
      <w:pPr>
        <w:tabs>
          <w:tab w:val="left" w:pos="426"/>
        </w:tabs>
        <w:spacing w:after="0" w:line="240" w:lineRule="auto"/>
        <w:ind w:left="425" w:hanging="425"/>
        <w:rPr>
          <w:rFonts w:eastAsiaTheme="minorEastAsia" w:cstheme="minorHAnsi"/>
          <w:lang w:val="fr-CA" w:eastAsia="ja-JP"/>
        </w:rPr>
      </w:pPr>
      <w:r w:rsidRPr="0047280C">
        <w:rPr>
          <w:rFonts w:eastAsiaTheme="minorEastAsia"/>
          <w:lang w:val="fr-CA" w:eastAsia="ja-JP"/>
        </w:rPr>
        <w:t>13</w:t>
      </w:r>
      <w:r w:rsidR="00044555" w:rsidRPr="0047280C">
        <w:rPr>
          <w:rFonts w:eastAsiaTheme="minorEastAsia"/>
          <w:lang w:val="fr-CA" w:eastAsia="ja-JP"/>
        </w:rPr>
        <w:t>.</w:t>
      </w:r>
      <w:r w:rsidR="00044555" w:rsidRPr="0047280C">
        <w:rPr>
          <w:rFonts w:eastAsiaTheme="minorEastAsia"/>
          <w:lang w:val="fr-CA" w:eastAsia="ja-JP"/>
        </w:rPr>
        <w:tab/>
      </w:r>
      <w:r w:rsidR="00B93381">
        <w:rPr>
          <w:rFonts w:eastAsiaTheme="minorEastAsia"/>
          <w:lang w:val="fr-CA" w:eastAsia="ja-JP"/>
        </w:rPr>
        <w:t xml:space="preserve">ENCOURAGE </w:t>
      </w:r>
      <w:r w:rsidR="000E1E39">
        <w:rPr>
          <w:rFonts w:eastAsiaTheme="minorEastAsia"/>
          <w:lang w:val="fr-CA" w:eastAsia="ja-JP"/>
        </w:rPr>
        <w:t>PAR AILLEURS</w:t>
      </w:r>
      <w:r w:rsidR="00B93381">
        <w:rPr>
          <w:rFonts w:eastAsiaTheme="minorEastAsia"/>
          <w:lang w:val="fr-CA" w:eastAsia="ja-JP"/>
        </w:rPr>
        <w:t xml:space="preserve"> les Parties contractantes ayant des écosystèmes côtiers de carbone bleu sur leur territoire à promouvoir la participation, le dialogue et la collaboration pour la gestion de ces écosystèmes entre toute une gamme d’acteurs, y compris les communautés locales, le secteur privé, les gouvernements nationaux et locaux, les ONG et les instituts de recherche.</w:t>
      </w:r>
      <w:r w:rsidR="00044555" w:rsidRPr="0047280C">
        <w:rPr>
          <w:rFonts w:eastAsiaTheme="minorEastAsia" w:cstheme="minorHAnsi"/>
          <w:lang w:val="fr-CA" w:eastAsia="ja-JP"/>
        </w:rPr>
        <w:t xml:space="preserve"> </w:t>
      </w:r>
    </w:p>
    <w:p w14:paraId="7B50F2FE" w14:textId="76BB669C" w:rsidR="00281729" w:rsidRPr="0047280C" w:rsidRDefault="00281729" w:rsidP="00044555">
      <w:pPr>
        <w:tabs>
          <w:tab w:val="left" w:pos="426"/>
        </w:tabs>
        <w:spacing w:after="0" w:line="240" w:lineRule="auto"/>
        <w:ind w:left="425" w:hanging="425"/>
        <w:rPr>
          <w:rFonts w:eastAsiaTheme="minorEastAsia" w:cstheme="minorHAnsi"/>
          <w:lang w:val="fr-CA" w:eastAsia="ja-JP"/>
        </w:rPr>
      </w:pPr>
    </w:p>
    <w:p w14:paraId="6F502424" w14:textId="723AA1AD" w:rsidR="00281729" w:rsidRPr="0047280C" w:rsidRDefault="00281729" w:rsidP="00281729">
      <w:pPr>
        <w:tabs>
          <w:tab w:val="left" w:pos="426"/>
        </w:tabs>
        <w:spacing w:after="0" w:line="240" w:lineRule="auto"/>
        <w:ind w:left="425" w:hanging="425"/>
        <w:rPr>
          <w:rFonts w:cstheme="minorHAnsi"/>
          <w:lang w:val="fr-CA" w:eastAsia="ja-JP"/>
        </w:rPr>
      </w:pPr>
      <w:r w:rsidRPr="0047280C">
        <w:rPr>
          <w:lang w:val="fr-CA" w:eastAsia="ja-JP"/>
        </w:rPr>
        <w:t>14.</w:t>
      </w:r>
      <w:r w:rsidRPr="0047280C">
        <w:rPr>
          <w:lang w:val="fr-CA" w:eastAsia="ja-JP"/>
        </w:rPr>
        <w:tab/>
      </w:r>
      <w:r w:rsidR="00B93381">
        <w:rPr>
          <w:lang w:val="fr-CA" w:eastAsia="ja-JP"/>
        </w:rPr>
        <w:t xml:space="preserve">ENCOURAGE </w:t>
      </w:r>
      <w:r w:rsidR="000E1E39">
        <w:rPr>
          <w:lang w:val="fr-CA"/>
        </w:rPr>
        <w:t xml:space="preserve">EN OUTRE </w:t>
      </w:r>
      <w:r w:rsidR="00B93381">
        <w:rPr>
          <w:lang w:val="fr-CA" w:eastAsia="ja-JP"/>
        </w:rPr>
        <w:t>les Parties contractantes ayant des écosystèmes côtiers de carbone bleu sur leur territoire à faciliter le partage de l’information, entre les Sites Ramsar et d’autres zones humides possédant des écosystèmes de carbone bleu, sur les valeurs et avantages de ces écosystèmes, y compris pour le piégeage du carbone et d’autres services, et les expériences en matière de conservation, restauration et gestion durable de ces écosystèmes.</w:t>
      </w:r>
    </w:p>
    <w:p w14:paraId="708764AC" w14:textId="77777777" w:rsidR="00281729" w:rsidRPr="0047280C" w:rsidRDefault="00281729" w:rsidP="00281729">
      <w:pPr>
        <w:tabs>
          <w:tab w:val="left" w:pos="426"/>
        </w:tabs>
        <w:spacing w:after="0" w:line="240" w:lineRule="auto"/>
        <w:ind w:left="425" w:hanging="425"/>
        <w:rPr>
          <w:rFonts w:cstheme="minorHAnsi"/>
          <w:lang w:val="fr-CA" w:eastAsia="ja-JP"/>
        </w:rPr>
      </w:pPr>
    </w:p>
    <w:p w14:paraId="6BAD69A9" w14:textId="158875AE" w:rsidR="00281729" w:rsidRPr="0047280C" w:rsidRDefault="00281729" w:rsidP="00281729">
      <w:pPr>
        <w:tabs>
          <w:tab w:val="left" w:pos="426"/>
        </w:tabs>
        <w:spacing w:after="0" w:line="240" w:lineRule="auto"/>
        <w:ind w:left="425" w:hanging="425"/>
        <w:rPr>
          <w:rFonts w:eastAsiaTheme="minorEastAsia" w:cstheme="minorHAnsi"/>
          <w:lang w:val="fr-CA" w:eastAsia="ja-JP"/>
        </w:rPr>
      </w:pPr>
      <w:r w:rsidRPr="0047280C">
        <w:rPr>
          <w:lang w:val="fr-CA" w:eastAsia="ja-JP"/>
        </w:rPr>
        <w:t>15.</w:t>
      </w:r>
      <w:r w:rsidRPr="0047280C">
        <w:rPr>
          <w:lang w:val="fr-CA" w:eastAsia="ja-JP"/>
        </w:rPr>
        <w:tab/>
      </w:r>
      <w:r w:rsidR="00B93381">
        <w:rPr>
          <w:lang w:val="fr-CA" w:eastAsia="ja-JP"/>
        </w:rPr>
        <w:t>ENCOURAGE ENFIN les Parties contractantes ayant des écosystèmes côtiers de carbone bleu sur leur territoire à appliquer les orientations élaborées ou mises à jour par le GEST conformément au</w:t>
      </w:r>
      <w:r w:rsidR="00907EE9">
        <w:rPr>
          <w:lang w:val="fr-CA" w:eastAsia="ja-JP"/>
        </w:rPr>
        <w:t>x</w:t>
      </w:r>
      <w:r w:rsidR="00B93381">
        <w:rPr>
          <w:lang w:val="fr-CA" w:eastAsia="ja-JP"/>
        </w:rPr>
        <w:t xml:space="preserve"> paragraphe</w:t>
      </w:r>
      <w:r w:rsidR="00907EE9">
        <w:rPr>
          <w:lang w:val="fr-CA" w:eastAsia="ja-JP"/>
        </w:rPr>
        <w:t>s</w:t>
      </w:r>
      <w:r w:rsidR="00B93381">
        <w:rPr>
          <w:lang w:val="fr-CA" w:eastAsia="ja-JP"/>
        </w:rPr>
        <w:t> 18</w:t>
      </w:r>
      <w:r w:rsidR="00651E96">
        <w:rPr>
          <w:lang w:val="fr-CA" w:eastAsia="ja-JP"/>
        </w:rPr>
        <w:t xml:space="preserve"> </w:t>
      </w:r>
      <w:r w:rsidR="00B93381">
        <w:rPr>
          <w:lang w:val="fr-CA" w:eastAsia="ja-JP"/>
        </w:rPr>
        <w:t>iii</w:t>
      </w:r>
      <w:r w:rsidR="00651E96">
        <w:rPr>
          <w:lang w:val="fr-CA" w:eastAsia="ja-JP"/>
        </w:rPr>
        <w:t>)</w:t>
      </w:r>
      <w:r w:rsidR="00B93381">
        <w:rPr>
          <w:lang w:val="fr-CA" w:eastAsia="ja-JP"/>
        </w:rPr>
        <w:t xml:space="preserve"> et iv</w:t>
      </w:r>
      <w:r w:rsidR="00651E96">
        <w:rPr>
          <w:lang w:val="fr-CA" w:eastAsia="ja-JP"/>
        </w:rPr>
        <w:t>) ci-dessous,</w:t>
      </w:r>
      <w:r w:rsidR="00B93381">
        <w:rPr>
          <w:lang w:val="fr-CA" w:eastAsia="ja-JP"/>
        </w:rPr>
        <w:t xml:space="preserve"> afin de prioriser les écosystèmes côtiers de carbone bleu et d’élaborer des plans pour la conservation, la restauration et la gestion durable de ces écosystèmes.</w:t>
      </w:r>
    </w:p>
    <w:p w14:paraId="41CE9DF9" w14:textId="77777777" w:rsidR="00044555" w:rsidRPr="0047280C" w:rsidRDefault="00044555" w:rsidP="00427B85">
      <w:pPr>
        <w:spacing w:after="0" w:line="240" w:lineRule="auto"/>
        <w:ind w:left="425" w:hanging="425"/>
        <w:rPr>
          <w:lang w:val="fr-CA"/>
        </w:rPr>
      </w:pPr>
    </w:p>
    <w:p w14:paraId="2E8F2117" w14:textId="042E3D85" w:rsidR="0075739E" w:rsidRPr="0047280C" w:rsidRDefault="00713D85" w:rsidP="00427B85">
      <w:pPr>
        <w:spacing w:after="0" w:line="240" w:lineRule="auto"/>
        <w:ind w:left="425" w:hanging="425"/>
        <w:rPr>
          <w:lang w:val="fr-CA"/>
        </w:rPr>
      </w:pPr>
      <w:r w:rsidRPr="0047280C">
        <w:rPr>
          <w:lang w:val="fr-CA"/>
        </w:rPr>
        <w:lastRenderedPageBreak/>
        <w:t>1</w:t>
      </w:r>
      <w:r w:rsidR="00EB668A" w:rsidRPr="0047280C">
        <w:rPr>
          <w:lang w:val="fr-CA"/>
        </w:rPr>
        <w:t>6</w:t>
      </w:r>
      <w:r w:rsidRPr="0047280C">
        <w:rPr>
          <w:lang w:val="fr-CA"/>
        </w:rPr>
        <w:t>.</w:t>
      </w:r>
      <w:r w:rsidRPr="0047280C">
        <w:rPr>
          <w:lang w:val="fr-CA"/>
        </w:rPr>
        <w:tab/>
      </w:r>
      <w:r w:rsidR="00B93381">
        <w:rPr>
          <w:lang w:val="fr-CA"/>
        </w:rPr>
        <w:t xml:space="preserve">DEMANDE au Secrétariat Ramsar, sous réserve des ressources disponibles : </w:t>
      </w:r>
    </w:p>
    <w:p w14:paraId="43F53BB5" w14:textId="77777777" w:rsidR="00275AA1" w:rsidRPr="0047280C" w:rsidRDefault="00275AA1" w:rsidP="00427B85">
      <w:pPr>
        <w:spacing w:after="0" w:line="240" w:lineRule="auto"/>
        <w:ind w:left="425" w:hanging="425"/>
        <w:rPr>
          <w:lang w:val="fr-CA"/>
        </w:rPr>
      </w:pPr>
    </w:p>
    <w:p w14:paraId="32006C1E" w14:textId="5792E8E5" w:rsidR="002D25BF" w:rsidRPr="0047280C" w:rsidRDefault="00877FBF" w:rsidP="00877FBF">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i)</w:t>
      </w:r>
      <w:r w:rsidRPr="0047280C">
        <w:rPr>
          <w:rFonts w:asciiTheme="minorHAnsi" w:hAnsiTheme="minorHAnsi"/>
          <w:sz w:val="22"/>
          <w:szCs w:val="22"/>
          <w:lang w:val="fr-CA"/>
        </w:rPr>
        <w:tab/>
      </w:r>
      <w:r w:rsidR="004148E5">
        <w:rPr>
          <w:rFonts w:asciiTheme="minorHAnsi" w:hAnsiTheme="minorHAnsi"/>
          <w:sz w:val="22"/>
          <w:szCs w:val="22"/>
          <w:lang w:val="fr-CA"/>
        </w:rPr>
        <w:t xml:space="preserve">d’enquêter auprès des Parties contractantes pour déterminer leurs besoins en matière de gestion des écosystèmes côtiers de carbone bleu. Les besoins pourraient comprendre : l’évaluation des avantages et des services écosystémiques, la valorisation des stocks de carbone, les besoins de conservation, restauration, gestion durable et renforcement des capacités, et l’apprentissage </w:t>
      </w:r>
      <w:r w:rsidR="00651E96">
        <w:rPr>
          <w:rFonts w:asciiTheme="minorHAnsi" w:hAnsiTheme="minorHAnsi"/>
          <w:sz w:val="22"/>
          <w:szCs w:val="22"/>
          <w:lang w:val="fr-CA"/>
        </w:rPr>
        <w:t xml:space="preserve">par l’expérience </w:t>
      </w:r>
      <w:r w:rsidR="004148E5">
        <w:rPr>
          <w:rFonts w:asciiTheme="minorHAnsi" w:hAnsiTheme="minorHAnsi"/>
          <w:sz w:val="22"/>
          <w:szCs w:val="22"/>
          <w:lang w:val="fr-CA"/>
        </w:rPr>
        <w:t>d’autres parties;</w:t>
      </w:r>
    </w:p>
    <w:p w14:paraId="33A7A94D" w14:textId="77777777" w:rsidR="00721B97" w:rsidRPr="0047280C" w:rsidRDefault="00721B97" w:rsidP="00877FBF">
      <w:pPr>
        <w:pStyle w:val="Default"/>
        <w:ind w:left="850" w:hanging="425"/>
        <w:rPr>
          <w:rFonts w:asciiTheme="minorHAnsi" w:hAnsiTheme="minorHAnsi"/>
          <w:sz w:val="22"/>
          <w:szCs w:val="22"/>
          <w:lang w:val="fr-CA"/>
        </w:rPr>
      </w:pPr>
    </w:p>
    <w:p w14:paraId="55407AD0" w14:textId="1E18D79C" w:rsidR="00613691" w:rsidRPr="0047280C" w:rsidRDefault="002D25BF" w:rsidP="00877FBF">
      <w:pPr>
        <w:pStyle w:val="Default"/>
        <w:ind w:left="850" w:hanging="425"/>
        <w:rPr>
          <w:rFonts w:asciiTheme="minorHAnsi" w:hAnsiTheme="minorHAnsi"/>
          <w:sz w:val="22"/>
          <w:szCs w:val="22"/>
          <w:lang w:val="fr-CA"/>
        </w:rPr>
      </w:pPr>
      <w:r w:rsidRPr="0047280C">
        <w:rPr>
          <w:rFonts w:asciiTheme="minorHAnsi" w:hAnsiTheme="minorHAnsi"/>
          <w:sz w:val="22"/>
          <w:szCs w:val="22"/>
          <w:lang w:val="fr-CA"/>
        </w:rPr>
        <w:t xml:space="preserve">ii) </w:t>
      </w:r>
      <w:r w:rsidRPr="0047280C">
        <w:rPr>
          <w:rFonts w:asciiTheme="minorHAnsi" w:hAnsiTheme="minorHAnsi"/>
          <w:sz w:val="22"/>
          <w:szCs w:val="22"/>
          <w:lang w:val="fr-CA"/>
        </w:rPr>
        <w:tab/>
      </w:r>
      <w:r w:rsidR="004148E5">
        <w:rPr>
          <w:rFonts w:asciiTheme="minorHAnsi" w:hAnsiTheme="minorHAnsi"/>
          <w:sz w:val="22"/>
          <w:szCs w:val="22"/>
          <w:lang w:val="fr-CA"/>
        </w:rPr>
        <w:t>d’après les résultats de l’enquête prévue au paragraphe 16</w:t>
      </w:r>
      <w:r w:rsidR="00651E96">
        <w:rPr>
          <w:rFonts w:asciiTheme="minorHAnsi" w:hAnsiTheme="minorHAnsi"/>
          <w:sz w:val="22"/>
          <w:szCs w:val="22"/>
          <w:lang w:val="fr-CA"/>
        </w:rPr>
        <w:t xml:space="preserve"> </w:t>
      </w:r>
      <w:r w:rsidR="004148E5">
        <w:rPr>
          <w:rFonts w:asciiTheme="minorHAnsi" w:hAnsiTheme="minorHAnsi"/>
          <w:sz w:val="22"/>
          <w:szCs w:val="22"/>
          <w:lang w:val="fr-CA"/>
        </w:rPr>
        <w:t>i</w:t>
      </w:r>
      <w:r w:rsidR="00651E96">
        <w:rPr>
          <w:rFonts w:asciiTheme="minorHAnsi" w:hAnsiTheme="minorHAnsi"/>
          <w:sz w:val="22"/>
          <w:szCs w:val="22"/>
          <w:lang w:val="fr-CA"/>
        </w:rPr>
        <w:t>)</w:t>
      </w:r>
      <w:r w:rsidR="004148E5">
        <w:rPr>
          <w:rFonts w:asciiTheme="minorHAnsi" w:hAnsiTheme="minorHAnsi"/>
          <w:sz w:val="22"/>
          <w:szCs w:val="22"/>
          <w:lang w:val="fr-CA"/>
        </w:rPr>
        <w:t xml:space="preserve"> ci</w:t>
      </w:r>
      <w:r w:rsidR="004148E5">
        <w:rPr>
          <w:rFonts w:asciiTheme="minorHAnsi" w:hAnsiTheme="minorHAnsi"/>
          <w:sz w:val="22"/>
          <w:szCs w:val="22"/>
          <w:lang w:val="fr-CA"/>
        </w:rPr>
        <w:noBreakHyphen/>
        <w:t>dessus, de faciliter le renforcement des capacités au niveau national et à l’échelle d’une région Ramsar pour :</w:t>
      </w:r>
    </w:p>
    <w:p w14:paraId="44FB418E" w14:textId="77777777" w:rsidR="00721B97" w:rsidRPr="0047280C" w:rsidRDefault="00721B97" w:rsidP="00877FBF">
      <w:pPr>
        <w:pStyle w:val="Default"/>
        <w:ind w:left="850" w:hanging="425"/>
        <w:rPr>
          <w:rFonts w:asciiTheme="minorHAnsi" w:hAnsiTheme="minorHAnsi"/>
          <w:sz w:val="22"/>
          <w:szCs w:val="22"/>
          <w:lang w:val="fr-CA"/>
        </w:rPr>
      </w:pPr>
    </w:p>
    <w:p w14:paraId="25B45515" w14:textId="438A51A4" w:rsidR="00613691" w:rsidRPr="0047280C" w:rsidRDefault="004148E5" w:rsidP="00613691">
      <w:pPr>
        <w:pStyle w:val="Default"/>
        <w:numPr>
          <w:ilvl w:val="0"/>
          <w:numId w:val="31"/>
        </w:numPr>
        <w:rPr>
          <w:rFonts w:asciiTheme="minorHAnsi" w:hAnsiTheme="minorHAnsi" w:cstheme="minorBidi"/>
          <w:color w:val="auto"/>
          <w:sz w:val="22"/>
          <w:szCs w:val="22"/>
          <w:lang w:val="fr-CA"/>
        </w:rPr>
      </w:pPr>
      <w:r>
        <w:rPr>
          <w:rFonts w:asciiTheme="minorHAnsi" w:hAnsiTheme="minorHAnsi" w:cstheme="minorBidi"/>
          <w:color w:val="auto"/>
          <w:sz w:val="22"/>
          <w:szCs w:val="22"/>
          <w:lang w:val="fr-CA"/>
        </w:rPr>
        <w:t xml:space="preserve">permettre aux Parties contractantes de créer des inventaires de leurs écosystèmes côtiers de carbone bleu à </w:t>
      </w:r>
      <w:r w:rsidR="004F68DA">
        <w:rPr>
          <w:rFonts w:asciiTheme="minorHAnsi" w:hAnsiTheme="minorHAnsi" w:cstheme="minorBidi"/>
          <w:color w:val="auto"/>
          <w:sz w:val="22"/>
          <w:szCs w:val="22"/>
          <w:lang w:val="fr-CA"/>
        </w:rPr>
        <w:t>l’échelle du</w:t>
      </w:r>
      <w:r>
        <w:rPr>
          <w:rFonts w:asciiTheme="minorHAnsi" w:hAnsiTheme="minorHAnsi" w:cstheme="minorBidi"/>
          <w:color w:val="auto"/>
          <w:sz w:val="22"/>
          <w:szCs w:val="22"/>
          <w:lang w:val="fr-CA"/>
        </w:rPr>
        <w:t xml:space="preserve"> réseau Ramsar, conformément au paragraphe 10 et de quantifier les émissions de gaz à effet de serre induites par l’homme et le piégeage du carbone dans leurs zones humides côtières, conformément au </w:t>
      </w:r>
      <w:r w:rsidRPr="0047280C">
        <w:rPr>
          <w:i/>
          <w:sz w:val="22"/>
          <w:szCs w:val="22"/>
          <w:lang w:val="fr-CA"/>
        </w:rPr>
        <w:t>Suppl</w:t>
      </w:r>
      <w:r>
        <w:rPr>
          <w:i/>
          <w:sz w:val="22"/>
          <w:szCs w:val="22"/>
          <w:lang w:val="fr-CA"/>
        </w:rPr>
        <w:t>é</w:t>
      </w:r>
      <w:r w:rsidRPr="0047280C">
        <w:rPr>
          <w:i/>
          <w:sz w:val="22"/>
          <w:szCs w:val="22"/>
          <w:lang w:val="fr-CA"/>
        </w:rPr>
        <w:t xml:space="preserve">ment </w:t>
      </w:r>
      <w:r>
        <w:rPr>
          <w:i/>
          <w:sz w:val="22"/>
          <w:szCs w:val="22"/>
          <w:lang w:val="fr-CA"/>
        </w:rPr>
        <w:t xml:space="preserve">2013 aux Lignes directrices 2006 du GIEC pour les </w:t>
      </w:r>
      <w:r w:rsidR="00651E96">
        <w:rPr>
          <w:i/>
          <w:sz w:val="22"/>
          <w:szCs w:val="22"/>
          <w:lang w:val="fr-CA"/>
        </w:rPr>
        <w:t>i</w:t>
      </w:r>
      <w:r>
        <w:rPr>
          <w:i/>
          <w:sz w:val="22"/>
          <w:szCs w:val="22"/>
          <w:lang w:val="fr-CA"/>
        </w:rPr>
        <w:t xml:space="preserve">nventaires nationaux de gaz à effet de serre : </w:t>
      </w:r>
      <w:r w:rsidRPr="00651E96">
        <w:rPr>
          <w:i/>
          <w:sz w:val="22"/>
          <w:szCs w:val="22"/>
          <w:lang w:val="fr-CA"/>
        </w:rPr>
        <w:t>zones</w:t>
      </w:r>
      <w:r>
        <w:rPr>
          <w:i/>
          <w:sz w:val="22"/>
          <w:szCs w:val="22"/>
          <w:lang w:val="fr-CA"/>
        </w:rPr>
        <w:t xml:space="preserve"> humides</w:t>
      </w:r>
      <w:r w:rsidRPr="0047280C">
        <w:rPr>
          <w:i/>
          <w:sz w:val="22"/>
          <w:szCs w:val="22"/>
          <w:lang w:val="fr-CA"/>
        </w:rPr>
        <w:t xml:space="preserve"> </w:t>
      </w:r>
      <w:r w:rsidR="00A44D66" w:rsidRPr="0047280C">
        <w:rPr>
          <w:sz w:val="22"/>
          <w:szCs w:val="22"/>
          <w:lang w:val="fr-CA"/>
        </w:rPr>
        <w:t>(</w:t>
      </w:r>
      <w:r>
        <w:rPr>
          <w:sz w:val="22"/>
          <w:szCs w:val="22"/>
          <w:lang w:val="fr-CA"/>
        </w:rPr>
        <w:t xml:space="preserve">« Supplément zones humides ») et </w:t>
      </w:r>
      <w:r w:rsidR="004F68DA">
        <w:rPr>
          <w:sz w:val="22"/>
          <w:szCs w:val="22"/>
          <w:lang w:val="fr-CA"/>
        </w:rPr>
        <w:t xml:space="preserve">à </w:t>
      </w:r>
      <w:r>
        <w:rPr>
          <w:sz w:val="22"/>
          <w:szCs w:val="22"/>
          <w:lang w:val="fr-CA"/>
        </w:rPr>
        <w:t>toute mise à jour future; et</w:t>
      </w:r>
    </w:p>
    <w:p w14:paraId="64F9A7AD" w14:textId="77777777" w:rsidR="00721B97" w:rsidRPr="0047280C" w:rsidRDefault="00721B97" w:rsidP="00721B97">
      <w:pPr>
        <w:pStyle w:val="Default"/>
        <w:ind w:left="1211"/>
        <w:rPr>
          <w:rFonts w:asciiTheme="minorHAnsi" w:hAnsiTheme="minorHAnsi" w:cstheme="minorBidi"/>
          <w:color w:val="auto"/>
          <w:sz w:val="22"/>
          <w:szCs w:val="22"/>
          <w:lang w:val="fr-CA"/>
        </w:rPr>
      </w:pPr>
    </w:p>
    <w:p w14:paraId="1230C01A" w14:textId="74066A5E" w:rsidR="00044555" w:rsidRPr="0047280C" w:rsidRDefault="004148E5" w:rsidP="00613691">
      <w:pPr>
        <w:pStyle w:val="Default"/>
        <w:numPr>
          <w:ilvl w:val="0"/>
          <w:numId w:val="31"/>
        </w:numPr>
        <w:rPr>
          <w:rFonts w:asciiTheme="minorHAnsi" w:hAnsiTheme="minorHAnsi" w:cstheme="minorBidi"/>
          <w:color w:val="auto"/>
          <w:sz w:val="22"/>
          <w:szCs w:val="22"/>
          <w:lang w:val="fr-CA"/>
        </w:rPr>
      </w:pPr>
      <w:r>
        <w:rPr>
          <w:rFonts w:asciiTheme="minorHAnsi" w:hAnsiTheme="minorHAnsi" w:cstheme="minorBidi"/>
          <w:color w:val="auto"/>
          <w:sz w:val="22"/>
          <w:szCs w:val="22"/>
          <w:lang w:val="fr-CA"/>
        </w:rPr>
        <w:t>appliquer des politiques de conservation et d’utilisation durable des écosystèmes;</w:t>
      </w:r>
      <w:r w:rsidR="00275AA1" w:rsidRPr="0047280C">
        <w:rPr>
          <w:rFonts w:asciiTheme="minorHAnsi" w:hAnsiTheme="minorHAnsi" w:cstheme="minorBidi"/>
          <w:color w:val="auto"/>
          <w:sz w:val="22"/>
          <w:szCs w:val="22"/>
          <w:lang w:val="fr-CA"/>
        </w:rPr>
        <w:t xml:space="preserve"> </w:t>
      </w:r>
    </w:p>
    <w:p w14:paraId="3A453A21" w14:textId="77777777" w:rsidR="00721B97" w:rsidRPr="0047280C" w:rsidRDefault="00721B97" w:rsidP="00721B97">
      <w:pPr>
        <w:pStyle w:val="Default"/>
        <w:ind w:left="1211"/>
        <w:rPr>
          <w:rFonts w:asciiTheme="minorHAnsi" w:hAnsiTheme="minorHAnsi" w:cstheme="minorBidi"/>
          <w:color w:val="auto"/>
          <w:sz w:val="22"/>
          <w:szCs w:val="22"/>
          <w:lang w:val="fr-CA"/>
        </w:rPr>
      </w:pPr>
    </w:p>
    <w:p w14:paraId="6EA2B253" w14:textId="1959A2E2" w:rsidR="00BA2A30" w:rsidRPr="0047280C" w:rsidRDefault="00044555" w:rsidP="00877FBF">
      <w:pPr>
        <w:pStyle w:val="Default"/>
        <w:ind w:left="850" w:hanging="425"/>
        <w:rPr>
          <w:rFonts w:asciiTheme="minorHAnsi" w:hAnsiTheme="minorHAnsi"/>
          <w:sz w:val="22"/>
          <w:szCs w:val="22"/>
          <w:lang w:val="fr-CA" w:eastAsia="ja-JP"/>
        </w:rPr>
      </w:pPr>
      <w:r w:rsidRPr="0047280C">
        <w:rPr>
          <w:rFonts w:asciiTheme="minorHAnsi" w:hAnsiTheme="minorHAnsi"/>
          <w:sz w:val="22"/>
          <w:szCs w:val="22"/>
          <w:lang w:val="fr-CA"/>
        </w:rPr>
        <w:t>ii</w:t>
      </w:r>
      <w:r w:rsidR="002D25BF" w:rsidRPr="0047280C">
        <w:rPr>
          <w:rFonts w:asciiTheme="minorHAnsi" w:hAnsiTheme="minorHAnsi"/>
          <w:sz w:val="22"/>
          <w:szCs w:val="22"/>
          <w:lang w:val="fr-CA"/>
        </w:rPr>
        <w:t>i</w:t>
      </w:r>
      <w:r w:rsidRPr="0047280C">
        <w:rPr>
          <w:rFonts w:asciiTheme="minorHAnsi" w:hAnsiTheme="minorHAnsi"/>
          <w:sz w:val="22"/>
          <w:szCs w:val="22"/>
          <w:lang w:val="fr-CA"/>
        </w:rPr>
        <w:t>)</w:t>
      </w:r>
      <w:r w:rsidRPr="0047280C">
        <w:rPr>
          <w:rFonts w:asciiTheme="minorHAnsi" w:hAnsiTheme="minorHAnsi"/>
          <w:sz w:val="22"/>
          <w:szCs w:val="22"/>
          <w:lang w:val="fr-CA"/>
        </w:rPr>
        <w:tab/>
      </w:r>
      <w:r w:rsidR="004148E5">
        <w:rPr>
          <w:rFonts w:asciiTheme="minorHAnsi" w:hAnsiTheme="minorHAnsi"/>
          <w:sz w:val="22"/>
          <w:szCs w:val="22"/>
          <w:lang w:val="fr-CA"/>
        </w:rPr>
        <w:t>s’il s’agit d’une priorité, de faciliter l’utilisation des réseaux de communication régionaux Ramsar existants et d’autres initiatives concernant le carbone bleu telles que le Partenariat international pour le carbone bleu, pour :</w:t>
      </w:r>
    </w:p>
    <w:p w14:paraId="3F6988FB" w14:textId="77777777" w:rsidR="00721B97" w:rsidRPr="0047280C" w:rsidRDefault="00721B97" w:rsidP="00877FBF">
      <w:pPr>
        <w:pStyle w:val="Default"/>
        <w:ind w:left="850" w:hanging="425"/>
        <w:rPr>
          <w:rFonts w:asciiTheme="minorHAnsi" w:hAnsiTheme="minorHAnsi"/>
          <w:sz w:val="22"/>
          <w:szCs w:val="22"/>
          <w:lang w:val="fr-CA" w:eastAsia="ja-JP"/>
        </w:rPr>
      </w:pPr>
    </w:p>
    <w:p w14:paraId="72A0066C" w14:textId="61F01AE0" w:rsidR="00BA2A30" w:rsidRPr="0047280C" w:rsidRDefault="00044555" w:rsidP="00BA2A30">
      <w:pPr>
        <w:pStyle w:val="Default"/>
        <w:ind w:left="1276" w:hanging="425"/>
        <w:rPr>
          <w:rFonts w:asciiTheme="minorHAnsi" w:hAnsiTheme="minorHAnsi"/>
          <w:sz w:val="22"/>
          <w:szCs w:val="22"/>
          <w:lang w:val="fr-CA" w:eastAsia="ja-JP"/>
        </w:rPr>
      </w:pPr>
      <w:r w:rsidRPr="0047280C">
        <w:rPr>
          <w:rFonts w:asciiTheme="minorHAnsi" w:hAnsiTheme="minorHAnsi" w:cstheme="minorBidi"/>
          <w:color w:val="auto"/>
          <w:sz w:val="22"/>
          <w:szCs w:val="22"/>
          <w:lang w:val="fr-CA"/>
        </w:rPr>
        <w:t xml:space="preserve"> </w:t>
      </w:r>
      <w:r w:rsidR="004148E5">
        <w:rPr>
          <w:rFonts w:asciiTheme="minorHAnsi" w:hAnsiTheme="minorHAnsi" w:cstheme="minorBidi"/>
          <w:color w:val="auto"/>
          <w:sz w:val="22"/>
          <w:szCs w:val="22"/>
          <w:lang w:val="fr-CA"/>
        </w:rPr>
        <w:t>a)</w:t>
      </w:r>
      <w:r w:rsidR="00BA2A30" w:rsidRPr="0047280C">
        <w:rPr>
          <w:rFonts w:asciiTheme="minorHAnsi" w:hAnsiTheme="minorHAnsi" w:cstheme="minorBidi"/>
          <w:color w:val="auto"/>
          <w:sz w:val="22"/>
          <w:szCs w:val="22"/>
          <w:lang w:val="fr-CA"/>
        </w:rPr>
        <w:tab/>
      </w:r>
      <w:r w:rsidR="004148E5">
        <w:rPr>
          <w:rFonts w:asciiTheme="minorHAnsi" w:hAnsiTheme="minorHAnsi" w:cstheme="minorBidi"/>
          <w:color w:val="auto"/>
          <w:sz w:val="22"/>
          <w:szCs w:val="22"/>
          <w:lang w:val="fr-CA"/>
        </w:rPr>
        <w:t>partager des données, des outils et des informations sur les valeurs et avantages des écosystèmes côtiers de carbone bleu, notamment pour les services de piégeage du carbone;</w:t>
      </w:r>
    </w:p>
    <w:p w14:paraId="5374B7D0" w14:textId="77777777" w:rsidR="00721B97" w:rsidRPr="0047280C" w:rsidRDefault="00721B97" w:rsidP="00BA2A30">
      <w:pPr>
        <w:pStyle w:val="Default"/>
        <w:ind w:left="1276" w:hanging="425"/>
        <w:rPr>
          <w:rFonts w:asciiTheme="minorHAnsi" w:hAnsiTheme="minorHAnsi"/>
          <w:sz w:val="22"/>
          <w:szCs w:val="22"/>
          <w:lang w:val="fr-CA" w:eastAsia="ja-JP"/>
        </w:rPr>
      </w:pPr>
    </w:p>
    <w:p w14:paraId="00234936" w14:textId="6BA48850" w:rsidR="003C2910" w:rsidRPr="0047280C" w:rsidRDefault="00BA2A30" w:rsidP="00BA2A30">
      <w:pPr>
        <w:pStyle w:val="Default"/>
        <w:ind w:left="1276" w:hanging="425"/>
        <w:rPr>
          <w:rFonts w:asciiTheme="minorHAnsi" w:hAnsiTheme="minorHAnsi"/>
          <w:sz w:val="22"/>
          <w:szCs w:val="22"/>
          <w:lang w:val="fr-CA"/>
        </w:rPr>
      </w:pPr>
      <w:r w:rsidRPr="0047280C">
        <w:rPr>
          <w:rFonts w:asciiTheme="minorHAnsi" w:hAnsiTheme="minorHAnsi" w:cstheme="minorBidi"/>
          <w:color w:val="auto"/>
          <w:sz w:val="22"/>
          <w:szCs w:val="22"/>
          <w:lang w:val="fr-CA"/>
        </w:rPr>
        <w:t>b</w:t>
      </w:r>
      <w:r w:rsidR="004148E5">
        <w:rPr>
          <w:rFonts w:asciiTheme="minorHAnsi" w:hAnsiTheme="minorHAnsi" w:cstheme="minorBidi"/>
          <w:color w:val="auto"/>
          <w:sz w:val="22"/>
          <w:szCs w:val="22"/>
          <w:lang w:val="fr-CA"/>
        </w:rPr>
        <w:t>)</w:t>
      </w:r>
      <w:r w:rsidRPr="0047280C">
        <w:rPr>
          <w:rFonts w:asciiTheme="minorHAnsi" w:hAnsiTheme="minorHAnsi" w:cstheme="minorBidi"/>
          <w:color w:val="auto"/>
          <w:sz w:val="22"/>
          <w:szCs w:val="22"/>
          <w:lang w:val="fr-CA"/>
        </w:rPr>
        <w:tab/>
      </w:r>
      <w:r w:rsidR="004148E5">
        <w:rPr>
          <w:rFonts w:asciiTheme="minorHAnsi" w:hAnsiTheme="minorHAnsi" w:cstheme="minorBidi"/>
          <w:color w:val="auto"/>
          <w:sz w:val="22"/>
          <w:szCs w:val="22"/>
          <w:lang w:val="fr-CA"/>
        </w:rPr>
        <w:t xml:space="preserve">partager l’information et les expériences sur l’élaboration d’inventaires d’émissions de gaz à effet de serre induites par l’homme et </w:t>
      </w:r>
      <w:r w:rsidR="00E90B05">
        <w:rPr>
          <w:rFonts w:asciiTheme="minorHAnsi" w:hAnsiTheme="minorHAnsi" w:cstheme="minorBidi"/>
          <w:color w:val="auto"/>
          <w:sz w:val="22"/>
          <w:szCs w:val="22"/>
          <w:lang w:val="fr-CA"/>
        </w:rPr>
        <w:t>le</w:t>
      </w:r>
      <w:r w:rsidR="004148E5">
        <w:rPr>
          <w:rFonts w:asciiTheme="minorHAnsi" w:hAnsiTheme="minorHAnsi" w:cstheme="minorBidi"/>
          <w:color w:val="auto"/>
          <w:sz w:val="22"/>
          <w:szCs w:val="22"/>
          <w:lang w:val="fr-CA"/>
        </w:rPr>
        <w:t xml:space="preserve"> piégeage du carbone associé aux écosystèmes côtiers de carbone bleu.</w:t>
      </w:r>
      <w:r w:rsidRPr="0047280C">
        <w:rPr>
          <w:rFonts w:asciiTheme="minorHAnsi" w:hAnsiTheme="minorHAnsi"/>
          <w:sz w:val="22"/>
          <w:szCs w:val="22"/>
          <w:lang w:val="fr-CA" w:eastAsia="ja-JP"/>
        </w:rPr>
        <w:t xml:space="preserve"> </w:t>
      </w:r>
    </w:p>
    <w:p w14:paraId="64BC465A" w14:textId="77777777" w:rsidR="00C63285" w:rsidRPr="0047280C" w:rsidRDefault="00C63285" w:rsidP="00427B85">
      <w:pPr>
        <w:pStyle w:val="Default"/>
        <w:ind w:left="425" w:hanging="425"/>
        <w:rPr>
          <w:rFonts w:asciiTheme="minorHAnsi" w:hAnsiTheme="minorHAnsi"/>
          <w:color w:val="auto"/>
          <w:sz w:val="22"/>
          <w:szCs w:val="22"/>
          <w:lang w:val="fr-CA"/>
        </w:rPr>
      </w:pPr>
    </w:p>
    <w:p w14:paraId="25E3CB35" w14:textId="0F303472" w:rsidR="00A25679" w:rsidRPr="0047280C" w:rsidRDefault="00427B85" w:rsidP="00427B85">
      <w:pPr>
        <w:pStyle w:val="Default"/>
        <w:ind w:left="425" w:hanging="425"/>
        <w:rPr>
          <w:rFonts w:asciiTheme="minorHAnsi" w:hAnsiTheme="minorHAnsi"/>
          <w:color w:val="auto"/>
          <w:sz w:val="22"/>
          <w:szCs w:val="22"/>
          <w:lang w:val="fr-CA"/>
        </w:rPr>
      </w:pPr>
      <w:r w:rsidRPr="0047280C">
        <w:rPr>
          <w:rFonts w:asciiTheme="minorHAnsi" w:hAnsiTheme="minorHAnsi"/>
          <w:color w:val="auto"/>
          <w:sz w:val="22"/>
          <w:szCs w:val="22"/>
          <w:lang w:val="fr-CA"/>
        </w:rPr>
        <w:t>1</w:t>
      </w:r>
      <w:r w:rsidR="00EB668A" w:rsidRPr="0047280C">
        <w:rPr>
          <w:rFonts w:asciiTheme="minorHAnsi" w:hAnsiTheme="minorHAnsi"/>
          <w:color w:val="auto"/>
          <w:sz w:val="22"/>
          <w:szCs w:val="22"/>
          <w:lang w:val="fr-CA"/>
        </w:rPr>
        <w:t>7</w:t>
      </w:r>
      <w:r w:rsidRPr="0047280C">
        <w:rPr>
          <w:rFonts w:asciiTheme="minorHAnsi" w:hAnsiTheme="minorHAnsi"/>
          <w:color w:val="auto"/>
          <w:sz w:val="22"/>
          <w:szCs w:val="22"/>
          <w:lang w:val="fr-CA"/>
        </w:rPr>
        <w:t>.</w:t>
      </w:r>
      <w:r w:rsidRPr="0047280C">
        <w:rPr>
          <w:rFonts w:asciiTheme="minorHAnsi" w:hAnsiTheme="minorHAnsi"/>
          <w:color w:val="auto"/>
          <w:sz w:val="22"/>
          <w:szCs w:val="22"/>
          <w:lang w:val="fr-CA"/>
        </w:rPr>
        <w:tab/>
      </w:r>
      <w:r w:rsidR="004148E5">
        <w:rPr>
          <w:rFonts w:asciiTheme="minorHAnsi" w:hAnsiTheme="minorHAnsi"/>
          <w:color w:val="auto"/>
          <w:sz w:val="22"/>
          <w:szCs w:val="22"/>
          <w:lang w:val="fr-CA"/>
        </w:rPr>
        <w:t xml:space="preserve">DONNE INSTRUCTION au Secrétariat Ramsar de nouer des liens avec le GIEC, s’il y a lieu, </w:t>
      </w:r>
      <w:r w:rsidR="00E90B05">
        <w:rPr>
          <w:rFonts w:asciiTheme="minorHAnsi" w:hAnsiTheme="minorHAnsi"/>
          <w:color w:val="auto"/>
          <w:sz w:val="22"/>
          <w:szCs w:val="22"/>
          <w:lang w:val="fr-CA"/>
        </w:rPr>
        <w:t xml:space="preserve">et </w:t>
      </w:r>
      <w:r w:rsidR="004148E5">
        <w:rPr>
          <w:rFonts w:asciiTheme="minorHAnsi" w:hAnsiTheme="minorHAnsi"/>
          <w:color w:val="auto"/>
          <w:sz w:val="22"/>
          <w:szCs w:val="22"/>
          <w:lang w:val="fr-CA"/>
        </w:rPr>
        <w:t xml:space="preserve">notamment d’explorer </w:t>
      </w:r>
      <w:r w:rsidR="00E90B05">
        <w:rPr>
          <w:rFonts w:asciiTheme="minorHAnsi" w:hAnsiTheme="minorHAnsi"/>
          <w:color w:val="auto"/>
          <w:sz w:val="22"/>
          <w:szCs w:val="22"/>
          <w:lang w:val="fr-CA"/>
        </w:rPr>
        <w:t xml:space="preserve">les moyens de nouer </w:t>
      </w:r>
      <w:r w:rsidR="004148E5">
        <w:rPr>
          <w:rFonts w:asciiTheme="minorHAnsi" w:hAnsiTheme="minorHAnsi"/>
          <w:color w:val="auto"/>
          <w:sz w:val="22"/>
          <w:szCs w:val="22"/>
          <w:lang w:val="fr-CA"/>
        </w:rPr>
        <w:t>de</w:t>
      </w:r>
      <w:r w:rsidR="00E90B05">
        <w:rPr>
          <w:rFonts w:asciiTheme="minorHAnsi" w:hAnsiTheme="minorHAnsi"/>
          <w:color w:val="auto"/>
          <w:sz w:val="22"/>
          <w:szCs w:val="22"/>
          <w:lang w:val="fr-CA"/>
        </w:rPr>
        <w:t>s</w:t>
      </w:r>
      <w:r w:rsidR="004148E5">
        <w:rPr>
          <w:rFonts w:asciiTheme="minorHAnsi" w:hAnsiTheme="minorHAnsi"/>
          <w:color w:val="auto"/>
          <w:sz w:val="22"/>
          <w:szCs w:val="22"/>
          <w:lang w:val="fr-CA"/>
        </w:rPr>
        <w:t xml:space="preserve"> liens officiels, dans le contexte des mises à jour futures du Supplément </w:t>
      </w:r>
      <w:r w:rsidR="00434072">
        <w:rPr>
          <w:rFonts w:asciiTheme="minorHAnsi" w:hAnsiTheme="minorHAnsi"/>
          <w:color w:val="auto"/>
          <w:sz w:val="22"/>
          <w:szCs w:val="22"/>
          <w:lang w:val="fr-CA"/>
        </w:rPr>
        <w:t xml:space="preserve">zones humides pour faire en sorte que tous </w:t>
      </w:r>
      <w:r w:rsidR="00E90B05">
        <w:rPr>
          <w:rFonts w:asciiTheme="minorHAnsi" w:hAnsiTheme="minorHAnsi"/>
          <w:color w:val="auto"/>
          <w:sz w:val="22"/>
          <w:szCs w:val="22"/>
          <w:lang w:val="fr-CA"/>
        </w:rPr>
        <w:t xml:space="preserve">les </w:t>
      </w:r>
      <w:r w:rsidR="00434072">
        <w:rPr>
          <w:rFonts w:asciiTheme="minorHAnsi" w:hAnsiTheme="minorHAnsi"/>
          <w:color w:val="auto"/>
          <w:sz w:val="22"/>
          <w:szCs w:val="22"/>
          <w:lang w:val="fr-CA"/>
        </w:rPr>
        <w:t xml:space="preserve">travaux produits par le GEST en rapport avec les écosystèmes côtiers de carbone bleu soient complémentaires et dûment communiqués et examinés. </w:t>
      </w:r>
    </w:p>
    <w:p w14:paraId="2EF77052" w14:textId="77777777" w:rsidR="00C63285" w:rsidRPr="0047280C" w:rsidRDefault="00C63285" w:rsidP="00427B85">
      <w:pPr>
        <w:pStyle w:val="Default"/>
        <w:ind w:left="425" w:hanging="425"/>
        <w:rPr>
          <w:rFonts w:asciiTheme="minorHAnsi" w:hAnsiTheme="minorHAnsi"/>
          <w:sz w:val="22"/>
          <w:szCs w:val="22"/>
          <w:lang w:val="fr-CA"/>
        </w:rPr>
      </w:pPr>
    </w:p>
    <w:p w14:paraId="659CB8E0" w14:textId="60454C26" w:rsidR="006931F7" w:rsidRPr="0047280C" w:rsidRDefault="00427B85" w:rsidP="00427B85">
      <w:pPr>
        <w:pStyle w:val="Default"/>
        <w:ind w:left="425" w:hanging="425"/>
        <w:rPr>
          <w:rFonts w:asciiTheme="minorHAnsi" w:hAnsiTheme="minorHAnsi"/>
          <w:sz w:val="22"/>
          <w:szCs w:val="22"/>
          <w:lang w:val="fr-CA"/>
        </w:rPr>
      </w:pPr>
      <w:r w:rsidRPr="0047280C">
        <w:rPr>
          <w:rFonts w:asciiTheme="minorHAnsi" w:hAnsiTheme="minorHAnsi"/>
          <w:sz w:val="22"/>
          <w:szCs w:val="22"/>
          <w:lang w:val="fr-CA"/>
        </w:rPr>
        <w:t>1</w:t>
      </w:r>
      <w:r w:rsidR="00EB668A" w:rsidRPr="0047280C">
        <w:rPr>
          <w:rFonts w:asciiTheme="minorHAnsi" w:hAnsiTheme="minorHAnsi"/>
          <w:sz w:val="22"/>
          <w:szCs w:val="22"/>
          <w:lang w:val="fr-CA"/>
        </w:rPr>
        <w:t>8</w:t>
      </w:r>
      <w:r w:rsidRPr="0047280C">
        <w:rPr>
          <w:rFonts w:asciiTheme="minorHAnsi" w:hAnsiTheme="minorHAnsi"/>
          <w:sz w:val="22"/>
          <w:szCs w:val="22"/>
          <w:lang w:val="fr-CA"/>
        </w:rPr>
        <w:t>.</w:t>
      </w:r>
      <w:r w:rsidRPr="0047280C">
        <w:rPr>
          <w:rFonts w:asciiTheme="minorHAnsi" w:hAnsiTheme="minorHAnsi"/>
          <w:sz w:val="22"/>
          <w:szCs w:val="22"/>
          <w:lang w:val="fr-CA"/>
        </w:rPr>
        <w:tab/>
      </w:r>
      <w:r w:rsidR="00434072">
        <w:rPr>
          <w:rFonts w:asciiTheme="minorHAnsi" w:hAnsiTheme="minorHAnsi"/>
          <w:sz w:val="22"/>
          <w:szCs w:val="22"/>
          <w:lang w:val="fr-CA"/>
        </w:rPr>
        <w:t>DEMANDE au GEST, dans le contexte de son programme de travail en cours et de ses priorités stratégiques, d’envisager de poursuivre</w:t>
      </w:r>
      <w:r w:rsidR="004F68DA">
        <w:rPr>
          <w:rFonts w:asciiTheme="minorHAnsi" w:hAnsiTheme="minorHAnsi"/>
          <w:sz w:val="22"/>
          <w:szCs w:val="22"/>
          <w:lang w:val="fr-CA"/>
        </w:rPr>
        <w:t xml:space="preserve">, de manière prioritaire, </w:t>
      </w:r>
      <w:r w:rsidR="00434072">
        <w:rPr>
          <w:rFonts w:asciiTheme="minorHAnsi" w:hAnsiTheme="minorHAnsi"/>
          <w:sz w:val="22"/>
          <w:szCs w:val="22"/>
          <w:lang w:val="fr-CA"/>
        </w:rPr>
        <w:t>ses travaux sur les changements climatiques et les zones humides, y compris les écosystèmes côtiers de carbone bleu</w:t>
      </w:r>
      <w:r w:rsidR="004F68DA">
        <w:rPr>
          <w:rFonts w:asciiTheme="minorHAnsi" w:hAnsiTheme="minorHAnsi"/>
          <w:sz w:val="22"/>
          <w:szCs w:val="22"/>
          <w:lang w:val="fr-CA"/>
        </w:rPr>
        <w:t xml:space="preserve">, </w:t>
      </w:r>
      <w:r w:rsidR="00434072">
        <w:rPr>
          <w:rFonts w:asciiTheme="minorHAnsi" w:hAnsiTheme="minorHAnsi"/>
          <w:sz w:val="22"/>
          <w:szCs w:val="22"/>
          <w:lang w:val="fr-CA"/>
        </w:rPr>
        <w:t xml:space="preserve">conformément aux lignes directrices pertinentes du GIEC, </w:t>
      </w:r>
      <w:r w:rsidR="004F68DA">
        <w:rPr>
          <w:rFonts w:asciiTheme="minorHAnsi" w:hAnsiTheme="minorHAnsi"/>
          <w:sz w:val="22"/>
          <w:szCs w:val="22"/>
          <w:lang w:val="fr-CA"/>
        </w:rPr>
        <w:t>notamment</w:t>
      </w:r>
      <w:r w:rsidR="00434072">
        <w:rPr>
          <w:rFonts w:asciiTheme="minorHAnsi" w:hAnsiTheme="minorHAnsi"/>
          <w:sz w:val="22"/>
          <w:szCs w:val="22"/>
          <w:lang w:val="fr-CA"/>
        </w:rPr>
        <w:t xml:space="preserve"> : </w:t>
      </w:r>
    </w:p>
    <w:p w14:paraId="486D6754" w14:textId="77777777" w:rsidR="00C63285" w:rsidRPr="0047280C" w:rsidRDefault="00C63285" w:rsidP="00C63285">
      <w:pPr>
        <w:spacing w:after="0" w:line="240" w:lineRule="auto"/>
        <w:ind w:left="425" w:hanging="425"/>
        <w:rPr>
          <w:lang w:val="fr-CA"/>
        </w:rPr>
      </w:pPr>
    </w:p>
    <w:p w14:paraId="2821E852" w14:textId="30F5EC9A" w:rsidR="00AF601E" w:rsidRPr="0047280C" w:rsidRDefault="00877FBF" w:rsidP="00427B85">
      <w:pPr>
        <w:spacing w:after="0" w:line="240" w:lineRule="auto"/>
        <w:ind w:left="850" w:hanging="425"/>
        <w:rPr>
          <w:lang w:val="fr-CA"/>
        </w:rPr>
      </w:pPr>
      <w:r w:rsidRPr="0047280C">
        <w:rPr>
          <w:lang w:val="fr-CA"/>
        </w:rPr>
        <w:t>i)</w:t>
      </w:r>
      <w:r w:rsidR="00427B85" w:rsidRPr="0047280C">
        <w:rPr>
          <w:lang w:val="fr-CA"/>
        </w:rPr>
        <w:tab/>
      </w:r>
      <w:r w:rsidR="00E90B05">
        <w:rPr>
          <w:lang w:val="fr-CA"/>
        </w:rPr>
        <w:t xml:space="preserve">en </w:t>
      </w:r>
      <w:r w:rsidR="00177026">
        <w:rPr>
          <w:lang w:val="fr-CA"/>
        </w:rPr>
        <w:t>entreprenant une étude théorique des écosystèmes côtiers de carbone bleu à l’échelle du réseau des Sites Ramsar (notant que certains pays ont des données qui sont mieux publiées ou accessibles que d’autres), pour :</w:t>
      </w:r>
    </w:p>
    <w:p w14:paraId="37DA4D5C" w14:textId="77777777" w:rsidR="003400E8" w:rsidRPr="0047280C" w:rsidRDefault="003400E8" w:rsidP="00427B85">
      <w:pPr>
        <w:spacing w:after="0" w:line="240" w:lineRule="auto"/>
        <w:ind w:left="850" w:hanging="425"/>
        <w:rPr>
          <w:lang w:val="fr-CA"/>
        </w:rPr>
      </w:pPr>
    </w:p>
    <w:p w14:paraId="4CD68568" w14:textId="67F1FBB4" w:rsidR="00AF601E" w:rsidRPr="0047280C" w:rsidRDefault="00877FBF" w:rsidP="003400E8">
      <w:pPr>
        <w:spacing w:after="0" w:line="240" w:lineRule="auto"/>
        <w:ind w:left="1276" w:hanging="425"/>
        <w:rPr>
          <w:lang w:val="fr-CA"/>
        </w:rPr>
      </w:pPr>
      <w:r w:rsidRPr="0047280C">
        <w:rPr>
          <w:lang w:val="fr-CA"/>
        </w:rPr>
        <w:t>a</w:t>
      </w:r>
      <w:r w:rsidR="00434072">
        <w:rPr>
          <w:lang w:val="fr-CA"/>
        </w:rPr>
        <w:t>)</w:t>
      </w:r>
      <w:r w:rsidR="003400E8" w:rsidRPr="0047280C">
        <w:rPr>
          <w:lang w:val="fr-CA"/>
        </w:rPr>
        <w:tab/>
      </w:r>
      <w:r w:rsidR="00177026">
        <w:rPr>
          <w:lang w:val="fr-CA"/>
        </w:rPr>
        <w:t>évaluer l’étendue spatiale des écosystèmes côtiers de carbone bleu à l’échelle du réseau des Sites Ramsar; et</w:t>
      </w:r>
    </w:p>
    <w:p w14:paraId="5CC8CF74" w14:textId="77777777" w:rsidR="003400E8" w:rsidRPr="0047280C" w:rsidRDefault="003400E8" w:rsidP="003400E8">
      <w:pPr>
        <w:pStyle w:val="ListParagraph"/>
        <w:spacing w:after="0" w:line="240" w:lineRule="auto"/>
        <w:ind w:left="1276" w:hanging="425"/>
        <w:contextualSpacing w:val="0"/>
        <w:rPr>
          <w:lang w:val="fr-CA"/>
        </w:rPr>
      </w:pPr>
    </w:p>
    <w:p w14:paraId="1ECB8BD4" w14:textId="5A5F9273" w:rsidR="009A1D60" w:rsidRPr="0047280C" w:rsidRDefault="00877FBF" w:rsidP="003400E8">
      <w:pPr>
        <w:spacing w:after="0" w:line="240" w:lineRule="auto"/>
        <w:ind w:left="1276" w:hanging="425"/>
        <w:rPr>
          <w:lang w:val="fr-CA"/>
        </w:rPr>
      </w:pPr>
      <w:r w:rsidRPr="0047280C">
        <w:rPr>
          <w:lang w:val="fr-CA"/>
        </w:rPr>
        <w:lastRenderedPageBreak/>
        <w:t>b</w:t>
      </w:r>
      <w:r w:rsidR="00434072">
        <w:rPr>
          <w:lang w:val="fr-CA"/>
        </w:rPr>
        <w:t>)</w:t>
      </w:r>
      <w:r w:rsidR="003400E8" w:rsidRPr="0047280C">
        <w:rPr>
          <w:lang w:val="fr-CA"/>
        </w:rPr>
        <w:tab/>
      </w:r>
      <w:r w:rsidR="00177026">
        <w:rPr>
          <w:lang w:val="fr-CA"/>
        </w:rPr>
        <w:t xml:space="preserve">si possible, identifier les écosystèmes côtiers de carbone bleu les plus abondants et ceux qui courent les risques les plus grands (y compris en raison de leur vulnérabilité aux changements climatiques et à l’urbanisation) dans chaque région Ramsar; </w:t>
      </w:r>
    </w:p>
    <w:p w14:paraId="01C01312" w14:textId="77777777" w:rsidR="009A1D60" w:rsidRPr="0047280C" w:rsidRDefault="009A1D60" w:rsidP="003400E8">
      <w:pPr>
        <w:spacing w:after="0" w:line="240" w:lineRule="auto"/>
        <w:ind w:left="1276" w:hanging="425"/>
        <w:rPr>
          <w:lang w:val="fr-CA"/>
        </w:rPr>
      </w:pPr>
    </w:p>
    <w:p w14:paraId="40A83EDB" w14:textId="22BF6E69" w:rsidR="004F0179" w:rsidRPr="0047280C" w:rsidRDefault="009858D9" w:rsidP="009858D9">
      <w:pPr>
        <w:spacing w:after="0" w:line="240" w:lineRule="auto"/>
        <w:ind w:left="850" w:hanging="425"/>
        <w:rPr>
          <w:lang w:val="fr-CA"/>
        </w:rPr>
      </w:pPr>
      <w:r w:rsidRPr="0047280C">
        <w:rPr>
          <w:lang w:val="fr-CA"/>
        </w:rPr>
        <w:t xml:space="preserve">ii) </w:t>
      </w:r>
      <w:r w:rsidR="004F0179" w:rsidRPr="0047280C">
        <w:rPr>
          <w:lang w:val="fr-CA"/>
        </w:rPr>
        <w:tab/>
      </w:r>
      <w:r w:rsidR="00E90B05">
        <w:rPr>
          <w:lang w:val="fr-CA"/>
        </w:rPr>
        <w:t xml:space="preserve">en </w:t>
      </w:r>
      <w:r w:rsidR="00177026">
        <w:rPr>
          <w:lang w:val="fr-CA"/>
        </w:rPr>
        <w:t xml:space="preserve">évaluant les méthodes de quantification des stocks de carbone, des changements dans les stocks de carbone induits par l’homme et des émissions nettes de gaz à effet de serre dans les écosystèmes côtiers de carbone bleu, </w:t>
      </w:r>
      <w:r w:rsidR="00E90B05">
        <w:rPr>
          <w:lang w:val="fr-CA"/>
        </w:rPr>
        <w:t>notamment par les moyens suivants</w:t>
      </w:r>
      <w:r w:rsidR="00177026">
        <w:rPr>
          <w:lang w:val="fr-CA"/>
        </w:rPr>
        <w:t xml:space="preserve"> : </w:t>
      </w:r>
    </w:p>
    <w:p w14:paraId="11801C93" w14:textId="77777777" w:rsidR="004F0179" w:rsidRPr="0047280C" w:rsidRDefault="004F0179" w:rsidP="009858D9">
      <w:pPr>
        <w:spacing w:after="0" w:line="240" w:lineRule="auto"/>
        <w:ind w:left="850" w:hanging="425"/>
        <w:rPr>
          <w:lang w:val="fr-CA"/>
        </w:rPr>
      </w:pPr>
    </w:p>
    <w:p w14:paraId="7AD4E2AE" w14:textId="2842B4E7" w:rsidR="009858D9" w:rsidRPr="0047280C" w:rsidRDefault="004F0179" w:rsidP="004F0179">
      <w:pPr>
        <w:spacing w:after="0" w:line="240" w:lineRule="auto"/>
        <w:ind w:left="1276" w:hanging="425"/>
        <w:rPr>
          <w:lang w:val="fr-CA"/>
        </w:rPr>
      </w:pPr>
      <w:r w:rsidRPr="0047280C">
        <w:rPr>
          <w:lang w:val="fr-CA"/>
        </w:rPr>
        <w:t>a</w:t>
      </w:r>
      <w:r w:rsidR="00434072">
        <w:rPr>
          <w:lang w:val="fr-CA"/>
        </w:rPr>
        <w:t>)</w:t>
      </w:r>
      <w:r w:rsidRPr="0047280C">
        <w:rPr>
          <w:lang w:val="fr-CA"/>
        </w:rPr>
        <w:tab/>
      </w:r>
      <w:r w:rsidR="00177026">
        <w:rPr>
          <w:lang w:val="fr-CA"/>
        </w:rPr>
        <w:t>rassembl</w:t>
      </w:r>
      <w:r w:rsidR="00E90B05">
        <w:rPr>
          <w:lang w:val="fr-CA"/>
        </w:rPr>
        <w:t>er</w:t>
      </w:r>
      <w:r w:rsidR="00177026">
        <w:rPr>
          <w:lang w:val="fr-CA"/>
        </w:rPr>
        <w:t xml:space="preserve"> et examin</w:t>
      </w:r>
      <w:r w:rsidR="00E90B05">
        <w:rPr>
          <w:lang w:val="fr-CA"/>
        </w:rPr>
        <w:t>er</w:t>
      </w:r>
      <w:r w:rsidR="00177026">
        <w:rPr>
          <w:lang w:val="fr-CA"/>
        </w:rPr>
        <w:t xml:space="preserve"> l’information existante sur </w:t>
      </w:r>
      <w:r w:rsidR="00E90B05">
        <w:rPr>
          <w:lang w:val="fr-CA"/>
        </w:rPr>
        <w:t>l</w:t>
      </w:r>
      <w:r w:rsidR="00177026">
        <w:rPr>
          <w:lang w:val="fr-CA"/>
        </w:rPr>
        <w:t xml:space="preserve">es paramètres </w:t>
      </w:r>
      <w:r w:rsidR="00E90B05">
        <w:rPr>
          <w:lang w:val="fr-CA"/>
        </w:rPr>
        <w:t>régionaux de</w:t>
      </w:r>
      <w:r w:rsidR="00177026">
        <w:rPr>
          <w:lang w:val="fr-CA"/>
        </w:rPr>
        <w:t xml:space="preserve"> modélisation des stocks de carbone, des émissions de gaz à effet de serre et des dynamiques du carbone dans les écosystèmes côtiers de carbone bleu, et identifi</w:t>
      </w:r>
      <w:r w:rsidR="00E90B05">
        <w:rPr>
          <w:lang w:val="fr-CA"/>
        </w:rPr>
        <w:t xml:space="preserve">er </w:t>
      </w:r>
      <w:r w:rsidR="00177026">
        <w:rPr>
          <w:lang w:val="fr-CA"/>
        </w:rPr>
        <w:t xml:space="preserve">les lacunes dans les connaissances; et </w:t>
      </w:r>
    </w:p>
    <w:p w14:paraId="54091EA7" w14:textId="77777777" w:rsidR="00EF7931" w:rsidRPr="0047280C" w:rsidRDefault="00EF7931" w:rsidP="009858D9">
      <w:pPr>
        <w:spacing w:after="0" w:line="240" w:lineRule="auto"/>
        <w:ind w:left="850" w:hanging="425"/>
        <w:rPr>
          <w:lang w:val="fr-CA"/>
        </w:rPr>
      </w:pPr>
    </w:p>
    <w:p w14:paraId="7CE9C6CE" w14:textId="17C345DC" w:rsidR="00EF7931" w:rsidRPr="0047280C" w:rsidRDefault="004F0179" w:rsidP="004F0179">
      <w:pPr>
        <w:spacing w:after="0" w:line="240" w:lineRule="auto"/>
        <w:ind w:left="1276" w:hanging="425"/>
        <w:rPr>
          <w:lang w:val="fr-CA"/>
        </w:rPr>
      </w:pPr>
      <w:r w:rsidRPr="0047280C">
        <w:rPr>
          <w:lang w:val="fr-CA"/>
        </w:rPr>
        <w:t>b</w:t>
      </w:r>
      <w:r w:rsidR="00434072">
        <w:rPr>
          <w:lang w:val="fr-CA"/>
        </w:rPr>
        <w:t>)</w:t>
      </w:r>
      <w:r w:rsidRPr="0047280C">
        <w:rPr>
          <w:lang w:val="fr-CA"/>
        </w:rPr>
        <w:t xml:space="preserve"> </w:t>
      </w:r>
      <w:r w:rsidRPr="0047280C">
        <w:rPr>
          <w:lang w:val="fr-CA"/>
        </w:rPr>
        <w:tab/>
      </w:r>
      <w:r w:rsidR="00177026">
        <w:rPr>
          <w:lang w:val="fr-CA"/>
        </w:rPr>
        <w:t>rassembl</w:t>
      </w:r>
      <w:r w:rsidR="00E90B05">
        <w:rPr>
          <w:lang w:val="fr-CA"/>
        </w:rPr>
        <w:t>er</w:t>
      </w:r>
      <w:r w:rsidR="00177026">
        <w:rPr>
          <w:lang w:val="fr-CA"/>
        </w:rPr>
        <w:t xml:space="preserve"> et examin</w:t>
      </w:r>
      <w:r w:rsidR="00E90B05">
        <w:rPr>
          <w:lang w:val="fr-CA"/>
        </w:rPr>
        <w:t>er</w:t>
      </w:r>
      <w:r w:rsidR="00177026">
        <w:rPr>
          <w:lang w:val="fr-CA"/>
        </w:rPr>
        <w:t xml:space="preserve"> les orientations et méthodes existantes pour la quantification du carbone et l’identification de tout besoin d’orientations supplémentaire, en consultation avec le GIEC; </w:t>
      </w:r>
    </w:p>
    <w:p w14:paraId="2F7CBA62" w14:textId="77777777" w:rsidR="009858D9" w:rsidRPr="0047280C" w:rsidRDefault="009858D9" w:rsidP="003400E8">
      <w:pPr>
        <w:spacing w:after="0" w:line="240" w:lineRule="auto"/>
        <w:ind w:left="1276" w:hanging="425"/>
        <w:rPr>
          <w:lang w:val="fr-CA"/>
        </w:rPr>
      </w:pPr>
    </w:p>
    <w:p w14:paraId="5F070AA8" w14:textId="395BC504" w:rsidR="009A1D60" w:rsidRPr="0047280C" w:rsidRDefault="009858D9" w:rsidP="009858D9">
      <w:pPr>
        <w:spacing w:after="0" w:line="240" w:lineRule="auto"/>
        <w:ind w:left="850" w:hanging="425"/>
        <w:rPr>
          <w:lang w:val="fr-CA"/>
        </w:rPr>
      </w:pPr>
      <w:r w:rsidRPr="0047280C">
        <w:rPr>
          <w:lang w:val="fr-CA"/>
        </w:rPr>
        <w:t>i</w:t>
      </w:r>
      <w:r w:rsidR="004F0179" w:rsidRPr="0047280C">
        <w:rPr>
          <w:lang w:val="fr-CA"/>
        </w:rPr>
        <w:t>ii</w:t>
      </w:r>
      <w:r w:rsidRPr="0047280C">
        <w:rPr>
          <w:lang w:val="fr-CA"/>
        </w:rPr>
        <w:t>)</w:t>
      </w:r>
      <w:r w:rsidRPr="0047280C">
        <w:rPr>
          <w:lang w:val="fr-CA"/>
        </w:rPr>
        <w:tab/>
      </w:r>
      <w:r w:rsidR="00E90B05">
        <w:rPr>
          <w:lang w:val="fr-CA"/>
        </w:rPr>
        <w:t xml:space="preserve">en </w:t>
      </w:r>
      <w:r w:rsidR="00177026">
        <w:rPr>
          <w:lang w:val="fr-CA"/>
        </w:rPr>
        <w:t>élaborant des orientations pour prioriser les écosystèmes côtiers de carbone bleu pour la conservation et la restauration comprenant, entre autres : des avantages pour l’atténuation des changements climatiques et l’adaptation à ces changements, la gamme d’autres avantages et services écosystémiques potentiels et l’évaluation des coûts relatifs à ces avantages;</w:t>
      </w:r>
    </w:p>
    <w:p w14:paraId="2C30ACB1" w14:textId="77777777" w:rsidR="006E0708" w:rsidRPr="0047280C" w:rsidRDefault="006E0708" w:rsidP="003400E8">
      <w:pPr>
        <w:spacing w:after="0" w:line="240" w:lineRule="auto"/>
        <w:ind w:left="1276" w:hanging="425"/>
        <w:rPr>
          <w:lang w:val="fr-CA"/>
        </w:rPr>
      </w:pPr>
    </w:p>
    <w:p w14:paraId="625DDE16" w14:textId="2706E768" w:rsidR="00687677" w:rsidRPr="0047280C" w:rsidRDefault="00B930C2" w:rsidP="003400E8">
      <w:pPr>
        <w:spacing w:after="0" w:line="240" w:lineRule="auto"/>
        <w:ind w:left="850" w:hanging="425"/>
        <w:rPr>
          <w:lang w:val="fr-CA"/>
        </w:rPr>
      </w:pPr>
      <w:r w:rsidRPr="0047280C">
        <w:rPr>
          <w:lang w:val="fr-CA"/>
        </w:rPr>
        <w:t>iv</w:t>
      </w:r>
      <w:r w:rsidR="00877FBF" w:rsidRPr="0047280C">
        <w:rPr>
          <w:lang w:val="fr-CA"/>
        </w:rPr>
        <w:t>)</w:t>
      </w:r>
      <w:r w:rsidR="003400E8" w:rsidRPr="0047280C">
        <w:rPr>
          <w:lang w:val="fr-CA"/>
        </w:rPr>
        <w:tab/>
      </w:r>
      <w:r w:rsidR="00E90B05">
        <w:rPr>
          <w:lang w:val="fr-CA"/>
        </w:rPr>
        <w:t xml:space="preserve">en </w:t>
      </w:r>
      <w:r w:rsidR="00177026">
        <w:rPr>
          <w:lang w:val="fr-CA"/>
        </w:rPr>
        <w:t>examinant et, s’il y a lieu,</w:t>
      </w:r>
      <w:r w:rsidR="00E90B05">
        <w:rPr>
          <w:lang w:val="fr-CA"/>
        </w:rPr>
        <w:t xml:space="preserve"> en</w:t>
      </w:r>
      <w:r w:rsidR="00177026">
        <w:rPr>
          <w:lang w:val="fr-CA"/>
        </w:rPr>
        <w:t xml:space="preserve"> </w:t>
      </w:r>
      <w:r w:rsidR="00E90B05">
        <w:rPr>
          <w:lang w:val="fr-CA"/>
        </w:rPr>
        <w:t>actualisant les</w:t>
      </w:r>
      <w:r w:rsidR="00177026">
        <w:rPr>
          <w:lang w:val="fr-CA"/>
        </w:rPr>
        <w:t xml:space="preserve"> orientations existantes sur la préparation de plans de conservation, restauration et gestion durable des écosystèmes côtiers de carbone bleu dans les Sites Ramsar. L’examen des orientations existantes pourrait comprendre l’élaboration d’études de cas avec des experts régionaux pour illustrer comment les orientations sont appliquées. </w:t>
      </w:r>
      <w:r w:rsidR="00CA67AC" w:rsidRPr="0047280C">
        <w:rPr>
          <w:lang w:val="fr-CA"/>
        </w:rPr>
        <w:t xml:space="preserve"> </w:t>
      </w:r>
    </w:p>
    <w:p w14:paraId="461DDF63" w14:textId="77777777" w:rsidR="006C7052" w:rsidRPr="0047280C" w:rsidRDefault="006C7052" w:rsidP="003400E8">
      <w:pPr>
        <w:spacing w:after="0" w:line="240" w:lineRule="auto"/>
        <w:ind w:left="850" w:hanging="425"/>
        <w:rPr>
          <w:lang w:val="fr-CA"/>
        </w:rPr>
      </w:pPr>
    </w:p>
    <w:p w14:paraId="030FBA4D" w14:textId="5D8744DD" w:rsidR="006C7052" w:rsidRPr="0047280C" w:rsidRDefault="006C7052" w:rsidP="00CA43B1">
      <w:pPr>
        <w:pStyle w:val="Default"/>
        <w:ind w:left="425" w:hanging="425"/>
        <w:rPr>
          <w:rFonts w:asciiTheme="minorHAnsi" w:hAnsiTheme="minorHAnsi"/>
          <w:sz w:val="22"/>
          <w:szCs w:val="22"/>
          <w:lang w:val="fr-CA"/>
        </w:rPr>
      </w:pPr>
      <w:r w:rsidRPr="0047280C">
        <w:rPr>
          <w:rFonts w:asciiTheme="minorHAnsi" w:hAnsiTheme="minorHAnsi"/>
          <w:sz w:val="22"/>
          <w:szCs w:val="22"/>
          <w:lang w:val="fr-CA"/>
        </w:rPr>
        <w:t>1</w:t>
      </w:r>
      <w:r w:rsidR="00EB668A" w:rsidRPr="0047280C">
        <w:rPr>
          <w:rFonts w:asciiTheme="minorHAnsi" w:hAnsiTheme="minorHAnsi"/>
          <w:sz w:val="22"/>
          <w:szCs w:val="22"/>
          <w:lang w:val="fr-CA"/>
        </w:rPr>
        <w:t>9</w:t>
      </w:r>
      <w:r w:rsidRPr="0047280C">
        <w:rPr>
          <w:rFonts w:asciiTheme="minorHAnsi" w:hAnsiTheme="minorHAnsi"/>
          <w:sz w:val="22"/>
          <w:szCs w:val="22"/>
          <w:lang w:val="fr-CA"/>
        </w:rPr>
        <w:t>.</w:t>
      </w:r>
      <w:r w:rsidRPr="0047280C">
        <w:rPr>
          <w:rFonts w:asciiTheme="minorHAnsi" w:hAnsiTheme="minorHAnsi"/>
          <w:sz w:val="22"/>
          <w:szCs w:val="22"/>
          <w:lang w:val="fr-CA"/>
        </w:rPr>
        <w:tab/>
        <w:t xml:space="preserve">INVITE </w:t>
      </w:r>
      <w:r w:rsidR="00177026">
        <w:rPr>
          <w:rFonts w:asciiTheme="minorHAnsi" w:hAnsiTheme="minorHAnsi"/>
          <w:sz w:val="22"/>
          <w:szCs w:val="22"/>
          <w:lang w:val="fr-CA"/>
        </w:rPr>
        <w:t xml:space="preserve">les Parties contractantes </w:t>
      </w:r>
      <w:r w:rsidR="00E90B05">
        <w:rPr>
          <w:rFonts w:asciiTheme="minorHAnsi" w:hAnsiTheme="minorHAnsi"/>
          <w:sz w:val="22"/>
          <w:szCs w:val="22"/>
          <w:lang w:val="fr-CA"/>
        </w:rPr>
        <w:t xml:space="preserve">et </w:t>
      </w:r>
      <w:r w:rsidR="00177026">
        <w:rPr>
          <w:rFonts w:asciiTheme="minorHAnsi" w:hAnsiTheme="minorHAnsi"/>
          <w:sz w:val="22"/>
          <w:szCs w:val="22"/>
          <w:lang w:val="fr-CA"/>
        </w:rPr>
        <w:t>les Organisations internationales partenaires (OIP) de Ramsar</w:t>
      </w:r>
      <w:r w:rsidR="00E90B05" w:rsidRPr="00E90B05">
        <w:rPr>
          <w:rFonts w:asciiTheme="minorHAnsi" w:hAnsiTheme="minorHAnsi"/>
          <w:sz w:val="22"/>
          <w:szCs w:val="22"/>
          <w:lang w:val="fr-CA"/>
        </w:rPr>
        <w:t xml:space="preserve"> </w:t>
      </w:r>
      <w:r w:rsidR="00E90B05">
        <w:rPr>
          <w:rFonts w:asciiTheme="minorHAnsi" w:hAnsiTheme="minorHAnsi"/>
          <w:sz w:val="22"/>
          <w:szCs w:val="22"/>
          <w:lang w:val="fr-CA"/>
        </w:rPr>
        <w:t>intéressées,</w:t>
      </w:r>
      <w:r w:rsidR="00177026">
        <w:rPr>
          <w:rFonts w:asciiTheme="minorHAnsi" w:hAnsiTheme="minorHAnsi"/>
          <w:sz w:val="22"/>
          <w:szCs w:val="22"/>
          <w:lang w:val="fr-CA"/>
        </w:rPr>
        <w:t xml:space="preserve"> entre autres, à soutenir, le cas échéant, les travaux du GEST décrits dans le paragraphe 18,</w:t>
      </w:r>
      <w:r w:rsidR="004F68DA">
        <w:rPr>
          <w:rFonts w:asciiTheme="minorHAnsi" w:hAnsiTheme="minorHAnsi"/>
          <w:sz w:val="22"/>
          <w:szCs w:val="22"/>
          <w:lang w:val="fr-CA"/>
        </w:rPr>
        <w:t xml:space="preserve"> ci-dessus,</w:t>
      </w:r>
      <w:r w:rsidR="00177026">
        <w:rPr>
          <w:rFonts w:asciiTheme="minorHAnsi" w:hAnsiTheme="minorHAnsi"/>
          <w:sz w:val="22"/>
          <w:szCs w:val="22"/>
          <w:lang w:val="fr-CA"/>
        </w:rPr>
        <w:t xml:space="preserve"> notamment en </w:t>
      </w:r>
      <w:r w:rsidR="00E90B05">
        <w:rPr>
          <w:rFonts w:asciiTheme="minorHAnsi" w:hAnsiTheme="minorHAnsi"/>
          <w:sz w:val="22"/>
          <w:szCs w:val="22"/>
          <w:lang w:val="fr-CA"/>
        </w:rPr>
        <w:t>apportant</w:t>
      </w:r>
      <w:r w:rsidR="00177026">
        <w:rPr>
          <w:rFonts w:asciiTheme="minorHAnsi" w:hAnsiTheme="minorHAnsi"/>
          <w:sz w:val="22"/>
          <w:szCs w:val="22"/>
          <w:lang w:val="fr-CA"/>
        </w:rPr>
        <w:t xml:space="preserve"> des ressources financières et/ou un appui technique en nature, une capacité de développement et des informations.</w:t>
      </w:r>
    </w:p>
    <w:sectPr w:rsidR="006C7052" w:rsidRPr="0047280C" w:rsidSect="00396BCA">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FDEEE" w14:textId="77777777" w:rsidR="00883491" w:rsidRDefault="00883491" w:rsidP="00396BCA">
      <w:pPr>
        <w:spacing w:after="0" w:line="240" w:lineRule="auto"/>
      </w:pPr>
      <w:r>
        <w:separator/>
      </w:r>
    </w:p>
  </w:endnote>
  <w:endnote w:type="continuationSeparator" w:id="0">
    <w:p w14:paraId="3CBB2585" w14:textId="77777777" w:rsidR="00883491" w:rsidRDefault="00883491" w:rsidP="003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_nova_rg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7BF0" w14:textId="3F7DF95A" w:rsidR="00396BCA" w:rsidRPr="00396BCA" w:rsidRDefault="00396BCA">
    <w:pPr>
      <w:pStyle w:val="Footer"/>
      <w:rPr>
        <w:sz w:val="20"/>
        <w:szCs w:val="20"/>
      </w:rPr>
    </w:pPr>
    <w:r w:rsidRPr="00396BCA">
      <w:rPr>
        <w:sz w:val="20"/>
        <w:szCs w:val="20"/>
      </w:rPr>
      <w:t>SC54-</w:t>
    </w:r>
    <w:r w:rsidR="0040721B">
      <w:rPr>
        <w:sz w:val="20"/>
        <w:szCs w:val="20"/>
      </w:rPr>
      <w:t>21.9</w:t>
    </w:r>
    <w:r>
      <w:rPr>
        <w:sz w:val="20"/>
        <w:szCs w:val="20"/>
      </w:rPr>
      <w:tab/>
    </w:r>
    <w:r>
      <w:rPr>
        <w:sz w:val="20"/>
        <w:szCs w:val="20"/>
      </w:rPr>
      <w:tab/>
    </w:r>
    <w:r w:rsidRPr="00396BCA">
      <w:rPr>
        <w:sz w:val="20"/>
        <w:szCs w:val="20"/>
      </w:rPr>
      <w:fldChar w:fldCharType="begin"/>
    </w:r>
    <w:r w:rsidRPr="00396BCA">
      <w:rPr>
        <w:sz w:val="20"/>
        <w:szCs w:val="20"/>
      </w:rPr>
      <w:instrText xml:space="preserve"> PAGE   \* MERGEFORMAT </w:instrText>
    </w:r>
    <w:r w:rsidRPr="00396BCA">
      <w:rPr>
        <w:sz w:val="20"/>
        <w:szCs w:val="20"/>
      </w:rPr>
      <w:fldChar w:fldCharType="separate"/>
    </w:r>
    <w:r w:rsidR="001F066C">
      <w:rPr>
        <w:noProof/>
        <w:sz w:val="20"/>
        <w:szCs w:val="20"/>
      </w:rPr>
      <w:t>2</w:t>
    </w:r>
    <w:r w:rsidRPr="00396BC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3C8F3" w14:textId="77777777" w:rsidR="00883491" w:rsidRDefault="00883491" w:rsidP="00396BCA">
      <w:pPr>
        <w:spacing w:after="0" w:line="240" w:lineRule="auto"/>
      </w:pPr>
      <w:r>
        <w:separator/>
      </w:r>
    </w:p>
  </w:footnote>
  <w:footnote w:type="continuationSeparator" w:id="0">
    <w:p w14:paraId="665729A6" w14:textId="77777777" w:rsidR="00883491" w:rsidRDefault="00883491" w:rsidP="00396BCA">
      <w:pPr>
        <w:spacing w:after="0" w:line="240" w:lineRule="auto"/>
      </w:pPr>
      <w:r>
        <w:continuationSeparator/>
      </w:r>
    </w:p>
  </w:footnote>
  <w:footnote w:id="1">
    <w:p w14:paraId="14BB5B84" w14:textId="3B7DF8A8" w:rsidR="00DF11AB" w:rsidRPr="0067014D" w:rsidRDefault="00DF11AB" w:rsidP="00DF11AB">
      <w:pPr>
        <w:pStyle w:val="FootnoteText"/>
        <w:rPr>
          <w:lang w:val="fr-FR"/>
        </w:rPr>
      </w:pPr>
      <w:r w:rsidRPr="001E3C18">
        <w:rPr>
          <w:rStyle w:val="FootnoteReference"/>
          <w:lang w:val="fr-FR"/>
        </w:rPr>
        <w:footnoteRef/>
      </w:r>
      <w:r w:rsidRPr="001E3C18">
        <w:rPr>
          <w:lang w:val="fr-FR"/>
        </w:rPr>
        <w:t xml:space="preserve"> </w:t>
      </w:r>
      <w:r w:rsidR="0067014D" w:rsidRPr="001E3C18">
        <w:rPr>
          <w:lang w:val="fr-FR"/>
        </w:rPr>
        <w:t>La résolution 71/257 de l’Assemblée générale des Nations Unies utilise l’expression « marais littoraux » mais dans le reste de la présente Résolution, nous utilisons l’expression « marais salés »</w:t>
      </w:r>
      <w:r w:rsidR="001E3C18" w:rsidRPr="001E3C18">
        <w:rPr>
          <w:lang w:val="fr-FR"/>
        </w:rPr>
        <w:t xml:space="preserve"> d’un usage plus général</w:t>
      </w:r>
      <w:r w:rsidR="0067014D" w:rsidRPr="001E3C18">
        <w:rPr>
          <w:lang w:val="fr-FR"/>
        </w:rPr>
        <w:t>.</w:t>
      </w:r>
    </w:p>
  </w:footnote>
  <w:footnote w:id="2">
    <w:p w14:paraId="439F7A48" w14:textId="77777777" w:rsidR="00FC0700" w:rsidRPr="00A82032" w:rsidRDefault="00FC0700" w:rsidP="00FC0700">
      <w:pPr>
        <w:autoSpaceDE w:val="0"/>
        <w:autoSpaceDN w:val="0"/>
        <w:adjustRightInd w:val="0"/>
        <w:spacing w:after="0" w:line="240" w:lineRule="auto"/>
        <w:rPr>
          <w:rFonts w:cs="Arial-ItalicMT"/>
          <w:i/>
          <w:iCs/>
          <w:sz w:val="18"/>
          <w:szCs w:val="18"/>
        </w:rPr>
      </w:pPr>
      <w:r w:rsidRPr="00A82032">
        <w:rPr>
          <w:rStyle w:val="FootnoteReference"/>
          <w:sz w:val="18"/>
          <w:szCs w:val="18"/>
        </w:rPr>
        <w:footnoteRef/>
      </w:r>
      <w:r w:rsidRPr="00A82032">
        <w:rPr>
          <w:sz w:val="18"/>
          <w:szCs w:val="18"/>
        </w:rPr>
        <w:t xml:space="preserve"> </w:t>
      </w:r>
      <w:r w:rsidRPr="00A82032">
        <w:rPr>
          <w:rFonts w:cs="ArialMT"/>
          <w:sz w:val="18"/>
          <w:szCs w:val="18"/>
        </w:rPr>
        <w:t xml:space="preserve">Herr, D. and Landis, E. (2016). </w:t>
      </w:r>
      <w:r w:rsidRPr="00A82032">
        <w:rPr>
          <w:rFonts w:cs="Arial-ItalicMT"/>
          <w:i/>
          <w:iCs/>
          <w:sz w:val="18"/>
          <w:szCs w:val="18"/>
        </w:rPr>
        <w:t>Coastal blue carbon ecosystems. Opportunities for</w:t>
      </w:r>
    </w:p>
    <w:p w14:paraId="5822F3AC" w14:textId="77777777" w:rsidR="00FC0700" w:rsidRPr="00A82032" w:rsidRDefault="00FC0700" w:rsidP="00FC0700">
      <w:pPr>
        <w:autoSpaceDE w:val="0"/>
        <w:autoSpaceDN w:val="0"/>
        <w:adjustRightInd w:val="0"/>
        <w:spacing w:after="0" w:line="240" w:lineRule="auto"/>
        <w:rPr>
          <w:rFonts w:cs="ArialMT"/>
          <w:sz w:val="18"/>
          <w:szCs w:val="18"/>
        </w:rPr>
      </w:pPr>
      <w:r w:rsidRPr="00A82032">
        <w:rPr>
          <w:rFonts w:cs="Arial-ItalicMT"/>
          <w:i/>
          <w:iCs/>
          <w:sz w:val="18"/>
          <w:szCs w:val="18"/>
        </w:rPr>
        <w:t>Nationally Determined Contributions. Policy Brief</w:t>
      </w:r>
      <w:r w:rsidRPr="00A82032">
        <w:rPr>
          <w:rFonts w:cs="ArialMT"/>
          <w:sz w:val="18"/>
          <w:szCs w:val="18"/>
        </w:rPr>
        <w:t>. Gland, Switzerland: IUCN and Washington,</w:t>
      </w:r>
    </w:p>
    <w:p w14:paraId="4FEAED51" w14:textId="77777777" w:rsidR="00FC0700" w:rsidRPr="00A82032" w:rsidRDefault="00FC0700" w:rsidP="00FC0700">
      <w:pPr>
        <w:pStyle w:val="FootnoteText"/>
        <w:rPr>
          <w:rFonts w:asciiTheme="minorHAnsi" w:hAnsiTheme="minorHAnsi"/>
          <w:sz w:val="18"/>
          <w:szCs w:val="18"/>
        </w:rPr>
      </w:pPr>
      <w:r w:rsidRPr="00A82032">
        <w:rPr>
          <w:rFonts w:asciiTheme="minorHAnsi" w:hAnsiTheme="minorHAnsi" w:cs="ArialMT"/>
          <w:sz w:val="18"/>
          <w:szCs w:val="18"/>
        </w:rPr>
        <w:t>DC, USA: TNC.</w:t>
      </w:r>
      <w:r w:rsidRPr="00A82032">
        <w:rPr>
          <w:rFonts w:asciiTheme="minorHAnsi" w:hAnsiTheme="minorHAnsi"/>
          <w:sz w:val="18"/>
          <w:szCs w:val="18"/>
        </w:rPr>
        <w:tab/>
      </w:r>
    </w:p>
  </w:footnote>
  <w:footnote w:id="3">
    <w:p w14:paraId="029F227B" w14:textId="77777777" w:rsidR="00C07C56" w:rsidRPr="00C07C56" w:rsidRDefault="00C07C56">
      <w:pPr>
        <w:pStyle w:val="FootnoteText"/>
      </w:pPr>
      <w:r w:rsidRPr="00A82032">
        <w:rPr>
          <w:rStyle w:val="FootnoteReference"/>
          <w:rFonts w:asciiTheme="minorHAnsi" w:hAnsiTheme="minorHAnsi"/>
          <w:sz w:val="18"/>
          <w:szCs w:val="18"/>
        </w:rPr>
        <w:footnoteRef/>
      </w:r>
      <w:r w:rsidRPr="00A82032">
        <w:rPr>
          <w:rFonts w:asciiTheme="minorHAnsi" w:hAnsiTheme="minorHAnsi"/>
          <w:sz w:val="18"/>
          <w:szCs w:val="18"/>
        </w:rPr>
        <w:t xml:space="preserve"> Mcleod E. </w:t>
      </w:r>
      <w:r w:rsidRPr="00A82032">
        <w:rPr>
          <w:rFonts w:asciiTheme="minorHAnsi" w:hAnsiTheme="minorHAnsi"/>
          <w:i/>
          <w:sz w:val="18"/>
          <w:szCs w:val="18"/>
        </w:rPr>
        <w:t>et al</w:t>
      </w:r>
      <w:r w:rsidRPr="00A82032">
        <w:rPr>
          <w:rFonts w:asciiTheme="minorHAnsi" w:hAnsiTheme="minorHAnsi"/>
          <w:sz w:val="18"/>
          <w:szCs w:val="18"/>
        </w:rPr>
        <w:t xml:space="preserve">. (2011). </w:t>
      </w:r>
      <w:r w:rsidRPr="00A82032">
        <w:rPr>
          <w:rFonts w:asciiTheme="minorHAnsi" w:hAnsiTheme="minorHAnsi" w:cs="Arial-ItalicMT"/>
          <w:i/>
          <w:iCs/>
          <w:sz w:val="18"/>
          <w:szCs w:val="18"/>
        </w:rPr>
        <w:t>A blueprint for blue carbon: toward and improved understanding of the role of vegetated coastal habitats in sequestering CO</w:t>
      </w:r>
      <w:r w:rsidRPr="00A82032">
        <w:rPr>
          <w:rFonts w:asciiTheme="minorHAnsi" w:hAnsiTheme="minorHAnsi" w:cs="Arial-ItalicMT"/>
          <w:i/>
          <w:iCs/>
          <w:sz w:val="18"/>
          <w:szCs w:val="18"/>
          <w:vertAlign w:val="subscript"/>
        </w:rPr>
        <w:t>2</w:t>
      </w:r>
      <w:r w:rsidRPr="00A82032">
        <w:rPr>
          <w:rFonts w:asciiTheme="minorHAnsi" w:hAnsiTheme="minorHAnsi" w:cs="Arial-ItalicMT"/>
          <w:i/>
          <w:iCs/>
          <w:sz w:val="18"/>
          <w:szCs w:val="18"/>
        </w:rPr>
        <w:t xml:space="preserve">. </w:t>
      </w:r>
      <w:r w:rsidRPr="00A82032">
        <w:rPr>
          <w:rFonts w:asciiTheme="minorHAnsi" w:hAnsiTheme="minorHAnsi" w:cs="ArialMT"/>
          <w:sz w:val="18"/>
          <w:szCs w:val="18"/>
        </w:rPr>
        <w:t>Frontiers in Ecology and the Environment 2011; 9(10): 552–560, doi:10.1890/110004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9AEB4DE"/>
    <w:lvl w:ilvl="0">
      <w:start w:val="1"/>
      <w:numFmt w:val="decimal"/>
      <w:pStyle w:val="ListNumber2"/>
      <w:lvlText w:val="%1."/>
      <w:lvlJc w:val="left"/>
      <w:pPr>
        <w:tabs>
          <w:tab w:val="num" w:pos="643"/>
        </w:tabs>
        <w:ind w:left="643" w:hanging="360"/>
      </w:pPr>
    </w:lvl>
  </w:abstractNum>
  <w:abstractNum w:abstractNumId="1">
    <w:nsid w:val="FFFFFF88"/>
    <w:multiLevelType w:val="singleLevel"/>
    <w:tmpl w:val="56845C0C"/>
    <w:lvl w:ilvl="0">
      <w:start w:val="1"/>
      <w:numFmt w:val="decimal"/>
      <w:pStyle w:val="ListNumber"/>
      <w:lvlText w:val="%1."/>
      <w:lvlJc w:val="left"/>
      <w:pPr>
        <w:tabs>
          <w:tab w:val="num" w:pos="360"/>
        </w:tabs>
        <w:ind w:left="360" w:hanging="360"/>
      </w:pPr>
    </w:lvl>
  </w:abstractNum>
  <w:abstractNum w:abstractNumId="2">
    <w:nsid w:val="04A31A80"/>
    <w:multiLevelType w:val="hybridMultilevel"/>
    <w:tmpl w:val="921CB958"/>
    <w:lvl w:ilvl="0" w:tplc="0C09000F">
      <w:start w:val="1"/>
      <w:numFmt w:val="decimal"/>
      <w:lvlText w:val="%1."/>
      <w:lvlJc w:val="left"/>
      <w:pPr>
        <w:ind w:left="720" w:hanging="360"/>
      </w:pPr>
      <w:rPr>
        <w:rFonts w:hint="default"/>
      </w:rPr>
    </w:lvl>
    <w:lvl w:ilvl="1" w:tplc="12A6D5D2">
      <w:start w:val="1"/>
      <w:numFmt w:val="bullet"/>
      <w:lvlText w:val=""/>
      <w:lvlJc w:val="left"/>
      <w:pPr>
        <w:ind w:left="1440" w:hanging="360"/>
      </w:pPr>
      <w:rPr>
        <w:rFonts w:ascii="Symbol" w:hAnsi="Symbo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FD39AB"/>
    <w:multiLevelType w:val="hybridMultilevel"/>
    <w:tmpl w:val="68F29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444542"/>
    <w:multiLevelType w:val="hybridMultilevel"/>
    <w:tmpl w:val="19648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942155"/>
    <w:multiLevelType w:val="hybridMultilevel"/>
    <w:tmpl w:val="71844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4930BE7"/>
    <w:multiLevelType w:val="hybridMultilevel"/>
    <w:tmpl w:val="200CAFD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70D1062"/>
    <w:multiLevelType w:val="hybridMultilevel"/>
    <w:tmpl w:val="63789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C077E0A"/>
    <w:multiLevelType w:val="hybridMultilevel"/>
    <w:tmpl w:val="16A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F7F03"/>
    <w:multiLevelType w:val="multilevel"/>
    <w:tmpl w:val="E96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96E39"/>
    <w:multiLevelType w:val="hybridMultilevel"/>
    <w:tmpl w:val="7A6285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1">
    <w:nsid w:val="25D92C2D"/>
    <w:multiLevelType w:val="hybridMultilevel"/>
    <w:tmpl w:val="3F3E8644"/>
    <w:lvl w:ilvl="0" w:tplc="ED7C300E">
      <w:start w:val="1"/>
      <w:numFmt w:val="lowerLetter"/>
      <w:lvlText w:val="%1)"/>
      <w:lvlJc w:val="left"/>
      <w:pPr>
        <w:ind w:left="1211" w:hanging="360"/>
      </w:pPr>
      <w:rPr>
        <w:rFonts w:hint="default"/>
        <w:caps w:val="0"/>
        <w:strike w:val="0"/>
        <w:dstrike w:val="0"/>
        <w:outline w:val="0"/>
        <w:emboss w:val="0"/>
        <w:imprint w:val="0"/>
        <w:color w:val="auto"/>
        <w:spacing w:val="0"/>
        <w:w w:val="100"/>
        <w:kern w:val="0"/>
        <w:position w:val="0"/>
        <w:sz w:val="22"/>
        <w:vertAlign w:val="baseline"/>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27AC2A40"/>
    <w:multiLevelType w:val="hybridMultilevel"/>
    <w:tmpl w:val="B184C3F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957A1D"/>
    <w:multiLevelType w:val="hybridMultilevel"/>
    <w:tmpl w:val="DA28F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841EF"/>
    <w:multiLevelType w:val="hybridMultilevel"/>
    <w:tmpl w:val="85C4555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7">
    <w:nsid w:val="38F95F96"/>
    <w:multiLevelType w:val="hybridMultilevel"/>
    <w:tmpl w:val="80781B0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517DF7"/>
    <w:multiLevelType w:val="hybridMultilevel"/>
    <w:tmpl w:val="62B4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E27132"/>
    <w:multiLevelType w:val="hybridMultilevel"/>
    <w:tmpl w:val="D9DEB2A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6FC64B5"/>
    <w:multiLevelType w:val="hybridMultilevel"/>
    <w:tmpl w:val="95CE7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3A6A36"/>
    <w:multiLevelType w:val="hybridMultilevel"/>
    <w:tmpl w:val="A14C6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002471"/>
    <w:multiLevelType w:val="hybridMultilevel"/>
    <w:tmpl w:val="6070FE28"/>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3">
    <w:nsid w:val="5F6C7695"/>
    <w:multiLevelType w:val="hybridMultilevel"/>
    <w:tmpl w:val="F6EA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412ABB"/>
    <w:multiLevelType w:val="multilevel"/>
    <w:tmpl w:val="0AE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456429"/>
    <w:multiLevelType w:val="multilevel"/>
    <w:tmpl w:val="0E40F14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nsid w:val="6BAC03C0"/>
    <w:multiLevelType w:val="hybridMultilevel"/>
    <w:tmpl w:val="2FECF0D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5B609B8"/>
    <w:multiLevelType w:val="multilevel"/>
    <w:tmpl w:val="196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62E85"/>
    <w:multiLevelType w:val="hybridMultilevel"/>
    <w:tmpl w:val="E0BA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B6B7F41"/>
    <w:multiLevelType w:val="hybridMultilevel"/>
    <w:tmpl w:val="60ECB0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28"/>
  </w:num>
  <w:num w:numId="4">
    <w:abstractNumId w:val="7"/>
  </w:num>
  <w:num w:numId="5">
    <w:abstractNumId w:val="3"/>
  </w:num>
  <w:num w:numId="6">
    <w:abstractNumId w:val="4"/>
  </w:num>
  <w:num w:numId="7">
    <w:abstractNumId w:val="0"/>
  </w:num>
  <w:num w:numId="8">
    <w:abstractNumId w:val="25"/>
  </w:num>
  <w:num w:numId="9">
    <w:abstractNumId w:val="23"/>
  </w:num>
  <w:num w:numId="10">
    <w:abstractNumId w:val="9"/>
  </w:num>
  <w:num w:numId="11">
    <w:abstractNumId w:val="27"/>
  </w:num>
  <w:num w:numId="12">
    <w:abstractNumId w:val="24"/>
  </w:num>
  <w:num w:numId="13">
    <w:abstractNumId w:val="21"/>
  </w:num>
  <w:num w:numId="14">
    <w:abstractNumId w:val="18"/>
  </w:num>
  <w:num w:numId="15">
    <w:abstractNumId w:val="6"/>
  </w:num>
  <w:num w:numId="16">
    <w:abstractNumId w:val="10"/>
  </w:num>
  <w:num w:numId="17">
    <w:abstractNumId w:val="8"/>
  </w:num>
  <w:num w:numId="18">
    <w:abstractNumId w:val="26"/>
  </w:num>
  <w:num w:numId="19">
    <w:abstractNumId w:val="19"/>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9"/>
  </w:num>
  <w:num w:numId="24">
    <w:abstractNumId w:val="1"/>
  </w:num>
  <w:num w:numId="25">
    <w:abstractNumId w:val="14"/>
  </w:num>
  <w:num w:numId="26">
    <w:abstractNumId w:val="16"/>
  </w:num>
  <w:num w:numId="27">
    <w:abstractNumId w:val="12"/>
  </w:num>
  <w:num w:numId="28">
    <w:abstractNumId w:val="17"/>
  </w:num>
  <w:num w:numId="29">
    <w:abstractNumId w:val="2"/>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44"/>
    <w:rsid w:val="00000880"/>
    <w:rsid w:val="000031C2"/>
    <w:rsid w:val="000038EB"/>
    <w:rsid w:val="000042B9"/>
    <w:rsid w:val="0001203C"/>
    <w:rsid w:val="00014E22"/>
    <w:rsid w:val="0001658F"/>
    <w:rsid w:val="000217C8"/>
    <w:rsid w:val="000254A4"/>
    <w:rsid w:val="00026CD4"/>
    <w:rsid w:val="000377F0"/>
    <w:rsid w:val="00044555"/>
    <w:rsid w:val="0006225C"/>
    <w:rsid w:val="000B5730"/>
    <w:rsid w:val="000C0C6F"/>
    <w:rsid w:val="000C11F5"/>
    <w:rsid w:val="000D3E4D"/>
    <w:rsid w:val="000E1E39"/>
    <w:rsid w:val="000F2821"/>
    <w:rsid w:val="00115A19"/>
    <w:rsid w:val="001237A3"/>
    <w:rsid w:val="001304AA"/>
    <w:rsid w:val="00142850"/>
    <w:rsid w:val="00153937"/>
    <w:rsid w:val="00154C8E"/>
    <w:rsid w:val="0016498B"/>
    <w:rsid w:val="00165F56"/>
    <w:rsid w:val="00167A61"/>
    <w:rsid w:val="00173483"/>
    <w:rsid w:val="00173D46"/>
    <w:rsid w:val="00177026"/>
    <w:rsid w:val="0019200F"/>
    <w:rsid w:val="001A17C7"/>
    <w:rsid w:val="001A5238"/>
    <w:rsid w:val="001A780F"/>
    <w:rsid w:val="001B0D11"/>
    <w:rsid w:val="001B1D9E"/>
    <w:rsid w:val="001B3574"/>
    <w:rsid w:val="001D7BB5"/>
    <w:rsid w:val="001E3465"/>
    <w:rsid w:val="001E3C18"/>
    <w:rsid w:val="001F066C"/>
    <w:rsid w:val="001F67A4"/>
    <w:rsid w:val="001F7FE3"/>
    <w:rsid w:val="00210FA6"/>
    <w:rsid w:val="00212FF5"/>
    <w:rsid w:val="002135E8"/>
    <w:rsid w:val="00222EF4"/>
    <w:rsid w:val="002233D4"/>
    <w:rsid w:val="00225A02"/>
    <w:rsid w:val="00242ECB"/>
    <w:rsid w:val="00252574"/>
    <w:rsid w:val="00254991"/>
    <w:rsid w:val="00256CB4"/>
    <w:rsid w:val="00275AA1"/>
    <w:rsid w:val="002816CF"/>
    <w:rsid w:val="00281729"/>
    <w:rsid w:val="00293467"/>
    <w:rsid w:val="002B1E7C"/>
    <w:rsid w:val="002C22E4"/>
    <w:rsid w:val="002D25BF"/>
    <w:rsid w:val="002D36E9"/>
    <w:rsid w:val="002F257A"/>
    <w:rsid w:val="003201E7"/>
    <w:rsid w:val="003400E8"/>
    <w:rsid w:val="00341D27"/>
    <w:rsid w:val="0034283D"/>
    <w:rsid w:val="00355A17"/>
    <w:rsid w:val="003625C2"/>
    <w:rsid w:val="00365320"/>
    <w:rsid w:val="003669FB"/>
    <w:rsid w:val="00370D08"/>
    <w:rsid w:val="0039626D"/>
    <w:rsid w:val="00396BCA"/>
    <w:rsid w:val="003A11EF"/>
    <w:rsid w:val="003B113F"/>
    <w:rsid w:val="003C203E"/>
    <w:rsid w:val="003C2910"/>
    <w:rsid w:val="003C4EE5"/>
    <w:rsid w:val="003D0874"/>
    <w:rsid w:val="003E415A"/>
    <w:rsid w:val="003F7E41"/>
    <w:rsid w:val="00404441"/>
    <w:rsid w:val="0040721B"/>
    <w:rsid w:val="004148E5"/>
    <w:rsid w:val="004152B6"/>
    <w:rsid w:val="00415B6D"/>
    <w:rsid w:val="004242A4"/>
    <w:rsid w:val="00426F22"/>
    <w:rsid w:val="00427B85"/>
    <w:rsid w:val="00430713"/>
    <w:rsid w:val="00434072"/>
    <w:rsid w:val="00441BDC"/>
    <w:rsid w:val="00452432"/>
    <w:rsid w:val="00454B83"/>
    <w:rsid w:val="00455594"/>
    <w:rsid w:val="00466921"/>
    <w:rsid w:val="00471AC0"/>
    <w:rsid w:val="0047280C"/>
    <w:rsid w:val="00474548"/>
    <w:rsid w:val="004829C0"/>
    <w:rsid w:val="00485754"/>
    <w:rsid w:val="00496E8A"/>
    <w:rsid w:val="004A031A"/>
    <w:rsid w:val="004A77C0"/>
    <w:rsid w:val="004B69EB"/>
    <w:rsid w:val="004B6E49"/>
    <w:rsid w:val="004C7A56"/>
    <w:rsid w:val="004D421A"/>
    <w:rsid w:val="004E6877"/>
    <w:rsid w:val="004F0179"/>
    <w:rsid w:val="004F167D"/>
    <w:rsid w:val="004F68DA"/>
    <w:rsid w:val="00502D01"/>
    <w:rsid w:val="0050781A"/>
    <w:rsid w:val="0052246B"/>
    <w:rsid w:val="005246BB"/>
    <w:rsid w:val="0054023A"/>
    <w:rsid w:val="0054389B"/>
    <w:rsid w:val="00556653"/>
    <w:rsid w:val="005706E3"/>
    <w:rsid w:val="005747F0"/>
    <w:rsid w:val="00574A96"/>
    <w:rsid w:val="00587C36"/>
    <w:rsid w:val="0059122B"/>
    <w:rsid w:val="005B6E9B"/>
    <w:rsid w:val="0060172A"/>
    <w:rsid w:val="00613691"/>
    <w:rsid w:val="00616AA6"/>
    <w:rsid w:val="00632E4A"/>
    <w:rsid w:val="00640644"/>
    <w:rsid w:val="00647685"/>
    <w:rsid w:val="00651E96"/>
    <w:rsid w:val="00652628"/>
    <w:rsid w:val="00654BC0"/>
    <w:rsid w:val="0067014D"/>
    <w:rsid w:val="00670FFA"/>
    <w:rsid w:val="006713C3"/>
    <w:rsid w:val="00671FCF"/>
    <w:rsid w:val="00686953"/>
    <w:rsid w:val="00687677"/>
    <w:rsid w:val="006931F7"/>
    <w:rsid w:val="00693E16"/>
    <w:rsid w:val="006954E9"/>
    <w:rsid w:val="006B2544"/>
    <w:rsid w:val="006B2C0C"/>
    <w:rsid w:val="006C11CE"/>
    <w:rsid w:val="006C7052"/>
    <w:rsid w:val="006D06FB"/>
    <w:rsid w:val="006D6AFB"/>
    <w:rsid w:val="006E0708"/>
    <w:rsid w:val="006E3BBE"/>
    <w:rsid w:val="006E6BFF"/>
    <w:rsid w:val="006F1ADE"/>
    <w:rsid w:val="006F5CD4"/>
    <w:rsid w:val="007014F7"/>
    <w:rsid w:val="0070647D"/>
    <w:rsid w:val="00710287"/>
    <w:rsid w:val="00713D85"/>
    <w:rsid w:val="00721B97"/>
    <w:rsid w:val="00730A50"/>
    <w:rsid w:val="007369DE"/>
    <w:rsid w:val="00750608"/>
    <w:rsid w:val="007547AC"/>
    <w:rsid w:val="007565A0"/>
    <w:rsid w:val="0075739E"/>
    <w:rsid w:val="007764E7"/>
    <w:rsid w:val="00776D6E"/>
    <w:rsid w:val="007932DF"/>
    <w:rsid w:val="007A51E6"/>
    <w:rsid w:val="007B0053"/>
    <w:rsid w:val="007B3929"/>
    <w:rsid w:val="007B70D5"/>
    <w:rsid w:val="007C2573"/>
    <w:rsid w:val="007C592F"/>
    <w:rsid w:val="007E40CB"/>
    <w:rsid w:val="008118F6"/>
    <w:rsid w:val="00826ED3"/>
    <w:rsid w:val="00834D88"/>
    <w:rsid w:val="00836FBB"/>
    <w:rsid w:val="0084258F"/>
    <w:rsid w:val="00877FBF"/>
    <w:rsid w:val="00883491"/>
    <w:rsid w:val="00885EAC"/>
    <w:rsid w:val="008B25CE"/>
    <w:rsid w:val="008B6342"/>
    <w:rsid w:val="008C49DE"/>
    <w:rsid w:val="008C4A4E"/>
    <w:rsid w:val="008D50F3"/>
    <w:rsid w:val="008D790F"/>
    <w:rsid w:val="00903D9D"/>
    <w:rsid w:val="00904DBD"/>
    <w:rsid w:val="00905FC5"/>
    <w:rsid w:val="00907EE9"/>
    <w:rsid w:val="009111AD"/>
    <w:rsid w:val="00915708"/>
    <w:rsid w:val="00915EC4"/>
    <w:rsid w:val="00917E38"/>
    <w:rsid w:val="009341B0"/>
    <w:rsid w:val="009635A2"/>
    <w:rsid w:val="00966662"/>
    <w:rsid w:val="00967991"/>
    <w:rsid w:val="00974CD3"/>
    <w:rsid w:val="00977218"/>
    <w:rsid w:val="009858D9"/>
    <w:rsid w:val="00992F9C"/>
    <w:rsid w:val="009A1D60"/>
    <w:rsid w:val="009A74DF"/>
    <w:rsid w:val="009B3731"/>
    <w:rsid w:val="009B40C9"/>
    <w:rsid w:val="009D2D1F"/>
    <w:rsid w:val="009D5E7E"/>
    <w:rsid w:val="009D6605"/>
    <w:rsid w:val="009E556F"/>
    <w:rsid w:val="009F47B2"/>
    <w:rsid w:val="009F7275"/>
    <w:rsid w:val="00A07030"/>
    <w:rsid w:val="00A1750D"/>
    <w:rsid w:val="00A177FA"/>
    <w:rsid w:val="00A25679"/>
    <w:rsid w:val="00A3084E"/>
    <w:rsid w:val="00A30CAF"/>
    <w:rsid w:val="00A44D66"/>
    <w:rsid w:val="00A77680"/>
    <w:rsid w:val="00A82032"/>
    <w:rsid w:val="00A831EA"/>
    <w:rsid w:val="00A91701"/>
    <w:rsid w:val="00A94351"/>
    <w:rsid w:val="00AB0556"/>
    <w:rsid w:val="00AB2526"/>
    <w:rsid w:val="00AD3606"/>
    <w:rsid w:val="00AD50E3"/>
    <w:rsid w:val="00AF0C87"/>
    <w:rsid w:val="00AF601E"/>
    <w:rsid w:val="00B234FE"/>
    <w:rsid w:val="00B24A23"/>
    <w:rsid w:val="00B309A1"/>
    <w:rsid w:val="00B37123"/>
    <w:rsid w:val="00B54452"/>
    <w:rsid w:val="00B676AC"/>
    <w:rsid w:val="00B70B74"/>
    <w:rsid w:val="00B76811"/>
    <w:rsid w:val="00B8109D"/>
    <w:rsid w:val="00B82E5D"/>
    <w:rsid w:val="00B930C2"/>
    <w:rsid w:val="00B93381"/>
    <w:rsid w:val="00BA2A30"/>
    <w:rsid w:val="00BA44A0"/>
    <w:rsid w:val="00BB2F16"/>
    <w:rsid w:val="00BB49B2"/>
    <w:rsid w:val="00BB4D57"/>
    <w:rsid w:val="00BC37FD"/>
    <w:rsid w:val="00BC66FA"/>
    <w:rsid w:val="00BD7AB8"/>
    <w:rsid w:val="00BE3325"/>
    <w:rsid w:val="00BF315D"/>
    <w:rsid w:val="00BF32F0"/>
    <w:rsid w:val="00C07C56"/>
    <w:rsid w:val="00C07F76"/>
    <w:rsid w:val="00C14189"/>
    <w:rsid w:val="00C24758"/>
    <w:rsid w:val="00C25BA7"/>
    <w:rsid w:val="00C34898"/>
    <w:rsid w:val="00C40238"/>
    <w:rsid w:val="00C4284F"/>
    <w:rsid w:val="00C463C1"/>
    <w:rsid w:val="00C46BE4"/>
    <w:rsid w:val="00C56E1A"/>
    <w:rsid w:val="00C63285"/>
    <w:rsid w:val="00C63A0B"/>
    <w:rsid w:val="00C70476"/>
    <w:rsid w:val="00C8571C"/>
    <w:rsid w:val="00C85C82"/>
    <w:rsid w:val="00C92E9C"/>
    <w:rsid w:val="00CA2A76"/>
    <w:rsid w:val="00CA43B1"/>
    <w:rsid w:val="00CA67AC"/>
    <w:rsid w:val="00CC58A0"/>
    <w:rsid w:val="00CD1254"/>
    <w:rsid w:val="00CD4272"/>
    <w:rsid w:val="00CE5154"/>
    <w:rsid w:val="00CF2E8A"/>
    <w:rsid w:val="00D027C2"/>
    <w:rsid w:val="00D04888"/>
    <w:rsid w:val="00D11366"/>
    <w:rsid w:val="00D12D72"/>
    <w:rsid w:val="00D4583C"/>
    <w:rsid w:val="00D51BF6"/>
    <w:rsid w:val="00D521D4"/>
    <w:rsid w:val="00D53B60"/>
    <w:rsid w:val="00D5513C"/>
    <w:rsid w:val="00D724D7"/>
    <w:rsid w:val="00D76FA6"/>
    <w:rsid w:val="00D81DA2"/>
    <w:rsid w:val="00D84177"/>
    <w:rsid w:val="00D86E11"/>
    <w:rsid w:val="00DA5EB4"/>
    <w:rsid w:val="00DB3F0D"/>
    <w:rsid w:val="00DB7F1D"/>
    <w:rsid w:val="00DC1FEA"/>
    <w:rsid w:val="00DC4044"/>
    <w:rsid w:val="00DD4644"/>
    <w:rsid w:val="00DE266C"/>
    <w:rsid w:val="00DF10FD"/>
    <w:rsid w:val="00DF11AB"/>
    <w:rsid w:val="00DF23FD"/>
    <w:rsid w:val="00E03E8E"/>
    <w:rsid w:val="00E122DE"/>
    <w:rsid w:val="00E17DF4"/>
    <w:rsid w:val="00E26CF0"/>
    <w:rsid w:val="00E31649"/>
    <w:rsid w:val="00E5376A"/>
    <w:rsid w:val="00E553A1"/>
    <w:rsid w:val="00E66339"/>
    <w:rsid w:val="00E74931"/>
    <w:rsid w:val="00E81467"/>
    <w:rsid w:val="00E90820"/>
    <w:rsid w:val="00E90B05"/>
    <w:rsid w:val="00E90D0B"/>
    <w:rsid w:val="00E94199"/>
    <w:rsid w:val="00EA4D93"/>
    <w:rsid w:val="00EA5612"/>
    <w:rsid w:val="00EB668A"/>
    <w:rsid w:val="00EF420B"/>
    <w:rsid w:val="00EF4A06"/>
    <w:rsid w:val="00EF7931"/>
    <w:rsid w:val="00F05C2D"/>
    <w:rsid w:val="00F12B31"/>
    <w:rsid w:val="00F27B52"/>
    <w:rsid w:val="00F35176"/>
    <w:rsid w:val="00F35A98"/>
    <w:rsid w:val="00F508D9"/>
    <w:rsid w:val="00F560F7"/>
    <w:rsid w:val="00F61579"/>
    <w:rsid w:val="00F624E9"/>
    <w:rsid w:val="00F6325C"/>
    <w:rsid w:val="00F74E89"/>
    <w:rsid w:val="00F9025C"/>
    <w:rsid w:val="00F94F75"/>
    <w:rsid w:val="00FA18EF"/>
    <w:rsid w:val="00FC0700"/>
    <w:rsid w:val="00FD2058"/>
    <w:rsid w:val="00FD4DE0"/>
    <w:rsid w:val="00FD6FC6"/>
    <w:rsid w:val="00FE2DF2"/>
    <w:rsid w:val="00FF1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semiHidden/>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7B0053"/>
    <w:rPr>
      <w:rFonts w:ascii="Calibri" w:hAnsi="Calibri" w:cs="Times New Roman"/>
      <w:sz w:val="20"/>
      <w:szCs w:val="20"/>
    </w:rPr>
  </w:style>
  <w:style w:type="character" w:styleId="FootnoteReference">
    <w:name w:val="footnote reference"/>
    <w:basedOn w:val="DefaultParagraphFont"/>
    <w:uiPriority w:val="99"/>
    <w:semiHidden/>
    <w:unhideWhenUsed/>
    <w:rsid w:val="007B0053"/>
    <w:rPr>
      <w:vertAlign w:val="superscript"/>
    </w:rPr>
  </w:style>
  <w:style w:type="paragraph" w:styleId="ListNumber">
    <w:name w:val="List Number"/>
    <w:basedOn w:val="Normal"/>
    <w:uiPriority w:val="99"/>
    <w:semiHidden/>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table" w:styleId="TableGrid">
    <w:name w:val="Table Grid"/>
    <w:basedOn w:val="TableNormal"/>
    <w:uiPriority w:val="59"/>
    <w:rsid w:val="00026CD4"/>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semiHidden/>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7B0053"/>
    <w:rPr>
      <w:rFonts w:ascii="Calibri" w:hAnsi="Calibri" w:cs="Times New Roman"/>
      <w:sz w:val="20"/>
      <w:szCs w:val="20"/>
    </w:rPr>
  </w:style>
  <w:style w:type="character" w:styleId="FootnoteReference">
    <w:name w:val="footnote reference"/>
    <w:basedOn w:val="DefaultParagraphFont"/>
    <w:uiPriority w:val="99"/>
    <w:semiHidden/>
    <w:unhideWhenUsed/>
    <w:rsid w:val="007B0053"/>
    <w:rPr>
      <w:vertAlign w:val="superscript"/>
    </w:rPr>
  </w:style>
  <w:style w:type="paragraph" w:styleId="ListNumber">
    <w:name w:val="List Number"/>
    <w:basedOn w:val="Normal"/>
    <w:uiPriority w:val="99"/>
    <w:semiHidden/>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table" w:styleId="TableGrid">
    <w:name w:val="Table Grid"/>
    <w:basedOn w:val="TableNormal"/>
    <w:uiPriority w:val="59"/>
    <w:rsid w:val="00026CD4"/>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532">
      <w:bodyDiv w:val="1"/>
      <w:marLeft w:val="0"/>
      <w:marRight w:val="0"/>
      <w:marTop w:val="0"/>
      <w:marBottom w:val="0"/>
      <w:divBdr>
        <w:top w:val="none" w:sz="0" w:space="0" w:color="auto"/>
        <w:left w:val="none" w:sz="0" w:space="0" w:color="auto"/>
        <w:bottom w:val="none" w:sz="0" w:space="0" w:color="auto"/>
        <w:right w:val="none" w:sz="0" w:space="0" w:color="auto"/>
      </w:divBdr>
    </w:div>
    <w:div w:id="106853203">
      <w:bodyDiv w:val="1"/>
      <w:marLeft w:val="0"/>
      <w:marRight w:val="0"/>
      <w:marTop w:val="0"/>
      <w:marBottom w:val="0"/>
      <w:divBdr>
        <w:top w:val="none" w:sz="0" w:space="0" w:color="auto"/>
        <w:left w:val="none" w:sz="0" w:space="0" w:color="auto"/>
        <w:bottom w:val="none" w:sz="0" w:space="0" w:color="auto"/>
        <w:right w:val="none" w:sz="0" w:space="0" w:color="auto"/>
      </w:divBdr>
    </w:div>
    <w:div w:id="539710768">
      <w:bodyDiv w:val="1"/>
      <w:marLeft w:val="0"/>
      <w:marRight w:val="0"/>
      <w:marTop w:val="0"/>
      <w:marBottom w:val="0"/>
      <w:divBdr>
        <w:top w:val="none" w:sz="0" w:space="0" w:color="auto"/>
        <w:left w:val="none" w:sz="0" w:space="0" w:color="auto"/>
        <w:bottom w:val="none" w:sz="0" w:space="0" w:color="auto"/>
        <w:right w:val="none" w:sz="0" w:space="0" w:color="auto"/>
      </w:divBdr>
    </w:div>
    <w:div w:id="555505387">
      <w:bodyDiv w:val="1"/>
      <w:marLeft w:val="0"/>
      <w:marRight w:val="0"/>
      <w:marTop w:val="0"/>
      <w:marBottom w:val="0"/>
      <w:divBdr>
        <w:top w:val="none" w:sz="0" w:space="0" w:color="auto"/>
        <w:left w:val="none" w:sz="0" w:space="0" w:color="auto"/>
        <w:bottom w:val="none" w:sz="0" w:space="0" w:color="auto"/>
        <w:right w:val="none" w:sz="0" w:space="0" w:color="auto"/>
      </w:divBdr>
    </w:div>
    <w:div w:id="849300379">
      <w:bodyDiv w:val="1"/>
      <w:marLeft w:val="0"/>
      <w:marRight w:val="0"/>
      <w:marTop w:val="0"/>
      <w:marBottom w:val="0"/>
      <w:divBdr>
        <w:top w:val="none" w:sz="0" w:space="0" w:color="auto"/>
        <w:left w:val="none" w:sz="0" w:space="0" w:color="auto"/>
        <w:bottom w:val="none" w:sz="0" w:space="0" w:color="auto"/>
        <w:right w:val="none" w:sz="0" w:space="0" w:color="auto"/>
      </w:divBdr>
    </w:div>
    <w:div w:id="1233270683">
      <w:bodyDiv w:val="1"/>
      <w:marLeft w:val="0"/>
      <w:marRight w:val="0"/>
      <w:marTop w:val="0"/>
      <w:marBottom w:val="0"/>
      <w:divBdr>
        <w:top w:val="none" w:sz="0" w:space="0" w:color="auto"/>
        <w:left w:val="none" w:sz="0" w:space="0" w:color="auto"/>
        <w:bottom w:val="none" w:sz="0" w:space="0" w:color="auto"/>
        <w:right w:val="none" w:sz="0" w:space="0" w:color="auto"/>
      </w:divBdr>
    </w:div>
    <w:div w:id="1878657548">
      <w:bodyDiv w:val="1"/>
      <w:marLeft w:val="0"/>
      <w:marRight w:val="0"/>
      <w:marTop w:val="0"/>
      <w:marBottom w:val="0"/>
      <w:divBdr>
        <w:top w:val="none" w:sz="0" w:space="0" w:color="auto"/>
        <w:left w:val="none" w:sz="0" w:space="0" w:color="auto"/>
        <w:bottom w:val="none" w:sz="0" w:space="0" w:color="auto"/>
        <w:right w:val="none" w:sz="0" w:space="0" w:color="auto"/>
      </w:divBdr>
      <w:divsChild>
        <w:div w:id="933973644">
          <w:marLeft w:val="0"/>
          <w:marRight w:val="0"/>
          <w:marTop w:val="0"/>
          <w:marBottom w:val="225"/>
          <w:divBdr>
            <w:top w:val="none" w:sz="0" w:space="0" w:color="auto"/>
            <w:left w:val="none" w:sz="0" w:space="0" w:color="auto"/>
            <w:bottom w:val="none" w:sz="0" w:space="0" w:color="auto"/>
            <w:right w:val="none" w:sz="0" w:space="0" w:color="auto"/>
          </w:divBdr>
          <w:divsChild>
            <w:div w:id="400560214">
              <w:marLeft w:val="0"/>
              <w:marRight w:val="0"/>
              <w:marTop w:val="300"/>
              <w:marBottom w:val="0"/>
              <w:divBdr>
                <w:top w:val="none" w:sz="0" w:space="0" w:color="auto"/>
                <w:left w:val="none" w:sz="0" w:space="0" w:color="auto"/>
                <w:bottom w:val="none" w:sz="0" w:space="0" w:color="auto"/>
                <w:right w:val="none" w:sz="0" w:space="0" w:color="auto"/>
              </w:divBdr>
              <w:divsChild>
                <w:div w:id="831339581">
                  <w:marLeft w:val="0"/>
                  <w:marRight w:val="0"/>
                  <w:marTop w:val="0"/>
                  <w:marBottom w:val="0"/>
                  <w:divBdr>
                    <w:top w:val="none" w:sz="0" w:space="0" w:color="auto"/>
                    <w:left w:val="none" w:sz="0" w:space="0" w:color="auto"/>
                    <w:bottom w:val="none" w:sz="0" w:space="0" w:color="auto"/>
                    <w:right w:val="none" w:sz="0" w:space="0" w:color="auto"/>
                  </w:divBdr>
                  <w:divsChild>
                    <w:div w:id="504631011">
                      <w:marLeft w:val="0"/>
                      <w:marRight w:val="0"/>
                      <w:marTop w:val="0"/>
                      <w:marBottom w:val="0"/>
                      <w:divBdr>
                        <w:top w:val="none" w:sz="0" w:space="0" w:color="auto"/>
                        <w:left w:val="none" w:sz="0" w:space="0" w:color="auto"/>
                        <w:bottom w:val="none" w:sz="0" w:space="0" w:color="auto"/>
                        <w:right w:val="none" w:sz="0" w:space="0" w:color="auto"/>
                      </w:divBdr>
                      <w:divsChild>
                        <w:div w:id="56056532">
                          <w:marLeft w:val="0"/>
                          <w:marRight w:val="0"/>
                          <w:marTop w:val="0"/>
                          <w:marBottom w:val="0"/>
                          <w:divBdr>
                            <w:top w:val="none" w:sz="0" w:space="0" w:color="auto"/>
                            <w:left w:val="none" w:sz="0" w:space="0" w:color="auto"/>
                            <w:bottom w:val="none" w:sz="0" w:space="0" w:color="auto"/>
                            <w:right w:val="none" w:sz="0" w:space="0" w:color="auto"/>
                          </w:divBdr>
                          <w:divsChild>
                            <w:div w:id="1440375234">
                              <w:marLeft w:val="0"/>
                              <w:marRight w:val="0"/>
                              <w:marTop w:val="0"/>
                              <w:marBottom w:val="0"/>
                              <w:divBdr>
                                <w:top w:val="none" w:sz="0" w:space="0" w:color="auto"/>
                                <w:left w:val="none" w:sz="0" w:space="0" w:color="auto"/>
                                <w:bottom w:val="none" w:sz="0" w:space="0" w:color="auto"/>
                                <w:right w:val="none" w:sz="0" w:space="0" w:color="auto"/>
                              </w:divBdr>
                              <w:divsChild>
                                <w:div w:id="678312676">
                                  <w:marLeft w:val="0"/>
                                  <w:marRight w:val="0"/>
                                  <w:marTop w:val="0"/>
                                  <w:marBottom w:val="0"/>
                                  <w:divBdr>
                                    <w:top w:val="none" w:sz="0" w:space="0" w:color="auto"/>
                                    <w:left w:val="none" w:sz="0" w:space="0" w:color="auto"/>
                                    <w:bottom w:val="none" w:sz="0" w:space="0" w:color="auto"/>
                                    <w:right w:val="none" w:sz="0" w:space="0" w:color="auto"/>
                                  </w:divBdr>
                                  <w:divsChild>
                                    <w:div w:id="563758413">
                                      <w:marLeft w:val="0"/>
                                      <w:marRight w:val="0"/>
                                      <w:marTop w:val="0"/>
                                      <w:marBottom w:val="0"/>
                                      <w:divBdr>
                                        <w:top w:val="none" w:sz="0" w:space="0" w:color="auto"/>
                                        <w:left w:val="none" w:sz="0" w:space="0" w:color="auto"/>
                                        <w:bottom w:val="none" w:sz="0" w:space="0" w:color="auto"/>
                                        <w:right w:val="none" w:sz="0" w:space="0" w:color="auto"/>
                                      </w:divBdr>
                                      <w:divsChild>
                                        <w:div w:id="699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002012790</RecordNumber>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EEC7-8716-471B-A6FD-9145EBC4F1FC}">
  <ds:schemaRefs>
    <ds:schemaRef ds:uri="http://schemas.microsoft.com/office/2006/metadata/customXsn"/>
  </ds:schemaRefs>
</ds:datastoreItem>
</file>

<file path=customXml/itemProps2.xml><?xml version="1.0" encoding="utf-8"?>
<ds:datastoreItem xmlns:ds="http://schemas.openxmlformats.org/officeDocument/2006/customXml" ds:itemID="{F4388D74-6CF1-41B5-A4C3-198670722654}">
  <ds:schemaRefs>
    <ds:schemaRef ds:uri="http://schemas.microsoft.com/sharepoint/events"/>
  </ds:schemaRefs>
</ds:datastoreItem>
</file>

<file path=customXml/itemProps3.xml><?xml version="1.0" encoding="utf-8"?>
<ds:datastoreItem xmlns:ds="http://schemas.openxmlformats.org/officeDocument/2006/customXml" ds:itemID="{86FB090F-2F3F-4747-8D43-8F13A512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EA5F6-6F83-4442-A1D2-B03AF3283AA6}">
  <ds:schemaRefs>
    <ds:schemaRef ds:uri="http://purl.org/dc/terms/"/>
    <ds:schemaRef ds:uri="http://schemas.microsoft.com/sharepoint/v4"/>
    <ds:schemaRef ds:uri="http://www.w3.org/XML/1998/namespace"/>
    <ds:schemaRef ds:uri="http://purl.org/dc/dcmitype/"/>
    <ds:schemaRef ds:uri="http://schemas.openxmlformats.org/package/2006/metadata/core-properties"/>
    <ds:schemaRef ds:uri="5af92df4-ae3d-4772-abff-92e7cba13994"/>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C598542C-A335-4265-98F8-466215252B3E}">
  <ds:schemaRefs>
    <ds:schemaRef ds:uri="http://schemas.microsoft.com/sharepoint/v3/contenttype/forms"/>
  </ds:schemaRefs>
</ds:datastoreItem>
</file>

<file path=customXml/itemProps6.xml><?xml version="1.0" encoding="utf-8"?>
<ds:datastoreItem xmlns:ds="http://schemas.openxmlformats.org/officeDocument/2006/customXml" ds:itemID="{22112CEC-A4A3-4677-A7FD-9942C585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2354</Words>
  <Characters>13421</Characters>
  <Application>Microsoft Office Word</Application>
  <DocSecurity>4</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Blue Carbon Draft resolution to Ramsar COP13</vt:lpstr>
      <vt:lpstr>Blue Carbon Draft resolution to Ramsar COP13</vt:lpstr>
    </vt:vector>
  </TitlesOfParts>
  <Company>The Department of the Environment</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Carbon Draft resolution to Ramsar COP13</dc:title>
  <dc:creator>Wilkinson, Leanne</dc:creator>
  <cp:lastModifiedBy>Ramsar\JenningsE</cp:lastModifiedBy>
  <cp:revision>2</cp:revision>
  <cp:lastPrinted>2018-02-21T00:28:00Z</cp:lastPrinted>
  <dcterms:created xsi:type="dcterms:W3CDTF">2018-02-26T11:07:00Z</dcterms:created>
  <dcterms:modified xsi:type="dcterms:W3CDTF">2018-02-26T11:07:00Z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{2369fb10-6b57-4d08-994c-60a90730186d}</vt:lpwstr>
  </property>
  <property fmtid="{D5CDD505-2E9C-101B-9397-08002B2CF9AE}" pid="4" name="RecordPoint_SubmissionCompleted">
    <vt:lpwstr>2018-02-22T04:41:40.7387692+11:00</vt:lpwstr>
  </property>
  <property fmtid="{D5CDD505-2E9C-101B-9397-08002B2CF9AE}" pid="5" name="RecordPoint_WorkflowType">
    <vt:lpwstr>ActiveSubmitStub</vt:lpwstr>
  </property>
  <property fmtid="{D5CDD505-2E9C-101B-9397-08002B2CF9AE}" pid="6" name="RecordPoint_ActiveItemSiteId">
    <vt:lpwstr>{a8f0bc9d-7c61-4d87-8154-4194e40ae5d3}</vt:lpwstr>
  </property>
  <property fmtid="{D5CDD505-2E9C-101B-9397-08002B2CF9AE}" pid="7" name="RecordPoint_ActiveItemListId">
    <vt:lpwstr>{5dd4d19f-453b-4598-8756-d997d940362f}</vt:lpwstr>
  </property>
  <property fmtid="{D5CDD505-2E9C-101B-9397-08002B2CF9AE}" pid="8" name="RecordPoint_ActiveItemWebId">
    <vt:lpwstr>{5af92df4-ae3d-4772-abff-92e7cba13994}</vt:lpwstr>
  </property>
  <property fmtid="{D5CDD505-2E9C-101B-9397-08002B2CF9AE}" pid="9" name="RecordPoint_RecordNumberSubmitted">
    <vt:lpwstr>002012790</vt:lpwstr>
  </property>
</Properties>
</file>