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33" w:rsidRPr="001C7750" w:rsidRDefault="00EA0C59" w:rsidP="004E2F3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2790"/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>CONVENTION DE RAMSAR SUR LES ZONES HUMIDES</w:t>
      </w:r>
    </w:p>
    <w:p w:rsidR="004E2F33" w:rsidRPr="001C7750" w:rsidRDefault="004E2F33" w:rsidP="004E2F3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2790"/>
        <w:rPr>
          <w:bCs/>
          <w:sz w:val="24"/>
          <w:szCs w:val="24"/>
          <w:lang w:val="fr-CA"/>
        </w:rPr>
      </w:pPr>
      <w:r w:rsidRPr="001C7750">
        <w:rPr>
          <w:bCs/>
          <w:sz w:val="24"/>
          <w:szCs w:val="24"/>
          <w:lang w:val="fr-CA"/>
        </w:rPr>
        <w:t>54</w:t>
      </w:r>
      <w:r w:rsidR="00EA0C59" w:rsidRPr="00EA0C59">
        <w:rPr>
          <w:bCs/>
          <w:sz w:val="24"/>
          <w:szCs w:val="24"/>
          <w:vertAlign w:val="superscript"/>
          <w:lang w:val="fr-CA"/>
        </w:rPr>
        <w:t>e</w:t>
      </w:r>
      <w:r w:rsidRPr="001C7750">
        <w:rPr>
          <w:bCs/>
          <w:sz w:val="24"/>
          <w:szCs w:val="24"/>
          <w:lang w:val="fr-CA"/>
        </w:rPr>
        <w:t xml:space="preserve"> </w:t>
      </w:r>
      <w:r w:rsidR="00EA0C59">
        <w:rPr>
          <w:bCs/>
          <w:sz w:val="24"/>
          <w:szCs w:val="24"/>
          <w:lang w:val="fr-CA"/>
        </w:rPr>
        <w:t>Réunion du Comité permanent</w:t>
      </w:r>
    </w:p>
    <w:p w:rsidR="004E2F33" w:rsidRPr="001C7750" w:rsidRDefault="004E2F33" w:rsidP="004E2F3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2790"/>
        <w:rPr>
          <w:bCs/>
          <w:sz w:val="24"/>
          <w:szCs w:val="24"/>
          <w:lang w:val="fr-CA"/>
        </w:rPr>
      </w:pPr>
      <w:r w:rsidRPr="001C7750">
        <w:rPr>
          <w:bCs/>
          <w:sz w:val="24"/>
          <w:szCs w:val="24"/>
          <w:lang w:val="fr-CA"/>
        </w:rPr>
        <w:t xml:space="preserve">Gland, </w:t>
      </w:r>
      <w:r w:rsidR="00EA0C59">
        <w:rPr>
          <w:bCs/>
          <w:sz w:val="24"/>
          <w:szCs w:val="24"/>
          <w:lang w:val="fr-CA"/>
        </w:rPr>
        <w:t>Suisse</w:t>
      </w:r>
      <w:r w:rsidRPr="001C7750">
        <w:rPr>
          <w:bCs/>
          <w:sz w:val="24"/>
          <w:szCs w:val="24"/>
          <w:lang w:val="fr-CA"/>
        </w:rPr>
        <w:t xml:space="preserve">, 23 </w:t>
      </w:r>
      <w:r w:rsidR="00EA0C59">
        <w:rPr>
          <w:bCs/>
          <w:sz w:val="24"/>
          <w:szCs w:val="24"/>
          <w:lang w:val="fr-CA"/>
        </w:rPr>
        <w:t>au</w:t>
      </w:r>
      <w:r w:rsidRPr="001C7750">
        <w:rPr>
          <w:bCs/>
          <w:sz w:val="24"/>
          <w:szCs w:val="24"/>
          <w:lang w:val="fr-CA"/>
        </w:rPr>
        <w:t xml:space="preserve"> 27 </w:t>
      </w:r>
      <w:r w:rsidR="00EA0C59">
        <w:rPr>
          <w:bCs/>
          <w:sz w:val="24"/>
          <w:szCs w:val="24"/>
          <w:lang w:val="fr-CA"/>
        </w:rPr>
        <w:t>avril</w:t>
      </w:r>
      <w:r w:rsidRPr="001C7750">
        <w:rPr>
          <w:bCs/>
          <w:sz w:val="24"/>
          <w:szCs w:val="24"/>
          <w:lang w:val="fr-CA"/>
        </w:rPr>
        <w:t xml:space="preserve"> 2018</w:t>
      </w:r>
    </w:p>
    <w:p w:rsidR="004E2F33" w:rsidRPr="001C7750" w:rsidRDefault="004E2F33" w:rsidP="004E2F33">
      <w:pPr>
        <w:spacing w:after="0" w:line="240" w:lineRule="auto"/>
        <w:jc w:val="right"/>
        <w:rPr>
          <w:rFonts w:cs="Arial"/>
          <w:b/>
          <w:sz w:val="28"/>
          <w:szCs w:val="28"/>
          <w:lang w:val="fr-CA"/>
        </w:rPr>
      </w:pPr>
    </w:p>
    <w:p w:rsidR="004E2F33" w:rsidRPr="001C7750" w:rsidRDefault="00A0697C" w:rsidP="004E2F33">
      <w:pPr>
        <w:spacing w:after="0" w:line="240" w:lineRule="auto"/>
        <w:jc w:val="right"/>
        <w:rPr>
          <w:rFonts w:cs="Arial"/>
          <w:sz w:val="28"/>
          <w:szCs w:val="28"/>
          <w:lang w:val="fr-CA"/>
        </w:rPr>
      </w:pPr>
      <w:r w:rsidRPr="001C7750">
        <w:rPr>
          <w:rFonts w:cs="Arial"/>
          <w:b/>
          <w:sz w:val="28"/>
          <w:szCs w:val="28"/>
          <w:lang w:val="fr-CA"/>
        </w:rPr>
        <w:t xml:space="preserve">Doc. </w:t>
      </w:r>
      <w:r w:rsidR="004E2F33" w:rsidRPr="001C7750">
        <w:rPr>
          <w:rFonts w:cs="Arial"/>
          <w:b/>
          <w:sz w:val="28"/>
          <w:szCs w:val="28"/>
          <w:lang w:val="fr-CA"/>
        </w:rPr>
        <w:t>SC54-</w:t>
      </w:r>
      <w:r w:rsidRPr="001C7750">
        <w:rPr>
          <w:rFonts w:cs="Arial"/>
          <w:b/>
          <w:sz w:val="28"/>
          <w:szCs w:val="28"/>
          <w:lang w:val="fr-CA"/>
        </w:rPr>
        <w:t>21.7</w:t>
      </w:r>
    </w:p>
    <w:p w:rsidR="004E2F33" w:rsidRPr="001C7750" w:rsidRDefault="004E2F33" w:rsidP="004E2F33">
      <w:pPr>
        <w:spacing w:after="0" w:line="240" w:lineRule="auto"/>
        <w:rPr>
          <w:b/>
          <w:sz w:val="28"/>
          <w:lang w:val="fr-CA"/>
        </w:rPr>
      </w:pPr>
    </w:p>
    <w:p w:rsidR="004E2F33" w:rsidRPr="001C7750" w:rsidRDefault="00EA0C59" w:rsidP="004E2F33">
      <w:pPr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sz w:val="28"/>
          <w:szCs w:val="28"/>
          <w:lang w:val="fr-CA"/>
        </w:rPr>
      </w:pPr>
      <w:r>
        <w:rPr>
          <w:rFonts w:ascii="Calibri" w:eastAsia="Calibri" w:hAnsi="Calibri" w:cs="Arial"/>
          <w:b/>
          <w:sz w:val="28"/>
          <w:szCs w:val="28"/>
          <w:lang w:val="fr-CA"/>
        </w:rPr>
        <w:t>Projet de résolution sur les zones humides en Asie de l’Ouest</w:t>
      </w:r>
    </w:p>
    <w:p w:rsidR="004E2F33" w:rsidRPr="001C7750" w:rsidRDefault="004E2F33" w:rsidP="004E2F33">
      <w:pPr>
        <w:spacing w:after="0" w:line="240" w:lineRule="auto"/>
        <w:ind w:left="425" w:hanging="425"/>
        <w:jc w:val="center"/>
        <w:rPr>
          <w:rFonts w:ascii="Calibri" w:eastAsia="Calibri" w:hAnsi="Calibri" w:cs="Arial"/>
          <w:lang w:val="fr-CA"/>
        </w:rPr>
      </w:pPr>
    </w:p>
    <w:p w:rsidR="004E2F33" w:rsidRPr="001C7750" w:rsidRDefault="00EA0C59" w:rsidP="004E2F33">
      <w:pPr>
        <w:spacing w:after="0" w:line="240" w:lineRule="auto"/>
        <w:ind w:right="16"/>
        <w:rPr>
          <w:rFonts w:eastAsia="Times New Roman" w:cs="Times New Roman"/>
          <w:i/>
          <w:lang w:val="fr-CA"/>
        </w:rPr>
      </w:pPr>
      <w:r>
        <w:rPr>
          <w:rFonts w:eastAsia="Times New Roman" w:cs="Times New Roman"/>
          <w:i/>
          <w:lang w:val="fr-CA"/>
        </w:rPr>
        <w:t>Présenté par l’</w:t>
      </w:r>
      <w:r w:rsidR="004E2F33" w:rsidRPr="001C7750">
        <w:rPr>
          <w:rFonts w:eastAsia="Times New Roman" w:cs="Times New Roman"/>
          <w:i/>
          <w:lang w:val="fr-CA"/>
        </w:rPr>
        <w:t>Iraq</w:t>
      </w:r>
    </w:p>
    <w:p w:rsidR="00A0697C" w:rsidRPr="001C7750" w:rsidRDefault="00A0697C" w:rsidP="00A0697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  <w:lang w:val="fr-CA"/>
        </w:rPr>
      </w:pPr>
    </w:p>
    <w:p w:rsidR="00A0697C" w:rsidRPr="001C7750" w:rsidRDefault="00A0697C" w:rsidP="00A0697C">
      <w:pPr>
        <w:spacing w:after="0" w:line="240" w:lineRule="auto"/>
        <w:rPr>
          <w:rFonts w:eastAsia="Times New Roman"/>
          <w:lang w:val="fr-CA"/>
        </w:rPr>
      </w:pPr>
      <w:r w:rsidRPr="001C7750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A76C081" wp14:editId="68C40B9F">
                <wp:extent cx="5731510" cy="847725"/>
                <wp:effectExtent l="0" t="0" r="21590" b="28575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97C" w:rsidRPr="00EA0C59" w:rsidRDefault="00EA0C59" w:rsidP="00A0697C">
                            <w:pPr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lang w:val="fr-CA"/>
                              </w:rPr>
                              <w:t>Mesure requise </w:t>
                            </w:r>
                            <w:r w:rsidR="00A0697C" w:rsidRPr="00EA0C59">
                              <w:rPr>
                                <w:b/>
                                <w:lang w:val="fr-CA"/>
                              </w:rPr>
                              <w:t>:</w:t>
                            </w:r>
                          </w:p>
                          <w:p w:rsidR="00A0697C" w:rsidRPr="00EA0C59" w:rsidRDefault="00EA0C59" w:rsidP="00A069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5" w:hanging="425"/>
                              <w:rPr>
                                <w:lang w:val="fr-CA"/>
                              </w:rPr>
                            </w:pPr>
                            <w:r w:rsidRPr="00EA0C59">
                              <w:rPr>
                                <w:rFonts w:ascii="Calibri" w:eastAsia="Calibri" w:hAnsi="Calibri" w:cs="Calibri Light"/>
                                <w:lang w:val="fr-CA"/>
                              </w:rPr>
                              <w:t>Le Comité permanent est invité à examiner le projet de résolution ci-joint pour examen à la 13</w:t>
                            </w:r>
                            <w:r w:rsidRPr="00EA0C59">
                              <w:rPr>
                                <w:rFonts w:ascii="Calibri" w:eastAsia="Calibri" w:hAnsi="Calibri" w:cs="Calibri Light"/>
                                <w:vertAlign w:val="superscript"/>
                                <w:lang w:val="fr-CA"/>
                              </w:rPr>
                              <w:t>e </w:t>
                            </w:r>
                            <w:r w:rsidRPr="00EA0C59">
                              <w:rPr>
                                <w:rFonts w:ascii="Calibri" w:eastAsia="Calibri" w:hAnsi="Calibri" w:cs="Calibri Light"/>
                                <w:lang w:val="fr-CA"/>
                              </w:rPr>
                              <w:t>Session de la Conférence des Parties</w:t>
                            </w:r>
                            <w:r w:rsidR="00A0697C" w:rsidRPr="00EA0C59">
                              <w:rPr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6A76C0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">
                <v:textbox>
                  <w:txbxContent>
                    <w:p w:rsidR="00A0697C" w:rsidRPr="00EA0C59" w:rsidRDefault="00EA0C59" w:rsidP="00A0697C">
                      <w:pPr>
                        <w:rPr>
                          <w:b/>
                          <w:lang w:val="fr-CA"/>
                        </w:rPr>
                      </w:pPr>
                      <w:r>
                        <w:rPr>
                          <w:b/>
                          <w:lang w:val="fr-CA"/>
                        </w:rPr>
                        <w:t>Mesure requise </w:t>
                      </w:r>
                      <w:r w:rsidR="00A0697C" w:rsidRPr="00EA0C59">
                        <w:rPr>
                          <w:b/>
                          <w:lang w:val="fr-CA"/>
                        </w:rPr>
                        <w:t>:</w:t>
                      </w:r>
                    </w:p>
                    <w:p w:rsidR="00A0697C" w:rsidRPr="00EA0C59" w:rsidRDefault="00EA0C59" w:rsidP="00A069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5" w:hanging="425"/>
                        <w:rPr>
                          <w:lang w:val="fr-CA"/>
                        </w:rPr>
                      </w:pPr>
                      <w:r w:rsidRPr="00EA0C59">
                        <w:rPr>
                          <w:rFonts w:ascii="Calibri" w:eastAsia="Calibri" w:hAnsi="Calibri" w:cs="Calibri Light"/>
                          <w:lang w:val="fr-CA"/>
                        </w:rPr>
                        <w:t>Le Comité permanent est invité à examiner le projet de résolution ci-joint pour examen à la 13</w:t>
                      </w:r>
                      <w:r w:rsidRPr="00EA0C59">
                        <w:rPr>
                          <w:rFonts w:ascii="Calibri" w:eastAsia="Calibri" w:hAnsi="Calibri" w:cs="Calibri Light"/>
                          <w:vertAlign w:val="superscript"/>
                          <w:lang w:val="fr-CA"/>
                        </w:rPr>
                        <w:t>e </w:t>
                      </w:r>
                      <w:r w:rsidRPr="00EA0C59">
                        <w:rPr>
                          <w:rFonts w:ascii="Calibri" w:eastAsia="Calibri" w:hAnsi="Calibri" w:cs="Calibri Light"/>
                          <w:lang w:val="fr-CA"/>
                        </w:rPr>
                        <w:t>Session de la Conférence des Parties</w:t>
                      </w:r>
                      <w:r w:rsidR="00A0697C" w:rsidRPr="00EA0C59">
                        <w:rPr>
                          <w:lang w:val="fr-CA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697C" w:rsidRPr="001C7750" w:rsidRDefault="00A0697C" w:rsidP="00A74EA8">
      <w:pPr>
        <w:tabs>
          <w:tab w:val="left" w:pos="2850"/>
        </w:tabs>
        <w:spacing w:after="0" w:line="240" w:lineRule="auto"/>
        <w:ind w:right="16"/>
        <w:rPr>
          <w:rFonts w:eastAsia="Times New Roman" w:cstheme="majorHAnsi"/>
          <w:bCs/>
          <w:lang w:val="fr-CA"/>
        </w:rPr>
      </w:pPr>
    </w:p>
    <w:p w:rsidR="00A0697C" w:rsidRPr="001C7750" w:rsidRDefault="00A0697C" w:rsidP="00A74EA8">
      <w:pPr>
        <w:tabs>
          <w:tab w:val="left" w:pos="2850"/>
        </w:tabs>
        <w:spacing w:after="0" w:line="240" w:lineRule="auto"/>
        <w:ind w:right="16"/>
        <w:rPr>
          <w:rFonts w:eastAsia="Times New Roman" w:cstheme="majorHAnsi"/>
          <w:bCs/>
          <w:lang w:val="fr-CA"/>
        </w:rPr>
      </w:pPr>
    </w:p>
    <w:p w:rsidR="00A0697C" w:rsidRPr="001C7750" w:rsidRDefault="00EA0C59" w:rsidP="00A74EA8">
      <w:pPr>
        <w:tabs>
          <w:tab w:val="left" w:pos="2850"/>
        </w:tabs>
        <w:spacing w:after="0" w:line="240" w:lineRule="auto"/>
        <w:ind w:right="16"/>
        <w:rPr>
          <w:rFonts w:eastAsia="Times New Roman" w:cstheme="majorHAnsi"/>
          <w:b/>
          <w:bCs/>
          <w:sz w:val="24"/>
          <w:szCs w:val="24"/>
          <w:lang w:val="fr-CA"/>
        </w:rPr>
      </w:pPr>
      <w:r>
        <w:rPr>
          <w:rFonts w:eastAsia="Times New Roman" w:cstheme="majorHAnsi"/>
          <w:b/>
          <w:bCs/>
          <w:sz w:val="24"/>
          <w:szCs w:val="24"/>
          <w:lang w:val="fr-CA"/>
        </w:rPr>
        <w:t>Projet de résolution</w:t>
      </w:r>
      <w:r w:rsidR="00A0697C" w:rsidRPr="001C7750">
        <w:rPr>
          <w:rFonts w:eastAsia="Times New Roman" w:cstheme="majorHAnsi"/>
          <w:b/>
          <w:bCs/>
          <w:sz w:val="24"/>
          <w:szCs w:val="24"/>
          <w:lang w:val="fr-CA"/>
        </w:rPr>
        <w:t xml:space="preserve"> XIII.xx</w:t>
      </w:r>
      <w:r w:rsidR="00A0697C" w:rsidRPr="001C7750">
        <w:rPr>
          <w:rFonts w:eastAsia="Times New Roman" w:cstheme="majorHAnsi"/>
          <w:b/>
          <w:bCs/>
          <w:sz w:val="24"/>
          <w:szCs w:val="24"/>
          <w:lang w:val="fr-CA"/>
        </w:rPr>
        <w:tab/>
      </w:r>
    </w:p>
    <w:p w:rsidR="00A0697C" w:rsidRPr="001C7750" w:rsidRDefault="00A0697C" w:rsidP="00A74EA8">
      <w:pPr>
        <w:spacing w:after="0" w:line="240" w:lineRule="auto"/>
        <w:rPr>
          <w:b/>
          <w:bCs/>
          <w:sz w:val="24"/>
          <w:szCs w:val="24"/>
          <w:lang w:val="fr-CA" w:eastAsia="zh-CN"/>
        </w:rPr>
      </w:pPr>
    </w:p>
    <w:p w:rsidR="00A0697C" w:rsidRPr="001C7750" w:rsidRDefault="00E11B7D" w:rsidP="00A0697C">
      <w:pPr>
        <w:spacing w:after="0" w:line="240" w:lineRule="auto"/>
        <w:ind w:right="16"/>
        <w:jc w:val="center"/>
        <w:rPr>
          <w:rFonts w:eastAsia="Times New Roman" w:cs="Times New Roman"/>
          <w:i/>
          <w:sz w:val="24"/>
          <w:szCs w:val="24"/>
          <w:lang w:val="fr-CA"/>
        </w:rPr>
      </w:pPr>
      <w:r>
        <w:rPr>
          <w:rFonts w:ascii="Calibri" w:eastAsia="Calibri" w:hAnsi="Calibri" w:cs="Arial"/>
          <w:b/>
          <w:sz w:val="24"/>
          <w:szCs w:val="24"/>
          <w:lang w:val="fr-CA"/>
        </w:rPr>
        <w:t>Les zones humides en Asie de l’Ouest</w:t>
      </w:r>
    </w:p>
    <w:p w:rsidR="004E2F33" w:rsidRPr="001C7750" w:rsidRDefault="004E2F33" w:rsidP="00A0697C">
      <w:pPr>
        <w:spacing w:after="0" w:line="240" w:lineRule="auto"/>
        <w:ind w:left="425" w:hanging="425"/>
        <w:rPr>
          <w:rFonts w:ascii="Calibri" w:eastAsia="Calibri" w:hAnsi="Calibri" w:cs="Arial"/>
          <w:lang w:val="fr-CA"/>
        </w:rPr>
      </w:pPr>
    </w:p>
    <w:p w:rsidR="004E2F33" w:rsidRPr="001C7750" w:rsidRDefault="004E2F33" w:rsidP="004E2F33">
      <w:pPr>
        <w:spacing w:after="0" w:line="240" w:lineRule="auto"/>
        <w:ind w:left="425" w:hanging="425"/>
        <w:rPr>
          <w:lang w:val="fr-CA"/>
        </w:rPr>
      </w:pPr>
      <w:r w:rsidRPr="001C7750">
        <w:rPr>
          <w:lang w:val="fr-CA"/>
        </w:rPr>
        <w:t>1.</w:t>
      </w:r>
      <w:r w:rsidRPr="001C7750">
        <w:rPr>
          <w:lang w:val="fr-CA"/>
        </w:rPr>
        <w:tab/>
      </w:r>
      <w:r w:rsidR="00E11B7D">
        <w:rPr>
          <w:lang w:val="fr-CA"/>
        </w:rPr>
        <w:t xml:space="preserve">APPRÉCIANT </w:t>
      </w:r>
      <w:r w:rsidR="004B7097">
        <w:rPr>
          <w:lang w:val="fr-CA"/>
        </w:rPr>
        <w:t>VIVE</w:t>
      </w:r>
      <w:r w:rsidR="00E11B7D">
        <w:rPr>
          <w:lang w:val="fr-CA"/>
        </w:rPr>
        <w:t xml:space="preserve">MENT la générosité des Émirats arabes unis qui </w:t>
      </w:r>
      <w:r w:rsidR="006A56E9">
        <w:rPr>
          <w:lang w:val="fr-CA"/>
        </w:rPr>
        <w:t>ont offert d’</w:t>
      </w:r>
      <w:r w:rsidR="00E11B7D">
        <w:rPr>
          <w:lang w:val="fr-CA"/>
        </w:rPr>
        <w:t>accueill</w:t>
      </w:r>
      <w:r w:rsidR="006A56E9">
        <w:rPr>
          <w:lang w:val="fr-CA"/>
        </w:rPr>
        <w:t>ir</w:t>
      </w:r>
      <w:r w:rsidR="00E11B7D">
        <w:rPr>
          <w:lang w:val="fr-CA"/>
        </w:rPr>
        <w:t xml:space="preserve"> la 13</w:t>
      </w:r>
      <w:r w:rsidR="00E11B7D" w:rsidRPr="00E11B7D">
        <w:rPr>
          <w:vertAlign w:val="superscript"/>
          <w:lang w:val="fr-CA"/>
        </w:rPr>
        <w:t>e</w:t>
      </w:r>
      <w:r w:rsidR="00E11B7D">
        <w:rPr>
          <w:lang w:val="fr-CA"/>
        </w:rPr>
        <w:t xml:space="preserve"> Session de la Conférence des Parties à la Convention de Ramsar sur les zones humides, </w:t>
      </w:r>
      <w:r w:rsidR="004B7097">
        <w:rPr>
          <w:lang w:val="fr-CA"/>
        </w:rPr>
        <w:t>organisée</w:t>
      </w:r>
      <w:r w:rsidR="00E11B7D">
        <w:rPr>
          <w:lang w:val="fr-CA"/>
        </w:rPr>
        <w:t xml:space="preserve"> pour la première fois en Asie de l’Ouest et pouvant </w:t>
      </w:r>
      <w:r w:rsidR="004B7097">
        <w:rPr>
          <w:lang w:val="fr-CA"/>
        </w:rPr>
        <w:t>être l’</w:t>
      </w:r>
      <w:r w:rsidR="00E11B7D">
        <w:rPr>
          <w:lang w:val="fr-CA"/>
        </w:rPr>
        <w:t>occasion de sensibiliser à l’importance des zones humides de la région, à leur état ainsi qu’</w:t>
      </w:r>
      <w:r w:rsidR="004B7097">
        <w:rPr>
          <w:lang w:val="fr-CA"/>
        </w:rPr>
        <w:t>à leurs</w:t>
      </w:r>
      <w:r w:rsidR="00E11B7D">
        <w:rPr>
          <w:lang w:val="fr-CA"/>
        </w:rPr>
        <w:t xml:space="preserve"> </w:t>
      </w:r>
      <w:r w:rsidR="004B7097">
        <w:rPr>
          <w:lang w:val="fr-CA"/>
        </w:rPr>
        <w:t xml:space="preserve">problèmes </w:t>
      </w:r>
      <w:r w:rsidR="00E11B7D">
        <w:rPr>
          <w:lang w:val="fr-CA"/>
        </w:rPr>
        <w:t xml:space="preserve">et possibilités; </w:t>
      </w:r>
      <w:r w:rsidRPr="001C7750">
        <w:rPr>
          <w:lang w:val="fr-CA"/>
        </w:rPr>
        <w:t xml:space="preserve">  </w:t>
      </w:r>
    </w:p>
    <w:p w:rsidR="004E2F33" w:rsidRPr="001C7750" w:rsidRDefault="004E2F33" w:rsidP="004E2F33">
      <w:pPr>
        <w:pStyle w:val="ListParagraph"/>
        <w:spacing w:after="0" w:line="240" w:lineRule="auto"/>
        <w:ind w:left="425" w:hanging="425"/>
        <w:rPr>
          <w:lang w:val="fr-CA"/>
        </w:rPr>
      </w:pPr>
    </w:p>
    <w:p w:rsidR="004E2F33" w:rsidRPr="001C7750" w:rsidRDefault="004E2F33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>2.</w:t>
      </w: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>CONSCIENTE de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la gamme des types uniques de zones humides d’Asie de l’Ouest tel</w:t>
      </w:r>
      <w:r w:rsidR="00426B42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que les</w:t>
      </w:r>
      <w:r w:rsidR="00E11B7D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E11B7D" w:rsidRPr="001C7750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sebkhas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(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étendues salées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), 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les </w:t>
      </w:r>
      <w:r w:rsidRPr="001C7750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khor</w:t>
      </w:r>
      <w:r w:rsidR="00E11B7D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 xml:space="preserve">s 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(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anses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couvertes par la 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marée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),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les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Pr="001C7750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oasis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(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source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dans le désert ou source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d’eau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), 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les </w:t>
      </w:r>
      <w:r w:rsidR="00426B42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ou</w:t>
      </w:r>
      <w:r w:rsidR="00E11B7D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 xml:space="preserve">eds 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(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>lits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de cours d’eau à sec ne contenant de l’eau qu’en périodes de forte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pluie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);</w:t>
      </w:r>
    </w:p>
    <w:p w:rsidR="004E2F33" w:rsidRPr="001C7750" w:rsidRDefault="004E2F33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</w:p>
    <w:p w:rsidR="0046353E" w:rsidRPr="001C7750" w:rsidRDefault="0046353E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>3.</w:t>
      </w: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RAPPELANT l’importance, pour les Parties contractantes, d’intégrer la conservation et l’utilisation rationnelle des zones humides dans la gestion de leurs bassins hydrographiques nationaux et transfront</w:t>
      </w:r>
      <w:r w:rsidR="004B7097">
        <w:rPr>
          <w:rFonts w:asciiTheme="minorHAnsi" w:hAnsiTheme="minorHAnsi"/>
          <w:color w:val="auto"/>
          <w:sz w:val="22"/>
          <w:szCs w:val="22"/>
          <w:lang w:val="fr-CA"/>
        </w:rPr>
        <w:t>aliers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, </w:t>
      </w:r>
      <w:r w:rsidR="004B7097">
        <w:rPr>
          <w:rFonts w:asciiTheme="minorHAnsi" w:hAnsiTheme="minorHAnsi"/>
          <w:color w:val="auto"/>
          <w:sz w:val="22"/>
          <w:szCs w:val="22"/>
          <w:lang w:val="fr-CA"/>
        </w:rPr>
        <w:t>et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le maintien des flux environnementaux (Résolution VII.18), ainsi que </w:t>
      </w:r>
      <w:r w:rsidR="004B7097">
        <w:rPr>
          <w:rFonts w:asciiTheme="minorHAnsi" w:hAnsiTheme="minorHAnsi"/>
          <w:color w:val="auto"/>
          <w:sz w:val="22"/>
          <w:szCs w:val="22"/>
          <w:lang w:val="fr-CA"/>
        </w:rPr>
        <w:t>de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garantir et protéger les besoins en eau des zones humides pour les générations présentes et futures (Résolution XII.12); </w:t>
      </w:r>
    </w:p>
    <w:p w:rsidR="0046353E" w:rsidRPr="001C7750" w:rsidRDefault="0046353E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</w:p>
    <w:p w:rsidR="002D6964" w:rsidRPr="001C7750" w:rsidRDefault="00CD6ECE" w:rsidP="002D6964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>4</w:t>
      </w:r>
      <w:r w:rsidR="002D6964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2D6964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APPRÉCIANT la coopération croissante entre la République islamique d’Iran et l’Iraq en vue de conserver et garantir l’utilisation rationnelle des marais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d’</w:t>
      </w:r>
      <w:r w:rsidR="002D6964"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Hawizeh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de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l’</w:t>
      </w:r>
      <w:r w:rsidR="002D6964"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Haur Al-Azim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qui f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ont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partie des marais de Mésopotamie;</w:t>
      </w:r>
    </w:p>
    <w:p w:rsidR="002D6964" w:rsidRPr="001C7750" w:rsidRDefault="002D6964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4E2F33" w:rsidRPr="001C7750" w:rsidRDefault="00CD6ECE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>5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PRÉOCCUPÉE par la dégradation et l’assèchement de nombreuses zones humides, en particulier celles qui sont partagées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en raison de la diminution des précipitations dues aux changements climatiques, à la surexploitation de l’eau (y compris des aquifères) et à la construction de structures de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maîtrise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de l’eau; </w:t>
      </w:r>
    </w:p>
    <w:p w:rsidR="001747A3" w:rsidRPr="001C7750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EF7A93" w:rsidRPr="001C7750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6. </w:t>
      </w: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EF7A93" w:rsidRPr="001C7750">
        <w:rPr>
          <w:rFonts w:asciiTheme="minorHAnsi" w:hAnsiTheme="minorHAnsi"/>
          <w:color w:val="auto"/>
          <w:sz w:val="22"/>
          <w:szCs w:val="22"/>
          <w:lang w:val="fr-CA"/>
        </w:rPr>
        <w:t>RECO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NNAISSANT ET RÉITÉRANT que la pénurie d’eau dans les zones humides est un problème mondial qui a des conséquences graves pour les écosystèmes et les moyens d’existence des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lastRenderedPageBreak/>
        <w:t>peuples, en particulier de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s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communautés vulnérables qui dépendent des zones humides et NOTANT que ce problème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pourrait s’aggraver à l’avenir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compte tenu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de la demande croissante en eau et autres ressources naturelles, des effets des changements climatiques (Résolution XII.12) et des projets d’exploitation et de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maîtrise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de l’eau en amont;</w:t>
      </w:r>
    </w:p>
    <w:p w:rsidR="001747A3" w:rsidRPr="001C7750" w:rsidRDefault="001747A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4E2F33" w:rsidRPr="001C7750" w:rsidRDefault="001747A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>7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ÉGALEMENT PRÉOCCUPÉE par la fréquence accrue et la sévérité des tempêtes de sable et de poussière dans la région qui ont des effets négatifs sur la vie économique et sociale; </w:t>
      </w:r>
    </w:p>
    <w:p w:rsidR="004E2F33" w:rsidRPr="001C7750" w:rsidRDefault="004E2F33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</w:p>
    <w:p w:rsidR="004E2F33" w:rsidRPr="001C7750" w:rsidRDefault="001747A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>8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INQUIÈTE des pressions croissantes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qui s’exercent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sur les zones humides urbaines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en raison du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développement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galopant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ainsi qu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e de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la perte des zones humides côtières</w:t>
      </w:r>
      <w:r w:rsidR="008F65B4" w:rsidRP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naturelles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à cause de projets d’assèchement;</w:t>
      </w:r>
    </w:p>
    <w:p w:rsidR="0012096C" w:rsidRPr="001C7750" w:rsidRDefault="0012096C" w:rsidP="00295556">
      <w:pPr>
        <w:spacing w:after="0" w:line="240" w:lineRule="auto"/>
        <w:rPr>
          <w:rFonts w:ascii="Calibri" w:hAnsi="Calibri" w:cs="Arial"/>
          <w:lang w:val="fr-CA"/>
        </w:rPr>
      </w:pPr>
    </w:p>
    <w:p w:rsidR="004E2F33" w:rsidRPr="001C7750" w:rsidRDefault="00426B42" w:rsidP="004E2F33">
      <w:pPr>
        <w:spacing w:after="0" w:line="240" w:lineRule="auto"/>
        <w:jc w:val="center"/>
        <w:rPr>
          <w:i/>
          <w:lang w:val="fr-CA"/>
        </w:rPr>
      </w:pPr>
      <w:r>
        <w:rPr>
          <w:rFonts w:cs="Garamond"/>
          <w:lang w:val="fr-CA"/>
        </w:rPr>
        <w:t>LA CONFÉRENCE DES PARTIES CONTRACTANTES</w:t>
      </w:r>
    </w:p>
    <w:p w:rsidR="004E2F33" w:rsidRPr="001C7750" w:rsidRDefault="004E2F33" w:rsidP="004E2F33">
      <w:pPr>
        <w:pStyle w:val="Default"/>
        <w:ind w:left="425"/>
        <w:rPr>
          <w:rFonts w:asciiTheme="minorHAnsi" w:hAnsiTheme="minorHAnsi"/>
          <w:sz w:val="22"/>
          <w:szCs w:val="22"/>
          <w:lang w:val="fr-CA"/>
        </w:rPr>
      </w:pPr>
    </w:p>
    <w:p w:rsidR="004E2F33" w:rsidRPr="001C7750" w:rsidRDefault="001747A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>9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ENCOURAGE VIVEMENT les Parties contractantes qui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ont en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partage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 d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es bassins de cours d’eau coulant à travers l’Asie de l’Ouest, en particulier les bassins du Tigre et de l’Euphrate, à coopérer pour maintenir les flux environnementaux le long des cours d’eau de façon que les usagers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 se trouvant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en aval ne subissent pas d’effets négatifs des activités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menées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en amont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,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telles que la construction et le fonctionnement de barrages et autres structures de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maîtrise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de l’eau.</w:t>
      </w:r>
    </w:p>
    <w:p w:rsidR="001747A3" w:rsidRPr="001C7750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EF7A93" w:rsidRPr="001C7750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10. </w:t>
      </w: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EF7A93"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ENCOURAGE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les Parties contractantes à envisager de recourir aux initiatives et engagements régionaux existants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dans le contexte du développement durable pour fournir de l’eau pour l’environnement et en conséquence</w:t>
      </w:r>
      <w:r w:rsidR="006A56E9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renforcer la gestion des zones humides. </w:t>
      </w:r>
    </w:p>
    <w:p w:rsidR="001747A3" w:rsidRPr="001C7750" w:rsidRDefault="001747A3" w:rsidP="00EF7A9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4E2F33" w:rsidRPr="001C7750" w:rsidRDefault="001747A3" w:rsidP="00EF7A9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>11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CONSCIENTE du coût élevé des conflits pour l’homme et l’environnement, APPELLE à un appui international des Parties contractantes, OIP et organisations compétentes pour examiner l’état des zones humides après les conflits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restaurer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leurs services écosystémiques si nécessaire, afin que </w:t>
      </w:r>
      <w:r w:rsidR="006A56E9">
        <w:rPr>
          <w:rFonts w:asciiTheme="minorHAnsi" w:hAnsiTheme="minorHAnsi"/>
          <w:color w:val="auto"/>
          <w:sz w:val="22"/>
          <w:szCs w:val="22"/>
          <w:lang w:val="fr-CA"/>
        </w:rPr>
        <w:t xml:space="preserve">les populations affectées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puissent continuer de bénéficier de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ces zones humides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pendant la période de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rétablissement et à l’avenir. </w:t>
      </w:r>
    </w:p>
    <w:p w:rsidR="00901AFB" w:rsidRPr="001C7750" w:rsidRDefault="00901AFB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CD6ECE" w:rsidRPr="001C7750" w:rsidRDefault="001747A3" w:rsidP="00CD6ECE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>12</w:t>
      </w:r>
      <w:bookmarkStart w:id="0" w:name="_GoBack"/>
      <w:bookmarkEnd w:id="0"/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  <w:t xml:space="preserve">ENCOURAGE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une plus grande coopération entre les Parties contractantes, les OIP et les organisations compétentes pour promouvoir la sensibilisation à l’importance des zones humides de la région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agir concrètement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en faveur de leur conservation et de leur utilisation rationnelle, y compris mais sans s’y limiter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par l’échange d’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expérience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de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connaissances expertes, la formation,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le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s études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le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suivi.</w:t>
      </w:r>
    </w:p>
    <w:p w:rsidR="00CD6ECE" w:rsidRPr="001C7750" w:rsidRDefault="00CD6ECE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EF7A93" w:rsidRPr="001C7750" w:rsidRDefault="00EF7A9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sectPr w:rsidR="00EF7A93" w:rsidRPr="001C7750" w:rsidSect="00A0697C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43" w:rsidRDefault="00145243" w:rsidP="00A0697C">
      <w:pPr>
        <w:spacing w:after="0" w:line="240" w:lineRule="auto"/>
      </w:pPr>
      <w:r>
        <w:separator/>
      </w:r>
    </w:p>
  </w:endnote>
  <w:endnote w:type="continuationSeparator" w:id="0">
    <w:p w:rsidR="00145243" w:rsidRDefault="00145243" w:rsidP="00A0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7C" w:rsidRPr="00A0697C" w:rsidRDefault="00A0697C">
    <w:pPr>
      <w:pStyle w:val="Footer"/>
      <w:rPr>
        <w:sz w:val="20"/>
        <w:szCs w:val="20"/>
        <w:lang w:val="en-GB"/>
      </w:rPr>
    </w:pPr>
    <w:r w:rsidRPr="00A0697C">
      <w:rPr>
        <w:sz w:val="20"/>
        <w:szCs w:val="20"/>
        <w:lang w:val="en-GB"/>
      </w:rPr>
      <w:t>SC54-21.7</w:t>
    </w:r>
    <w:r w:rsidRPr="00A0697C">
      <w:rPr>
        <w:sz w:val="20"/>
        <w:szCs w:val="20"/>
        <w:lang w:val="en-GB"/>
      </w:rPr>
      <w:tab/>
    </w:r>
    <w:r w:rsidRPr="00A0697C">
      <w:rPr>
        <w:sz w:val="20"/>
        <w:szCs w:val="20"/>
        <w:lang w:val="en-GB"/>
      </w:rPr>
      <w:tab/>
    </w:r>
    <w:r w:rsidRPr="00A0697C">
      <w:rPr>
        <w:sz w:val="20"/>
        <w:szCs w:val="20"/>
        <w:lang w:val="en-GB"/>
      </w:rPr>
      <w:fldChar w:fldCharType="begin"/>
    </w:r>
    <w:r w:rsidRPr="00A0697C">
      <w:rPr>
        <w:sz w:val="20"/>
        <w:szCs w:val="20"/>
        <w:lang w:val="en-GB"/>
      </w:rPr>
      <w:instrText xml:space="preserve"> PAGE   \* MERGEFORMAT </w:instrText>
    </w:r>
    <w:r w:rsidRPr="00A0697C">
      <w:rPr>
        <w:sz w:val="20"/>
        <w:szCs w:val="20"/>
        <w:lang w:val="en-GB"/>
      </w:rPr>
      <w:fldChar w:fldCharType="separate"/>
    </w:r>
    <w:r w:rsidR="00DD431F">
      <w:rPr>
        <w:noProof/>
        <w:sz w:val="20"/>
        <w:szCs w:val="20"/>
        <w:lang w:val="en-GB"/>
      </w:rPr>
      <w:t>2</w:t>
    </w:r>
    <w:r w:rsidRPr="00A0697C">
      <w:rPr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43" w:rsidRDefault="00145243" w:rsidP="00A0697C">
      <w:pPr>
        <w:spacing w:after="0" w:line="240" w:lineRule="auto"/>
      </w:pPr>
      <w:r>
        <w:separator/>
      </w:r>
    </w:p>
  </w:footnote>
  <w:footnote w:type="continuationSeparator" w:id="0">
    <w:p w:rsidR="00145243" w:rsidRDefault="00145243" w:rsidP="00A0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33"/>
    <w:rsid w:val="0012096C"/>
    <w:rsid w:val="00145243"/>
    <w:rsid w:val="001747A3"/>
    <w:rsid w:val="001C7750"/>
    <w:rsid w:val="0022161C"/>
    <w:rsid w:val="00292BC1"/>
    <w:rsid w:val="00295556"/>
    <w:rsid w:val="002C65F1"/>
    <w:rsid w:val="002D6964"/>
    <w:rsid w:val="00342964"/>
    <w:rsid w:val="00426B42"/>
    <w:rsid w:val="0046353E"/>
    <w:rsid w:val="004A0B07"/>
    <w:rsid w:val="004B7097"/>
    <w:rsid w:val="004E2F33"/>
    <w:rsid w:val="00504C15"/>
    <w:rsid w:val="00527783"/>
    <w:rsid w:val="005C32AA"/>
    <w:rsid w:val="00656835"/>
    <w:rsid w:val="006A56E9"/>
    <w:rsid w:val="00756FC3"/>
    <w:rsid w:val="00866E7F"/>
    <w:rsid w:val="008D2FD8"/>
    <w:rsid w:val="008F65B4"/>
    <w:rsid w:val="00901AFB"/>
    <w:rsid w:val="009D6BE5"/>
    <w:rsid w:val="00A0697C"/>
    <w:rsid w:val="00A75240"/>
    <w:rsid w:val="00AC79C1"/>
    <w:rsid w:val="00CD6ECE"/>
    <w:rsid w:val="00DD431F"/>
    <w:rsid w:val="00E11B7D"/>
    <w:rsid w:val="00E36B6D"/>
    <w:rsid w:val="00EA0C59"/>
    <w:rsid w:val="00EF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3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33"/>
    <w:pPr>
      <w:ind w:left="720"/>
      <w:contextualSpacing/>
    </w:pPr>
  </w:style>
  <w:style w:type="paragraph" w:customStyle="1" w:styleId="Default">
    <w:name w:val="Default"/>
    <w:rsid w:val="004E2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4E2F33"/>
    <w:pPr>
      <w:spacing w:after="0" w:line="240" w:lineRule="auto"/>
    </w:pPr>
    <w:rPr>
      <w:lang w:val="en-AU"/>
    </w:rPr>
  </w:style>
  <w:style w:type="paragraph" w:customStyle="1" w:styleId="gmail-default">
    <w:name w:val="gmail-default"/>
    <w:basedOn w:val="Normal"/>
    <w:rsid w:val="00EF7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97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97C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3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33"/>
    <w:pPr>
      <w:ind w:left="720"/>
      <w:contextualSpacing/>
    </w:pPr>
  </w:style>
  <w:style w:type="paragraph" w:customStyle="1" w:styleId="Default">
    <w:name w:val="Default"/>
    <w:rsid w:val="004E2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4E2F33"/>
    <w:pPr>
      <w:spacing w:after="0" w:line="240" w:lineRule="auto"/>
    </w:pPr>
    <w:rPr>
      <w:lang w:val="en-AU"/>
    </w:rPr>
  </w:style>
  <w:style w:type="paragraph" w:customStyle="1" w:styleId="gmail-default">
    <w:name w:val="gmail-default"/>
    <w:basedOn w:val="Normal"/>
    <w:rsid w:val="00EF7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97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97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3762</Characters>
  <Application>Microsoft Office Word</Application>
  <DocSecurity>4</DocSecurity>
  <Lines>179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CRIMW</dc:creator>
  <cp:lastModifiedBy>Ramsar\JenningsE</cp:lastModifiedBy>
  <cp:revision>2</cp:revision>
  <dcterms:created xsi:type="dcterms:W3CDTF">2018-02-23T12:43:00Z</dcterms:created>
  <dcterms:modified xsi:type="dcterms:W3CDTF">2018-02-23T12:43:00Z</dcterms:modified>
</cp:coreProperties>
</file>