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72" w:rsidRDefault="00171572" w:rsidP="00E93F4B">
      <w:pPr>
        <w:spacing w:after="0" w:line="240" w:lineRule="auto"/>
        <w:ind w:right="16"/>
        <w:jc w:val="center"/>
        <w:rPr>
          <w:rFonts w:eastAsia="Times New Roman" w:cs="Times New Roman"/>
          <w:sz w:val="28"/>
          <w:szCs w:val="28"/>
          <w:lang w:val="fr-CA"/>
        </w:rPr>
      </w:pPr>
    </w:p>
    <w:p w:rsidR="00CE1E56" w:rsidRPr="000352AB" w:rsidRDefault="00CE1E56" w:rsidP="00E93F4B">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cstheme="minorHAnsi"/>
          <w:bCs/>
          <w:szCs w:val="20"/>
          <w:lang w:val="fr-CA"/>
        </w:rPr>
      </w:pPr>
      <w:r>
        <w:rPr>
          <w:rFonts w:cstheme="minorHAnsi"/>
          <w:bCs/>
          <w:szCs w:val="20"/>
          <w:lang w:val="fr-CA"/>
        </w:rPr>
        <w:t>LA CONVENTION DE RAMSAR SUR LES ZONES HUMIDES</w:t>
      </w:r>
    </w:p>
    <w:p w:rsidR="00CE1E56" w:rsidRPr="000352AB" w:rsidRDefault="00CE1E56" w:rsidP="00E93F4B">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cstheme="minorHAnsi"/>
          <w:bCs/>
          <w:szCs w:val="20"/>
          <w:lang w:val="fr-CA"/>
        </w:rPr>
      </w:pPr>
      <w:r w:rsidRPr="000352AB">
        <w:rPr>
          <w:rFonts w:cstheme="minorHAnsi"/>
          <w:bCs/>
          <w:szCs w:val="20"/>
          <w:lang w:val="fr-CA"/>
        </w:rPr>
        <w:t>54</w:t>
      </w:r>
      <w:r w:rsidRPr="000352AB">
        <w:rPr>
          <w:rFonts w:cstheme="minorHAnsi"/>
          <w:bCs/>
          <w:szCs w:val="20"/>
          <w:vertAlign w:val="superscript"/>
          <w:lang w:val="fr-CA"/>
        </w:rPr>
        <w:t>e</w:t>
      </w:r>
      <w:r w:rsidRPr="000352AB">
        <w:rPr>
          <w:rFonts w:cstheme="minorHAnsi"/>
          <w:bCs/>
          <w:szCs w:val="20"/>
          <w:lang w:val="fr-CA"/>
        </w:rPr>
        <w:t xml:space="preserve"> </w:t>
      </w:r>
      <w:r>
        <w:rPr>
          <w:rFonts w:cstheme="minorHAnsi"/>
          <w:bCs/>
          <w:szCs w:val="20"/>
          <w:lang w:val="fr-CA"/>
        </w:rPr>
        <w:t>Réunion du Comité permanent</w:t>
      </w:r>
    </w:p>
    <w:p w:rsidR="00CE1E56" w:rsidRPr="000352AB" w:rsidRDefault="00CE1E56" w:rsidP="00E93F4B">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sz w:val="28"/>
          <w:lang w:val="fr-CA"/>
        </w:rPr>
      </w:pPr>
      <w:r w:rsidRPr="000352AB">
        <w:rPr>
          <w:rFonts w:cstheme="minorHAnsi"/>
          <w:bCs/>
          <w:szCs w:val="20"/>
          <w:lang w:val="fr-CA"/>
        </w:rPr>
        <w:t xml:space="preserve">Gland, </w:t>
      </w:r>
      <w:r>
        <w:rPr>
          <w:rFonts w:cstheme="minorHAnsi"/>
          <w:bCs/>
          <w:szCs w:val="20"/>
          <w:lang w:val="fr-CA"/>
        </w:rPr>
        <w:t>Suisse</w:t>
      </w:r>
      <w:r w:rsidRPr="000352AB">
        <w:rPr>
          <w:rFonts w:cstheme="minorHAnsi"/>
          <w:bCs/>
          <w:szCs w:val="20"/>
          <w:lang w:val="fr-CA"/>
        </w:rPr>
        <w:t>, 23</w:t>
      </w:r>
      <w:r>
        <w:rPr>
          <w:rFonts w:cstheme="minorHAnsi"/>
          <w:bCs/>
          <w:szCs w:val="20"/>
          <w:lang w:val="fr-CA"/>
        </w:rPr>
        <w:t xml:space="preserve"> au </w:t>
      </w:r>
      <w:r w:rsidRPr="000352AB">
        <w:rPr>
          <w:rFonts w:cstheme="minorHAnsi"/>
          <w:bCs/>
          <w:szCs w:val="20"/>
          <w:lang w:val="fr-CA"/>
        </w:rPr>
        <w:t>27</w:t>
      </w:r>
      <w:r>
        <w:rPr>
          <w:rFonts w:cstheme="minorHAnsi"/>
          <w:bCs/>
          <w:szCs w:val="20"/>
          <w:lang w:val="fr-CA"/>
        </w:rPr>
        <w:t xml:space="preserve"> avril </w:t>
      </w:r>
      <w:r w:rsidRPr="000352AB">
        <w:rPr>
          <w:rFonts w:cstheme="minorHAnsi"/>
          <w:bCs/>
          <w:szCs w:val="20"/>
          <w:lang w:val="fr-CA"/>
        </w:rPr>
        <w:t>2018</w:t>
      </w:r>
    </w:p>
    <w:p w:rsidR="00E93F4B" w:rsidRDefault="00E93F4B" w:rsidP="00E93F4B">
      <w:pPr>
        <w:spacing w:after="0" w:line="240" w:lineRule="auto"/>
        <w:jc w:val="right"/>
        <w:rPr>
          <w:rFonts w:cstheme="minorHAnsi"/>
          <w:b/>
          <w:sz w:val="28"/>
          <w:szCs w:val="28"/>
          <w:lang w:val="fr-CA"/>
        </w:rPr>
      </w:pPr>
    </w:p>
    <w:p w:rsidR="00CE1E56" w:rsidRDefault="009E3BF2" w:rsidP="00E93F4B">
      <w:pPr>
        <w:spacing w:after="0" w:line="240" w:lineRule="auto"/>
        <w:jc w:val="right"/>
        <w:rPr>
          <w:rFonts w:cstheme="minorHAnsi"/>
          <w:b/>
          <w:sz w:val="28"/>
          <w:szCs w:val="28"/>
          <w:lang w:val="fr-CA"/>
        </w:rPr>
      </w:pPr>
      <w:r>
        <w:rPr>
          <w:rFonts w:cstheme="minorHAnsi"/>
          <w:b/>
          <w:sz w:val="28"/>
          <w:szCs w:val="28"/>
          <w:lang w:val="fr-CA"/>
        </w:rPr>
        <w:t xml:space="preserve">Doc. </w:t>
      </w:r>
      <w:r w:rsidR="00CE1E56" w:rsidRPr="00E93F4B">
        <w:rPr>
          <w:rFonts w:cstheme="minorHAnsi"/>
          <w:b/>
          <w:sz w:val="28"/>
          <w:szCs w:val="28"/>
          <w:lang w:val="fr-CA"/>
        </w:rPr>
        <w:t>SC54-</w:t>
      </w:r>
      <w:r w:rsidR="00E93F4B" w:rsidRPr="00E93F4B">
        <w:rPr>
          <w:rFonts w:cstheme="minorHAnsi"/>
          <w:b/>
          <w:sz w:val="28"/>
          <w:szCs w:val="28"/>
          <w:lang w:val="fr-CA"/>
        </w:rPr>
        <w:t>21.6</w:t>
      </w:r>
    </w:p>
    <w:p w:rsidR="00E93F4B" w:rsidRPr="00E93F4B" w:rsidRDefault="00E93F4B" w:rsidP="00E93F4B">
      <w:pPr>
        <w:spacing w:after="0" w:line="240" w:lineRule="auto"/>
        <w:jc w:val="right"/>
        <w:rPr>
          <w:b/>
          <w:sz w:val="28"/>
          <w:szCs w:val="28"/>
          <w:lang w:val="fr-CA"/>
        </w:rPr>
      </w:pPr>
    </w:p>
    <w:p w:rsidR="00CE1E56" w:rsidRPr="00E93F4B" w:rsidRDefault="00CE1E56" w:rsidP="00E93F4B">
      <w:pPr>
        <w:spacing w:after="0" w:line="240" w:lineRule="auto"/>
        <w:ind w:right="16"/>
        <w:jc w:val="center"/>
        <w:rPr>
          <w:rFonts w:eastAsia="Times New Roman" w:cs="Times New Roman"/>
          <w:sz w:val="28"/>
          <w:szCs w:val="28"/>
          <w:lang w:val="fr-CA"/>
        </w:rPr>
      </w:pPr>
      <w:r w:rsidRPr="00E93F4B">
        <w:rPr>
          <w:rFonts w:eastAsia="Times New Roman" w:cs="Times New Roman"/>
          <w:b/>
          <w:bCs/>
          <w:sz w:val="28"/>
          <w:szCs w:val="28"/>
          <w:lang w:val="fr-CA"/>
        </w:rPr>
        <w:t xml:space="preserve">Projet de résolution sur </w:t>
      </w:r>
      <w:r w:rsidR="00E03FAF" w:rsidRPr="00E93F4B">
        <w:rPr>
          <w:rFonts w:eastAsia="Times New Roman" w:cs="Times New Roman"/>
          <w:b/>
          <w:bCs/>
          <w:sz w:val="28"/>
          <w:szCs w:val="28"/>
          <w:lang w:val="fr-CA"/>
        </w:rPr>
        <w:t xml:space="preserve">la </w:t>
      </w:r>
      <w:r w:rsidR="00E93F4B">
        <w:rPr>
          <w:rFonts w:eastAsia="Times New Roman" w:cs="Times New Roman"/>
          <w:b/>
          <w:bCs/>
          <w:sz w:val="28"/>
          <w:szCs w:val="28"/>
          <w:lang w:val="fr-CA"/>
        </w:rPr>
        <w:t>p</w:t>
      </w:r>
      <w:r w:rsidR="00E03FAF" w:rsidRPr="00E93F4B">
        <w:rPr>
          <w:rFonts w:eastAsia="Times New Roman" w:cs="Times New Roman"/>
          <w:b/>
          <w:bCs/>
          <w:sz w:val="28"/>
          <w:szCs w:val="28"/>
          <w:lang w:val="fr-CA"/>
        </w:rPr>
        <w:t>aix et gestion durable de la biodiversité</w:t>
      </w:r>
      <w:r w:rsidR="00CE7236" w:rsidRPr="00E93F4B">
        <w:rPr>
          <w:rFonts w:eastAsia="Times New Roman" w:cs="Times New Roman"/>
          <w:b/>
          <w:bCs/>
          <w:sz w:val="28"/>
          <w:szCs w:val="28"/>
          <w:lang w:val="fr-CA"/>
        </w:rPr>
        <w:t xml:space="preserve"> sur les sites Ramsar</w:t>
      </w:r>
    </w:p>
    <w:p w:rsidR="00CE1E56" w:rsidRPr="00E93F4B" w:rsidRDefault="00CE1E56" w:rsidP="00E93F4B">
      <w:pPr>
        <w:spacing w:after="0" w:line="240" w:lineRule="auto"/>
        <w:jc w:val="right"/>
        <w:rPr>
          <w:rFonts w:eastAsia="Times New Roman" w:cs="Times New Roman"/>
          <w:b/>
          <w:sz w:val="28"/>
          <w:szCs w:val="28"/>
          <w:lang w:val="fr-CA"/>
        </w:rPr>
      </w:pPr>
    </w:p>
    <w:p w:rsidR="00171572" w:rsidRDefault="002C7081" w:rsidP="00E93F4B">
      <w:pPr>
        <w:spacing w:after="0" w:line="240" w:lineRule="auto"/>
        <w:ind w:right="16"/>
        <w:rPr>
          <w:rFonts w:eastAsia="Times New Roman" w:cs="Times New Roman"/>
          <w:i/>
          <w:lang w:val="fr-CA"/>
        </w:rPr>
      </w:pPr>
      <w:r>
        <w:rPr>
          <w:rFonts w:eastAsia="Times New Roman" w:cs="Times New Roman"/>
          <w:i/>
          <w:lang w:val="fr-CA"/>
        </w:rPr>
        <w:t>Présenté</w:t>
      </w:r>
      <w:r w:rsidR="00171572" w:rsidRPr="00E93F4B">
        <w:rPr>
          <w:rFonts w:eastAsia="Times New Roman" w:cs="Times New Roman"/>
          <w:i/>
          <w:lang w:val="fr-CA"/>
        </w:rPr>
        <w:t xml:space="preserve"> par </w:t>
      </w:r>
      <w:r>
        <w:rPr>
          <w:rFonts w:eastAsia="Times New Roman" w:cs="Times New Roman"/>
          <w:i/>
          <w:lang w:val="fr-CA"/>
        </w:rPr>
        <w:t>l</w:t>
      </w:r>
      <w:r w:rsidR="00502266" w:rsidRPr="00E93F4B">
        <w:rPr>
          <w:rFonts w:eastAsia="Times New Roman" w:cs="Times New Roman"/>
          <w:i/>
          <w:lang w:val="fr-CA"/>
        </w:rPr>
        <w:t>a République Centrafricaine</w:t>
      </w:r>
      <w:r>
        <w:rPr>
          <w:rFonts w:eastAsia="Times New Roman" w:cs="Times New Roman"/>
          <w:i/>
          <w:lang w:val="fr-CA"/>
        </w:rPr>
        <w:t xml:space="preserve"> </w:t>
      </w:r>
      <w:bookmarkStart w:id="0" w:name="_GoBack"/>
      <w:bookmarkEnd w:id="0"/>
      <w:r w:rsidR="00E93F4B">
        <w:rPr>
          <w:rFonts w:eastAsia="Times New Roman" w:cs="Times New Roman"/>
          <w:i/>
          <w:lang w:val="fr-CA"/>
        </w:rPr>
        <w:t>(RCA)</w:t>
      </w:r>
    </w:p>
    <w:p w:rsidR="00E93F4B" w:rsidRPr="00E93F4B" w:rsidRDefault="00E93F4B" w:rsidP="00E93F4B">
      <w:pPr>
        <w:spacing w:after="0" w:line="240" w:lineRule="auto"/>
        <w:ind w:right="16"/>
        <w:rPr>
          <w:rFonts w:eastAsia="Times New Roman" w:cs="Times New Roman"/>
          <w:i/>
          <w:lang w:val="fr-CA"/>
        </w:rPr>
      </w:pPr>
    </w:p>
    <w:p w:rsidR="00171572" w:rsidRPr="00E93F4B" w:rsidRDefault="00171572" w:rsidP="00E93F4B">
      <w:pPr>
        <w:spacing w:after="0" w:line="240" w:lineRule="auto"/>
        <w:jc w:val="both"/>
        <w:rPr>
          <w:lang w:val="fr-CA"/>
        </w:rPr>
      </w:pPr>
      <w:r w:rsidRPr="00E93F4B">
        <w:rPr>
          <w:noProof/>
          <w:lang w:val="en-GB" w:eastAsia="en-GB"/>
        </w:rPr>
        <mc:AlternateContent>
          <mc:Choice Requires="wps">
            <w:drawing>
              <wp:inline distT="0" distB="0" distL="0" distR="0" wp14:anchorId="1842383A" wp14:editId="3F73BD72">
                <wp:extent cx="5820674" cy="991590"/>
                <wp:effectExtent l="0" t="0" r="2794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headEnd/>
                          <a:tailEnd/>
                        </a:ln>
                      </wps:spPr>
                      <wps:txbx>
                        <w:txbxContent>
                          <w:p w:rsidR="00171572" w:rsidRPr="000352AB" w:rsidRDefault="00171572" w:rsidP="00171572">
                            <w:pPr>
                              <w:rPr>
                                <w:rFonts w:cs="Calibri"/>
                                <w:b/>
                                <w:lang w:val="fr-CA"/>
                              </w:rPr>
                            </w:pPr>
                            <w:r w:rsidRPr="000352AB">
                              <w:rPr>
                                <w:rFonts w:cs="Calibri"/>
                                <w:b/>
                                <w:lang w:val="fr-CA"/>
                              </w:rPr>
                              <w:t>Mesure requise :</w:t>
                            </w:r>
                          </w:p>
                          <w:p w:rsidR="00171572" w:rsidRPr="00066564" w:rsidRDefault="00171572" w:rsidP="00171572">
                            <w:pPr>
                              <w:widowControl w:val="0"/>
                              <w:numPr>
                                <w:ilvl w:val="0"/>
                                <w:numId w:val="2"/>
                              </w:numPr>
                              <w:spacing w:after="0" w:line="240" w:lineRule="auto"/>
                              <w:ind w:left="426" w:hanging="426"/>
                              <w:rPr>
                                <w:lang w:val="fr-CA"/>
                              </w:rPr>
                            </w:pPr>
                            <w:r w:rsidRPr="00066564">
                              <w:rPr>
                                <w:rFonts w:cs="Calibri"/>
                                <w:lang w:val="fr-CA"/>
                              </w:rPr>
                              <w:t>Le Comité permanent est invité à examiner et approuver le projet de résolution ci</w:t>
                            </w:r>
                            <w:r w:rsidRPr="00066564">
                              <w:rPr>
                                <w:rFonts w:cs="Calibri"/>
                                <w:lang w:val="fr-CA"/>
                              </w:rPr>
                              <w:noBreakHyphen/>
                              <w:t>joint pour examen à la 13</w:t>
                            </w:r>
                            <w:r w:rsidRPr="00066564">
                              <w:rPr>
                                <w:rFonts w:cs="Calibri"/>
                                <w:vertAlign w:val="superscript"/>
                                <w:lang w:val="fr-CA"/>
                              </w:rPr>
                              <w:t>e</w:t>
                            </w:r>
                            <w:r w:rsidRPr="00066564">
                              <w:rPr>
                                <w:rFonts w:cs="Calibri"/>
                                <w:lang w:val="fr-CA"/>
                              </w:rPr>
                              <w:t> Session de la Conférence des Parties.</w:t>
                            </w:r>
                          </w:p>
                          <w:p w:rsidR="00171572" w:rsidRPr="000352AB" w:rsidRDefault="00171572" w:rsidP="00171572">
                            <w:pPr>
                              <w:widowControl w:val="0"/>
                              <w:ind w:left="426"/>
                              <w:rPr>
                                <w:lang w:val="fr-CA"/>
                              </w:rPr>
                            </w:pPr>
                          </w:p>
                          <w:p w:rsidR="00171572" w:rsidRPr="000352AB" w:rsidRDefault="00171572" w:rsidP="00171572">
                            <w:pPr>
                              <w:widowControl w:val="0"/>
                              <w:numPr>
                                <w:ilvl w:val="0"/>
                                <w:numId w:val="2"/>
                              </w:numPr>
                              <w:spacing w:after="0" w:line="240" w:lineRule="auto"/>
                              <w:ind w:left="426" w:hanging="426"/>
                              <w:rPr>
                                <w:highlight w:val="yellow"/>
                                <w:lang w:val="fr-CA"/>
                              </w:rPr>
                            </w:pPr>
                            <w:r w:rsidRPr="000352AB">
                              <w:rPr>
                                <w:highlight w:val="yellow"/>
                                <w:lang w:val="fr-CA"/>
                              </w:rPr>
                              <w:t>[Ins</w:t>
                            </w:r>
                            <w:r>
                              <w:rPr>
                                <w:highlight w:val="yellow"/>
                                <w:lang w:val="fr-CA"/>
                              </w:rPr>
                              <w:t>érer toute autre mesure requise du Comité permanent</w:t>
                            </w:r>
                            <w:r w:rsidRPr="000352AB">
                              <w:rPr>
                                <w:highlight w:val="yellow"/>
                                <w:lang w:val="fr-CA"/>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">
                <v:textbox>
                  <w:txbxContent>
                    <w:p w:rsidR="00171572" w:rsidRPr="000352AB" w:rsidRDefault="00171572" w:rsidP="00171572">
                      <w:pPr>
                        <w:rPr>
                          <w:rFonts w:cs="Calibri"/>
                          <w:b/>
                          <w:lang w:val="fr-CA"/>
                        </w:rPr>
                      </w:pPr>
                      <w:r w:rsidRPr="000352AB">
                        <w:rPr>
                          <w:rFonts w:cs="Calibri"/>
                          <w:b/>
                          <w:lang w:val="fr-CA"/>
                        </w:rPr>
                        <w:t>Mesure requise :</w:t>
                      </w:r>
                    </w:p>
                    <w:p w:rsidR="00171572" w:rsidRPr="00066564" w:rsidRDefault="00171572" w:rsidP="00171572">
                      <w:pPr>
                        <w:widowControl w:val="0"/>
                        <w:numPr>
                          <w:ilvl w:val="0"/>
                          <w:numId w:val="2"/>
                        </w:numPr>
                        <w:spacing w:after="0" w:line="240" w:lineRule="auto"/>
                        <w:ind w:left="426" w:hanging="426"/>
                        <w:rPr>
                          <w:lang w:val="fr-CA"/>
                        </w:rPr>
                      </w:pPr>
                      <w:r w:rsidRPr="00066564">
                        <w:rPr>
                          <w:rFonts w:cs="Calibri"/>
                          <w:lang w:val="fr-CA"/>
                        </w:rPr>
                        <w:t>Le Comité permanent est invité à examiner et approuver le projet de résolution ci</w:t>
                      </w:r>
                      <w:r w:rsidRPr="00066564">
                        <w:rPr>
                          <w:rFonts w:cs="Calibri"/>
                          <w:lang w:val="fr-CA"/>
                        </w:rPr>
                        <w:noBreakHyphen/>
                        <w:t>joint pour examen à la 13</w:t>
                      </w:r>
                      <w:r w:rsidRPr="00066564">
                        <w:rPr>
                          <w:rFonts w:cs="Calibri"/>
                          <w:vertAlign w:val="superscript"/>
                          <w:lang w:val="fr-CA"/>
                        </w:rPr>
                        <w:t>e</w:t>
                      </w:r>
                      <w:r w:rsidRPr="00066564">
                        <w:rPr>
                          <w:rFonts w:cs="Calibri"/>
                          <w:lang w:val="fr-CA"/>
                        </w:rPr>
                        <w:t> Session de la Conférence des Parties.</w:t>
                      </w:r>
                    </w:p>
                    <w:p w:rsidR="00171572" w:rsidRPr="000352AB" w:rsidRDefault="00171572" w:rsidP="00171572">
                      <w:pPr>
                        <w:widowControl w:val="0"/>
                        <w:ind w:left="426"/>
                        <w:rPr>
                          <w:lang w:val="fr-CA"/>
                        </w:rPr>
                      </w:pPr>
                    </w:p>
                    <w:p w:rsidR="00171572" w:rsidRPr="000352AB" w:rsidRDefault="00171572" w:rsidP="00171572">
                      <w:pPr>
                        <w:widowControl w:val="0"/>
                        <w:numPr>
                          <w:ilvl w:val="0"/>
                          <w:numId w:val="2"/>
                        </w:numPr>
                        <w:spacing w:after="0" w:line="240" w:lineRule="auto"/>
                        <w:ind w:left="426" w:hanging="426"/>
                        <w:rPr>
                          <w:highlight w:val="yellow"/>
                          <w:lang w:val="fr-CA"/>
                        </w:rPr>
                      </w:pPr>
                      <w:r w:rsidRPr="000352AB">
                        <w:rPr>
                          <w:highlight w:val="yellow"/>
                          <w:lang w:val="fr-CA"/>
                        </w:rPr>
                        <w:t>[Ins</w:t>
                      </w:r>
                      <w:r>
                        <w:rPr>
                          <w:highlight w:val="yellow"/>
                          <w:lang w:val="fr-CA"/>
                        </w:rPr>
                        <w:t>érer toute autre mesure requise du Comité permanent</w:t>
                      </w:r>
                      <w:r w:rsidRPr="000352AB">
                        <w:rPr>
                          <w:highlight w:val="yellow"/>
                          <w:lang w:val="fr-CA"/>
                        </w:rPr>
                        <w:t>]</w:t>
                      </w:r>
                    </w:p>
                  </w:txbxContent>
                </v:textbox>
                <w10:anchorlock/>
              </v:shape>
            </w:pict>
          </mc:Fallback>
        </mc:AlternateContent>
      </w:r>
    </w:p>
    <w:p w:rsidR="00E93F4B" w:rsidRDefault="00E93F4B" w:rsidP="00E93F4B">
      <w:pPr>
        <w:spacing w:after="0" w:line="240" w:lineRule="auto"/>
        <w:rPr>
          <w:rFonts w:cs="Arial"/>
          <w:b/>
          <w:lang w:val="fr-CA"/>
        </w:rPr>
      </w:pPr>
    </w:p>
    <w:p w:rsidR="00E93F4B" w:rsidRPr="00E93F4B" w:rsidRDefault="00E93F4B" w:rsidP="00E93F4B">
      <w:pPr>
        <w:spacing w:after="0" w:line="240" w:lineRule="auto"/>
        <w:rPr>
          <w:rFonts w:cs="Arial"/>
          <w:lang w:val="fr-CA"/>
        </w:rPr>
      </w:pPr>
    </w:p>
    <w:p w:rsidR="00171572" w:rsidRPr="00E93F4B" w:rsidRDefault="00171572" w:rsidP="00E93F4B">
      <w:pPr>
        <w:spacing w:after="0" w:line="240" w:lineRule="auto"/>
        <w:rPr>
          <w:rFonts w:cs="Arial"/>
          <w:b/>
          <w:lang w:val="fr-CA"/>
        </w:rPr>
      </w:pPr>
      <w:r w:rsidRPr="00E93F4B">
        <w:rPr>
          <w:rFonts w:cs="Arial"/>
          <w:b/>
          <w:lang w:val="fr-CA"/>
        </w:rPr>
        <w:t xml:space="preserve">Information pour le Comité permanent </w:t>
      </w:r>
    </w:p>
    <w:p w:rsidR="00E93F4B" w:rsidRPr="00E93F4B" w:rsidRDefault="00E93F4B" w:rsidP="00E93F4B">
      <w:pPr>
        <w:spacing w:after="0" w:line="240" w:lineRule="auto"/>
        <w:rPr>
          <w:rFonts w:cs="Arial"/>
          <w:lang w:val="fr-CA"/>
        </w:rPr>
      </w:pPr>
    </w:p>
    <w:p w:rsidR="006A45F3" w:rsidRPr="00E93F4B" w:rsidRDefault="00D90458" w:rsidP="00E93F4B">
      <w:pPr>
        <w:spacing w:after="0" w:line="240" w:lineRule="auto"/>
        <w:rPr>
          <w:rFonts w:cs="Arial"/>
          <w:lang w:val="fr-CA"/>
        </w:rPr>
      </w:pPr>
      <w:r w:rsidRPr="00E93F4B">
        <w:rPr>
          <w:rFonts w:cs="Arial"/>
          <w:lang w:val="fr-CA"/>
        </w:rPr>
        <w:t xml:space="preserve">Considérant l’importance de la diversité biologique dans </w:t>
      </w:r>
      <w:r w:rsidR="00F65DFF" w:rsidRPr="00E93F4B">
        <w:rPr>
          <w:rFonts w:cs="Arial"/>
          <w:lang w:val="fr-CA"/>
        </w:rPr>
        <w:t xml:space="preserve">la </w:t>
      </w:r>
      <w:r w:rsidRPr="00E93F4B">
        <w:rPr>
          <w:rFonts w:cs="Arial"/>
          <w:lang w:val="fr-CA"/>
        </w:rPr>
        <w:t xml:space="preserve">partie nord de la </w:t>
      </w:r>
      <w:r w:rsidR="0055341A" w:rsidRPr="00E93F4B">
        <w:rPr>
          <w:rFonts w:cs="Arial"/>
          <w:lang w:val="fr-CA"/>
        </w:rPr>
        <w:t xml:space="preserve">République Centrafricaine </w:t>
      </w:r>
      <w:r w:rsidRPr="00E93F4B">
        <w:rPr>
          <w:rFonts w:cs="Arial"/>
          <w:lang w:val="fr-CA"/>
        </w:rPr>
        <w:t xml:space="preserve">faisant partie du bassin du Lac Tchad et la partie sud </w:t>
      </w:r>
      <w:r w:rsidR="000B100E" w:rsidRPr="00E93F4B">
        <w:rPr>
          <w:rFonts w:cs="Arial"/>
          <w:lang w:val="fr-CA"/>
        </w:rPr>
        <w:t xml:space="preserve">appartenant au bassin du Congo, et vue ces richesses aujourd’hui menacées par les impacts de conflits </w:t>
      </w:r>
      <w:r w:rsidR="00024F37" w:rsidRPr="00E93F4B">
        <w:rPr>
          <w:rFonts w:cs="Arial"/>
          <w:lang w:val="fr-CA"/>
        </w:rPr>
        <w:t>armés</w:t>
      </w:r>
      <w:r w:rsidR="000B100E" w:rsidRPr="00E93F4B">
        <w:rPr>
          <w:rFonts w:cs="Arial"/>
          <w:lang w:val="fr-CA"/>
        </w:rPr>
        <w:t>, il est  indispensable de préserver et de gérer de manière durable</w:t>
      </w:r>
      <w:r w:rsidR="001A4DB1" w:rsidRPr="00E93F4B">
        <w:rPr>
          <w:rFonts w:cs="Arial"/>
          <w:lang w:val="fr-CA"/>
        </w:rPr>
        <w:t xml:space="preserve"> ces différents milieu</w:t>
      </w:r>
      <w:r w:rsidR="003D7338" w:rsidRPr="00E93F4B">
        <w:rPr>
          <w:rFonts w:cs="Arial"/>
          <w:lang w:val="fr-CA"/>
        </w:rPr>
        <w:t>x</w:t>
      </w:r>
      <w:r w:rsidR="001A4DB1" w:rsidRPr="00E93F4B">
        <w:rPr>
          <w:rFonts w:cs="Arial"/>
          <w:lang w:val="fr-CA"/>
        </w:rPr>
        <w:t>.</w:t>
      </w:r>
    </w:p>
    <w:p w:rsidR="00E93F4B" w:rsidRPr="00E93F4B" w:rsidRDefault="00E93F4B" w:rsidP="00E93F4B">
      <w:pPr>
        <w:spacing w:after="0" w:line="240" w:lineRule="auto"/>
        <w:rPr>
          <w:rFonts w:cs="Arial"/>
          <w:lang w:val="fr-CA"/>
        </w:rPr>
      </w:pPr>
    </w:p>
    <w:p w:rsidR="001A4DB1" w:rsidRPr="00E93F4B" w:rsidRDefault="001A4DB1" w:rsidP="00E93F4B">
      <w:pPr>
        <w:spacing w:after="0" w:line="240" w:lineRule="auto"/>
        <w:rPr>
          <w:rFonts w:cs="Arial"/>
          <w:lang w:val="fr-CA"/>
        </w:rPr>
      </w:pPr>
      <w:r w:rsidRPr="00E93F4B">
        <w:rPr>
          <w:rFonts w:cs="Arial"/>
          <w:lang w:val="fr-CA"/>
        </w:rPr>
        <w:t>Au sortir de la crise militaro politique, un Plan National de Relèvement et de Consolidation de la Paix (RCPCA) 2017-2021 a mis l’accent sur la protection de la biodiversité</w:t>
      </w:r>
      <w:r w:rsidR="003D7338" w:rsidRPr="00E93F4B">
        <w:rPr>
          <w:rFonts w:cs="Arial"/>
          <w:lang w:val="fr-CA"/>
        </w:rPr>
        <w:t xml:space="preserve"> en République Centrafricaine</w:t>
      </w:r>
      <w:r w:rsidRPr="00E93F4B">
        <w:rPr>
          <w:rFonts w:cs="Arial"/>
          <w:lang w:val="fr-CA"/>
        </w:rPr>
        <w:t>.</w:t>
      </w:r>
    </w:p>
    <w:p w:rsidR="00E93F4B" w:rsidRPr="00E93F4B" w:rsidRDefault="00E93F4B" w:rsidP="00E93F4B">
      <w:pPr>
        <w:spacing w:after="0" w:line="240" w:lineRule="auto"/>
        <w:rPr>
          <w:rFonts w:cs="Arial"/>
          <w:i/>
          <w:lang w:val="fr-CA"/>
        </w:rPr>
      </w:pPr>
    </w:p>
    <w:p w:rsidR="00CE1E56" w:rsidRPr="00E93F4B" w:rsidRDefault="00CE1E56" w:rsidP="00E93F4B">
      <w:pPr>
        <w:spacing w:after="0" w:line="240" w:lineRule="auto"/>
        <w:rPr>
          <w:rFonts w:cs="Arial"/>
          <w:i/>
          <w:lang w:val="fr-CA"/>
        </w:rPr>
      </w:pPr>
      <w:r w:rsidRPr="00E93F4B">
        <w:rPr>
          <w:rFonts w:cs="Arial"/>
          <w:i/>
          <w:lang w:val="fr-CA"/>
        </w:rPr>
        <w:t>Incidences financières de l’application</w:t>
      </w:r>
    </w:p>
    <w:tbl>
      <w:tblPr>
        <w:tblStyle w:val="TableGrid"/>
        <w:tblW w:w="0" w:type="auto"/>
        <w:tblLook w:val="04A0" w:firstRow="1" w:lastRow="0" w:firstColumn="1" w:lastColumn="0" w:noHBand="0" w:noVBand="1"/>
      </w:tblPr>
      <w:tblGrid>
        <w:gridCol w:w="3708"/>
        <w:gridCol w:w="4140"/>
        <w:gridCol w:w="1200"/>
      </w:tblGrid>
      <w:tr w:rsidR="00CE1E56" w:rsidRPr="00E93F4B" w:rsidTr="00E93F4B">
        <w:tc>
          <w:tcPr>
            <w:tcW w:w="3708" w:type="dxa"/>
          </w:tcPr>
          <w:p w:rsidR="00CE1E56" w:rsidRPr="00E93F4B" w:rsidRDefault="00CE1E56" w:rsidP="00E93F4B">
            <w:pPr>
              <w:contextualSpacing/>
              <w:jc w:val="center"/>
              <w:rPr>
                <w:rFonts w:cs="Arial"/>
                <w:sz w:val="20"/>
                <w:szCs w:val="20"/>
                <w:lang w:val="fr-CA"/>
              </w:rPr>
            </w:pPr>
            <w:r w:rsidRPr="00E93F4B">
              <w:rPr>
                <w:rFonts w:cs="Arial"/>
                <w:sz w:val="20"/>
                <w:szCs w:val="20"/>
                <w:lang w:val="fr-CA"/>
              </w:rPr>
              <w:t>Paragraphe (numéro et partie essentielle du texte)</w:t>
            </w:r>
          </w:p>
        </w:tc>
        <w:tc>
          <w:tcPr>
            <w:tcW w:w="4140" w:type="dxa"/>
          </w:tcPr>
          <w:p w:rsidR="00CE1E56" w:rsidRPr="00E93F4B" w:rsidRDefault="00CE1E56" w:rsidP="00E93F4B">
            <w:pPr>
              <w:contextualSpacing/>
              <w:jc w:val="center"/>
              <w:rPr>
                <w:rFonts w:cs="Arial"/>
                <w:sz w:val="20"/>
                <w:szCs w:val="20"/>
                <w:lang w:val="fr-CA"/>
              </w:rPr>
            </w:pPr>
            <w:r w:rsidRPr="00E93F4B">
              <w:rPr>
                <w:rFonts w:cs="Arial"/>
                <w:sz w:val="20"/>
                <w:szCs w:val="20"/>
                <w:lang w:val="fr-CA"/>
              </w:rPr>
              <w:t>Actions</w:t>
            </w:r>
          </w:p>
        </w:tc>
        <w:tc>
          <w:tcPr>
            <w:tcW w:w="1200" w:type="dxa"/>
          </w:tcPr>
          <w:p w:rsidR="00CE1E56" w:rsidRPr="00E93F4B" w:rsidRDefault="00CE1E56" w:rsidP="00E93F4B">
            <w:pPr>
              <w:contextualSpacing/>
              <w:jc w:val="center"/>
              <w:rPr>
                <w:rFonts w:cs="Arial"/>
                <w:sz w:val="20"/>
                <w:szCs w:val="20"/>
                <w:lang w:val="fr-CA"/>
              </w:rPr>
            </w:pPr>
            <w:r w:rsidRPr="00E93F4B">
              <w:rPr>
                <w:rFonts w:cs="Arial"/>
                <w:sz w:val="20"/>
                <w:szCs w:val="20"/>
                <w:lang w:val="fr-CA"/>
              </w:rPr>
              <w:t>Coût (CHF)</w:t>
            </w:r>
          </w:p>
        </w:tc>
      </w:tr>
      <w:tr w:rsidR="00CE1E56" w:rsidRPr="00E93F4B" w:rsidTr="00E93F4B">
        <w:tc>
          <w:tcPr>
            <w:tcW w:w="3708" w:type="dxa"/>
          </w:tcPr>
          <w:p w:rsidR="00CE1E56" w:rsidRPr="00E93F4B" w:rsidRDefault="00CE1E56" w:rsidP="00E93F4B">
            <w:pPr>
              <w:ind w:left="0" w:firstLine="0"/>
              <w:contextualSpacing/>
              <w:rPr>
                <w:rFonts w:cs="Garamond"/>
                <w:sz w:val="20"/>
                <w:szCs w:val="20"/>
                <w:lang w:val="fr-FR" w:eastAsia="en-GB"/>
              </w:rPr>
            </w:pPr>
            <w:r w:rsidRPr="00E93F4B">
              <w:rPr>
                <w:rFonts w:cs="Garamond"/>
                <w:sz w:val="20"/>
                <w:szCs w:val="20"/>
                <w:lang w:val="fr-FR" w:eastAsia="en-GB"/>
              </w:rPr>
              <w:t xml:space="preserve">1. i : Demande au Comité </w:t>
            </w:r>
          </w:p>
          <w:p w:rsidR="00CE1E56" w:rsidRPr="00E93F4B" w:rsidRDefault="00CE1E56" w:rsidP="00E93F4B">
            <w:pPr>
              <w:ind w:left="0" w:firstLine="0"/>
              <w:contextualSpacing/>
              <w:rPr>
                <w:rFonts w:cs="Arial"/>
                <w:sz w:val="20"/>
                <w:szCs w:val="20"/>
                <w:lang w:val="fr-FR"/>
              </w:rPr>
            </w:pPr>
            <w:r w:rsidRPr="00E93F4B">
              <w:rPr>
                <w:rFonts w:cs="Garamond"/>
                <w:sz w:val="20"/>
                <w:szCs w:val="20"/>
                <w:lang w:val="fr-FR" w:eastAsia="en-GB"/>
              </w:rPr>
              <w:t xml:space="preserve">Permanent d’appuyer la prise en compte de la réalisation d’un inventaire </w:t>
            </w:r>
            <w:r w:rsidR="004A6089" w:rsidRPr="00E93F4B">
              <w:rPr>
                <w:rFonts w:cs="Garamond"/>
                <w:sz w:val="20"/>
                <w:szCs w:val="20"/>
                <w:lang w:val="fr-FR" w:eastAsia="en-GB"/>
              </w:rPr>
              <w:t>d’</w:t>
            </w:r>
            <w:r w:rsidRPr="00E93F4B">
              <w:rPr>
                <w:rFonts w:cs="Garamond"/>
                <w:sz w:val="20"/>
                <w:szCs w:val="20"/>
                <w:lang w:val="fr-FR" w:eastAsia="en-GB"/>
              </w:rPr>
              <w:t>état des lieux des ressources fauniques, floristiques et halieutiques post conflit  contractée avec une institution spécialisée</w:t>
            </w:r>
          </w:p>
        </w:tc>
        <w:tc>
          <w:tcPr>
            <w:tcW w:w="4140" w:type="dxa"/>
          </w:tcPr>
          <w:p w:rsidR="00CE1E56" w:rsidRPr="00E93F4B" w:rsidRDefault="004A6089" w:rsidP="00E93F4B">
            <w:pPr>
              <w:ind w:left="0" w:firstLine="0"/>
              <w:contextualSpacing/>
              <w:rPr>
                <w:rFonts w:cs="Arial"/>
                <w:sz w:val="20"/>
                <w:szCs w:val="20"/>
                <w:lang w:val="fr-FR"/>
              </w:rPr>
            </w:pPr>
            <w:r w:rsidRPr="00E93F4B">
              <w:rPr>
                <w:rFonts w:cs="Arial"/>
                <w:sz w:val="20"/>
                <w:szCs w:val="20"/>
                <w:lang w:val="fr-FR"/>
              </w:rPr>
              <w:t>Le Secrétariat</w:t>
            </w:r>
            <w:r w:rsidR="001C3EC2" w:rsidRPr="00E93F4B">
              <w:rPr>
                <w:rFonts w:cs="Arial"/>
                <w:sz w:val="20"/>
                <w:szCs w:val="20"/>
                <w:lang w:val="fr-FR"/>
              </w:rPr>
              <w:t xml:space="preserve"> </w:t>
            </w:r>
            <w:r w:rsidR="000B3397" w:rsidRPr="00E93F4B">
              <w:rPr>
                <w:rFonts w:cs="Arial"/>
                <w:sz w:val="20"/>
                <w:szCs w:val="20"/>
                <w:lang w:val="fr-FR"/>
              </w:rPr>
              <w:t>c</w:t>
            </w:r>
            <w:r w:rsidR="001C3EC2" w:rsidRPr="00E93F4B">
              <w:rPr>
                <w:rFonts w:cs="Arial"/>
                <w:sz w:val="20"/>
                <w:szCs w:val="20"/>
                <w:lang w:val="fr-FR"/>
              </w:rPr>
              <w:t>oordonnera</w:t>
            </w:r>
            <w:r w:rsidR="000B3397" w:rsidRPr="00E93F4B">
              <w:rPr>
                <w:rFonts w:cs="Arial"/>
                <w:sz w:val="20"/>
                <w:szCs w:val="20"/>
                <w:lang w:val="fr-FR"/>
              </w:rPr>
              <w:t xml:space="preserve"> le projet d’inventaire d’état des lieux</w:t>
            </w:r>
            <w:r w:rsidR="001C3EC2" w:rsidRPr="00E93F4B">
              <w:rPr>
                <w:rFonts w:cs="Arial"/>
                <w:sz w:val="20"/>
                <w:szCs w:val="20"/>
                <w:lang w:val="fr-FR"/>
              </w:rPr>
              <w:t xml:space="preserve">, le WWF Centrafrique </w:t>
            </w:r>
            <w:r w:rsidR="000B3397" w:rsidRPr="00E93F4B">
              <w:rPr>
                <w:rFonts w:cs="Arial"/>
                <w:sz w:val="20"/>
                <w:szCs w:val="20"/>
                <w:lang w:val="fr-FR"/>
              </w:rPr>
              <w:t>assurera l’</w:t>
            </w:r>
            <w:r w:rsidR="001C3EC2" w:rsidRPr="00E93F4B">
              <w:rPr>
                <w:rFonts w:cs="Arial"/>
                <w:sz w:val="20"/>
                <w:szCs w:val="20"/>
                <w:lang w:val="fr-FR"/>
              </w:rPr>
              <w:t xml:space="preserve">assistance technique </w:t>
            </w:r>
            <w:r w:rsidR="000B3397" w:rsidRPr="00E93F4B">
              <w:rPr>
                <w:rFonts w:cs="Arial"/>
                <w:sz w:val="20"/>
                <w:szCs w:val="20"/>
                <w:lang w:val="fr-FR"/>
              </w:rPr>
              <w:t xml:space="preserve">par le recrutement de </w:t>
            </w:r>
            <w:r w:rsidR="001C3EC2" w:rsidRPr="00E93F4B">
              <w:rPr>
                <w:rFonts w:cs="Arial"/>
                <w:sz w:val="20"/>
                <w:szCs w:val="20"/>
                <w:lang w:val="fr-FR"/>
              </w:rPr>
              <w:t xml:space="preserve">2 Consultants pour 2 mois </w:t>
            </w:r>
          </w:p>
        </w:tc>
        <w:tc>
          <w:tcPr>
            <w:tcW w:w="1200" w:type="dxa"/>
          </w:tcPr>
          <w:p w:rsidR="00CE1E56" w:rsidRPr="00E93F4B" w:rsidRDefault="00BC03F6" w:rsidP="00E93F4B">
            <w:pPr>
              <w:contextualSpacing/>
              <w:jc w:val="center"/>
              <w:rPr>
                <w:rFonts w:cs="Arial"/>
                <w:sz w:val="20"/>
                <w:szCs w:val="20"/>
                <w:lang w:val="fr-CA"/>
              </w:rPr>
            </w:pPr>
            <w:r w:rsidRPr="00E93F4B">
              <w:rPr>
                <w:rFonts w:cs="Arial"/>
                <w:sz w:val="20"/>
                <w:szCs w:val="20"/>
                <w:lang w:val="fr-CA"/>
              </w:rPr>
              <w:t>1</w:t>
            </w:r>
            <w:r w:rsidR="00CE1E56" w:rsidRPr="00E93F4B">
              <w:rPr>
                <w:rFonts w:cs="Arial"/>
                <w:sz w:val="20"/>
                <w:szCs w:val="20"/>
                <w:lang w:val="fr-CA"/>
              </w:rPr>
              <w:t>0 000</w:t>
            </w:r>
          </w:p>
        </w:tc>
      </w:tr>
      <w:tr w:rsidR="00CE1E56" w:rsidRPr="00E93F4B" w:rsidTr="00E93F4B">
        <w:tc>
          <w:tcPr>
            <w:tcW w:w="3708" w:type="dxa"/>
          </w:tcPr>
          <w:p w:rsidR="00CE1E56" w:rsidRPr="00E93F4B" w:rsidRDefault="00CE1E56" w:rsidP="00E93F4B">
            <w:pPr>
              <w:autoSpaceDE w:val="0"/>
              <w:autoSpaceDN w:val="0"/>
              <w:adjustRightInd w:val="0"/>
              <w:ind w:left="0" w:firstLine="0"/>
              <w:rPr>
                <w:rFonts w:cs="Garamond"/>
                <w:sz w:val="20"/>
                <w:szCs w:val="20"/>
                <w:lang w:val="fr-FR" w:eastAsia="en-GB"/>
              </w:rPr>
            </w:pPr>
            <w:r w:rsidRPr="00E93F4B">
              <w:rPr>
                <w:rFonts w:cs="Garamond"/>
                <w:sz w:val="20"/>
                <w:szCs w:val="20"/>
                <w:lang w:val="fr-FR" w:eastAsia="en-GB"/>
              </w:rPr>
              <w:t>1. ii : Demande au Comité Permanent d’intégrer la réalisation des activités de résilience entre la biodiversité et le déplacés internes particulièrement (formation, activités génératrices de revenus, montage  et gestion de microprojets) comme activités de substitution et de reconversion </w:t>
            </w:r>
            <w:r w:rsidR="008520F2" w:rsidRPr="00E93F4B">
              <w:rPr>
                <w:rFonts w:cs="Garamond"/>
                <w:sz w:val="20"/>
                <w:szCs w:val="20"/>
                <w:lang w:val="fr-FR" w:eastAsia="en-GB"/>
              </w:rPr>
              <w:t>autour des sites Ramsar</w:t>
            </w:r>
            <w:r w:rsidRPr="00E93F4B">
              <w:rPr>
                <w:rFonts w:cs="Garamond"/>
                <w:sz w:val="20"/>
                <w:szCs w:val="20"/>
                <w:lang w:val="fr-FR" w:eastAsia="en-GB"/>
              </w:rPr>
              <w:t>;</w:t>
            </w:r>
          </w:p>
        </w:tc>
        <w:tc>
          <w:tcPr>
            <w:tcW w:w="4140" w:type="dxa"/>
          </w:tcPr>
          <w:p w:rsidR="00CE1E56" w:rsidRPr="00E93F4B" w:rsidRDefault="00827735" w:rsidP="00E93F4B">
            <w:pPr>
              <w:ind w:left="0" w:firstLine="0"/>
              <w:contextualSpacing/>
              <w:rPr>
                <w:rFonts w:cs="Arial"/>
                <w:sz w:val="20"/>
                <w:szCs w:val="20"/>
                <w:lang w:val="fr-FR"/>
              </w:rPr>
            </w:pPr>
            <w:r w:rsidRPr="00E93F4B">
              <w:rPr>
                <w:rFonts w:cs="Arial"/>
                <w:sz w:val="20"/>
                <w:szCs w:val="20"/>
                <w:lang w:val="fr-FR"/>
              </w:rPr>
              <w:t>Le Secrétariat coordonnera le projet</w:t>
            </w:r>
            <w:r w:rsidR="008520F2" w:rsidRPr="00E93F4B">
              <w:rPr>
                <w:rFonts w:cs="Arial"/>
                <w:sz w:val="20"/>
                <w:szCs w:val="20"/>
                <w:lang w:val="fr-FR"/>
              </w:rPr>
              <w:t xml:space="preserve"> par l’entremise du WWF à travers les petites subventions</w:t>
            </w:r>
          </w:p>
        </w:tc>
        <w:tc>
          <w:tcPr>
            <w:tcW w:w="1200" w:type="dxa"/>
          </w:tcPr>
          <w:p w:rsidR="00CE1E56" w:rsidRPr="00E93F4B" w:rsidRDefault="00E01DDB" w:rsidP="00E93F4B">
            <w:pPr>
              <w:contextualSpacing/>
              <w:jc w:val="center"/>
              <w:rPr>
                <w:rFonts w:cs="Arial"/>
                <w:sz w:val="20"/>
                <w:szCs w:val="20"/>
                <w:lang w:val="fr-CA"/>
              </w:rPr>
            </w:pPr>
            <w:r w:rsidRPr="00E93F4B">
              <w:rPr>
                <w:rFonts w:cs="Arial"/>
                <w:sz w:val="20"/>
                <w:szCs w:val="20"/>
                <w:lang w:val="fr-CA"/>
              </w:rPr>
              <w:t>2</w:t>
            </w:r>
            <w:r w:rsidR="00CE1E56" w:rsidRPr="00E93F4B">
              <w:rPr>
                <w:rFonts w:cs="Arial"/>
                <w:sz w:val="20"/>
                <w:szCs w:val="20"/>
                <w:lang w:val="fr-CA"/>
              </w:rPr>
              <w:t>0 000</w:t>
            </w:r>
          </w:p>
        </w:tc>
      </w:tr>
      <w:tr w:rsidR="00CE1E56" w:rsidRPr="00E93F4B" w:rsidTr="00E93F4B">
        <w:tc>
          <w:tcPr>
            <w:tcW w:w="3708" w:type="dxa"/>
          </w:tcPr>
          <w:p w:rsidR="00CE1E56" w:rsidRPr="00E93F4B" w:rsidRDefault="00CE1E56" w:rsidP="00E93F4B">
            <w:pPr>
              <w:autoSpaceDE w:val="0"/>
              <w:autoSpaceDN w:val="0"/>
              <w:adjustRightInd w:val="0"/>
              <w:ind w:left="0" w:firstLine="0"/>
              <w:rPr>
                <w:rFonts w:cs="Garamond"/>
                <w:sz w:val="20"/>
                <w:szCs w:val="20"/>
                <w:lang w:val="fr-FR" w:eastAsia="en-GB"/>
              </w:rPr>
            </w:pPr>
            <w:r w:rsidRPr="00E93F4B">
              <w:rPr>
                <w:rFonts w:cs="Garamond"/>
                <w:sz w:val="20"/>
                <w:szCs w:val="20"/>
                <w:lang w:val="fr-FR" w:eastAsia="en-GB"/>
              </w:rPr>
              <w:t xml:space="preserve">1. iii : Demande au Comité Permanent d’appuyer l’édition et la publication de la Convention et les documents de </w:t>
            </w:r>
            <w:r w:rsidRPr="00E93F4B">
              <w:rPr>
                <w:rFonts w:cs="Garamond"/>
                <w:sz w:val="20"/>
                <w:szCs w:val="20"/>
                <w:lang w:val="fr-FR" w:eastAsia="en-GB"/>
              </w:rPr>
              <w:lastRenderedPageBreak/>
              <w:t>ratification de la Convention par l’Assemblée Nationale Centrafricaine</w:t>
            </w:r>
          </w:p>
        </w:tc>
        <w:tc>
          <w:tcPr>
            <w:tcW w:w="4140" w:type="dxa"/>
          </w:tcPr>
          <w:p w:rsidR="00CE1E56" w:rsidRPr="00E93F4B" w:rsidRDefault="003D783B" w:rsidP="00E93F4B">
            <w:pPr>
              <w:pStyle w:val="Default"/>
              <w:ind w:left="0" w:firstLine="0"/>
              <w:rPr>
                <w:rFonts w:asciiTheme="minorHAnsi" w:eastAsia="Times New Roman" w:hAnsiTheme="minorHAnsi"/>
                <w:sz w:val="20"/>
                <w:szCs w:val="20"/>
                <w:lang w:val="fr-FR" w:eastAsia="fr-FR"/>
              </w:rPr>
            </w:pPr>
            <w:r w:rsidRPr="00E93F4B">
              <w:rPr>
                <w:rFonts w:asciiTheme="minorHAnsi" w:eastAsia="Times New Roman" w:hAnsiTheme="minorHAnsi"/>
                <w:sz w:val="20"/>
                <w:szCs w:val="20"/>
                <w:lang w:val="fr-FR" w:eastAsia="fr-FR"/>
              </w:rPr>
              <w:lastRenderedPageBreak/>
              <w:t xml:space="preserve">Le </w:t>
            </w:r>
            <w:r w:rsidR="00CE7236" w:rsidRPr="00E93F4B">
              <w:rPr>
                <w:rFonts w:asciiTheme="minorHAnsi" w:eastAsia="Times New Roman" w:hAnsiTheme="minorHAnsi"/>
                <w:sz w:val="20"/>
                <w:szCs w:val="20"/>
                <w:lang w:val="fr-FR" w:eastAsia="fr-FR"/>
              </w:rPr>
              <w:t xml:space="preserve">Secrétariat assistera financièrement le projet d’édiction et la publication de la Convention et les documents de  ratification de la Convention </w:t>
            </w:r>
            <w:r w:rsidR="00CE7236" w:rsidRPr="00E93F4B">
              <w:rPr>
                <w:rFonts w:asciiTheme="minorHAnsi" w:eastAsia="Times New Roman" w:hAnsiTheme="minorHAnsi"/>
                <w:sz w:val="20"/>
                <w:szCs w:val="20"/>
                <w:lang w:val="fr-FR" w:eastAsia="fr-FR"/>
              </w:rPr>
              <w:lastRenderedPageBreak/>
              <w:t>par l’Assemblée Nationale centrafricaine</w:t>
            </w:r>
          </w:p>
        </w:tc>
        <w:tc>
          <w:tcPr>
            <w:tcW w:w="1200" w:type="dxa"/>
          </w:tcPr>
          <w:p w:rsidR="00CE1E56" w:rsidRPr="00E93F4B" w:rsidRDefault="001C3F7E" w:rsidP="00E93F4B">
            <w:pPr>
              <w:contextualSpacing/>
              <w:jc w:val="center"/>
              <w:rPr>
                <w:rFonts w:cs="Arial"/>
                <w:sz w:val="20"/>
                <w:szCs w:val="20"/>
                <w:lang w:val="fr-CA"/>
              </w:rPr>
            </w:pPr>
            <w:r w:rsidRPr="00E93F4B">
              <w:rPr>
                <w:rFonts w:cs="Arial"/>
                <w:sz w:val="20"/>
                <w:szCs w:val="20"/>
                <w:lang w:val="fr-CA"/>
              </w:rPr>
              <w:lastRenderedPageBreak/>
              <w:t>5</w:t>
            </w:r>
            <w:r w:rsidR="00CE1E56" w:rsidRPr="00E93F4B">
              <w:rPr>
                <w:rFonts w:cs="Arial"/>
                <w:sz w:val="20"/>
                <w:szCs w:val="20"/>
                <w:lang w:val="fr-CA"/>
              </w:rPr>
              <w:t xml:space="preserve"> 000</w:t>
            </w:r>
          </w:p>
        </w:tc>
      </w:tr>
      <w:tr w:rsidR="00CE1E56" w:rsidRPr="00E93F4B" w:rsidTr="00E93F4B">
        <w:tc>
          <w:tcPr>
            <w:tcW w:w="3708" w:type="dxa"/>
          </w:tcPr>
          <w:p w:rsidR="00CE1E56" w:rsidRPr="00E93F4B" w:rsidRDefault="00CE1E56" w:rsidP="00E93F4B">
            <w:pPr>
              <w:ind w:left="0" w:firstLine="0"/>
              <w:contextualSpacing/>
              <w:rPr>
                <w:rFonts w:cs="Arial"/>
                <w:sz w:val="20"/>
                <w:szCs w:val="20"/>
                <w:lang w:val="fr-CA"/>
              </w:rPr>
            </w:pPr>
            <w:r w:rsidRPr="00E93F4B">
              <w:rPr>
                <w:rFonts w:cs="Garamond"/>
                <w:sz w:val="20"/>
                <w:szCs w:val="20"/>
                <w:lang w:val="fr-FR" w:eastAsia="en-GB"/>
              </w:rPr>
              <w:lastRenderedPageBreak/>
              <w:t>2. i : DEMANDE au Comité Permanent d’a</w:t>
            </w:r>
            <w:r w:rsidRPr="00E93F4B">
              <w:rPr>
                <w:sz w:val="20"/>
                <w:szCs w:val="20"/>
                <w:lang w:val="fr-FR"/>
              </w:rPr>
              <w:t>ppuyer les Points Focaux et les ONG à commémorer les Journées Mondiales des Zones Humides à l’échelle nationale et autour des sites Ramsar </w:t>
            </w:r>
          </w:p>
        </w:tc>
        <w:tc>
          <w:tcPr>
            <w:tcW w:w="4140" w:type="dxa"/>
          </w:tcPr>
          <w:p w:rsidR="00EF75D4" w:rsidRPr="00E93F4B" w:rsidRDefault="001C3F7E" w:rsidP="00E93F4B">
            <w:pPr>
              <w:pStyle w:val="Default"/>
              <w:ind w:left="0" w:firstLine="0"/>
              <w:rPr>
                <w:rFonts w:asciiTheme="minorHAnsi" w:hAnsiTheme="minorHAnsi" w:cs="Arial"/>
                <w:sz w:val="20"/>
                <w:szCs w:val="20"/>
                <w:lang w:val="fr-FR"/>
              </w:rPr>
            </w:pPr>
            <w:r w:rsidRPr="00E93F4B">
              <w:rPr>
                <w:rFonts w:asciiTheme="minorHAnsi" w:hAnsiTheme="minorHAnsi" w:cs="Arial"/>
                <w:sz w:val="20"/>
                <w:szCs w:val="20"/>
                <w:lang w:val="fr-FR"/>
              </w:rPr>
              <w:t xml:space="preserve">Le Secrétariat </w:t>
            </w:r>
            <w:r w:rsidR="00EF75D4" w:rsidRPr="00E93F4B">
              <w:rPr>
                <w:rFonts w:asciiTheme="minorHAnsi" w:hAnsiTheme="minorHAnsi" w:cs="Arial"/>
                <w:sz w:val="20"/>
                <w:szCs w:val="20"/>
                <w:lang w:val="fr-FR"/>
              </w:rPr>
              <w:t>coordonnera le projet en</w:t>
            </w:r>
          </w:p>
          <w:p w:rsidR="00EF75D4" w:rsidRPr="00E93F4B" w:rsidRDefault="00EF75D4" w:rsidP="00E93F4B">
            <w:pPr>
              <w:pStyle w:val="Default"/>
              <w:ind w:left="0" w:firstLine="0"/>
              <w:rPr>
                <w:rFonts w:asciiTheme="minorHAnsi" w:hAnsiTheme="minorHAnsi" w:cs="Arial"/>
                <w:sz w:val="20"/>
                <w:szCs w:val="20"/>
                <w:lang w:val="fr-FR"/>
              </w:rPr>
            </w:pPr>
            <w:r w:rsidRPr="00E93F4B">
              <w:rPr>
                <w:rFonts w:asciiTheme="minorHAnsi" w:hAnsiTheme="minorHAnsi" w:cs="Arial"/>
                <w:sz w:val="20"/>
                <w:szCs w:val="20"/>
                <w:lang w:val="fr-FR"/>
              </w:rPr>
              <w:t xml:space="preserve"> mobilisant les ressources permettant les</w:t>
            </w:r>
          </w:p>
          <w:p w:rsidR="00CE1E56" w:rsidRPr="00E93F4B" w:rsidRDefault="00EF75D4" w:rsidP="00E93F4B">
            <w:pPr>
              <w:pStyle w:val="Default"/>
              <w:ind w:left="0" w:firstLine="0"/>
              <w:rPr>
                <w:rFonts w:asciiTheme="minorHAnsi" w:hAnsiTheme="minorHAnsi" w:cs="Arial"/>
                <w:sz w:val="20"/>
                <w:szCs w:val="20"/>
                <w:lang w:val="fr-FR"/>
              </w:rPr>
            </w:pPr>
            <w:r w:rsidRPr="00E93F4B">
              <w:rPr>
                <w:rFonts w:asciiTheme="minorHAnsi" w:hAnsiTheme="minorHAnsi" w:cs="Arial"/>
                <w:sz w:val="20"/>
                <w:szCs w:val="20"/>
                <w:lang w:val="fr-FR"/>
              </w:rPr>
              <w:t>déplacement</w:t>
            </w:r>
            <w:r w:rsidR="004F6CDA" w:rsidRPr="00E93F4B">
              <w:rPr>
                <w:rFonts w:asciiTheme="minorHAnsi" w:hAnsiTheme="minorHAnsi" w:cs="Arial"/>
                <w:sz w:val="20"/>
                <w:szCs w:val="20"/>
                <w:lang w:val="fr-FR"/>
              </w:rPr>
              <w:t>s</w:t>
            </w:r>
            <w:r w:rsidRPr="00E93F4B">
              <w:rPr>
                <w:rFonts w:asciiTheme="minorHAnsi" w:hAnsiTheme="minorHAnsi" w:cs="Arial"/>
                <w:sz w:val="20"/>
                <w:szCs w:val="20"/>
                <w:lang w:val="fr-FR"/>
              </w:rPr>
              <w:t xml:space="preserve"> sur les sites</w:t>
            </w:r>
            <w:r w:rsidR="004F6CDA" w:rsidRPr="00E93F4B">
              <w:rPr>
                <w:rFonts w:asciiTheme="minorHAnsi" w:hAnsiTheme="minorHAnsi" w:cs="Arial"/>
                <w:sz w:val="20"/>
                <w:szCs w:val="20"/>
                <w:lang w:val="fr-FR"/>
              </w:rPr>
              <w:t>.</w:t>
            </w:r>
          </w:p>
        </w:tc>
        <w:tc>
          <w:tcPr>
            <w:tcW w:w="1200" w:type="dxa"/>
          </w:tcPr>
          <w:p w:rsidR="00CE1E56" w:rsidRPr="00E93F4B" w:rsidRDefault="00CE1E56" w:rsidP="00E93F4B">
            <w:pPr>
              <w:contextualSpacing/>
              <w:jc w:val="center"/>
              <w:rPr>
                <w:rFonts w:cs="Arial"/>
                <w:sz w:val="20"/>
                <w:szCs w:val="20"/>
                <w:lang w:val="fr-CA"/>
              </w:rPr>
            </w:pPr>
            <w:r w:rsidRPr="00E93F4B">
              <w:rPr>
                <w:rFonts w:cs="Arial"/>
                <w:sz w:val="20"/>
                <w:szCs w:val="20"/>
                <w:lang w:val="fr-CA"/>
              </w:rPr>
              <w:t>10 000</w:t>
            </w:r>
          </w:p>
        </w:tc>
      </w:tr>
      <w:tr w:rsidR="00CE1E56" w:rsidRPr="00E93F4B" w:rsidTr="00E93F4B">
        <w:tc>
          <w:tcPr>
            <w:tcW w:w="3708" w:type="dxa"/>
          </w:tcPr>
          <w:p w:rsidR="00CE1E56" w:rsidRPr="00E93F4B" w:rsidRDefault="001C3F7E" w:rsidP="00E93F4B">
            <w:pPr>
              <w:ind w:left="0" w:firstLine="0"/>
              <w:rPr>
                <w:sz w:val="20"/>
                <w:szCs w:val="20"/>
                <w:lang w:val="fr-FR"/>
              </w:rPr>
            </w:pPr>
            <w:r w:rsidRPr="00E93F4B">
              <w:rPr>
                <w:sz w:val="20"/>
                <w:szCs w:val="20"/>
                <w:lang w:val="fr-FR"/>
              </w:rPr>
              <w:t>3. i</w:t>
            </w:r>
            <w:r w:rsidR="00CE1E56" w:rsidRPr="00E93F4B">
              <w:rPr>
                <w:sz w:val="20"/>
                <w:szCs w:val="20"/>
                <w:lang w:val="fr-FR"/>
              </w:rPr>
              <w:t> </w:t>
            </w:r>
            <w:r w:rsidRPr="00E93F4B">
              <w:rPr>
                <w:sz w:val="20"/>
                <w:szCs w:val="20"/>
                <w:lang w:val="fr-FR"/>
              </w:rPr>
              <w:t xml:space="preserve">: SOLLICITE </w:t>
            </w:r>
            <w:r w:rsidR="00CE1E56" w:rsidRPr="00E93F4B">
              <w:rPr>
                <w:sz w:val="20"/>
                <w:szCs w:val="20"/>
                <w:lang w:val="fr-FR"/>
              </w:rPr>
              <w:t>le Comité Permanent d’Assurer la formation des Points Focaux dans la maîtrise des mécanismes de mise en œuvre de la convention et la mobilisation des fonds nécessaires y relative ;</w:t>
            </w:r>
          </w:p>
        </w:tc>
        <w:tc>
          <w:tcPr>
            <w:tcW w:w="4140" w:type="dxa"/>
          </w:tcPr>
          <w:p w:rsidR="00CE1E56" w:rsidRPr="00E93F4B" w:rsidRDefault="001C3F7E" w:rsidP="00E93F4B">
            <w:pPr>
              <w:ind w:left="0" w:firstLine="0"/>
              <w:contextualSpacing/>
              <w:rPr>
                <w:rFonts w:cs="Arial"/>
                <w:sz w:val="20"/>
                <w:szCs w:val="20"/>
                <w:lang w:val="fr-CA"/>
              </w:rPr>
            </w:pPr>
            <w:r w:rsidRPr="00E93F4B">
              <w:rPr>
                <w:rFonts w:cs="Arial"/>
                <w:sz w:val="20"/>
                <w:szCs w:val="20"/>
                <w:lang w:val="fr-CA"/>
              </w:rPr>
              <w:t>Le Secrétariat</w:t>
            </w:r>
            <w:r w:rsidR="004F6CDA" w:rsidRPr="00E93F4B">
              <w:rPr>
                <w:rFonts w:cs="Arial"/>
                <w:sz w:val="20"/>
                <w:szCs w:val="20"/>
                <w:lang w:val="fr-CA"/>
              </w:rPr>
              <w:t xml:space="preserve"> coordonnera le projet de  formation des Points Focaux, un Consultant </w:t>
            </w:r>
            <w:r w:rsidR="00EC1A70" w:rsidRPr="00E93F4B">
              <w:rPr>
                <w:rFonts w:cs="Arial"/>
                <w:sz w:val="20"/>
                <w:szCs w:val="20"/>
                <w:lang w:val="fr-CA"/>
              </w:rPr>
              <w:t>rédigera le rapport</w:t>
            </w:r>
          </w:p>
        </w:tc>
        <w:tc>
          <w:tcPr>
            <w:tcW w:w="1200" w:type="dxa"/>
          </w:tcPr>
          <w:p w:rsidR="00CE1E56" w:rsidRPr="00E93F4B" w:rsidRDefault="00CE1E56" w:rsidP="00E93F4B">
            <w:pPr>
              <w:contextualSpacing/>
              <w:jc w:val="center"/>
              <w:rPr>
                <w:rFonts w:cs="Arial"/>
                <w:sz w:val="20"/>
                <w:szCs w:val="20"/>
                <w:lang w:val="fr-CA"/>
              </w:rPr>
            </w:pPr>
            <w:r w:rsidRPr="00E93F4B">
              <w:rPr>
                <w:rFonts w:cs="Arial"/>
                <w:sz w:val="20"/>
                <w:szCs w:val="20"/>
                <w:lang w:val="fr-CA"/>
              </w:rPr>
              <w:t>10 000</w:t>
            </w:r>
          </w:p>
        </w:tc>
      </w:tr>
      <w:tr w:rsidR="00CE1E56" w:rsidRPr="00E93F4B" w:rsidTr="00E93F4B">
        <w:tc>
          <w:tcPr>
            <w:tcW w:w="3708" w:type="dxa"/>
          </w:tcPr>
          <w:p w:rsidR="00CE1E56" w:rsidRPr="00E93F4B" w:rsidRDefault="00CE1E56" w:rsidP="00E93F4B">
            <w:pPr>
              <w:ind w:left="0" w:firstLine="0"/>
              <w:rPr>
                <w:sz w:val="20"/>
                <w:szCs w:val="20"/>
                <w:lang w:val="fr-FR"/>
              </w:rPr>
            </w:pPr>
            <w:r w:rsidRPr="00E93F4B">
              <w:rPr>
                <w:sz w:val="20"/>
                <w:szCs w:val="20"/>
                <w:lang w:val="fr-FR"/>
              </w:rPr>
              <w:t>3. ii : Identifier et former les parties prenantes pour la gestion durable des zones humides pour l’ensemble du territoire en organisant des visites éch</w:t>
            </w:r>
            <w:r w:rsidR="00EC1A70" w:rsidRPr="00E93F4B">
              <w:rPr>
                <w:sz w:val="20"/>
                <w:szCs w:val="20"/>
                <w:lang w:val="fr-FR"/>
              </w:rPr>
              <w:t>a</w:t>
            </w:r>
            <w:r w:rsidRPr="00E93F4B">
              <w:rPr>
                <w:sz w:val="20"/>
                <w:szCs w:val="20"/>
                <w:lang w:val="fr-FR"/>
              </w:rPr>
              <w:t>nge</w:t>
            </w:r>
            <w:r w:rsidR="00EC1A70" w:rsidRPr="00E93F4B">
              <w:rPr>
                <w:sz w:val="20"/>
                <w:szCs w:val="20"/>
                <w:lang w:val="fr-FR"/>
              </w:rPr>
              <w:t>s</w:t>
            </w:r>
            <w:r w:rsidRPr="00E93F4B">
              <w:rPr>
                <w:sz w:val="20"/>
                <w:szCs w:val="20"/>
                <w:lang w:val="fr-FR"/>
              </w:rPr>
              <w:t xml:space="preserve"> d’expérience ?</w:t>
            </w:r>
          </w:p>
        </w:tc>
        <w:tc>
          <w:tcPr>
            <w:tcW w:w="4140" w:type="dxa"/>
          </w:tcPr>
          <w:p w:rsidR="00CE1E56" w:rsidRPr="00E93F4B" w:rsidRDefault="00EC1A70" w:rsidP="00E93F4B">
            <w:pPr>
              <w:ind w:left="0" w:firstLine="0"/>
              <w:contextualSpacing/>
              <w:rPr>
                <w:rFonts w:cs="Arial"/>
                <w:sz w:val="20"/>
                <w:szCs w:val="20"/>
                <w:lang w:val="fr-CA"/>
              </w:rPr>
            </w:pPr>
            <w:r w:rsidRPr="00E93F4B">
              <w:rPr>
                <w:rFonts w:cs="Arial"/>
                <w:sz w:val="20"/>
                <w:szCs w:val="20"/>
                <w:lang w:val="fr-CA"/>
              </w:rPr>
              <w:t>Le Secrétariat coordonnera l’organisation des visites échanges intra régionaux</w:t>
            </w:r>
          </w:p>
        </w:tc>
        <w:tc>
          <w:tcPr>
            <w:tcW w:w="1200" w:type="dxa"/>
          </w:tcPr>
          <w:p w:rsidR="00CE1E56" w:rsidRPr="00E93F4B" w:rsidRDefault="00EC1A70" w:rsidP="00E93F4B">
            <w:pPr>
              <w:contextualSpacing/>
              <w:jc w:val="center"/>
              <w:rPr>
                <w:rFonts w:cs="Arial"/>
                <w:sz w:val="20"/>
                <w:szCs w:val="20"/>
                <w:lang w:val="fr-CA"/>
              </w:rPr>
            </w:pPr>
            <w:r w:rsidRPr="00E93F4B">
              <w:rPr>
                <w:rFonts w:cs="Arial"/>
                <w:sz w:val="20"/>
                <w:szCs w:val="20"/>
                <w:lang w:val="fr-CA"/>
              </w:rPr>
              <w:t>10 000</w:t>
            </w:r>
          </w:p>
        </w:tc>
      </w:tr>
      <w:tr w:rsidR="00CE1E56" w:rsidRPr="00E93F4B" w:rsidTr="00E93F4B">
        <w:tc>
          <w:tcPr>
            <w:tcW w:w="3708" w:type="dxa"/>
          </w:tcPr>
          <w:p w:rsidR="00CE1E56" w:rsidRPr="00E93F4B" w:rsidRDefault="00CE1E56" w:rsidP="00E93F4B">
            <w:pPr>
              <w:contextualSpacing/>
              <w:rPr>
                <w:rFonts w:cs="Arial"/>
                <w:sz w:val="20"/>
                <w:szCs w:val="20"/>
                <w:lang w:val="fr-CA"/>
              </w:rPr>
            </w:pPr>
          </w:p>
        </w:tc>
        <w:tc>
          <w:tcPr>
            <w:tcW w:w="4140" w:type="dxa"/>
          </w:tcPr>
          <w:p w:rsidR="00CE1E56" w:rsidRPr="00E93F4B" w:rsidRDefault="00CE1E56" w:rsidP="00E93F4B">
            <w:pPr>
              <w:contextualSpacing/>
              <w:jc w:val="center"/>
              <w:rPr>
                <w:rFonts w:cs="Arial"/>
                <w:b/>
                <w:sz w:val="20"/>
                <w:szCs w:val="20"/>
                <w:lang w:val="fr-CA"/>
              </w:rPr>
            </w:pPr>
            <w:r w:rsidRPr="00E93F4B">
              <w:rPr>
                <w:rFonts w:cs="Arial"/>
                <w:b/>
                <w:sz w:val="20"/>
                <w:szCs w:val="20"/>
                <w:lang w:val="fr-CA"/>
              </w:rPr>
              <w:t>TOTAL</w:t>
            </w:r>
          </w:p>
        </w:tc>
        <w:tc>
          <w:tcPr>
            <w:tcW w:w="1200" w:type="dxa"/>
          </w:tcPr>
          <w:p w:rsidR="00CE1E56" w:rsidRPr="00E93F4B" w:rsidRDefault="00EC1A70" w:rsidP="00E93F4B">
            <w:pPr>
              <w:contextualSpacing/>
              <w:jc w:val="center"/>
              <w:rPr>
                <w:rFonts w:cs="Arial"/>
                <w:b/>
                <w:sz w:val="20"/>
                <w:szCs w:val="20"/>
                <w:lang w:val="fr-CA"/>
              </w:rPr>
            </w:pPr>
            <w:r w:rsidRPr="00E93F4B">
              <w:rPr>
                <w:rFonts w:cs="Arial"/>
                <w:b/>
                <w:sz w:val="20"/>
                <w:szCs w:val="20"/>
                <w:lang w:val="fr-CA"/>
              </w:rPr>
              <w:t>65</w:t>
            </w:r>
            <w:r w:rsidR="00CE1E56" w:rsidRPr="00E93F4B">
              <w:rPr>
                <w:rFonts w:cs="Arial"/>
                <w:b/>
                <w:sz w:val="20"/>
                <w:szCs w:val="20"/>
                <w:lang w:val="fr-CA"/>
              </w:rPr>
              <w:t> 000</w:t>
            </w:r>
          </w:p>
        </w:tc>
      </w:tr>
    </w:tbl>
    <w:p w:rsidR="00CE1E56" w:rsidRPr="00E93F4B" w:rsidRDefault="00CE1E56" w:rsidP="00E93F4B">
      <w:pPr>
        <w:spacing w:after="0" w:line="240" w:lineRule="auto"/>
        <w:jc w:val="both"/>
        <w:rPr>
          <w:rFonts w:cs="Arial"/>
          <w:i/>
          <w:lang w:val="fr-CA"/>
        </w:rPr>
      </w:pPr>
    </w:p>
    <w:p w:rsidR="003D7338" w:rsidRDefault="003D7338" w:rsidP="00E93F4B">
      <w:pPr>
        <w:spacing w:after="0" w:line="240" w:lineRule="auto"/>
        <w:jc w:val="both"/>
        <w:rPr>
          <w:rFonts w:cs="Arial"/>
          <w:lang w:val="fr-CA"/>
        </w:rPr>
      </w:pPr>
      <w:r w:rsidRPr="00E93F4B">
        <w:rPr>
          <w:rFonts w:cs="Arial"/>
          <w:lang w:val="fr-CA"/>
        </w:rPr>
        <w:t xml:space="preserve">Pour ce </w:t>
      </w:r>
      <w:r w:rsidR="001167BB" w:rsidRPr="00E93F4B">
        <w:rPr>
          <w:rFonts w:cs="Arial"/>
          <w:lang w:val="fr-CA"/>
        </w:rPr>
        <w:t>faire</w:t>
      </w:r>
      <w:r w:rsidRPr="00E93F4B">
        <w:rPr>
          <w:rFonts w:cs="Arial"/>
          <w:lang w:val="fr-CA"/>
        </w:rPr>
        <w:t>, les projets de résolutions suivantes sont formulés.</w:t>
      </w:r>
    </w:p>
    <w:p w:rsidR="00E93F4B" w:rsidRDefault="00E93F4B" w:rsidP="00E93F4B">
      <w:pPr>
        <w:spacing w:after="0" w:line="240" w:lineRule="auto"/>
        <w:jc w:val="both"/>
        <w:rPr>
          <w:rFonts w:cs="Arial"/>
          <w:lang w:val="fr-CA"/>
        </w:rPr>
      </w:pPr>
    </w:p>
    <w:p w:rsidR="00E5724B" w:rsidRDefault="00E5724B" w:rsidP="00E93F4B">
      <w:pPr>
        <w:spacing w:after="0" w:line="240" w:lineRule="auto"/>
        <w:jc w:val="both"/>
        <w:rPr>
          <w:rFonts w:cs="Arial"/>
          <w:lang w:val="fr-CA"/>
        </w:rPr>
      </w:pPr>
    </w:p>
    <w:p w:rsidR="00E93F4B" w:rsidRPr="00E93F4B" w:rsidRDefault="00E93F4B" w:rsidP="00E93F4B">
      <w:pPr>
        <w:spacing w:after="0" w:line="240" w:lineRule="auto"/>
        <w:rPr>
          <w:b/>
          <w:sz w:val="24"/>
          <w:szCs w:val="24"/>
          <w:lang w:val="fr-CA"/>
        </w:rPr>
      </w:pPr>
      <w:r w:rsidRPr="00E93F4B">
        <w:rPr>
          <w:b/>
          <w:sz w:val="24"/>
          <w:szCs w:val="24"/>
          <w:lang w:val="fr-CA"/>
        </w:rPr>
        <w:t>Projet de résolution XIII.xx</w:t>
      </w:r>
    </w:p>
    <w:p w:rsidR="00E93F4B" w:rsidRPr="00E93F4B" w:rsidRDefault="00E93F4B" w:rsidP="00E93F4B">
      <w:pPr>
        <w:spacing w:after="0" w:line="240" w:lineRule="auto"/>
        <w:rPr>
          <w:b/>
          <w:sz w:val="24"/>
          <w:szCs w:val="24"/>
          <w:lang w:val="fr-CA"/>
        </w:rPr>
      </w:pPr>
    </w:p>
    <w:p w:rsidR="00E93F4B" w:rsidRDefault="00E93F4B" w:rsidP="000B2427">
      <w:pPr>
        <w:spacing w:after="0" w:line="240" w:lineRule="auto"/>
        <w:jc w:val="center"/>
        <w:rPr>
          <w:b/>
          <w:sz w:val="24"/>
          <w:szCs w:val="24"/>
          <w:lang w:val="fr-CA"/>
        </w:rPr>
      </w:pPr>
      <w:r w:rsidRPr="00E93F4B">
        <w:rPr>
          <w:b/>
          <w:sz w:val="24"/>
          <w:szCs w:val="24"/>
          <w:lang w:val="fr-CA"/>
        </w:rPr>
        <w:t>La paix et gestion durable de la biodiversité sur les sites Ramsar</w:t>
      </w:r>
    </w:p>
    <w:p w:rsidR="000B2427" w:rsidRPr="000B2427" w:rsidRDefault="000B2427" w:rsidP="000B2427">
      <w:pPr>
        <w:spacing w:after="0" w:line="240" w:lineRule="auto"/>
        <w:rPr>
          <w:b/>
          <w:sz w:val="24"/>
          <w:szCs w:val="24"/>
          <w:lang w:val="fr-CA"/>
        </w:rPr>
      </w:pPr>
    </w:p>
    <w:p w:rsidR="003D7338" w:rsidRPr="00E93F4B" w:rsidRDefault="00E93F4B" w:rsidP="00E93F4B">
      <w:pPr>
        <w:spacing w:after="0" w:line="240" w:lineRule="auto"/>
        <w:ind w:left="425" w:hanging="425"/>
        <w:rPr>
          <w:rFonts w:cs="Arial"/>
          <w:i/>
          <w:lang w:val="fr-CA"/>
        </w:rPr>
      </w:pPr>
      <w:r>
        <w:rPr>
          <w:rFonts w:eastAsia="Times New Roman"/>
          <w:bCs/>
          <w:lang w:val="fr-CA"/>
        </w:rPr>
        <w:t>1.</w:t>
      </w:r>
      <w:r>
        <w:rPr>
          <w:rFonts w:eastAsia="Times New Roman"/>
          <w:bCs/>
          <w:lang w:val="fr-CA"/>
        </w:rPr>
        <w:tab/>
      </w:r>
      <w:r w:rsidR="00521377" w:rsidRPr="00E93F4B">
        <w:rPr>
          <w:rFonts w:eastAsia="Times New Roman"/>
          <w:bCs/>
          <w:lang w:val="fr-CA"/>
        </w:rPr>
        <w:t xml:space="preserve">RAPPELANT </w:t>
      </w:r>
      <w:r w:rsidR="0000047C" w:rsidRPr="00E93F4B">
        <w:t>le 4</w:t>
      </w:r>
      <w:r w:rsidR="0000047C" w:rsidRPr="00E93F4B">
        <w:rPr>
          <w:vertAlign w:val="superscript"/>
        </w:rPr>
        <w:t>e</w:t>
      </w:r>
      <w:r w:rsidR="0000047C" w:rsidRPr="00E93F4B">
        <w:t> Plan stratégique 2016 – 2024 qui appelle les Parties contractantes à agir avec le soutien du Secrétariat</w:t>
      </w:r>
      <w:r w:rsidR="0000047C" w:rsidRPr="00E93F4B">
        <w:rPr>
          <w:rFonts w:eastAsia="Times New Roman"/>
          <w:bCs/>
          <w:lang w:val="fr-CA"/>
        </w:rPr>
        <w:t xml:space="preserve"> et ceci en conformité avec </w:t>
      </w:r>
      <w:r w:rsidR="00053288" w:rsidRPr="00E93F4B">
        <w:rPr>
          <w:rFonts w:eastAsia="Times New Roman"/>
          <w:bCs/>
          <w:lang w:val="fr-CA"/>
        </w:rPr>
        <w:t xml:space="preserve">le Plan National de Relèvement et de Consolidation de la </w:t>
      </w:r>
      <w:r w:rsidR="000A5ED8" w:rsidRPr="00E93F4B">
        <w:rPr>
          <w:rFonts w:eastAsia="Times New Roman"/>
          <w:bCs/>
          <w:lang w:val="fr-CA"/>
        </w:rPr>
        <w:t xml:space="preserve">Paix (RCPCA) 2017-2021 </w:t>
      </w:r>
      <w:r w:rsidR="00715549" w:rsidRPr="00E93F4B">
        <w:rPr>
          <w:rFonts w:eastAsia="Times New Roman"/>
          <w:bCs/>
          <w:lang w:val="fr-CA"/>
        </w:rPr>
        <w:t>de la</w:t>
      </w:r>
      <w:r w:rsidR="00BE3F0F" w:rsidRPr="00E93F4B">
        <w:rPr>
          <w:rFonts w:eastAsia="Times New Roman"/>
          <w:bCs/>
          <w:lang w:val="fr-CA"/>
        </w:rPr>
        <w:t xml:space="preserve"> RCA </w:t>
      </w:r>
      <w:r w:rsidR="0000047C" w:rsidRPr="00E93F4B">
        <w:rPr>
          <w:rFonts w:eastAsia="Times New Roman"/>
          <w:bCs/>
          <w:lang w:val="fr-CA"/>
        </w:rPr>
        <w:t>dans le domaine de la biodive</w:t>
      </w:r>
      <w:r w:rsidR="003D7338" w:rsidRPr="00E93F4B">
        <w:rPr>
          <w:rFonts w:eastAsia="Times New Roman"/>
          <w:bCs/>
          <w:lang w:val="fr-CA"/>
        </w:rPr>
        <w:t>rsité</w:t>
      </w:r>
      <w:r w:rsidR="0000047C" w:rsidRPr="00E93F4B">
        <w:rPr>
          <w:rFonts w:eastAsia="Times New Roman"/>
          <w:bCs/>
          <w:lang w:val="fr-CA"/>
        </w:rPr>
        <w:t xml:space="preserve"> </w:t>
      </w:r>
      <w:r w:rsidR="00C97679" w:rsidRPr="00E93F4B">
        <w:rPr>
          <w:rFonts w:eastAsia="Times New Roman"/>
          <w:bCs/>
          <w:lang w:val="fr-CA"/>
        </w:rPr>
        <w:t>;</w:t>
      </w:r>
    </w:p>
    <w:p w:rsidR="00E93F4B" w:rsidRDefault="00E93F4B" w:rsidP="00E93F4B">
      <w:pPr>
        <w:autoSpaceDE w:val="0"/>
        <w:autoSpaceDN w:val="0"/>
        <w:adjustRightInd w:val="0"/>
        <w:spacing w:after="0" w:line="240" w:lineRule="auto"/>
        <w:ind w:left="850" w:hanging="425"/>
        <w:rPr>
          <w:rFonts w:cs="Garamond"/>
          <w:lang w:eastAsia="en-GB"/>
        </w:rPr>
      </w:pPr>
    </w:p>
    <w:p w:rsidR="0000047C" w:rsidRPr="00E93F4B" w:rsidRDefault="00E93F4B" w:rsidP="00E93F4B">
      <w:pPr>
        <w:autoSpaceDE w:val="0"/>
        <w:autoSpaceDN w:val="0"/>
        <w:adjustRightInd w:val="0"/>
        <w:spacing w:after="0" w:line="240" w:lineRule="auto"/>
        <w:ind w:left="850" w:hanging="425"/>
        <w:rPr>
          <w:rFonts w:cs="Garamond"/>
          <w:lang w:eastAsia="en-GB"/>
        </w:rPr>
      </w:pPr>
      <w:r>
        <w:rPr>
          <w:rFonts w:cs="Garamond"/>
          <w:lang w:eastAsia="en-GB"/>
        </w:rPr>
        <w:t>i)</w:t>
      </w:r>
      <w:r>
        <w:rPr>
          <w:rFonts w:cs="Garamond"/>
          <w:lang w:eastAsia="en-GB"/>
        </w:rPr>
        <w:tab/>
      </w:r>
      <w:r w:rsidR="004F3BBA" w:rsidRPr="00E93F4B">
        <w:rPr>
          <w:rFonts w:cs="Garamond"/>
          <w:lang w:eastAsia="en-GB"/>
        </w:rPr>
        <w:t>DEMANDE</w:t>
      </w:r>
      <w:r w:rsidR="0093395C" w:rsidRPr="00E93F4B">
        <w:rPr>
          <w:rFonts w:cs="Garamond"/>
          <w:lang w:eastAsia="en-GB"/>
        </w:rPr>
        <w:t xml:space="preserve"> au Comité Permanent </w:t>
      </w:r>
      <w:r w:rsidR="00B56A57" w:rsidRPr="00E93F4B">
        <w:rPr>
          <w:rFonts w:cs="Garamond"/>
          <w:lang w:eastAsia="en-GB"/>
        </w:rPr>
        <w:t>d’appuyer la prise en compte de la réalisation d’</w:t>
      </w:r>
      <w:r w:rsidR="0000047C" w:rsidRPr="00E93F4B">
        <w:rPr>
          <w:rFonts w:cs="Garamond"/>
          <w:lang w:eastAsia="en-GB"/>
        </w:rPr>
        <w:t xml:space="preserve"> un </w:t>
      </w:r>
      <w:r w:rsidR="00F02ACC" w:rsidRPr="00E93F4B">
        <w:rPr>
          <w:rFonts w:cs="Garamond"/>
          <w:lang w:eastAsia="en-GB"/>
        </w:rPr>
        <w:t xml:space="preserve">inventaire d’un </w:t>
      </w:r>
      <w:r w:rsidR="0000047C" w:rsidRPr="00E93F4B">
        <w:rPr>
          <w:rFonts w:cs="Garamond"/>
          <w:lang w:eastAsia="en-GB"/>
        </w:rPr>
        <w:t>état des lieux des ressources fauniques, floristiques et halieutiques</w:t>
      </w:r>
      <w:r w:rsidR="000B2427">
        <w:rPr>
          <w:rFonts w:cs="Garamond"/>
          <w:lang w:eastAsia="en-GB"/>
        </w:rPr>
        <w:t xml:space="preserve"> post conflit </w:t>
      </w:r>
      <w:r w:rsidR="0000047C" w:rsidRPr="00E93F4B">
        <w:rPr>
          <w:rFonts w:cs="Garamond"/>
          <w:lang w:eastAsia="en-GB"/>
        </w:rPr>
        <w:t>contract</w:t>
      </w:r>
      <w:r w:rsidR="00B56A57" w:rsidRPr="00E93F4B">
        <w:rPr>
          <w:rFonts w:cs="Garamond"/>
          <w:lang w:eastAsia="en-GB"/>
        </w:rPr>
        <w:t>ée</w:t>
      </w:r>
      <w:r w:rsidR="0000047C" w:rsidRPr="00E93F4B">
        <w:rPr>
          <w:rFonts w:cs="Garamond"/>
          <w:lang w:eastAsia="en-GB"/>
        </w:rPr>
        <w:t xml:space="preserve"> avec une institution spéciali</w:t>
      </w:r>
      <w:r w:rsidR="00176F3D" w:rsidRPr="00E93F4B">
        <w:rPr>
          <w:rFonts w:cs="Garamond"/>
          <w:lang w:eastAsia="en-GB"/>
        </w:rPr>
        <w:t>s</w:t>
      </w:r>
      <w:r w:rsidR="0000047C" w:rsidRPr="00E93F4B">
        <w:rPr>
          <w:rFonts w:cs="Garamond"/>
          <w:lang w:eastAsia="en-GB"/>
        </w:rPr>
        <w:t>ée</w:t>
      </w:r>
      <w:r w:rsidR="00176F3D" w:rsidRPr="00E93F4B">
        <w:rPr>
          <w:rFonts w:cs="Garamond"/>
          <w:lang w:eastAsia="en-GB"/>
        </w:rPr>
        <w:t> ;</w:t>
      </w:r>
    </w:p>
    <w:p w:rsidR="00E93F4B" w:rsidRDefault="00E93F4B" w:rsidP="00E93F4B">
      <w:pPr>
        <w:autoSpaceDE w:val="0"/>
        <w:autoSpaceDN w:val="0"/>
        <w:adjustRightInd w:val="0"/>
        <w:spacing w:after="0" w:line="240" w:lineRule="auto"/>
        <w:ind w:left="850" w:hanging="425"/>
        <w:rPr>
          <w:rFonts w:cs="Garamond"/>
          <w:lang w:eastAsia="en-GB"/>
        </w:rPr>
      </w:pPr>
    </w:p>
    <w:p w:rsidR="00B0078F" w:rsidRPr="00E93F4B" w:rsidRDefault="00E93F4B" w:rsidP="00E93F4B">
      <w:pPr>
        <w:autoSpaceDE w:val="0"/>
        <w:autoSpaceDN w:val="0"/>
        <w:adjustRightInd w:val="0"/>
        <w:spacing w:after="0" w:line="240" w:lineRule="auto"/>
        <w:ind w:left="850" w:hanging="425"/>
        <w:rPr>
          <w:rFonts w:cs="Garamond"/>
          <w:lang w:eastAsia="en-GB"/>
        </w:rPr>
      </w:pPr>
      <w:r>
        <w:rPr>
          <w:rFonts w:cs="Garamond"/>
          <w:lang w:eastAsia="en-GB"/>
        </w:rPr>
        <w:t>ii)</w:t>
      </w:r>
      <w:r>
        <w:rPr>
          <w:rFonts w:cs="Garamond"/>
          <w:lang w:eastAsia="en-GB"/>
        </w:rPr>
        <w:tab/>
      </w:r>
      <w:r w:rsidR="004F3BBA" w:rsidRPr="00E93F4B">
        <w:rPr>
          <w:rFonts w:cs="Garamond"/>
          <w:lang w:eastAsia="en-GB"/>
        </w:rPr>
        <w:t>SOLLICITE</w:t>
      </w:r>
      <w:r w:rsidR="00E85120" w:rsidRPr="00E93F4B">
        <w:rPr>
          <w:rFonts w:cs="Garamond"/>
          <w:lang w:eastAsia="en-GB"/>
        </w:rPr>
        <w:t xml:space="preserve"> </w:t>
      </w:r>
      <w:r w:rsidR="0000047C" w:rsidRPr="00E93F4B">
        <w:rPr>
          <w:rFonts w:cs="Garamond"/>
          <w:lang w:eastAsia="en-GB"/>
        </w:rPr>
        <w:t xml:space="preserve">le Comité Permanent </w:t>
      </w:r>
      <w:r w:rsidR="00B56A57" w:rsidRPr="00E93F4B">
        <w:rPr>
          <w:rFonts w:cs="Garamond"/>
          <w:lang w:eastAsia="en-GB"/>
        </w:rPr>
        <w:t>d’intégrer la réalisation</w:t>
      </w:r>
      <w:r w:rsidR="0000047C" w:rsidRPr="00E93F4B">
        <w:rPr>
          <w:rFonts w:cs="Garamond"/>
          <w:lang w:eastAsia="en-GB"/>
        </w:rPr>
        <w:t xml:space="preserve"> </w:t>
      </w:r>
      <w:r w:rsidR="00B0078F" w:rsidRPr="00E93F4B">
        <w:rPr>
          <w:rFonts w:cs="Garamond"/>
          <w:lang w:eastAsia="en-GB"/>
        </w:rPr>
        <w:t xml:space="preserve">des activités de résilience </w:t>
      </w:r>
      <w:r w:rsidR="0000047C" w:rsidRPr="00E93F4B">
        <w:rPr>
          <w:rFonts w:cs="Garamond"/>
          <w:lang w:eastAsia="en-GB"/>
        </w:rPr>
        <w:t>entre la biodiversité et le</w:t>
      </w:r>
      <w:r w:rsidR="00E85120" w:rsidRPr="00E93F4B">
        <w:rPr>
          <w:rFonts w:cs="Garamond"/>
          <w:lang w:eastAsia="en-GB"/>
        </w:rPr>
        <w:t>s</w:t>
      </w:r>
      <w:r w:rsidR="0000047C" w:rsidRPr="00E93F4B">
        <w:rPr>
          <w:rFonts w:cs="Garamond"/>
          <w:lang w:eastAsia="en-GB"/>
        </w:rPr>
        <w:t xml:space="preserve"> déplacés </w:t>
      </w:r>
      <w:r w:rsidR="00B0078F" w:rsidRPr="00E93F4B">
        <w:rPr>
          <w:rFonts w:cs="Garamond"/>
          <w:lang w:eastAsia="en-GB"/>
        </w:rPr>
        <w:t xml:space="preserve">internes </w:t>
      </w:r>
      <w:r w:rsidR="0000047C" w:rsidRPr="00E93F4B">
        <w:rPr>
          <w:rFonts w:cs="Garamond"/>
          <w:lang w:eastAsia="en-GB"/>
        </w:rPr>
        <w:t xml:space="preserve">particulièrement (formation, activités génératrices de revenus, montage </w:t>
      </w:r>
      <w:r w:rsidR="00176F3D" w:rsidRPr="00E93F4B">
        <w:rPr>
          <w:rFonts w:cs="Garamond"/>
          <w:lang w:eastAsia="en-GB"/>
        </w:rPr>
        <w:t xml:space="preserve"> et </w:t>
      </w:r>
      <w:r w:rsidR="0000047C" w:rsidRPr="00E93F4B">
        <w:rPr>
          <w:rFonts w:cs="Garamond"/>
          <w:lang w:eastAsia="en-GB"/>
        </w:rPr>
        <w:t xml:space="preserve">gestion de </w:t>
      </w:r>
      <w:r w:rsidR="00176F3D" w:rsidRPr="00E93F4B">
        <w:rPr>
          <w:rFonts w:cs="Garamond"/>
          <w:lang w:eastAsia="en-GB"/>
        </w:rPr>
        <w:t>micro</w:t>
      </w:r>
      <w:r w:rsidR="0000047C" w:rsidRPr="00E93F4B">
        <w:rPr>
          <w:rFonts w:cs="Garamond"/>
          <w:lang w:eastAsia="en-GB"/>
        </w:rPr>
        <w:t xml:space="preserve">projets) comme activités de substitution et de </w:t>
      </w:r>
      <w:r w:rsidR="00B0078F" w:rsidRPr="00E93F4B">
        <w:rPr>
          <w:rFonts w:cs="Garamond"/>
          <w:lang w:eastAsia="en-GB"/>
        </w:rPr>
        <w:t>reconversion</w:t>
      </w:r>
      <w:r w:rsidR="00B73F6E" w:rsidRPr="00E93F4B">
        <w:rPr>
          <w:rFonts w:cs="Garamond"/>
          <w:lang w:eastAsia="en-GB"/>
        </w:rPr>
        <w:t> ;</w:t>
      </w:r>
    </w:p>
    <w:p w:rsidR="00E93F4B" w:rsidRDefault="00E93F4B" w:rsidP="00E93F4B">
      <w:pPr>
        <w:autoSpaceDE w:val="0"/>
        <w:autoSpaceDN w:val="0"/>
        <w:adjustRightInd w:val="0"/>
        <w:spacing w:after="0" w:line="240" w:lineRule="auto"/>
        <w:ind w:left="850" w:hanging="425"/>
        <w:rPr>
          <w:rFonts w:cs="Garamond"/>
          <w:lang w:eastAsia="en-GB"/>
        </w:rPr>
      </w:pPr>
    </w:p>
    <w:p w:rsidR="00176F3D" w:rsidRPr="00E93F4B" w:rsidRDefault="00E93F4B" w:rsidP="00E93F4B">
      <w:pPr>
        <w:autoSpaceDE w:val="0"/>
        <w:autoSpaceDN w:val="0"/>
        <w:adjustRightInd w:val="0"/>
        <w:spacing w:after="0" w:line="240" w:lineRule="auto"/>
        <w:ind w:left="850" w:hanging="425"/>
        <w:rPr>
          <w:rFonts w:cs="Garamond"/>
          <w:lang w:eastAsia="en-GB"/>
        </w:rPr>
      </w:pPr>
      <w:r>
        <w:rPr>
          <w:rFonts w:cs="Garamond"/>
          <w:lang w:eastAsia="en-GB"/>
        </w:rPr>
        <w:t>iii)</w:t>
      </w:r>
      <w:r>
        <w:rPr>
          <w:rFonts w:cs="Garamond"/>
          <w:lang w:eastAsia="en-GB"/>
        </w:rPr>
        <w:tab/>
      </w:r>
      <w:r w:rsidR="004F3BBA" w:rsidRPr="00E93F4B">
        <w:rPr>
          <w:rFonts w:cs="Garamond"/>
          <w:lang w:eastAsia="en-GB"/>
        </w:rPr>
        <w:t>DEMANDE</w:t>
      </w:r>
      <w:r w:rsidR="00176F3D" w:rsidRPr="00E93F4B">
        <w:rPr>
          <w:rFonts w:cs="Garamond"/>
          <w:lang w:eastAsia="en-GB"/>
        </w:rPr>
        <w:t xml:space="preserve"> au Comité Permanent d’appuyer l’édition et la publication de la Convention et les documents de ratification de la Convention</w:t>
      </w:r>
      <w:r w:rsidR="00D340C0" w:rsidRPr="00E93F4B">
        <w:rPr>
          <w:rFonts w:cs="Garamond"/>
          <w:lang w:eastAsia="en-GB"/>
        </w:rPr>
        <w:t>.</w:t>
      </w:r>
    </w:p>
    <w:p w:rsidR="00EA3256" w:rsidRPr="00E93F4B" w:rsidRDefault="00EA3256" w:rsidP="00E93F4B">
      <w:pPr>
        <w:pStyle w:val="ListParagraph"/>
        <w:numPr>
          <w:ilvl w:val="0"/>
          <w:numId w:val="0"/>
        </w:numPr>
        <w:ind w:left="1080"/>
        <w:jc w:val="both"/>
        <w:rPr>
          <w:rFonts w:asciiTheme="minorHAnsi" w:hAnsiTheme="minorHAnsi" w:cs="Arial"/>
          <w:i/>
          <w:lang w:val="fr-CA"/>
        </w:rPr>
      </w:pPr>
    </w:p>
    <w:p w:rsidR="00C97679" w:rsidRPr="00E93F4B" w:rsidRDefault="00E93F4B" w:rsidP="00E93F4B">
      <w:pPr>
        <w:spacing w:after="0" w:line="240" w:lineRule="auto"/>
        <w:ind w:left="425" w:hanging="425"/>
        <w:rPr>
          <w:rFonts w:eastAsia="Times New Roman"/>
          <w:bCs/>
          <w:lang w:val="fr-CA"/>
        </w:rPr>
      </w:pPr>
      <w:r>
        <w:rPr>
          <w:rFonts w:eastAsia="Times New Roman"/>
          <w:bCs/>
          <w:lang w:val="fr-CA"/>
        </w:rPr>
        <w:t>2.</w:t>
      </w:r>
      <w:r>
        <w:rPr>
          <w:rFonts w:eastAsia="Times New Roman"/>
          <w:bCs/>
          <w:lang w:val="fr-CA"/>
        </w:rPr>
        <w:tab/>
      </w:r>
      <w:r w:rsidR="00715549" w:rsidRPr="00E93F4B">
        <w:rPr>
          <w:rFonts w:eastAsia="Times New Roman"/>
          <w:bCs/>
          <w:lang w:val="fr-CA"/>
        </w:rPr>
        <w:t>CONSCIENTE</w:t>
      </w:r>
      <w:r w:rsidR="00BE3F0F" w:rsidRPr="00E93F4B">
        <w:rPr>
          <w:rFonts w:eastAsia="Times New Roman"/>
          <w:bCs/>
          <w:lang w:val="fr-CA"/>
        </w:rPr>
        <w:t xml:space="preserve"> </w:t>
      </w:r>
      <w:r w:rsidR="00715549" w:rsidRPr="00E93F4B">
        <w:rPr>
          <w:rFonts w:eastAsia="Times New Roman"/>
          <w:bCs/>
          <w:lang w:val="fr-CA"/>
        </w:rPr>
        <w:t>d</w:t>
      </w:r>
      <w:r w:rsidR="00BE3F0F" w:rsidRPr="00E93F4B">
        <w:rPr>
          <w:rFonts w:eastAsia="Times New Roman"/>
          <w:bCs/>
          <w:lang w:val="fr-CA"/>
        </w:rPr>
        <w:t>es q</w:t>
      </w:r>
      <w:r w:rsidR="00C97679" w:rsidRPr="00E93F4B">
        <w:rPr>
          <w:rFonts w:eastAsia="Times New Roman"/>
          <w:bCs/>
          <w:lang w:val="fr-CA"/>
        </w:rPr>
        <w:t>uestions financières</w:t>
      </w:r>
      <w:r w:rsidR="00DA5BFC" w:rsidRPr="00E93F4B">
        <w:rPr>
          <w:rFonts w:eastAsia="Times New Roman"/>
          <w:bCs/>
          <w:lang w:val="fr-CA"/>
        </w:rPr>
        <w:t>;</w:t>
      </w:r>
      <w:r w:rsidR="00C97679" w:rsidRPr="00E93F4B">
        <w:rPr>
          <w:rFonts w:eastAsia="Times New Roman"/>
          <w:bCs/>
          <w:lang w:val="fr-CA"/>
        </w:rPr>
        <w:t xml:space="preserve"> </w:t>
      </w:r>
    </w:p>
    <w:p w:rsidR="00E93F4B" w:rsidRDefault="00E93F4B" w:rsidP="00E93F4B">
      <w:pPr>
        <w:autoSpaceDE w:val="0"/>
        <w:autoSpaceDN w:val="0"/>
        <w:adjustRightInd w:val="0"/>
        <w:spacing w:after="0" w:line="240" w:lineRule="auto"/>
        <w:ind w:left="850" w:hanging="425"/>
        <w:rPr>
          <w:rFonts w:cs="Garamond"/>
          <w:lang w:eastAsia="en-GB"/>
        </w:rPr>
      </w:pPr>
    </w:p>
    <w:p w:rsidR="00E85120" w:rsidRPr="00E93F4B" w:rsidRDefault="00E93F4B" w:rsidP="00E93F4B">
      <w:pPr>
        <w:autoSpaceDE w:val="0"/>
        <w:autoSpaceDN w:val="0"/>
        <w:adjustRightInd w:val="0"/>
        <w:spacing w:after="0" w:line="240" w:lineRule="auto"/>
        <w:ind w:left="850" w:hanging="425"/>
        <w:rPr>
          <w:rFonts w:cs="Garamond"/>
          <w:lang w:eastAsia="en-GB"/>
        </w:rPr>
      </w:pPr>
      <w:r>
        <w:rPr>
          <w:rFonts w:cs="Garamond"/>
          <w:lang w:eastAsia="en-GB"/>
        </w:rPr>
        <w:t>i)</w:t>
      </w:r>
      <w:r>
        <w:rPr>
          <w:rFonts w:cs="Garamond"/>
          <w:lang w:eastAsia="en-GB"/>
        </w:rPr>
        <w:tab/>
      </w:r>
      <w:r w:rsidR="004F3BBA" w:rsidRPr="00E93F4B">
        <w:rPr>
          <w:rFonts w:cs="Garamond"/>
          <w:lang w:eastAsia="en-GB"/>
        </w:rPr>
        <w:t>RECONNAISSANT</w:t>
      </w:r>
      <w:r w:rsidR="00AF444C" w:rsidRPr="00E93F4B">
        <w:rPr>
          <w:rFonts w:cs="Garamond"/>
          <w:lang w:eastAsia="en-GB"/>
        </w:rPr>
        <w:t xml:space="preserve"> les faibles </w:t>
      </w:r>
      <w:r w:rsidR="00F65DFF" w:rsidRPr="00E93F4B">
        <w:rPr>
          <w:rFonts w:cs="Garamond"/>
          <w:lang w:eastAsia="en-GB"/>
        </w:rPr>
        <w:t xml:space="preserve">capacités de l’État </w:t>
      </w:r>
      <w:r w:rsidR="00E85120" w:rsidRPr="00E93F4B">
        <w:rPr>
          <w:rFonts w:cs="Garamond"/>
          <w:lang w:eastAsia="en-GB"/>
        </w:rPr>
        <w:t>après les</w:t>
      </w:r>
      <w:r w:rsidR="007B797E" w:rsidRPr="00E93F4B">
        <w:rPr>
          <w:rFonts w:cs="Garamond"/>
          <w:lang w:eastAsia="en-GB"/>
        </w:rPr>
        <w:t xml:space="preserve"> conflits armés </w:t>
      </w:r>
      <w:r w:rsidR="00F65DFF" w:rsidRPr="00E93F4B">
        <w:rPr>
          <w:rFonts w:cs="Garamond"/>
          <w:lang w:eastAsia="en-GB"/>
        </w:rPr>
        <w:t>à mobiliser les ressources financières nécessaires répondant aux engagements nationaux et internationaux</w:t>
      </w:r>
      <w:r w:rsidR="00C90854" w:rsidRPr="00E93F4B">
        <w:rPr>
          <w:rFonts w:cs="Garamond"/>
          <w:lang w:eastAsia="en-GB"/>
        </w:rPr>
        <w:t xml:space="preserve">, </w:t>
      </w:r>
    </w:p>
    <w:p w:rsidR="00E93F4B" w:rsidRDefault="00E93F4B" w:rsidP="00E93F4B">
      <w:pPr>
        <w:autoSpaceDE w:val="0"/>
        <w:autoSpaceDN w:val="0"/>
        <w:adjustRightInd w:val="0"/>
        <w:spacing w:after="0" w:line="240" w:lineRule="auto"/>
        <w:ind w:left="850" w:hanging="425"/>
        <w:rPr>
          <w:rFonts w:cs="Garamond"/>
          <w:lang w:eastAsia="en-GB"/>
        </w:rPr>
      </w:pPr>
    </w:p>
    <w:p w:rsidR="00C90854" w:rsidRPr="00E93F4B" w:rsidRDefault="00E93F4B" w:rsidP="00E93F4B">
      <w:pPr>
        <w:autoSpaceDE w:val="0"/>
        <w:autoSpaceDN w:val="0"/>
        <w:adjustRightInd w:val="0"/>
        <w:spacing w:after="0" w:line="240" w:lineRule="auto"/>
        <w:ind w:left="850" w:hanging="425"/>
        <w:rPr>
          <w:rFonts w:cs="Garamond"/>
          <w:lang w:eastAsia="en-GB"/>
        </w:rPr>
      </w:pPr>
      <w:r>
        <w:rPr>
          <w:rFonts w:cs="Garamond"/>
          <w:lang w:eastAsia="en-GB"/>
        </w:rPr>
        <w:t>ii)</w:t>
      </w:r>
      <w:r>
        <w:rPr>
          <w:rFonts w:cs="Garamond"/>
          <w:lang w:eastAsia="en-GB"/>
        </w:rPr>
        <w:tab/>
      </w:r>
      <w:r w:rsidR="0093395C" w:rsidRPr="00E93F4B">
        <w:rPr>
          <w:rFonts w:cs="Garamond"/>
          <w:lang w:eastAsia="en-GB"/>
        </w:rPr>
        <w:t xml:space="preserve">DEMANDE au </w:t>
      </w:r>
      <w:r w:rsidR="00AE6F8F" w:rsidRPr="00E93F4B">
        <w:rPr>
          <w:rFonts w:cs="Garamond"/>
          <w:lang w:eastAsia="en-GB"/>
        </w:rPr>
        <w:t xml:space="preserve">Comité Permanent </w:t>
      </w:r>
      <w:r w:rsidR="0093395C" w:rsidRPr="00E93F4B">
        <w:rPr>
          <w:rFonts w:cs="Garamond"/>
          <w:lang w:eastAsia="en-GB"/>
        </w:rPr>
        <w:t>d’</w:t>
      </w:r>
      <w:r w:rsidR="00C90854" w:rsidRPr="00E93F4B">
        <w:rPr>
          <w:rFonts w:cs="Garamond"/>
          <w:lang w:eastAsia="en-GB"/>
        </w:rPr>
        <w:t>appuyer les Points Focaux et les ONG à commémorer les Journées Mondiales des Zones Humides à l’échelle nation</w:t>
      </w:r>
      <w:r w:rsidR="003038AA" w:rsidRPr="00E93F4B">
        <w:rPr>
          <w:rFonts w:cs="Garamond"/>
          <w:lang w:eastAsia="en-GB"/>
        </w:rPr>
        <w:t>ale et autour des sites Ramsar</w:t>
      </w:r>
      <w:r w:rsidR="00E85120" w:rsidRPr="00E93F4B">
        <w:rPr>
          <w:rFonts w:cs="Garamond"/>
          <w:lang w:eastAsia="en-GB"/>
        </w:rPr>
        <w:t xml:space="preserve"> déjà enregistrés par le Secrétariat.</w:t>
      </w:r>
      <w:r w:rsidR="003038AA" w:rsidRPr="00E93F4B">
        <w:rPr>
          <w:rFonts w:cs="Garamond"/>
          <w:lang w:eastAsia="en-GB"/>
        </w:rPr>
        <w:t> </w:t>
      </w:r>
    </w:p>
    <w:p w:rsidR="004143FC" w:rsidRPr="00E93F4B" w:rsidRDefault="004143FC" w:rsidP="00E93F4B">
      <w:pPr>
        <w:spacing w:after="0" w:line="240" w:lineRule="auto"/>
        <w:ind w:left="709"/>
        <w:jc w:val="both"/>
      </w:pPr>
    </w:p>
    <w:p w:rsidR="003038AA" w:rsidRPr="00E93F4B" w:rsidRDefault="00E93F4B" w:rsidP="00E93F4B">
      <w:pPr>
        <w:spacing w:after="0" w:line="240" w:lineRule="auto"/>
        <w:ind w:left="425" w:hanging="425"/>
        <w:rPr>
          <w:rFonts w:eastAsia="Times New Roman"/>
          <w:bCs/>
          <w:lang w:val="fr-CA"/>
        </w:rPr>
      </w:pPr>
      <w:r>
        <w:rPr>
          <w:rFonts w:eastAsia="Times New Roman"/>
          <w:bCs/>
          <w:lang w:val="fr-CA"/>
        </w:rPr>
        <w:lastRenderedPageBreak/>
        <w:t>3.</w:t>
      </w:r>
      <w:r>
        <w:rPr>
          <w:rFonts w:eastAsia="Times New Roman"/>
          <w:bCs/>
          <w:lang w:val="fr-CA"/>
        </w:rPr>
        <w:tab/>
      </w:r>
      <w:r w:rsidR="003038AA" w:rsidRPr="00E93F4B">
        <w:rPr>
          <w:rFonts w:eastAsia="Times New Roman"/>
          <w:bCs/>
          <w:lang w:val="fr-CA"/>
        </w:rPr>
        <w:t>RECHERCHE et renforcement de capacité</w:t>
      </w:r>
    </w:p>
    <w:p w:rsidR="00E93F4B" w:rsidRDefault="00E93F4B" w:rsidP="00E93F4B">
      <w:pPr>
        <w:autoSpaceDE w:val="0"/>
        <w:autoSpaceDN w:val="0"/>
        <w:adjustRightInd w:val="0"/>
        <w:spacing w:after="0" w:line="240" w:lineRule="auto"/>
        <w:ind w:left="850" w:hanging="425"/>
        <w:rPr>
          <w:rFonts w:cs="Garamond"/>
          <w:lang w:eastAsia="en-GB"/>
        </w:rPr>
      </w:pPr>
    </w:p>
    <w:p w:rsidR="0080604D" w:rsidRPr="00E93F4B" w:rsidRDefault="00E93F4B" w:rsidP="00E93F4B">
      <w:pPr>
        <w:autoSpaceDE w:val="0"/>
        <w:autoSpaceDN w:val="0"/>
        <w:adjustRightInd w:val="0"/>
        <w:spacing w:after="0" w:line="240" w:lineRule="auto"/>
        <w:ind w:left="850" w:hanging="425"/>
        <w:rPr>
          <w:rFonts w:cs="Garamond"/>
          <w:lang w:eastAsia="en-GB"/>
        </w:rPr>
      </w:pPr>
      <w:r>
        <w:rPr>
          <w:rFonts w:cs="Garamond"/>
          <w:lang w:eastAsia="en-GB"/>
        </w:rPr>
        <w:t>i)</w:t>
      </w:r>
      <w:r>
        <w:rPr>
          <w:rFonts w:cs="Garamond"/>
          <w:lang w:eastAsia="en-GB"/>
        </w:rPr>
        <w:tab/>
      </w:r>
      <w:r w:rsidR="0080604D" w:rsidRPr="00E93F4B">
        <w:rPr>
          <w:rFonts w:cs="Garamond"/>
          <w:lang w:eastAsia="en-GB"/>
        </w:rPr>
        <w:t>RECONNAISANT l’insuffisance de renforcement de capacité à mettre en œuvre la Convention</w:t>
      </w:r>
    </w:p>
    <w:p w:rsidR="00E93F4B" w:rsidRDefault="00E93F4B" w:rsidP="00E93F4B">
      <w:pPr>
        <w:autoSpaceDE w:val="0"/>
        <w:autoSpaceDN w:val="0"/>
        <w:adjustRightInd w:val="0"/>
        <w:spacing w:after="0" w:line="240" w:lineRule="auto"/>
        <w:ind w:left="850" w:hanging="425"/>
        <w:rPr>
          <w:rFonts w:cs="Garamond"/>
          <w:lang w:eastAsia="en-GB"/>
        </w:rPr>
      </w:pPr>
    </w:p>
    <w:p w:rsidR="003038AA" w:rsidRPr="00E93F4B" w:rsidRDefault="00E93F4B" w:rsidP="00E93F4B">
      <w:pPr>
        <w:autoSpaceDE w:val="0"/>
        <w:autoSpaceDN w:val="0"/>
        <w:adjustRightInd w:val="0"/>
        <w:spacing w:after="0" w:line="240" w:lineRule="auto"/>
        <w:ind w:left="850" w:hanging="425"/>
        <w:rPr>
          <w:rFonts w:cs="Garamond"/>
          <w:lang w:eastAsia="en-GB"/>
        </w:rPr>
      </w:pPr>
      <w:r>
        <w:rPr>
          <w:rFonts w:cs="Garamond"/>
          <w:lang w:eastAsia="en-GB"/>
        </w:rPr>
        <w:t>ii)</w:t>
      </w:r>
      <w:r>
        <w:rPr>
          <w:rFonts w:cs="Garamond"/>
          <w:lang w:eastAsia="en-GB"/>
        </w:rPr>
        <w:tab/>
      </w:r>
      <w:r w:rsidR="0080604D" w:rsidRPr="00E93F4B">
        <w:rPr>
          <w:rFonts w:cs="Garamond"/>
          <w:lang w:eastAsia="en-GB"/>
        </w:rPr>
        <w:t>DEMANDE au Comité Permanant d’</w:t>
      </w:r>
      <w:r w:rsidR="003038AA" w:rsidRPr="00E93F4B">
        <w:rPr>
          <w:rFonts w:cs="Garamond"/>
          <w:lang w:eastAsia="en-GB"/>
        </w:rPr>
        <w:t>Assurer la formation des Points Focaux dans la maîtrise des mécanismes de mise en œuvre de la convention et la mobilisation des fonds nécessaires y relative ;</w:t>
      </w:r>
    </w:p>
    <w:p w:rsidR="00E93F4B" w:rsidRDefault="00E93F4B" w:rsidP="00E93F4B">
      <w:pPr>
        <w:autoSpaceDE w:val="0"/>
        <w:autoSpaceDN w:val="0"/>
        <w:adjustRightInd w:val="0"/>
        <w:spacing w:after="0" w:line="240" w:lineRule="auto"/>
        <w:ind w:left="850" w:hanging="425"/>
        <w:rPr>
          <w:rFonts w:cs="Garamond"/>
          <w:lang w:eastAsia="en-GB"/>
        </w:rPr>
      </w:pPr>
    </w:p>
    <w:p w:rsidR="003038AA" w:rsidRPr="00E93F4B" w:rsidRDefault="00E93F4B" w:rsidP="00E93F4B">
      <w:pPr>
        <w:autoSpaceDE w:val="0"/>
        <w:autoSpaceDN w:val="0"/>
        <w:adjustRightInd w:val="0"/>
        <w:spacing w:after="0" w:line="240" w:lineRule="auto"/>
        <w:ind w:left="850" w:hanging="425"/>
        <w:rPr>
          <w:rFonts w:cs="Garamond"/>
          <w:lang w:eastAsia="en-GB"/>
        </w:rPr>
      </w:pPr>
      <w:r>
        <w:rPr>
          <w:rFonts w:cs="Garamond"/>
          <w:lang w:eastAsia="en-GB"/>
        </w:rPr>
        <w:t>iii)</w:t>
      </w:r>
      <w:r>
        <w:rPr>
          <w:rFonts w:cs="Garamond"/>
          <w:lang w:eastAsia="en-GB"/>
        </w:rPr>
        <w:tab/>
      </w:r>
      <w:r w:rsidR="0080604D" w:rsidRPr="00E93F4B">
        <w:rPr>
          <w:rFonts w:cs="Garamond"/>
          <w:lang w:eastAsia="en-GB"/>
        </w:rPr>
        <w:t>SOLLICITE le Comité Permanant  d’</w:t>
      </w:r>
      <w:r w:rsidR="003038AA" w:rsidRPr="00E93F4B">
        <w:rPr>
          <w:rFonts w:cs="Garamond"/>
          <w:lang w:eastAsia="en-GB"/>
        </w:rPr>
        <w:t xml:space="preserve">Identifier et former les parties prenantes pour la gestion durable des zones humides </w:t>
      </w:r>
      <w:r w:rsidR="00E85120" w:rsidRPr="00E93F4B">
        <w:rPr>
          <w:rFonts w:cs="Garamond"/>
          <w:lang w:eastAsia="en-GB"/>
        </w:rPr>
        <w:t xml:space="preserve">sur </w:t>
      </w:r>
      <w:r w:rsidR="003038AA" w:rsidRPr="00E93F4B">
        <w:rPr>
          <w:rFonts w:cs="Garamond"/>
          <w:lang w:eastAsia="en-GB"/>
        </w:rPr>
        <w:t>l’ensemble du territoire en organisant des visites éch</w:t>
      </w:r>
      <w:r w:rsidR="00E03FAF" w:rsidRPr="00E93F4B">
        <w:rPr>
          <w:rFonts w:cs="Garamond"/>
          <w:lang w:eastAsia="en-GB"/>
        </w:rPr>
        <w:t>a</w:t>
      </w:r>
      <w:r w:rsidR="003038AA" w:rsidRPr="00E93F4B">
        <w:rPr>
          <w:rFonts w:cs="Garamond"/>
          <w:lang w:eastAsia="en-GB"/>
        </w:rPr>
        <w:t>nge d’expérience</w:t>
      </w:r>
      <w:r w:rsidR="00D340C0" w:rsidRPr="00E93F4B">
        <w:rPr>
          <w:rFonts w:cs="Garamond"/>
          <w:lang w:eastAsia="en-GB"/>
        </w:rPr>
        <w:t>.</w:t>
      </w:r>
    </w:p>
    <w:p w:rsidR="007B797E" w:rsidRPr="00E93F4B" w:rsidRDefault="007B797E" w:rsidP="00E93F4B">
      <w:pPr>
        <w:pStyle w:val="ListParagraph"/>
        <w:numPr>
          <w:ilvl w:val="0"/>
          <w:numId w:val="0"/>
        </w:numPr>
        <w:ind w:left="360"/>
        <w:jc w:val="center"/>
        <w:rPr>
          <w:rFonts w:asciiTheme="minorHAnsi" w:hAnsiTheme="minorHAnsi"/>
          <w:lang w:val="fr-FR"/>
        </w:rPr>
      </w:pPr>
    </w:p>
    <w:p w:rsidR="00F65DFF" w:rsidRPr="00E93F4B" w:rsidRDefault="00F65DFF" w:rsidP="00E93F4B">
      <w:pPr>
        <w:pStyle w:val="ListParagraph"/>
        <w:numPr>
          <w:ilvl w:val="0"/>
          <w:numId w:val="0"/>
        </w:numPr>
        <w:ind w:left="360"/>
        <w:jc w:val="center"/>
        <w:rPr>
          <w:rFonts w:asciiTheme="minorHAnsi" w:hAnsiTheme="minorHAnsi"/>
          <w:lang w:val="fr-FR"/>
        </w:rPr>
      </w:pPr>
      <w:r w:rsidRPr="00E93F4B">
        <w:rPr>
          <w:rFonts w:asciiTheme="minorHAnsi" w:hAnsiTheme="minorHAnsi"/>
          <w:lang w:val="fr-FR"/>
        </w:rPr>
        <w:t>LA REPUBLIQUE CENTRAFRICAINE</w:t>
      </w:r>
    </w:p>
    <w:p w:rsidR="00F65DFF" w:rsidRPr="00E93F4B" w:rsidRDefault="00F65DFF" w:rsidP="00E93F4B">
      <w:pPr>
        <w:pStyle w:val="ListParagraph"/>
        <w:numPr>
          <w:ilvl w:val="0"/>
          <w:numId w:val="0"/>
        </w:numPr>
        <w:ind w:left="450"/>
        <w:jc w:val="both"/>
        <w:rPr>
          <w:rFonts w:asciiTheme="minorHAnsi" w:hAnsiTheme="minorHAnsi"/>
          <w:lang w:val="fr-FR"/>
        </w:rPr>
      </w:pPr>
    </w:p>
    <w:p w:rsidR="00E64BCF" w:rsidRPr="000B2427" w:rsidRDefault="00E93F4B" w:rsidP="000B2427">
      <w:pPr>
        <w:spacing w:after="0" w:line="240" w:lineRule="auto"/>
        <w:ind w:left="425" w:hanging="425"/>
        <w:rPr>
          <w:rFonts w:eastAsia="Times New Roman"/>
          <w:bCs/>
          <w:lang w:val="fr-CA"/>
        </w:rPr>
      </w:pPr>
      <w:r w:rsidRPr="00E93F4B">
        <w:rPr>
          <w:rFonts w:eastAsia="Times New Roman"/>
          <w:bCs/>
          <w:lang w:val="fr-CA"/>
        </w:rPr>
        <w:t>4.</w:t>
      </w:r>
      <w:r w:rsidRPr="00E93F4B">
        <w:rPr>
          <w:rFonts w:eastAsia="Times New Roman"/>
          <w:bCs/>
          <w:lang w:val="fr-CA"/>
        </w:rPr>
        <w:tab/>
      </w:r>
      <w:r w:rsidR="00F65DFF" w:rsidRPr="00E93F4B">
        <w:rPr>
          <w:rFonts w:eastAsia="Times New Roman"/>
          <w:bCs/>
          <w:lang w:val="fr-CA"/>
        </w:rPr>
        <w:t>PRIE, le SECRETARIAT de bien vouloir alléger le dispositif financier afin de permettre la mise en œuvre de la Convention et la poursuite de l’i</w:t>
      </w:r>
      <w:r w:rsidR="000B2427">
        <w:rPr>
          <w:rFonts w:eastAsia="Times New Roman"/>
          <w:bCs/>
          <w:lang w:val="fr-CA"/>
        </w:rPr>
        <w:t xml:space="preserve">nscription de 10 nouveaux sites </w:t>
      </w:r>
      <w:r w:rsidR="00F65DFF" w:rsidRPr="00E93F4B">
        <w:rPr>
          <w:rFonts w:eastAsia="Times New Roman"/>
          <w:bCs/>
          <w:lang w:val="fr-CA"/>
        </w:rPr>
        <w:t>potentiels</w:t>
      </w:r>
      <w:r w:rsidR="000B2427">
        <w:rPr>
          <w:rFonts w:eastAsia="Times New Roman"/>
          <w:bCs/>
          <w:lang w:val="fr-CA"/>
        </w:rPr>
        <w:t xml:space="preserve"> </w:t>
      </w:r>
      <w:r w:rsidR="00F65DFF" w:rsidRPr="00E93F4B">
        <w:rPr>
          <w:rFonts w:eastAsia="Times New Roman"/>
          <w:bCs/>
          <w:lang w:val="fr-CA"/>
        </w:rPr>
        <w:t xml:space="preserve">d’importance internationale dans la partie Logone-Chari au Nord d’aider la RCA par l’octroi des petites subventions pour la mise en œuvre des activités de sensibilisation et </w:t>
      </w:r>
      <w:r w:rsidR="00DA5BFC" w:rsidRPr="00E93F4B">
        <w:rPr>
          <w:rFonts w:eastAsia="Times New Roman"/>
          <w:bCs/>
          <w:lang w:val="fr-CA"/>
        </w:rPr>
        <w:t>de renforcement de capacité</w:t>
      </w:r>
      <w:r w:rsidR="00F02ACC" w:rsidRPr="00E93F4B">
        <w:rPr>
          <w:rFonts w:eastAsia="Times New Roman"/>
          <w:bCs/>
          <w:lang w:val="fr-CA"/>
        </w:rPr>
        <w:t xml:space="preserve"> par l’entremise du WWF Centrafrique</w:t>
      </w:r>
      <w:r w:rsidR="00F65DFF" w:rsidRPr="00E93F4B">
        <w:rPr>
          <w:rFonts w:eastAsia="Times New Roman"/>
          <w:bCs/>
          <w:lang w:val="fr-CA"/>
        </w:rPr>
        <w:t>.</w:t>
      </w:r>
    </w:p>
    <w:sectPr w:rsidR="00E64BCF" w:rsidRPr="000B2427" w:rsidSect="009872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81" w:rsidRDefault="00987281" w:rsidP="00987281">
      <w:pPr>
        <w:spacing w:after="0" w:line="240" w:lineRule="auto"/>
      </w:pPr>
      <w:r>
        <w:separator/>
      </w:r>
    </w:p>
  </w:endnote>
  <w:endnote w:type="continuationSeparator" w:id="0">
    <w:p w:rsidR="00987281" w:rsidRDefault="00987281" w:rsidP="0098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9A" w:rsidRDefault="002C2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81" w:rsidRPr="00987281" w:rsidRDefault="00987281">
    <w:pPr>
      <w:pStyle w:val="Footer"/>
      <w:rPr>
        <w:sz w:val="20"/>
        <w:lang w:val="en-AU"/>
      </w:rPr>
    </w:pPr>
    <w:r w:rsidRPr="00445CF4">
      <w:rPr>
        <w:rFonts w:eastAsiaTheme="minorHAnsi"/>
        <w:sz w:val="20"/>
        <w:szCs w:val="20"/>
        <w:lang w:val="en-AU" w:eastAsia="en-US"/>
      </w:rPr>
      <w:t>SC54-</w:t>
    </w:r>
    <w:r>
      <w:rPr>
        <w:rFonts w:eastAsiaTheme="minorHAnsi"/>
        <w:sz w:val="20"/>
        <w:szCs w:val="20"/>
        <w:lang w:val="en-AU" w:eastAsia="en-US"/>
      </w:rPr>
      <w:t>21.</w:t>
    </w:r>
    <w:r w:rsidR="002C279A">
      <w:rPr>
        <w:rFonts w:eastAsiaTheme="minorHAnsi"/>
        <w:sz w:val="20"/>
        <w:szCs w:val="20"/>
        <w:lang w:val="en-AU" w:eastAsia="en-US"/>
      </w:rPr>
      <w:t>6</w:t>
    </w:r>
    <w:r w:rsidRPr="00445CF4">
      <w:rPr>
        <w:rFonts w:eastAsiaTheme="minorHAnsi"/>
        <w:sz w:val="20"/>
        <w:szCs w:val="20"/>
        <w:lang w:val="en-AU" w:eastAsia="en-US"/>
      </w:rPr>
      <w:tab/>
    </w:r>
    <w:r w:rsidRPr="00445CF4">
      <w:rPr>
        <w:rFonts w:eastAsiaTheme="minorHAnsi"/>
        <w:sz w:val="20"/>
        <w:szCs w:val="20"/>
        <w:lang w:val="en-AU" w:eastAsia="en-US"/>
      </w:rPr>
      <w:tab/>
    </w:r>
    <w:r w:rsidRPr="00445CF4">
      <w:rPr>
        <w:rFonts w:eastAsiaTheme="minorHAnsi"/>
        <w:sz w:val="20"/>
        <w:szCs w:val="20"/>
        <w:lang w:val="en-AU" w:eastAsia="en-US"/>
      </w:rPr>
      <w:fldChar w:fldCharType="begin"/>
    </w:r>
    <w:r w:rsidRPr="00445CF4">
      <w:rPr>
        <w:rFonts w:eastAsiaTheme="minorHAnsi"/>
        <w:sz w:val="20"/>
        <w:szCs w:val="20"/>
        <w:lang w:val="en-AU" w:eastAsia="en-US"/>
      </w:rPr>
      <w:instrText xml:space="preserve"> PAGE   \* MERGEFORMAT </w:instrText>
    </w:r>
    <w:r w:rsidRPr="00445CF4">
      <w:rPr>
        <w:rFonts w:eastAsiaTheme="minorHAnsi"/>
        <w:sz w:val="20"/>
        <w:szCs w:val="20"/>
        <w:lang w:val="en-AU" w:eastAsia="en-US"/>
      </w:rPr>
      <w:fldChar w:fldCharType="separate"/>
    </w:r>
    <w:r w:rsidR="002C7081">
      <w:rPr>
        <w:rFonts w:eastAsiaTheme="minorHAnsi"/>
        <w:noProof/>
        <w:sz w:val="20"/>
        <w:szCs w:val="20"/>
        <w:lang w:val="en-AU" w:eastAsia="en-US"/>
      </w:rPr>
      <w:t>3</w:t>
    </w:r>
    <w:r w:rsidRPr="00445CF4">
      <w:rPr>
        <w:rFonts w:eastAsiaTheme="minorHAnsi"/>
        <w:sz w:val="20"/>
        <w:szCs w:val="20"/>
        <w:lang w:val="en-AU"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9A" w:rsidRDefault="002C2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81" w:rsidRDefault="00987281" w:rsidP="00987281">
      <w:pPr>
        <w:spacing w:after="0" w:line="240" w:lineRule="auto"/>
      </w:pPr>
      <w:r>
        <w:separator/>
      </w:r>
    </w:p>
  </w:footnote>
  <w:footnote w:type="continuationSeparator" w:id="0">
    <w:p w:rsidR="00987281" w:rsidRDefault="00987281" w:rsidP="00987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9A" w:rsidRDefault="002C27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9A" w:rsidRDefault="002C27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9A" w:rsidRDefault="002C2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C21"/>
    <w:multiLevelType w:val="hybridMultilevel"/>
    <w:tmpl w:val="9544C8B4"/>
    <w:lvl w:ilvl="0" w:tplc="C4EA026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DA7585"/>
    <w:multiLevelType w:val="hybridMultilevel"/>
    <w:tmpl w:val="E830F85A"/>
    <w:lvl w:ilvl="0" w:tplc="2168DBDA">
      <w:start w:val="1"/>
      <w:numFmt w:val="upp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093E42AC"/>
    <w:multiLevelType w:val="hybridMultilevel"/>
    <w:tmpl w:val="41AE22C8"/>
    <w:lvl w:ilvl="0" w:tplc="F2B012CA">
      <w:start w:val="1"/>
      <w:numFmt w:val="decimal"/>
      <w:lvlText w:val="%1."/>
      <w:lvlJc w:val="left"/>
      <w:pPr>
        <w:ind w:left="1065" w:hanging="705"/>
      </w:pPr>
      <w:rPr>
        <w:rFonts w:asciiTheme="minorHAnsi" w:eastAsiaTheme="minorEastAsia"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6177F3"/>
    <w:multiLevelType w:val="hybridMultilevel"/>
    <w:tmpl w:val="67DCC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B05652"/>
    <w:multiLevelType w:val="hybridMultilevel"/>
    <w:tmpl w:val="80F84A10"/>
    <w:lvl w:ilvl="0" w:tplc="612EC17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012590"/>
    <w:multiLevelType w:val="hybridMultilevel"/>
    <w:tmpl w:val="57302F72"/>
    <w:lvl w:ilvl="0" w:tplc="932EC432">
      <w:start w:val="1"/>
      <w:numFmt w:val="lowerRoman"/>
      <w:lvlText w:val="%1)"/>
      <w:lvlJc w:val="left"/>
      <w:pPr>
        <w:ind w:left="2138" w:hanging="72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
    <w:nsid w:val="202A229A"/>
    <w:multiLevelType w:val="hybridMultilevel"/>
    <w:tmpl w:val="862CB3B4"/>
    <w:lvl w:ilvl="0" w:tplc="58B0DB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4D5B4A"/>
    <w:multiLevelType w:val="hybridMultilevel"/>
    <w:tmpl w:val="5012120E"/>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A62F9"/>
    <w:multiLevelType w:val="hybridMultilevel"/>
    <w:tmpl w:val="4E0A47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28C25EF6"/>
    <w:multiLevelType w:val="hybridMultilevel"/>
    <w:tmpl w:val="5012120E"/>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D5278"/>
    <w:multiLevelType w:val="hybridMultilevel"/>
    <w:tmpl w:val="86A4C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94A03"/>
    <w:multiLevelType w:val="hybridMultilevel"/>
    <w:tmpl w:val="BF4085DC"/>
    <w:lvl w:ilvl="0" w:tplc="A328BAB2">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nsid w:val="3CBF3AA2"/>
    <w:multiLevelType w:val="hybridMultilevel"/>
    <w:tmpl w:val="0554BAF0"/>
    <w:lvl w:ilvl="0" w:tplc="F13AE7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5FC28D4"/>
    <w:multiLevelType w:val="hybridMultilevel"/>
    <w:tmpl w:val="1C7288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CC30ED1"/>
    <w:multiLevelType w:val="hybridMultilevel"/>
    <w:tmpl w:val="BF4085DC"/>
    <w:lvl w:ilvl="0" w:tplc="A328BAB2">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4E293C43"/>
    <w:multiLevelType w:val="hybridMultilevel"/>
    <w:tmpl w:val="BF4085DC"/>
    <w:lvl w:ilvl="0" w:tplc="A328BAB2">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nsid w:val="5601375C"/>
    <w:multiLevelType w:val="hybridMultilevel"/>
    <w:tmpl w:val="31FCEDDE"/>
    <w:lvl w:ilvl="0" w:tplc="1620383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56F12140"/>
    <w:multiLevelType w:val="hybridMultilevel"/>
    <w:tmpl w:val="31FCEDDE"/>
    <w:lvl w:ilvl="0" w:tplc="1620383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578263BA"/>
    <w:multiLevelType w:val="hybridMultilevel"/>
    <w:tmpl w:val="17300B56"/>
    <w:lvl w:ilvl="0" w:tplc="61440A0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5CC241EE"/>
    <w:multiLevelType w:val="hybridMultilevel"/>
    <w:tmpl w:val="BDDC348A"/>
    <w:lvl w:ilvl="0" w:tplc="6C7C33B0">
      <w:start w:val="1"/>
      <w:numFmt w:val="decimal"/>
      <w:lvlText w:val="%1."/>
      <w:lvlJc w:val="left"/>
      <w:pPr>
        <w:ind w:left="720"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34110A"/>
    <w:multiLevelType w:val="hybridMultilevel"/>
    <w:tmpl w:val="C148A3AA"/>
    <w:lvl w:ilvl="0" w:tplc="4EE882B4">
      <w:start w:val="1"/>
      <w:numFmt w:val="decimal"/>
      <w:lvlText w:val="%1."/>
      <w:lvlJc w:val="left"/>
      <w:pPr>
        <w:ind w:left="720" w:hanging="360"/>
      </w:pPr>
      <w:rPr>
        <w:rFonts w:eastAsiaTheme="minorEastAsia" w:cs="Arial" w:hint="default"/>
        <w:b w:val="0"/>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915164C"/>
    <w:multiLevelType w:val="hybridMultilevel"/>
    <w:tmpl w:val="2DAEB29C"/>
    <w:lvl w:ilvl="0" w:tplc="0B02BD9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2E386A"/>
    <w:multiLevelType w:val="hybridMultilevel"/>
    <w:tmpl w:val="31FCEDDE"/>
    <w:lvl w:ilvl="0" w:tplc="1620383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6F456726"/>
    <w:multiLevelType w:val="hybridMultilevel"/>
    <w:tmpl w:val="6568D98C"/>
    <w:lvl w:ilvl="0" w:tplc="78FA9140">
      <w:start w:val="1"/>
      <w:numFmt w:val="decimal"/>
      <w:lvlText w:val="%1."/>
      <w:lvlJc w:val="left"/>
      <w:pPr>
        <w:ind w:left="720" w:hanging="360"/>
      </w:pPr>
      <w:rPr>
        <w:rFonts w:cs="Times New Roman"/>
        <w:b w:val="0"/>
        <w:sz w:val="22"/>
        <w:szCs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795E57BD"/>
    <w:multiLevelType w:val="hybridMultilevel"/>
    <w:tmpl w:val="31FCEDDE"/>
    <w:lvl w:ilvl="0" w:tplc="1620383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7AAC7880"/>
    <w:multiLevelType w:val="hybridMultilevel"/>
    <w:tmpl w:val="0CD21C06"/>
    <w:lvl w:ilvl="0" w:tplc="D63439C0">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BA5ECE"/>
    <w:multiLevelType w:val="hybridMultilevel"/>
    <w:tmpl w:val="F6D4A63C"/>
    <w:lvl w:ilvl="0" w:tplc="BB9604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E1E0677"/>
    <w:multiLevelType w:val="hybridMultilevel"/>
    <w:tmpl w:val="D602A0A8"/>
    <w:lvl w:ilvl="0" w:tplc="B186E7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1"/>
  </w:num>
  <w:num w:numId="3">
    <w:abstractNumId w:val="27"/>
  </w:num>
  <w:num w:numId="4">
    <w:abstractNumId w:val="23"/>
  </w:num>
  <w:num w:numId="5">
    <w:abstractNumId w:val="8"/>
  </w:num>
  <w:num w:numId="6">
    <w:abstractNumId w:val="2"/>
  </w:num>
  <w:num w:numId="7">
    <w:abstractNumId w:val="9"/>
  </w:num>
  <w:num w:numId="8">
    <w:abstractNumId w:val="20"/>
  </w:num>
  <w:num w:numId="9">
    <w:abstractNumId w:val="25"/>
  </w:num>
  <w:num w:numId="10">
    <w:abstractNumId w:val="7"/>
  </w:num>
  <w:num w:numId="11">
    <w:abstractNumId w:val="21"/>
  </w:num>
  <w:num w:numId="12">
    <w:abstractNumId w:val="21"/>
  </w:num>
  <w:num w:numId="13">
    <w:abstractNumId w:val="14"/>
  </w:num>
  <w:num w:numId="14">
    <w:abstractNumId w:val="10"/>
  </w:num>
  <w:num w:numId="15">
    <w:abstractNumId w:val="3"/>
  </w:num>
  <w:num w:numId="16">
    <w:abstractNumId w:val="29"/>
  </w:num>
  <w:num w:numId="17">
    <w:abstractNumId w:val="22"/>
  </w:num>
  <w:num w:numId="18">
    <w:abstractNumId w:val="21"/>
  </w:num>
  <w:num w:numId="19">
    <w:abstractNumId w:val="21"/>
  </w:num>
  <w:num w:numId="20">
    <w:abstractNumId w:val="6"/>
  </w:num>
  <w:num w:numId="21">
    <w:abstractNumId w:val="18"/>
  </w:num>
  <w:num w:numId="22">
    <w:abstractNumId w:val="4"/>
  </w:num>
  <w:num w:numId="23">
    <w:abstractNumId w:val="28"/>
  </w:num>
  <w:num w:numId="24">
    <w:abstractNumId w:val="19"/>
  </w:num>
  <w:num w:numId="25">
    <w:abstractNumId w:val="1"/>
  </w:num>
  <w:num w:numId="26">
    <w:abstractNumId w:val="5"/>
  </w:num>
  <w:num w:numId="27">
    <w:abstractNumId w:val="0"/>
  </w:num>
  <w:num w:numId="28">
    <w:abstractNumId w:val="24"/>
  </w:num>
  <w:num w:numId="29">
    <w:abstractNumId w:val="13"/>
  </w:num>
  <w:num w:numId="30">
    <w:abstractNumId w:val="12"/>
  </w:num>
  <w:num w:numId="31">
    <w:abstractNumId w:val="17"/>
  </w:num>
  <w:num w:numId="32">
    <w:abstractNumId w:val="26"/>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B3"/>
    <w:rsid w:val="0000047C"/>
    <w:rsid w:val="000031CF"/>
    <w:rsid w:val="0001248F"/>
    <w:rsid w:val="00024F37"/>
    <w:rsid w:val="0002743E"/>
    <w:rsid w:val="00035F5B"/>
    <w:rsid w:val="00053288"/>
    <w:rsid w:val="00066564"/>
    <w:rsid w:val="0007314A"/>
    <w:rsid w:val="00077EB4"/>
    <w:rsid w:val="000A5ED8"/>
    <w:rsid w:val="000B100E"/>
    <w:rsid w:val="000B135D"/>
    <w:rsid w:val="000B2427"/>
    <w:rsid w:val="000B3397"/>
    <w:rsid w:val="000C1C82"/>
    <w:rsid w:val="000E0EB1"/>
    <w:rsid w:val="00102F69"/>
    <w:rsid w:val="00114270"/>
    <w:rsid w:val="001167BB"/>
    <w:rsid w:val="00171572"/>
    <w:rsid w:val="00176F3D"/>
    <w:rsid w:val="001A4DB1"/>
    <w:rsid w:val="001C2A23"/>
    <w:rsid w:val="001C3EC2"/>
    <w:rsid w:val="001C3F7E"/>
    <w:rsid w:val="001C6C72"/>
    <w:rsid w:val="00211AE0"/>
    <w:rsid w:val="00233CAC"/>
    <w:rsid w:val="002362F4"/>
    <w:rsid w:val="002C279A"/>
    <w:rsid w:val="002C5762"/>
    <w:rsid w:val="002C7081"/>
    <w:rsid w:val="003038AA"/>
    <w:rsid w:val="003504E2"/>
    <w:rsid w:val="00375EB3"/>
    <w:rsid w:val="0038048A"/>
    <w:rsid w:val="0038681B"/>
    <w:rsid w:val="00387300"/>
    <w:rsid w:val="003C0C93"/>
    <w:rsid w:val="003D7338"/>
    <w:rsid w:val="003D783B"/>
    <w:rsid w:val="003E17C6"/>
    <w:rsid w:val="004143FC"/>
    <w:rsid w:val="0046349E"/>
    <w:rsid w:val="00485BF7"/>
    <w:rsid w:val="00495CF3"/>
    <w:rsid w:val="004A3A6E"/>
    <w:rsid w:val="004A6089"/>
    <w:rsid w:val="004F12B8"/>
    <w:rsid w:val="004F17DD"/>
    <w:rsid w:val="004F2A67"/>
    <w:rsid w:val="004F3BBA"/>
    <w:rsid w:val="004F6CDA"/>
    <w:rsid w:val="00502266"/>
    <w:rsid w:val="00505DAF"/>
    <w:rsid w:val="00521377"/>
    <w:rsid w:val="00530866"/>
    <w:rsid w:val="00543C4D"/>
    <w:rsid w:val="00550B56"/>
    <w:rsid w:val="0055341A"/>
    <w:rsid w:val="00583FF7"/>
    <w:rsid w:val="00594801"/>
    <w:rsid w:val="005956C0"/>
    <w:rsid w:val="005A11C1"/>
    <w:rsid w:val="005B440F"/>
    <w:rsid w:val="005F5B63"/>
    <w:rsid w:val="0060275C"/>
    <w:rsid w:val="00604B19"/>
    <w:rsid w:val="00605328"/>
    <w:rsid w:val="00611470"/>
    <w:rsid w:val="0062721D"/>
    <w:rsid w:val="0062798B"/>
    <w:rsid w:val="00696096"/>
    <w:rsid w:val="006A45F3"/>
    <w:rsid w:val="006A5FEF"/>
    <w:rsid w:val="006E2198"/>
    <w:rsid w:val="00700AC3"/>
    <w:rsid w:val="00704606"/>
    <w:rsid w:val="00715549"/>
    <w:rsid w:val="00737161"/>
    <w:rsid w:val="00755662"/>
    <w:rsid w:val="007874EE"/>
    <w:rsid w:val="007B797E"/>
    <w:rsid w:val="007C7F53"/>
    <w:rsid w:val="0080604D"/>
    <w:rsid w:val="00817251"/>
    <w:rsid w:val="008232A8"/>
    <w:rsid w:val="00823F95"/>
    <w:rsid w:val="00827735"/>
    <w:rsid w:val="00834EE1"/>
    <w:rsid w:val="00835EC7"/>
    <w:rsid w:val="00843F48"/>
    <w:rsid w:val="008520F2"/>
    <w:rsid w:val="00857565"/>
    <w:rsid w:val="00864714"/>
    <w:rsid w:val="008774D0"/>
    <w:rsid w:val="008B1106"/>
    <w:rsid w:val="008D0C75"/>
    <w:rsid w:val="008E40DE"/>
    <w:rsid w:val="008E4E6B"/>
    <w:rsid w:val="00905265"/>
    <w:rsid w:val="00933356"/>
    <w:rsid w:val="0093395C"/>
    <w:rsid w:val="00987281"/>
    <w:rsid w:val="0099171D"/>
    <w:rsid w:val="009B430E"/>
    <w:rsid w:val="009C0070"/>
    <w:rsid w:val="009C3DD3"/>
    <w:rsid w:val="009C5A9A"/>
    <w:rsid w:val="009E3BF2"/>
    <w:rsid w:val="00A01EDE"/>
    <w:rsid w:val="00A111CF"/>
    <w:rsid w:val="00A20EA1"/>
    <w:rsid w:val="00A652FC"/>
    <w:rsid w:val="00A67827"/>
    <w:rsid w:val="00AA13B3"/>
    <w:rsid w:val="00AA19E1"/>
    <w:rsid w:val="00AE1B71"/>
    <w:rsid w:val="00AE6F8F"/>
    <w:rsid w:val="00AF444C"/>
    <w:rsid w:val="00B0078F"/>
    <w:rsid w:val="00B22983"/>
    <w:rsid w:val="00B35D8B"/>
    <w:rsid w:val="00B41461"/>
    <w:rsid w:val="00B468C9"/>
    <w:rsid w:val="00B56A57"/>
    <w:rsid w:val="00B56FD4"/>
    <w:rsid w:val="00B63349"/>
    <w:rsid w:val="00B73F6E"/>
    <w:rsid w:val="00BB5AAA"/>
    <w:rsid w:val="00BB5D4B"/>
    <w:rsid w:val="00BC03F6"/>
    <w:rsid w:val="00BE0945"/>
    <w:rsid w:val="00BE3F0F"/>
    <w:rsid w:val="00BF35C9"/>
    <w:rsid w:val="00C101DE"/>
    <w:rsid w:val="00C13EDA"/>
    <w:rsid w:val="00C306AE"/>
    <w:rsid w:val="00C31932"/>
    <w:rsid w:val="00C366BF"/>
    <w:rsid w:val="00C4149B"/>
    <w:rsid w:val="00C75007"/>
    <w:rsid w:val="00C82E52"/>
    <w:rsid w:val="00C90854"/>
    <w:rsid w:val="00C90EFA"/>
    <w:rsid w:val="00C922A4"/>
    <w:rsid w:val="00C94D2B"/>
    <w:rsid w:val="00C97679"/>
    <w:rsid w:val="00CC3A8F"/>
    <w:rsid w:val="00CE1E56"/>
    <w:rsid w:val="00CE6FCA"/>
    <w:rsid w:val="00CE7236"/>
    <w:rsid w:val="00CF193A"/>
    <w:rsid w:val="00CF606D"/>
    <w:rsid w:val="00CF7C11"/>
    <w:rsid w:val="00D020A2"/>
    <w:rsid w:val="00D270B4"/>
    <w:rsid w:val="00D31223"/>
    <w:rsid w:val="00D340C0"/>
    <w:rsid w:val="00D40ACE"/>
    <w:rsid w:val="00D446A4"/>
    <w:rsid w:val="00D540FC"/>
    <w:rsid w:val="00D63992"/>
    <w:rsid w:val="00D715A5"/>
    <w:rsid w:val="00D7685B"/>
    <w:rsid w:val="00D90458"/>
    <w:rsid w:val="00D93614"/>
    <w:rsid w:val="00DA5BFC"/>
    <w:rsid w:val="00DB10FA"/>
    <w:rsid w:val="00DB20FF"/>
    <w:rsid w:val="00DB56BF"/>
    <w:rsid w:val="00E01DDB"/>
    <w:rsid w:val="00E035C1"/>
    <w:rsid w:val="00E03FAF"/>
    <w:rsid w:val="00E17B55"/>
    <w:rsid w:val="00E2376E"/>
    <w:rsid w:val="00E25B33"/>
    <w:rsid w:val="00E5724B"/>
    <w:rsid w:val="00E64BCF"/>
    <w:rsid w:val="00E65BF4"/>
    <w:rsid w:val="00E67F7B"/>
    <w:rsid w:val="00E85120"/>
    <w:rsid w:val="00E93F4B"/>
    <w:rsid w:val="00E948CC"/>
    <w:rsid w:val="00EA3256"/>
    <w:rsid w:val="00EB2013"/>
    <w:rsid w:val="00EB7A0C"/>
    <w:rsid w:val="00EC1A70"/>
    <w:rsid w:val="00EC2435"/>
    <w:rsid w:val="00EC480B"/>
    <w:rsid w:val="00ED198D"/>
    <w:rsid w:val="00ED7A3C"/>
    <w:rsid w:val="00EE60C5"/>
    <w:rsid w:val="00EF75D4"/>
    <w:rsid w:val="00F02ACC"/>
    <w:rsid w:val="00F21957"/>
    <w:rsid w:val="00F3710E"/>
    <w:rsid w:val="00F54A1D"/>
    <w:rsid w:val="00F64220"/>
    <w:rsid w:val="00F65DFF"/>
    <w:rsid w:val="00FD7DF8"/>
    <w:rsid w:val="00FF2AC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72"/>
    <w:pPr>
      <w:numPr>
        <w:numId w:val="1"/>
      </w:numPr>
      <w:suppressAutoHyphens/>
      <w:spacing w:after="0" w:line="240" w:lineRule="auto"/>
    </w:pPr>
    <w:rPr>
      <w:rFonts w:ascii="Calibri" w:eastAsia="Calibri" w:hAnsi="Calibri" w:cs="Times New Roman"/>
      <w:lang w:val="en-GB" w:eastAsia="en-US"/>
    </w:rPr>
  </w:style>
  <w:style w:type="table" w:styleId="TableGrid">
    <w:name w:val="Table Grid"/>
    <w:basedOn w:val="TableNormal"/>
    <w:uiPriority w:val="59"/>
    <w:rsid w:val="00171572"/>
    <w:pPr>
      <w:spacing w:after="0" w:line="240" w:lineRule="auto"/>
      <w:ind w:left="425" w:hanging="425"/>
    </w:pPr>
    <w:rPr>
      <w:rFonts w:eastAsia="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40F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rsid w:val="0062798B"/>
    <w:pPr>
      <w:spacing w:after="0" w:line="240" w:lineRule="auto"/>
      <w:jc w:val="center"/>
    </w:pPr>
    <w:rPr>
      <w:rFonts w:ascii="Times New Roman" w:eastAsia="Times New Roman" w:hAnsi="Times New Roman" w:cs="Times New Roman"/>
      <w:b/>
      <w:bCs/>
      <w:sz w:val="24"/>
      <w:szCs w:val="24"/>
      <w:lang w:eastAsia="fr-FR"/>
    </w:rPr>
  </w:style>
  <w:style w:type="character" w:customStyle="1" w:styleId="BodyText2Char">
    <w:name w:val="Body Text 2 Char"/>
    <w:basedOn w:val="DefaultParagraphFont"/>
    <w:link w:val="BodyText2"/>
    <w:rsid w:val="0062798B"/>
    <w:rPr>
      <w:rFonts w:ascii="Times New Roman" w:eastAsia="Times New Roman" w:hAnsi="Times New Roman" w:cs="Times New Roman"/>
      <w:b/>
      <w:bCs/>
      <w:sz w:val="24"/>
      <w:szCs w:val="24"/>
      <w:lang w:eastAsia="fr-FR"/>
    </w:rPr>
  </w:style>
  <w:style w:type="paragraph" w:styleId="Header">
    <w:name w:val="header"/>
    <w:basedOn w:val="Normal"/>
    <w:link w:val="HeaderChar"/>
    <w:uiPriority w:val="99"/>
    <w:unhideWhenUsed/>
    <w:rsid w:val="00987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281"/>
  </w:style>
  <w:style w:type="paragraph" w:styleId="Footer">
    <w:name w:val="footer"/>
    <w:basedOn w:val="Normal"/>
    <w:link w:val="FooterChar"/>
    <w:uiPriority w:val="99"/>
    <w:unhideWhenUsed/>
    <w:qFormat/>
    <w:rsid w:val="00987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72"/>
    <w:pPr>
      <w:numPr>
        <w:numId w:val="1"/>
      </w:numPr>
      <w:suppressAutoHyphens/>
      <w:spacing w:after="0" w:line="240" w:lineRule="auto"/>
    </w:pPr>
    <w:rPr>
      <w:rFonts w:ascii="Calibri" w:eastAsia="Calibri" w:hAnsi="Calibri" w:cs="Times New Roman"/>
      <w:lang w:val="en-GB" w:eastAsia="en-US"/>
    </w:rPr>
  </w:style>
  <w:style w:type="table" w:styleId="TableGrid">
    <w:name w:val="Table Grid"/>
    <w:basedOn w:val="TableNormal"/>
    <w:uiPriority w:val="59"/>
    <w:rsid w:val="00171572"/>
    <w:pPr>
      <w:spacing w:after="0" w:line="240" w:lineRule="auto"/>
      <w:ind w:left="425" w:hanging="425"/>
    </w:pPr>
    <w:rPr>
      <w:rFonts w:eastAsia="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40F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rsid w:val="0062798B"/>
    <w:pPr>
      <w:spacing w:after="0" w:line="240" w:lineRule="auto"/>
      <w:jc w:val="center"/>
    </w:pPr>
    <w:rPr>
      <w:rFonts w:ascii="Times New Roman" w:eastAsia="Times New Roman" w:hAnsi="Times New Roman" w:cs="Times New Roman"/>
      <w:b/>
      <w:bCs/>
      <w:sz w:val="24"/>
      <w:szCs w:val="24"/>
      <w:lang w:eastAsia="fr-FR"/>
    </w:rPr>
  </w:style>
  <w:style w:type="character" w:customStyle="1" w:styleId="BodyText2Char">
    <w:name w:val="Body Text 2 Char"/>
    <w:basedOn w:val="DefaultParagraphFont"/>
    <w:link w:val="BodyText2"/>
    <w:rsid w:val="0062798B"/>
    <w:rPr>
      <w:rFonts w:ascii="Times New Roman" w:eastAsia="Times New Roman" w:hAnsi="Times New Roman" w:cs="Times New Roman"/>
      <w:b/>
      <w:bCs/>
      <w:sz w:val="24"/>
      <w:szCs w:val="24"/>
      <w:lang w:eastAsia="fr-FR"/>
    </w:rPr>
  </w:style>
  <w:style w:type="paragraph" w:styleId="Header">
    <w:name w:val="header"/>
    <w:basedOn w:val="Normal"/>
    <w:link w:val="HeaderChar"/>
    <w:uiPriority w:val="99"/>
    <w:unhideWhenUsed/>
    <w:rsid w:val="00987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281"/>
  </w:style>
  <w:style w:type="paragraph" w:styleId="Footer">
    <w:name w:val="footer"/>
    <w:basedOn w:val="Normal"/>
    <w:link w:val="FooterChar"/>
    <w:uiPriority w:val="99"/>
    <w:unhideWhenUsed/>
    <w:qFormat/>
    <w:rsid w:val="00987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837</Words>
  <Characters>4766</Characters>
  <Application>Microsoft Office Word</Application>
  <DocSecurity>0</DocSecurity>
  <Lines>144</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TOX</dc:creator>
  <cp:lastModifiedBy>Ramsar\JenningsE</cp:lastModifiedBy>
  <cp:revision>6</cp:revision>
  <dcterms:created xsi:type="dcterms:W3CDTF">2018-02-20T16:08:00Z</dcterms:created>
  <dcterms:modified xsi:type="dcterms:W3CDTF">2018-02-22T10:57:00Z</dcterms:modified>
</cp:coreProperties>
</file>