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B92A2" w14:textId="77777777" w:rsidR="00D876D8" w:rsidRPr="00462F2E" w:rsidRDefault="004225B0" w:rsidP="00D876D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ind w:right="2906"/>
        <w:rPr>
          <w:bCs/>
          <w:sz w:val="24"/>
          <w:szCs w:val="24"/>
          <w:lang w:val="es-ES_tradnl"/>
        </w:rPr>
      </w:pPr>
      <w:r w:rsidRPr="00462F2E">
        <w:rPr>
          <w:bCs/>
          <w:sz w:val="24"/>
          <w:szCs w:val="24"/>
          <w:lang w:val="es-ES_tradnl"/>
        </w:rPr>
        <w:t>CONVENCIÓN DE RAMSAR SOBRE LOS HUMEDALES</w:t>
      </w:r>
      <w:r w:rsidR="00D876D8" w:rsidRPr="00462F2E">
        <w:rPr>
          <w:bCs/>
          <w:sz w:val="24"/>
          <w:szCs w:val="24"/>
          <w:lang w:val="es-ES_tradnl"/>
        </w:rPr>
        <w:t xml:space="preserve"> </w:t>
      </w:r>
    </w:p>
    <w:p w14:paraId="4A4509B9" w14:textId="77777777" w:rsidR="004225B0" w:rsidRPr="00462F2E" w:rsidRDefault="004225B0" w:rsidP="004225B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ind w:right="2906"/>
        <w:rPr>
          <w:bCs/>
          <w:lang w:val="es-ES_tradnl"/>
        </w:rPr>
      </w:pPr>
      <w:r w:rsidRPr="00462F2E">
        <w:rPr>
          <w:bCs/>
          <w:lang w:val="es-ES_tradnl"/>
        </w:rPr>
        <w:t>54</w:t>
      </w:r>
      <w:r w:rsidRPr="00462F2E">
        <w:rPr>
          <w:bCs/>
          <w:vertAlign w:val="superscript"/>
          <w:lang w:val="es-ES_tradnl"/>
        </w:rPr>
        <w:t>a</w:t>
      </w:r>
      <w:r w:rsidRPr="00462F2E">
        <w:rPr>
          <w:bCs/>
          <w:lang w:val="es-ES_tradnl"/>
        </w:rPr>
        <w:t xml:space="preserve"> Reunión del Comité Permanente </w:t>
      </w:r>
    </w:p>
    <w:p w14:paraId="5592D2E0" w14:textId="77777777" w:rsidR="004225B0" w:rsidRPr="00462F2E" w:rsidRDefault="004225B0" w:rsidP="004225B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ind w:right="2906"/>
        <w:rPr>
          <w:bCs/>
          <w:lang w:val="es-ES_tradnl"/>
        </w:rPr>
      </w:pPr>
      <w:r w:rsidRPr="00462F2E">
        <w:rPr>
          <w:bCs/>
          <w:lang w:val="es-ES_tradnl"/>
        </w:rPr>
        <w:t>Gland, Suiza, 23 a 27 de abril de 2018</w:t>
      </w:r>
    </w:p>
    <w:p w14:paraId="7CB0BEF4" w14:textId="77777777" w:rsidR="00D876D8" w:rsidRPr="00462F2E" w:rsidRDefault="00D876D8" w:rsidP="00D876D8">
      <w:pPr>
        <w:spacing w:after="0" w:line="240" w:lineRule="auto"/>
        <w:jc w:val="right"/>
        <w:rPr>
          <w:rFonts w:cs="Arial"/>
          <w:b/>
          <w:sz w:val="28"/>
          <w:szCs w:val="28"/>
          <w:lang w:val="es-ES_tradnl"/>
        </w:rPr>
      </w:pPr>
    </w:p>
    <w:p w14:paraId="239A7FD8" w14:textId="77777777" w:rsidR="00D876D8" w:rsidRPr="00462F2E" w:rsidRDefault="00D876D8" w:rsidP="00D876D8">
      <w:pPr>
        <w:spacing w:after="0" w:line="240" w:lineRule="auto"/>
        <w:jc w:val="right"/>
        <w:rPr>
          <w:rFonts w:cs="Arial"/>
          <w:sz w:val="28"/>
          <w:szCs w:val="28"/>
          <w:lang w:val="es-ES_tradnl"/>
        </w:rPr>
      </w:pPr>
      <w:r w:rsidRPr="00462F2E">
        <w:rPr>
          <w:rFonts w:cs="Arial"/>
          <w:b/>
          <w:sz w:val="28"/>
          <w:szCs w:val="28"/>
          <w:lang w:val="es-ES_tradnl"/>
        </w:rPr>
        <w:t>Doc. SC54-21.4</w:t>
      </w:r>
    </w:p>
    <w:p w14:paraId="792735D7" w14:textId="77777777" w:rsidR="00D876D8" w:rsidRPr="00462F2E" w:rsidRDefault="00D876D8" w:rsidP="00D876D8">
      <w:pPr>
        <w:spacing w:after="0" w:line="240" w:lineRule="auto"/>
        <w:rPr>
          <w:b/>
          <w:bCs/>
          <w:sz w:val="28"/>
          <w:szCs w:val="28"/>
          <w:lang w:val="es-ES_tradnl" w:eastAsia="zh-CN"/>
        </w:rPr>
      </w:pPr>
    </w:p>
    <w:p w14:paraId="70497808" w14:textId="7AF93508" w:rsidR="00171C2D" w:rsidRPr="00462F2E" w:rsidRDefault="001F126A" w:rsidP="00D876D8">
      <w:pPr>
        <w:spacing w:after="0"/>
        <w:jc w:val="center"/>
        <w:rPr>
          <w:rFonts w:eastAsia="Times New Roman" w:cs="Times New Roman"/>
          <w:sz w:val="28"/>
          <w:szCs w:val="28"/>
          <w:lang w:val="es-ES_tradnl"/>
        </w:rPr>
      </w:pPr>
      <w:r w:rsidRPr="00462F2E">
        <w:rPr>
          <w:b/>
          <w:sz w:val="28"/>
          <w:lang w:val="es-ES_tradnl"/>
        </w:rPr>
        <w:t>Proyecto de r</w:t>
      </w:r>
      <w:r w:rsidR="004225B0" w:rsidRPr="00462F2E">
        <w:rPr>
          <w:b/>
          <w:sz w:val="28"/>
          <w:lang w:val="es-ES_tradnl"/>
        </w:rPr>
        <w:t xml:space="preserve">esolución sobre las Misiones Ramsar de Asesoramiento </w:t>
      </w:r>
    </w:p>
    <w:p w14:paraId="4D8EBFB8" w14:textId="77777777" w:rsidR="00171C2D" w:rsidRPr="00462F2E" w:rsidRDefault="00171C2D" w:rsidP="00D876D8">
      <w:pPr>
        <w:spacing w:after="0" w:line="240" w:lineRule="auto"/>
        <w:jc w:val="right"/>
        <w:rPr>
          <w:rFonts w:ascii="Garamond" w:eastAsia="Times New Roman" w:hAnsi="Garamond" w:cs="Times New Roman"/>
          <w:b/>
          <w:lang w:val="es-ES_tradnl"/>
        </w:rPr>
      </w:pPr>
    </w:p>
    <w:p w14:paraId="785DD693" w14:textId="77777777" w:rsidR="00171C2D" w:rsidRPr="00462F2E" w:rsidRDefault="004225B0" w:rsidP="00D876D8">
      <w:pPr>
        <w:spacing w:after="0" w:line="240" w:lineRule="auto"/>
        <w:rPr>
          <w:rFonts w:eastAsia="Times New Roman" w:cs="Times New Roman"/>
          <w:i/>
          <w:lang w:val="es-ES_tradnl" w:eastAsia="el-GR"/>
        </w:rPr>
      </w:pPr>
      <w:r w:rsidRPr="00462F2E">
        <w:rPr>
          <w:rFonts w:eastAsia="Times New Roman" w:cs="Times New Roman"/>
          <w:i/>
          <w:lang w:val="es-ES_tradnl" w:eastAsia="el-GR"/>
        </w:rPr>
        <w:t>Presentado por</w:t>
      </w:r>
      <w:r w:rsidR="00171C2D" w:rsidRPr="00462F2E">
        <w:rPr>
          <w:rFonts w:eastAsia="Times New Roman" w:cs="Times New Roman"/>
          <w:i/>
          <w:lang w:val="es-ES_tradnl" w:eastAsia="el-GR"/>
        </w:rPr>
        <w:t xml:space="preserve"> </w:t>
      </w:r>
      <w:r w:rsidR="00D876D8" w:rsidRPr="00462F2E">
        <w:rPr>
          <w:rFonts w:eastAsia="Times New Roman" w:cs="Times New Roman"/>
          <w:i/>
          <w:lang w:val="es-ES_tradnl" w:eastAsia="el-GR"/>
        </w:rPr>
        <w:t>Burkina Faso</w:t>
      </w:r>
    </w:p>
    <w:p w14:paraId="42FDB259" w14:textId="77777777" w:rsidR="00171C2D" w:rsidRPr="00462F2E" w:rsidRDefault="00171C2D" w:rsidP="00171C2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lang w:val="es-ES_tradnl"/>
        </w:rPr>
      </w:pPr>
    </w:p>
    <w:p w14:paraId="19AFDE5F" w14:textId="77777777" w:rsidR="00171C2D" w:rsidRPr="00462F2E" w:rsidRDefault="00D876D8" w:rsidP="00171C2D">
      <w:pPr>
        <w:autoSpaceDE w:val="0"/>
        <w:autoSpaceDN w:val="0"/>
        <w:adjustRightInd w:val="0"/>
        <w:spacing w:after="0" w:line="240" w:lineRule="auto"/>
        <w:rPr>
          <w:rFonts w:ascii="Garamond" w:hAnsi="Garamond" w:cs="Cambria,Bold"/>
          <w:b/>
          <w:bCs/>
          <w:sz w:val="24"/>
          <w:szCs w:val="24"/>
          <w:lang w:val="es-ES_tradnl"/>
        </w:rPr>
      </w:pPr>
      <w:r w:rsidRPr="00462F2E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342A95F" wp14:editId="50CC71F9">
                <wp:extent cx="5731510" cy="880419"/>
                <wp:effectExtent l="0" t="0" r="34290" b="3429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80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6186" w14:textId="77777777" w:rsidR="00BA17D0" w:rsidRPr="00EC09A4" w:rsidRDefault="00BA17D0" w:rsidP="00D876D8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  <w:noProof/>
                                <w:lang w:val="es-ES_tradnl"/>
                              </w:rPr>
                            </w:pPr>
                            <w:r w:rsidRPr="00EC09A4">
                              <w:rPr>
                                <w:rFonts w:cstheme="majorHAnsi"/>
                                <w:b/>
                                <w:noProof/>
                                <w:lang w:val="es-ES_tradnl"/>
                              </w:rPr>
                              <w:t>Acción solicitada:</w:t>
                            </w:r>
                          </w:p>
                          <w:p w14:paraId="6BF60E12" w14:textId="77777777" w:rsidR="00BA17D0" w:rsidRPr="00AC5E3B" w:rsidRDefault="00BA17D0" w:rsidP="00D876D8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</w:rPr>
                            </w:pPr>
                          </w:p>
                          <w:p w14:paraId="5986B1D0" w14:textId="2C3C6BC6" w:rsidR="00BA17D0" w:rsidRPr="004225B0" w:rsidRDefault="00BA17D0" w:rsidP="004225B0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cstheme="majorHAnsi"/>
                                <w:lang w:val="es-ES_tradnl"/>
                              </w:rPr>
                            </w:pPr>
                            <w:r w:rsidRPr="003975C3">
                              <w:rPr>
                                <w:rFonts w:cstheme="majorHAnsi"/>
                                <w:lang w:val="es-ES_tradnl"/>
                              </w:rPr>
                              <w:t xml:space="preserve">Se invita al Comité Permanente a </w:t>
                            </w:r>
                            <w:r>
                              <w:rPr>
                                <w:rFonts w:cstheme="majorHAnsi"/>
                                <w:lang w:val="es-ES_tradnl"/>
                              </w:rPr>
                              <w:t>examinar el proyecto de r</w:t>
                            </w:r>
                            <w:r w:rsidRPr="003975C3">
                              <w:rPr>
                                <w:rFonts w:cstheme="majorHAnsi"/>
                                <w:lang w:val="es-ES_tradnl"/>
                              </w:rPr>
                              <w:t xml:space="preserve">esolución adjunto para </w:t>
                            </w:r>
                            <w:r>
                              <w:rPr>
                                <w:rFonts w:cstheme="majorHAnsi"/>
                                <w:lang w:val="es-ES_tradnl"/>
                              </w:rPr>
                              <w:t>someterlo a la consideración de</w:t>
                            </w:r>
                            <w:r w:rsidRPr="003975C3">
                              <w:rPr>
                                <w:rFonts w:cstheme="majorHAnsi"/>
                                <w:lang w:val="es-ES_tradnl"/>
                              </w:rPr>
                              <w:t xml:space="preserve"> la</w:t>
                            </w:r>
                            <w:r>
                              <w:rPr>
                                <w:rFonts w:cstheme="majorHAnsi"/>
                                <w:lang w:val="es-ES_tradnl"/>
                              </w:rPr>
                              <w:t xml:space="preserve"> </w:t>
                            </w:r>
                            <w:r w:rsidRPr="003975C3">
                              <w:rPr>
                                <w:rFonts w:cstheme="majorHAnsi"/>
                                <w:lang w:val="es-ES_tradnl"/>
                              </w:rPr>
                              <w:t>13ª reunión</w:t>
                            </w:r>
                            <w:r>
                              <w:rPr>
                                <w:rFonts w:cstheme="majorHAnsi"/>
                                <w:lang w:val="es-ES_tradnl"/>
                              </w:rPr>
                              <w:t xml:space="preserve"> de la</w:t>
                            </w:r>
                            <w:r w:rsidRPr="003975C3">
                              <w:rPr>
                                <w:rFonts w:cstheme="majorHAnsi"/>
                                <w:lang w:val="es-ES_tradnl"/>
                              </w:rPr>
                              <w:t xml:space="preserve"> Conferencia de las Partes.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1.3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">
                <v:textbox>
                  <w:txbxContent>
                    <w:p w14:paraId="0EBC6186" w14:textId="77777777" w:rsidR="00BA17D0" w:rsidRPr="00EC09A4" w:rsidRDefault="00BA17D0" w:rsidP="00D876D8">
                      <w:pPr>
                        <w:spacing w:after="0" w:line="240" w:lineRule="auto"/>
                        <w:rPr>
                          <w:rFonts w:cstheme="majorHAnsi"/>
                          <w:b/>
                          <w:noProof/>
                          <w:lang w:val="es-ES_tradnl"/>
                        </w:rPr>
                      </w:pPr>
                      <w:r w:rsidRPr="00EC09A4">
                        <w:rPr>
                          <w:rFonts w:cstheme="majorHAnsi"/>
                          <w:b/>
                          <w:noProof/>
                          <w:lang w:val="es-ES_tradnl"/>
                        </w:rPr>
                        <w:t>Acción solicitada:</w:t>
                      </w:r>
                    </w:p>
                    <w:p w14:paraId="6BF60E12" w14:textId="77777777" w:rsidR="00BA17D0" w:rsidRPr="00AC5E3B" w:rsidRDefault="00BA17D0" w:rsidP="00D876D8">
                      <w:pPr>
                        <w:spacing w:after="0" w:line="240" w:lineRule="auto"/>
                        <w:rPr>
                          <w:rFonts w:cstheme="majorHAnsi"/>
                          <w:b/>
                        </w:rPr>
                      </w:pPr>
                    </w:p>
                    <w:p w14:paraId="5986B1D0" w14:textId="2C3C6BC6" w:rsidR="00BA17D0" w:rsidRPr="004225B0" w:rsidRDefault="00BA17D0" w:rsidP="004225B0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426"/>
                        <w:rPr>
                          <w:rFonts w:cstheme="majorHAnsi"/>
                          <w:lang w:val="es-ES_tradnl"/>
                        </w:rPr>
                      </w:pPr>
                      <w:r w:rsidRPr="003975C3">
                        <w:rPr>
                          <w:rFonts w:cstheme="majorHAnsi"/>
                          <w:lang w:val="es-ES_tradnl"/>
                        </w:rPr>
                        <w:t xml:space="preserve">Se invita al Comité Permanente a </w:t>
                      </w:r>
                      <w:r>
                        <w:rPr>
                          <w:rFonts w:cstheme="majorHAnsi"/>
                          <w:lang w:val="es-ES_tradnl"/>
                        </w:rPr>
                        <w:t>examinar el proyecto de r</w:t>
                      </w:r>
                      <w:r w:rsidRPr="003975C3">
                        <w:rPr>
                          <w:rFonts w:cstheme="majorHAnsi"/>
                          <w:lang w:val="es-ES_tradnl"/>
                        </w:rPr>
                        <w:t xml:space="preserve">esolución adjunto para </w:t>
                      </w:r>
                      <w:r>
                        <w:rPr>
                          <w:rFonts w:cstheme="majorHAnsi"/>
                          <w:lang w:val="es-ES_tradnl"/>
                        </w:rPr>
                        <w:t>someterlo a la consideración de</w:t>
                      </w:r>
                      <w:r w:rsidRPr="003975C3">
                        <w:rPr>
                          <w:rFonts w:cstheme="majorHAnsi"/>
                          <w:lang w:val="es-ES_tradnl"/>
                        </w:rPr>
                        <w:t xml:space="preserve"> la</w:t>
                      </w:r>
                      <w:r>
                        <w:rPr>
                          <w:rFonts w:cstheme="majorHAnsi"/>
                          <w:lang w:val="es-ES_tradnl"/>
                        </w:rPr>
                        <w:t xml:space="preserve"> </w:t>
                      </w:r>
                      <w:r w:rsidRPr="003975C3">
                        <w:rPr>
                          <w:rFonts w:cstheme="majorHAnsi"/>
                          <w:lang w:val="es-ES_tradnl"/>
                        </w:rPr>
                        <w:t>13ª reunión</w:t>
                      </w:r>
                      <w:r>
                        <w:rPr>
                          <w:rFonts w:cstheme="majorHAnsi"/>
                          <w:lang w:val="es-ES_tradnl"/>
                        </w:rPr>
                        <w:t xml:space="preserve"> de la</w:t>
                      </w:r>
                      <w:r w:rsidRPr="003975C3">
                        <w:rPr>
                          <w:rFonts w:cstheme="majorHAnsi"/>
                          <w:lang w:val="es-ES_tradnl"/>
                        </w:rPr>
                        <w:t xml:space="preserve"> Conferencia de las Partes.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F2946B" w14:textId="77777777" w:rsidR="00D876D8" w:rsidRPr="00462F2E" w:rsidRDefault="00D876D8" w:rsidP="00D876D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/>
          <w:bCs/>
          <w:lang w:val="es-ES_tradnl"/>
        </w:rPr>
      </w:pPr>
    </w:p>
    <w:p w14:paraId="17347F4D" w14:textId="77777777" w:rsidR="00D876D8" w:rsidRPr="00462F2E" w:rsidRDefault="00D876D8" w:rsidP="00D876D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/>
          <w:bCs/>
          <w:lang w:val="es-ES_tradnl"/>
        </w:rPr>
      </w:pPr>
    </w:p>
    <w:p w14:paraId="540469D0" w14:textId="77777777" w:rsidR="004225B0" w:rsidRPr="00462F2E" w:rsidRDefault="004225B0" w:rsidP="004225B0">
      <w:pPr>
        <w:spacing w:after="0" w:line="240" w:lineRule="auto"/>
        <w:ind w:right="16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462F2E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Proyecto de Resolución XIII.xx</w:t>
      </w:r>
    </w:p>
    <w:p w14:paraId="485C3D49" w14:textId="77777777" w:rsidR="00D876D8" w:rsidRPr="00462F2E" w:rsidRDefault="00D876D8" w:rsidP="00D876D8">
      <w:pPr>
        <w:spacing w:after="0" w:line="240" w:lineRule="auto"/>
        <w:rPr>
          <w:b/>
          <w:bCs/>
          <w:sz w:val="24"/>
          <w:szCs w:val="24"/>
          <w:lang w:val="es-ES_tradnl" w:eastAsia="zh-CN"/>
        </w:rPr>
      </w:pPr>
    </w:p>
    <w:p w14:paraId="15A7E281" w14:textId="77777777" w:rsidR="00D876D8" w:rsidRPr="00462F2E" w:rsidRDefault="004225B0" w:rsidP="00D876D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s-ES_tradnl"/>
        </w:rPr>
      </w:pPr>
      <w:r w:rsidRPr="00462F2E">
        <w:rPr>
          <w:rFonts w:eastAsia="Times New Roman" w:cs="Times New Roman"/>
          <w:b/>
          <w:bCs/>
          <w:sz w:val="24"/>
          <w:szCs w:val="24"/>
          <w:lang w:val="es-ES_tradnl"/>
        </w:rPr>
        <w:t>Misiones Ramsar de Asesoramiento</w:t>
      </w:r>
    </w:p>
    <w:p w14:paraId="64A91F31" w14:textId="77777777" w:rsidR="00D876D8" w:rsidRPr="00462F2E" w:rsidRDefault="00D876D8" w:rsidP="00171C2D">
      <w:pPr>
        <w:autoSpaceDE w:val="0"/>
        <w:autoSpaceDN w:val="0"/>
        <w:adjustRightInd w:val="0"/>
        <w:spacing w:after="0" w:line="240" w:lineRule="auto"/>
        <w:rPr>
          <w:rFonts w:ascii="Garamond" w:hAnsi="Garamond" w:cs="Cambria,Bold"/>
          <w:b/>
          <w:bCs/>
          <w:sz w:val="24"/>
          <w:szCs w:val="24"/>
          <w:lang w:val="es-ES_tradnl"/>
        </w:rPr>
      </w:pPr>
    </w:p>
    <w:p w14:paraId="471E7AB5" w14:textId="634A5BA1" w:rsidR="00D60CCB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1.</w:t>
      </w:r>
      <w:r>
        <w:rPr>
          <w:rFonts w:cs="Arial"/>
          <w:lang w:val="es-ES_tradnl"/>
        </w:rPr>
        <w:tab/>
      </w:r>
      <w:r w:rsidR="00EC09A4" w:rsidRPr="001A288A">
        <w:rPr>
          <w:rFonts w:cs="Arial"/>
          <w:lang w:val="es-ES_tradnl"/>
        </w:rPr>
        <w:t>RECORDANDO la Recomendación 4.7</w:t>
      </w:r>
      <w:r w:rsidR="001F126A" w:rsidRPr="001A288A">
        <w:rPr>
          <w:rFonts w:cs="Arial"/>
          <w:lang w:val="es-ES_tradnl"/>
        </w:rPr>
        <w:t>,</w:t>
      </w:r>
      <w:r w:rsidR="00EC09A4" w:rsidRPr="001A288A">
        <w:rPr>
          <w:rFonts w:cs="Arial"/>
          <w:lang w:val="es-ES_tradnl"/>
        </w:rPr>
        <w:t xml:space="preserve"> que establece que, </w:t>
      </w:r>
      <w:r w:rsidR="00D60CCB" w:rsidRPr="001A288A">
        <w:rPr>
          <w:rFonts w:cs="Arial"/>
          <w:lang w:val="es-ES_tradnl"/>
        </w:rPr>
        <w:t>en el caso de que</w:t>
      </w:r>
      <w:r w:rsidR="00EC09A4" w:rsidRPr="001A288A">
        <w:rPr>
          <w:rFonts w:cs="Arial"/>
          <w:lang w:val="es-ES_tradnl"/>
        </w:rPr>
        <w:t xml:space="preserve"> ha</w:t>
      </w:r>
      <w:r w:rsidR="001F126A" w:rsidRPr="001A288A">
        <w:rPr>
          <w:rFonts w:cs="Arial"/>
          <w:lang w:val="es-ES_tradnl"/>
        </w:rPr>
        <w:t>ya</w:t>
      </w:r>
      <w:r w:rsidR="00EC09A4" w:rsidRPr="001A288A">
        <w:rPr>
          <w:rFonts w:cs="Arial"/>
          <w:lang w:val="es-ES_tradnl"/>
        </w:rPr>
        <w:t xml:space="preserve"> llegado a conocimiento de la Secretaría que se están produciendo cambios en las características ecológicas de un sitio Ramsar, </w:t>
      </w:r>
      <w:r w:rsidR="00D60CCB" w:rsidRPr="001A288A">
        <w:rPr>
          <w:rFonts w:cs="Arial"/>
          <w:lang w:val="es-ES_tradnl"/>
        </w:rPr>
        <w:t xml:space="preserve">esta </w:t>
      </w:r>
      <w:r w:rsidR="00EC09A4" w:rsidRPr="001A288A">
        <w:rPr>
          <w:rFonts w:cs="Arial"/>
          <w:lang w:val="es-ES_tradnl"/>
        </w:rPr>
        <w:t xml:space="preserve">proponga, </w:t>
      </w:r>
      <w:r w:rsidR="00380682" w:rsidRPr="001A288A">
        <w:rPr>
          <w:rFonts w:cs="Arial"/>
          <w:lang w:val="es-ES_tradnl"/>
        </w:rPr>
        <w:t>cuando proceda</w:t>
      </w:r>
      <w:r w:rsidR="00EC09A4" w:rsidRPr="001A288A">
        <w:rPr>
          <w:rFonts w:cs="Arial"/>
          <w:lang w:val="es-ES_tradnl"/>
        </w:rPr>
        <w:t xml:space="preserve">, una Misión Ramsar de Asesoramiento (MRA) para ayudar a las Partes Contratantes a </w:t>
      </w:r>
      <w:r w:rsidR="00380682" w:rsidRPr="001A288A">
        <w:rPr>
          <w:rFonts w:cs="Arial"/>
          <w:lang w:val="es-ES_tradnl"/>
        </w:rPr>
        <w:t>hacer frente a</w:t>
      </w:r>
      <w:r w:rsidR="00EC09A4" w:rsidRPr="001A288A">
        <w:rPr>
          <w:rFonts w:cs="Arial"/>
          <w:lang w:val="es-ES_tradnl"/>
        </w:rPr>
        <w:t xml:space="preserve"> dichos cambios;</w:t>
      </w:r>
    </w:p>
    <w:p w14:paraId="77565EC6" w14:textId="77777777" w:rsidR="00D60CCB" w:rsidRPr="00462F2E" w:rsidRDefault="00D60CCB" w:rsidP="001A288A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5FE56281" w14:textId="36AA09A1" w:rsidR="00FF0B56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2.</w:t>
      </w:r>
      <w:r>
        <w:rPr>
          <w:rFonts w:cs="Arial"/>
          <w:lang w:val="es-ES_tradnl"/>
        </w:rPr>
        <w:tab/>
      </w:r>
      <w:r w:rsidR="00D60CCB" w:rsidRPr="001A288A">
        <w:rPr>
          <w:rFonts w:cs="Arial"/>
          <w:lang w:val="es-ES_tradnl"/>
        </w:rPr>
        <w:t xml:space="preserve">TOMANDO NOTA de que, hasta diciembre de 2016, en todas las regiones de Ramsar se han presentado 82 solicitudes de este procedimiento, con resultados positivos; y ENCOMIANDO a aquellas Partes que hasta </w:t>
      </w:r>
      <w:r w:rsidR="00FF0B56" w:rsidRPr="001A288A">
        <w:rPr>
          <w:rFonts w:cs="Arial"/>
          <w:lang w:val="es-ES_tradnl"/>
        </w:rPr>
        <w:t>el momento</w:t>
      </w:r>
      <w:r w:rsidR="00D60CCB" w:rsidRPr="001A288A">
        <w:rPr>
          <w:rFonts w:cs="Arial"/>
          <w:lang w:val="es-ES_tradnl"/>
        </w:rPr>
        <w:t xml:space="preserve"> han </w:t>
      </w:r>
      <w:r w:rsidR="00FF0B56" w:rsidRPr="001A288A">
        <w:rPr>
          <w:rFonts w:cs="Arial"/>
          <w:lang w:val="es-ES_tradnl"/>
        </w:rPr>
        <w:t>pedido</w:t>
      </w:r>
      <w:r w:rsidR="00D60CCB" w:rsidRPr="001A288A">
        <w:rPr>
          <w:rFonts w:cs="Arial"/>
          <w:lang w:val="es-ES_tradnl"/>
        </w:rPr>
        <w:t xml:space="preserve"> </w:t>
      </w:r>
      <w:r w:rsidR="003C1ED7" w:rsidRPr="001A288A">
        <w:rPr>
          <w:rFonts w:cs="Arial"/>
          <w:lang w:val="es-ES_tradnl"/>
        </w:rPr>
        <w:t>el uso de las MRA</w:t>
      </w:r>
      <w:r w:rsidR="00D60CCB" w:rsidRPr="001A288A">
        <w:rPr>
          <w:rFonts w:cs="Arial"/>
          <w:lang w:val="es-ES_tradnl"/>
        </w:rPr>
        <w:t xml:space="preserve"> </w:t>
      </w:r>
      <w:r w:rsidR="003C1ED7" w:rsidRPr="001A288A">
        <w:rPr>
          <w:rFonts w:cs="Arial"/>
          <w:lang w:val="es-ES_tradnl"/>
        </w:rPr>
        <w:t>para</w:t>
      </w:r>
      <w:r w:rsidR="00FF0B56" w:rsidRPr="001A288A">
        <w:rPr>
          <w:rFonts w:cs="Arial"/>
          <w:lang w:val="es-ES_tradnl"/>
        </w:rPr>
        <w:t xml:space="preserve"> encontrar </w:t>
      </w:r>
      <w:r w:rsidR="00D60CCB" w:rsidRPr="001A288A">
        <w:rPr>
          <w:rFonts w:cs="Arial"/>
          <w:lang w:val="es-ES_tradnl"/>
        </w:rPr>
        <w:t xml:space="preserve">soluciones constructivas a las dificultades </w:t>
      </w:r>
      <w:r w:rsidR="00380682" w:rsidRPr="001A288A">
        <w:rPr>
          <w:rFonts w:cs="Arial"/>
          <w:lang w:val="es-ES_tradnl"/>
        </w:rPr>
        <w:t xml:space="preserve">a las </w:t>
      </w:r>
      <w:r w:rsidR="00D60CCB" w:rsidRPr="001A288A">
        <w:rPr>
          <w:rFonts w:cs="Arial"/>
          <w:lang w:val="es-ES_tradnl"/>
        </w:rPr>
        <w:t xml:space="preserve">que </w:t>
      </w:r>
      <w:r w:rsidR="00380682" w:rsidRPr="001A288A">
        <w:rPr>
          <w:rFonts w:cs="Arial"/>
          <w:lang w:val="es-ES_tradnl"/>
        </w:rPr>
        <w:t xml:space="preserve">se </w:t>
      </w:r>
      <w:r w:rsidR="00D60CCB" w:rsidRPr="001A288A">
        <w:rPr>
          <w:rFonts w:cs="Arial"/>
          <w:lang w:val="es-ES_tradnl"/>
        </w:rPr>
        <w:t xml:space="preserve">enfrentan y como una contribución a sus esfuerzos </w:t>
      </w:r>
      <w:r w:rsidR="003C1ED7" w:rsidRPr="001A288A">
        <w:rPr>
          <w:rFonts w:cs="Arial"/>
          <w:lang w:val="es-ES_tradnl"/>
        </w:rPr>
        <w:t xml:space="preserve">encaminados a </w:t>
      </w:r>
      <w:r w:rsidR="00D60CCB" w:rsidRPr="001A288A">
        <w:rPr>
          <w:rFonts w:cs="Arial"/>
          <w:lang w:val="es-ES_tradnl"/>
        </w:rPr>
        <w:t>la aplicación eficaz de la Convención;</w:t>
      </w:r>
    </w:p>
    <w:p w14:paraId="7FC16BD1" w14:textId="77777777" w:rsidR="00FF0B56" w:rsidRPr="00462F2E" w:rsidRDefault="00FF0B56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344E9915" w14:textId="34402CAC" w:rsidR="00F52EE5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3.</w:t>
      </w:r>
      <w:r>
        <w:rPr>
          <w:rFonts w:cs="Arial"/>
          <w:lang w:val="es-ES_tradnl"/>
        </w:rPr>
        <w:tab/>
      </w:r>
      <w:r w:rsidR="00FF0B56" w:rsidRPr="001A288A">
        <w:rPr>
          <w:rFonts w:cs="Arial"/>
          <w:lang w:val="es-ES_tradnl"/>
        </w:rPr>
        <w:t xml:space="preserve">RECONOCIENDO la necesidad de </w:t>
      </w:r>
      <w:r w:rsidR="00F52EE5" w:rsidRPr="001A288A">
        <w:rPr>
          <w:rFonts w:cs="Arial"/>
          <w:lang w:val="es-ES_tradnl"/>
        </w:rPr>
        <w:t>apoyar</w:t>
      </w:r>
      <w:r w:rsidR="00FF0B56" w:rsidRPr="001A288A">
        <w:rPr>
          <w:rFonts w:cs="Arial"/>
          <w:lang w:val="es-ES_tradnl"/>
        </w:rPr>
        <w:t xml:space="preserve"> y </w:t>
      </w:r>
      <w:r w:rsidR="00F52EE5" w:rsidRPr="001A288A">
        <w:rPr>
          <w:rFonts w:cs="Arial"/>
          <w:lang w:val="es-ES_tradnl"/>
        </w:rPr>
        <w:t>fomentar</w:t>
      </w:r>
      <w:r w:rsidR="00FF0B56" w:rsidRPr="001A288A">
        <w:rPr>
          <w:rFonts w:cs="Arial"/>
          <w:lang w:val="es-ES_tradnl"/>
        </w:rPr>
        <w:t xml:space="preserve"> </w:t>
      </w:r>
      <w:r w:rsidR="00F52EE5" w:rsidRPr="001A288A">
        <w:rPr>
          <w:rFonts w:cs="Arial"/>
          <w:lang w:val="es-ES_tradnl"/>
        </w:rPr>
        <w:t>un mayor</w:t>
      </w:r>
      <w:r w:rsidR="00FF0B56" w:rsidRPr="001A288A">
        <w:rPr>
          <w:rFonts w:cs="Arial"/>
          <w:lang w:val="es-ES_tradnl"/>
        </w:rPr>
        <w:t xml:space="preserve"> </w:t>
      </w:r>
      <w:r w:rsidR="00F52EE5" w:rsidRPr="001A288A">
        <w:rPr>
          <w:rFonts w:cs="Arial"/>
          <w:lang w:val="es-ES_tradnl"/>
        </w:rPr>
        <w:t xml:space="preserve">uso </w:t>
      </w:r>
      <w:r w:rsidR="00FF0B56" w:rsidRPr="001A288A">
        <w:rPr>
          <w:rFonts w:cs="Arial"/>
          <w:lang w:val="es-ES_tradnl"/>
        </w:rPr>
        <w:t xml:space="preserve">de las </w:t>
      </w:r>
      <w:r w:rsidR="003C1ED7" w:rsidRPr="001A288A">
        <w:rPr>
          <w:rFonts w:cs="Arial"/>
          <w:lang w:val="es-ES_tradnl"/>
        </w:rPr>
        <w:t xml:space="preserve">MRA </w:t>
      </w:r>
      <w:r w:rsidR="00FF0B56" w:rsidRPr="001A288A">
        <w:rPr>
          <w:rFonts w:cs="Arial"/>
          <w:lang w:val="es-ES_tradnl"/>
        </w:rPr>
        <w:t xml:space="preserve">como una de las herramientas más importantes y útiles de la Convención para ayudar a las Partes a aplicar la </w:t>
      </w:r>
      <w:r w:rsidR="00F52EE5" w:rsidRPr="001A288A">
        <w:rPr>
          <w:rFonts w:cs="Arial"/>
          <w:lang w:val="es-ES_tradnl"/>
        </w:rPr>
        <w:t>misma</w:t>
      </w:r>
      <w:r w:rsidR="00FF0B56" w:rsidRPr="001A288A">
        <w:rPr>
          <w:rFonts w:cs="Arial"/>
          <w:lang w:val="es-ES_tradnl"/>
        </w:rPr>
        <w:t>;</w:t>
      </w:r>
    </w:p>
    <w:p w14:paraId="0E6DFD0A" w14:textId="77777777" w:rsidR="00F52EE5" w:rsidRPr="00462F2E" w:rsidRDefault="00F52EE5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6E2936E5" w14:textId="1CFE8B64" w:rsidR="006E1F36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4.</w:t>
      </w:r>
      <w:r>
        <w:rPr>
          <w:rFonts w:cs="Arial"/>
          <w:lang w:val="es-ES_tradnl"/>
        </w:rPr>
        <w:tab/>
      </w:r>
      <w:r w:rsidR="00F52EE5" w:rsidRPr="001A288A">
        <w:rPr>
          <w:rFonts w:cs="Arial"/>
          <w:lang w:val="es-ES_tradnl"/>
        </w:rPr>
        <w:t xml:space="preserve">RECONOCIENDO TAMBIÉN que las </w:t>
      </w:r>
      <w:r w:rsidR="003C1ED7" w:rsidRPr="001A288A">
        <w:rPr>
          <w:rFonts w:cs="Arial"/>
          <w:lang w:val="es-ES_tradnl"/>
        </w:rPr>
        <w:t xml:space="preserve">MRA </w:t>
      </w:r>
      <w:r w:rsidR="00F52EE5" w:rsidRPr="001A288A">
        <w:rPr>
          <w:rFonts w:cs="Arial"/>
          <w:lang w:val="es-ES_tradnl"/>
        </w:rPr>
        <w:t xml:space="preserve">pueden </w:t>
      </w:r>
      <w:r w:rsidR="003C1ED7" w:rsidRPr="001A288A">
        <w:rPr>
          <w:rFonts w:cs="Arial"/>
          <w:lang w:val="es-ES_tradnl"/>
        </w:rPr>
        <w:t>usarse</w:t>
      </w:r>
      <w:r w:rsidR="00F52EE5" w:rsidRPr="001A288A">
        <w:rPr>
          <w:rFonts w:cs="Arial"/>
          <w:lang w:val="es-ES_tradnl"/>
        </w:rPr>
        <w:t xml:space="preserve"> para prestar asistencia y asesoramiento en la </w:t>
      </w:r>
      <w:r w:rsidR="006E1F36" w:rsidRPr="001A288A">
        <w:rPr>
          <w:rFonts w:cs="Arial"/>
          <w:lang w:val="es-ES_tradnl"/>
        </w:rPr>
        <w:t>elabor</w:t>
      </w:r>
      <w:r w:rsidR="00F52EE5" w:rsidRPr="001A288A">
        <w:rPr>
          <w:rFonts w:cs="Arial"/>
          <w:lang w:val="es-ES_tradnl"/>
        </w:rPr>
        <w:t>ación y aplicación</w:t>
      </w:r>
      <w:r w:rsidR="006E1F36" w:rsidRPr="001A288A">
        <w:rPr>
          <w:rFonts w:cs="Arial"/>
          <w:lang w:val="es-ES_tradnl"/>
        </w:rPr>
        <w:t xml:space="preserve"> </w:t>
      </w:r>
      <w:r w:rsidR="00F52EE5" w:rsidRPr="001A288A">
        <w:rPr>
          <w:rFonts w:cs="Arial"/>
          <w:lang w:val="es-ES_tradnl"/>
        </w:rPr>
        <w:t>de</w:t>
      </w:r>
      <w:r w:rsidR="006E1F36" w:rsidRPr="001A288A">
        <w:rPr>
          <w:rFonts w:cs="Arial"/>
          <w:lang w:val="es-ES_tradnl"/>
        </w:rPr>
        <w:t xml:space="preserve"> las</w:t>
      </w:r>
      <w:r w:rsidR="00F52EE5" w:rsidRPr="001A288A">
        <w:rPr>
          <w:rFonts w:cs="Arial"/>
          <w:lang w:val="es-ES_tradnl"/>
        </w:rPr>
        <w:t xml:space="preserve"> políticas y </w:t>
      </w:r>
      <w:r w:rsidR="006E1F36" w:rsidRPr="001A288A">
        <w:rPr>
          <w:rFonts w:cs="Arial"/>
          <w:lang w:val="es-ES_tradnl"/>
        </w:rPr>
        <w:t xml:space="preserve">la </w:t>
      </w:r>
      <w:r w:rsidR="00F52EE5" w:rsidRPr="001A288A">
        <w:rPr>
          <w:rFonts w:cs="Arial"/>
          <w:lang w:val="es-ES_tradnl"/>
        </w:rPr>
        <w:t xml:space="preserve">planificación </w:t>
      </w:r>
      <w:r w:rsidR="006E1F36" w:rsidRPr="001A288A">
        <w:rPr>
          <w:rFonts w:cs="Arial"/>
          <w:lang w:val="es-ES_tradnl"/>
        </w:rPr>
        <w:t>relacionadas con los</w:t>
      </w:r>
      <w:r w:rsidR="00F52EE5" w:rsidRPr="001A288A">
        <w:rPr>
          <w:rFonts w:cs="Arial"/>
          <w:lang w:val="es-ES_tradnl"/>
        </w:rPr>
        <w:t xml:space="preserve"> humedales</w:t>
      </w:r>
      <w:r w:rsidR="003C1ED7" w:rsidRPr="001A288A">
        <w:rPr>
          <w:rFonts w:cs="Arial"/>
          <w:lang w:val="es-ES_tradnl"/>
        </w:rPr>
        <w:t xml:space="preserve"> en general</w:t>
      </w:r>
      <w:r w:rsidR="00F52EE5" w:rsidRPr="001A288A">
        <w:rPr>
          <w:rFonts w:cs="Arial"/>
          <w:lang w:val="es-ES_tradnl"/>
        </w:rPr>
        <w:t>, así como</w:t>
      </w:r>
      <w:r w:rsidR="006E1F36" w:rsidRPr="001A288A">
        <w:rPr>
          <w:rFonts w:cs="Arial"/>
          <w:lang w:val="es-ES_tradnl"/>
        </w:rPr>
        <w:t xml:space="preserve"> en</w:t>
      </w:r>
      <w:r w:rsidR="00F52EE5" w:rsidRPr="001A288A">
        <w:rPr>
          <w:rFonts w:cs="Arial"/>
          <w:lang w:val="es-ES_tradnl"/>
        </w:rPr>
        <w:t xml:space="preserve"> la </w:t>
      </w:r>
      <w:r w:rsidR="003C1ED7" w:rsidRPr="001A288A">
        <w:rPr>
          <w:rFonts w:cs="Arial"/>
          <w:lang w:val="es-ES_tradnl"/>
        </w:rPr>
        <w:t>aplica</w:t>
      </w:r>
      <w:r w:rsidR="00F52EE5" w:rsidRPr="001A288A">
        <w:rPr>
          <w:rFonts w:cs="Arial"/>
          <w:lang w:val="es-ES_tradnl"/>
        </w:rPr>
        <w:t xml:space="preserve">ción de </w:t>
      </w:r>
      <w:r w:rsidR="006E1F36" w:rsidRPr="001A288A">
        <w:rPr>
          <w:rFonts w:cs="Arial"/>
          <w:lang w:val="es-ES_tradnl"/>
        </w:rPr>
        <w:t xml:space="preserve">los </w:t>
      </w:r>
      <w:r w:rsidR="00F52EE5" w:rsidRPr="001A288A">
        <w:rPr>
          <w:rFonts w:cs="Arial"/>
          <w:lang w:val="es-ES_tradnl"/>
        </w:rPr>
        <w:t>compromisos relacionados con los sitios;</w:t>
      </w:r>
    </w:p>
    <w:p w14:paraId="35F08E6C" w14:textId="77777777" w:rsidR="006E1F36" w:rsidRPr="00462F2E" w:rsidRDefault="006E1F36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1F9DA7AF" w14:textId="6C364B0D" w:rsidR="006E1F36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5.</w:t>
      </w:r>
      <w:r>
        <w:rPr>
          <w:rFonts w:cs="Arial"/>
          <w:lang w:val="es-ES_tradnl"/>
        </w:rPr>
        <w:tab/>
      </w:r>
      <w:r w:rsidR="006E1F36" w:rsidRPr="001A288A">
        <w:rPr>
          <w:rFonts w:cs="Arial"/>
          <w:lang w:val="es-ES_tradnl"/>
        </w:rPr>
        <w:t xml:space="preserve">RECONOCIENDO </w:t>
      </w:r>
      <w:r w:rsidR="00380682" w:rsidRPr="001A288A">
        <w:rPr>
          <w:rFonts w:cs="Arial"/>
          <w:lang w:val="es-ES_tradnl"/>
        </w:rPr>
        <w:t xml:space="preserve">ADEMÁS </w:t>
      </w:r>
      <w:r w:rsidR="006E1F36" w:rsidRPr="001A288A">
        <w:rPr>
          <w:rFonts w:cs="Arial"/>
          <w:lang w:val="es-ES_tradnl"/>
        </w:rPr>
        <w:t xml:space="preserve">que las </w:t>
      </w:r>
      <w:r w:rsidR="003C1ED7" w:rsidRPr="001A288A">
        <w:rPr>
          <w:rFonts w:cs="Arial"/>
          <w:lang w:val="es-ES_tradnl"/>
        </w:rPr>
        <w:t>MRA</w:t>
      </w:r>
      <w:r w:rsidR="006E1F36" w:rsidRPr="001A288A">
        <w:rPr>
          <w:rFonts w:cs="Arial"/>
          <w:lang w:val="es-ES_tradnl"/>
        </w:rPr>
        <w:t xml:space="preserve"> que se </w:t>
      </w:r>
      <w:r w:rsidR="001A0F19" w:rsidRPr="001A288A">
        <w:rPr>
          <w:rFonts w:cs="Arial"/>
          <w:lang w:val="es-ES_tradnl"/>
        </w:rPr>
        <w:t>ejecuta</w:t>
      </w:r>
      <w:r w:rsidR="006E1F36" w:rsidRPr="001A288A">
        <w:rPr>
          <w:rFonts w:cs="Arial"/>
          <w:lang w:val="es-ES_tradnl"/>
        </w:rPr>
        <w:t xml:space="preserve">n conjuntamente con otros procesos internacionales pueden ser sumamente </w:t>
      </w:r>
      <w:r w:rsidR="00380682" w:rsidRPr="001A288A">
        <w:rPr>
          <w:rFonts w:cs="Arial"/>
          <w:lang w:val="es-ES_tradnl"/>
        </w:rPr>
        <w:t>eficaces en función de los costos</w:t>
      </w:r>
      <w:r w:rsidR="006E1F36" w:rsidRPr="001A288A">
        <w:rPr>
          <w:rFonts w:cs="Arial"/>
          <w:lang w:val="es-ES_tradnl"/>
        </w:rPr>
        <w:t xml:space="preserve"> y </w:t>
      </w:r>
      <w:r w:rsidR="00380682" w:rsidRPr="001A288A">
        <w:rPr>
          <w:rFonts w:cs="Arial"/>
          <w:lang w:val="es-ES_tradnl"/>
        </w:rPr>
        <w:t xml:space="preserve">también </w:t>
      </w:r>
      <w:r w:rsidR="006E1F36" w:rsidRPr="001A288A">
        <w:rPr>
          <w:rFonts w:cs="Arial"/>
          <w:lang w:val="es-ES_tradnl"/>
        </w:rPr>
        <w:t>fortalecer las sinergias a escala nacional e internacional;</w:t>
      </w:r>
    </w:p>
    <w:p w14:paraId="141726FC" w14:textId="77777777" w:rsidR="006E1F36" w:rsidRPr="00462F2E" w:rsidRDefault="006E1F36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0976239F" w14:textId="79EA15C0" w:rsidR="006E1F36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6.</w:t>
      </w:r>
      <w:r>
        <w:rPr>
          <w:rFonts w:cs="Arial"/>
          <w:lang w:val="es-ES_tradnl"/>
        </w:rPr>
        <w:tab/>
      </w:r>
      <w:r w:rsidR="006E1F36" w:rsidRPr="001A288A">
        <w:rPr>
          <w:rFonts w:cs="Arial"/>
          <w:lang w:val="es-ES_tradnl"/>
        </w:rPr>
        <w:t xml:space="preserve">RECONOCIENDO </w:t>
      </w:r>
      <w:r w:rsidR="00380682" w:rsidRPr="001A288A">
        <w:rPr>
          <w:rFonts w:cs="Arial"/>
          <w:lang w:val="es-ES_tradnl"/>
        </w:rPr>
        <w:t>ASIMISMO</w:t>
      </w:r>
      <w:r w:rsidR="006E1F36" w:rsidRPr="001A288A">
        <w:rPr>
          <w:rFonts w:cs="Arial"/>
          <w:lang w:val="es-ES_tradnl"/>
        </w:rPr>
        <w:t xml:space="preserve"> la importante contribución que el GECT, las Organizaciones Internacionales Asociadas </w:t>
      </w:r>
      <w:r w:rsidR="003C1ED7" w:rsidRPr="001A288A">
        <w:rPr>
          <w:rFonts w:cs="Arial"/>
          <w:lang w:val="es-ES_tradnl"/>
        </w:rPr>
        <w:t>(OIA) y otro</w:t>
      </w:r>
      <w:r w:rsidR="006E1F36" w:rsidRPr="001A288A">
        <w:rPr>
          <w:rFonts w:cs="Arial"/>
          <w:lang w:val="es-ES_tradnl"/>
        </w:rPr>
        <w:t xml:space="preserve">s </w:t>
      </w:r>
      <w:r w:rsidR="003C1ED7" w:rsidRPr="001A288A">
        <w:rPr>
          <w:rFonts w:cs="Arial"/>
          <w:lang w:val="es-ES_tradnl"/>
        </w:rPr>
        <w:t>interesado</w:t>
      </w:r>
      <w:r w:rsidR="006E1F36" w:rsidRPr="001A288A">
        <w:rPr>
          <w:rFonts w:cs="Arial"/>
          <w:lang w:val="es-ES_tradnl"/>
        </w:rPr>
        <w:t>s han realizado en la aplicación del proceso de las MRA a lo largo de sus 30 años de historia;</w:t>
      </w:r>
    </w:p>
    <w:p w14:paraId="273C8D7B" w14:textId="77777777" w:rsidR="006E1F36" w:rsidRPr="00462F2E" w:rsidRDefault="006E1F36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6D73DCE0" w14:textId="24515379" w:rsidR="00380E27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lastRenderedPageBreak/>
        <w:t>7.</w:t>
      </w:r>
      <w:r>
        <w:rPr>
          <w:rFonts w:cs="Arial"/>
          <w:lang w:val="es-ES_tradnl"/>
        </w:rPr>
        <w:tab/>
      </w:r>
      <w:r w:rsidR="006E1F36" w:rsidRPr="001A288A">
        <w:rPr>
          <w:rFonts w:cs="Arial"/>
          <w:lang w:val="es-ES_tradnl"/>
        </w:rPr>
        <w:t>ACOGIENDO CON BENEPLÁCITO el trabajo del GECT en el último trienio para examina</w:t>
      </w:r>
      <w:r w:rsidR="00380682" w:rsidRPr="001A288A">
        <w:rPr>
          <w:rFonts w:cs="Arial"/>
          <w:lang w:val="es-ES_tradnl"/>
        </w:rPr>
        <w:t xml:space="preserve">r y analizar exhaustivamente los </w:t>
      </w:r>
      <w:r w:rsidR="006E1F36" w:rsidRPr="001A288A">
        <w:rPr>
          <w:rFonts w:cs="Arial"/>
          <w:lang w:val="es-ES_tradnl"/>
        </w:rPr>
        <w:t xml:space="preserve">informes de las 82 </w:t>
      </w:r>
      <w:r w:rsidR="003C1ED7" w:rsidRPr="001A288A">
        <w:rPr>
          <w:rFonts w:cs="Arial"/>
          <w:lang w:val="es-ES_tradnl"/>
        </w:rPr>
        <w:t>Misiones Ramsar de Asesoramiento</w:t>
      </w:r>
      <w:r w:rsidR="006E1F36" w:rsidRPr="001A288A">
        <w:rPr>
          <w:rFonts w:cs="Arial"/>
          <w:lang w:val="es-ES_tradnl"/>
        </w:rPr>
        <w:t xml:space="preserve"> (hasta diciembre de 2016), y ACOGIENDO </w:t>
      </w:r>
      <w:r w:rsidR="003C1ED7" w:rsidRPr="001A288A">
        <w:rPr>
          <w:rFonts w:cs="Arial"/>
          <w:lang w:val="es-ES_tradnl"/>
        </w:rPr>
        <w:t>ADEMÁS</w:t>
      </w:r>
      <w:r w:rsidR="00380E27" w:rsidRPr="001A288A">
        <w:rPr>
          <w:rFonts w:cs="Arial"/>
          <w:lang w:val="es-ES_tradnl"/>
        </w:rPr>
        <w:t xml:space="preserve"> CON SATISFACCIÓN los productos derivados del GECT publicados en 2018: </w:t>
      </w:r>
      <w:r w:rsidR="006E1F36" w:rsidRPr="001A288A">
        <w:rPr>
          <w:rFonts w:cs="Arial"/>
          <w:i/>
          <w:lang w:val="es-ES_tradnl"/>
        </w:rPr>
        <w:t>Nota Informativa</w:t>
      </w:r>
      <w:r w:rsidR="006E1F36" w:rsidRPr="001A288A">
        <w:rPr>
          <w:rFonts w:cs="Arial"/>
          <w:lang w:val="es-ES_tradnl"/>
        </w:rPr>
        <w:t xml:space="preserve"> y </w:t>
      </w:r>
      <w:r w:rsidR="006E1F36" w:rsidRPr="001A288A">
        <w:rPr>
          <w:rFonts w:cs="Arial"/>
          <w:i/>
          <w:lang w:val="es-ES_tradnl"/>
        </w:rPr>
        <w:t>Nota sobre Políticas sobre Misiones Ramsar de Asesoramiento</w:t>
      </w:r>
      <w:r w:rsidR="006E1F36" w:rsidRPr="001A288A">
        <w:rPr>
          <w:rFonts w:cs="Arial"/>
          <w:lang w:val="es-ES_tradnl"/>
        </w:rPr>
        <w:t>;</w:t>
      </w:r>
    </w:p>
    <w:p w14:paraId="0036FCB1" w14:textId="77777777" w:rsidR="00380E27" w:rsidRPr="00462F2E" w:rsidRDefault="00380E27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089BF004" w14:textId="5EFC1203" w:rsidR="00B34107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8.</w:t>
      </w:r>
      <w:r>
        <w:rPr>
          <w:rFonts w:cs="Arial"/>
          <w:lang w:val="es-ES_tradnl"/>
        </w:rPr>
        <w:tab/>
      </w:r>
      <w:r w:rsidR="00F5491A" w:rsidRPr="001A288A">
        <w:rPr>
          <w:rFonts w:cs="Arial"/>
          <w:lang w:val="es-ES_tradnl"/>
        </w:rPr>
        <w:t>CONSCIENTE</w:t>
      </w:r>
      <w:r w:rsidR="00380E27" w:rsidRPr="001A288A">
        <w:rPr>
          <w:rFonts w:cs="Arial"/>
          <w:lang w:val="es-ES_tradnl"/>
        </w:rPr>
        <w:t xml:space="preserve"> de que</w:t>
      </w:r>
      <w:r w:rsidR="00B34107" w:rsidRPr="001A288A">
        <w:rPr>
          <w:rFonts w:cs="Arial"/>
          <w:lang w:val="es-ES_tradnl"/>
        </w:rPr>
        <w:t xml:space="preserve"> no </w:t>
      </w:r>
      <w:r w:rsidR="00F5491A" w:rsidRPr="001A288A">
        <w:rPr>
          <w:rFonts w:cs="Arial"/>
          <w:lang w:val="es-ES_tradnl"/>
        </w:rPr>
        <w:t>se está aprovechando</w:t>
      </w:r>
      <w:r w:rsidR="00B34107" w:rsidRPr="001A288A">
        <w:rPr>
          <w:rFonts w:cs="Arial"/>
          <w:lang w:val="es-ES_tradnl"/>
        </w:rPr>
        <w:t xml:space="preserve"> plenamente todo</w:t>
      </w:r>
      <w:r w:rsidR="00380E27" w:rsidRPr="001A288A">
        <w:rPr>
          <w:rFonts w:cs="Arial"/>
          <w:lang w:val="es-ES_tradnl"/>
        </w:rPr>
        <w:t xml:space="preserve"> el potencial del mecanismo de </w:t>
      </w:r>
      <w:r w:rsidR="00B34107" w:rsidRPr="001A288A">
        <w:rPr>
          <w:rFonts w:cs="Arial"/>
          <w:lang w:val="es-ES_tradnl"/>
        </w:rPr>
        <w:t>las MRA</w:t>
      </w:r>
      <w:r w:rsidR="00F5491A" w:rsidRPr="001A288A">
        <w:rPr>
          <w:rFonts w:cs="Arial"/>
          <w:lang w:val="es-ES_tradnl"/>
        </w:rPr>
        <w:t>, ya que</w:t>
      </w:r>
      <w:r w:rsidR="00B34107" w:rsidRPr="001A288A">
        <w:rPr>
          <w:rFonts w:cs="Arial"/>
          <w:lang w:val="es-ES_tradnl"/>
        </w:rPr>
        <w:t xml:space="preserve"> </w:t>
      </w:r>
      <w:r w:rsidR="00380E27" w:rsidRPr="001A288A">
        <w:rPr>
          <w:rFonts w:cs="Arial"/>
          <w:lang w:val="es-ES_tradnl"/>
        </w:rPr>
        <w:t xml:space="preserve">(más allá de lo </w:t>
      </w:r>
      <w:r w:rsidR="00F5491A" w:rsidRPr="001A288A">
        <w:rPr>
          <w:rFonts w:cs="Arial"/>
          <w:lang w:val="es-ES_tradnl"/>
        </w:rPr>
        <w:t>contenido en</w:t>
      </w:r>
      <w:r w:rsidR="00380E27" w:rsidRPr="001A288A">
        <w:rPr>
          <w:rFonts w:cs="Arial"/>
          <w:lang w:val="es-ES_tradnl"/>
        </w:rPr>
        <w:t xml:space="preserve"> el breve </w:t>
      </w:r>
      <w:r w:rsidR="00CA72AB" w:rsidRPr="001A288A">
        <w:rPr>
          <w:rFonts w:cs="Arial"/>
          <w:lang w:val="es-ES_tradnl"/>
        </w:rPr>
        <w:t>a</w:t>
      </w:r>
      <w:r w:rsidR="00380E27" w:rsidRPr="001A288A">
        <w:rPr>
          <w:rFonts w:cs="Arial"/>
          <w:lang w:val="es-ES_tradnl"/>
        </w:rPr>
        <w:t>nexo de la Recomendación 4.7 y el Manual de Ramsar) no se cuenta con información</w:t>
      </w:r>
      <w:r w:rsidR="00B34107" w:rsidRPr="001A288A">
        <w:rPr>
          <w:rFonts w:cs="Arial"/>
          <w:lang w:val="es-ES_tradnl"/>
        </w:rPr>
        <w:t xml:space="preserve"> de fondo</w:t>
      </w:r>
      <w:r w:rsidR="00380E27" w:rsidRPr="001A288A">
        <w:rPr>
          <w:rFonts w:cs="Arial"/>
          <w:lang w:val="es-ES_tradnl"/>
        </w:rPr>
        <w:t xml:space="preserve"> u orientaciones para las Partes y otros interesados;</w:t>
      </w:r>
    </w:p>
    <w:p w14:paraId="5CBB534F" w14:textId="77777777" w:rsidR="00B34107" w:rsidRPr="00462F2E" w:rsidRDefault="00B34107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7F99AA28" w14:textId="074BDAC1" w:rsidR="00B34107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9.</w:t>
      </w:r>
      <w:r>
        <w:rPr>
          <w:rFonts w:cs="Arial"/>
          <w:lang w:val="es-ES_tradnl"/>
        </w:rPr>
        <w:tab/>
      </w:r>
      <w:r w:rsidR="00B34107" w:rsidRPr="001A288A">
        <w:rPr>
          <w:rFonts w:cs="Arial"/>
          <w:lang w:val="es-ES_tradnl"/>
        </w:rPr>
        <w:t xml:space="preserve">TENIENDO PRESENTE que no ha habido ninguna asignación </w:t>
      </w:r>
      <w:r w:rsidR="001A0F19" w:rsidRPr="001A288A">
        <w:rPr>
          <w:rFonts w:cs="Arial"/>
          <w:lang w:val="es-ES_tradnl"/>
        </w:rPr>
        <w:t>con cargo al</w:t>
      </w:r>
      <w:r w:rsidR="00B34107" w:rsidRPr="001A288A">
        <w:rPr>
          <w:rFonts w:cs="Arial"/>
          <w:lang w:val="es-ES_tradnl"/>
        </w:rPr>
        <w:t xml:space="preserve"> presupuesto básico para apoyar la </w:t>
      </w:r>
      <w:r w:rsidR="00F5491A" w:rsidRPr="001A288A">
        <w:rPr>
          <w:rFonts w:cs="Arial"/>
          <w:lang w:val="es-ES_tradnl"/>
        </w:rPr>
        <w:t>aplica</w:t>
      </w:r>
      <w:r w:rsidR="00B34107" w:rsidRPr="001A288A">
        <w:rPr>
          <w:rFonts w:cs="Arial"/>
          <w:lang w:val="es-ES_tradnl"/>
        </w:rPr>
        <w:t>ción de las MRA desde la COP7 de 1999;</w:t>
      </w:r>
    </w:p>
    <w:p w14:paraId="39E349F1" w14:textId="77777777" w:rsidR="00B34107" w:rsidRPr="00462F2E" w:rsidRDefault="00B34107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75917EA4" w14:textId="0413D38B" w:rsidR="00B34107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10.</w:t>
      </w:r>
      <w:r>
        <w:rPr>
          <w:rFonts w:cs="Arial"/>
          <w:lang w:val="es-ES_tradnl"/>
        </w:rPr>
        <w:tab/>
      </w:r>
      <w:r w:rsidR="00B34107" w:rsidRPr="001A288A">
        <w:rPr>
          <w:rFonts w:cs="Arial"/>
          <w:lang w:val="es-ES_tradnl"/>
        </w:rPr>
        <w:t xml:space="preserve">RECONOCIENDO el valor </w:t>
      </w:r>
      <w:r w:rsidR="0081660F" w:rsidRPr="001A288A">
        <w:rPr>
          <w:rFonts w:cs="Arial"/>
          <w:lang w:val="es-ES_tradnl"/>
        </w:rPr>
        <w:t>que</w:t>
      </w:r>
      <w:r w:rsidR="00B34107" w:rsidRPr="001A288A">
        <w:rPr>
          <w:rFonts w:cs="Arial"/>
          <w:lang w:val="es-ES_tradnl"/>
        </w:rPr>
        <w:t xml:space="preserve"> las MRA también</w:t>
      </w:r>
      <w:r w:rsidR="003F5705" w:rsidRPr="001A288A">
        <w:rPr>
          <w:rFonts w:cs="Arial"/>
          <w:lang w:val="es-ES_tradnl"/>
        </w:rPr>
        <w:t xml:space="preserve"> </w:t>
      </w:r>
      <w:r w:rsidR="0081660F" w:rsidRPr="001A288A">
        <w:rPr>
          <w:rFonts w:cs="Arial"/>
          <w:lang w:val="es-ES_tradnl"/>
        </w:rPr>
        <w:t xml:space="preserve">revisten </w:t>
      </w:r>
      <w:r w:rsidR="00B34107" w:rsidRPr="001A288A">
        <w:rPr>
          <w:rFonts w:cs="Arial"/>
          <w:lang w:val="es-ES_tradnl"/>
        </w:rPr>
        <w:t xml:space="preserve">para </w:t>
      </w:r>
      <w:r w:rsidR="0081660F" w:rsidRPr="001A288A">
        <w:rPr>
          <w:rFonts w:cs="Arial"/>
          <w:lang w:val="es-ES_tradnl"/>
        </w:rPr>
        <w:t>realzar</w:t>
      </w:r>
      <w:r w:rsidR="00B34107" w:rsidRPr="001A288A">
        <w:rPr>
          <w:rFonts w:cs="Arial"/>
          <w:lang w:val="es-ES_tradnl"/>
        </w:rPr>
        <w:t xml:space="preserve"> la visibilidad de la Convención, destacar el compromiso de las Partes Contratantes y contribuir a la concienciación pública sobre la conservación y el uso racional de los humedales.</w:t>
      </w:r>
    </w:p>
    <w:p w14:paraId="69B0B645" w14:textId="77777777" w:rsidR="00D876D8" w:rsidRPr="00462F2E" w:rsidRDefault="00D876D8" w:rsidP="00913C9B">
      <w:pPr>
        <w:keepNext/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3B4D5666" w14:textId="1F23D2ED" w:rsidR="00171C2D" w:rsidRPr="00462F2E" w:rsidRDefault="00CF32F5" w:rsidP="00171C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es-ES_tradnl"/>
        </w:rPr>
      </w:pPr>
      <w:r w:rsidRPr="00462F2E">
        <w:rPr>
          <w:rFonts w:cs="Arial"/>
          <w:lang w:val="es-ES_tradnl"/>
        </w:rPr>
        <w:t xml:space="preserve">LA CONFERENCIA DE LAS PARTES </w:t>
      </w:r>
    </w:p>
    <w:p w14:paraId="20F85F06" w14:textId="77777777" w:rsidR="00171C2D" w:rsidRPr="00462F2E" w:rsidRDefault="00171C2D" w:rsidP="00171C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es-ES_tradnl"/>
        </w:rPr>
      </w:pPr>
    </w:p>
    <w:p w14:paraId="23C406F6" w14:textId="66539A70" w:rsidR="002035BC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11.</w:t>
      </w:r>
      <w:r>
        <w:rPr>
          <w:rFonts w:cs="Arial"/>
          <w:lang w:val="es-ES_tradnl"/>
        </w:rPr>
        <w:tab/>
      </w:r>
      <w:r w:rsidR="002035BC" w:rsidRPr="001A288A">
        <w:rPr>
          <w:rFonts w:cs="Arial"/>
          <w:lang w:val="es-ES_tradnl"/>
        </w:rPr>
        <w:t xml:space="preserve">REAFIRMA que el mecanismo de las Misiones Ramsar de Asesoramiento es uno de los principales instrumentos disponibles para ayudar a las Partes a aplicar la Convención y constituye un medio para prestar asesoramiento independiente pertinente con el fin de </w:t>
      </w:r>
      <w:r w:rsidR="00BF6B06" w:rsidRPr="001A288A">
        <w:rPr>
          <w:rFonts w:cs="Arial"/>
          <w:lang w:val="es-ES_tradnl"/>
        </w:rPr>
        <w:t>hacer frente a</w:t>
      </w:r>
      <w:r w:rsidR="002035BC" w:rsidRPr="001A288A">
        <w:rPr>
          <w:rFonts w:cs="Arial"/>
          <w:lang w:val="es-ES_tradnl"/>
        </w:rPr>
        <w:t xml:space="preserve"> los cambios reales y potenciales en las características ecológicas de los sitios Ramsar;</w:t>
      </w:r>
    </w:p>
    <w:p w14:paraId="1ED6D6CA" w14:textId="77777777" w:rsidR="002035BC" w:rsidRPr="00462F2E" w:rsidRDefault="002035BC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7FFC20CD" w14:textId="3058AC6E" w:rsidR="00E907EE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12.</w:t>
      </w:r>
      <w:r>
        <w:rPr>
          <w:rFonts w:cs="Arial"/>
          <w:lang w:val="es-ES_tradnl"/>
        </w:rPr>
        <w:tab/>
      </w:r>
      <w:r w:rsidR="002035BC" w:rsidRPr="001A288A">
        <w:rPr>
          <w:rFonts w:cs="Arial"/>
          <w:lang w:val="es-ES_tradnl"/>
        </w:rPr>
        <w:t>ALIENTA una aplicación más frecuente del procedimiento de las MRA</w:t>
      </w:r>
      <w:r w:rsidR="00487EBC" w:rsidRPr="001A288A">
        <w:rPr>
          <w:rFonts w:cs="Arial"/>
          <w:lang w:val="es-ES_tradnl"/>
        </w:rPr>
        <w:t>,</w:t>
      </w:r>
      <w:r w:rsidR="002035BC" w:rsidRPr="001A288A">
        <w:rPr>
          <w:rFonts w:cs="Arial"/>
          <w:lang w:val="es-ES_tradnl"/>
        </w:rPr>
        <w:t xml:space="preserve"> </w:t>
      </w:r>
      <w:r w:rsidR="0081660F" w:rsidRPr="001A288A">
        <w:rPr>
          <w:rFonts w:cs="Arial"/>
          <w:lang w:val="es-ES_tradnl"/>
        </w:rPr>
        <w:t>cuando proceda</w:t>
      </w:r>
      <w:r w:rsidR="002035BC" w:rsidRPr="001A288A">
        <w:rPr>
          <w:rFonts w:cs="Arial"/>
          <w:lang w:val="es-ES_tradnl"/>
        </w:rPr>
        <w:t xml:space="preserve">, </w:t>
      </w:r>
      <w:r w:rsidR="00E907EE" w:rsidRPr="001A288A">
        <w:rPr>
          <w:rFonts w:cs="Arial"/>
          <w:lang w:val="es-ES_tradnl"/>
        </w:rPr>
        <w:t>al tratarse de</w:t>
      </w:r>
      <w:r w:rsidR="002035BC" w:rsidRPr="001A288A">
        <w:rPr>
          <w:rFonts w:cs="Arial"/>
          <w:lang w:val="es-ES_tradnl"/>
        </w:rPr>
        <w:t xml:space="preserve"> una forma de asesoramiento potencialmente rápida, a pequeña escala y de bajo costo, y </w:t>
      </w:r>
      <w:r w:rsidR="00E907EE" w:rsidRPr="001A288A">
        <w:rPr>
          <w:rFonts w:cs="Arial"/>
          <w:lang w:val="es-ES_tradnl"/>
        </w:rPr>
        <w:t>una manera complementaria</w:t>
      </w:r>
      <w:r w:rsidR="002035BC" w:rsidRPr="001A288A">
        <w:rPr>
          <w:rFonts w:cs="Arial"/>
          <w:lang w:val="es-ES_tradnl"/>
        </w:rPr>
        <w:t xml:space="preserve"> de </w:t>
      </w:r>
      <w:r w:rsidR="00E907EE" w:rsidRPr="001A288A">
        <w:rPr>
          <w:rFonts w:cs="Arial"/>
          <w:lang w:val="es-ES_tradnl"/>
        </w:rPr>
        <w:t>prestar</w:t>
      </w:r>
      <w:r w:rsidR="002035BC" w:rsidRPr="001A288A">
        <w:rPr>
          <w:rFonts w:cs="Arial"/>
          <w:lang w:val="es-ES_tradnl"/>
        </w:rPr>
        <w:t xml:space="preserve"> apoyo a las Partes que </w:t>
      </w:r>
      <w:r w:rsidR="00BF6B06" w:rsidRPr="001A288A">
        <w:rPr>
          <w:rFonts w:cs="Arial"/>
          <w:lang w:val="es-ES_tradnl"/>
        </w:rPr>
        <w:t xml:space="preserve">se </w:t>
      </w:r>
      <w:r w:rsidR="002035BC" w:rsidRPr="001A288A">
        <w:rPr>
          <w:rFonts w:cs="Arial"/>
          <w:lang w:val="es-ES_tradnl"/>
        </w:rPr>
        <w:t>enfrentan</w:t>
      </w:r>
      <w:r w:rsidR="00BF6B06" w:rsidRPr="001A288A">
        <w:rPr>
          <w:rFonts w:cs="Arial"/>
          <w:lang w:val="es-ES_tradnl"/>
        </w:rPr>
        <w:t xml:space="preserve"> a</w:t>
      </w:r>
      <w:r w:rsidR="002035BC" w:rsidRPr="001A288A">
        <w:rPr>
          <w:rFonts w:cs="Arial"/>
          <w:lang w:val="es-ES_tradnl"/>
        </w:rPr>
        <w:t xml:space="preserve"> </w:t>
      </w:r>
      <w:r w:rsidR="0081660F" w:rsidRPr="001A288A">
        <w:rPr>
          <w:rFonts w:cs="Arial"/>
          <w:lang w:val="es-ES_tradnl"/>
        </w:rPr>
        <w:t>problemas</w:t>
      </w:r>
      <w:r w:rsidR="00E907EE" w:rsidRPr="001A288A">
        <w:rPr>
          <w:rFonts w:cs="Arial"/>
          <w:lang w:val="es-ES_tradnl"/>
        </w:rPr>
        <w:t xml:space="preserve"> pertinentes</w:t>
      </w:r>
      <w:r w:rsidR="002035BC" w:rsidRPr="001A288A">
        <w:rPr>
          <w:rFonts w:cs="Arial"/>
          <w:lang w:val="es-ES_tradnl"/>
        </w:rPr>
        <w:t>;</w:t>
      </w:r>
    </w:p>
    <w:p w14:paraId="76D40344" w14:textId="77777777" w:rsidR="00E907EE" w:rsidRPr="00462F2E" w:rsidRDefault="00E907EE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27A6F61C" w14:textId="54DBC775" w:rsidR="00E907EE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13.</w:t>
      </w:r>
      <w:r>
        <w:rPr>
          <w:rFonts w:cs="Arial"/>
          <w:lang w:val="es-ES_tradnl"/>
        </w:rPr>
        <w:tab/>
      </w:r>
      <w:r w:rsidR="00E907EE" w:rsidRPr="001A288A">
        <w:rPr>
          <w:rFonts w:cs="Arial"/>
          <w:lang w:val="es-ES_tradnl"/>
        </w:rPr>
        <w:t xml:space="preserve">INSTA a que, al </w:t>
      </w:r>
      <w:r w:rsidR="0081660F" w:rsidRPr="001A288A">
        <w:rPr>
          <w:rFonts w:cs="Arial"/>
          <w:lang w:val="es-ES_tradnl"/>
        </w:rPr>
        <w:t>efectuar</w:t>
      </w:r>
      <w:r w:rsidR="00E907EE" w:rsidRPr="001A288A">
        <w:rPr>
          <w:rFonts w:cs="Arial"/>
          <w:lang w:val="es-ES_tradnl"/>
        </w:rPr>
        <w:t xml:space="preserve"> la planificación de las misiones, se aprovechen los aportes de expertos calificados del GECT (entre estos, los Coordinadores Nacionales del GECT, según proceda) y las OIA; </w:t>
      </w:r>
    </w:p>
    <w:p w14:paraId="6271E3AC" w14:textId="77777777" w:rsidR="00E907EE" w:rsidRPr="00462F2E" w:rsidRDefault="00E907EE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3A77C4AF" w14:textId="0E7FC8FF" w:rsidR="00170EF3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14.</w:t>
      </w:r>
      <w:r>
        <w:rPr>
          <w:rFonts w:cs="Arial"/>
          <w:lang w:val="es-ES_tradnl"/>
        </w:rPr>
        <w:tab/>
      </w:r>
      <w:r w:rsidR="00E907EE" w:rsidRPr="001A288A">
        <w:rPr>
          <w:rFonts w:cs="Arial"/>
          <w:lang w:val="es-ES_tradnl"/>
        </w:rPr>
        <w:t xml:space="preserve">ALIENTA </w:t>
      </w:r>
      <w:r w:rsidR="00321BB9" w:rsidRPr="001A288A">
        <w:rPr>
          <w:rFonts w:cs="Arial"/>
          <w:lang w:val="es-ES_tradnl"/>
        </w:rPr>
        <w:t xml:space="preserve">a que se utilicen </w:t>
      </w:r>
      <w:r w:rsidR="00E907EE" w:rsidRPr="001A288A">
        <w:rPr>
          <w:rFonts w:cs="Arial"/>
          <w:lang w:val="es-ES_tradnl"/>
        </w:rPr>
        <w:t xml:space="preserve">las MRA </w:t>
      </w:r>
      <w:r w:rsidR="00170EF3" w:rsidRPr="001A288A">
        <w:rPr>
          <w:rFonts w:cs="Arial"/>
          <w:lang w:val="es-ES_tradnl"/>
        </w:rPr>
        <w:t xml:space="preserve">en conjunto </w:t>
      </w:r>
      <w:r w:rsidR="00E907EE" w:rsidRPr="001A288A">
        <w:rPr>
          <w:rFonts w:cs="Arial"/>
          <w:lang w:val="es-ES_tradnl"/>
        </w:rPr>
        <w:t>con mecanismos apropiados de otros procesos internacionales;</w:t>
      </w:r>
    </w:p>
    <w:p w14:paraId="535F4762" w14:textId="77777777" w:rsidR="00170EF3" w:rsidRPr="00462F2E" w:rsidRDefault="00170EF3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6210CB21" w14:textId="574E8AEB" w:rsidR="00F72879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15.</w:t>
      </w:r>
      <w:r>
        <w:rPr>
          <w:rFonts w:cs="Arial"/>
          <w:lang w:val="es-ES_tradnl"/>
        </w:rPr>
        <w:tab/>
      </w:r>
      <w:r w:rsidR="00170EF3" w:rsidRPr="001A288A">
        <w:rPr>
          <w:rFonts w:cs="Arial"/>
          <w:lang w:val="es-ES_tradnl"/>
        </w:rPr>
        <w:t xml:space="preserve">INSTA a las Partes a que realicen un seguimiento diligente de la aplicación de las recomendaciones formuladas en los informes de las MRA y evalúen e informen sobre los resultados, y exhorta a la Secretaría, el GECT y las OIA a que presten asesoramiento de seguimiento y apoyo, </w:t>
      </w:r>
      <w:r w:rsidR="001B665F" w:rsidRPr="001A288A">
        <w:rPr>
          <w:rFonts w:cs="Arial"/>
          <w:lang w:val="es-ES_tradnl"/>
        </w:rPr>
        <w:t>si procede</w:t>
      </w:r>
      <w:r w:rsidR="00170EF3" w:rsidRPr="001A288A">
        <w:rPr>
          <w:rFonts w:cs="Arial"/>
          <w:lang w:val="es-ES_tradnl"/>
        </w:rPr>
        <w:t>, e informen periódicamente a la COP sobre la aplicación de las recomendaciones;</w:t>
      </w:r>
    </w:p>
    <w:p w14:paraId="6EA5BAC1" w14:textId="77777777" w:rsidR="00F72879" w:rsidRPr="00462F2E" w:rsidRDefault="00F72879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11B95639" w14:textId="7B34409E" w:rsidR="00F72879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16.</w:t>
      </w:r>
      <w:r>
        <w:rPr>
          <w:rFonts w:cs="Arial"/>
          <w:lang w:val="es-ES_tradnl"/>
        </w:rPr>
        <w:tab/>
      </w:r>
      <w:r w:rsidR="00F72879" w:rsidRPr="001A288A">
        <w:rPr>
          <w:rFonts w:cs="Arial"/>
          <w:lang w:val="es-ES_tradnl"/>
        </w:rPr>
        <w:t>REAFIRMA que los informes de las MRA son documentos públicos una vez que las Partes interesadas hayan tenido la oportunidad de estudiarlos;</w:t>
      </w:r>
    </w:p>
    <w:p w14:paraId="010D93BE" w14:textId="77777777" w:rsidR="00F72879" w:rsidRPr="00462F2E" w:rsidRDefault="00F72879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19C16573" w14:textId="1E9FF924" w:rsidR="00F72879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17.</w:t>
      </w:r>
      <w:r>
        <w:rPr>
          <w:rFonts w:cs="Arial"/>
          <w:lang w:val="es-ES_tradnl"/>
        </w:rPr>
        <w:tab/>
      </w:r>
      <w:r w:rsidR="00F72879" w:rsidRPr="001A288A">
        <w:rPr>
          <w:rFonts w:cs="Arial"/>
          <w:lang w:val="es-ES_tradnl"/>
        </w:rPr>
        <w:t xml:space="preserve">ADOPTA el Anexo 1 </w:t>
      </w:r>
      <w:r w:rsidR="009450E2" w:rsidRPr="001A288A">
        <w:rPr>
          <w:rFonts w:cs="Arial"/>
          <w:lang w:val="es-ES_tradnl"/>
        </w:rPr>
        <w:t>de</w:t>
      </w:r>
      <w:r w:rsidR="00321BB9" w:rsidRPr="001A288A">
        <w:rPr>
          <w:rFonts w:cs="Arial"/>
          <w:lang w:val="es-ES_tradnl"/>
        </w:rPr>
        <w:t xml:space="preserve"> la presente resolución, que reemplaza a</w:t>
      </w:r>
      <w:r w:rsidR="00CA72AB" w:rsidRPr="001A288A">
        <w:rPr>
          <w:rFonts w:cs="Arial"/>
          <w:lang w:val="es-ES_tradnl"/>
        </w:rPr>
        <w:t>l a</w:t>
      </w:r>
      <w:r w:rsidR="00F72879" w:rsidRPr="001A288A">
        <w:rPr>
          <w:rFonts w:cs="Arial"/>
          <w:lang w:val="es-ES_tradnl"/>
        </w:rPr>
        <w:t xml:space="preserve">nexo </w:t>
      </w:r>
      <w:r w:rsidR="009450E2" w:rsidRPr="001A288A">
        <w:rPr>
          <w:rFonts w:cs="Arial"/>
          <w:lang w:val="es-ES_tradnl"/>
        </w:rPr>
        <w:t>de</w:t>
      </w:r>
      <w:r w:rsidR="00F72879" w:rsidRPr="001A288A">
        <w:rPr>
          <w:rFonts w:cs="Arial"/>
          <w:lang w:val="es-ES_tradnl"/>
        </w:rPr>
        <w:t xml:space="preserve"> la Recomendación 4.7;</w:t>
      </w:r>
    </w:p>
    <w:p w14:paraId="4204CD58" w14:textId="77777777" w:rsidR="00F72879" w:rsidRPr="00462F2E" w:rsidRDefault="00F72879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260AA45C" w14:textId="7A25AAC6" w:rsidR="00020677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18.</w:t>
      </w:r>
      <w:r>
        <w:rPr>
          <w:rFonts w:cs="Arial"/>
          <w:lang w:val="es-ES_tradnl"/>
        </w:rPr>
        <w:tab/>
      </w:r>
      <w:r w:rsidR="00F72879" w:rsidRPr="001A288A">
        <w:rPr>
          <w:rFonts w:cs="Arial"/>
          <w:lang w:val="es-ES_tradnl"/>
        </w:rPr>
        <w:t xml:space="preserve">ENCARGA a la Secretaría que, en consulta con el GECT, elabore orientaciones operativas para las MRA que abarquen, entre otras cosas, las cuestiones </w:t>
      </w:r>
      <w:r w:rsidR="00CA72AB" w:rsidRPr="001A288A">
        <w:rPr>
          <w:rFonts w:cs="Arial"/>
          <w:lang w:val="es-ES_tradnl"/>
        </w:rPr>
        <w:t>enumeradas en los a</w:t>
      </w:r>
      <w:r w:rsidR="00020677" w:rsidRPr="001A288A">
        <w:rPr>
          <w:rFonts w:cs="Arial"/>
          <w:lang w:val="es-ES_tradnl"/>
        </w:rPr>
        <w:t>nexos 1 y 2</w:t>
      </w:r>
      <w:r w:rsidR="00321BB9" w:rsidRPr="001A288A">
        <w:rPr>
          <w:rFonts w:cs="Arial"/>
          <w:lang w:val="es-ES_tradnl"/>
        </w:rPr>
        <w:t>,</w:t>
      </w:r>
      <w:r w:rsidR="00020677" w:rsidRPr="001A288A">
        <w:rPr>
          <w:rFonts w:cs="Arial"/>
          <w:lang w:val="es-ES_tradnl"/>
        </w:rPr>
        <w:t xml:space="preserve"> que se someterán a la aprobación </w:t>
      </w:r>
      <w:r w:rsidR="00CE038D" w:rsidRPr="001A288A">
        <w:rPr>
          <w:rFonts w:cs="Arial"/>
          <w:lang w:val="es-ES_tradnl"/>
        </w:rPr>
        <w:t>del</w:t>
      </w:r>
      <w:r w:rsidR="00F72879" w:rsidRPr="001A288A">
        <w:rPr>
          <w:rFonts w:cs="Arial"/>
          <w:lang w:val="es-ES_tradnl"/>
        </w:rPr>
        <w:t xml:space="preserve"> Comité Permanente</w:t>
      </w:r>
      <w:r w:rsidR="00CE038D" w:rsidRPr="001A288A">
        <w:rPr>
          <w:rFonts w:cs="Arial"/>
          <w:lang w:val="es-ES_tradnl"/>
        </w:rPr>
        <w:t xml:space="preserve"> </w:t>
      </w:r>
      <w:r w:rsidR="00020677" w:rsidRPr="001A288A">
        <w:rPr>
          <w:rFonts w:cs="Arial"/>
          <w:lang w:val="es-ES_tradnl"/>
        </w:rPr>
        <w:t>en su [xx] reunión</w:t>
      </w:r>
      <w:r w:rsidR="00F72879" w:rsidRPr="001A288A">
        <w:rPr>
          <w:rFonts w:cs="Arial"/>
          <w:lang w:val="es-ES_tradnl"/>
        </w:rPr>
        <w:t>;</w:t>
      </w:r>
    </w:p>
    <w:p w14:paraId="77D8D6E5" w14:textId="77777777" w:rsidR="00020677" w:rsidRPr="00462F2E" w:rsidRDefault="00020677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00171734" w14:textId="12155FD3" w:rsidR="00966D41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19.</w:t>
      </w:r>
      <w:r>
        <w:rPr>
          <w:rFonts w:cs="Arial"/>
          <w:lang w:val="es-ES_tradnl"/>
        </w:rPr>
        <w:tab/>
      </w:r>
      <w:r w:rsidR="00020677" w:rsidRPr="001A288A">
        <w:rPr>
          <w:rFonts w:cs="Arial"/>
          <w:lang w:val="es-ES_tradnl"/>
        </w:rPr>
        <w:t xml:space="preserve">DECIDE </w:t>
      </w:r>
      <w:r w:rsidR="00966D41" w:rsidRPr="001A288A">
        <w:rPr>
          <w:rFonts w:cs="Arial"/>
          <w:lang w:val="es-ES_tradnl"/>
        </w:rPr>
        <w:t>realizar</w:t>
      </w:r>
      <w:r w:rsidR="00020677" w:rsidRPr="001A288A">
        <w:rPr>
          <w:rFonts w:cs="Arial"/>
          <w:lang w:val="es-ES_tradnl"/>
        </w:rPr>
        <w:t xml:space="preserve"> una asignación </w:t>
      </w:r>
      <w:r w:rsidR="00E4337D" w:rsidRPr="001A288A">
        <w:rPr>
          <w:rFonts w:cs="Arial"/>
          <w:lang w:val="es-ES_tradnl"/>
        </w:rPr>
        <w:t>con cargo al</w:t>
      </w:r>
      <w:r w:rsidR="00966D41" w:rsidRPr="001A288A">
        <w:rPr>
          <w:rFonts w:cs="Arial"/>
          <w:lang w:val="es-ES_tradnl"/>
        </w:rPr>
        <w:t xml:space="preserve"> presupuesto básico </w:t>
      </w:r>
      <w:r w:rsidR="00020677" w:rsidRPr="001A288A">
        <w:rPr>
          <w:rFonts w:cs="Arial"/>
          <w:lang w:val="es-ES_tradnl"/>
        </w:rPr>
        <w:t xml:space="preserve">para el mecanismo de </w:t>
      </w:r>
      <w:r w:rsidR="00966D41" w:rsidRPr="001A288A">
        <w:rPr>
          <w:rFonts w:cs="Arial"/>
          <w:lang w:val="es-ES_tradnl"/>
        </w:rPr>
        <w:t>las MRA</w:t>
      </w:r>
      <w:r w:rsidR="00020677" w:rsidRPr="001A288A">
        <w:rPr>
          <w:rFonts w:cs="Arial"/>
          <w:lang w:val="es-ES_tradnl"/>
        </w:rPr>
        <w:t xml:space="preserve">; y PIDE a las Partes y </w:t>
      </w:r>
      <w:r w:rsidR="00966D41" w:rsidRPr="001A288A">
        <w:rPr>
          <w:rFonts w:cs="Arial"/>
          <w:lang w:val="es-ES_tradnl"/>
        </w:rPr>
        <w:t>a otros</w:t>
      </w:r>
      <w:r w:rsidR="00020677" w:rsidRPr="001A288A">
        <w:rPr>
          <w:rFonts w:cs="Arial"/>
          <w:lang w:val="es-ES_tradnl"/>
        </w:rPr>
        <w:t xml:space="preserve"> que estén en condiciones de hacerlo que consideren la posibilidad de realizar contribuciones voluntarias adicionales </w:t>
      </w:r>
      <w:r w:rsidR="00966D41" w:rsidRPr="001A288A">
        <w:rPr>
          <w:rFonts w:cs="Arial"/>
          <w:lang w:val="es-ES_tradnl"/>
        </w:rPr>
        <w:t>para apoyar</w:t>
      </w:r>
      <w:r w:rsidR="00020677" w:rsidRPr="001A288A">
        <w:rPr>
          <w:rFonts w:cs="Arial"/>
          <w:lang w:val="es-ES_tradnl"/>
        </w:rPr>
        <w:t xml:space="preserve"> </w:t>
      </w:r>
      <w:r w:rsidR="00966D41" w:rsidRPr="001A288A">
        <w:rPr>
          <w:rFonts w:cs="Arial"/>
          <w:lang w:val="es-ES_tradnl"/>
        </w:rPr>
        <w:t>las MRA</w:t>
      </w:r>
      <w:r w:rsidR="00020677" w:rsidRPr="001A288A">
        <w:rPr>
          <w:rFonts w:cs="Arial"/>
          <w:lang w:val="es-ES_tradnl"/>
        </w:rPr>
        <w:t>;</w:t>
      </w:r>
    </w:p>
    <w:p w14:paraId="41B62FD5" w14:textId="77777777" w:rsidR="00966D41" w:rsidRPr="00462F2E" w:rsidRDefault="00966D41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33DC1320" w14:textId="5909D8B9" w:rsidR="00966D41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20.</w:t>
      </w:r>
      <w:r>
        <w:rPr>
          <w:rFonts w:cs="Arial"/>
          <w:lang w:val="es-ES_tradnl"/>
        </w:rPr>
        <w:tab/>
      </w:r>
      <w:r w:rsidR="00966D41" w:rsidRPr="001A288A">
        <w:rPr>
          <w:rFonts w:cs="Arial"/>
          <w:lang w:val="es-ES_tradnl"/>
        </w:rPr>
        <w:t xml:space="preserve">AGRADECE al GECT su </w:t>
      </w:r>
      <w:r w:rsidR="002848BD" w:rsidRPr="001A288A">
        <w:rPr>
          <w:rFonts w:cs="Arial"/>
          <w:lang w:val="es-ES_tradnl"/>
        </w:rPr>
        <w:t xml:space="preserve">importante </w:t>
      </w:r>
      <w:r w:rsidR="00966D41" w:rsidRPr="001A288A">
        <w:rPr>
          <w:rFonts w:cs="Arial"/>
          <w:lang w:val="es-ES_tradnl"/>
        </w:rPr>
        <w:t>labor</w:t>
      </w:r>
      <w:r w:rsidR="002848BD" w:rsidRPr="001A288A">
        <w:rPr>
          <w:rFonts w:cs="Arial"/>
          <w:lang w:val="es-ES_tradnl"/>
        </w:rPr>
        <w:t xml:space="preserve"> realizada</w:t>
      </w:r>
      <w:r w:rsidR="00966D41" w:rsidRPr="001A288A">
        <w:rPr>
          <w:rFonts w:cs="Arial"/>
          <w:lang w:val="es-ES_tradnl"/>
        </w:rPr>
        <w:t xml:space="preserve"> durante el trienio 2015-2018 para examinar las experiencias pasadas de las MRA; y</w:t>
      </w:r>
    </w:p>
    <w:p w14:paraId="6E7E3B66" w14:textId="77777777" w:rsidR="00966D41" w:rsidRPr="00462F2E" w:rsidRDefault="00966D41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</w:p>
    <w:p w14:paraId="4BD05F5B" w14:textId="69CC1E73" w:rsidR="00171C2D" w:rsidRPr="001A288A" w:rsidRDefault="001A288A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r>
        <w:rPr>
          <w:rFonts w:cs="Arial"/>
          <w:lang w:val="es-ES_tradnl"/>
        </w:rPr>
        <w:t>21.</w:t>
      </w:r>
      <w:r>
        <w:rPr>
          <w:rFonts w:cs="Arial"/>
          <w:lang w:val="es-ES_tradnl"/>
        </w:rPr>
        <w:tab/>
      </w:r>
      <w:r w:rsidR="00966D41" w:rsidRPr="001A288A">
        <w:rPr>
          <w:rFonts w:cs="Arial"/>
          <w:lang w:val="es-ES_tradnl"/>
        </w:rPr>
        <w:t xml:space="preserve">ENCARGA a la Secretaría que </w:t>
      </w:r>
      <w:r w:rsidR="00326C65" w:rsidRPr="001A288A">
        <w:rPr>
          <w:rFonts w:cs="Arial"/>
          <w:lang w:val="es-ES_tradnl"/>
        </w:rPr>
        <w:t>elabore</w:t>
      </w:r>
      <w:r w:rsidR="00966D41" w:rsidRPr="001A288A">
        <w:rPr>
          <w:rFonts w:cs="Arial"/>
          <w:lang w:val="es-ES_tradnl"/>
        </w:rPr>
        <w:t xml:space="preserve"> productos </w:t>
      </w:r>
      <w:r w:rsidR="00DD68A2" w:rsidRPr="001A288A">
        <w:rPr>
          <w:rFonts w:cs="Arial"/>
          <w:lang w:val="es-ES_tradnl"/>
        </w:rPr>
        <w:t xml:space="preserve">informativos y de </w:t>
      </w:r>
      <w:r w:rsidR="00966D41" w:rsidRPr="001A288A">
        <w:rPr>
          <w:rFonts w:cs="Arial"/>
          <w:lang w:val="es-ES_tradnl"/>
        </w:rPr>
        <w:t>comunicaciones que expliquen brevemente qué son las MRA y que describa</w:t>
      </w:r>
      <w:r w:rsidR="00E4337D" w:rsidRPr="001A288A">
        <w:rPr>
          <w:rFonts w:cs="Arial"/>
          <w:lang w:val="es-ES_tradnl"/>
        </w:rPr>
        <w:t>n</w:t>
      </w:r>
      <w:r w:rsidR="00966D41" w:rsidRPr="001A288A">
        <w:rPr>
          <w:rFonts w:cs="Arial"/>
          <w:lang w:val="es-ES_tradnl"/>
        </w:rPr>
        <w:t xml:space="preserve"> e ilustre</w:t>
      </w:r>
      <w:r w:rsidR="00E4337D" w:rsidRPr="001A288A">
        <w:rPr>
          <w:rFonts w:cs="Arial"/>
          <w:lang w:val="es-ES_tradnl"/>
        </w:rPr>
        <w:t>n</w:t>
      </w:r>
      <w:r w:rsidR="00966D41" w:rsidRPr="001A288A">
        <w:rPr>
          <w:rFonts w:cs="Arial"/>
          <w:lang w:val="es-ES_tradnl"/>
        </w:rPr>
        <w:t xml:space="preserve"> (con ejemplos) cómo estas pueden ayudar a las Partes a aplicar la Convención.</w:t>
      </w:r>
    </w:p>
    <w:p w14:paraId="32BFBC01" w14:textId="77777777" w:rsidR="00171C2D" w:rsidRPr="001A288A" w:rsidRDefault="00171C2D" w:rsidP="001A288A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es-ES_tradnl"/>
        </w:rPr>
      </w:pPr>
      <w:bookmarkStart w:id="0" w:name="_Toc301966924"/>
      <w:r w:rsidRPr="001A288A">
        <w:rPr>
          <w:rFonts w:cs="Arial"/>
          <w:lang w:val="es-ES_tradnl"/>
        </w:rPr>
        <w:br w:type="page"/>
      </w:r>
    </w:p>
    <w:p w14:paraId="009C4D1B" w14:textId="5F4BE9FB" w:rsidR="00D876D8" w:rsidRPr="00462F2E" w:rsidRDefault="00966D41" w:rsidP="00D876D8">
      <w:pPr>
        <w:spacing w:after="0" w:line="240" w:lineRule="auto"/>
        <w:rPr>
          <w:b/>
          <w:sz w:val="24"/>
          <w:szCs w:val="24"/>
          <w:lang w:val="es-ES_tradnl"/>
        </w:rPr>
      </w:pPr>
      <w:r w:rsidRPr="00462F2E">
        <w:rPr>
          <w:b/>
          <w:sz w:val="24"/>
          <w:szCs w:val="24"/>
          <w:lang w:val="es-ES_tradnl"/>
        </w:rPr>
        <w:lastRenderedPageBreak/>
        <w:t>Anexo</w:t>
      </w:r>
      <w:r w:rsidR="00171C2D" w:rsidRPr="00462F2E">
        <w:rPr>
          <w:b/>
          <w:sz w:val="24"/>
          <w:szCs w:val="24"/>
          <w:lang w:val="es-ES_tradnl"/>
        </w:rPr>
        <w:t xml:space="preserve"> 1  </w:t>
      </w:r>
    </w:p>
    <w:p w14:paraId="0746B704" w14:textId="77777777" w:rsidR="00D876D8" w:rsidRPr="00462F2E" w:rsidRDefault="00D876D8" w:rsidP="00D876D8">
      <w:pPr>
        <w:spacing w:after="0" w:line="240" w:lineRule="auto"/>
        <w:rPr>
          <w:b/>
          <w:sz w:val="24"/>
          <w:szCs w:val="24"/>
          <w:lang w:val="es-ES_tradnl"/>
        </w:rPr>
      </w:pPr>
    </w:p>
    <w:p w14:paraId="572297C5" w14:textId="196DC81C" w:rsidR="00966D41" w:rsidRPr="00462F2E" w:rsidRDefault="00DD68A2" w:rsidP="00C02A5F">
      <w:pPr>
        <w:spacing w:after="0" w:line="240" w:lineRule="auto"/>
        <w:rPr>
          <w:b/>
          <w:sz w:val="24"/>
          <w:szCs w:val="24"/>
          <w:lang w:val="es-ES_tradnl"/>
        </w:rPr>
      </w:pPr>
      <w:r w:rsidRPr="00462F2E">
        <w:rPr>
          <w:b/>
          <w:sz w:val="24"/>
          <w:szCs w:val="24"/>
          <w:lang w:val="es-ES_tradnl"/>
        </w:rPr>
        <w:t xml:space="preserve">Orientaciones relativas a </w:t>
      </w:r>
      <w:r w:rsidR="00966D41" w:rsidRPr="00462F2E">
        <w:rPr>
          <w:b/>
          <w:sz w:val="24"/>
          <w:szCs w:val="24"/>
          <w:lang w:val="es-ES_tradnl"/>
        </w:rPr>
        <w:t xml:space="preserve">la planificación, </w:t>
      </w:r>
      <w:r w:rsidRPr="00462F2E">
        <w:rPr>
          <w:b/>
          <w:sz w:val="24"/>
          <w:szCs w:val="24"/>
          <w:lang w:val="es-ES_tradnl"/>
        </w:rPr>
        <w:t xml:space="preserve">la </w:t>
      </w:r>
      <w:r w:rsidR="00966D41" w:rsidRPr="00462F2E">
        <w:rPr>
          <w:b/>
          <w:sz w:val="24"/>
          <w:szCs w:val="24"/>
          <w:lang w:val="es-ES_tradnl"/>
        </w:rPr>
        <w:t xml:space="preserve">ejecución y </w:t>
      </w:r>
      <w:r w:rsidRPr="00462F2E">
        <w:rPr>
          <w:b/>
          <w:sz w:val="24"/>
          <w:szCs w:val="24"/>
          <w:lang w:val="es-ES_tradnl"/>
        </w:rPr>
        <w:t xml:space="preserve">el </w:t>
      </w:r>
      <w:r w:rsidR="00966D41" w:rsidRPr="00462F2E">
        <w:rPr>
          <w:b/>
          <w:sz w:val="24"/>
          <w:szCs w:val="24"/>
          <w:lang w:val="es-ES_tradnl"/>
        </w:rPr>
        <w:t>seguimiento de las Misiones R</w:t>
      </w:r>
      <w:r w:rsidRPr="00462F2E">
        <w:rPr>
          <w:b/>
          <w:sz w:val="24"/>
          <w:szCs w:val="24"/>
          <w:lang w:val="es-ES_tradnl"/>
        </w:rPr>
        <w:t>amsar de Asesoramiento (adaptadas</w:t>
      </w:r>
      <w:r w:rsidR="00966D41" w:rsidRPr="00462F2E">
        <w:rPr>
          <w:b/>
          <w:sz w:val="24"/>
          <w:szCs w:val="24"/>
          <w:lang w:val="es-ES_tradnl"/>
        </w:rPr>
        <w:t xml:space="preserve"> de la Recomendación 4.7)</w:t>
      </w:r>
    </w:p>
    <w:p w14:paraId="5B33268D" w14:textId="77777777" w:rsidR="00171C2D" w:rsidRPr="00462F2E" w:rsidRDefault="00171C2D" w:rsidP="00D876D8">
      <w:pPr>
        <w:spacing w:after="0" w:line="240" w:lineRule="auto"/>
        <w:rPr>
          <w:lang w:val="es-ES_tradnl"/>
        </w:rPr>
      </w:pPr>
    </w:p>
    <w:p w14:paraId="37EA8F1F" w14:textId="1EC14812" w:rsidR="00E37AD0" w:rsidRPr="001A288A" w:rsidRDefault="001A288A" w:rsidP="001A288A">
      <w:pPr>
        <w:spacing w:after="0" w:line="240" w:lineRule="auto"/>
        <w:ind w:left="425" w:hanging="425"/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</w:r>
      <w:r w:rsidR="00966D41" w:rsidRPr="001A288A">
        <w:rPr>
          <w:lang w:val="es-ES_tradnl"/>
        </w:rPr>
        <w:t xml:space="preserve">Si llega a conocimiento de la Secretaría que se están produciendo o pueden producirse cambios en las características ecológicas de un humedal que figura en la Lista, ya sea debido a la evolución industrial, a la </w:t>
      </w:r>
      <w:r w:rsidR="00DD68A2" w:rsidRPr="001A288A">
        <w:rPr>
          <w:lang w:val="es-ES_tradnl"/>
        </w:rPr>
        <w:t>contaminación</w:t>
      </w:r>
      <w:r w:rsidR="00966D41" w:rsidRPr="001A288A">
        <w:rPr>
          <w:lang w:val="es-ES_tradnl"/>
        </w:rPr>
        <w:t xml:space="preserve"> u otras intervenciones humanas, la Secretaría </w:t>
      </w:r>
      <w:r w:rsidR="00BE5F34" w:rsidRPr="001A288A">
        <w:rPr>
          <w:lang w:val="es-ES_tradnl"/>
        </w:rPr>
        <w:t>deberá proponer</w:t>
      </w:r>
      <w:r w:rsidR="00966D41" w:rsidRPr="001A288A">
        <w:rPr>
          <w:lang w:val="es-ES_tradnl"/>
        </w:rPr>
        <w:t xml:space="preserve"> a la Parte o las Partes </w:t>
      </w:r>
      <w:r w:rsidR="00BE5F34" w:rsidRPr="001A288A">
        <w:rPr>
          <w:lang w:val="es-ES_tradnl"/>
        </w:rPr>
        <w:t xml:space="preserve">Contratantes </w:t>
      </w:r>
      <w:r w:rsidR="00966D41" w:rsidRPr="001A288A">
        <w:rPr>
          <w:lang w:val="es-ES_tradnl"/>
        </w:rPr>
        <w:t>interesadas</w:t>
      </w:r>
      <w:r w:rsidR="00BE5F34" w:rsidRPr="001A288A">
        <w:rPr>
          <w:lang w:val="es-ES_tradnl"/>
        </w:rPr>
        <w:t>,</w:t>
      </w:r>
      <w:r w:rsidR="00966D41" w:rsidRPr="001A288A">
        <w:rPr>
          <w:lang w:val="es-ES_tradnl"/>
        </w:rPr>
        <w:t xml:space="preserve"> </w:t>
      </w:r>
      <w:r w:rsidR="00BE5F34" w:rsidRPr="001A288A">
        <w:rPr>
          <w:lang w:val="es-ES_tradnl"/>
        </w:rPr>
        <w:t xml:space="preserve">según fuera necesario, </w:t>
      </w:r>
      <w:r w:rsidR="00966D41" w:rsidRPr="001A288A">
        <w:rPr>
          <w:lang w:val="es-ES_tradnl"/>
        </w:rPr>
        <w:t xml:space="preserve">que </w:t>
      </w:r>
      <w:r w:rsidR="00BE5F34" w:rsidRPr="001A288A">
        <w:rPr>
          <w:lang w:val="es-ES_tradnl"/>
        </w:rPr>
        <w:t>lleven a cabo</w:t>
      </w:r>
      <w:r w:rsidR="00966D41" w:rsidRPr="001A288A">
        <w:rPr>
          <w:lang w:val="es-ES_tradnl"/>
        </w:rPr>
        <w:t xml:space="preserve"> una Misión Ramsar de Asesoramien</w:t>
      </w:r>
      <w:r w:rsidR="00BE5F34" w:rsidRPr="001A288A">
        <w:rPr>
          <w:lang w:val="es-ES_tradnl"/>
        </w:rPr>
        <w:t>to, solicitándoles, al mismo tiempo, informaciones</w:t>
      </w:r>
      <w:r w:rsidR="00966D41" w:rsidRPr="001A288A">
        <w:rPr>
          <w:lang w:val="es-ES_tradnl"/>
        </w:rPr>
        <w:t xml:space="preserve"> adicional</w:t>
      </w:r>
      <w:r w:rsidR="00BE5F34" w:rsidRPr="001A288A">
        <w:rPr>
          <w:lang w:val="es-ES_tradnl"/>
        </w:rPr>
        <w:t>es</w:t>
      </w:r>
      <w:r w:rsidR="00966D41" w:rsidRPr="001A288A">
        <w:rPr>
          <w:lang w:val="es-ES_tradnl"/>
        </w:rPr>
        <w:t xml:space="preserve"> sobre </w:t>
      </w:r>
      <w:r w:rsidR="00DD68A2" w:rsidRPr="001A288A">
        <w:rPr>
          <w:lang w:val="es-ES_tradnl"/>
        </w:rPr>
        <w:t>el estado</w:t>
      </w:r>
      <w:r w:rsidR="00966D41" w:rsidRPr="001A288A">
        <w:rPr>
          <w:lang w:val="es-ES_tradnl"/>
        </w:rPr>
        <w:t xml:space="preserve"> del humedal en cuestión. </w:t>
      </w:r>
    </w:p>
    <w:p w14:paraId="2A96BA81" w14:textId="77777777" w:rsidR="00E37AD0" w:rsidRPr="00462F2E" w:rsidRDefault="00E37AD0" w:rsidP="001A288A">
      <w:pPr>
        <w:spacing w:after="0" w:line="240" w:lineRule="auto"/>
        <w:ind w:left="425" w:hanging="425"/>
        <w:rPr>
          <w:lang w:val="es-ES_tradnl"/>
        </w:rPr>
      </w:pPr>
    </w:p>
    <w:p w14:paraId="121BB786" w14:textId="77F6980D" w:rsidR="00DC236B" w:rsidRPr="001A288A" w:rsidRDefault="001A288A" w:rsidP="001A288A">
      <w:pPr>
        <w:spacing w:after="0" w:line="240" w:lineRule="auto"/>
        <w:ind w:left="425" w:hanging="425"/>
        <w:rPr>
          <w:lang w:val="es-ES_tradnl"/>
        </w:rPr>
      </w:pPr>
      <w:r>
        <w:rPr>
          <w:lang w:val="es-ES_tradnl"/>
        </w:rPr>
        <w:t>2.</w:t>
      </w:r>
      <w:r>
        <w:rPr>
          <w:lang w:val="es-ES_tradnl"/>
        </w:rPr>
        <w:tab/>
      </w:r>
      <w:r w:rsidR="00BE5F34" w:rsidRPr="001A288A">
        <w:rPr>
          <w:lang w:val="es-ES_tradnl"/>
        </w:rPr>
        <w:t>Si, como resultado de este procedimiento y otras informaciones recibidas, la Secretaría</w:t>
      </w:r>
      <w:r w:rsidR="00E34884" w:rsidRPr="001A288A">
        <w:rPr>
          <w:lang w:val="es-ES_tradnl"/>
        </w:rPr>
        <w:t xml:space="preserve"> considera</w:t>
      </w:r>
      <w:r w:rsidR="00BE5F34" w:rsidRPr="001A288A">
        <w:rPr>
          <w:lang w:val="es-ES_tradnl"/>
        </w:rPr>
        <w:t xml:space="preserve"> que las </w:t>
      </w:r>
      <w:r w:rsidR="00396FC4" w:rsidRPr="001A288A">
        <w:rPr>
          <w:lang w:val="es-ES_tradnl"/>
        </w:rPr>
        <w:t>características</w:t>
      </w:r>
      <w:r w:rsidR="00BE5F34" w:rsidRPr="001A288A">
        <w:rPr>
          <w:lang w:val="es-ES_tradnl"/>
        </w:rPr>
        <w:t xml:space="preserve"> ecológicas de un hu</w:t>
      </w:r>
      <w:r w:rsidR="00E34884" w:rsidRPr="001A288A">
        <w:rPr>
          <w:lang w:val="es-ES_tradnl"/>
        </w:rPr>
        <w:t>medal inscrito en la Lista están</w:t>
      </w:r>
      <w:r w:rsidR="00BE5F34" w:rsidRPr="001A288A">
        <w:rPr>
          <w:lang w:val="es-ES_tradnl"/>
        </w:rPr>
        <w:t xml:space="preserve"> cambiando o corren el riesgo de s</w:t>
      </w:r>
      <w:r w:rsidR="00E34884" w:rsidRPr="001A288A">
        <w:rPr>
          <w:lang w:val="es-ES_tradnl"/>
        </w:rPr>
        <w:t xml:space="preserve">ufrir un cambio significativo, </w:t>
      </w:r>
      <w:r w:rsidR="00BE5F34" w:rsidRPr="001A288A">
        <w:rPr>
          <w:lang w:val="es-ES_tradnl"/>
        </w:rPr>
        <w:t>colaborar</w:t>
      </w:r>
      <w:r w:rsidR="00E32A4E" w:rsidRPr="001A288A">
        <w:rPr>
          <w:lang w:val="es-ES_tradnl"/>
        </w:rPr>
        <w:t>á</w:t>
      </w:r>
      <w:r w:rsidR="00BE5F34" w:rsidRPr="001A288A">
        <w:rPr>
          <w:lang w:val="es-ES_tradnl"/>
        </w:rPr>
        <w:t xml:space="preserve"> con la Parte o </w:t>
      </w:r>
      <w:r w:rsidR="00DD68A2" w:rsidRPr="001A288A">
        <w:rPr>
          <w:lang w:val="es-ES_tradnl"/>
        </w:rPr>
        <w:t xml:space="preserve">las </w:t>
      </w:r>
      <w:r w:rsidR="00BE5F34" w:rsidRPr="001A288A">
        <w:rPr>
          <w:lang w:val="es-ES_tradnl"/>
        </w:rPr>
        <w:t>Partes Contratantes interesadas para encontrar una solución ace</w:t>
      </w:r>
      <w:r w:rsidR="00E152B1" w:rsidRPr="001A288A">
        <w:rPr>
          <w:lang w:val="es-ES_tradnl"/>
        </w:rPr>
        <w:t>ptable. De ser necesario</w:t>
      </w:r>
      <w:r w:rsidR="00BE5F34" w:rsidRPr="001A288A">
        <w:rPr>
          <w:lang w:val="es-ES_tradnl"/>
        </w:rPr>
        <w:t xml:space="preserve">, la </w:t>
      </w:r>
      <w:r w:rsidR="00E34884" w:rsidRPr="001A288A">
        <w:rPr>
          <w:lang w:val="es-ES_tradnl"/>
        </w:rPr>
        <w:t>Secretaría</w:t>
      </w:r>
      <w:r w:rsidR="00BE5F34" w:rsidRPr="001A288A">
        <w:rPr>
          <w:lang w:val="es-ES_tradnl"/>
        </w:rPr>
        <w:t xml:space="preserve"> podría también ofrecer </w:t>
      </w:r>
      <w:r w:rsidR="00E34884" w:rsidRPr="001A288A">
        <w:rPr>
          <w:lang w:val="es-ES_tradnl"/>
        </w:rPr>
        <w:t>asesoramiento y</w:t>
      </w:r>
      <w:r w:rsidR="00BE5F34" w:rsidRPr="001A288A">
        <w:rPr>
          <w:lang w:val="es-ES_tradnl"/>
        </w:rPr>
        <w:t xml:space="preserve"> asistencia</w:t>
      </w:r>
      <w:r w:rsidR="00E152B1" w:rsidRPr="001A288A">
        <w:rPr>
          <w:lang w:val="es-ES_tradnl"/>
        </w:rPr>
        <w:t xml:space="preserve"> a esa Parte</w:t>
      </w:r>
      <w:r w:rsidR="00396FC4" w:rsidRPr="001A288A">
        <w:rPr>
          <w:lang w:val="es-ES_tradnl"/>
        </w:rPr>
        <w:t xml:space="preserve"> o </w:t>
      </w:r>
      <w:r w:rsidR="00DD68A2" w:rsidRPr="001A288A">
        <w:rPr>
          <w:lang w:val="es-ES_tradnl"/>
        </w:rPr>
        <w:t xml:space="preserve">esas </w:t>
      </w:r>
      <w:r w:rsidR="00396FC4" w:rsidRPr="001A288A">
        <w:rPr>
          <w:lang w:val="es-ES_tradnl"/>
        </w:rPr>
        <w:t>Partes</w:t>
      </w:r>
      <w:r w:rsidR="00E152B1" w:rsidRPr="001A288A">
        <w:rPr>
          <w:lang w:val="es-ES_tradnl"/>
        </w:rPr>
        <w:t xml:space="preserve"> Contratantes</w:t>
      </w:r>
      <w:r w:rsidR="00BE5F34" w:rsidRPr="001A288A">
        <w:rPr>
          <w:lang w:val="es-ES_tradnl"/>
        </w:rPr>
        <w:t xml:space="preserve">. La </w:t>
      </w:r>
      <w:r w:rsidR="00E34884" w:rsidRPr="001A288A">
        <w:rPr>
          <w:lang w:val="es-ES_tradnl"/>
        </w:rPr>
        <w:t>Secretaría</w:t>
      </w:r>
      <w:r w:rsidR="00BE5F34" w:rsidRPr="001A288A">
        <w:rPr>
          <w:lang w:val="es-ES_tradnl"/>
        </w:rPr>
        <w:t xml:space="preserve"> informará al Comité Permanente sobre las medidas </w:t>
      </w:r>
      <w:r w:rsidR="00E32A4E" w:rsidRPr="001A288A">
        <w:rPr>
          <w:lang w:val="es-ES_tradnl"/>
        </w:rPr>
        <w:t>que haya tomado</w:t>
      </w:r>
      <w:r w:rsidR="00BE5F34" w:rsidRPr="001A288A">
        <w:rPr>
          <w:lang w:val="es-ES_tradnl"/>
        </w:rPr>
        <w:t xml:space="preserve"> al respecto. </w:t>
      </w:r>
    </w:p>
    <w:p w14:paraId="0E68DA97" w14:textId="77777777" w:rsidR="00DC236B" w:rsidRPr="00462F2E" w:rsidRDefault="00DC236B" w:rsidP="001A288A">
      <w:pPr>
        <w:spacing w:after="0" w:line="240" w:lineRule="auto"/>
        <w:ind w:left="425" w:hanging="425"/>
        <w:rPr>
          <w:lang w:val="es-ES_tradnl"/>
        </w:rPr>
      </w:pPr>
    </w:p>
    <w:p w14:paraId="43F89718" w14:textId="4A342FCC" w:rsidR="00DC236B" w:rsidRPr="001A288A" w:rsidRDefault="001A288A" w:rsidP="001A288A">
      <w:pPr>
        <w:spacing w:after="0" w:line="240" w:lineRule="auto"/>
        <w:ind w:left="425" w:hanging="425"/>
        <w:rPr>
          <w:lang w:val="es-ES_tradnl"/>
        </w:rPr>
      </w:pPr>
      <w:r>
        <w:rPr>
          <w:lang w:val="es-ES_tradnl"/>
        </w:rPr>
        <w:t>3.</w:t>
      </w:r>
      <w:r>
        <w:rPr>
          <w:lang w:val="es-ES_tradnl"/>
        </w:rPr>
        <w:tab/>
      </w:r>
      <w:r w:rsidR="00E34884" w:rsidRPr="001A288A">
        <w:rPr>
          <w:lang w:val="es-ES_tradnl"/>
        </w:rPr>
        <w:t xml:space="preserve">En el caso de que no sea posible encontrar una solución aceptable, la Secretaría pondrá inmediatamente el asunto en conocimiento del Comité Permanente. Este, por intermedio de su Presidente y de su Secretario, designado por la Secretaría, seguirá de cerca este asunto, en contacto directo con la Parte o </w:t>
      </w:r>
      <w:r w:rsidR="00DD68A2" w:rsidRPr="001A288A">
        <w:rPr>
          <w:lang w:val="es-ES_tradnl"/>
        </w:rPr>
        <w:t xml:space="preserve">las </w:t>
      </w:r>
      <w:r w:rsidR="00E34884" w:rsidRPr="001A288A">
        <w:rPr>
          <w:lang w:val="es-ES_tradnl"/>
        </w:rPr>
        <w:t>Partes Contratantes</w:t>
      </w:r>
      <w:r w:rsidR="00E37AD0" w:rsidRPr="001A288A">
        <w:rPr>
          <w:lang w:val="es-ES_tradnl"/>
        </w:rPr>
        <w:t xml:space="preserve"> interesadas</w:t>
      </w:r>
      <w:r w:rsidR="00E34884" w:rsidRPr="001A288A">
        <w:rPr>
          <w:lang w:val="es-ES_tradnl"/>
        </w:rPr>
        <w:t xml:space="preserve"> y, si procede,</w:t>
      </w:r>
      <w:r w:rsidR="00E37AD0" w:rsidRPr="001A288A">
        <w:rPr>
          <w:lang w:val="es-ES_tradnl"/>
        </w:rPr>
        <w:t xml:space="preserve"> con otros organismos u órganos responsables, con el objeto de ayudar a encontrar una solución.</w:t>
      </w:r>
    </w:p>
    <w:p w14:paraId="6F103FDC" w14:textId="77777777" w:rsidR="00DC236B" w:rsidRPr="001A288A" w:rsidRDefault="00DC236B" w:rsidP="001A288A">
      <w:pPr>
        <w:spacing w:after="0" w:line="240" w:lineRule="auto"/>
        <w:ind w:left="425" w:hanging="425"/>
        <w:rPr>
          <w:lang w:val="es-ES_tradnl"/>
        </w:rPr>
      </w:pPr>
    </w:p>
    <w:p w14:paraId="5A54B871" w14:textId="4F1A6F5D" w:rsidR="00DC236B" w:rsidRPr="001A288A" w:rsidRDefault="001A288A" w:rsidP="001A288A">
      <w:pPr>
        <w:spacing w:after="0" w:line="240" w:lineRule="auto"/>
        <w:ind w:left="425" w:hanging="425"/>
        <w:rPr>
          <w:lang w:val="es-ES_tradnl"/>
        </w:rPr>
      </w:pPr>
      <w:r>
        <w:rPr>
          <w:lang w:val="es-ES_tradnl"/>
        </w:rPr>
        <w:t>4.</w:t>
      </w:r>
      <w:r>
        <w:rPr>
          <w:lang w:val="es-ES_tradnl"/>
        </w:rPr>
        <w:tab/>
      </w:r>
      <w:r w:rsidR="00E37AD0" w:rsidRPr="001A288A">
        <w:rPr>
          <w:lang w:val="es-ES_tradnl"/>
        </w:rPr>
        <w:t>En el caso de que se efectúen modificaciones en la Lista de sitios Ramsar o en las características ecológicas de los humedales incluidos en ella, el Comité Permanente hará lo posible para que la información sea distribuida para su examen en la</w:t>
      </w:r>
      <w:r w:rsidR="00DD68A2" w:rsidRPr="001A288A">
        <w:rPr>
          <w:lang w:val="es-ES_tradnl"/>
        </w:rPr>
        <w:t xml:space="preserve"> siguiente</w:t>
      </w:r>
      <w:r w:rsidR="00E37AD0" w:rsidRPr="001A288A">
        <w:rPr>
          <w:lang w:val="es-ES_tradnl"/>
        </w:rPr>
        <w:t xml:space="preserve"> reunión de la Conferencia de las Partes Contratantes, de conformidad </w:t>
      </w:r>
      <w:r w:rsidR="00E32A4E" w:rsidRPr="001A288A">
        <w:rPr>
          <w:lang w:val="es-ES_tradnl"/>
        </w:rPr>
        <w:t>con el</w:t>
      </w:r>
      <w:r w:rsidR="00E37AD0" w:rsidRPr="001A288A">
        <w:rPr>
          <w:lang w:val="es-ES_tradnl"/>
        </w:rPr>
        <w:t xml:space="preserve"> Artículo 8</w:t>
      </w:r>
      <w:r w:rsidR="00DC236B" w:rsidRPr="001A288A">
        <w:rPr>
          <w:lang w:val="es-ES_tradnl"/>
        </w:rPr>
        <w:t>, párrafo 2 d) de la Convención.</w:t>
      </w:r>
    </w:p>
    <w:p w14:paraId="2299CAA8" w14:textId="77777777" w:rsidR="00DC236B" w:rsidRPr="00462F2E" w:rsidRDefault="00DC236B" w:rsidP="001A288A">
      <w:pPr>
        <w:spacing w:after="0" w:line="240" w:lineRule="auto"/>
        <w:rPr>
          <w:rFonts w:ascii="Garamond" w:hAnsi="Garamond"/>
          <w:lang w:val="es-ES_tradnl"/>
        </w:rPr>
      </w:pPr>
    </w:p>
    <w:p w14:paraId="49D47F7B" w14:textId="442F1CD9" w:rsidR="00DC236B" w:rsidRPr="001A288A" w:rsidRDefault="001A288A" w:rsidP="001A288A">
      <w:pPr>
        <w:spacing w:after="0" w:line="240" w:lineRule="auto"/>
        <w:ind w:left="425" w:hanging="425"/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</w:r>
      <w:r w:rsidR="00DC236B" w:rsidRPr="001A288A">
        <w:rPr>
          <w:lang w:val="es-ES_tradnl"/>
        </w:rPr>
        <w:t>La Secretaría examinar</w:t>
      </w:r>
      <w:r w:rsidR="001E2213" w:rsidRPr="001A288A">
        <w:rPr>
          <w:lang w:val="es-ES_tradnl"/>
        </w:rPr>
        <w:t>á</w:t>
      </w:r>
      <w:r w:rsidR="00DC236B" w:rsidRPr="001A288A">
        <w:rPr>
          <w:lang w:val="es-ES_tradnl"/>
        </w:rPr>
        <w:t xml:space="preserve"> periódicamente </w:t>
      </w:r>
      <w:r w:rsidR="00CC441E" w:rsidRPr="001A288A">
        <w:rPr>
          <w:lang w:val="es-ES_tradnl"/>
        </w:rPr>
        <w:t>los progresos realizados en el</w:t>
      </w:r>
      <w:r w:rsidR="00DC236B" w:rsidRPr="001A288A">
        <w:rPr>
          <w:lang w:val="es-ES_tradnl"/>
        </w:rPr>
        <w:t xml:space="preserve"> estado de</w:t>
      </w:r>
      <w:r w:rsidR="001E2213" w:rsidRPr="001A288A">
        <w:rPr>
          <w:lang w:val="es-ES_tradnl"/>
        </w:rPr>
        <w:t xml:space="preserve"> conservación de</w:t>
      </w:r>
      <w:r w:rsidR="00DC236B" w:rsidRPr="001A288A">
        <w:rPr>
          <w:lang w:val="es-ES_tradnl"/>
        </w:rPr>
        <w:t xml:space="preserve"> </w:t>
      </w:r>
      <w:r w:rsidR="00CC441E" w:rsidRPr="001A288A">
        <w:rPr>
          <w:lang w:val="es-ES_tradnl"/>
        </w:rPr>
        <w:t>los</w:t>
      </w:r>
      <w:r w:rsidR="00DC236B" w:rsidRPr="001A288A">
        <w:rPr>
          <w:lang w:val="es-ES_tradnl"/>
        </w:rPr>
        <w:t xml:space="preserve"> sitios</w:t>
      </w:r>
      <w:r w:rsidR="00CC441E" w:rsidRPr="001A288A">
        <w:rPr>
          <w:lang w:val="es-ES_tradnl"/>
        </w:rPr>
        <w:t xml:space="preserve"> que se le han señalado </w:t>
      </w:r>
      <w:r w:rsidR="00DC236B" w:rsidRPr="001A288A">
        <w:rPr>
          <w:lang w:val="es-ES_tradnl"/>
        </w:rPr>
        <w:t xml:space="preserve">e informará sobre </w:t>
      </w:r>
      <w:r w:rsidR="00CC441E" w:rsidRPr="001A288A">
        <w:rPr>
          <w:lang w:val="es-ES_tradnl"/>
        </w:rPr>
        <w:t>los avances</w:t>
      </w:r>
      <w:r w:rsidR="00DC236B" w:rsidRPr="001A288A">
        <w:rPr>
          <w:lang w:val="es-ES_tradnl"/>
        </w:rPr>
        <w:t xml:space="preserve"> </w:t>
      </w:r>
      <w:r w:rsidR="00CC441E" w:rsidRPr="001A288A">
        <w:rPr>
          <w:lang w:val="es-ES_tradnl"/>
        </w:rPr>
        <w:t xml:space="preserve">en el </w:t>
      </w:r>
      <w:r w:rsidR="00DC236B" w:rsidRPr="001A288A">
        <w:rPr>
          <w:lang w:val="es-ES_tradnl"/>
        </w:rPr>
        <w:t xml:space="preserve">marco de este procedimiento. Para facilitar su seguimiento, la Secretaría </w:t>
      </w:r>
      <w:r w:rsidR="00282D86" w:rsidRPr="001A288A">
        <w:rPr>
          <w:lang w:val="es-ES_tradnl"/>
        </w:rPr>
        <w:t>mantendrá</w:t>
      </w:r>
      <w:r w:rsidR="00DC236B" w:rsidRPr="001A288A">
        <w:rPr>
          <w:lang w:val="es-ES_tradnl"/>
        </w:rPr>
        <w:t xml:space="preserve"> un registro de las actividades efectuadas al respecto.</w:t>
      </w:r>
    </w:p>
    <w:p w14:paraId="77E11017" w14:textId="77777777" w:rsidR="00171C2D" w:rsidRPr="00462F2E" w:rsidRDefault="00171C2D" w:rsidP="00D876D8">
      <w:pPr>
        <w:spacing w:after="0" w:line="240" w:lineRule="auto"/>
        <w:rPr>
          <w:lang w:val="es-ES_tradnl"/>
        </w:rPr>
      </w:pPr>
    </w:p>
    <w:p w14:paraId="10334D20" w14:textId="68A5FBC7" w:rsidR="00171C2D" w:rsidRPr="00462F2E" w:rsidRDefault="006B2AE3" w:rsidP="00D876D8">
      <w:pPr>
        <w:spacing w:after="0" w:line="240" w:lineRule="auto"/>
        <w:rPr>
          <w:b/>
          <w:lang w:val="es-ES_tradnl"/>
        </w:rPr>
      </w:pPr>
      <w:r w:rsidRPr="00462F2E">
        <w:rPr>
          <w:b/>
          <w:lang w:val="es-ES_tradnl"/>
        </w:rPr>
        <w:t>Términos de referencia</w:t>
      </w:r>
    </w:p>
    <w:p w14:paraId="1B228764" w14:textId="77777777" w:rsidR="00D876D8" w:rsidRPr="001A288A" w:rsidRDefault="00D876D8" w:rsidP="001A288A">
      <w:pPr>
        <w:spacing w:after="0" w:line="240" w:lineRule="auto"/>
        <w:ind w:left="425" w:hanging="425"/>
      </w:pPr>
    </w:p>
    <w:p w14:paraId="552013D8" w14:textId="5BD0B3A2" w:rsidR="00AE6FB8" w:rsidRPr="001A288A" w:rsidRDefault="001A288A" w:rsidP="00AE6FB8">
      <w:pPr>
        <w:spacing w:after="0" w:line="240" w:lineRule="auto"/>
        <w:ind w:left="425" w:hanging="425"/>
      </w:pPr>
      <w:r>
        <w:t>6</w:t>
      </w:r>
      <w:r w:rsidR="00AE6FB8" w:rsidRPr="001A288A">
        <w:t xml:space="preserve">. </w:t>
      </w:r>
      <w:r w:rsidR="00AE6FB8" w:rsidRPr="001A288A">
        <w:tab/>
        <w:t>La Parte C</w:t>
      </w:r>
      <w:r w:rsidR="00DD68A2" w:rsidRPr="001A288A">
        <w:t>ontratante y la Secretaría deberán</w:t>
      </w:r>
      <w:r w:rsidR="00AE6FB8" w:rsidRPr="001A288A">
        <w:t xml:space="preserve"> acordar un documento conciso </w:t>
      </w:r>
      <w:r w:rsidR="00957838" w:rsidRPr="001A288A">
        <w:t>sobre</w:t>
      </w:r>
      <w:r w:rsidR="00DD68A2" w:rsidRPr="001A288A">
        <w:t xml:space="preserve"> los t</w:t>
      </w:r>
      <w:r w:rsidR="00AE6FB8" w:rsidRPr="001A288A">
        <w:t xml:space="preserve">érminos de referencia (TdR) antes de cada MRA </w:t>
      </w:r>
      <w:r w:rsidR="00957838" w:rsidRPr="001A288A">
        <w:t>e</w:t>
      </w:r>
      <w:r w:rsidR="00DD68A2" w:rsidRPr="001A288A">
        <w:t xml:space="preserve"> incluirlo como a</w:t>
      </w:r>
      <w:r w:rsidR="00AE6FB8" w:rsidRPr="001A288A">
        <w:t>nexo al informe de la MRA. Si bien debe</w:t>
      </w:r>
      <w:r w:rsidR="00DD68A2" w:rsidRPr="001A288A">
        <w:t>rá</w:t>
      </w:r>
      <w:r w:rsidR="00AE6FB8" w:rsidRPr="001A288A">
        <w:t xml:space="preserve"> haber flexibilidad en el formato y la longitud </w:t>
      </w:r>
      <w:r w:rsidR="00957838" w:rsidRPr="001A288A">
        <w:t xml:space="preserve">del documento </w:t>
      </w:r>
      <w:r w:rsidR="00AE6FB8" w:rsidRPr="001A288A">
        <w:t xml:space="preserve">para </w:t>
      </w:r>
      <w:r w:rsidR="00957838" w:rsidRPr="001A288A">
        <w:t>tomar en consideración</w:t>
      </w:r>
      <w:r w:rsidR="00AE6FB8" w:rsidRPr="001A288A">
        <w:t xml:space="preserve"> las circunstancias únicas de cada MRA, se </w:t>
      </w:r>
      <w:r w:rsidR="00DD68A2" w:rsidRPr="001A288A">
        <w:t>propone</w:t>
      </w:r>
      <w:r w:rsidR="00AE6FB8" w:rsidRPr="001A288A">
        <w:t xml:space="preserve"> que los TdR siempre incluyan</w:t>
      </w:r>
      <w:r w:rsidR="00957838" w:rsidRPr="001A288A">
        <w:t xml:space="preserve"> lo siguiente</w:t>
      </w:r>
      <w:r w:rsidR="00AE6FB8" w:rsidRPr="001A288A">
        <w:t>:</w:t>
      </w:r>
    </w:p>
    <w:p w14:paraId="164874C0" w14:textId="77777777" w:rsidR="00AE6FB8" w:rsidRPr="00462F2E" w:rsidRDefault="00AE6FB8" w:rsidP="00D876D8">
      <w:pPr>
        <w:spacing w:after="0" w:line="240" w:lineRule="auto"/>
        <w:rPr>
          <w:b/>
          <w:lang w:val="es-ES_tradnl"/>
        </w:rPr>
      </w:pPr>
    </w:p>
    <w:p w14:paraId="72AF1DC7" w14:textId="4348DEF0" w:rsidR="00AE6FB8" w:rsidRPr="00462F2E" w:rsidRDefault="00AE6FB8" w:rsidP="00AE6FB8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Una breve </w:t>
      </w:r>
      <w:r w:rsidR="00957838" w:rsidRPr="00462F2E">
        <w:rPr>
          <w:lang w:val="es-ES_tradnl"/>
        </w:rPr>
        <w:t>exposición</w:t>
      </w:r>
      <w:r w:rsidRPr="00462F2E">
        <w:rPr>
          <w:lang w:val="es-ES_tradnl"/>
        </w:rPr>
        <w:t xml:space="preserve"> de los antecedentes de la MRA;</w:t>
      </w:r>
    </w:p>
    <w:p w14:paraId="473B7D3A" w14:textId="77777777" w:rsidR="00AE6FB8" w:rsidRPr="00462F2E" w:rsidRDefault="00AE6FB8" w:rsidP="00AE6FB8">
      <w:pPr>
        <w:spacing w:after="0" w:line="240" w:lineRule="auto"/>
        <w:ind w:left="850"/>
        <w:rPr>
          <w:lang w:val="es-ES_tradnl"/>
        </w:rPr>
      </w:pPr>
    </w:p>
    <w:p w14:paraId="2CEC09AC" w14:textId="77777777" w:rsidR="00AE6FB8" w:rsidRPr="00462F2E" w:rsidRDefault="00AE6FB8" w:rsidP="00AE6FB8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Una lista de los problemas específicos que la MRA debe abordar;</w:t>
      </w:r>
    </w:p>
    <w:p w14:paraId="72217B19" w14:textId="77777777" w:rsidR="00AE6FB8" w:rsidRPr="00462F2E" w:rsidRDefault="00AE6FB8" w:rsidP="00AE6FB8">
      <w:pPr>
        <w:spacing w:after="0" w:line="240" w:lineRule="auto"/>
        <w:rPr>
          <w:lang w:val="es-ES_tradnl"/>
        </w:rPr>
      </w:pPr>
    </w:p>
    <w:p w14:paraId="2F6B10F5" w14:textId="77777777" w:rsidR="00AE6FB8" w:rsidRPr="00462F2E" w:rsidRDefault="00AE6FB8" w:rsidP="00AE6FB8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La composición del equipo de la MRA;</w:t>
      </w:r>
    </w:p>
    <w:p w14:paraId="0BDE821F" w14:textId="77777777" w:rsidR="00AE6FB8" w:rsidRPr="00462F2E" w:rsidRDefault="00AE6FB8" w:rsidP="00AE6FB8">
      <w:pPr>
        <w:spacing w:after="0" w:line="240" w:lineRule="auto"/>
        <w:rPr>
          <w:lang w:val="es-ES_tradnl"/>
        </w:rPr>
      </w:pPr>
    </w:p>
    <w:p w14:paraId="50A0BC51" w14:textId="7B0DD07B" w:rsidR="00AE6FB8" w:rsidRPr="00462F2E" w:rsidRDefault="00AE6FB8" w:rsidP="00AE6FB8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El </w:t>
      </w:r>
      <w:r w:rsidR="00433605">
        <w:rPr>
          <w:lang w:val="es-ES_tradnl"/>
        </w:rPr>
        <w:t>procedimiento</w:t>
      </w:r>
      <w:r w:rsidRPr="00462F2E">
        <w:rPr>
          <w:lang w:val="es-ES_tradnl"/>
        </w:rPr>
        <w:t xml:space="preserve"> y cronograma previstos, incluido el seguimiento </w:t>
      </w:r>
      <w:r w:rsidR="002A2035" w:rsidRPr="00462F2E">
        <w:rPr>
          <w:lang w:val="es-ES_tradnl"/>
        </w:rPr>
        <w:t>planificado</w:t>
      </w:r>
      <w:r w:rsidRPr="00462F2E">
        <w:rPr>
          <w:lang w:val="es-ES_tradnl"/>
        </w:rPr>
        <w:t xml:space="preserve"> de la misión.</w:t>
      </w:r>
    </w:p>
    <w:p w14:paraId="41AC2F50" w14:textId="77777777" w:rsidR="002230A2" w:rsidRPr="00462F2E" w:rsidRDefault="002230A2" w:rsidP="00AE6FB8">
      <w:pPr>
        <w:spacing w:after="0" w:line="240" w:lineRule="auto"/>
        <w:rPr>
          <w:lang w:val="es-ES_tradnl"/>
        </w:rPr>
      </w:pPr>
    </w:p>
    <w:p w14:paraId="6563D77D" w14:textId="77777777" w:rsidR="00171C2D" w:rsidRPr="00462F2E" w:rsidRDefault="00171C2D" w:rsidP="00D876D8">
      <w:pPr>
        <w:spacing w:after="0" w:line="240" w:lineRule="auto"/>
        <w:rPr>
          <w:lang w:val="es-ES_tradnl"/>
        </w:rPr>
      </w:pPr>
    </w:p>
    <w:p w14:paraId="424ECFA5" w14:textId="2DC44D73" w:rsidR="00171C2D" w:rsidRPr="00462F2E" w:rsidRDefault="00171C2D" w:rsidP="002230A2">
      <w:pPr>
        <w:keepNext/>
        <w:spacing w:after="0" w:line="240" w:lineRule="auto"/>
        <w:rPr>
          <w:b/>
          <w:lang w:val="es-ES_tradnl"/>
        </w:rPr>
      </w:pPr>
      <w:r w:rsidRPr="00462F2E">
        <w:rPr>
          <w:b/>
          <w:lang w:val="es-ES_tradnl"/>
        </w:rPr>
        <w:t>Composi</w:t>
      </w:r>
      <w:r w:rsidR="00AE6FB8" w:rsidRPr="00462F2E">
        <w:rPr>
          <w:b/>
          <w:lang w:val="es-ES_tradnl"/>
        </w:rPr>
        <w:t xml:space="preserve">ción de los equipos de la </w:t>
      </w:r>
      <w:r w:rsidR="00CA72AB" w:rsidRPr="00462F2E">
        <w:rPr>
          <w:b/>
          <w:lang w:val="es-ES_tradnl"/>
        </w:rPr>
        <w:t>m</w:t>
      </w:r>
      <w:r w:rsidR="00AE6FB8" w:rsidRPr="00462F2E">
        <w:rPr>
          <w:b/>
          <w:lang w:val="es-ES_tradnl"/>
        </w:rPr>
        <w:t xml:space="preserve">isión </w:t>
      </w:r>
    </w:p>
    <w:p w14:paraId="6480C2BB" w14:textId="77777777" w:rsidR="002230A2" w:rsidRPr="00462F2E" w:rsidRDefault="002230A2" w:rsidP="002230A2">
      <w:pPr>
        <w:keepNext/>
        <w:spacing w:after="0" w:line="240" w:lineRule="auto"/>
        <w:rPr>
          <w:b/>
          <w:lang w:val="es-ES_tradnl"/>
        </w:rPr>
      </w:pPr>
    </w:p>
    <w:p w14:paraId="43C508F2" w14:textId="0CBAD487" w:rsidR="00030B20" w:rsidRPr="001A288A" w:rsidRDefault="001A288A" w:rsidP="001A288A">
      <w:pPr>
        <w:spacing w:after="0" w:line="240" w:lineRule="auto"/>
        <w:ind w:left="425" w:hanging="425"/>
      </w:pPr>
      <w:r>
        <w:t>7.</w:t>
      </w:r>
      <w:r>
        <w:tab/>
      </w:r>
      <w:r w:rsidR="00030B20" w:rsidRPr="001A288A">
        <w:t xml:space="preserve">Si procede para las circunstancias de misiones individuales y si es aceptable para la Parte Contratante interesada, el uso de la competencia técnica de las Organizaciones Internacionales Asociadas podría ayudar a garantizar el uso más eficaz de los limitados recursos financieros y la capacidad </w:t>
      </w:r>
      <w:r w:rsidR="00D940BC" w:rsidRPr="001A288A">
        <w:t>disponible de</w:t>
      </w:r>
      <w:r w:rsidR="00030B20" w:rsidRPr="001A288A">
        <w:t xml:space="preserve"> la Secretaría para la aplicación de la MRA.</w:t>
      </w:r>
    </w:p>
    <w:p w14:paraId="0AA151BE" w14:textId="77777777" w:rsidR="00030B20" w:rsidRPr="001A288A" w:rsidRDefault="00030B20" w:rsidP="001A288A">
      <w:pPr>
        <w:spacing w:after="0" w:line="240" w:lineRule="auto"/>
        <w:ind w:left="425" w:hanging="425"/>
      </w:pPr>
    </w:p>
    <w:p w14:paraId="5F78BF8C" w14:textId="7677EC4C" w:rsidR="00D940BC" w:rsidRPr="001A288A" w:rsidRDefault="001A288A" w:rsidP="001A288A">
      <w:pPr>
        <w:spacing w:after="0" w:line="240" w:lineRule="auto"/>
        <w:ind w:left="425" w:hanging="425"/>
      </w:pPr>
      <w:r>
        <w:t>8.</w:t>
      </w:r>
      <w:r>
        <w:tab/>
      </w:r>
      <w:r w:rsidR="00DD68A2" w:rsidRPr="001A288A">
        <w:t>Deberán</w:t>
      </w:r>
      <w:r w:rsidR="00D940BC" w:rsidRPr="001A288A">
        <w:t xml:space="preserve"> tenerse en cuenta</w:t>
      </w:r>
      <w:r w:rsidR="00030B20" w:rsidRPr="001A288A">
        <w:t xml:space="preserve"> las oportunidades para aumentar la contribución del GECT a la aplicación </w:t>
      </w:r>
      <w:r w:rsidR="002029E4" w:rsidRPr="001A288A">
        <w:t>de la</w:t>
      </w:r>
      <w:r w:rsidR="00030B20" w:rsidRPr="001A288A">
        <w:t xml:space="preserve"> MRA, </w:t>
      </w:r>
      <w:r w:rsidR="00BA17D0" w:rsidRPr="001A288A">
        <w:t xml:space="preserve">por ejemplo a través de </w:t>
      </w:r>
      <w:r w:rsidR="00030B20" w:rsidRPr="001A288A">
        <w:t xml:space="preserve">los </w:t>
      </w:r>
      <w:r w:rsidR="00786012" w:rsidRPr="001A288A">
        <w:t>C</w:t>
      </w:r>
      <w:r w:rsidR="00030B20" w:rsidRPr="001A288A">
        <w:t>oordinadores</w:t>
      </w:r>
      <w:r w:rsidR="00786012" w:rsidRPr="001A288A">
        <w:t xml:space="preserve"> N</w:t>
      </w:r>
      <w:r w:rsidR="00030B20" w:rsidRPr="001A288A">
        <w:t>acionales del GECT, según corresponda.</w:t>
      </w:r>
    </w:p>
    <w:p w14:paraId="199D89FA" w14:textId="77777777" w:rsidR="00D940BC" w:rsidRPr="001A288A" w:rsidRDefault="00D940BC" w:rsidP="001A288A">
      <w:pPr>
        <w:spacing w:after="0" w:line="240" w:lineRule="auto"/>
        <w:ind w:left="425" w:hanging="425"/>
      </w:pPr>
    </w:p>
    <w:p w14:paraId="6B33754A" w14:textId="71B114B8" w:rsidR="00D940BC" w:rsidRPr="001A288A" w:rsidRDefault="001A288A" w:rsidP="001A288A">
      <w:pPr>
        <w:spacing w:after="0" w:line="240" w:lineRule="auto"/>
        <w:ind w:left="425" w:hanging="425"/>
      </w:pPr>
      <w:r>
        <w:t>9.</w:t>
      </w:r>
      <w:r>
        <w:tab/>
      </w:r>
      <w:r w:rsidR="00BA17D0" w:rsidRPr="001A288A">
        <w:t>Al planificar las MRA se deberá</w:t>
      </w:r>
      <w:r w:rsidR="00D940BC" w:rsidRPr="001A288A">
        <w:t xml:space="preserve"> prestar atención a las oportunidades </w:t>
      </w:r>
      <w:r w:rsidR="002D6E88" w:rsidRPr="001A288A">
        <w:t>de</w:t>
      </w:r>
      <w:r w:rsidR="00D940BC" w:rsidRPr="001A288A">
        <w:t xml:space="preserve"> inclusión de un representante de otra Parte Contratante, como miembro del equipo de la MRA o como observador, y a los beneficios derivados de ello.</w:t>
      </w:r>
    </w:p>
    <w:p w14:paraId="4D73494E" w14:textId="77777777" w:rsidR="00171C2D" w:rsidRPr="00462F2E" w:rsidRDefault="00171C2D" w:rsidP="00D876D8">
      <w:pPr>
        <w:spacing w:after="0" w:line="240" w:lineRule="auto"/>
        <w:rPr>
          <w:lang w:val="es-ES_tradnl"/>
        </w:rPr>
      </w:pPr>
    </w:p>
    <w:p w14:paraId="5AD023DB" w14:textId="6B2EC657" w:rsidR="00171C2D" w:rsidRPr="00462F2E" w:rsidRDefault="00D940BC" w:rsidP="00D876D8">
      <w:pPr>
        <w:spacing w:after="0" w:line="240" w:lineRule="auto"/>
        <w:rPr>
          <w:b/>
          <w:lang w:val="es-ES_tradnl"/>
        </w:rPr>
      </w:pPr>
      <w:r w:rsidRPr="00462F2E">
        <w:rPr>
          <w:b/>
          <w:lang w:val="es-ES_tradnl"/>
        </w:rPr>
        <w:t>Misiones conjuntas</w:t>
      </w:r>
    </w:p>
    <w:p w14:paraId="7DFC5F52" w14:textId="77777777" w:rsidR="002230A2" w:rsidRPr="00462F2E" w:rsidRDefault="002230A2" w:rsidP="00D876D8">
      <w:pPr>
        <w:spacing w:after="0" w:line="240" w:lineRule="auto"/>
        <w:rPr>
          <w:b/>
          <w:lang w:val="es-ES_tradnl"/>
        </w:rPr>
      </w:pPr>
    </w:p>
    <w:p w14:paraId="642CC3E8" w14:textId="6E184669" w:rsidR="00D940BC" w:rsidRPr="001A288A" w:rsidRDefault="001A288A" w:rsidP="001A288A">
      <w:pPr>
        <w:spacing w:after="0" w:line="240" w:lineRule="auto"/>
        <w:ind w:left="425" w:hanging="425"/>
      </w:pPr>
      <w:r>
        <w:t>10.</w:t>
      </w:r>
      <w:r>
        <w:tab/>
      </w:r>
      <w:r w:rsidR="00D940BC" w:rsidRPr="001A288A">
        <w:t>Los informes de las misiones real</w:t>
      </w:r>
      <w:r w:rsidR="00F406FE" w:rsidRPr="001A288A">
        <w:t>izadas conjuntamente con otros acuerdos m</w:t>
      </w:r>
      <w:r w:rsidR="00D940BC" w:rsidRPr="001A288A">
        <w:t xml:space="preserve">ultilaterales </w:t>
      </w:r>
      <w:r w:rsidR="00F406FE" w:rsidRPr="001A288A">
        <w:t>sobre el medio a</w:t>
      </w:r>
      <w:r w:rsidR="00D940BC" w:rsidRPr="001A288A">
        <w:t>mbiente (</w:t>
      </w:r>
      <w:r w:rsidR="00F406FE" w:rsidRPr="001A288A">
        <w:t>A</w:t>
      </w:r>
      <w:r w:rsidR="00D940BC" w:rsidRPr="001A288A">
        <w:t xml:space="preserve">MMA) siempre </w:t>
      </w:r>
      <w:r w:rsidR="00BA17D0" w:rsidRPr="001A288A">
        <w:t>deberán</w:t>
      </w:r>
      <w:r w:rsidR="00F406FE" w:rsidRPr="001A288A">
        <w:t xml:space="preserve"> dejar claro </w:t>
      </w:r>
      <w:r w:rsidR="007E5197" w:rsidRPr="001A288A">
        <w:t>cuáles</w:t>
      </w:r>
      <w:r w:rsidR="00F406FE" w:rsidRPr="001A288A">
        <w:t xml:space="preserve"> hallazgos y r</w:t>
      </w:r>
      <w:r w:rsidR="00D940BC" w:rsidRPr="001A288A">
        <w:t>ecomendaciones</w:t>
      </w:r>
      <w:r w:rsidR="00504B1B" w:rsidRPr="001A288A">
        <w:t xml:space="preserve"> </w:t>
      </w:r>
      <w:r w:rsidR="003F150B" w:rsidRPr="001A288A">
        <w:t>se refieren</w:t>
      </w:r>
      <w:r w:rsidR="00504B1B" w:rsidRPr="001A288A">
        <w:t xml:space="preserve"> a las</w:t>
      </w:r>
      <w:r w:rsidR="00D940BC" w:rsidRPr="001A288A">
        <w:t xml:space="preserve"> obligaciones </w:t>
      </w:r>
      <w:r w:rsidR="003F150B" w:rsidRPr="001A288A">
        <w:t>con arreglo a</w:t>
      </w:r>
      <w:r w:rsidR="00F406FE" w:rsidRPr="001A288A">
        <w:t xml:space="preserve"> cada AMMA</w:t>
      </w:r>
      <w:r w:rsidR="00D940BC" w:rsidRPr="001A288A">
        <w:t xml:space="preserve"> y </w:t>
      </w:r>
      <w:r w:rsidR="007E5197" w:rsidRPr="001A288A">
        <w:t xml:space="preserve">cuáles </w:t>
      </w:r>
      <w:r w:rsidR="00D940BC" w:rsidRPr="001A288A">
        <w:t xml:space="preserve">se </w:t>
      </w:r>
      <w:r w:rsidR="00504B1B" w:rsidRPr="001A288A">
        <w:t>refieren</w:t>
      </w:r>
      <w:r w:rsidR="00D940BC" w:rsidRPr="001A288A">
        <w:t xml:space="preserve"> específicamente </w:t>
      </w:r>
      <w:r w:rsidR="00504B1B" w:rsidRPr="001A288A">
        <w:t>a</w:t>
      </w:r>
      <w:r w:rsidR="00F406FE" w:rsidRPr="001A288A">
        <w:t xml:space="preserve"> las</w:t>
      </w:r>
      <w:r w:rsidR="00D940BC" w:rsidRPr="001A288A">
        <w:t xml:space="preserve"> obligaciones </w:t>
      </w:r>
      <w:r w:rsidR="00F406FE" w:rsidRPr="001A288A">
        <w:t>con arreglo a un</w:t>
      </w:r>
      <w:r w:rsidR="00BA17D0" w:rsidRPr="001A288A">
        <w:t xml:space="preserve"> AMMA u otro</w:t>
      </w:r>
      <w:r w:rsidR="00D940BC" w:rsidRPr="001A288A">
        <w:t>.</w:t>
      </w:r>
    </w:p>
    <w:p w14:paraId="54762784" w14:textId="77777777" w:rsidR="00171C2D" w:rsidRPr="00462F2E" w:rsidRDefault="00171C2D" w:rsidP="00D876D8">
      <w:pPr>
        <w:spacing w:after="0" w:line="240" w:lineRule="auto"/>
        <w:rPr>
          <w:lang w:val="es-ES_tradnl"/>
        </w:rPr>
      </w:pPr>
    </w:p>
    <w:p w14:paraId="53D6DF26" w14:textId="35DF6B92" w:rsidR="00171C2D" w:rsidRPr="00462F2E" w:rsidRDefault="00D940BC" w:rsidP="00D876D8">
      <w:pPr>
        <w:spacing w:after="0" w:line="240" w:lineRule="auto"/>
        <w:rPr>
          <w:b/>
          <w:lang w:val="es-ES_tradnl"/>
        </w:rPr>
      </w:pPr>
      <w:r w:rsidRPr="00462F2E">
        <w:rPr>
          <w:b/>
          <w:lang w:val="es-ES_tradnl"/>
        </w:rPr>
        <w:t>Informes de las Misiones</w:t>
      </w:r>
    </w:p>
    <w:p w14:paraId="07C2BCF8" w14:textId="77777777" w:rsidR="00EB1062" w:rsidRPr="00462F2E" w:rsidRDefault="00EB1062" w:rsidP="00D876D8">
      <w:pPr>
        <w:spacing w:after="0" w:line="240" w:lineRule="auto"/>
        <w:rPr>
          <w:b/>
          <w:lang w:val="es-ES_tradnl"/>
        </w:rPr>
      </w:pPr>
    </w:p>
    <w:p w14:paraId="753B99BB" w14:textId="1E1306D9" w:rsidR="002230A2" w:rsidRPr="001A288A" w:rsidRDefault="001A288A" w:rsidP="001A288A">
      <w:pPr>
        <w:spacing w:after="0" w:line="240" w:lineRule="auto"/>
        <w:ind w:left="425" w:hanging="425"/>
      </w:pPr>
      <w:r>
        <w:t>11.</w:t>
      </w:r>
      <w:r>
        <w:tab/>
      </w:r>
      <w:r w:rsidR="00EB1062" w:rsidRPr="001A288A">
        <w:t>Los i</w:t>
      </w:r>
      <w:r w:rsidR="00BA17D0" w:rsidRPr="001A288A">
        <w:t>nformes de las MRA siempre deberán</w:t>
      </w:r>
      <w:r w:rsidR="00EB1062" w:rsidRPr="001A288A">
        <w:t xml:space="preserve"> contener un resumen ejecutivo.</w:t>
      </w:r>
    </w:p>
    <w:p w14:paraId="67CA2E79" w14:textId="77777777" w:rsidR="00EB1062" w:rsidRPr="001A288A" w:rsidRDefault="00EB1062" w:rsidP="001A288A">
      <w:pPr>
        <w:spacing w:after="0" w:line="240" w:lineRule="auto"/>
        <w:ind w:left="425" w:hanging="425"/>
      </w:pPr>
    </w:p>
    <w:p w14:paraId="6E9F13DE" w14:textId="5AFA6DCD" w:rsidR="00EB1062" w:rsidRPr="001A288A" w:rsidRDefault="001A288A" w:rsidP="001A288A">
      <w:pPr>
        <w:spacing w:after="0" w:line="240" w:lineRule="auto"/>
        <w:ind w:left="425" w:hanging="425"/>
      </w:pPr>
      <w:r>
        <w:t>12.</w:t>
      </w:r>
      <w:r>
        <w:tab/>
      </w:r>
      <w:r w:rsidR="00EB1062" w:rsidRPr="001A288A">
        <w:t>Se sugiere que todos los resúmenes ejecutivos contengan, como mínimo, lo siguiente:</w:t>
      </w:r>
    </w:p>
    <w:p w14:paraId="28C2DB2D" w14:textId="77777777" w:rsidR="00EB1062" w:rsidRPr="00462F2E" w:rsidRDefault="00EB1062" w:rsidP="00D876D8">
      <w:pPr>
        <w:spacing w:after="0" w:line="240" w:lineRule="auto"/>
        <w:rPr>
          <w:lang w:val="es-ES_tradnl"/>
        </w:rPr>
      </w:pPr>
    </w:p>
    <w:p w14:paraId="10C644DD" w14:textId="4DAC55A4" w:rsidR="00DA5E46" w:rsidRPr="00462F2E" w:rsidRDefault="00EB1062" w:rsidP="00DA5E46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Una breve descripción de los principales problemas técnicos que se están abordando, </w:t>
      </w:r>
      <w:r w:rsidR="003F150B" w:rsidRPr="00462F2E">
        <w:rPr>
          <w:lang w:val="es-ES_tradnl"/>
        </w:rPr>
        <w:t>lo que incluye</w:t>
      </w:r>
      <w:r w:rsidRPr="00462F2E">
        <w:rPr>
          <w:lang w:val="es-ES_tradnl"/>
        </w:rPr>
        <w:t xml:space="preserve"> el etiquetado de palabras clave para facilitar la búsqueda en línea y un enlace a las FIR pertinentes y a los informes de MRA anteriores que se refieran al mismo sitio;</w:t>
      </w:r>
    </w:p>
    <w:p w14:paraId="11E4E24C" w14:textId="77777777" w:rsidR="00DA5E46" w:rsidRPr="00462F2E" w:rsidRDefault="00DA5E46" w:rsidP="00DA5E46">
      <w:pPr>
        <w:spacing w:after="0" w:line="240" w:lineRule="auto"/>
        <w:ind w:left="850"/>
        <w:rPr>
          <w:lang w:val="es-ES_tradnl"/>
        </w:rPr>
      </w:pPr>
    </w:p>
    <w:p w14:paraId="132965D5" w14:textId="77777777" w:rsidR="00DA5E46" w:rsidRPr="00462F2E" w:rsidRDefault="00DA5E46" w:rsidP="00DA5E46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La fecha y duración de la misión y la fecha en que se aprobó el informe final;</w:t>
      </w:r>
    </w:p>
    <w:p w14:paraId="1232BBDA" w14:textId="77777777" w:rsidR="00DA5E46" w:rsidRPr="00462F2E" w:rsidRDefault="00DA5E46" w:rsidP="00DA5E46">
      <w:pPr>
        <w:spacing w:after="0" w:line="240" w:lineRule="auto"/>
        <w:rPr>
          <w:lang w:val="es-ES_tradnl"/>
        </w:rPr>
      </w:pPr>
    </w:p>
    <w:p w14:paraId="6D083C64" w14:textId="1DCC5DD5" w:rsidR="00DA5E46" w:rsidRPr="00462F2E" w:rsidRDefault="00DA5E46" w:rsidP="00DA5E46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Una declaración de la composición del equipo de la misión, asegurándose de que </w:t>
      </w:r>
      <w:r w:rsidR="00BA17D0" w:rsidRPr="00462F2E">
        <w:rPr>
          <w:lang w:val="es-ES_tradnl"/>
        </w:rPr>
        <w:t xml:space="preserve">quede clara </w:t>
      </w:r>
      <w:r w:rsidRPr="00462F2E">
        <w:rPr>
          <w:lang w:val="es-ES_tradnl"/>
        </w:rPr>
        <w:t xml:space="preserve">la </w:t>
      </w:r>
      <w:r w:rsidR="00BA17D0" w:rsidRPr="00462F2E">
        <w:rPr>
          <w:lang w:val="es-ES_tradnl"/>
        </w:rPr>
        <w:t>a</w:t>
      </w:r>
      <w:r w:rsidRPr="00462F2E">
        <w:rPr>
          <w:lang w:val="es-ES_tradnl"/>
        </w:rPr>
        <w:t>filiación general de cada miembro del equipo (</w:t>
      </w:r>
      <w:r w:rsidR="00BA17D0" w:rsidRPr="00462F2E">
        <w:rPr>
          <w:lang w:val="es-ES_tradnl"/>
        </w:rPr>
        <w:t>p. ej.</w:t>
      </w:r>
      <w:r w:rsidRPr="00462F2E">
        <w:rPr>
          <w:lang w:val="es-ES_tradnl"/>
        </w:rPr>
        <w:t xml:space="preserve">, </w:t>
      </w:r>
      <w:r w:rsidR="00BA17D0" w:rsidRPr="00462F2E">
        <w:rPr>
          <w:lang w:val="es-ES_tradnl"/>
        </w:rPr>
        <w:t>una</w:t>
      </w:r>
      <w:r w:rsidRPr="00462F2E">
        <w:rPr>
          <w:lang w:val="es-ES_tradnl"/>
        </w:rPr>
        <w:t xml:space="preserve"> Parte Contratante, la Secretaría, el GECT, una OIA, experto técnico independiente) y </w:t>
      </w:r>
      <w:r w:rsidR="00BA17D0" w:rsidRPr="00462F2E">
        <w:rPr>
          <w:lang w:val="es-ES_tradnl"/>
        </w:rPr>
        <w:t xml:space="preserve">de incluir </w:t>
      </w:r>
      <w:r w:rsidRPr="00462F2E">
        <w:rPr>
          <w:lang w:val="es-ES_tradnl"/>
        </w:rPr>
        <w:t xml:space="preserve">los nombres detallados y la información de contacto de </w:t>
      </w:r>
      <w:r w:rsidR="00BA17D0" w:rsidRPr="00462F2E">
        <w:rPr>
          <w:lang w:val="es-ES_tradnl"/>
        </w:rPr>
        <w:t xml:space="preserve">las personas en cada cargo </w:t>
      </w:r>
      <w:r w:rsidRPr="00462F2E">
        <w:rPr>
          <w:lang w:val="es-ES_tradnl"/>
        </w:rPr>
        <w:t>y las instituciones para el informe completo;</w:t>
      </w:r>
    </w:p>
    <w:p w14:paraId="05F71264" w14:textId="77777777" w:rsidR="000828A5" w:rsidRPr="00462F2E" w:rsidRDefault="000828A5" w:rsidP="000828A5">
      <w:pPr>
        <w:spacing w:after="0" w:line="240" w:lineRule="auto"/>
        <w:rPr>
          <w:lang w:val="es-ES_tradnl"/>
        </w:rPr>
      </w:pPr>
    </w:p>
    <w:p w14:paraId="73405483" w14:textId="44621DCE" w:rsidR="000828A5" w:rsidRPr="00462F2E" w:rsidRDefault="000828A5" w:rsidP="00DA5E46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Un enlace a los </w:t>
      </w:r>
      <w:r w:rsidR="00BA17D0" w:rsidRPr="00462F2E">
        <w:rPr>
          <w:lang w:val="es-ES_tradnl"/>
        </w:rPr>
        <w:t>t</w:t>
      </w:r>
      <w:r w:rsidRPr="00462F2E">
        <w:rPr>
          <w:lang w:val="es-ES_tradnl"/>
        </w:rPr>
        <w:t>érminos de referencia de la misión;</w:t>
      </w:r>
    </w:p>
    <w:p w14:paraId="20C5A7B7" w14:textId="77777777" w:rsidR="000828A5" w:rsidRPr="00462F2E" w:rsidRDefault="000828A5" w:rsidP="000828A5">
      <w:pPr>
        <w:spacing w:after="0" w:line="240" w:lineRule="auto"/>
        <w:rPr>
          <w:lang w:val="es-ES_tradnl"/>
        </w:rPr>
      </w:pPr>
    </w:p>
    <w:p w14:paraId="3AFC28F4" w14:textId="50DC333E" w:rsidR="000828A5" w:rsidRPr="00462F2E" w:rsidRDefault="000828A5" w:rsidP="00DA5E46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Las principales conclusiones derivadas de la MRA;</w:t>
      </w:r>
    </w:p>
    <w:p w14:paraId="2AA6C151" w14:textId="77777777" w:rsidR="000828A5" w:rsidRPr="00462F2E" w:rsidRDefault="000828A5" w:rsidP="000828A5">
      <w:pPr>
        <w:spacing w:after="0" w:line="240" w:lineRule="auto"/>
        <w:rPr>
          <w:lang w:val="es-ES_tradnl"/>
        </w:rPr>
      </w:pPr>
    </w:p>
    <w:p w14:paraId="3001D1D9" w14:textId="48DBDD50" w:rsidR="000828A5" w:rsidRPr="00462F2E" w:rsidRDefault="005D2809" w:rsidP="00DA5E46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Las recomendaciones de la</w:t>
      </w:r>
      <w:r w:rsidR="000828A5" w:rsidRPr="00462F2E">
        <w:rPr>
          <w:lang w:val="es-ES_tradnl"/>
        </w:rPr>
        <w:t xml:space="preserve"> MRA;</w:t>
      </w:r>
    </w:p>
    <w:p w14:paraId="44EED981" w14:textId="77777777" w:rsidR="000828A5" w:rsidRPr="00462F2E" w:rsidRDefault="000828A5" w:rsidP="000828A5">
      <w:pPr>
        <w:spacing w:after="0" w:line="240" w:lineRule="auto"/>
        <w:rPr>
          <w:lang w:val="es-ES_tradnl"/>
        </w:rPr>
      </w:pPr>
    </w:p>
    <w:p w14:paraId="43664195" w14:textId="3ED50D5B" w:rsidR="000828A5" w:rsidRPr="00462F2E" w:rsidRDefault="000828A5" w:rsidP="00DA5E46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Una declaración sobre cómo se habrá de darse seguimiento a las conclusiones y recomendaciones</w:t>
      </w:r>
      <w:r w:rsidR="00BA17D0" w:rsidRPr="00462F2E">
        <w:rPr>
          <w:lang w:val="es-ES_tradnl"/>
        </w:rPr>
        <w:t xml:space="preserve"> de la misión</w:t>
      </w:r>
      <w:r w:rsidRPr="00462F2E">
        <w:rPr>
          <w:lang w:val="es-ES_tradnl"/>
        </w:rPr>
        <w:t>.</w:t>
      </w:r>
    </w:p>
    <w:p w14:paraId="07160C96" w14:textId="77777777" w:rsidR="002230A2" w:rsidRPr="00462F2E" w:rsidRDefault="002230A2" w:rsidP="002230A2">
      <w:pPr>
        <w:spacing w:after="0" w:line="240" w:lineRule="auto"/>
        <w:ind w:left="425"/>
        <w:rPr>
          <w:lang w:val="es-ES_tradnl"/>
        </w:rPr>
      </w:pPr>
    </w:p>
    <w:p w14:paraId="7B22658C" w14:textId="7F0BB148" w:rsidR="007022BA" w:rsidRPr="001A288A" w:rsidRDefault="001A288A" w:rsidP="001A288A">
      <w:pPr>
        <w:spacing w:after="0" w:line="240" w:lineRule="auto"/>
        <w:ind w:left="425" w:hanging="425"/>
      </w:pPr>
      <w:r>
        <w:lastRenderedPageBreak/>
        <w:t>13.</w:t>
      </w:r>
      <w:r>
        <w:tab/>
      </w:r>
      <w:r w:rsidR="007022BA" w:rsidRPr="001A288A">
        <w:t>La versión definitiva del</w:t>
      </w:r>
      <w:r w:rsidR="000828A5" w:rsidRPr="001A288A">
        <w:t xml:space="preserve"> resumen ejecutivo (es decir, una vez que el texto haya sido </w:t>
      </w:r>
      <w:r w:rsidR="00BA17D0" w:rsidRPr="001A288A">
        <w:t>aprobado</w:t>
      </w:r>
      <w:r w:rsidR="000828A5" w:rsidRPr="001A288A">
        <w:t xml:space="preserve"> por la Parte Contratante y la Secretaría) debe</w:t>
      </w:r>
      <w:r w:rsidR="00BA17D0" w:rsidRPr="001A288A">
        <w:t>rá</w:t>
      </w:r>
      <w:r w:rsidR="000828A5" w:rsidRPr="001A288A">
        <w:t xml:space="preserve"> traducirse a los demás idiomas oficiales de la Convención y publicarse en las páginas de noticias del sitio web de Ramsar como documento de acceso público.</w:t>
      </w:r>
    </w:p>
    <w:p w14:paraId="7F631637" w14:textId="77777777" w:rsidR="007022BA" w:rsidRPr="001A288A" w:rsidRDefault="007022BA" w:rsidP="001A288A">
      <w:pPr>
        <w:spacing w:after="0" w:line="240" w:lineRule="auto"/>
        <w:ind w:left="425" w:hanging="425"/>
      </w:pPr>
    </w:p>
    <w:p w14:paraId="6990705D" w14:textId="7E9D14BC" w:rsidR="007022BA" w:rsidRPr="001A288A" w:rsidRDefault="001A288A" w:rsidP="001A288A">
      <w:pPr>
        <w:spacing w:after="0" w:line="240" w:lineRule="auto"/>
        <w:ind w:left="425" w:hanging="425"/>
      </w:pPr>
      <w:r>
        <w:t>14.</w:t>
      </w:r>
      <w:r>
        <w:tab/>
      </w:r>
      <w:r w:rsidR="007022BA" w:rsidRPr="001A288A">
        <w:t xml:space="preserve">Es importante que </w:t>
      </w:r>
      <w:r w:rsidR="005D2809" w:rsidRPr="001A288A">
        <w:t xml:space="preserve">en los informes de las MRA </w:t>
      </w:r>
      <w:r w:rsidR="007022BA" w:rsidRPr="001A288A">
        <w:t xml:space="preserve">se mantenga la flexibilidad y no se intente imponer </w:t>
      </w:r>
      <w:r w:rsidR="005D2809" w:rsidRPr="001A288A">
        <w:t>la misma</w:t>
      </w:r>
      <w:r w:rsidR="007022BA" w:rsidRPr="001A288A">
        <w:t xml:space="preserve"> estructura </w:t>
      </w:r>
      <w:r w:rsidR="005D2809" w:rsidRPr="001A288A">
        <w:t>para todos los casos</w:t>
      </w:r>
      <w:r w:rsidR="007022BA" w:rsidRPr="001A288A">
        <w:t>. No obstante, se recomienda que siempre se incluyan los elementos enumerados a continuación y que estos sean fácilmente identificables a partir de los títulos y subtítulos utilizados en el informe:</w:t>
      </w:r>
    </w:p>
    <w:p w14:paraId="28EBA9B5" w14:textId="77777777" w:rsidR="002230A2" w:rsidRPr="00462F2E" w:rsidRDefault="002230A2" w:rsidP="007022BA">
      <w:pPr>
        <w:spacing w:after="0" w:line="240" w:lineRule="auto"/>
        <w:rPr>
          <w:lang w:val="es-ES_tradnl"/>
        </w:rPr>
      </w:pPr>
    </w:p>
    <w:p w14:paraId="73DA4351" w14:textId="063FAFC7" w:rsidR="00171C2D" w:rsidRPr="00462F2E" w:rsidRDefault="007022BA" w:rsidP="002230A2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Resumen ejecutivo</w:t>
      </w:r>
      <w:r w:rsidR="00171C2D" w:rsidRPr="00462F2E">
        <w:rPr>
          <w:lang w:val="es-ES_tradnl"/>
        </w:rPr>
        <w:t>.</w:t>
      </w:r>
    </w:p>
    <w:p w14:paraId="17556DF8" w14:textId="77777777" w:rsidR="002230A2" w:rsidRPr="00462F2E" w:rsidRDefault="002230A2" w:rsidP="002230A2">
      <w:pPr>
        <w:spacing w:after="0" w:line="240" w:lineRule="auto"/>
        <w:ind w:left="425"/>
        <w:rPr>
          <w:lang w:val="es-ES_tradnl"/>
        </w:rPr>
      </w:pPr>
    </w:p>
    <w:p w14:paraId="6E4E682E" w14:textId="3B0D2F9B" w:rsidR="007022BA" w:rsidRPr="00462F2E" w:rsidRDefault="007022BA" w:rsidP="007022BA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Antecedentes de la misión (breve resumen de las consultas que dieron </w:t>
      </w:r>
      <w:r w:rsidR="005D2809" w:rsidRPr="00462F2E">
        <w:rPr>
          <w:lang w:val="es-ES_tradnl"/>
        </w:rPr>
        <w:t xml:space="preserve">lugar al inicio </w:t>
      </w:r>
      <w:r w:rsidRPr="00462F2E">
        <w:rPr>
          <w:lang w:val="es-ES_tradnl"/>
        </w:rPr>
        <w:t xml:space="preserve">de la MRA). </w:t>
      </w:r>
    </w:p>
    <w:p w14:paraId="78D63E91" w14:textId="77777777" w:rsidR="007022BA" w:rsidRPr="00462F2E" w:rsidRDefault="007022BA" w:rsidP="007022BA">
      <w:pPr>
        <w:spacing w:after="0" w:line="240" w:lineRule="auto"/>
        <w:rPr>
          <w:lang w:val="es-ES_tradnl"/>
        </w:rPr>
      </w:pPr>
    </w:p>
    <w:p w14:paraId="504FD262" w14:textId="28ECEDB7" w:rsidR="007022BA" w:rsidRPr="00462F2E" w:rsidRDefault="007022BA" w:rsidP="007022BA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Una breve descripción del sitio que incluya un mapa de la ubicación (a escala nacional) y un mapa del sitio (que muestre los límites del sitio Ramsar) así como enlaces a la </w:t>
      </w:r>
      <w:r w:rsidRPr="00462F2E">
        <w:rPr>
          <w:rFonts w:eastAsia="Times New Roman" w:cs="Times New Roman"/>
          <w:lang w:val="es-ES_tradnl"/>
        </w:rPr>
        <w:t>Ficha Informativa de Ramsar</w:t>
      </w:r>
      <w:r w:rsidRPr="00462F2E">
        <w:rPr>
          <w:lang w:val="es-ES_tradnl"/>
        </w:rPr>
        <w:t>, pero evitando descripciones técnica</w:t>
      </w:r>
      <w:r w:rsidR="00BA17D0" w:rsidRPr="00462F2E">
        <w:rPr>
          <w:lang w:val="es-ES_tradnl"/>
        </w:rPr>
        <w:t>s extensas cuando estas carezcan</w:t>
      </w:r>
      <w:r w:rsidRPr="00462F2E">
        <w:rPr>
          <w:lang w:val="es-ES_tradnl"/>
        </w:rPr>
        <w:t xml:space="preserve"> de una relación directa con las cuestiones específicas que la MRA está abordando.</w:t>
      </w:r>
    </w:p>
    <w:p w14:paraId="37C27550" w14:textId="77777777" w:rsidR="007022BA" w:rsidRPr="00462F2E" w:rsidRDefault="007022BA" w:rsidP="007022BA">
      <w:pPr>
        <w:spacing w:after="0" w:line="240" w:lineRule="auto"/>
        <w:rPr>
          <w:lang w:val="es-ES_tradnl"/>
        </w:rPr>
      </w:pPr>
    </w:p>
    <w:p w14:paraId="6E1A29A1" w14:textId="77777777" w:rsidR="00FF6E9E" w:rsidRPr="00462F2E" w:rsidRDefault="007022BA" w:rsidP="00FF6E9E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Un resumen de la situación actual, </w:t>
      </w:r>
      <w:r w:rsidR="00FF6E9E" w:rsidRPr="00462F2E">
        <w:rPr>
          <w:lang w:val="es-ES_tradnl"/>
        </w:rPr>
        <w:t>según la evaluación</w:t>
      </w:r>
      <w:r w:rsidRPr="00462F2E">
        <w:rPr>
          <w:lang w:val="es-ES_tradnl"/>
        </w:rPr>
        <w:t xml:space="preserve"> </w:t>
      </w:r>
      <w:r w:rsidR="00FF6E9E" w:rsidRPr="00462F2E">
        <w:rPr>
          <w:lang w:val="es-ES_tradnl"/>
        </w:rPr>
        <w:t>d</w:t>
      </w:r>
      <w:r w:rsidRPr="00462F2E">
        <w:rPr>
          <w:lang w:val="es-ES_tradnl"/>
        </w:rPr>
        <w:t>el equipo de la MRA, que se centre en los hallazgos y conclusiones que correspondan a los temas centrales de la misión</w:t>
      </w:r>
      <w:r w:rsidR="00FF6E9E" w:rsidRPr="00462F2E">
        <w:rPr>
          <w:lang w:val="es-ES_tradnl"/>
        </w:rPr>
        <w:t>.</w:t>
      </w:r>
    </w:p>
    <w:p w14:paraId="518427E1" w14:textId="77777777" w:rsidR="00FF6E9E" w:rsidRPr="00462F2E" w:rsidRDefault="00FF6E9E" w:rsidP="00FF6E9E">
      <w:pPr>
        <w:spacing w:after="0" w:line="240" w:lineRule="auto"/>
        <w:rPr>
          <w:lang w:val="es-ES_tradnl"/>
        </w:rPr>
      </w:pPr>
    </w:p>
    <w:p w14:paraId="154D0C9C" w14:textId="77777777" w:rsidR="00FF6E9E" w:rsidRPr="00462F2E" w:rsidRDefault="00FF6E9E" w:rsidP="00FF6E9E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Una lista separada en la que se enumeren todas las recomendaciones.</w:t>
      </w:r>
    </w:p>
    <w:p w14:paraId="62634942" w14:textId="77777777" w:rsidR="00FF6E9E" w:rsidRPr="00462F2E" w:rsidRDefault="00FF6E9E" w:rsidP="00FF6E9E">
      <w:pPr>
        <w:spacing w:after="0" w:line="240" w:lineRule="auto"/>
        <w:rPr>
          <w:lang w:val="es-ES_tradnl"/>
        </w:rPr>
      </w:pPr>
    </w:p>
    <w:p w14:paraId="68D37E04" w14:textId="77777777" w:rsidR="00FF6E9E" w:rsidRPr="00462F2E" w:rsidRDefault="00FF6E9E" w:rsidP="00FF6E9E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Una sección sobre el seguimiento de las recomendaciones de la misión.</w:t>
      </w:r>
    </w:p>
    <w:p w14:paraId="66C6CE60" w14:textId="77777777" w:rsidR="00FF6E9E" w:rsidRPr="00462F2E" w:rsidRDefault="00FF6E9E" w:rsidP="00FF6E9E">
      <w:pPr>
        <w:spacing w:after="0" w:line="240" w:lineRule="auto"/>
        <w:rPr>
          <w:lang w:val="es-ES_tradnl"/>
        </w:rPr>
      </w:pPr>
    </w:p>
    <w:p w14:paraId="3320492C" w14:textId="52826572" w:rsidR="00FF6E9E" w:rsidRPr="00462F2E" w:rsidRDefault="00BA17D0" w:rsidP="00FF6E9E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Los t</w:t>
      </w:r>
      <w:r w:rsidR="00FF6E9E" w:rsidRPr="00462F2E">
        <w:rPr>
          <w:lang w:val="es-ES_tradnl"/>
        </w:rPr>
        <w:t>érminos de referencia de la misión (probablemente como anexo).</w:t>
      </w:r>
    </w:p>
    <w:p w14:paraId="42BFCB2A" w14:textId="77777777" w:rsidR="00FF6E9E" w:rsidRPr="00462F2E" w:rsidRDefault="00FF6E9E" w:rsidP="00FF6E9E">
      <w:pPr>
        <w:spacing w:after="0" w:line="240" w:lineRule="auto"/>
        <w:rPr>
          <w:lang w:val="es-ES_tradnl"/>
        </w:rPr>
      </w:pPr>
    </w:p>
    <w:p w14:paraId="38DF1F10" w14:textId="77777777" w:rsidR="00FF6E9E" w:rsidRPr="00462F2E" w:rsidRDefault="00FF6E9E" w:rsidP="00FF6E9E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Composición del equipo de la MRA (en un anexo, si no se incluye en los TdR).</w:t>
      </w:r>
    </w:p>
    <w:p w14:paraId="3497D84A" w14:textId="77777777" w:rsidR="00FF6E9E" w:rsidRPr="00462F2E" w:rsidRDefault="00FF6E9E" w:rsidP="00FF6E9E">
      <w:pPr>
        <w:spacing w:after="0" w:line="240" w:lineRule="auto"/>
        <w:rPr>
          <w:lang w:val="es-ES_tradnl"/>
        </w:rPr>
      </w:pPr>
    </w:p>
    <w:p w14:paraId="13FD0892" w14:textId="77777777" w:rsidR="00FF6E9E" w:rsidRPr="00462F2E" w:rsidRDefault="00FF6E9E" w:rsidP="00FF6E9E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Programa de la misión de campo (anexo).</w:t>
      </w:r>
    </w:p>
    <w:p w14:paraId="1180A286" w14:textId="77777777" w:rsidR="00FF6E9E" w:rsidRPr="00462F2E" w:rsidRDefault="00FF6E9E" w:rsidP="00FF6E9E">
      <w:pPr>
        <w:spacing w:after="0" w:line="240" w:lineRule="auto"/>
        <w:rPr>
          <w:lang w:val="es-ES_tradnl"/>
        </w:rPr>
      </w:pPr>
    </w:p>
    <w:p w14:paraId="375487EA" w14:textId="1DCFE9D0" w:rsidR="00FF6E9E" w:rsidRPr="00462F2E" w:rsidRDefault="00FF6E9E" w:rsidP="00FF6E9E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Lista de </w:t>
      </w:r>
      <w:r w:rsidR="00042DFF" w:rsidRPr="00462F2E">
        <w:rPr>
          <w:lang w:val="es-ES_tradnl"/>
        </w:rPr>
        <w:t>interesado</w:t>
      </w:r>
      <w:r w:rsidRPr="00462F2E">
        <w:rPr>
          <w:lang w:val="es-ES_tradnl"/>
        </w:rPr>
        <w:t>s consu</w:t>
      </w:r>
      <w:r w:rsidR="00042DFF" w:rsidRPr="00462F2E">
        <w:rPr>
          <w:lang w:val="es-ES_tradnl"/>
        </w:rPr>
        <w:t>ltado</w:t>
      </w:r>
      <w:r w:rsidRPr="00462F2E">
        <w:rPr>
          <w:lang w:val="es-ES_tradnl"/>
        </w:rPr>
        <w:t>s y otros colaboradores (anexo).</w:t>
      </w:r>
    </w:p>
    <w:p w14:paraId="23C768A3" w14:textId="77777777" w:rsidR="00171C2D" w:rsidRPr="00462F2E" w:rsidRDefault="00171C2D" w:rsidP="00D876D8">
      <w:pPr>
        <w:spacing w:after="0" w:line="240" w:lineRule="auto"/>
        <w:rPr>
          <w:lang w:val="es-ES_tradnl"/>
        </w:rPr>
      </w:pPr>
    </w:p>
    <w:p w14:paraId="4DAF9389" w14:textId="26E6793F" w:rsidR="0051378B" w:rsidRPr="001A288A" w:rsidRDefault="001A288A" w:rsidP="001A288A">
      <w:pPr>
        <w:spacing w:after="0" w:line="240" w:lineRule="auto"/>
        <w:ind w:left="425" w:hanging="425"/>
      </w:pPr>
      <w:r>
        <w:t>15.</w:t>
      </w:r>
      <w:r>
        <w:tab/>
      </w:r>
      <w:r w:rsidR="0051378B" w:rsidRPr="001A288A">
        <w:t xml:space="preserve">Se recomienda que los futuros informes de las MRA </w:t>
      </w:r>
      <w:r w:rsidR="002E05B0" w:rsidRPr="001A288A">
        <w:t>consideren los puntos siguientes</w:t>
      </w:r>
      <w:r w:rsidR="0051378B" w:rsidRPr="001A288A">
        <w:t>:</w:t>
      </w:r>
    </w:p>
    <w:p w14:paraId="6590D3DF" w14:textId="77777777" w:rsidR="005C1743" w:rsidRPr="00462F2E" w:rsidRDefault="005C1743" w:rsidP="002230A2">
      <w:pPr>
        <w:spacing w:after="0" w:line="240" w:lineRule="auto"/>
        <w:ind w:left="425" w:hanging="425"/>
        <w:rPr>
          <w:lang w:val="es-ES_tradnl"/>
        </w:rPr>
      </w:pPr>
    </w:p>
    <w:p w14:paraId="745831B7" w14:textId="4D2C3D40" w:rsidR="002E05B0" w:rsidRPr="00462F2E" w:rsidRDefault="002E05B0" w:rsidP="002E05B0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Garantizar que las recomendaciones estén claramente vinculadas a los hallazgos y conclusiones y que estos a su vez estén clarament</w:t>
      </w:r>
      <w:r w:rsidR="00C638D7" w:rsidRPr="00462F2E">
        <w:rPr>
          <w:lang w:val="es-ES_tradnl"/>
        </w:rPr>
        <w:t>e vinculado</w:t>
      </w:r>
      <w:r w:rsidR="00BA17D0" w:rsidRPr="00462F2E">
        <w:rPr>
          <w:lang w:val="es-ES_tradnl"/>
        </w:rPr>
        <w:t>s a los t</w:t>
      </w:r>
      <w:r w:rsidRPr="00462F2E">
        <w:rPr>
          <w:lang w:val="es-ES_tradnl"/>
        </w:rPr>
        <w:t>érminos de referencia de la misión;</w:t>
      </w:r>
    </w:p>
    <w:p w14:paraId="7A24E487" w14:textId="77777777" w:rsidR="002E05B0" w:rsidRPr="00462F2E" w:rsidRDefault="002E05B0" w:rsidP="002E05B0">
      <w:pPr>
        <w:spacing w:after="0" w:line="240" w:lineRule="auto"/>
        <w:ind w:left="850"/>
        <w:rPr>
          <w:lang w:val="es-ES_tradnl"/>
        </w:rPr>
      </w:pPr>
    </w:p>
    <w:p w14:paraId="63609B0B" w14:textId="7D4E8778" w:rsidR="002E05B0" w:rsidRPr="00462F2E" w:rsidRDefault="002E05B0" w:rsidP="002E05B0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Garantizar que las recomendaciones sean claramente identificadas como tales en los informes de las MRA;</w:t>
      </w:r>
    </w:p>
    <w:p w14:paraId="17CCB44D" w14:textId="77777777" w:rsidR="002E05B0" w:rsidRPr="00462F2E" w:rsidRDefault="002E05B0" w:rsidP="002E05B0">
      <w:pPr>
        <w:spacing w:after="0" w:line="240" w:lineRule="auto"/>
        <w:rPr>
          <w:lang w:val="es-ES_tradnl"/>
        </w:rPr>
      </w:pPr>
    </w:p>
    <w:p w14:paraId="70FF68D8" w14:textId="77777777" w:rsidR="002E05B0" w:rsidRPr="00462F2E" w:rsidRDefault="002E05B0" w:rsidP="002E05B0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 xml:space="preserve">Garantizar que las recomendaciones estén numeradas para simplificar lo más posible las referencias cruzadas de seguimiento; </w:t>
      </w:r>
    </w:p>
    <w:p w14:paraId="16BE280B" w14:textId="77777777" w:rsidR="002E05B0" w:rsidRPr="00462F2E" w:rsidRDefault="002E05B0" w:rsidP="002E05B0">
      <w:pPr>
        <w:spacing w:after="0" w:line="240" w:lineRule="auto"/>
        <w:rPr>
          <w:lang w:val="es-ES_tradnl"/>
        </w:rPr>
      </w:pPr>
    </w:p>
    <w:p w14:paraId="6138FDD7" w14:textId="77777777" w:rsidR="00837112" w:rsidRPr="00462F2E" w:rsidRDefault="002E05B0" w:rsidP="00837112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Agrupar las recomendaciones relacionadas bajo los subtítulos correspondientes;</w:t>
      </w:r>
    </w:p>
    <w:p w14:paraId="570B22AC" w14:textId="77777777" w:rsidR="00837112" w:rsidRPr="00462F2E" w:rsidRDefault="00837112" w:rsidP="00837112">
      <w:pPr>
        <w:spacing w:after="0" w:line="240" w:lineRule="auto"/>
        <w:rPr>
          <w:lang w:val="es-ES_tradnl"/>
        </w:rPr>
      </w:pPr>
    </w:p>
    <w:p w14:paraId="7C16907E" w14:textId="3D5DCE28" w:rsidR="00837112" w:rsidRPr="00462F2E" w:rsidRDefault="00837112" w:rsidP="00837112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Distinguir entre las medidas a corto, mediano y largo plazo;</w:t>
      </w:r>
    </w:p>
    <w:p w14:paraId="6D2086FA" w14:textId="77777777" w:rsidR="005C1743" w:rsidRPr="00462F2E" w:rsidRDefault="005C1743" w:rsidP="00837112">
      <w:pPr>
        <w:spacing w:after="0" w:line="240" w:lineRule="auto"/>
        <w:rPr>
          <w:lang w:val="es-ES_tradnl"/>
        </w:rPr>
      </w:pPr>
    </w:p>
    <w:p w14:paraId="13E71E22" w14:textId="1E05CEF1" w:rsidR="00171C2D" w:rsidRPr="00462F2E" w:rsidRDefault="00837112" w:rsidP="005C1743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lastRenderedPageBreak/>
        <w:t>Comprobar si cada recomendación</w:t>
      </w:r>
      <w:r w:rsidR="00171C2D" w:rsidRPr="00462F2E">
        <w:rPr>
          <w:lang w:val="es-ES_tradnl"/>
        </w:rPr>
        <w:t>:</w:t>
      </w:r>
    </w:p>
    <w:p w14:paraId="247BB4D4" w14:textId="116ED990" w:rsidR="00171C2D" w:rsidRPr="00462F2E" w:rsidRDefault="00171C2D" w:rsidP="005C1743">
      <w:pPr>
        <w:pStyle w:val="ListParagraph"/>
        <w:numPr>
          <w:ilvl w:val="1"/>
          <w:numId w:val="7"/>
        </w:numPr>
        <w:spacing w:after="0" w:line="240" w:lineRule="auto"/>
        <w:ind w:left="1276" w:hanging="425"/>
        <w:rPr>
          <w:rFonts w:cstheme="minorHAnsi"/>
          <w:lang w:val="es-ES_tradnl" w:eastAsia="ja-JP"/>
        </w:rPr>
      </w:pPr>
      <w:r w:rsidRPr="00462F2E">
        <w:rPr>
          <w:rFonts w:cstheme="minorHAnsi"/>
          <w:lang w:val="es-ES_tradnl" w:eastAsia="ja-JP"/>
        </w:rPr>
        <w:t>Identifi</w:t>
      </w:r>
      <w:r w:rsidR="00AE2076" w:rsidRPr="00462F2E">
        <w:rPr>
          <w:rFonts w:cstheme="minorHAnsi"/>
          <w:lang w:val="es-ES_tradnl" w:eastAsia="ja-JP"/>
        </w:rPr>
        <w:t>ca claramente las medidas que deben adoptarse</w:t>
      </w:r>
      <w:r w:rsidR="00837112" w:rsidRPr="00462F2E">
        <w:rPr>
          <w:rFonts w:cstheme="minorHAnsi"/>
          <w:lang w:val="es-ES_tradnl" w:eastAsia="ja-JP"/>
        </w:rPr>
        <w:t xml:space="preserve"> </w:t>
      </w:r>
    </w:p>
    <w:p w14:paraId="00785CC0" w14:textId="0E2C0EB7" w:rsidR="00837112" w:rsidRPr="00462F2E" w:rsidRDefault="00E945BE" w:rsidP="005C1743">
      <w:pPr>
        <w:pStyle w:val="ListParagraph"/>
        <w:numPr>
          <w:ilvl w:val="1"/>
          <w:numId w:val="7"/>
        </w:numPr>
        <w:spacing w:after="0" w:line="240" w:lineRule="auto"/>
        <w:ind w:left="1276" w:hanging="425"/>
        <w:rPr>
          <w:rFonts w:cstheme="minorHAnsi"/>
          <w:lang w:val="es-ES_tradnl" w:eastAsia="ja-JP"/>
        </w:rPr>
      </w:pPr>
      <w:r w:rsidRPr="00462F2E">
        <w:rPr>
          <w:rFonts w:cstheme="minorHAnsi"/>
          <w:lang w:val="es-ES_tradnl" w:eastAsia="ja-JP"/>
        </w:rPr>
        <w:t>Detalla</w:t>
      </w:r>
      <w:r w:rsidR="00AE2076" w:rsidRPr="00462F2E">
        <w:rPr>
          <w:rFonts w:cstheme="minorHAnsi"/>
          <w:lang w:val="es-ES_tradnl" w:eastAsia="ja-JP"/>
        </w:rPr>
        <w:t xml:space="preserve"> q</w:t>
      </w:r>
      <w:r w:rsidR="00837112" w:rsidRPr="00462F2E">
        <w:rPr>
          <w:rFonts w:cstheme="minorHAnsi"/>
          <w:lang w:val="es-ES_tradnl" w:eastAsia="ja-JP"/>
        </w:rPr>
        <w:t>uién adopta las medidas</w:t>
      </w:r>
      <w:r w:rsidR="00171C2D" w:rsidRPr="00462F2E">
        <w:rPr>
          <w:rFonts w:cstheme="minorHAnsi"/>
          <w:lang w:val="es-ES_tradnl" w:eastAsia="ja-JP"/>
        </w:rPr>
        <w:t xml:space="preserve"> </w:t>
      </w:r>
      <w:r w:rsidR="00837112" w:rsidRPr="00462F2E">
        <w:rPr>
          <w:rFonts w:cstheme="minorHAnsi"/>
          <w:lang w:val="es-ES_tradnl" w:eastAsia="ja-JP"/>
        </w:rPr>
        <w:t>(</w:t>
      </w:r>
      <w:r w:rsidR="00AE2076" w:rsidRPr="00462F2E">
        <w:rPr>
          <w:rFonts w:cstheme="minorHAnsi"/>
          <w:lang w:val="es-ES_tradnl" w:eastAsia="ja-JP"/>
        </w:rPr>
        <w:t>de la manera</w:t>
      </w:r>
      <w:r w:rsidR="00837112" w:rsidRPr="00462F2E">
        <w:rPr>
          <w:rFonts w:cstheme="minorHAnsi"/>
          <w:lang w:val="es-ES_tradnl" w:eastAsia="ja-JP"/>
        </w:rPr>
        <w:t xml:space="preserve"> </w:t>
      </w:r>
      <w:r w:rsidR="00AE2076" w:rsidRPr="00462F2E">
        <w:rPr>
          <w:rFonts w:cstheme="minorHAnsi"/>
          <w:lang w:val="es-ES_tradnl" w:eastAsia="ja-JP"/>
        </w:rPr>
        <w:t>más específica posible y considerando</w:t>
      </w:r>
      <w:r w:rsidR="00837112" w:rsidRPr="00462F2E">
        <w:rPr>
          <w:rFonts w:cstheme="minorHAnsi"/>
          <w:lang w:val="es-ES_tradnl" w:eastAsia="ja-JP"/>
        </w:rPr>
        <w:t xml:space="preserve"> las medidas que exigen el gobierno, </w:t>
      </w:r>
      <w:r w:rsidR="00AE2076" w:rsidRPr="00462F2E">
        <w:rPr>
          <w:rFonts w:cstheme="minorHAnsi"/>
          <w:lang w:val="es-ES_tradnl" w:eastAsia="ja-JP"/>
        </w:rPr>
        <w:t xml:space="preserve">los </w:t>
      </w:r>
      <w:r w:rsidR="00837112" w:rsidRPr="00462F2E">
        <w:rPr>
          <w:rFonts w:cstheme="minorHAnsi"/>
          <w:lang w:val="es-ES_tradnl" w:eastAsia="ja-JP"/>
        </w:rPr>
        <w:t>organismos del se</w:t>
      </w:r>
      <w:r w:rsidR="00BA17D0" w:rsidRPr="00462F2E">
        <w:rPr>
          <w:rFonts w:cstheme="minorHAnsi"/>
          <w:lang w:val="es-ES_tradnl" w:eastAsia="ja-JP"/>
        </w:rPr>
        <w:t>ctor público, el sector privado o</w:t>
      </w:r>
      <w:r w:rsidR="00837112" w:rsidRPr="00462F2E">
        <w:rPr>
          <w:rFonts w:cstheme="minorHAnsi"/>
          <w:lang w:val="es-ES_tradnl" w:eastAsia="ja-JP"/>
        </w:rPr>
        <w:t xml:space="preserve"> la sociedad civil) </w:t>
      </w:r>
    </w:p>
    <w:p w14:paraId="59693BF4" w14:textId="1FD3F2CB" w:rsidR="00171C2D" w:rsidRPr="00462F2E" w:rsidRDefault="00E945BE" w:rsidP="005C1743">
      <w:pPr>
        <w:pStyle w:val="ListParagraph"/>
        <w:numPr>
          <w:ilvl w:val="1"/>
          <w:numId w:val="7"/>
        </w:numPr>
        <w:spacing w:after="0" w:line="240" w:lineRule="auto"/>
        <w:ind w:left="1276" w:hanging="425"/>
        <w:rPr>
          <w:rFonts w:cstheme="minorHAnsi"/>
          <w:lang w:val="es-ES_tradnl" w:eastAsia="ja-JP"/>
        </w:rPr>
      </w:pPr>
      <w:r w:rsidRPr="00462F2E">
        <w:rPr>
          <w:rFonts w:cstheme="minorHAnsi"/>
          <w:lang w:val="es-ES_tradnl" w:eastAsia="ja-JP"/>
        </w:rPr>
        <w:t>Define</w:t>
      </w:r>
      <w:r w:rsidR="00042DFF" w:rsidRPr="00462F2E">
        <w:rPr>
          <w:rFonts w:cstheme="minorHAnsi"/>
          <w:lang w:val="es-ES_tradnl" w:eastAsia="ja-JP"/>
        </w:rPr>
        <w:t xml:space="preserve"> el plazo</w:t>
      </w:r>
    </w:p>
    <w:p w14:paraId="2A7F6D5D" w14:textId="4622F3DB" w:rsidR="00AE2076" w:rsidRPr="00462F2E" w:rsidRDefault="00E945BE" w:rsidP="00AE2076">
      <w:pPr>
        <w:pStyle w:val="ListParagraph"/>
        <w:numPr>
          <w:ilvl w:val="1"/>
          <w:numId w:val="7"/>
        </w:numPr>
        <w:spacing w:after="0" w:line="240" w:lineRule="auto"/>
        <w:ind w:left="1276" w:hanging="425"/>
        <w:rPr>
          <w:rFonts w:cstheme="minorHAnsi"/>
          <w:lang w:val="es-ES_tradnl" w:eastAsia="ja-JP"/>
        </w:rPr>
      </w:pPr>
      <w:r w:rsidRPr="00462F2E">
        <w:rPr>
          <w:rFonts w:cstheme="minorHAnsi"/>
          <w:lang w:val="es-ES_tradnl" w:eastAsia="ja-JP"/>
        </w:rPr>
        <w:t>Especifica</w:t>
      </w:r>
      <w:r w:rsidR="00AE2076" w:rsidRPr="00462F2E">
        <w:rPr>
          <w:rFonts w:cstheme="minorHAnsi"/>
          <w:lang w:val="es-ES_tradnl" w:eastAsia="ja-JP"/>
        </w:rPr>
        <w:t xml:space="preserve"> las condi</w:t>
      </w:r>
      <w:r w:rsidR="00BA17D0" w:rsidRPr="00462F2E">
        <w:rPr>
          <w:rFonts w:cstheme="minorHAnsi"/>
          <w:lang w:val="es-ES_tradnl" w:eastAsia="ja-JP"/>
        </w:rPr>
        <w:t>ciones propicias a las que está</w:t>
      </w:r>
      <w:r w:rsidR="00AE2076" w:rsidRPr="00462F2E">
        <w:rPr>
          <w:rFonts w:cstheme="minorHAnsi"/>
          <w:lang w:val="es-ES_tradnl" w:eastAsia="ja-JP"/>
        </w:rPr>
        <w:t xml:space="preserve"> </w:t>
      </w:r>
      <w:r w:rsidR="00BA17D0" w:rsidRPr="00462F2E">
        <w:rPr>
          <w:rFonts w:cstheme="minorHAnsi"/>
          <w:lang w:val="es-ES_tradnl" w:eastAsia="ja-JP"/>
        </w:rPr>
        <w:t>sometida</w:t>
      </w:r>
    </w:p>
    <w:p w14:paraId="5A70D4BB" w14:textId="29CA719C" w:rsidR="00AE2076" w:rsidRPr="00462F2E" w:rsidRDefault="00AE2076" w:rsidP="00AE2076">
      <w:pPr>
        <w:pStyle w:val="ListParagraph"/>
        <w:numPr>
          <w:ilvl w:val="1"/>
          <w:numId w:val="7"/>
        </w:numPr>
        <w:spacing w:after="0" w:line="240" w:lineRule="auto"/>
        <w:ind w:left="1276" w:hanging="425"/>
        <w:rPr>
          <w:rFonts w:cstheme="minorHAnsi"/>
          <w:lang w:val="es-ES_tradnl" w:eastAsia="ja-JP"/>
        </w:rPr>
      </w:pPr>
      <w:r w:rsidRPr="00462F2E">
        <w:rPr>
          <w:rFonts w:cstheme="minorHAnsi"/>
          <w:lang w:val="es-ES_tradnl" w:eastAsia="ja-JP"/>
        </w:rPr>
        <w:t>Enumera los indicadores cuantificables de</w:t>
      </w:r>
      <w:r w:rsidR="00EA7F25" w:rsidRPr="00462F2E">
        <w:rPr>
          <w:rFonts w:cstheme="minorHAnsi"/>
          <w:lang w:val="es-ES_tradnl" w:eastAsia="ja-JP"/>
        </w:rPr>
        <w:t xml:space="preserve">: </w:t>
      </w:r>
      <w:r w:rsidRPr="00462F2E">
        <w:rPr>
          <w:rFonts w:cstheme="minorHAnsi"/>
          <w:lang w:val="es-ES_tradnl" w:eastAsia="ja-JP"/>
        </w:rPr>
        <w:t>a) la ejecución</w:t>
      </w:r>
      <w:r w:rsidR="00EA7F25" w:rsidRPr="00462F2E">
        <w:rPr>
          <w:rFonts w:cstheme="minorHAnsi"/>
          <w:lang w:val="es-ES_tradnl" w:eastAsia="ja-JP"/>
        </w:rPr>
        <w:t xml:space="preserve"> y </w:t>
      </w:r>
      <w:r w:rsidR="00E945BE" w:rsidRPr="00462F2E">
        <w:rPr>
          <w:rFonts w:cstheme="minorHAnsi"/>
          <w:lang w:val="es-ES_tradnl" w:eastAsia="ja-JP"/>
        </w:rPr>
        <w:t>b) el éxito</w:t>
      </w:r>
    </w:p>
    <w:p w14:paraId="7C89BA86" w14:textId="77777777" w:rsidR="00171C2D" w:rsidRPr="00462F2E" w:rsidRDefault="00171C2D" w:rsidP="00D876D8">
      <w:pPr>
        <w:pStyle w:val="ListParagraph"/>
        <w:spacing w:after="0" w:line="240" w:lineRule="auto"/>
        <w:ind w:left="0"/>
        <w:rPr>
          <w:rFonts w:cstheme="minorHAnsi"/>
          <w:lang w:val="es-ES_tradnl" w:eastAsia="ja-JP"/>
        </w:rPr>
      </w:pPr>
    </w:p>
    <w:p w14:paraId="1C6934CC" w14:textId="79850A81" w:rsidR="00171C2D" w:rsidRPr="00462F2E" w:rsidRDefault="00F74ACB" w:rsidP="00D876D8">
      <w:pPr>
        <w:numPr>
          <w:ilvl w:val="0"/>
          <w:numId w:val="2"/>
        </w:numPr>
        <w:spacing w:after="0" w:line="240" w:lineRule="auto"/>
        <w:ind w:left="850" w:hanging="425"/>
        <w:rPr>
          <w:lang w:val="es-ES_tradnl"/>
        </w:rPr>
      </w:pPr>
      <w:r w:rsidRPr="00462F2E">
        <w:rPr>
          <w:lang w:val="es-ES_tradnl"/>
        </w:rPr>
        <w:t>Textos relacionados con las</w:t>
      </w:r>
      <w:r w:rsidR="00AE22DB" w:rsidRPr="00462F2E">
        <w:rPr>
          <w:lang w:val="es-ES_tradnl"/>
        </w:rPr>
        <w:t xml:space="preserve"> recomendaciones </w:t>
      </w:r>
      <w:r w:rsidRPr="00462F2E">
        <w:rPr>
          <w:lang w:val="es-ES_tradnl"/>
        </w:rPr>
        <w:t>que contengan</w:t>
      </w:r>
      <w:r w:rsidR="00AE22DB" w:rsidRPr="00462F2E">
        <w:rPr>
          <w:lang w:val="es-ES_tradnl"/>
        </w:rPr>
        <w:t xml:space="preserve"> una tabla </w:t>
      </w:r>
      <w:r w:rsidR="00BA17D0" w:rsidRPr="00462F2E">
        <w:rPr>
          <w:lang w:val="es-ES_tradnl"/>
        </w:rPr>
        <w:t>sencilla</w:t>
      </w:r>
      <w:r w:rsidR="00AE22DB" w:rsidRPr="00462F2E">
        <w:rPr>
          <w:lang w:val="es-ES_tradnl"/>
        </w:rPr>
        <w:t xml:space="preserve"> de acciones </w:t>
      </w:r>
      <w:r w:rsidR="00BA17D0" w:rsidRPr="00462F2E">
        <w:rPr>
          <w:lang w:val="es-ES_tradnl"/>
        </w:rPr>
        <w:t>propuestas</w:t>
      </w:r>
      <w:r w:rsidR="00AE22DB" w:rsidRPr="00462F2E">
        <w:rPr>
          <w:lang w:val="es-ES_tradnl"/>
        </w:rPr>
        <w:t xml:space="preserve">, </w:t>
      </w:r>
      <w:r w:rsidRPr="00462F2E">
        <w:rPr>
          <w:lang w:val="es-ES_tradnl"/>
        </w:rPr>
        <w:t xml:space="preserve">cronogramas </w:t>
      </w:r>
      <w:r w:rsidR="00AE22DB" w:rsidRPr="00462F2E">
        <w:rPr>
          <w:lang w:val="es-ES_tradnl"/>
        </w:rPr>
        <w:t>(quizás relacionados con los trienios de Ramsar), grupos de interesados clave e indicadores prácticos de</w:t>
      </w:r>
      <w:r w:rsidRPr="00462F2E">
        <w:rPr>
          <w:lang w:val="es-ES_tradnl"/>
        </w:rPr>
        <w:t xml:space="preserve"> la</w:t>
      </w:r>
      <w:r w:rsidR="00AE22DB" w:rsidRPr="00462F2E">
        <w:rPr>
          <w:lang w:val="es-ES_tradnl"/>
        </w:rPr>
        <w:t xml:space="preserve"> ejecución eficaz</w:t>
      </w:r>
      <w:r w:rsidRPr="00462F2E">
        <w:rPr>
          <w:lang w:val="es-ES_tradnl"/>
        </w:rPr>
        <w:t xml:space="preserve">. </w:t>
      </w:r>
      <w:r w:rsidR="00AE22DB" w:rsidRPr="00462F2E">
        <w:rPr>
          <w:lang w:val="es-ES_tradnl"/>
        </w:rPr>
        <w:t>¿</w:t>
      </w:r>
      <w:r w:rsidRPr="00462F2E">
        <w:rPr>
          <w:lang w:val="es-ES_tradnl"/>
        </w:rPr>
        <w:t>C</w:t>
      </w:r>
      <w:r w:rsidR="00AE22DB" w:rsidRPr="00462F2E">
        <w:rPr>
          <w:lang w:val="es-ES_tradnl"/>
        </w:rPr>
        <w:t xml:space="preserve">ómo </w:t>
      </w:r>
      <w:r w:rsidRPr="00462F2E">
        <w:rPr>
          <w:lang w:val="es-ES_tradnl"/>
        </w:rPr>
        <w:t>se vigilarán los progresos realizados en el</w:t>
      </w:r>
      <w:r w:rsidR="00AE22DB" w:rsidRPr="00462F2E">
        <w:rPr>
          <w:lang w:val="es-ES_tradnl"/>
        </w:rPr>
        <w:t xml:space="preserve"> seguimiento de las recomendaciones de las MRA y quién </w:t>
      </w:r>
      <w:r w:rsidR="00B57E02" w:rsidRPr="00462F2E">
        <w:rPr>
          <w:lang w:val="es-ES_tradnl"/>
        </w:rPr>
        <w:t>lo llevará a cabo</w:t>
      </w:r>
      <w:r w:rsidR="00AE22DB" w:rsidRPr="00462F2E">
        <w:rPr>
          <w:lang w:val="es-ES_tradnl"/>
        </w:rPr>
        <w:t>? ¿Cómo</w:t>
      </w:r>
      <w:r w:rsidR="008069BC" w:rsidRPr="00462F2E">
        <w:rPr>
          <w:lang w:val="es-ES_tradnl"/>
        </w:rPr>
        <w:t xml:space="preserve"> se debe informar de los progresos</w:t>
      </w:r>
      <w:r w:rsidR="00AE22DB" w:rsidRPr="00462F2E">
        <w:rPr>
          <w:lang w:val="es-ES_tradnl"/>
        </w:rPr>
        <w:t>, quién</w:t>
      </w:r>
      <w:r w:rsidR="008069BC" w:rsidRPr="00462F2E">
        <w:rPr>
          <w:lang w:val="es-ES_tradnl"/>
        </w:rPr>
        <w:t xml:space="preserve"> se encargará de </w:t>
      </w:r>
      <w:r w:rsidR="00B81F6B" w:rsidRPr="00462F2E">
        <w:rPr>
          <w:lang w:val="es-ES_tradnl"/>
        </w:rPr>
        <w:t>esto</w:t>
      </w:r>
      <w:r w:rsidR="00AE22DB" w:rsidRPr="00462F2E">
        <w:rPr>
          <w:lang w:val="es-ES_tradnl"/>
        </w:rPr>
        <w:t xml:space="preserve"> y a quién</w:t>
      </w:r>
      <w:r w:rsidRPr="00462F2E">
        <w:rPr>
          <w:lang w:val="es-ES_tradnl"/>
        </w:rPr>
        <w:t>es</w:t>
      </w:r>
      <w:r w:rsidR="00AE22DB" w:rsidRPr="00462F2E">
        <w:rPr>
          <w:lang w:val="es-ES_tradnl"/>
        </w:rPr>
        <w:t xml:space="preserve"> se debe informar</w:t>
      </w:r>
      <w:r w:rsidRPr="00462F2E">
        <w:rPr>
          <w:lang w:val="es-ES_tradnl"/>
        </w:rPr>
        <w:t xml:space="preserve"> de los progresos</w:t>
      </w:r>
      <w:r w:rsidR="008069BC" w:rsidRPr="00462F2E">
        <w:rPr>
          <w:lang w:val="es-ES_tradnl"/>
        </w:rPr>
        <w:t>? ¿Q</w:t>
      </w:r>
      <w:r w:rsidR="00AE22DB" w:rsidRPr="00462F2E">
        <w:rPr>
          <w:lang w:val="es-ES_tradnl"/>
        </w:rPr>
        <w:t xml:space="preserve">ué medidas se tomarán si </w:t>
      </w:r>
      <w:r w:rsidR="008069BC" w:rsidRPr="00462F2E">
        <w:rPr>
          <w:lang w:val="es-ES_tradnl"/>
        </w:rPr>
        <w:t>los</w:t>
      </w:r>
      <w:r w:rsidR="00AE22DB" w:rsidRPr="00462F2E">
        <w:rPr>
          <w:lang w:val="es-ES_tradnl"/>
        </w:rPr>
        <w:t xml:space="preserve"> progreso</w:t>
      </w:r>
      <w:r w:rsidR="008069BC" w:rsidRPr="00462F2E">
        <w:rPr>
          <w:lang w:val="es-ES_tradnl"/>
        </w:rPr>
        <w:t>s</w:t>
      </w:r>
      <w:r w:rsidR="00AE22DB" w:rsidRPr="00462F2E">
        <w:rPr>
          <w:lang w:val="es-ES_tradnl"/>
        </w:rPr>
        <w:t xml:space="preserve"> se evalúa</w:t>
      </w:r>
      <w:r w:rsidR="008069BC" w:rsidRPr="00462F2E">
        <w:rPr>
          <w:lang w:val="es-ES_tradnl"/>
        </w:rPr>
        <w:t>n</w:t>
      </w:r>
      <w:r w:rsidR="00AE22DB" w:rsidRPr="00462F2E">
        <w:rPr>
          <w:lang w:val="es-ES_tradnl"/>
        </w:rPr>
        <w:t xml:space="preserve"> como insuficiente</w:t>
      </w:r>
      <w:r w:rsidR="008069BC" w:rsidRPr="00462F2E">
        <w:rPr>
          <w:lang w:val="es-ES_tradnl"/>
        </w:rPr>
        <w:t>s</w:t>
      </w:r>
      <w:r w:rsidR="00AE22DB" w:rsidRPr="00462F2E">
        <w:rPr>
          <w:lang w:val="es-ES_tradnl"/>
        </w:rPr>
        <w:t xml:space="preserve"> </w:t>
      </w:r>
      <w:r w:rsidR="008069BC" w:rsidRPr="00462F2E">
        <w:rPr>
          <w:lang w:val="es-ES_tradnl"/>
        </w:rPr>
        <w:t>en las</w:t>
      </w:r>
      <w:r w:rsidR="00AE22DB" w:rsidRPr="00462F2E">
        <w:rPr>
          <w:lang w:val="es-ES_tradnl"/>
        </w:rPr>
        <w:t xml:space="preserve"> fechas </w:t>
      </w:r>
      <w:r w:rsidR="008069BC" w:rsidRPr="00462F2E">
        <w:rPr>
          <w:lang w:val="es-ES_tradnl"/>
        </w:rPr>
        <w:t>especificadas</w:t>
      </w:r>
      <w:r w:rsidR="00AE22DB" w:rsidRPr="00462F2E">
        <w:rPr>
          <w:lang w:val="es-ES_tradnl"/>
        </w:rPr>
        <w:t>?</w:t>
      </w:r>
    </w:p>
    <w:p w14:paraId="0B1B428A" w14:textId="77777777" w:rsidR="00171C2D" w:rsidRPr="00462F2E" w:rsidRDefault="00171C2D" w:rsidP="00D876D8">
      <w:pPr>
        <w:spacing w:after="0" w:line="240" w:lineRule="auto"/>
        <w:rPr>
          <w:b/>
          <w:sz w:val="24"/>
          <w:szCs w:val="24"/>
          <w:lang w:val="es-ES_tradnl"/>
        </w:rPr>
      </w:pPr>
      <w:r w:rsidRPr="00462F2E">
        <w:rPr>
          <w:b/>
          <w:sz w:val="24"/>
          <w:szCs w:val="24"/>
          <w:lang w:val="es-ES_tradnl"/>
        </w:rPr>
        <w:br w:type="page"/>
      </w:r>
    </w:p>
    <w:p w14:paraId="2FD4661A" w14:textId="6AFB7C0C" w:rsidR="005C1743" w:rsidRPr="00462F2E" w:rsidRDefault="004A4CCB" w:rsidP="00D876D8">
      <w:pPr>
        <w:spacing w:after="0" w:line="240" w:lineRule="auto"/>
        <w:rPr>
          <w:b/>
          <w:sz w:val="24"/>
          <w:szCs w:val="24"/>
          <w:lang w:val="es-ES_tradnl"/>
        </w:rPr>
      </w:pPr>
      <w:r w:rsidRPr="00462F2E">
        <w:rPr>
          <w:b/>
          <w:sz w:val="24"/>
          <w:szCs w:val="24"/>
          <w:lang w:val="es-ES_tradnl"/>
        </w:rPr>
        <w:lastRenderedPageBreak/>
        <w:t>Anexo</w:t>
      </w:r>
      <w:r w:rsidR="005C1743" w:rsidRPr="00462F2E">
        <w:rPr>
          <w:b/>
          <w:sz w:val="24"/>
          <w:szCs w:val="24"/>
          <w:lang w:val="es-ES_tradnl"/>
        </w:rPr>
        <w:t xml:space="preserve"> 2</w:t>
      </w:r>
    </w:p>
    <w:p w14:paraId="025DAF3E" w14:textId="77777777" w:rsidR="005C1743" w:rsidRPr="00462F2E" w:rsidRDefault="005C1743" w:rsidP="00D876D8">
      <w:pPr>
        <w:spacing w:after="0" w:line="240" w:lineRule="auto"/>
        <w:rPr>
          <w:b/>
          <w:sz w:val="24"/>
          <w:szCs w:val="24"/>
          <w:lang w:val="es-ES_tradnl"/>
        </w:rPr>
      </w:pPr>
    </w:p>
    <w:p w14:paraId="1777E640" w14:textId="67BBB3E0" w:rsidR="004A4CCB" w:rsidRPr="00462F2E" w:rsidRDefault="004A4CCB" w:rsidP="00B57E02">
      <w:pPr>
        <w:spacing w:after="0" w:line="240" w:lineRule="auto"/>
        <w:rPr>
          <w:b/>
          <w:sz w:val="24"/>
          <w:szCs w:val="24"/>
          <w:lang w:val="es-ES_tradnl"/>
        </w:rPr>
      </w:pPr>
      <w:r w:rsidRPr="00462F2E">
        <w:rPr>
          <w:b/>
          <w:sz w:val="24"/>
          <w:szCs w:val="24"/>
          <w:lang w:val="es-ES_tradnl"/>
        </w:rPr>
        <w:t xml:space="preserve">Elaboración de orientaciones operativas prácticas y técnicas para </w:t>
      </w:r>
      <w:r w:rsidR="00410F5A" w:rsidRPr="00462F2E">
        <w:rPr>
          <w:b/>
          <w:sz w:val="24"/>
          <w:szCs w:val="24"/>
          <w:lang w:val="es-ES_tradnl"/>
        </w:rPr>
        <w:t>las Partes, la Secretaría y otro</w:t>
      </w:r>
      <w:r w:rsidRPr="00462F2E">
        <w:rPr>
          <w:b/>
          <w:sz w:val="24"/>
          <w:szCs w:val="24"/>
          <w:lang w:val="es-ES_tradnl"/>
        </w:rPr>
        <w:t xml:space="preserve">s </w:t>
      </w:r>
      <w:r w:rsidR="00410F5A" w:rsidRPr="00462F2E">
        <w:rPr>
          <w:b/>
          <w:sz w:val="24"/>
          <w:szCs w:val="24"/>
          <w:lang w:val="es-ES_tradnl"/>
        </w:rPr>
        <w:t>interesado</w:t>
      </w:r>
      <w:r w:rsidRPr="00462F2E">
        <w:rPr>
          <w:b/>
          <w:sz w:val="24"/>
          <w:szCs w:val="24"/>
          <w:lang w:val="es-ES_tradnl"/>
        </w:rPr>
        <w:t>s en forma de un manual</w:t>
      </w:r>
      <w:r w:rsidR="00410F5A" w:rsidRPr="00462F2E">
        <w:rPr>
          <w:b/>
          <w:sz w:val="24"/>
          <w:szCs w:val="24"/>
          <w:lang w:val="es-ES_tradnl"/>
        </w:rPr>
        <w:t xml:space="preserve"> simple que describa los procedimientos</w:t>
      </w:r>
      <w:r w:rsidRPr="00462F2E">
        <w:rPr>
          <w:b/>
          <w:sz w:val="24"/>
          <w:szCs w:val="24"/>
          <w:lang w:val="es-ES_tradnl"/>
        </w:rPr>
        <w:t xml:space="preserve"> </w:t>
      </w:r>
      <w:r w:rsidR="00410F5A" w:rsidRPr="00462F2E">
        <w:rPr>
          <w:b/>
          <w:sz w:val="24"/>
          <w:szCs w:val="24"/>
          <w:lang w:val="es-ES_tradnl"/>
        </w:rPr>
        <w:t>a seguir y que abarque</w:t>
      </w:r>
      <w:r w:rsidRPr="00462F2E">
        <w:rPr>
          <w:b/>
          <w:sz w:val="24"/>
          <w:szCs w:val="24"/>
          <w:lang w:val="es-ES_tradnl"/>
        </w:rPr>
        <w:t xml:space="preserve">, entre </w:t>
      </w:r>
      <w:r w:rsidR="00410F5A" w:rsidRPr="00462F2E">
        <w:rPr>
          <w:b/>
          <w:sz w:val="24"/>
          <w:szCs w:val="24"/>
          <w:lang w:val="es-ES_tradnl"/>
        </w:rPr>
        <w:t>otras cosas</w:t>
      </w:r>
      <w:r w:rsidRPr="00462F2E">
        <w:rPr>
          <w:b/>
          <w:sz w:val="24"/>
          <w:szCs w:val="24"/>
          <w:lang w:val="es-ES_tradnl"/>
        </w:rPr>
        <w:t xml:space="preserve">, los </w:t>
      </w:r>
      <w:r w:rsidR="00410F5A" w:rsidRPr="00462F2E">
        <w:rPr>
          <w:b/>
          <w:sz w:val="24"/>
          <w:szCs w:val="24"/>
          <w:lang w:val="es-ES_tradnl"/>
        </w:rPr>
        <w:t xml:space="preserve">temas </w:t>
      </w:r>
      <w:r w:rsidRPr="00462F2E">
        <w:rPr>
          <w:b/>
          <w:sz w:val="24"/>
          <w:szCs w:val="24"/>
          <w:lang w:val="es-ES_tradnl"/>
        </w:rPr>
        <w:t>siguientes</w:t>
      </w:r>
      <w:r w:rsidR="00410F5A" w:rsidRPr="00462F2E">
        <w:rPr>
          <w:b/>
          <w:sz w:val="24"/>
          <w:szCs w:val="24"/>
          <w:lang w:val="es-ES_tradnl"/>
        </w:rPr>
        <w:t>:</w:t>
      </w:r>
    </w:p>
    <w:p w14:paraId="4C34C209" w14:textId="77777777" w:rsidR="005C1743" w:rsidRPr="00462F2E" w:rsidRDefault="005C1743" w:rsidP="00D876D8">
      <w:pPr>
        <w:spacing w:after="0" w:line="240" w:lineRule="auto"/>
        <w:rPr>
          <w:b/>
          <w:lang w:val="es-ES_tradnl"/>
        </w:rPr>
      </w:pPr>
    </w:p>
    <w:bookmarkEnd w:id="0"/>
    <w:p w14:paraId="4871ECA4" w14:textId="574A78B9" w:rsidR="00410F5A" w:rsidRPr="009159E8" w:rsidRDefault="00410F5A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 xml:space="preserve">Circunstancias que </w:t>
      </w:r>
      <w:r w:rsidR="00896BB7" w:rsidRPr="009159E8">
        <w:t xml:space="preserve">dan lugar a la propuesta de una </w:t>
      </w:r>
      <w:r w:rsidRPr="009159E8">
        <w:t>MRA</w:t>
      </w:r>
    </w:p>
    <w:p w14:paraId="15780C38" w14:textId="77777777" w:rsidR="00410F5A" w:rsidRPr="009159E8" w:rsidRDefault="00410F5A" w:rsidP="009159E8">
      <w:pPr>
        <w:spacing w:after="0" w:line="240" w:lineRule="auto"/>
        <w:ind w:left="425"/>
      </w:pPr>
    </w:p>
    <w:p w14:paraId="60DA150A" w14:textId="2C8FC23F" w:rsidR="00410F5A" w:rsidRPr="009159E8" w:rsidRDefault="00DB2C9C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Vínculos con el a</w:t>
      </w:r>
      <w:r w:rsidR="00410F5A" w:rsidRPr="009159E8">
        <w:t>rtículo 3.2</w:t>
      </w:r>
    </w:p>
    <w:p w14:paraId="19B794B0" w14:textId="77777777" w:rsidR="005C1743" w:rsidRPr="009159E8" w:rsidRDefault="005C1743" w:rsidP="009159E8">
      <w:pPr>
        <w:spacing w:after="0" w:line="240" w:lineRule="auto"/>
        <w:ind w:left="425"/>
      </w:pPr>
    </w:p>
    <w:p w14:paraId="32CFF383" w14:textId="5EF7A5FE" w:rsidR="00171C2D" w:rsidRPr="009159E8" w:rsidRDefault="00410F5A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Vínculos con el Registro de</w:t>
      </w:r>
      <w:r w:rsidR="00171C2D" w:rsidRPr="009159E8">
        <w:t xml:space="preserve"> Montreux </w:t>
      </w:r>
    </w:p>
    <w:p w14:paraId="6EBDBEAE" w14:textId="77777777" w:rsidR="005C1743" w:rsidRPr="009159E8" w:rsidRDefault="005C1743" w:rsidP="009159E8">
      <w:pPr>
        <w:spacing w:after="0" w:line="240" w:lineRule="auto"/>
        <w:ind w:left="425"/>
      </w:pPr>
    </w:p>
    <w:p w14:paraId="1D9B723D" w14:textId="77777777" w:rsidR="00410F5A" w:rsidRPr="009159E8" w:rsidRDefault="00410F5A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Investigaciones y asesoramiento previos a la MRA</w:t>
      </w:r>
    </w:p>
    <w:p w14:paraId="40B35632" w14:textId="77777777" w:rsidR="00410F5A" w:rsidRPr="009159E8" w:rsidRDefault="00410F5A" w:rsidP="009159E8">
      <w:pPr>
        <w:spacing w:after="0" w:line="240" w:lineRule="auto"/>
        <w:ind w:left="425"/>
      </w:pPr>
    </w:p>
    <w:p w14:paraId="451608FE" w14:textId="1B1B0A7E" w:rsidR="00410F5A" w:rsidRPr="009159E8" w:rsidRDefault="00410F5A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 xml:space="preserve">Prerrogativa de la Parte Contratante de </w:t>
      </w:r>
      <w:r w:rsidR="00DB2C9C" w:rsidRPr="009159E8">
        <w:t>invitar a la MRA y aprobar los t</w:t>
      </w:r>
      <w:r w:rsidRPr="009159E8">
        <w:t>érminos de referencia (TdR)</w:t>
      </w:r>
    </w:p>
    <w:p w14:paraId="0DAEBCB6" w14:textId="77777777" w:rsidR="005C1743" w:rsidRPr="009159E8" w:rsidRDefault="005C1743" w:rsidP="009159E8">
      <w:pPr>
        <w:spacing w:after="0" w:line="240" w:lineRule="auto"/>
        <w:ind w:left="425"/>
      </w:pPr>
    </w:p>
    <w:p w14:paraId="038A4D9E" w14:textId="52EA6825" w:rsidR="00171C2D" w:rsidRPr="009159E8" w:rsidRDefault="00DB2C9C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Elaboración</w:t>
      </w:r>
      <w:r w:rsidR="00410F5A" w:rsidRPr="009159E8">
        <w:t xml:space="preserve"> de los TdR: buenas prácticas</w:t>
      </w:r>
      <w:r w:rsidR="00B57E02" w:rsidRPr="009159E8">
        <w:t xml:space="preserve"> normales</w:t>
      </w:r>
    </w:p>
    <w:p w14:paraId="6BD04A6B" w14:textId="77777777" w:rsidR="005C1743" w:rsidRPr="009159E8" w:rsidRDefault="005C1743" w:rsidP="009159E8">
      <w:pPr>
        <w:spacing w:after="0" w:line="240" w:lineRule="auto"/>
        <w:ind w:left="425"/>
      </w:pPr>
    </w:p>
    <w:p w14:paraId="4FAB62F4" w14:textId="77777777" w:rsidR="00410F5A" w:rsidRPr="009159E8" w:rsidRDefault="00410F5A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Ámbito de la MRA</w:t>
      </w:r>
    </w:p>
    <w:p w14:paraId="04F7F184" w14:textId="77777777" w:rsidR="00410F5A" w:rsidRPr="009159E8" w:rsidRDefault="00410F5A" w:rsidP="009159E8">
      <w:pPr>
        <w:spacing w:after="0" w:line="240" w:lineRule="auto"/>
        <w:ind w:left="425"/>
      </w:pPr>
    </w:p>
    <w:p w14:paraId="66C022A6" w14:textId="36F8FA0B" w:rsidR="00410F5A" w:rsidRPr="009159E8" w:rsidRDefault="00410F5A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Coordinación y composición del equipo de la misión</w:t>
      </w:r>
    </w:p>
    <w:p w14:paraId="2A12E531" w14:textId="77777777" w:rsidR="005C1743" w:rsidRPr="009159E8" w:rsidRDefault="005C1743" w:rsidP="009159E8">
      <w:pPr>
        <w:spacing w:after="0" w:line="240" w:lineRule="auto"/>
        <w:ind w:left="425"/>
      </w:pPr>
    </w:p>
    <w:p w14:paraId="31EF55FB" w14:textId="1A5796CA" w:rsidR="00171C2D" w:rsidRPr="009159E8" w:rsidRDefault="00410F5A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 xml:space="preserve">Consideraciones </w:t>
      </w:r>
      <w:r w:rsidR="002B1A93" w:rsidRPr="009159E8">
        <w:t>relacionadas con el cronograma</w:t>
      </w:r>
    </w:p>
    <w:p w14:paraId="632652F8" w14:textId="77777777" w:rsidR="005C1743" w:rsidRPr="009159E8" w:rsidRDefault="005C1743" w:rsidP="009159E8">
      <w:pPr>
        <w:spacing w:after="0" w:line="240" w:lineRule="auto"/>
        <w:ind w:left="425"/>
      </w:pPr>
    </w:p>
    <w:p w14:paraId="5049D37A" w14:textId="2CACECD6" w:rsidR="00171C2D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Papel que desempeña la Secretaría</w:t>
      </w:r>
    </w:p>
    <w:p w14:paraId="3B42D1ED" w14:textId="77777777" w:rsidR="005C1743" w:rsidRPr="009159E8" w:rsidRDefault="005C1743" w:rsidP="009159E8">
      <w:pPr>
        <w:spacing w:after="0" w:line="240" w:lineRule="auto"/>
        <w:ind w:left="425"/>
      </w:pPr>
    </w:p>
    <w:p w14:paraId="0D7C4C70" w14:textId="05AA31EE" w:rsidR="00171C2D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 xml:space="preserve">Papel que desempeña </w:t>
      </w:r>
      <w:r w:rsidR="00DB2C9C" w:rsidRPr="009159E8">
        <w:t xml:space="preserve">el </w:t>
      </w:r>
      <w:r w:rsidRPr="009159E8">
        <w:t>GECT</w:t>
      </w:r>
    </w:p>
    <w:p w14:paraId="748D2845" w14:textId="77777777" w:rsidR="005C1743" w:rsidRPr="009159E8" w:rsidRDefault="005C1743" w:rsidP="009159E8">
      <w:pPr>
        <w:spacing w:after="0" w:line="240" w:lineRule="auto"/>
        <w:ind w:left="425"/>
      </w:pPr>
    </w:p>
    <w:p w14:paraId="1BB26724" w14:textId="77777777" w:rsidR="002B1A93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Papel que desempeñan las OIA y otros interesados</w:t>
      </w:r>
    </w:p>
    <w:p w14:paraId="7087B78E" w14:textId="77777777" w:rsidR="002B1A93" w:rsidRPr="009159E8" w:rsidRDefault="002B1A93" w:rsidP="009159E8">
      <w:pPr>
        <w:spacing w:after="0" w:line="240" w:lineRule="auto"/>
        <w:ind w:left="425"/>
      </w:pPr>
    </w:p>
    <w:p w14:paraId="5325324E" w14:textId="77777777" w:rsidR="002B1A93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Dotación de recursos a la MRA</w:t>
      </w:r>
    </w:p>
    <w:p w14:paraId="22F41B65" w14:textId="77777777" w:rsidR="002B1A93" w:rsidRPr="009159E8" w:rsidRDefault="002B1A93" w:rsidP="009159E8">
      <w:pPr>
        <w:spacing w:after="0" w:line="240" w:lineRule="auto"/>
        <w:ind w:left="425"/>
      </w:pPr>
    </w:p>
    <w:p w14:paraId="2510F299" w14:textId="28C43003" w:rsidR="002B1A93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 xml:space="preserve">Aplicación a </w:t>
      </w:r>
      <w:r w:rsidR="00B7780B" w:rsidRPr="009159E8">
        <w:t>posib</w:t>
      </w:r>
      <w:bookmarkStart w:id="1" w:name="_GoBack"/>
      <w:bookmarkEnd w:id="1"/>
      <w:r w:rsidR="00B7780B" w:rsidRPr="009159E8">
        <w:t xml:space="preserve">les </w:t>
      </w:r>
      <w:r w:rsidRPr="009159E8">
        <w:t>sitios Ramsar y otros humedales no designados</w:t>
      </w:r>
    </w:p>
    <w:p w14:paraId="1FC7941B" w14:textId="77777777" w:rsidR="002B1A93" w:rsidRPr="009159E8" w:rsidRDefault="002B1A93" w:rsidP="009159E8">
      <w:pPr>
        <w:spacing w:after="0" w:line="240" w:lineRule="auto"/>
        <w:ind w:left="425"/>
      </w:pPr>
    </w:p>
    <w:p w14:paraId="1BE8C430" w14:textId="77777777" w:rsidR="002B1A93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Aplicación en contextos transfronterizos</w:t>
      </w:r>
    </w:p>
    <w:p w14:paraId="66DC7677" w14:textId="77777777" w:rsidR="002B1A93" w:rsidRPr="009159E8" w:rsidRDefault="002B1A93" w:rsidP="009159E8">
      <w:pPr>
        <w:spacing w:after="0" w:line="240" w:lineRule="auto"/>
        <w:ind w:left="425"/>
      </w:pPr>
    </w:p>
    <w:p w14:paraId="00256326" w14:textId="18A140F3" w:rsidR="002B1A93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Operación conjunta con mecanismos de otros AMMA</w:t>
      </w:r>
    </w:p>
    <w:p w14:paraId="382A75BB" w14:textId="77777777" w:rsidR="005C1743" w:rsidRPr="009159E8" w:rsidRDefault="005C1743" w:rsidP="009159E8">
      <w:pPr>
        <w:spacing w:after="0" w:line="240" w:lineRule="auto"/>
        <w:ind w:left="425"/>
      </w:pPr>
    </w:p>
    <w:p w14:paraId="4FF34FB0" w14:textId="1D9AC27F" w:rsidR="00171C2D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Estructura y contenido de los informes de las MRA</w:t>
      </w:r>
    </w:p>
    <w:p w14:paraId="6D3D0AC2" w14:textId="77777777" w:rsidR="002B1A93" w:rsidRPr="009159E8" w:rsidRDefault="002B1A93" w:rsidP="009159E8">
      <w:pPr>
        <w:spacing w:after="0" w:line="240" w:lineRule="auto"/>
        <w:ind w:left="425"/>
      </w:pPr>
    </w:p>
    <w:p w14:paraId="552450CF" w14:textId="11CBAAEA" w:rsidR="002B1A93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El proceso de seguimiento de un informe de MRA</w:t>
      </w:r>
    </w:p>
    <w:p w14:paraId="3DAE7836" w14:textId="77777777" w:rsidR="002B1A93" w:rsidRPr="009159E8" w:rsidRDefault="002B1A93" w:rsidP="009159E8">
      <w:pPr>
        <w:spacing w:after="0" w:line="240" w:lineRule="auto"/>
        <w:ind w:left="425"/>
      </w:pPr>
    </w:p>
    <w:p w14:paraId="42D3F4EC" w14:textId="7AD42CD8" w:rsidR="00171C2D" w:rsidRPr="009159E8" w:rsidRDefault="002B1A93" w:rsidP="009159E8">
      <w:pPr>
        <w:numPr>
          <w:ilvl w:val="0"/>
          <w:numId w:val="2"/>
        </w:numPr>
        <w:spacing w:after="0" w:line="240" w:lineRule="auto"/>
        <w:ind w:left="425" w:hanging="425"/>
      </w:pPr>
      <w:r w:rsidRPr="009159E8">
        <w:t>Informe sobre las actividades de la MRA, lo que incluye un examen de los resultados en un plazo apropiado tras la finalización de la misión (normalmente unos seis años)</w:t>
      </w:r>
    </w:p>
    <w:p w14:paraId="5867DAD3" w14:textId="77777777" w:rsidR="00531E66" w:rsidRPr="00462F2E" w:rsidRDefault="00531E66" w:rsidP="00D876D8">
      <w:pPr>
        <w:spacing w:after="0" w:line="240" w:lineRule="auto"/>
        <w:rPr>
          <w:lang w:val="es-ES_tradnl"/>
        </w:rPr>
      </w:pPr>
    </w:p>
    <w:sectPr w:rsidR="00531E66" w:rsidRPr="00462F2E" w:rsidSect="00D876D8">
      <w:footerReference w:type="defaul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1361F" w14:textId="77777777" w:rsidR="00BA17D0" w:rsidRDefault="00BA17D0">
      <w:pPr>
        <w:spacing w:after="0" w:line="240" w:lineRule="auto"/>
      </w:pPr>
      <w:r>
        <w:separator/>
      </w:r>
    </w:p>
  </w:endnote>
  <w:endnote w:type="continuationSeparator" w:id="0">
    <w:p w14:paraId="7BCFAE37" w14:textId="77777777" w:rsidR="00BA17D0" w:rsidRDefault="00BA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02F82" w14:textId="77777777" w:rsidR="00BA17D0" w:rsidRPr="00D876D8" w:rsidRDefault="00BA17D0" w:rsidP="00D876D8">
    <w:pPr>
      <w:pStyle w:val="Footer"/>
      <w:rPr>
        <w:sz w:val="20"/>
        <w:szCs w:val="20"/>
        <w:lang w:val="en-GB"/>
      </w:rPr>
    </w:pPr>
    <w:r w:rsidRPr="00D876D8">
      <w:rPr>
        <w:sz w:val="20"/>
        <w:szCs w:val="20"/>
        <w:lang w:val="en-GB"/>
      </w:rPr>
      <w:t>SC54-21.4</w:t>
    </w:r>
    <w:r w:rsidRPr="00D876D8">
      <w:rPr>
        <w:sz w:val="20"/>
        <w:szCs w:val="20"/>
        <w:lang w:val="en-GB"/>
      </w:rPr>
      <w:tab/>
    </w:r>
    <w:r w:rsidRPr="00D876D8">
      <w:rPr>
        <w:sz w:val="20"/>
        <w:szCs w:val="20"/>
        <w:lang w:val="en-GB"/>
      </w:rPr>
      <w:tab/>
    </w:r>
    <w:r w:rsidRPr="00D876D8">
      <w:rPr>
        <w:sz w:val="20"/>
        <w:szCs w:val="20"/>
        <w:lang w:val="en-GB"/>
      </w:rPr>
      <w:fldChar w:fldCharType="begin"/>
    </w:r>
    <w:r w:rsidRPr="00D876D8">
      <w:rPr>
        <w:sz w:val="20"/>
        <w:szCs w:val="20"/>
        <w:lang w:val="en-GB"/>
      </w:rPr>
      <w:instrText xml:space="preserve"> PAGE   \* MERGEFORMAT </w:instrText>
    </w:r>
    <w:r w:rsidRPr="00D876D8">
      <w:rPr>
        <w:sz w:val="20"/>
        <w:szCs w:val="20"/>
        <w:lang w:val="en-GB"/>
      </w:rPr>
      <w:fldChar w:fldCharType="separate"/>
    </w:r>
    <w:r w:rsidR="009159E8">
      <w:rPr>
        <w:noProof/>
        <w:sz w:val="20"/>
        <w:szCs w:val="20"/>
        <w:lang w:val="en-GB"/>
      </w:rPr>
      <w:t>8</w:t>
    </w:r>
    <w:r w:rsidRPr="00D876D8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3B71" w14:textId="77777777" w:rsidR="00BA17D0" w:rsidRDefault="00BA17D0">
      <w:pPr>
        <w:spacing w:after="0" w:line="240" w:lineRule="auto"/>
      </w:pPr>
      <w:r>
        <w:separator/>
      </w:r>
    </w:p>
  </w:footnote>
  <w:footnote w:type="continuationSeparator" w:id="0">
    <w:p w14:paraId="37AD931B" w14:textId="77777777" w:rsidR="00BA17D0" w:rsidRDefault="00BA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90B"/>
    <w:multiLevelType w:val="hybridMultilevel"/>
    <w:tmpl w:val="1F6E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032D4">
      <w:numFmt w:val="bullet"/>
      <w:lvlText w:val="-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7F5"/>
    <w:multiLevelType w:val="hybridMultilevel"/>
    <w:tmpl w:val="7294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757C"/>
    <w:multiLevelType w:val="hybridMultilevel"/>
    <w:tmpl w:val="92262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882"/>
    <w:multiLevelType w:val="hybridMultilevel"/>
    <w:tmpl w:val="84AA0378"/>
    <w:lvl w:ilvl="0" w:tplc="3028F7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mbria,Bold" w:hint="default"/>
        <w:b w:val="0"/>
        <w:sz w:val="21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75A5"/>
    <w:multiLevelType w:val="hybridMultilevel"/>
    <w:tmpl w:val="04626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2217"/>
    <w:multiLevelType w:val="hybridMultilevel"/>
    <w:tmpl w:val="764829EA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07390E"/>
    <w:multiLevelType w:val="hybridMultilevel"/>
    <w:tmpl w:val="223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5713"/>
    <w:multiLevelType w:val="hybridMultilevel"/>
    <w:tmpl w:val="A620A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D0516"/>
    <w:multiLevelType w:val="hybridMultilevel"/>
    <w:tmpl w:val="76DE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D"/>
    <w:rsid w:val="00020677"/>
    <w:rsid w:val="00027349"/>
    <w:rsid w:val="00030B20"/>
    <w:rsid w:val="00042DFF"/>
    <w:rsid w:val="000828A5"/>
    <w:rsid w:val="00104129"/>
    <w:rsid w:val="00122B40"/>
    <w:rsid w:val="00125EC7"/>
    <w:rsid w:val="00170EF3"/>
    <w:rsid w:val="00171C2D"/>
    <w:rsid w:val="001A0F19"/>
    <w:rsid w:val="001A288A"/>
    <w:rsid w:val="001B665F"/>
    <w:rsid w:val="001E2213"/>
    <w:rsid w:val="001F126A"/>
    <w:rsid w:val="002029E4"/>
    <w:rsid w:val="002035BC"/>
    <w:rsid w:val="002230A2"/>
    <w:rsid w:val="00244DEA"/>
    <w:rsid w:val="00282D86"/>
    <w:rsid w:val="002848BD"/>
    <w:rsid w:val="002A2035"/>
    <w:rsid w:val="002B1A93"/>
    <w:rsid w:val="002B7078"/>
    <w:rsid w:val="002D6E88"/>
    <w:rsid w:val="002E05B0"/>
    <w:rsid w:val="00321BB9"/>
    <w:rsid w:val="00326C65"/>
    <w:rsid w:val="00380682"/>
    <w:rsid w:val="00380E27"/>
    <w:rsid w:val="00396FC4"/>
    <w:rsid w:val="003C1ED7"/>
    <w:rsid w:val="003F150B"/>
    <w:rsid w:val="003F5705"/>
    <w:rsid w:val="00410F5A"/>
    <w:rsid w:val="004225B0"/>
    <w:rsid w:val="00433605"/>
    <w:rsid w:val="00462F2E"/>
    <w:rsid w:val="00471171"/>
    <w:rsid w:val="00487EBC"/>
    <w:rsid w:val="004A108E"/>
    <w:rsid w:val="004A4CCB"/>
    <w:rsid w:val="00504B1B"/>
    <w:rsid w:val="0051378B"/>
    <w:rsid w:val="00531E66"/>
    <w:rsid w:val="0055144F"/>
    <w:rsid w:val="005C1743"/>
    <w:rsid w:val="005D2809"/>
    <w:rsid w:val="00634CEC"/>
    <w:rsid w:val="006B2AE3"/>
    <w:rsid w:val="006E1F36"/>
    <w:rsid w:val="007022BA"/>
    <w:rsid w:val="00786012"/>
    <w:rsid w:val="00794C7C"/>
    <w:rsid w:val="007E5197"/>
    <w:rsid w:val="008069BC"/>
    <w:rsid w:val="0081660F"/>
    <w:rsid w:val="00837112"/>
    <w:rsid w:val="00896BB7"/>
    <w:rsid w:val="008F55A6"/>
    <w:rsid w:val="00913C9B"/>
    <w:rsid w:val="009159E8"/>
    <w:rsid w:val="009450E2"/>
    <w:rsid w:val="00957838"/>
    <w:rsid w:val="00966D41"/>
    <w:rsid w:val="00976F3B"/>
    <w:rsid w:val="00A90A70"/>
    <w:rsid w:val="00AA33F3"/>
    <w:rsid w:val="00AB5787"/>
    <w:rsid w:val="00AE2076"/>
    <w:rsid w:val="00AE22DB"/>
    <w:rsid w:val="00AE6FB8"/>
    <w:rsid w:val="00AE716E"/>
    <w:rsid w:val="00B34107"/>
    <w:rsid w:val="00B57E02"/>
    <w:rsid w:val="00B7780B"/>
    <w:rsid w:val="00B81F6B"/>
    <w:rsid w:val="00BA17D0"/>
    <w:rsid w:val="00BE5F34"/>
    <w:rsid w:val="00BF6B06"/>
    <w:rsid w:val="00C02A5F"/>
    <w:rsid w:val="00C638D7"/>
    <w:rsid w:val="00C875E3"/>
    <w:rsid w:val="00CA72AB"/>
    <w:rsid w:val="00CC26E0"/>
    <w:rsid w:val="00CC441E"/>
    <w:rsid w:val="00CE038D"/>
    <w:rsid w:val="00CF32F5"/>
    <w:rsid w:val="00D60CCB"/>
    <w:rsid w:val="00D876D8"/>
    <w:rsid w:val="00D940BC"/>
    <w:rsid w:val="00DA5A82"/>
    <w:rsid w:val="00DA5E46"/>
    <w:rsid w:val="00DB2C9C"/>
    <w:rsid w:val="00DC236B"/>
    <w:rsid w:val="00DD68A2"/>
    <w:rsid w:val="00E152B1"/>
    <w:rsid w:val="00E32A4E"/>
    <w:rsid w:val="00E34884"/>
    <w:rsid w:val="00E37AD0"/>
    <w:rsid w:val="00E4337D"/>
    <w:rsid w:val="00E907EE"/>
    <w:rsid w:val="00E945BE"/>
    <w:rsid w:val="00EA7F25"/>
    <w:rsid w:val="00EB1062"/>
    <w:rsid w:val="00EC09A4"/>
    <w:rsid w:val="00F406FE"/>
    <w:rsid w:val="00F52EE5"/>
    <w:rsid w:val="00F5491A"/>
    <w:rsid w:val="00F72879"/>
    <w:rsid w:val="00F74ACB"/>
    <w:rsid w:val="00FF0B56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D8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2D"/>
    <w:pPr>
      <w:spacing w:after="200" w:line="276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2D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7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2D"/>
    <w:rPr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2D"/>
    <w:pPr>
      <w:spacing w:after="200" w:line="276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2D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7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2D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2389</Words>
  <Characters>13140</Characters>
  <Application>Microsoft Office Word</Application>
  <DocSecurity>0</DocSecurity>
  <Lines>355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Ramsar\JenningsE</cp:lastModifiedBy>
  <cp:revision>2</cp:revision>
  <dcterms:created xsi:type="dcterms:W3CDTF">2018-02-22T17:48:00Z</dcterms:created>
  <dcterms:modified xsi:type="dcterms:W3CDTF">2018-02-22T17:48:00Z</dcterms:modified>
</cp:coreProperties>
</file>