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7454C" w14:textId="77777777" w:rsidR="00042ABD" w:rsidRPr="0066555F" w:rsidRDefault="00042ABD" w:rsidP="00E94F6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66555F">
        <w:rPr>
          <w:bCs/>
          <w:sz w:val="24"/>
          <w:szCs w:val="24"/>
          <w:lang w:val="es-ES_tradnl"/>
        </w:rPr>
        <w:t>CONVENCIÓN DE RAMSAR SOBRE LOS HUMEDALES</w:t>
      </w:r>
    </w:p>
    <w:p w14:paraId="4D1A2683" w14:textId="77777777" w:rsidR="00042ABD" w:rsidRPr="0066555F" w:rsidRDefault="00042ABD" w:rsidP="00E94F6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66555F">
        <w:rPr>
          <w:bCs/>
          <w:sz w:val="24"/>
          <w:szCs w:val="24"/>
          <w:lang w:val="es-ES_tradnl"/>
        </w:rPr>
        <w:t>54ª</w:t>
      </w:r>
      <w:r w:rsidR="004133D3" w:rsidRPr="0066555F">
        <w:rPr>
          <w:bCs/>
          <w:sz w:val="24"/>
          <w:szCs w:val="24"/>
          <w:lang w:val="es-ES_tradnl"/>
        </w:rPr>
        <w:t xml:space="preserve"> R</w:t>
      </w:r>
      <w:r w:rsidRPr="0066555F">
        <w:rPr>
          <w:bCs/>
          <w:sz w:val="24"/>
          <w:szCs w:val="24"/>
          <w:lang w:val="es-ES_tradnl"/>
        </w:rPr>
        <w:t>eunión del Comité Permanente</w:t>
      </w:r>
    </w:p>
    <w:p w14:paraId="7F444860" w14:textId="77777777" w:rsidR="00042ABD" w:rsidRPr="0066555F" w:rsidRDefault="00042ABD" w:rsidP="00E94F6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66555F">
        <w:rPr>
          <w:bCs/>
          <w:sz w:val="24"/>
          <w:szCs w:val="24"/>
          <w:lang w:val="es-ES_tradnl"/>
        </w:rPr>
        <w:t>Gland, Suiza, 23 a 27 de abril de 2018</w:t>
      </w:r>
    </w:p>
    <w:p w14:paraId="682BC288" w14:textId="77777777" w:rsidR="00F436CF" w:rsidRDefault="00F436CF" w:rsidP="00E94F66">
      <w:pPr>
        <w:spacing w:after="0" w:line="240" w:lineRule="auto"/>
        <w:jc w:val="right"/>
        <w:rPr>
          <w:rFonts w:cs="Arial"/>
          <w:b/>
          <w:sz w:val="28"/>
          <w:szCs w:val="28"/>
          <w:lang w:val="es-ES_tradnl"/>
        </w:rPr>
      </w:pPr>
    </w:p>
    <w:p w14:paraId="79999471" w14:textId="77777777" w:rsidR="00DF2386" w:rsidRPr="0066555F" w:rsidRDefault="00CB6E01" w:rsidP="00E94F66">
      <w:pPr>
        <w:spacing w:after="0" w:line="240" w:lineRule="auto"/>
        <w:jc w:val="right"/>
        <w:rPr>
          <w:rFonts w:cs="Arial"/>
          <w:sz w:val="28"/>
          <w:szCs w:val="28"/>
          <w:lang w:val="es-ES_tradnl"/>
        </w:rPr>
      </w:pPr>
      <w:r w:rsidRPr="0066555F">
        <w:rPr>
          <w:rFonts w:cs="Arial"/>
          <w:b/>
          <w:sz w:val="28"/>
          <w:szCs w:val="28"/>
          <w:lang w:val="es-ES_tradnl"/>
        </w:rPr>
        <w:t xml:space="preserve">Doc. </w:t>
      </w:r>
      <w:r w:rsidR="00232E3D" w:rsidRPr="0066555F">
        <w:rPr>
          <w:rFonts w:cs="Arial"/>
          <w:b/>
          <w:sz w:val="28"/>
          <w:szCs w:val="28"/>
          <w:lang w:val="es-ES_tradnl"/>
        </w:rPr>
        <w:t>SC54-</w:t>
      </w:r>
      <w:r w:rsidRPr="0066555F">
        <w:rPr>
          <w:rFonts w:cs="Arial"/>
          <w:b/>
          <w:sz w:val="28"/>
          <w:szCs w:val="28"/>
          <w:lang w:val="es-ES_tradnl"/>
        </w:rPr>
        <w:t>20.1</w:t>
      </w:r>
      <w:r w:rsidR="004F0F30" w:rsidRPr="0066555F">
        <w:rPr>
          <w:rFonts w:cs="Arial"/>
          <w:b/>
          <w:sz w:val="28"/>
          <w:szCs w:val="28"/>
          <w:lang w:val="es-ES_tradnl"/>
        </w:rPr>
        <w:t xml:space="preserve"> </w:t>
      </w:r>
    </w:p>
    <w:p w14:paraId="13E09FC6" w14:textId="77777777" w:rsidR="00DF2386" w:rsidRPr="0066555F" w:rsidRDefault="00DF2386" w:rsidP="00E94F66">
      <w:pPr>
        <w:spacing w:after="0" w:line="240" w:lineRule="auto"/>
        <w:rPr>
          <w:rFonts w:cs="Arial"/>
          <w:b/>
          <w:i/>
          <w:color w:val="FF0000"/>
          <w:sz w:val="28"/>
          <w:szCs w:val="28"/>
          <w:lang w:val="es-ES_tradnl"/>
        </w:rPr>
      </w:pPr>
    </w:p>
    <w:p w14:paraId="2B5E37FD" w14:textId="77777777" w:rsidR="00042ABD" w:rsidRPr="0066555F" w:rsidRDefault="00042ABD" w:rsidP="00E94F66">
      <w:pPr>
        <w:spacing w:after="0" w:line="240" w:lineRule="auto"/>
        <w:jc w:val="center"/>
        <w:rPr>
          <w:rFonts w:cs="Arial"/>
          <w:b/>
          <w:sz w:val="28"/>
          <w:szCs w:val="28"/>
          <w:lang w:val="es-ES_tradnl"/>
        </w:rPr>
      </w:pPr>
      <w:r w:rsidRPr="0066555F">
        <w:rPr>
          <w:rFonts w:cs="Arial"/>
          <w:b/>
          <w:sz w:val="28"/>
          <w:szCs w:val="28"/>
          <w:lang w:val="es-ES_tradnl"/>
        </w:rPr>
        <w:t>Iniciativas regionales de Ramsar</w:t>
      </w:r>
    </w:p>
    <w:p w14:paraId="58969C35" w14:textId="77777777" w:rsidR="00042ABD" w:rsidRPr="0066555F" w:rsidRDefault="00042ABD" w:rsidP="00E94F66">
      <w:pPr>
        <w:spacing w:after="0" w:line="240" w:lineRule="auto"/>
        <w:jc w:val="center"/>
        <w:rPr>
          <w:rFonts w:cs="Arial"/>
          <w:b/>
          <w:sz w:val="28"/>
          <w:szCs w:val="28"/>
          <w:lang w:val="es-ES_tradnl"/>
        </w:rPr>
      </w:pPr>
      <w:r w:rsidRPr="0066555F">
        <w:rPr>
          <w:rFonts w:cs="Arial"/>
          <w:b/>
          <w:sz w:val="28"/>
          <w:szCs w:val="28"/>
          <w:lang w:val="es-ES_tradnl"/>
        </w:rPr>
        <w:t>Actualización para 2018</w:t>
      </w:r>
    </w:p>
    <w:p w14:paraId="24F3790B" w14:textId="77777777" w:rsidR="00DF2386" w:rsidRPr="0066555F" w:rsidRDefault="00DF2386" w:rsidP="00E94F66">
      <w:pPr>
        <w:spacing w:after="0" w:line="240" w:lineRule="auto"/>
        <w:rPr>
          <w:rFonts w:ascii="Garamond" w:hAnsi="Garamond" w:cs="Arial"/>
          <w:lang w:val="es-ES_tradnl"/>
        </w:rPr>
      </w:pPr>
    </w:p>
    <w:p w14:paraId="2B776208" w14:textId="5F1B3DD2" w:rsidR="000C2489" w:rsidRPr="0066555F" w:rsidRDefault="00F436CF" w:rsidP="00E94F6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lang w:val="es-ES_tradnl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AFA0D34" wp14:editId="5DDF6B10">
                <wp:extent cx="5731510" cy="3531235"/>
                <wp:effectExtent l="9525" t="12700" r="12065" b="889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5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FD8C" w14:textId="77777777" w:rsidR="000766F7" w:rsidRPr="005956FD" w:rsidRDefault="000766F7" w:rsidP="00042ABD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5956FD">
                              <w:rPr>
                                <w:b/>
                                <w:bCs/>
                                <w:lang w:val="es-ES_tradnl"/>
                              </w:rPr>
                              <w:t>Acciones solicitadas:</w:t>
                            </w:r>
                          </w:p>
                          <w:p w14:paraId="2239A74C" w14:textId="77777777" w:rsidR="000766F7" w:rsidRPr="005956FD" w:rsidRDefault="000766F7" w:rsidP="00042ABD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lang w:val="es-ES_tradnl"/>
                              </w:rPr>
                            </w:pPr>
                          </w:p>
                          <w:p w14:paraId="18D3D45F" w14:textId="77777777" w:rsidR="000766F7" w:rsidRPr="005956FD" w:rsidRDefault="000766F7" w:rsidP="00042ABD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lang w:val="es-ES_tradnl"/>
                              </w:rPr>
                            </w:pPr>
                            <w:r w:rsidRPr="005956FD">
                              <w:rPr>
                                <w:lang w:val="es-ES_tradnl"/>
                              </w:rPr>
                              <w:t>Se invita al Comité Permanente a hacer lo siguiente</w:t>
                            </w:r>
                            <w:r w:rsidRPr="005956FD">
                              <w:rPr>
                                <w:rFonts w:cs="Calibri"/>
                                <w:lang w:val="es-ES_tradnl"/>
                              </w:rPr>
                              <w:t>:</w:t>
                            </w:r>
                          </w:p>
                          <w:p w14:paraId="1186F81D" w14:textId="77777777" w:rsidR="000766F7" w:rsidRPr="00124D88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lang w:val="es-ES_tradnl"/>
                              </w:rPr>
                            </w:pPr>
                          </w:p>
                          <w:p w14:paraId="01E91B79" w14:textId="77777777" w:rsidR="000766F7" w:rsidRPr="008C38F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  <w:rPr>
                                <w:lang w:val="es-ES_tradnl"/>
                              </w:rPr>
                            </w:pP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>i)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ab/>
                              <w:t xml:space="preserve">tomar nota de los informes sobre avances presentados por las iniciativas regionales de Ramsar que operan en el marco de la Convención durante el trienio 2016-2018 con la aprobación del Comité Permanente mediante las decisiones SC52-17 y SC52-20; </w:t>
                            </w:r>
                          </w:p>
                          <w:p w14:paraId="66CFA781" w14:textId="77777777" w:rsidR="000766F7" w:rsidRPr="008C38F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  <w:rPr>
                                <w:lang w:val="es-ES_tradnl"/>
                              </w:rPr>
                            </w:pPr>
                          </w:p>
                          <w:p w14:paraId="4759E2B2" w14:textId="77777777" w:rsidR="000766F7" w:rsidRPr="008C38F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  <w:rPr>
                                <w:highlight w:val="yellow"/>
                                <w:lang w:val="es-ES_tradnl"/>
                              </w:rPr>
                            </w:pP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>ii)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ab/>
                              <w:t xml:space="preserve">asignar fondos con cargo a la partida D del presupuesto básico de Ramsar correspondiente a las iniciativas regionales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en 2018 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>(Resolución XII.1) a fin de aportar financiaci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ón inicial a las iniciativas regionales recién establecidas para que puedan realizar sus actividades en 2018:</w:t>
                            </w:r>
                          </w:p>
                          <w:p w14:paraId="5E5AA78B" w14:textId="77777777" w:rsidR="000766F7" w:rsidRPr="008C38F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ab/>
                              <w:t>30.000 francos suizos para la I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>niciativa de la cuenca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 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 xml:space="preserve">del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río Senegal;</w:t>
                            </w:r>
                          </w:p>
                          <w:p w14:paraId="56DA7A61" w14:textId="77777777" w:rsidR="000766F7" w:rsidRPr="0030364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ab/>
                              <w:t>30.000 francos suizos para la I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 xml:space="preserve">niciativa de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la cuenca amazónica; </w:t>
                            </w:r>
                          </w:p>
                          <w:p w14:paraId="1695B0E2" w14:textId="77777777" w:rsidR="000766F7" w:rsidRPr="0030364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ab/>
                              <w:t>30.000 francos suizos para la I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 xml:space="preserve">niciativa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regional de Asia Central; </w:t>
                            </w:r>
                          </w:p>
                          <w:p w14:paraId="07AF992F" w14:textId="77777777" w:rsidR="000766F7" w:rsidRPr="0030364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ab/>
                              <w:t>30.000 francos suizos para la I</w:t>
                            </w:r>
                            <w:r w:rsidRPr="008C38FB">
                              <w:rPr>
                                <w:rFonts w:cs="Calibri"/>
                                <w:lang w:val="es-ES_tradnl"/>
                              </w:rPr>
                              <w:t xml:space="preserve">niciativa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Indo-Birmana; y</w:t>
                            </w:r>
                          </w:p>
                          <w:p w14:paraId="769453B2" w14:textId="77777777" w:rsidR="000766F7" w:rsidRPr="0030364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426"/>
                              <w:rPr>
                                <w:lang w:val="es-ES_tradnl"/>
                              </w:rPr>
                            </w:pPr>
                          </w:p>
                          <w:p w14:paraId="335BD9A3" w14:textId="77777777" w:rsidR="000766F7" w:rsidRPr="0030364B" w:rsidRDefault="000766F7" w:rsidP="00E94F66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  <w:rPr>
                                <w:rFonts w:cs="Calibri"/>
                                <w:lang w:val="es-ES_tradnl"/>
                              </w:rPr>
                            </w:pPr>
                            <w:r w:rsidRPr="0030364B">
                              <w:rPr>
                                <w:rFonts w:cs="Calibri"/>
                                <w:lang w:val="es-ES_tradnl"/>
                              </w:rPr>
                              <w:t>iii)</w:t>
                            </w:r>
                            <w:r w:rsidRPr="0030364B">
                              <w:rPr>
                                <w:rFonts w:cs="Calibri"/>
                                <w:lang w:val="es-ES_tradnl"/>
                              </w:rPr>
                              <w:tab/>
                              <w:t xml:space="preserve">encargar a la Secretaría que concluya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a la mayor brevedad</w:t>
                            </w:r>
                            <w:r w:rsidRPr="0030364B">
                              <w:rPr>
                                <w:rFonts w:cs="Calibri"/>
                                <w:lang w:val="es-ES_tradnl"/>
                              </w:rPr>
                              <w:t xml:space="preserve"> posible los acuerdos contractuales de financiación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con estas cuatro iniciati</w:t>
                            </w:r>
                            <w:r w:rsidRPr="0030364B">
                              <w:rPr>
                                <w:rFonts w:cs="Calibri"/>
                                <w:lang w:val="es-ES_tradnl"/>
                              </w:rPr>
                              <w:t xml:space="preserve">vas regionales de Ramsar, con el fin de </w:t>
                            </w:r>
                            <w:r w:rsidRPr="004133D3">
                              <w:rPr>
                                <w:rFonts w:cs="Calibri"/>
                                <w:lang w:val="es-ES_tradnl"/>
                              </w:rPr>
                              <w:t>permitir la buena marcha de</w:t>
                            </w:r>
                            <w:r w:rsidRPr="00124D88">
                              <w:rPr>
                                <w:rFonts w:cs="Calibri"/>
                                <w:lang w:val="es-ES_tradnl"/>
                              </w:rPr>
                              <w:t xml:space="preserve"> la aplicación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 de los planes de trabajo para 2018 de dichas iniciativas.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2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SVKwIAAFEEAAAOAAAAZHJzL2Uyb0RvYy54bWysVNtu2zAMfR+wfxD0vjhO4rU14hRdugwD&#10;ugvQ7gNkWY6FSaImKbGzry8lp5mx7WmYHwRRpI4OD0mvbwetyFE4L8FUNJ/NKRGGQyPNvqLfnnZv&#10;rinxgZmGKTCioifh6e3m9at1b0uxgA5UIxxBEOPL3la0C8GWWeZ5JzTzM7DCoLMFp1lA0+2zxrEe&#10;0bXKFvP526wH11gHXHiPp/ejk24SftsKHr60rReBqIoit5BWl9Y6rtlmzcq9Y7aT/EyD/QMLzaTB&#10;Ry9Q9ywwcnDyDygtuQMPbZhx0Bm0reQi5YDZ5PPfsnnsmBUpFxTH24tM/v/B8s/Hr47IBmtHiWEa&#10;S/QkhkDewUDyqE5vfYlBjxbDwoDHMTJm6u0D8O+eGNh2zOzFnXPQd4I1yC7dzCZXRxwfQer+EzT4&#10;DDsESEBD63QERDEIomOVTpfKRCocD4urZV7k6OLoWxbLfLEsIruMlS/XrfPhgwBN4qaiDkuf4Nnx&#10;wYcx9CUk0Qclm51UKhluX2+VI0eGbbJL3xndT8OUIX1Fb4pFMSow9fkpxDx9f4PQMmC/K6kren0J&#10;YmXU7b1pUjcGJtW4x+yUwSSjkFG7UcUw1MO5MDU0J5TUwdjXOIe46cD9pKTHnq6o/3FgTlCiPhos&#10;y02+WsUhSMaquFqg4aaeeuphhiNURQMl43YbxsE5WCf3Hb40NoKBOyxlK5PIkerI6swb+zaV6Txj&#10;cTCmdor69SfYPAMAAP//AwBQSwMEFAAGAAgAAAAhADeqfx7dAAAABQEAAA8AAABkcnMvZG93bnJl&#10;di54bWxMj8FOwzAQRO9I/IO1SFwQdVpoaEOcCiGB4AZtBddtvE0i7HWw3TT8PYYLXFYazWjmbbka&#10;rRED+dA5VjCdZCCIa6c7bhRsNw+XCxAhIms0jknBFwVYVacnJRbaHfmVhnVsRCrhUKCCNsa+kDLU&#10;LVkME9cTJ2/vvMWYpG+k9nhM5dbIWZbl0mLHaaHFnu5bqj/WB6tgcf00vIfnq5e3Ot+bZby4GR4/&#10;vVLnZ+PdLYhIY/wLww9+QocqMe3cgXUQRkF6JP7e5C2zWQ5ip2A+z6cgq1L+p6++AQAA//8DAFBL&#10;AQItABQABgAIAAAAIQC2gziS/gAAAOEBAAATAAAAAAAAAAAAAAAAAAAAAABbQ29udGVudF9UeXBl&#10;c10ueG1sUEsBAi0AFAAGAAgAAAAhADj9If/WAAAAlAEAAAsAAAAAAAAAAAAAAAAALwEAAF9yZWxz&#10;Ly5yZWxzUEsBAi0AFAAGAAgAAAAhAJVbdJUrAgAAUQQAAA4AAAAAAAAAAAAAAAAALgIAAGRycy9l&#10;Mm9Eb2MueG1sUEsBAi0AFAAGAAgAAAAhADeqfx7dAAAABQEAAA8AAAAAAAAAAAAAAAAAhQQAAGRy&#10;cy9kb3ducmV2LnhtbFBLBQYAAAAABAAEAPMAAACPBQAAAAA=&#10;">
                <v:textbox>
                  <w:txbxContent>
                    <w:p w14:paraId="3706FD8C" w14:textId="77777777" w:rsidR="000766F7" w:rsidRPr="005956FD" w:rsidRDefault="000766F7" w:rsidP="00042ABD">
                      <w:pPr>
                        <w:spacing w:after="0" w:line="240" w:lineRule="auto"/>
                        <w:rPr>
                          <w:b/>
                          <w:bCs/>
                          <w:lang w:val="es-ES_tradnl"/>
                        </w:rPr>
                      </w:pPr>
                      <w:r w:rsidRPr="005956FD">
                        <w:rPr>
                          <w:b/>
                          <w:bCs/>
                          <w:lang w:val="es-ES_tradnl"/>
                        </w:rPr>
                        <w:t>Acciones solicitadas:</w:t>
                      </w:r>
                    </w:p>
                    <w:p w14:paraId="2239A74C" w14:textId="77777777" w:rsidR="000766F7" w:rsidRPr="005956FD" w:rsidRDefault="000766F7" w:rsidP="00042ABD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lang w:val="es-ES_tradnl"/>
                        </w:rPr>
                      </w:pPr>
                    </w:p>
                    <w:p w14:paraId="18D3D45F" w14:textId="77777777" w:rsidR="000766F7" w:rsidRPr="005956FD" w:rsidRDefault="000766F7" w:rsidP="00042ABD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lang w:val="es-ES_tradnl"/>
                        </w:rPr>
                      </w:pPr>
                      <w:r w:rsidRPr="005956FD">
                        <w:rPr>
                          <w:lang w:val="es-ES_tradnl"/>
                        </w:rPr>
                        <w:t>Se invita al Comité Permanente a hacer lo siguiente</w:t>
                      </w:r>
                      <w:r w:rsidRPr="005956FD">
                        <w:rPr>
                          <w:rFonts w:cs="Calibri"/>
                          <w:lang w:val="es-ES_tradnl"/>
                        </w:rPr>
                        <w:t>:</w:t>
                      </w:r>
                    </w:p>
                    <w:p w14:paraId="1186F81D" w14:textId="77777777" w:rsidR="000766F7" w:rsidRPr="00124D88" w:rsidRDefault="000766F7" w:rsidP="00E94F66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lang w:val="es-ES_tradnl"/>
                        </w:rPr>
                      </w:pPr>
                    </w:p>
                    <w:p w14:paraId="01E91B79" w14:textId="77777777" w:rsidR="000766F7" w:rsidRPr="008C38FB" w:rsidRDefault="000766F7" w:rsidP="00E94F66">
                      <w:pPr>
                        <w:pStyle w:val="ColorfulList-Accent11"/>
                        <w:spacing w:after="0" w:line="240" w:lineRule="auto"/>
                        <w:ind w:left="425" w:hanging="425"/>
                        <w:rPr>
                          <w:lang w:val="es-ES_tradnl"/>
                        </w:rPr>
                      </w:pPr>
                      <w:r w:rsidRPr="008C38FB">
                        <w:rPr>
                          <w:rFonts w:cs="Calibri"/>
                          <w:lang w:val="es-ES_tradnl"/>
                        </w:rPr>
                        <w:t>i)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ab/>
                        <w:t xml:space="preserve">tomar nota de los informes sobre avances presentados por las iniciativas regionales de Ramsar que operan en el marco de la Convención durante el trienio 2016-2018 con la aprobación del Comité Permanente mediante las decisiones SC52-17 y SC52-20; </w:t>
                      </w:r>
                    </w:p>
                    <w:p w14:paraId="66CFA781" w14:textId="77777777" w:rsidR="000766F7" w:rsidRPr="008C38FB" w:rsidRDefault="000766F7" w:rsidP="00E94F66">
                      <w:pPr>
                        <w:pStyle w:val="ColorfulList-Accent11"/>
                        <w:spacing w:after="0" w:line="240" w:lineRule="auto"/>
                        <w:ind w:left="425" w:hanging="425"/>
                        <w:rPr>
                          <w:lang w:val="es-ES_tradnl"/>
                        </w:rPr>
                      </w:pPr>
                    </w:p>
                    <w:p w14:paraId="4759E2B2" w14:textId="77777777" w:rsidR="000766F7" w:rsidRPr="008C38FB" w:rsidRDefault="000766F7" w:rsidP="00E94F66">
                      <w:pPr>
                        <w:pStyle w:val="ColorfulList-Accent11"/>
                        <w:spacing w:after="0" w:line="240" w:lineRule="auto"/>
                        <w:ind w:left="425" w:hanging="425"/>
                        <w:rPr>
                          <w:highlight w:val="yellow"/>
                          <w:lang w:val="es-ES_tradnl"/>
                        </w:rPr>
                      </w:pPr>
                      <w:r w:rsidRPr="008C38FB">
                        <w:rPr>
                          <w:rFonts w:cs="Calibri"/>
                          <w:lang w:val="es-ES_tradnl"/>
                        </w:rPr>
                        <w:t>ii)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ab/>
                        <w:t xml:space="preserve">asignar fondos con cargo a la partida D del presupuesto básico de Ramsar correspondiente a las iniciativas regionales </w:t>
                      </w:r>
                      <w:r>
                        <w:rPr>
                          <w:rFonts w:cs="Calibri"/>
                          <w:lang w:val="es-ES_tradnl"/>
                        </w:rPr>
                        <w:t xml:space="preserve">en 2018 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>(Resolución XII.1) a fin de aportar financiaci</w:t>
                      </w:r>
                      <w:r>
                        <w:rPr>
                          <w:rFonts w:cs="Calibri"/>
                          <w:lang w:val="es-ES_tradnl"/>
                        </w:rPr>
                        <w:t>ón inicial a las iniciativas regionales recién establecidas para que puedan realizar sus actividades en 2018:</w:t>
                      </w:r>
                    </w:p>
                    <w:p w14:paraId="5E5AA78B" w14:textId="77777777" w:rsidR="000766F7" w:rsidRPr="008C38FB" w:rsidRDefault="000766F7" w:rsidP="00E94F66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  <w:lang w:val="es-ES_tradnl"/>
                        </w:rPr>
                      </w:pPr>
                      <w:r>
                        <w:rPr>
                          <w:rFonts w:cs="Calibri"/>
                          <w:lang w:val="es-ES_tradnl"/>
                        </w:rPr>
                        <w:t>-</w:t>
                      </w:r>
                      <w:r>
                        <w:rPr>
                          <w:rFonts w:cs="Calibri"/>
                          <w:lang w:val="es-ES_tradnl"/>
                        </w:rPr>
                        <w:tab/>
                        <w:t>30.000 francos suizos para la I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>niciativa de la cuenca</w:t>
                      </w:r>
                      <w:r>
                        <w:rPr>
                          <w:rFonts w:cs="Calibri"/>
                          <w:lang w:val="es-ES_tradnl"/>
                        </w:rPr>
                        <w:t xml:space="preserve"> 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 xml:space="preserve">del </w:t>
                      </w:r>
                      <w:r>
                        <w:rPr>
                          <w:rFonts w:cs="Calibri"/>
                          <w:lang w:val="es-ES_tradnl"/>
                        </w:rPr>
                        <w:t>río Senegal;</w:t>
                      </w:r>
                    </w:p>
                    <w:p w14:paraId="56DA7A61" w14:textId="77777777" w:rsidR="000766F7" w:rsidRPr="0030364B" w:rsidRDefault="000766F7" w:rsidP="00E94F66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  <w:lang w:val="es-ES_tradnl"/>
                        </w:rPr>
                      </w:pPr>
                      <w:r>
                        <w:rPr>
                          <w:rFonts w:cs="Calibri"/>
                          <w:lang w:val="es-ES_tradnl"/>
                        </w:rPr>
                        <w:t>-</w:t>
                      </w:r>
                      <w:r>
                        <w:rPr>
                          <w:rFonts w:cs="Calibri"/>
                          <w:lang w:val="es-ES_tradnl"/>
                        </w:rPr>
                        <w:tab/>
                        <w:t>30.000 francos suizos para la I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 xml:space="preserve">niciativa de </w:t>
                      </w:r>
                      <w:r>
                        <w:rPr>
                          <w:rFonts w:cs="Calibri"/>
                          <w:lang w:val="es-ES_tradnl"/>
                        </w:rPr>
                        <w:t xml:space="preserve">la cuenca amazónica; </w:t>
                      </w:r>
                    </w:p>
                    <w:p w14:paraId="1695B0E2" w14:textId="77777777" w:rsidR="000766F7" w:rsidRPr="0030364B" w:rsidRDefault="000766F7" w:rsidP="00E94F66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  <w:lang w:val="es-ES_tradnl"/>
                        </w:rPr>
                      </w:pPr>
                      <w:r>
                        <w:rPr>
                          <w:rFonts w:cs="Calibri"/>
                          <w:lang w:val="es-ES_tradnl"/>
                        </w:rPr>
                        <w:t>-</w:t>
                      </w:r>
                      <w:r>
                        <w:rPr>
                          <w:rFonts w:cs="Calibri"/>
                          <w:lang w:val="es-ES_tradnl"/>
                        </w:rPr>
                        <w:tab/>
                        <w:t>30.000 francos suizos para la I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 xml:space="preserve">niciativa </w:t>
                      </w:r>
                      <w:r>
                        <w:rPr>
                          <w:rFonts w:cs="Calibri"/>
                          <w:lang w:val="es-ES_tradnl"/>
                        </w:rPr>
                        <w:t xml:space="preserve">regional de Asia Central; </w:t>
                      </w:r>
                    </w:p>
                    <w:p w14:paraId="07AF992F" w14:textId="77777777" w:rsidR="000766F7" w:rsidRPr="0030364B" w:rsidRDefault="000766F7" w:rsidP="00E94F66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  <w:lang w:val="es-ES_tradnl"/>
                        </w:rPr>
                      </w:pPr>
                      <w:r>
                        <w:rPr>
                          <w:rFonts w:cs="Calibri"/>
                          <w:lang w:val="es-ES_tradnl"/>
                        </w:rPr>
                        <w:t>-</w:t>
                      </w:r>
                      <w:r>
                        <w:rPr>
                          <w:rFonts w:cs="Calibri"/>
                          <w:lang w:val="es-ES_tradnl"/>
                        </w:rPr>
                        <w:tab/>
                        <w:t>30.000 francos suizos para la I</w:t>
                      </w:r>
                      <w:r w:rsidRPr="008C38FB">
                        <w:rPr>
                          <w:rFonts w:cs="Calibri"/>
                          <w:lang w:val="es-ES_tradnl"/>
                        </w:rPr>
                        <w:t xml:space="preserve">niciativa </w:t>
                      </w:r>
                      <w:r>
                        <w:rPr>
                          <w:rFonts w:cs="Calibri"/>
                          <w:lang w:val="es-ES_tradnl"/>
                        </w:rPr>
                        <w:t>Indo-Birmana; y</w:t>
                      </w:r>
                    </w:p>
                    <w:p w14:paraId="769453B2" w14:textId="77777777" w:rsidR="000766F7" w:rsidRPr="0030364B" w:rsidRDefault="000766F7" w:rsidP="00E94F66">
                      <w:pPr>
                        <w:pStyle w:val="ColorfulList-Accent11"/>
                        <w:spacing w:after="0" w:line="240" w:lineRule="auto"/>
                        <w:ind w:left="426"/>
                        <w:rPr>
                          <w:lang w:val="es-ES_tradnl"/>
                        </w:rPr>
                      </w:pPr>
                    </w:p>
                    <w:p w14:paraId="335BD9A3" w14:textId="77777777" w:rsidR="000766F7" w:rsidRPr="0030364B" w:rsidRDefault="000766F7" w:rsidP="00E94F66">
                      <w:pPr>
                        <w:pStyle w:val="ColorfulList-Accent11"/>
                        <w:spacing w:after="0" w:line="240" w:lineRule="auto"/>
                        <w:ind w:left="425" w:hanging="425"/>
                        <w:rPr>
                          <w:rFonts w:cs="Calibri"/>
                          <w:lang w:val="es-ES_tradnl"/>
                        </w:rPr>
                      </w:pPr>
                      <w:r w:rsidRPr="0030364B">
                        <w:rPr>
                          <w:rFonts w:cs="Calibri"/>
                          <w:lang w:val="es-ES_tradnl"/>
                        </w:rPr>
                        <w:t>iii)</w:t>
                      </w:r>
                      <w:r w:rsidRPr="0030364B">
                        <w:rPr>
                          <w:rFonts w:cs="Calibri"/>
                          <w:lang w:val="es-ES_tradnl"/>
                        </w:rPr>
                        <w:tab/>
                        <w:t xml:space="preserve">encargar a la Secretaría que concluya </w:t>
                      </w:r>
                      <w:r>
                        <w:rPr>
                          <w:rFonts w:cs="Calibri"/>
                          <w:lang w:val="es-ES_tradnl"/>
                        </w:rPr>
                        <w:t>a la mayor brevedad</w:t>
                      </w:r>
                      <w:r w:rsidRPr="0030364B">
                        <w:rPr>
                          <w:rFonts w:cs="Calibri"/>
                          <w:lang w:val="es-ES_tradnl"/>
                        </w:rPr>
                        <w:t xml:space="preserve"> posible los acuerdos contractuales de financiación </w:t>
                      </w:r>
                      <w:r>
                        <w:rPr>
                          <w:rFonts w:cs="Calibri"/>
                          <w:lang w:val="es-ES_tradnl"/>
                        </w:rPr>
                        <w:t>con estas cuatro iniciati</w:t>
                      </w:r>
                      <w:r w:rsidRPr="0030364B">
                        <w:rPr>
                          <w:rFonts w:cs="Calibri"/>
                          <w:lang w:val="es-ES_tradnl"/>
                        </w:rPr>
                        <w:t xml:space="preserve">vas regionales de Ramsar, con el fin de </w:t>
                      </w:r>
                      <w:r w:rsidRPr="004133D3">
                        <w:rPr>
                          <w:rFonts w:cs="Calibri"/>
                          <w:lang w:val="es-ES_tradnl"/>
                        </w:rPr>
                        <w:t>permitir la buena marcha de</w:t>
                      </w:r>
                      <w:r w:rsidRPr="00124D88">
                        <w:rPr>
                          <w:rFonts w:cs="Calibri"/>
                          <w:lang w:val="es-ES_tradnl"/>
                        </w:rPr>
                        <w:t xml:space="preserve"> la aplicación</w:t>
                      </w:r>
                      <w:r>
                        <w:rPr>
                          <w:rFonts w:cs="Calibri"/>
                          <w:lang w:val="es-ES_tradnl"/>
                        </w:rPr>
                        <w:t xml:space="preserve"> de los planes de trabajo para 2018 de dichas iniciativas.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F887E1" w14:textId="77777777" w:rsidR="001C678C" w:rsidRPr="0066555F" w:rsidRDefault="001C678C" w:rsidP="00E94F66">
      <w:pPr>
        <w:spacing w:after="0" w:line="240" w:lineRule="auto"/>
        <w:rPr>
          <w:rFonts w:cs="Arial"/>
          <w:b/>
          <w:lang w:val="es-ES_tradnl"/>
        </w:rPr>
      </w:pPr>
    </w:p>
    <w:p w14:paraId="62817457" w14:textId="77777777" w:rsidR="00611DAB" w:rsidRPr="0066555F" w:rsidRDefault="00611DAB" w:rsidP="00014168">
      <w:pPr>
        <w:spacing w:after="0" w:line="240" w:lineRule="auto"/>
        <w:rPr>
          <w:rFonts w:cs="Arial"/>
          <w:b/>
          <w:lang w:val="es-ES_tradnl"/>
        </w:rPr>
      </w:pPr>
    </w:p>
    <w:p w14:paraId="1B5910E3" w14:textId="77777777" w:rsidR="000C2489" w:rsidRPr="0066555F" w:rsidRDefault="00576DD5" w:rsidP="00E94F66">
      <w:pPr>
        <w:spacing w:after="0" w:line="240" w:lineRule="auto"/>
        <w:rPr>
          <w:rFonts w:cs="Arial"/>
          <w:b/>
          <w:lang w:val="es-ES_tradnl"/>
        </w:rPr>
      </w:pPr>
      <w:r w:rsidRPr="0066555F">
        <w:rPr>
          <w:rFonts w:cs="Arial"/>
          <w:b/>
          <w:lang w:val="es-ES_tradnl"/>
        </w:rPr>
        <w:t xml:space="preserve">Antecedentes </w:t>
      </w:r>
    </w:p>
    <w:p w14:paraId="42E9A1CA" w14:textId="77777777" w:rsidR="00DD3D18" w:rsidRPr="0066555F" w:rsidRDefault="00DD3D18" w:rsidP="00E94F66">
      <w:pPr>
        <w:spacing w:after="0" w:line="240" w:lineRule="auto"/>
        <w:rPr>
          <w:rFonts w:cs="Arial"/>
          <w:i/>
          <w:lang w:val="es-ES_tradnl"/>
        </w:rPr>
      </w:pPr>
    </w:p>
    <w:p w14:paraId="17F0AD9C" w14:textId="77777777" w:rsidR="00030EC8" w:rsidRPr="0066555F" w:rsidRDefault="00317C2C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1.</w:t>
      </w:r>
      <w:r w:rsidRPr="0066555F">
        <w:rPr>
          <w:rFonts w:cs="Arial"/>
          <w:lang w:val="es-ES_tradnl"/>
        </w:rPr>
        <w:tab/>
      </w:r>
      <w:r w:rsidR="004133D3" w:rsidRPr="0066555F">
        <w:rPr>
          <w:rFonts w:cs="Arial"/>
          <w:lang w:val="es-ES_tradnl"/>
        </w:rPr>
        <w:t>En</w:t>
      </w:r>
      <w:r w:rsidR="00576DD5" w:rsidRPr="0066555F">
        <w:rPr>
          <w:rFonts w:cs="Arial"/>
          <w:lang w:val="es-ES_tradnl"/>
        </w:rPr>
        <w:t xml:space="preserve"> su séptima reunión (San José, 1999), en la Resolución VII.19, </w:t>
      </w:r>
      <w:r w:rsidR="00576DD5" w:rsidRPr="0066555F">
        <w:rPr>
          <w:rFonts w:cs="Arial"/>
          <w:i/>
          <w:lang w:val="es-ES_tradnl"/>
        </w:rPr>
        <w:t>Lineamientos para la cooperación internacional con arreglo a la Convención de Ramsar</w:t>
      </w:r>
      <w:r w:rsidR="00576DD5" w:rsidRPr="0066555F">
        <w:rPr>
          <w:rFonts w:cs="Arial"/>
          <w:lang w:val="es-ES_tradnl"/>
        </w:rPr>
        <w:t xml:space="preserve">, la Conferencia de las Partes Contratantes reconoció </w:t>
      </w:r>
      <w:r w:rsidR="00B571D4" w:rsidRPr="0066555F">
        <w:rPr>
          <w:rFonts w:cs="Arial"/>
          <w:lang w:val="es-ES_tradnl"/>
        </w:rPr>
        <w:t xml:space="preserve">por primera vez </w:t>
      </w:r>
      <w:r w:rsidR="00576DD5" w:rsidRPr="0066555F">
        <w:rPr>
          <w:rFonts w:cs="Arial"/>
          <w:lang w:val="es-ES_tradnl"/>
        </w:rPr>
        <w:t xml:space="preserve">la cooperación internacional </w:t>
      </w:r>
      <w:r w:rsidR="003A08CC" w:rsidRPr="0066555F">
        <w:rPr>
          <w:rFonts w:cs="Arial"/>
          <w:lang w:val="es-ES_tradnl"/>
        </w:rPr>
        <w:t>como una manera</w:t>
      </w:r>
      <w:r w:rsidR="00576DD5" w:rsidRPr="0066555F">
        <w:rPr>
          <w:rFonts w:cs="Arial"/>
          <w:lang w:val="es-ES_tradnl"/>
        </w:rPr>
        <w:t xml:space="preserve"> eficaz </w:t>
      </w:r>
      <w:r w:rsidR="004D795C" w:rsidRPr="0066555F">
        <w:rPr>
          <w:rFonts w:cs="Arial"/>
          <w:lang w:val="es-ES_tradnl"/>
        </w:rPr>
        <w:t>de promo</w:t>
      </w:r>
      <w:r w:rsidR="003A08CC" w:rsidRPr="0066555F">
        <w:rPr>
          <w:rFonts w:cs="Arial"/>
          <w:lang w:val="es-ES_tradnl"/>
        </w:rPr>
        <w:t>ver</w:t>
      </w:r>
      <w:r w:rsidR="004D795C" w:rsidRPr="0066555F">
        <w:rPr>
          <w:rFonts w:cs="Arial"/>
          <w:lang w:val="es-ES_tradnl"/>
        </w:rPr>
        <w:t xml:space="preserve"> y aplicar mejor los objetivos de la Convención. </w:t>
      </w:r>
      <w:r w:rsidR="003A08CC" w:rsidRPr="0066555F">
        <w:rPr>
          <w:rFonts w:cs="Arial"/>
          <w:lang w:val="es-ES_tradnl"/>
        </w:rPr>
        <w:t>Esto dio lugar al establecimiento y la creación de mecanismos formales de cooperación regional, conocidos como “iniciativas regionales de Ramsar” (IRR).</w:t>
      </w:r>
    </w:p>
    <w:p w14:paraId="0740EA61" w14:textId="77777777" w:rsidR="0065635D" w:rsidRPr="0066555F" w:rsidRDefault="0065635D" w:rsidP="00E94F66">
      <w:pPr>
        <w:spacing w:after="0" w:line="240" w:lineRule="auto"/>
        <w:ind w:left="425" w:hanging="425"/>
        <w:rPr>
          <w:rFonts w:cs="Arial"/>
          <w:lang w:val="es-ES_tradnl"/>
        </w:rPr>
      </w:pPr>
    </w:p>
    <w:p w14:paraId="606C4143" w14:textId="77777777" w:rsidR="0065635D" w:rsidRPr="0066555F" w:rsidRDefault="00DD0188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2.</w:t>
      </w:r>
      <w:r w:rsidRPr="0066555F">
        <w:rPr>
          <w:rFonts w:cs="Arial"/>
          <w:lang w:val="es-ES_tradnl"/>
        </w:rPr>
        <w:tab/>
      </w:r>
      <w:r w:rsidR="003A08CC" w:rsidRPr="0066555F">
        <w:rPr>
          <w:rFonts w:cs="Arial"/>
          <w:lang w:val="es-ES_tradnl"/>
        </w:rPr>
        <w:t xml:space="preserve">En </w:t>
      </w:r>
      <w:r w:rsidR="004133D3" w:rsidRPr="0066555F">
        <w:rPr>
          <w:rFonts w:cs="Arial"/>
          <w:lang w:val="es-ES_tradnl"/>
        </w:rPr>
        <w:t>su</w:t>
      </w:r>
      <w:r w:rsidR="003A08CC" w:rsidRPr="0066555F">
        <w:rPr>
          <w:rFonts w:cs="Arial"/>
          <w:lang w:val="es-ES_tradnl"/>
        </w:rPr>
        <w:t xml:space="preserve"> 12ª reunión (COP12, Punta del Este, 2015), en la Resolución XII.8, </w:t>
      </w:r>
      <w:r w:rsidR="003A08CC" w:rsidRPr="0066555F">
        <w:rPr>
          <w:rFonts w:cs="Arial"/>
          <w:i/>
          <w:lang w:val="es-ES_tradnl"/>
        </w:rPr>
        <w:t>Iniciativas regionales para 2016-2018 en el marco de la Convención de Ramsar</w:t>
      </w:r>
      <w:r w:rsidR="003A08CC" w:rsidRPr="0066555F">
        <w:rPr>
          <w:rFonts w:cs="Arial"/>
          <w:lang w:val="es-ES_tradnl"/>
        </w:rPr>
        <w:t xml:space="preserve">, en el párrafo 1, </w:t>
      </w:r>
      <w:r w:rsidR="00CF48C3" w:rsidRPr="0066555F">
        <w:rPr>
          <w:rFonts w:cs="Arial"/>
          <w:lang w:val="es-ES_tradnl"/>
        </w:rPr>
        <w:t xml:space="preserve">la Conferencia </w:t>
      </w:r>
      <w:r w:rsidR="003A08CC" w:rsidRPr="0066555F">
        <w:rPr>
          <w:rFonts w:cs="Arial"/>
          <w:lang w:val="es-ES_tradnl"/>
        </w:rPr>
        <w:t>recordó que las IRR, “entre las que se incluyen centros de capacitación y creación de capacidad y redes que facilitan la cooperación, tienen por objeto servir de medios operativos para brindar un apoyo eficaz con miras a mejorar la aplicación de la Convención y su Plan Estratégico en regiones geográficas concretas, por medio de la cooperación internacional en cuestiones de interés común relativas a los humedales”.</w:t>
      </w:r>
    </w:p>
    <w:p w14:paraId="34107FC2" w14:textId="77777777" w:rsidR="0065635D" w:rsidRPr="0066555F" w:rsidRDefault="0065635D" w:rsidP="00E94F66">
      <w:pPr>
        <w:spacing w:after="0" w:line="240" w:lineRule="auto"/>
        <w:ind w:left="425" w:hanging="425"/>
        <w:rPr>
          <w:rFonts w:cs="Arial"/>
          <w:lang w:val="es-ES_tradnl"/>
        </w:rPr>
      </w:pPr>
    </w:p>
    <w:p w14:paraId="7801F5D6" w14:textId="77777777" w:rsidR="00030EC8" w:rsidRPr="0066555F" w:rsidRDefault="00696F36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lastRenderedPageBreak/>
        <w:t>3.</w:t>
      </w:r>
      <w:r w:rsidRPr="0066555F">
        <w:rPr>
          <w:rFonts w:cs="Arial"/>
          <w:lang w:val="es-ES_tradnl"/>
        </w:rPr>
        <w:tab/>
      </w:r>
      <w:r w:rsidR="003A08CC" w:rsidRPr="0066555F">
        <w:rPr>
          <w:rFonts w:cs="Arial"/>
          <w:lang w:val="es-ES_tradnl"/>
        </w:rPr>
        <w:t xml:space="preserve">Posteriormente, </w:t>
      </w:r>
      <w:r w:rsidR="008D4061" w:rsidRPr="0066555F">
        <w:rPr>
          <w:rFonts w:cs="Arial"/>
          <w:lang w:val="es-ES_tradnl"/>
        </w:rPr>
        <w:t xml:space="preserve">en su 52ª reunión, </w:t>
      </w:r>
      <w:r w:rsidR="003A08CC" w:rsidRPr="0066555F">
        <w:rPr>
          <w:rFonts w:cs="Arial"/>
          <w:lang w:val="es-ES_tradnl"/>
        </w:rPr>
        <w:t xml:space="preserve">el Comité Permanente aprobó </w:t>
      </w:r>
      <w:r w:rsidR="008D4061" w:rsidRPr="0066555F">
        <w:rPr>
          <w:rFonts w:cs="Arial"/>
          <w:lang w:val="es-ES_tradnl"/>
        </w:rPr>
        <w:t>las 15</w:t>
      </w:r>
      <w:r w:rsidR="00124D88" w:rsidRPr="0066555F">
        <w:rPr>
          <w:rFonts w:cs="Arial"/>
          <w:lang w:val="es-ES_tradnl"/>
        </w:rPr>
        <w:t xml:space="preserve"> </w:t>
      </w:r>
      <w:r w:rsidR="008D4061" w:rsidRPr="0066555F">
        <w:rPr>
          <w:rFonts w:cs="Arial"/>
          <w:lang w:val="es-ES_tradnl"/>
        </w:rPr>
        <w:t xml:space="preserve">IRR </w:t>
      </w:r>
      <w:r w:rsidR="004133D3" w:rsidRPr="0066555F">
        <w:rPr>
          <w:rFonts w:cs="Arial"/>
          <w:lang w:val="es-ES_tradnl"/>
        </w:rPr>
        <w:t xml:space="preserve">siguientes </w:t>
      </w:r>
      <w:r w:rsidR="003A08CC" w:rsidRPr="0066555F">
        <w:rPr>
          <w:rFonts w:cs="Arial"/>
          <w:lang w:val="es-ES_tradnl"/>
        </w:rPr>
        <w:t>considerando que operan en el marco de la Convención durante el período 2016-2018</w:t>
      </w:r>
      <w:r w:rsidR="008D4061" w:rsidRPr="0066555F">
        <w:rPr>
          <w:rFonts w:cs="Arial"/>
          <w:lang w:val="es-ES_tradnl"/>
        </w:rPr>
        <w:t xml:space="preserve"> (Decisión SC52-17): </w:t>
      </w:r>
    </w:p>
    <w:p w14:paraId="7E411411" w14:textId="1C0B4463" w:rsidR="0065635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8D4061" w:rsidRPr="0066555F">
        <w:rPr>
          <w:rFonts w:cs="Arial"/>
          <w:lang w:val="es-ES_tradnl"/>
        </w:rPr>
        <w:t xml:space="preserve">Centro Ramsar para África Oriental (RAMCEA); </w:t>
      </w:r>
    </w:p>
    <w:p w14:paraId="21ABBDCC" w14:textId="774B58C9" w:rsidR="00730D45" w:rsidRPr="0066555F" w:rsidRDefault="00083467" w:rsidP="009013B3">
      <w:pPr>
        <w:spacing w:after="0" w:line="240" w:lineRule="auto"/>
        <w:ind w:left="851" w:hanging="426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8D4061" w:rsidRPr="0066555F">
        <w:rPr>
          <w:rFonts w:cs="Arial"/>
          <w:lang w:val="es-ES_tradnl"/>
        </w:rPr>
        <w:t>Centro Regional Ramsar para la Capacitación e Investigación sobre Humedales en el Hemisferio Occidental (CREHO);</w:t>
      </w:r>
      <w:r w:rsidR="00BF744D" w:rsidRPr="0066555F">
        <w:rPr>
          <w:rFonts w:cs="Arial"/>
          <w:lang w:val="es-ES_tradnl"/>
        </w:rPr>
        <w:t xml:space="preserve"> </w:t>
      </w:r>
    </w:p>
    <w:p w14:paraId="549D0B0F" w14:textId="209A1A85" w:rsidR="0065635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8D4061" w:rsidRPr="0066555F">
        <w:rPr>
          <w:rFonts w:cs="Arial"/>
          <w:lang w:val="es-ES_tradnl"/>
        </w:rPr>
        <w:t xml:space="preserve">Centro Regional Ramsar para Asia Central y Occidental (RRC-CWA); </w:t>
      </w:r>
    </w:p>
    <w:p w14:paraId="27BE1106" w14:textId="52F831C3" w:rsidR="0065635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8D4061" w:rsidRPr="0066555F">
        <w:rPr>
          <w:rFonts w:cs="Arial"/>
          <w:lang w:val="es-ES_tradnl"/>
        </w:rPr>
        <w:t xml:space="preserve">Centro Regional Ramsar para Asia Oriental (RCC-EA); </w:t>
      </w:r>
    </w:p>
    <w:p w14:paraId="419FCD19" w14:textId="1699F0B1" w:rsidR="0065635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8D4061" w:rsidRPr="0066555F">
        <w:rPr>
          <w:rFonts w:cs="Arial"/>
          <w:lang w:val="es-ES_tradnl"/>
        </w:rPr>
        <w:t xml:space="preserve">Red de humedales costeros de África Occidental (WaCoWet); </w:t>
      </w:r>
    </w:p>
    <w:p w14:paraId="2A8C2195" w14:textId="2AB36A87" w:rsidR="0065635D" w:rsidRPr="0066555F" w:rsidRDefault="00083467" w:rsidP="00E94F66">
      <w:pPr>
        <w:spacing w:after="0" w:line="240" w:lineRule="auto"/>
        <w:ind w:left="850" w:hanging="425"/>
        <w:rPr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8D4061" w:rsidRPr="0066555F">
        <w:rPr>
          <w:rFonts w:cs="Arial"/>
          <w:lang w:val="es-ES_tradnl"/>
        </w:rPr>
        <w:t xml:space="preserve">Red de la cuenca del río Níger (NigerWet); </w:t>
      </w:r>
    </w:p>
    <w:p w14:paraId="5CF12160" w14:textId="400A87AC" w:rsidR="0065635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8D4061" w:rsidRPr="0066555F">
        <w:rPr>
          <w:rFonts w:cs="Arial"/>
          <w:lang w:val="es-ES_tradnl"/>
        </w:rPr>
        <w:t>Iniciativa Regional de Conservación y Uso Sostenible de los Humedales Altoandinos;</w:t>
      </w:r>
      <w:r w:rsidR="00BF744D" w:rsidRPr="0066555F">
        <w:rPr>
          <w:rFonts w:cs="Arial"/>
          <w:lang w:val="es-ES_tradnl"/>
        </w:rPr>
        <w:t xml:space="preserve"> </w:t>
      </w:r>
    </w:p>
    <w:p w14:paraId="299A4E52" w14:textId="6F03A806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F07F33" w:rsidRPr="0066555F">
        <w:rPr>
          <w:rFonts w:cs="Arial"/>
          <w:lang w:val="es-ES_tradnl"/>
        </w:rPr>
        <w:t xml:space="preserve">Iniciativa para la Conservación y Uso Sustentable de los Humedales Fluviales de la Cuenca del Plata; </w:t>
      </w:r>
    </w:p>
    <w:p w14:paraId="1FBB6F97" w14:textId="7A51E683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F07F33" w:rsidRPr="0066555F">
        <w:rPr>
          <w:rFonts w:cs="Arial"/>
          <w:lang w:val="es-ES_tradnl"/>
        </w:rPr>
        <w:t>Iniciativa Regional de los Humedales del Caribe (CariWet</w:t>
      </w:r>
      <w:r w:rsidR="005B54B5" w:rsidRPr="0066555F">
        <w:rPr>
          <w:rFonts w:cs="Arial"/>
          <w:lang w:val="es-ES_tradnl"/>
        </w:rPr>
        <w:t>);</w:t>
      </w:r>
      <w:r w:rsidR="00F07F33" w:rsidRPr="0066555F">
        <w:rPr>
          <w:rFonts w:cs="Arial"/>
          <w:lang w:val="es-ES_tradnl"/>
        </w:rPr>
        <w:t xml:space="preserve"> </w:t>
      </w:r>
    </w:p>
    <w:p w14:paraId="74B4B87D" w14:textId="33052501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5B54B5" w:rsidRPr="0066555F">
        <w:rPr>
          <w:rFonts w:cs="Arial"/>
          <w:lang w:val="es-ES_tradnl"/>
        </w:rPr>
        <w:t xml:space="preserve">Iniciativa Regional para la Conservación y Uso Racional de Manglares y Corales; </w:t>
      </w:r>
    </w:p>
    <w:p w14:paraId="54167BEF" w14:textId="6769631D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5B54B5" w:rsidRPr="0066555F">
        <w:rPr>
          <w:rFonts w:cs="Arial"/>
          <w:lang w:val="es-ES_tradnl"/>
        </w:rPr>
        <w:t xml:space="preserve">Alianza de la Vía Migratoria Asia Oriental-Australasia; </w:t>
      </w:r>
    </w:p>
    <w:p w14:paraId="7D9D68A5" w14:textId="510C41E0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5B54B5" w:rsidRPr="0066555F">
        <w:rPr>
          <w:rFonts w:cs="Arial"/>
          <w:lang w:val="es-ES_tradnl"/>
        </w:rPr>
        <w:t xml:space="preserve">Iniciativa para los Humedales del Mediterráneo (MedWet); </w:t>
      </w:r>
    </w:p>
    <w:p w14:paraId="1AC48691" w14:textId="5E480F41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5B54B5" w:rsidRPr="0066555F">
        <w:rPr>
          <w:rFonts w:cs="Arial"/>
          <w:lang w:val="es-ES_tradnl"/>
        </w:rPr>
        <w:t xml:space="preserve">Iniciativa para los humedales de los Cárpatos (CWI); </w:t>
      </w:r>
    </w:p>
    <w:p w14:paraId="006B2FA3" w14:textId="0D7E2B80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5B54B5" w:rsidRPr="0066555F">
        <w:rPr>
          <w:rFonts w:cs="Arial"/>
          <w:lang w:val="es-ES_tradnl"/>
        </w:rPr>
        <w:t>Iniciativa para los humedales nórdico-bálticos (NorBalWet); e</w:t>
      </w:r>
    </w:p>
    <w:p w14:paraId="2B0F3437" w14:textId="3C577CC8" w:rsidR="0019073D" w:rsidRPr="0066555F" w:rsidRDefault="00083467" w:rsidP="00E94F66">
      <w:pPr>
        <w:spacing w:after="0" w:line="240" w:lineRule="auto"/>
        <w:ind w:left="850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-</w:t>
      </w:r>
      <w:r w:rsidR="009013B3" w:rsidRPr="0066555F">
        <w:rPr>
          <w:rFonts w:cs="Arial"/>
          <w:lang w:val="es-ES_tradnl"/>
        </w:rPr>
        <w:tab/>
      </w:r>
      <w:r w:rsidR="005B54B5" w:rsidRPr="0066555F">
        <w:rPr>
          <w:rFonts w:cs="Arial"/>
          <w:lang w:val="es-ES_tradnl"/>
        </w:rPr>
        <w:t xml:space="preserve">Iniciativa para los humedales costeros del mar Negro y el mar de Azov (BlackSeaWet). </w:t>
      </w:r>
    </w:p>
    <w:p w14:paraId="0152FE13" w14:textId="77777777" w:rsidR="0019073D" w:rsidRPr="0066555F" w:rsidRDefault="0019073D" w:rsidP="00E94F66">
      <w:pPr>
        <w:spacing w:after="0" w:line="240" w:lineRule="auto"/>
        <w:ind w:left="720" w:hanging="720"/>
        <w:rPr>
          <w:i/>
          <w:lang w:val="es-ES_tradnl"/>
        </w:rPr>
      </w:pPr>
    </w:p>
    <w:p w14:paraId="67E9C095" w14:textId="4AA351B0" w:rsidR="0019073D" w:rsidRPr="0066555F" w:rsidRDefault="00D7304A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4.</w:t>
      </w:r>
      <w:r w:rsidRPr="0066555F">
        <w:rPr>
          <w:rFonts w:cs="Arial"/>
          <w:lang w:val="es-ES_tradnl"/>
        </w:rPr>
        <w:tab/>
      </w:r>
      <w:r w:rsidR="005B54B5" w:rsidRPr="0066555F">
        <w:rPr>
          <w:rFonts w:cs="Arial"/>
          <w:lang w:val="es-ES_tradnl"/>
        </w:rPr>
        <w:t>El Comit</w:t>
      </w:r>
      <w:r w:rsidR="009013B3" w:rsidRPr="0066555F">
        <w:rPr>
          <w:rFonts w:cs="Arial"/>
          <w:lang w:val="es-ES_tradnl"/>
        </w:rPr>
        <w:t xml:space="preserve">é Permanente aprobó </w:t>
      </w:r>
      <w:r w:rsidR="005B54B5" w:rsidRPr="0066555F">
        <w:rPr>
          <w:rFonts w:cs="Arial"/>
          <w:lang w:val="es-ES_tradnl"/>
        </w:rPr>
        <w:t>cuatro nuevas iniciativas regionales de Ramsar considerando que operan en el marco de la Convención durante el período 2016-2018 y aprobó otorgarles apoyo financiero inicial con cargo al presupuesto básico de Ramsar por un importe de 30.000 francos suizos cada un</w:t>
      </w:r>
      <w:r w:rsidR="00CF48C3" w:rsidRPr="0066555F">
        <w:rPr>
          <w:rFonts w:cs="Arial"/>
          <w:lang w:val="es-ES_tradnl"/>
        </w:rPr>
        <w:t xml:space="preserve">a para sus actividades en 2016 (Decisión SC52-20), y el mismo importe para sus actividades en 2017 (Decisión SC53-09). </w:t>
      </w:r>
      <w:r w:rsidR="005B54B5" w:rsidRPr="0066555F">
        <w:rPr>
          <w:rFonts w:cs="Arial"/>
          <w:lang w:val="es-ES_tradnl"/>
        </w:rPr>
        <w:t xml:space="preserve">Estas nuevas IRR son: </w:t>
      </w:r>
    </w:p>
    <w:p w14:paraId="0D8DF3A1" w14:textId="77777777" w:rsidR="005B54B5" w:rsidRPr="0066555F" w:rsidRDefault="005B54B5" w:rsidP="005B54B5">
      <w:pPr>
        <w:pStyle w:val="ListParagraph"/>
        <w:numPr>
          <w:ilvl w:val="0"/>
          <w:numId w:val="31"/>
        </w:numPr>
        <w:spacing w:after="0" w:line="240" w:lineRule="auto"/>
        <w:ind w:left="709"/>
        <w:rPr>
          <w:rFonts w:cs="Arial"/>
          <w:lang w:val="es-ES_tradnl"/>
        </w:rPr>
      </w:pPr>
      <w:r w:rsidRPr="0066555F">
        <w:rPr>
          <w:rFonts w:cs="Calibri"/>
          <w:lang w:val="es-ES_tradnl"/>
        </w:rPr>
        <w:t>la Iniciativa de la cuenca del río Senegal</w:t>
      </w:r>
      <w:r w:rsidRPr="0066555F">
        <w:rPr>
          <w:rFonts w:cs="Arial"/>
          <w:lang w:val="es-ES_tradnl"/>
        </w:rPr>
        <w:t>;</w:t>
      </w:r>
    </w:p>
    <w:p w14:paraId="19C82681" w14:textId="77777777" w:rsidR="005B54B5" w:rsidRPr="0066555F" w:rsidRDefault="005B54B5" w:rsidP="005B54B5">
      <w:pPr>
        <w:pStyle w:val="ListParagraph"/>
        <w:numPr>
          <w:ilvl w:val="0"/>
          <w:numId w:val="31"/>
        </w:numPr>
        <w:spacing w:after="0" w:line="240" w:lineRule="auto"/>
        <w:ind w:left="709"/>
        <w:rPr>
          <w:rFonts w:cs="Arial"/>
          <w:lang w:val="es-ES_tradnl"/>
        </w:rPr>
      </w:pPr>
      <w:r w:rsidRPr="0066555F">
        <w:rPr>
          <w:rFonts w:cs="Calibri"/>
          <w:lang w:val="es-ES_tradnl"/>
        </w:rPr>
        <w:t>la Iniciativa de la cuenca amazónica</w:t>
      </w:r>
      <w:r w:rsidRPr="0066555F">
        <w:rPr>
          <w:rFonts w:cs="Arial"/>
          <w:lang w:val="es-ES_tradnl"/>
        </w:rPr>
        <w:t>;</w:t>
      </w:r>
    </w:p>
    <w:p w14:paraId="2E79F37D" w14:textId="77777777" w:rsidR="005B54B5" w:rsidRPr="0066555F" w:rsidRDefault="005B54B5" w:rsidP="005B54B5">
      <w:pPr>
        <w:pStyle w:val="ListParagraph"/>
        <w:numPr>
          <w:ilvl w:val="0"/>
          <w:numId w:val="31"/>
        </w:numPr>
        <w:spacing w:after="0" w:line="240" w:lineRule="auto"/>
        <w:ind w:left="709"/>
        <w:rPr>
          <w:rFonts w:cs="Arial"/>
          <w:lang w:val="es-ES_tradnl"/>
        </w:rPr>
      </w:pPr>
      <w:r w:rsidRPr="0066555F">
        <w:rPr>
          <w:rFonts w:cs="Calibri"/>
          <w:lang w:val="es-ES_tradnl"/>
        </w:rPr>
        <w:t>la Iniciativa regional de Asia Central</w:t>
      </w:r>
      <w:r w:rsidRPr="0066555F">
        <w:rPr>
          <w:rFonts w:cs="Arial"/>
          <w:lang w:val="es-ES_tradnl"/>
        </w:rPr>
        <w:t xml:space="preserve">; y </w:t>
      </w:r>
    </w:p>
    <w:p w14:paraId="177EC6F9" w14:textId="77777777" w:rsidR="005B54B5" w:rsidRPr="0066555F" w:rsidRDefault="005B54B5" w:rsidP="005B54B5">
      <w:pPr>
        <w:pStyle w:val="ListParagraph"/>
        <w:numPr>
          <w:ilvl w:val="0"/>
          <w:numId w:val="31"/>
        </w:numPr>
        <w:spacing w:after="0" w:line="240" w:lineRule="auto"/>
        <w:ind w:left="709"/>
        <w:rPr>
          <w:rFonts w:cs="Arial"/>
          <w:lang w:val="es-ES_tradnl"/>
        </w:rPr>
      </w:pPr>
      <w:r w:rsidRPr="0066555F">
        <w:rPr>
          <w:rFonts w:cs="Calibri"/>
          <w:lang w:val="es-ES_tradnl"/>
        </w:rPr>
        <w:t>la Iniciativa Indo-Birmana</w:t>
      </w:r>
      <w:r w:rsidRPr="0066555F">
        <w:rPr>
          <w:rFonts w:cs="Arial"/>
          <w:lang w:val="es-ES_tradnl"/>
        </w:rPr>
        <w:t>.</w:t>
      </w:r>
    </w:p>
    <w:p w14:paraId="75A3F9A6" w14:textId="77777777" w:rsidR="00F97610" w:rsidRPr="0066555F" w:rsidRDefault="00F97610" w:rsidP="00E94F66">
      <w:pPr>
        <w:spacing w:after="0" w:line="240" w:lineRule="auto"/>
        <w:ind w:left="720" w:hanging="720"/>
        <w:rPr>
          <w:rFonts w:cs="Arial"/>
          <w:i/>
          <w:lang w:val="es-ES_tradnl"/>
        </w:rPr>
      </w:pPr>
    </w:p>
    <w:p w14:paraId="2EAD422D" w14:textId="77777777" w:rsidR="005B54B5" w:rsidRPr="0066555F" w:rsidRDefault="005B54B5" w:rsidP="00E94F66">
      <w:pPr>
        <w:spacing w:after="0" w:line="240" w:lineRule="auto"/>
        <w:rPr>
          <w:rFonts w:cs="Arial"/>
          <w:b/>
          <w:lang w:val="es-ES_tradnl"/>
        </w:rPr>
      </w:pPr>
      <w:r w:rsidRPr="0066555F">
        <w:rPr>
          <w:rFonts w:cs="Arial"/>
          <w:b/>
          <w:lang w:val="es-ES_tradnl"/>
        </w:rPr>
        <w:t>Progresos realizados en la labor de las 19 iniciativas regionales de Ramsar en 2017</w:t>
      </w:r>
    </w:p>
    <w:p w14:paraId="47D08F57" w14:textId="77777777" w:rsidR="00CA41B7" w:rsidRPr="0066555F" w:rsidRDefault="00CA41B7" w:rsidP="00E94F66">
      <w:pPr>
        <w:spacing w:after="0" w:line="240" w:lineRule="auto"/>
        <w:rPr>
          <w:rFonts w:cs="Arial"/>
          <w:i/>
          <w:lang w:val="es-ES_tradnl"/>
        </w:rPr>
      </w:pPr>
    </w:p>
    <w:p w14:paraId="2717D207" w14:textId="697D1438" w:rsidR="00CA41B7" w:rsidRPr="0066555F" w:rsidRDefault="00B05CF5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5.</w:t>
      </w:r>
      <w:r w:rsidRPr="0066555F">
        <w:rPr>
          <w:rFonts w:cs="Arial"/>
          <w:lang w:val="es-ES_tradnl"/>
        </w:rPr>
        <w:tab/>
      </w:r>
      <w:r w:rsidR="009013B3" w:rsidRPr="0066555F">
        <w:rPr>
          <w:rFonts w:cs="Arial"/>
          <w:lang w:val="es-ES_tradnl"/>
        </w:rPr>
        <w:t>En</w:t>
      </w:r>
      <w:r w:rsidR="00CF48C3" w:rsidRPr="0066555F">
        <w:rPr>
          <w:rFonts w:cs="Arial"/>
          <w:lang w:val="es-ES_tradnl"/>
        </w:rPr>
        <w:t xml:space="preserve"> l</w:t>
      </w:r>
      <w:r w:rsidR="005B54B5" w:rsidRPr="0066555F">
        <w:rPr>
          <w:rFonts w:cs="Arial"/>
          <w:lang w:val="es-ES_tradnl"/>
        </w:rPr>
        <w:t>a COP12</w:t>
      </w:r>
      <w:r w:rsidR="00CF48C3" w:rsidRPr="0066555F">
        <w:rPr>
          <w:rFonts w:cs="Arial"/>
          <w:lang w:val="es-ES_tradnl"/>
        </w:rPr>
        <w:t xml:space="preserve">, en el párrafo 12 de la </w:t>
      </w:r>
      <w:r w:rsidR="005B54B5" w:rsidRPr="0066555F">
        <w:rPr>
          <w:rFonts w:cs="Arial"/>
          <w:lang w:val="es-ES_tradnl"/>
        </w:rPr>
        <w:t>Resolución XII.8</w:t>
      </w:r>
      <w:r w:rsidR="00CF48C3" w:rsidRPr="0066555F">
        <w:rPr>
          <w:rFonts w:cs="Arial"/>
          <w:lang w:val="es-ES_tradnl"/>
        </w:rPr>
        <w:t>, la Conferencia de las Partes</w:t>
      </w:r>
      <w:r w:rsidR="005B54B5" w:rsidRPr="0066555F">
        <w:rPr>
          <w:rFonts w:cs="Arial"/>
          <w:lang w:val="es-ES_tradnl"/>
        </w:rPr>
        <w:t xml:space="preserve"> solicitó “al Comité Permanente que continúe evaluando cada año, a partir de los informes presentados y siguiendo el formato adoptado a través de la Decisión SC4-21 del Comité Permanente, el funcionamiento de las iniciativas regionales con respecto a los Lineamientos Operativos y la aplicación de al Convención y el Plan Estratégico de Ramsar para 2016-2024, solicitando el apoyo del Grupo de supervisión de las actividades de CECoP cuando proceda</w:t>
      </w:r>
      <w:r w:rsidR="00CF48C3" w:rsidRPr="0066555F">
        <w:rPr>
          <w:rFonts w:cs="Arial"/>
          <w:lang w:val="es-ES_tradnl"/>
        </w:rPr>
        <w:t>”.</w:t>
      </w:r>
    </w:p>
    <w:p w14:paraId="57E10CB7" w14:textId="77777777" w:rsidR="00F0128A" w:rsidRPr="0066555F" w:rsidRDefault="00F0128A" w:rsidP="00E94F66">
      <w:pPr>
        <w:spacing w:after="0" w:line="240" w:lineRule="auto"/>
        <w:ind w:left="425" w:hanging="425"/>
        <w:rPr>
          <w:rFonts w:cs="Arial"/>
          <w:lang w:val="es-ES_tradnl"/>
        </w:rPr>
      </w:pPr>
    </w:p>
    <w:p w14:paraId="6FB1AED4" w14:textId="0B5A59B6" w:rsidR="005A280B" w:rsidRPr="0066555F" w:rsidRDefault="0031119A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6.</w:t>
      </w:r>
      <w:r w:rsidRPr="0066555F">
        <w:rPr>
          <w:rFonts w:cs="Arial"/>
          <w:lang w:val="es-ES_tradnl"/>
        </w:rPr>
        <w:tab/>
      </w:r>
      <w:r w:rsidR="00CF48C3" w:rsidRPr="0066555F">
        <w:rPr>
          <w:rFonts w:cs="Arial"/>
          <w:lang w:val="es-ES_tradnl"/>
        </w:rPr>
        <w:t xml:space="preserve">La Secretaría mantiene contactos </w:t>
      </w:r>
      <w:r w:rsidR="009013B3" w:rsidRPr="0066555F">
        <w:rPr>
          <w:rFonts w:cs="Arial"/>
          <w:lang w:val="es-ES_tradnl"/>
        </w:rPr>
        <w:t>periódicos</w:t>
      </w:r>
      <w:r w:rsidR="00CF48C3" w:rsidRPr="0066555F">
        <w:rPr>
          <w:rFonts w:cs="Arial"/>
          <w:lang w:val="es-ES_tradnl"/>
        </w:rPr>
        <w:t xml:space="preserve"> con cada una de las IRR </w:t>
      </w:r>
      <w:r w:rsidR="009013B3" w:rsidRPr="0066555F">
        <w:rPr>
          <w:rFonts w:cs="Arial"/>
          <w:lang w:val="es-ES_tradnl"/>
        </w:rPr>
        <w:t>para ayudar a</w:t>
      </w:r>
      <w:r w:rsidR="00CF48C3" w:rsidRPr="0066555F">
        <w:rPr>
          <w:rFonts w:cs="Arial"/>
          <w:lang w:val="es-ES_tradnl"/>
        </w:rPr>
        <w:t xml:space="preserve"> garantizar que los objetivos y programas de trabajo de estas </w:t>
      </w:r>
      <w:r w:rsidR="009013B3" w:rsidRPr="0066555F">
        <w:rPr>
          <w:rFonts w:cs="Arial"/>
          <w:lang w:val="es-ES_tradnl"/>
        </w:rPr>
        <w:t>estén en consonancia</w:t>
      </w:r>
      <w:r w:rsidR="00CF48C3" w:rsidRPr="0066555F">
        <w:rPr>
          <w:rFonts w:cs="Arial"/>
          <w:lang w:val="es-ES_tradnl"/>
        </w:rPr>
        <w:t xml:space="preserve"> con el Plan Estratégico de la Co</w:t>
      </w:r>
      <w:r w:rsidR="009013B3" w:rsidRPr="0066555F">
        <w:rPr>
          <w:rFonts w:cs="Arial"/>
          <w:lang w:val="es-ES_tradnl"/>
        </w:rPr>
        <w:t>nvención y que se apliquen los l</w:t>
      </w:r>
      <w:r w:rsidR="00CF48C3" w:rsidRPr="0066555F">
        <w:rPr>
          <w:rFonts w:cs="Arial"/>
          <w:lang w:val="es-ES_tradnl"/>
        </w:rPr>
        <w:t>ineamientos operativos destinados a las IRR</w:t>
      </w:r>
      <w:r w:rsidR="00292EDA" w:rsidRPr="0066555F">
        <w:rPr>
          <w:rFonts w:cs="Arial"/>
          <w:lang w:val="es-ES_tradnl"/>
        </w:rPr>
        <w:t>.</w:t>
      </w:r>
      <w:r w:rsidR="00CF48C3" w:rsidRPr="0066555F">
        <w:rPr>
          <w:rFonts w:cs="Arial"/>
          <w:lang w:val="es-ES_tradnl"/>
        </w:rPr>
        <w:t xml:space="preserve"> </w:t>
      </w:r>
    </w:p>
    <w:p w14:paraId="0E8CFFDE" w14:textId="77777777" w:rsidR="005A280B" w:rsidRPr="0066555F" w:rsidRDefault="005A280B" w:rsidP="00E94F66">
      <w:pPr>
        <w:spacing w:after="0" w:line="240" w:lineRule="auto"/>
        <w:ind w:left="425" w:hanging="425"/>
        <w:rPr>
          <w:rFonts w:cs="Arial"/>
          <w:lang w:val="es-ES_tradnl"/>
        </w:rPr>
      </w:pPr>
    </w:p>
    <w:p w14:paraId="52409D12" w14:textId="6BA7421D" w:rsidR="005A280B" w:rsidRPr="0066555F" w:rsidRDefault="00EA566D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7.</w:t>
      </w:r>
      <w:r w:rsidRPr="0066555F">
        <w:rPr>
          <w:rFonts w:cs="Arial"/>
          <w:lang w:val="es-ES_tradnl"/>
        </w:rPr>
        <w:tab/>
      </w:r>
      <w:r w:rsidR="003D02E3" w:rsidRPr="0066555F">
        <w:rPr>
          <w:rFonts w:cs="Arial"/>
          <w:lang w:val="es-ES_tradnl"/>
        </w:rPr>
        <w:t xml:space="preserve">Se pidió a los coordinadores de las IRR que utilizaran el modelo de informe nacional disponible en el sitio web de Ramsar (Documento SC41-13, Anexo I, </w:t>
      </w:r>
      <w:hyperlink r:id="rId9" w:history="1">
        <w:r w:rsidR="00F436CF" w:rsidRPr="00ED09CB">
          <w:rPr>
            <w:rStyle w:val="Hyperlink"/>
            <w:rFonts w:cs="Arial"/>
            <w:lang w:val="es-ES_tradnl"/>
          </w:rPr>
          <w:t>https://www.ramsar.org/es/actividad/iniciativas-regionales-de-ramsar</w:t>
        </w:r>
      </w:hyperlink>
      <w:r w:rsidR="003D02E3" w:rsidRPr="0066555F">
        <w:rPr>
          <w:rFonts w:cs="Arial"/>
          <w:lang w:val="es-ES_tradnl"/>
        </w:rPr>
        <w:t xml:space="preserve">) y que enviaran a la Secretaría un informe conciso de la marcha de los trabajos durante 2017 y de los trabajos previstos en 2018, incluido un resumen financiero, a más tardar el 15 de enero de 2018. Esos informes están disponibles en la siguiente dirección: </w:t>
      </w:r>
      <w:hyperlink r:id="rId10" w:history="1">
        <w:r w:rsidR="00F436CF" w:rsidRPr="00ED09CB">
          <w:rPr>
            <w:rStyle w:val="Hyperlink"/>
            <w:lang w:val="es-ES"/>
          </w:rPr>
          <w:t>https://www.ramsar.org/es/search?f[0]=field_tag_body_event%3A593&amp;f[1]=field_document_type%3A573&amp;f[2]=field_sort_date%3A2018&amp;search_api_views_fulltext</w:t>
        </w:r>
      </w:hyperlink>
      <w:r w:rsidR="00F436CF" w:rsidRPr="00F436CF">
        <w:rPr>
          <w:lang w:val="es-ES"/>
        </w:rPr>
        <w:t>=</w:t>
      </w:r>
      <w:r w:rsidR="00F436CF">
        <w:rPr>
          <w:lang w:val="es-ES"/>
        </w:rPr>
        <w:t xml:space="preserve"> </w:t>
      </w:r>
      <w:r w:rsidR="003D02E3" w:rsidRPr="0066555F">
        <w:rPr>
          <w:rFonts w:cs="Arial"/>
          <w:lang w:val="es-ES_tradnl"/>
        </w:rPr>
        <w:t>.</w:t>
      </w:r>
      <w:r w:rsidR="008B3F06" w:rsidRPr="0066555F">
        <w:rPr>
          <w:rFonts w:cs="Arial"/>
          <w:lang w:val="es-ES_tradnl"/>
        </w:rPr>
        <w:t xml:space="preserve"> </w:t>
      </w:r>
    </w:p>
    <w:p w14:paraId="13D6A8F0" w14:textId="77777777" w:rsidR="00F97610" w:rsidRPr="0066555F" w:rsidRDefault="00F97610" w:rsidP="00826387">
      <w:pPr>
        <w:spacing w:after="0" w:line="240" w:lineRule="auto"/>
        <w:ind w:left="720" w:hanging="720"/>
        <w:rPr>
          <w:rFonts w:cs="Arial"/>
          <w:lang w:val="es-ES_tradnl"/>
        </w:rPr>
      </w:pPr>
    </w:p>
    <w:p w14:paraId="2D1BBA28" w14:textId="49EA83E5" w:rsidR="006754B0" w:rsidRPr="0066555F" w:rsidRDefault="003D02E3" w:rsidP="00AA451C">
      <w:pPr>
        <w:keepNext/>
        <w:spacing w:after="0" w:line="240" w:lineRule="auto"/>
        <w:rPr>
          <w:rFonts w:cs="Arial"/>
          <w:b/>
          <w:lang w:val="es-ES_tradnl"/>
        </w:rPr>
      </w:pPr>
      <w:r w:rsidRPr="0066555F">
        <w:rPr>
          <w:rFonts w:cs="Arial"/>
          <w:b/>
          <w:lang w:val="es-ES_tradnl"/>
        </w:rPr>
        <w:t xml:space="preserve">Resumen de las operaciones </w:t>
      </w:r>
      <w:r w:rsidR="007124BF" w:rsidRPr="0066555F">
        <w:rPr>
          <w:rFonts w:cs="Arial"/>
          <w:b/>
          <w:lang w:val="es-ES_tradnl"/>
        </w:rPr>
        <w:t xml:space="preserve">y </w:t>
      </w:r>
      <w:r w:rsidR="006108DD">
        <w:rPr>
          <w:rFonts w:cs="Arial"/>
          <w:b/>
          <w:lang w:val="es-ES_tradnl"/>
        </w:rPr>
        <w:t xml:space="preserve">los </w:t>
      </w:r>
      <w:r w:rsidR="007124BF" w:rsidRPr="0066555F">
        <w:rPr>
          <w:rFonts w:cs="Arial"/>
          <w:b/>
          <w:lang w:val="es-ES_tradnl"/>
        </w:rPr>
        <w:t>éxito</w:t>
      </w:r>
      <w:r w:rsidR="009013B3" w:rsidRPr="0066555F">
        <w:rPr>
          <w:rFonts w:cs="Arial"/>
          <w:b/>
          <w:lang w:val="es-ES_tradnl"/>
        </w:rPr>
        <w:t>s</w:t>
      </w:r>
      <w:r w:rsidR="007124BF" w:rsidRPr="0066555F">
        <w:rPr>
          <w:rFonts w:cs="Arial"/>
          <w:b/>
          <w:lang w:val="es-ES_tradnl"/>
        </w:rPr>
        <w:t xml:space="preserve"> de las IRR </w:t>
      </w:r>
      <w:r w:rsidR="009013B3" w:rsidRPr="0066555F">
        <w:rPr>
          <w:rFonts w:cs="Arial"/>
          <w:b/>
          <w:lang w:val="es-ES_tradnl"/>
        </w:rPr>
        <w:t>que realizan su labor</w:t>
      </w:r>
      <w:r w:rsidR="007124BF" w:rsidRPr="0066555F">
        <w:rPr>
          <w:rFonts w:cs="Arial"/>
          <w:b/>
          <w:lang w:val="es-ES_tradnl"/>
        </w:rPr>
        <w:t xml:space="preserve"> durante el período 2016-2018 </w:t>
      </w:r>
    </w:p>
    <w:p w14:paraId="1BC16880" w14:textId="77777777" w:rsidR="006754B0" w:rsidRPr="0066555F" w:rsidRDefault="006754B0" w:rsidP="00AA451C">
      <w:pPr>
        <w:keepNext/>
        <w:spacing w:after="0" w:line="240" w:lineRule="auto"/>
        <w:rPr>
          <w:rFonts w:cs="Arial"/>
          <w:b/>
          <w:lang w:val="es-ES_tradnl"/>
        </w:rPr>
      </w:pPr>
    </w:p>
    <w:p w14:paraId="65D2B36A" w14:textId="77777777" w:rsidR="006754B0" w:rsidRPr="0066555F" w:rsidRDefault="00CD57D3" w:rsidP="00B05EA8">
      <w:pPr>
        <w:spacing w:after="0" w:line="240" w:lineRule="auto"/>
        <w:ind w:left="425" w:hanging="425"/>
        <w:rPr>
          <w:rFonts w:cs="Arial"/>
          <w:spacing w:val="-2"/>
          <w:lang w:val="es-ES_tradnl"/>
        </w:rPr>
      </w:pPr>
      <w:r w:rsidRPr="0066555F">
        <w:rPr>
          <w:rFonts w:cs="Arial"/>
          <w:spacing w:val="-2"/>
          <w:lang w:val="es-ES_tradnl"/>
        </w:rPr>
        <w:t>8.</w:t>
      </w:r>
      <w:r w:rsidRPr="0066555F">
        <w:rPr>
          <w:rFonts w:cs="Arial"/>
          <w:spacing w:val="-2"/>
          <w:lang w:val="es-ES_tradnl"/>
        </w:rPr>
        <w:tab/>
      </w:r>
      <w:r w:rsidR="007124BF" w:rsidRPr="0066555F">
        <w:rPr>
          <w:rFonts w:cs="Arial"/>
          <w:spacing w:val="-2"/>
          <w:lang w:val="es-ES_tradnl"/>
        </w:rPr>
        <w:t>También en la COP12, en el párrafo24 de la Resolución XII.8, la Conferencia de las Partes encargó “</w:t>
      </w:r>
      <w:r w:rsidR="007124BF" w:rsidRPr="0066555F">
        <w:rPr>
          <w:lang w:val="es-ES_tradnl"/>
        </w:rPr>
        <w:t xml:space="preserve">al Comité Permanente que prepare un informe resumido de sus evaluaciones anuales en el que examine las actividades y los logros de las iniciativas regionales durante el período 2016-2018 para someterlo a la consideración de las Partes Contratantes en la 13ª reunión de la Conferencia de las Partes Contratantes”. </w:t>
      </w:r>
    </w:p>
    <w:p w14:paraId="5F39DD32" w14:textId="77777777" w:rsidR="006754B0" w:rsidRPr="0066555F" w:rsidRDefault="006754B0" w:rsidP="00826387">
      <w:pPr>
        <w:spacing w:after="0" w:line="240" w:lineRule="auto"/>
        <w:ind w:left="720" w:hanging="720"/>
        <w:rPr>
          <w:rFonts w:cs="Arial"/>
          <w:lang w:val="es-ES_tradnl"/>
        </w:rPr>
      </w:pPr>
    </w:p>
    <w:p w14:paraId="49E7B263" w14:textId="44D2D596" w:rsidR="006754B0" w:rsidRPr="0066555F" w:rsidRDefault="0000297D" w:rsidP="00B05EA8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9.</w:t>
      </w:r>
      <w:r w:rsidRPr="0066555F">
        <w:rPr>
          <w:rFonts w:cs="Arial"/>
          <w:lang w:val="es-ES_tradnl"/>
        </w:rPr>
        <w:tab/>
      </w:r>
      <w:r w:rsidR="003859BF" w:rsidRPr="0066555F">
        <w:rPr>
          <w:rFonts w:cs="Arial"/>
          <w:lang w:val="es-ES_tradnl"/>
        </w:rPr>
        <w:t>El Cuadro</w:t>
      </w:r>
      <w:r w:rsidR="007124BF" w:rsidRPr="0066555F">
        <w:rPr>
          <w:rFonts w:cs="Arial"/>
          <w:lang w:val="es-ES_tradnl"/>
        </w:rPr>
        <w:t xml:space="preserve"> 1 contiene un resumen de la información proporcionada en los planes </w:t>
      </w:r>
      <w:r w:rsidR="006730F6" w:rsidRPr="0066555F">
        <w:rPr>
          <w:rFonts w:cs="Arial"/>
          <w:lang w:val="es-ES_tradnl"/>
        </w:rPr>
        <w:t xml:space="preserve">de trabajo </w:t>
      </w:r>
      <w:r w:rsidR="00703031" w:rsidRPr="0066555F">
        <w:rPr>
          <w:rFonts w:cs="Arial"/>
          <w:lang w:val="es-ES_tradnl"/>
        </w:rPr>
        <w:t xml:space="preserve">anuales </w:t>
      </w:r>
      <w:r w:rsidR="006730F6" w:rsidRPr="0066555F">
        <w:rPr>
          <w:rFonts w:cs="Arial"/>
          <w:lang w:val="es-ES_tradnl"/>
        </w:rPr>
        <w:t>a los que alude el párrafo 7, centrándose en las operaciones</w:t>
      </w:r>
      <w:r w:rsidR="003859BF" w:rsidRPr="0066555F">
        <w:rPr>
          <w:rFonts w:cs="Arial"/>
          <w:lang w:val="es-ES_tradnl"/>
        </w:rPr>
        <w:t xml:space="preserve"> y los éxitos, </w:t>
      </w:r>
      <w:r w:rsidR="00C20815" w:rsidRPr="0066555F">
        <w:rPr>
          <w:rFonts w:cs="Arial"/>
          <w:lang w:val="es-ES_tradnl"/>
        </w:rPr>
        <w:t>detalla</w:t>
      </w:r>
      <w:r w:rsidR="006730F6" w:rsidRPr="0066555F">
        <w:rPr>
          <w:rFonts w:cs="Arial"/>
          <w:lang w:val="es-ES_tradnl"/>
        </w:rPr>
        <w:t xml:space="preserve">ndo las reuniones de </w:t>
      </w:r>
      <w:r w:rsidR="003859BF" w:rsidRPr="0066555F">
        <w:rPr>
          <w:rFonts w:cs="Arial"/>
          <w:lang w:val="es-ES_tradnl"/>
        </w:rPr>
        <w:t>órganos de gobierno y los miembros</w:t>
      </w:r>
      <w:r w:rsidR="006730F6" w:rsidRPr="0066555F">
        <w:rPr>
          <w:rFonts w:cs="Arial"/>
          <w:lang w:val="es-ES_tradnl"/>
        </w:rPr>
        <w:t xml:space="preserve">, </w:t>
      </w:r>
      <w:r w:rsidR="003859BF" w:rsidRPr="0066555F">
        <w:rPr>
          <w:rFonts w:cs="Arial"/>
          <w:lang w:val="es-ES_tradnl"/>
        </w:rPr>
        <w:t>enumerando</w:t>
      </w:r>
      <w:r w:rsidR="006730F6" w:rsidRPr="0066555F">
        <w:rPr>
          <w:rFonts w:cs="Arial"/>
          <w:lang w:val="es-ES_tradnl"/>
        </w:rPr>
        <w:t xml:space="preserve"> los documentos </w:t>
      </w:r>
      <w:r w:rsidR="003859BF" w:rsidRPr="0066555F">
        <w:rPr>
          <w:rFonts w:cs="Arial"/>
          <w:lang w:val="es-ES_tradnl"/>
        </w:rPr>
        <w:t>elaborados</w:t>
      </w:r>
      <w:r w:rsidR="006730F6" w:rsidRPr="0066555F">
        <w:rPr>
          <w:rFonts w:cs="Arial"/>
          <w:lang w:val="es-ES_tradnl"/>
        </w:rPr>
        <w:t xml:space="preserve">, </w:t>
      </w:r>
      <w:r w:rsidR="003859BF" w:rsidRPr="0066555F">
        <w:rPr>
          <w:rFonts w:cs="Arial"/>
          <w:lang w:val="es-ES_tradnl"/>
        </w:rPr>
        <w:t xml:space="preserve">los </w:t>
      </w:r>
      <w:r w:rsidR="006730F6" w:rsidRPr="0066555F">
        <w:rPr>
          <w:rFonts w:cs="Arial"/>
          <w:lang w:val="es-ES_tradnl"/>
        </w:rPr>
        <w:t xml:space="preserve">resultados conseguidos y las actividades en curso de las 19 IRR operativas durante el período 2016-2018: </w:t>
      </w:r>
    </w:p>
    <w:p w14:paraId="58B35708" w14:textId="77777777" w:rsidR="00BA06F8" w:rsidRPr="0066555F" w:rsidRDefault="00BA06F8" w:rsidP="00B05EA8">
      <w:pPr>
        <w:spacing w:after="0" w:line="240" w:lineRule="auto"/>
        <w:ind w:left="720" w:hanging="720"/>
        <w:rPr>
          <w:rFonts w:cs="Arial"/>
          <w:lang w:val="es-ES_tradnl"/>
        </w:rPr>
      </w:pPr>
    </w:p>
    <w:p w14:paraId="731EAA4A" w14:textId="395EDF99" w:rsidR="00B05EA8" w:rsidRPr="0066555F" w:rsidRDefault="003859BF" w:rsidP="00B05EA8">
      <w:pPr>
        <w:spacing w:after="0" w:line="240" w:lineRule="auto"/>
        <w:rPr>
          <w:rFonts w:cs="Arial"/>
          <w:i/>
          <w:lang w:val="es-ES_tradnl"/>
        </w:rPr>
      </w:pPr>
      <w:r w:rsidRPr="0066555F">
        <w:rPr>
          <w:rFonts w:cs="Arial"/>
          <w:i/>
          <w:lang w:val="es-ES_tradnl"/>
        </w:rPr>
        <w:t>Cuadro</w:t>
      </w:r>
      <w:r w:rsidR="00703031" w:rsidRPr="0066555F">
        <w:rPr>
          <w:rFonts w:cs="Arial"/>
          <w:i/>
          <w:lang w:val="es-ES_tradnl"/>
        </w:rPr>
        <w:t xml:space="preserve"> 1: Resumen de la información contenida en los planes de trabajo anuales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809"/>
        <w:gridCol w:w="5165"/>
      </w:tblGrid>
      <w:tr w:rsidR="00703031" w:rsidRPr="00F436CF" w14:paraId="366DAFD5" w14:textId="77777777" w:rsidTr="003859BF">
        <w:trPr>
          <w:cantSplit/>
          <w:trHeight w:val="1249"/>
          <w:tblHeader/>
        </w:trPr>
        <w:tc>
          <w:tcPr>
            <w:tcW w:w="2160" w:type="dxa"/>
            <w:shd w:val="clear" w:color="auto" w:fill="DBE5F1" w:themeFill="accent1" w:themeFillTint="33"/>
            <w:vAlign w:val="center"/>
          </w:tcPr>
          <w:p w14:paraId="7A77D7A9" w14:textId="77777777" w:rsidR="00BA06F8" w:rsidRPr="0066555F" w:rsidRDefault="00703031" w:rsidP="00083467">
            <w:pPr>
              <w:pStyle w:val="ListParagraph"/>
              <w:ind w:left="0"/>
              <w:jc w:val="center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 xml:space="preserve">Iniciativa Regional de Ramsar </w:t>
            </w:r>
          </w:p>
        </w:tc>
        <w:tc>
          <w:tcPr>
            <w:tcW w:w="1809" w:type="dxa"/>
            <w:shd w:val="clear" w:color="auto" w:fill="DBE5F1" w:themeFill="accent1" w:themeFillTint="33"/>
            <w:vAlign w:val="center"/>
          </w:tcPr>
          <w:p w14:paraId="2F63614D" w14:textId="07B4B4D8" w:rsidR="00BA06F8" w:rsidRPr="0066555F" w:rsidRDefault="00703031" w:rsidP="003859BF">
            <w:pPr>
              <w:pStyle w:val="ListParagraph"/>
              <w:ind w:left="0"/>
              <w:jc w:val="center"/>
              <w:rPr>
                <w:rFonts w:cs="Arial"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 xml:space="preserve">Operaciones </w:t>
            </w:r>
            <w:r w:rsidRPr="00F436CF">
              <w:rPr>
                <w:rFonts w:cs="Arial"/>
                <w:lang w:val="es-ES_tradnl"/>
              </w:rPr>
              <w:t>(reuniones de gobernanza celebradas)</w:t>
            </w:r>
          </w:p>
        </w:tc>
        <w:tc>
          <w:tcPr>
            <w:tcW w:w="5165" w:type="dxa"/>
            <w:shd w:val="clear" w:color="auto" w:fill="DBE5F1" w:themeFill="accent1" w:themeFillTint="33"/>
            <w:vAlign w:val="center"/>
          </w:tcPr>
          <w:p w14:paraId="1298950D" w14:textId="3A8A8827" w:rsidR="00703031" w:rsidRPr="0066555F" w:rsidRDefault="00703031" w:rsidP="00B05EA8">
            <w:pPr>
              <w:pStyle w:val="ListParagraph"/>
              <w:ind w:left="0"/>
              <w:jc w:val="center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Éxito</w:t>
            </w:r>
            <w:r w:rsidR="003859BF" w:rsidRPr="0066555F">
              <w:rPr>
                <w:rFonts w:cs="Arial"/>
                <w:b/>
                <w:lang w:val="es-ES_tradnl"/>
              </w:rPr>
              <w:t>s</w:t>
            </w:r>
          </w:p>
          <w:p w14:paraId="08656F5B" w14:textId="0AA03B97" w:rsidR="00F0556A" w:rsidRPr="0066555F" w:rsidRDefault="00703031" w:rsidP="00F436CF">
            <w:pPr>
              <w:pStyle w:val="ListParagraph"/>
              <w:ind w:left="0"/>
              <w:jc w:val="center"/>
              <w:rPr>
                <w:rFonts w:cs="Arial"/>
                <w:lang w:val="es-ES_tradnl"/>
              </w:rPr>
            </w:pPr>
            <w:r w:rsidRPr="00F436CF">
              <w:rPr>
                <w:rFonts w:cs="Arial"/>
                <w:lang w:val="es-ES_tradnl"/>
              </w:rPr>
              <w:t xml:space="preserve">(actividades, productos y resultados </w:t>
            </w:r>
            <w:r w:rsidR="003859BF" w:rsidRPr="00F436CF">
              <w:rPr>
                <w:rFonts w:cs="Arial"/>
                <w:lang w:val="es-ES_tradnl"/>
              </w:rPr>
              <w:t>logrados</w:t>
            </w:r>
            <w:r w:rsidRPr="00F436CF">
              <w:rPr>
                <w:rFonts w:cs="Arial"/>
                <w:lang w:val="es-ES_tradnl"/>
              </w:rPr>
              <w:t>)</w:t>
            </w:r>
          </w:p>
        </w:tc>
      </w:tr>
      <w:tr w:rsidR="00703031" w:rsidRPr="00F436CF" w14:paraId="3487C9CD" w14:textId="77777777" w:rsidTr="00611DAB">
        <w:trPr>
          <w:cantSplit/>
        </w:trPr>
        <w:tc>
          <w:tcPr>
            <w:tcW w:w="2160" w:type="dxa"/>
          </w:tcPr>
          <w:p w14:paraId="28FF4A93" w14:textId="77777777" w:rsidR="00703031" w:rsidRPr="0066555F" w:rsidRDefault="00703031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Centro Ramsar para África Oriental (RAMCEA)</w:t>
            </w:r>
          </w:p>
          <w:p w14:paraId="64DCA98A" w14:textId="77777777" w:rsidR="00BA06F8" w:rsidRPr="0066555F" w:rsidRDefault="00703031" w:rsidP="0008346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809" w:type="dxa"/>
          </w:tcPr>
          <w:p w14:paraId="0060FF8F" w14:textId="5FDEFCC6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2438BE0F" w14:textId="03E49DBF" w:rsidR="00435A34" w:rsidRPr="0066555F" w:rsidRDefault="00435A34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>publicación de un</w:t>
            </w:r>
            <w:r w:rsidR="003859BF" w:rsidRPr="0066555F">
              <w:rPr>
                <w:rFonts w:cs="Arial"/>
                <w:lang w:val="es-ES_tradnl"/>
              </w:rPr>
              <w:t xml:space="preserve">a herramienta </w:t>
            </w:r>
            <w:r w:rsidRPr="0066555F">
              <w:rPr>
                <w:rFonts w:cs="Arial"/>
                <w:lang w:val="es-ES_tradnl"/>
              </w:rPr>
              <w:t xml:space="preserve">de evaluación de los humedales, actualización de 11 </w:t>
            </w:r>
            <w:r w:rsidR="003859BF" w:rsidRPr="0066555F">
              <w:rPr>
                <w:rFonts w:cs="Arial"/>
                <w:lang w:val="es-ES_tradnl"/>
              </w:rPr>
              <w:t>Fichas Informativas de Ramsar</w:t>
            </w:r>
            <w:r w:rsidRPr="0066555F">
              <w:rPr>
                <w:rFonts w:cs="Arial"/>
                <w:lang w:val="es-ES_tradnl"/>
              </w:rPr>
              <w:t xml:space="preserve"> y mapas sobre Uganda;</w:t>
            </w:r>
          </w:p>
          <w:p w14:paraId="2FE00644" w14:textId="77777777" w:rsidR="00435A34" w:rsidRPr="0066555F" w:rsidRDefault="00435A34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>preparación de buenas prácticas respecto de tres sitios Ramsar;</w:t>
            </w:r>
          </w:p>
          <w:p w14:paraId="405D2523" w14:textId="4B591991" w:rsidR="00B22332" w:rsidRPr="0066555F" w:rsidRDefault="00435A34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="00B22332" w:rsidRPr="0066555F">
              <w:rPr>
                <w:rFonts w:cs="Arial"/>
                <w:lang w:val="es-ES_tradnl"/>
              </w:rPr>
              <w:t>recogida de informaci</w:t>
            </w:r>
            <w:r w:rsidR="008674D4" w:rsidRPr="0066555F">
              <w:rPr>
                <w:rFonts w:cs="Arial"/>
                <w:lang w:val="es-ES_tradnl"/>
              </w:rPr>
              <w:t>ón sobre centros de educación</w:t>
            </w:r>
            <w:r w:rsidR="002E3EA1" w:rsidRPr="0066555F">
              <w:rPr>
                <w:rFonts w:cs="Arial"/>
                <w:lang w:val="es-ES_tradnl"/>
              </w:rPr>
              <w:t xml:space="preserve"> y</w:t>
            </w:r>
            <w:r w:rsidR="008674D4" w:rsidRPr="0066555F">
              <w:rPr>
                <w:rFonts w:cs="Arial"/>
                <w:lang w:val="es-ES_tradnl"/>
              </w:rPr>
              <w:t xml:space="preserve"> </w:t>
            </w:r>
            <w:r w:rsidR="00B22332" w:rsidRPr="0066555F">
              <w:rPr>
                <w:rFonts w:cs="Arial"/>
                <w:lang w:val="es-ES_tradnl"/>
              </w:rPr>
              <w:t>para una nota sobre</w:t>
            </w:r>
            <w:r w:rsidR="008674D4" w:rsidRPr="0066555F">
              <w:rPr>
                <w:rFonts w:cs="Arial"/>
                <w:lang w:val="es-ES_tradnl"/>
              </w:rPr>
              <w:t xml:space="preserve"> </w:t>
            </w:r>
            <w:r w:rsidR="00B22332" w:rsidRPr="0066555F">
              <w:rPr>
                <w:rFonts w:cs="Arial"/>
                <w:lang w:val="es-ES_tradnl"/>
              </w:rPr>
              <w:t xml:space="preserve">políticas </w:t>
            </w:r>
            <w:r w:rsidR="002E3EA1" w:rsidRPr="0066555F">
              <w:rPr>
                <w:rFonts w:cs="Arial"/>
                <w:lang w:val="es-ES_tradnl"/>
              </w:rPr>
              <w:t>en materia</w:t>
            </w:r>
            <w:r w:rsidR="00B22332" w:rsidRPr="0066555F">
              <w:rPr>
                <w:rFonts w:cs="Arial"/>
                <w:lang w:val="es-ES_tradnl"/>
              </w:rPr>
              <w:t xml:space="preserve"> </w:t>
            </w:r>
            <w:r w:rsidR="002E3EA1" w:rsidRPr="0066555F">
              <w:rPr>
                <w:rFonts w:cs="Arial"/>
                <w:lang w:val="es-ES_tradnl"/>
              </w:rPr>
              <w:t xml:space="preserve">de </w:t>
            </w:r>
            <w:r w:rsidR="00B22332" w:rsidRPr="0066555F">
              <w:rPr>
                <w:rFonts w:cs="Arial"/>
                <w:lang w:val="es-ES_tradnl"/>
              </w:rPr>
              <w:t>humedales;</w:t>
            </w:r>
          </w:p>
          <w:p w14:paraId="073C6F55" w14:textId="3436AC37" w:rsidR="00F14CC9" w:rsidRPr="0066555F" w:rsidRDefault="00B22332" w:rsidP="002E3EA1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 xml:space="preserve">elaboración de un concepto para el hermanamiento </w:t>
            </w:r>
            <w:r w:rsidR="006853D5" w:rsidRPr="0066555F">
              <w:rPr>
                <w:rFonts w:cs="Arial"/>
                <w:lang w:val="es-ES_tradnl"/>
              </w:rPr>
              <w:t>entre</w:t>
            </w:r>
            <w:r w:rsidRPr="0066555F">
              <w:rPr>
                <w:rFonts w:cs="Arial"/>
                <w:lang w:val="es-ES_tradnl"/>
              </w:rPr>
              <w:t xml:space="preserve"> sitios Ramsar</w:t>
            </w:r>
          </w:p>
        </w:tc>
      </w:tr>
      <w:tr w:rsidR="00703031" w:rsidRPr="00F436CF" w14:paraId="286C30BD" w14:textId="77777777" w:rsidTr="00611DAB">
        <w:trPr>
          <w:cantSplit/>
        </w:trPr>
        <w:tc>
          <w:tcPr>
            <w:tcW w:w="2160" w:type="dxa"/>
          </w:tcPr>
          <w:p w14:paraId="5855809B" w14:textId="77777777" w:rsidR="00BA06F8" w:rsidRPr="0066555F" w:rsidRDefault="00703031" w:rsidP="0008346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Centro Regional Ramsar para el Hemisferio Occidental (CREHO</w:t>
            </w:r>
            <w:r w:rsidR="00902C78" w:rsidRPr="0066555F">
              <w:rPr>
                <w:rFonts w:cs="Arial"/>
                <w:lang w:val="es-ES_tradnl"/>
              </w:rPr>
              <w:t>)</w:t>
            </w:r>
            <w:r w:rsidRPr="0066555F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809" w:type="dxa"/>
          </w:tcPr>
          <w:p w14:paraId="6333B0EB" w14:textId="004718C0" w:rsidR="00987188" w:rsidRPr="0066555F" w:rsidRDefault="00987188" w:rsidP="00A07776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Reuniones anuales de la </w:t>
            </w:r>
            <w:r w:rsidR="002E3EA1" w:rsidRPr="0066555F">
              <w:rPr>
                <w:rFonts w:cs="Arial"/>
                <w:lang w:val="es-ES_tradnl"/>
              </w:rPr>
              <w:t>junta d</w:t>
            </w:r>
            <w:r w:rsidRPr="0066555F">
              <w:rPr>
                <w:rFonts w:cs="Arial"/>
                <w:lang w:val="es-ES_tradnl"/>
              </w:rPr>
              <w:t>irectiva celebradas en 2016 y 2017</w:t>
            </w:r>
          </w:p>
          <w:p w14:paraId="511715D1" w14:textId="77777777" w:rsidR="00BA06F8" w:rsidRPr="0066555F" w:rsidRDefault="00BA06F8" w:rsidP="00A07776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7DACC2B9" w14:textId="280495DB" w:rsidR="00987188" w:rsidRPr="0066555F" w:rsidRDefault="0098718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>plan de trabajo</w:t>
            </w:r>
            <w:r w:rsidR="003540DA" w:rsidRPr="0066555F">
              <w:rPr>
                <w:rFonts w:cs="Arial"/>
                <w:lang w:val="es-ES_tradnl"/>
              </w:rPr>
              <w:t xml:space="preserve"> acordado</w:t>
            </w:r>
            <w:r w:rsidRPr="0066555F">
              <w:rPr>
                <w:rFonts w:cs="Arial"/>
                <w:lang w:val="es-ES_tradnl"/>
              </w:rPr>
              <w:t>;</w:t>
            </w:r>
          </w:p>
          <w:p w14:paraId="67B71E34" w14:textId="77777777" w:rsidR="00987188" w:rsidRPr="0066555F" w:rsidRDefault="0098718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="00B22332" w:rsidRPr="0066555F">
              <w:rPr>
                <w:rFonts w:cs="Arial"/>
                <w:lang w:val="es-ES_tradnl"/>
              </w:rPr>
              <w:t xml:space="preserve">celebración de </w:t>
            </w:r>
            <w:r w:rsidRPr="0066555F">
              <w:rPr>
                <w:rFonts w:cs="Arial"/>
                <w:lang w:val="es-ES_tradnl"/>
              </w:rPr>
              <w:t>reuniones y acuerdos firmados con los asociados;</w:t>
            </w:r>
          </w:p>
          <w:p w14:paraId="770E996A" w14:textId="77777777" w:rsidR="00987188" w:rsidRPr="0066555F" w:rsidRDefault="0098718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</w:t>
            </w:r>
            <w:r w:rsidR="00B22332" w:rsidRPr="0066555F">
              <w:rPr>
                <w:rFonts w:cs="Arial"/>
                <w:lang w:val="es-ES_tradnl"/>
              </w:rPr>
              <w:t xml:space="preserve">celebración de </w:t>
            </w:r>
            <w:r w:rsidRPr="0066555F">
              <w:rPr>
                <w:rFonts w:cs="Arial"/>
                <w:lang w:val="es-ES_tradnl"/>
              </w:rPr>
              <w:t>varios talleres y cursos de formación;</w:t>
            </w:r>
          </w:p>
          <w:p w14:paraId="23199B6C" w14:textId="0AF96FF9" w:rsidR="00C00386" w:rsidRPr="0066555F" w:rsidRDefault="00987188" w:rsidP="003540DA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="00B22332" w:rsidRPr="0066555F">
              <w:rPr>
                <w:rFonts w:cs="Arial"/>
                <w:lang w:val="es-ES_tradnl"/>
              </w:rPr>
              <w:t xml:space="preserve">ejecución de </w:t>
            </w:r>
            <w:r w:rsidRPr="0066555F">
              <w:rPr>
                <w:rFonts w:cs="Arial"/>
                <w:lang w:val="es-ES_tradnl"/>
              </w:rPr>
              <w:t>di</w:t>
            </w:r>
            <w:r w:rsidR="00B22332" w:rsidRPr="0066555F">
              <w:rPr>
                <w:rFonts w:cs="Arial"/>
                <w:lang w:val="es-ES_tradnl"/>
              </w:rPr>
              <w:t>versos</w:t>
            </w:r>
            <w:r w:rsidRPr="0066555F">
              <w:rPr>
                <w:rFonts w:cs="Arial"/>
                <w:lang w:val="es-ES_tradnl"/>
              </w:rPr>
              <w:t xml:space="preserve"> proyectos sobre la caracterización biológica de</w:t>
            </w:r>
            <w:r w:rsidR="00435A34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>la pesca de tiburones</w:t>
            </w:r>
            <w:r w:rsidR="003540DA" w:rsidRPr="0066555F">
              <w:rPr>
                <w:rFonts w:cs="Arial"/>
                <w:lang w:val="es-ES_tradnl"/>
              </w:rPr>
              <w:t xml:space="preserve"> y la</w:t>
            </w:r>
            <w:r w:rsidR="00435A34" w:rsidRPr="0066555F">
              <w:rPr>
                <w:rFonts w:cs="Arial"/>
                <w:lang w:val="es-ES_tradnl"/>
              </w:rPr>
              <w:t xml:space="preserve"> investigación</w:t>
            </w:r>
          </w:p>
        </w:tc>
      </w:tr>
      <w:tr w:rsidR="00703031" w:rsidRPr="00F436CF" w14:paraId="10914ADA" w14:textId="77777777" w:rsidTr="00611DAB">
        <w:trPr>
          <w:cantSplit/>
        </w:trPr>
        <w:tc>
          <w:tcPr>
            <w:tcW w:w="2160" w:type="dxa"/>
          </w:tcPr>
          <w:p w14:paraId="7EB19231" w14:textId="2D8AFAFB" w:rsidR="00F0556A" w:rsidRPr="0066555F" w:rsidRDefault="00B22332" w:rsidP="003540DA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Centro Regional Ramsar para Asia Central y Occidental (RRC-CWA)</w:t>
            </w:r>
          </w:p>
        </w:tc>
        <w:tc>
          <w:tcPr>
            <w:tcW w:w="1809" w:type="dxa"/>
          </w:tcPr>
          <w:p w14:paraId="7D425184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743E2E8F" w14:textId="721CDBD5" w:rsidR="00B22332" w:rsidRPr="0066555F" w:rsidRDefault="005960DF" w:rsidP="006758F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c</w:t>
            </w:r>
            <w:r w:rsidR="00B22332" w:rsidRPr="0066555F">
              <w:rPr>
                <w:rFonts w:cs="Arial"/>
                <w:lang w:val="es-ES_tradnl"/>
              </w:rPr>
              <w:t>o-organización de una</w:t>
            </w:r>
            <w:r w:rsidR="00BF744D" w:rsidRPr="0066555F">
              <w:rPr>
                <w:rFonts w:cs="Arial"/>
                <w:lang w:val="es-ES_tradnl"/>
              </w:rPr>
              <w:t xml:space="preserve"> </w:t>
            </w:r>
            <w:r w:rsidR="00B22332" w:rsidRPr="0066555F">
              <w:rPr>
                <w:rFonts w:eastAsia="Times New Roman"/>
                <w:lang w:val="es-ES_tradnl"/>
              </w:rPr>
              <w:t>Misión Ramsar de Asesoramiento</w:t>
            </w:r>
            <w:r w:rsidR="00B22332" w:rsidRPr="0066555F">
              <w:rPr>
                <w:rFonts w:cs="Arial"/>
                <w:lang w:val="es-ES_tradnl"/>
              </w:rPr>
              <w:t xml:space="preserve"> (</w:t>
            </w:r>
            <w:r w:rsidR="003540DA" w:rsidRPr="0066555F">
              <w:rPr>
                <w:rFonts w:cs="Arial"/>
                <w:lang w:val="es-ES_tradnl"/>
              </w:rPr>
              <w:t>MRA</w:t>
            </w:r>
            <w:r w:rsidR="00B22332" w:rsidRPr="0066555F">
              <w:rPr>
                <w:rFonts w:cs="Arial"/>
                <w:lang w:val="es-ES_tradnl"/>
              </w:rPr>
              <w:t xml:space="preserve">) a las </w:t>
            </w:r>
            <w:r w:rsidR="003540DA" w:rsidRPr="0066555F">
              <w:rPr>
                <w:rFonts w:cs="Arial"/>
                <w:lang w:val="es-ES_tradnl"/>
              </w:rPr>
              <w:t>M</w:t>
            </w:r>
            <w:r w:rsidR="00B22332" w:rsidRPr="0066555F">
              <w:rPr>
                <w:rFonts w:cs="Arial"/>
                <w:lang w:val="es-ES_tradnl"/>
              </w:rPr>
              <w:t>arismas de Mesopotamia</w:t>
            </w:r>
          </w:p>
          <w:p w14:paraId="108D1CA9" w14:textId="77777777" w:rsidR="007D3DA5" w:rsidRPr="0066555F" w:rsidRDefault="007D3DA5" w:rsidP="00083467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</w:tr>
      <w:tr w:rsidR="00703031" w:rsidRPr="00F436CF" w14:paraId="5459E576" w14:textId="77777777" w:rsidTr="00611DAB">
        <w:trPr>
          <w:cantSplit/>
        </w:trPr>
        <w:tc>
          <w:tcPr>
            <w:tcW w:w="2160" w:type="dxa"/>
          </w:tcPr>
          <w:p w14:paraId="30F13D4D" w14:textId="77777777" w:rsidR="008A6056" w:rsidRPr="0066555F" w:rsidRDefault="008A605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lastRenderedPageBreak/>
              <w:t>Centro Region</w:t>
            </w:r>
            <w:r w:rsidR="00877294" w:rsidRPr="0066555F">
              <w:rPr>
                <w:rFonts w:cs="Arial"/>
                <w:lang w:val="es-ES_tradnl"/>
              </w:rPr>
              <w:t>al Ramsar para Asia Oriental (RR</w:t>
            </w:r>
            <w:r w:rsidRPr="0066555F">
              <w:rPr>
                <w:rFonts w:cs="Arial"/>
                <w:lang w:val="es-ES_tradnl"/>
              </w:rPr>
              <w:t>C-EA)</w:t>
            </w:r>
          </w:p>
          <w:p w14:paraId="31C97DFA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1809" w:type="dxa"/>
          </w:tcPr>
          <w:p w14:paraId="19F2B2D8" w14:textId="77777777" w:rsidR="008A6056" w:rsidRPr="0066555F" w:rsidRDefault="008A6056" w:rsidP="00F0556A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Reunión del Comité Directivo </w:t>
            </w:r>
          </w:p>
          <w:p w14:paraId="0EC3C5D7" w14:textId="77777777" w:rsidR="00BA06F8" w:rsidRPr="0066555F" w:rsidRDefault="00BA06F8" w:rsidP="00F0556A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07897385" w14:textId="77777777" w:rsidR="008A6056" w:rsidRPr="0066555F" w:rsidRDefault="008A605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organización y</w:t>
            </w:r>
            <w:r w:rsidR="00B3359E" w:rsidRPr="0066555F">
              <w:rPr>
                <w:rFonts w:cs="Arial"/>
                <w:lang w:val="es-ES_tradnl"/>
              </w:rPr>
              <w:t xml:space="preserve"> celebración de diversos taller</w:t>
            </w:r>
            <w:r w:rsidRPr="0066555F">
              <w:rPr>
                <w:rFonts w:cs="Arial"/>
                <w:lang w:val="es-ES_tradnl"/>
              </w:rPr>
              <w:t>e</w:t>
            </w:r>
            <w:r w:rsidR="00B3359E" w:rsidRPr="0066555F">
              <w:rPr>
                <w:rFonts w:cs="Arial"/>
                <w:lang w:val="es-ES_tradnl"/>
              </w:rPr>
              <w:t>s</w:t>
            </w:r>
            <w:r w:rsidRPr="0066555F">
              <w:rPr>
                <w:rFonts w:cs="Arial"/>
                <w:lang w:val="es-ES_tradnl"/>
              </w:rPr>
              <w:t>, sesiones de formación, seminarios, conferencias, etc.;</w:t>
            </w:r>
          </w:p>
          <w:p w14:paraId="3F216173" w14:textId="77777777" w:rsidR="008A6056" w:rsidRPr="0066555F" w:rsidRDefault="008A605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financiación de cuatro proyectos a través del fondo para los humedales del RRC-EA (RRC-EA Wetland Fund);</w:t>
            </w:r>
          </w:p>
          <w:p w14:paraId="7EA45217" w14:textId="6D10AB5A" w:rsidR="00B3359E" w:rsidRPr="0066555F" w:rsidRDefault="008A605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comunicaciones</w:t>
            </w:r>
            <w:r w:rsidR="00B3359E" w:rsidRPr="0066555F">
              <w:rPr>
                <w:rFonts w:cs="Arial"/>
                <w:lang w:val="es-ES_tradnl"/>
              </w:rPr>
              <w:t xml:space="preserve"> </w:t>
            </w:r>
            <w:r w:rsidR="00902C78" w:rsidRPr="0066555F">
              <w:rPr>
                <w:rFonts w:cs="Arial"/>
                <w:lang w:val="es-ES_tradnl"/>
              </w:rPr>
              <w:t>sobre</w:t>
            </w:r>
            <w:r w:rsidR="00B3359E" w:rsidRPr="0066555F">
              <w:rPr>
                <w:rFonts w:cs="Arial"/>
                <w:lang w:val="es-ES_tradnl"/>
              </w:rPr>
              <w:t xml:space="preserve"> el DMH (Día Mundial de los Humedales)</w:t>
            </w:r>
            <w:r w:rsidRPr="0066555F">
              <w:rPr>
                <w:rFonts w:cs="Arial"/>
                <w:lang w:val="es-ES_tradnl"/>
              </w:rPr>
              <w:t xml:space="preserve"> a través del sitio web</w:t>
            </w:r>
            <w:r w:rsidR="00B3359E" w:rsidRPr="0066555F">
              <w:rPr>
                <w:rFonts w:cs="Arial"/>
                <w:lang w:val="es-ES_tradnl"/>
              </w:rPr>
              <w:t>, la red Wetland Link International, guías, etc.;</w:t>
            </w:r>
          </w:p>
          <w:p w14:paraId="1914F724" w14:textId="4D129AAC" w:rsidR="00F0556A" w:rsidRPr="0066555F" w:rsidRDefault="00B3359E" w:rsidP="00C25850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-elaboración de un proyecto de resolución para la COP13 sobre la evaluación rápida de los servicios de los ecosistemas de humedal</w:t>
            </w:r>
            <w:r w:rsidR="00652152" w:rsidRPr="0066555F">
              <w:rPr>
                <w:rFonts w:cs="Arial"/>
                <w:lang w:val="es-ES_tradnl"/>
              </w:rPr>
              <w:t>es</w:t>
            </w:r>
          </w:p>
        </w:tc>
      </w:tr>
      <w:tr w:rsidR="00703031" w:rsidRPr="00F436CF" w14:paraId="4BE7DFEB" w14:textId="77777777" w:rsidTr="00611DAB">
        <w:trPr>
          <w:cantSplit/>
        </w:trPr>
        <w:tc>
          <w:tcPr>
            <w:tcW w:w="2160" w:type="dxa"/>
          </w:tcPr>
          <w:p w14:paraId="723A593B" w14:textId="1B367BF5" w:rsidR="00BA06F8" w:rsidRPr="0066555F" w:rsidRDefault="00902C78" w:rsidP="0008346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Red de humedales costeros de África Occidental (WaCoWet</w:t>
            </w:r>
            <w:r w:rsidR="00C25850" w:rsidRPr="0066555F">
              <w:rPr>
                <w:rFonts w:cs="Arial"/>
                <w:lang w:val="es-ES_tradnl"/>
              </w:rPr>
              <w:t>)</w:t>
            </w:r>
          </w:p>
        </w:tc>
        <w:tc>
          <w:tcPr>
            <w:tcW w:w="1809" w:type="dxa"/>
          </w:tcPr>
          <w:p w14:paraId="437E2DD6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5AB138E4" w14:textId="77777777" w:rsidR="00902C78" w:rsidRPr="0066555F" w:rsidRDefault="00902C7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-participación en conferencias y foros regionales</w:t>
            </w:r>
          </w:p>
          <w:p w14:paraId="5BE06DF9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</w:tr>
      <w:tr w:rsidR="00703031" w:rsidRPr="00F436CF" w14:paraId="139595AC" w14:textId="77777777" w:rsidTr="00611DAB">
        <w:trPr>
          <w:cantSplit/>
        </w:trPr>
        <w:tc>
          <w:tcPr>
            <w:tcW w:w="2160" w:type="dxa"/>
          </w:tcPr>
          <w:p w14:paraId="19861AE2" w14:textId="77777777" w:rsidR="00BA06F8" w:rsidRPr="0066555F" w:rsidRDefault="00902C78" w:rsidP="0008346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Red de la cuenca del río Níger (NigerWet) </w:t>
            </w:r>
          </w:p>
        </w:tc>
        <w:tc>
          <w:tcPr>
            <w:tcW w:w="1809" w:type="dxa"/>
          </w:tcPr>
          <w:p w14:paraId="48C201C7" w14:textId="77777777" w:rsidR="00BA06F8" w:rsidRPr="0066555F" w:rsidRDefault="00BA06F8" w:rsidP="003F793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55CB198A" w14:textId="008B4625" w:rsidR="005960DF" w:rsidRPr="0066555F" w:rsidRDefault="00902C78" w:rsidP="005960DF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</w:t>
            </w:r>
            <w:r w:rsidR="005960DF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 xml:space="preserve">taller sobre el sitio Ramsar </w:t>
            </w:r>
            <w:r w:rsidR="00C25850" w:rsidRPr="0066555F">
              <w:rPr>
                <w:rFonts w:cs="Arial"/>
                <w:lang w:val="es-ES_tradnl"/>
              </w:rPr>
              <w:t>“Inner Niger Delta”</w:t>
            </w:r>
            <w:r w:rsidRPr="0066555F">
              <w:rPr>
                <w:rFonts w:cs="Arial"/>
                <w:lang w:val="es-ES_tradnl"/>
              </w:rPr>
              <w:t>;</w:t>
            </w:r>
          </w:p>
          <w:p w14:paraId="6897689F" w14:textId="7A0EB8C1" w:rsidR="003F7938" w:rsidRPr="0066555F" w:rsidRDefault="005960DF" w:rsidP="00C25850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recogida de información sobre los humedales en la cuenca fluvial</w:t>
            </w:r>
          </w:p>
        </w:tc>
      </w:tr>
      <w:tr w:rsidR="00703031" w:rsidRPr="00F436CF" w14:paraId="10534B80" w14:textId="77777777" w:rsidTr="00611DAB">
        <w:trPr>
          <w:cantSplit/>
        </w:trPr>
        <w:tc>
          <w:tcPr>
            <w:tcW w:w="2160" w:type="dxa"/>
          </w:tcPr>
          <w:p w14:paraId="6C9BAF43" w14:textId="77777777" w:rsidR="00BA06F8" w:rsidRPr="0066555F" w:rsidRDefault="005960DF" w:rsidP="0008346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Iniciativa Regional de Conservación y Uso Sostenible de los Humedales Altoandinos </w:t>
            </w:r>
          </w:p>
        </w:tc>
        <w:tc>
          <w:tcPr>
            <w:tcW w:w="1809" w:type="dxa"/>
          </w:tcPr>
          <w:p w14:paraId="257CEE78" w14:textId="2ACE36A7" w:rsidR="00BA06F8" w:rsidRPr="0066555F" w:rsidRDefault="00D15DAC" w:rsidP="00C25850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Reuniones anuales del C</w:t>
            </w:r>
            <w:r w:rsidR="005960DF" w:rsidRPr="0066555F">
              <w:rPr>
                <w:rFonts w:cs="Arial"/>
                <w:lang w:val="es-ES_tradnl"/>
              </w:rPr>
              <w:t>omité</w:t>
            </w:r>
            <w:r w:rsidR="001012A8" w:rsidRPr="0066555F">
              <w:rPr>
                <w:rFonts w:cs="Arial"/>
                <w:lang w:val="es-ES_tradnl"/>
              </w:rPr>
              <w:t xml:space="preserve"> de C</w:t>
            </w:r>
            <w:r w:rsidR="009B4AB7" w:rsidRPr="0066555F">
              <w:rPr>
                <w:rFonts w:cs="Arial"/>
                <w:lang w:val="es-ES_tradnl"/>
              </w:rPr>
              <w:t>oordinación en 2016 y 2017</w:t>
            </w:r>
          </w:p>
        </w:tc>
        <w:tc>
          <w:tcPr>
            <w:tcW w:w="5165" w:type="dxa"/>
          </w:tcPr>
          <w:p w14:paraId="44D5393A" w14:textId="3662A705" w:rsidR="005960DF" w:rsidRPr="0066555F" w:rsidRDefault="005960DF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 un proyecto regional del FMA</w:t>
            </w:r>
            <w:r w:rsidR="00C25850" w:rsidRPr="0066555F">
              <w:rPr>
                <w:rFonts w:cs="Arial"/>
                <w:lang w:val="es-ES_tradnl"/>
              </w:rPr>
              <w:t>M</w:t>
            </w:r>
            <w:r w:rsidRPr="0066555F">
              <w:rPr>
                <w:rFonts w:cs="Arial"/>
                <w:lang w:val="es-ES_tradnl"/>
              </w:rPr>
              <w:t xml:space="preserve"> para su aplicación por la FAO;</w:t>
            </w:r>
          </w:p>
          <w:p w14:paraId="1FF83699" w14:textId="5536F404" w:rsidR="004D68AA" w:rsidRPr="0066555F" w:rsidRDefault="005960DF" w:rsidP="00C25850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labor de refuerzo de la </w:t>
            </w:r>
            <w:r w:rsidR="00C25850" w:rsidRPr="0066555F">
              <w:rPr>
                <w:rFonts w:cs="Arial"/>
                <w:lang w:val="es-ES_tradnl"/>
              </w:rPr>
              <w:t xml:space="preserve">Red de Humedales Altoandinos a partir de la </w:t>
            </w:r>
            <w:r w:rsidRPr="0066555F">
              <w:rPr>
                <w:rFonts w:cs="Arial"/>
                <w:lang w:val="es-ES_tradnl"/>
              </w:rPr>
              <w:t>distribución de dos especies de flamencos</w:t>
            </w:r>
            <w:r w:rsidR="004D68AA" w:rsidRPr="0066555F">
              <w:rPr>
                <w:rFonts w:cs="Arial"/>
                <w:lang w:val="es-ES_tradnl"/>
              </w:rPr>
              <w:t xml:space="preserve"> </w:t>
            </w:r>
          </w:p>
        </w:tc>
      </w:tr>
      <w:tr w:rsidR="00703031" w:rsidRPr="00F436CF" w14:paraId="481BEE4F" w14:textId="77777777" w:rsidTr="00611DAB">
        <w:trPr>
          <w:cantSplit/>
        </w:trPr>
        <w:tc>
          <w:tcPr>
            <w:tcW w:w="2160" w:type="dxa"/>
          </w:tcPr>
          <w:p w14:paraId="66841EA7" w14:textId="77777777" w:rsidR="000C691A" w:rsidRPr="0066555F" w:rsidRDefault="000C691A" w:rsidP="007D593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Iniciativa para la Conservación y Uso Sustentable de los Humedales Fluviales de la Cuenca del Plata </w:t>
            </w:r>
          </w:p>
          <w:p w14:paraId="7598CC80" w14:textId="77777777" w:rsidR="00BA06F8" w:rsidRPr="0066555F" w:rsidRDefault="00BA06F8" w:rsidP="007D593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1809" w:type="dxa"/>
          </w:tcPr>
          <w:p w14:paraId="01EA308E" w14:textId="77777777" w:rsidR="000C691A" w:rsidRPr="0066555F" w:rsidRDefault="000C691A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Reunión del </w:t>
            </w:r>
            <w:r w:rsidR="00D15DAC" w:rsidRPr="0066555F">
              <w:rPr>
                <w:rFonts w:cs="Arial"/>
                <w:lang w:val="es-ES_tradnl"/>
              </w:rPr>
              <w:t>C</w:t>
            </w:r>
            <w:r w:rsidRPr="0066555F">
              <w:rPr>
                <w:rFonts w:cs="Arial"/>
                <w:lang w:val="es-ES_tradnl"/>
              </w:rPr>
              <w:t>o</w:t>
            </w:r>
            <w:r w:rsidR="00D15DAC" w:rsidRPr="0066555F">
              <w:rPr>
                <w:rFonts w:cs="Arial"/>
                <w:lang w:val="es-ES_tradnl"/>
              </w:rPr>
              <w:t xml:space="preserve">mité de </w:t>
            </w:r>
            <w:r w:rsidR="001012A8" w:rsidRPr="0066555F">
              <w:rPr>
                <w:rFonts w:cs="Arial"/>
                <w:lang w:val="es-ES_tradnl"/>
              </w:rPr>
              <w:t>C</w:t>
            </w:r>
            <w:r w:rsidRPr="0066555F">
              <w:rPr>
                <w:rFonts w:cs="Arial"/>
                <w:lang w:val="es-ES_tradnl"/>
              </w:rPr>
              <w:t>oordinación  en 2016</w:t>
            </w:r>
          </w:p>
          <w:p w14:paraId="10557A5A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3A437C1B" w14:textId="77777777" w:rsidR="000C691A" w:rsidRPr="0066555F" w:rsidRDefault="000C691A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consolidación de un mapa sobre los actores de los humedales;</w:t>
            </w:r>
          </w:p>
          <w:p w14:paraId="49FCE522" w14:textId="77777777" w:rsidR="000C691A" w:rsidRPr="0066555F" w:rsidRDefault="000C691A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 proyectos sobre el inventario de los humedales y la eficacia de su gestión;</w:t>
            </w:r>
          </w:p>
          <w:p w14:paraId="05EF3494" w14:textId="77777777" w:rsidR="000C691A" w:rsidRPr="0066555F" w:rsidRDefault="000C691A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 un acuerdo de cooperación con la Comisión de la Cuenca (CIC Plata);</w:t>
            </w:r>
          </w:p>
          <w:p w14:paraId="44C0C278" w14:textId="77777777" w:rsidR="000C691A" w:rsidRPr="0066555F" w:rsidRDefault="000C691A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participación en el </w:t>
            </w:r>
            <w:r w:rsidR="00E3072D" w:rsidRPr="0066555F">
              <w:rPr>
                <w:rFonts w:cs="Arial"/>
                <w:lang w:val="es-ES_tradnl"/>
              </w:rPr>
              <w:t>grupo de trabajo del Comité Permanente sobre las IRR;</w:t>
            </w:r>
          </w:p>
          <w:p w14:paraId="11E2E29A" w14:textId="383C314B" w:rsidR="004F4AE7" w:rsidRPr="0066555F" w:rsidRDefault="00E3072D" w:rsidP="00C25850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aprobación del proyecto para el refuerzo de las capacidades de los administradores de los sitios Ramsar en Bolivia, Paraguay y Uruguay.</w:t>
            </w:r>
            <w:r w:rsidR="004F4AE7" w:rsidRPr="0066555F">
              <w:rPr>
                <w:rFonts w:cs="Arial"/>
                <w:lang w:val="es-ES_tradnl"/>
              </w:rPr>
              <w:t xml:space="preserve"> </w:t>
            </w:r>
          </w:p>
        </w:tc>
      </w:tr>
      <w:tr w:rsidR="00703031" w:rsidRPr="00F436CF" w14:paraId="195FEB3F" w14:textId="77777777" w:rsidTr="00611DAB">
        <w:trPr>
          <w:cantSplit/>
        </w:trPr>
        <w:tc>
          <w:tcPr>
            <w:tcW w:w="2160" w:type="dxa"/>
          </w:tcPr>
          <w:p w14:paraId="729227A9" w14:textId="77777777" w:rsidR="00BA06F8" w:rsidRPr="0066555F" w:rsidRDefault="00CF78AF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Iniciativa Regional de los Humedales del Caribe (CariWet) </w:t>
            </w:r>
          </w:p>
        </w:tc>
        <w:tc>
          <w:tcPr>
            <w:tcW w:w="1809" w:type="dxa"/>
          </w:tcPr>
          <w:p w14:paraId="6C086BDD" w14:textId="77777777" w:rsidR="00CF78AF" w:rsidRPr="0066555F" w:rsidRDefault="00CF78AF" w:rsidP="004F4AE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Reuniones del </w:t>
            </w:r>
            <w:r w:rsidR="00D15DAC" w:rsidRPr="0066555F">
              <w:rPr>
                <w:rFonts w:cs="Arial"/>
                <w:lang w:val="es-ES_tradnl"/>
              </w:rPr>
              <w:t>C</w:t>
            </w:r>
            <w:r w:rsidRPr="0066555F">
              <w:rPr>
                <w:rFonts w:cs="Arial"/>
                <w:lang w:val="es-ES_tradnl"/>
              </w:rPr>
              <w:t>omité</w:t>
            </w:r>
            <w:r w:rsidR="001012A8" w:rsidRPr="0066555F">
              <w:rPr>
                <w:rFonts w:cs="Arial"/>
                <w:lang w:val="es-ES_tradnl"/>
              </w:rPr>
              <w:t xml:space="preserve"> de C</w:t>
            </w:r>
            <w:r w:rsidR="009B4AB7" w:rsidRPr="0066555F">
              <w:rPr>
                <w:rFonts w:cs="Arial"/>
                <w:lang w:val="es-ES_tradnl"/>
              </w:rPr>
              <w:t>oordinación en 2016 y 2017</w:t>
            </w:r>
          </w:p>
          <w:p w14:paraId="1A1EE5AA" w14:textId="77777777" w:rsidR="00BA06F8" w:rsidRPr="0066555F" w:rsidRDefault="00BA06F8" w:rsidP="004F4AE7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2E5D5F49" w14:textId="77777777" w:rsidR="00CF78AF" w:rsidRPr="0066555F" w:rsidRDefault="00CF78AF" w:rsidP="00363F4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6555F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- preparación de un mapa de los actores regionales y nacionales;</w:t>
            </w:r>
          </w:p>
          <w:p w14:paraId="4F1D33A8" w14:textId="49A66CF8" w:rsidR="00CF78AF" w:rsidRPr="0066555F" w:rsidRDefault="00CF78AF" w:rsidP="00363F4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6555F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- preparación de un </w:t>
            </w:r>
            <w:r w:rsidR="00C25850" w:rsidRPr="0066555F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folleto y un vi</w:t>
            </w:r>
            <w:r w:rsidRPr="0066555F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deo para aumentar la visibilidad de la Convención y de la iniciativa;</w:t>
            </w:r>
          </w:p>
          <w:p w14:paraId="2E53A074" w14:textId="77777777" w:rsidR="00CF78AF" w:rsidRPr="0066555F" w:rsidRDefault="00CF78AF" w:rsidP="00363F4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6555F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- preparación de la 2ª fase de la propuesta del proyecto IKI;</w:t>
            </w:r>
          </w:p>
          <w:p w14:paraId="6DC428D8" w14:textId="2FB5B42B" w:rsidR="00BA06F8" w:rsidRPr="0066555F" w:rsidRDefault="00CF78AF" w:rsidP="00C25850">
            <w:pPr>
              <w:pStyle w:val="Default"/>
              <w:rPr>
                <w:rFonts w:cs="Arial"/>
                <w:lang w:val="es-ES_tradnl"/>
              </w:rPr>
            </w:pPr>
            <w:r w:rsidRPr="0066555F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- preparación de estudios de caso sobre sitios Ramsar</w:t>
            </w:r>
            <w:r w:rsidR="0078233D" w:rsidRPr="0066555F">
              <w:rPr>
                <w:rFonts w:cs="Arial"/>
                <w:lang w:val="es-ES_tradnl"/>
              </w:rPr>
              <w:t xml:space="preserve"> </w:t>
            </w:r>
          </w:p>
        </w:tc>
      </w:tr>
      <w:tr w:rsidR="00703031" w:rsidRPr="0066555F" w14:paraId="21F07802" w14:textId="77777777" w:rsidTr="00611DAB">
        <w:trPr>
          <w:cantSplit/>
        </w:trPr>
        <w:tc>
          <w:tcPr>
            <w:tcW w:w="2160" w:type="dxa"/>
          </w:tcPr>
          <w:p w14:paraId="0FD07E45" w14:textId="77777777" w:rsidR="00BA06F8" w:rsidRPr="0066555F" w:rsidRDefault="00CF78AF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Iniciativa Regional para la Conservación y Uso Racional de Manglares y Corales </w:t>
            </w:r>
          </w:p>
        </w:tc>
        <w:tc>
          <w:tcPr>
            <w:tcW w:w="1809" w:type="dxa"/>
          </w:tcPr>
          <w:p w14:paraId="4C88E140" w14:textId="77777777" w:rsidR="00CF78AF" w:rsidRPr="0066555F" w:rsidRDefault="00D15DAC" w:rsidP="008B6E6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Reuniones del C</w:t>
            </w:r>
            <w:r w:rsidR="00CF78AF" w:rsidRPr="0066555F">
              <w:rPr>
                <w:rFonts w:cs="Arial"/>
                <w:lang w:val="es-ES_tradnl"/>
              </w:rPr>
              <w:t xml:space="preserve">omité de </w:t>
            </w:r>
            <w:r w:rsidR="001012A8" w:rsidRPr="0066555F">
              <w:rPr>
                <w:rFonts w:cs="Arial"/>
                <w:lang w:val="es-ES_tradnl"/>
              </w:rPr>
              <w:t>C</w:t>
            </w:r>
            <w:r w:rsidR="00CF78AF" w:rsidRPr="0066555F">
              <w:rPr>
                <w:rFonts w:cs="Arial"/>
                <w:lang w:val="es-ES_tradnl"/>
              </w:rPr>
              <w:t>oordinación en 2016 y 2017</w:t>
            </w:r>
          </w:p>
          <w:p w14:paraId="3A363954" w14:textId="77777777" w:rsidR="00BA06F8" w:rsidRPr="0066555F" w:rsidRDefault="00BA06F8" w:rsidP="008B6E6D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4D4226A1" w14:textId="77777777" w:rsidR="006868CE" w:rsidRPr="0066555F" w:rsidRDefault="00CF78AF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preparación </w:t>
            </w:r>
            <w:r w:rsidR="006868CE" w:rsidRPr="0066555F">
              <w:rPr>
                <w:rFonts w:cs="Arial"/>
                <w:lang w:val="es-ES_tradnl"/>
              </w:rPr>
              <w:t xml:space="preserve">y presentación </w:t>
            </w:r>
            <w:r w:rsidRPr="0066555F">
              <w:rPr>
                <w:rFonts w:cs="Arial"/>
                <w:lang w:val="es-ES_tradnl"/>
              </w:rPr>
              <w:t xml:space="preserve">de </w:t>
            </w:r>
            <w:r w:rsidR="006868CE" w:rsidRPr="0066555F">
              <w:rPr>
                <w:rFonts w:cs="Arial"/>
                <w:lang w:val="es-ES_tradnl"/>
              </w:rPr>
              <w:t>propuestas de proyectos regionales;</w:t>
            </w:r>
          </w:p>
          <w:p w14:paraId="7DD0C387" w14:textId="40B6EE68" w:rsidR="006868CE" w:rsidRPr="0066555F" w:rsidRDefault="00C25850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 un vi</w:t>
            </w:r>
            <w:r w:rsidR="006868CE" w:rsidRPr="0066555F">
              <w:rPr>
                <w:rFonts w:cs="Arial"/>
                <w:lang w:val="es-ES_tradnl"/>
              </w:rPr>
              <w:t xml:space="preserve">deo a presentar en la reunión </w:t>
            </w:r>
            <w:r w:rsidRPr="0066555F">
              <w:rPr>
                <w:rFonts w:cs="Arial"/>
                <w:lang w:val="es-ES_tradnl"/>
              </w:rPr>
              <w:t xml:space="preserve">regional </w:t>
            </w:r>
            <w:r w:rsidR="006868CE" w:rsidRPr="0066555F">
              <w:rPr>
                <w:rFonts w:cs="Arial"/>
                <w:lang w:val="es-ES_tradnl"/>
              </w:rPr>
              <w:t>de las Américas</w:t>
            </w:r>
            <w:r w:rsidRPr="0066555F">
              <w:rPr>
                <w:rFonts w:cs="Arial"/>
                <w:lang w:val="es-ES_tradnl"/>
              </w:rPr>
              <w:t xml:space="preserve"> previa a la COP</w:t>
            </w:r>
            <w:r w:rsidR="006868CE" w:rsidRPr="0066555F">
              <w:rPr>
                <w:rFonts w:cs="Arial"/>
                <w:lang w:val="es-ES_tradnl"/>
              </w:rPr>
              <w:t>;</w:t>
            </w:r>
          </w:p>
          <w:p w14:paraId="4BB961F9" w14:textId="04A9DA41" w:rsidR="0086023C" w:rsidRPr="0066555F" w:rsidRDefault="006868CE" w:rsidP="00C25850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planificación financiera</w:t>
            </w:r>
          </w:p>
        </w:tc>
      </w:tr>
      <w:tr w:rsidR="00703031" w:rsidRPr="00F436CF" w14:paraId="0F9102CE" w14:textId="77777777" w:rsidTr="00611DAB">
        <w:trPr>
          <w:cantSplit/>
        </w:trPr>
        <w:tc>
          <w:tcPr>
            <w:tcW w:w="2160" w:type="dxa"/>
          </w:tcPr>
          <w:p w14:paraId="2138A372" w14:textId="77777777" w:rsidR="00BA06F8" w:rsidRPr="0066555F" w:rsidRDefault="006868CE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lastRenderedPageBreak/>
              <w:t xml:space="preserve">Alianza de la Vía Migratoria Asia Oriental-Australasia </w:t>
            </w:r>
          </w:p>
        </w:tc>
        <w:tc>
          <w:tcPr>
            <w:tcW w:w="1809" w:type="dxa"/>
          </w:tcPr>
          <w:p w14:paraId="14E3012B" w14:textId="77777777" w:rsidR="006868CE" w:rsidRPr="0066555F" w:rsidRDefault="006868CE" w:rsidP="00810FB0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Reunión de las Partes</w:t>
            </w:r>
          </w:p>
          <w:p w14:paraId="63B07D4D" w14:textId="77777777" w:rsidR="00BA06F8" w:rsidRPr="0066555F" w:rsidRDefault="00BA06F8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04C3D309" w14:textId="7BA73A93" w:rsidR="006868CE" w:rsidRPr="0066555F" w:rsidRDefault="001174C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adopción de un plan de a</w:t>
            </w:r>
            <w:r w:rsidR="006868CE" w:rsidRPr="0066555F">
              <w:rPr>
                <w:rFonts w:cs="Arial"/>
                <w:lang w:val="es-ES_tradnl"/>
              </w:rPr>
              <w:t>cción y una estrategia de CECoP;</w:t>
            </w:r>
          </w:p>
          <w:p w14:paraId="6783AE80" w14:textId="597F0A65" w:rsidR="006868CE" w:rsidRPr="0066555F" w:rsidRDefault="006868CE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formación de los administradores de sitio</w:t>
            </w:r>
            <w:r w:rsidR="001174C6" w:rsidRPr="0066555F">
              <w:rPr>
                <w:rFonts w:cs="Arial"/>
                <w:lang w:val="es-ES_tradnl"/>
              </w:rPr>
              <w:t>s</w:t>
            </w:r>
            <w:r w:rsidRPr="0066555F">
              <w:rPr>
                <w:rFonts w:cs="Arial"/>
                <w:lang w:val="es-ES_tradnl"/>
              </w:rPr>
              <w:t xml:space="preserve"> en China;</w:t>
            </w:r>
          </w:p>
          <w:p w14:paraId="41CA411D" w14:textId="50AC1D15" w:rsidR="006868CE" w:rsidRPr="0066555F" w:rsidRDefault="006868CE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trabajo sobre </w:t>
            </w:r>
            <w:r w:rsidR="00BD2055" w:rsidRPr="0066555F">
              <w:rPr>
                <w:rFonts w:cs="Arial"/>
                <w:lang w:val="es-ES_tradnl"/>
              </w:rPr>
              <w:t xml:space="preserve">una nueva </w:t>
            </w:r>
            <w:r w:rsidRPr="0066555F">
              <w:rPr>
                <w:rFonts w:cs="Arial"/>
                <w:lang w:val="es-ES_tradnl"/>
              </w:rPr>
              <w:t xml:space="preserve">base de datos de los sitios de la red de la Alianza de la Vía Migratoria, </w:t>
            </w:r>
            <w:r w:rsidR="00BD2055" w:rsidRPr="0066555F">
              <w:rPr>
                <w:rFonts w:cs="Arial"/>
                <w:lang w:val="es-ES_tradnl"/>
              </w:rPr>
              <w:t>planes de acción centrados en especies concretas</w:t>
            </w:r>
            <w:r w:rsidRPr="0066555F">
              <w:rPr>
                <w:rFonts w:cs="Arial"/>
                <w:lang w:val="es-ES_tradnl"/>
              </w:rPr>
              <w:t xml:space="preserve"> y otros temas; </w:t>
            </w:r>
          </w:p>
          <w:p w14:paraId="73BC0822" w14:textId="75E48013" w:rsidR="002828C2" w:rsidRPr="0066555F" w:rsidRDefault="006868CE" w:rsidP="00BD2055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eventos paralelos en la COP12 de la CEM y en el Asian Wetland Symposium</w:t>
            </w:r>
          </w:p>
        </w:tc>
      </w:tr>
      <w:tr w:rsidR="00703031" w:rsidRPr="00F436CF" w14:paraId="7257F265" w14:textId="77777777" w:rsidTr="00611DAB">
        <w:trPr>
          <w:cantSplit/>
        </w:trPr>
        <w:tc>
          <w:tcPr>
            <w:tcW w:w="2160" w:type="dxa"/>
          </w:tcPr>
          <w:p w14:paraId="49255574" w14:textId="77777777" w:rsidR="00BA06F8" w:rsidRPr="0066555F" w:rsidRDefault="009B4AB7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Iniciativa para los Humedales del Mediterráneo (MedWet) </w:t>
            </w:r>
          </w:p>
        </w:tc>
        <w:tc>
          <w:tcPr>
            <w:tcW w:w="1809" w:type="dxa"/>
          </w:tcPr>
          <w:p w14:paraId="384C1AF5" w14:textId="77777777" w:rsidR="009B4AB7" w:rsidRPr="0066555F" w:rsidRDefault="009B4AB7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108DD">
              <w:rPr>
                <w:rFonts w:cs="Arial"/>
                <w:lang w:val="es-ES_tradnl"/>
              </w:rPr>
              <w:t xml:space="preserve">Reuniones del Comité Directivo y </w:t>
            </w:r>
            <w:r w:rsidR="001012A8" w:rsidRPr="006108DD">
              <w:rPr>
                <w:rFonts w:cs="Arial"/>
                <w:lang w:val="es-ES_tradnl"/>
              </w:rPr>
              <w:t>Colaboradores de la Presidencia</w:t>
            </w:r>
          </w:p>
          <w:p w14:paraId="5AB2FE59" w14:textId="77777777" w:rsidR="002828C2" w:rsidRPr="0066555F" w:rsidRDefault="002828C2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1FD471E7" w14:textId="77777777" w:rsidR="009B4AB7" w:rsidRPr="0066555F" w:rsidRDefault="009B4AB7" w:rsidP="0086023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creación de la Red científica y técnica;</w:t>
            </w:r>
          </w:p>
          <w:p w14:paraId="34226F07" w14:textId="77777777" w:rsidR="009B4AB7" w:rsidRPr="0066555F" w:rsidRDefault="009B4AB7" w:rsidP="0086023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 la “Perspectiva sobre los humedales mediterráneos” (Mediterranean Wetland Outlook)</w:t>
            </w:r>
          </w:p>
          <w:p w14:paraId="280A3DA8" w14:textId="77777777" w:rsidR="009B4AB7" w:rsidRPr="0066555F" w:rsidRDefault="009B4AB7" w:rsidP="0086023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curso de formación sobre la gestión de visitantes;</w:t>
            </w:r>
          </w:p>
          <w:p w14:paraId="2BEC0EE7" w14:textId="77777777" w:rsidR="009B4AB7" w:rsidRPr="0066555F" w:rsidRDefault="009B4AB7" w:rsidP="0086023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reunión de planificación estratégica;</w:t>
            </w:r>
          </w:p>
          <w:p w14:paraId="1A048897" w14:textId="188B7968" w:rsidR="009B4AB7" w:rsidRPr="0066555F" w:rsidRDefault="009B4AB7" w:rsidP="0086023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participación en </w:t>
            </w:r>
            <w:r w:rsidR="00CB53FD" w:rsidRPr="0066555F">
              <w:rPr>
                <w:rFonts w:cs="Arial"/>
                <w:lang w:val="es-ES_tradnl"/>
              </w:rPr>
              <w:t>proyectos en curso de la UE</w:t>
            </w:r>
            <w:r w:rsidR="0076261D" w:rsidRPr="0066555F">
              <w:rPr>
                <w:rFonts w:cs="Arial"/>
                <w:lang w:val="es-ES_tradnl"/>
              </w:rPr>
              <w:t xml:space="preserve"> y preparación de nuevos proyectos de la UE;</w:t>
            </w:r>
          </w:p>
          <w:p w14:paraId="74D389BC" w14:textId="39BD45AD" w:rsidR="00BA06F8" w:rsidRPr="0066555F" w:rsidRDefault="0076261D" w:rsidP="00CB53F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programa de comunicación, también en sinergia con proyectos de la Fundación MAVA</w:t>
            </w:r>
          </w:p>
        </w:tc>
      </w:tr>
      <w:tr w:rsidR="00703031" w:rsidRPr="00F436CF" w14:paraId="6B1CD893" w14:textId="77777777" w:rsidTr="00611DAB">
        <w:trPr>
          <w:cantSplit/>
        </w:trPr>
        <w:tc>
          <w:tcPr>
            <w:tcW w:w="2160" w:type="dxa"/>
          </w:tcPr>
          <w:p w14:paraId="32FB0BB2" w14:textId="77777777" w:rsidR="00BA06F8" w:rsidRPr="0066555F" w:rsidRDefault="0076261D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Iniciativa para los humedales de los Cárpatos (CWI) </w:t>
            </w:r>
          </w:p>
        </w:tc>
        <w:tc>
          <w:tcPr>
            <w:tcW w:w="1809" w:type="dxa"/>
          </w:tcPr>
          <w:p w14:paraId="63FC8101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68EDFF4B" w14:textId="77777777" w:rsidR="0076261D" w:rsidRPr="0066555F" w:rsidRDefault="0076261D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comprobación de la base de datos y del mapa de los humedales de los Cárpatos;</w:t>
            </w:r>
          </w:p>
          <w:p w14:paraId="0D67CAB9" w14:textId="2BE36F9F" w:rsidR="0076261D" w:rsidRPr="0066555F" w:rsidRDefault="0076261D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participación en la labor de 5 plataformas temáticas, conjuntamen</w:t>
            </w:r>
            <w:r w:rsidR="00CB53FD" w:rsidRPr="0066555F">
              <w:rPr>
                <w:rFonts w:cs="Arial"/>
                <w:lang w:val="es-ES_tradnl"/>
              </w:rPr>
              <w:t xml:space="preserve">te con el Convenio de </w:t>
            </w:r>
            <w:r w:rsidRPr="0066555F">
              <w:rPr>
                <w:rFonts w:cs="Arial"/>
                <w:lang w:val="es-ES_tradnl"/>
              </w:rPr>
              <w:t>los Cárpa</w:t>
            </w:r>
            <w:r w:rsidR="00CB53FD" w:rsidRPr="0066555F">
              <w:rPr>
                <w:rFonts w:cs="Arial"/>
                <w:lang w:val="es-ES_tradnl"/>
              </w:rPr>
              <w:t>tos</w:t>
            </w:r>
            <w:r w:rsidRPr="0066555F">
              <w:rPr>
                <w:rFonts w:cs="Arial"/>
                <w:lang w:val="es-ES_tradnl"/>
              </w:rPr>
              <w:t xml:space="preserve">, </w:t>
            </w:r>
            <w:r w:rsidR="00CB53FD" w:rsidRPr="0066555F">
              <w:rPr>
                <w:rFonts w:cs="Arial"/>
                <w:lang w:val="es-ES_tradnl"/>
              </w:rPr>
              <w:t xml:space="preserve">la </w:t>
            </w:r>
            <w:r w:rsidRPr="0066555F">
              <w:rPr>
                <w:rFonts w:cs="Arial"/>
                <w:lang w:val="es-ES_tradnl"/>
              </w:rPr>
              <w:t xml:space="preserve">Red </w:t>
            </w:r>
            <w:r w:rsidR="006C2FE7" w:rsidRPr="0066555F">
              <w:rPr>
                <w:rFonts w:cs="Arial"/>
                <w:lang w:val="es-ES_tradnl"/>
              </w:rPr>
              <w:t>de á</w:t>
            </w:r>
            <w:r w:rsidR="00CB53FD" w:rsidRPr="0066555F">
              <w:rPr>
                <w:rFonts w:cs="Arial"/>
                <w:lang w:val="es-ES_tradnl"/>
              </w:rPr>
              <w:t>reas protegidas de los Cárpatos</w:t>
            </w:r>
            <w:r w:rsidRPr="0066555F">
              <w:rPr>
                <w:rFonts w:cs="Arial"/>
                <w:lang w:val="es-ES_tradnl"/>
              </w:rPr>
              <w:t xml:space="preserve"> y otros organismos;</w:t>
            </w:r>
          </w:p>
          <w:p w14:paraId="61D8D2F4" w14:textId="4F3DE327" w:rsidR="006C2FE7" w:rsidRPr="0066555F" w:rsidRDefault="006C2FE7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 varias propuestas de proyecto</w:t>
            </w:r>
            <w:r w:rsidR="00CB53FD" w:rsidRPr="0066555F">
              <w:rPr>
                <w:rFonts w:cs="Arial"/>
                <w:lang w:val="es-ES_tradnl"/>
              </w:rPr>
              <w:t>s</w:t>
            </w:r>
            <w:r w:rsidRPr="0066555F">
              <w:rPr>
                <w:rFonts w:cs="Arial"/>
                <w:lang w:val="es-ES_tradnl"/>
              </w:rPr>
              <w:t>;</w:t>
            </w:r>
          </w:p>
          <w:p w14:paraId="66E49B0B" w14:textId="3570DDEA" w:rsidR="00BA06F8" w:rsidRPr="0066555F" w:rsidRDefault="00CB53FD" w:rsidP="00CB53F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participación en el g</w:t>
            </w:r>
            <w:r w:rsidR="006C2FE7" w:rsidRPr="0066555F">
              <w:rPr>
                <w:rFonts w:cs="Arial"/>
                <w:lang w:val="es-ES_tradnl"/>
              </w:rPr>
              <w:t>rupo de trabajo del Comité Permanente sobre las IRR</w:t>
            </w:r>
          </w:p>
        </w:tc>
      </w:tr>
      <w:tr w:rsidR="00703031" w:rsidRPr="00F436CF" w14:paraId="4B401ABA" w14:textId="77777777" w:rsidTr="00611DAB">
        <w:trPr>
          <w:cantSplit/>
        </w:trPr>
        <w:tc>
          <w:tcPr>
            <w:tcW w:w="2160" w:type="dxa"/>
          </w:tcPr>
          <w:p w14:paraId="4CAD689A" w14:textId="77777777" w:rsidR="00BA06F8" w:rsidRPr="0066555F" w:rsidRDefault="006C2FE7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Iniciativa para los humedales nórdico-bálticos (NorBalWet) </w:t>
            </w:r>
          </w:p>
        </w:tc>
        <w:tc>
          <w:tcPr>
            <w:tcW w:w="1809" w:type="dxa"/>
          </w:tcPr>
          <w:p w14:paraId="3392B6AF" w14:textId="77777777" w:rsidR="006C2FE7" w:rsidRPr="0066555F" w:rsidRDefault="001012A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Reuniones del Comité de C</w:t>
            </w:r>
            <w:r w:rsidR="006C2FE7" w:rsidRPr="0066555F">
              <w:rPr>
                <w:rFonts w:cs="Arial"/>
                <w:lang w:val="es-ES_tradnl"/>
              </w:rPr>
              <w:t>oordinación</w:t>
            </w:r>
          </w:p>
          <w:p w14:paraId="1E773024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5D7EA360" w14:textId="77777777" w:rsidR="006C2FE7" w:rsidRPr="0066555F" w:rsidRDefault="006C2FE7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taller sobre los servicios de los ecosistemas;</w:t>
            </w:r>
          </w:p>
          <w:p w14:paraId="5E4E92F5" w14:textId="197E0D50" w:rsidR="006C2FE7" w:rsidRPr="0066555F" w:rsidRDefault="006C2FE7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</w:t>
            </w:r>
            <w:r w:rsidR="00CB53FD" w:rsidRPr="0066555F">
              <w:rPr>
                <w:rFonts w:cs="Arial"/>
                <w:lang w:val="es-ES_tradnl"/>
              </w:rPr>
              <w:t>divulgación</w:t>
            </w:r>
            <w:r w:rsidRPr="0066555F">
              <w:rPr>
                <w:rFonts w:cs="Arial"/>
                <w:lang w:val="es-ES_tradnl"/>
              </w:rPr>
              <w:t>, en 16 idiomas, de los resultados del proyecto sobre las turberas;</w:t>
            </w:r>
          </w:p>
          <w:p w14:paraId="5616FEF7" w14:textId="13D16785" w:rsidR="003F7938" w:rsidRPr="0066555F" w:rsidRDefault="006C2FE7" w:rsidP="00CB53F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participación en el grupo de trabajo del Comité Permanente sobre las IRR, en el GECT y en el </w:t>
            </w:r>
            <w:r w:rsidRPr="0066555F">
              <w:rPr>
                <w:rFonts w:eastAsiaTheme="minorHAnsi" w:cs="Calibri-Bold"/>
                <w:bCs/>
                <w:lang w:val="es-ES_tradnl"/>
              </w:rPr>
              <w:t>Grupo de supervisión de las actividades de CECoP</w:t>
            </w:r>
          </w:p>
        </w:tc>
      </w:tr>
      <w:tr w:rsidR="00703031" w:rsidRPr="00F436CF" w14:paraId="703BAE19" w14:textId="77777777" w:rsidTr="00611DAB">
        <w:trPr>
          <w:cantSplit/>
        </w:trPr>
        <w:tc>
          <w:tcPr>
            <w:tcW w:w="2160" w:type="dxa"/>
          </w:tcPr>
          <w:p w14:paraId="54EC7568" w14:textId="637D084B" w:rsidR="00BA06F8" w:rsidRPr="0066555F" w:rsidRDefault="006C2FE7" w:rsidP="00CB53F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Iniciativa para los humedales costeros del mar Negro y el mar de Azov (BlackSeaWet)</w:t>
            </w:r>
          </w:p>
        </w:tc>
        <w:tc>
          <w:tcPr>
            <w:tcW w:w="1809" w:type="dxa"/>
          </w:tcPr>
          <w:p w14:paraId="0E61059B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3B20B139" w14:textId="77777777" w:rsidR="00BA06F8" w:rsidRPr="0066555F" w:rsidRDefault="006C2FE7" w:rsidP="00D15DAC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participación en el</w:t>
            </w:r>
            <w:r w:rsidR="00D15DAC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>grupo de trabajo del C</w:t>
            </w:r>
            <w:r w:rsidR="00D15DAC" w:rsidRPr="0066555F">
              <w:rPr>
                <w:rFonts w:cs="Arial"/>
                <w:lang w:val="es-ES_tradnl"/>
              </w:rPr>
              <w:t xml:space="preserve">omité </w:t>
            </w:r>
            <w:r w:rsidRPr="0066555F">
              <w:rPr>
                <w:rFonts w:cs="Arial"/>
                <w:lang w:val="es-ES_tradnl"/>
              </w:rPr>
              <w:t>P</w:t>
            </w:r>
            <w:r w:rsidR="00D15DAC" w:rsidRPr="0066555F">
              <w:rPr>
                <w:rFonts w:cs="Arial"/>
                <w:lang w:val="es-ES_tradnl"/>
              </w:rPr>
              <w:t>ermanente</w:t>
            </w:r>
            <w:r w:rsidRPr="0066555F">
              <w:rPr>
                <w:rFonts w:cs="Arial"/>
                <w:lang w:val="es-ES_tradnl"/>
              </w:rPr>
              <w:t xml:space="preserve"> sobre las IRR</w:t>
            </w:r>
          </w:p>
        </w:tc>
      </w:tr>
      <w:tr w:rsidR="00703031" w:rsidRPr="00F436CF" w14:paraId="4AF345E2" w14:textId="77777777" w:rsidTr="00611DAB">
        <w:trPr>
          <w:cantSplit/>
        </w:trPr>
        <w:tc>
          <w:tcPr>
            <w:tcW w:w="2160" w:type="dxa"/>
          </w:tcPr>
          <w:p w14:paraId="3C92DF7B" w14:textId="77777777" w:rsidR="006C2FE7" w:rsidRPr="0066555F" w:rsidRDefault="006C2FE7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Iniciativa de la cuenca del río Senegal</w:t>
            </w:r>
          </w:p>
          <w:p w14:paraId="699448D3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1809" w:type="dxa"/>
          </w:tcPr>
          <w:p w14:paraId="78BAAA01" w14:textId="77777777" w:rsidR="00E92D36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Reunión de la Unidad de gobernanza</w:t>
            </w:r>
          </w:p>
          <w:p w14:paraId="2C18E306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51CA1DFE" w14:textId="6AF857AB" w:rsidR="00E92D36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elaboración de </w:t>
            </w:r>
            <w:r w:rsidR="00CB53FD" w:rsidRPr="0066555F">
              <w:rPr>
                <w:rFonts w:cs="Arial"/>
                <w:lang w:val="es-ES_tradnl"/>
              </w:rPr>
              <w:t>proyectos de planes</w:t>
            </w:r>
            <w:r w:rsidRPr="0066555F">
              <w:rPr>
                <w:rFonts w:cs="Arial"/>
                <w:lang w:val="es-ES_tradnl"/>
              </w:rPr>
              <w:t xml:space="preserve"> estratégico</w:t>
            </w:r>
            <w:r w:rsidR="00CB53FD" w:rsidRPr="0066555F">
              <w:rPr>
                <w:rFonts w:cs="Arial"/>
                <w:lang w:val="es-ES_tradnl"/>
              </w:rPr>
              <w:t>s</w:t>
            </w:r>
            <w:r w:rsidRPr="0066555F">
              <w:rPr>
                <w:rFonts w:cs="Arial"/>
                <w:lang w:val="es-ES_tradnl"/>
              </w:rPr>
              <w:t xml:space="preserve"> y financieros;</w:t>
            </w:r>
          </w:p>
          <w:p w14:paraId="51ED77AF" w14:textId="63943E99" w:rsidR="00E92D36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participación en otros mecanismos de cooperación r</w:t>
            </w:r>
            <w:r w:rsidR="001012A8" w:rsidRPr="0066555F">
              <w:rPr>
                <w:rFonts w:cs="Arial"/>
                <w:lang w:val="es-ES_tradnl"/>
              </w:rPr>
              <w:t xml:space="preserve">egional, entre ellos el Convenio </w:t>
            </w:r>
            <w:r w:rsidR="00CB53FD" w:rsidRPr="0066555F">
              <w:rPr>
                <w:rFonts w:cs="Arial"/>
                <w:lang w:val="es-ES_tradnl"/>
              </w:rPr>
              <w:t>de Abidjá</w:t>
            </w:r>
            <w:r w:rsidRPr="0066555F">
              <w:rPr>
                <w:rFonts w:cs="Arial"/>
                <w:lang w:val="es-ES_tradnl"/>
              </w:rPr>
              <w:t>n;</w:t>
            </w:r>
          </w:p>
          <w:p w14:paraId="77D53F88" w14:textId="1D2EA2E0" w:rsidR="003F7938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participación en el grupo de trabajo del Comité Permanente sobre las IRR</w:t>
            </w:r>
          </w:p>
        </w:tc>
      </w:tr>
      <w:tr w:rsidR="00703031" w:rsidRPr="00F436CF" w14:paraId="067F4B97" w14:textId="77777777" w:rsidTr="00611DAB">
        <w:trPr>
          <w:cantSplit/>
        </w:trPr>
        <w:tc>
          <w:tcPr>
            <w:tcW w:w="2160" w:type="dxa"/>
          </w:tcPr>
          <w:p w14:paraId="71CCC424" w14:textId="77777777" w:rsidR="00E92D36" w:rsidRPr="0066555F" w:rsidRDefault="00E92D36" w:rsidP="005631CF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lastRenderedPageBreak/>
              <w:t>Iniciativa de la cuenca amazónica</w:t>
            </w:r>
          </w:p>
          <w:p w14:paraId="578D9F80" w14:textId="77777777" w:rsidR="00BA06F8" w:rsidRPr="0066555F" w:rsidRDefault="00BA06F8" w:rsidP="005631CF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1809" w:type="dxa"/>
          </w:tcPr>
          <w:p w14:paraId="6F2CC63E" w14:textId="77777777" w:rsidR="00E92D36" w:rsidRPr="0066555F" w:rsidRDefault="00E92D36" w:rsidP="00015F7A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Reunión de los miembros en 2017</w:t>
            </w:r>
          </w:p>
          <w:p w14:paraId="23BE2313" w14:textId="77777777" w:rsidR="00BA06F8" w:rsidRPr="0066555F" w:rsidRDefault="00BA06F8" w:rsidP="00015F7A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50544EC4" w14:textId="77777777" w:rsidR="00E92D36" w:rsidRPr="0066555F" w:rsidRDefault="00D15DAC" w:rsidP="00CD207B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adopción del C</w:t>
            </w:r>
            <w:r w:rsidR="001012A8" w:rsidRPr="0066555F">
              <w:rPr>
                <w:rFonts w:cs="Arial"/>
                <w:lang w:val="es-ES_tradnl"/>
              </w:rPr>
              <w:t>omité de C</w:t>
            </w:r>
            <w:r w:rsidR="00E92D36" w:rsidRPr="0066555F">
              <w:rPr>
                <w:rFonts w:cs="Arial"/>
                <w:lang w:val="es-ES_tradnl"/>
              </w:rPr>
              <w:t>oordinación;</w:t>
            </w:r>
          </w:p>
          <w:p w14:paraId="4D5E9E41" w14:textId="77777777" w:rsidR="00E92D36" w:rsidRPr="0066555F" w:rsidRDefault="00E92D36" w:rsidP="00CD207B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adopción del Plan de Acción;</w:t>
            </w:r>
          </w:p>
          <w:p w14:paraId="405B37FA" w14:textId="1D3EBB47" w:rsidR="00BA06F8" w:rsidRPr="0066555F" w:rsidRDefault="00E92D36" w:rsidP="00CD207B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</w:t>
            </w:r>
            <w:r w:rsidR="00D15DAC" w:rsidRPr="0066555F">
              <w:rPr>
                <w:rFonts w:cs="Arial"/>
                <w:lang w:val="es-ES_tradnl"/>
              </w:rPr>
              <w:t xml:space="preserve"> un</w:t>
            </w:r>
            <w:r w:rsidRPr="0066555F">
              <w:rPr>
                <w:rFonts w:cs="Arial"/>
                <w:lang w:val="es-ES_tradnl"/>
              </w:rPr>
              <w:t xml:space="preserve"> marco para la apli</w:t>
            </w:r>
            <w:r w:rsidR="00D15DAC" w:rsidRPr="0066555F">
              <w:rPr>
                <w:rFonts w:cs="Arial"/>
                <w:lang w:val="es-ES_tradnl"/>
              </w:rPr>
              <w:t>cación de</w:t>
            </w:r>
            <w:r w:rsidR="00BF744D" w:rsidRPr="0066555F">
              <w:rPr>
                <w:rFonts w:cs="Arial"/>
                <w:lang w:val="es-ES_tradnl"/>
              </w:rPr>
              <w:t xml:space="preserve"> </w:t>
            </w:r>
            <w:r w:rsidRPr="0066555F">
              <w:rPr>
                <w:rFonts w:cs="Arial"/>
                <w:lang w:val="es-ES_tradnl"/>
              </w:rPr>
              <w:t>proyecto</w:t>
            </w:r>
            <w:r w:rsidR="00D15DAC" w:rsidRPr="0066555F">
              <w:rPr>
                <w:rFonts w:cs="Arial"/>
                <w:lang w:val="es-ES_tradnl"/>
              </w:rPr>
              <w:t>s</w:t>
            </w:r>
            <w:r w:rsidR="00CB53FD" w:rsidRPr="0066555F">
              <w:rPr>
                <w:rFonts w:cs="Arial"/>
                <w:lang w:val="es-ES_tradnl"/>
              </w:rPr>
              <w:t xml:space="preserve"> del FMAM</w:t>
            </w:r>
          </w:p>
        </w:tc>
      </w:tr>
      <w:tr w:rsidR="00703031" w:rsidRPr="00F436CF" w14:paraId="6B59D1B8" w14:textId="77777777" w:rsidTr="00611DAB">
        <w:trPr>
          <w:cantSplit/>
        </w:trPr>
        <w:tc>
          <w:tcPr>
            <w:tcW w:w="2160" w:type="dxa"/>
          </w:tcPr>
          <w:p w14:paraId="5C838432" w14:textId="77777777" w:rsidR="00E92D36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Iniciativa regional de Asia Central</w:t>
            </w:r>
          </w:p>
          <w:p w14:paraId="3C734FAD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1809" w:type="dxa"/>
          </w:tcPr>
          <w:p w14:paraId="2EC46DB3" w14:textId="77777777" w:rsidR="00E92D36" w:rsidRPr="0066555F" w:rsidRDefault="00D15DAC" w:rsidP="00F0556A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Reunión d</w:t>
            </w:r>
            <w:r w:rsidR="00E92D36" w:rsidRPr="0066555F">
              <w:rPr>
                <w:rFonts w:cs="Arial"/>
                <w:lang w:val="es-ES_tradnl"/>
              </w:rPr>
              <w:t>e</w:t>
            </w:r>
            <w:r w:rsidRPr="0066555F">
              <w:rPr>
                <w:rFonts w:cs="Arial"/>
                <w:lang w:val="es-ES_tradnl"/>
              </w:rPr>
              <w:t xml:space="preserve"> </w:t>
            </w:r>
            <w:r w:rsidR="00E92D36" w:rsidRPr="0066555F">
              <w:rPr>
                <w:rFonts w:cs="Arial"/>
                <w:lang w:val="es-ES_tradnl"/>
              </w:rPr>
              <w:t>los miembros</w:t>
            </w:r>
          </w:p>
          <w:p w14:paraId="40B13B4D" w14:textId="77777777" w:rsidR="00BA06F8" w:rsidRPr="0066555F" w:rsidRDefault="00BA06F8" w:rsidP="00F0556A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6A3CD98E" w14:textId="77777777" w:rsidR="00E92D36" w:rsidRPr="0066555F" w:rsidRDefault="00E92D36" w:rsidP="006611A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promoción de la IRR en diferentes reuniones mediante boletines informativos y un nuevo sitio web;</w:t>
            </w:r>
          </w:p>
          <w:p w14:paraId="3B72FB98" w14:textId="0AE51E5F" w:rsidR="00E92D36" w:rsidRPr="0066555F" w:rsidRDefault="00E92D36" w:rsidP="006611A7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preparación de</w:t>
            </w:r>
            <w:r w:rsidR="00D15DAC" w:rsidRPr="0066555F">
              <w:rPr>
                <w:rFonts w:cs="Arial"/>
                <w:lang w:val="es-ES_tradnl"/>
              </w:rPr>
              <w:t xml:space="preserve"> dos propuestas de proyecto</w:t>
            </w:r>
            <w:r w:rsidR="00CB53FD" w:rsidRPr="0066555F">
              <w:rPr>
                <w:rFonts w:cs="Arial"/>
                <w:lang w:val="es-ES_tradnl"/>
              </w:rPr>
              <w:t>s</w:t>
            </w:r>
            <w:r w:rsidR="00D15DAC" w:rsidRPr="0066555F">
              <w:rPr>
                <w:rFonts w:cs="Arial"/>
                <w:lang w:val="es-ES_tradnl"/>
              </w:rPr>
              <w:t>, una</w:t>
            </w:r>
            <w:r w:rsidRPr="0066555F">
              <w:rPr>
                <w:rFonts w:cs="Arial"/>
                <w:lang w:val="es-ES_tradnl"/>
              </w:rPr>
              <w:t xml:space="preserve"> de </w:t>
            </w:r>
            <w:r w:rsidR="00CB53FD" w:rsidRPr="0066555F">
              <w:rPr>
                <w:rFonts w:cs="Arial"/>
                <w:lang w:val="es-ES_tradnl"/>
              </w:rPr>
              <w:t>las</w:t>
            </w:r>
            <w:r w:rsidRPr="0066555F">
              <w:rPr>
                <w:rFonts w:cs="Arial"/>
                <w:lang w:val="es-ES_tradnl"/>
              </w:rPr>
              <w:t xml:space="preserve"> cuales recibió la financiación del Gobierno del Japón;</w:t>
            </w:r>
          </w:p>
          <w:p w14:paraId="18540BEA" w14:textId="674D10C9" w:rsidR="00BA06F8" w:rsidRPr="0066555F" w:rsidRDefault="00E92D36" w:rsidP="00CB53F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participación en la </w:t>
            </w:r>
            <w:r w:rsidR="00CB53FD" w:rsidRPr="0066555F">
              <w:rPr>
                <w:rFonts w:cs="Arial"/>
                <w:lang w:val="es-ES_tradnl"/>
              </w:rPr>
              <w:t xml:space="preserve">reunión </w:t>
            </w:r>
            <w:r w:rsidRPr="0066555F">
              <w:rPr>
                <w:rFonts w:cs="Arial"/>
                <w:lang w:val="es-ES_tradnl"/>
              </w:rPr>
              <w:t>SC53</w:t>
            </w:r>
          </w:p>
        </w:tc>
      </w:tr>
      <w:tr w:rsidR="00703031" w:rsidRPr="00F436CF" w14:paraId="4CD7680B" w14:textId="77777777" w:rsidTr="00611DAB">
        <w:trPr>
          <w:cantSplit/>
        </w:trPr>
        <w:tc>
          <w:tcPr>
            <w:tcW w:w="2160" w:type="dxa"/>
          </w:tcPr>
          <w:p w14:paraId="6FCF6525" w14:textId="77777777" w:rsidR="00E92D36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Iniciativa Indo-Birmana</w:t>
            </w:r>
          </w:p>
          <w:p w14:paraId="02682C77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1809" w:type="dxa"/>
          </w:tcPr>
          <w:p w14:paraId="717E739F" w14:textId="77777777" w:rsidR="00E92D36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R</w:t>
            </w:r>
            <w:r w:rsidR="00D15DAC" w:rsidRPr="0066555F">
              <w:rPr>
                <w:rFonts w:cs="Arial"/>
                <w:lang w:val="es-ES_tradnl"/>
              </w:rPr>
              <w:t>eunión del C</w:t>
            </w:r>
            <w:r w:rsidR="00877294" w:rsidRPr="0066555F">
              <w:rPr>
                <w:rFonts w:cs="Arial"/>
                <w:lang w:val="es-ES_tradnl"/>
              </w:rPr>
              <w:t>omité D</w:t>
            </w:r>
            <w:r w:rsidRPr="0066555F">
              <w:rPr>
                <w:rFonts w:cs="Arial"/>
                <w:lang w:val="es-ES_tradnl"/>
              </w:rPr>
              <w:t>irectivo</w:t>
            </w:r>
          </w:p>
          <w:p w14:paraId="1B2682EB" w14:textId="77777777" w:rsidR="00BA06F8" w:rsidRPr="0066555F" w:rsidRDefault="00BA06F8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</w:p>
        </w:tc>
        <w:tc>
          <w:tcPr>
            <w:tcW w:w="5165" w:type="dxa"/>
          </w:tcPr>
          <w:p w14:paraId="2F7927FF" w14:textId="77777777" w:rsidR="001112AE" w:rsidRPr="0066555F" w:rsidRDefault="00E92D36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adopción del mandato</w:t>
            </w:r>
            <w:r w:rsidR="001112AE" w:rsidRPr="0066555F">
              <w:rPr>
                <w:rFonts w:cs="Arial"/>
                <w:lang w:val="es-ES_tradnl"/>
              </w:rPr>
              <w:t>;</w:t>
            </w:r>
          </w:p>
          <w:p w14:paraId="56002512" w14:textId="0090822F" w:rsidR="001112AE" w:rsidRPr="0066555F" w:rsidRDefault="00CB53FD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- en un taller inicial se establecieron</w:t>
            </w:r>
            <w:r w:rsidR="001112AE" w:rsidRPr="0066555F">
              <w:rPr>
                <w:rFonts w:cs="Arial"/>
                <w:lang w:val="es-ES_tradnl"/>
              </w:rPr>
              <w:t xml:space="preserve"> prioridades y </w:t>
            </w:r>
            <w:r w:rsidRPr="0066555F">
              <w:rPr>
                <w:rFonts w:cs="Arial"/>
                <w:lang w:val="es-ES_tradnl"/>
              </w:rPr>
              <w:t>se comenzó</w:t>
            </w:r>
            <w:r w:rsidR="001112AE" w:rsidRPr="0066555F">
              <w:rPr>
                <w:rFonts w:cs="Arial"/>
                <w:lang w:val="es-ES_tradnl"/>
              </w:rPr>
              <w:t xml:space="preserve"> un programa financiado por Alemania para la </w:t>
            </w:r>
            <w:r w:rsidRPr="0066555F">
              <w:rPr>
                <w:rFonts w:cs="Arial"/>
                <w:lang w:val="es-ES_tradnl"/>
              </w:rPr>
              <w:t xml:space="preserve">cuenca </w:t>
            </w:r>
            <w:r w:rsidR="001112AE" w:rsidRPr="0066555F">
              <w:rPr>
                <w:rFonts w:cs="Arial"/>
                <w:lang w:val="es-ES_tradnl"/>
              </w:rPr>
              <w:t>baja del Mekong;</w:t>
            </w:r>
          </w:p>
          <w:p w14:paraId="5E9B0FA9" w14:textId="6E7F1521" w:rsidR="001112AE" w:rsidRPr="0066555F" w:rsidRDefault="001112AE" w:rsidP="00BA06F8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formación y </w:t>
            </w:r>
            <w:r w:rsidR="00CB53FD" w:rsidRPr="0066555F">
              <w:rPr>
                <w:rFonts w:cs="Arial"/>
                <w:lang w:val="es-ES_tradnl"/>
              </w:rPr>
              <w:t>preparación</w:t>
            </w:r>
            <w:r w:rsidRPr="0066555F">
              <w:rPr>
                <w:rFonts w:cs="Arial"/>
                <w:lang w:val="es-ES_tradnl"/>
              </w:rPr>
              <w:t xml:space="preserve"> de una herramienta de evaluación de vulnerabilidades;</w:t>
            </w:r>
          </w:p>
          <w:p w14:paraId="1612085C" w14:textId="508452DC" w:rsidR="007D5938" w:rsidRPr="0066555F" w:rsidRDefault="001112AE" w:rsidP="00CB53FD">
            <w:pPr>
              <w:pStyle w:val="ListParagraph"/>
              <w:ind w:left="0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- </w:t>
            </w:r>
            <w:r w:rsidR="00CB53FD" w:rsidRPr="0066555F">
              <w:rPr>
                <w:rFonts w:cs="Arial"/>
                <w:lang w:val="es-ES_tradnl"/>
              </w:rPr>
              <w:t>trabajo</w:t>
            </w:r>
            <w:r w:rsidRPr="0066555F">
              <w:rPr>
                <w:rFonts w:cs="Arial"/>
                <w:lang w:val="es-ES_tradnl"/>
              </w:rPr>
              <w:t xml:space="preserve"> en curso sobre el plan estratégico, comunicación y divulgación</w:t>
            </w:r>
          </w:p>
        </w:tc>
      </w:tr>
    </w:tbl>
    <w:p w14:paraId="7EBF57CB" w14:textId="77777777" w:rsidR="006754B0" w:rsidRPr="0066555F" w:rsidRDefault="006754B0" w:rsidP="006754B0">
      <w:pPr>
        <w:pStyle w:val="ListParagraph"/>
        <w:spacing w:after="0" w:line="240" w:lineRule="auto"/>
        <w:ind w:left="360"/>
        <w:rPr>
          <w:rFonts w:cs="Arial"/>
          <w:b/>
          <w:lang w:val="es-ES_tradnl"/>
        </w:rPr>
      </w:pPr>
    </w:p>
    <w:p w14:paraId="0D97F2DF" w14:textId="77777777" w:rsidR="00B05EA8" w:rsidRPr="0066555F" w:rsidRDefault="00B05EA8" w:rsidP="00E94F66">
      <w:pPr>
        <w:pStyle w:val="ListParagraph"/>
        <w:spacing w:after="0" w:line="240" w:lineRule="auto"/>
        <w:ind w:left="360"/>
        <w:rPr>
          <w:b/>
          <w:lang w:val="es-ES_tradnl"/>
        </w:rPr>
      </w:pPr>
    </w:p>
    <w:p w14:paraId="194D0CB0" w14:textId="77777777" w:rsidR="00D22BBB" w:rsidRPr="0066555F" w:rsidRDefault="001112AE" w:rsidP="00E94F66">
      <w:pPr>
        <w:spacing w:after="0" w:line="240" w:lineRule="auto"/>
        <w:rPr>
          <w:rFonts w:cs="Arial"/>
          <w:b/>
          <w:lang w:val="es-ES_tradnl"/>
        </w:rPr>
      </w:pPr>
      <w:r w:rsidRPr="0066555F">
        <w:rPr>
          <w:rFonts w:cs="Arial"/>
          <w:b/>
          <w:lang w:val="es-ES_tradnl"/>
        </w:rPr>
        <w:t xml:space="preserve">Asignación de fondos con cargo al presupuesto básico de Ramsar para las actividades de las nuevas IRR en 2018 </w:t>
      </w:r>
    </w:p>
    <w:p w14:paraId="3BEC6DD7" w14:textId="77777777" w:rsidR="00D22BBB" w:rsidRPr="0066555F" w:rsidRDefault="00D22BBB" w:rsidP="00E94F66">
      <w:pPr>
        <w:spacing w:after="0" w:line="240" w:lineRule="auto"/>
        <w:rPr>
          <w:rFonts w:cs="Arial"/>
          <w:b/>
          <w:lang w:val="es-ES_tradnl"/>
        </w:rPr>
      </w:pPr>
    </w:p>
    <w:p w14:paraId="783EA9E4" w14:textId="77777777" w:rsidR="00ED4B56" w:rsidRPr="0066555F" w:rsidRDefault="004B1BBA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10.</w:t>
      </w:r>
      <w:r w:rsidRPr="0066555F">
        <w:rPr>
          <w:rFonts w:cs="Arial"/>
          <w:lang w:val="es-ES_tradnl"/>
        </w:rPr>
        <w:tab/>
      </w:r>
      <w:r w:rsidR="001112AE" w:rsidRPr="0066555F">
        <w:rPr>
          <w:rFonts w:cs="Arial"/>
          <w:lang w:val="es-ES_tradnl"/>
        </w:rPr>
        <w:t>En la Resolución XII.8, párrafo 14, la Conferencia de las Partes incluyó “</w:t>
      </w:r>
      <w:r w:rsidR="001112AE" w:rsidRPr="0066555F">
        <w:rPr>
          <w:rFonts w:cs="Garamond"/>
          <w:lang w:val="es-ES_tradnl"/>
        </w:rPr>
        <w:t xml:space="preserve">apoyo financiero en la partida del presupuesto básico de la Convención “Apoyo a iniciativas regionales”, indicada en </w:t>
      </w:r>
      <w:r w:rsidR="00D30E22" w:rsidRPr="0066555F">
        <w:rPr>
          <w:rFonts w:cs="Garamond"/>
          <w:lang w:val="es-ES_tradnl"/>
        </w:rPr>
        <w:t xml:space="preserve">el Anexo 1 de </w:t>
      </w:r>
      <w:r w:rsidR="001112AE" w:rsidRPr="0066555F">
        <w:rPr>
          <w:rFonts w:cs="Garamond"/>
          <w:lang w:val="es-ES_tradnl"/>
        </w:rPr>
        <w:t>la Resolución XII.1 sobre asuntos financieros y presupuestarios, para cubrir los gastos de funcionamiento de iniciativas regionales en funcionamiento durante el período</w:t>
      </w:r>
      <w:r w:rsidR="001112AE" w:rsidRPr="0066555F">
        <w:rPr>
          <w:lang w:val="es-ES_tradnl"/>
        </w:rPr>
        <w:t xml:space="preserve"> 2016-2018 que cumplan plenamente los </w:t>
      </w:r>
      <w:r w:rsidR="001112AE" w:rsidRPr="0066555F">
        <w:rPr>
          <w:i/>
          <w:lang w:val="es-ES_tradnl"/>
        </w:rPr>
        <w:t xml:space="preserve">Lineamientos Operativos”. </w:t>
      </w:r>
    </w:p>
    <w:p w14:paraId="17089966" w14:textId="77777777" w:rsidR="00ED4B56" w:rsidRPr="0066555F" w:rsidRDefault="00ED4B56" w:rsidP="00E94F66">
      <w:pPr>
        <w:spacing w:after="0" w:line="240" w:lineRule="auto"/>
        <w:ind w:left="425" w:hanging="425"/>
        <w:rPr>
          <w:rFonts w:cs="Arial"/>
          <w:lang w:val="es-ES_tradnl"/>
        </w:rPr>
      </w:pPr>
    </w:p>
    <w:p w14:paraId="3FF1A46A" w14:textId="4C5E6357" w:rsidR="00ED4B56" w:rsidRPr="0066555F" w:rsidRDefault="004B1BBA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11.</w:t>
      </w:r>
      <w:r w:rsidRPr="0066555F">
        <w:rPr>
          <w:rFonts w:cs="Arial"/>
          <w:lang w:val="es-ES_tradnl"/>
        </w:rPr>
        <w:tab/>
      </w:r>
      <w:r w:rsidR="00D30E22" w:rsidRPr="0066555F">
        <w:rPr>
          <w:rFonts w:cs="Arial"/>
          <w:lang w:val="es-ES_tradnl"/>
        </w:rPr>
        <w:t>En la misma Resolución, párrafo 15, la Conferencia decidió “</w:t>
      </w:r>
      <w:r w:rsidR="00D30E22" w:rsidRPr="0066555F">
        <w:rPr>
          <w:lang w:val="es-ES_tradnl"/>
        </w:rPr>
        <w:t xml:space="preserve">que los niveles de apoyo financiero </w:t>
      </w:r>
      <w:r w:rsidR="00D30E22" w:rsidRPr="0066555F">
        <w:rPr>
          <w:rFonts w:cs="Garamond"/>
          <w:lang w:val="es-ES_tradnl"/>
        </w:rPr>
        <w:t xml:space="preserve">destinado a las </w:t>
      </w:r>
      <w:r w:rsidR="00D30E22" w:rsidRPr="0066555F">
        <w:rPr>
          <w:lang w:val="es-ES_tradnl"/>
        </w:rPr>
        <w:t>iniciativas regionales con cargo al presupuesto básico de la Convención para los años 2016, 2017 y 2018 los determine el Comité Permanente cada año, basándose en los informes más recientes y los planes de trabajo actualizados que se deben presentar en el formato y el calendario requeridos y teniendo en cuenta las recomendaciones concr</w:t>
      </w:r>
      <w:r w:rsidR="00466370">
        <w:rPr>
          <w:lang w:val="es-ES_tradnl"/>
        </w:rPr>
        <w:t>etas del Subgrupo de Finanzas”.</w:t>
      </w:r>
    </w:p>
    <w:p w14:paraId="343D3F7D" w14:textId="77777777" w:rsidR="00D60BE8" w:rsidRPr="0066555F" w:rsidRDefault="00D60BE8" w:rsidP="00E94F66">
      <w:pPr>
        <w:spacing w:after="0" w:line="240" w:lineRule="auto"/>
        <w:ind w:left="425" w:hanging="425"/>
        <w:rPr>
          <w:rFonts w:cs="Arial"/>
          <w:lang w:val="es-ES_tradnl"/>
        </w:rPr>
      </w:pPr>
    </w:p>
    <w:p w14:paraId="2CB9751B" w14:textId="73EBBDFB" w:rsidR="00353214" w:rsidRPr="0066555F" w:rsidRDefault="004B1BBA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12.</w:t>
      </w:r>
      <w:r w:rsidRPr="0066555F">
        <w:rPr>
          <w:rFonts w:cs="Arial"/>
          <w:lang w:val="es-ES_tradnl"/>
        </w:rPr>
        <w:tab/>
      </w:r>
      <w:r w:rsidR="00D30E22" w:rsidRPr="0066555F">
        <w:rPr>
          <w:rFonts w:cs="Arial"/>
          <w:lang w:val="es-ES_tradnl"/>
        </w:rPr>
        <w:t>Las cu</w:t>
      </w:r>
      <w:r w:rsidR="00CB53FD" w:rsidRPr="0066555F">
        <w:rPr>
          <w:rFonts w:cs="Arial"/>
          <w:lang w:val="es-ES_tradnl"/>
        </w:rPr>
        <w:t>atro IRR candidatas presentaron en enero de 2018,</w:t>
      </w:r>
      <w:r w:rsidR="00D30E22" w:rsidRPr="0066555F">
        <w:rPr>
          <w:rFonts w:cs="Arial"/>
          <w:lang w:val="es-ES_tradnl"/>
        </w:rPr>
        <w:t xml:space="preserve"> como parte </w:t>
      </w:r>
      <w:r w:rsidR="00471F13" w:rsidRPr="0066555F">
        <w:rPr>
          <w:rFonts w:cs="Arial"/>
          <w:lang w:val="es-ES_tradnl"/>
        </w:rPr>
        <w:t>de sus informes financieros y planes de trabajo para 2018, nuevas solicitudes de apoyo con cargo al presupuesto básico de Ramsar para</w:t>
      </w:r>
      <w:r w:rsidR="00C20815" w:rsidRPr="0066555F">
        <w:rPr>
          <w:rFonts w:cs="Arial"/>
          <w:lang w:val="es-ES_tradnl"/>
        </w:rPr>
        <w:t xml:space="preserve"> </w:t>
      </w:r>
      <w:r w:rsidR="00471F13" w:rsidRPr="0066555F">
        <w:rPr>
          <w:rFonts w:cs="Arial"/>
          <w:lang w:val="es-ES_tradnl"/>
        </w:rPr>
        <w:t>sus operaciones en 2018, como muestra</w:t>
      </w:r>
      <w:r w:rsidR="00CB53FD" w:rsidRPr="0066555F">
        <w:rPr>
          <w:rFonts w:cs="Arial"/>
          <w:lang w:val="es-ES_tradnl"/>
        </w:rPr>
        <w:t xml:space="preserve"> el Cuadro</w:t>
      </w:r>
      <w:r w:rsidR="0066555F" w:rsidRPr="0066555F">
        <w:rPr>
          <w:rFonts w:cs="Arial"/>
          <w:lang w:val="es-ES_tradnl"/>
        </w:rPr>
        <w:t xml:space="preserve"> 2:</w:t>
      </w:r>
    </w:p>
    <w:p w14:paraId="61CE465A" w14:textId="77777777" w:rsidR="00B05EA8" w:rsidRPr="0066555F" w:rsidRDefault="00B05EA8" w:rsidP="00317C2C">
      <w:pPr>
        <w:spacing w:after="0" w:line="240" w:lineRule="auto"/>
        <w:ind w:left="720" w:hanging="720"/>
        <w:rPr>
          <w:rFonts w:cs="Arial"/>
          <w:lang w:val="es-ES_tradnl"/>
        </w:rPr>
      </w:pPr>
    </w:p>
    <w:p w14:paraId="5BD5FBCB" w14:textId="77777777" w:rsidR="00F436CF" w:rsidRDefault="00F436CF">
      <w:pPr>
        <w:rPr>
          <w:rFonts w:cs="Arial"/>
          <w:i/>
          <w:lang w:val="es-ES_tradnl"/>
        </w:rPr>
      </w:pPr>
      <w:r>
        <w:rPr>
          <w:rFonts w:cs="Arial"/>
          <w:i/>
          <w:lang w:val="es-ES_tradnl"/>
        </w:rPr>
        <w:br w:type="page"/>
      </w:r>
    </w:p>
    <w:p w14:paraId="416DD7B7" w14:textId="401AB672" w:rsidR="00B05EA8" w:rsidRPr="0066555F" w:rsidRDefault="00471F13" w:rsidP="00B05EA8">
      <w:pPr>
        <w:spacing w:after="0" w:line="240" w:lineRule="auto"/>
        <w:rPr>
          <w:rFonts w:cs="Arial"/>
          <w:i/>
          <w:lang w:val="es-ES_tradnl"/>
        </w:rPr>
      </w:pPr>
      <w:r w:rsidRPr="0066555F">
        <w:rPr>
          <w:rFonts w:cs="Arial"/>
          <w:i/>
          <w:lang w:val="es-ES_tradnl"/>
        </w:rPr>
        <w:lastRenderedPageBreak/>
        <w:t>Tabla 2: Financiación de nuevas IRR para 2018 (todas las cantidades en francos suizos)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268"/>
        <w:gridCol w:w="1728"/>
        <w:gridCol w:w="1728"/>
        <w:gridCol w:w="1728"/>
        <w:gridCol w:w="1908"/>
      </w:tblGrid>
      <w:tr w:rsidR="00471F13" w:rsidRPr="00F436CF" w14:paraId="587EE71D" w14:textId="77777777" w:rsidTr="00F436CF">
        <w:trPr>
          <w:trHeight w:val="81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F96C56" w14:textId="77777777" w:rsidR="00471F13" w:rsidRPr="0066555F" w:rsidRDefault="00471F13" w:rsidP="00FC0A07">
            <w:pPr>
              <w:jc w:val="center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Iniciativa Regional de Ramsar</w:t>
            </w:r>
          </w:p>
          <w:p w14:paraId="54BDE573" w14:textId="77777777" w:rsidR="00DD3D18" w:rsidRPr="0066555F" w:rsidRDefault="00DD3D18" w:rsidP="00FC0A07">
            <w:pPr>
              <w:jc w:val="center"/>
              <w:rPr>
                <w:rFonts w:cs="Arial"/>
                <w:b/>
                <w:lang w:val="es-ES_tradnl"/>
              </w:rPr>
            </w:pP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14:paraId="037C4003" w14:textId="3B29866B" w:rsidR="00DD3D18" w:rsidRPr="0066555F" w:rsidRDefault="00471F13" w:rsidP="00F436CF">
            <w:pPr>
              <w:jc w:val="center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Remanente para las actividades en 2018</w:t>
            </w: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14:paraId="1B27B12B" w14:textId="43169162" w:rsidR="00DD3D18" w:rsidRPr="0066555F" w:rsidRDefault="00471F13" w:rsidP="00F436CF">
            <w:pPr>
              <w:jc w:val="center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Presupuesto total para las actividades en 2018</w:t>
            </w: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14:paraId="796DC2D3" w14:textId="33E45A44" w:rsidR="00DD3D18" w:rsidRPr="0066555F" w:rsidRDefault="00471F13" w:rsidP="000766F7">
            <w:pPr>
              <w:jc w:val="center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Asignación del presupuesto básico solicitada para 2018</w:t>
            </w:r>
          </w:p>
        </w:tc>
        <w:tc>
          <w:tcPr>
            <w:tcW w:w="1908" w:type="dxa"/>
            <w:shd w:val="clear" w:color="auto" w:fill="DBE5F1" w:themeFill="accent1" w:themeFillTint="33"/>
            <w:vAlign w:val="center"/>
          </w:tcPr>
          <w:p w14:paraId="37E7F3C0" w14:textId="6DC82FF2" w:rsidR="00DD3D18" w:rsidRPr="0066555F" w:rsidRDefault="00471F13" w:rsidP="000766F7">
            <w:pPr>
              <w:jc w:val="center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 xml:space="preserve">Asignación del presupuesto básico propuesta para 2018 </w:t>
            </w:r>
          </w:p>
        </w:tc>
      </w:tr>
      <w:tr w:rsidR="00471F13" w:rsidRPr="0066555F" w14:paraId="3C38BA5A" w14:textId="77777777" w:rsidTr="00F436CF">
        <w:tc>
          <w:tcPr>
            <w:tcW w:w="2268" w:type="dxa"/>
          </w:tcPr>
          <w:p w14:paraId="177536A1" w14:textId="77777777" w:rsidR="00DD3D18" w:rsidRPr="0066555F" w:rsidRDefault="00471F13" w:rsidP="00BF744D">
            <w:pPr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Cuenca del Senegal </w:t>
            </w:r>
          </w:p>
        </w:tc>
        <w:tc>
          <w:tcPr>
            <w:tcW w:w="1728" w:type="dxa"/>
          </w:tcPr>
          <w:p w14:paraId="06BD71F8" w14:textId="393C25E4" w:rsidR="00DD3D18" w:rsidRPr="0066555F" w:rsidRDefault="00652DA4" w:rsidP="00D325F2">
            <w:pPr>
              <w:ind w:right="27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21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Pr="0066555F">
              <w:rPr>
                <w:rFonts w:cs="Arial"/>
                <w:lang w:val="es-ES_tradnl"/>
              </w:rPr>
              <w:t>567</w:t>
            </w:r>
          </w:p>
        </w:tc>
        <w:tc>
          <w:tcPr>
            <w:tcW w:w="1728" w:type="dxa"/>
          </w:tcPr>
          <w:p w14:paraId="2CC9E267" w14:textId="6851734F" w:rsidR="00DD3D18" w:rsidRPr="0066555F" w:rsidRDefault="00CF5C97" w:rsidP="00D325F2">
            <w:pPr>
              <w:ind w:right="193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77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1F7113" w:rsidRPr="0066555F">
              <w:rPr>
                <w:rFonts w:cs="Arial"/>
                <w:lang w:val="es-ES_tradnl"/>
              </w:rPr>
              <w:t>000</w:t>
            </w:r>
          </w:p>
        </w:tc>
        <w:tc>
          <w:tcPr>
            <w:tcW w:w="1728" w:type="dxa"/>
          </w:tcPr>
          <w:p w14:paraId="57FF62CE" w14:textId="767ADF20" w:rsidR="00DD3D18" w:rsidRPr="0066555F" w:rsidRDefault="009B4A6D" w:rsidP="00D325F2">
            <w:pPr>
              <w:ind w:right="289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42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1F7113" w:rsidRPr="0066555F">
              <w:rPr>
                <w:rFonts w:cs="Arial"/>
                <w:lang w:val="es-ES_tradnl"/>
              </w:rPr>
              <w:t>000</w:t>
            </w:r>
          </w:p>
        </w:tc>
        <w:tc>
          <w:tcPr>
            <w:tcW w:w="1908" w:type="dxa"/>
          </w:tcPr>
          <w:p w14:paraId="7B7E6D6C" w14:textId="32E16CC3" w:rsidR="00DD3D18" w:rsidRPr="0066555F" w:rsidRDefault="00BF744D" w:rsidP="00D325F2">
            <w:pPr>
              <w:ind w:right="20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 </w:t>
            </w:r>
            <w:r w:rsidR="00D60BE8"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A209D1" w:rsidRPr="0066555F">
              <w:rPr>
                <w:rFonts w:cs="Arial"/>
                <w:lang w:val="es-ES_tradnl"/>
              </w:rPr>
              <w:t xml:space="preserve">000 </w:t>
            </w:r>
          </w:p>
        </w:tc>
      </w:tr>
      <w:tr w:rsidR="00471F13" w:rsidRPr="0066555F" w14:paraId="7792C10C" w14:textId="77777777" w:rsidTr="00F436CF">
        <w:tc>
          <w:tcPr>
            <w:tcW w:w="2268" w:type="dxa"/>
          </w:tcPr>
          <w:p w14:paraId="6751DABF" w14:textId="77777777" w:rsidR="00DD3D18" w:rsidRPr="0066555F" w:rsidRDefault="00471F13" w:rsidP="00BF744D">
            <w:pPr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Cuenca amazónica </w:t>
            </w:r>
          </w:p>
        </w:tc>
        <w:tc>
          <w:tcPr>
            <w:tcW w:w="1728" w:type="dxa"/>
          </w:tcPr>
          <w:p w14:paraId="4A41B93D" w14:textId="2CCF4FA2" w:rsidR="00DD3D18" w:rsidRPr="0066555F" w:rsidRDefault="0058672D" w:rsidP="00D325F2">
            <w:pPr>
              <w:ind w:right="27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Pr="0066555F">
              <w:rPr>
                <w:rFonts w:cs="Arial"/>
                <w:lang w:val="es-ES_tradnl"/>
              </w:rPr>
              <w:t>000</w:t>
            </w:r>
          </w:p>
        </w:tc>
        <w:tc>
          <w:tcPr>
            <w:tcW w:w="1728" w:type="dxa"/>
          </w:tcPr>
          <w:p w14:paraId="566C298F" w14:textId="256DF6A4" w:rsidR="00DD3D18" w:rsidRPr="0066555F" w:rsidRDefault="0058672D" w:rsidP="00D325F2">
            <w:pPr>
              <w:ind w:right="193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75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703168" w:rsidRPr="0066555F">
              <w:rPr>
                <w:rFonts w:cs="Arial"/>
                <w:lang w:val="es-ES_tradnl"/>
              </w:rPr>
              <w:t>000</w:t>
            </w:r>
          </w:p>
        </w:tc>
        <w:tc>
          <w:tcPr>
            <w:tcW w:w="1728" w:type="dxa"/>
          </w:tcPr>
          <w:p w14:paraId="0E8328F8" w14:textId="1FCF50F4" w:rsidR="00DD3D18" w:rsidRPr="0066555F" w:rsidRDefault="0058672D" w:rsidP="00D325F2">
            <w:pPr>
              <w:ind w:right="289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703168" w:rsidRPr="0066555F">
              <w:rPr>
                <w:rFonts w:cs="Arial"/>
                <w:lang w:val="es-ES_tradnl"/>
              </w:rPr>
              <w:t>000</w:t>
            </w:r>
          </w:p>
        </w:tc>
        <w:tc>
          <w:tcPr>
            <w:tcW w:w="1908" w:type="dxa"/>
          </w:tcPr>
          <w:p w14:paraId="58C779A6" w14:textId="066017FE" w:rsidR="00DD3D18" w:rsidRPr="0066555F" w:rsidRDefault="00BF744D" w:rsidP="00D325F2">
            <w:pPr>
              <w:ind w:right="20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 </w:t>
            </w:r>
            <w:r w:rsidR="0058672D"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A209D1" w:rsidRPr="0066555F">
              <w:rPr>
                <w:rFonts w:cs="Arial"/>
                <w:lang w:val="es-ES_tradnl"/>
              </w:rPr>
              <w:t xml:space="preserve">000 </w:t>
            </w:r>
          </w:p>
        </w:tc>
      </w:tr>
      <w:tr w:rsidR="00471F13" w:rsidRPr="0066555F" w14:paraId="70B04F03" w14:textId="77777777" w:rsidTr="00F436CF">
        <w:tc>
          <w:tcPr>
            <w:tcW w:w="2268" w:type="dxa"/>
          </w:tcPr>
          <w:p w14:paraId="5404F134" w14:textId="77777777" w:rsidR="00DD3D18" w:rsidRPr="0066555F" w:rsidRDefault="00471F13" w:rsidP="00BF744D">
            <w:pPr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Asia Central </w:t>
            </w:r>
          </w:p>
        </w:tc>
        <w:tc>
          <w:tcPr>
            <w:tcW w:w="1728" w:type="dxa"/>
          </w:tcPr>
          <w:p w14:paraId="5CA63DDE" w14:textId="22696CDF" w:rsidR="00DD3D18" w:rsidRPr="0066555F" w:rsidRDefault="009B4A6D" w:rsidP="00D325F2">
            <w:pPr>
              <w:ind w:right="27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57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Pr="0066555F">
              <w:rPr>
                <w:rFonts w:cs="Arial"/>
                <w:lang w:val="es-ES_tradnl"/>
              </w:rPr>
              <w:t>656</w:t>
            </w:r>
          </w:p>
        </w:tc>
        <w:tc>
          <w:tcPr>
            <w:tcW w:w="1728" w:type="dxa"/>
          </w:tcPr>
          <w:p w14:paraId="70A04FA7" w14:textId="4234EF4E" w:rsidR="00DD3D18" w:rsidRPr="0066555F" w:rsidRDefault="0095361D" w:rsidP="00D325F2">
            <w:pPr>
              <w:ind w:right="193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135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9B4A6D" w:rsidRPr="0066555F">
              <w:rPr>
                <w:rFonts w:cs="Arial"/>
                <w:lang w:val="es-ES_tradnl"/>
              </w:rPr>
              <w:t>015</w:t>
            </w:r>
          </w:p>
        </w:tc>
        <w:tc>
          <w:tcPr>
            <w:tcW w:w="1728" w:type="dxa"/>
          </w:tcPr>
          <w:p w14:paraId="511CA9FC" w14:textId="77CFE0C7" w:rsidR="00DD3D18" w:rsidRPr="0066555F" w:rsidRDefault="0095361D" w:rsidP="00D325F2">
            <w:pPr>
              <w:ind w:right="289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213267" w:rsidRPr="0066555F">
              <w:rPr>
                <w:rFonts w:cs="Arial"/>
                <w:lang w:val="es-ES_tradnl"/>
              </w:rPr>
              <w:t>000</w:t>
            </w:r>
          </w:p>
        </w:tc>
        <w:tc>
          <w:tcPr>
            <w:tcW w:w="1908" w:type="dxa"/>
          </w:tcPr>
          <w:p w14:paraId="53B20D2D" w14:textId="7C2F6962" w:rsidR="00DD3D18" w:rsidRPr="0066555F" w:rsidRDefault="00BF744D" w:rsidP="00D325F2">
            <w:pPr>
              <w:ind w:right="20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 </w:t>
            </w:r>
            <w:r w:rsidR="0095361D"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A209D1" w:rsidRPr="0066555F">
              <w:rPr>
                <w:rFonts w:cs="Arial"/>
                <w:lang w:val="es-ES_tradnl"/>
              </w:rPr>
              <w:t xml:space="preserve">000 </w:t>
            </w:r>
          </w:p>
        </w:tc>
      </w:tr>
      <w:tr w:rsidR="00471F13" w:rsidRPr="0066555F" w14:paraId="304E40A2" w14:textId="77777777" w:rsidTr="00F436CF">
        <w:tc>
          <w:tcPr>
            <w:tcW w:w="2268" w:type="dxa"/>
          </w:tcPr>
          <w:p w14:paraId="010ABCD0" w14:textId="53D446A0" w:rsidR="00DD3D18" w:rsidRPr="0066555F" w:rsidRDefault="00471F13" w:rsidP="006F1AD3">
            <w:pPr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Indo-Birmana</w:t>
            </w:r>
            <w:bookmarkStart w:id="0" w:name="_GoBack"/>
            <w:bookmarkEnd w:id="0"/>
          </w:p>
        </w:tc>
        <w:tc>
          <w:tcPr>
            <w:tcW w:w="1728" w:type="dxa"/>
          </w:tcPr>
          <w:p w14:paraId="13FA1B88" w14:textId="6ACFDF1D" w:rsidR="00DD3D18" w:rsidRPr="0066555F" w:rsidRDefault="00652DA4" w:rsidP="00D325F2">
            <w:pPr>
              <w:ind w:right="27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38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Pr="0066555F">
              <w:rPr>
                <w:rFonts w:cs="Arial"/>
                <w:lang w:val="es-ES_tradnl"/>
              </w:rPr>
              <w:t>480</w:t>
            </w:r>
          </w:p>
        </w:tc>
        <w:tc>
          <w:tcPr>
            <w:tcW w:w="1728" w:type="dxa"/>
          </w:tcPr>
          <w:p w14:paraId="7CFEEB13" w14:textId="3590BF2D" w:rsidR="00DD3D18" w:rsidRPr="0066555F" w:rsidRDefault="00652DA4" w:rsidP="00D325F2">
            <w:pPr>
              <w:ind w:right="193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122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Pr="0066555F">
              <w:rPr>
                <w:rFonts w:cs="Arial"/>
                <w:lang w:val="es-ES_tradnl"/>
              </w:rPr>
              <w:t>773</w:t>
            </w:r>
          </w:p>
        </w:tc>
        <w:tc>
          <w:tcPr>
            <w:tcW w:w="1728" w:type="dxa"/>
          </w:tcPr>
          <w:p w14:paraId="5A8D25DC" w14:textId="42FE798E" w:rsidR="00DD3D18" w:rsidRPr="0066555F" w:rsidRDefault="00213267" w:rsidP="00D325F2">
            <w:pPr>
              <w:ind w:right="289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Pr="0066555F">
              <w:rPr>
                <w:rFonts w:cs="Arial"/>
                <w:lang w:val="es-ES_tradnl"/>
              </w:rPr>
              <w:t xml:space="preserve">000 </w:t>
            </w:r>
          </w:p>
        </w:tc>
        <w:tc>
          <w:tcPr>
            <w:tcW w:w="1908" w:type="dxa"/>
          </w:tcPr>
          <w:p w14:paraId="73F24502" w14:textId="461E15B2" w:rsidR="00DD3D18" w:rsidRPr="0066555F" w:rsidRDefault="00BF744D" w:rsidP="00D325F2">
            <w:pPr>
              <w:ind w:right="206"/>
              <w:jc w:val="right"/>
              <w:rPr>
                <w:rFonts w:cs="Arial"/>
                <w:lang w:val="es-ES_tradnl"/>
              </w:rPr>
            </w:pPr>
            <w:r w:rsidRPr="0066555F">
              <w:rPr>
                <w:rFonts w:cs="Arial"/>
                <w:lang w:val="es-ES_tradnl"/>
              </w:rPr>
              <w:t xml:space="preserve"> </w:t>
            </w:r>
            <w:r w:rsidR="00A209D1" w:rsidRPr="0066555F">
              <w:rPr>
                <w:rFonts w:cs="Arial"/>
                <w:lang w:val="es-ES_tradnl"/>
              </w:rPr>
              <w:t>30</w:t>
            </w:r>
            <w:r w:rsidR="0066555F" w:rsidRPr="0066555F">
              <w:rPr>
                <w:rFonts w:cs="Arial"/>
                <w:lang w:val="es-ES_tradnl"/>
              </w:rPr>
              <w:t>.</w:t>
            </w:r>
            <w:r w:rsidR="00A209D1" w:rsidRPr="0066555F">
              <w:rPr>
                <w:rFonts w:cs="Arial"/>
                <w:lang w:val="es-ES_tradnl"/>
              </w:rPr>
              <w:t xml:space="preserve">000 </w:t>
            </w:r>
          </w:p>
        </w:tc>
      </w:tr>
      <w:tr w:rsidR="00471F13" w:rsidRPr="0066555F" w14:paraId="760681FC" w14:textId="77777777" w:rsidTr="00F436CF">
        <w:tc>
          <w:tcPr>
            <w:tcW w:w="2268" w:type="dxa"/>
          </w:tcPr>
          <w:p w14:paraId="451257B3" w14:textId="77777777" w:rsidR="0095361D" w:rsidRPr="0066555F" w:rsidRDefault="0095361D" w:rsidP="006F1AD3">
            <w:pPr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Total</w:t>
            </w:r>
          </w:p>
        </w:tc>
        <w:tc>
          <w:tcPr>
            <w:tcW w:w="1728" w:type="dxa"/>
          </w:tcPr>
          <w:p w14:paraId="6BBB477D" w14:textId="77777777" w:rsidR="0095361D" w:rsidRPr="0066555F" w:rsidRDefault="0095361D" w:rsidP="00A209D1">
            <w:pPr>
              <w:jc w:val="right"/>
              <w:rPr>
                <w:rFonts w:cs="Arial"/>
                <w:b/>
                <w:lang w:val="es-ES_tradnl"/>
              </w:rPr>
            </w:pPr>
          </w:p>
        </w:tc>
        <w:tc>
          <w:tcPr>
            <w:tcW w:w="1728" w:type="dxa"/>
          </w:tcPr>
          <w:p w14:paraId="0AB281F8" w14:textId="77777777" w:rsidR="0095361D" w:rsidRPr="0066555F" w:rsidRDefault="0095361D" w:rsidP="00A209D1">
            <w:pPr>
              <w:jc w:val="right"/>
              <w:rPr>
                <w:rFonts w:cs="Arial"/>
                <w:b/>
                <w:lang w:val="es-ES_tradnl"/>
              </w:rPr>
            </w:pPr>
          </w:p>
        </w:tc>
        <w:tc>
          <w:tcPr>
            <w:tcW w:w="1728" w:type="dxa"/>
          </w:tcPr>
          <w:p w14:paraId="7D30CECC" w14:textId="426009FA" w:rsidR="0095361D" w:rsidRPr="0066555F" w:rsidRDefault="0058672D" w:rsidP="00D325F2">
            <w:pPr>
              <w:ind w:right="289"/>
              <w:jc w:val="right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132</w:t>
            </w:r>
            <w:r w:rsidR="0066555F" w:rsidRPr="0066555F">
              <w:rPr>
                <w:rFonts w:cs="Arial"/>
                <w:b/>
                <w:lang w:val="es-ES_tradnl"/>
              </w:rPr>
              <w:t>.</w:t>
            </w:r>
            <w:r w:rsidRPr="0066555F">
              <w:rPr>
                <w:rFonts w:cs="Arial"/>
                <w:b/>
                <w:lang w:val="es-ES_tradnl"/>
              </w:rPr>
              <w:t>000</w:t>
            </w:r>
          </w:p>
        </w:tc>
        <w:tc>
          <w:tcPr>
            <w:tcW w:w="1908" w:type="dxa"/>
          </w:tcPr>
          <w:p w14:paraId="547A61CB" w14:textId="310592CC" w:rsidR="0095361D" w:rsidRPr="0066555F" w:rsidRDefault="00D60BE8" w:rsidP="00D325F2">
            <w:pPr>
              <w:ind w:right="206"/>
              <w:jc w:val="right"/>
              <w:rPr>
                <w:rFonts w:cs="Arial"/>
                <w:b/>
                <w:lang w:val="es-ES_tradnl"/>
              </w:rPr>
            </w:pPr>
            <w:r w:rsidRPr="0066555F">
              <w:rPr>
                <w:rFonts w:cs="Arial"/>
                <w:b/>
                <w:lang w:val="es-ES_tradnl"/>
              </w:rPr>
              <w:t>120</w:t>
            </w:r>
            <w:r w:rsidR="0066555F" w:rsidRPr="0066555F">
              <w:rPr>
                <w:rFonts w:cs="Arial"/>
                <w:b/>
                <w:lang w:val="es-ES_tradnl"/>
              </w:rPr>
              <w:t>.</w:t>
            </w:r>
            <w:r w:rsidR="0058672D" w:rsidRPr="0066555F">
              <w:rPr>
                <w:rFonts w:cs="Arial"/>
                <w:b/>
                <w:lang w:val="es-ES_tradnl"/>
              </w:rPr>
              <w:t>000</w:t>
            </w:r>
          </w:p>
        </w:tc>
      </w:tr>
    </w:tbl>
    <w:p w14:paraId="74CC2BC5" w14:textId="77777777" w:rsidR="00F97610" w:rsidRPr="0066555F" w:rsidRDefault="00F97610" w:rsidP="00E94F66">
      <w:pPr>
        <w:spacing w:after="0" w:line="240" w:lineRule="auto"/>
        <w:rPr>
          <w:rFonts w:cs="Arial"/>
          <w:b/>
          <w:lang w:val="es-ES_tradnl"/>
        </w:rPr>
      </w:pPr>
    </w:p>
    <w:p w14:paraId="57B817CE" w14:textId="754FD1A5" w:rsidR="00703AA3" w:rsidRPr="0066555F" w:rsidRDefault="004B1BBA" w:rsidP="00E94F66">
      <w:pPr>
        <w:spacing w:after="0" w:line="240" w:lineRule="auto"/>
        <w:ind w:left="425" w:hanging="425"/>
        <w:rPr>
          <w:rFonts w:cs="Arial"/>
          <w:lang w:val="es-ES_tradnl"/>
        </w:rPr>
      </w:pPr>
      <w:r w:rsidRPr="0066555F">
        <w:rPr>
          <w:rFonts w:cs="Arial"/>
          <w:lang w:val="es-ES_tradnl"/>
        </w:rPr>
        <w:t>13.</w:t>
      </w:r>
      <w:r w:rsidRPr="0066555F">
        <w:rPr>
          <w:rFonts w:cs="Arial"/>
          <w:lang w:val="es-ES_tradnl"/>
        </w:rPr>
        <w:tab/>
      </w:r>
      <w:r w:rsidR="00471F13" w:rsidRPr="0066555F">
        <w:rPr>
          <w:lang w:val="es-ES_tradnl"/>
        </w:rPr>
        <w:t>Se invita al Com</w:t>
      </w:r>
      <w:r w:rsidR="00150F3B" w:rsidRPr="0066555F">
        <w:rPr>
          <w:lang w:val="es-ES_tradnl"/>
        </w:rPr>
        <w:t>ité Permanente a decidir cómo asignar la cantidad disponible en la partida presupuestaria D</w:t>
      </w:r>
      <w:r w:rsidR="006937BE" w:rsidRPr="0066555F">
        <w:rPr>
          <w:lang w:val="es-ES_tradnl"/>
        </w:rPr>
        <w:t xml:space="preserve"> </w:t>
      </w:r>
      <w:r w:rsidR="00150F3B" w:rsidRPr="0066555F">
        <w:rPr>
          <w:lang w:val="es-ES_tradnl"/>
        </w:rPr>
        <w:t>del presupuesto básico de Ramsar</w:t>
      </w:r>
      <w:r w:rsidR="006937BE" w:rsidRPr="0066555F">
        <w:rPr>
          <w:lang w:val="es-ES_tradnl"/>
        </w:rPr>
        <w:t>,</w:t>
      </w:r>
      <w:r w:rsidR="00150F3B" w:rsidRPr="0066555F">
        <w:rPr>
          <w:lang w:val="es-ES_tradnl"/>
        </w:rPr>
        <w:t xml:space="preserve"> </w:t>
      </w:r>
      <w:r w:rsidR="00150F3B" w:rsidRPr="0066555F">
        <w:rPr>
          <w:i/>
          <w:lang w:val="es-ES_tradnl"/>
        </w:rPr>
        <w:t>Apoyo a las Iniciativas Regionales</w:t>
      </w:r>
      <w:r w:rsidR="006937BE" w:rsidRPr="0066555F">
        <w:rPr>
          <w:lang w:val="es-ES_tradnl"/>
        </w:rPr>
        <w:t xml:space="preserve"> (CHF 120.00</w:t>
      </w:r>
      <w:r w:rsidR="0066555F" w:rsidRPr="0066555F">
        <w:rPr>
          <w:lang w:val="es-ES_tradnl"/>
        </w:rPr>
        <w:t xml:space="preserve">0). En el Cuadro </w:t>
      </w:r>
      <w:r w:rsidR="00150F3B" w:rsidRPr="0066555F">
        <w:rPr>
          <w:lang w:val="es-ES_tradnl"/>
        </w:rPr>
        <w:t>2</w:t>
      </w:r>
      <w:r w:rsidR="0066555F" w:rsidRPr="0066555F">
        <w:rPr>
          <w:lang w:val="es-ES_tradnl"/>
        </w:rPr>
        <w:t xml:space="preserve"> anterior </w:t>
      </w:r>
      <w:r w:rsidR="00150F3B" w:rsidRPr="0066555F">
        <w:rPr>
          <w:lang w:val="es-ES_tradnl"/>
        </w:rPr>
        <w:t xml:space="preserve">se propone la asignación de 30.000 </w:t>
      </w:r>
      <w:r w:rsidR="0066555F" w:rsidRPr="0066555F">
        <w:rPr>
          <w:lang w:val="es-ES_tradnl"/>
        </w:rPr>
        <w:t>francos suizos</w:t>
      </w:r>
      <w:r w:rsidR="00150F3B" w:rsidRPr="0066555F">
        <w:rPr>
          <w:lang w:val="es-ES_tradnl"/>
        </w:rPr>
        <w:t xml:space="preserve"> a cad</w:t>
      </w:r>
      <w:r w:rsidR="006937BE" w:rsidRPr="0066555F">
        <w:rPr>
          <w:lang w:val="es-ES_tradnl"/>
        </w:rPr>
        <w:t>a</w:t>
      </w:r>
      <w:r w:rsidR="00150F3B" w:rsidRPr="0066555F">
        <w:rPr>
          <w:lang w:val="es-ES_tradnl"/>
        </w:rPr>
        <w:t xml:space="preserve"> una de las cuatro IRR candidatas para sus actividades en 2018.</w:t>
      </w:r>
    </w:p>
    <w:sectPr w:rsidR="00703AA3" w:rsidRPr="0066555F" w:rsidSect="002137E0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8AF58" w14:textId="77777777" w:rsidR="000766F7" w:rsidRDefault="000766F7" w:rsidP="00E94F66">
      <w:pPr>
        <w:spacing w:after="0" w:line="240" w:lineRule="auto"/>
      </w:pPr>
      <w:r>
        <w:separator/>
      </w:r>
    </w:p>
  </w:endnote>
  <w:endnote w:type="continuationSeparator" w:id="0">
    <w:p w14:paraId="5E9F8B56" w14:textId="77777777" w:rsidR="000766F7" w:rsidRDefault="000766F7" w:rsidP="00E94F66">
      <w:pPr>
        <w:spacing w:after="0" w:line="240" w:lineRule="auto"/>
      </w:pPr>
      <w:r>
        <w:continuationSeparator/>
      </w:r>
    </w:p>
  </w:endnote>
  <w:endnote w:type="continuationNotice" w:id="1">
    <w:p w14:paraId="0F3E0499" w14:textId="77777777" w:rsidR="000766F7" w:rsidRDefault="000766F7" w:rsidP="00665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F549F" w14:textId="194C2CD4" w:rsidR="000766F7" w:rsidRDefault="000766F7" w:rsidP="002137E0">
    <w:pPr>
      <w:pStyle w:val="Header"/>
      <w:rPr>
        <w:noProof/>
      </w:rPr>
    </w:pPr>
    <w:r w:rsidRPr="005C593B">
      <w:rPr>
        <w:sz w:val="20"/>
        <w:szCs w:val="20"/>
      </w:rPr>
      <w:t>SC5</w:t>
    </w:r>
    <w:r>
      <w:rPr>
        <w:sz w:val="20"/>
        <w:szCs w:val="20"/>
      </w:rPr>
      <w:t>4</w:t>
    </w:r>
    <w:r w:rsidRPr="005C593B">
      <w:rPr>
        <w:sz w:val="20"/>
        <w:szCs w:val="20"/>
      </w:rPr>
      <w:t>-</w:t>
    </w:r>
    <w:r>
      <w:rPr>
        <w:sz w:val="20"/>
        <w:szCs w:val="20"/>
      </w:rPr>
      <w:t>20.1</w:t>
    </w:r>
    <w:r w:rsidRPr="005C593B">
      <w:tab/>
    </w:r>
    <w:r w:rsidRPr="005C593B"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C593B">
          <w:rPr>
            <w:sz w:val="20"/>
            <w:szCs w:val="20"/>
          </w:rPr>
          <w:fldChar w:fldCharType="begin"/>
        </w:r>
        <w:r w:rsidRPr="005C593B">
          <w:rPr>
            <w:sz w:val="20"/>
            <w:szCs w:val="20"/>
          </w:rPr>
          <w:instrText xml:space="preserve"> PAGE   \* MERGEFORMAT </w:instrText>
        </w:r>
        <w:r w:rsidRPr="005C593B">
          <w:rPr>
            <w:sz w:val="20"/>
            <w:szCs w:val="20"/>
          </w:rPr>
          <w:fldChar w:fldCharType="separate"/>
        </w:r>
        <w:r w:rsidR="00F436CF">
          <w:rPr>
            <w:noProof/>
            <w:sz w:val="20"/>
            <w:szCs w:val="20"/>
          </w:rPr>
          <w:t>7</w:t>
        </w:r>
        <w:r w:rsidRPr="005C593B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6A1DB" w14:textId="77777777" w:rsidR="000766F7" w:rsidRDefault="000766F7" w:rsidP="0066555F">
      <w:pPr>
        <w:spacing w:after="0" w:line="240" w:lineRule="auto"/>
      </w:pPr>
      <w:r>
        <w:separator/>
      </w:r>
    </w:p>
  </w:footnote>
  <w:footnote w:type="continuationSeparator" w:id="0">
    <w:p w14:paraId="234A15AF" w14:textId="77777777" w:rsidR="000766F7" w:rsidRDefault="000766F7" w:rsidP="00E94F66">
      <w:pPr>
        <w:spacing w:after="0" w:line="240" w:lineRule="auto"/>
      </w:pPr>
      <w:r>
        <w:continuationSeparator/>
      </w:r>
    </w:p>
  </w:footnote>
  <w:footnote w:type="continuationNotice" w:id="1">
    <w:p w14:paraId="54E92DE8" w14:textId="77777777" w:rsidR="000766F7" w:rsidRDefault="000766F7" w:rsidP="00665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ADFB" w14:textId="77777777" w:rsidR="000766F7" w:rsidRDefault="000766F7">
    <w:pPr>
      <w:pStyle w:val="Header"/>
    </w:pPr>
  </w:p>
  <w:p w14:paraId="3C0A6527" w14:textId="77777777" w:rsidR="000766F7" w:rsidRDefault="000766F7" w:rsidP="00B22332">
    <w:pPr>
      <w:pStyle w:val="Header"/>
      <w:tabs>
        <w:tab w:val="clear" w:pos="4513"/>
        <w:tab w:val="clear" w:pos="9026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B3A"/>
    <w:multiLevelType w:val="hybridMultilevel"/>
    <w:tmpl w:val="04D230B6"/>
    <w:lvl w:ilvl="0" w:tplc="35903EA8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413F"/>
    <w:multiLevelType w:val="hybridMultilevel"/>
    <w:tmpl w:val="0C1AA18A"/>
    <w:lvl w:ilvl="0" w:tplc="FF70357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45C06"/>
    <w:multiLevelType w:val="hybridMultilevel"/>
    <w:tmpl w:val="20664BD4"/>
    <w:lvl w:ilvl="0" w:tplc="35903EA8">
      <w:numFmt w:val="bullet"/>
      <w:lvlText w:val="-"/>
      <w:lvlJc w:val="left"/>
      <w:pPr>
        <w:ind w:left="2652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E1C0A"/>
    <w:multiLevelType w:val="hybridMultilevel"/>
    <w:tmpl w:val="DB24A0D6"/>
    <w:lvl w:ilvl="0" w:tplc="35903EA8">
      <w:numFmt w:val="bullet"/>
      <w:lvlText w:val="-"/>
      <w:lvlJc w:val="left"/>
      <w:pPr>
        <w:ind w:left="2652" w:hanging="360"/>
      </w:pPr>
      <w:rPr>
        <w:rFonts w:ascii="Calibri" w:eastAsia="Calibr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23442A1D"/>
    <w:multiLevelType w:val="hybridMultilevel"/>
    <w:tmpl w:val="5A1431CC"/>
    <w:lvl w:ilvl="0" w:tplc="E2FEE23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A7FD1"/>
    <w:multiLevelType w:val="hybridMultilevel"/>
    <w:tmpl w:val="C2F2776C"/>
    <w:lvl w:ilvl="0" w:tplc="02189864">
      <w:numFmt w:val="bullet"/>
      <w:lvlText w:val="-"/>
      <w:lvlJc w:val="left"/>
      <w:pPr>
        <w:ind w:left="2785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17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064832"/>
    <w:multiLevelType w:val="hybridMultilevel"/>
    <w:tmpl w:val="E384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51BA7"/>
    <w:multiLevelType w:val="hybridMultilevel"/>
    <w:tmpl w:val="26C0E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>
    <w:nsid w:val="632C48E6"/>
    <w:multiLevelType w:val="hybridMultilevel"/>
    <w:tmpl w:val="24C4CEC6"/>
    <w:lvl w:ilvl="0" w:tplc="3C6668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6"/>
  </w:num>
  <w:num w:numId="13">
    <w:abstractNumId w:val="22"/>
  </w:num>
  <w:num w:numId="14">
    <w:abstractNumId w:val="15"/>
  </w:num>
  <w:num w:numId="15">
    <w:abstractNumId w:val="4"/>
  </w:num>
  <w:num w:numId="16">
    <w:abstractNumId w:val="18"/>
  </w:num>
  <w:num w:numId="17">
    <w:abstractNumId w:val="25"/>
  </w:num>
  <w:num w:numId="18">
    <w:abstractNumId w:val="34"/>
  </w:num>
  <w:num w:numId="19">
    <w:abstractNumId w:val="33"/>
  </w:num>
  <w:num w:numId="20">
    <w:abstractNumId w:val="27"/>
  </w:num>
  <w:num w:numId="21">
    <w:abstractNumId w:val="29"/>
  </w:num>
  <w:num w:numId="22">
    <w:abstractNumId w:val="19"/>
  </w:num>
  <w:num w:numId="23">
    <w:abstractNumId w:val="26"/>
  </w:num>
  <w:num w:numId="24">
    <w:abstractNumId w:val="24"/>
  </w:num>
  <w:num w:numId="25">
    <w:abstractNumId w:val="32"/>
  </w:num>
  <w:num w:numId="26">
    <w:abstractNumId w:val="10"/>
  </w:num>
  <w:num w:numId="27">
    <w:abstractNumId w:val="1"/>
  </w:num>
  <w:num w:numId="28">
    <w:abstractNumId w:val="14"/>
  </w:num>
  <w:num w:numId="29">
    <w:abstractNumId w:val="12"/>
  </w:num>
  <w:num w:numId="30">
    <w:abstractNumId w:val="2"/>
  </w:num>
  <w:num w:numId="31">
    <w:abstractNumId w:val="16"/>
  </w:num>
  <w:num w:numId="32">
    <w:abstractNumId w:val="30"/>
  </w:num>
  <w:num w:numId="33">
    <w:abstractNumId w:val="23"/>
  </w:num>
  <w:num w:numId="34">
    <w:abstractNumId w:val="20"/>
  </w:num>
  <w:num w:numId="35">
    <w:abstractNumId w:val="0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VERA Maria">
    <w15:presenceInfo w15:providerId="None" w15:userId="RIVERA 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297D"/>
    <w:rsid w:val="000103B0"/>
    <w:rsid w:val="00014168"/>
    <w:rsid w:val="00014ECA"/>
    <w:rsid w:val="00015F7A"/>
    <w:rsid w:val="00017A16"/>
    <w:rsid w:val="00026E09"/>
    <w:rsid w:val="00030EC8"/>
    <w:rsid w:val="00037CE0"/>
    <w:rsid w:val="00042ABD"/>
    <w:rsid w:val="00047FAD"/>
    <w:rsid w:val="00053929"/>
    <w:rsid w:val="00063252"/>
    <w:rsid w:val="00074DE8"/>
    <w:rsid w:val="000766F7"/>
    <w:rsid w:val="00083467"/>
    <w:rsid w:val="000A3E3E"/>
    <w:rsid w:val="000C2489"/>
    <w:rsid w:val="000C479E"/>
    <w:rsid w:val="000C691A"/>
    <w:rsid w:val="000D5C76"/>
    <w:rsid w:val="000E2FA0"/>
    <w:rsid w:val="000E47E9"/>
    <w:rsid w:val="000E54D6"/>
    <w:rsid w:val="000E66B8"/>
    <w:rsid w:val="001012A8"/>
    <w:rsid w:val="001112AE"/>
    <w:rsid w:val="001174C6"/>
    <w:rsid w:val="00117A73"/>
    <w:rsid w:val="0012096C"/>
    <w:rsid w:val="00124D88"/>
    <w:rsid w:val="00127828"/>
    <w:rsid w:val="00136F22"/>
    <w:rsid w:val="0014057D"/>
    <w:rsid w:val="00150F3B"/>
    <w:rsid w:val="001514F8"/>
    <w:rsid w:val="00156166"/>
    <w:rsid w:val="00161BDA"/>
    <w:rsid w:val="00171618"/>
    <w:rsid w:val="001819B1"/>
    <w:rsid w:val="00185A10"/>
    <w:rsid w:val="0019073D"/>
    <w:rsid w:val="001926EB"/>
    <w:rsid w:val="001A2D10"/>
    <w:rsid w:val="001C34B8"/>
    <w:rsid w:val="001C5E41"/>
    <w:rsid w:val="001C678C"/>
    <w:rsid w:val="001C77BC"/>
    <w:rsid w:val="001D48BB"/>
    <w:rsid w:val="001E00E3"/>
    <w:rsid w:val="001E750B"/>
    <w:rsid w:val="001F2349"/>
    <w:rsid w:val="001F3037"/>
    <w:rsid w:val="001F7113"/>
    <w:rsid w:val="002005D2"/>
    <w:rsid w:val="0020298B"/>
    <w:rsid w:val="00206111"/>
    <w:rsid w:val="00213267"/>
    <w:rsid w:val="002137E0"/>
    <w:rsid w:val="00231EEA"/>
    <w:rsid w:val="00232E3D"/>
    <w:rsid w:val="00242398"/>
    <w:rsid w:val="002629F2"/>
    <w:rsid w:val="002741AC"/>
    <w:rsid w:val="002819C0"/>
    <w:rsid w:val="002828C2"/>
    <w:rsid w:val="00292EDA"/>
    <w:rsid w:val="00295556"/>
    <w:rsid w:val="00295BB5"/>
    <w:rsid w:val="002A5A4D"/>
    <w:rsid w:val="002B4262"/>
    <w:rsid w:val="002D121D"/>
    <w:rsid w:val="002D4DD3"/>
    <w:rsid w:val="002D5A4D"/>
    <w:rsid w:val="002E13F9"/>
    <w:rsid w:val="002E22AF"/>
    <w:rsid w:val="002E3EA1"/>
    <w:rsid w:val="002E6569"/>
    <w:rsid w:val="0030364B"/>
    <w:rsid w:val="0031119A"/>
    <w:rsid w:val="00317C2C"/>
    <w:rsid w:val="00324398"/>
    <w:rsid w:val="00336B70"/>
    <w:rsid w:val="00353214"/>
    <w:rsid w:val="003540DA"/>
    <w:rsid w:val="00363F46"/>
    <w:rsid w:val="00367A5B"/>
    <w:rsid w:val="00384FC3"/>
    <w:rsid w:val="003859BF"/>
    <w:rsid w:val="0039142C"/>
    <w:rsid w:val="003A0183"/>
    <w:rsid w:val="003A08CC"/>
    <w:rsid w:val="003A3804"/>
    <w:rsid w:val="003A52BE"/>
    <w:rsid w:val="003A5866"/>
    <w:rsid w:val="003A6E9F"/>
    <w:rsid w:val="003D02E3"/>
    <w:rsid w:val="003D4CD6"/>
    <w:rsid w:val="003F7938"/>
    <w:rsid w:val="004133D3"/>
    <w:rsid w:val="004228C7"/>
    <w:rsid w:val="00422F33"/>
    <w:rsid w:val="004251B3"/>
    <w:rsid w:val="0042798B"/>
    <w:rsid w:val="004307CA"/>
    <w:rsid w:val="00434913"/>
    <w:rsid w:val="00435A34"/>
    <w:rsid w:val="004474F8"/>
    <w:rsid w:val="00455654"/>
    <w:rsid w:val="00457AD3"/>
    <w:rsid w:val="00466370"/>
    <w:rsid w:val="00471F13"/>
    <w:rsid w:val="00476122"/>
    <w:rsid w:val="00477550"/>
    <w:rsid w:val="004844A8"/>
    <w:rsid w:val="0048558C"/>
    <w:rsid w:val="00485E8E"/>
    <w:rsid w:val="00492E91"/>
    <w:rsid w:val="00496803"/>
    <w:rsid w:val="004B1BBA"/>
    <w:rsid w:val="004B6688"/>
    <w:rsid w:val="004D544E"/>
    <w:rsid w:val="004D68AA"/>
    <w:rsid w:val="004D795C"/>
    <w:rsid w:val="004F0F30"/>
    <w:rsid w:val="004F4AE7"/>
    <w:rsid w:val="004F7F85"/>
    <w:rsid w:val="00507EEC"/>
    <w:rsid w:val="0051032E"/>
    <w:rsid w:val="0052378A"/>
    <w:rsid w:val="005244A4"/>
    <w:rsid w:val="00527783"/>
    <w:rsid w:val="0054036A"/>
    <w:rsid w:val="00541FD9"/>
    <w:rsid w:val="005617DE"/>
    <w:rsid w:val="005631CF"/>
    <w:rsid w:val="00565891"/>
    <w:rsid w:val="00576DD5"/>
    <w:rsid w:val="005814B5"/>
    <w:rsid w:val="0058672D"/>
    <w:rsid w:val="00587F45"/>
    <w:rsid w:val="005933F2"/>
    <w:rsid w:val="005960DF"/>
    <w:rsid w:val="00596E17"/>
    <w:rsid w:val="005A280B"/>
    <w:rsid w:val="005B54B5"/>
    <w:rsid w:val="005C2F1A"/>
    <w:rsid w:val="005C593B"/>
    <w:rsid w:val="005D3E9D"/>
    <w:rsid w:val="005E4C23"/>
    <w:rsid w:val="006108DD"/>
    <w:rsid w:val="00611DAB"/>
    <w:rsid w:val="006256D3"/>
    <w:rsid w:val="00627BB7"/>
    <w:rsid w:val="006321DE"/>
    <w:rsid w:val="00644A13"/>
    <w:rsid w:val="0065136E"/>
    <w:rsid w:val="00652152"/>
    <w:rsid w:val="00652DA4"/>
    <w:rsid w:val="0065635D"/>
    <w:rsid w:val="00656D6D"/>
    <w:rsid w:val="006611A7"/>
    <w:rsid w:val="0066555F"/>
    <w:rsid w:val="00670D71"/>
    <w:rsid w:val="006730F6"/>
    <w:rsid w:val="006754B0"/>
    <w:rsid w:val="006758FD"/>
    <w:rsid w:val="006853D5"/>
    <w:rsid w:val="006868CE"/>
    <w:rsid w:val="00692FF7"/>
    <w:rsid w:val="006937BE"/>
    <w:rsid w:val="00696F36"/>
    <w:rsid w:val="006C2FE7"/>
    <w:rsid w:val="006E6A44"/>
    <w:rsid w:val="006E7DCE"/>
    <w:rsid w:val="006F1AD3"/>
    <w:rsid w:val="00703031"/>
    <w:rsid w:val="00703168"/>
    <w:rsid w:val="00703AA3"/>
    <w:rsid w:val="007050FF"/>
    <w:rsid w:val="007124BF"/>
    <w:rsid w:val="00723CDA"/>
    <w:rsid w:val="00727CD9"/>
    <w:rsid w:val="00730D45"/>
    <w:rsid w:val="0074216F"/>
    <w:rsid w:val="0074551C"/>
    <w:rsid w:val="007505C4"/>
    <w:rsid w:val="00752764"/>
    <w:rsid w:val="0076261D"/>
    <w:rsid w:val="00766962"/>
    <w:rsid w:val="00775287"/>
    <w:rsid w:val="0078233D"/>
    <w:rsid w:val="007920CE"/>
    <w:rsid w:val="0079234B"/>
    <w:rsid w:val="007A024E"/>
    <w:rsid w:val="007A14FD"/>
    <w:rsid w:val="007D33F4"/>
    <w:rsid w:val="007D3DA5"/>
    <w:rsid w:val="007D5938"/>
    <w:rsid w:val="007E203B"/>
    <w:rsid w:val="007E511A"/>
    <w:rsid w:val="007F3ABE"/>
    <w:rsid w:val="00810FB0"/>
    <w:rsid w:val="008211A4"/>
    <w:rsid w:val="00826387"/>
    <w:rsid w:val="008328E9"/>
    <w:rsid w:val="00835BCB"/>
    <w:rsid w:val="00835CDC"/>
    <w:rsid w:val="00841E52"/>
    <w:rsid w:val="00844571"/>
    <w:rsid w:val="008479D8"/>
    <w:rsid w:val="00850B09"/>
    <w:rsid w:val="0085250F"/>
    <w:rsid w:val="0086023C"/>
    <w:rsid w:val="0086241F"/>
    <w:rsid w:val="00863B9D"/>
    <w:rsid w:val="00863BE6"/>
    <w:rsid w:val="008674D4"/>
    <w:rsid w:val="00874D27"/>
    <w:rsid w:val="00877294"/>
    <w:rsid w:val="008775BC"/>
    <w:rsid w:val="00882F1B"/>
    <w:rsid w:val="00882FA4"/>
    <w:rsid w:val="00884478"/>
    <w:rsid w:val="0089479F"/>
    <w:rsid w:val="00897FA9"/>
    <w:rsid w:val="008A6056"/>
    <w:rsid w:val="008A70CE"/>
    <w:rsid w:val="008A715F"/>
    <w:rsid w:val="008B3F06"/>
    <w:rsid w:val="008B6E6D"/>
    <w:rsid w:val="008C25E4"/>
    <w:rsid w:val="008C2DAE"/>
    <w:rsid w:val="008C38FB"/>
    <w:rsid w:val="008D02B7"/>
    <w:rsid w:val="008D4061"/>
    <w:rsid w:val="008E36B4"/>
    <w:rsid w:val="008E51E3"/>
    <w:rsid w:val="008E5C42"/>
    <w:rsid w:val="008F7DFE"/>
    <w:rsid w:val="009013B3"/>
    <w:rsid w:val="00902C78"/>
    <w:rsid w:val="009059A9"/>
    <w:rsid w:val="009126E4"/>
    <w:rsid w:val="0092515E"/>
    <w:rsid w:val="00942FBD"/>
    <w:rsid w:val="00946E2A"/>
    <w:rsid w:val="0094770B"/>
    <w:rsid w:val="00950B36"/>
    <w:rsid w:val="0095361D"/>
    <w:rsid w:val="009604D9"/>
    <w:rsid w:val="009758FD"/>
    <w:rsid w:val="00980BF1"/>
    <w:rsid w:val="00987188"/>
    <w:rsid w:val="00994303"/>
    <w:rsid w:val="009A2292"/>
    <w:rsid w:val="009A73BB"/>
    <w:rsid w:val="009B2267"/>
    <w:rsid w:val="009B4A6D"/>
    <w:rsid w:val="009B4AB7"/>
    <w:rsid w:val="009C06F7"/>
    <w:rsid w:val="009D591A"/>
    <w:rsid w:val="009E0AE8"/>
    <w:rsid w:val="009E5374"/>
    <w:rsid w:val="009F345D"/>
    <w:rsid w:val="00A07776"/>
    <w:rsid w:val="00A13218"/>
    <w:rsid w:val="00A209D1"/>
    <w:rsid w:val="00A227A3"/>
    <w:rsid w:val="00A33D48"/>
    <w:rsid w:val="00A60B73"/>
    <w:rsid w:val="00A80080"/>
    <w:rsid w:val="00AA2C63"/>
    <w:rsid w:val="00AA451C"/>
    <w:rsid w:val="00AB4951"/>
    <w:rsid w:val="00AD217D"/>
    <w:rsid w:val="00B00FCC"/>
    <w:rsid w:val="00B01BFE"/>
    <w:rsid w:val="00B05CF5"/>
    <w:rsid w:val="00B05EA8"/>
    <w:rsid w:val="00B20150"/>
    <w:rsid w:val="00B22332"/>
    <w:rsid w:val="00B315A0"/>
    <w:rsid w:val="00B3359E"/>
    <w:rsid w:val="00B34A18"/>
    <w:rsid w:val="00B468CE"/>
    <w:rsid w:val="00B50E59"/>
    <w:rsid w:val="00B571D4"/>
    <w:rsid w:val="00B579CB"/>
    <w:rsid w:val="00B626CD"/>
    <w:rsid w:val="00B62EE8"/>
    <w:rsid w:val="00B70083"/>
    <w:rsid w:val="00B72621"/>
    <w:rsid w:val="00B803E9"/>
    <w:rsid w:val="00BA06F8"/>
    <w:rsid w:val="00BB28F6"/>
    <w:rsid w:val="00BB5CD8"/>
    <w:rsid w:val="00BC2609"/>
    <w:rsid w:val="00BC330F"/>
    <w:rsid w:val="00BD2055"/>
    <w:rsid w:val="00BF744D"/>
    <w:rsid w:val="00C00386"/>
    <w:rsid w:val="00C024BE"/>
    <w:rsid w:val="00C047C1"/>
    <w:rsid w:val="00C13145"/>
    <w:rsid w:val="00C20815"/>
    <w:rsid w:val="00C24BE7"/>
    <w:rsid w:val="00C25850"/>
    <w:rsid w:val="00C53959"/>
    <w:rsid w:val="00C746D8"/>
    <w:rsid w:val="00CA41B7"/>
    <w:rsid w:val="00CA5ACD"/>
    <w:rsid w:val="00CB53FD"/>
    <w:rsid w:val="00CB6E01"/>
    <w:rsid w:val="00CD207B"/>
    <w:rsid w:val="00CD57D3"/>
    <w:rsid w:val="00CD6DF1"/>
    <w:rsid w:val="00CE2774"/>
    <w:rsid w:val="00CE750F"/>
    <w:rsid w:val="00CF48C3"/>
    <w:rsid w:val="00CF5C97"/>
    <w:rsid w:val="00CF73CE"/>
    <w:rsid w:val="00CF78AF"/>
    <w:rsid w:val="00D15DAC"/>
    <w:rsid w:val="00D160CB"/>
    <w:rsid w:val="00D22BBB"/>
    <w:rsid w:val="00D245A1"/>
    <w:rsid w:val="00D30E22"/>
    <w:rsid w:val="00D325F2"/>
    <w:rsid w:val="00D4077B"/>
    <w:rsid w:val="00D415E2"/>
    <w:rsid w:val="00D42055"/>
    <w:rsid w:val="00D574E4"/>
    <w:rsid w:val="00D603C5"/>
    <w:rsid w:val="00D60BE8"/>
    <w:rsid w:val="00D647C3"/>
    <w:rsid w:val="00D7304A"/>
    <w:rsid w:val="00D8267E"/>
    <w:rsid w:val="00D9633A"/>
    <w:rsid w:val="00DD0188"/>
    <w:rsid w:val="00DD094E"/>
    <w:rsid w:val="00DD3D18"/>
    <w:rsid w:val="00DD61DA"/>
    <w:rsid w:val="00DD7C0B"/>
    <w:rsid w:val="00DF2386"/>
    <w:rsid w:val="00DF7FE7"/>
    <w:rsid w:val="00E04FF3"/>
    <w:rsid w:val="00E1597E"/>
    <w:rsid w:val="00E3072D"/>
    <w:rsid w:val="00E46367"/>
    <w:rsid w:val="00E61365"/>
    <w:rsid w:val="00E61DCE"/>
    <w:rsid w:val="00E624F7"/>
    <w:rsid w:val="00E63F0B"/>
    <w:rsid w:val="00E667C5"/>
    <w:rsid w:val="00E92D36"/>
    <w:rsid w:val="00E94F66"/>
    <w:rsid w:val="00EA3A7F"/>
    <w:rsid w:val="00EA566D"/>
    <w:rsid w:val="00EC4CD1"/>
    <w:rsid w:val="00ED4B56"/>
    <w:rsid w:val="00F0128A"/>
    <w:rsid w:val="00F0556A"/>
    <w:rsid w:val="00F078F1"/>
    <w:rsid w:val="00F07F33"/>
    <w:rsid w:val="00F12D91"/>
    <w:rsid w:val="00F14CC9"/>
    <w:rsid w:val="00F176C7"/>
    <w:rsid w:val="00F32D03"/>
    <w:rsid w:val="00F344DE"/>
    <w:rsid w:val="00F436CF"/>
    <w:rsid w:val="00F70BF6"/>
    <w:rsid w:val="00F73E71"/>
    <w:rsid w:val="00F76EB7"/>
    <w:rsid w:val="00F8099F"/>
    <w:rsid w:val="00F95C0E"/>
    <w:rsid w:val="00F97610"/>
    <w:rsid w:val="00FC0A07"/>
    <w:rsid w:val="00FD22EC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9AB6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4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4F6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94F6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9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E94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3D18"/>
    <w:rPr>
      <w:color w:val="800080" w:themeColor="followedHyperlink"/>
      <w:u w:val="single"/>
    </w:rPr>
  </w:style>
  <w:style w:type="paragraph" w:customStyle="1" w:styleId="Default">
    <w:name w:val="Default"/>
    <w:rsid w:val="00363F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4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4F6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94F6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9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E94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3D18"/>
    <w:rPr>
      <w:color w:val="800080" w:themeColor="followedHyperlink"/>
      <w:u w:val="single"/>
    </w:rPr>
  </w:style>
  <w:style w:type="paragraph" w:customStyle="1" w:styleId="Default">
    <w:name w:val="Default"/>
    <w:rsid w:val="00363F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ramsar.org/es/search?f%5b0%5d=field_tag_body_event%3A593&amp;f%5b1%5d=field_document_type%3A573&amp;f%5b2%5d=field_sort_date%3A2018&amp;search_api_views_full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amsar.org/es/actividad/iniciativas-regionales-de-rams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FE8E-13DB-48CF-B57A-BBACC1FA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12617</Characters>
  <Application>Microsoft Office Word</Application>
  <DocSecurity>4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2</cp:revision>
  <cp:lastPrinted>2018-01-18T12:46:00Z</cp:lastPrinted>
  <dcterms:created xsi:type="dcterms:W3CDTF">2018-03-05T10:00:00Z</dcterms:created>
  <dcterms:modified xsi:type="dcterms:W3CDTF">2018-03-05T10:00:00Z</dcterms:modified>
</cp:coreProperties>
</file>