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13" w:rsidRDefault="00275F13"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RAMSAR </w:t>
      </w:r>
      <w:r w:rsidR="00DF2386">
        <w:rPr>
          <w:bCs/>
          <w:sz w:val="24"/>
          <w:szCs w:val="24"/>
        </w:rPr>
        <w:t xml:space="preserve">CONVENTION </w:t>
      </w:r>
      <w:bookmarkStart w:id="0" w:name="_GoBack"/>
      <w:bookmarkEnd w:id="0"/>
      <w:r w:rsidR="00DF2386">
        <w:rPr>
          <w:bCs/>
          <w:sz w:val="24"/>
          <w:szCs w:val="24"/>
        </w:rPr>
        <w:t xml:space="preserve">ON WETLANDS </w:t>
      </w:r>
    </w:p>
    <w:p w:rsidR="00DF2386"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5</w:t>
      </w:r>
      <w:r w:rsidR="00275F13">
        <w:rPr>
          <w:bCs/>
          <w:sz w:val="24"/>
          <w:szCs w:val="24"/>
        </w:rPr>
        <w:t>4th</w:t>
      </w:r>
      <w:r>
        <w:rPr>
          <w:bCs/>
          <w:sz w:val="24"/>
          <w:szCs w:val="24"/>
        </w:rPr>
        <w:t xml:space="preserve"> Meeting of the Standing Committee</w:t>
      </w:r>
    </w:p>
    <w:p w:rsidR="00DF2386"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Gland, Switzerland, 2</w:t>
      </w:r>
      <w:r w:rsidR="00275F13">
        <w:rPr>
          <w:bCs/>
          <w:sz w:val="24"/>
          <w:szCs w:val="24"/>
        </w:rPr>
        <w:t xml:space="preserve">3 </w:t>
      </w:r>
      <w:r>
        <w:rPr>
          <w:bCs/>
          <w:sz w:val="24"/>
          <w:szCs w:val="24"/>
        </w:rPr>
        <w:t>– 2</w:t>
      </w:r>
      <w:r w:rsidR="00275F13">
        <w:rPr>
          <w:bCs/>
          <w:sz w:val="24"/>
          <w:szCs w:val="24"/>
        </w:rPr>
        <w:t>7</w:t>
      </w:r>
      <w:r>
        <w:rPr>
          <w:bCs/>
          <w:sz w:val="24"/>
          <w:szCs w:val="24"/>
        </w:rPr>
        <w:t xml:space="preserve"> </w:t>
      </w:r>
      <w:r w:rsidR="00275F13">
        <w:rPr>
          <w:bCs/>
          <w:sz w:val="24"/>
          <w:szCs w:val="24"/>
        </w:rPr>
        <w:t>April 2018</w:t>
      </w:r>
    </w:p>
    <w:p w:rsidR="00DF2386" w:rsidRDefault="00DF2386" w:rsidP="00014168">
      <w:pPr>
        <w:outlineLvl w:val="0"/>
        <w:rPr>
          <w:b/>
        </w:rPr>
      </w:pPr>
    </w:p>
    <w:p w:rsidR="00DF2386" w:rsidRPr="00D245A1" w:rsidRDefault="00B011A4" w:rsidP="00014168">
      <w:pPr>
        <w:jc w:val="right"/>
        <w:rPr>
          <w:rFonts w:cs="Arial"/>
          <w:sz w:val="28"/>
          <w:szCs w:val="28"/>
        </w:rPr>
      </w:pPr>
      <w:r>
        <w:rPr>
          <w:rFonts w:cs="Arial"/>
          <w:b/>
          <w:sz w:val="28"/>
          <w:szCs w:val="28"/>
        </w:rPr>
        <w:t xml:space="preserve">Doc. </w:t>
      </w:r>
      <w:r w:rsidR="00DF2386">
        <w:rPr>
          <w:rFonts w:cs="Arial"/>
          <w:b/>
          <w:sz w:val="28"/>
          <w:szCs w:val="28"/>
        </w:rPr>
        <w:t>SC5</w:t>
      </w:r>
      <w:r w:rsidR="00275F13">
        <w:rPr>
          <w:rFonts w:cs="Arial"/>
          <w:b/>
          <w:sz w:val="28"/>
          <w:szCs w:val="28"/>
        </w:rPr>
        <w:t>4</w:t>
      </w:r>
      <w:r w:rsidR="00DF2386">
        <w:rPr>
          <w:rFonts w:cs="Arial"/>
          <w:b/>
          <w:sz w:val="28"/>
          <w:szCs w:val="28"/>
        </w:rPr>
        <w:t>-</w:t>
      </w:r>
      <w:r>
        <w:rPr>
          <w:rFonts w:cs="Arial"/>
          <w:b/>
          <w:sz w:val="28"/>
          <w:szCs w:val="28"/>
        </w:rPr>
        <w:t>18.1</w:t>
      </w:r>
    </w:p>
    <w:p w:rsidR="00DF2386" w:rsidRDefault="00DF2386" w:rsidP="00014168">
      <w:pPr>
        <w:rPr>
          <w:rFonts w:cs="Arial"/>
          <w:b/>
          <w:sz w:val="28"/>
          <w:szCs w:val="28"/>
        </w:rPr>
      </w:pPr>
    </w:p>
    <w:p w:rsidR="005C60EE" w:rsidRDefault="005C60EE" w:rsidP="005C60EE">
      <w:pPr>
        <w:jc w:val="center"/>
        <w:rPr>
          <w:rFonts w:cs="Arial"/>
          <w:b/>
          <w:sz w:val="28"/>
          <w:szCs w:val="28"/>
        </w:rPr>
      </w:pPr>
      <w:r>
        <w:rPr>
          <w:rFonts w:cs="Arial"/>
          <w:b/>
          <w:sz w:val="28"/>
          <w:szCs w:val="28"/>
        </w:rPr>
        <w:t>Preparation of the 13th meeting of the Conference of the Parties</w:t>
      </w:r>
    </w:p>
    <w:p w:rsidR="00DF2386" w:rsidRDefault="005C60EE" w:rsidP="005C60EE">
      <w:pPr>
        <w:jc w:val="center"/>
        <w:rPr>
          <w:rFonts w:cs="Arial"/>
          <w:b/>
          <w:sz w:val="28"/>
          <w:szCs w:val="28"/>
        </w:rPr>
      </w:pPr>
      <w:r>
        <w:rPr>
          <w:rFonts w:cs="Arial"/>
          <w:b/>
          <w:sz w:val="28"/>
          <w:szCs w:val="28"/>
        </w:rPr>
        <w:t>Report of the Secretariat</w:t>
      </w:r>
    </w:p>
    <w:p w:rsidR="00DF2386" w:rsidRDefault="00DF2386" w:rsidP="00014168">
      <w:pPr>
        <w:rPr>
          <w:rFonts w:ascii="Garamond" w:hAnsi="Garamond" w:cs="Arial"/>
        </w:rPr>
      </w:pPr>
    </w:p>
    <w:p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393A181C" wp14:editId="04BBCDD5">
                <wp:extent cx="5731510" cy="790268"/>
                <wp:effectExtent l="0" t="0" r="21590" b="101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90268"/>
                        </a:xfrm>
                        <a:prstGeom prst="rect">
                          <a:avLst/>
                        </a:prstGeom>
                        <a:solidFill>
                          <a:srgbClr val="FFFFFF"/>
                        </a:solidFill>
                        <a:ln w="9525">
                          <a:solidFill>
                            <a:srgbClr val="000000"/>
                          </a:solidFill>
                          <a:miter lim="800000"/>
                          <a:headEnd/>
                          <a:tailEnd/>
                        </a:ln>
                      </wps:spPr>
                      <wps:txbx>
                        <w:txbxContent>
                          <w:p w:rsidR="000C2489" w:rsidRDefault="000C2489" w:rsidP="000C2489">
                            <w:pPr>
                              <w:rPr>
                                <w:b/>
                                <w:bCs/>
                              </w:rPr>
                            </w:pPr>
                            <w:r>
                              <w:rPr>
                                <w:b/>
                                <w:bCs/>
                              </w:rPr>
                              <w:t xml:space="preserve">Actions requested: </w:t>
                            </w:r>
                          </w:p>
                          <w:p w:rsidR="000C2489" w:rsidRDefault="000C2489" w:rsidP="000C2489">
                            <w:pPr>
                              <w:pStyle w:val="ColorfulList-Accent11"/>
                              <w:ind w:left="0"/>
                            </w:pPr>
                          </w:p>
                          <w:p w:rsidR="000C2489" w:rsidRDefault="002257E3" w:rsidP="002257E3">
                            <w:pPr>
                              <w:pStyle w:val="ColorfulList-Accent11"/>
                              <w:ind w:left="0" w:firstLine="0"/>
                            </w:pPr>
                            <w:r>
                              <w:t xml:space="preserve">The </w:t>
                            </w:r>
                            <w:r w:rsidR="000C2489">
                              <w:t xml:space="preserve">Standing Committee is </w:t>
                            </w:r>
                            <w:r w:rsidR="000C2489">
                              <w:rPr>
                                <w:rFonts w:cs="Calibri"/>
                              </w:rPr>
                              <w:t>invited to</w:t>
                            </w:r>
                            <w:r>
                              <w:rPr>
                                <w:rFonts w:cs="Calibri"/>
                              </w:rPr>
                              <w:t xml:space="preserve"> note this report.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">
                <v:textbox>
                  <w:txbxContent>
                    <w:p w:rsidR="000C2489" w:rsidRDefault="000C2489" w:rsidP="000C2489">
                      <w:pPr>
                        <w:rPr>
                          <w:b/>
                          <w:bCs/>
                        </w:rPr>
                      </w:pPr>
                      <w:r>
                        <w:rPr>
                          <w:b/>
                          <w:bCs/>
                        </w:rPr>
                        <w:t xml:space="preserve">Actions requested: </w:t>
                      </w:r>
                    </w:p>
                    <w:p w:rsidR="000C2489" w:rsidRDefault="000C2489" w:rsidP="000C2489">
                      <w:pPr>
                        <w:pStyle w:val="ColorfulList-Accent11"/>
                        <w:ind w:left="0"/>
                      </w:pPr>
                    </w:p>
                    <w:p w:rsidR="000C2489" w:rsidRDefault="002257E3" w:rsidP="002257E3">
                      <w:pPr>
                        <w:pStyle w:val="ColorfulList-Accent11"/>
                        <w:ind w:left="0" w:firstLine="0"/>
                      </w:pPr>
                      <w:r>
                        <w:t xml:space="preserve">The </w:t>
                      </w:r>
                      <w:r w:rsidR="000C2489">
                        <w:t xml:space="preserve">Standing Committee is </w:t>
                      </w:r>
                      <w:r w:rsidR="000C2489">
                        <w:rPr>
                          <w:rFonts w:cs="Calibri"/>
                        </w:rPr>
                        <w:t>invited to</w:t>
                      </w:r>
                      <w:r>
                        <w:rPr>
                          <w:rFonts w:cs="Calibri"/>
                        </w:rPr>
                        <w:t xml:space="preserve"> note this report.</w:t>
                      </w:r>
                    </w:p>
                  </w:txbxContent>
                </v:textbox>
                <w10:anchorlock/>
              </v:shape>
            </w:pict>
          </mc:Fallback>
        </mc:AlternateContent>
      </w:r>
    </w:p>
    <w:p w:rsidR="009E0AE8" w:rsidRDefault="009E0AE8" w:rsidP="00014168">
      <w:pPr>
        <w:rPr>
          <w:rFonts w:cs="Arial"/>
          <w:b/>
        </w:rPr>
      </w:pPr>
    </w:p>
    <w:p w:rsidR="009E0AE8" w:rsidRDefault="009E0AE8" w:rsidP="00014168">
      <w:pPr>
        <w:rPr>
          <w:rFonts w:cs="Arial"/>
          <w:b/>
        </w:rPr>
      </w:pPr>
    </w:p>
    <w:p w:rsidR="000C2489" w:rsidRPr="000C2489" w:rsidRDefault="001A1966" w:rsidP="00014168">
      <w:pPr>
        <w:rPr>
          <w:rFonts w:cs="Arial"/>
          <w:b/>
        </w:rPr>
      </w:pPr>
      <w:r>
        <w:rPr>
          <w:rFonts w:cs="Arial"/>
          <w:b/>
        </w:rPr>
        <w:t>Background</w:t>
      </w:r>
    </w:p>
    <w:p w:rsidR="000C2489" w:rsidRPr="000C2489" w:rsidRDefault="000C2489" w:rsidP="00014168">
      <w:pPr>
        <w:rPr>
          <w:rFonts w:ascii="Garamond" w:hAnsi="Garamond" w:cs="Arial"/>
        </w:rPr>
      </w:pPr>
    </w:p>
    <w:p w:rsidR="000B68D5" w:rsidRDefault="00275F13" w:rsidP="00275F13">
      <w:pPr>
        <w:rPr>
          <w:rFonts w:cs="Arial"/>
        </w:rPr>
      </w:pPr>
      <w:r>
        <w:rPr>
          <w:rFonts w:cs="Arial"/>
        </w:rPr>
        <w:t>1.</w:t>
      </w:r>
      <w:r>
        <w:rPr>
          <w:rFonts w:cs="Arial"/>
        </w:rPr>
        <w:tab/>
      </w:r>
      <w:r w:rsidR="000B68D5">
        <w:rPr>
          <w:rFonts w:cs="Arial"/>
        </w:rPr>
        <w:t>At its 12th meeting (Punta del Este, 2015), the Conference of the Contracting Parties accepted the generous offer of the United Arab Emira</w:t>
      </w:r>
      <w:r w:rsidR="00F8123A">
        <w:rPr>
          <w:rFonts w:cs="Arial"/>
        </w:rPr>
        <w:t>tes to host the 13th meeting (CO</w:t>
      </w:r>
      <w:r w:rsidR="000B68D5">
        <w:rPr>
          <w:rFonts w:cs="Arial"/>
        </w:rPr>
        <w:t>P13).</w:t>
      </w:r>
    </w:p>
    <w:p w:rsidR="000B68D5" w:rsidRDefault="000B68D5" w:rsidP="00275F13">
      <w:pPr>
        <w:rPr>
          <w:rFonts w:cs="Arial"/>
        </w:rPr>
      </w:pPr>
    </w:p>
    <w:p w:rsidR="000B68D5" w:rsidRDefault="000B68D5" w:rsidP="00275F13">
      <w:pPr>
        <w:rPr>
          <w:rFonts w:cs="Arial"/>
        </w:rPr>
      </w:pPr>
      <w:r>
        <w:rPr>
          <w:rFonts w:cs="Arial"/>
        </w:rPr>
        <w:t>2.</w:t>
      </w:r>
      <w:r>
        <w:rPr>
          <w:rFonts w:cs="Arial"/>
        </w:rPr>
        <w:tab/>
      </w:r>
      <w:r w:rsidR="00237754">
        <w:rPr>
          <w:rFonts w:cs="Arial"/>
        </w:rPr>
        <w:t>At its 51st meeting (Gland, 2015), thro</w:t>
      </w:r>
      <w:r w:rsidR="00764C28">
        <w:rPr>
          <w:rFonts w:cs="Arial"/>
        </w:rPr>
        <w:t>ugh the adoption of Decision SC</w:t>
      </w:r>
      <w:r w:rsidR="00237754">
        <w:rPr>
          <w:rFonts w:cs="Arial"/>
        </w:rPr>
        <w:t>51-16, the Standing Commit</w:t>
      </w:r>
      <w:r w:rsidR="00F8123A">
        <w:rPr>
          <w:rFonts w:cs="Arial"/>
        </w:rPr>
        <w:t>tee established a Subgroup on CO</w:t>
      </w:r>
      <w:r w:rsidR="00237754">
        <w:rPr>
          <w:rFonts w:cs="Arial"/>
        </w:rPr>
        <w:t>P13 with the following membership: Australia, Cambodia, Canada, Honduras, Romania, Tunisi</w:t>
      </w:r>
      <w:r w:rsidR="00C6255B">
        <w:rPr>
          <w:rFonts w:cs="Arial"/>
        </w:rPr>
        <w:t xml:space="preserve">a, United Arab Emirates (Chair) </w:t>
      </w:r>
      <w:r w:rsidR="00764C28">
        <w:rPr>
          <w:rFonts w:cs="Arial"/>
        </w:rPr>
        <w:t xml:space="preserve">and </w:t>
      </w:r>
      <w:r w:rsidR="00237754">
        <w:rPr>
          <w:rFonts w:cs="Arial"/>
        </w:rPr>
        <w:t xml:space="preserve">Uruguay. </w:t>
      </w:r>
    </w:p>
    <w:p w:rsidR="00237754" w:rsidRDefault="00237754" w:rsidP="00275F13">
      <w:pPr>
        <w:rPr>
          <w:rFonts w:cs="Arial"/>
        </w:rPr>
      </w:pPr>
    </w:p>
    <w:p w:rsidR="00237754" w:rsidRDefault="00237754" w:rsidP="00275F13">
      <w:pPr>
        <w:rPr>
          <w:rFonts w:cs="Arial"/>
        </w:rPr>
      </w:pPr>
      <w:r>
        <w:rPr>
          <w:rFonts w:cs="Arial"/>
        </w:rPr>
        <w:t>3.</w:t>
      </w:r>
      <w:r>
        <w:rPr>
          <w:rFonts w:cs="Arial"/>
        </w:rPr>
        <w:tab/>
      </w:r>
      <w:r w:rsidR="00BF270D">
        <w:rPr>
          <w:rFonts w:cs="Arial"/>
        </w:rPr>
        <w:t>At the 53rd meeting of the Standing Committee (Gland, 2016), following a discussion of the report of the Subgroup, the Committee adopted Decisions SC53-05 and SC53-16, as follows:</w:t>
      </w:r>
    </w:p>
    <w:p w:rsidR="00BF270D" w:rsidRDefault="00BF270D" w:rsidP="00275F13">
      <w:pPr>
        <w:rPr>
          <w:rFonts w:cs="Arial"/>
        </w:rPr>
      </w:pPr>
    </w:p>
    <w:p w:rsidR="00BF270D" w:rsidRPr="00BF270D" w:rsidRDefault="00BF270D" w:rsidP="00764C28">
      <w:pPr>
        <w:ind w:firstLine="0"/>
        <w:rPr>
          <w:rFonts w:asciiTheme="minorHAnsi" w:hAnsiTheme="minorHAnsi"/>
          <w:i/>
        </w:rPr>
      </w:pPr>
      <w:r w:rsidRPr="00BF270D">
        <w:rPr>
          <w:rFonts w:asciiTheme="minorHAnsi" w:hAnsiTheme="minorHAnsi"/>
          <w:i/>
        </w:rPr>
        <w:t>Decision SC53-05: The Standing Committee approved the main theme of COP13 as ‘Wetlands for a Sustainable Urban Future’, which would also serve as the theme for World Wetlands Day in 2018. The Standing Committee confirmed that the logo of COP13 would be finalised by the Host Country, taking into account comments made by the Sub-group on COP13. The Standing Committee approved the Provisiona</w:t>
      </w:r>
      <w:r w:rsidR="00764C28">
        <w:rPr>
          <w:rFonts w:asciiTheme="minorHAnsi" w:hAnsiTheme="minorHAnsi"/>
          <w:i/>
        </w:rPr>
        <w:t xml:space="preserve">l </w:t>
      </w:r>
      <w:r w:rsidRPr="00BF270D">
        <w:rPr>
          <w:rFonts w:asciiTheme="minorHAnsi" w:hAnsiTheme="minorHAnsi"/>
          <w:i/>
        </w:rPr>
        <w:t>Agenda for COP13 contained in document SC53-08, and the addition of the high-level segment and correction of the title of item XIV), and requested the Host Country, in consultation with interested Parties and the Secretariat, to further develop plans for the organisation of a high-level segment.</w:t>
      </w:r>
    </w:p>
    <w:p w:rsidR="00BF270D" w:rsidRPr="00BF270D" w:rsidRDefault="00BF270D" w:rsidP="00764C28">
      <w:pPr>
        <w:rPr>
          <w:rFonts w:asciiTheme="minorHAnsi" w:hAnsiTheme="minorHAnsi"/>
          <w:i/>
        </w:rPr>
      </w:pPr>
    </w:p>
    <w:p w:rsidR="00BF270D" w:rsidRDefault="00BF270D" w:rsidP="00764C28">
      <w:pPr>
        <w:ind w:firstLine="0"/>
        <w:rPr>
          <w:rFonts w:cs="Arial"/>
        </w:rPr>
      </w:pPr>
      <w:r w:rsidRPr="00BF270D">
        <w:rPr>
          <w:rFonts w:asciiTheme="minorHAnsi" w:hAnsiTheme="minorHAnsi"/>
          <w:i/>
        </w:rPr>
        <w:t>Decision SC53-16: The Standing Committee decided that COP13 would take place from 21 to 29 October 2018, and thanked the Host Country for its proposal to hold a high-level segment, noting the need to take into account the dates of the high-level segment of the Convention on Biological Diversity.</w:t>
      </w:r>
    </w:p>
    <w:p w:rsidR="000B68D5" w:rsidRDefault="000B68D5" w:rsidP="00275F13">
      <w:pPr>
        <w:rPr>
          <w:rFonts w:cs="Arial"/>
        </w:rPr>
      </w:pPr>
    </w:p>
    <w:p w:rsidR="00BF270D" w:rsidRPr="00BF270D" w:rsidRDefault="00BF270D" w:rsidP="00BF270D">
      <w:pPr>
        <w:keepNext/>
        <w:rPr>
          <w:rFonts w:cs="Arial"/>
          <w:b/>
        </w:rPr>
      </w:pPr>
      <w:r w:rsidRPr="00BF270D">
        <w:rPr>
          <w:rFonts w:cs="Arial"/>
          <w:b/>
        </w:rPr>
        <w:t>Progress with the preparations for COP13</w:t>
      </w:r>
    </w:p>
    <w:p w:rsidR="00BF270D" w:rsidRDefault="00BF270D" w:rsidP="00BF270D">
      <w:pPr>
        <w:keepNext/>
        <w:rPr>
          <w:rFonts w:cs="Arial"/>
        </w:rPr>
      </w:pPr>
    </w:p>
    <w:p w:rsidR="00BF270D" w:rsidRDefault="00BF270D" w:rsidP="00275F13">
      <w:pPr>
        <w:rPr>
          <w:rFonts w:cs="Arial"/>
        </w:rPr>
      </w:pPr>
      <w:r>
        <w:rPr>
          <w:rFonts w:cs="Arial"/>
        </w:rPr>
        <w:t>4.</w:t>
      </w:r>
      <w:r>
        <w:rPr>
          <w:rFonts w:cs="Arial"/>
        </w:rPr>
        <w:tab/>
        <w:t>Following SC53, the Host Country for COP13 and the Secretariat continued their discussions of the Memorandum of Understanding for the hosting of the meeting</w:t>
      </w:r>
      <w:r w:rsidR="00DC4CF7">
        <w:rPr>
          <w:rFonts w:cs="Arial"/>
        </w:rPr>
        <w:t xml:space="preserve"> in order to clarify all requirements and responsibilities. In January 2018, agreement was reached on the final text. At the time of writing, a plan had been agreed for the Secretariat to inspect the proposed venue for the meeting and the designated conference hotels,</w:t>
      </w:r>
      <w:r w:rsidR="00A61C26">
        <w:rPr>
          <w:rFonts w:cs="Arial"/>
        </w:rPr>
        <w:t xml:space="preserve"> in Festival City, Dubai,</w:t>
      </w:r>
      <w:r w:rsidR="00DC4CF7">
        <w:rPr>
          <w:rFonts w:cs="Arial"/>
        </w:rPr>
        <w:t xml:space="preserve"> and for a ceremony to sign the host country agreement on</w:t>
      </w:r>
      <w:r w:rsidR="00A61C26">
        <w:rPr>
          <w:rFonts w:cs="Arial"/>
        </w:rPr>
        <w:t xml:space="preserve"> 24 January 2018.</w:t>
      </w:r>
    </w:p>
    <w:p w:rsidR="00A61C26" w:rsidRDefault="00A61C26" w:rsidP="00275F13">
      <w:pPr>
        <w:rPr>
          <w:rFonts w:cs="Arial"/>
        </w:rPr>
      </w:pPr>
    </w:p>
    <w:p w:rsidR="00A61C26" w:rsidRDefault="00CB5030" w:rsidP="00275F13">
      <w:pPr>
        <w:rPr>
          <w:rFonts w:cs="Arial"/>
        </w:rPr>
      </w:pPr>
      <w:r>
        <w:rPr>
          <w:rFonts w:cs="Arial"/>
        </w:rPr>
        <w:t>5.</w:t>
      </w:r>
      <w:r>
        <w:rPr>
          <w:rFonts w:cs="Arial"/>
        </w:rPr>
        <w:tab/>
        <w:t xml:space="preserve">The United Arab Emirates redesigned the </w:t>
      </w:r>
      <w:r w:rsidR="00F8123A">
        <w:rPr>
          <w:rFonts w:cs="Arial"/>
        </w:rPr>
        <w:t>logo for CO</w:t>
      </w:r>
      <w:r>
        <w:rPr>
          <w:rFonts w:cs="Arial"/>
        </w:rPr>
        <w:t>P13</w:t>
      </w:r>
      <w:r w:rsidR="00764C28">
        <w:rPr>
          <w:rFonts w:cs="Arial"/>
        </w:rPr>
        <w:t>,</w:t>
      </w:r>
      <w:r>
        <w:rPr>
          <w:rFonts w:cs="Arial"/>
        </w:rPr>
        <w:t xml:space="preserve"> taking into account the comments it has received at SC53. This was agreed with the Secretariat and will be published on the Ramsar Convention website.</w:t>
      </w:r>
    </w:p>
    <w:p w:rsidR="00CB5030" w:rsidRDefault="00CB5030" w:rsidP="00275F13">
      <w:pPr>
        <w:rPr>
          <w:rFonts w:cs="Arial"/>
        </w:rPr>
      </w:pPr>
    </w:p>
    <w:p w:rsidR="00CB5030" w:rsidRDefault="000B7441" w:rsidP="00275F13">
      <w:pPr>
        <w:rPr>
          <w:rFonts w:cs="Arial"/>
        </w:rPr>
      </w:pPr>
      <w:r>
        <w:rPr>
          <w:rFonts w:cs="Arial"/>
        </w:rPr>
        <w:t>6.</w:t>
      </w:r>
      <w:r>
        <w:rPr>
          <w:rFonts w:cs="Arial"/>
        </w:rPr>
        <w:tab/>
        <w:t>On 18 October 201</w:t>
      </w:r>
      <w:r w:rsidR="00F8123A">
        <w:rPr>
          <w:rFonts w:cs="Arial"/>
        </w:rPr>
        <w:t>7, the provisional agenda for CO</w:t>
      </w:r>
      <w:r>
        <w:rPr>
          <w:rFonts w:cs="Arial"/>
        </w:rPr>
        <w:t>P13, as agreed by the Standing Committee, was distributed to Parties through the diplomatic channel. On 24 October, it was distributed to Ramsar Convention Administrative Authorities by email, through the Ramsar Exchange.</w:t>
      </w:r>
    </w:p>
    <w:p w:rsidR="005F753C" w:rsidRDefault="005F753C" w:rsidP="00275F13">
      <w:pPr>
        <w:rPr>
          <w:rFonts w:cs="Arial"/>
        </w:rPr>
      </w:pPr>
    </w:p>
    <w:p w:rsidR="005F753C" w:rsidRDefault="005F753C" w:rsidP="00275F13">
      <w:pPr>
        <w:rPr>
          <w:rFonts w:cs="Arial"/>
        </w:rPr>
      </w:pPr>
      <w:r>
        <w:rPr>
          <w:rFonts w:cs="Arial"/>
        </w:rPr>
        <w:t>7.</w:t>
      </w:r>
      <w:r>
        <w:rPr>
          <w:rFonts w:cs="Arial"/>
        </w:rPr>
        <w:tab/>
        <w:t>The Host Country and the Secretariat are in discussion regarding the organization of a possible high le</w:t>
      </w:r>
      <w:r w:rsidR="00F8123A">
        <w:rPr>
          <w:rFonts w:cs="Arial"/>
        </w:rPr>
        <w:t>vel event in association with CO</w:t>
      </w:r>
      <w:r>
        <w:rPr>
          <w:rFonts w:cs="Arial"/>
        </w:rPr>
        <w:t xml:space="preserve">P13. </w:t>
      </w:r>
      <w:r w:rsidR="00F8123A">
        <w:rPr>
          <w:rFonts w:cs="Arial"/>
        </w:rPr>
        <w:t>The Host Country will report on developments at SC54</w:t>
      </w:r>
      <w:r>
        <w:rPr>
          <w:rFonts w:cs="Arial"/>
        </w:rPr>
        <w:t>.</w:t>
      </w:r>
    </w:p>
    <w:p w:rsidR="002257E3" w:rsidRDefault="002257E3" w:rsidP="00275F13">
      <w:pPr>
        <w:rPr>
          <w:rFonts w:cs="Arial"/>
        </w:rPr>
      </w:pPr>
    </w:p>
    <w:p w:rsidR="00A61C26" w:rsidRDefault="002257E3" w:rsidP="00275F13">
      <w:pPr>
        <w:rPr>
          <w:rFonts w:cs="Arial"/>
        </w:rPr>
      </w:pPr>
      <w:r>
        <w:rPr>
          <w:rFonts w:cs="Arial"/>
        </w:rPr>
        <w:t>8.</w:t>
      </w:r>
      <w:r>
        <w:rPr>
          <w:rFonts w:cs="Arial"/>
        </w:rPr>
        <w:tab/>
        <w:t>In the meantime, the Secretariat has arranged for the holding of regional meetings in February and March, to prepare for COP13, particularly for preliminary discussion of draft resolutions that are to be considered at the present meeting of the Standing Committee.</w:t>
      </w:r>
    </w:p>
    <w:p w:rsidR="002257E3" w:rsidRDefault="002257E3" w:rsidP="00275F13">
      <w:pPr>
        <w:rPr>
          <w:rFonts w:cs="Arial"/>
        </w:rPr>
      </w:pPr>
    </w:p>
    <w:p w:rsidR="002257E3" w:rsidRDefault="002257E3" w:rsidP="00275F13">
      <w:pPr>
        <w:rPr>
          <w:rFonts w:cs="Arial"/>
        </w:rPr>
      </w:pPr>
      <w:r>
        <w:rPr>
          <w:rFonts w:cs="Arial"/>
        </w:rPr>
        <w:t>9.</w:t>
      </w:r>
      <w:r>
        <w:rPr>
          <w:rFonts w:cs="Arial"/>
        </w:rPr>
        <w:tab/>
        <w:t>At the present meeting, the Host Country will provide an oral update on its progress in the preparation of the meeting. The Secretariat will also be able to provide an update on developments following the publication of this document.</w:t>
      </w:r>
    </w:p>
    <w:p w:rsidR="00BF270D" w:rsidRDefault="00BF270D" w:rsidP="00275F13">
      <w:pPr>
        <w:rPr>
          <w:rFonts w:cs="Arial"/>
        </w:rPr>
      </w:pPr>
    </w:p>
    <w:p w:rsidR="000B68D5" w:rsidRDefault="000B68D5" w:rsidP="00275F13">
      <w:pPr>
        <w:rPr>
          <w:rFonts w:cs="Arial"/>
        </w:rPr>
      </w:pPr>
    </w:p>
    <w:p w:rsidR="00F344DE" w:rsidRPr="00DC4CF7" w:rsidRDefault="00F344DE" w:rsidP="00014168">
      <w:pPr>
        <w:rPr>
          <w:rFonts w:cs="Arial"/>
        </w:rPr>
      </w:pPr>
    </w:p>
    <w:sectPr w:rsidR="00F344DE" w:rsidRPr="00DC4CF7" w:rsidSect="002137E0">
      <w:headerReference w:type="default" r:id="rId9"/>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20" w:rsidRDefault="00890820" w:rsidP="00DF2386">
      <w:r>
        <w:separator/>
      </w:r>
    </w:p>
  </w:endnote>
  <w:endnote w:type="continuationSeparator" w:id="0">
    <w:p w:rsidR="00890820" w:rsidRDefault="00890820"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71" w:rsidRDefault="00764C28" w:rsidP="002137E0">
    <w:pPr>
      <w:pStyle w:val="Header"/>
      <w:rPr>
        <w:noProof/>
      </w:rPr>
    </w:pPr>
    <w:r>
      <w:rPr>
        <w:sz w:val="20"/>
        <w:szCs w:val="20"/>
      </w:rPr>
      <w:t>SC54-</w:t>
    </w:r>
    <w:r w:rsidR="00B011A4">
      <w:rPr>
        <w:sz w:val="20"/>
        <w:szCs w:val="20"/>
      </w:rPr>
      <w:t>18.1</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B011A4">
          <w:rPr>
            <w:noProof/>
            <w:sz w:val="20"/>
            <w:szCs w:val="20"/>
          </w:rPr>
          <w:t>2</w:t>
        </w:r>
        <w:r w:rsidR="00F73E71" w:rsidRPr="00F344DE">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20" w:rsidRDefault="00890820" w:rsidP="00DF2386">
      <w:r>
        <w:separator/>
      </w:r>
    </w:p>
  </w:footnote>
  <w:footnote w:type="continuationSeparator" w:id="0">
    <w:p w:rsidR="00890820" w:rsidRDefault="00890820" w:rsidP="00DF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71" w:rsidRDefault="00F73E71">
    <w:pPr>
      <w:pStyle w:val="Header"/>
    </w:pPr>
  </w:p>
  <w:p w:rsidR="00F73E71" w:rsidRDefault="00F7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1">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
  </w:num>
  <w:num w:numId="13">
    <w:abstractNumId w:val="16"/>
  </w:num>
  <w:num w:numId="14">
    <w:abstractNumId w:val="11"/>
  </w:num>
  <w:num w:numId="15">
    <w:abstractNumId w:val="2"/>
  </w:num>
  <w:num w:numId="16">
    <w:abstractNumId w:val="13"/>
  </w:num>
  <w:num w:numId="17">
    <w:abstractNumId w:val="18"/>
  </w:num>
  <w:num w:numId="18">
    <w:abstractNumId w:val="26"/>
  </w:num>
  <w:num w:numId="19">
    <w:abstractNumId w:val="25"/>
  </w:num>
  <w:num w:numId="20">
    <w:abstractNumId w:val="20"/>
  </w:num>
  <w:num w:numId="21">
    <w:abstractNumId w:val="22"/>
  </w:num>
  <w:num w:numId="22">
    <w:abstractNumId w:val="14"/>
  </w:num>
  <w:num w:numId="23">
    <w:abstractNumId w:val="19"/>
  </w:num>
  <w:num w:numId="24">
    <w:abstractNumId w:val="17"/>
  </w:num>
  <w:num w:numId="25">
    <w:abstractNumId w:val="24"/>
  </w:num>
  <w:num w:numId="26">
    <w:abstractNumId w:val="8"/>
  </w:num>
  <w:num w:numId="27">
    <w:abstractNumId w:val="0"/>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4168"/>
    <w:rsid w:val="00017A16"/>
    <w:rsid w:val="00026E09"/>
    <w:rsid w:val="00037CE0"/>
    <w:rsid w:val="00053929"/>
    <w:rsid w:val="00074DE8"/>
    <w:rsid w:val="000A3E3E"/>
    <w:rsid w:val="000B68D5"/>
    <w:rsid w:val="000B7441"/>
    <w:rsid w:val="000C2489"/>
    <w:rsid w:val="000D5C76"/>
    <w:rsid w:val="000E2FA0"/>
    <w:rsid w:val="000E47E9"/>
    <w:rsid w:val="0012096C"/>
    <w:rsid w:val="00127828"/>
    <w:rsid w:val="00161BDA"/>
    <w:rsid w:val="00171618"/>
    <w:rsid w:val="001819B1"/>
    <w:rsid w:val="001A1966"/>
    <w:rsid w:val="001A2D10"/>
    <w:rsid w:val="001C5E41"/>
    <w:rsid w:val="001C77BC"/>
    <w:rsid w:val="001D48BB"/>
    <w:rsid w:val="001E00E3"/>
    <w:rsid w:val="001F2349"/>
    <w:rsid w:val="002005D2"/>
    <w:rsid w:val="0020298B"/>
    <w:rsid w:val="00206111"/>
    <w:rsid w:val="002137E0"/>
    <w:rsid w:val="002257E3"/>
    <w:rsid w:val="00237754"/>
    <w:rsid w:val="002741AC"/>
    <w:rsid w:val="00275F13"/>
    <w:rsid w:val="002819C0"/>
    <w:rsid w:val="00295556"/>
    <w:rsid w:val="00295BB5"/>
    <w:rsid w:val="002A5A4D"/>
    <w:rsid w:val="002B4262"/>
    <w:rsid w:val="002D5A4D"/>
    <w:rsid w:val="002E22AF"/>
    <w:rsid w:val="00324398"/>
    <w:rsid w:val="00384FC3"/>
    <w:rsid w:val="003A3804"/>
    <w:rsid w:val="003A52BE"/>
    <w:rsid w:val="003A5866"/>
    <w:rsid w:val="003A6E9F"/>
    <w:rsid w:val="003D4CD6"/>
    <w:rsid w:val="004228C7"/>
    <w:rsid w:val="0042798B"/>
    <w:rsid w:val="00434913"/>
    <w:rsid w:val="004474F8"/>
    <w:rsid w:val="00475711"/>
    <w:rsid w:val="00477550"/>
    <w:rsid w:val="004844A8"/>
    <w:rsid w:val="00496803"/>
    <w:rsid w:val="004B6688"/>
    <w:rsid w:val="005244A4"/>
    <w:rsid w:val="00527783"/>
    <w:rsid w:val="005814B5"/>
    <w:rsid w:val="005C60EE"/>
    <w:rsid w:val="005D3E9D"/>
    <w:rsid w:val="005F753C"/>
    <w:rsid w:val="006256D3"/>
    <w:rsid w:val="00627BB7"/>
    <w:rsid w:val="00644A13"/>
    <w:rsid w:val="0065136E"/>
    <w:rsid w:val="00670D71"/>
    <w:rsid w:val="006E7DCE"/>
    <w:rsid w:val="007050FF"/>
    <w:rsid w:val="00712C16"/>
    <w:rsid w:val="00752764"/>
    <w:rsid w:val="00764C28"/>
    <w:rsid w:val="00766962"/>
    <w:rsid w:val="00775287"/>
    <w:rsid w:val="007A7514"/>
    <w:rsid w:val="007D33F4"/>
    <w:rsid w:val="007F3ABE"/>
    <w:rsid w:val="008328E9"/>
    <w:rsid w:val="00835BCB"/>
    <w:rsid w:val="00835CDC"/>
    <w:rsid w:val="00850B09"/>
    <w:rsid w:val="00863B9D"/>
    <w:rsid w:val="00863BE6"/>
    <w:rsid w:val="008775BC"/>
    <w:rsid w:val="00882F1B"/>
    <w:rsid w:val="00890820"/>
    <w:rsid w:val="008A70CE"/>
    <w:rsid w:val="008C25E4"/>
    <w:rsid w:val="008C2DAE"/>
    <w:rsid w:val="009059A9"/>
    <w:rsid w:val="0092515E"/>
    <w:rsid w:val="00942FBD"/>
    <w:rsid w:val="0094770B"/>
    <w:rsid w:val="009B2267"/>
    <w:rsid w:val="009E0AE8"/>
    <w:rsid w:val="009E5374"/>
    <w:rsid w:val="009F345D"/>
    <w:rsid w:val="00A13218"/>
    <w:rsid w:val="00A227A3"/>
    <w:rsid w:val="00A60B73"/>
    <w:rsid w:val="00A61C26"/>
    <w:rsid w:val="00A80080"/>
    <w:rsid w:val="00AB4951"/>
    <w:rsid w:val="00B011A4"/>
    <w:rsid w:val="00B315A0"/>
    <w:rsid w:val="00B34A18"/>
    <w:rsid w:val="00B446B6"/>
    <w:rsid w:val="00B468CE"/>
    <w:rsid w:val="00B579CB"/>
    <w:rsid w:val="00B626CD"/>
    <w:rsid w:val="00B70083"/>
    <w:rsid w:val="00BB28F6"/>
    <w:rsid w:val="00BC2609"/>
    <w:rsid w:val="00BF270D"/>
    <w:rsid w:val="00C13145"/>
    <w:rsid w:val="00C6255B"/>
    <w:rsid w:val="00CB5030"/>
    <w:rsid w:val="00CE750F"/>
    <w:rsid w:val="00D160CB"/>
    <w:rsid w:val="00D245A1"/>
    <w:rsid w:val="00D415E2"/>
    <w:rsid w:val="00D42055"/>
    <w:rsid w:val="00D647C3"/>
    <w:rsid w:val="00D9633A"/>
    <w:rsid w:val="00DC4CF7"/>
    <w:rsid w:val="00DF2386"/>
    <w:rsid w:val="00DF7FE7"/>
    <w:rsid w:val="00E46367"/>
    <w:rsid w:val="00E63F0B"/>
    <w:rsid w:val="00EA3A7F"/>
    <w:rsid w:val="00F078F1"/>
    <w:rsid w:val="00F32D03"/>
    <w:rsid w:val="00F344DE"/>
    <w:rsid w:val="00F73E71"/>
    <w:rsid w:val="00F812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A8E3-FFF5-405A-B5A6-0D565044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2</cp:revision>
  <cp:lastPrinted>2016-10-06T13:08:00Z</cp:lastPrinted>
  <dcterms:created xsi:type="dcterms:W3CDTF">2018-01-23T14:04:00Z</dcterms:created>
  <dcterms:modified xsi:type="dcterms:W3CDTF">2018-01-23T14:04:00Z</dcterms:modified>
</cp:coreProperties>
</file>