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B8612B" w:rsidRDefault="00B8612B"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Pr>
          <w:bCs/>
          <w:sz w:val="24"/>
          <w:szCs w:val="24"/>
          <w:lang w:val="fr-CA"/>
        </w:rPr>
        <w:t>CONVENTION DE RAMSAR SUR LES ZONES HUMIDES</w:t>
      </w:r>
    </w:p>
    <w:p w:rsidR="00DF2386" w:rsidRPr="00B8612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B8612B">
        <w:rPr>
          <w:bCs/>
          <w:sz w:val="24"/>
          <w:szCs w:val="24"/>
          <w:lang w:val="fr-CA"/>
        </w:rPr>
        <w:t>5</w:t>
      </w:r>
      <w:r w:rsidR="00275F13" w:rsidRPr="00B8612B">
        <w:rPr>
          <w:bCs/>
          <w:sz w:val="24"/>
          <w:szCs w:val="24"/>
          <w:lang w:val="fr-CA"/>
        </w:rPr>
        <w:t>4</w:t>
      </w:r>
      <w:r w:rsidR="00B8612B" w:rsidRPr="00B8612B">
        <w:rPr>
          <w:bCs/>
          <w:sz w:val="24"/>
          <w:szCs w:val="24"/>
          <w:vertAlign w:val="superscript"/>
          <w:lang w:val="fr-CA"/>
        </w:rPr>
        <w:t>e</w:t>
      </w:r>
      <w:r w:rsidRPr="00B8612B">
        <w:rPr>
          <w:bCs/>
          <w:sz w:val="24"/>
          <w:szCs w:val="24"/>
          <w:lang w:val="fr-CA"/>
        </w:rPr>
        <w:t xml:space="preserve"> </w:t>
      </w:r>
      <w:r w:rsidR="00B8612B">
        <w:rPr>
          <w:bCs/>
          <w:sz w:val="24"/>
          <w:szCs w:val="24"/>
          <w:lang w:val="fr-CA"/>
        </w:rPr>
        <w:t>Réunion du Comité permanent</w:t>
      </w:r>
    </w:p>
    <w:p w:rsidR="00DF2386" w:rsidRPr="00B8612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A"/>
        </w:rPr>
      </w:pPr>
      <w:r w:rsidRPr="00B8612B">
        <w:rPr>
          <w:bCs/>
          <w:sz w:val="24"/>
          <w:szCs w:val="24"/>
          <w:lang w:val="fr-CA"/>
        </w:rPr>
        <w:t xml:space="preserve">Gland, </w:t>
      </w:r>
      <w:r w:rsidR="00B8612B">
        <w:rPr>
          <w:bCs/>
          <w:sz w:val="24"/>
          <w:szCs w:val="24"/>
          <w:lang w:val="fr-CA"/>
        </w:rPr>
        <w:t>Suisse</w:t>
      </w:r>
      <w:r w:rsidRPr="00B8612B">
        <w:rPr>
          <w:bCs/>
          <w:sz w:val="24"/>
          <w:szCs w:val="24"/>
          <w:lang w:val="fr-CA"/>
        </w:rPr>
        <w:t>, 2</w:t>
      </w:r>
      <w:r w:rsidR="00275F13" w:rsidRPr="00B8612B">
        <w:rPr>
          <w:bCs/>
          <w:sz w:val="24"/>
          <w:szCs w:val="24"/>
          <w:lang w:val="fr-CA"/>
        </w:rPr>
        <w:t xml:space="preserve">3 </w:t>
      </w:r>
      <w:r w:rsidR="00B8612B">
        <w:rPr>
          <w:bCs/>
          <w:sz w:val="24"/>
          <w:szCs w:val="24"/>
          <w:lang w:val="fr-CA"/>
        </w:rPr>
        <w:t>au</w:t>
      </w:r>
      <w:r w:rsidRPr="00B8612B">
        <w:rPr>
          <w:bCs/>
          <w:sz w:val="24"/>
          <w:szCs w:val="24"/>
          <w:lang w:val="fr-CA"/>
        </w:rPr>
        <w:t xml:space="preserve"> 2</w:t>
      </w:r>
      <w:r w:rsidR="00275F13" w:rsidRPr="00B8612B">
        <w:rPr>
          <w:bCs/>
          <w:sz w:val="24"/>
          <w:szCs w:val="24"/>
          <w:lang w:val="fr-CA"/>
        </w:rPr>
        <w:t>7</w:t>
      </w:r>
      <w:r w:rsidRPr="00B8612B">
        <w:rPr>
          <w:bCs/>
          <w:sz w:val="24"/>
          <w:szCs w:val="24"/>
          <w:lang w:val="fr-CA"/>
        </w:rPr>
        <w:t xml:space="preserve"> </w:t>
      </w:r>
      <w:r w:rsidR="00B8612B">
        <w:rPr>
          <w:bCs/>
          <w:sz w:val="24"/>
          <w:szCs w:val="24"/>
          <w:lang w:val="fr-CA"/>
        </w:rPr>
        <w:t>avril</w:t>
      </w:r>
      <w:r w:rsidR="00275F13" w:rsidRPr="00B8612B">
        <w:rPr>
          <w:bCs/>
          <w:sz w:val="24"/>
          <w:szCs w:val="24"/>
          <w:lang w:val="fr-CA"/>
        </w:rPr>
        <w:t xml:space="preserve"> 2018</w:t>
      </w:r>
    </w:p>
    <w:p w:rsidR="00DF2386" w:rsidRPr="004F4C48" w:rsidRDefault="00DF2386" w:rsidP="00014168">
      <w:pPr>
        <w:outlineLvl w:val="0"/>
        <w:rPr>
          <w:b/>
          <w:lang w:val="fr-FR"/>
        </w:rPr>
      </w:pPr>
    </w:p>
    <w:p w:rsidR="00DF2386" w:rsidRPr="004F4C48" w:rsidRDefault="00C93E0A" w:rsidP="00B523B2">
      <w:pPr>
        <w:ind w:left="0" w:firstLine="0"/>
        <w:jc w:val="right"/>
        <w:rPr>
          <w:rFonts w:cs="Arial"/>
          <w:sz w:val="28"/>
          <w:szCs w:val="28"/>
          <w:lang w:val="fr-FR"/>
        </w:rPr>
      </w:pPr>
      <w:r w:rsidRPr="004F4C48">
        <w:rPr>
          <w:rFonts w:cs="Arial"/>
          <w:b/>
          <w:sz w:val="28"/>
          <w:szCs w:val="28"/>
          <w:lang w:val="fr-FR"/>
        </w:rPr>
        <w:t xml:space="preserve">Doc. </w:t>
      </w:r>
      <w:r w:rsidR="00DF2386" w:rsidRPr="004F4C48">
        <w:rPr>
          <w:rFonts w:cs="Arial"/>
          <w:b/>
          <w:sz w:val="28"/>
          <w:szCs w:val="28"/>
          <w:lang w:val="fr-FR"/>
        </w:rPr>
        <w:t>SC5</w:t>
      </w:r>
      <w:r w:rsidR="00275F13" w:rsidRPr="004F4C48">
        <w:rPr>
          <w:rFonts w:cs="Arial"/>
          <w:b/>
          <w:sz w:val="28"/>
          <w:szCs w:val="28"/>
          <w:lang w:val="fr-FR"/>
        </w:rPr>
        <w:t>4</w:t>
      </w:r>
      <w:r w:rsidR="00DF2386" w:rsidRPr="004F4C48">
        <w:rPr>
          <w:rFonts w:cs="Arial"/>
          <w:b/>
          <w:sz w:val="28"/>
          <w:szCs w:val="28"/>
          <w:lang w:val="fr-FR"/>
        </w:rPr>
        <w:t>-</w:t>
      </w:r>
      <w:r w:rsidRPr="004F4C48">
        <w:rPr>
          <w:rFonts w:cs="Arial"/>
          <w:b/>
          <w:sz w:val="28"/>
          <w:szCs w:val="28"/>
          <w:lang w:val="fr-FR"/>
        </w:rPr>
        <w:t>13</w:t>
      </w:r>
      <w:r w:rsidR="00F15F8C" w:rsidRPr="004F4C48">
        <w:rPr>
          <w:rFonts w:cs="Arial"/>
          <w:b/>
          <w:sz w:val="28"/>
          <w:szCs w:val="28"/>
          <w:lang w:val="fr-FR"/>
        </w:rPr>
        <w:t xml:space="preserve"> Rev.1</w:t>
      </w:r>
    </w:p>
    <w:p w:rsidR="00DF2386" w:rsidRPr="004F4C48" w:rsidRDefault="00DF2386" w:rsidP="00B523B2">
      <w:pPr>
        <w:ind w:left="0" w:firstLine="0"/>
        <w:rPr>
          <w:rFonts w:cs="Arial"/>
          <w:b/>
          <w:sz w:val="28"/>
          <w:szCs w:val="28"/>
          <w:lang w:val="fr-FR"/>
        </w:rPr>
      </w:pPr>
    </w:p>
    <w:p w:rsidR="00DF2386" w:rsidRPr="00B8612B" w:rsidRDefault="005D0AB8" w:rsidP="00B523B2">
      <w:pPr>
        <w:ind w:left="0" w:firstLine="0"/>
        <w:jc w:val="center"/>
        <w:rPr>
          <w:rFonts w:cs="Arial"/>
          <w:b/>
          <w:sz w:val="28"/>
          <w:szCs w:val="28"/>
          <w:lang w:val="fr-CA"/>
        </w:rPr>
      </w:pPr>
      <w:r w:rsidRPr="00B8612B">
        <w:rPr>
          <w:rFonts w:cs="Arial"/>
          <w:b/>
          <w:sz w:val="28"/>
          <w:szCs w:val="28"/>
          <w:lang w:val="fr-CA"/>
        </w:rPr>
        <w:t>Stratégie pour les langues</w:t>
      </w:r>
    </w:p>
    <w:p w:rsidR="00DF2386" w:rsidRPr="00B8612B" w:rsidRDefault="00DF2386" w:rsidP="00014168">
      <w:pPr>
        <w:rPr>
          <w:rFonts w:ascii="Garamond" w:hAnsi="Garamond" w:cs="Arial"/>
          <w:lang w:val="fr-CA"/>
        </w:rPr>
      </w:pPr>
    </w:p>
    <w:p w:rsidR="000C2489" w:rsidRPr="00B8612B" w:rsidRDefault="00C605EF" w:rsidP="00014168">
      <w:pPr>
        <w:autoSpaceDE w:val="0"/>
        <w:autoSpaceDN w:val="0"/>
        <w:adjustRightInd w:val="0"/>
        <w:rPr>
          <w:rFonts w:asciiTheme="minorHAnsi" w:eastAsiaTheme="minorHAnsi" w:hAnsiTheme="minorHAnsi" w:cs="Calibri-Bold"/>
          <w:b/>
          <w:bCs/>
          <w:lang w:val="fr-CA"/>
        </w:rPr>
      </w:pPr>
      <w:r w:rsidRPr="00B8612B">
        <w:rPr>
          <w:noProof/>
          <w:lang w:eastAsia="en-GB"/>
        </w:rPr>
        <mc:AlternateContent>
          <mc:Choice Requires="wps">
            <w:drawing>
              <wp:inline distT="0" distB="0" distL="0" distR="0" wp14:anchorId="453FC959" wp14:editId="3B1C2DFB">
                <wp:extent cx="5731510" cy="979170"/>
                <wp:effectExtent l="9525" t="6350" r="12065" b="50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79170"/>
                        </a:xfrm>
                        <a:prstGeom prst="rect">
                          <a:avLst/>
                        </a:prstGeom>
                        <a:solidFill>
                          <a:srgbClr val="FFFFFF"/>
                        </a:solidFill>
                        <a:ln w="9525">
                          <a:solidFill>
                            <a:srgbClr val="000000"/>
                          </a:solidFill>
                          <a:miter lim="800000"/>
                          <a:headEnd/>
                          <a:tailEnd/>
                        </a:ln>
                      </wps:spPr>
                      <wps:txbx>
                        <w:txbxContent>
                          <w:p w:rsidR="00CA1625" w:rsidRPr="00B8612B" w:rsidRDefault="00B8612B" w:rsidP="000C2489">
                            <w:pPr>
                              <w:rPr>
                                <w:b/>
                                <w:bCs/>
                                <w:lang w:val="fr-CA"/>
                              </w:rPr>
                            </w:pPr>
                            <w:r>
                              <w:rPr>
                                <w:b/>
                                <w:bCs/>
                                <w:lang w:val="fr-CA"/>
                              </w:rPr>
                              <w:t>Mesure</w:t>
                            </w:r>
                            <w:r w:rsidR="001D53C7">
                              <w:rPr>
                                <w:b/>
                                <w:bCs/>
                                <w:lang w:val="fr-CA"/>
                              </w:rPr>
                              <w:t>s</w:t>
                            </w:r>
                            <w:r>
                              <w:rPr>
                                <w:b/>
                                <w:bCs/>
                                <w:lang w:val="fr-CA"/>
                              </w:rPr>
                              <w:t xml:space="preserve"> requise</w:t>
                            </w:r>
                            <w:r w:rsidR="001D53C7">
                              <w:rPr>
                                <w:b/>
                                <w:bCs/>
                                <w:lang w:val="fr-CA"/>
                              </w:rPr>
                              <w:t>s</w:t>
                            </w:r>
                            <w:r>
                              <w:rPr>
                                <w:b/>
                                <w:bCs/>
                                <w:lang w:val="fr-CA"/>
                              </w:rPr>
                              <w:t> </w:t>
                            </w:r>
                            <w:r w:rsidR="00CA1625" w:rsidRPr="00B8612B">
                              <w:rPr>
                                <w:b/>
                                <w:bCs/>
                                <w:lang w:val="fr-CA"/>
                              </w:rPr>
                              <w:t xml:space="preserve">: </w:t>
                            </w:r>
                          </w:p>
                          <w:p w:rsidR="00CA1625" w:rsidRPr="00B8612B" w:rsidRDefault="00CA1625" w:rsidP="000C2489">
                            <w:pPr>
                              <w:pStyle w:val="ColorfulList-Accent11"/>
                              <w:ind w:left="0"/>
                              <w:rPr>
                                <w:lang w:val="fr-CA"/>
                              </w:rPr>
                            </w:pPr>
                          </w:p>
                          <w:p w:rsidR="00CA1625" w:rsidRPr="00B8612B" w:rsidRDefault="00B8612B" w:rsidP="00520BFC">
                            <w:pPr>
                              <w:pStyle w:val="ColorfulList-Accent11"/>
                              <w:ind w:left="0" w:firstLine="0"/>
                              <w:rPr>
                                <w:rFonts w:asciiTheme="minorHAnsi" w:hAnsiTheme="minorHAnsi"/>
                                <w:highlight w:val="yellow"/>
                                <w:lang w:val="fr-CA"/>
                              </w:rPr>
                            </w:pPr>
                            <w:r>
                              <w:rPr>
                                <w:lang w:val="fr-CA"/>
                              </w:rPr>
                              <w:t xml:space="preserve">Le Comité permanent est invité </w:t>
                            </w:r>
                            <w:r w:rsidR="001D53C7">
                              <w:rPr>
                                <w:lang w:val="fr-CA"/>
                              </w:rPr>
                              <w:t>à examiner le texte proposé pour inclusion dans un projet de résolution</w:t>
                            </w:r>
                            <w:r w:rsidR="00AB1B41">
                              <w:rPr>
                                <w:lang w:val="fr-CA"/>
                              </w:rPr>
                              <w:t xml:space="preserve">, </w:t>
                            </w:r>
                            <w:r w:rsidR="001D53C7">
                              <w:rPr>
                                <w:lang w:val="fr-CA"/>
                              </w:rPr>
                              <w:t>en annexe 1 du présent document</w:t>
                            </w:r>
                            <w:r w:rsidR="00AB1B41">
                              <w:rPr>
                                <w:lang w:val="fr-CA"/>
                              </w:rPr>
                              <w:t>,</w:t>
                            </w:r>
                            <w:r w:rsidR="001D53C7">
                              <w:rPr>
                                <w:lang w:val="fr-CA"/>
                              </w:rPr>
                              <w:t xml:space="preserve"> et à faire des recommandations sur sa présentation à la </w:t>
                            </w:r>
                            <w:r w:rsidR="00CA1625" w:rsidRPr="00B8612B">
                              <w:rPr>
                                <w:rFonts w:asciiTheme="minorHAnsi" w:hAnsiTheme="minorHAnsi" w:cs="Calibri"/>
                                <w:lang w:val="fr-CA"/>
                              </w:rPr>
                              <w:t>13</w:t>
                            </w:r>
                            <w:r w:rsidR="001D53C7" w:rsidRPr="001D53C7">
                              <w:rPr>
                                <w:rFonts w:asciiTheme="minorHAnsi" w:hAnsiTheme="minorHAnsi" w:cs="Calibri"/>
                                <w:vertAlign w:val="superscript"/>
                                <w:lang w:val="fr-CA"/>
                              </w:rPr>
                              <w:t>e</w:t>
                            </w:r>
                            <w:r w:rsidR="00CA1625" w:rsidRPr="00B8612B">
                              <w:rPr>
                                <w:rFonts w:asciiTheme="minorHAnsi" w:hAnsiTheme="minorHAnsi" w:cs="Calibri"/>
                                <w:lang w:val="fr-CA"/>
                              </w:rPr>
                              <w:t xml:space="preserve"> </w:t>
                            </w:r>
                            <w:r w:rsidR="001D53C7">
                              <w:rPr>
                                <w:rFonts w:asciiTheme="minorHAnsi" w:hAnsiTheme="minorHAnsi" w:cs="Calibri"/>
                                <w:lang w:val="fr-CA"/>
                              </w:rPr>
                              <w:t xml:space="preserve">Session de la Conférence des </w:t>
                            </w:r>
                            <w:r w:rsidR="00CA1625" w:rsidRPr="00B8612B">
                              <w:rPr>
                                <w:rFonts w:asciiTheme="minorHAnsi" w:hAnsiTheme="minorHAnsi" w:cs="Calibri"/>
                                <w:lang w:val="fr-CA"/>
                              </w:rPr>
                              <w:t>Parties.</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53FC959" id="_x0000_t202" coordsize="21600,21600" o:spt="202" path="m,l,21600r21600,l21600,xe">
                <v:stroke joinstyle="miter"/>
                <v:path gradientshapeok="t" o:connecttype="rect"/>
              </v:shapetype>
              <v:shape id="Text Box 1" o:spid="_x0000_s1026" type="#_x0000_t202" style="width:451.3pt;height: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">
                <v:textbox>
                  <w:txbxContent>
                    <w:p w:rsidR="00CA1625" w:rsidRPr="00B8612B" w:rsidRDefault="00B8612B" w:rsidP="000C2489">
                      <w:pPr>
                        <w:rPr>
                          <w:b/>
                          <w:bCs/>
                          <w:lang w:val="fr-CA"/>
                        </w:rPr>
                      </w:pPr>
                      <w:r>
                        <w:rPr>
                          <w:b/>
                          <w:bCs/>
                          <w:lang w:val="fr-CA"/>
                        </w:rPr>
                        <w:t>Mesure</w:t>
                      </w:r>
                      <w:r w:rsidR="001D53C7">
                        <w:rPr>
                          <w:b/>
                          <w:bCs/>
                          <w:lang w:val="fr-CA"/>
                        </w:rPr>
                        <w:t>s</w:t>
                      </w:r>
                      <w:r>
                        <w:rPr>
                          <w:b/>
                          <w:bCs/>
                          <w:lang w:val="fr-CA"/>
                        </w:rPr>
                        <w:t xml:space="preserve"> requise</w:t>
                      </w:r>
                      <w:r w:rsidR="001D53C7">
                        <w:rPr>
                          <w:b/>
                          <w:bCs/>
                          <w:lang w:val="fr-CA"/>
                        </w:rPr>
                        <w:t>s</w:t>
                      </w:r>
                      <w:r>
                        <w:rPr>
                          <w:b/>
                          <w:bCs/>
                          <w:lang w:val="fr-CA"/>
                        </w:rPr>
                        <w:t> </w:t>
                      </w:r>
                      <w:r w:rsidR="00CA1625" w:rsidRPr="00B8612B">
                        <w:rPr>
                          <w:b/>
                          <w:bCs/>
                          <w:lang w:val="fr-CA"/>
                        </w:rPr>
                        <w:t xml:space="preserve">: </w:t>
                      </w:r>
                    </w:p>
                    <w:p w:rsidR="00CA1625" w:rsidRPr="00B8612B" w:rsidRDefault="00CA1625" w:rsidP="000C2489">
                      <w:pPr>
                        <w:pStyle w:val="ColorfulList-Accent11"/>
                        <w:ind w:left="0"/>
                        <w:rPr>
                          <w:lang w:val="fr-CA"/>
                        </w:rPr>
                      </w:pPr>
                    </w:p>
                    <w:p w:rsidR="00CA1625" w:rsidRPr="00B8612B" w:rsidRDefault="00B8612B" w:rsidP="00520BFC">
                      <w:pPr>
                        <w:pStyle w:val="ColorfulList-Accent11"/>
                        <w:ind w:left="0" w:firstLine="0"/>
                        <w:rPr>
                          <w:rFonts w:asciiTheme="minorHAnsi" w:hAnsiTheme="minorHAnsi"/>
                          <w:highlight w:val="yellow"/>
                          <w:lang w:val="fr-CA"/>
                        </w:rPr>
                      </w:pPr>
                      <w:r>
                        <w:rPr>
                          <w:lang w:val="fr-CA"/>
                        </w:rPr>
                        <w:t xml:space="preserve">Le Comité permanent est invité </w:t>
                      </w:r>
                      <w:r w:rsidR="001D53C7">
                        <w:rPr>
                          <w:lang w:val="fr-CA"/>
                        </w:rPr>
                        <w:t>à examiner le texte proposé pour inclusion dans un projet de résolution</w:t>
                      </w:r>
                      <w:r w:rsidR="00AB1B41">
                        <w:rPr>
                          <w:lang w:val="fr-CA"/>
                        </w:rPr>
                        <w:t xml:space="preserve">, </w:t>
                      </w:r>
                      <w:r w:rsidR="001D53C7">
                        <w:rPr>
                          <w:lang w:val="fr-CA"/>
                        </w:rPr>
                        <w:t>en annexe 1 du présent document</w:t>
                      </w:r>
                      <w:r w:rsidR="00AB1B41">
                        <w:rPr>
                          <w:lang w:val="fr-CA"/>
                        </w:rPr>
                        <w:t>,</w:t>
                      </w:r>
                      <w:r w:rsidR="001D53C7">
                        <w:rPr>
                          <w:lang w:val="fr-CA"/>
                        </w:rPr>
                        <w:t xml:space="preserve"> et à faire des recommandations sur sa présentation à la </w:t>
                      </w:r>
                      <w:r w:rsidR="00CA1625" w:rsidRPr="00B8612B">
                        <w:rPr>
                          <w:rFonts w:asciiTheme="minorHAnsi" w:hAnsiTheme="minorHAnsi" w:cs="Calibri"/>
                          <w:lang w:val="fr-CA"/>
                        </w:rPr>
                        <w:t>13</w:t>
                      </w:r>
                      <w:r w:rsidR="001D53C7" w:rsidRPr="001D53C7">
                        <w:rPr>
                          <w:rFonts w:asciiTheme="minorHAnsi" w:hAnsiTheme="minorHAnsi" w:cs="Calibri"/>
                          <w:vertAlign w:val="superscript"/>
                          <w:lang w:val="fr-CA"/>
                        </w:rPr>
                        <w:t>e</w:t>
                      </w:r>
                      <w:r w:rsidR="00CA1625" w:rsidRPr="00B8612B">
                        <w:rPr>
                          <w:rFonts w:asciiTheme="minorHAnsi" w:hAnsiTheme="minorHAnsi" w:cs="Calibri"/>
                          <w:lang w:val="fr-CA"/>
                        </w:rPr>
                        <w:t xml:space="preserve"> </w:t>
                      </w:r>
                      <w:r w:rsidR="001D53C7">
                        <w:rPr>
                          <w:rFonts w:asciiTheme="minorHAnsi" w:hAnsiTheme="minorHAnsi" w:cs="Calibri"/>
                          <w:lang w:val="fr-CA"/>
                        </w:rPr>
                        <w:t xml:space="preserve">Session de la Conférence des </w:t>
                      </w:r>
                      <w:r w:rsidR="00CA1625" w:rsidRPr="00B8612B">
                        <w:rPr>
                          <w:rFonts w:asciiTheme="minorHAnsi" w:hAnsiTheme="minorHAnsi" w:cs="Calibri"/>
                          <w:lang w:val="fr-CA"/>
                        </w:rPr>
                        <w:t>Parties.</w:t>
                      </w:r>
                    </w:p>
                  </w:txbxContent>
                </v:textbox>
                <w10:anchorlock/>
              </v:shape>
            </w:pict>
          </mc:Fallback>
        </mc:AlternateContent>
      </w:r>
    </w:p>
    <w:p w:rsidR="009E0AE8" w:rsidRPr="00B8612B" w:rsidRDefault="009E0AE8" w:rsidP="00014168">
      <w:pPr>
        <w:rPr>
          <w:rFonts w:cs="Arial"/>
          <w:b/>
          <w:lang w:val="fr-CA"/>
        </w:rPr>
      </w:pPr>
    </w:p>
    <w:p w:rsidR="009E0AE8" w:rsidRPr="00B8612B" w:rsidRDefault="009E0AE8" w:rsidP="00014168">
      <w:pPr>
        <w:rPr>
          <w:rFonts w:cs="Arial"/>
          <w:b/>
          <w:lang w:val="fr-CA"/>
        </w:rPr>
      </w:pPr>
    </w:p>
    <w:p w:rsidR="000C2489" w:rsidRPr="00B8612B" w:rsidRDefault="009927C7" w:rsidP="00014168">
      <w:pPr>
        <w:rPr>
          <w:rFonts w:cs="Arial"/>
          <w:b/>
          <w:lang w:val="fr-CA"/>
        </w:rPr>
      </w:pPr>
      <w:r w:rsidRPr="00B8612B">
        <w:rPr>
          <w:rFonts w:cs="Arial"/>
          <w:b/>
          <w:lang w:val="fr-CA"/>
        </w:rPr>
        <w:t>Introduction</w:t>
      </w:r>
    </w:p>
    <w:p w:rsidR="000C2489" w:rsidRPr="00B8612B" w:rsidRDefault="000C2489" w:rsidP="00014168">
      <w:pPr>
        <w:rPr>
          <w:rFonts w:ascii="Garamond" w:hAnsi="Garamond" w:cs="Arial"/>
          <w:lang w:val="fr-CA"/>
        </w:rPr>
      </w:pPr>
    </w:p>
    <w:p w:rsidR="0005017F" w:rsidRPr="00B8612B" w:rsidRDefault="00E35230" w:rsidP="0005017F">
      <w:pPr>
        <w:pStyle w:val="NoSpacing"/>
        <w:rPr>
          <w:rFonts w:asciiTheme="minorHAnsi" w:eastAsiaTheme="minorHAnsi" w:hAnsiTheme="minorHAnsi" w:cs="Calibri-Bold"/>
          <w:bCs/>
          <w:lang w:val="fr-CA"/>
        </w:rPr>
      </w:pPr>
      <w:bookmarkStart w:id="0" w:name="OLE_LINK6"/>
      <w:r w:rsidRPr="00B8612B">
        <w:rPr>
          <w:lang w:val="fr-CA"/>
        </w:rPr>
        <w:t>1.</w:t>
      </w:r>
      <w:r w:rsidRPr="00B8612B">
        <w:rPr>
          <w:lang w:val="fr-CA"/>
        </w:rPr>
        <w:tab/>
      </w:r>
      <w:r w:rsidR="00EC092E" w:rsidRPr="00B8612B">
        <w:rPr>
          <w:lang w:val="fr-CA"/>
        </w:rPr>
        <w:t>À sa 1</w:t>
      </w:r>
      <w:r w:rsidR="009927C7" w:rsidRPr="00B8612B">
        <w:rPr>
          <w:lang w:val="fr-CA"/>
        </w:rPr>
        <w:t>2</w:t>
      </w:r>
      <w:r w:rsidR="00EC092E" w:rsidRPr="00B8612B">
        <w:rPr>
          <w:vertAlign w:val="superscript"/>
          <w:lang w:val="fr-CA"/>
        </w:rPr>
        <w:t>e</w:t>
      </w:r>
      <w:r w:rsidR="00EC092E" w:rsidRPr="00B8612B">
        <w:rPr>
          <w:lang w:val="fr-CA"/>
        </w:rPr>
        <w:t xml:space="preserve"> Session</w:t>
      </w:r>
      <w:r w:rsidR="009927C7" w:rsidRPr="00B8612B">
        <w:rPr>
          <w:lang w:val="fr-CA"/>
        </w:rPr>
        <w:t xml:space="preserve"> (Punta del Este, 2015), </w:t>
      </w:r>
      <w:r w:rsidR="00EC092E" w:rsidRPr="00B8612B">
        <w:rPr>
          <w:lang w:val="fr-CA"/>
        </w:rPr>
        <w:t>la</w:t>
      </w:r>
      <w:r w:rsidR="009927C7" w:rsidRPr="00B8612B">
        <w:rPr>
          <w:lang w:val="fr-CA"/>
        </w:rPr>
        <w:t xml:space="preserve"> </w:t>
      </w:r>
      <w:r w:rsidR="00EC092E" w:rsidRPr="00B8612B">
        <w:rPr>
          <w:lang w:val="fr-CA"/>
        </w:rPr>
        <w:t>Conférence</w:t>
      </w:r>
      <w:r w:rsidR="009927C7" w:rsidRPr="00B8612B">
        <w:rPr>
          <w:lang w:val="fr-CA"/>
        </w:rPr>
        <w:t xml:space="preserve"> </w:t>
      </w:r>
      <w:r w:rsidR="00EC092E" w:rsidRPr="00B8612B">
        <w:rPr>
          <w:lang w:val="fr-CA"/>
        </w:rPr>
        <w:t>des</w:t>
      </w:r>
      <w:r w:rsidR="009927C7" w:rsidRPr="00B8612B">
        <w:rPr>
          <w:lang w:val="fr-CA"/>
        </w:rPr>
        <w:t xml:space="preserve"> Parties </w:t>
      </w:r>
      <w:r w:rsidR="00EC092E" w:rsidRPr="00B8612B">
        <w:rPr>
          <w:lang w:val="fr-CA"/>
        </w:rPr>
        <w:t>à la</w:t>
      </w:r>
      <w:r w:rsidR="009927C7" w:rsidRPr="00B8612B">
        <w:rPr>
          <w:lang w:val="fr-CA"/>
        </w:rPr>
        <w:t xml:space="preserve"> Convention</w:t>
      </w:r>
      <w:r w:rsidR="009927C7" w:rsidRPr="00B8612B">
        <w:rPr>
          <w:rFonts w:cs="Calibri"/>
          <w:lang w:val="fr-CA"/>
        </w:rPr>
        <w:t xml:space="preserve"> </w:t>
      </w:r>
      <w:r w:rsidR="00EC092E" w:rsidRPr="00B8612B">
        <w:rPr>
          <w:rFonts w:cs="Calibri"/>
          <w:lang w:val="fr-CA"/>
        </w:rPr>
        <w:t>de Ramsar sur les zones humides a adopté la Ré</w:t>
      </w:r>
      <w:r w:rsidR="009927C7" w:rsidRPr="00B8612B">
        <w:rPr>
          <w:rFonts w:cs="Calibri"/>
          <w:lang w:val="fr-CA"/>
        </w:rPr>
        <w:t>solution XII.3</w:t>
      </w:r>
      <w:r w:rsidR="00EC092E" w:rsidRPr="00B8612B">
        <w:rPr>
          <w:rFonts w:cs="Calibri"/>
          <w:lang w:val="fr-CA"/>
        </w:rPr>
        <w:t xml:space="preserve"> qui comprend une</w:t>
      </w:r>
      <w:r w:rsidR="0005017F" w:rsidRPr="00B8612B">
        <w:rPr>
          <w:rFonts w:cs="Calibri"/>
          <w:lang w:val="fr-CA"/>
        </w:rPr>
        <w:t xml:space="preserve"> section </w:t>
      </w:r>
      <w:r w:rsidR="006D2816" w:rsidRPr="00B8612B">
        <w:rPr>
          <w:rFonts w:cs="Calibri"/>
          <w:lang w:val="fr-CA"/>
        </w:rPr>
        <w:t>sur</w:t>
      </w:r>
      <w:r w:rsidR="0005017F" w:rsidRPr="00B8612B">
        <w:rPr>
          <w:rFonts w:cs="Calibri"/>
          <w:lang w:val="fr-CA"/>
        </w:rPr>
        <w:t xml:space="preserve"> </w:t>
      </w:r>
      <w:r w:rsidR="006D2816" w:rsidRPr="00B8612B">
        <w:rPr>
          <w:rFonts w:asciiTheme="minorHAnsi" w:eastAsiaTheme="minorHAnsi" w:hAnsiTheme="minorHAnsi" w:cs="Calibri-Bold"/>
          <w:bCs/>
          <w:lang w:val="fr-CA"/>
        </w:rPr>
        <w:t>l’utilisation des langues de l’ONU</w:t>
      </w:r>
      <w:r w:rsidR="0005017F" w:rsidRPr="00B8612B">
        <w:rPr>
          <w:rFonts w:asciiTheme="minorHAnsi" w:eastAsiaTheme="minorHAnsi" w:hAnsiTheme="minorHAnsi" w:cs="Calibri-Bold"/>
          <w:bCs/>
          <w:lang w:val="fr-CA"/>
        </w:rPr>
        <w:t xml:space="preserve">, </w:t>
      </w:r>
      <w:r w:rsidR="006D2816" w:rsidRPr="00B8612B">
        <w:rPr>
          <w:rFonts w:asciiTheme="minorHAnsi" w:eastAsiaTheme="minorHAnsi" w:hAnsiTheme="minorHAnsi" w:cs="Calibri-Bold"/>
          <w:bCs/>
          <w:lang w:val="fr-CA"/>
        </w:rPr>
        <w:t>comme suit</w:t>
      </w:r>
      <w:r w:rsidR="00B8612B">
        <w:rPr>
          <w:rFonts w:asciiTheme="minorHAnsi" w:eastAsiaTheme="minorHAnsi" w:hAnsiTheme="minorHAnsi" w:cs="Calibri-Bold"/>
          <w:bCs/>
          <w:lang w:val="fr-CA"/>
        </w:rPr>
        <w:t> </w:t>
      </w:r>
      <w:r w:rsidR="0005017F" w:rsidRPr="00B8612B">
        <w:rPr>
          <w:rFonts w:asciiTheme="minorHAnsi" w:hAnsiTheme="minorHAnsi"/>
          <w:lang w:val="fr-CA"/>
        </w:rPr>
        <w:t>:</w:t>
      </w:r>
    </w:p>
    <w:p w:rsidR="0005017F" w:rsidRPr="00B8612B" w:rsidRDefault="0005017F" w:rsidP="0005017F">
      <w:pPr>
        <w:pStyle w:val="ListParagraph"/>
        <w:suppressAutoHyphens/>
        <w:ind w:left="0"/>
        <w:rPr>
          <w:rFonts w:asciiTheme="minorHAnsi" w:hAnsiTheme="minorHAnsi"/>
          <w:lang w:val="fr-CA"/>
        </w:rPr>
      </w:pPr>
    </w:p>
    <w:p w:rsidR="006D2816" w:rsidRPr="00B8612B" w:rsidRDefault="006D2816" w:rsidP="006D2816">
      <w:pPr>
        <w:autoSpaceDE w:val="0"/>
        <w:autoSpaceDN w:val="0"/>
        <w:adjustRightInd w:val="0"/>
        <w:ind w:left="900" w:hanging="475"/>
        <w:rPr>
          <w:rFonts w:asciiTheme="minorHAnsi" w:hAnsiTheme="minorHAnsi" w:cstheme="minorHAnsi"/>
          <w:bCs/>
          <w:i/>
          <w:lang w:val="fr-CA"/>
        </w:rPr>
      </w:pPr>
      <w:r w:rsidRPr="00B8612B">
        <w:rPr>
          <w:rFonts w:asciiTheme="minorHAnsi" w:hAnsiTheme="minorHAnsi" w:cstheme="minorHAnsi"/>
          <w:bCs/>
          <w:i/>
          <w:lang w:val="fr-CA"/>
        </w:rPr>
        <w:t>26.</w:t>
      </w:r>
      <w:r w:rsidRPr="00B8612B">
        <w:rPr>
          <w:rFonts w:asciiTheme="minorHAnsi" w:hAnsiTheme="minorHAnsi" w:cstheme="minorHAnsi"/>
          <w:bCs/>
          <w:i/>
          <w:lang w:val="fr-CA"/>
        </w:rPr>
        <w:tab/>
        <w:t>DEMANDE au</w:t>
      </w:r>
      <w:r w:rsidR="00370279">
        <w:rPr>
          <w:rFonts w:asciiTheme="minorHAnsi" w:hAnsiTheme="minorHAnsi" w:cstheme="minorHAnsi"/>
          <w:bCs/>
          <w:i/>
          <w:lang w:val="fr-CA"/>
        </w:rPr>
        <w:t xml:space="preserve"> </w:t>
      </w:r>
      <w:r w:rsidRPr="00B8612B">
        <w:rPr>
          <w:rFonts w:asciiTheme="minorHAnsi" w:hAnsiTheme="minorHAnsi" w:cstheme="minorHAnsi"/>
          <w:bCs/>
          <w:i/>
          <w:lang w:val="fr-CA"/>
        </w:rPr>
        <w:t>Secrétariat, sous réserve des ressources disponibles, pour examen à la 51</w:t>
      </w:r>
      <w:r w:rsidRPr="00B8612B">
        <w:rPr>
          <w:rFonts w:asciiTheme="minorHAnsi" w:hAnsiTheme="minorHAnsi" w:cstheme="minorHAnsi"/>
          <w:bCs/>
          <w:i/>
          <w:vertAlign w:val="superscript"/>
          <w:lang w:val="fr-CA"/>
        </w:rPr>
        <w:t>e</w:t>
      </w:r>
      <w:r w:rsidR="00B8612B">
        <w:rPr>
          <w:rFonts w:asciiTheme="minorHAnsi" w:hAnsiTheme="minorHAnsi" w:cstheme="minorHAnsi"/>
          <w:bCs/>
          <w:i/>
          <w:lang w:val="fr-CA"/>
        </w:rPr>
        <w:t> </w:t>
      </w:r>
      <w:r w:rsidRPr="00B8612B">
        <w:rPr>
          <w:rFonts w:asciiTheme="minorHAnsi" w:hAnsiTheme="minorHAnsi" w:cstheme="minorHAnsi"/>
          <w:bCs/>
          <w:i/>
          <w:lang w:val="fr-CA"/>
        </w:rPr>
        <w:t>Réunion du Comité permanent, et DEMANDE au Comité permanent de surveiller les progrès et de donner des conseils si nécessaire,</w:t>
      </w:r>
      <w:r w:rsidR="00370279">
        <w:rPr>
          <w:rFonts w:asciiTheme="minorHAnsi" w:hAnsiTheme="minorHAnsi" w:cstheme="minorHAnsi"/>
          <w:bCs/>
          <w:i/>
          <w:lang w:val="fr-CA"/>
        </w:rPr>
        <w:t xml:space="preserve"> </w:t>
      </w:r>
      <w:r w:rsidRPr="00B8612B">
        <w:rPr>
          <w:rFonts w:asciiTheme="minorHAnsi" w:hAnsiTheme="minorHAnsi" w:cstheme="minorHAnsi"/>
          <w:bCs/>
          <w:i/>
          <w:lang w:val="fr-CA"/>
        </w:rPr>
        <w:t xml:space="preserve">de rédiger une stratégie décrivant l’éventuelle intégration pas à pas de l’arabe ou d’autres langues des Nations Unies dans les travaux de la Convention qui :  </w:t>
      </w:r>
    </w:p>
    <w:p w:rsidR="006D2816" w:rsidRPr="00B8612B" w:rsidRDefault="006D2816" w:rsidP="006D2816">
      <w:pPr>
        <w:autoSpaceDE w:val="0"/>
        <w:autoSpaceDN w:val="0"/>
        <w:adjustRightInd w:val="0"/>
        <w:ind w:left="1170" w:hanging="270"/>
        <w:rPr>
          <w:rFonts w:asciiTheme="minorHAnsi" w:hAnsiTheme="minorHAnsi" w:cstheme="minorHAnsi"/>
          <w:bCs/>
          <w:i/>
          <w:lang w:val="fr-CA"/>
        </w:rPr>
      </w:pPr>
      <w:r w:rsidRPr="00B8612B">
        <w:rPr>
          <w:rFonts w:asciiTheme="minorHAnsi" w:hAnsiTheme="minorHAnsi" w:cstheme="minorHAnsi"/>
          <w:bCs/>
          <w:i/>
          <w:lang w:val="fr-CA"/>
        </w:rPr>
        <w:t>a)</w:t>
      </w:r>
      <w:r w:rsidR="00DB63C7" w:rsidRPr="00DB63C7">
        <w:rPr>
          <w:rFonts w:asciiTheme="minorHAnsi" w:hAnsiTheme="minorHAnsi" w:cstheme="minorHAnsi"/>
          <w:bCs/>
          <w:i/>
          <w:lang w:val="fr-CA"/>
        </w:rPr>
        <w:t xml:space="preserve"> </w:t>
      </w:r>
      <w:r w:rsidR="00DB63C7" w:rsidRPr="00B8612B">
        <w:rPr>
          <w:rFonts w:asciiTheme="minorHAnsi" w:hAnsiTheme="minorHAnsi" w:cstheme="minorHAnsi"/>
          <w:bCs/>
          <w:i/>
          <w:lang w:val="fr-CA"/>
        </w:rPr>
        <w:tab/>
      </w:r>
      <w:r w:rsidRPr="00B8612B">
        <w:rPr>
          <w:rFonts w:asciiTheme="minorHAnsi" w:hAnsiTheme="minorHAnsi" w:cstheme="minorHAnsi"/>
          <w:bCs/>
          <w:i/>
          <w:lang w:val="fr-CA"/>
        </w:rPr>
        <w:t xml:space="preserve">classe les besoins linguistiques de la Convention pour les travaux à court, moyen et long terme de la Convention; </w:t>
      </w:r>
    </w:p>
    <w:p w:rsidR="006D2816" w:rsidRPr="00B8612B" w:rsidRDefault="006D2816" w:rsidP="006D2816">
      <w:pPr>
        <w:autoSpaceDE w:val="0"/>
        <w:autoSpaceDN w:val="0"/>
        <w:adjustRightInd w:val="0"/>
        <w:ind w:left="1170" w:hanging="270"/>
        <w:rPr>
          <w:rFonts w:asciiTheme="minorHAnsi" w:hAnsiTheme="minorHAnsi" w:cstheme="minorHAnsi"/>
          <w:bCs/>
          <w:i/>
          <w:lang w:val="fr-CA"/>
        </w:rPr>
      </w:pPr>
      <w:r w:rsidRPr="00B8612B">
        <w:rPr>
          <w:rFonts w:asciiTheme="minorHAnsi" w:hAnsiTheme="minorHAnsi" w:cstheme="minorHAnsi"/>
          <w:bCs/>
          <w:i/>
          <w:lang w:val="fr-CA"/>
        </w:rPr>
        <w:t>b)</w:t>
      </w:r>
      <w:r w:rsidR="00DB63C7" w:rsidRPr="00DB63C7">
        <w:rPr>
          <w:rFonts w:asciiTheme="minorHAnsi" w:hAnsiTheme="minorHAnsi" w:cstheme="minorHAnsi"/>
          <w:bCs/>
          <w:i/>
          <w:lang w:val="fr-CA"/>
        </w:rPr>
        <w:t xml:space="preserve"> </w:t>
      </w:r>
      <w:r w:rsidR="00DB63C7" w:rsidRPr="00B8612B">
        <w:rPr>
          <w:rFonts w:asciiTheme="minorHAnsi" w:hAnsiTheme="minorHAnsi" w:cstheme="minorHAnsi"/>
          <w:bCs/>
          <w:i/>
          <w:lang w:val="fr-CA"/>
        </w:rPr>
        <w:tab/>
      </w:r>
      <w:r w:rsidRPr="00B8612B">
        <w:rPr>
          <w:rFonts w:asciiTheme="minorHAnsi" w:hAnsiTheme="minorHAnsi" w:cstheme="minorHAnsi"/>
          <w:bCs/>
          <w:i/>
          <w:lang w:val="fr-CA"/>
        </w:rPr>
        <w:t>détermine les obstacles à la traduction, publication et interprétation effectives des trois langues officielles de la Convention, ainsi que les mesures nécessaires pour les surmonter, y compris l’identification des besoins et des sources de ressources additionnelles pour inclure des langues supplémentaires;</w:t>
      </w:r>
    </w:p>
    <w:p w:rsidR="006D2816" w:rsidRPr="00B8612B" w:rsidRDefault="006D2816" w:rsidP="006D2816">
      <w:pPr>
        <w:autoSpaceDE w:val="0"/>
        <w:autoSpaceDN w:val="0"/>
        <w:adjustRightInd w:val="0"/>
        <w:ind w:left="1170" w:hanging="270"/>
        <w:rPr>
          <w:rFonts w:asciiTheme="minorHAnsi" w:hAnsiTheme="minorHAnsi" w:cstheme="minorHAnsi"/>
          <w:bCs/>
          <w:i/>
          <w:lang w:val="fr-CA"/>
        </w:rPr>
      </w:pPr>
      <w:r w:rsidRPr="00B8612B">
        <w:rPr>
          <w:rFonts w:asciiTheme="minorHAnsi" w:hAnsiTheme="minorHAnsi" w:cstheme="minorHAnsi"/>
          <w:bCs/>
          <w:i/>
          <w:lang w:val="fr-CA"/>
        </w:rPr>
        <w:t>c)</w:t>
      </w:r>
      <w:r w:rsidR="00DB63C7" w:rsidRPr="00DB63C7">
        <w:rPr>
          <w:rFonts w:asciiTheme="minorHAnsi" w:hAnsiTheme="minorHAnsi" w:cstheme="minorHAnsi"/>
          <w:bCs/>
          <w:i/>
          <w:lang w:val="fr-CA"/>
        </w:rPr>
        <w:t xml:space="preserve"> </w:t>
      </w:r>
      <w:r w:rsidR="00DB63C7" w:rsidRPr="00B8612B">
        <w:rPr>
          <w:rFonts w:asciiTheme="minorHAnsi" w:hAnsiTheme="minorHAnsi" w:cstheme="minorHAnsi"/>
          <w:bCs/>
          <w:i/>
          <w:lang w:val="fr-CA"/>
        </w:rPr>
        <w:tab/>
      </w:r>
      <w:r w:rsidR="00DB63C7">
        <w:rPr>
          <w:rFonts w:asciiTheme="minorHAnsi" w:hAnsiTheme="minorHAnsi" w:cstheme="minorHAnsi"/>
          <w:bCs/>
          <w:i/>
          <w:lang w:val="fr-CA"/>
        </w:rPr>
        <w:t>p</w:t>
      </w:r>
      <w:r w:rsidRPr="00B8612B">
        <w:rPr>
          <w:rFonts w:asciiTheme="minorHAnsi" w:hAnsiTheme="minorHAnsi" w:cstheme="minorHAnsi"/>
          <w:bCs/>
          <w:i/>
          <w:lang w:val="fr-CA"/>
        </w:rPr>
        <w:t>ropose les moyens d’associer les Parties contractantes pertinentes à la recherche d’une intégration pas à pas et d’un financement de la traduction lors des réunions, des documents des réunions et, s’il y a lieu, d’importants documents d’information Ramsar dans des langues additionnelles;</w:t>
      </w:r>
    </w:p>
    <w:p w:rsidR="006D2816" w:rsidRPr="00B8612B" w:rsidRDefault="006D2816" w:rsidP="006D2816">
      <w:pPr>
        <w:autoSpaceDE w:val="0"/>
        <w:autoSpaceDN w:val="0"/>
        <w:adjustRightInd w:val="0"/>
        <w:ind w:left="1170" w:hanging="270"/>
        <w:rPr>
          <w:rFonts w:asciiTheme="minorHAnsi" w:hAnsiTheme="minorHAnsi" w:cstheme="minorHAnsi"/>
          <w:bCs/>
          <w:i/>
          <w:lang w:val="fr-CA"/>
        </w:rPr>
      </w:pPr>
      <w:r w:rsidRPr="00B8612B">
        <w:rPr>
          <w:rFonts w:asciiTheme="minorHAnsi" w:hAnsiTheme="minorHAnsi" w:cstheme="minorHAnsi"/>
          <w:bCs/>
          <w:i/>
          <w:lang w:val="fr-CA"/>
        </w:rPr>
        <w:t>d)</w:t>
      </w:r>
      <w:r w:rsidR="00DB63C7" w:rsidRPr="00DB63C7">
        <w:rPr>
          <w:rFonts w:asciiTheme="minorHAnsi" w:hAnsiTheme="minorHAnsi" w:cstheme="minorHAnsi"/>
          <w:bCs/>
          <w:i/>
          <w:lang w:val="fr-CA"/>
        </w:rPr>
        <w:t xml:space="preserve"> </w:t>
      </w:r>
      <w:r w:rsidR="00DB63C7" w:rsidRPr="00B8612B">
        <w:rPr>
          <w:rFonts w:asciiTheme="minorHAnsi" w:hAnsiTheme="minorHAnsi" w:cstheme="minorHAnsi"/>
          <w:bCs/>
          <w:i/>
          <w:lang w:val="fr-CA"/>
        </w:rPr>
        <w:tab/>
      </w:r>
      <w:r w:rsidRPr="00B8612B">
        <w:rPr>
          <w:rFonts w:asciiTheme="minorHAnsi" w:hAnsiTheme="minorHAnsi" w:cstheme="minorHAnsi"/>
          <w:bCs/>
          <w:i/>
          <w:lang w:val="fr-CA"/>
        </w:rPr>
        <w:t>propose un calendrier potentiel pour l’intégration pas à pas des changements de procédure, indicateurs clés et étapes pour l’ajout de n’importe quelle langue de l’ONU;</w:t>
      </w:r>
    </w:p>
    <w:p w:rsidR="006D2816" w:rsidRPr="00B8612B" w:rsidRDefault="006D2816" w:rsidP="006D2816">
      <w:pPr>
        <w:autoSpaceDE w:val="0"/>
        <w:autoSpaceDN w:val="0"/>
        <w:adjustRightInd w:val="0"/>
        <w:ind w:left="1170" w:hanging="270"/>
        <w:rPr>
          <w:rFonts w:asciiTheme="minorHAnsi" w:hAnsiTheme="minorHAnsi" w:cstheme="minorHAnsi"/>
          <w:bCs/>
          <w:i/>
          <w:lang w:val="fr-CA"/>
        </w:rPr>
      </w:pPr>
      <w:r w:rsidRPr="00B8612B">
        <w:rPr>
          <w:rFonts w:asciiTheme="minorHAnsi" w:hAnsiTheme="minorHAnsi" w:cstheme="minorHAnsi"/>
          <w:bCs/>
          <w:i/>
          <w:lang w:val="fr-CA"/>
        </w:rPr>
        <w:t>e)</w:t>
      </w:r>
      <w:r w:rsidRPr="00B8612B">
        <w:rPr>
          <w:rFonts w:asciiTheme="minorHAnsi" w:hAnsiTheme="minorHAnsi" w:cstheme="minorHAnsi"/>
          <w:bCs/>
          <w:i/>
          <w:lang w:val="fr-CA"/>
        </w:rPr>
        <w:tab/>
        <w:t>prépare le projet de texte d’une résolution relative à l’utilisation de l’arabe par la Convention, décrivant en détail les conséquences financières, notamment les conséquences pour le budget administratif, d’une plus grande intégration, pas à pas, des langues actuelles de la Convention conformément à l’échelle des ressources existantes et des options de processus pas à pas pour l’introduction de l’arabe dans les travaux de la Convention, sous réserve des ressources disponibles.</w:t>
      </w:r>
    </w:p>
    <w:p w:rsidR="0005017F" w:rsidRPr="00B8612B" w:rsidRDefault="0005017F" w:rsidP="0005017F">
      <w:pPr>
        <w:pStyle w:val="ListParagraph"/>
        <w:suppressAutoHyphens/>
        <w:rPr>
          <w:rFonts w:asciiTheme="minorHAnsi" w:hAnsiTheme="minorHAnsi"/>
          <w:i/>
          <w:lang w:val="fr-CA"/>
        </w:rPr>
      </w:pPr>
    </w:p>
    <w:p w:rsidR="006D2816" w:rsidRPr="00B8612B" w:rsidRDefault="0005017F" w:rsidP="006D2816">
      <w:pPr>
        <w:pStyle w:val="NoSpacing"/>
        <w:ind w:left="900" w:hanging="450"/>
        <w:rPr>
          <w:rFonts w:asciiTheme="minorHAnsi" w:hAnsiTheme="minorHAnsi" w:cstheme="minorHAnsi"/>
          <w:bCs/>
          <w:i/>
          <w:lang w:val="fr-CA"/>
        </w:rPr>
      </w:pPr>
      <w:r w:rsidRPr="00B8612B">
        <w:rPr>
          <w:rFonts w:asciiTheme="minorHAnsi" w:hAnsiTheme="minorHAnsi" w:cstheme="minorHAnsi"/>
          <w:bCs/>
          <w:i/>
          <w:lang w:val="fr-CA"/>
        </w:rPr>
        <w:t>27.</w:t>
      </w:r>
      <w:r w:rsidRPr="00B8612B">
        <w:rPr>
          <w:rFonts w:asciiTheme="minorHAnsi" w:hAnsiTheme="minorHAnsi" w:cstheme="minorHAnsi"/>
          <w:bCs/>
          <w:i/>
          <w:lang w:val="fr-CA"/>
        </w:rPr>
        <w:tab/>
      </w:r>
      <w:r w:rsidR="006D2816" w:rsidRPr="00B8612B">
        <w:rPr>
          <w:rFonts w:asciiTheme="minorHAnsi" w:hAnsiTheme="minorHAnsi" w:cstheme="minorHAnsi"/>
          <w:bCs/>
          <w:i/>
          <w:lang w:val="fr-CA"/>
        </w:rPr>
        <w:t>RECONNAÎT qu’une approche pas à pas serait nécessaire pour intégrer n’importe quelle nouvelle langue dans la Convention en tant que langue «</w:t>
      </w:r>
      <w:r w:rsidR="00DB63C7">
        <w:rPr>
          <w:rFonts w:asciiTheme="minorHAnsi" w:hAnsiTheme="minorHAnsi" w:cstheme="minorHAnsi"/>
          <w:bCs/>
          <w:i/>
          <w:lang w:val="fr-CA"/>
        </w:rPr>
        <w:t> </w:t>
      </w:r>
      <w:r w:rsidR="006D2816" w:rsidRPr="00B8612B">
        <w:rPr>
          <w:rFonts w:asciiTheme="minorHAnsi" w:hAnsiTheme="minorHAnsi" w:cstheme="minorHAnsi"/>
          <w:bCs/>
          <w:i/>
          <w:lang w:val="fr-CA"/>
        </w:rPr>
        <w:t>officielle</w:t>
      </w:r>
      <w:r w:rsidR="00DB63C7">
        <w:rPr>
          <w:rFonts w:asciiTheme="minorHAnsi" w:hAnsiTheme="minorHAnsi" w:cstheme="minorHAnsi"/>
          <w:bCs/>
          <w:i/>
          <w:lang w:val="fr-CA"/>
        </w:rPr>
        <w:t> » et « de travail </w:t>
      </w:r>
      <w:r w:rsidR="006D2816" w:rsidRPr="00B8612B">
        <w:rPr>
          <w:rFonts w:asciiTheme="minorHAnsi" w:hAnsiTheme="minorHAnsi" w:cstheme="minorHAnsi"/>
          <w:bCs/>
          <w:i/>
          <w:lang w:val="fr-CA"/>
        </w:rPr>
        <w:t xml:space="preserve">», et qu’il serait nécessaire en conséquence de définir les sources pour l’augmentation progressive du financement extrabudgétaire, des capacités et des résultats et pour </w:t>
      </w:r>
      <w:r w:rsidR="006D2816" w:rsidRPr="00B8612B">
        <w:rPr>
          <w:rFonts w:asciiTheme="minorHAnsi" w:hAnsiTheme="minorHAnsi" w:cstheme="minorHAnsi"/>
          <w:bCs/>
          <w:i/>
          <w:lang w:val="fr-CA"/>
        </w:rPr>
        <w:lastRenderedPageBreak/>
        <w:t xml:space="preserve">remédier aux effets potentiels qui résulteraient de l’intégration de toute nouvelle langue sur le financement d’autres postes budgétaires. </w:t>
      </w:r>
    </w:p>
    <w:p w:rsidR="006D2816" w:rsidRPr="00B8612B" w:rsidRDefault="006D2816" w:rsidP="006D2816">
      <w:pPr>
        <w:pStyle w:val="NoSpacing"/>
        <w:ind w:left="900" w:hanging="450"/>
        <w:rPr>
          <w:rFonts w:asciiTheme="minorHAnsi" w:hAnsiTheme="minorHAnsi" w:cstheme="minorHAnsi"/>
          <w:bCs/>
          <w:i/>
          <w:lang w:val="fr-CA"/>
        </w:rPr>
      </w:pPr>
    </w:p>
    <w:p w:rsidR="006D2816" w:rsidRPr="00B8612B" w:rsidRDefault="006D2816" w:rsidP="006D2816">
      <w:pPr>
        <w:pStyle w:val="NoSpacing"/>
        <w:ind w:left="900" w:hanging="450"/>
        <w:rPr>
          <w:rFonts w:asciiTheme="minorHAnsi" w:hAnsiTheme="minorHAnsi" w:cstheme="minorHAnsi"/>
          <w:bCs/>
          <w:i/>
          <w:lang w:val="fr-CA"/>
        </w:rPr>
      </w:pPr>
      <w:r w:rsidRPr="00B8612B">
        <w:rPr>
          <w:rFonts w:asciiTheme="minorHAnsi" w:hAnsiTheme="minorHAnsi" w:cstheme="minorHAnsi"/>
          <w:bCs/>
          <w:i/>
          <w:lang w:val="fr-CA"/>
        </w:rPr>
        <w:t>28.</w:t>
      </w:r>
      <w:r w:rsidRPr="00B8612B">
        <w:rPr>
          <w:rFonts w:asciiTheme="minorHAnsi" w:hAnsiTheme="minorHAnsi" w:cstheme="minorHAnsi"/>
          <w:bCs/>
          <w:i/>
          <w:lang w:val="fr-CA"/>
        </w:rPr>
        <w:tab/>
        <w:t>DONNE INSTRUCTION au Comité permanent, dans le cadre du Groupe de travail sur la gestion, de surveiller les progrès de rédaction de la stratégie concernant une approche pas</w:t>
      </w:r>
      <w:r w:rsidR="00DB63C7">
        <w:rPr>
          <w:rFonts w:asciiTheme="minorHAnsi" w:hAnsiTheme="minorHAnsi" w:cstheme="minorHAnsi"/>
          <w:bCs/>
          <w:i/>
          <w:lang w:val="fr-CA"/>
        </w:rPr>
        <w:t> </w:t>
      </w:r>
      <w:r w:rsidRPr="00B8612B">
        <w:rPr>
          <w:rFonts w:asciiTheme="minorHAnsi" w:hAnsiTheme="minorHAnsi" w:cstheme="minorHAnsi"/>
          <w:bCs/>
          <w:i/>
          <w:lang w:val="fr-CA"/>
        </w:rPr>
        <w:t xml:space="preserve">à pas de l’intégration de langues, y compris des efforts d’intégration pleine et entière du français et de l’espagnol dans les travaux de la Convention, conformément aux décisions de la COP. </w:t>
      </w:r>
    </w:p>
    <w:p w:rsidR="006D2816" w:rsidRPr="00B8612B" w:rsidRDefault="006D2816" w:rsidP="006D2816">
      <w:pPr>
        <w:pStyle w:val="NoSpacing"/>
        <w:ind w:left="900" w:hanging="450"/>
        <w:rPr>
          <w:rFonts w:asciiTheme="minorHAnsi" w:hAnsiTheme="minorHAnsi" w:cstheme="minorHAnsi"/>
          <w:bCs/>
          <w:i/>
          <w:lang w:val="fr-CA"/>
        </w:rPr>
      </w:pPr>
    </w:p>
    <w:p w:rsidR="006D2816" w:rsidRPr="00B8612B" w:rsidRDefault="006D2816" w:rsidP="006D2816">
      <w:pPr>
        <w:pStyle w:val="NoSpacing"/>
        <w:ind w:left="900" w:hanging="450"/>
        <w:rPr>
          <w:rFonts w:asciiTheme="minorHAnsi" w:hAnsiTheme="minorHAnsi" w:cstheme="minorHAnsi"/>
          <w:bCs/>
          <w:i/>
          <w:lang w:val="fr-CA"/>
        </w:rPr>
      </w:pPr>
      <w:r w:rsidRPr="00B8612B">
        <w:rPr>
          <w:rFonts w:asciiTheme="minorHAnsi" w:hAnsiTheme="minorHAnsi" w:cstheme="minorHAnsi"/>
          <w:bCs/>
          <w:i/>
          <w:lang w:val="fr-CA"/>
        </w:rPr>
        <w:t>29.</w:t>
      </w:r>
      <w:r w:rsidRPr="00B8612B">
        <w:rPr>
          <w:rFonts w:asciiTheme="minorHAnsi" w:hAnsiTheme="minorHAnsi" w:cstheme="minorHAnsi"/>
          <w:bCs/>
          <w:i/>
          <w:lang w:val="fr-CA"/>
        </w:rPr>
        <w:tab/>
        <w:t>DEMANDE au Comité permanent de soumettre à la 13</w:t>
      </w:r>
      <w:r w:rsidRPr="00DB63C7">
        <w:rPr>
          <w:rFonts w:asciiTheme="minorHAnsi" w:hAnsiTheme="minorHAnsi" w:cstheme="minorHAnsi"/>
          <w:bCs/>
          <w:i/>
          <w:vertAlign w:val="superscript"/>
          <w:lang w:val="fr-CA"/>
        </w:rPr>
        <w:t>e</w:t>
      </w:r>
      <w:r w:rsidR="00DB63C7">
        <w:rPr>
          <w:rFonts w:asciiTheme="minorHAnsi" w:hAnsiTheme="minorHAnsi" w:cstheme="minorHAnsi"/>
          <w:bCs/>
          <w:i/>
          <w:lang w:val="fr-CA"/>
        </w:rPr>
        <w:t> </w:t>
      </w:r>
      <w:r w:rsidRPr="00B8612B">
        <w:rPr>
          <w:rFonts w:asciiTheme="minorHAnsi" w:hAnsiTheme="minorHAnsi" w:cstheme="minorHAnsi"/>
          <w:bCs/>
          <w:i/>
          <w:lang w:val="fr-CA"/>
        </w:rPr>
        <w:t>Session de la Conférence des Parties contractantes un rapport, avec ses recommandations, contenant la stratégie en vue de l’utilisation de la langue arabe par la Convention, assorti d’un mécanisme financier et d’options pour une introduction pas à pas de l’arabe dans les travaux de la Convention, sous réserve des ressources disponibles.</w:t>
      </w:r>
    </w:p>
    <w:p w:rsidR="006D2816" w:rsidRPr="00B8612B" w:rsidRDefault="006D2816" w:rsidP="006D2816">
      <w:pPr>
        <w:pStyle w:val="NoSpacing"/>
        <w:ind w:left="900" w:hanging="450"/>
        <w:rPr>
          <w:rFonts w:asciiTheme="minorHAnsi" w:hAnsiTheme="minorHAnsi" w:cstheme="minorHAnsi"/>
          <w:bCs/>
          <w:i/>
          <w:lang w:val="fr-CA"/>
        </w:rPr>
      </w:pPr>
    </w:p>
    <w:p w:rsidR="006D2816" w:rsidRPr="00B8612B" w:rsidRDefault="006D2816" w:rsidP="006D2816">
      <w:pPr>
        <w:pStyle w:val="NoSpacing"/>
        <w:ind w:left="900" w:hanging="450"/>
        <w:rPr>
          <w:rFonts w:asciiTheme="minorHAnsi" w:hAnsiTheme="minorHAnsi" w:cstheme="minorHAnsi"/>
          <w:bCs/>
          <w:i/>
          <w:lang w:val="fr-CA"/>
        </w:rPr>
      </w:pPr>
      <w:r w:rsidRPr="00B8612B">
        <w:rPr>
          <w:rFonts w:asciiTheme="minorHAnsi" w:hAnsiTheme="minorHAnsi" w:cstheme="minorHAnsi"/>
          <w:bCs/>
          <w:i/>
          <w:lang w:val="fr-CA"/>
        </w:rPr>
        <w:t>30.</w:t>
      </w:r>
      <w:r w:rsidRPr="00B8612B">
        <w:rPr>
          <w:rFonts w:asciiTheme="minorHAnsi" w:hAnsiTheme="minorHAnsi" w:cstheme="minorHAnsi"/>
          <w:bCs/>
          <w:i/>
          <w:lang w:val="fr-CA"/>
        </w:rPr>
        <w:tab/>
        <w:t>ENCOURAGE les Parties contractantes à fournir la traduction des documents d’information Ramsar les plus importants dans leurs propres langues officielles et à rendre la traduction accessible au public, sur le site web de Ramsar.</w:t>
      </w:r>
    </w:p>
    <w:p w:rsidR="006D2816" w:rsidRPr="00B8612B" w:rsidRDefault="006D2816" w:rsidP="006D2816">
      <w:pPr>
        <w:pStyle w:val="NoSpacing"/>
        <w:ind w:left="900" w:hanging="450"/>
        <w:rPr>
          <w:rFonts w:asciiTheme="minorHAnsi" w:hAnsiTheme="minorHAnsi" w:cstheme="minorHAnsi"/>
          <w:bCs/>
          <w:i/>
          <w:lang w:val="fr-CA"/>
        </w:rPr>
      </w:pPr>
    </w:p>
    <w:p w:rsidR="0005017F" w:rsidRPr="00B8612B" w:rsidRDefault="006D2816" w:rsidP="006D2816">
      <w:pPr>
        <w:pStyle w:val="NoSpacing"/>
        <w:ind w:left="900" w:hanging="450"/>
        <w:rPr>
          <w:rFonts w:asciiTheme="minorHAnsi" w:hAnsiTheme="minorHAnsi" w:cstheme="minorHAnsi"/>
          <w:bCs/>
          <w:i/>
          <w:lang w:val="fr-CA"/>
        </w:rPr>
      </w:pPr>
      <w:r w:rsidRPr="00B8612B">
        <w:rPr>
          <w:rFonts w:asciiTheme="minorHAnsi" w:hAnsiTheme="minorHAnsi" w:cstheme="minorHAnsi"/>
          <w:bCs/>
          <w:i/>
          <w:lang w:val="fr-CA"/>
        </w:rPr>
        <w:t>31.</w:t>
      </w:r>
      <w:r w:rsidRPr="00B8612B">
        <w:rPr>
          <w:rFonts w:asciiTheme="minorHAnsi" w:hAnsiTheme="minorHAnsi" w:cstheme="minorHAnsi"/>
          <w:bCs/>
          <w:i/>
          <w:lang w:val="fr-CA"/>
        </w:rPr>
        <w:tab/>
        <w:t>DONNE INSTRUCTION au Secrétariat, sous réserve des ressources disponibles, avec l’aide des Parties contractantes et des Centres régionaux, et les orientations du Groupe de travail sur la gestion, de créer une bibliothèque en ligne de documents Ramsar traduits par les gouvernements, officiels et non officiels, accessibles au public et de faire rapport sur les progrès à la COP13; et DEMANDE aux Parties contractantes de communiquer ces documents au Secrétariat.</w:t>
      </w:r>
    </w:p>
    <w:p w:rsidR="0005017F" w:rsidRPr="00B8612B" w:rsidRDefault="0005017F" w:rsidP="00E35230">
      <w:pPr>
        <w:pStyle w:val="NoSpacing"/>
        <w:rPr>
          <w:rFonts w:cs="Calibri"/>
          <w:lang w:val="fr-CA"/>
        </w:rPr>
      </w:pPr>
    </w:p>
    <w:bookmarkEnd w:id="0"/>
    <w:p w:rsidR="00817363" w:rsidRPr="00B8612B" w:rsidRDefault="00AB1B41" w:rsidP="00AB023F">
      <w:pPr>
        <w:rPr>
          <w:rFonts w:cs="Calibri"/>
          <w:lang w:val="fr-CA"/>
        </w:rPr>
      </w:pPr>
      <w:r w:rsidRPr="00F169AB">
        <w:rPr>
          <w:rFonts w:cs="Arial"/>
          <w:lang w:val="fr-CA"/>
        </w:rPr>
        <w:t>2</w:t>
      </w:r>
      <w:r w:rsidR="00AB023F" w:rsidRPr="00F169AB">
        <w:rPr>
          <w:rFonts w:cs="Arial"/>
          <w:lang w:val="fr-CA"/>
        </w:rPr>
        <w:t>.</w:t>
      </w:r>
      <w:r w:rsidR="00AB023F" w:rsidRPr="00B8612B">
        <w:rPr>
          <w:rFonts w:cs="Arial"/>
          <w:lang w:val="fr-CA"/>
        </w:rPr>
        <w:tab/>
      </w:r>
      <w:r w:rsidR="006D2816" w:rsidRPr="00B8612B">
        <w:rPr>
          <w:rFonts w:cs="Calibri"/>
          <w:lang w:val="fr-CA"/>
        </w:rPr>
        <w:t>À sa 52</w:t>
      </w:r>
      <w:r w:rsidR="006D2816" w:rsidRPr="00B8612B">
        <w:rPr>
          <w:rFonts w:cs="Calibri"/>
          <w:vertAlign w:val="superscript"/>
          <w:lang w:val="fr-CA"/>
        </w:rPr>
        <w:t>e</w:t>
      </w:r>
      <w:r w:rsidR="006D2816" w:rsidRPr="00B8612B">
        <w:rPr>
          <w:rFonts w:cs="Calibri"/>
          <w:lang w:val="fr-CA"/>
        </w:rPr>
        <w:t xml:space="preserve"> Réunion</w:t>
      </w:r>
      <w:r w:rsidR="00E35230" w:rsidRPr="00B8612B">
        <w:rPr>
          <w:rFonts w:cs="Calibri"/>
          <w:lang w:val="fr-CA"/>
        </w:rPr>
        <w:t xml:space="preserve"> (SC52</w:t>
      </w:r>
      <w:r w:rsidR="008E730D" w:rsidRPr="00B8612B">
        <w:rPr>
          <w:rFonts w:cs="Calibri"/>
          <w:lang w:val="fr-CA"/>
        </w:rPr>
        <w:t xml:space="preserve">, </w:t>
      </w:r>
      <w:r w:rsidR="006D2816" w:rsidRPr="00B8612B">
        <w:rPr>
          <w:rFonts w:cs="Calibri"/>
          <w:lang w:val="fr-CA"/>
        </w:rPr>
        <w:t>e</w:t>
      </w:r>
      <w:r w:rsidR="00501CA0" w:rsidRPr="00B8612B">
        <w:rPr>
          <w:rFonts w:cs="Calibri"/>
          <w:lang w:val="fr-CA"/>
        </w:rPr>
        <w:t xml:space="preserve">n </w:t>
      </w:r>
      <w:r w:rsidR="008E730D" w:rsidRPr="00B8612B">
        <w:rPr>
          <w:rFonts w:cs="Calibri"/>
          <w:lang w:val="fr-CA"/>
        </w:rPr>
        <w:t>2016</w:t>
      </w:r>
      <w:r w:rsidR="00E35230" w:rsidRPr="00B8612B">
        <w:rPr>
          <w:rFonts w:cs="Calibri"/>
          <w:lang w:val="fr-CA"/>
        </w:rPr>
        <w:t xml:space="preserve">), </w:t>
      </w:r>
      <w:r w:rsidR="006D2816" w:rsidRPr="00B8612B">
        <w:rPr>
          <w:rFonts w:cs="Calibri"/>
          <w:lang w:val="fr-CA"/>
        </w:rPr>
        <w:t>le</w:t>
      </w:r>
      <w:r w:rsidR="00E35230" w:rsidRPr="00B8612B">
        <w:rPr>
          <w:rFonts w:cs="Calibri"/>
          <w:lang w:val="fr-CA"/>
        </w:rPr>
        <w:t xml:space="preserve"> </w:t>
      </w:r>
      <w:r w:rsidR="006D2816" w:rsidRPr="00B8612B">
        <w:rPr>
          <w:rFonts w:cs="Calibri"/>
          <w:lang w:val="fr-CA"/>
        </w:rPr>
        <w:t>Comité permanent a adopté la Décision</w:t>
      </w:r>
      <w:r w:rsidR="00E35230" w:rsidRPr="00B8612B">
        <w:rPr>
          <w:rFonts w:cs="Calibri"/>
          <w:lang w:val="fr-CA"/>
        </w:rPr>
        <w:t xml:space="preserve"> SC52-21, </w:t>
      </w:r>
      <w:r w:rsidR="006D2816" w:rsidRPr="00B8612B">
        <w:rPr>
          <w:rFonts w:cs="Calibri"/>
          <w:lang w:val="fr-CA"/>
        </w:rPr>
        <w:t>dans laquelle</w:t>
      </w:r>
      <w:r w:rsidR="001606D6">
        <w:rPr>
          <w:rFonts w:cs="Calibri"/>
          <w:lang w:val="fr-CA"/>
        </w:rPr>
        <w:t> </w:t>
      </w:r>
      <w:r w:rsidR="00D92A29" w:rsidRPr="00B8612B">
        <w:rPr>
          <w:rFonts w:cs="Calibri"/>
          <w:lang w:val="fr-CA"/>
        </w:rPr>
        <w:t>:</w:t>
      </w:r>
      <w:r w:rsidR="00E35230" w:rsidRPr="00B8612B">
        <w:rPr>
          <w:rFonts w:cs="Calibri"/>
          <w:lang w:val="fr-CA"/>
        </w:rPr>
        <w:t xml:space="preserve"> </w:t>
      </w:r>
    </w:p>
    <w:p w:rsidR="00E35230" w:rsidRPr="00B8612B" w:rsidRDefault="002A1F7B" w:rsidP="00C605EF">
      <w:pPr>
        <w:pStyle w:val="NoSpacing"/>
        <w:ind w:left="851" w:firstLine="0"/>
        <w:rPr>
          <w:rFonts w:asciiTheme="minorHAnsi" w:hAnsiTheme="minorHAnsi" w:cstheme="minorHAnsi"/>
          <w:bCs/>
          <w:i/>
          <w:lang w:val="fr-CA"/>
        </w:rPr>
      </w:pPr>
      <w:r w:rsidRPr="00B8612B">
        <w:rPr>
          <w:rFonts w:asciiTheme="minorHAnsi" w:hAnsiTheme="minorHAnsi" w:cstheme="minorHAnsi"/>
          <w:bCs/>
          <w:i/>
          <w:lang w:val="fr-CA"/>
        </w:rPr>
        <w:t>Le Comité permanent demande au Secrétariat Ramsar, sans appui de consultant,</w:t>
      </w:r>
      <w:r w:rsidR="00370279">
        <w:rPr>
          <w:rFonts w:asciiTheme="minorHAnsi" w:hAnsiTheme="minorHAnsi" w:cstheme="minorHAnsi"/>
          <w:bCs/>
          <w:i/>
          <w:lang w:val="fr-CA"/>
        </w:rPr>
        <w:t xml:space="preserve"> </w:t>
      </w:r>
      <w:r w:rsidRPr="00B8612B">
        <w:rPr>
          <w:rFonts w:asciiTheme="minorHAnsi" w:hAnsiTheme="minorHAnsi" w:cstheme="minorHAnsi"/>
          <w:bCs/>
          <w:i/>
          <w:lang w:val="fr-CA"/>
        </w:rPr>
        <w:t>de développer la stratégie décrivant l’éventuelle intégration progressive de l’arabe ou d’autres langues des Nations Unies dans les travaux de la Convention, contenue dans l’annexe du document SC52.03 Rev. 1.</w:t>
      </w:r>
    </w:p>
    <w:p w:rsidR="00AB023F" w:rsidRPr="00B8612B" w:rsidRDefault="00AB023F" w:rsidP="00AB023F">
      <w:pPr>
        <w:rPr>
          <w:rFonts w:cs="Calibri"/>
          <w:lang w:val="fr-CA"/>
        </w:rPr>
      </w:pPr>
    </w:p>
    <w:p w:rsidR="00CF6232" w:rsidRPr="00B8612B" w:rsidRDefault="00AB1B41" w:rsidP="00AB023F">
      <w:pPr>
        <w:rPr>
          <w:rFonts w:cs="Calibri"/>
          <w:lang w:val="fr-CA"/>
        </w:rPr>
      </w:pPr>
      <w:r>
        <w:rPr>
          <w:rFonts w:cs="Calibri"/>
          <w:lang w:val="fr-CA"/>
        </w:rPr>
        <w:t>3</w:t>
      </w:r>
      <w:r w:rsidR="00CF6232" w:rsidRPr="00B8612B">
        <w:rPr>
          <w:rFonts w:cs="Calibri"/>
          <w:lang w:val="fr-CA"/>
        </w:rPr>
        <w:t>.</w:t>
      </w:r>
      <w:r w:rsidR="00CF6232" w:rsidRPr="00B8612B">
        <w:rPr>
          <w:rFonts w:cs="Calibri"/>
          <w:lang w:val="fr-CA"/>
        </w:rPr>
        <w:tab/>
      </w:r>
      <w:r w:rsidR="001D53C7">
        <w:rPr>
          <w:rFonts w:cs="Calibri"/>
          <w:lang w:val="fr-CA"/>
        </w:rPr>
        <w:t>À la 53</w:t>
      </w:r>
      <w:r w:rsidR="001D53C7" w:rsidRPr="001D53C7">
        <w:rPr>
          <w:rFonts w:cs="Calibri"/>
          <w:vertAlign w:val="superscript"/>
          <w:lang w:val="fr-CA"/>
        </w:rPr>
        <w:t>e</w:t>
      </w:r>
      <w:r w:rsidR="001D53C7">
        <w:rPr>
          <w:rFonts w:cs="Calibri"/>
          <w:lang w:val="fr-CA"/>
        </w:rPr>
        <w:t xml:space="preserve"> Réunion du Comité permanent </w:t>
      </w:r>
      <w:r w:rsidR="008E730D" w:rsidRPr="00B8612B">
        <w:rPr>
          <w:rFonts w:cs="Calibri"/>
          <w:lang w:val="fr-CA"/>
        </w:rPr>
        <w:t xml:space="preserve">(SC53, </w:t>
      </w:r>
      <w:r w:rsidR="001D53C7">
        <w:rPr>
          <w:rFonts w:cs="Calibri"/>
          <w:lang w:val="fr-CA"/>
        </w:rPr>
        <w:t>e</w:t>
      </w:r>
      <w:r w:rsidR="00501CA0" w:rsidRPr="00B8612B">
        <w:rPr>
          <w:rFonts w:cs="Calibri"/>
          <w:lang w:val="fr-CA"/>
        </w:rPr>
        <w:t xml:space="preserve">n </w:t>
      </w:r>
      <w:r w:rsidR="008E730D" w:rsidRPr="00B8612B">
        <w:rPr>
          <w:rFonts w:cs="Calibri"/>
          <w:lang w:val="fr-CA"/>
        </w:rPr>
        <w:t>2017)</w:t>
      </w:r>
      <w:r w:rsidR="00CF6232" w:rsidRPr="00B8612B">
        <w:rPr>
          <w:rFonts w:cs="Calibri"/>
          <w:lang w:val="fr-CA"/>
        </w:rPr>
        <w:t xml:space="preserve">, </w:t>
      </w:r>
      <w:r w:rsidR="001D53C7">
        <w:rPr>
          <w:rFonts w:cs="Calibri"/>
          <w:lang w:val="fr-CA"/>
        </w:rPr>
        <w:t xml:space="preserve">le Secrétariat a présenté le document </w:t>
      </w:r>
      <w:r w:rsidR="00CF6232" w:rsidRPr="00B8612B">
        <w:rPr>
          <w:rFonts w:cs="Calibri"/>
          <w:lang w:val="fr-CA"/>
        </w:rPr>
        <w:t xml:space="preserve">SC53-06 </w:t>
      </w:r>
      <w:r w:rsidR="001D53C7">
        <w:rPr>
          <w:rFonts w:cs="Calibri"/>
          <w:lang w:val="fr-CA"/>
        </w:rPr>
        <w:t xml:space="preserve">qui résume les résultats des consultations sur cette question, soulignant les points dont il faut tenir compte </w:t>
      </w:r>
      <w:r>
        <w:rPr>
          <w:rFonts w:cs="Calibri"/>
          <w:lang w:val="fr-CA"/>
        </w:rPr>
        <w:t>pour</w:t>
      </w:r>
      <w:r w:rsidR="001D53C7">
        <w:rPr>
          <w:rFonts w:cs="Calibri"/>
          <w:lang w:val="fr-CA"/>
        </w:rPr>
        <w:t xml:space="preserve"> l’élaboration d’une stratégie et d’un projet de résolution et demandant des orientations au Comité. Après discussion, et examen </w:t>
      </w:r>
      <w:r>
        <w:rPr>
          <w:rFonts w:cs="Calibri"/>
          <w:lang w:val="fr-CA"/>
        </w:rPr>
        <w:t>en</w:t>
      </w:r>
      <w:r w:rsidR="001D53C7">
        <w:rPr>
          <w:rFonts w:cs="Calibri"/>
          <w:lang w:val="fr-CA"/>
        </w:rPr>
        <w:t xml:space="preserve"> groupe de travail, le Comité a adopté la Décision </w:t>
      </w:r>
      <w:r w:rsidR="00160D06" w:rsidRPr="00B8612B">
        <w:rPr>
          <w:rFonts w:cs="Calibri"/>
          <w:lang w:val="fr-CA"/>
        </w:rPr>
        <w:t xml:space="preserve">SC53-06 </w:t>
      </w:r>
      <w:r w:rsidR="001D53C7">
        <w:rPr>
          <w:rFonts w:cs="Calibri"/>
          <w:lang w:val="fr-CA"/>
        </w:rPr>
        <w:t>comme suit </w:t>
      </w:r>
      <w:r w:rsidR="00160D06" w:rsidRPr="00B8612B">
        <w:rPr>
          <w:rFonts w:cs="Calibri"/>
          <w:lang w:val="fr-CA"/>
        </w:rPr>
        <w:t>:</w:t>
      </w:r>
    </w:p>
    <w:p w:rsidR="00CF6232" w:rsidRPr="00B8612B" w:rsidRDefault="001F34EE" w:rsidP="00C605EF">
      <w:pPr>
        <w:pStyle w:val="NoSpacing"/>
        <w:ind w:left="851" w:firstLine="0"/>
        <w:rPr>
          <w:rFonts w:asciiTheme="minorHAnsi" w:hAnsiTheme="minorHAnsi" w:cstheme="minorHAnsi"/>
          <w:bCs/>
          <w:i/>
          <w:lang w:val="fr-CA"/>
        </w:rPr>
      </w:pPr>
      <w:r w:rsidRPr="00B8612B">
        <w:rPr>
          <w:rFonts w:asciiTheme="minorHAnsi" w:hAnsiTheme="minorHAnsi" w:cstheme="minorHAnsi"/>
          <w:bCs/>
          <w:i/>
          <w:lang w:val="fr-CA"/>
        </w:rPr>
        <w:t>Le Comité permanent décide que les questions soulevées dans le document SC53-06 Stratégie linguistique pour la Convention de Ramsar sur les zones humides doivent être traitées entre les sessions par le Secrétariat en consultation avec le Groupe de travail à composition non limitée établi par l</w:t>
      </w:r>
      <w:r w:rsidR="001606D6">
        <w:rPr>
          <w:rFonts w:asciiTheme="minorHAnsi" w:hAnsiTheme="minorHAnsi" w:cstheme="minorHAnsi"/>
          <w:bCs/>
          <w:i/>
          <w:lang w:val="fr-CA"/>
        </w:rPr>
        <w:t>a</w:t>
      </w:r>
      <w:r w:rsidRPr="00B8612B">
        <w:rPr>
          <w:rFonts w:asciiTheme="minorHAnsi" w:hAnsiTheme="minorHAnsi" w:cstheme="minorHAnsi"/>
          <w:bCs/>
          <w:i/>
          <w:lang w:val="fr-CA"/>
        </w:rPr>
        <w:t xml:space="preserve"> 52</w:t>
      </w:r>
      <w:r w:rsidRPr="001606D6">
        <w:rPr>
          <w:rFonts w:asciiTheme="minorHAnsi" w:hAnsiTheme="minorHAnsi" w:cstheme="minorHAnsi"/>
          <w:bCs/>
          <w:i/>
          <w:vertAlign w:val="superscript"/>
          <w:lang w:val="fr-CA"/>
        </w:rPr>
        <w:t>e</w:t>
      </w:r>
      <w:r w:rsidRPr="00B8612B">
        <w:rPr>
          <w:rFonts w:asciiTheme="minorHAnsi" w:hAnsiTheme="minorHAnsi" w:cstheme="minorHAnsi"/>
          <w:bCs/>
          <w:i/>
          <w:lang w:val="fr-CA"/>
        </w:rPr>
        <w:t xml:space="preserve"> Réunion du Comité permanent. Le Groupe de travail est prié de faire rapport à la 54</w:t>
      </w:r>
      <w:r w:rsidRPr="001606D6">
        <w:rPr>
          <w:rFonts w:asciiTheme="minorHAnsi" w:hAnsiTheme="minorHAnsi" w:cstheme="minorHAnsi"/>
          <w:bCs/>
          <w:i/>
          <w:vertAlign w:val="superscript"/>
          <w:lang w:val="fr-CA"/>
        </w:rPr>
        <w:t>e</w:t>
      </w:r>
      <w:r w:rsidRPr="00B8612B">
        <w:rPr>
          <w:rFonts w:asciiTheme="minorHAnsi" w:hAnsiTheme="minorHAnsi" w:cstheme="minorHAnsi"/>
          <w:bCs/>
          <w:i/>
          <w:lang w:val="fr-CA"/>
        </w:rPr>
        <w:t xml:space="preserve"> Réunion du Comité permanent sur les résultats de la poursuite de ses délibérations, et en particulier sur toute proposition à soumettre à la COP13, après approbation à la 54</w:t>
      </w:r>
      <w:r w:rsidRPr="001606D6">
        <w:rPr>
          <w:rFonts w:asciiTheme="minorHAnsi" w:hAnsiTheme="minorHAnsi" w:cstheme="minorHAnsi"/>
          <w:bCs/>
          <w:i/>
          <w:vertAlign w:val="superscript"/>
          <w:lang w:val="fr-CA"/>
        </w:rPr>
        <w:t>e</w:t>
      </w:r>
      <w:r w:rsidRPr="00B8612B">
        <w:rPr>
          <w:rFonts w:asciiTheme="minorHAnsi" w:hAnsiTheme="minorHAnsi" w:cstheme="minorHAnsi"/>
          <w:bCs/>
          <w:i/>
          <w:lang w:val="fr-CA"/>
        </w:rPr>
        <w:t xml:space="preserve"> Réunion du Comité permanent.</w:t>
      </w:r>
    </w:p>
    <w:p w:rsidR="00E35230" w:rsidRPr="00B8612B" w:rsidRDefault="00E35230" w:rsidP="00E35230">
      <w:pPr>
        <w:outlineLvl w:val="0"/>
        <w:rPr>
          <w:rFonts w:cs="Calibri"/>
          <w:lang w:val="fr-CA"/>
        </w:rPr>
      </w:pPr>
    </w:p>
    <w:p w:rsidR="00E80457" w:rsidRPr="00B8612B" w:rsidRDefault="00AB1B41" w:rsidP="00275F13">
      <w:pPr>
        <w:pStyle w:val="NoSpacing"/>
        <w:rPr>
          <w:lang w:val="fr-CA"/>
        </w:rPr>
      </w:pPr>
      <w:r>
        <w:rPr>
          <w:lang w:val="fr-CA"/>
        </w:rPr>
        <w:t>4</w:t>
      </w:r>
      <w:r w:rsidR="00275F13" w:rsidRPr="00B8612B">
        <w:rPr>
          <w:lang w:val="fr-CA"/>
        </w:rPr>
        <w:t>.</w:t>
      </w:r>
      <w:r w:rsidR="00275F13" w:rsidRPr="00B8612B">
        <w:rPr>
          <w:lang w:val="fr-CA"/>
        </w:rPr>
        <w:tab/>
      </w:r>
      <w:r w:rsidR="001D53C7">
        <w:rPr>
          <w:lang w:val="fr-CA"/>
        </w:rPr>
        <w:t>Conformément à cette Décision, le Secrétariat a poursuivi ses consultations avec le groupe de travail dans la période intersession. Les membres du groupe de travail ont fourni des commentaires utiles mais il reste un certain nombre de points de vue différents sur certaines questions.</w:t>
      </w:r>
      <w:r w:rsidR="00353EAC" w:rsidRPr="00B8612B">
        <w:rPr>
          <w:lang w:val="fr-CA"/>
        </w:rPr>
        <w:t xml:space="preserve"> </w:t>
      </w:r>
    </w:p>
    <w:p w:rsidR="00A709D8" w:rsidRPr="00B8612B" w:rsidRDefault="00A709D8" w:rsidP="00275F13">
      <w:pPr>
        <w:pStyle w:val="NoSpacing"/>
        <w:rPr>
          <w:lang w:val="fr-CA"/>
        </w:rPr>
      </w:pPr>
    </w:p>
    <w:p w:rsidR="00F22812" w:rsidRPr="00B8612B" w:rsidRDefault="00AB1B41" w:rsidP="00275F13">
      <w:pPr>
        <w:pStyle w:val="NoSpacing"/>
        <w:rPr>
          <w:lang w:val="fr-CA"/>
        </w:rPr>
      </w:pPr>
      <w:r>
        <w:rPr>
          <w:lang w:val="fr-CA"/>
        </w:rPr>
        <w:lastRenderedPageBreak/>
        <w:t>5</w:t>
      </w:r>
      <w:r w:rsidR="00353EAC" w:rsidRPr="00B8612B">
        <w:rPr>
          <w:lang w:val="fr-CA"/>
        </w:rPr>
        <w:t>.</w:t>
      </w:r>
      <w:r w:rsidR="00353EAC" w:rsidRPr="00B8612B">
        <w:rPr>
          <w:lang w:val="fr-CA"/>
        </w:rPr>
        <w:tab/>
      </w:r>
      <w:r w:rsidR="000F2B8C">
        <w:rPr>
          <w:lang w:val="fr-CA"/>
        </w:rPr>
        <w:t xml:space="preserve">Après les consultations, le Secrétariat a préparé un texte pour un projet de résolution </w:t>
      </w:r>
      <w:r>
        <w:rPr>
          <w:lang w:val="fr-CA"/>
        </w:rPr>
        <w:t>du</w:t>
      </w:r>
      <w:r w:rsidR="000F2B8C">
        <w:rPr>
          <w:lang w:val="fr-CA"/>
        </w:rPr>
        <w:t xml:space="preserve"> Comité permanent, en s’appuyant sur les principes suivants : </w:t>
      </w:r>
    </w:p>
    <w:p w:rsidR="004770D8" w:rsidRPr="00B8612B" w:rsidRDefault="004770D8" w:rsidP="00275F13">
      <w:pPr>
        <w:pStyle w:val="NoSpacing"/>
        <w:rPr>
          <w:lang w:val="fr-CA"/>
        </w:rPr>
      </w:pPr>
    </w:p>
    <w:p w:rsidR="006C4FC5" w:rsidRDefault="000F2B8C" w:rsidP="000F2B8C">
      <w:pPr>
        <w:pStyle w:val="NoSpacing"/>
        <w:numPr>
          <w:ilvl w:val="0"/>
          <w:numId w:val="37"/>
        </w:numPr>
        <w:rPr>
          <w:lang w:val="fr-CA"/>
        </w:rPr>
      </w:pPr>
      <w:r>
        <w:rPr>
          <w:lang w:val="fr-CA"/>
        </w:rPr>
        <w:t xml:space="preserve">la priorité doit être donnée au traitement égal des langues officielles actuelles, dans toute la mesure du possible et dans la limite des ressources disponibles; </w:t>
      </w:r>
    </w:p>
    <w:p w:rsidR="000F2B8C" w:rsidRPr="00B8612B" w:rsidRDefault="000F2B8C" w:rsidP="000F2B8C">
      <w:pPr>
        <w:pStyle w:val="NoSpacing"/>
        <w:ind w:firstLine="0"/>
        <w:rPr>
          <w:lang w:val="fr-CA"/>
        </w:rPr>
      </w:pPr>
    </w:p>
    <w:p w:rsidR="004D512B" w:rsidRPr="00B8612B" w:rsidRDefault="004D512B" w:rsidP="00C605EF">
      <w:pPr>
        <w:pStyle w:val="NoSpacing"/>
        <w:ind w:left="850"/>
        <w:rPr>
          <w:lang w:val="fr-CA"/>
        </w:rPr>
      </w:pPr>
      <w:r w:rsidRPr="00B8612B">
        <w:rPr>
          <w:lang w:val="fr-CA"/>
        </w:rPr>
        <w:t>b)</w:t>
      </w:r>
      <w:r w:rsidRPr="00B8612B">
        <w:rPr>
          <w:lang w:val="fr-CA"/>
        </w:rPr>
        <w:tab/>
      </w:r>
      <w:r w:rsidR="000F2B8C">
        <w:rPr>
          <w:lang w:val="fr-CA"/>
        </w:rPr>
        <w:t xml:space="preserve">la Conférence des Parties a donné instruction au Secrétariat de préparer un projet de résolution comprenant l’introduction progressive de l’arabe dans les travaux de la Convention, sous réserve des ressources disponibles; </w:t>
      </w:r>
    </w:p>
    <w:p w:rsidR="004D512B" w:rsidRPr="00B8612B" w:rsidRDefault="004D512B" w:rsidP="00C605EF">
      <w:pPr>
        <w:pStyle w:val="NoSpacing"/>
        <w:ind w:left="850"/>
        <w:rPr>
          <w:lang w:val="fr-CA"/>
        </w:rPr>
      </w:pPr>
    </w:p>
    <w:p w:rsidR="00CD4503" w:rsidRPr="00B8612B" w:rsidRDefault="004D512B" w:rsidP="00C605EF">
      <w:pPr>
        <w:pStyle w:val="NoSpacing"/>
        <w:ind w:left="850"/>
        <w:rPr>
          <w:lang w:val="fr-CA"/>
        </w:rPr>
      </w:pPr>
      <w:r w:rsidRPr="00B8612B">
        <w:rPr>
          <w:lang w:val="fr-CA"/>
        </w:rPr>
        <w:t>c)</w:t>
      </w:r>
      <w:r w:rsidRPr="00B8612B">
        <w:rPr>
          <w:lang w:val="fr-CA"/>
        </w:rPr>
        <w:tab/>
      </w:r>
      <w:r w:rsidR="000F2B8C">
        <w:rPr>
          <w:lang w:val="fr-CA"/>
        </w:rPr>
        <w:t>le principal obstacle à fourni</w:t>
      </w:r>
      <w:r w:rsidR="00AB1B41">
        <w:rPr>
          <w:lang w:val="fr-CA"/>
        </w:rPr>
        <w:t>r des services dans les</w:t>
      </w:r>
      <w:r w:rsidR="000F2B8C">
        <w:rPr>
          <w:lang w:val="fr-CA"/>
        </w:rPr>
        <w:t xml:space="preserve"> langues officielles actuelles de la Convention et à l’utilisation de nouvelles langues est le manque de financement attribué à cet effet dans le budget établi par la Conférence des Parties; </w:t>
      </w:r>
    </w:p>
    <w:p w:rsidR="004D512B" w:rsidRPr="00B8612B" w:rsidRDefault="004D512B" w:rsidP="00C605EF">
      <w:pPr>
        <w:pStyle w:val="NoSpacing"/>
        <w:ind w:left="850"/>
        <w:rPr>
          <w:lang w:val="fr-CA"/>
        </w:rPr>
      </w:pPr>
    </w:p>
    <w:p w:rsidR="00CD4503" w:rsidRPr="00B8612B" w:rsidRDefault="004D512B" w:rsidP="00C605EF">
      <w:pPr>
        <w:pStyle w:val="NoSpacing"/>
        <w:ind w:left="850"/>
        <w:rPr>
          <w:lang w:val="fr-CA"/>
        </w:rPr>
      </w:pPr>
      <w:r w:rsidRPr="00B8612B">
        <w:rPr>
          <w:lang w:val="fr-CA"/>
        </w:rPr>
        <w:t>d)</w:t>
      </w:r>
      <w:r w:rsidRPr="00B8612B">
        <w:rPr>
          <w:lang w:val="fr-CA"/>
        </w:rPr>
        <w:tab/>
      </w:r>
      <w:r w:rsidR="00F169AB">
        <w:rPr>
          <w:lang w:val="fr-CA"/>
        </w:rPr>
        <w:t xml:space="preserve">pour </w:t>
      </w:r>
      <w:r w:rsidR="000F2B8C">
        <w:rPr>
          <w:lang w:val="fr-CA"/>
        </w:rPr>
        <w:t xml:space="preserve">assurer les services linguistiques essentiels </w:t>
      </w:r>
      <w:r w:rsidR="00F169AB">
        <w:rPr>
          <w:lang w:val="fr-CA"/>
        </w:rPr>
        <w:t>il faut disposer d’un financement du</w:t>
      </w:r>
      <w:r w:rsidR="000F2B8C">
        <w:rPr>
          <w:lang w:val="fr-CA"/>
        </w:rPr>
        <w:t xml:space="preserve"> budget administratif; ces services comprennent la traduction et l’interprétation pour les séances plénières de la Conférence des Parties et </w:t>
      </w:r>
      <w:r w:rsidR="00AB1B41">
        <w:rPr>
          <w:lang w:val="fr-CA"/>
        </w:rPr>
        <w:t>d</w:t>
      </w:r>
      <w:r w:rsidR="000F2B8C">
        <w:rPr>
          <w:lang w:val="fr-CA"/>
        </w:rPr>
        <w:t xml:space="preserve">es réunions du Comité permanent. </w:t>
      </w:r>
    </w:p>
    <w:p w:rsidR="004B02FB" w:rsidRPr="00B8612B" w:rsidRDefault="004B02FB" w:rsidP="004B02FB">
      <w:pPr>
        <w:pStyle w:val="NoSpacing"/>
        <w:rPr>
          <w:lang w:val="fr-CA"/>
        </w:rPr>
      </w:pPr>
    </w:p>
    <w:p w:rsidR="004D512B" w:rsidRPr="00B8612B" w:rsidRDefault="00AB1B41" w:rsidP="007D3FC7">
      <w:pPr>
        <w:pStyle w:val="NoSpacing"/>
        <w:rPr>
          <w:lang w:val="fr-CA"/>
        </w:rPr>
      </w:pPr>
      <w:r>
        <w:rPr>
          <w:lang w:val="fr-CA"/>
        </w:rPr>
        <w:t>6</w:t>
      </w:r>
      <w:r w:rsidR="004B02FB" w:rsidRPr="00B8612B">
        <w:rPr>
          <w:lang w:val="fr-CA"/>
        </w:rPr>
        <w:t>.</w:t>
      </w:r>
      <w:r w:rsidR="004B02FB" w:rsidRPr="00B8612B">
        <w:rPr>
          <w:lang w:val="fr-CA"/>
        </w:rPr>
        <w:tab/>
      </w:r>
      <w:r w:rsidR="000F2B8C">
        <w:rPr>
          <w:lang w:val="fr-CA"/>
        </w:rPr>
        <w:t>Le projet de texte de résolution présenté dans l’annexe 1 s’appuie sur ces principes et tient compte des informations de référence contenues dans le document SC53</w:t>
      </w:r>
      <w:r w:rsidR="000F2B8C">
        <w:rPr>
          <w:lang w:val="fr-CA"/>
        </w:rPr>
        <w:noBreakHyphen/>
      </w:r>
      <w:r w:rsidR="004B02FB" w:rsidRPr="00B8612B">
        <w:rPr>
          <w:lang w:val="fr-CA"/>
        </w:rPr>
        <w:t>06, pr</w:t>
      </w:r>
      <w:r w:rsidR="000F2B8C">
        <w:rPr>
          <w:lang w:val="fr-CA"/>
        </w:rPr>
        <w:t>ésenté et discuté à la 53</w:t>
      </w:r>
      <w:r w:rsidR="000F2B8C" w:rsidRPr="000F2B8C">
        <w:rPr>
          <w:vertAlign w:val="superscript"/>
          <w:lang w:val="fr-CA"/>
        </w:rPr>
        <w:t>e</w:t>
      </w:r>
      <w:r w:rsidR="000F2B8C">
        <w:rPr>
          <w:lang w:val="fr-CA"/>
        </w:rPr>
        <w:t> Réunion du Comité permanent. Le texte est proposé comme</w:t>
      </w:r>
      <w:r w:rsidR="0080316D">
        <w:rPr>
          <w:lang w:val="fr-CA"/>
        </w:rPr>
        <w:t xml:space="preserve"> un addendum au projet de résolution proposé, </w:t>
      </w:r>
      <w:r w:rsidR="0080316D" w:rsidRPr="0080316D">
        <w:rPr>
          <w:i/>
          <w:lang w:val="fr-CA"/>
        </w:rPr>
        <w:t>Renforcement de la visibilité de la Convention et des synergies avec d’autres accords multilatéraux sur l’environnement et institutions internationales</w:t>
      </w:r>
      <w:r w:rsidR="000F2B8C" w:rsidRPr="0080316D">
        <w:rPr>
          <w:lang w:val="fr-CA"/>
        </w:rPr>
        <w:t xml:space="preserve"> </w:t>
      </w:r>
      <w:r w:rsidR="0080316D" w:rsidRPr="0080316D">
        <w:rPr>
          <w:lang w:val="fr-CA"/>
        </w:rPr>
        <w:t xml:space="preserve">figurant en annexe au document SC54-14 </w:t>
      </w:r>
      <w:r w:rsidR="0080316D">
        <w:rPr>
          <w:lang w:val="fr-CA"/>
        </w:rPr>
        <w:t>(</w:t>
      </w:r>
      <w:bookmarkStart w:id="1" w:name="_GoBack"/>
      <w:bookmarkEnd w:id="1"/>
      <w:r w:rsidR="004F4C48">
        <w:rPr>
          <w:lang w:val="fr-FR"/>
        </w:rPr>
        <w:fldChar w:fldCharType="begin"/>
      </w:r>
      <w:r w:rsidR="004F4C48">
        <w:rPr>
          <w:lang w:val="fr-FR"/>
        </w:rPr>
        <w:instrText xml:space="preserve"> HYPERLINK "</w:instrText>
      </w:r>
      <w:r w:rsidR="004F4C48" w:rsidRPr="004F4C48">
        <w:rPr>
          <w:lang w:val="fr-FR"/>
        </w:rPr>
        <w:instrText>https://www.ramsar.org/sites/default/files/</w:instrText>
      </w:r>
      <w:r w:rsidR="004F4C48" w:rsidRPr="004F4C48">
        <w:rPr>
          <w:lang w:val="fr-FR"/>
        </w:rPr>
        <w:br/>
        <w:instrText>documents/library/sc54-14_enhancing_visibility_synergies_f.pdf</w:instrText>
      </w:r>
      <w:r w:rsidR="004F4C48">
        <w:rPr>
          <w:lang w:val="fr-FR"/>
        </w:rPr>
        <w:instrText xml:space="preserve">" </w:instrText>
      </w:r>
      <w:r w:rsidR="004F4C48">
        <w:rPr>
          <w:lang w:val="fr-FR"/>
        </w:rPr>
        <w:fldChar w:fldCharType="separate"/>
      </w:r>
      <w:r w:rsidR="004F4C48" w:rsidRPr="00F07FCE">
        <w:rPr>
          <w:rStyle w:val="Hyperlink"/>
          <w:lang w:val="fr-FR"/>
        </w:rPr>
        <w:t>https://www.ramsar.org/sites/default/files/</w:t>
      </w:r>
      <w:r w:rsidR="004F4C48" w:rsidRPr="00F07FCE">
        <w:rPr>
          <w:rStyle w:val="Hyperlink"/>
          <w:lang w:val="fr-FR"/>
        </w:rPr>
        <w:br/>
        <w:t>documents/library/sc54-14_enhancing_visibility_</w:t>
      </w:r>
      <w:r w:rsidR="004F4C48" w:rsidRPr="00F07FCE">
        <w:rPr>
          <w:rStyle w:val="Hyperlink"/>
          <w:lang w:val="fr-FR"/>
        </w:rPr>
        <w:t>s</w:t>
      </w:r>
      <w:r w:rsidR="004F4C48" w:rsidRPr="00F07FCE">
        <w:rPr>
          <w:rStyle w:val="Hyperlink"/>
          <w:lang w:val="fr-FR"/>
        </w:rPr>
        <w:t>ynergies_f.pdf</w:t>
      </w:r>
      <w:r w:rsidR="004F4C48">
        <w:rPr>
          <w:lang w:val="fr-FR"/>
        </w:rPr>
        <w:fldChar w:fldCharType="end"/>
      </w:r>
      <w:r w:rsidR="0080316D" w:rsidRPr="004F4C48">
        <w:rPr>
          <w:lang w:val="fr-FR"/>
        </w:rPr>
        <w:t>)</w:t>
      </w:r>
      <w:r w:rsidR="000F2B8C">
        <w:rPr>
          <w:lang w:val="fr-CA"/>
        </w:rPr>
        <w:t xml:space="preserve"> mais pourrait être adapté pour </w:t>
      </w:r>
      <w:r w:rsidR="0080316D">
        <w:rPr>
          <w:lang w:val="fr-CA"/>
        </w:rPr>
        <w:t>être présenté comme</w:t>
      </w:r>
      <w:r w:rsidR="000F2B8C">
        <w:rPr>
          <w:lang w:val="fr-CA"/>
        </w:rPr>
        <w:t xml:space="preserve"> une résolution à part entière, le cas échéant. Il convient de noter que l’annexe au projet de résolution suppose une augmentation du budget administratif qui ne figure pas dans les documents budgétaires fournis à la présente réunion.</w:t>
      </w:r>
    </w:p>
    <w:p w:rsidR="00880240" w:rsidRPr="004F4C48" w:rsidRDefault="00880240" w:rsidP="00014168">
      <w:pPr>
        <w:rPr>
          <w:rFonts w:cs="Arial"/>
          <w:lang w:val="fr-FR"/>
        </w:rPr>
      </w:pPr>
    </w:p>
    <w:p w:rsidR="00E16E57" w:rsidRPr="004F4C48" w:rsidRDefault="00E16E57">
      <w:pPr>
        <w:rPr>
          <w:rFonts w:cs="Arial"/>
          <w:lang w:val="fr-FR"/>
        </w:rPr>
      </w:pPr>
      <w:r w:rsidRPr="004F4C48">
        <w:rPr>
          <w:rFonts w:cs="Arial"/>
          <w:lang w:val="fr-FR"/>
        </w:rPr>
        <w:br w:type="page"/>
      </w:r>
    </w:p>
    <w:p w:rsidR="00880240" w:rsidRPr="004F4C48" w:rsidRDefault="00880240" w:rsidP="00E16E57">
      <w:pPr>
        <w:ind w:left="0" w:firstLine="0"/>
        <w:rPr>
          <w:rFonts w:cs="Arial"/>
          <w:lang w:val="fr-FR"/>
        </w:rPr>
      </w:pPr>
    </w:p>
    <w:p w:rsidR="00E16E57" w:rsidRPr="000F2B8C" w:rsidRDefault="00E16E57" w:rsidP="00C605EF">
      <w:pPr>
        <w:tabs>
          <w:tab w:val="left" w:pos="2333"/>
        </w:tabs>
        <w:rPr>
          <w:rFonts w:cs="Arial"/>
          <w:b/>
          <w:bCs/>
          <w:sz w:val="24"/>
          <w:szCs w:val="24"/>
          <w:lang w:val="fr-CA"/>
        </w:rPr>
      </w:pPr>
      <w:r w:rsidRPr="000F2B8C">
        <w:rPr>
          <w:rFonts w:cs="Arial"/>
          <w:b/>
          <w:bCs/>
          <w:sz w:val="24"/>
          <w:szCs w:val="24"/>
          <w:lang w:val="fr-CA"/>
        </w:rPr>
        <w:t>Annex</w:t>
      </w:r>
      <w:r w:rsidR="000F2B8C">
        <w:rPr>
          <w:rFonts w:cs="Arial"/>
          <w:b/>
          <w:bCs/>
          <w:sz w:val="24"/>
          <w:szCs w:val="24"/>
          <w:lang w:val="fr-CA"/>
        </w:rPr>
        <w:t>e</w:t>
      </w:r>
      <w:r w:rsidRPr="000F2B8C">
        <w:rPr>
          <w:rFonts w:cs="Arial"/>
          <w:b/>
          <w:bCs/>
          <w:sz w:val="24"/>
          <w:szCs w:val="24"/>
          <w:lang w:val="fr-CA"/>
        </w:rPr>
        <w:t xml:space="preserve"> 1</w:t>
      </w:r>
      <w:r w:rsidR="00C605EF" w:rsidRPr="000F2B8C">
        <w:rPr>
          <w:rFonts w:cs="Arial"/>
          <w:b/>
          <w:bCs/>
          <w:sz w:val="24"/>
          <w:szCs w:val="24"/>
          <w:lang w:val="fr-CA"/>
        </w:rPr>
        <w:tab/>
      </w:r>
    </w:p>
    <w:p w:rsidR="00E16E57" w:rsidRPr="000F2B8C" w:rsidRDefault="00E16E57" w:rsidP="00440AFD">
      <w:pPr>
        <w:jc w:val="right"/>
        <w:rPr>
          <w:rFonts w:cs="Arial"/>
          <w:b/>
          <w:bCs/>
          <w:sz w:val="24"/>
          <w:szCs w:val="24"/>
          <w:lang w:val="fr-CA"/>
        </w:rPr>
      </w:pPr>
    </w:p>
    <w:p w:rsidR="00880240" w:rsidRPr="000F2B8C" w:rsidRDefault="0080316D" w:rsidP="00504D36">
      <w:pPr>
        <w:jc w:val="center"/>
        <w:rPr>
          <w:rFonts w:cs="Arial"/>
          <w:b/>
          <w:bCs/>
          <w:sz w:val="24"/>
          <w:szCs w:val="24"/>
          <w:lang w:val="fr-CA"/>
        </w:rPr>
      </w:pPr>
      <w:r>
        <w:rPr>
          <w:rFonts w:cs="Arial"/>
          <w:b/>
          <w:bCs/>
          <w:sz w:val="24"/>
          <w:szCs w:val="24"/>
          <w:lang w:val="fr-CA"/>
        </w:rPr>
        <w:t xml:space="preserve">Addendum proposé au projet de résolution XIII.xx, </w:t>
      </w:r>
      <w:r w:rsidRPr="00504D36">
        <w:rPr>
          <w:rFonts w:cs="Arial"/>
          <w:b/>
          <w:bCs/>
          <w:i/>
          <w:sz w:val="24"/>
          <w:szCs w:val="24"/>
          <w:lang w:val="fr-CA"/>
        </w:rPr>
        <w:t>Renforcement de la visibilité de la Convention et des synergies avec d’autres accords multilatéraux sur l’environnement et institutions internationales</w:t>
      </w:r>
      <w:r w:rsidR="00504D36">
        <w:rPr>
          <w:rFonts w:cs="Arial"/>
          <w:b/>
          <w:bCs/>
          <w:sz w:val="24"/>
          <w:szCs w:val="24"/>
          <w:lang w:val="fr-CA"/>
        </w:rPr>
        <w:t xml:space="preserve"> (Document SC54-14)</w:t>
      </w:r>
    </w:p>
    <w:p w:rsidR="00880240" w:rsidRPr="000F2B8C" w:rsidRDefault="00880240" w:rsidP="00880240">
      <w:pPr>
        <w:rPr>
          <w:rFonts w:cs="Arial"/>
          <w:b/>
          <w:bCs/>
          <w:lang w:val="fr-CA"/>
        </w:rPr>
      </w:pPr>
    </w:p>
    <w:p w:rsidR="00880240" w:rsidRPr="000F2B8C" w:rsidRDefault="00880240" w:rsidP="00604E4F">
      <w:pPr>
        <w:jc w:val="center"/>
        <w:rPr>
          <w:rFonts w:cs="Arial"/>
          <w:b/>
          <w:bCs/>
          <w:lang w:val="fr-CA"/>
        </w:rPr>
      </w:pPr>
    </w:p>
    <w:p w:rsidR="00E77C02" w:rsidRPr="000F2B8C" w:rsidRDefault="00880240" w:rsidP="00E77C02">
      <w:pPr>
        <w:rPr>
          <w:rFonts w:cs="Arial"/>
          <w:b/>
          <w:lang w:val="fr-CA"/>
        </w:rPr>
      </w:pPr>
      <w:r w:rsidRPr="000F2B8C">
        <w:rPr>
          <w:rFonts w:cs="Arial"/>
          <w:lang w:val="fr-CA"/>
        </w:rPr>
        <w:t xml:space="preserve"> </w:t>
      </w:r>
    </w:p>
    <w:p w:rsidR="00E77C02" w:rsidRPr="000F2B8C" w:rsidRDefault="00F169AB" w:rsidP="00E77C02">
      <w:pPr>
        <w:rPr>
          <w:rFonts w:cs="Arial"/>
          <w:b/>
          <w:lang w:val="fr-CA"/>
        </w:rPr>
      </w:pPr>
      <w:r>
        <w:rPr>
          <w:rFonts w:cs="Arial"/>
          <w:i/>
          <w:lang w:val="fr-CA"/>
        </w:rPr>
        <w:t>Présenté</w:t>
      </w:r>
      <w:r w:rsidR="000F2B8C">
        <w:rPr>
          <w:rFonts w:cs="Arial"/>
          <w:i/>
          <w:lang w:val="fr-CA"/>
        </w:rPr>
        <w:t xml:space="preserve"> par le Comité permanent</w:t>
      </w:r>
    </w:p>
    <w:p w:rsidR="00880240" w:rsidRPr="000F2B8C" w:rsidRDefault="00880240" w:rsidP="00880240">
      <w:pPr>
        <w:rPr>
          <w:rFonts w:cs="Arial"/>
          <w:lang w:val="fr-CA"/>
        </w:rPr>
      </w:pPr>
    </w:p>
    <w:p w:rsidR="007E3B42" w:rsidRPr="000F2B8C" w:rsidRDefault="007E3B42" w:rsidP="007E3B42">
      <w:pPr>
        <w:rPr>
          <w:rFonts w:cs="Arial"/>
          <w:lang w:val="fr-CA"/>
        </w:rPr>
      </w:pPr>
    </w:p>
    <w:p w:rsidR="007E3B42" w:rsidRPr="000F2B8C" w:rsidRDefault="00B77777" w:rsidP="007E3B42">
      <w:pPr>
        <w:rPr>
          <w:rFonts w:cs="Arial"/>
          <w:i/>
          <w:lang w:val="fr-CA"/>
        </w:rPr>
      </w:pPr>
      <w:r>
        <w:rPr>
          <w:rFonts w:cs="Arial"/>
          <w:i/>
          <w:lang w:val="fr-CA"/>
        </w:rPr>
        <w:t>Incidences financières de l’application</w:t>
      </w:r>
    </w:p>
    <w:p w:rsidR="007E3B42" w:rsidRPr="000F2B8C" w:rsidRDefault="007E3B42" w:rsidP="007E3B42">
      <w:pPr>
        <w:rPr>
          <w:rFonts w:cs="Arial"/>
          <w:lang w:val="fr-CA"/>
        </w:rPr>
      </w:pPr>
    </w:p>
    <w:tbl>
      <w:tblPr>
        <w:tblStyle w:val="TableGrid"/>
        <w:tblW w:w="0" w:type="auto"/>
        <w:tblLook w:val="04A0" w:firstRow="1" w:lastRow="0" w:firstColumn="1" w:lastColumn="0" w:noHBand="0" w:noVBand="1"/>
      </w:tblPr>
      <w:tblGrid>
        <w:gridCol w:w="2628"/>
        <w:gridCol w:w="4500"/>
        <w:gridCol w:w="2114"/>
      </w:tblGrid>
      <w:tr w:rsidR="007E3B42" w:rsidRPr="000F2B8C">
        <w:tc>
          <w:tcPr>
            <w:tcW w:w="2628" w:type="dxa"/>
          </w:tcPr>
          <w:p w:rsidR="007E3B42" w:rsidRPr="000F2B8C" w:rsidRDefault="007E3B42" w:rsidP="00C75D54">
            <w:pPr>
              <w:ind w:left="0" w:firstLine="0"/>
              <w:jc w:val="center"/>
              <w:rPr>
                <w:rFonts w:cs="Arial"/>
                <w:lang w:val="fr-CA"/>
              </w:rPr>
            </w:pPr>
            <w:r w:rsidRPr="000F2B8C">
              <w:rPr>
                <w:rFonts w:cs="Arial"/>
                <w:lang w:val="fr-CA"/>
              </w:rPr>
              <w:t>Paragraph</w:t>
            </w:r>
            <w:r w:rsidR="00B77777">
              <w:rPr>
                <w:rFonts w:cs="Arial"/>
                <w:lang w:val="fr-CA"/>
              </w:rPr>
              <w:t>e</w:t>
            </w:r>
            <w:r w:rsidRPr="000F2B8C">
              <w:rPr>
                <w:rFonts w:cs="Arial"/>
                <w:lang w:val="fr-CA"/>
              </w:rPr>
              <w:t xml:space="preserve"> (</w:t>
            </w:r>
            <w:r w:rsidR="00B77777">
              <w:rPr>
                <w:rFonts w:cs="Arial"/>
                <w:lang w:val="fr-CA"/>
              </w:rPr>
              <w:t>numéro et partie essentielle du texte</w:t>
            </w:r>
            <w:r w:rsidRPr="000F2B8C">
              <w:rPr>
                <w:rFonts w:cs="Arial"/>
                <w:lang w:val="fr-CA"/>
              </w:rPr>
              <w:t>)</w:t>
            </w:r>
          </w:p>
        </w:tc>
        <w:tc>
          <w:tcPr>
            <w:tcW w:w="4500" w:type="dxa"/>
          </w:tcPr>
          <w:p w:rsidR="007E3B42" w:rsidRPr="000F2B8C" w:rsidRDefault="007E3B42" w:rsidP="00C75D54">
            <w:pPr>
              <w:jc w:val="center"/>
              <w:rPr>
                <w:rFonts w:cs="Arial"/>
                <w:lang w:val="fr-CA"/>
              </w:rPr>
            </w:pPr>
            <w:r w:rsidRPr="000F2B8C">
              <w:rPr>
                <w:rFonts w:cs="Arial"/>
                <w:lang w:val="fr-CA"/>
              </w:rPr>
              <w:t>Action</w:t>
            </w:r>
          </w:p>
        </w:tc>
        <w:tc>
          <w:tcPr>
            <w:tcW w:w="2114" w:type="dxa"/>
          </w:tcPr>
          <w:p w:rsidR="007E3B42" w:rsidRPr="000F2B8C" w:rsidRDefault="00B77777" w:rsidP="00C75D54">
            <w:pPr>
              <w:jc w:val="center"/>
              <w:rPr>
                <w:rFonts w:cs="Arial"/>
                <w:lang w:val="fr-CA"/>
              </w:rPr>
            </w:pPr>
            <w:r>
              <w:rPr>
                <w:rFonts w:cs="Arial"/>
                <w:lang w:val="fr-CA"/>
              </w:rPr>
              <w:t>Coût</w:t>
            </w:r>
            <w:r w:rsidR="007E3B42" w:rsidRPr="000F2B8C">
              <w:rPr>
                <w:rFonts w:cs="Arial"/>
                <w:lang w:val="fr-CA"/>
              </w:rPr>
              <w:t xml:space="preserve"> (CHF)</w:t>
            </w:r>
          </w:p>
        </w:tc>
      </w:tr>
      <w:tr w:rsidR="007E3B42" w:rsidRPr="000F2B8C">
        <w:tc>
          <w:tcPr>
            <w:tcW w:w="2628" w:type="dxa"/>
          </w:tcPr>
          <w:p w:rsidR="007E3B42" w:rsidRPr="000F2B8C" w:rsidRDefault="007E3B42" w:rsidP="00D92A29">
            <w:pPr>
              <w:rPr>
                <w:rFonts w:cs="Arial"/>
                <w:lang w:val="fr-CA"/>
              </w:rPr>
            </w:pPr>
          </w:p>
        </w:tc>
        <w:tc>
          <w:tcPr>
            <w:tcW w:w="4500" w:type="dxa"/>
          </w:tcPr>
          <w:p w:rsidR="007E3B42" w:rsidRPr="000F2B8C" w:rsidRDefault="007E3B42" w:rsidP="00D92A29">
            <w:pPr>
              <w:rPr>
                <w:rFonts w:cs="Arial"/>
                <w:lang w:val="fr-CA"/>
              </w:rPr>
            </w:pPr>
          </w:p>
        </w:tc>
        <w:tc>
          <w:tcPr>
            <w:tcW w:w="2114" w:type="dxa"/>
          </w:tcPr>
          <w:p w:rsidR="007E3B42" w:rsidRPr="000F2B8C" w:rsidRDefault="007E3B42" w:rsidP="00D92A29">
            <w:pPr>
              <w:rPr>
                <w:rFonts w:cs="Arial"/>
                <w:lang w:val="fr-CA"/>
              </w:rPr>
            </w:pPr>
          </w:p>
        </w:tc>
      </w:tr>
      <w:tr w:rsidR="007E3B42" w:rsidRPr="000F2B8C">
        <w:tc>
          <w:tcPr>
            <w:tcW w:w="2628" w:type="dxa"/>
          </w:tcPr>
          <w:p w:rsidR="007E3B42" w:rsidRPr="000F2B8C" w:rsidRDefault="007E3B42" w:rsidP="00D92A29">
            <w:pPr>
              <w:rPr>
                <w:rFonts w:cs="Arial"/>
                <w:lang w:val="fr-CA"/>
              </w:rPr>
            </w:pPr>
          </w:p>
        </w:tc>
        <w:tc>
          <w:tcPr>
            <w:tcW w:w="4500" w:type="dxa"/>
          </w:tcPr>
          <w:p w:rsidR="007E3B42" w:rsidRPr="000F2B8C" w:rsidRDefault="007E3B42" w:rsidP="00D92A29">
            <w:pPr>
              <w:rPr>
                <w:rFonts w:cs="Arial"/>
                <w:lang w:val="fr-CA"/>
              </w:rPr>
            </w:pPr>
          </w:p>
        </w:tc>
        <w:tc>
          <w:tcPr>
            <w:tcW w:w="2114" w:type="dxa"/>
          </w:tcPr>
          <w:p w:rsidR="007E3B42" w:rsidRPr="000F2B8C" w:rsidRDefault="007E3B42" w:rsidP="00D92A29">
            <w:pPr>
              <w:rPr>
                <w:rFonts w:cs="Arial"/>
                <w:lang w:val="fr-CA"/>
              </w:rPr>
            </w:pPr>
          </w:p>
        </w:tc>
      </w:tr>
      <w:tr w:rsidR="007E3B42" w:rsidRPr="000F2B8C">
        <w:tc>
          <w:tcPr>
            <w:tcW w:w="2628" w:type="dxa"/>
          </w:tcPr>
          <w:p w:rsidR="007E3B42" w:rsidRPr="000F2B8C" w:rsidRDefault="007E3B42" w:rsidP="00D92A29">
            <w:pPr>
              <w:rPr>
                <w:rFonts w:cs="Arial"/>
                <w:lang w:val="fr-CA"/>
              </w:rPr>
            </w:pPr>
          </w:p>
        </w:tc>
        <w:tc>
          <w:tcPr>
            <w:tcW w:w="4500" w:type="dxa"/>
          </w:tcPr>
          <w:p w:rsidR="007E3B42" w:rsidRPr="000F2B8C" w:rsidRDefault="007E3B42" w:rsidP="00D92A29">
            <w:pPr>
              <w:rPr>
                <w:rFonts w:cs="Arial"/>
                <w:lang w:val="fr-CA"/>
              </w:rPr>
            </w:pPr>
          </w:p>
        </w:tc>
        <w:tc>
          <w:tcPr>
            <w:tcW w:w="2114" w:type="dxa"/>
          </w:tcPr>
          <w:p w:rsidR="007E3B42" w:rsidRPr="000F2B8C" w:rsidRDefault="007E3B42" w:rsidP="00D92A29">
            <w:pPr>
              <w:rPr>
                <w:rFonts w:cs="Arial"/>
                <w:lang w:val="fr-CA"/>
              </w:rPr>
            </w:pPr>
          </w:p>
        </w:tc>
      </w:tr>
      <w:tr w:rsidR="007E3B42" w:rsidRPr="000F2B8C">
        <w:tc>
          <w:tcPr>
            <w:tcW w:w="2628" w:type="dxa"/>
          </w:tcPr>
          <w:p w:rsidR="007E3B42" w:rsidRPr="000F2B8C" w:rsidRDefault="007E3B42" w:rsidP="00D92A29">
            <w:pPr>
              <w:rPr>
                <w:rFonts w:cs="Arial"/>
                <w:lang w:val="fr-CA"/>
              </w:rPr>
            </w:pPr>
          </w:p>
        </w:tc>
        <w:tc>
          <w:tcPr>
            <w:tcW w:w="4500" w:type="dxa"/>
          </w:tcPr>
          <w:p w:rsidR="007E3B42" w:rsidRPr="000F2B8C" w:rsidRDefault="007E3B42" w:rsidP="00D92A29">
            <w:pPr>
              <w:rPr>
                <w:rFonts w:cs="Arial"/>
                <w:lang w:val="fr-CA"/>
              </w:rPr>
            </w:pPr>
          </w:p>
        </w:tc>
        <w:tc>
          <w:tcPr>
            <w:tcW w:w="2114" w:type="dxa"/>
          </w:tcPr>
          <w:p w:rsidR="007E3B42" w:rsidRPr="000F2B8C" w:rsidRDefault="007E3B42" w:rsidP="00D92A29">
            <w:pPr>
              <w:rPr>
                <w:rFonts w:cs="Arial"/>
                <w:lang w:val="fr-CA"/>
              </w:rPr>
            </w:pPr>
          </w:p>
        </w:tc>
      </w:tr>
    </w:tbl>
    <w:p w:rsidR="007E3B42" w:rsidRPr="000F2B8C" w:rsidRDefault="007E3B42" w:rsidP="007E3B42">
      <w:pPr>
        <w:rPr>
          <w:rFonts w:cs="Arial"/>
          <w:lang w:val="fr-CA"/>
        </w:rPr>
      </w:pPr>
    </w:p>
    <w:p w:rsidR="007E3B42" w:rsidRPr="000F2B8C" w:rsidRDefault="007E3B42" w:rsidP="00880240">
      <w:pPr>
        <w:rPr>
          <w:rFonts w:cs="Arial"/>
          <w:lang w:val="fr-CA"/>
        </w:rPr>
      </w:pPr>
    </w:p>
    <w:p w:rsidR="003443A3" w:rsidRPr="000F2B8C" w:rsidRDefault="003443A3" w:rsidP="00880240">
      <w:pPr>
        <w:rPr>
          <w:rFonts w:cs="Arial"/>
          <w:b/>
          <w:lang w:val="fr-CA"/>
        </w:rPr>
      </w:pPr>
      <w:r w:rsidRPr="000F2B8C">
        <w:rPr>
          <w:rFonts w:cs="Arial"/>
          <w:b/>
          <w:lang w:val="fr-CA"/>
        </w:rPr>
        <w:t>A</w:t>
      </w:r>
      <w:r w:rsidR="00B77777">
        <w:rPr>
          <w:rFonts w:cs="Arial"/>
          <w:b/>
          <w:lang w:val="fr-CA"/>
        </w:rPr>
        <w:t> </w:t>
      </w:r>
      <w:r w:rsidRPr="000F2B8C">
        <w:rPr>
          <w:rFonts w:cs="Arial"/>
          <w:b/>
          <w:lang w:val="fr-CA"/>
        </w:rPr>
        <w:t>:</w:t>
      </w:r>
    </w:p>
    <w:p w:rsidR="007D368A" w:rsidRPr="00504D36" w:rsidRDefault="00B77777" w:rsidP="003443A3">
      <w:pPr>
        <w:ind w:left="0" w:firstLine="0"/>
        <w:rPr>
          <w:rFonts w:cs="Arial"/>
          <w:b/>
          <w:lang w:val="fr-CA"/>
        </w:rPr>
      </w:pPr>
      <w:r>
        <w:rPr>
          <w:rFonts w:cs="Arial"/>
          <w:b/>
          <w:lang w:val="fr-CA"/>
        </w:rPr>
        <w:t xml:space="preserve">Il est proposé d’inclure le texte suivant dans le préambule </w:t>
      </w:r>
      <w:r w:rsidR="00504D36">
        <w:rPr>
          <w:rFonts w:cs="Arial"/>
          <w:b/>
          <w:lang w:val="fr-CA"/>
        </w:rPr>
        <w:t>du projet de résolution.</w:t>
      </w:r>
      <w:r>
        <w:rPr>
          <w:rFonts w:cs="Arial"/>
          <w:b/>
          <w:lang w:val="fr-CA"/>
        </w:rPr>
        <w:t xml:space="preserve">  </w:t>
      </w:r>
    </w:p>
    <w:p w:rsidR="007D368A" w:rsidRPr="000F2B8C" w:rsidRDefault="007D368A" w:rsidP="00880240">
      <w:pPr>
        <w:rPr>
          <w:rFonts w:cs="Arial"/>
          <w:lang w:val="fr-CA"/>
        </w:rPr>
      </w:pPr>
      <w:r w:rsidRPr="000F2B8C">
        <w:rPr>
          <w:rFonts w:cs="Arial"/>
          <w:lang w:val="fr-CA"/>
        </w:rPr>
        <w:t>-</w:t>
      </w:r>
      <w:r w:rsidR="00480B6A" w:rsidRPr="000F2B8C">
        <w:rPr>
          <w:rFonts w:cs="Arial"/>
          <w:lang w:val="fr-CA"/>
        </w:rPr>
        <w:t>----------</w:t>
      </w:r>
    </w:p>
    <w:p w:rsidR="007D368A" w:rsidRPr="000F2B8C" w:rsidRDefault="007D368A" w:rsidP="004E1A8C">
      <w:pPr>
        <w:rPr>
          <w:rFonts w:cs="Arial"/>
          <w:lang w:val="fr-CA"/>
        </w:rPr>
      </w:pPr>
      <w:r w:rsidRPr="000F2B8C">
        <w:rPr>
          <w:rFonts w:cs="Arial"/>
          <w:lang w:val="fr-CA"/>
        </w:rPr>
        <w:t xml:space="preserve"> </w:t>
      </w:r>
    </w:p>
    <w:p w:rsidR="007D368A" w:rsidRPr="000F2B8C" w:rsidRDefault="007D368A" w:rsidP="00C15189">
      <w:pPr>
        <w:rPr>
          <w:rFonts w:cs="Arial"/>
          <w:lang w:val="fr-CA"/>
        </w:rPr>
      </w:pPr>
      <w:r w:rsidRPr="000F2B8C">
        <w:rPr>
          <w:rFonts w:cs="Arial"/>
          <w:lang w:val="fr-CA"/>
        </w:rPr>
        <w:t>1.</w:t>
      </w:r>
      <w:r w:rsidR="00F70414" w:rsidRPr="000F2B8C">
        <w:rPr>
          <w:rFonts w:cs="Arial"/>
          <w:lang w:val="fr-CA"/>
        </w:rPr>
        <w:tab/>
      </w:r>
      <w:r w:rsidRPr="000F2B8C">
        <w:rPr>
          <w:rFonts w:cs="Arial"/>
          <w:lang w:val="fr-CA"/>
        </w:rPr>
        <w:t>R</w:t>
      </w:r>
      <w:r w:rsidR="00B77777">
        <w:rPr>
          <w:rFonts w:cs="Arial"/>
          <w:lang w:val="fr-CA"/>
        </w:rPr>
        <w:t>APPELANT que, dans la Résolution </w:t>
      </w:r>
      <w:r w:rsidRPr="000F2B8C">
        <w:rPr>
          <w:rFonts w:cs="Arial"/>
          <w:lang w:val="fr-CA"/>
        </w:rPr>
        <w:t>XI.1</w:t>
      </w:r>
      <w:r w:rsidR="00D842EF" w:rsidRPr="000F2B8C">
        <w:rPr>
          <w:rFonts w:cs="Arial"/>
          <w:lang w:val="fr-CA"/>
        </w:rPr>
        <w:t>, adopt</w:t>
      </w:r>
      <w:r w:rsidR="00B77777">
        <w:rPr>
          <w:rFonts w:cs="Arial"/>
          <w:lang w:val="fr-CA"/>
        </w:rPr>
        <w:t>ée à sa 11</w:t>
      </w:r>
      <w:r w:rsidR="00B77777" w:rsidRPr="00B77777">
        <w:rPr>
          <w:rFonts w:cs="Arial"/>
          <w:vertAlign w:val="superscript"/>
          <w:lang w:val="fr-CA"/>
        </w:rPr>
        <w:t>e</w:t>
      </w:r>
      <w:r w:rsidR="00B77777">
        <w:rPr>
          <w:rFonts w:cs="Arial"/>
          <w:lang w:val="fr-CA"/>
        </w:rPr>
        <w:t xml:space="preserve"> Session </w:t>
      </w:r>
      <w:r w:rsidR="00D842EF" w:rsidRPr="000F2B8C">
        <w:rPr>
          <w:rFonts w:cs="Arial"/>
          <w:lang w:val="fr-CA"/>
        </w:rPr>
        <w:t xml:space="preserve">(Bucarest, 2012), </w:t>
      </w:r>
      <w:r w:rsidR="00B77777">
        <w:rPr>
          <w:rFonts w:cs="Arial"/>
          <w:lang w:val="fr-CA"/>
        </w:rPr>
        <w:t xml:space="preserve">la Conférence des Parties a donné instruction au Comité permanent, avec la participation de toutes les Parties intéressées, </w:t>
      </w:r>
      <w:r w:rsidR="00C15189" w:rsidRPr="000F2B8C">
        <w:rPr>
          <w:rFonts w:cs="Arial"/>
          <w:lang w:val="fr-CA"/>
        </w:rPr>
        <w:t>d’explorer l’intégration des langues des Nations Unies dans la Convention, le renforcement de la visibilité et de la stature de Ramsar, notamment par l’amélioration de l’engagement politique de haut niveau dans les travaux de la Convention aux niveaux national, régional et mondial, le renforcement des synergies avec les accords multilatéraux sur l’environnement (AME) et autres entités internationales, notamment dans le cadre des Initiatives régionales et une participation accrue aux initiatives et programmes du Programme des Nations Unies pour l’environnement (PNUE)</w:t>
      </w:r>
      <w:r w:rsidR="00D35265" w:rsidRPr="000F2B8C">
        <w:rPr>
          <w:rFonts w:cs="Arial"/>
          <w:lang w:val="fr-CA"/>
        </w:rPr>
        <w:t>;</w:t>
      </w:r>
    </w:p>
    <w:p w:rsidR="007D368A" w:rsidRPr="000F2B8C" w:rsidRDefault="007D368A" w:rsidP="004E1A8C">
      <w:pPr>
        <w:rPr>
          <w:rFonts w:cs="Arial"/>
          <w:lang w:val="fr-CA"/>
        </w:rPr>
      </w:pPr>
    </w:p>
    <w:p w:rsidR="00B814D1" w:rsidRPr="000F2B8C" w:rsidRDefault="00F70414" w:rsidP="00A33585">
      <w:pPr>
        <w:rPr>
          <w:rFonts w:cs="Arial"/>
          <w:lang w:val="fr-CA"/>
        </w:rPr>
      </w:pPr>
      <w:r w:rsidRPr="000F2B8C">
        <w:rPr>
          <w:rFonts w:cs="Arial"/>
          <w:lang w:val="fr-CA"/>
        </w:rPr>
        <w:t>2.</w:t>
      </w:r>
      <w:r w:rsidR="00B814D1" w:rsidRPr="000F2B8C">
        <w:rPr>
          <w:rFonts w:cs="Arial"/>
          <w:lang w:val="fr-CA"/>
        </w:rPr>
        <w:tab/>
      </w:r>
      <w:r w:rsidR="00CF01F8" w:rsidRPr="000F2B8C">
        <w:rPr>
          <w:rFonts w:cs="Arial"/>
          <w:lang w:val="fr-CA"/>
        </w:rPr>
        <w:t>R</w:t>
      </w:r>
      <w:r w:rsidR="00B77777">
        <w:rPr>
          <w:rFonts w:cs="Arial"/>
          <w:lang w:val="fr-CA"/>
        </w:rPr>
        <w:t>APPELANT AUSSI que</w:t>
      </w:r>
      <w:r w:rsidR="00F169AB">
        <w:rPr>
          <w:rFonts w:cs="Arial"/>
          <w:lang w:val="fr-CA"/>
        </w:rPr>
        <w:t xml:space="preserve"> dans</w:t>
      </w:r>
      <w:r w:rsidR="00B77777">
        <w:rPr>
          <w:rFonts w:cs="Arial"/>
          <w:lang w:val="fr-CA"/>
        </w:rPr>
        <w:t xml:space="preserve"> la Résolution </w:t>
      </w:r>
      <w:r w:rsidR="007D368A" w:rsidRPr="000F2B8C">
        <w:rPr>
          <w:rFonts w:cs="Arial"/>
          <w:lang w:val="fr-CA"/>
        </w:rPr>
        <w:t>X</w:t>
      </w:r>
      <w:r w:rsidR="00B814D1" w:rsidRPr="000F2B8C">
        <w:rPr>
          <w:rFonts w:cs="Arial"/>
          <w:lang w:val="fr-CA"/>
        </w:rPr>
        <w:t>I</w:t>
      </w:r>
      <w:r w:rsidR="007D368A" w:rsidRPr="000F2B8C">
        <w:rPr>
          <w:rFonts w:cs="Arial"/>
          <w:lang w:val="fr-CA"/>
        </w:rPr>
        <w:t>I.</w:t>
      </w:r>
      <w:r w:rsidR="003443A3" w:rsidRPr="000F2B8C">
        <w:rPr>
          <w:rFonts w:cs="Arial"/>
          <w:lang w:val="fr-CA"/>
        </w:rPr>
        <w:t>3</w:t>
      </w:r>
      <w:r w:rsidR="00B814D1" w:rsidRPr="000F2B8C">
        <w:rPr>
          <w:rFonts w:cs="Arial"/>
          <w:lang w:val="fr-CA"/>
        </w:rPr>
        <w:t xml:space="preserve">, </w:t>
      </w:r>
      <w:r w:rsidR="00D03AA0" w:rsidRPr="000F2B8C">
        <w:rPr>
          <w:rFonts w:cs="Arial"/>
          <w:lang w:val="fr-CA"/>
        </w:rPr>
        <w:t>adopt</w:t>
      </w:r>
      <w:r w:rsidR="00B77777">
        <w:rPr>
          <w:rFonts w:cs="Arial"/>
          <w:lang w:val="fr-CA"/>
        </w:rPr>
        <w:t xml:space="preserve">ée à </w:t>
      </w:r>
      <w:r w:rsidR="00AB1B41">
        <w:rPr>
          <w:rFonts w:cs="Arial"/>
          <w:lang w:val="fr-CA"/>
        </w:rPr>
        <w:t>s</w:t>
      </w:r>
      <w:r w:rsidR="00B77777">
        <w:rPr>
          <w:rFonts w:cs="Arial"/>
          <w:lang w:val="fr-CA"/>
        </w:rPr>
        <w:t>a 12</w:t>
      </w:r>
      <w:r w:rsidR="00B77777" w:rsidRPr="00B77777">
        <w:rPr>
          <w:rFonts w:cs="Arial"/>
          <w:vertAlign w:val="superscript"/>
          <w:lang w:val="fr-CA"/>
        </w:rPr>
        <w:t>e</w:t>
      </w:r>
      <w:r w:rsidR="00B77777">
        <w:rPr>
          <w:rFonts w:cs="Arial"/>
          <w:lang w:val="fr-CA"/>
        </w:rPr>
        <w:t> Session</w:t>
      </w:r>
      <w:r w:rsidR="008E769D">
        <w:rPr>
          <w:rFonts w:cs="Arial"/>
          <w:lang w:val="fr-CA"/>
        </w:rPr>
        <w:t xml:space="preserve"> (Punta del Este, </w:t>
      </w:r>
      <w:r w:rsidR="00D03AA0" w:rsidRPr="000F2B8C">
        <w:rPr>
          <w:rFonts w:cs="Arial"/>
          <w:lang w:val="fr-CA"/>
        </w:rPr>
        <w:t>2015)</w:t>
      </w:r>
      <w:r w:rsidR="00B77777">
        <w:rPr>
          <w:rFonts w:cs="Arial"/>
          <w:lang w:val="fr-CA"/>
        </w:rPr>
        <w:t>,</w:t>
      </w:r>
      <w:r w:rsidR="00D03AA0" w:rsidRPr="000F2B8C">
        <w:rPr>
          <w:rFonts w:cs="Arial"/>
          <w:lang w:val="fr-CA"/>
        </w:rPr>
        <w:t xml:space="preserve"> </w:t>
      </w:r>
      <w:r w:rsidR="00B77777">
        <w:rPr>
          <w:rFonts w:cs="Arial"/>
          <w:lang w:val="fr-CA"/>
        </w:rPr>
        <w:t xml:space="preserve">la Conférence des Parties </w:t>
      </w:r>
      <w:r w:rsidR="00AB1B41">
        <w:rPr>
          <w:rFonts w:cs="Arial"/>
          <w:lang w:val="fr-CA"/>
        </w:rPr>
        <w:t>demandait</w:t>
      </w:r>
      <w:r w:rsidR="00B77777">
        <w:rPr>
          <w:rFonts w:cs="Arial"/>
          <w:lang w:val="fr-CA"/>
        </w:rPr>
        <w:t xml:space="preserve"> au Secrétariat d’élaborer une stratégie et un projet de résolution sur l’utilisation de la langue arabe par la Convention et l’intégration progressive des langues existantes de la Convention, </w:t>
      </w:r>
      <w:r w:rsidR="00AB1B41">
        <w:rPr>
          <w:rFonts w:cs="Arial"/>
          <w:lang w:val="fr-CA"/>
        </w:rPr>
        <w:t>et</w:t>
      </w:r>
      <w:r w:rsidR="00B77777">
        <w:rPr>
          <w:rFonts w:cs="Arial"/>
          <w:lang w:val="fr-CA"/>
        </w:rPr>
        <w:t xml:space="preserve"> demandait au Comité permanent de soumettre ses recommandations à la 13</w:t>
      </w:r>
      <w:r w:rsidR="00B77777" w:rsidRPr="00B77777">
        <w:rPr>
          <w:rFonts w:cs="Arial"/>
          <w:vertAlign w:val="superscript"/>
          <w:lang w:val="fr-CA"/>
        </w:rPr>
        <w:t>e</w:t>
      </w:r>
      <w:r w:rsidR="00B77777">
        <w:rPr>
          <w:rFonts w:cs="Arial"/>
          <w:lang w:val="fr-CA"/>
        </w:rPr>
        <w:t xml:space="preserve"> Session de la Conférence des Parties contractantes; </w:t>
      </w:r>
    </w:p>
    <w:p w:rsidR="007D368A" w:rsidRPr="000F2B8C" w:rsidRDefault="007D368A" w:rsidP="004E1A8C">
      <w:pPr>
        <w:rPr>
          <w:rFonts w:cs="Arial"/>
          <w:lang w:val="fr-CA"/>
        </w:rPr>
      </w:pPr>
    </w:p>
    <w:p w:rsidR="00D579AD" w:rsidRPr="000F2B8C" w:rsidRDefault="00F37B57" w:rsidP="004E1A8C">
      <w:pPr>
        <w:rPr>
          <w:rFonts w:cs="Arial"/>
          <w:lang w:val="fr-CA"/>
        </w:rPr>
      </w:pPr>
      <w:r w:rsidRPr="000F2B8C">
        <w:rPr>
          <w:rFonts w:cs="Arial"/>
          <w:lang w:val="fr-CA"/>
        </w:rPr>
        <w:t>3</w:t>
      </w:r>
      <w:r w:rsidR="00AF3C71" w:rsidRPr="000F2B8C">
        <w:rPr>
          <w:rFonts w:cs="Arial"/>
          <w:lang w:val="fr-CA"/>
        </w:rPr>
        <w:t>.</w:t>
      </w:r>
      <w:r w:rsidR="00AF3C71" w:rsidRPr="000F2B8C">
        <w:rPr>
          <w:rFonts w:cs="Arial"/>
          <w:lang w:val="fr-CA"/>
        </w:rPr>
        <w:tab/>
      </w:r>
      <w:r w:rsidR="00B77777">
        <w:rPr>
          <w:rFonts w:cs="Arial"/>
          <w:lang w:val="fr-CA"/>
        </w:rPr>
        <w:t xml:space="preserve">RECONNAISSANT que des contraintes financières ont empêché </w:t>
      </w:r>
      <w:r w:rsidR="00AB1B41">
        <w:rPr>
          <w:rFonts w:cs="Arial"/>
          <w:lang w:val="fr-CA"/>
        </w:rPr>
        <w:t xml:space="preserve">de fournir </w:t>
      </w:r>
      <w:r w:rsidR="00B77777">
        <w:rPr>
          <w:rFonts w:cs="Arial"/>
          <w:lang w:val="fr-CA"/>
        </w:rPr>
        <w:t xml:space="preserve">un service linguistique </w:t>
      </w:r>
      <w:r w:rsidR="00AB1B41">
        <w:rPr>
          <w:rFonts w:cs="Arial"/>
          <w:lang w:val="fr-CA"/>
        </w:rPr>
        <w:t>total</w:t>
      </w:r>
      <w:r w:rsidR="00B77777">
        <w:rPr>
          <w:rFonts w:cs="Arial"/>
          <w:lang w:val="fr-CA"/>
        </w:rPr>
        <w:t xml:space="preserve"> et égal </w:t>
      </w:r>
      <w:r w:rsidR="00AB1B41">
        <w:rPr>
          <w:rFonts w:cs="Arial"/>
          <w:lang w:val="fr-CA"/>
        </w:rPr>
        <w:t>dans</w:t>
      </w:r>
      <w:r w:rsidR="00B77777">
        <w:rPr>
          <w:rFonts w:cs="Arial"/>
          <w:lang w:val="fr-CA"/>
        </w:rPr>
        <w:t xml:space="preserve"> les langues officielles de la Convention, l’anglais, le français et l’espagnol; </w:t>
      </w:r>
    </w:p>
    <w:p w:rsidR="00D579AD" w:rsidRPr="000F2B8C" w:rsidRDefault="00D579AD" w:rsidP="004E1A8C">
      <w:pPr>
        <w:rPr>
          <w:rFonts w:cs="Arial"/>
          <w:lang w:val="fr-CA"/>
        </w:rPr>
      </w:pPr>
    </w:p>
    <w:p w:rsidR="00E84D2E" w:rsidRPr="000F2B8C" w:rsidRDefault="00F37B57" w:rsidP="004E1A8C">
      <w:pPr>
        <w:rPr>
          <w:rFonts w:cs="Arial"/>
          <w:lang w:val="fr-CA"/>
        </w:rPr>
      </w:pPr>
      <w:r w:rsidRPr="000F2B8C">
        <w:rPr>
          <w:rFonts w:cs="Arial"/>
          <w:lang w:val="fr-CA"/>
        </w:rPr>
        <w:t>4</w:t>
      </w:r>
      <w:r w:rsidR="00F70414" w:rsidRPr="000F2B8C">
        <w:rPr>
          <w:rFonts w:cs="Arial"/>
          <w:lang w:val="fr-CA"/>
        </w:rPr>
        <w:t>.</w:t>
      </w:r>
      <w:r w:rsidR="00F70414" w:rsidRPr="000F2B8C">
        <w:rPr>
          <w:rFonts w:cs="Arial"/>
          <w:lang w:val="fr-CA"/>
        </w:rPr>
        <w:tab/>
      </w:r>
      <w:r w:rsidR="00AF3C71" w:rsidRPr="000F2B8C">
        <w:rPr>
          <w:rFonts w:cs="Arial"/>
          <w:lang w:val="fr-CA"/>
        </w:rPr>
        <w:t>CONSID</w:t>
      </w:r>
      <w:r w:rsidR="00B77777">
        <w:rPr>
          <w:rFonts w:cs="Arial"/>
          <w:lang w:val="fr-CA"/>
        </w:rPr>
        <w:t xml:space="preserve">ÉRANT que l’utilisation de langues additionnelles, en particulier l’arabe, dans les travaux quotidiens de la Convention, pourrait encourager l’engagement d’un plus grand nombre de Parties contractantes </w:t>
      </w:r>
      <w:r w:rsidR="00AB1B41">
        <w:rPr>
          <w:rFonts w:cs="Arial"/>
          <w:lang w:val="fr-CA"/>
        </w:rPr>
        <w:t>auprès de</w:t>
      </w:r>
      <w:r w:rsidR="00B77777">
        <w:rPr>
          <w:rFonts w:cs="Arial"/>
          <w:lang w:val="fr-CA"/>
        </w:rPr>
        <w:t xml:space="preserve"> la Convention et aider les Parties contractantes à sensibiliser </w:t>
      </w:r>
      <w:r w:rsidR="00AB1B41">
        <w:rPr>
          <w:rFonts w:cs="Arial"/>
          <w:lang w:val="fr-CA"/>
        </w:rPr>
        <w:t xml:space="preserve">à la Convention </w:t>
      </w:r>
      <w:r w:rsidR="00B77777">
        <w:rPr>
          <w:rFonts w:cs="Arial"/>
          <w:lang w:val="fr-CA"/>
        </w:rPr>
        <w:t xml:space="preserve">et à </w:t>
      </w:r>
      <w:r w:rsidR="00AB1B41">
        <w:rPr>
          <w:rFonts w:cs="Arial"/>
          <w:lang w:val="fr-CA"/>
        </w:rPr>
        <w:t xml:space="preserve">en </w:t>
      </w:r>
      <w:r w:rsidR="00B77777">
        <w:rPr>
          <w:rFonts w:cs="Arial"/>
          <w:lang w:val="fr-CA"/>
        </w:rPr>
        <w:t>améliorer l</w:t>
      </w:r>
      <w:r w:rsidR="00AB1B41">
        <w:rPr>
          <w:rFonts w:cs="Arial"/>
          <w:lang w:val="fr-CA"/>
        </w:rPr>
        <w:t>’</w:t>
      </w:r>
      <w:r w:rsidR="00B77777">
        <w:rPr>
          <w:rFonts w:cs="Arial"/>
          <w:lang w:val="fr-CA"/>
        </w:rPr>
        <w:t>application</w:t>
      </w:r>
      <w:r w:rsidR="00E84D2E" w:rsidRPr="000F2B8C">
        <w:rPr>
          <w:rFonts w:cs="Arial"/>
          <w:lang w:val="fr-CA"/>
        </w:rPr>
        <w:t>;</w:t>
      </w:r>
    </w:p>
    <w:p w:rsidR="007F0985" w:rsidRPr="000F2B8C" w:rsidRDefault="007F0985" w:rsidP="00F37B57">
      <w:pPr>
        <w:rPr>
          <w:rFonts w:cs="Arial"/>
          <w:lang w:val="fr-CA"/>
        </w:rPr>
      </w:pPr>
    </w:p>
    <w:p w:rsidR="007F0985" w:rsidRPr="000F2B8C" w:rsidRDefault="00B22005" w:rsidP="00E62471">
      <w:pPr>
        <w:rPr>
          <w:rFonts w:cs="Arial"/>
          <w:lang w:val="fr-CA"/>
        </w:rPr>
      </w:pPr>
      <w:r w:rsidRPr="000F2B8C">
        <w:rPr>
          <w:rFonts w:cs="Arial"/>
          <w:lang w:val="fr-CA"/>
        </w:rPr>
        <w:lastRenderedPageBreak/>
        <w:t>5.</w:t>
      </w:r>
      <w:r w:rsidRPr="000F2B8C">
        <w:rPr>
          <w:rFonts w:cs="Arial"/>
          <w:lang w:val="fr-CA"/>
        </w:rPr>
        <w:tab/>
      </w:r>
      <w:r w:rsidR="007F0985" w:rsidRPr="000F2B8C">
        <w:rPr>
          <w:rFonts w:cs="Arial"/>
          <w:lang w:val="fr-CA"/>
        </w:rPr>
        <w:t>NOT</w:t>
      </w:r>
      <w:r w:rsidR="00B77777">
        <w:rPr>
          <w:rFonts w:cs="Arial"/>
          <w:lang w:val="fr-CA"/>
        </w:rPr>
        <w:t xml:space="preserve">ANT l’intérêt exprimé par un nombre croissant de pays arabophones </w:t>
      </w:r>
      <w:r w:rsidR="00AB1B41">
        <w:rPr>
          <w:rFonts w:cs="Arial"/>
          <w:lang w:val="fr-CA"/>
        </w:rPr>
        <w:t xml:space="preserve">pour l’adhésion à la Convention de Ramsar </w:t>
      </w:r>
      <w:r w:rsidR="00B77777">
        <w:rPr>
          <w:rFonts w:cs="Arial"/>
          <w:lang w:val="fr-CA"/>
        </w:rPr>
        <w:t xml:space="preserve">et un intérêt accru </w:t>
      </w:r>
      <w:r w:rsidR="00AB1B41">
        <w:rPr>
          <w:rFonts w:cs="Arial"/>
          <w:lang w:val="fr-CA"/>
        </w:rPr>
        <w:t>pour</w:t>
      </w:r>
      <w:r w:rsidR="00B77777">
        <w:rPr>
          <w:rFonts w:cs="Arial"/>
          <w:lang w:val="fr-CA"/>
        </w:rPr>
        <w:t xml:space="preserve"> l’application de la Convention par les Parties contractantes arabophones;</w:t>
      </w:r>
    </w:p>
    <w:p w:rsidR="007F0985" w:rsidRPr="000F2B8C" w:rsidRDefault="007F0985" w:rsidP="00E62471">
      <w:pPr>
        <w:rPr>
          <w:rFonts w:cs="Arial"/>
          <w:lang w:val="fr-CA"/>
        </w:rPr>
      </w:pPr>
    </w:p>
    <w:p w:rsidR="007F0985" w:rsidRPr="000F2B8C" w:rsidRDefault="00027BE9" w:rsidP="00E62471">
      <w:pPr>
        <w:rPr>
          <w:rFonts w:cs="Arial"/>
          <w:lang w:val="fr-CA"/>
        </w:rPr>
      </w:pPr>
      <w:r w:rsidRPr="000F2B8C">
        <w:rPr>
          <w:rFonts w:cs="Arial"/>
          <w:lang w:val="fr-CA"/>
        </w:rPr>
        <w:t>6.</w:t>
      </w:r>
      <w:r w:rsidRPr="000F2B8C">
        <w:rPr>
          <w:rFonts w:cs="Arial"/>
          <w:lang w:val="fr-CA"/>
        </w:rPr>
        <w:tab/>
      </w:r>
      <w:r w:rsidR="007F0985" w:rsidRPr="000F2B8C">
        <w:rPr>
          <w:rFonts w:cs="Arial"/>
          <w:lang w:val="fr-CA"/>
        </w:rPr>
        <w:t>APPR</w:t>
      </w:r>
      <w:r w:rsidR="00B77777">
        <w:rPr>
          <w:rFonts w:cs="Arial"/>
          <w:lang w:val="fr-CA"/>
        </w:rPr>
        <w:t xml:space="preserve">ÉCIANT </w:t>
      </w:r>
      <w:r w:rsidR="00F307B5">
        <w:rPr>
          <w:rFonts w:cs="Arial"/>
          <w:lang w:val="fr-CA"/>
        </w:rPr>
        <w:t>la diversité</w:t>
      </w:r>
      <w:r w:rsidR="00B77777">
        <w:rPr>
          <w:rFonts w:cs="Arial"/>
          <w:lang w:val="fr-CA"/>
        </w:rPr>
        <w:t xml:space="preserve"> des types de zones humides particuliers tels que </w:t>
      </w:r>
      <w:r w:rsidR="006F0B97">
        <w:rPr>
          <w:rFonts w:cs="Arial"/>
          <w:lang w:val="fr-CA"/>
        </w:rPr>
        <w:t xml:space="preserve">les </w:t>
      </w:r>
      <w:r w:rsidR="00B77777">
        <w:rPr>
          <w:rFonts w:cs="Arial"/>
          <w:lang w:val="fr-CA"/>
        </w:rPr>
        <w:t>oueds, les sebkhas et les oasis des pays arabophones et le fait que ces zones humides sont sous</w:t>
      </w:r>
      <w:r w:rsidR="00B77777">
        <w:rPr>
          <w:rFonts w:cs="Arial"/>
          <w:lang w:val="fr-CA"/>
        </w:rPr>
        <w:noBreakHyphen/>
        <w:t xml:space="preserve">représentées parmi les Sites Ramsar du réseau, ainsi que la présence d’organisations et de personnes dans cette région qui ont une expérience de la conservation et de l’utilisation rationnelle des zones humides et dont la contribution serait </w:t>
      </w:r>
      <w:r w:rsidR="00F307B5">
        <w:rPr>
          <w:rFonts w:cs="Arial"/>
          <w:lang w:val="fr-CA"/>
        </w:rPr>
        <w:t>utile au renforcement de</w:t>
      </w:r>
      <w:r w:rsidR="00B77777">
        <w:rPr>
          <w:rFonts w:cs="Arial"/>
          <w:lang w:val="fr-CA"/>
        </w:rPr>
        <w:t xml:space="preserve"> l’application de la Convention;</w:t>
      </w:r>
    </w:p>
    <w:p w:rsidR="007F0985" w:rsidRPr="000F2B8C" w:rsidRDefault="007F0985" w:rsidP="00E62471">
      <w:pPr>
        <w:rPr>
          <w:rFonts w:cs="Arial"/>
          <w:lang w:val="fr-CA"/>
        </w:rPr>
      </w:pPr>
    </w:p>
    <w:p w:rsidR="007F0985" w:rsidRPr="000F2B8C" w:rsidRDefault="00027BE9" w:rsidP="00E62471">
      <w:pPr>
        <w:rPr>
          <w:rFonts w:cs="Arial"/>
          <w:lang w:val="fr-CA"/>
        </w:rPr>
      </w:pPr>
      <w:r w:rsidRPr="001F41A4">
        <w:rPr>
          <w:rFonts w:cs="Arial"/>
          <w:lang w:val="fr-CA"/>
        </w:rPr>
        <w:t>7.</w:t>
      </w:r>
      <w:r w:rsidR="007347ED" w:rsidRPr="001F41A4">
        <w:rPr>
          <w:rFonts w:cs="Arial"/>
          <w:lang w:val="fr-CA"/>
        </w:rPr>
        <w:tab/>
      </w:r>
      <w:r w:rsidR="00244D44" w:rsidRPr="001F41A4">
        <w:rPr>
          <w:rFonts w:cs="Arial"/>
          <w:lang w:val="fr-CA"/>
        </w:rPr>
        <w:t>CONSCIENTE de</w:t>
      </w:r>
      <w:r w:rsidR="001F41A4" w:rsidRPr="001F41A4">
        <w:rPr>
          <w:rFonts w:cs="Arial"/>
          <w:lang w:val="fr-CA"/>
        </w:rPr>
        <w:t>s différentes</w:t>
      </w:r>
      <w:r w:rsidR="00244D44" w:rsidRPr="001F41A4">
        <w:rPr>
          <w:rFonts w:cs="Arial"/>
          <w:lang w:val="fr-CA"/>
        </w:rPr>
        <w:t xml:space="preserve"> pressions pesant sur les zones humides dans les pays arabophones et d’autres pays, à la lumière des demandes croissantes d</w:t>
      </w:r>
      <w:r w:rsidR="001F41A4" w:rsidRPr="001F41A4">
        <w:rPr>
          <w:rFonts w:cs="Arial"/>
          <w:lang w:val="fr-CA"/>
        </w:rPr>
        <w:t>’une</w:t>
      </w:r>
      <w:r w:rsidR="00244D44" w:rsidRPr="001F41A4">
        <w:rPr>
          <w:rFonts w:cs="Arial"/>
          <w:lang w:val="fr-CA"/>
        </w:rPr>
        <w:t xml:space="preserve"> population en expansion d</w:t>
      </w:r>
      <w:r w:rsidR="001F41A4" w:rsidRPr="001F41A4">
        <w:rPr>
          <w:rFonts w:cs="Arial"/>
          <w:lang w:val="fr-CA"/>
        </w:rPr>
        <w:t>ans</w:t>
      </w:r>
      <w:r w:rsidR="00244D44" w:rsidRPr="001F41A4">
        <w:rPr>
          <w:rFonts w:cs="Arial"/>
          <w:lang w:val="fr-CA"/>
        </w:rPr>
        <w:t xml:space="preserve"> cette région</w:t>
      </w:r>
      <w:r w:rsidR="001F41A4" w:rsidRPr="001F41A4">
        <w:rPr>
          <w:rFonts w:cs="Arial"/>
          <w:lang w:val="fr-CA"/>
        </w:rPr>
        <w:t>,</w:t>
      </w:r>
      <w:r w:rsidR="00244D44" w:rsidRPr="001F41A4">
        <w:rPr>
          <w:rFonts w:cs="Arial"/>
          <w:lang w:val="fr-CA"/>
        </w:rPr>
        <w:t xml:space="preserve"> de la disponibilité de l’eau </w:t>
      </w:r>
      <w:r w:rsidR="001F41A4" w:rsidRPr="001F41A4">
        <w:rPr>
          <w:rFonts w:cs="Arial"/>
          <w:lang w:val="fr-CA"/>
        </w:rPr>
        <w:t>tributaire de changements dans le régime des</w:t>
      </w:r>
      <w:r w:rsidR="00244D44" w:rsidRPr="001F41A4">
        <w:rPr>
          <w:rFonts w:cs="Arial"/>
          <w:lang w:val="fr-CA"/>
        </w:rPr>
        <w:t xml:space="preserve"> précipitations</w:t>
      </w:r>
      <w:r w:rsidR="00F307B5" w:rsidRPr="001F41A4">
        <w:rPr>
          <w:rFonts w:cs="Arial"/>
          <w:lang w:val="fr-CA"/>
        </w:rPr>
        <w:t>,</w:t>
      </w:r>
      <w:r w:rsidR="00244D44" w:rsidRPr="001F41A4">
        <w:rPr>
          <w:rFonts w:cs="Arial"/>
          <w:lang w:val="fr-CA"/>
        </w:rPr>
        <w:t xml:space="preserve"> de structures d’utilisation non durable et </w:t>
      </w:r>
      <w:r w:rsidR="001F41A4" w:rsidRPr="001F41A4">
        <w:rPr>
          <w:rFonts w:cs="Arial"/>
          <w:lang w:val="fr-CA"/>
        </w:rPr>
        <w:t>d</w:t>
      </w:r>
      <w:r w:rsidR="00244D44" w:rsidRPr="001F41A4">
        <w:rPr>
          <w:rFonts w:cs="Arial"/>
          <w:lang w:val="fr-CA"/>
        </w:rPr>
        <w:t>e</w:t>
      </w:r>
      <w:r w:rsidR="001F41A4" w:rsidRPr="001F41A4">
        <w:rPr>
          <w:rFonts w:cs="Arial"/>
          <w:lang w:val="fr-CA"/>
        </w:rPr>
        <w:t xml:space="preserve"> l’évolution du climat</w:t>
      </w:r>
      <w:r w:rsidR="00244D44" w:rsidRPr="001F41A4">
        <w:rPr>
          <w:rFonts w:cs="Arial"/>
          <w:lang w:val="fr-CA"/>
        </w:rPr>
        <w:t>;</w:t>
      </w:r>
      <w:r w:rsidR="00244D44">
        <w:rPr>
          <w:rFonts w:cs="Arial"/>
          <w:lang w:val="fr-CA"/>
        </w:rPr>
        <w:t xml:space="preserve"> </w:t>
      </w:r>
    </w:p>
    <w:p w:rsidR="00CB6A8F" w:rsidRPr="000F2B8C" w:rsidRDefault="00CB6A8F" w:rsidP="00CB6A8F">
      <w:pPr>
        <w:rPr>
          <w:rFonts w:cs="Arial"/>
          <w:lang w:val="fr-CA"/>
        </w:rPr>
      </w:pPr>
    </w:p>
    <w:p w:rsidR="00CB6A8F" w:rsidRPr="000F2B8C" w:rsidRDefault="00027BE9" w:rsidP="00CB6A8F">
      <w:pPr>
        <w:rPr>
          <w:rFonts w:cs="Arial"/>
          <w:lang w:val="fr-CA"/>
        </w:rPr>
      </w:pPr>
      <w:r w:rsidRPr="000F2B8C">
        <w:rPr>
          <w:rFonts w:cs="Arial"/>
          <w:lang w:val="fr-CA"/>
        </w:rPr>
        <w:t>8</w:t>
      </w:r>
      <w:r w:rsidR="00CB6A8F" w:rsidRPr="000F2B8C">
        <w:rPr>
          <w:rFonts w:cs="Arial"/>
          <w:lang w:val="fr-CA"/>
        </w:rPr>
        <w:t>.</w:t>
      </w:r>
      <w:r w:rsidR="00CB6A8F" w:rsidRPr="000F2B8C">
        <w:rPr>
          <w:rFonts w:cs="Arial"/>
          <w:lang w:val="fr-CA"/>
        </w:rPr>
        <w:tab/>
        <w:t>APP</w:t>
      </w:r>
      <w:r w:rsidR="00A46A31">
        <w:rPr>
          <w:rFonts w:cs="Arial"/>
          <w:lang w:val="fr-CA"/>
        </w:rPr>
        <w:t>R</w:t>
      </w:r>
      <w:r w:rsidR="00244D44">
        <w:rPr>
          <w:rFonts w:cs="Arial"/>
          <w:lang w:val="fr-CA"/>
        </w:rPr>
        <w:t xml:space="preserve">ÉCIANT les travaux du Comité permanent et de son </w:t>
      </w:r>
      <w:r w:rsidR="001F41A4">
        <w:rPr>
          <w:rFonts w:cs="Arial"/>
          <w:lang w:val="fr-CA"/>
        </w:rPr>
        <w:t>g</w:t>
      </w:r>
      <w:r w:rsidR="00244D44">
        <w:rPr>
          <w:rFonts w:cs="Arial"/>
          <w:lang w:val="fr-CA"/>
        </w:rPr>
        <w:t xml:space="preserve">roupe de travail sur la stratégie pour les langues pour leurs travaux concernant l’élaboration d’une stratégie pour les langues pour la Convention; </w:t>
      </w:r>
    </w:p>
    <w:p w:rsidR="007F0985" w:rsidRPr="000F2B8C" w:rsidRDefault="007F0985" w:rsidP="007F0985">
      <w:pPr>
        <w:suppressAutoHyphens/>
        <w:ind w:left="426" w:hanging="426"/>
        <w:rPr>
          <w:rFonts w:asciiTheme="minorHAnsi" w:hAnsiTheme="minorHAnsi"/>
          <w:lang w:val="fr-CA"/>
        </w:rPr>
      </w:pPr>
    </w:p>
    <w:p w:rsidR="007F0985" w:rsidRPr="000F2B8C" w:rsidRDefault="007F0985" w:rsidP="00F37B57">
      <w:pPr>
        <w:rPr>
          <w:rFonts w:cs="Arial"/>
          <w:lang w:val="fr-CA"/>
        </w:rPr>
      </w:pPr>
    </w:p>
    <w:p w:rsidR="007F0985" w:rsidRPr="000F2B8C" w:rsidRDefault="007F0985" w:rsidP="00F37B57">
      <w:pPr>
        <w:rPr>
          <w:rFonts w:cs="Arial"/>
          <w:lang w:val="fr-CA"/>
        </w:rPr>
      </w:pPr>
      <w:r w:rsidRPr="000F2B8C">
        <w:rPr>
          <w:rFonts w:cs="Arial"/>
          <w:lang w:val="fr-CA"/>
        </w:rPr>
        <w:t>---------------</w:t>
      </w:r>
      <w:r w:rsidR="00480B6A" w:rsidRPr="000F2B8C">
        <w:rPr>
          <w:rFonts w:cs="Arial"/>
          <w:lang w:val="fr-CA"/>
        </w:rPr>
        <w:t>-------------</w:t>
      </w:r>
    </w:p>
    <w:p w:rsidR="007D368A" w:rsidRPr="000F2B8C" w:rsidRDefault="007D368A" w:rsidP="00F37B57">
      <w:pPr>
        <w:rPr>
          <w:rFonts w:cs="Arial"/>
          <w:lang w:val="fr-CA"/>
        </w:rPr>
      </w:pPr>
    </w:p>
    <w:p w:rsidR="00FD64D1" w:rsidRPr="000F2B8C" w:rsidRDefault="00FD64D1" w:rsidP="00FD64D1">
      <w:pPr>
        <w:rPr>
          <w:rFonts w:cs="Arial"/>
          <w:b/>
          <w:lang w:val="fr-CA"/>
        </w:rPr>
      </w:pPr>
      <w:r w:rsidRPr="000F2B8C">
        <w:rPr>
          <w:rFonts w:cs="Arial"/>
          <w:b/>
          <w:lang w:val="fr-CA"/>
        </w:rPr>
        <w:t>B</w:t>
      </w:r>
      <w:r w:rsidR="00244D44">
        <w:rPr>
          <w:rFonts w:cs="Arial"/>
          <w:b/>
          <w:lang w:val="fr-CA"/>
        </w:rPr>
        <w:t> </w:t>
      </w:r>
      <w:r w:rsidRPr="000F2B8C">
        <w:rPr>
          <w:rFonts w:cs="Arial"/>
          <w:b/>
          <w:lang w:val="fr-CA"/>
        </w:rPr>
        <w:t>:</w:t>
      </w:r>
    </w:p>
    <w:p w:rsidR="00EF4156" w:rsidRPr="000F2B8C" w:rsidRDefault="00EF4156" w:rsidP="00504D36">
      <w:pPr>
        <w:ind w:left="0" w:firstLine="0"/>
        <w:rPr>
          <w:rFonts w:cs="Arial"/>
          <w:b/>
          <w:lang w:val="fr-CA"/>
        </w:rPr>
      </w:pPr>
      <w:r w:rsidRPr="000F2B8C">
        <w:rPr>
          <w:rFonts w:cs="Arial"/>
          <w:b/>
          <w:lang w:val="fr-CA"/>
        </w:rPr>
        <w:t>I</w:t>
      </w:r>
      <w:r w:rsidR="00244D44">
        <w:rPr>
          <w:rFonts w:cs="Arial"/>
          <w:b/>
          <w:lang w:val="fr-CA"/>
        </w:rPr>
        <w:t xml:space="preserve">l est proposé que le texte suivant soit intégré dans la section du dispositif </w:t>
      </w:r>
      <w:r w:rsidR="00504D36">
        <w:rPr>
          <w:rFonts w:cs="Arial"/>
          <w:b/>
          <w:lang w:val="fr-CA"/>
        </w:rPr>
        <w:t>du projet de résolution,</w:t>
      </w:r>
      <w:r w:rsidR="00244D44">
        <w:rPr>
          <w:rFonts w:cs="Arial"/>
          <w:b/>
          <w:lang w:val="fr-CA"/>
        </w:rPr>
        <w:t xml:space="preserve"> avec l’annexe 1 à laquelle il se réfère. </w:t>
      </w:r>
      <w:r w:rsidR="00904A8F" w:rsidRPr="000F2B8C">
        <w:rPr>
          <w:rFonts w:cs="Arial"/>
          <w:b/>
          <w:lang w:val="fr-CA"/>
        </w:rPr>
        <w:t xml:space="preserve"> </w:t>
      </w:r>
    </w:p>
    <w:p w:rsidR="00C605EF" w:rsidRPr="000F2B8C" w:rsidRDefault="00C605EF" w:rsidP="00FD64D1">
      <w:pPr>
        <w:ind w:left="0" w:firstLine="0"/>
        <w:rPr>
          <w:rFonts w:cs="Arial"/>
          <w:lang w:val="fr-CA"/>
        </w:rPr>
      </w:pPr>
    </w:p>
    <w:p w:rsidR="005A5641" w:rsidRPr="000F2B8C" w:rsidRDefault="00244D44" w:rsidP="00FD64D1">
      <w:pPr>
        <w:ind w:left="0" w:firstLine="0"/>
        <w:rPr>
          <w:rFonts w:cs="Arial"/>
          <w:lang w:val="fr-CA"/>
        </w:rPr>
      </w:pPr>
      <w:r>
        <w:rPr>
          <w:rFonts w:cs="Arial"/>
          <w:lang w:val="fr-CA"/>
        </w:rPr>
        <w:t xml:space="preserve">Il convient de noter que le deuxième et le troisième paragraphe sont les paragraphes 30 et 31 existants. </w:t>
      </w:r>
    </w:p>
    <w:p w:rsidR="00FD64D1" w:rsidRPr="000F2B8C" w:rsidRDefault="00244D44" w:rsidP="00FD64D1">
      <w:pPr>
        <w:ind w:left="0" w:firstLine="0"/>
        <w:rPr>
          <w:rFonts w:cs="Arial"/>
          <w:lang w:val="fr-CA"/>
        </w:rPr>
      </w:pPr>
      <w:r>
        <w:rPr>
          <w:rFonts w:cs="Arial"/>
          <w:lang w:val="fr-CA"/>
        </w:rPr>
        <w:t xml:space="preserve">Les paragraphes </w:t>
      </w:r>
      <w:r w:rsidR="00886384">
        <w:rPr>
          <w:rFonts w:cs="Arial"/>
          <w:lang w:val="fr-CA"/>
        </w:rPr>
        <w:t>qu’il est proposé de remplacer</w:t>
      </w:r>
      <w:r>
        <w:rPr>
          <w:rFonts w:cs="Arial"/>
          <w:lang w:val="fr-CA"/>
        </w:rPr>
        <w:t xml:space="preserve"> établissent le processus qui a conduit à la préparation du présent document.</w:t>
      </w:r>
    </w:p>
    <w:p w:rsidR="00FD64D1" w:rsidRPr="000F2B8C" w:rsidRDefault="00480B6A" w:rsidP="00FD64D1">
      <w:pPr>
        <w:rPr>
          <w:rFonts w:cs="Arial"/>
          <w:lang w:val="fr-CA"/>
        </w:rPr>
      </w:pPr>
      <w:r w:rsidRPr="000F2B8C">
        <w:rPr>
          <w:rFonts w:cs="Arial"/>
          <w:lang w:val="fr-CA"/>
        </w:rPr>
        <w:t>-----------</w:t>
      </w:r>
    </w:p>
    <w:p w:rsidR="001A4E43" w:rsidRPr="000F2B8C" w:rsidRDefault="001A4E43" w:rsidP="00880240">
      <w:pPr>
        <w:rPr>
          <w:rFonts w:cs="Arial"/>
          <w:lang w:val="fr-CA"/>
        </w:rPr>
      </w:pPr>
    </w:p>
    <w:p w:rsidR="001A4E43" w:rsidRPr="000F2B8C" w:rsidRDefault="001A4E43" w:rsidP="00880240">
      <w:pPr>
        <w:rPr>
          <w:rFonts w:cs="Arial"/>
          <w:u w:val="single"/>
          <w:lang w:val="fr-CA"/>
        </w:rPr>
      </w:pPr>
      <w:r w:rsidRPr="000F2B8C">
        <w:rPr>
          <w:rFonts w:cs="Arial"/>
          <w:u w:val="single"/>
          <w:lang w:val="fr-CA"/>
        </w:rPr>
        <w:t>Con</w:t>
      </w:r>
      <w:r w:rsidR="00244D44">
        <w:rPr>
          <w:rFonts w:cs="Arial"/>
          <w:u w:val="single"/>
          <w:lang w:val="fr-CA"/>
        </w:rPr>
        <w:t xml:space="preserve">cernant une stratégie pour les langues pour la </w:t>
      </w:r>
      <w:r w:rsidRPr="000F2B8C">
        <w:rPr>
          <w:rFonts w:cs="Arial"/>
          <w:u w:val="single"/>
          <w:lang w:val="fr-CA"/>
        </w:rPr>
        <w:t>Convention</w:t>
      </w:r>
    </w:p>
    <w:p w:rsidR="001A4E43" w:rsidRPr="000F2B8C" w:rsidRDefault="001A4E43" w:rsidP="00880240">
      <w:pPr>
        <w:rPr>
          <w:rFonts w:cs="Arial"/>
          <w:lang w:val="fr-CA"/>
        </w:rPr>
      </w:pPr>
    </w:p>
    <w:p w:rsidR="003B7EF8" w:rsidRPr="000F2B8C" w:rsidRDefault="001A4E43" w:rsidP="00880240">
      <w:pPr>
        <w:rPr>
          <w:rFonts w:cs="Arial"/>
          <w:lang w:val="fr-CA"/>
        </w:rPr>
      </w:pPr>
      <w:r w:rsidRPr="000F2B8C">
        <w:rPr>
          <w:rFonts w:cs="Arial"/>
          <w:lang w:val="fr-CA"/>
        </w:rPr>
        <w:t>26</w:t>
      </w:r>
      <w:r w:rsidR="00880240" w:rsidRPr="000F2B8C">
        <w:rPr>
          <w:rFonts w:cs="Arial"/>
          <w:lang w:val="fr-CA"/>
        </w:rPr>
        <w:t>.</w:t>
      </w:r>
      <w:r w:rsidR="00880240" w:rsidRPr="000F2B8C">
        <w:rPr>
          <w:rFonts w:cs="Arial"/>
          <w:lang w:val="fr-CA"/>
        </w:rPr>
        <w:tab/>
      </w:r>
      <w:r w:rsidR="008B4622" w:rsidRPr="000F2B8C">
        <w:rPr>
          <w:rFonts w:cs="Arial"/>
          <w:lang w:val="fr-CA"/>
        </w:rPr>
        <w:t>ADOPT</w:t>
      </w:r>
      <w:r w:rsidR="00244D44">
        <w:rPr>
          <w:rFonts w:cs="Arial"/>
          <w:lang w:val="fr-CA"/>
        </w:rPr>
        <w:t xml:space="preserve">E la stratégie pour les langues pour la Convention de Ramsar sur les zones humides présentée en annexe 1. </w:t>
      </w:r>
      <w:r w:rsidR="008B4622" w:rsidRPr="000F2B8C">
        <w:rPr>
          <w:rFonts w:cs="Arial"/>
          <w:lang w:val="fr-CA"/>
        </w:rPr>
        <w:t xml:space="preserve"> </w:t>
      </w:r>
    </w:p>
    <w:p w:rsidR="003B7EF8" w:rsidRPr="000F2B8C" w:rsidRDefault="003B7EF8" w:rsidP="00880240">
      <w:pPr>
        <w:rPr>
          <w:rFonts w:cs="Arial"/>
          <w:lang w:val="fr-CA"/>
        </w:rPr>
      </w:pPr>
    </w:p>
    <w:p w:rsidR="00886384" w:rsidRPr="00886384" w:rsidRDefault="003B7EF8" w:rsidP="00886384">
      <w:pPr>
        <w:rPr>
          <w:rFonts w:cs="Arial"/>
          <w:lang w:val="fr-CA"/>
        </w:rPr>
      </w:pPr>
      <w:r w:rsidRPr="000F2B8C">
        <w:rPr>
          <w:rFonts w:cs="Arial"/>
          <w:lang w:val="fr-CA"/>
        </w:rPr>
        <w:t>27.</w:t>
      </w:r>
      <w:r w:rsidRPr="000F2B8C">
        <w:rPr>
          <w:rFonts w:cs="Arial"/>
          <w:lang w:val="fr-CA"/>
        </w:rPr>
        <w:tab/>
      </w:r>
      <w:r w:rsidR="00886384" w:rsidRPr="00886384">
        <w:rPr>
          <w:rFonts w:cs="Arial"/>
          <w:lang w:val="fr-CA"/>
        </w:rPr>
        <w:t>ENCOURAGE les Parties contractantes à fournir la traduction des documents d’information Ramsar les plus importants dans leurs propres langues officielles et à rendre la traduction accessible au public, sur le site web de Ramsar.</w:t>
      </w:r>
    </w:p>
    <w:p w:rsidR="00886384" w:rsidRPr="00886384" w:rsidRDefault="00886384" w:rsidP="00886384">
      <w:pPr>
        <w:rPr>
          <w:rFonts w:cs="Arial"/>
          <w:lang w:val="fr-CA"/>
        </w:rPr>
      </w:pPr>
    </w:p>
    <w:p w:rsidR="003B7EF8" w:rsidRPr="000F2B8C" w:rsidRDefault="00886384" w:rsidP="00886384">
      <w:pPr>
        <w:rPr>
          <w:rFonts w:cs="Arial"/>
          <w:lang w:val="fr-CA"/>
        </w:rPr>
      </w:pPr>
      <w:r>
        <w:rPr>
          <w:rFonts w:cs="Arial"/>
          <w:lang w:val="fr-CA"/>
        </w:rPr>
        <w:t>28</w:t>
      </w:r>
      <w:r w:rsidRPr="00886384">
        <w:rPr>
          <w:rFonts w:cs="Arial"/>
          <w:lang w:val="fr-CA"/>
        </w:rPr>
        <w:t>.</w:t>
      </w:r>
      <w:r w:rsidRPr="00886384">
        <w:rPr>
          <w:rFonts w:cs="Arial"/>
          <w:lang w:val="fr-CA"/>
        </w:rPr>
        <w:tab/>
        <w:t>DONNE INSTRUCTION au Secrétariat, sous réserve des ressources disponibles, avec l’aide des Parties contractantes et des Centres régionaux, et les orientations du Groupe de travail sur la gestion, de créer une bibliothèque en ligne de documents Ramsar traduits par les gouvernements, officiels et non officiels, accessibles au public et de faire rapport sur les progrès à la COP13; et DEMANDE aux Parties contractantes de communiquer ces documents au Secrétariat</w:t>
      </w:r>
      <w:r w:rsidR="00244D44">
        <w:rPr>
          <w:rFonts w:cs="Arial"/>
          <w:lang w:val="fr-CA"/>
        </w:rPr>
        <w:t xml:space="preserve">.  </w:t>
      </w:r>
    </w:p>
    <w:p w:rsidR="008B4622" w:rsidRPr="000F2B8C" w:rsidRDefault="008B4622" w:rsidP="00880240">
      <w:pPr>
        <w:rPr>
          <w:rFonts w:cs="Arial"/>
          <w:lang w:val="fr-CA"/>
        </w:rPr>
      </w:pPr>
    </w:p>
    <w:p w:rsidR="003B7EF8" w:rsidRPr="00CF75E5" w:rsidRDefault="003B7EF8" w:rsidP="00C01BCF">
      <w:pPr>
        <w:jc w:val="center"/>
        <w:rPr>
          <w:rFonts w:cs="Arial"/>
          <w:b/>
          <w:lang w:val="fr-CA"/>
        </w:rPr>
      </w:pPr>
      <w:r w:rsidRPr="000F2B8C">
        <w:rPr>
          <w:rFonts w:cs="Arial"/>
          <w:lang w:val="fr-CA"/>
        </w:rPr>
        <w:br w:type="page"/>
      </w:r>
      <w:r w:rsidR="00C01BCF" w:rsidRPr="00CF75E5">
        <w:rPr>
          <w:rFonts w:cs="Arial"/>
          <w:b/>
          <w:lang w:val="fr-CA"/>
        </w:rPr>
        <w:lastRenderedPageBreak/>
        <w:t>Pro</w:t>
      </w:r>
      <w:r w:rsidR="00CF75E5">
        <w:rPr>
          <w:rFonts w:cs="Arial"/>
          <w:b/>
          <w:lang w:val="fr-CA"/>
        </w:rPr>
        <w:t>jet d’annexe</w:t>
      </w:r>
      <w:r w:rsidR="00C01BCF" w:rsidRPr="00CF75E5">
        <w:rPr>
          <w:rFonts w:cs="Arial"/>
          <w:b/>
          <w:lang w:val="fr-CA"/>
        </w:rPr>
        <w:t xml:space="preserve"> 1 </w:t>
      </w:r>
      <w:r w:rsidR="00504D36">
        <w:rPr>
          <w:rFonts w:cs="Arial"/>
          <w:b/>
          <w:bCs/>
          <w:sz w:val="24"/>
          <w:szCs w:val="24"/>
          <w:lang w:val="fr-CA"/>
        </w:rPr>
        <w:t xml:space="preserve">au projet de résolution XIII.xx, </w:t>
      </w:r>
      <w:r w:rsidR="00504D36" w:rsidRPr="00504D36">
        <w:rPr>
          <w:rFonts w:cs="Arial"/>
          <w:b/>
          <w:bCs/>
          <w:i/>
          <w:sz w:val="24"/>
          <w:szCs w:val="24"/>
          <w:lang w:val="fr-CA"/>
        </w:rPr>
        <w:t>Renforcement de la visibilité de la Convention et des synergies avec d’autres accords multilatéraux sur l’environnement et institutions internationales</w:t>
      </w:r>
    </w:p>
    <w:p w:rsidR="003B7EF8" w:rsidRPr="00CF75E5" w:rsidRDefault="003B7EF8" w:rsidP="00880240">
      <w:pPr>
        <w:rPr>
          <w:rFonts w:cs="Arial"/>
          <w:lang w:val="fr-CA"/>
        </w:rPr>
      </w:pPr>
    </w:p>
    <w:p w:rsidR="00A12C27" w:rsidRPr="00CF75E5" w:rsidRDefault="008E4CE3" w:rsidP="00C605EF">
      <w:pPr>
        <w:ind w:left="0" w:firstLine="0"/>
        <w:jc w:val="center"/>
        <w:rPr>
          <w:rFonts w:cs="Arial"/>
          <w:lang w:val="fr-CA"/>
        </w:rPr>
      </w:pPr>
      <w:r>
        <w:rPr>
          <w:rFonts w:cs="Arial"/>
          <w:lang w:val="fr-CA"/>
        </w:rPr>
        <w:t>Stratégie pour les langues pour</w:t>
      </w:r>
      <w:r w:rsidRPr="00CF75E5">
        <w:rPr>
          <w:rFonts w:cs="Arial"/>
          <w:lang w:val="fr-CA"/>
        </w:rPr>
        <w:t xml:space="preserve"> </w:t>
      </w:r>
      <w:r w:rsidR="00480B6A" w:rsidRPr="00CF75E5">
        <w:rPr>
          <w:rFonts w:cs="Arial"/>
          <w:lang w:val="fr-CA"/>
        </w:rPr>
        <w:br/>
      </w:r>
      <w:r>
        <w:rPr>
          <w:rFonts w:cs="Arial"/>
          <w:lang w:val="fr-CA"/>
        </w:rPr>
        <w:t>la Convention de Ramsar sur les zones humides</w:t>
      </w:r>
    </w:p>
    <w:p w:rsidR="0001314C" w:rsidRPr="00CF75E5" w:rsidRDefault="0001314C" w:rsidP="00880240">
      <w:pPr>
        <w:rPr>
          <w:rFonts w:cs="Arial"/>
          <w:lang w:val="fr-CA"/>
        </w:rPr>
      </w:pPr>
    </w:p>
    <w:p w:rsidR="00BB402F" w:rsidRPr="00CF75E5" w:rsidRDefault="00BB402F" w:rsidP="00880240">
      <w:pPr>
        <w:rPr>
          <w:rFonts w:cs="Arial"/>
          <w:lang w:val="fr-CA"/>
        </w:rPr>
      </w:pPr>
    </w:p>
    <w:p w:rsidR="008A29B0" w:rsidRPr="00CF75E5" w:rsidRDefault="008E4CE3" w:rsidP="00880240">
      <w:pPr>
        <w:rPr>
          <w:rFonts w:cs="Arial"/>
          <w:u w:val="single"/>
          <w:lang w:val="fr-CA"/>
        </w:rPr>
      </w:pPr>
      <w:r>
        <w:rPr>
          <w:rFonts w:cs="Arial"/>
          <w:u w:val="single"/>
          <w:lang w:val="fr-CA"/>
        </w:rPr>
        <w:t>Principe de base</w:t>
      </w:r>
    </w:p>
    <w:p w:rsidR="00BB402F" w:rsidRPr="00CF75E5" w:rsidRDefault="00BB402F" w:rsidP="00880240">
      <w:pPr>
        <w:rPr>
          <w:rFonts w:cs="Arial"/>
          <w:lang w:val="fr-CA"/>
        </w:rPr>
      </w:pPr>
    </w:p>
    <w:p w:rsidR="00AA10AE" w:rsidRPr="00CF75E5" w:rsidRDefault="008E4CE3" w:rsidP="008A29B0">
      <w:pPr>
        <w:ind w:left="0" w:firstLine="0"/>
        <w:rPr>
          <w:rFonts w:cs="Arial"/>
          <w:lang w:val="fr-CA"/>
        </w:rPr>
      </w:pPr>
      <w:r>
        <w:rPr>
          <w:rFonts w:cs="Arial"/>
          <w:lang w:val="fr-CA"/>
        </w:rPr>
        <w:t xml:space="preserve">La Conférence des Parties contractantes à la Convention de Ramsar sur les zones humides reconnaît que l’utilisation de langues multiples dans les travaux de la Convention, des organes </w:t>
      </w:r>
      <w:r w:rsidR="00886384">
        <w:rPr>
          <w:rFonts w:cs="Arial"/>
          <w:lang w:val="fr-CA"/>
        </w:rPr>
        <w:t>directeurs</w:t>
      </w:r>
      <w:r>
        <w:rPr>
          <w:rFonts w:cs="Arial"/>
          <w:lang w:val="fr-CA"/>
        </w:rPr>
        <w:t xml:space="preserve"> et subsidiaires et du Secrétariat pourrait : aider à améliorer l’application de la Convention par les Parties; rendre la Convention plus accessible à un plus vaste public; et susciter de l’intérêt et un engagement de la part d’États non parties. Toutefois, comme c’est le cas pour d’autres conventions, les contraintes budgétaires ont empêché de fournir un service linguistique dans les six langues officielles des Nations Unies. </w:t>
      </w:r>
    </w:p>
    <w:p w:rsidR="00AA10AE" w:rsidRPr="00CF75E5" w:rsidRDefault="00AA10AE" w:rsidP="008A29B0">
      <w:pPr>
        <w:ind w:left="0" w:firstLine="0"/>
        <w:rPr>
          <w:rFonts w:cs="Arial"/>
          <w:lang w:val="fr-CA"/>
        </w:rPr>
      </w:pPr>
    </w:p>
    <w:p w:rsidR="00685A30" w:rsidRPr="00CF75E5" w:rsidRDefault="00AA49ED" w:rsidP="008A29B0">
      <w:pPr>
        <w:ind w:left="0" w:firstLine="0"/>
        <w:rPr>
          <w:rFonts w:cs="Arial"/>
          <w:lang w:val="fr-CA"/>
        </w:rPr>
      </w:pPr>
      <w:r>
        <w:rPr>
          <w:rFonts w:cs="Arial"/>
          <w:lang w:val="fr-CA"/>
        </w:rPr>
        <w:t xml:space="preserve">La Conférence des Parties contractantes convient que les principaux objectifs d’une stratégie linguistique sont : </w:t>
      </w:r>
    </w:p>
    <w:p w:rsidR="001352E8" w:rsidRPr="00CF75E5" w:rsidRDefault="00685A30" w:rsidP="00C605EF">
      <w:pPr>
        <w:rPr>
          <w:rFonts w:cs="Arial"/>
          <w:lang w:val="fr-CA"/>
        </w:rPr>
      </w:pPr>
      <w:r w:rsidRPr="00CF75E5">
        <w:rPr>
          <w:rFonts w:cs="Arial"/>
          <w:lang w:val="fr-CA"/>
        </w:rPr>
        <w:t>a)</w:t>
      </w:r>
      <w:r w:rsidRPr="00CF75E5">
        <w:rPr>
          <w:rFonts w:cs="Arial"/>
          <w:lang w:val="fr-CA"/>
        </w:rPr>
        <w:tab/>
      </w:r>
      <w:r w:rsidR="00AA49ED">
        <w:rPr>
          <w:rFonts w:cs="Arial"/>
          <w:lang w:val="fr-CA"/>
        </w:rPr>
        <w:t>un service linguistique égal pour l’anglais, le français et l’espagnol, qui sont les langues officielles de la Convention à partir de la 13</w:t>
      </w:r>
      <w:r w:rsidR="00AA49ED" w:rsidRPr="00AA49ED">
        <w:rPr>
          <w:rFonts w:cs="Arial"/>
          <w:vertAlign w:val="superscript"/>
          <w:lang w:val="fr-CA"/>
        </w:rPr>
        <w:t>e</w:t>
      </w:r>
      <w:r w:rsidR="00AA49ED">
        <w:rPr>
          <w:rFonts w:cs="Arial"/>
          <w:lang w:val="fr-CA"/>
        </w:rPr>
        <w:t> Session de la Conférence des Parties contractantes;</w:t>
      </w:r>
    </w:p>
    <w:p w:rsidR="001352E8" w:rsidRPr="00CF75E5" w:rsidRDefault="001352E8" w:rsidP="00C605EF">
      <w:pPr>
        <w:rPr>
          <w:rFonts w:cs="Arial"/>
          <w:lang w:val="fr-CA"/>
        </w:rPr>
      </w:pPr>
      <w:r w:rsidRPr="00CF75E5">
        <w:rPr>
          <w:rFonts w:cs="Arial"/>
          <w:lang w:val="fr-CA"/>
        </w:rPr>
        <w:t>b)</w:t>
      </w:r>
      <w:r w:rsidRPr="00CF75E5">
        <w:rPr>
          <w:rFonts w:cs="Arial"/>
          <w:lang w:val="fr-CA"/>
        </w:rPr>
        <w:tab/>
      </w:r>
      <w:r w:rsidR="00AA49ED">
        <w:rPr>
          <w:rFonts w:cs="Arial"/>
          <w:lang w:val="fr-CA"/>
        </w:rPr>
        <w:t>si</w:t>
      </w:r>
      <w:r w:rsidRPr="00CF75E5">
        <w:rPr>
          <w:rFonts w:cs="Arial"/>
          <w:lang w:val="fr-CA"/>
        </w:rPr>
        <w:t xml:space="preserve"> possible, </w:t>
      </w:r>
      <w:r w:rsidR="00AA49ED">
        <w:rPr>
          <w:rFonts w:cs="Arial"/>
          <w:lang w:val="fr-CA"/>
        </w:rPr>
        <w:t>l’</w:t>
      </w:r>
      <w:r w:rsidRPr="00CF75E5">
        <w:rPr>
          <w:rFonts w:cs="Arial"/>
          <w:lang w:val="fr-CA"/>
        </w:rPr>
        <w:t xml:space="preserve">introduction </w:t>
      </w:r>
      <w:r w:rsidR="00AA49ED">
        <w:rPr>
          <w:rFonts w:cs="Arial"/>
          <w:lang w:val="fr-CA"/>
        </w:rPr>
        <w:t>de l’arabe comme langue officielle.</w:t>
      </w:r>
    </w:p>
    <w:p w:rsidR="00BB402F" w:rsidRPr="00CF75E5" w:rsidRDefault="00BB402F" w:rsidP="001352E8">
      <w:pPr>
        <w:tabs>
          <w:tab w:val="left" w:pos="397"/>
          <w:tab w:val="left" w:pos="794"/>
          <w:tab w:val="left" w:pos="1191"/>
          <w:tab w:val="left" w:pos="1588"/>
          <w:tab w:val="left" w:pos="1985"/>
        </w:tabs>
        <w:ind w:left="794" w:hanging="794"/>
        <w:rPr>
          <w:rFonts w:cs="Arial"/>
          <w:lang w:val="fr-CA"/>
        </w:rPr>
      </w:pPr>
    </w:p>
    <w:p w:rsidR="00AA42E4" w:rsidRPr="00CF75E5" w:rsidRDefault="005E6228" w:rsidP="00AA42E4">
      <w:pPr>
        <w:ind w:left="0" w:firstLine="0"/>
        <w:rPr>
          <w:rFonts w:cs="Arial"/>
          <w:lang w:val="fr-CA"/>
        </w:rPr>
      </w:pPr>
      <w:r>
        <w:rPr>
          <w:rFonts w:cs="Arial"/>
          <w:lang w:val="fr-CA"/>
        </w:rPr>
        <w:t xml:space="preserve">Lorsqu’il y a des postes vacants au sein du Secrétariat, </w:t>
      </w:r>
      <w:r w:rsidRPr="00886384">
        <w:rPr>
          <w:rFonts w:cs="Arial"/>
          <w:lang w:val="fr-CA"/>
        </w:rPr>
        <w:t>le Secrétaire général</w:t>
      </w:r>
      <w:r>
        <w:rPr>
          <w:rFonts w:cs="Arial"/>
          <w:lang w:val="fr-CA"/>
        </w:rPr>
        <w:t xml:space="preserve"> devrait tenir compte des compétences linguistiques des candidats à ces postes, en vue de renforcer la capacité du Secrétariat à communiquer dans toutes les langues officielles.</w:t>
      </w:r>
    </w:p>
    <w:p w:rsidR="00857B9D" w:rsidRPr="00CF75E5" w:rsidRDefault="00857B9D" w:rsidP="00AA42E4">
      <w:pPr>
        <w:ind w:left="0" w:firstLine="0"/>
        <w:rPr>
          <w:rFonts w:cs="Arial"/>
          <w:lang w:val="fr-CA"/>
        </w:rPr>
      </w:pPr>
    </w:p>
    <w:p w:rsidR="00857B9D" w:rsidRPr="00CF75E5" w:rsidRDefault="005E6228" w:rsidP="00AA42E4">
      <w:pPr>
        <w:ind w:left="0" w:firstLine="0"/>
        <w:rPr>
          <w:rFonts w:cs="Arial"/>
          <w:lang w:val="fr-CA"/>
        </w:rPr>
      </w:pPr>
      <w:r>
        <w:rPr>
          <w:rFonts w:cs="Arial"/>
          <w:lang w:val="fr-CA"/>
        </w:rPr>
        <w:t xml:space="preserve">Le coût de la traduction de la documentation non officielle résultant de projets et d’activités financées par des fonds externes devrait aussi </w:t>
      </w:r>
      <w:r w:rsidR="00886384">
        <w:rPr>
          <w:rFonts w:cs="Arial"/>
          <w:lang w:val="fr-CA"/>
        </w:rPr>
        <w:t>provenir de</w:t>
      </w:r>
      <w:r>
        <w:rPr>
          <w:rFonts w:cs="Arial"/>
          <w:lang w:val="fr-CA"/>
        </w:rPr>
        <w:t xml:space="preserve"> fonds externes à moins que la Conférence des Parties ou le Comité permanent n’en décident autrement. </w:t>
      </w:r>
    </w:p>
    <w:p w:rsidR="00AA42E4" w:rsidRPr="00CF75E5" w:rsidRDefault="00AA42E4" w:rsidP="001352E8">
      <w:pPr>
        <w:tabs>
          <w:tab w:val="left" w:pos="397"/>
          <w:tab w:val="left" w:pos="794"/>
          <w:tab w:val="left" w:pos="1191"/>
          <w:tab w:val="left" w:pos="1588"/>
          <w:tab w:val="left" w:pos="1985"/>
        </w:tabs>
        <w:ind w:left="794" w:hanging="794"/>
        <w:rPr>
          <w:rFonts w:cs="Arial"/>
          <w:lang w:val="fr-CA"/>
        </w:rPr>
      </w:pPr>
    </w:p>
    <w:p w:rsidR="00BB402F" w:rsidRPr="00CF75E5" w:rsidRDefault="005E6228" w:rsidP="00880240">
      <w:pPr>
        <w:rPr>
          <w:rFonts w:cs="Arial"/>
          <w:u w:val="single"/>
          <w:lang w:val="fr-CA"/>
        </w:rPr>
      </w:pPr>
      <w:r>
        <w:rPr>
          <w:rFonts w:cs="Arial"/>
          <w:u w:val="single"/>
          <w:lang w:val="fr-CA"/>
        </w:rPr>
        <w:t>Calendrier</w:t>
      </w:r>
    </w:p>
    <w:p w:rsidR="00A12C27" w:rsidRPr="00CF75E5" w:rsidRDefault="00A12C27" w:rsidP="00880240">
      <w:pPr>
        <w:rPr>
          <w:rFonts w:cs="Arial"/>
          <w:lang w:val="fr-CA"/>
        </w:rPr>
      </w:pPr>
    </w:p>
    <w:tbl>
      <w:tblPr>
        <w:tblStyle w:val="TableGrid"/>
        <w:tblW w:w="0" w:type="auto"/>
        <w:tblLook w:val="00A0" w:firstRow="1" w:lastRow="0" w:firstColumn="1" w:lastColumn="0" w:noHBand="0" w:noVBand="0"/>
      </w:tblPr>
      <w:tblGrid>
        <w:gridCol w:w="1951"/>
        <w:gridCol w:w="7291"/>
      </w:tblGrid>
      <w:tr w:rsidR="00D753B8" w:rsidRPr="004F4C4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13</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CA1625" w:rsidRPr="00CF75E5">
              <w:rPr>
                <w:rFonts w:cs="Arial"/>
                <w:lang w:val="fr-CA"/>
              </w:rPr>
              <w:t xml:space="preserve"> </w:t>
            </w:r>
            <w:r w:rsidR="00886384">
              <w:rPr>
                <w:rFonts w:cs="Arial"/>
                <w:lang w:val="fr-CA"/>
              </w:rPr>
              <w:t xml:space="preserve"> contractantes </w:t>
            </w:r>
            <w:r w:rsidR="00CA1625" w:rsidRPr="00CF75E5">
              <w:rPr>
                <w:rFonts w:cs="Arial"/>
                <w:lang w:val="fr-CA"/>
              </w:rPr>
              <w:t>(2018)</w:t>
            </w:r>
          </w:p>
        </w:tc>
        <w:tc>
          <w:tcPr>
            <w:tcW w:w="7291" w:type="dxa"/>
          </w:tcPr>
          <w:p w:rsidR="007C7A33" w:rsidRPr="00CF75E5" w:rsidRDefault="0084548B" w:rsidP="00D753B8">
            <w:pPr>
              <w:ind w:left="0" w:firstLine="0"/>
              <w:rPr>
                <w:rFonts w:cs="Arial"/>
                <w:lang w:val="fr-CA"/>
              </w:rPr>
            </w:pPr>
            <w:r>
              <w:rPr>
                <w:rFonts w:cs="Arial"/>
                <w:lang w:val="fr-CA"/>
              </w:rPr>
              <w:t xml:space="preserve">- Le budget adopté pour </w:t>
            </w:r>
            <w:r w:rsidR="005D6969" w:rsidRPr="00CF75E5">
              <w:rPr>
                <w:rFonts w:cs="Arial"/>
                <w:lang w:val="fr-CA"/>
              </w:rPr>
              <w:t xml:space="preserve">2019-2021 </w:t>
            </w:r>
            <w:r>
              <w:rPr>
                <w:rFonts w:cs="Arial"/>
                <w:lang w:val="fr-CA"/>
              </w:rPr>
              <w:t>prévoit :</w:t>
            </w:r>
            <w:r w:rsidR="004E0240" w:rsidRPr="00CF75E5">
              <w:rPr>
                <w:rFonts w:cs="Arial"/>
                <w:lang w:val="fr-CA"/>
              </w:rPr>
              <w:t xml:space="preserve"> </w:t>
            </w:r>
          </w:p>
          <w:p w:rsidR="00211408" w:rsidRPr="00CF75E5" w:rsidRDefault="00211408" w:rsidP="00C605EF">
            <w:pPr>
              <w:ind w:firstLine="0"/>
              <w:rPr>
                <w:rFonts w:cs="Arial"/>
                <w:lang w:val="fr-CA"/>
              </w:rPr>
            </w:pPr>
            <w:r w:rsidRPr="00CF75E5">
              <w:rPr>
                <w:rFonts w:cs="Arial"/>
                <w:lang w:val="fr-CA"/>
              </w:rPr>
              <w:t xml:space="preserve">- </w:t>
            </w:r>
            <w:r w:rsidR="0084548B">
              <w:rPr>
                <w:rFonts w:cs="Arial"/>
                <w:lang w:val="fr-CA"/>
              </w:rPr>
              <w:t xml:space="preserve">un service linguistique égal en anglais, français et espagnol pour les réunions des organes </w:t>
            </w:r>
            <w:r w:rsidR="00886384">
              <w:rPr>
                <w:rFonts w:cs="Arial"/>
                <w:lang w:val="fr-CA"/>
              </w:rPr>
              <w:t>directeurs</w:t>
            </w:r>
            <w:r w:rsidR="0084548B">
              <w:rPr>
                <w:rFonts w:cs="Arial"/>
                <w:lang w:val="fr-CA"/>
              </w:rPr>
              <w:t xml:space="preserve"> et subsidiaires (interprétation des séances plénières et traduction des documents de travail); </w:t>
            </w:r>
          </w:p>
          <w:p w:rsidR="00211408" w:rsidRPr="00CF75E5" w:rsidRDefault="00211408" w:rsidP="00C605EF">
            <w:pPr>
              <w:ind w:firstLine="0"/>
              <w:rPr>
                <w:rFonts w:cs="Arial"/>
                <w:lang w:val="fr-CA"/>
              </w:rPr>
            </w:pPr>
            <w:r w:rsidRPr="00CF75E5">
              <w:rPr>
                <w:rFonts w:cs="Arial"/>
                <w:lang w:val="fr-CA"/>
              </w:rPr>
              <w:t xml:space="preserve">- </w:t>
            </w:r>
            <w:r w:rsidR="0084548B">
              <w:rPr>
                <w:rFonts w:cs="Arial"/>
                <w:lang w:val="fr-CA"/>
              </w:rPr>
              <w:t xml:space="preserve">la nouvelle documentation officielle en anglais, français et espagnol; et </w:t>
            </w:r>
          </w:p>
          <w:p w:rsidR="005D6969" w:rsidRPr="00CF75E5" w:rsidRDefault="00211408" w:rsidP="00C605EF">
            <w:pPr>
              <w:ind w:firstLine="0"/>
              <w:rPr>
                <w:rFonts w:cs="Arial"/>
                <w:lang w:val="fr-CA"/>
              </w:rPr>
            </w:pPr>
            <w:r w:rsidRPr="00CF75E5">
              <w:rPr>
                <w:rFonts w:cs="Arial"/>
                <w:lang w:val="fr-CA"/>
              </w:rPr>
              <w:t xml:space="preserve">- </w:t>
            </w:r>
            <w:r w:rsidR="0084548B">
              <w:rPr>
                <w:rFonts w:cs="Arial"/>
                <w:lang w:val="fr-CA"/>
              </w:rPr>
              <w:t>un traitement égal de ces langues officielles sur le site web dans la mesure des ressources disponibles.</w:t>
            </w:r>
          </w:p>
          <w:p w:rsidR="00D753B8" w:rsidRPr="00CF75E5" w:rsidRDefault="005D6969" w:rsidP="009E23DC">
            <w:pPr>
              <w:ind w:left="0" w:firstLine="0"/>
              <w:rPr>
                <w:rFonts w:cs="Arial"/>
                <w:lang w:val="fr-CA"/>
              </w:rPr>
            </w:pPr>
            <w:r w:rsidRPr="00CF75E5">
              <w:rPr>
                <w:rFonts w:cs="Arial"/>
                <w:lang w:val="fr-CA"/>
              </w:rPr>
              <w:t xml:space="preserve">- </w:t>
            </w:r>
            <w:r w:rsidR="0084548B">
              <w:rPr>
                <w:rFonts w:cs="Arial"/>
                <w:lang w:val="fr-CA"/>
              </w:rPr>
              <w:t xml:space="preserve">L’arabe est approuvé en principe comme langue officielle de la Convention, avec des services linguistiques fournis à partir de </w:t>
            </w:r>
            <w:r w:rsidR="007F63D9" w:rsidRPr="00CF75E5">
              <w:rPr>
                <w:rFonts w:cs="Arial"/>
                <w:lang w:val="fr-CA"/>
              </w:rPr>
              <w:t>2022</w:t>
            </w:r>
            <w:r w:rsidR="008967DC">
              <w:rPr>
                <w:rFonts w:cs="Arial"/>
                <w:lang w:val="fr-CA"/>
              </w:rPr>
              <w:t>,</w:t>
            </w:r>
            <w:r w:rsidRPr="00CF75E5">
              <w:rPr>
                <w:rFonts w:cs="Arial"/>
                <w:lang w:val="fr-CA"/>
              </w:rPr>
              <w:t xml:space="preserve"> </w:t>
            </w:r>
            <w:r w:rsidR="0084548B">
              <w:rPr>
                <w:rFonts w:cs="Arial"/>
                <w:lang w:val="fr-CA"/>
              </w:rPr>
              <w:t>sous réserve de ressources disponibles.</w:t>
            </w:r>
          </w:p>
        </w:tc>
      </w:tr>
      <w:tr w:rsidR="00D753B8" w:rsidRPr="004F4C48" w:rsidTr="00F73BBD">
        <w:trPr>
          <w:cantSplit/>
        </w:trPr>
        <w:tc>
          <w:tcPr>
            <w:tcW w:w="1951" w:type="dxa"/>
          </w:tcPr>
          <w:p w:rsidR="00D753B8" w:rsidRPr="00CF75E5" w:rsidRDefault="008F4809" w:rsidP="00880240">
            <w:pPr>
              <w:ind w:left="0" w:firstLine="0"/>
              <w:rPr>
                <w:rFonts w:cs="Arial"/>
                <w:lang w:val="fr-CA"/>
              </w:rPr>
            </w:pPr>
            <w:r w:rsidRPr="00CF75E5">
              <w:rPr>
                <w:rFonts w:cs="Arial"/>
                <w:lang w:val="fr-CA"/>
              </w:rPr>
              <w:t>2019-2020</w:t>
            </w:r>
          </w:p>
        </w:tc>
        <w:tc>
          <w:tcPr>
            <w:tcW w:w="7291" w:type="dxa"/>
          </w:tcPr>
          <w:p w:rsidR="00D753B8" w:rsidRPr="00CF75E5" w:rsidRDefault="000A0E52" w:rsidP="009E23DC">
            <w:pPr>
              <w:ind w:left="0" w:firstLine="0"/>
              <w:rPr>
                <w:rFonts w:cs="Arial"/>
                <w:lang w:val="fr-CA"/>
              </w:rPr>
            </w:pPr>
            <w:r w:rsidRPr="00CF75E5">
              <w:rPr>
                <w:rFonts w:cs="Arial"/>
                <w:lang w:val="fr-CA"/>
              </w:rPr>
              <w:t xml:space="preserve">- </w:t>
            </w:r>
            <w:r w:rsidR="0084548B">
              <w:rPr>
                <w:rFonts w:cs="Arial"/>
                <w:lang w:val="fr-CA"/>
              </w:rPr>
              <w:t xml:space="preserve">Le Secrétariat organise la traduction en arabe du texte de la Convention et des Résolutions </w:t>
            </w:r>
            <w:r w:rsidR="009E23DC">
              <w:rPr>
                <w:rFonts w:cs="Arial"/>
                <w:lang w:val="fr-CA"/>
              </w:rPr>
              <w:t>essentielles</w:t>
            </w:r>
            <w:r w:rsidR="0084548B">
              <w:rPr>
                <w:rFonts w:cs="Arial"/>
                <w:lang w:val="fr-CA"/>
              </w:rPr>
              <w:t xml:space="preserve"> de la Conférence des Parties, sous réserve d’un financement externe. </w:t>
            </w:r>
          </w:p>
        </w:tc>
      </w:tr>
      <w:tr w:rsidR="00D753B8" w:rsidRPr="004F4C4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lastRenderedPageBreak/>
              <w:t>14</w:t>
            </w:r>
            <w:r w:rsidR="005E6228" w:rsidRPr="005E6228">
              <w:rPr>
                <w:rFonts w:cs="Arial"/>
                <w:vertAlign w:val="superscript"/>
                <w:lang w:val="fr-CA"/>
              </w:rPr>
              <w:t>e</w:t>
            </w:r>
            <w:r w:rsidR="005E6228">
              <w:rPr>
                <w:rFonts w:cs="Arial"/>
                <w:lang w:val="fr-CA"/>
              </w:rPr>
              <w:t xml:space="preserve"> 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(2021)</w:t>
            </w:r>
          </w:p>
        </w:tc>
        <w:tc>
          <w:tcPr>
            <w:tcW w:w="7291" w:type="dxa"/>
          </w:tcPr>
          <w:p w:rsidR="00D753B8" w:rsidRPr="00CF75E5" w:rsidRDefault="00CA1625" w:rsidP="009E23DC">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000B0670" w:rsidRPr="00CF75E5">
              <w:rPr>
                <w:rFonts w:cs="Arial"/>
                <w:lang w:val="fr-CA"/>
              </w:rPr>
              <w:t xml:space="preserve">COP14, </w:t>
            </w:r>
            <w:r w:rsidR="0084548B">
              <w:rPr>
                <w:rFonts w:cs="Arial"/>
                <w:lang w:val="fr-CA"/>
              </w:rPr>
              <w:t>le budget adopté pour 2022</w:t>
            </w:r>
            <w:r w:rsidR="0084548B">
              <w:rPr>
                <w:rFonts w:cs="Arial"/>
                <w:lang w:val="fr-CA"/>
              </w:rPr>
              <w:noBreakHyphen/>
            </w:r>
            <w:r w:rsidRPr="00CF75E5">
              <w:rPr>
                <w:rFonts w:cs="Arial"/>
                <w:lang w:val="fr-CA"/>
              </w:rPr>
              <w:t xml:space="preserve">2024 </w:t>
            </w:r>
            <w:r w:rsidR="0084548B">
              <w:rPr>
                <w:rFonts w:cs="Arial"/>
                <w:lang w:val="fr-CA"/>
              </w:rPr>
              <w:t xml:space="preserve">comprend la fourniture d’un service linguistique intégral pour les réunions des organes </w:t>
            </w:r>
            <w:r w:rsidR="009E23DC">
              <w:rPr>
                <w:rFonts w:cs="Arial"/>
                <w:lang w:val="fr-CA"/>
              </w:rPr>
              <w:t>directeurs</w:t>
            </w:r>
            <w:r w:rsidR="0084548B">
              <w:rPr>
                <w:rFonts w:cs="Arial"/>
                <w:lang w:val="fr-CA"/>
              </w:rPr>
              <w:t xml:space="preserve"> et subsidiaires ainsi que la nouvelle documentation officielle en anglais, français et espagnol et</w:t>
            </w:r>
            <w:r w:rsidR="009E23DC">
              <w:rPr>
                <w:rFonts w:cs="Arial"/>
                <w:lang w:val="fr-CA"/>
              </w:rPr>
              <w:t>,</w:t>
            </w:r>
            <w:r w:rsidR="0084548B">
              <w:rPr>
                <w:rFonts w:cs="Arial"/>
                <w:lang w:val="fr-CA"/>
              </w:rPr>
              <w:t xml:space="preserve"> pour la Conférence des Parties</w:t>
            </w:r>
            <w:r w:rsidR="009E23DC">
              <w:rPr>
                <w:rFonts w:cs="Arial"/>
                <w:lang w:val="fr-CA"/>
              </w:rPr>
              <w:t>,</w:t>
            </w:r>
            <w:r w:rsidR="0084548B">
              <w:rPr>
                <w:rFonts w:cs="Arial"/>
                <w:lang w:val="fr-CA"/>
              </w:rPr>
              <w:t xml:space="preserve"> en arabe</w:t>
            </w:r>
            <w:r w:rsidR="00610AEC" w:rsidRPr="00CF75E5">
              <w:rPr>
                <w:rFonts w:cs="Arial"/>
                <w:lang w:val="fr-CA"/>
              </w:rPr>
              <w:t>.</w:t>
            </w:r>
          </w:p>
        </w:tc>
      </w:tr>
      <w:tr w:rsidR="00D753B8" w:rsidRPr="004F4C48" w:rsidTr="00F73BBD">
        <w:trPr>
          <w:cantSplit/>
        </w:trPr>
        <w:tc>
          <w:tcPr>
            <w:tcW w:w="1951" w:type="dxa"/>
          </w:tcPr>
          <w:p w:rsidR="00D753B8" w:rsidRPr="00CF75E5" w:rsidRDefault="00666F1F" w:rsidP="00880240">
            <w:pPr>
              <w:ind w:left="0" w:firstLine="0"/>
              <w:rPr>
                <w:rFonts w:cs="Arial"/>
                <w:lang w:val="fr-CA"/>
              </w:rPr>
            </w:pPr>
            <w:r w:rsidRPr="00CF75E5">
              <w:rPr>
                <w:rFonts w:cs="Arial"/>
                <w:lang w:val="fr-CA"/>
              </w:rPr>
              <w:t>2022-2023</w:t>
            </w:r>
          </w:p>
        </w:tc>
        <w:tc>
          <w:tcPr>
            <w:tcW w:w="7291" w:type="dxa"/>
          </w:tcPr>
          <w:p w:rsidR="00D753B8" w:rsidRPr="00CF75E5" w:rsidRDefault="00666F1F" w:rsidP="0084548B">
            <w:pPr>
              <w:ind w:left="0" w:firstLine="0"/>
              <w:rPr>
                <w:rFonts w:cs="Arial"/>
                <w:lang w:val="fr-CA"/>
              </w:rPr>
            </w:pPr>
            <w:r w:rsidRPr="00CF75E5">
              <w:rPr>
                <w:rFonts w:cs="Arial"/>
                <w:lang w:val="fr-CA"/>
              </w:rPr>
              <w:t xml:space="preserve">- </w:t>
            </w:r>
            <w:r w:rsidR="0084548B">
              <w:rPr>
                <w:rFonts w:cs="Arial"/>
                <w:lang w:val="fr-CA"/>
              </w:rPr>
              <w:t>Le Secrétariat organise la traduction en arabe des Résolutions restantes qui sont encore en vigueur et des pages clés</w:t>
            </w:r>
            <w:r w:rsidR="009E23DC">
              <w:rPr>
                <w:rFonts w:cs="Arial"/>
                <w:lang w:val="fr-CA"/>
              </w:rPr>
              <w:t>,</w:t>
            </w:r>
            <w:r w:rsidR="0084548B">
              <w:rPr>
                <w:rFonts w:cs="Arial"/>
                <w:lang w:val="fr-CA"/>
              </w:rPr>
              <w:t xml:space="preserve"> de haut niveau</w:t>
            </w:r>
            <w:r w:rsidR="009E23DC">
              <w:rPr>
                <w:rFonts w:cs="Arial"/>
                <w:lang w:val="fr-CA"/>
              </w:rPr>
              <w:t>,</w:t>
            </w:r>
            <w:r w:rsidR="0084548B">
              <w:rPr>
                <w:rFonts w:cs="Arial"/>
                <w:lang w:val="fr-CA"/>
              </w:rPr>
              <w:t xml:space="preserve"> du site web de Ramsar, sous réserve d’un financement externe.</w:t>
            </w:r>
          </w:p>
        </w:tc>
      </w:tr>
      <w:tr w:rsidR="00D753B8" w:rsidRPr="004F4C48" w:rsidTr="00F73BBD">
        <w:trPr>
          <w:cantSplit/>
        </w:trPr>
        <w:tc>
          <w:tcPr>
            <w:tcW w:w="1951" w:type="dxa"/>
          </w:tcPr>
          <w:p w:rsidR="00D753B8" w:rsidRPr="00CF75E5" w:rsidRDefault="00D753B8" w:rsidP="005E6228">
            <w:pPr>
              <w:ind w:left="0" w:firstLine="0"/>
              <w:rPr>
                <w:rFonts w:cs="Arial"/>
                <w:lang w:val="fr-CA"/>
              </w:rPr>
            </w:pPr>
            <w:r w:rsidRPr="00CF75E5">
              <w:rPr>
                <w:rFonts w:cs="Arial"/>
                <w:lang w:val="fr-CA"/>
              </w:rPr>
              <w:t>15</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w:t>
            </w:r>
            <w:r w:rsidR="00CA1625" w:rsidRPr="00CF75E5">
              <w:rPr>
                <w:rFonts w:cs="Arial"/>
                <w:lang w:val="fr-CA"/>
              </w:rPr>
              <w:t xml:space="preserve"> (2024)</w:t>
            </w:r>
          </w:p>
        </w:tc>
        <w:tc>
          <w:tcPr>
            <w:tcW w:w="7291" w:type="dxa"/>
          </w:tcPr>
          <w:p w:rsidR="00912B05" w:rsidRPr="00CF75E5" w:rsidRDefault="000B0670" w:rsidP="00354938">
            <w:pPr>
              <w:ind w:left="0" w:firstLine="0"/>
              <w:rPr>
                <w:rFonts w:cs="Arial"/>
                <w:lang w:val="fr-CA"/>
              </w:rPr>
            </w:pPr>
            <w:r w:rsidRPr="00CF75E5">
              <w:rPr>
                <w:rFonts w:cs="Arial"/>
                <w:lang w:val="fr-CA"/>
              </w:rPr>
              <w:t xml:space="preserve">- </w:t>
            </w:r>
            <w:r w:rsidR="0084548B">
              <w:rPr>
                <w:rFonts w:cs="Arial"/>
                <w:lang w:val="fr-CA"/>
              </w:rPr>
              <w:t xml:space="preserve">Sous réserve d’un accord à la </w:t>
            </w:r>
            <w:r w:rsidRPr="00CF75E5">
              <w:rPr>
                <w:rFonts w:cs="Arial"/>
                <w:lang w:val="fr-CA"/>
              </w:rPr>
              <w:t xml:space="preserve">COP15, </w:t>
            </w:r>
            <w:r w:rsidR="0084548B">
              <w:rPr>
                <w:rFonts w:cs="Arial"/>
                <w:lang w:val="fr-CA"/>
              </w:rPr>
              <w:t xml:space="preserve">le budget adopté pour </w:t>
            </w:r>
            <w:r w:rsidRPr="00CF75E5">
              <w:rPr>
                <w:rFonts w:cs="Arial"/>
                <w:lang w:val="fr-CA"/>
              </w:rPr>
              <w:t xml:space="preserve">2025-2027 </w:t>
            </w:r>
            <w:r w:rsidR="0084548B">
              <w:rPr>
                <w:rFonts w:cs="Arial"/>
                <w:lang w:val="fr-CA"/>
              </w:rPr>
              <w:t xml:space="preserve">prévoit : </w:t>
            </w:r>
          </w:p>
          <w:p w:rsidR="00912B05" w:rsidRPr="00CF75E5" w:rsidRDefault="00912B05" w:rsidP="00042EAF">
            <w:pPr>
              <w:ind w:firstLine="0"/>
              <w:rPr>
                <w:rFonts w:cs="Arial"/>
                <w:lang w:val="fr-CA"/>
              </w:rPr>
            </w:pPr>
            <w:r w:rsidRPr="00CF75E5">
              <w:rPr>
                <w:rFonts w:cs="Arial"/>
                <w:lang w:val="fr-CA"/>
              </w:rPr>
              <w:t xml:space="preserve">- </w:t>
            </w:r>
            <w:r w:rsidR="0084548B">
              <w:rPr>
                <w:rFonts w:cs="Arial"/>
                <w:lang w:val="fr-CA"/>
              </w:rPr>
              <w:t>un service linguistique intégral pour les réunions des organes d</w:t>
            </w:r>
            <w:r w:rsidR="009E23DC">
              <w:rPr>
                <w:rFonts w:cs="Arial"/>
                <w:lang w:val="fr-CA"/>
              </w:rPr>
              <w:t>irecteurs</w:t>
            </w:r>
            <w:r w:rsidR="0084548B">
              <w:rPr>
                <w:rFonts w:cs="Arial"/>
                <w:lang w:val="fr-CA"/>
              </w:rPr>
              <w:t xml:space="preserve"> et subsidiaires en anglais, français et espagnol; </w:t>
            </w:r>
          </w:p>
          <w:p w:rsidR="00912B05" w:rsidRPr="00CF75E5" w:rsidRDefault="00912B05" w:rsidP="00042EAF">
            <w:pPr>
              <w:ind w:firstLine="0"/>
              <w:rPr>
                <w:rFonts w:cs="Arial"/>
                <w:lang w:val="fr-CA"/>
              </w:rPr>
            </w:pPr>
            <w:r w:rsidRPr="00CF75E5">
              <w:rPr>
                <w:rFonts w:cs="Arial"/>
                <w:lang w:val="fr-CA"/>
              </w:rPr>
              <w:t xml:space="preserve">- </w:t>
            </w:r>
            <w:r w:rsidR="0084548B">
              <w:rPr>
                <w:rFonts w:cs="Arial"/>
                <w:lang w:val="fr-CA"/>
              </w:rPr>
              <w:t xml:space="preserve">un service linguistique intégral </w:t>
            </w:r>
            <w:r w:rsidR="009E23DC">
              <w:rPr>
                <w:rFonts w:cs="Arial"/>
                <w:lang w:val="fr-CA"/>
              </w:rPr>
              <w:t xml:space="preserve">en arabe </w:t>
            </w:r>
            <w:r w:rsidR="0084548B">
              <w:rPr>
                <w:rFonts w:cs="Arial"/>
                <w:lang w:val="fr-CA"/>
              </w:rPr>
              <w:t xml:space="preserve">pour les réunions des organes </w:t>
            </w:r>
            <w:r w:rsidR="009E23DC">
              <w:rPr>
                <w:rFonts w:cs="Arial"/>
                <w:lang w:val="fr-CA"/>
              </w:rPr>
              <w:t>directeurs</w:t>
            </w:r>
            <w:r w:rsidR="0084548B">
              <w:rPr>
                <w:rFonts w:cs="Arial"/>
                <w:lang w:val="fr-CA"/>
              </w:rPr>
              <w:t xml:space="preserve">; </w:t>
            </w:r>
          </w:p>
          <w:p w:rsidR="004A04BF" w:rsidRPr="00CF75E5" w:rsidRDefault="00912B05" w:rsidP="00042EAF">
            <w:pPr>
              <w:ind w:firstLine="0"/>
              <w:rPr>
                <w:rFonts w:cs="Arial"/>
                <w:lang w:val="fr-CA"/>
              </w:rPr>
            </w:pPr>
            <w:r w:rsidRPr="00CF75E5">
              <w:rPr>
                <w:rFonts w:cs="Arial"/>
                <w:lang w:val="fr-CA"/>
              </w:rPr>
              <w:t>-</w:t>
            </w:r>
            <w:r w:rsidR="00354938" w:rsidRPr="00CF75E5">
              <w:rPr>
                <w:rFonts w:cs="Arial"/>
                <w:lang w:val="fr-CA"/>
              </w:rPr>
              <w:t xml:space="preserve"> </w:t>
            </w:r>
            <w:r w:rsidR="0084548B">
              <w:rPr>
                <w:rFonts w:cs="Arial"/>
                <w:lang w:val="fr-CA"/>
              </w:rPr>
              <w:t>toute la nouvelle documentation officielle dans les quatre langues officielles; et</w:t>
            </w:r>
          </w:p>
          <w:p w:rsidR="00D753B8" w:rsidRPr="00CF75E5" w:rsidRDefault="004A04BF" w:rsidP="0084548B">
            <w:pPr>
              <w:ind w:firstLine="0"/>
              <w:rPr>
                <w:rFonts w:cs="Arial"/>
                <w:lang w:val="fr-CA"/>
              </w:rPr>
            </w:pPr>
            <w:r w:rsidRPr="00CF75E5">
              <w:rPr>
                <w:rFonts w:cs="Arial"/>
                <w:lang w:val="fr-CA"/>
              </w:rPr>
              <w:t xml:space="preserve">- </w:t>
            </w:r>
            <w:r w:rsidR="0084548B">
              <w:rPr>
                <w:rFonts w:cs="Arial"/>
                <w:lang w:val="fr-CA"/>
              </w:rPr>
              <w:t>une capacité de personnel additionnel</w:t>
            </w:r>
            <w:r w:rsidR="009E23DC">
              <w:rPr>
                <w:rFonts w:cs="Arial"/>
                <w:lang w:val="fr-CA"/>
              </w:rPr>
              <w:t>le</w:t>
            </w:r>
            <w:r w:rsidR="0084548B">
              <w:rPr>
                <w:rFonts w:cs="Arial"/>
                <w:lang w:val="fr-CA"/>
              </w:rPr>
              <w:t xml:space="preserve"> pour gérer les textes et la documentation en arabe.</w:t>
            </w:r>
          </w:p>
        </w:tc>
      </w:tr>
      <w:tr w:rsidR="0081684D" w:rsidRPr="004F4C48" w:rsidTr="00F73BBD">
        <w:trPr>
          <w:cantSplit/>
        </w:trPr>
        <w:tc>
          <w:tcPr>
            <w:tcW w:w="1951" w:type="dxa"/>
          </w:tcPr>
          <w:p w:rsidR="0081684D" w:rsidRPr="00CF75E5" w:rsidRDefault="007D3229" w:rsidP="00880240">
            <w:pPr>
              <w:ind w:left="0" w:firstLine="0"/>
              <w:rPr>
                <w:rFonts w:cs="Arial"/>
                <w:lang w:val="fr-CA"/>
              </w:rPr>
            </w:pPr>
            <w:r w:rsidRPr="00CF75E5">
              <w:rPr>
                <w:rFonts w:cs="Arial"/>
                <w:lang w:val="fr-CA"/>
              </w:rPr>
              <w:t>2025-2026</w:t>
            </w:r>
          </w:p>
        </w:tc>
        <w:tc>
          <w:tcPr>
            <w:tcW w:w="7291" w:type="dxa"/>
          </w:tcPr>
          <w:p w:rsidR="0081684D" w:rsidRPr="00CF75E5" w:rsidRDefault="00A80C89" w:rsidP="009E23DC">
            <w:pPr>
              <w:ind w:left="0" w:firstLine="0"/>
              <w:rPr>
                <w:rFonts w:cs="Arial"/>
                <w:lang w:val="fr-CA"/>
              </w:rPr>
            </w:pPr>
            <w:r w:rsidRPr="00CF75E5">
              <w:rPr>
                <w:rFonts w:cs="Arial"/>
                <w:lang w:val="fr-CA"/>
              </w:rPr>
              <w:t xml:space="preserve">- </w:t>
            </w:r>
            <w:r w:rsidR="00370279">
              <w:rPr>
                <w:rFonts w:cs="Arial"/>
                <w:lang w:val="fr-CA"/>
              </w:rPr>
              <w:t xml:space="preserve">Le Secrétariat organise la traduction en arabe des nouvelles notifications officielles (p. ex., les messages du </w:t>
            </w:r>
            <w:r w:rsidR="009E23DC">
              <w:rPr>
                <w:rFonts w:cs="Arial"/>
                <w:lang w:val="fr-CA"/>
              </w:rPr>
              <w:t>R</w:t>
            </w:r>
            <w:r w:rsidR="00370279">
              <w:rPr>
                <w:rFonts w:cs="Arial"/>
                <w:lang w:val="fr-CA"/>
              </w:rPr>
              <w:t>éseau Ramsar), les nouvelles en rapport et les nouvelles publications du GEST, sous réserve d’un financement externe.</w:t>
            </w:r>
          </w:p>
        </w:tc>
      </w:tr>
      <w:tr w:rsidR="0081684D" w:rsidRPr="004F4C48" w:rsidTr="00F73BBD">
        <w:trPr>
          <w:cantSplit/>
        </w:trPr>
        <w:tc>
          <w:tcPr>
            <w:tcW w:w="1951" w:type="dxa"/>
          </w:tcPr>
          <w:p w:rsidR="0081684D" w:rsidRPr="00CF75E5" w:rsidRDefault="0081684D" w:rsidP="009E23DC">
            <w:pPr>
              <w:ind w:left="0" w:firstLine="0"/>
              <w:rPr>
                <w:rFonts w:cs="Arial"/>
                <w:lang w:val="fr-CA"/>
              </w:rPr>
            </w:pPr>
            <w:r w:rsidRPr="00CF75E5">
              <w:rPr>
                <w:rFonts w:cs="Arial"/>
                <w:lang w:val="fr-CA"/>
              </w:rPr>
              <w:t>16</w:t>
            </w:r>
            <w:r w:rsidR="005E6228" w:rsidRPr="005E6228">
              <w:rPr>
                <w:rFonts w:cs="Arial"/>
                <w:vertAlign w:val="superscript"/>
                <w:lang w:val="fr-CA"/>
              </w:rPr>
              <w:t>e</w:t>
            </w:r>
            <w:r w:rsidRPr="00CF75E5">
              <w:rPr>
                <w:rFonts w:cs="Arial"/>
                <w:lang w:val="fr-CA"/>
              </w:rPr>
              <w:t xml:space="preserve"> </w:t>
            </w:r>
            <w:r w:rsidR="005E6228">
              <w:rPr>
                <w:rFonts w:cs="Arial"/>
                <w:lang w:val="fr-CA"/>
              </w:rPr>
              <w:t xml:space="preserve">Session de la Conférence des </w:t>
            </w:r>
            <w:r w:rsidRPr="00CF75E5">
              <w:rPr>
                <w:rFonts w:cs="Arial"/>
                <w:lang w:val="fr-CA"/>
              </w:rPr>
              <w:t>Parties</w:t>
            </w:r>
            <w:r w:rsidR="009E23DC">
              <w:rPr>
                <w:rFonts w:cs="Arial"/>
                <w:lang w:val="fr-CA"/>
              </w:rPr>
              <w:t xml:space="preserve"> contractantes </w:t>
            </w:r>
            <w:r w:rsidRPr="00CF75E5">
              <w:rPr>
                <w:rFonts w:cs="Arial"/>
                <w:lang w:val="fr-CA"/>
              </w:rPr>
              <w:t xml:space="preserve"> (2027)</w:t>
            </w:r>
          </w:p>
        </w:tc>
        <w:tc>
          <w:tcPr>
            <w:tcW w:w="7291" w:type="dxa"/>
          </w:tcPr>
          <w:p w:rsidR="0081684D" w:rsidRPr="00CF75E5" w:rsidRDefault="00F73BBD" w:rsidP="009E23DC">
            <w:pPr>
              <w:ind w:left="0" w:firstLine="0"/>
              <w:rPr>
                <w:rFonts w:cs="Arial"/>
                <w:lang w:val="fr-CA"/>
              </w:rPr>
            </w:pPr>
            <w:r w:rsidRPr="00CF75E5">
              <w:rPr>
                <w:rFonts w:cs="Arial"/>
                <w:lang w:val="fr-CA"/>
              </w:rPr>
              <w:t xml:space="preserve">- </w:t>
            </w:r>
            <w:r w:rsidR="00370279">
              <w:rPr>
                <w:rFonts w:cs="Arial"/>
                <w:lang w:val="fr-CA"/>
              </w:rPr>
              <w:t xml:space="preserve">Sous réserve d’un accord à la </w:t>
            </w:r>
            <w:r w:rsidR="00FE6A6B" w:rsidRPr="00CF75E5">
              <w:rPr>
                <w:rFonts w:cs="Arial"/>
                <w:lang w:val="fr-CA"/>
              </w:rPr>
              <w:t>COP16,</w:t>
            </w:r>
            <w:r w:rsidR="00857B9D" w:rsidRPr="00CF75E5">
              <w:rPr>
                <w:rFonts w:cs="Arial"/>
                <w:lang w:val="fr-CA"/>
              </w:rPr>
              <w:t xml:space="preserve"> </w:t>
            </w:r>
            <w:r w:rsidR="00370279">
              <w:rPr>
                <w:rFonts w:cs="Arial"/>
                <w:lang w:val="fr-CA"/>
              </w:rPr>
              <w:t xml:space="preserve">le budget adopté pour </w:t>
            </w:r>
            <w:r w:rsidRPr="00CF75E5">
              <w:rPr>
                <w:rFonts w:cs="Arial"/>
                <w:lang w:val="fr-CA"/>
              </w:rPr>
              <w:t xml:space="preserve">2028-2031 </w:t>
            </w:r>
            <w:r w:rsidR="00370279">
              <w:rPr>
                <w:rFonts w:cs="Arial"/>
                <w:lang w:val="fr-CA"/>
              </w:rPr>
              <w:t xml:space="preserve">comprend la fourniture d’un service linguistique intégral pour les réunions des organes </w:t>
            </w:r>
            <w:r w:rsidR="009E23DC">
              <w:rPr>
                <w:rFonts w:cs="Arial"/>
                <w:lang w:val="fr-CA"/>
              </w:rPr>
              <w:t>directeurs</w:t>
            </w:r>
            <w:r w:rsidR="00370279">
              <w:rPr>
                <w:rFonts w:cs="Arial"/>
                <w:lang w:val="fr-CA"/>
              </w:rPr>
              <w:t xml:space="preserve"> et subsidiaires en arabe, anglais, français et espagnol, et pour toute la nouvelle documentation officielle ainsi que pour les nouvelles pages du site web.</w:t>
            </w:r>
          </w:p>
        </w:tc>
      </w:tr>
    </w:tbl>
    <w:p w:rsidR="00D753B8" w:rsidRPr="00CF75E5" w:rsidRDefault="00D753B8" w:rsidP="00880240">
      <w:pPr>
        <w:rPr>
          <w:rFonts w:cs="Arial"/>
          <w:lang w:val="fr-CA"/>
        </w:rPr>
      </w:pPr>
    </w:p>
    <w:p w:rsidR="009E290E" w:rsidRPr="00CF75E5" w:rsidRDefault="009E290E" w:rsidP="00880240">
      <w:pPr>
        <w:rPr>
          <w:rFonts w:cs="Arial"/>
          <w:lang w:val="fr-CA"/>
        </w:rPr>
      </w:pPr>
    </w:p>
    <w:p w:rsidR="009E290E" w:rsidRPr="00CF75E5" w:rsidRDefault="009E290E" w:rsidP="00880240">
      <w:pPr>
        <w:rPr>
          <w:rFonts w:cs="Arial"/>
          <w:lang w:val="fr-CA"/>
        </w:rPr>
      </w:pPr>
    </w:p>
    <w:p w:rsidR="00A12C27" w:rsidRPr="00CF75E5" w:rsidRDefault="00A12C27" w:rsidP="00880240">
      <w:pPr>
        <w:rPr>
          <w:rFonts w:cs="Arial"/>
          <w:lang w:val="fr-CA"/>
        </w:rPr>
      </w:pPr>
    </w:p>
    <w:p w:rsidR="00880240" w:rsidRPr="00CF75E5" w:rsidRDefault="00880240" w:rsidP="00880240">
      <w:pPr>
        <w:rPr>
          <w:rFonts w:cs="Arial"/>
          <w:lang w:val="fr-CA"/>
        </w:rPr>
      </w:pPr>
    </w:p>
    <w:p w:rsidR="00F344DE" w:rsidRPr="00CF75E5" w:rsidRDefault="00F344DE" w:rsidP="00014168">
      <w:pPr>
        <w:rPr>
          <w:rFonts w:cs="Arial"/>
          <w:i/>
          <w:lang w:val="fr-CA"/>
        </w:rPr>
      </w:pPr>
    </w:p>
    <w:sectPr w:rsidR="00F344DE" w:rsidRPr="00CF75E5" w:rsidSect="002137E0">
      <w:headerReference w:type="default" r:id="rId9"/>
      <w:footerReference w:type="defaul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D01" w:rsidRDefault="00D94D01" w:rsidP="00DF2386">
      <w:r>
        <w:separator/>
      </w:r>
    </w:p>
  </w:endnote>
  <w:endnote w:type="continuationSeparator" w:id="0">
    <w:p w:rsidR="00D94D01" w:rsidRDefault="00D94D01"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2137E0">
    <w:pPr>
      <w:pStyle w:val="Header"/>
      <w:rPr>
        <w:noProof/>
      </w:rPr>
    </w:pPr>
    <w:r>
      <w:rPr>
        <w:sz w:val="20"/>
        <w:szCs w:val="20"/>
      </w:rPr>
      <w:t>SC54-13</w:t>
    </w:r>
    <w:r w:rsidR="0080316D">
      <w:rPr>
        <w:sz w:val="20"/>
        <w:szCs w:val="20"/>
      </w:rPr>
      <w:t xml:space="preserve"> Rev.1</w:t>
    </w:r>
    <w:r>
      <w:tab/>
    </w:r>
    <w:r>
      <w:tab/>
    </w:r>
    <w:sdt>
      <w:sdtPr>
        <w:id w:val="-1790969534"/>
        <w:docPartObj>
          <w:docPartGallery w:val="Page Numbers (Top of Page)"/>
          <w:docPartUnique/>
        </w:docPartObj>
      </w:sdtPr>
      <w:sdtEndPr>
        <w:rPr>
          <w:noProof/>
        </w:rPr>
      </w:sdtEndPr>
      <w:sdtContent>
        <w:r w:rsidR="0041759C">
          <w:fldChar w:fldCharType="begin"/>
        </w:r>
        <w:r w:rsidR="0041759C">
          <w:instrText xml:space="preserve"> PAGE   \* MERGEFORMAT </w:instrText>
        </w:r>
        <w:r w:rsidR="0041759C">
          <w:fldChar w:fldCharType="separate"/>
        </w:r>
        <w:r w:rsidR="00284652" w:rsidRPr="00284652">
          <w:rPr>
            <w:noProof/>
            <w:sz w:val="20"/>
            <w:szCs w:val="20"/>
          </w:rPr>
          <w:t>6</w:t>
        </w:r>
        <w:r w:rsidR="0041759C">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rsidP="00B523B2">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D01" w:rsidRDefault="00D94D01" w:rsidP="00DF2386">
      <w:r>
        <w:separator/>
      </w:r>
    </w:p>
  </w:footnote>
  <w:footnote w:type="continuationSeparator" w:id="0">
    <w:p w:rsidR="00D94D01" w:rsidRDefault="00D94D01"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25" w:rsidRDefault="00CA1625">
    <w:pPr>
      <w:pStyle w:val="Header"/>
    </w:pPr>
  </w:p>
  <w:p w:rsidR="00CA1625" w:rsidRDefault="00CA1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AF62AA"/>
    <w:multiLevelType w:val="hybridMultilevel"/>
    <w:tmpl w:val="03868678"/>
    <w:lvl w:ilvl="0" w:tplc="2696BC72">
      <w:start w:val="1"/>
      <w:numFmt w:val="lowerLetter"/>
      <w:lvlText w:val="%1)"/>
      <w:lvlJc w:val="left"/>
      <w:pPr>
        <w:ind w:left="785" w:hanging="360"/>
      </w:pPr>
      <w:rPr>
        <w:rFonts w:hint="default"/>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FE47FBE"/>
    <w:multiLevelType w:val="hybridMultilevel"/>
    <w:tmpl w:val="85AA5D0E"/>
    <w:lvl w:ilvl="0" w:tplc="0809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13550"/>
    <w:multiLevelType w:val="hybridMultilevel"/>
    <w:tmpl w:val="14486B1C"/>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9561CE"/>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282480"/>
    <w:multiLevelType w:val="hybridMultilevel"/>
    <w:tmpl w:val="1230011A"/>
    <w:lvl w:ilvl="0" w:tplc="D77EA9D4">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7">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9">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2">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0"/>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5"/>
  </w:num>
  <w:num w:numId="13">
    <w:abstractNumId w:val="21"/>
  </w:num>
  <w:num w:numId="14">
    <w:abstractNumId w:val="12"/>
  </w:num>
  <w:num w:numId="15">
    <w:abstractNumId w:val="2"/>
  </w:num>
  <w:num w:numId="16">
    <w:abstractNumId w:val="16"/>
  </w:num>
  <w:num w:numId="17">
    <w:abstractNumId w:val="24"/>
  </w:num>
  <w:num w:numId="18">
    <w:abstractNumId w:val="33"/>
  </w:num>
  <w:num w:numId="19">
    <w:abstractNumId w:val="32"/>
  </w:num>
  <w:num w:numId="20">
    <w:abstractNumId w:val="26"/>
  </w:num>
  <w:num w:numId="21">
    <w:abstractNumId w:val="28"/>
  </w:num>
  <w:num w:numId="22">
    <w:abstractNumId w:val="19"/>
  </w:num>
  <w:num w:numId="23">
    <w:abstractNumId w:val="25"/>
  </w:num>
  <w:num w:numId="24">
    <w:abstractNumId w:val="23"/>
  </w:num>
  <w:num w:numId="25">
    <w:abstractNumId w:val="31"/>
  </w:num>
  <w:num w:numId="26">
    <w:abstractNumId w:val="9"/>
  </w:num>
  <w:num w:numId="27">
    <w:abstractNumId w:val="0"/>
  </w:num>
  <w:num w:numId="28">
    <w:abstractNumId w:val="11"/>
  </w:num>
  <w:num w:numId="29">
    <w:abstractNumId w:val="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2"/>
  </w:num>
  <w:num w:numId="34">
    <w:abstractNumId w:val="15"/>
  </w:num>
  <w:num w:numId="35">
    <w:abstractNumId w:val="13"/>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314C"/>
    <w:rsid w:val="00014168"/>
    <w:rsid w:val="0001600A"/>
    <w:rsid w:val="00017A16"/>
    <w:rsid w:val="00026E09"/>
    <w:rsid w:val="00027BE9"/>
    <w:rsid w:val="00037CE0"/>
    <w:rsid w:val="00042EAF"/>
    <w:rsid w:val="0005017F"/>
    <w:rsid w:val="00053929"/>
    <w:rsid w:val="00054A80"/>
    <w:rsid w:val="00070F73"/>
    <w:rsid w:val="00074DE8"/>
    <w:rsid w:val="000A0E52"/>
    <w:rsid w:val="000A3E3E"/>
    <w:rsid w:val="000B0670"/>
    <w:rsid w:val="000C2489"/>
    <w:rsid w:val="000D5C76"/>
    <w:rsid w:val="000E2FA0"/>
    <w:rsid w:val="000E47E9"/>
    <w:rsid w:val="000F2B8C"/>
    <w:rsid w:val="0012096C"/>
    <w:rsid w:val="001252A9"/>
    <w:rsid w:val="00127828"/>
    <w:rsid w:val="00132285"/>
    <w:rsid w:val="001352E8"/>
    <w:rsid w:val="00136395"/>
    <w:rsid w:val="00157C5D"/>
    <w:rsid w:val="001606D6"/>
    <w:rsid w:val="00160D06"/>
    <w:rsid w:val="00161BDA"/>
    <w:rsid w:val="00171618"/>
    <w:rsid w:val="001819B1"/>
    <w:rsid w:val="001A2D10"/>
    <w:rsid w:val="001A4E43"/>
    <w:rsid w:val="001C5E41"/>
    <w:rsid w:val="001C77BC"/>
    <w:rsid w:val="001D48BB"/>
    <w:rsid w:val="001D53C7"/>
    <w:rsid w:val="001E00E3"/>
    <w:rsid w:val="001E5797"/>
    <w:rsid w:val="001F2349"/>
    <w:rsid w:val="001F34EE"/>
    <w:rsid w:val="001F41A4"/>
    <w:rsid w:val="002005D2"/>
    <w:rsid w:val="0020298B"/>
    <w:rsid w:val="00206111"/>
    <w:rsid w:val="00211408"/>
    <w:rsid w:val="002137E0"/>
    <w:rsid w:val="00224D87"/>
    <w:rsid w:val="00242978"/>
    <w:rsid w:val="00244D44"/>
    <w:rsid w:val="002454FA"/>
    <w:rsid w:val="0025032A"/>
    <w:rsid w:val="00270261"/>
    <w:rsid w:val="002741AC"/>
    <w:rsid w:val="00274E2F"/>
    <w:rsid w:val="00275F13"/>
    <w:rsid w:val="002819C0"/>
    <w:rsid w:val="00284652"/>
    <w:rsid w:val="00295556"/>
    <w:rsid w:val="00295BB5"/>
    <w:rsid w:val="002A1F7B"/>
    <w:rsid w:val="002A5A4D"/>
    <w:rsid w:val="002B4262"/>
    <w:rsid w:val="002D5A4D"/>
    <w:rsid w:val="002E22AF"/>
    <w:rsid w:val="002E49DE"/>
    <w:rsid w:val="002F1CAD"/>
    <w:rsid w:val="002F6AC1"/>
    <w:rsid w:val="00302011"/>
    <w:rsid w:val="00324398"/>
    <w:rsid w:val="003443A3"/>
    <w:rsid w:val="0035363E"/>
    <w:rsid w:val="00353E25"/>
    <w:rsid w:val="00353EAC"/>
    <w:rsid w:val="00354938"/>
    <w:rsid w:val="00370279"/>
    <w:rsid w:val="00384FC3"/>
    <w:rsid w:val="003A3804"/>
    <w:rsid w:val="003A52BE"/>
    <w:rsid w:val="003A5866"/>
    <w:rsid w:val="003A6E9F"/>
    <w:rsid w:val="003B5A87"/>
    <w:rsid w:val="003B6512"/>
    <w:rsid w:val="003B7EF8"/>
    <w:rsid w:val="003D4CD6"/>
    <w:rsid w:val="003E2840"/>
    <w:rsid w:val="003F109B"/>
    <w:rsid w:val="00407E04"/>
    <w:rsid w:val="0041759C"/>
    <w:rsid w:val="004228C7"/>
    <w:rsid w:val="0042798B"/>
    <w:rsid w:val="00434913"/>
    <w:rsid w:val="00435D46"/>
    <w:rsid w:val="00440AFD"/>
    <w:rsid w:val="00442AF9"/>
    <w:rsid w:val="004474F8"/>
    <w:rsid w:val="00470ECB"/>
    <w:rsid w:val="004770D8"/>
    <w:rsid w:val="00477550"/>
    <w:rsid w:val="00480B6A"/>
    <w:rsid w:val="004844A8"/>
    <w:rsid w:val="00496037"/>
    <w:rsid w:val="00496803"/>
    <w:rsid w:val="00497162"/>
    <w:rsid w:val="004A04BF"/>
    <w:rsid w:val="004B02FB"/>
    <w:rsid w:val="004B6688"/>
    <w:rsid w:val="004C3A9D"/>
    <w:rsid w:val="004D512B"/>
    <w:rsid w:val="004E0240"/>
    <w:rsid w:val="004E1A8C"/>
    <w:rsid w:val="004F4C48"/>
    <w:rsid w:val="00501CA0"/>
    <w:rsid w:val="00504D36"/>
    <w:rsid w:val="0051731B"/>
    <w:rsid w:val="00520BFC"/>
    <w:rsid w:val="0052200B"/>
    <w:rsid w:val="005244A4"/>
    <w:rsid w:val="00527783"/>
    <w:rsid w:val="005814B5"/>
    <w:rsid w:val="00594559"/>
    <w:rsid w:val="005A5641"/>
    <w:rsid w:val="005B5B40"/>
    <w:rsid w:val="005C11D4"/>
    <w:rsid w:val="005D0AB8"/>
    <w:rsid w:val="005D3E9D"/>
    <w:rsid w:val="005D6969"/>
    <w:rsid w:val="005E6228"/>
    <w:rsid w:val="00604E4F"/>
    <w:rsid w:val="00610AEC"/>
    <w:rsid w:val="00616783"/>
    <w:rsid w:val="006256D3"/>
    <w:rsid w:val="00627BB7"/>
    <w:rsid w:val="0063222A"/>
    <w:rsid w:val="00640198"/>
    <w:rsid w:val="00641E21"/>
    <w:rsid w:val="00644A13"/>
    <w:rsid w:val="00650A9F"/>
    <w:rsid w:val="0065136E"/>
    <w:rsid w:val="0065216E"/>
    <w:rsid w:val="0066340B"/>
    <w:rsid w:val="00666F1F"/>
    <w:rsid w:val="00670D71"/>
    <w:rsid w:val="00685A30"/>
    <w:rsid w:val="006979DC"/>
    <w:rsid w:val="006C4FC5"/>
    <w:rsid w:val="006D2816"/>
    <w:rsid w:val="006E57E2"/>
    <w:rsid w:val="006E5BA0"/>
    <w:rsid w:val="006E7DCE"/>
    <w:rsid w:val="006F0B97"/>
    <w:rsid w:val="007050FF"/>
    <w:rsid w:val="00726516"/>
    <w:rsid w:val="007347ED"/>
    <w:rsid w:val="00737F2F"/>
    <w:rsid w:val="00752764"/>
    <w:rsid w:val="007616A2"/>
    <w:rsid w:val="00766962"/>
    <w:rsid w:val="00775287"/>
    <w:rsid w:val="007C7A33"/>
    <w:rsid w:val="007D3229"/>
    <w:rsid w:val="007D33F4"/>
    <w:rsid w:val="007D368A"/>
    <w:rsid w:val="007D3FC7"/>
    <w:rsid w:val="007E3079"/>
    <w:rsid w:val="007E3B42"/>
    <w:rsid w:val="007F0985"/>
    <w:rsid w:val="007F3ABE"/>
    <w:rsid w:val="007F63D9"/>
    <w:rsid w:val="0080316D"/>
    <w:rsid w:val="00810D56"/>
    <w:rsid w:val="008167E8"/>
    <w:rsid w:val="0081684D"/>
    <w:rsid w:val="00817363"/>
    <w:rsid w:val="008328E9"/>
    <w:rsid w:val="00835BCB"/>
    <w:rsid w:val="00835CDC"/>
    <w:rsid w:val="008364AA"/>
    <w:rsid w:val="0084255C"/>
    <w:rsid w:val="0084548B"/>
    <w:rsid w:val="00850B09"/>
    <w:rsid w:val="00857B9D"/>
    <w:rsid w:val="00863B9D"/>
    <w:rsid w:val="00863BE6"/>
    <w:rsid w:val="0086479C"/>
    <w:rsid w:val="00867D3F"/>
    <w:rsid w:val="008744DA"/>
    <w:rsid w:val="008775BC"/>
    <w:rsid w:val="00880240"/>
    <w:rsid w:val="00882F1B"/>
    <w:rsid w:val="00886384"/>
    <w:rsid w:val="008967DC"/>
    <w:rsid w:val="008A29B0"/>
    <w:rsid w:val="008A70CE"/>
    <w:rsid w:val="008B4622"/>
    <w:rsid w:val="008C25E4"/>
    <w:rsid w:val="008C2DAE"/>
    <w:rsid w:val="008D0A68"/>
    <w:rsid w:val="008E1B35"/>
    <w:rsid w:val="008E4CE3"/>
    <w:rsid w:val="008E730D"/>
    <w:rsid w:val="008E769D"/>
    <w:rsid w:val="008F4809"/>
    <w:rsid w:val="00904A8F"/>
    <w:rsid w:val="009059A9"/>
    <w:rsid w:val="00907320"/>
    <w:rsid w:val="00912B05"/>
    <w:rsid w:val="00912D1F"/>
    <w:rsid w:val="0092515E"/>
    <w:rsid w:val="00937CD4"/>
    <w:rsid w:val="00942FBD"/>
    <w:rsid w:val="0094770B"/>
    <w:rsid w:val="00983A9F"/>
    <w:rsid w:val="00987E3F"/>
    <w:rsid w:val="009927C7"/>
    <w:rsid w:val="009A26C7"/>
    <w:rsid w:val="009B2267"/>
    <w:rsid w:val="009B48BC"/>
    <w:rsid w:val="009B6FE5"/>
    <w:rsid w:val="009C5F7C"/>
    <w:rsid w:val="009E0AE8"/>
    <w:rsid w:val="009E23DC"/>
    <w:rsid w:val="009E290E"/>
    <w:rsid w:val="009E5374"/>
    <w:rsid w:val="009F345D"/>
    <w:rsid w:val="00A11304"/>
    <w:rsid w:val="00A12C27"/>
    <w:rsid w:val="00A13218"/>
    <w:rsid w:val="00A227A3"/>
    <w:rsid w:val="00A24737"/>
    <w:rsid w:val="00A33585"/>
    <w:rsid w:val="00A41FA4"/>
    <w:rsid w:val="00A46A31"/>
    <w:rsid w:val="00A606B3"/>
    <w:rsid w:val="00A60B73"/>
    <w:rsid w:val="00A62AB0"/>
    <w:rsid w:val="00A7043C"/>
    <w:rsid w:val="00A709D8"/>
    <w:rsid w:val="00A737EC"/>
    <w:rsid w:val="00A80080"/>
    <w:rsid w:val="00A80C89"/>
    <w:rsid w:val="00AA10AE"/>
    <w:rsid w:val="00AA42E4"/>
    <w:rsid w:val="00AA49ED"/>
    <w:rsid w:val="00AB023F"/>
    <w:rsid w:val="00AB1B41"/>
    <w:rsid w:val="00AB32D2"/>
    <w:rsid w:val="00AB4951"/>
    <w:rsid w:val="00AB4B60"/>
    <w:rsid w:val="00AB6A2D"/>
    <w:rsid w:val="00AD48C3"/>
    <w:rsid w:val="00AE45B3"/>
    <w:rsid w:val="00AE6638"/>
    <w:rsid w:val="00AE6BE2"/>
    <w:rsid w:val="00AF3C71"/>
    <w:rsid w:val="00B07007"/>
    <w:rsid w:val="00B16A31"/>
    <w:rsid w:val="00B22005"/>
    <w:rsid w:val="00B315A0"/>
    <w:rsid w:val="00B31B81"/>
    <w:rsid w:val="00B34A18"/>
    <w:rsid w:val="00B35608"/>
    <w:rsid w:val="00B468CE"/>
    <w:rsid w:val="00B523B2"/>
    <w:rsid w:val="00B579CB"/>
    <w:rsid w:val="00B60124"/>
    <w:rsid w:val="00B61376"/>
    <w:rsid w:val="00B626CD"/>
    <w:rsid w:val="00B70083"/>
    <w:rsid w:val="00B77777"/>
    <w:rsid w:val="00B814D1"/>
    <w:rsid w:val="00B82F2D"/>
    <w:rsid w:val="00B85D6F"/>
    <w:rsid w:val="00B8612B"/>
    <w:rsid w:val="00B95FD9"/>
    <w:rsid w:val="00BA33AA"/>
    <w:rsid w:val="00BB28F6"/>
    <w:rsid w:val="00BB402F"/>
    <w:rsid w:val="00BC2609"/>
    <w:rsid w:val="00BC4E26"/>
    <w:rsid w:val="00BE1017"/>
    <w:rsid w:val="00BE1244"/>
    <w:rsid w:val="00C01BCF"/>
    <w:rsid w:val="00C11471"/>
    <w:rsid w:val="00C13145"/>
    <w:rsid w:val="00C15189"/>
    <w:rsid w:val="00C204B3"/>
    <w:rsid w:val="00C25168"/>
    <w:rsid w:val="00C605EF"/>
    <w:rsid w:val="00C66C0C"/>
    <w:rsid w:val="00C75D54"/>
    <w:rsid w:val="00C767EB"/>
    <w:rsid w:val="00C93E0A"/>
    <w:rsid w:val="00CA1625"/>
    <w:rsid w:val="00CB6A8F"/>
    <w:rsid w:val="00CD17D8"/>
    <w:rsid w:val="00CD4503"/>
    <w:rsid w:val="00CE750F"/>
    <w:rsid w:val="00CF01F8"/>
    <w:rsid w:val="00CF6232"/>
    <w:rsid w:val="00CF6647"/>
    <w:rsid w:val="00CF75E5"/>
    <w:rsid w:val="00D03AA0"/>
    <w:rsid w:val="00D160CB"/>
    <w:rsid w:val="00D245A1"/>
    <w:rsid w:val="00D334F2"/>
    <w:rsid w:val="00D35265"/>
    <w:rsid w:val="00D415E2"/>
    <w:rsid w:val="00D42055"/>
    <w:rsid w:val="00D54860"/>
    <w:rsid w:val="00D579AD"/>
    <w:rsid w:val="00D63217"/>
    <w:rsid w:val="00D647C3"/>
    <w:rsid w:val="00D7097F"/>
    <w:rsid w:val="00D753B8"/>
    <w:rsid w:val="00D842EF"/>
    <w:rsid w:val="00D92A29"/>
    <w:rsid w:val="00D94D01"/>
    <w:rsid w:val="00D951E3"/>
    <w:rsid w:val="00D9633A"/>
    <w:rsid w:val="00DB63C7"/>
    <w:rsid w:val="00DE22A2"/>
    <w:rsid w:val="00DF2386"/>
    <w:rsid w:val="00DF7FE7"/>
    <w:rsid w:val="00E16E57"/>
    <w:rsid w:val="00E35230"/>
    <w:rsid w:val="00E46367"/>
    <w:rsid w:val="00E62471"/>
    <w:rsid w:val="00E63F0B"/>
    <w:rsid w:val="00E64868"/>
    <w:rsid w:val="00E74D40"/>
    <w:rsid w:val="00E77C02"/>
    <w:rsid w:val="00E80457"/>
    <w:rsid w:val="00E84D2E"/>
    <w:rsid w:val="00EA3A7F"/>
    <w:rsid w:val="00EC092E"/>
    <w:rsid w:val="00EC0D3A"/>
    <w:rsid w:val="00ED44FE"/>
    <w:rsid w:val="00EF4156"/>
    <w:rsid w:val="00F0135D"/>
    <w:rsid w:val="00F078F1"/>
    <w:rsid w:val="00F15F8C"/>
    <w:rsid w:val="00F169AB"/>
    <w:rsid w:val="00F22812"/>
    <w:rsid w:val="00F307B5"/>
    <w:rsid w:val="00F32D03"/>
    <w:rsid w:val="00F344DE"/>
    <w:rsid w:val="00F36D2B"/>
    <w:rsid w:val="00F36F68"/>
    <w:rsid w:val="00F37B57"/>
    <w:rsid w:val="00F43B44"/>
    <w:rsid w:val="00F641FA"/>
    <w:rsid w:val="00F70414"/>
    <w:rsid w:val="00F73BBD"/>
    <w:rsid w:val="00F73E71"/>
    <w:rsid w:val="00FC1A59"/>
    <w:rsid w:val="00FD64D1"/>
    <w:rsid w:val="00FE6A6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F4C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Default">
    <w:name w:val="Default"/>
    <w:rsid w:val="007D368A"/>
    <w:pPr>
      <w:autoSpaceDE w:val="0"/>
      <w:autoSpaceDN w:val="0"/>
      <w:adjustRightInd w:val="0"/>
      <w:ind w:lef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F4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3D41-7D17-4D98-8396-0609AFA9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2685</Words>
  <Characters>14504</Characters>
  <Application>Microsoft Office Word</Application>
  <DocSecurity>4</DocSecurity>
  <Lines>337</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2018-03-19T09:02:00Z</dcterms:created>
  <dcterms:modified xsi:type="dcterms:W3CDTF">2018-03-19T09:02:00Z</dcterms:modified>
</cp:coreProperties>
</file>