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0974E9" w14:textId="725C6371" w:rsidR="00A321F0" w:rsidRPr="00A321F0" w:rsidRDefault="00A321F0" w:rsidP="00A321F0">
      <w:pPr>
        <w:spacing w:before="100" w:beforeAutospacing="1" w:after="100" w:afterAutospacing="1"/>
        <w:ind w:left="0" w:firstLine="0"/>
        <w:rPr>
          <w:rFonts w:ascii="Times New Roman" w:hAnsi="Times New Roman" w:cs="Times New Roman"/>
          <w:sz w:val="24"/>
          <w:szCs w:val="24"/>
          <w:lang w:val="fr-FR"/>
        </w:rPr>
      </w:pPr>
    </w:p>
    <w:p w14:paraId="6204CC23" w14:textId="23D6D9F3" w:rsidR="00250611" w:rsidRPr="00FB4519" w:rsidRDefault="00A321F0" w:rsidP="207F27EF">
      <w:pPr>
        <w:pBdr>
          <w:top w:val="single" w:sz="12" w:space="0" w:color="auto" w:shadow="1"/>
          <w:left w:val="single" w:sz="12" w:space="4" w:color="auto" w:shadow="1"/>
          <w:bottom w:val="single" w:sz="12" w:space="0" w:color="auto" w:shadow="1"/>
          <w:right w:val="single" w:sz="12" w:space="7" w:color="auto" w:shadow="1"/>
        </w:pBdr>
        <w:ind w:right="2790"/>
        <w:rPr>
          <w:sz w:val="24"/>
          <w:szCs w:val="24"/>
          <w:lang w:val="fr-FR"/>
        </w:rPr>
      </w:pPr>
      <w:r w:rsidRPr="00FB4519">
        <w:rPr>
          <w:sz w:val="24"/>
          <w:szCs w:val="24"/>
          <w:lang w:val="fr-FR"/>
        </w:rPr>
        <w:t>CONVENTION SUR LE ZONES HUMIDES</w:t>
      </w:r>
    </w:p>
    <w:p w14:paraId="6D183C92" w14:textId="5B0718E7" w:rsidR="00250611" w:rsidRPr="00FB4519" w:rsidRDefault="31B94901" w:rsidP="31B94901">
      <w:pPr>
        <w:pBdr>
          <w:top w:val="single" w:sz="12" w:space="0" w:color="auto" w:shadow="1"/>
          <w:left w:val="single" w:sz="12" w:space="4" w:color="auto" w:shadow="1"/>
          <w:bottom w:val="single" w:sz="12" w:space="0" w:color="auto" w:shadow="1"/>
          <w:right w:val="single" w:sz="12" w:space="7" w:color="auto" w:shadow="1"/>
        </w:pBdr>
        <w:ind w:right="2790"/>
        <w:rPr>
          <w:sz w:val="24"/>
          <w:szCs w:val="24"/>
          <w:lang w:val="fr-FR"/>
        </w:rPr>
      </w:pPr>
      <w:r w:rsidRPr="00FB4519">
        <w:rPr>
          <w:sz w:val="24"/>
          <w:szCs w:val="24"/>
          <w:lang w:val="fr-FR"/>
        </w:rPr>
        <w:t>54</w:t>
      </w:r>
      <w:r w:rsidR="00A321F0" w:rsidRPr="00FB4519">
        <w:rPr>
          <w:sz w:val="24"/>
          <w:szCs w:val="24"/>
          <w:vertAlign w:val="superscript"/>
          <w:lang w:val="fr-FR"/>
        </w:rPr>
        <w:t>e</w:t>
      </w:r>
      <w:r w:rsidRPr="00FB4519">
        <w:rPr>
          <w:sz w:val="24"/>
          <w:szCs w:val="24"/>
          <w:lang w:val="fr-FR"/>
        </w:rPr>
        <w:t xml:space="preserve"> </w:t>
      </w:r>
      <w:r w:rsidR="00A321F0" w:rsidRPr="00FB4519">
        <w:rPr>
          <w:sz w:val="24"/>
          <w:szCs w:val="24"/>
          <w:lang w:val="fr-FR"/>
        </w:rPr>
        <w:t>Réunion du Comité permanent</w:t>
      </w:r>
    </w:p>
    <w:p w14:paraId="55D88F6B" w14:textId="55EF6D1B" w:rsidR="00250611" w:rsidRPr="00FB4519" w:rsidRDefault="31B94901" w:rsidP="31B94901">
      <w:pPr>
        <w:pBdr>
          <w:top w:val="single" w:sz="12" w:space="0" w:color="auto" w:shadow="1"/>
          <w:left w:val="single" w:sz="12" w:space="4" w:color="auto" w:shadow="1"/>
          <w:bottom w:val="single" w:sz="12" w:space="0" w:color="auto" w:shadow="1"/>
          <w:right w:val="single" w:sz="12" w:space="7" w:color="auto" w:shadow="1"/>
        </w:pBdr>
        <w:ind w:right="2790"/>
        <w:rPr>
          <w:sz w:val="24"/>
          <w:szCs w:val="24"/>
          <w:lang w:val="fr-FR"/>
        </w:rPr>
      </w:pPr>
      <w:r w:rsidRPr="00FB4519">
        <w:rPr>
          <w:sz w:val="24"/>
          <w:szCs w:val="24"/>
          <w:lang w:val="fr-FR"/>
        </w:rPr>
        <w:t>Gland, S</w:t>
      </w:r>
      <w:r w:rsidR="00A321F0" w:rsidRPr="00FB4519">
        <w:rPr>
          <w:sz w:val="24"/>
          <w:szCs w:val="24"/>
          <w:lang w:val="fr-FR"/>
        </w:rPr>
        <w:t>uisse</w:t>
      </w:r>
      <w:r w:rsidRPr="00FB4519">
        <w:rPr>
          <w:sz w:val="24"/>
          <w:szCs w:val="24"/>
          <w:lang w:val="fr-FR"/>
        </w:rPr>
        <w:t xml:space="preserve">, 23 </w:t>
      </w:r>
      <w:r w:rsidR="00A321F0" w:rsidRPr="00FB4519">
        <w:rPr>
          <w:sz w:val="24"/>
          <w:szCs w:val="24"/>
          <w:lang w:val="fr-FR"/>
        </w:rPr>
        <w:t>avril</w:t>
      </w:r>
      <w:r w:rsidRPr="00FB4519">
        <w:rPr>
          <w:sz w:val="24"/>
          <w:szCs w:val="24"/>
          <w:lang w:val="fr-FR"/>
        </w:rPr>
        <w:t xml:space="preserve"> – 27 </w:t>
      </w:r>
      <w:r w:rsidR="00A321F0" w:rsidRPr="00FB4519">
        <w:rPr>
          <w:sz w:val="24"/>
          <w:szCs w:val="24"/>
          <w:lang w:val="fr-FR"/>
        </w:rPr>
        <w:t>avri</w:t>
      </w:r>
      <w:r w:rsidR="006C4461">
        <w:rPr>
          <w:sz w:val="24"/>
          <w:szCs w:val="24"/>
          <w:lang w:val="fr-FR"/>
        </w:rPr>
        <w:t>l 2018</w:t>
      </w:r>
      <w:bookmarkStart w:id="0" w:name="_GoBack"/>
      <w:bookmarkEnd w:id="0"/>
    </w:p>
    <w:p w14:paraId="7002E8BD" w14:textId="77777777" w:rsidR="00250611" w:rsidRPr="00FB4519" w:rsidRDefault="00250611" w:rsidP="00250611">
      <w:pPr>
        <w:outlineLvl w:val="0"/>
        <w:rPr>
          <w:b/>
          <w:lang w:val="fr-FR"/>
        </w:rPr>
      </w:pPr>
    </w:p>
    <w:p w14:paraId="3AA797F1" w14:textId="15B431DD" w:rsidR="00250611" w:rsidRPr="00FB4519" w:rsidRDefault="00570F86" w:rsidP="31B94901">
      <w:pPr>
        <w:jc w:val="right"/>
        <w:rPr>
          <w:rFonts w:cs="Arial"/>
          <w:sz w:val="28"/>
          <w:szCs w:val="28"/>
          <w:lang w:val="fr-FR"/>
        </w:rPr>
      </w:pPr>
      <w:r w:rsidRPr="00FB4519">
        <w:rPr>
          <w:rFonts w:cs="Arial"/>
          <w:b/>
          <w:bCs/>
          <w:sz w:val="28"/>
          <w:szCs w:val="28"/>
          <w:lang w:val="fr-FR"/>
        </w:rPr>
        <w:t xml:space="preserve">Doc. </w:t>
      </w:r>
      <w:r w:rsidR="31B94901" w:rsidRPr="00FB4519">
        <w:rPr>
          <w:rFonts w:cs="Arial"/>
          <w:b/>
          <w:bCs/>
          <w:sz w:val="28"/>
          <w:szCs w:val="28"/>
          <w:lang w:val="fr-FR"/>
        </w:rPr>
        <w:t>SC54-</w:t>
      </w:r>
      <w:r w:rsidR="00F21FA5" w:rsidRPr="00FB4519">
        <w:rPr>
          <w:rFonts w:cs="Arial"/>
          <w:b/>
          <w:bCs/>
          <w:sz w:val="28"/>
          <w:szCs w:val="28"/>
          <w:lang w:val="fr-FR"/>
        </w:rPr>
        <w:t>5</w:t>
      </w:r>
      <w:r w:rsidR="31B94901" w:rsidRPr="00FB4519">
        <w:rPr>
          <w:rFonts w:cs="Arial"/>
          <w:b/>
          <w:bCs/>
          <w:sz w:val="28"/>
          <w:szCs w:val="28"/>
          <w:lang w:val="fr-FR"/>
        </w:rPr>
        <w:t xml:space="preserve"> </w:t>
      </w:r>
    </w:p>
    <w:p w14:paraId="4A7CC700" w14:textId="77777777" w:rsidR="00250611" w:rsidRPr="00FB4519" w:rsidRDefault="00250611" w:rsidP="00250611">
      <w:pPr>
        <w:rPr>
          <w:rFonts w:cs="Arial"/>
          <w:b/>
          <w:sz w:val="28"/>
          <w:szCs w:val="28"/>
          <w:lang w:val="fr-FR"/>
        </w:rPr>
      </w:pPr>
    </w:p>
    <w:p w14:paraId="2FEB2BA9" w14:textId="6C4646B8" w:rsidR="00250611" w:rsidRPr="00FB4519" w:rsidRDefault="31B94901" w:rsidP="31B94901">
      <w:pPr>
        <w:jc w:val="center"/>
        <w:rPr>
          <w:rFonts w:cs="Arial"/>
          <w:b/>
          <w:bCs/>
          <w:sz w:val="28"/>
          <w:szCs w:val="28"/>
          <w:lang w:val="fr-FR"/>
        </w:rPr>
      </w:pPr>
      <w:r w:rsidRPr="00FB4519">
        <w:rPr>
          <w:rFonts w:cs="Arial"/>
          <w:b/>
          <w:bCs/>
          <w:sz w:val="28"/>
          <w:szCs w:val="28"/>
          <w:lang w:val="fr-FR"/>
        </w:rPr>
        <w:t>R</w:t>
      </w:r>
      <w:r w:rsidR="00A321F0" w:rsidRPr="00FB4519">
        <w:rPr>
          <w:rFonts w:cs="Arial"/>
          <w:b/>
          <w:bCs/>
          <w:sz w:val="28"/>
          <w:szCs w:val="28"/>
          <w:lang w:val="fr-FR"/>
        </w:rPr>
        <w:t>apport de la Secrétaire générale</w:t>
      </w:r>
    </w:p>
    <w:p w14:paraId="6BF6B202" w14:textId="77777777" w:rsidR="00250611" w:rsidRPr="00FB4519" w:rsidRDefault="00250611" w:rsidP="00250611">
      <w:pPr>
        <w:rPr>
          <w:rFonts w:ascii="Garamond" w:hAnsi="Garamond" w:cs="Arial"/>
          <w:lang w:val="fr-FR"/>
        </w:rPr>
      </w:pPr>
    </w:p>
    <w:p w14:paraId="7217D8BB" w14:textId="77777777" w:rsidR="00250611" w:rsidRPr="00FB4519" w:rsidRDefault="008379D6" w:rsidP="00250611">
      <w:pPr>
        <w:autoSpaceDE w:val="0"/>
        <w:autoSpaceDN w:val="0"/>
        <w:adjustRightInd w:val="0"/>
        <w:rPr>
          <w:rFonts w:cs="Calibri-Bold"/>
          <w:b/>
          <w:bCs/>
          <w:lang w:val="fr-FR"/>
        </w:rPr>
      </w:pPr>
      <w:r w:rsidRPr="00FB4519">
        <w:rPr>
          <w:noProof/>
          <w:lang w:eastAsia="en-GB"/>
        </w:rPr>
        <mc:AlternateContent>
          <mc:Choice Requires="wps">
            <w:drawing>
              <wp:inline distT="0" distB="0" distL="0" distR="0" wp14:anchorId="283FA347" wp14:editId="2C679397">
                <wp:extent cx="5731510" cy="728980"/>
                <wp:effectExtent l="9525" t="12700" r="12065" b="1079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728980"/>
                        </a:xfrm>
                        <a:prstGeom prst="rect">
                          <a:avLst/>
                        </a:prstGeom>
                        <a:solidFill>
                          <a:srgbClr val="FFFFFF"/>
                        </a:solidFill>
                        <a:ln w="9525">
                          <a:solidFill>
                            <a:srgbClr val="000000"/>
                          </a:solidFill>
                          <a:miter lim="800000"/>
                          <a:headEnd/>
                          <a:tailEnd/>
                        </a:ln>
                      </wps:spPr>
                      <wps:txbx>
                        <w:txbxContent>
                          <w:p w14:paraId="7BF77F23" w14:textId="06C198C4" w:rsidR="00772F85" w:rsidRPr="00A321F0" w:rsidRDefault="00A321F0" w:rsidP="00250611">
                            <w:pPr>
                              <w:rPr>
                                <w:b/>
                                <w:bCs/>
                                <w:lang w:val="fr-FR"/>
                              </w:rPr>
                            </w:pPr>
                            <w:r w:rsidRPr="00A321F0">
                              <w:rPr>
                                <w:b/>
                                <w:bCs/>
                                <w:lang w:val="fr-FR"/>
                              </w:rPr>
                              <w:t xml:space="preserve">Mesure </w:t>
                            </w:r>
                            <w:r w:rsidR="00772F85" w:rsidRPr="00A321F0">
                              <w:rPr>
                                <w:b/>
                                <w:bCs/>
                                <w:lang w:val="fr-FR"/>
                              </w:rPr>
                              <w:t>requ</w:t>
                            </w:r>
                            <w:r w:rsidRPr="00A321F0">
                              <w:rPr>
                                <w:b/>
                                <w:bCs/>
                                <w:lang w:val="fr-FR"/>
                              </w:rPr>
                              <w:t>ise :</w:t>
                            </w:r>
                            <w:r w:rsidR="00772F85" w:rsidRPr="00A321F0">
                              <w:rPr>
                                <w:b/>
                                <w:bCs/>
                                <w:lang w:val="fr-FR"/>
                              </w:rPr>
                              <w:t xml:space="preserve"> </w:t>
                            </w:r>
                          </w:p>
                          <w:p w14:paraId="60D56477" w14:textId="77777777" w:rsidR="00772F85" w:rsidRPr="00A321F0" w:rsidRDefault="00772F85" w:rsidP="00250611">
                            <w:pPr>
                              <w:pStyle w:val="ColorfulList-Accent11"/>
                              <w:ind w:left="0"/>
                              <w:rPr>
                                <w:lang w:val="fr-FR"/>
                              </w:rPr>
                            </w:pPr>
                          </w:p>
                          <w:p w14:paraId="757C01B8" w14:textId="22841A13" w:rsidR="00772F85" w:rsidRPr="00A321F0" w:rsidRDefault="00A321F0" w:rsidP="00250611">
                            <w:pPr>
                              <w:pStyle w:val="ColorfulList-Accent11"/>
                              <w:ind w:left="0" w:firstLine="0"/>
                              <w:rPr>
                                <w:lang w:val="fr-FR"/>
                              </w:rPr>
                            </w:pPr>
                            <w:r w:rsidRPr="00A321F0">
                              <w:rPr>
                                <w:lang w:val="fr-FR"/>
                              </w:rPr>
                              <w:t>Le Comité permanent est invité à prendre note du rapport de la Secrétaire générale.</w:t>
                            </w:r>
                          </w:p>
                        </w:txbxContent>
                      </wps:txbx>
                      <wps:bodyPr rot="0" vert="horz" wrap="square" lIns="91440" tIns="45720" rIns="91440" bIns="45720" anchor="t" anchorCtr="0" upright="1">
                        <a:noAutofit/>
                      </wps:bodyPr>
                    </wps:wsp>
                  </a:graphicData>
                </a:graphic>
              </wp:inline>
            </w:drawing>
          </mc:Choice>
          <mc:Fallback xmlns:w15="http://schemas.microsoft.com/office/word/2012/wordml" xmlns:mv="urn:schemas-microsoft-com:mac:vml" xmlns:mo="http://schemas.microsoft.com/office/mac/office/2008/main">
            <w:pict>
              <v:shapetype w14:anchorId="283FA347" id="_x0000_t202" coordsize="21600,21600" o:spt="202" path="m0,0l0,21600,21600,21600,21600,0xe">
                <v:stroke joinstyle="miter"/>
                <v:path gradientshapeok="t" o:connecttype="rect"/>
              </v:shapetype>
              <v:shape id="Text Box 1" o:spid="_x0000_s1026" type="#_x0000_t202" style="width:451.3pt;height:57.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">
                <v:textbox>
                  <w:txbxContent>
                    <w:p w14:paraId="7BF77F23" w14:textId="06C198C4" w:rsidR="00772F85" w:rsidRPr="00A321F0" w:rsidRDefault="00A321F0" w:rsidP="00250611">
                      <w:pPr>
                        <w:rPr>
                          <w:b/>
                          <w:bCs/>
                          <w:lang w:val="fr-FR"/>
                        </w:rPr>
                      </w:pPr>
                      <w:r w:rsidRPr="00A321F0">
                        <w:rPr>
                          <w:b/>
                          <w:bCs/>
                          <w:lang w:val="fr-FR"/>
                        </w:rPr>
                        <w:t xml:space="preserve">Mesure </w:t>
                      </w:r>
                      <w:r w:rsidR="00772F85" w:rsidRPr="00A321F0">
                        <w:rPr>
                          <w:b/>
                          <w:bCs/>
                          <w:lang w:val="fr-FR"/>
                        </w:rPr>
                        <w:t>requ</w:t>
                      </w:r>
                      <w:r w:rsidRPr="00A321F0">
                        <w:rPr>
                          <w:b/>
                          <w:bCs/>
                          <w:lang w:val="fr-FR"/>
                        </w:rPr>
                        <w:t>ise :</w:t>
                      </w:r>
                      <w:r w:rsidR="00772F85" w:rsidRPr="00A321F0">
                        <w:rPr>
                          <w:b/>
                          <w:bCs/>
                          <w:lang w:val="fr-FR"/>
                        </w:rPr>
                        <w:t xml:space="preserve"> </w:t>
                      </w:r>
                    </w:p>
                    <w:p w14:paraId="60D56477" w14:textId="77777777" w:rsidR="00772F85" w:rsidRPr="00A321F0" w:rsidRDefault="00772F85" w:rsidP="00250611">
                      <w:pPr>
                        <w:pStyle w:val="ColorfulList-Accent11"/>
                        <w:ind w:left="0"/>
                        <w:rPr>
                          <w:lang w:val="fr-FR"/>
                        </w:rPr>
                      </w:pPr>
                    </w:p>
                    <w:p w14:paraId="757C01B8" w14:textId="22841A13" w:rsidR="00772F85" w:rsidRPr="00A321F0" w:rsidRDefault="00A321F0" w:rsidP="00250611">
                      <w:pPr>
                        <w:pStyle w:val="ColorfulList-Accent11"/>
                        <w:ind w:left="0" w:firstLine="0"/>
                        <w:rPr>
                          <w:lang w:val="fr-FR"/>
                        </w:rPr>
                      </w:pPr>
                      <w:r w:rsidRPr="00A321F0">
                        <w:rPr>
                          <w:lang w:val="fr-FR"/>
                        </w:rPr>
                        <w:t>Le Comité permanent est invité à prendre note du rapport de la Secrétaire générale.</w:t>
                      </w:r>
                    </w:p>
                  </w:txbxContent>
                </v:textbox>
                <w10:anchorlock/>
              </v:shape>
            </w:pict>
          </mc:Fallback>
        </mc:AlternateContent>
      </w:r>
    </w:p>
    <w:p w14:paraId="17E26E41" w14:textId="77777777" w:rsidR="00250611" w:rsidRPr="00FB4519" w:rsidRDefault="00250611" w:rsidP="00DC2341">
      <w:pPr>
        <w:rPr>
          <w:b/>
          <w:lang w:val="fr-FR"/>
        </w:rPr>
      </w:pPr>
    </w:p>
    <w:p w14:paraId="64AC71E0" w14:textId="77777777" w:rsidR="00DC2341" w:rsidRPr="00FB4519" w:rsidRDefault="00DC2341" w:rsidP="00DC2341">
      <w:pPr>
        <w:rPr>
          <w:b/>
          <w:lang w:val="fr-FR"/>
        </w:rPr>
      </w:pPr>
    </w:p>
    <w:p w14:paraId="46999C68" w14:textId="13A4D7C2" w:rsidR="00250611" w:rsidRPr="00FB4519" w:rsidRDefault="00DC2341" w:rsidP="00A660B8">
      <w:pPr>
        <w:rPr>
          <w:rFonts w:cs="Arial"/>
          <w:lang w:val="fr-FR"/>
        </w:rPr>
      </w:pPr>
      <w:r w:rsidRPr="00FB4519">
        <w:rPr>
          <w:rFonts w:cs="Arial"/>
          <w:lang w:val="fr-FR"/>
        </w:rPr>
        <w:t>1.</w:t>
      </w:r>
      <w:r w:rsidRPr="00FB4519">
        <w:rPr>
          <w:rFonts w:cs="Arial"/>
          <w:lang w:val="fr-FR"/>
        </w:rPr>
        <w:tab/>
      </w:r>
      <w:r w:rsidR="00A321F0" w:rsidRPr="00FB4519">
        <w:rPr>
          <w:rFonts w:cs="Arial"/>
          <w:lang w:val="fr-FR"/>
        </w:rPr>
        <w:t>Le présent rapport couvre les t</w:t>
      </w:r>
      <w:r w:rsidR="006961C4">
        <w:rPr>
          <w:rFonts w:cs="Arial"/>
          <w:lang w:val="fr-FR"/>
        </w:rPr>
        <w:t>ravaux du Secrétariat de la 53</w:t>
      </w:r>
      <w:r w:rsidR="006961C4" w:rsidRPr="006961C4">
        <w:rPr>
          <w:rFonts w:cs="Arial"/>
          <w:vertAlign w:val="superscript"/>
          <w:lang w:val="fr-FR"/>
        </w:rPr>
        <w:t>e</w:t>
      </w:r>
      <w:r w:rsidR="00A321F0" w:rsidRPr="00FB4519">
        <w:rPr>
          <w:rFonts w:cs="Arial"/>
          <w:lang w:val="fr-FR"/>
        </w:rPr>
        <w:t xml:space="preserve"> Réunion du Comité permanent (</w:t>
      </w:r>
      <w:r w:rsidR="00A660B8" w:rsidRPr="00FB4519">
        <w:rPr>
          <w:rFonts w:cs="Arial"/>
          <w:lang w:val="fr-FR"/>
        </w:rPr>
        <w:t>mars 2017</w:t>
      </w:r>
      <w:r w:rsidR="00A321F0" w:rsidRPr="00FB4519">
        <w:rPr>
          <w:rFonts w:cs="Arial"/>
          <w:lang w:val="fr-FR"/>
        </w:rPr>
        <w:t xml:space="preserve">) jusqu’à la fin de </w:t>
      </w:r>
      <w:r w:rsidR="00A660B8" w:rsidRPr="00FB4519">
        <w:rPr>
          <w:rFonts w:cs="Arial"/>
          <w:lang w:val="fr-FR"/>
        </w:rPr>
        <w:t>janvier 2018</w:t>
      </w:r>
      <w:r w:rsidR="00A321F0" w:rsidRPr="00FB4519">
        <w:rPr>
          <w:rFonts w:cs="Arial"/>
          <w:lang w:val="fr-FR"/>
        </w:rPr>
        <w:t>. Les</w:t>
      </w:r>
      <w:r w:rsidR="00A660B8" w:rsidRPr="00FB4519">
        <w:rPr>
          <w:rFonts w:cs="Arial"/>
          <w:lang w:val="fr-FR"/>
        </w:rPr>
        <w:t xml:space="preserve"> documents préparés pour la 5</w:t>
      </w:r>
      <w:r w:rsidR="006961C4">
        <w:rPr>
          <w:rFonts w:cs="Arial"/>
          <w:lang w:val="fr-FR"/>
        </w:rPr>
        <w:t>4</w:t>
      </w:r>
      <w:r w:rsidR="006961C4" w:rsidRPr="006961C4">
        <w:rPr>
          <w:rFonts w:cs="Arial"/>
          <w:vertAlign w:val="superscript"/>
          <w:lang w:val="fr-FR"/>
        </w:rPr>
        <w:t>e</w:t>
      </w:r>
      <w:r w:rsidR="00A321F0" w:rsidRPr="00FB4519">
        <w:rPr>
          <w:rFonts w:cs="Arial"/>
          <w:lang w:val="fr-FR"/>
        </w:rPr>
        <w:t xml:space="preserve"> Réunion</w:t>
      </w:r>
      <w:r w:rsidR="00A660B8" w:rsidRPr="00FB4519">
        <w:rPr>
          <w:rFonts w:cs="Arial"/>
          <w:lang w:val="fr-FR"/>
        </w:rPr>
        <w:t xml:space="preserve"> (SC54)</w:t>
      </w:r>
      <w:r w:rsidR="00A321F0" w:rsidRPr="00FB4519">
        <w:rPr>
          <w:rFonts w:cs="Arial"/>
          <w:lang w:val="fr-FR"/>
        </w:rPr>
        <w:t xml:space="preserve"> portent sur divers domaines de travail du Secrétariat. Le présent rapport donne une vue d’ensemble et présente des points marquants de</w:t>
      </w:r>
      <w:r w:rsidR="00A660B8" w:rsidRPr="00FB4519">
        <w:rPr>
          <w:rFonts w:cs="Arial"/>
          <w:lang w:val="fr-FR"/>
        </w:rPr>
        <w:t>s travaux accomplis pendant cette période</w:t>
      </w:r>
      <w:r w:rsidR="009665A3" w:rsidRPr="00FB4519">
        <w:rPr>
          <w:rFonts w:cs="Arial"/>
          <w:lang w:val="fr-FR"/>
        </w:rPr>
        <w:t>.</w:t>
      </w:r>
    </w:p>
    <w:p w14:paraId="0E120931" w14:textId="77777777" w:rsidR="00DC2341" w:rsidRPr="00FB4519" w:rsidRDefault="00DC2341" w:rsidP="00570F86">
      <w:pPr>
        <w:rPr>
          <w:rFonts w:cs="Arial"/>
          <w:lang w:val="fr-FR"/>
        </w:rPr>
      </w:pPr>
    </w:p>
    <w:p w14:paraId="64F7543F" w14:textId="0159B90E" w:rsidR="00250611" w:rsidRPr="00FB4519" w:rsidRDefault="004E7E51" w:rsidP="00FB4519">
      <w:pPr>
        <w:rPr>
          <w:lang w:val="fr-FR"/>
        </w:rPr>
      </w:pPr>
      <w:r w:rsidRPr="00FB4519">
        <w:rPr>
          <w:lang w:val="fr-FR"/>
        </w:rPr>
        <w:t>2.</w:t>
      </w:r>
      <w:r w:rsidRPr="00FB4519">
        <w:rPr>
          <w:lang w:val="fr-FR"/>
        </w:rPr>
        <w:tab/>
      </w:r>
      <w:r w:rsidR="006C21D2" w:rsidRPr="00FB4519">
        <w:rPr>
          <w:lang w:val="fr-FR"/>
        </w:rPr>
        <w:t xml:space="preserve">Le Secrétariat </w:t>
      </w:r>
      <w:r w:rsidR="00FB4519" w:rsidRPr="00FB4519">
        <w:rPr>
          <w:lang w:val="fr-FR"/>
        </w:rPr>
        <w:t xml:space="preserve">est fidèle à son engagement </w:t>
      </w:r>
      <w:r w:rsidR="006961C4">
        <w:rPr>
          <w:lang w:val="fr-FR"/>
        </w:rPr>
        <w:t xml:space="preserve">visant </w:t>
      </w:r>
      <w:r w:rsidR="00FB4519" w:rsidRPr="00FB4519">
        <w:rPr>
          <w:lang w:val="fr-FR"/>
        </w:rPr>
        <w:t>à</w:t>
      </w:r>
      <w:r w:rsidR="006C21D2" w:rsidRPr="00FB4519">
        <w:rPr>
          <w:lang w:val="fr-FR"/>
        </w:rPr>
        <w:t xml:space="preserve"> </w:t>
      </w:r>
      <w:r w:rsidR="00FB4519" w:rsidRPr="00FB4519">
        <w:rPr>
          <w:lang w:val="fr-FR"/>
        </w:rPr>
        <w:t>consolider ses travaux pour s’acquitter efficacement du mandat qui lui a été confié en vertu de l'Article 8 de la Convention, à mettre en œuvre les instructions qui lui ont été données par la Conférence des Parties contractantes et le Comité permanent, et à aider les Parties à mettre en œuvre le Plan stratégique de la Convention. Les principaux domaines de travail sont décrits ci-dessous.</w:t>
      </w:r>
    </w:p>
    <w:p w14:paraId="7F67DE9B" w14:textId="77777777" w:rsidR="00250611" w:rsidRPr="00FB4519" w:rsidRDefault="00250611" w:rsidP="00570F86">
      <w:pPr>
        <w:rPr>
          <w:b/>
          <w:lang w:val="fr-FR"/>
        </w:rPr>
      </w:pPr>
    </w:p>
    <w:p w14:paraId="4ED3EBD3" w14:textId="02E987DD" w:rsidR="001D3E01" w:rsidRPr="00FB4519" w:rsidRDefault="00FB4519" w:rsidP="00F36D96">
      <w:pPr>
        <w:ind w:left="0" w:firstLine="0"/>
        <w:rPr>
          <w:b/>
          <w:bCs/>
          <w:lang w:val="fr-FR"/>
        </w:rPr>
      </w:pPr>
      <w:r w:rsidRPr="00FB4519">
        <w:rPr>
          <w:b/>
          <w:bCs/>
          <w:lang w:val="fr-FR"/>
        </w:rPr>
        <w:t>Renforcement des services à la prise de décisions et à la responsabilité des Parties contractantes</w:t>
      </w:r>
    </w:p>
    <w:p w14:paraId="330ADFE2" w14:textId="77777777" w:rsidR="001D3E01" w:rsidRPr="00FB4519" w:rsidRDefault="001D3E01" w:rsidP="00570F86">
      <w:pPr>
        <w:rPr>
          <w:b/>
          <w:lang w:val="fr-FR"/>
        </w:rPr>
      </w:pPr>
    </w:p>
    <w:p w14:paraId="2FA5F405" w14:textId="2884EE4F" w:rsidR="00961D68" w:rsidRPr="00961D68" w:rsidRDefault="004E7E51" w:rsidP="00961D68">
      <w:pPr>
        <w:rPr>
          <w:rFonts w:cs="Arial"/>
          <w:lang w:val="fr-FR"/>
        </w:rPr>
      </w:pPr>
      <w:r w:rsidRPr="00FB4519">
        <w:rPr>
          <w:rFonts w:cs="Arial"/>
          <w:lang w:val="fr-FR"/>
        </w:rPr>
        <w:t>3.</w:t>
      </w:r>
      <w:r w:rsidRPr="00FB4519">
        <w:rPr>
          <w:rFonts w:cs="Arial"/>
          <w:lang w:val="fr-FR"/>
        </w:rPr>
        <w:tab/>
      </w:r>
      <w:r w:rsidR="00961D68" w:rsidRPr="00961D68">
        <w:rPr>
          <w:rFonts w:cs="Arial"/>
          <w:lang w:val="fr-FR"/>
        </w:rPr>
        <w:t>L'amélioration de la façon dont le Secrétariat s'acquitte de son rôle essentiel</w:t>
      </w:r>
      <w:r w:rsidR="00B1292F">
        <w:rPr>
          <w:rFonts w:cs="Arial"/>
          <w:lang w:val="fr-FR"/>
        </w:rPr>
        <w:t>, à savoir s</w:t>
      </w:r>
      <w:r w:rsidR="00961D68" w:rsidRPr="00961D68">
        <w:rPr>
          <w:rFonts w:cs="Arial"/>
          <w:lang w:val="fr-FR"/>
        </w:rPr>
        <w:t>ervi</w:t>
      </w:r>
      <w:r w:rsidR="00B1292F">
        <w:rPr>
          <w:rFonts w:cs="Arial"/>
          <w:lang w:val="fr-FR"/>
        </w:rPr>
        <w:t>r les</w:t>
      </w:r>
      <w:r w:rsidR="00961D68" w:rsidRPr="00961D68">
        <w:rPr>
          <w:rFonts w:cs="Arial"/>
          <w:lang w:val="fr-FR"/>
        </w:rPr>
        <w:t xml:space="preserve"> Parties contractantes</w:t>
      </w:r>
      <w:r w:rsidR="00B1292F">
        <w:rPr>
          <w:rFonts w:cs="Arial"/>
          <w:lang w:val="fr-FR"/>
        </w:rPr>
        <w:t>,</w:t>
      </w:r>
      <w:r w:rsidR="00961D68" w:rsidRPr="00961D68">
        <w:rPr>
          <w:rFonts w:cs="Arial"/>
          <w:lang w:val="fr-FR"/>
        </w:rPr>
        <w:t xml:space="preserve"> a continué d'être une priorité au cours de la période considérée. </w:t>
      </w:r>
      <w:r w:rsidR="00B1292F">
        <w:rPr>
          <w:rFonts w:cs="Arial"/>
          <w:lang w:val="fr-FR"/>
        </w:rPr>
        <w:t xml:space="preserve">Il s’agit notamment de </w:t>
      </w:r>
      <w:r w:rsidR="007E726E" w:rsidRPr="007E726E">
        <w:rPr>
          <w:rFonts w:cs="Arial"/>
          <w:lang w:val="fr-FR"/>
        </w:rPr>
        <w:t>l’organisation de réunions des organes de gouvernance et subsidiaires</w:t>
      </w:r>
      <w:r w:rsidR="00B1292F">
        <w:rPr>
          <w:rFonts w:cs="Arial"/>
          <w:lang w:val="fr-FR"/>
        </w:rPr>
        <w:t>, de</w:t>
      </w:r>
      <w:r w:rsidR="007E726E" w:rsidRPr="007E726E">
        <w:rPr>
          <w:rFonts w:cs="Arial"/>
          <w:lang w:val="fr-FR"/>
        </w:rPr>
        <w:t xml:space="preserve"> la responsabilité </w:t>
      </w:r>
      <w:r w:rsidR="00B1292F">
        <w:rPr>
          <w:rFonts w:cs="Arial"/>
          <w:lang w:val="fr-FR"/>
        </w:rPr>
        <w:t xml:space="preserve">et de la capacité </w:t>
      </w:r>
      <w:r w:rsidR="007E726E" w:rsidRPr="007E726E">
        <w:rPr>
          <w:rFonts w:cs="Arial"/>
          <w:lang w:val="fr-FR"/>
        </w:rPr>
        <w:t xml:space="preserve">dans tous les travaux du Secrétariat </w:t>
      </w:r>
      <w:r w:rsidR="00B1292F">
        <w:rPr>
          <w:rFonts w:cs="Arial"/>
          <w:lang w:val="fr-FR"/>
        </w:rPr>
        <w:t xml:space="preserve">d’appliquer les </w:t>
      </w:r>
      <w:r w:rsidR="007E726E" w:rsidRPr="007E726E">
        <w:rPr>
          <w:rFonts w:cs="Arial"/>
          <w:lang w:val="fr-FR"/>
        </w:rPr>
        <w:t>décisions et requêtes des Parties contractantes.</w:t>
      </w:r>
    </w:p>
    <w:p w14:paraId="6640188E" w14:textId="77777777" w:rsidR="00DF1D26" w:rsidRPr="00FB4519" w:rsidRDefault="00DF1D26" w:rsidP="007E726E">
      <w:pPr>
        <w:ind w:left="0" w:firstLine="0"/>
        <w:rPr>
          <w:rFonts w:cs="Arial"/>
          <w:lang w:val="fr-FR"/>
        </w:rPr>
      </w:pPr>
    </w:p>
    <w:p w14:paraId="43FAF7C5" w14:textId="3D1DDC1E" w:rsidR="00110E53" w:rsidRPr="005A44D8" w:rsidRDefault="00EA2B27" w:rsidP="005A44D8">
      <w:pPr>
        <w:rPr>
          <w:rFonts w:cs="Arial"/>
          <w:lang w:val="fr-FR"/>
        </w:rPr>
      </w:pPr>
      <w:r w:rsidRPr="00FB4519">
        <w:rPr>
          <w:rFonts w:cs="Arial"/>
          <w:lang w:val="fr-FR"/>
        </w:rPr>
        <w:t>4.</w:t>
      </w:r>
      <w:r w:rsidR="004E7E51" w:rsidRPr="00FB4519">
        <w:rPr>
          <w:rFonts w:cs="Arial"/>
          <w:lang w:val="fr-FR"/>
        </w:rPr>
        <w:tab/>
      </w:r>
      <w:r w:rsidR="005A44D8">
        <w:rPr>
          <w:rFonts w:cs="Arial"/>
          <w:lang w:val="fr-FR"/>
        </w:rPr>
        <w:t>L'organisation de la 53</w:t>
      </w:r>
      <w:r w:rsidR="005A44D8" w:rsidRPr="005A44D8">
        <w:rPr>
          <w:rFonts w:cs="Arial"/>
          <w:vertAlign w:val="superscript"/>
          <w:lang w:val="fr-FR"/>
        </w:rPr>
        <w:t>e</w:t>
      </w:r>
      <w:r w:rsidR="00691A7E">
        <w:rPr>
          <w:rFonts w:cs="Arial"/>
          <w:lang w:val="fr-FR"/>
        </w:rPr>
        <w:t xml:space="preserve"> R</w:t>
      </w:r>
      <w:r w:rsidR="007031F4" w:rsidRPr="007031F4">
        <w:rPr>
          <w:rFonts w:cs="Arial"/>
          <w:lang w:val="fr-FR"/>
        </w:rPr>
        <w:t xml:space="preserve">éunion du Comité permanent, y compris les réunions associées de ses groupes de travail, qui s'est tenue du 29 mai au 2 juin 2017 à Gland (Suisse), a constitué un événement marquant. </w:t>
      </w:r>
      <w:r w:rsidR="00F17078">
        <w:rPr>
          <w:rFonts w:cs="Arial"/>
          <w:lang w:val="fr-FR"/>
        </w:rPr>
        <w:t xml:space="preserve">Cent trois participants </w:t>
      </w:r>
      <w:r w:rsidR="00D02038">
        <w:rPr>
          <w:rFonts w:cs="Arial"/>
          <w:lang w:val="fr-FR"/>
        </w:rPr>
        <w:t xml:space="preserve">étaient présents </w:t>
      </w:r>
      <w:r w:rsidR="007031F4" w:rsidRPr="007031F4">
        <w:rPr>
          <w:rFonts w:cs="Arial"/>
          <w:lang w:val="fr-FR"/>
        </w:rPr>
        <w:t xml:space="preserve">à la réunion, dont des représentants de 50 Parties contractantes, d'un État non partie et de 14 organisations ayant le statut d'observateur. Le Secrétariat a préparé les documents pour la réunion, soutenu les travaux des groupes de travail du Comité avant et pendant la réunion, organisé les aspects logistiques et préparé les rapports quotidiens et le rapport final de la réunion. L'équipe du Secrétariat a travaillé de façon coordonnée, avec des rôles et des responsabilités clairs pour appuyer la réunion. </w:t>
      </w:r>
      <w:r w:rsidR="007031F4" w:rsidRPr="00FC1504">
        <w:rPr>
          <w:rFonts w:cs="Arial"/>
          <w:lang w:val="fr-FR"/>
        </w:rPr>
        <w:t>Les participants se sont déclarés satisfaits de l'organisation et du déroulement de la réunion.</w:t>
      </w:r>
    </w:p>
    <w:p w14:paraId="0E0027E5" w14:textId="77777777" w:rsidR="00110E53" w:rsidRPr="00FB4519" w:rsidRDefault="00110E53" w:rsidP="00570F86">
      <w:pPr>
        <w:rPr>
          <w:lang w:val="fr-FR"/>
        </w:rPr>
      </w:pPr>
    </w:p>
    <w:p w14:paraId="3707422D" w14:textId="1513764F" w:rsidR="00F61ED3" w:rsidRPr="00FA704D" w:rsidRDefault="004E7E51" w:rsidP="00FA704D">
      <w:pPr>
        <w:rPr>
          <w:lang w:val="fr-FR"/>
        </w:rPr>
      </w:pPr>
      <w:r w:rsidRPr="00FB4519">
        <w:rPr>
          <w:lang w:val="fr-FR"/>
        </w:rPr>
        <w:t>5.</w:t>
      </w:r>
      <w:r w:rsidRPr="00FB4519">
        <w:rPr>
          <w:lang w:val="fr-FR"/>
        </w:rPr>
        <w:tab/>
      </w:r>
      <w:r w:rsidR="00752BCB" w:rsidRPr="00752BCB">
        <w:rPr>
          <w:lang w:val="fr-FR"/>
        </w:rPr>
        <w:t xml:space="preserve">Pour </w:t>
      </w:r>
      <w:r w:rsidR="00752BCB">
        <w:rPr>
          <w:lang w:val="fr-FR"/>
        </w:rPr>
        <w:t>faire suite à la</w:t>
      </w:r>
      <w:r w:rsidR="002B2480">
        <w:rPr>
          <w:lang w:val="fr-FR"/>
        </w:rPr>
        <w:t xml:space="preserve"> </w:t>
      </w:r>
      <w:r w:rsidR="005A44D8">
        <w:rPr>
          <w:lang w:val="fr-FR"/>
        </w:rPr>
        <w:t>53</w:t>
      </w:r>
      <w:r w:rsidR="005A44D8" w:rsidRPr="005A44D8">
        <w:rPr>
          <w:vertAlign w:val="superscript"/>
          <w:lang w:val="fr-FR"/>
        </w:rPr>
        <w:t>e</w:t>
      </w:r>
      <w:r w:rsidR="002B2480">
        <w:rPr>
          <w:lang w:val="fr-FR"/>
        </w:rPr>
        <w:t xml:space="preserve"> </w:t>
      </w:r>
      <w:r w:rsidR="002B2480" w:rsidRPr="002B2480">
        <w:rPr>
          <w:lang w:val="fr-FR"/>
        </w:rPr>
        <w:t>Réunion du Comité permanen</w:t>
      </w:r>
      <w:r w:rsidR="002B2480">
        <w:rPr>
          <w:lang w:val="fr-FR"/>
        </w:rPr>
        <w:t>t</w:t>
      </w:r>
      <w:r w:rsidR="00752BCB" w:rsidRPr="00752BCB">
        <w:rPr>
          <w:lang w:val="fr-FR"/>
        </w:rPr>
        <w:t xml:space="preserve">, le Secrétariat a fourni un appui </w:t>
      </w:r>
      <w:r w:rsidR="000D69B0">
        <w:rPr>
          <w:lang w:val="fr-FR"/>
        </w:rPr>
        <w:t>à</w:t>
      </w:r>
      <w:r w:rsidR="00752BCB" w:rsidRPr="00752BCB">
        <w:rPr>
          <w:lang w:val="fr-FR"/>
        </w:rPr>
        <w:t xml:space="preserve"> la mise en œuvre de ses décisions. </w:t>
      </w:r>
      <w:r w:rsidR="00752BCB">
        <w:rPr>
          <w:lang w:val="fr-FR"/>
        </w:rPr>
        <w:t>L’u</w:t>
      </w:r>
      <w:r w:rsidR="00752BCB" w:rsidRPr="00752BCB">
        <w:rPr>
          <w:lang w:val="fr-FR"/>
        </w:rPr>
        <w:t xml:space="preserve">ne </w:t>
      </w:r>
      <w:r w:rsidR="00752BCB">
        <w:rPr>
          <w:lang w:val="fr-FR"/>
        </w:rPr>
        <w:t xml:space="preserve">des </w:t>
      </w:r>
      <w:r w:rsidR="00752BCB" w:rsidRPr="00752BCB">
        <w:rPr>
          <w:lang w:val="fr-FR"/>
        </w:rPr>
        <w:t>activité</w:t>
      </w:r>
      <w:r w:rsidR="00752BCB">
        <w:rPr>
          <w:lang w:val="fr-FR"/>
        </w:rPr>
        <w:t>s</w:t>
      </w:r>
      <w:r w:rsidR="00752BCB" w:rsidRPr="00752BCB">
        <w:rPr>
          <w:lang w:val="fr-FR"/>
        </w:rPr>
        <w:t xml:space="preserve"> importante</w:t>
      </w:r>
      <w:r w:rsidR="00752BCB">
        <w:rPr>
          <w:lang w:val="fr-FR"/>
        </w:rPr>
        <w:t>s</w:t>
      </w:r>
      <w:r w:rsidR="00752BCB" w:rsidRPr="00752BCB">
        <w:rPr>
          <w:lang w:val="fr-FR"/>
        </w:rPr>
        <w:t xml:space="preserve"> a consisté à soutenir plusieur</w:t>
      </w:r>
      <w:r w:rsidR="00752BCB">
        <w:rPr>
          <w:lang w:val="fr-FR"/>
        </w:rPr>
        <w:t>s groupes de travail auxquels la</w:t>
      </w:r>
      <w:r w:rsidR="005A44D8">
        <w:rPr>
          <w:lang w:val="fr-FR"/>
        </w:rPr>
        <w:t xml:space="preserve"> 53</w:t>
      </w:r>
      <w:r w:rsidR="005A44D8" w:rsidRPr="005A44D8">
        <w:rPr>
          <w:vertAlign w:val="superscript"/>
          <w:lang w:val="fr-FR"/>
        </w:rPr>
        <w:t>e</w:t>
      </w:r>
      <w:r w:rsidR="002B2480">
        <w:rPr>
          <w:lang w:val="fr-FR"/>
        </w:rPr>
        <w:t xml:space="preserve"> </w:t>
      </w:r>
      <w:r w:rsidR="002B2480" w:rsidRPr="002B2480">
        <w:rPr>
          <w:lang w:val="fr-FR"/>
        </w:rPr>
        <w:t>Réunion du Comité permanen</w:t>
      </w:r>
      <w:r w:rsidR="002B2480">
        <w:rPr>
          <w:lang w:val="fr-FR"/>
        </w:rPr>
        <w:t>t</w:t>
      </w:r>
      <w:r w:rsidR="00752BCB" w:rsidRPr="00752BCB">
        <w:rPr>
          <w:lang w:val="fr-FR"/>
        </w:rPr>
        <w:t xml:space="preserve"> a</w:t>
      </w:r>
      <w:r w:rsidR="00752BCB">
        <w:rPr>
          <w:lang w:val="fr-FR"/>
        </w:rPr>
        <w:t>vait</w:t>
      </w:r>
      <w:r w:rsidR="00752BCB" w:rsidRPr="00752BCB">
        <w:rPr>
          <w:lang w:val="fr-FR"/>
        </w:rPr>
        <w:t xml:space="preserve"> confié des tâches spécifiques. En particulier, le Secrétariat a fourni une assistance considérable au Groupe de </w:t>
      </w:r>
      <w:r w:rsidR="00752BCB" w:rsidRPr="00752BCB">
        <w:rPr>
          <w:lang w:val="fr-FR"/>
        </w:rPr>
        <w:lastRenderedPageBreak/>
        <w:t xml:space="preserve">travail </w:t>
      </w:r>
      <w:r w:rsidR="00567C7D">
        <w:rPr>
          <w:lang w:val="fr-FR"/>
        </w:rPr>
        <w:t>de</w:t>
      </w:r>
      <w:r w:rsidR="00752BCB" w:rsidRPr="00752BCB">
        <w:rPr>
          <w:lang w:val="fr-FR"/>
        </w:rPr>
        <w:t xml:space="preserve"> facilitation </w:t>
      </w:r>
      <w:r w:rsidR="00C80EBA">
        <w:rPr>
          <w:lang w:val="fr-FR"/>
        </w:rPr>
        <w:t xml:space="preserve">(GTF) </w:t>
      </w:r>
      <w:r w:rsidR="00752BCB" w:rsidRPr="00752BCB">
        <w:rPr>
          <w:lang w:val="fr-FR"/>
        </w:rPr>
        <w:t>pour l'</w:t>
      </w:r>
      <w:r w:rsidR="006320DC">
        <w:rPr>
          <w:lang w:val="fr-FR"/>
        </w:rPr>
        <w:t xml:space="preserve">aider à </w:t>
      </w:r>
      <w:r w:rsidR="00752BCB" w:rsidRPr="00752BCB">
        <w:rPr>
          <w:lang w:val="fr-FR"/>
        </w:rPr>
        <w:t xml:space="preserve">examiner l'efficacité de la gouvernance de la Convention. Le Secrétariat a également </w:t>
      </w:r>
      <w:r w:rsidR="00EA56BA">
        <w:rPr>
          <w:lang w:val="fr-FR"/>
        </w:rPr>
        <w:t xml:space="preserve">fourni un soutien au </w:t>
      </w:r>
      <w:r w:rsidR="00752BCB" w:rsidRPr="00752BCB">
        <w:rPr>
          <w:lang w:val="fr-FR"/>
        </w:rPr>
        <w:t>Groupe de travail du Comité permanent</w:t>
      </w:r>
      <w:r w:rsidR="00EC4604">
        <w:rPr>
          <w:lang w:val="fr-FR"/>
        </w:rPr>
        <w:t xml:space="preserve"> sur la stratégie linguistique pour</w:t>
      </w:r>
      <w:r w:rsidR="00752BCB" w:rsidRPr="00752BCB">
        <w:rPr>
          <w:lang w:val="fr-FR"/>
        </w:rPr>
        <w:t xml:space="preserve"> préparer une proposition à </w:t>
      </w:r>
      <w:r w:rsidR="00EC4604">
        <w:rPr>
          <w:lang w:val="fr-FR"/>
        </w:rPr>
        <w:t xml:space="preserve">soumettre à </w:t>
      </w:r>
      <w:r w:rsidR="00752BCB" w:rsidRPr="00752BCB">
        <w:rPr>
          <w:lang w:val="fr-FR"/>
        </w:rPr>
        <w:t>l'</w:t>
      </w:r>
      <w:r w:rsidR="00961A7D">
        <w:rPr>
          <w:lang w:val="fr-FR"/>
        </w:rPr>
        <w:t xml:space="preserve">examen </w:t>
      </w:r>
      <w:r w:rsidR="00EA2EC9">
        <w:rPr>
          <w:lang w:val="fr-FR"/>
        </w:rPr>
        <w:t>du Comité, au</w:t>
      </w:r>
      <w:r w:rsidR="00752BCB" w:rsidRPr="00752BCB">
        <w:rPr>
          <w:lang w:val="fr-FR"/>
        </w:rPr>
        <w:t xml:space="preserve"> Comité consultatif indépendant </w:t>
      </w:r>
      <w:r w:rsidR="009F6631">
        <w:rPr>
          <w:lang w:val="fr-FR"/>
        </w:rPr>
        <w:t>chargé d’</w:t>
      </w:r>
      <w:r w:rsidR="00752BCB" w:rsidRPr="00752BCB">
        <w:rPr>
          <w:lang w:val="fr-FR"/>
        </w:rPr>
        <w:t xml:space="preserve">examiner les candidatures </w:t>
      </w:r>
      <w:r w:rsidR="000D69B0">
        <w:rPr>
          <w:lang w:val="fr-FR"/>
        </w:rPr>
        <w:t xml:space="preserve">d’obtention du </w:t>
      </w:r>
      <w:r w:rsidR="000D69B0" w:rsidRPr="000D69B0">
        <w:rPr>
          <w:lang w:val="fr-FR"/>
        </w:rPr>
        <w:t>Label Ville des Zones Humides accréditée par la Convention de Ramsar</w:t>
      </w:r>
      <w:r w:rsidR="00752BCB" w:rsidRPr="00752BCB">
        <w:rPr>
          <w:lang w:val="fr-FR"/>
        </w:rPr>
        <w:t xml:space="preserve"> (voir le document SC54-28.1 </w:t>
      </w:r>
      <w:r w:rsidR="000D69B0" w:rsidRPr="00527714">
        <w:rPr>
          <w:i/>
          <w:lang w:val="fr-FR"/>
        </w:rPr>
        <w:t>Label Ville des Zones Humides :</w:t>
      </w:r>
      <w:r w:rsidR="00752BCB" w:rsidRPr="00527714">
        <w:rPr>
          <w:i/>
          <w:lang w:val="fr-FR"/>
        </w:rPr>
        <w:t xml:space="preserve"> Rapport du Secrétariat</w:t>
      </w:r>
      <w:r w:rsidR="00752BCB" w:rsidRPr="00752BCB">
        <w:rPr>
          <w:lang w:val="fr-FR"/>
        </w:rPr>
        <w:t xml:space="preserve">) et </w:t>
      </w:r>
      <w:r w:rsidR="00813007">
        <w:rPr>
          <w:lang w:val="fr-FR"/>
        </w:rPr>
        <w:t>au</w:t>
      </w:r>
      <w:r w:rsidR="00752BCB" w:rsidRPr="00752BCB">
        <w:rPr>
          <w:lang w:val="fr-FR"/>
        </w:rPr>
        <w:t xml:space="preserve"> Comité de surveillance </w:t>
      </w:r>
      <w:r w:rsidR="007418E2">
        <w:rPr>
          <w:lang w:val="fr-FR"/>
        </w:rPr>
        <w:t xml:space="preserve">des activités </w:t>
      </w:r>
      <w:r w:rsidR="00752BCB" w:rsidRPr="00752BCB">
        <w:rPr>
          <w:lang w:val="fr-FR"/>
        </w:rPr>
        <w:t>de CESP, ainsi qu</w:t>
      </w:r>
      <w:r w:rsidR="00785504">
        <w:rPr>
          <w:lang w:val="fr-FR"/>
        </w:rPr>
        <w:t>’à</w:t>
      </w:r>
      <w:r w:rsidR="00752BCB" w:rsidRPr="00752BCB">
        <w:rPr>
          <w:lang w:val="fr-FR"/>
        </w:rPr>
        <w:t xml:space="preserve"> ses travaux visant à formuler des recommandations sur la gouvernance de la CESP.</w:t>
      </w:r>
    </w:p>
    <w:p w14:paraId="2C8284DA" w14:textId="77777777" w:rsidR="00F61ED3" w:rsidRPr="00FB4519" w:rsidRDefault="00F61ED3" w:rsidP="00570F86">
      <w:pPr>
        <w:rPr>
          <w:lang w:val="fr-FR"/>
        </w:rPr>
      </w:pPr>
    </w:p>
    <w:p w14:paraId="262F6422" w14:textId="4C3524F0" w:rsidR="00EF2CF5" w:rsidRPr="00FB4519" w:rsidRDefault="00F369FF" w:rsidP="00F369FF">
      <w:pPr>
        <w:rPr>
          <w:lang w:val="fr-FR"/>
        </w:rPr>
      </w:pPr>
      <w:r w:rsidRPr="00FB4519">
        <w:rPr>
          <w:lang w:val="fr-FR"/>
        </w:rPr>
        <w:t>6.</w:t>
      </w:r>
      <w:r w:rsidRPr="00FB4519">
        <w:rPr>
          <w:lang w:val="fr-FR"/>
        </w:rPr>
        <w:tab/>
      </w:r>
      <w:r w:rsidR="001B3DAD" w:rsidRPr="001B3DAD">
        <w:rPr>
          <w:lang w:val="fr-FR"/>
        </w:rPr>
        <w:t>Le</w:t>
      </w:r>
      <w:r w:rsidR="00D4385D">
        <w:rPr>
          <w:lang w:val="fr-FR"/>
        </w:rPr>
        <w:t xml:space="preserve"> Secrétariat a organisé la 21e</w:t>
      </w:r>
      <w:r w:rsidR="00C85C77">
        <w:rPr>
          <w:lang w:val="fr-FR"/>
        </w:rPr>
        <w:t xml:space="preserve"> </w:t>
      </w:r>
      <w:r w:rsidR="001B3DAD" w:rsidRPr="001B3DAD">
        <w:rPr>
          <w:lang w:val="fr-FR"/>
        </w:rPr>
        <w:t xml:space="preserve">réunion du Groupe d'évaluation scientifique et technique (GEST21) qui s'est tenue à Gland (Suisse) du 15 au 19 janvier 2018. </w:t>
      </w:r>
      <w:r w:rsidR="00C85C77">
        <w:rPr>
          <w:lang w:val="fr-FR"/>
        </w:rPr>
        <w:t xml:space="preserve">Seize </w:t>
      </w:r>
      <w:r w:rsidR="001B3DAD" w:rsidRPr="001B3DAD">
        <w:rPr>
          <w:lang w:val="fr-FR"/>
        </w:rPr>
        <w:t>membres du GEST et 20 observateurs</w:t>
      </w:r>
      <w:r w:rsidR="00C85C77">
        <w:rPr>
          <w:lang w:val="fr-FR"/>
        </w:rPr>
        <w:t xml:space="preserve"> y ont participé</w:t>
      </w:r>
      <w:r w:rsidR="001B3DAD" w:rsidRPr="001B3DAD">
        <w:rPr>
          <w:lang w:val="fr-FR"/>
        </w:rPr>
        <w:t xml:space="preserve">, </w:t>
      </w:r>
      <w:r w:rsidR="00C85C77">
        <w:rPr>
          <w:lang w:val="fr-FR"/>
        </w:rPr>
        <w:t xml:space="preserve">notamment </w:t>
      </w:r>
      <w:r w:rsidR="001B3DAD" w:rsidRPr="001B3DAD">
        <w:rPr>
          <w:lang w:val="fr-FR"/>
        </w:rPr>
        <w:t xml:space="preserve">des </w:t>
      </w:r>
      <w:r w:rsidR="003C53B4">
        <w:rPr>
          <w:lang w:val="fr-FR"/>
        </w:rPr>
        <w:t xml:space="preserve">Correspondants nationaux </w:t>
      </w:r>
      <w:r w:rsidR="001B3DAD" w:rsidRPr="001B3DAD">
        <w:rPr>
          <w:lang w:val="fr-FR"/>
        </w:rPr>
        <w:t xml:space="preserve">du GEST </w:t>
      </w:r>
      <w:r w:rsidR="005A59CC" w:rsidRPr="005A59CC">
        <w:rPr>
          <w:lang w:val="fr-FR"/>
        </w:rPr>
        <w:t>d’Allemagne, d’Autriche, de Chine, de Croatie, du Danemark, de Finlande, d’Oman, de République tchèque, du Royaume-Uni et du Sénégal</w:t>
      </w:r>
      <w:r w:rsidR="005A59CC">
        <w:rPr>
          <w:lang w:val="fr-FR"/>
        </w:rPr>
        <w:t>.</w:t>
      </w:r>
      <w:r w:rsidR="001B3DAD" w:rsidRPr="001B3DAD">
        <w:rPr>
          <w:lang w:val="fr-FR"/>
        </w:rPr>
        <w:t xml:space="preserve"> L'objectif principal de la réunion était d'évaluer les progrès accomplis dans la mise en œuvre du plan de travail 2016-2018 et de définir une </w:t>
      </w:r>
      <w:r w:rsidR="006E11F8">
        <w:rPr>
          <w:lang w:val="fr-FR"/>
        </w:rPr>
        <w:t>stratégie d’</w:t>
      </w:r>
      <w:r w:rsidR="001B3DAD" w:rsidRPr="001B3DAD">
        <w:rPr>
          <w:lang w:val="fr-FR"/>
        </w:rPr>
        <w:t xml:space="preserve">achèvement des tâches avant la fin de la période triennale (voir le document SC54-22 </w:t>
      </w:r>
      <w:r w:rsidR="001B3DAD" w:rsidRPr="006E11F8">
        <w:rPr>
          <w:i/>
          <w:lang w:val="fr-FR"/>
        </w:rPr>
        <w:t>Rapport du Président du Groupe d'évaluation scientifique et technique</w:t>
      </w:r>
      <w:r w:rsidR="008D6FD6">
        <w:rPr>
          <w:lang w:val="fr-FR"/>
        </w:rPr>
        <w:t>,</w:t>
      </w:r>
      <w:r w:rsidR="001B3DAD" w:rsidRPr="001B3DAD">
        <w:rPr>
          <w:lang w:val="fr-FR"/>
        </w:rPr>
        <w:t xml:space="preserve"> pour plus de détails sur chacune des tâches hautement prioritaires). </w:t>
      </w:r>
      <w:r w:rsidR="006E11F8">
        <w:rPr>
          <w:lang w:val="fr-FR"/>
        </w:rPr>
        <w:t>Au nombre d</w:t>
      </w:r>
      <w:r w:rsidR="001B3DAD" w:rsidRPr="001B3DAD">
        <w:rPr>
          <w:lang w:val="fr-FR"/>
        </w:rPr>
        <w:t>es principaux résultats</w:t>
      </w:r>
      <w:r w:rsidR="006E11F8">
        <w:rPr>
          <w:lang w:val="fr-FR"/>
        </w:rPr>
        <w:t>,</w:t>
      </w:r>
      <w:r w:rsidR="001B3DAD" w:rsidRPr="001B3DAD">
        <w:rPr>
          <w:lang w:val="fr-FR"/>
        </w:rPr>
        <w:t xml:space="preserve"> on</w:t>
      </w:r>
      <w:r w:rsidR="006E11F8">
        <w:rPr>
          <w:lang w:val="fr-FR"/>
        </w:rPr>
        <w:t xml:space="preserve"> peut citer </w:t>
      </w:r>
      <w:r w:rsidR="001B3DAD" w:rsidRPr="001B3DAD">
        <w:rPr>
          <w:lang w:val="fr-FR"/>
        </w:rPr>
        <w:t>notamment l'avancement des t</w:t>
      </w:r>
      <w:r w:rsidR="006E11F8">
        <w:rPr>
          <w:lang w:val="fr-FR"/>
        </w:rPr>
        <w:t>ravaux</w:t>
      </w:r>
      <w:r w:rsidR="001B3DAD" w:rsidRPr="001B3DAD">
        <w:rPr>
          <w:lang w:val="fr-FR"/>
        </w:rPr>
        <w:t xml:space="preserve"> du GEST, la finalisation des projets de résolution</w:t>
      </w:r>
      <w:r w:rsidR="006E11F8">
        <w:rPr>
          <w:lang w:val="fr-FR"/>
        </w:rPr>
        <w:t>s</w:t>
      </w:r>
      <w:r w:rsidR="001B3DAD" w:rsidRPr="001B3DAD">
        <w:rPr>
          <w:lang w:val="fr-FR"/>
        </w:rPr>
        <w:t xml:space="preserve"> scientifique</w:t>
      </w:r>
      <w:r w:rsidR="006E11F8">
        <w:rPr>
          <w:lang w:val="fr-FR"/>
        </w:rPr>
        <w:t>s</w:t>
      </w:r>
      <w:r w:rsidR="001B3DAD" w:rsidRPr="001B3DAD">
        <w:rPr>
          <w:lang w:val="fr-FR"/>
        </w:rPr>
        <w:t xml:space="preserve"> et technique</w:t>
      </w:r>
      <w:r w:rsidR="005B3F1F">
        <w:rPr>
          <w:lang w:val="fr-FR"/>
        </w:rPr>
        <w:t>s pour la 13</w:t>
      </w:r>
      <w:r w:rsidR="005B3F1F" w:rsidRPr="005B3F1F">
        <w:rPr>
          <w:vertAlign w:val="superscript"/>
          <w:lang w:val="fr-FR"/>
        </w:rPr>
        <w:t>e</w:t>
      </w:r>
      <w:r w:rsidR="006E11F8">
        <w:rPr>
          <w:lang w:val="fr-FR"/>
        </w:rPr>
        <w:t xml:space="preserve"> S</w:t>
      </w:r>
      <w:r w:rsidR="001B3DAD" w:rsidRPr="001B3DAD">
        <w:rPr>
          <w:lang w:val="fr-FR"/>
        </w:rPr>
        <w:t>ession de la Conférence des Parties contractantes (COP13) et l'établissement de priorités sur les aspects scientifiques et techniques de la Convention pour 2019-2021.</w:t>
      </w:r>
      <w:r w:rsidR="00B31A2B" w:rsidRPr="00FB4519">
        <w:rPr>
          <w:lang w:val="fr-FR"/>
        </w:rPr>
        <w:t xml:space="preserve"> </w:t>
      </w:r>
    </w:p>
    <w:p w14:paraId="03212407" w14:textId="77777777" w:rsidR="00EF2CF5" w:rsidRPr="00FB4519" w:rsidRDefault="00EF2CF5" w:rsidP="00570F86">
      <w:pPr>
        <w:rPr>
          <w:lang w:val="fr-FR"/>
        </w:rPr>
      </w:pPr>
    </w:p>
    <w:p w14:paraId="296FD272" w14:textId="5AE61C56" w:rsidR="00FB07E7" w:rsidRPr="00FB4519" w:rsidRDefault="00F369FF" w:rsidP="00F369FF">
      <w:pPr>
        <w:rPr>
          <w:lang w:val="fr-FR"/>
        </w:rPr>
      </w:pPr>
      <w:r w:rsidRPr="00FB4519">
        <w:rPr>
          <w:lang w:val="fr-FR"/>
        </w:rPr>
        <w:t>7.</w:t>
      </w:r>
      <w:r w:rsidRPr="00FB4519">
        <w:rPr>
          <w:lang w:val="fr-FR"/>
        </w:rPr>
        <w:tab/>
      </w:r>
      <w:r w:rsidR="00545F11" w:rsidRPr="00545F11">
        <w:rPr>
          <w:lang w:val="fr-FR"/>
        </w:rPr>
        <w:t>Un aspect important des travaux du Secrétariat à l'appui du GEST a été la facilitation des travaux préparatoires pour les tâches hautement prioritaires, en étroite collaboration avec le Président, notamment</w:t>
      </w:r>
      <w:r w:rsidR="00545F11">
        <w:rPr>
          <w:lang w:val="fr-FR"/>
        </w:rPr>
        <w:t xml:space="preserve"> </w:t>
      </w:r>
      <w:r w:rsidR="00545F11" w:rsidRPr="00545F11">
        <w:rPr>
          <w:lang w:val="fr-FR"/>
        </w:rPr>
        <w:t>:</w:t>
      </w:r>
    </w:p>
    <w:p w14:paraId="1B97077D" w14:textId="41ACF2FD" w:rsidR="009141B9" w:rsidRPr="009141B9" w:rsidRDefault="009141B9" w:rsidP="009141B9">
      <w:pPr>
        <w:ind w:left="0" w:firstLine="0"/>
        <w:rPr>
          <w:rFonts w:cs="Arial"/>
          <w:lang w:val="fr-FR"/>
        </w:rPr>
      </w:pPr>
      <w:r w:rsidRPr="009141B9">
        <w:rPr>
          <w:rFonts w:cs="Arial"/>
          <w:lang w:val="fr-FR"/>
        </w:rPr>
        <w:t>́</w:t>
      </w:r>
    </w:p>
    <w:p w14:paraId="41E93835" w14:textId="7B7A60EE" w:rsidR="00FB07E7" w:rsidRPr="00FB4519" w:rsidRDefault="009141B9" w:rsidP="00F04B42">
      <w:pPr>
        <w:pStyle w:val="ListParagraph"/>
        <w:numPr>
          <w:ilvl w:val="1"/>
          <w:numId w:val="1"/>
        </w:numPr>
        <w:ind w:left="850" w:hanging="425"/>
        <w:rPr>
          <w:rFonts w:cs="Arial"/>
          <w:lang w:val="fr-FR"/>
        </w:rPr>
      </w:pPr>
      <w:r w:rsidRPr="00C13DE9">
        <w:rPr>
          <w:rFonts w:cs="Arial"/>
          <w:lang w:val="fr-FR"/>
        </w:rPr>
        <w:t>Pers</w:t>
      </w:r>
      <w:r w:rsidR="00CC52CD">
        <w:rPr>
          <w:rFonts w:cs="Arial"/>
          <w:lang w:val="fr-FR"/>
        </w:rPr>
        <w:t>pe</w:t>
      </w:r>
      <w:r w:rsidRPr="00C13DE9">
        <w:rPr>
          <w:rFonts w:cs="Arial"/>
          <w:lang w:val="fr-FR"/>
        </w:rPr>
        <w:t>ctives mondiales pour les zones humides :</w:t>
      </w:r>
      <w:r w:rsidR="00FB07E7" w:rsidRPr="00C13DE9">
        <w:rPr>
          <w:rFonts w:cs="Arial"/>
          <w:lang w:val="fr-FR"/>
        </w:rPr>
        <w:t xml:space="preserve"> </w:t>
      </w:r>
      <w:r w:rsidRPr="00C13DE9">
        <w:rPr>
          <w:rFonts w:cs="Arial"/>
          <w:lang w:val="fr-FR"/>
        </w:rPr>
        <w:t>État mondial des zones humides et</w:t>
      </w:r>
      <w:r w:rsidR="00CC52CD">
        <w:rPr>
          <w:rFonts w:cs="Arial"/>
          <w:lang w:val="fr-FR"/>
        </w:rPr>
        <w:t xml:space="preserve"> de leurs services à l’humanité</w:t>
      </w:r>
      <w:r w:rsidRPr="00C13DE9">
        <w:rPr>
          <w:rFonts w:cs="Arial"/>
          <w:lang w:val="fr-FR"/>
        </w:rPr>
        <w:t xml:space="preserve"> </w:t>
      </w:r>
      <w:r w:rsidR="00FB07E7" w:rsidRPr="00C13DE9">
        <w:rPr>
          <w:rFonts w:cs="Arial"/>
          <w:lang w:val="fr-FR"/>
        </w:rPr>
        <w:t xml:space="preserve">: </w:t>
      </w:r>
      <w:r w:rsidR="00C13DE9" w:rsidRPr="00C13DE9">
        <w:rPr>
          <w:rFonts w:cs="Arial"/>
          <w:lang w:val="fr-FR"/>
        </w:rPr>
        <w:t xml:space="preserve">le Secrétariat a identifié et engagé un rédacteur professionnel et donné des conseils sur les aspects de communication et la pertinence politique du rapport; organisé un atelier de rédaction auquel ont participé les principaux auteurs et le rédacteur (20-22 septembre 2017) pour examiner le </w:t>
      </w:r>
      <w:r w:rsidR="00CC52CD">
        <w:rPr>
          <w:rFonts w:cs="Arial"/>
          <w:lang w:val="fr-FR"/>
        </w:rPr>
        <w:t xml:space="preserve">premier </w:t>
      </w:r>
      <w:r w:rsidR="00C13DE9" w:rsidRPr="00C13DE9">
        <w:rPr>
          <w:rFonts w:cs="Arial"/>
          <w:lang w:val="fr-FR"/>
        </w:rPr>
        <w:t xml:space="preserve">projet; et </w:t>
      </w:r>
      <w:r w:rsidR="00CC52CD">
        <w:rPr>
          <w:rFonts w:cs="Arial"/>
          <w:lang w:val="fr-FR"/>
        </w:rPr>
        <w:t xml:space="preserve">soutenu </w:t>
      </w:r>
      <w:r w:rsidR="00C13DE9" w:rsidRPr="00C13DE9">
        <w:rPr>
          <w:rFonts w:cs="Arial"/>
          <w:lang w:val="fr-FR"/>
        </w:rPr>
        <w:t xml:space="preserve">la préparation du </w:t>
      </w:r>
      <w:r w:rsidR="00CC52CD">
        <w:rPr>
          <w:rFonts w:cs="Arial"/>
          <w:lang w:val="fr-FR"/>
        </w:rPr>
        <w:t xml:space="preserve">deuxième </w:t>
      </w:r>
      <w:r w:rsidR="00C13DE9" w:rsidRPr="00C13DE9">
        <w:rPr>
          <w:rFonts w:cs="Arial"/>
          <w:lang w:val="fr-FR"/>
        </w:rPr>
        <w:t xml:space="preserve">projet qui a ensuite été examiné par des pairs et discuté au cours de la </w:t>
      </w:r>
      <w:r w:rsidR="00CC52CD">
        <w:rPr>
          <w:rFonts w:cs="Arial"/>
          <w:lang w:val="fr-FR"/>
        </w:rPr>
        <w:t>21</w:t>
      </w:r>
      <w:r w:rsidR="00CC52CD" w:rsidRPr="00CC52CD">
        <w:rPr>
          <w:rFonts w:cs="Arial"/>
          <w:vertAlign w:val="superscript"/>
          <w:lang w:val="fr-FR"/>
        </w:rPr>
        <w:t>e</w:t>
      </w:r>
      <w:r w:rsidR="005B3F1F">
        <w:rPr>
          <w:rFonts w:cs="Arial"/>
          <w:lang w:val="fr-FR"/>
        </w:rPr>
        <w:t xml:space="preserve"> r</w:t>
      </w:r>
      <w:r w:rsidR="00CC52CD">
        <w:rPr>
          <w:rFonts w:cs="Arial"/>
          <w:lang w:val="fr-FR"/>
        </w:rPr>
        <w:t>éunion du GEST</w:t>
      </w:r>
      <w:r w:rsidR="00C13DE9" w:rsidRPr="00C13DE9">
        <w:rPr>
          <w:rFonts w:cs="Arial"/>
          <w:lang w:val="fr-FR"/>
        </w:rPr>
        <w:t>. L</w:t>
      </w:r>
      <w:r w:rsidR="00CC52CD">
        <w:rPr>
          <w:rFonts w:cs="Arial"/>
          <w:lang w:val="fr-FR"/>
        </w:rPr>
        <w:t>es Perspectives</w:t>
      </w:r>
      <w:r w:rsidR="00C13DE9" w:rsidRPr="00C13DE9">
        <w:rPr>
          <w:rFonts w:cs="Arial"/>
          <w:lang w:val="fr-FR"/>
        </w:rPr>
        <w:t xml:space="preserve"> mondial</w:t>
      </w:r>
      <w:r w:rsidR="00CC52CD">
        <w:rPr>
          <w:rFonts w:cs="Arial"/>
          <w:lang w:val="fr-FR"/>
        </w:rPr>
        <w:t>es</w:t>
      </w:r>
      <w:r w:rsidR="00C13DE9" w:rsidRPr="00C13DE9">
        <w:rPr>
          <w:rFonts w:cs="Arial"/>
          <w:lang w:val="fr-FR"/>
        </w:rPr>
        <w:t xml:space="preserve"> </w:t>
      </w:r>
      <w:r w:rsidR="00CC52CD">
        <w:rPr>
          <w:rFonts w:cs="Arial"/>
          <w:lang w:val="fr-FR"/>
        </w:rPr>
        <w:t>pour l</w:t>
      </w:r>
      <w:r w:rsidR="00C13DE9" w:rsidRPr="00C13DE9">
        <w:rPr>
          <w:rFonts w:cs="Arial"/>
          <w:lang w:val="fr-FR"/>
        </w:rPr>
        <w:t>es zones humides ser</w:t>
      </w:r>
      <w:r w:rsidR="0017730C">
        <w:rPr>
          <w:rFonts w:cs="Arial"/>
          <w:lang w:val="fr-FR"/>
        </w:rPr>
        <w:t>ont</w:t>
      </w:r>
      <w:r w:rsidR="00C13DE9" w:rsidRPr="00C13DE9">
        <w:rPr>
          <w:rFonts w:cs="Arial"/>
          <w:lang w:val="fr-FR"/>
        </w:rPr>
        <w:t xml:space="preserve"> publié</w:t>
      </w:r>
      <w:r w:rsidR="0017730C">
        <w:rPr>
          <w:rFonts w:cs="Arial"/>
          <w:lang w:val="fr-FR"/>
        </w:rPr>
        <w:t>es</w:t>
      </w:r>
      <w:r w:rsidR="00C13DE9" w:rsidRPr="00C13DE9">
        <w:rPr>
          <w:rFonts w:cs="Arial"/>
          <w:lang w:val="fr-FR"/>
        </w:rPr>
        <w:t xml:space="preserve"> à la fin de 2018 avant la COP</w:t>
      </w:r>
      <w:r w:rsidR="006961C4">
        <w:rPr>
          <w:rFonts w:cs="Arial"/>
          <w:lang w:val="fr-FR"/>
        </w:rPr>
        <w:t>13</w:t>
      </w:r>
      <w:r w:rsidR="00333E71" w:rsidRPr="00C13DE9">
        <w:rPr>
          <w:rFonts w:cs="Arial"/>
          <w:lang w:val="fr-FR"/>
        </w:rPr>
        <w:t>;</w:t>
      </w:r>
      <w:r w:rsidR="00FB07E7" w:rsidRPr="00FB4519">
        <w:rPr>
          <w:rFonts w:cs="Arial"/>
          <w:lang w:val="fr-FR"/>
        </w:rPr>
        <w:t xml:space="preserve"> </w:t>
      </w:r>
    </w:p>
    <w:p w14:paraId="48FF7915" w14:textId="77777777" w:rsidR="00F04B42" w:rsidRPr="00FB4519" w:rsidRDefault="00F04B42" w:rsidP="00F04B42">
      <w:pPr>
        <w:pStyle w:val="ListParagraph"/>
        <w:ind w:left="850" w:firstLine="0"/>
        <w:rPr>
          <w:rFonts w:cs="Arial"/>
          <w:lang w:val="fr-FR"/>
        </w:rPr>
      </w:pPr>
    </w:p>
    <w:p w14:paraId="2B1E1D1A" w14:textId="4381C428" w:rsidR="00FB07E7" w:rsidRPr="007C10FF" w:rsidRDefault="004C3FC8" w:rsidP="007C10FF">
      <w:pPr>
        <w:pStyle w:val="ListParagraph"/>
        <w:numPr>
          <w:ilvl w:val="1"/>
          <w:numId w:val="1"/>
        </w:numPr>
        <w:ind w:left="850" w:hanging="425"/>
        <w:rPr>
          <w:rFonts w:cs="Arial"/>
          <w:lang w:val="fr-FR"/>
        </w:rPr>
      </w:pPr>
      <w:r>
        <w:rPr>
          <w:rFonts w:cs="Arial"/>
          <w:lang w:val="fr-FR"/>
        </w:rPr>
        <w:t xml:space="preserve">Notes d'orientation </w:t>
      </w:r>
      <w:r w:rsidR="007F165E" w:rsidRPr="007F165E">
        <w:rPr>
          <w:rFonts w:cs="Arial"/>
          <w:lang w:val="fr-FR"/>
        </w:rPr>
        <w:t>: le Secrétariat a préparé le mandat et supervisé la production, l</w:t>
      </w:r>
      <w:r>
        <w:rPr>
          <w:rFonts w:cs="Arial"/>
          <w:lang w:val="fr-FR"/>
        </w:rPr>
        <w:t>a révision</w:t>
      </w:r>
      <w:r w:rsidR="007F165E" w:rsidRPr="007F165E">
        <w:rPr>
          <w:rFonts w:cs="Arial"/>
          <w:lang w:val="fr-FR"/>
        </w:rPr>
        <w:t>, la traduction et la diffusion de la Note d</w:t>
      </w:r>
      <w:r>
        <w:rPr>
          <w:rFonts w:cs="Arial"/>
          <w:lang w:val="fr-FR"/>
        </w:rPr>
        <w:t xml:space="preserve">’orientation </w:t>
      </w:r>
      <w:r w:rsidRPr="004C3FC8">
        <w:rPr>
          <w:rFonts w:cs="Arial"/>
          <w:i/>
          <w:lang w:val="fr-FR"/>
        </w:rPr>
        <w:t>Les zones humides pour la prévention des risques de catastrophe – Choix judicieux pour des communautés résilientes</w:t>
      </w:r>
      <w:r w:rsidR="007F165E" w:rsidRPr="007F165E">
        <w:rPr>
          <w:rFonts w:cs="Arial"/>
          <w:lang w:val="fr-FR"/>
        </w:rPr>
        <w:t xml:space="preserve"> qui a été rédigée par Wetlands International. Ce</w:t>
      </w:r>
      <w:r>
        <w:rPr>
          <w:rFonts w:cs="Arial"/>
          <w:lang w:val="fr-FR"/>
        </w:rPr>
        <w:t xml:space="preserve">tte note </w:t>
      </w:r>
      <w:r w:rsidR="007F165E" w:rsidRPr="007F165E">
        <w:rPr>
          <w:rFonts w:cs="Arial"/>
          <w:lang w:val="fr-FR"/>
        </w:rPr>
        <w:t>d'orientation a été lancé</w:t>
      </w:r>
      <w:r>
        <w:rPr>
          <w:rFonts w:cs="Arial"/>
          <w:lang w:val="fr-FR"/>
        </w:rPr>
        <w:t>e</w:t>
      </w:r>
      <w:r w:rsidR="007F165E" w:rsidRPr="007F165E">
        <w:rPr>
          <w:rFonts w:cs="Arial"/>
          <w:lang w:val="fr-FR"/>
        </w:rPr>
        <w:t xml:space="preserve"> avec Wetlands International, le</w:t>
      </w:r>
      <w:r w:rsidRPr="004C3FC8">
        <w:rPr>
          <w:lang w:val="fr-FR"/>
        </w:rPr>
        <w:t xml:space="preserve"> </w:t>
      </w:r>
      <w:r w:rsidRPr="004C3FC8">
        <w:rPr>
          <w:rFonts w:cs="Arial"/>
          <w:lang w:val="fr-FR"/>
        </w:rPr>
        <w:t>Partnership for Environment and Disaster Risk Reduction (PEDRR)</w:t>
      </w:r>
      <w:r w:rsidR="007F165E" w:rsidRPr="007F165E">
        <w:rPr>
          <w:rFonts w:cs="Arial"/>
          <w:lang w:val="fr-FR"/>
        </w:rPr>
        <w:t xml:space="preserve"> et le Bureau des Nations Unies pour la réduction des risques de catastrophe (UNISDR)</w:t>
      </w:r>
      <w:r>
        <w:rPr>
          <w:rFonts w:cs="Arial"/>
          <w:lang w:val="fr-FR"/>
        </w:rPr>
        <w:t>,</w:t>
      </w:r>
      <w:r w:rsidR="007F165E" w:rsidRPr="007F165E">
        <w:rPr>
          <w:rFonts w:cs="Arial"/>
          <w:lang w:val="fr-FR"/>
        </w:rPr>
        <w:t xml:space="preserve"> à l'occasion de la Journée internationale de la prévention des </w:t>
      </w:r>
      <w:r w:rsidR="00862CD3">
        <w:rPr>
          <w:rFonts w:cs="Arial"/>
          <w:lang w:val="fr-FR"/>
        </w:rPr>
        <w:t xml:space="preserve">risques de </w:t>
      </w:r>
      <w:r w:rsidR="007F165E" w:rsidRPr="007F165E">
        <w:rPr>
          <w:rFonts w:cs="Arial"/>
          <w:lang w:val="fr-FR"/>
        </w:rPr>
        <w:t>catastrophes (13 octobre 2017). Le Secrétariat a égaleme</w:t>
      </w:r>
      <w:r w:rsidR="00862CD3">
        <w:rPr>
          <w:rFonts w:cs="Arial"/>
          <w:lang w:val="fr-FR"/>
        </w:rPr>
        <w:t xml:space="preserve">nt soutenu, publié et diffusé la Note </w:t>
      </w:r>
      <w:r w:rsidR="007F165E" w:rsidRPr="007F165E">
        <w:rPr>
          <w:rFonts w:cs="Arial"/>
          <w:lang w:val="fr-FR"/>
        </w:rPr>
        <w:t xml:space="preserve">d'orientation </w:t>
      </w:r>
      <w:r w:rsidR="009521BD">
        <w:rPr>
          <w:rFonts w:cs="Arial"/>
          <w:lang w:val="fr-FR"/>
        </w:rPr>
        <w:t xml:space="preserve">intitulée </w:t>
      </w:r>
      <w:r w:rsidR="009521BD" w:rsidRPr="009521BD">
        <w:rPr>
          <w:rFonts w:cs="Arial"/>
          <w:i/>
          <w:lang w:val="fr-FR"/>
        </w:rPr>
        <w:t>Intégrer les valeurs multiples des zones humides dans la prise de décisions</w:t>
      </w:r>
      <w:r w:rsidR="007F165E" w:rsidRPr="007F165E">
        <w:rPr>
          <w:rFonts w:cs="Arial"/>
          <w:lang w:val="fr-FR"/>
        </w:rPr>
        <w:t>, lancé</w:t>
      </w:r>
      <w:r w:rsidR="009521BD">
        <w:rPr>
          <w:rFonts w:cs="Arial"/>
          <w:lang w:val="fr-FR"/>
        </w:rPr>
        <w:t>e</w:t>
      </w:r>
      <w:r w:rsidR="007F165E" w:rsidRPr="007F165E">
        <w:rPr>
          <w:rFonts w:cs="Arial"/>
          <w:lang w:val="fr-FR"/>
        </w:rPr>
        <w:t xml:space="preserve"> conjointement avec la </w:t>
      </w:r>
      <w:r w:rsidR="007C10FF" w:rsidRPr="007C10FF">
        <w:rPr>
          <w:rFonts w:cs="Arial"/>
          <w:lang w:val="fr-FR"/>
        </w:rPr>
        <w:t>Plateforme intergouvernementale, scientifique et politique, sur la biodiversité et les services écosystémiques (IPBES)</w:t>
      </w:r>
      <w:r w:rsidR="007F165E" w:rsidRPr="007F165E">
        <w:rPr>
          <w:rFonts w:cs="Arial"/>
          <w:lang w:val="fr-FR"/>
        </w:rPr>
        <w:t xml:space="preserve"> le 19 septembre </w:t>
      </w:r>
      <w:r w:rsidR="00333E71" w:rsidRPr="007F165E">
        <w:rPr>
          <w:rFonts w:cs="Arial"/>
          <w:lang w:val="fr-FR"/>
        </w:rPr>
        <w:t>2017</w:t>
      </w:r>
      <w:r w:rsidR="00333E71">
        <w:rPr>
          <w:rFonts w:cs="Arial"/>
          <w:lang w:val="fr-FR"/>
        </w:rPr>
        <w:t>;</w:t>
      </w:r>
    </w:p>
    <w:p w14:paraId="0BD4E5B6" w14:textId="77777777" w:rsidR="00F04B42" w:rsidRPr="00FB4519" w:rsidRDefault="00F04B42" w:rsidP="00F04B42">
      <w:pPr>
        <w:pStyle w:val="ListParagraph"/>
        <w:ind w:left="850" w:firstLine="0"/>
        <w:rPr>
          <w:rFonts w:cs="Arial"/>
          <w:lang w:val="fr-FR"/>
        </w:rPr>
      </w:pPr>
    </w:p>
    <w:p w14:paraId="3D4F2BBD" w14:textId="3DC435C8" w:rsidR="00FB07E7" w:rsidRPr="008511E7" w:rsidRDefault="008511E7" w:rsidP="008511E7">
      <w:pPr>
        <w:pStyle w:val="ListParagraph"/>
        <w:numPr>
          <w:ilvl w:val="1"/>
          <w:numId w:val="1"/>
        </w:numPr>
        <w:ind w:left="850" w:hanging="425"/>
        <w:rPr>
          <w:rFonts w:cs="Arial"/>
          <w:lang w:val="fr-FR"/>
        </w:rPr>
      </w:pPr>
      <w:r>
        <w:rPr>
          <w:rFonts w:cs="Arial"/>
          <w:lang w:val="fr-FR"/>
        </w:rPr>
        <w:t>Le Secré</w:t>
      </w:r>
      <w:r w:rsidRPr="008511E7">
        <w:rPr>
          <w:rFonts w:cs="Arial"/>
          <w:lang w:val="fr-FR"/>
        </w:rPr>
        <w:t xml:space="preserve">tariat </w:t>
      </w:r>
      <w:r w:rsidR="00333E71" w:rsidRPr="008511E7">
        <w:rPr>
          <w:rFonts w:cs="Arial"/>
          <w:lang w:val="fr-FR"/>
        </w:rPr>
        <w:t>a</w:t>
      </w:r>
      <w:r w:rsidRPr="008511E7">
        <w:rPr>
          <w:rFonts w:cs="Arial"/>
          <w:lang w:val="fr-FR"/>
        </w:rPr>
        <w:t xml:space="preserve"> </w:t>
      </w:r>
      <w:r w:rsidR="00333E71" w:rsidRPr="008511E7">
        <w:rPr>
          <w:rFonts w:cs="Arial"/>
          <w:lang w:val="fr-FR"/>
        </w:rPr>
        <w:t>élaboré</w:t>
      </w:r>
      <w:r w:rsidRPr="008511E7">
        <w:rPr>
          <w:rFonts w:cs="Arial"/>
          <w:lang w:val="fr-FR"/>
        </w:rPr>
        <w:t>́ un outil de gestion des Sites Ramsar en ligne</w:t>
      </w:r>
      <w:r>
        <w:rPr>
          <w:rFonts w:cs="Arial"/>
          <w:lang w:val="fr-FR"/>
        </w:rPr>
        <w:t xml:space="preserve"> (</w:t>
      </w:r>
      <w:hyperlink r:id="rId9" w:history="1">
        <w:r w:rsidRPr="001908F3">
          <w:rPr>
            <w:rStyle w:val="Hyperlink"/>
            <w:rFonts w:cs="Arial"/>
            <w:lang w:val="fr-FR"/>
          </w:rPr>
          <w:t>https://www.ramsar.org/fr/ressources/outils-de-gestion-des-sites-ramsar</w:t>
        </w:r>
      </w:hyperlink>
      <w:r>
        <w:rPr>
          <w:rFonts w:cs="Arial"/>
          <w:lang w:val="fr-FR"/>
        </w:rPr>
        <w:t xml:space="preserve"> )</w:t>
      </w:r>
    </w:p>
    <w:p w14:paraId="017D2ABF" w14:textId="77777777" w:rsidR="00F04B42" w:rsidRPr="00FB4519" w:rsidRDefault="00F04B42" w:rsidP="00F04B42">
      <w:pPr>
        <w:pStyle w:val="ListParagraph"/>
        <w:ind w:left="850" w:firstLine="0"/>
        <w:rPr>
          <w:rFonts w:cs="Arial"/>
          <w:lang w:val="fr-FR"/>
        </w:rPr>
      </w:pPr>
    </w:p>
    <w:p w14:paraId="214DBB77" w14:textId="7F5C142F" w:rsidR="00FB07E7" w:rsidRPr="00FB4519" w:rsidRDefault="0041601C" w:rsidP="00F04B42">
      <w:pPr>
        <w:pStyle w:val="ListParagraph"/>
        <w:numPr>
          <w:ilvl w:val="1"/>
          <w:numId w:val="1"/>
        </w:numPr>
        <w:ind w:left="850" w:hanging="425"/>
        <w:rPr>
          <w:rFonts w:cs="Arial"/>
          <w:lang w:val="fr-FR"/>
        </w:rPr>
      </w:pPr>
      <w:r w:rsidRPr="0041601C">
        <w:rPr>
          <w:rFonts w:cs="Arial"/>
          <w:lang w:val="fr-FR"/>
        </w:rPr>
        <w:t>Il a également coordonné les services de consultants et les examens externes pour divers projets relatifs aux tâches hautement prioritaires du GEST, y compris un examen et une analyse indé</w:t>
      </w:r>
      <w:r w:rsidR="00A62EC4">
        <w:rPr>
          <w:rFonts w:cs="Arial"/>
          <w:lang w:val="fr-FR"/>
        </w:rPr>
        <w:t>pendants de l'organisation des M</w:t>
      </w:r>
      <w:r w:rsidRPr="0041601C">
        <w:rPr>
          <w:rFonts w:cs="Arial"/>
          <w:lang w:val="fr-FR"/>
        </w:rPr>
        <w:t>issions consultatives Ramsar</w:t>
      </w:r>
      <w:r>
        <w:rPr>
          <w:rFonts w:cs="Arial"/>
          <w:lang w:val="fr-FR"/>
        </w:rPr>
        <w:t>,</w:t>
      </w:r>
      <w:r w:rsidRPr="0041601C">
        <w:rPr>
          <w:rFonts w:cs="Arial"/>
          <w:lang w:val="fr-FR"/>
        </w:rPr>
        <w:t xml:space="preserve"> ainsi qu'une mise à jour de l'indice WET par le PNUE-WCMC</w:t>
      </w:r>
      <w:r w:rsidR="00FB07E7" w:rsidRPr="00FB4519">
        <w:rPr>
          <w:rFonts w:cs="Arial"/>
          <w:lang w:val="fr-FR"/>
        </w:rPr>
        <w:t xml:space="preserve">. </w:t>
      </w:r>
    </w:p>
    <w:p w14:paraId="33E0053D" w14:textId="77777777" w:rsidR="00F369FF" w:rsidRPr="00FB4519" w:rsidRDefault="00F369FF" w:rsidP="00F369FF">
      <w:pPr>
        <w:pStyle w:val="ListParagraph"/>
        <w:ind w:left="850" w:firstLine="0"/>
        <w:rPr>
          <w:rFonts w:cs="Arial"/>
          <w:lang w:val="fr-FR"/>
        </w:rPr>
      </w:pPr>
    </w:p>
    <w:p w14:paraId="3E1D9AD9" w14:textId="11D5787C" w:rsidR="00FB07E7" w:rsidRPr="00745B63" w:rsidRDefault="00745B63" w:rsidP="006961C4">
      <w:pPr>
        <w:ind w:firstLine="0"/>
        <w:rPr>
          <w:rFonts w:cs="Arial"/>
          <w:lang w:val="fr-FR"/>
        </w:rPr>
      </w:pPr>
      <w:r w:rsidRPr="00745B63">
        <w:rPr>
          <w:rFonts w:cs="Arial"/>
          <w:lang w:val="fr-FR"/>
        </w:rPr>
        <w:t>Dans l'ensemble, les résultats de ce domaine de travail ont été positifs et le Prés</w:t>
      </w:r>
      <w:r>
        <w:rPr>
          <w:rFonts w:cs="Arial"/>
          <w:lang w:val="fr-FR"/>
        </w:rPr>
        <w:t>iden</w:t>
      </w:r>
      <w:r w:rsidR="006961C4">
        <w:rPr>
          <w:rFonts w:cs="Arial"/>
          <w:lang w:val="fr-FR"/>
        </w:rPr>
        <w:t>t du GEST s'est félicité à la 21</w:t>
      </w:r>
      <w:r w:rsidR="006961C4" w:rsidRPr="006961C4">
        <w:rPr>
          <w:rFonts w:cs="Arial"/>
          <w:vertAlign w:val="superscript"/>
          <w:lang w:val="fr-FR"/>
        </w:rPr>
        <w:t>e</w:t>
      </w:r>
      <w:r w:rsidR="006961C4">
        <w:rPr>
          <w:rFonts w:cs="Arial"/>
          <w:lang w:val="fr-FR"/>
        </w:rPr>
        <w:t xml:space="preserve"> r</w:t>
      </w:r>
      <w:r w:rsidRPr="00745B63">
        <w:rPr>
          <w:rFonts w:cs="Arial"/>
          <w:lang w:val="fr-FR"/>
        </w:rPr>
        <w:t xml:space="preserve">éunion </w:t>
      </w:r>
      <w:r>
        <w:rPr>
          <w:rFonts w:cs="Arial"/>
          <w:lang w:val="fr-FR"/>
        </w:rPr>
        <w:t xml:space="preserve">du Groupe </w:t>
      </w:r>
      <w:r w:rsidRPr="00745B63">
        <w:rPr>
          <w:rFonts w:cs="Arial"/>
          <w:lang w:val="fr-FR"/>
        </w:rPr>
        <w:t xml:space="preserve">du soutien que le Secrétariat avait apporté à ses travaux, notant que le Groupe avait reçu </w:t>
      </w:r>
      <w:r w:rsidR="006961C4">
        <w:rPr>
          <w:rFonts w:cs="Arial"/>
          <w:lang w:val="fr-FR"/>
        </w:rPr>
        <w:t>un meilleur</w:t>
      </w:r>
      <w:r w:rsidRPr="00745B63">
        <w:rPr>
          <w:rFonts w:cs="Arial"/>
          <w:lang w:val="fr-FR"/>
        </w:rPr>
        <w:t xml:space="preserve"> d</w:t>
      </w:r>
      <w:r w:rsidR="006961C4">
        <w:rPr>
          <w:rFonts w:cs="Arial"/>
          <w:lang w:val="fr-FR"/>
        </w:rPr>
        <w:t xml:space="preserve">’appui </w:t>
      </w:r>
      <w:r w:rsidRPr="00745B63">
        <w:rPr>
          <w:rFonts w:cs="Arial"/>
          <w:lang w:val="fr-FR"/>
        </w:rPr>
        <w:t xml:space="preserve">e soutien du Secrétariat au cours de cette année qu'auparavant. </w:t>
      </w:r>
    </w:p>
    <w:p w14:paraId="10CA4FC6" w14:textId="77777777" w:rsidR="00081C49" w:rsidRPr="00745B63" w:rsidRDefault="00081C49" w:rsidP="00570F86">
      <w:pPr>
        <w:rPr>
          <w:rFonts w:cs="Arial"/>
          <w:lang w:val="fr-FR"/>
        </w:rPr>
      </w:pPr>
    </w:p>
    <w:p w14:paraId="3C6329B5" w14:textId="2FE83440" w:rsidR="00F61ED3" w:rsidRPr="00FB4519" w:rsidRDefault="00F369FF" w:rsidP="00F369FF">
      <w:pPr>
        <w:rPr>
          <w:lang w:val="fr-FR"/>
        </w:rPr>
      </w:pPr>
      <w:r w:rsidRPr="00FB4519">
        <w:rPr>
          <w:lang w:val="fr-FR"/>
        </w:rPr>
        <w:t>8.</w:t>
      </w:r>
      <w:r w:rsidRPr="00FB4519">
        <w:rPr>
          <w:lang w:val="fr-FR"/>
        </w:rPr>
        <w:tab/>
      </w:r>
      <w:r w:rsidR="00745B63" w:rsidRPr="00745B63">
        <w:rPr>
          <w:lang w:val="fr-FR"/>
        </w:rPr>
        <w:t>Le Secrétariat prépare activement les réunions des organes de la Convention prévues pour 2018. Des travaux préparatoires sont en cou</w:t>
      </w:r>
      <w:r w:rsidR="00745B63">
        <w:rPr>
          <w:lang w:val="fr-FR"/>
        </w:rPr>
        <w:t>rs pour l'organisation de la 54</w:t>
      </w:r>
      <w:r w:rsidR="00745B63" w:rsidRPr="00745B63">
        <w:rPr>
          <w:vertAlign w:val="superscript"/>
          <w:lang w:val="fr-FR"/>
        </w:rPr>
        <w:t>e</w:t>
      </w:r>
      <w:r w:rsidR="00745B63">
        <w:rPr>
          <w:lang w:val="fr-FR"/>
        </w:rPr>
        <w:t xml:space="preserve"> R</w:t>
      </w:r>
      <w:r w:rsidR="00745B63" w:rsidRPr="00745B63">
        <w:rPr>
          <w:lang w:val="fr-FR"/>
        </w:rPr>
        <w:t xml:space="preserve">éunion du Comité permanent qui se tiendra </w:t>
      </w:r>
      <w:r w:rsidR="00745B63">
        <w:rPr>
          <w:lang w:val="fr-FR"/>
        </w:rPr>
        <w:t>du</w:t>
      </w:r>
      <w:r w:rsidR="00745B63" w:rsidRPr="00745B63">
        <w:rPr>
          <w:lang w:val="fr-FR"/>
        </w:rPr>
        <w:t xml:space="preserve"> 23-27 avril 2018 à Gland, Suisse. Les principales tâches </w:t>
      </w:r>
      <w:r w:rsidR="00745B63">
        <w:rPr>
          <w:lang w:val="fr-FR"/>
        </w:rPr>
        <w:t>comprennent</w:t>
      </w:r>
      <w:r w:rsidR="00745B63" w:rsidRPr="00745B63">
        <w:rPr>
          <w:lang w:val="fr-FR"/>
        </w:rPr>
        <w:t xml:space="preserve"> la préparation des documents, les dispositions logistiques et l'élaboration de directives et de procédures pour la soumi</w:t>
      </w:r>
      <w:r w:rsidR="00F63CA7">
        <w:rPr>
          <w:lang w:val="fr-FR"/>
        </w:rPr>
        <w:t>ssion des projets de résolution</w:t>
      </w:r>
      <w:r w:rsidR="00745B63" w:rsidRPr="00745B63">
        <w:rPr>
          <w:lang w:val="fr-FR"/>
        </w:rPr>
        <w:t xml:space="preserve"> </w:t>
      </w:r>
      <w:r w:rsidR="00745B63">
        <w:rPr>
          <w:lang w:val="fr-FR"/>
        </w:rPr>
        <w:t>par l</w:t>
      </w:r>
      <w:r w:rsidR="00745B63" w:rsidRPr="00745B63">
        <w:rPr>
          <w:lang w:val="fr-FR"/>
        </w:rPr>
        <w:t xml:space="preserve">es Parties contractantes </w:t>
      </w:r>
      <w:r w:rsidR="00745B63">
        <w:rPr>
          <w:lang w:val="fr-FR"/>
        </w:rPr>
        <w:t xml:space="preserve">à des fins de </w:t>
      </w:r>
      <w:r w:rsidR="00745B63" w:rsidRPr="00745B63">
        <w:rPr>
          <w:lang w:val="fr-FR"/>
        </w:rPr>
        <w:t>présentation ultérieure</w:t>
      </w:r>
      <w:r w:rsidR="00745B63">
        <w:rPr>
          <w:lang w:val="fr-FR"/>
        </w:rPr>
        <w:t>ment à la CO</w:t>
      </w:r>
      <w:r w:rsidR="00745B63" w:rsidRPr="00745B63">
        <w:rPr>
          <w:lang w:val="fr-FR"/>
        </w:rPr>
        <w:t>P13, et les dispositions logistiques.</w:t>
      </w:r>
      <w:r w:rsidR="00B31A2B" w:rsidRPr="00FB4519">
        <w:rPr>
          <w:lang w:val="fr-FR"/>
        </w:rPr>
        <w:t xml:space="preserve"> </w:t>
      </w:r>
    </w:p>
    <w:p w14:paraId="4343E93C" w14:textId="77777777" w:rsidR="00D402CF" w:rsidRPr="00FB4519" w:rsidRDefault="00D402CF" w:rsidP="00F369FF">
      <w:pPr>
        <w:rPr>
          <w:lang w:val="fr-FR"/>
        </w:rPr>
      </w:pPr>
    </w:p>
    <w:p w14:paraId="023EE0F7" w14:textId="1B6FCD95" w:rsidR="008178B4" w:rsidRPr="008178B4" w:rsidRDefault="00F369FF" w:rsidP="008178B4">
      <w:pPr>
        <w:rPr>
          <w:lang w:val="fr-FR"/>
        </w:rPr>
      </w:pPr>
      <w:r w:rsidRPr="00FB4519">
        <w:rPr>
          <w:lang w:val="fr-FR"/>
        </w:rPr>
        <w:t>9.</w:t>
      </w:r>
      <w:r w:rsidRPr="00FB4519">
        <w:rPr>
          <w:lang w:val="fr-FR"/>
        </w:rPr>
        <w:tab/>
      </w:r>
      <w:r w:rsidR="008178B4" w:rsidRPr="008178B4">
        <w:rPr>
          <w:lang w:val="fr-FR"/>
        </w:rPr>
        <w:t xml:space="preserve">En préparation de la COP13, le Secrétariat a continué d'assurer la liaison avec les Émirats arabes unis, pays hôte de la </w:t>
      </w:r>
      <w:r w:rsidR="006961C4">
        <w:rPr>
          <w:lang w:val="fr-FR"/>
        </w:rPr>
        <w:t>session</w:t>
      </w:r>
      <w:r w:rsidR="008178B4" w:rsidRPr="008178B4">
        <w:rPr>
          <w:lang w:val="fr-FR"/>
        </w:rPr>
        <w:t>, qui se tiendra du 21 au 29 octobre 2018. Un mémorandum d'accord a été signé en janvier et le Secrétariat assure le suivi avec l'hôte sur divers aspects de la réunion (voir le document</w:t>
      </w:r>
      <w:r w:rsidR="008D29D3">
        <w:rPr>
          <w:lang w:val="fr-FR"/>
        </w:rPr>
        <w:t xml:space="preserve"> SC54-18.1 </w:t>
      </w:r>
      <w:r w:rsidR="008D29D3" w:rsidRPr="007C69DB">
        <w:rPr>
          <w:i/>
          <w:lang w:val="fr-FR"/>
        </w:rPr>
        <w:t>Préparati</w:t>
      </w:r>
      <w:r w:rsidR="00056910" w:rsidRPr="007C69DB">
        <w:rPr>
          <w:i/>
          <w:lang w:val="fr-FR"/>
        </w:rPr>
        <w:t>fs</w:t>
      </w:r>
      <w:r w:rsidR="008D29D3" w:rsidRPr="007C69DB">
        <w:rPr>
          <w:i/>
          <w:lang w:val="fr-FR"/>
        </w:rPr>
        <w:t xml:space="preserve"> de la 13</w:t>
      </w:r>
      <w:r w:rsidR="008D29D3" w:rsidRPr="007C69DB">
        <w:rPr>
          <w:i/>
          <w:vertAlign w:val="superscript"/>
          <w:lang w:val="fr-FR"/>
        </w:rPr>
        <w:t>e</w:t>
      </w:r>
      <w:r w:rsidR="00056910" w:rsidRPr="007C69DB">
        <w:rPr>
          <w:i/>
          <w:lang w:val="fr-FR"/>
        </w:rPr>
        <w:t xml:space="preserve"> S</w:t>
      </w:r>
      <w:r w:rsidR="008178B4" w:rsidRPr="007C69DB">
        <w:rPr>
          <w:i/>
          <w:lang w:val="fr-FR"/>
        </w:rPr>
        <w:t>ession de la Conférence des Parties</w:t>
      </w:r>
      <w:r w:rsidR="006961C4">
        <w:rPr>
          <w:i/>
          <w:lang w:val="fr-FR"/>
        </w:rPr>
        <w:t> :</w:t>
      </w:r>
      <w:r w:rsidR="008178B4" w:rsidRPr="007C69DB">
        <w:rPr>
          <w:i/>
          <w:lang w:val="fr-FR"/>
        </w:rPr>
        <w:t xml:space="preserve"> Rapport du Secrétariat</w:t>
      </w:r>
      <w:r w:rsidR="008178B4" w:rsidRPr="008178B4">
        <w:rPr>
          <w:lang w:val="fr-FR"/>
        </w:rPr>
        <w:t>).</w:t>
      </w:r>
    </w:p>
    <w:p w14:paraId="77EB46B0" w14:textId="77777777" w:rsidR="005E5AD4" w:rsidRPr="008D29D3" w:rsidRDefault="005E5AD4" w:rsidP="008D29D3">
      <w:pPr>
        <w:ind w:left="0" w:firstLine="0"/>
        <w:rPr>
          <w:lang w:val="fr-FR"/>
        </w:rPr>
      </w:pPr>
    </w:p>
    <w:p w14:paraId="1803D15D" w14:textId="103B6059" w:rsidR="00A13E2D" w:rsidRPr="00FB4519" w:rsidRDefault="000C6AC6" w:rsidP="000C6AC6">
      <w:pPr>
        <w:rPr>
          <w:lang w:val="fr-FR"/>
        </w:rPr>
      </w:pPr>
      <w:r w:rsidRPr="00FB4519">
        <w:rPr>
          <w:lang w:val="fr-FR"/>
        </w:rPr>
        <w:t>10.</w:t>
      </w:r>
      <w:r w:rsidRPr="00FB4519">
        <w:rPr>
          <w:lang w:val="fr-FR"/>
        </w:rPr>
        <w:tab/>
      </w:r>
      <w:r w:rsidR="00C902E9" w:rsidRPr="00C902E9">
        <w:rPr>
          <w:lang w:val="fr-FR"/>
        </w:rPr>
        <w:t xml:space="preserve">Le Secrétariat organise également cinq réunions régionales pré-COP, prévues de février à </w:t>
      </w:r>
      <w:r w:rsidR="00C902E9">
        <w:rPr>
          <w:lang w:val="fr-FR"/>
        </w:rPr>
        <w:t xml:space="preserve">fin </w:t>
      </w:r>
      <w:r w:rsidR="00C902E9" w:rsidRPr="00C902E9">
        <w:rPr>
          <w:lang w:val="fr-FR"/>
        </w:rPr>
        <w:t>mars, comme suit</w:t>
      </w:r>
      <w:r w:rsidR="00C902E9">
        <w:rPr>
          <w:lang w:val="fr-FR"/>
        </w:rPr>
        <w:t xml:space="preserve"> </w:t>
      </w:r>
      <w:r w:rsidR="00C902E9" w:rsidRPr="00C902E9">
        <w:rPr>
          <w:lang w:val="fr-FR"/>
        </w:rPr>
        <w:t>:</w:t>
      </w:r>
      <w:r w:rsidR="005E5AD4" w:rsidRPr="00FB4519">
        <w:rPr>
          <w:lang w:val="fr-FR"/>
        </w:rPr>
        <w:t xml:space="preserve"> </w:t>
      </w:r>
    </w:p>
    <w:p w14:paraId="6583A756" w14:textId="77777777" w:rsidR="00A13E2D" w:rsidRPr="00FB4519" w:rsidRDefault="00A13E2D" w:rsidP="00570F86">
      <w:pPr>
        <w:pStyle w:val="ListParagraph"/>
        <w:ind w:left="425"/>
        <w:rPr>
          <w:lang w:val="fr-FR"/>
        </w:rPr>
      </w:pPr>
    </w:p>
    <w:p w14:paraId="06B7842F" w14:textId="2DB29982" w:rsidR="00A13E2D" w:rsidRPr="00C902E9" w:rsidRDefault="00C902E9" w:rsidP="000C6AC6">
      <w:pPr>
        <w:pStyle w:val="ListParagraph"/>
        <w:numPr>
          <w:ilvl w:val="0"/>
          <w:numId w:val="5"/>
        </w:numPr>
        <w:ind w:left="850" w:hanging="425"/>
        <w:rPr>
          <w:lang w:val="fr-FR"/>
        </w:rPr>
      </w:pPr>
      <w:r w:rsidRPr="00C902E9">
        <w:rPr>
          <w:lang w:val="fr-FR"/>
        </w:rPr>
        <w:t xml:space="preserve">Région </w:t>
      </w:r>
      <w:r w:rsidR="000A75C5" w:rsidRPr="00C902E9">
        <w:rPr>
          <w:lang w:val="fr-FR"/>
        </w:rPr>
        <w:t>Afri</w:t>
      </w:r>
      <w:r w:rsidRPr="00C902E9">
        <w:rPr>
          <w:lang w:val="fr-FR"/>
        </w:rPr>
        <w:t xml:space="preserve">que (26 février </w:t>
      </w:r>
      <w:r w:rsidR="000A75C5" w:rsidRPr="00C902E9">
        <w:rPr>
          <w:lang w:val="fr-FR"/>
        </w:rPr>
        <w:t xml:space="preserve">– 2 </w:t>
      </w:r>
      <w:r>
        <w:rPr>
          <w:lang w:val="fr-FR"/>
        </w:rPr>
        <w:t>mars) Dakar / Séné</w:t>
      </w:r>
      <w:r w:rsidR="000A75C5" w:rsidRPr="00C902E9">
        <w:rPr>
          <w:lang w:val="fr-FR"/>
        </w:rPr>
        <w:t>gal</w:t>
      </w:r>
    </w:p>
    <w:p w14:paraId="4956AECE" w14:textId="05A7906C" w:rsidR="000A75C5" w:rsidRPr="00C902E9" w:rsidRDefault="00C902E9" w:rsidP="000C6AC6">
      <w:pPr>
        <w:pStyle w:val="ListParagraph"/>
        <w:numPr>
          <w:ilvl w:val="0"/>
          <w:numId w:val="5"/>
        </w:numPr>
        <w:ind w:left="850" w:hanging="425"/>
        <w:rPr>
          <w:lang w:val="fr-FR"/>
        </w:rPr>
      </w:pPr>
      <w:r w:rsidRPr="00C902E9">
        <w:rPr>
          <w:lang w:val="fr-FR"/>
        </w:rPr>
        <w:t>Région Asie</w:t>
      </w:r>
      <w:r w:rsidR="000A75C5" w:rsidRPr="00C902E9">
        <w:rPr>
          <w:lang w:val="fr-FR"/>
        </w:rPr>
        <w:t xml:space="preserve"> (26 </w:t>
      </w:r>
      <w:r w:rsidRPr="00C902E9">
        <w:rPr>
          <w:lang w:val="fr-FR"/>
        </w:rPr>
        <w:t xml:space="preserve">février </w:t>
      </w:r>
      <w:r w:rsidR="000A75C5" w:rsidRPr="00C902E9">
        <w:rPr>
          <w:lang w:val="fr-FR"/>
        </w:rPr>
        <w:t xml:space="preserve">– 2 </w:t>
      </w:r>
      <w:r w:rsidRPr="00C902E9">
        <w:rPr>
          <w:lang w:val="fr-FR"/>
        </w:rPr>
        <w:t>mars</w:t>
      </w:r>
      <w:r w:rsidR="000A75C5" w:rsidRPr="00C902E9">
        <w:rPr>
          <w:lang w:val="fr-FR"/>
        </w:rPr>
        <w:t>) Colombo / Sri Lanka</w:t>
      </w:r>
    </w:p>
    <w:p w14:paraId="1D7CE35D" w14:textId="1C5F5D58" w:rsidR="000A75C5" w:rsidRPr="00FB4519" w:rsidRDefault="00C902E9" w:rsidP="000C6AC6">
      <w:pPr>
        <w:pStyle w:val="ListParagraph"/>
        <w:numPr>
          <w:ilvl w:val="0"/>
          <w:numId w:val="5"/>
        </w:numPr>
        <w:ind w:left="850" w:hanging="425"/>
        <w:rPr>
          <w:lang w:val="fr-FR"/>
        </w:rPr>
      </w:pPr>
      <w:r>
        <w:rPr>
          <w:lang w:val="fr-FR"/>
        </w:rPr>
        <w:t>Ré</w:t>
      </w:r>
      <w:r w:rsidR="000A75C5" w:rsidRPr="00FB4519">
        <w:rPr>
          <w:lang w:val="fr-FR"/>
        </w:rPr>
        <w:t xml:space="preserve">gion </w:t>
      </w:r>
      <w:r>
        <w:rPr>
          <w:lang w:val="fr-FR"/>
        </w:rPr>
        <w:t xml:space="preserve">Amériques </w:t>
      </w:r>
      <w:r w:rsidR="000A75C5" w:rsidRPr="00FB4519">
        <w:rPr>
          <w:lang w:val="fr-FR"/>
        </w:rPr>
        <w:t xml:space="preserve">(12 – 16 </w:t>
      </w:r>
      <w:r>
        <w:rPr>
          <w:lang w:val="fr-FR"/>
        </w:rPr>
        <w:t>mars) San José</w:t>
      </w:r>
      <w:r w:rsidR="000A75C5" w:rsidRPr="00FB4519">
        <w:rPr>
          <w:lang w:val="fr-FR"/>
        </w:rPr>
        <w:t xml:space="preserve"> / Costa Rica</w:t>
      </w:r>
    </w:p>
    <w:p w14:paraId="5B2B280C" w14:textId="52EDB512" w:rsidR="000A75C5" w:rsidRPr="00C902E9" w:rsidRDefault="00C902E9" w:rsidP="000C6AC6">
      <w:pPr>
        <w:pStyle w:val="ListParagraph"/>
        <w:numPr>
          <w:ilvl w:val="0"/>
          <w:numId w:val="5"/>
        </w:numPr>
        <w:ind w:left="850" w:hanging="425"/>
        <w:rPr>
          <w:lang w:val="fr-FR"/>
        </w:rPr>
      </w:pPr>
      <w:r w:rsidRPr="00C902E9">
        <w:rPr>
          <w:lang w:val="fr-FR"/>
        </w:rPr>
        <w:t>Région Océ</w:t>
      </w:r>
      <w:r w:rsidR="000A75C5" w:rsidRPr="00C902E9">
        <w:rPr>
          <w:lang w:val="fr-FR"/>
        </w:rPr>
        <w:t>an</w:t>
      </w:r>
      <w:r w:rsidR="00B71BEF" w:rsidRPr="00C902E9">
        <w:rPr>
          <w:lang w:val="fr-FR"/>
        </w:rPr>
        <w:t>i</w:t>
      </w:r>
      <w:r w:rsidRPr="00C902E9">
        <w:rPr>
          <w:lang w:val="fr-FR"/>
        </w:rPr>
        <w:t>e</w:t>
      </w:r>
      <w:r w:rsidR="000A75C5" w:rsidRPr="00C902E9">
        <w:rPr>
          <w:lang w:val="fr-FR"/>
        </w:rPr>
        <w:t xml:space="preserve"> (12 – 16 </w:t>
      </w:r>
      <w:r w:rsidRPr="00C902E9">
        <w:rPr>
          <w:lang w:val="fr-FR"/>
        </w:rPr>
        <w:t>mars</w:t>
      </w:r>
      <w:r w:rsidR="000A75C5" w:rsidRPr="00C902E9">
        <w:rPr>
          <w:lang w:val="fr-FR"/>
        </w:rPr>
        <w:t>) Auckland / N</w:t>
      </w:r>
      <w:r w:rsidRPr="00C902E9">
        <w:rPr>
          <w:lang w:val="fr-FR"/>
        </w:rPr>
        <w:t>ouvelle-</w:t>
      </w:r>
      <w:r>
        <w:rPr>
          <w:lang w:val="fr-FR"/>
        </w:rPr>
        <w:t>Zé</w:t>
      </w:r>
      <w:r w:rsidR="000A75C5" w:rsidRPr="00C902E9">
        <w:rPr>
          <w:lang w:val="fr-FR"/>
        </w:rPr>
        <w:t>land</w:t>
      </w:r>
      <w:r>
        <w:rPr>
          <w:lang w:val="fr-FR"/>
        </w:rPr>
        <w:t>e</w:t>
      </w:r>
    </w:p>
    <w:p w14:paraId="21AC3638" w14:textId="77A99342" w:rsidR="000A75C5" w:rsidRPr="00FB4519" w:rsidRDefault="00C902E9" w:rsidP="000C6AC6">
      <w:pPr>
        <w:pStyle w:val="ListParagraph"/>
        <w:numPr>
          <w:ilvl w:val="0"/>
          <w:numId w:val="5"/>
        </w:numPr>
        <w:ind w:left="850" w:hanging="425"/>
        <w:rPr>
          <w:lang w:val="fr-FR"/>
        </w:rPr>
      </w:pPr>
      <w:r>
        <w:rPr>
          <w:lang w:val="fr-FR"/>
        </w:rPr>
        <w:t>Ré</w:t>
      </w:r>
      <w:r w:rsidR="000A75C5" w:rsidRPr="00FB4519">
        <w:rPr>
          <w:lang w:val="fr-FR"/>
        </w:rPr>
        <w:t xml:space="preserve">gion </w:t>
      </w:r>
      <w:r>
        <w:rPr>
          <w:lang w:val="fr-FR"/>
        </w:rPr>
        <w:t xml:space="preserve">Europe </w:t>
      </w:r>
      <w:r w:rsidR="000A75C5" w:rsidRPr="00FB4519">
        <w:rPr>
          <w:lang w:val="fr-FR"/>
        </w:rPr>
        <w:t xml:space="preserve">(19 – 23 </w:t>
      </w:r>
      <w:r>
        <w:rPr>
          <w:lang w:val="fr-FR"/>
        </w:rPr>
        <w:t>mars</w:t>
      </w:r>
      <w:r w:rsidR="000A75C5" w:rsidRPr="00FB4519">
        <w:rPr>
          <w:lang w:val="fr-FR"/>
        </w:rPr>
        <w:t xml:space="preserve">) Olomouc / </w:t>
      </w:r>
      <w:r>
        <w:rPr>
          <w:lang w:val="fr-FR"/>
        </w:rPr>
        <w:t>République tchèque</w:t>
      </w:r>
    </w:p>
    <w:p w14:paraId="66A8BE5C" w14:textId="77777777" w:rsidR="00BA74D8" w:rsidRPr="00FB4519" w:rsidRDefault="00BA74D8" w:rsidP="00570F86">
      <w:pPr>
        <w:rPr>
          <w:lang w:val="fr-FR"/>
        </w:rPr>
      </w:pPr>
    </w:p>
    <w:p w14:paraId="729BBC37" w14:textId="7227F41C" w:rsidR="009B7A0D" w:rsidRPr="00FB4519" w:rsidRDefault="000C6AC6" w:rsidP="000C6AC6">
      <w:pPr>
        <w:rPr>
          <w:lang w:val="fr-FR"/>
        </w:rPr>
      </w:pPr>
      <w:r w:rsidRPr="00FB4519">
        <w:rPr>
          <w:lang w:val="fr-FR"/>
        </w:rPr>
        <w:t>11.</w:t>
      </w:r>
      <w:r w:rsidRPr="00FB4519">
        <w:rPr>
          <w:lang w:val="fr-FR"/>
        </w:rPr>
        <w:tab/>
      </w:r>
      <w:r w:rsidR="00C902E9" w:rsidRPr="00C902E9">
        <w:rPr>
          <w:lang w:val="fr-FR"/>
        </w:rPr>
        <w:t xml:space="preserve">Les Parties contractantes </w:t>
      </w:r>
      <w:r w:rsidR="00C902E9">
        <w:rPr>
          <w:lang w:val="fr-FR"/>
        </w:rPr>
        <w:t xml:space="preserve">estiment que </w:t>
      </w:r>
      <w:r w:rsidR="00C902E9" w:rsidRPr="00C902E9">
        <w:rPr>
          <w:lang w:val="fr-FR"/>
        </w:rPr>
        <w:t xml:space="preserve">ces réunions </w:t>
      </w:r>
      <w:r w:rsidR="00C902E9">
        <w:rPr>
          <w:lang w:val="fr-FR"/>
        </w:rPr>
        <w:t xml:space="preserve">sont </w:t>
      </w:r>
      <w:r w:rsidR="00C902E9" w:rsidRPr="00C902E9">
        <w:rPr>
          <w:lang w:val="fr-FR"/>
        </w:rPr>
        <w:t>des forums utiles pour commenter les projets de résol</w:t>
      </w:r>
      <w:r w:rsidR="00C902E9">
        <w:rPr>
          <w:lang w:val="fr-FR"/>
        </w:rPr>
        <w:t>ution qui seront examinés lors de la</w:t>
      </w:r>
      <w:r w:rsidR="00527714">
        <w:rPr>
          <w:lang w:val="fr-FR"/>
        </w:rPr>
        <w:t xml:space="preserve"> </w:t>
      </w:r>
      <w:r w:rsidR="00C902E9" w:rsidRPr="00C902E9">
        <w:rPr>
          <w:lang w:val="fr-FR"/>
        </w:rPr>
        <w:t>54</w:t>
      </w:r>
      <w:r w:rsidR="00527714" w:rsidRPr="00527714">
        <w:rPr>
          <w:vertAlign w:val="superscript"/>
          <w:lang w:val="fr-FR"/>
        </w:rPr>
        <w:t>e</w:t>
      </w:r>
      <w:r w:rsidR="00527714">
        <w:rPr>
          <w:lang w:val="fr-FR"/>
        </w:rPr>
        <w:t xml:space="preserve"> </w:t>
      </w:r>
      <w:r w:rsidR="00527714" w:rsidRPr="00527714">
        <w:rPr>
          <w:lang w:val="fr-FR"/>
        </w:rPr>
        <w:t>Réunion du Comité permanen</w:t>
      </w:r>
      <w:r w:rsidR="00527714">
        <w:rPr>
          <w:lang w:val="fr-FR"/>
        </w:rPr>
        <w:t>t</w:t>
      </w:r>
      <w:r w:rsidR="00C902E9" w:rsidRPr="00C902E9">
        <w:rPr>
          <w:lang w:val="fr-FR"/>
        </w:rPr>
        <w:t xml:space="preserve"> et</w:t>
      </w:r>
      <w:r w:rsidR="00C902E9">
        <w:rPr>
          <w:lang w:val="fr-FR"/>
        </w:rPr>
        <w:t xml:space="preserve"> de</w:t>
      </w:r>
      <w:r w:rsidR="00C902E9" w:rsidRPr="00C902E9">
        <w:rPr>
          <w:lang w:val="fr-FR"/>
        </w:rPr>
        <w:t xml:space="preserve"> la COP13, pour permettre aux Parties de partager leurs expériences en matière de mise en œuvre de la Convention au niveau régional, pour soulever des questions d'intérêt mutuel et pour </w:t>
      </w:r>
      <w:r w:rsidR="00C902E9">
        <w:rPr>
          <w:lang w:val="fr-FR"/>
        </w:rPr>
        <w:t xml:space="preserve">avoir </w:t>
      </w:r>
      <w:r w:rsidR="00C902E9" w:rsidRPr="00C902E9">
        <w:rPr>
          <w:lang w:val="fr-FR"/>
        </w:rPr>
        <w:t>des discussions préliminaires sur l'élection de représentants régionaux au Comité permanent.</w:t>
      </w:r>
    </w:p>
    <w:p w14:paraId="5B90804A" w14:textId="77777777" w:rsidR="005E5AD4" w:rsidRPr="00FB4519" w:rsidRDefault="005E5AD4" w:rsidP="00570F86">
      <w:pPr>
        <w:rPr>
          <w:lang w:val="fr-FR"/>
        </w:rPr>
      </w:pPr>
    </w:p>
    <w:p w14:paraId="181B0515" w14:textId="15872767" w:rsidR="008A35E8" w:rsidRPr="00FB4519" w:rsidRDefault="000C6AC6" w:rsidP="000C6AC6">
      <w:pPr>
        <w:rPr>
          <w:lang w:val="fr-FR"/>
        </w:rPr>
      </w:pPr>
      <w:r w:rsidRPr="00FB4519">
        <w:rPr>
          <w:lang w:val="fr-FR"/>
        </w:rPr>
        <w:t>12.</w:t>
      </w:r>
      <w:r w:rsidRPr="00FB4519">
        <w:rPr>
          <w:lang w:val="fr-FR"/>
        </w:rPr>
        <w:tab/>
      </w:r>
      <w:r w:rsidR="00F06ABB" w:rsidRPr="00F06ABB">
        <w:rPr>
          <w:rFonts w:cs="Arial"/>
          <w:lang w:val="fr-FR"/>
        </w:rPr>
        <w:t xml:space="preserve">Le Secrétariat a déployé des efforts considérables pour améliorer ses résultats en renforçant les services offerts aux Parties contractantes </w:t>
      </w:r>
      <w:r w:rsidR="00F06ABB">
        <w:rPr>
          <w:rFonts w:cs="Arial"/>
          <w:lang w:val="fr-FR"/>
        </w:rPr>
        <w:t xml:space="preserve">en matière </w:t>
      </w:r>
      <w:r w:rsidR="00F06ABB" w:rsidRPr="00F06ABB">
        <w:rPr>
          <w:rFonts w:cs="Arial"/>
          <w:lang w:val="fr-FR"/>
        </w:rPr>
        <w:t>de prise</w:t>
      </w:r>
      <w:r w:rsidR="00F06ABB">
        <w:rPr>
          <w:rFonts w:cs="Arial"/>
          <w:lang w:val="fr-FR"/>
        </w:rPr>
        <w:t>s</w:t>
      </w:r>
      <w:r w:rsidR="00F06ABB" w:rsidRPr="00F06ABB">
        <w:rPr>
          <w:rFonts w:cs="Arial"/>
          <w:lang w:val="fr-FR"/>
        </w:rPr>
        <w:t xml:space="preserve"> de décisions et de </w:t>
      </w:r>
      <w:r w:rsidR="00F06ABB">
        <w:rPr>
          <w:rFonts w:cs="Arial"/>
          <w:lang w:val="fr-FR"/>
        </w:rPr>
        <w:t>transparence</w:t>
      </w:r>
      <w:r w:rsidR="00F06ABB" w:rsidRPr="00F06ABB">
        <w:rPr>
          <w:rFonts w:cs="Arial"/>
          <w:lang w:val="fr-FR"/>
        </w:rPr>
        <w:t xml:space="preserve">. Les capacités et l'expérience sont </w:t>
      </w:r>
      <w:r w:rsidR="00F06ABB">
        <w:rPr>
          <w:rFonts w:cs="Arial"/>
          <w:lang w:val="fr-FR"/>
        </w:rPr>
        <w:t xml:space="preserve">développées et </w:t>
      </w:r>
      <w:r w:rsidR="00F06ABB" w:rsidRPr="00F06ABB">
        <w:rPr>
          <w:rFonts w:cs="Arial"/>
          <w:lang w:val="fr-FR"/>
        </w:rPr>
        <w:t>renforcées grâce au recrutement du Secrétaire général adjoint, au recrutement en cours d'un assistant de conférence (</w:t>
      </w:r>
      <w:r w:rsidR="00F06ABB">
        <w:rPr>
          <w:rFonts w:cs="Arial"/>
          <w:lang w:val="fr-FR"/>
        </w:rPr>
        <w:t xml:space="preserve">pour pourvoir </w:t>
      </w:r>
      <w:r w:rsidR="00B36F58">
        <w:rPr>
          <w:rFonts w:cs="Arial"/>
          <w:lang w:val="fr-FR"/>
        </w:rPr>
        <w:t xml:space="preserve">à </w:t>
      </w:r>
      <w:r w:rsidR="00F06ABB">
        <w:rPr>
          <w:rFonts w:cs="Arial"/>
          <w:lang w:val="fr-FR"/>
        </w:rPr>
        <w:t xml:space="preserve">un </w:t>
      </w:r>
      <w:r w:rsidR="00F06ABB" w:rsidRPr="00F06ABB">
        <w:rPr>
          <w:rFonts w:cs="Arial"/>
          <w:lang w:val="fr-FR"/>
        </w:rPr>
        <w:t xml:space="preserve">poste A3 vacant) et à la </w:t>
      </w:r>
      <w:r w:rsidR="00B36F58">
        <w:rPr>
          <w:rFonts w:cs="Arial"/>
          <w:lang w:val="fr-FR"/>
        </w:rPr>
        <w:t xml:space="preserve">priorisation </w:t>
      </w:r>
      <w:r w:rsidR="00F06ABB" w:rsidRPr="00F06ABB">
        <w:rPr>
          <w:rFonts w:cs="Arial"/>
          <w:lang w:val="fr-FR"/>
        </w:rPr>
        <w:t xml:space="preserve">de ce domaine d'activité dans le plan de travail du Secrétariat (voir le document SC54-12 </w:t>
      </w:r>
      <w:r w:rsidR="00F06ABB" w:rsidRPr="009B1423">
        <w:rPr>
          <w:rFonts w:cs="Arial"/>
          <w:i/>
          <w:lang w:val="fr-FR"/>
        </w:rPr>
        <w:t xml:space="preserve">Plan de travail du Secrétariat pour 2018 et </w:t>
      </w:r>
      <w:r w:rsidR="009B1423">
        <w:rPr>
          <w:rFonts w:cs="Arial"/>
          <w:i/>
          <w:lang w:val="fr-FR"/>
        </w:rPr>
        <w:t xml:space="preserve">présentation </w:t>
      </w:r>
      <w:r w:rsidR="00F06ABB" w:rsidRPr="009B1423">
        <w:rPr>
          <w:rFonts w:cs="Arial"/>
          <w:i/>
          <w:lang w:val="fr-FR"/>
        </w:rPr>
        <w:t>proposé</w:t>
      </w:r>
      <w:r w:rsidR="009B1423">
        <w:rPr>
          <w:rFonts w:cs="Arial"/>
          <w:i/>
          <w:lang w:val="fr-FR"/>
        </w:rPr>
        <w:t>e</w:t>
      </w:r>
      <w:r w:rsidR="00F06ABB" w:rsidRPr="009B1423">
        <w:rPr>
          <w:rFonts w:cs="Arial"/>
          <w:i/>
          <w:lang w:val="fr-FR"/>
        </w:rPr>
        <w:t xml:space="preserve"> pour 2019-2021</w:t>
      </w:r>
      <w:r w:rsidR="00F06ABB" w:rsidRPr="00F06ABB">
        <w:rPr>
          <w:rFonts w:cs="Arial"/>
          <w:lang w:val="fr-FR"/>
        </w:rPr>
        <w:t xml:space="preserve">). Des </w:t>
      </w:r>
      <w:r w:rsidR="00D654EB">
        <w:rPr>
          <w:rFonts w:cs="Arial"/>
          <w:lang w:val="fr-FR"/>
        </w:rPr>
        <w:t>lignes directrices</w:t>
      </w:r>
      <w:r w:rsidR="00F06ABB" w:rsidRPr="00F06ABB">
        <w:rPr>
          <w:rFonts w:cs="Arial"/>
          <w:lang w:val="fr-FR"/>
        </w:rPr>
        <w:t xml:space="preserve"> détaillées ont été fournies au Secrétariat et des séances de planification ont été organisées avec l'ensemble du personnel avant les principales réunions des organes d</w:t>
      </w:r>
      <w:r w:rsidR="000A4E0D">
        <w:rPr>
          <w:rFonts w:cs="Arial"/>
          <w:lang w:val="fr-FR"/>
        </w:rPr>
        <w:t>e gouvernance</w:t>
      </w:r>
      <w:r w:rsidR="00F06ABB" w:rsidRPr="00F06ABB">
        <w:rPr>
          <w:rFonts w:cs="Arial"/>
          <w:lang w:val="fr-FR"/>
        </w:rPr>
        <w:t xml:space="preserve"> et subsidiaires afin de renforcer les capacités et la coordination. Toutefois, l'</w:t>
      </w:r>
      <w:r w:rsidR="00D654EB">
        <w:rPr>
          <w:rFonts w:cs="Arial"/>
          <w:lang w:val="fr-FR"/>
        </w:rPr>
        <w:t>efficacité de l’</w:t>
      </w:r>
      <w:r w:rsidR="00F06ABB" w:rsidRPr="00F06ABB">
        <w:rPr>
          <w:rFonts w:cs="Arial"/>
          <w:lang w:val="fr-FR"/>
        </w:rPr>
        <w:t xml:space="preserve">exécution de cette fonction essentielle est remise </w:t>
      </w:r>
      <w:r w:rsidR="00F06ABB" w:rsidRPr="00F06ABB">
        <w:rPr>
          <w:rFonts w:cs="Arial"/>
          <w:lang w:val="fr-FR"/>
        </w:rPr>
        <w:lastRenderedPageBreak/>
        <w:t>en question par divers facteurs que le Secrétariat a portés à l'attention du</w:t>
      </w:r>
      <w:r w:rsidR="00F06ABB" w:rsidRPr="00F06ABB">
        <w:rPr>
          <w:lang w:val="fr-FR"/>
        </w:rPr>
        <w:t xml:space="preserve"> </w:t>
      </w:r>
      <w:r w:rsidR="00F06ABB" w:rsidRPr="00D55A87">
        <w:rPr>
          <w:rFonts w:cs="Arial"/>
          <w:lang w:val="fr-FR"/>
        </w:rPr>
        <w:t>Groupe de travail</w:t>
      </w:r>
      <w:r w:rsidR="00D55A87">
        <w:rPr>
          <w:rFonts w:cs="Arial"/>
          <w:lang w:val="fr-FR"/>
        </w:rPr>
        <w:t xml:space="preserve"> de facilitation</w:t>
      </w:r>
      <w:r w:rsidR="00F06ABB" w:rsidRPr="00F06ABB">
        <w:rPr>
          <w:rFonts w:cs="Arial"/>
          <w:lang w:val="fr-FR"/>
        </w:rPr>
        <w:t xml:space="preserve"> et qu'il juge </w:t>
      </w:r>
      <w:r w:rsidR="00527714">
        <w:rPr>
          <w:rFonts w:cs="Arial"/>
          <w:lang w:val="fr-FR"/>
        </w:rPr>
        <w:t xml:space="preserve">important de partager avec la </w:t>
      </w:r>
      <w:r w:rsidR="00F06ABB" w:rsidRPr="00F06ABB">
        <w:rPr>
          <w:rFonts w:cs="Arial"/>
          <w:lang w:val="fr-FR"/>
        </w:rPr>
        <w:t>54</w:t>
      </w:r>
      <w:r w:rsidR="00527714" w:rsidRPr="00527714">
        <w:rPr>
          <w:rFonts w:cs="Arial"/>
          <w:vertAlign w:val="superscript"/>
          <w:lang w:val="fr-FR"/>
        </w:rPr>
        <w:t>e</w:t>
      </w:r>
      <w:r w:rsidR="00527714">
        <w:rPr>
          <w:rFonts w:cs="Arial"/>
          <w:lang w:val="fr-FR"/>
        </w:rPr>
        <w:t xml:space="preserve"> </w:t>
      </w:r>
      <w:r w:rsidR="00527714" w:rsidRPr="00527714">
        <w:rPr>
          <w:rFonts w:cs="Arial"/>
          <w:lang w:val="fr-FR"/>
        </w:rPr>
        <w:t>Réunion du Comité permanen</w:t>
      </w:r>
      <w:r w:rsidR="00527714">
        <w:rPr>
          <w:rFonts w:cs="Arial"/>
          <w:lang w:val="fr-FR"/>
        </w:rPr>
        <w:t>t</w:t>
      </w:r>
      <w:r w:rsidR="00F06ABB">
        <w:rPr>
          <w:rFonts w:cs="Arial"/>
          <w:lang w:val="fr-FR"/>
        </w:rPr>
        <w:t> :</w:t>
      </w:r>
    </w:p>
    <w:p w14:paraId="103D4D35" w14:textId="77777777" w:rsidR="000C6AC6" w:rsidRPr="00FB4519" w:rsidRDefault="000C6AC6" w:rsidP="00570F86">
      <w:pPr>
        <w:rPr>
          <w:lang w:val="fr-FR"/>
        </w:rPr>
      </w:pPr>
    </w:p>
    <w:p w14:paraId="5F9EB5A4" w14:textId="33C617F0" w:rsidR="00BA74D8" w:rsidRPr="00FB4519" w:rsidRDefault="00484FC9" w:rsidP="000C6AC6">
      <w:pPr>
        <w:pStyle w:val="ListParagraph"/>
        <w:numPr>
          <w:ilvl w:val="0"/>
          <w:numId w:val="5"/>
        </w:numPr>
        <w:ind w:left="850" w:hanging="425"/>
        <w:rPr>
          <w:lang w:val="fr-FR"/>
        </w:rPr>
      </w:pPr>
      <w:r w:rsidRPr="00484FC9">
        <w:rPr>
          <w:lang w:val="fr-FR"/>
        </w:rPr>
        <w:t>Il y a une incohérence dans les délais de soumission des documents pour l</w:t>
      </w:r>
      <w:r w:rsidR="006961C4">
        <w:rPr>
          <w:lang w:val="fr-FR"/>
        </w:rPr>
        <w:t>es réunions du Comité permanent</w:t>
      </w:r>
      <w:r w:rsidR="00526305">
        <w:rPr>
          <w:lang w:val="fr-FR"/>
        </w:rPr>
        <w:t>; en effet la date limite</w:t>
      </w:r>
      <w:r w:rsidRPr="00484FC9">
        <w:rPr>
          <w:lang w:val="fr-FR"/>
        </w:rPr>
        <w:t xml:space="preserve"> </w:t>
      </w:r>
      <w:r w:rsidR="00526305">
        <w:rPr>
          <w:lang w:val="fr-FR"/>
        </w:rPr>
        <w:t xml:space="preserve">donnée pour la présentation des projets de résolution est un mois après le délai </w:t>
      </w:r>
      <w:r w:rsidRPr="00484FC9">
        <w:rPr>
          <w:lang w:val="fr-FR"/>
        </w:rPr>
        <w:t xml:space="preserve">de publication des documents </w:t>
      </w:r>
      <w:r w:rsidR="00526305">
        <w:rPr>
          <w:lang w:val="fr-FR"/>
        </w:rPr>
        <w:t xml:space="preserve">que </w:t>
      </w:r>
      <w:r w:rsidRPr="00484FC9">
        <w:rPr>
          <w:lang w:val="fr-FR"/>
        </w:rPr>
        <w:t>le Comité</w:t>
      </w:r>
      <w:r w:rsidR="00526305">
        <w:rPr>
          <w:lang w:val="fr-FR"/>
        </w:rPr>
        <w:t xml:space="preserve"> devra examiner</w:t>
      </w:r>
      <w:r w:rsidRPr="00484FC9">
        <w:rPr>
          <w:lang w:val="fr-FR"/>
        </w:rPr>
        <w:t>.</w:t>
      </w:r>
    </w:p>
    <w:p w14:paraId="335C2B38" w14:textId="77777777" w:rsidR="000C6AC6" w:rsidRPr="00FB4519" w:rsidRDefault="000C6AC6" w:rsidP="000C6AC6">
      <w:pPr>
        <w:pStyle w:val="ListParagraph"/>
        <w:ind w:left="850" w:firstLine="0"/>
        <w:rPr>
          <w:lang w:val="fr-FR"/>
        </w:rPr>
      </w:pPr>
    </w:p>
    <w:p w14:paraId="66AB4B90" w14:textId="70457CB4" w:rsidR="00296B78" w:rsidRPr="00FB4519" w:rsidRDefault="00526305" w:rsidP="000C6AC6">
      <w:pPr>
        <w:pStyle w:val="ListParagraph"/>
        <w:numPr>
          <w:ilvl w:val="0"/>
          <w:numId w:val="5"/>
        </w:numPr>
        <w:ind w:left="850" w:hanging="425"/>
        <w:rPr>
          <w:lang w:val="fr-FR"/>
        </w:rPr>
      </w:pPr>
      <w:r w:rsidRPr="00526305">
        <w:rPr>
          <w:lang w:val="fr-FR"/>
        </w:rPr>
        <w:t xml:space="preserve">Un nombre considérable de réunions </w:t>
      </w:r>
      <w:r>
        <w:rPr>
          <w:lang w:val="fr-FR"/>
        </w:rPr>
        <w:t xml:space="preserve">sont prévues pour </w:t>
      </w:r>
      <w:r w:rsidR="00017638">
        <w:rPr>
          <w:lang w:val="fr-FR"/>
        </w:rPr>
        <w:t>2018, à savoir la 21</w:t>
      </w:r>
      <w:r w:rsidR="00017638" w:rsidRPr="00017638">
        <w:rPr>
          <w:vertAlign w:val="superscript"/>
          <w:lang w:val="fr-FR"/>
        </w:rPr>
        <w:t>e</w:t>
      </w:r>
      <w:r w:rsidR="00017638">
        <w:rPr>
          <w:lang w:val="fr-FR"/>
        </w:rPr>
        <w:t xml:space="preserve"> réunion du GEST</w:t>
      </w:r>
      <w:r w:rsidRPr="00526305">
        <w:rPr>
          <w:lang w:val="fr-FR"/>
        </w:rPr>
        <w:t>, cinq réunions régionales pré</w:t>
      </w:r>
      <w:r w:rsidR="00017638">
        <w:rPr>
          <w:lang w:val="fr-FR"/>
        </w:rPr>
        <w:t>cédant la CO</w:t>
      </w:r>
      <w:r w:rsidRPr="00526305">
        <w:rPr>
          <w:lang w:val="fr-FR"/>
        </w:rPr>
        <w:t xml:space="preserve">P en février et </w:t>
      </w:r>
      <w:r w:rsidR="00527714">
        <w:rPr>
          <w:lang w:val="fr-FR"/>
        </w:rPr>
        <w:t xml:space="preserve">en mars, la </w:t>
      </w:r>
      <w:r w:rsidR="00017638">
        <w:rPr>
          <w:lang w:val="fr-FR"/>
        </w:rPr>
        <w:t>54</w:t>
      </w:r>
      <w:r w:rsidR="00527714" w:rsidRPr="00527714">
        <w:rPr>
          <w:vertAlign w:val="superscript"/>
          <w:lang w:val="fr-FR"/>
        </w:rPr>
        <w:t>e</w:t>
      </w:r>
      <w:r w:rsidR="00527714">
        <w:rPr>
          <w:lang w:val="fr-FR"/>
        </w:rPr>
        <w:t xml:space="preserve"> </w:t>
      </w:r>
      <w:r w:rsidR="00527714" w:rsidRPr="00527714">
        <w:rPr>
          <w:lang w:val="fr-FR"/>
        </w:rPr>
        <w:t>Réunion du Comité permanen</w:t>
      </w:r>
      <w:r w:rsidR="00527714">
        <w:rPr>
          <w:lang w:val="fr-FR"/>
        </w:rPr>
        <w:t>t</w:t>
      </w:r>
      <w:r w:rsidR="00017638">
        <w:rPr>
          <w:lang w:val="fr-FR"/>
        </w:rPr>
        <w:t xml:space="preserve"> du 23 au 27 avril et la CO</w:t>
      </w:r>
      <w:r w:rsidRPr="00526305">
        <w:rPr>
          <w:lang w:val="fr-FR"/>
        </w:rPr>
        <w:t>P13 du 21 au 29 octobre. C</w:t>
      </w:r>
      <w:r w:rsidR="00017638">
        <w:rPr>
          <w:lang w:val="fr-FR"/>
        </w:rPr>
        <w:t>’</w:t>
      </w:r>
      <w:r w:rsidR="00C80EBA">
        <w:rPr>
          <w:lang w:val="fr-FR"/>
        </w:rPr>
        <w:t xml:space="preserve">est la conséquence </w:t>
      </w:r>
      <w:r w:rsidR="00017638">
        <w:rPr>
          <w:lang w:val="fr-FR"/>
        </w:rPr>
        <w:t>du</w:t>
      </w:r>
      <w:r w:rsidRPr="00526305">
        <w:rPr>
          <w:lang w:val="fr-FR"/>
        </w:rPr>
        <w:t xml:space="preserve"> calendrier mentionné</w:t>
      </w:r>
      <w:r w:rsidR="00017638">
        <w:rPr>
          <w:lang w:val="fr-FR"/>
        </w:rPr>
        <w:t xml:space="preserve"> ci-dessus, de</w:t>
      </w:r>
      <w:r w:rsidRPr="00526305">
        <w:rPr>
          <w:lang w:val="fr-FR"/>
        </w:rPr>
        <w:t xml:space="preserve"> la date de la C</w:t>
      </w:r>
      <w:r w:rsidR="00017638">
        <w:rPr>
          <w:lang w:val="fr-FR"/>
        </w:rPr>
        <w:t>OP en octobre et de</w:t>
      </w:r>
      <w:r w:rsidR="00C53927">
        <w:rPr>
          <w:lang w:val="fr-FR"/>
        </w:rPr>
        <w:t xml:space="preserve"> l’attente de pouvoir examiner </w:t>
      </w:r>
      <w:r w:rsidRPr="00526305">
        <w:rPr>
          <w:lang w:val="fr-FR"/>
        </w:rPr>
        <w:t xml:space="preserve">les projets de résolution </w:t>
      </w:r>
      <w:r w:rsidR="00C53927">
        <w:rPr>
          <w:lang w:val="fr-FR"/>
        </w:rPr>
        <w:t xml:space="preserve">lors de </w:t>
      </w:r>
      <w:r w:rsidRPr="00526305">
        <w:rPr>
          <w:lang w:val="fr-FR"/>
        </w:rPr>
        <w:t xml:space="preserve">toutes ces réunions, </w:t>
      </w:r>
      <w:r w:rsidR="00C53927">
        <w:rPr>
          <w:lang w:val="fr-FR"/>
        </w:rPr>
        <w:t>bien que</w:t>
      </w:r>
      <w:r w:rsidR="00C80EBA">
        <w:rPr>
          <w:lang w:val="fr-FR"/>
        </w:rPr>
        <w:t xml:space="preserve"> le R</w:t>
      </w:r>
      <w:r w:rsidR="00C53927">
        <w:rPr>
          <w:lang w:val="fr-FR"/>
        </w:rPr>
        <w:t>èglement intérieur ne fasse</w:t>
      </w:r>
      <w:r w:rsidR="00C80EBA">
        <w:rPr>
          <w:lang w:val="fr-FR"/>
        </w:rPr>
        <w:t xml:space="preserve"> référence qu'</w:t>
      </w:r>
      <w:r w:rsidRPr="00526305">
        <w:rPr>
          <w:lang w:val="fr-FR"/>
        </w:rPr>
        <w:t>à l'examen par le Comité permanent.</w:t>
      </w:r>
      <w:r w:rsidR="00B37D16" w:rsidRPr="00FB4519">
        <w:rPr>
          <w:lang w:val="fr-FR"/>
        </w:rPr>
        <w:t xml:space="preserve"> </w:t>
      </w:r>
    </w:p>
    <w:p w14:paraId="4E4B529A" w14:textId="77777777" w:rsidR="000C6AC6" w:rsidRPr="00FB4519" w:rsidRDefault="000C6AC6" w:rsidP="00570F86">
      <w:pPr>
        <w:rPr>
          <w:lang w:val="fr-FR"/>
        </w:rPr>
      </w:pPr>
    </w:p>
    <w:p w14:paraId="547EBE3C" w14:textId="3641BB1D" w:rsidR="00B37D16" w:rsidRPr="00FB4519" w:rsidRDefault="00382C8C" w:rsidP="00570F86">
      <w:pPr>
        <w:rPr>
          <w:lang w:val="fr-FR"/>
        </w:rPr>
      </w:pPr>
      <w:r w:rsidRPr="00FB4519">
        <w:rPr>
          <w:lang w:val="fr-FR"/>
        </w:rPr>
        <w:t>13.</w:t>
      </w:r>
      <w:r w:rsidRPr="00FB4519">
        <w:rPr>
          <w:lang w:val="fr-FR"/>
        </w:rPr>
        <w:tab/>
      </w:r>
      <w:r w:rsidR="00FC1504">
        <w:rPr>
          <w:lang w:val="fr-FR"/>
        </w:rPr>
        <w:t>Ces réunions</w:t>
      </w:r>
      <w:r w:rsidR="00C80EBA" w:rsidRPr="00C80EBA">
        <w:rPr>
          <w:lang w:val="fr-FR"/>
        </w:rPr>
        <w:t xml:space="preserve"> alourdi</w:t>
      </w:r>
      <w:r w:rsidR="00FC1504">
        <w:rPr>
          <w:lang w:val="fr-FR"/>
        </w:rPr>
        <w:t>ssen</w:t>
      </w:r>
      <w:r w:rsidR="00C80EBA" w:rsidRPr="00C80EBA">
        <w:rPr>
          <w:lang w:val="fr-FR"/>
        </w:rPr>
        <w:t xml:space="preserve">t considérablement la charge de travail du Secrétariat en termes de préparation des documents et d'organisation des réunions, mais aussi en termes de collecte de fonds, puisqu'il doit collecter des fonds pour cinq </w:t>
      </w:r>
      <w:r w:rsidR="00C80EBA">
        <w:rPr>
          <w:lang w:val="fr-FR"/>
        </w:rPr>
        <w:t xml:space="preserve">réunions régionales </w:t>
      </w:r>
      <w:r w:rsidR="00C80EBA" w:rsidRPr="00C80EBA">
        <w:rPr>
          <w:lang w:val="fr-FR"/>
        </w:rPr>
        <w:t xml:space="preserve">pré-COP et </w:t>
      </w:r>
      <w:r w:rsidR="00C80EBA">
        <w:rPr>
          <w:lang w:val="fr-FR"/>
        </w:rPr>
        <w:t>pour la CO</w:t>
      </w:r>
      <w:r w:rsidR="00C80EBA" w:rsidRPr="00C80EBA">
        <w:rPr>
          <w:lang w:val="fr-FR"/>
        </w:rPr>
        <w:t>P au cours de la même année. Le S</w:t>
      </w:r>
      <w:r w:rsidR="00C80EBA">
        <w:rPr>
          <w:lang w:val="fr-FR"/>
        </w:rPr>
        <w:t>ecrétariat a soulevé avec le GTF</w:t>
      </w:r>
      <w:r w:rsidR="00C80EBA" w:rsidRPr="00C80EBA">
        <w:rPr>
          <w:lang w:val="fr-FR"/>
        </w:rPr>
        <w:t xml:space="preserve"> la nécessité d'examiner l'ordre chronologique des réunions et les calendriers de s</w:t>
      </w:r>
      <w:r w:rsidR="00D55A87">
        <w:rPr>
          <w:lang w:val="fr-FR"/>
        </w:rPr>
        <w:t>oumission des documents et des P</w:t>
      </w:r>
      <w:r w:rsidR="00C80EBA" w:rsidRPr="00C80EBA">
        <w:rPr>
          <w:lang w:val="fr-FR"/>
        </w:rPr>
        <w:t xml:space="preserve">R pour permettre au Secrétariat de répondre efficacement aux attentes des Parties. D'autres options </w:t>
      </w:r>
      <w:r w:rsidR="00D55A87">
        <w:rPr>
          <w:lang w:val="fr-FR"/>
        </w:rPr>
        <w:t>ont été proposées</w:t>
      </w:r>
      <w:r w:rsidR="00C80EBA" w:rsidRPr="00C80EBA">
        <w:rPr>
          <w:lang w:val="fr-FR"/>
        </w:rPr>
        <w:t xml:space="preserve">, </w:t>
      </w:r>
      <w:r w:rsidR="00D55A87">
        <w:rPr>
          <w:lang w:val="fr-FR"/>
        </w:rPr>
        <w:t xml:space="preserve">en se fondant sur le </w:t>
      </w:r>
      <w:r w:rsidR="00C80EBA" w:rsidRPr="00C80EBA">
        <w:rPr>
          <w:lang w:val="fr-FR"/>
        </w:rPr>
        <w:t xml:space="preserve">fonctionnement d'autres conventions, </w:t>
      </w:r>
      <w:r w:rsidR="00D55A87">
        <w:rPr>
          <w:lang w:val="fr-FR"/>
        </w:rPr>
        <w:t xml:space="preserve">à savoir </w:t>
      </w:r>
      <w:r w:rsidR="00C80EBA" w:rsidRPr="00C80EBA">
        <w:rPr>
          <w:lang w:val="fr-FR"/>
        </w:rPr>
        <w:t xml:space="preserve">: </w:t>
      </w:r>
      <w:r w:rsidR="00D55A87">
        <w:rPr>
          <w:lang w:val="fr-FR"/>
        </w:rPr>
        <w:t xml:space="preserve">organiser </w:t>
      </w:r>
      <w:r w:rsidR="00C80EBA" w:rsidRPr="00C80EBA">
        <w:rPr>
          <w:lang w:val="fr-FR"/>
        </w:rPr>
        <w:t xml:space="preserve">des réunions du Comité permanent </w:t>
      </w:r>
      <w:r w:rsidR="00D55A87">
        <w:rPr>
          <w:lang w:val="fr-FR"/>
        </w:rPr>
        <w:t>uniquement</w:t>
      </w:r>
      <w:r w:rsidR="00C80EBA" w:rsidRPr="00C80EBA">
        <w:rPr>
          <w:lang w:val="fr-FR"/>
        </w:rPr>
        <w:t xml:space="preserve"> </w:t>
      </w:r>
      <w:r w:rsidR="00D55A87">
        <w:rPr>
          <w:lang w:val="fr-FR"/>
        </w:rPr>
        <w:t xml:space="preserve">lors des </w:t>
      </w:r>
      <w:r w:rsidR="00C80EBA" w:rsidRPr="00C80EBA">
        <w:rPr>
          <w:lang w:val="fr-FR"/>
        </w:rPr>
        <w:t xml:space="preserve">années où la Conférence des Parties ne se réunit pas; et </w:t>
      </w:r>
      <w:r w:rsidR="00D55A87">
        <w:rPr>
          <w:lang w:val="fr-FR"/>
        </w:rPr>
        <w:t xml:space="preserve">organiser </w:t>
      </w:r>
      <w:r w:rsidR="00C80EBA" w:rsidRPr="00C80EBA">
        <w:rPr>
          <w:lang w:val="fr-FR"/>
        </w:rPr>
        <w:t xml:space="preserve">des réunions régionales immédiatement </w:t>
      </w:r>
      <w:r w:rsidR="00D55A87">
        <w:rPr>
          <w:lang w:val="fr-FR"/>
        </w:rPr>
        <w:t xml:space="preserve">juste </w:t>
      </w:r>
      <w:r w:rsidR="00C80EBA" w:rsidRPr="00C80EBA">
        <w:rPr>
          <w:lang w:val="fr-FR"/>
        </w:rPr>
        <w:t>avant la C</w:t>
      </w:r>
      <w:r w:rsidR="00D55A87">
        <w:rPr>
          <w:lang w:val="fr-FR"/>
        </w:rPr>
        <w:t>OP en</w:t>
      </w:r>
      <w:r w:rsidR="00C80EBA" w:rsidRPr="00C80EBA">
        <w:rPr>
          <w:lang w:val="fr-FR"/>
        </w:rPr>
        <w:t xml:space="preserve"> laiss</w:t>
      </w:r>
      <w:r w:rsidR="00D55A87">
        <w:rPr>
          <w:lang w:val="fr-FR"/>
        </w:rPr>
        <w:t xml:space="preserve">ant </w:t>
      </w:r>
      <w:r w:rsidR="00C918C4">
        <w:rPr>
          <w:lang w:val="fr-FR"/>
        </w:rPr>
        <w:t>la possibilité de tenir</w:t>
      </w:r>
      <w:r w:rsidR="00C80EBA" w:rsidRPr="00C80EBA">
        <w:rPr>
          <w:lang w:val="fr-FR"/>
        </w:rPr>
        <w:t xml:space="preserve"> d'autres réunions régiona</w:t>
      </w:r>
      <w:r w:rsidR="00C918C4">
        <w:rPr>
          <w:lang w:val="fr-FR"/>
        </w:rPr>
        <w:t>les, par exemple pour partager d</w:t>
      </w:r>
      <w:r w:rsidR="00C80EBA" w:rsidRPr="00C80EBA">
        <w:rPr>
          <w:lang w:val="fr-FR"/>
        </w:rPr>
        <w:t>es expérience</w:t>
      </w:r>
      <w:r w:rsidR="00C918C4">
        <w:rPr>
          <w:lang w:val="fr-FR"/>
        </w:rPr>
        <w:t>s</w:t>
      </w:r>
      <w:r w:rsidR="00C80EBA" w:rsidRPr="00C80EBA">
        <w:rPr>
          <w:lang w:val="fr-FR"/>
        </w:rPr>
        <w:t xml:space="preserve"> en matière de mise en œuvre, </w:t>
      </w:r>
      <w:r w:rsidR="00C918C4">
        <w:rPr>
          <w:lang w:val="fr-FR"/>
        </w:rPr>
        <w:t xml:space="preserve">organisées par les </w:t>
      </w:r>
      <w:r w:rsidR="00C80EBA" w:rsidRPr="00C80EBA">
        <w:rPr>
          <w:lang w:val="fr-FR"/>
        </w:rPr>
        <w:t xml:space="preserve">hôtes, </w:t>
      </w:r>
      <w:r w:rsidR="00C918C4">
        <w:rPr>
          <w:lang w:val="fr-FR"/>
        </w:rPr>
        <w:t xml:space="preserve">notamment </w:t>
      </w:r>
      <w:r w:rsidR="00C80EBA" w:rsidRPr="00C80EBA">
        <w:rPr>
          <w:lang w:val="fr-FR"/>
        </w:rPr>
        <w:t>dans le contexte des initiatives régionales. Le Secrétariat se félicite des travaux du G</w:t>
      </w:r>
      <w:r w:rsidR="00C918C4">
        <w:rPr>
          <w:lang w:val="fr-FR"/>
        </w:rPr>
        <w:t>TF</w:t>
      </w:r>
      <w:r w:rsidR="00C80EBA" w:rsidRPr="00C80EBA">
        <w:rPr>
          <w:lang w:val="fr-FR"/>
        </w:rPr>
        <w:t xml:space="preserve"> à cet égard et att</w:t>
      </w:r>
      <w:r w:rsidR="00103598">
        <w:rPr>
          <w:lang w:val="fr-FR"/>
        </w:rPr>
        <w:t>end avec intérêt l'examen par la</w:t>
      </w:r>
      <w:r w:rsidR="00527714">
        <w:rPr>
          <w:lang w:val="fr-FR"/>
        </w:rPr>
        <w:t xml:space="preserve"> </w:t>
      </w:r>
      <w:r w:rsidR="00C80EBA" w:rsidRPr="00C80EBA">
        <w:rPr>
          <w:lang w:val="fr-FR"/>
        </w:rPr>
        <w:t>54</w:t>
      </w:r>
      <w:r w:rsidR="00527714" w:rsidRPr="00527714">
        <w:rPr>
          <w:vertAlign w:val="superscript"/>
          <w:lang w:val="fr-FR"/>
        </w:rPr>
        <w:t>e</w:t>
      </w:r>
      <w:r w:rsidR="00527714">
        <w:rPr>
          <w:lang w:val="fr-FR"/>
        </w:rPr>
        <w:t xml:space="preserve"> </w:t>
      </w:r>
      <w:r w:rsidR="00527714" w:rsidRPr="00527714">
        <w:rPr>
          <w:lang w:val="fr-FR"/>
        </w:rPr>
        <w:t>Réunion du Comité permanen</w:t>
      </w:r>
      <w:r w:rsidR="00527714">
        <w:rPr>
          <w:lang w:val="fr-FR"/>
        </w:rPr>
        <w:t>t</w:t>
      </w:r>
      <w:r w:rsidR="00C80EBA" w:rsidRPr="00C80EBA">
        <w:rPr>
          <w:lang w:val="fr-FR"/>
        </w:rPr>
        <w:t xml:space="preserve"> des moyens de relever ces défis afin que la Convention </w:t>
      </w:r>
      <w:r w:rsidR="00103598">
        <w:rPr>
          <w:lang w:val="fr-FR"/>
        </w:rPr>
        <w:t xml:space="preserve">puisse opérer plus efficacement </w:t>
      </w:r>
      <w:r w:rsidR="00C80EBA" w:rsidRPr="00C80EBA">
        <w:rPr>
          <w:lang w:val="fr-FR"/>
        </w:rPr>
        <w:t xml:space="preserve">et </w:t>
      </w:r>
      <w:r w:rsidR="00103598">
        <w:rPr>
          <w:lang w:val="fr-FR"/>
        </w:rPr>
        <w:t xml:space="preserve">que le </w:t>
      </w:r>
      <w:r w:rsidR="00C80EBA" w:rsidRPr="00C80EBA">
        <w:rPr>
          <w:lang w:val="fr-FR"/>
        </w:rPr>
        <w:t xml:space="preserve">Secrétariat </w:t>
      </w:r>
      <w:r w:rsidR="00103598">
        <w:rPr>
          <w:lang w:val="fr-FR"/>
        </w:rPr>
        <w:t xml:space="preserve">puisse assumer </w:t>
      </w:r>
      <w:r w:rsidR="00C80EBA">
        <w:rPr>
          <w:lang w:val="fr-FR"/>
        </w:rPr>
        <w:t>cette fonction</w:t>
      </w:r>
      <w:r w:rsidR="00103598">
        <w:rPr>
          <w:lang w:val="fr-FR"/>
        </w:rPr>
        <w:t xml:space="preserve"> de manière </w:t>
      </w:r>
      <w:r w:rsidR="00A972E1">
        <w:rPr>
          <w:lang w:val="fr-FR"/>
        </w:rPr>
        <w:t>performante</w:t>
      </w:r>
      <w:r w:rsidR="00296B78" w:rsidRPr="00FB4519">
        <w:rPr>
          <w:lang w:val="fr-FR"/>
        </w:rPr>
        <w:t>.</w:t>
      </w:r>
    </w:p>
    <w:p w14:paraId="1D54E55B" w14:textId="77777777" w:rsidR="001A0BC7" w:rsidRPr="00FB4519" w:rsidRDefault="001A0BC7" w:rsidP="00570F86">
      <w:pPr>
        <w:rPr>
          <w:rFonts w:cs="Arial"/>
          <w:lang w:val="fr-FR"/>
        </w:rPr>
      </w:pPr>
    </w:p>
    <w:p w14:paraId="6F098397" w14:textId="1C837C9D" w:rsidR="001D3E01" w:rsidRPr="002208CB" w:rsidRDefault="00FC1504" w:rsidP="002208CB">
      <w:pPr>
        <w:spacing w:before="100" w:beforeAutospacing="1" w:after="100" w:afterAutospacing="1"/>
        <w:ind w:left="0" w:firstLine="0"/>
        <w:rPr>
          <w:rFonts w:ascii="Times New Roman" w:hAnsi="Times New Roman" w:cs="Times New Roman"/>
          <w:sz w:val="24"/>
          <w:szCs w:val="24"/>
          <w:lang w:val="fr-FR"/>
        </w:rPr>
      </w:pPr>
      <w:r>
        <w:rPr>
          <w:rFonts w:ascii="Calibri" w:hAnsi="Calibri" w:cs="Times New Roman"/>
          <w:b/>
          <w:bCs/>
          <w:lang w:val="fr-FR"/>
        </w:rPr>
        <w:t>Amé</w:t>
      </w:r>
      <w:r w:rsidR="002208CB" w:rsidRPr="002208CB">
        <w:rPr>
          <w:rFonts w:ascii="Calibri" w:hAnsi="Calibri" w:cs="Times New Roman"/>
          <w:b/>
          <w:bCs/>
          <w:lang w:val="fr-FR"/>
        </w:rPr>
        <w:t xml:space="preserve">liorer la pertinence des zones humides et de la Convention pour les objectifs de la politique mondiale </w:t>
      </w:r>
      <w:r>
        <w:rPr>
          <w:rFonts w:ascii="Calibri" w:hAnsi="Calibri" w:cs="Times New Roman"/>
          <w:b/>
          <w:bCs/>
          <w:lang w:val="fr-FR"/>
        </w:rPr>
        <w:t>de dé</w:t>
      </w:r>
      <w:r w:rsidR="002208CB" w:rsidRPr="002208CB">
        <w:rPr>
          <w:rFonts w:ascii="Calibri" w:hAnsi="Calibri" w:cs="Times New Roman"/>
          <w:b/>
          <w:bCs/>
          <w:lang w:val="fr-FR"/>
        </w:rPr>
        <w:t xml:space="preserve">veloppement durable </w:t>
      </w:r>
    </w:p>
    <w:p w14:paraId="5B0A2CAB" w14:textId="08B29D7E" w:rsidR="00626FDB" w:rsidRPr="00FB4519" w:rsidRDefault="00127E63" w:rsidP="00044FD3">
      <w:pPr>
        <w:rPr>
          <w:lang w:val="fr-FR"/>
        </w:rPr>
      </w:pPr>
      <w:r w:rsidRPr="00FB4519">
        <w:rPr>
          <w:lang w:val="fr-FR"/>
        </w:rPr>
        <w:t>14</w:t>
      </w:r>
      <w:r w:rsidR="004E7E51" w:rsidRPr="00FB4519">
        <w:rPr>
          <w:lang w:val="fr-FR"/>
        </w:rPr>
        <w:t>.</w:t>
      </w:r>
      <w:r w:rsidR="004E7E51" w:rsidRPr="00FB4519">
        <w:rPr>
          <w:lang w:val="fr-FR"/>
        </w:rPr>
        <w:tab/>
      </w:r>
      <w:r w:rsidR="004032EF">
        <w:rPr>
          <w:lang w:val="fr-FR"/>
        </w:rPr>
        <w:t>Des efforts sont aussi déployé</w:t>
      </w:r>
      <w:r w:rsidR="00D9421E" w:rsidRPr="00D9421E">
        <w:rPr>
          <w:lang w:val="fr-FR"/>
        </w:rPr>
        <w:t xml:space="preserve">s pour renforcer les travaux du Secrétariat en appui à la coopération internationale et pour consolider la place des zones humides et de la Convention dans le programme politique mondial. Les capacités </w:t>
      </w:r>
      <w:r w:rsidR="00D9421E">
        <w:rPr>
          <w:lang w:val="fr-FR"/>
        </w:rPr>
        <w:t xml:space="preserve">du Secrétariat à cet égard </w:t>
      </w:r>
      <w:r w:rsidR="00D9421E" w:rsidRPr="00D9421E">
        <w:rPr>
          <w:lang w:val="fr-FR"/>
        </w:rPr>
        <w:t xml:space="preserve">ont </w:t>
      </w:r>
      <w:r w:rsidR="00D9421E">
        <w:rPr>
          <w:lang w:val="fr-FR"/>
        </w:rPr>
        <w:t xml:space="preserve">été </w:t>
      </w:r>
      <w:r w:rsidR="00D9421E" w:rsidRPr="00D9421E">
        <w:rPr>
          <w:lang w:val="fr-FR"/>
        </w:rPr>
        <w:t xml:space="preserve">renforcées avec le recrutement d’un Chef, Science et politique. Le Programme pour le développement durable à l’horizon 2030 et l’Accord de Paris sur les changements climatiques signés en 2015 inspirent les efforts de planification et de financement déployés aux plans national et international : il importe, en conséquence de tout faire pour s’assurer que les zones humides et les travaux des Parties contractantes dans le contexte de la Convention contribuent à ces cadres politiques. À cet effet, le Secrétariat </w:t>
      </w:r>
      <w:r w:rsidR="009376BC">
        <w:rPr>
          <w:lang w:val="fr-FR"/>
        </w:rPr>
        <w:t>a maintenu ses engagements envers la réalisation</w:t>
      </w:r>
      <w:r w:rsidR="00E61469">
        <w:rPr>
          <w:lang w:val="fr-FR"/>
        </w:rPr>
        <w:t xml:space="preserve"> </w:t>
      </w:r>
      <w:r w:rsidR="009376BC">
        <w:rPr>
          <w:lang w:val="fr-FR"/>
        </w:rPr>
        <w:t>d</w:t>
      </w:r>
      <w:r w:rsidR="00D9421E" w:rsidRPr="00D9421E">
        <w:rPr>
          <w:lang w:val="fr-FR"/>
        </w:rPr>
        <w:t xml:space="preserve">es Objectifs de développement durable (ODD), </w:t>
      </w:r>
      <w:r w:rsidR="009376BC">
        <w:rPr>
          <w:lang w:val="fr-FR"/>
        </w:rPr>
        <w:t xml:space="preserve">notamment </w:t>
      </w:r>
      <w:r w:rsidR="00E61469">
        <w:rPr>
          <w:lang w:val="fr-FR"/>
        </w:rPr>
        <w:t xml:space="preserve">l’indicateur 6.6.1, </w:t>
      </w:r>
      <w:r w:rsidR="007F6FD4">
        <w:rPr>
          <w:lang w:val="fr-FR"/>
        </w:rPr>
        <w:t>(</w:t>
      </w:r>
      <w:r w:rsidR="00E61469">
        <w:rPr>
          <w:lang w:val="fr-FR"/>
        </w:rPr>
        <w:t>relatif</w:t>
      </w:r>
      <w:r w:rsidR="00924999">
        <w:rPr>
          <w:lang w:val="fr-FR"/>
        </w:rPr>
        <w:t xml:space="preserve"> à la variation de l’étendue des écosystèmes</w:t>
      </w:r>
      <w:r w:rsidR="00C26CCF">
        <w:rPr>
          <w:lang w:val="fr-FR"/>
        </w:rPr>
        <w:t xml:space="preserve"> tributaires de l’eau</w:t>
      </w:r>
      <w:r w:rsidR="00924999">
        <w:rPr>
          <w:lang w:val="fr-FR"/>
        </w:rPr>
        <w:t>)</w:t>
      </w:r>
      <w:r w:rsidR="00C26CCF">
        <w:rPr>
          <w:lang w:val="fr-FR"/>
        </w:rPr>
        <w:t>, comme demandé dans la Décision SC53-17</w:t>
      </w:r>
      <w:r w:rsidR="00DD1EB2">
        <w:rPr>
          <w:lang w:val="fr-FR"/>
        </w:rPr>
        <w:t xml:space="preserve">. </w:t>
      </w:r>
      <w:r w:rsidR="00FE2B52" w:rsidRPr="00FE2B52">
        <w:rPr>
          <w:lang w:val="fr-FR"/>
        </w:rPr>
        <w:t xml:space="preserve">Il a participé à la 6e réunion du </w:t>
      </w:r>
      <w:r w:rsidR="00BB656A" w:rsidRPr="00BB656A">
        <w:rPr>
          <w:lang w:val="fr-FR"/>
        </w:rPr>
        <w:t>Groupe d’experts interagences sur les indicateurs des Objectifs de développement durable</w:t>
      </w:r>
      <w:r w:rsidR="006B315D">
        <w:rPr>
          <w:lang w:val="fr-FR"/>
        </w:rPr>
        <w:t xml:space="preserve"> (IAEG</w:t>
      </w:r>
      <w:r w:rsidR="00FE2B52" w:rsidRPr="00FE2B52">
        <w:rPr>
          <w:lang w:val="fr-FR"/>
        </w:rPr>
        <w:t xml:space="preserve">-ODD) à Manama, Bahreïn (11-14 novembre 2017) et a </w:t>
      </w:r>
      <w:r w:rsidR="00FE2B52">
        <w:rPr>
          <w:lang w:val="fr-FR"/>
        </w:rPr>
        <w:t xml:space="preserve">maintenu </w:t>
      </w:r>
      <w:r w:rsidR="00FE2B52" w:rsidRPr="00FE2B52">
        <w:rPr>
          <w:lang w:val="fr-FR"/>
        </w:rPr>
        <w:t xml:space="preserve">son engagement dans les travaux de l'équipe cible sur l'indicateur 6.6.1, dirigée par </w:t>
      </w:r>
      <w:r w:rsidR="000B4ECC">
        <w:rPr>
          <w:lang w:val="fr-FR"/>
        </w:rPr>
        <w:t xml:space="preserve">l’ONU </w:t>
      </w:r>
      <w:r w:rsidR="00FE2B52" w:rsidRPr="00FE2B52">
        <w:rPr>
          <w:lang w:val="fr-FR"/>
        </w:rPr>
        <w:t>Environ</w:t>
      </w:r>
      <w:r w:rsidR="000B4ECC">
        <w:rPr>
          <w:lang w:val="fr-FR"/>
        </w:rPr>
        <w:t>ne</w:t>
      </w:r>
      <w:r w:rsidR="00FE2B52" w:rsidRPr="00FE2B52">
        <w:rPr>
          <w:lang w:val="fr-FR"/>
        </w:rPr>
        <w:t xml:space="preserve">ment. Le Secrétariat a également participé à l'atelier </w:t>
      </w:r>
      <w:r w:rsidR="00F77E64">
        <w:rPr>
          <w:lang w:val="fr-FR"/>
        </w:rPr>
        <w:t>mondial pour le suivi intégré de l’ODD</w:t>
      </w:r>
      <w:r w:rsidR="00FE2B52" w:rsidRPr="00FE2B52">
        <w:rPr>
          <w:lang w:val="fr-FR"/>
        </w:rPr>
        <w:t xml:space="preserve"> 6 sur l'eau et l'assainissement, organisé par le </w:t>
      </w:r>
      <w:r w:rsidR="00291A79">
        <w:rPr>
          <w:lang w:val="fr-FR"/>
        </w:rPr>
        <w:lastRenderedPageBreak/>
        <w:t xml:space="preserve">Comité </w:t>
      </w:r>
      <w:r w:rsidR="00333E71">
        <w:rPr>
          <w:lang w:val="fr-FR"/>
        </w:rPr>
        <w:t>c</w:t>
      </w:r>
      <w:r w:rsidR="00FE2B52" w:rsidRPr="00FE2B52">
        <w:rPr>
          <w:lang w:val="fr-FR"/>
        </w:rPr>
        <w:t xml:space="preserve">onsultatif technique ONU-Eau et huit organismes des Nations Unies à La Haye (Pays-Bas) (21-23 novembre 2017). L'objectif </w:t>
      </w:r>
      <w:r w:rsidR="00144A6A">
        <w:rPr>
          <w:lang w:val="fr-FR"/>
        </w:rPr>
        <w:t xml:space="preserve">était </w:t>
      </w:r>
      <w:r w:rsidR="00FE2B52" w:rsidRPr="00FE2B52">
        <w:rPr>
          <w:lang w:val="fr-FR"/>
        </w:rPr>
        <w:t xml:space="preserve">de </w:t>
      </w:r>
      <w:r w:rsidR="00E06E49">
        <w:rPr>
          <w:lang w:val="fr-FR"/>
        </w:rPr>
        <w:t xml:space="preserve">veiller à ce </w:t>
      </w:r>
      <w:r w:rsidR="00FE2B52" w:rsidRPr="00FE2B52">
        <w:rPr>
          <w:lang w:val="fr-FR"/>
        </w:rPr>
        <w:t>que le processus de suivi de la réalisation des O</w:t>
      </w:r>
      <w:r w:rsidR="00E06E49">
        <w:rPr>
          <w:lang w:val="fr-FR"/>
        </w:rPr>
        <w:t>DD</w:t>
      </w:r>
      <w:r w:rsidR="00FE2B52" w:rsidRPr="00FE2B52">
        <w:rPr>
          <w:lang w:val="fr-FR"/>
        </w:rPr>
        <w:t xml:space="preserve">, en particulier en ce qui concerne les </w:t>
      </w:r>
      <w:r w:rsidR="00E06E49">
        <w:rPr>
          <w:lang w:val="fr-FR"/>
        </w:rPr>
        <w:t>écosystèmes liés à l'eau, tien</w:t>
      </w:r>
      <w:r w:rsidR="006B315D">
        <w:rPr>
          <w:lang w:val="fr-FR"/>
        </w:rPr>
        <w:t>ne</w:t>
      </w:r>
      <w:r w:rsidR="00FE2B52" w:rsidRPr="00FE2B52">
        <w:rPr>
          <w:lang w:val="fr-FR"/>
        </w:rPr>
        <w:t xml:space="preserve"> compte de l'engage</w:t>
      </w:r>
      <w:r w:rsidR="00044FD3">
        <w:rPr>
          <w:lang w:val="fr-FR"/>
        </w:rPr>
        <w:t>ment des Parties contractantes de</w:t>
      </w:r>
      <w:r w:rsidR="00FE2B52" w:rsidRPr="00FE2B52">
        <w:rPr>
          <w:lang w:val="fr-FR"/>
        </w:rPr>
        <w:t xml:space="preserve"> </w:t>
      </w:r>
      <w:r w:rsidR="00E06E49">
        <w:rPr>
          <w:lang w:val="fr-FR"/>
        </w:rPr>
        <w:t xml:space="preserve">faire rapport sur </w:t>
      </w:r>
      <w:r w:rsidR="00FE2B52" w:rsidRPr="00FE2B52">
        <w:rPr>
          <w:lang w:val="fr-FR"/>
        </w:rPr>
        <w:t xml:space="preserve">l'étendue des zones humides. </w:t>
      </w:r>
      <w:r w:rsidR="006B315D">
        <w:rPr>
          <w:lang w:val="fr-FR"/>
        </w:rPr>
        <w:t xml:space="preserve">Il convient de noter </w:t>
      </w:r>
      <w:r w:rsidR="00FE2B52" w:rsidRPr="00FE2B52">
        <w:rPr>
          <w:lang w:val="fr-FR"/>
        </w:rPr>
        <w:t>que, en raison de ce travail, l</w:t>
      </w:r>
      <w:r w:rsidR="006B315D">
        <w:rPr>
          <w:lang w:val="fr-FR"/>
        </w:rPr>
        <w:t>'IAEG-ODD</w:t>
      </w:r>
      <w:r w:rsidR="00FE2B52" w:rsidRPr="00FE2B52">
        <w:rPr>
          <w:lang w:val="fr-FR"/>
        </w:rPr>
        <w:t xml:space="preserve"> a déc</w:t>
      </w:r>
      <w:r w:rsidR="006B315D">
        <w:rPr>
          <w:lang w:val="fr-FR"/>
        </w:rPr>
        <w:t>idé, lors d'une réunion WebEx le</w:t>
      </w:r>
      <w:r w:rsidR="00FE2B52" w:rsidRPr="00FE2B52">
        <w:rPr>
          <w:lang w:val="fr-FR"/>
        </w:rPr>
        <w:t xml:space="preserve"> 28 novembre 2017, que la Convention de Ramsar </w:t>
      </w:r>
      <w:r w:rsidR="006B315D">
        <w:rPr>
          <w:lang w:val="fr-FR"/>
        </w:rPr>
        <w:t xml:space="preserve">devait </w:t>
      </w:r>
      <w:r w:rsidR="00FE2B52" w:rsidRPr="00FE2B52">
        <w:rPr>
          <w:lang w:val="fr-FR"/>
        </w:rPr>
        <w:t>dev</w:t>
      </w:r>
      <w:r w:rsidR="006B315D">
        <w:rPr>
          <w:lang w:val="fr-FR"/>
        </w:rPr>
        <w:t xml:space="preserve">enir </w:t>
      </w:r>
      <w:r w:rsidR="00FE2B52" w:rsidRPr="00FE2B52">
        <w:rPr>
          <w:lang w:val="fr-FR"/>
        </w:rPr>
        <w:t>un co</w:t>
      </w:r>
      <w:r w:rsidR="006B315D">
        <w:rPr>
          <w:lang w:val="fr-FR"/>
        </w:rPr>
        <w:t>responsable pour</w:t>
      </w:r>
      <w:r w:rsidR="00FE2B52" w:rsidRPr="00FE2B52">
        <w:rPr>
          <w:lang w:val="fr-FR"/>
        </w:rPr>
        <w:t xml:space="preserve"> cet indicateur et a demandé a</w:t>
      </w:r>
      <w:r w:rsidR="000B4ECC">
        <w:rPr>
          <w:lang w:val="fr-FR"/>
        </w:rPr>
        <w:t xml:space="preserve">u Secrétariat Ramsar et à l'ONU </w:t>
      </w:r>
      <w:r w:rsidR="00FE2B52" w:rsidRPr="00FE2B52">
        <w:rPr>
          <w:lang w:val="fr-FR"/>
        </w:rPr>
        <w:t>Environnement de travailler conjointement sur l'examen de la méthodologie de l'indicateur qui sera présenté à sa réunion de mars 2018.</w:t>
      </w:r>
    </w:p>
    <w:p w14:paraId="30607CDB" w14:textId="77777777" w:rsidR="00626FDB" w:rsidRPr="00FB4519" w:rsidRDefault="00626FDB" w:rsidP="00570F86">
      <w:pPr>
        <w:rPr>
          <w:rFonts w:cs="Arial"/>
          <w:lang w:val="fr-FR"/>
        </w:rPr>
      </w:pPr>
    </w:p>
    <w:p w14:paraId="00A2A425" w14:textId="7BFD8353" w:rsidR="001D3733" w:rsidRPr="00FB4519" w:rsidRDefault="00724F0A" w:rsidP="00570F86">
      <w:pPr>
        <w:rPr>
          <w:rFonts w:cs="Arial"/>
          <w:lang w:val="fr-FR"/>
        </w:rPr>
      </w:pPr>
      <w:r w:rsidRPr="00FB4519">
        <w:rPr>
          <w:rFonts w:cstheme="minorHAnsi"/>
          <w:lang w:val="fr-FR"/>
        </w:rPr>
        <w:t>15.</w:t>
      </w:r>
      <w:r w:rsidRPr="00FB4519">
        <w:rPr>
          <w:rFonts w:cstheme="minorHAnsi"/>
          <w:lang w:val="fr-FR"/>
        </w:rPr>
        <w:tab/>
      </w:r>
      <w:r w:rsidR="00FC1504">
        <w:rPr>
          <w:rFonts w:cstheme="minorHAnsi"/>
          <w:lang w:val="fr-FR"/>
        </w:rPr>
        <w:t>Le</w:t>
      </w:r>
      <w:r w:rsidR="00B83440" w:rsidRPr="00B83440">
        <w:rPr>
          <w:rFonts w:cstheme="minorHAnsi"/>
          <w:lang w:val="fr-FR"/>
        </w:rPr>
        <w:t xml:space="preserve"> Secrétariat s'est également employé activement à soutenir la réalisation de l'</w:t>
      </w:r>
      <w:r w:rsidR="00FC1504">
        <w:rPr>
          <w:rFonts w:cstheme="minorHAnsi"/>
          <w:lang w:val="fr-FR"/>
        </w:rPr>
        <w:t>ODD</w:t>
      </w:r>
      <w:r w:rsidR="00B83440" w:rsidRPr="00B83440">
        <w:rPr>
          <w:rFonts w:cstheme="minorHAnsi"/>
          <w:lang w:val="fr-FR"/>
        </w:rPr>
        <w:t xml:space="preserve"> 14 (</w:t>
      </w:r>
      <w:r w:rsidR="00924B31" w:rsidRPr="00924B31">
        <w:rPr>
          <w:rFonts w:cstheme="minorHAnsi"/>
          <w:lang w:val="fr-FR"/>
        </w:rPr>
        <w:t>C</w:t>
      </w:r>
      <w:r w:rsidR="00924B31" w:rsidRPr="00924B31">
        <w:rPr>
          <w:rFonts w:cstheme="minorHAnsi"/>
          <w:i/>
          <w:lang w:val="fr-FR"/>
        </w:rPr>
        <w:t>onserver et exploiter de manière durable les océans, les mers et les ressources marines aux fins du développement durable</w:t>
      </w:r>
      <w:r w:rsidR="00B83440" w:rsidRPr="00B83440">
        <w:rPr>
          <w:rFonts w:cstheme="minorHAnsi"/>
          <w:lang w:val="fr-FR"/>
        </w:rPr>
        <w:t>). Le Secrétariat a participé à la première Conférence des Nations Unies sur l'océan (New York, 5-9 juin 2017),</w:t>
      </w:r>
      <w:r w:rsidR="004C535A">
        <w:rPr>
          <w:rFonts w:cstheme="minorHAnsi"/>
          <w:lang w:val="fr-FR"/>
        </w:rPr>
        <w:t xml:space="preserve"> au cours de laquelle la</w:t>
      </w:r>
      <w:r w:rsidR="00B83440" w:rsidRPr="00B83440">
        <w:rPr>
          <w:rFonts w:cstheme="minorHAnsi"/>
          <w:lang w:val="fr-FR"/>
        </w:rPr>
        <w:t xml:space="preserve"> Secrétaire général</w:t>
      </w:r>
      <w:r w:rsidR="004C535A">
        <w:rPr>
          <w:rFonts w:cstheme="minorHAnsi"/>
          <w:lang w:val="fr-FR"/>
        </w:rPr>
        <w:t>e</w:t>
      </w:r>
      <w:r w:rsidR="00B83440" w:rsidRPr="00B83440">
        <w:rPr>
          <w:rFonts w:cstheme="minorHAnsi"/>
          <w:lang w:val="fr-FR"/>
        </w:rPr>
        <w:t xml:space="preserve"> a modéré le Dialogue de partenariat sur les écosystèmes côtiers et marins, et a participé en tant que panéliste à deux événements parallèles, </w:t>
      </w:r>
      <w:r w:rsidR="008A22D3">
        <w:rPr>
          <w:rFonts w:cstheme="minorHAnsi"/>
          <w:lang w:val="fr-FR"/>
        </w:rPr>
        <w:t xml:space="preserve">ainsi qu’à </w:t>
      </w:r>
      <w:r w:rsidR="00B83440" w:rsidRPr="00B83440">
        <w:rPr>
          <w:rFonts w:cstheme="minorHAnsi"/>
          <w:lang w:val="fr-FR"/>
        </w:rPr>
        <w:t>une conférence de presse sur le Dialogue de partenariat, et a fait une déclaration à la plénière de la Conférence sur l'océan dans la salle de l'Assemblée générale des Nations Unies, soulignant le rôle important de la Convention dans la réalisation du docume</w:t>
      </w:r>
      <w:r w:rsidR="008A22D3">
        <w:rPr>
          <w:rFonts w:cstheme="minorHAnsi"/>
          <w:lang w:val="fr-FR"/>
        </w:rPr>
        <w:t>nt SDG 14. En guise de suivi, la</w:t>
      </w:r>
      <w:r w:rsidR="00B83440" w:rsidRPr="00B83440">
        <w:rPr>
          <w:rFonts w:cstheme="minorHAnsi"/>
          <w:lang w:val="fr-FR"/>
        </w:rPr>
        <w:t xml:space="preserve"> Secrétaire général</w:t>
      </w:r>
      <w:r w:rsidR="008A22D3">
        <w:rPr>
          <w:rFonts w:cstheme="minorHAnsi"/>
          <w:lang w:val="fr-FR"/>
        </w:rPr>
        <w:t>e</w:t>
      </w:r>
      <w:r w:rsidR="00B83440" w:rsidRPr="00B83440">
        <w:rPr>
          <w:rFonts w:cstheme="minorHAnsi"/>
          <w:lang w:val="fr-FR"/>
        </w:rPr>
        <w:t xml:space="preserve"> a été invité</w:t>
      </w:r>
      <w:r w:rsidR="008A22D3">
        <w:rPr>
          <w:rFonts w:cstheme="minorHAnsi"/>
          <w:lang w:val="fr-FR"/>
        </w:rPr>
        <w:t>e</w:t>
      </w:r>
      <w:r w:rsidR="00B83440" w:rsidRPr="00B83440">
        <w:rPr>
          <w:rFonts w:cstheme="minorHAnsi"/>
          <w:lang w:val="fr-FR"/>
        </w:rPr>
        <w:t xml:space="preserve"> à</w:t>
      </w:r>
      <w:r w:rsidR="008A22D3">
        <w:rPr>
          <w:rFonts w:cstheme="minorHAnsi"/>
          <w:lang w:val="fr-FR"/>
        </w:rPr>
        <w:t xml:space="preserve"> servir de point focal pour la « </w:t>
      </w:r>
      <w:r w:rsidR="00B83440" w:rsidRPr="00B83440">
        <w:rPr>
          <w:rFonts w:cstheme="minorHAnsi"/>
          <w:lang w:val="fr-FR"/>
        </w:rPr>
        <w:t>Communauté d'act</w:t>
      </w:r>
      <w:r w:rsidR="008A22D3">
        <w:rPr>
          <w:rFonts w:cstheme="minorHAnsi"/>
          <w:lang w:val="fr-FR"/>
        </w:rPr>
        <w:t>ion océanique sur les mangroves »</w:t>
      </w:r>
      <w:r w:rsidR="00B83440" w:rsidRPr="00B83440">
        <w:rPr>
          <w:rFonts w:cstheme="minorHAnsi"/>
          <w:lang w:val="fr-FR"/>
        </w:rPr>
        <w:t>, qui est l'une des n</w:t>
      </w:r>
      <w:r w:rsidR="008A22D3">
        <w:rPr>
          <w:rFonts w:cstheme="minorHAnsi"/>
          <w:lang w:val="fr-FR"/>
        </w:rPr>
        <w:t>euf communautés établies par l'E</w:t>
      </w:r>
      <w:r w:rsidR="00B83440" w:rsidRPr="00B83440">
        <w:rPr>
          <w:rFonts w:cstheme="minorHAnsi"/>
          <w:lang w:val="fr-FR"/>
        </w:rPr>
        <w:t xml:space="preserve">nvoyé spécial du Secrétaire général des Nations Unies pour les océans, l'Ambassadeur Thomson. La Communauté </w:t>
      </w:r>
      <w:r w:rsidR="00064E65">
        <w:rPr>
          <w:rFonts w:cstheme="minorHAnsi"/>
          <w:lang w:val="fr-FR"/>
        </w:rPr>
        <w:t xml:space="preserve">rappellera </w:t>
      </w:r>
      <w:r w:rsidR="00B83440" w:rsidRPr="00B83440">
        <w:rPr>
          <w:rFonts w:cstheme="minorHAnsi"/>
          <w:lang w:val="fr-FR"/>
        </w:rPr>
        <w:t>et étendra la mise en œuvre de plus de 1 300 engagements pris à la Conférence sur les océans, notamment dans le cadre de la Convention de Ramsar sur les zones humides.</w:t>
      </w:r>
    </w:p>
    <w:p w14:paraId="7A7FD6F6" w14:textId="77777777" w:rsidR="001D3733" w:rsidRPr="00FB4519" w:rsidRDefault="001D3733" w:rsidP="00570F86">
      <w:pPr>
        <w:rPr>
          <w:rFonts w:cs="Arial"/>
          <w:lang w:val="fr-FR"/>
        </w:rPr>
      </w:pPr>
    </w:p>
    <w:p w14:paraId="15668C10" w14:textId="210B0250" w:rsidR="00E4717E" w:rsidRPr="00B14636" w:rsidRDefault="00724F0A" w:rsidP="00570F86">
      <w:pPr>
        <w:rPr>
          <w:rFonts w:cs="Arial"/>
          <w:lang w:val="fr-FR"/>
        </w:rPr>
      </w:pPr>
      <w:r w:rsidRPr="00B14636">
        <w:rPr>
          <w:rFonts w:cs="Arial"/>
          <w:lang w:val="fr-FR"/>
        </w:rPr>
        <w:t>16.</w:t>
      </w:r>
      <w:r w:rsidRPr="00B14636">
        <w:rPr>
          <w:rFonts w:cs="Arial"/>
          <w:lang w:val="fr-FR"/>
        </w:rPr>
        <w:tab/>
      </w:r>
      <w:r w:rsidR="00B14636" w:rsidRPr="00B14636">
        <w:rPr>
          <w:rFonts w:cs="Arial"/>
          <w:lang w:val="fr-FR"/>
        </w:rPr>
        <w:t>Le Secrétariat a également sout</w:t>
      </w:r>
      <w:r w:rsidR="00B14636">
        <w:rPr>
          <w:rFonts w:cs="Arial"/>
          <w:lang w:val="fr-FR"/>
        </w:rPr>
        <w:t>enu activement l'ODD</w:t>
      </w:r>
      <w:r w:rsidR="00B14636" w:rsidRPr="00B14636">
        <w:rPr>
          <w:rFonts w:cs="Arial"/>
          <w:lang w:val="fr-FR"/>
        </w:rPr>
        <w:t xml:space="preserve"> 15 (</w:t>
      </w:r>
      <w:r w:rsidR="00B64062" w:rsidRPr="00B64062">
        <w:rPr>
          <w:rFonts w:cs="Arial"/>
          <w:i/>
          <w:lang w:val="fr-FR"/>
        </w:rPr>
        <w:t>Gérer durablement les forêts, lutter contre la désertification, enrayer et inverser le processus de dégradation des sols et mettre fin à l’appauvrissement de la biodiversité</w:t>
      </w:r>
      <w:r w:rsidR="00B14636" w:rsidRPr="00B14636">
        <w:rPr>
          <w:rFonts w:cs="Arial"/>
          <w:lang w:val="fr-FR"/>
        </w:rPr>
        <w:t>). Le Secrétariat Ramsar a continué de renforcer sa collaboration avec la Convention sur la diversité b</w:t>
      </w:r>
      <w:r w:rsidR="00B64062">
        <w:rPr>
          <w:rFonts w:cs="Arial"/>
          <w:lang w:val="fr-FR"/>
        </w:rPr>
        <w:t>iologique (CDB) en identifiant d</w:t>
      </w:r>
      <w:r w:rsidR="00B14636" w:rsidRPr="00B14636">
        <w:rPr>
          <w:rFonts w:cs="Arial"/>
          <w:lang w:val="fr-FR"/>
        </w:rPr>
        <w:t>es domaines stratégiques de travail conjoint et en apportant des contributions à différents processus, tels que le suivi du Plan stratégique pour la diversité</w:t>
      </w:r>
      <w:r w:rsidR="00B64062">
        <w:rPr>
          <w:rFonts w:cs="Arial"/>
          <w:lang w:val="fr-FR"/>
        </w:rPr>
        <w:t xml:space="preserve"> biologique</w:t>
      </w:r>
      <w:r w:rsidR="00B14636" w:rsidRPr="00B14636">
        <w:rPr>
          <w:rFonts w:cs="Arial"/>
          <w:lang w:val="fr-FR"/>
        </w:rPr>
        <w:t xml:space="preserve"> 2011-2020. Le Secrétariat collabore également avec le PNUE-WCMC pour s'assurer que les sites Ramsar sont inclus dans la Base de données mondiale des aires protégées, qui fournit les informations pour l'indicateur </w:t>
      </w:r>
      <w:r w:rsidR="00746421">
        <w:rPr>
          <w:rFonts w:cs="Arial"/>
          <w:lang w:val="fr-FR"/>
        </w:rPr>
        <w:t>15.1.2 de l’</w:t>
      </w:r>
      <w:r w:rsidR="00C553BA">
        <w:rPr>
          <w:rFonts w:cs="Arial"/>
          <w:lang w:val="fr-FR"/>
        </w:rPr>
        <w:t>ODD</w:t>
      </w:r>
      <w:r w:rsidR="00B14636" w:rsidRPr="00B14636">
        <w:rPr>
          <w:rFonts w:cs="Arial"/>
          <w:lang w:val="fr-FR"/>
        </w:rPr>
        <w:t xml:space="preserve"> 15.</w:t>
      </w:r>
      <w:r w:rsidR="207F27EF" w:rsidRPr="00B14636">
        <w:rPr>
          <w:rFonts w:cs="Arial"/>
          <w:lang w:val="fr-FR"/>
        </w:rPr>
        <w:t xml:space="preserve"> </w:t>
      </w:r>
    </w:p>
    <w:p w14:paraId="1A180806" w14:textId="77777777" w:rsidR="00E4717E" w:rsidRPr="00B14636" w:rsidRDefault="00E4717E" w:rsidP="00570F86">
      <w:pPr>
        <w:rPr>
          <w:rFonts w:cs="Arial"/>
          <w:lang w:val="fr-FR"/>
        </w:rPr>
      </w:pPr>
    </w:p>
    <w:p w14:paraId="26F8893A" w14:textId="67E79193" w:rsidR="00E4717E" w:rsidRPr="00C01FCB" w:rsidRDefault="00CB2375" w:rsidP="00570F86">
      <w:pPr>
        <w:rPr>
          <w:rFonts w:cs="Arial"/>
          <w:lang w:val="fr-FR"/>
        </w:rPr>
      </w:pPr>
      <w:r w:rsidRPr="00C01FCB">
        <w:rPr>
          <w:rFonts w:cs="Arial"/>
          <w:lang w:val="fr-FR"/>
        </w:rPr>
        <w:t>17.</w:t>
      </w:r>
      <w:r w:rsidRPr="00C01FCB">
        <w:rPr>
          <w:rFonts w:cs="Arial"/>
          <w:lang w:val="fr-FR"/>
        </w:rPr>
        <w:tab/>
      </w:r>
      <w:r w:rsidR="00C01FCB" w:rsidRPr="00C01FCB">
        <w:rPr>
          <w:rFonts w:cs="Arial"/>
          <w:lang w:val="fr-FR"/>
        </w:rPr>
        <w:t xml:space="preserve">Le Secrétariat a continué à participer activement aux travaux du Groupe de liaison sur la biodiversité (GLB), en particulier </w:t>
      </w:r>
      <w:r w:rsidR="000E6540">
        <w:rPr>
          <w:rFonts w:cs="Arial"/>
          <w:lang w:val="fr-FR"/>
        </w:rPr>
        <w:t>grâce à la participation de la</w:t>
      </w:r>
      <w:r w:rsidR="00C01FCB" w:rsidRPr="00C01FCB">
        <w:rPr>
          <w:rFonts w:cs="Arial"/>
          <w:lang w:val="fr-FR"/>
        </w:rPr>
        <w:t xml:space="preserve"> Secrétaire général</w:t>
      </w:r>
      <w:r w:rsidR="000E6540">
        <w:rPr>
          <w:rFonts w:cs="Arial"/>
          <w:lang w:val="fr-FR"/>
        </w:rPr>
        <w:t>e</w:t>
      </w:r>
      <w:r w:rsidR="00C01FCB" w:rsidRPr="00C01FCB">
        <w:rPr>
          <w:rFonts w:cs="Arial"/>
          <w:lang w:val="fr-FR"/>
        </w:rPr>
        <w:t xml:space="preserve"> à la 12e réunion ordinaire du G</w:t>
      </w:r>
      <w:r w:rsidR="00B6598E">
        <w:rPr>
          <w:rFonts w:cs="Arial"/>
          <w:lang w:val="fr-FR"/>
        </w:rPr>
        <w:t>LB</w:t>
      </w:r>
      <w:r w:rsidR="00C01FCB" w:rsidRPr="00C01FCB">
        <w:rPr>
          <w:rFonts w:cs="Arial"/>
          <w:lang w:val="fr-FR"/>
        </w:rPr>
        <w:t xml:space="preserve"> (28 septembre 2017), au cours de laquelle l'accent a été mis sur les moyens d'accroître la visibilité et la pertinence de la biodiversité. Les chefs des conventions relatives à la biodiversité sont convenus de travailler ensemble en vue de la réunion du Forum politique de haut niveau (HLPF) qui se tiendra du 9 au 18 juillet 2018, au cours d</w:t>
      </w:r>
      <w:r w:rsidR="003510E3">
        <w:rPr>
          <w:rFonts w:cs="Arial"/>
          <w:lang w:val="fr-FR"/>
        </w:rPr>
        <w:t>u</w:t>
      </w:r>
      <w:r w:rsidR="00C01FCB" w:rsidRPr="00C01FCB">
        <w:rPr>
          <w:rFonts w:cs="Arial"/>
          <w:lang w:val="fr-FR"/>
        </w:rPr>
        <w:t xml:space="preserve">quel </w:t>
      </w:r>
      <w:r w:rsidR="003510E3">
        <w:rPr>
          <w:rFonts w:cs="Arial"/>
          <w:lang w:val="fr-FR"/>
        </w:rPr>
        <w:t xml:space="preserve">l’ODD </w:t>
      </w:r>
      <w:r w:rsidR="003510E3" w:rsidRPr="003510E3">
        <w:rPr>
          <w:rFonts w:cs="Arial"/>
          <w:lang w:val="fr-FR"/>
        </w:rPr>
        <w:t xml:space="preserve">15 sur la biodiversité </w:t>
      </w:r>
      <w:r w:rsidR="003510E3">
        <w:rPr>
          <w:rFonts w:cs="Arial"/>
          <w:lang w:val="fr-FR"/>
        </w:rPr>
        <w:t xml:space="preserve">et l’ODD 6 sur l’eau </w:t>
      </w:r>
      <w:r w:rsidR="00C01FCB" w:rsidRPr="00C01FCB">
        <w:rPr>
          <w:rFonts w:cs="Arial"/>
          <w:lang w:val="fr-FR"/>
        </w:rPr>
        <w:t>seront examinés.</w:t>
      </w:r>
      <w:r w:rsidR="6A1F65DE" w:rsidRPr="00C01FCB">
        <w:rPr>
          <w:rFonts w:cs="Arial"/>
          <w:lang w:val="fr-FR"/>
        </w:rPr>
        <w:t xml:space="preserve"> </w:t>
      </w:r>
    </w:p>
    <w:p w14:paraId="27B52EA5" w14:textId="77777777" w:rsidR="00E4717E" w:rsidRPr="00C01FCB" w:rsidRDefault="00E4717E" w:rsidP="00570F86">
      <w:pPr>
        <w:rPr>
          <w:rFonts w:cs="Arial"/>
          <w:lang w:val="fr-FR"/>
        </w:rPr>
      </w:pPr>
    </w:p>
    <w:p w14:paraId="6CCB28BC" w14:textId="1D0FBF6E" w:rsidR="00D352B8" w:rsidRPr="00E22B72" w:rsidRDefault="00CB2375" w:rsidP="00570F86">
      <w:pPr>
        <w:rPr>
          <w:rFonts w:cs="Arial"/>
          <w:lang w:val="fr-FR"/>
        </w:rPr>
      </w:pPr>
      <w:r w:rsidRPr="00E22B72">
        <w:rPr>
          <w:rFonts w:cs="Arial"/>
          <w:lang w:val="fr-FR"/>
        </w:rPr>
        <w:t>18.</w:t>
      </w:r>
      <w:r w:rsidRPr="00E22B72">
        <w:rPr>
          <w:rFonts w:cs="Arial"/>
          <w:lang w:val="fr-FR"/>
        </w:rPr>
        <w:tab/>
      </w:r>
      <w:r w:rsidR="00E22B72" w:rsidRPr="00E22B72">
        <w:rPr>
          <w:rFonts w:cs="Arial"/>
          <w:lang w:val="fr-FR"/>
        </w:rPr>
        <w:t xml:space="preserve">Compte tenu du rôle crucial joué par les zones humides </w:t>
      </w:r>
      <w:r w:rsidR="00E22B72">
        <w:rPr>
          <w:rFonts w:cs="Arial"/>
          <w:lang w:val="fr-FR"/>
        </w:rPr>
        <w:t xml:space="preserve">en termes </w:t>
      </w:r>
      <w:r w:rsidR="00E22B72" w:rsidRPr="00E22B72">
        <w:rPr>
          <w:rFonts w:cs="Arial"/>
          <w:lang w:val="fr-FR"/>
        </w:rPr>
        <w:t xml:space="preserve">d'atténuation </w:t>
      </w:r>
      <w:r w:rsidR="00E22B72">
        <w:rPr>
          <w:rFonts w:cs="Arial"/>
          <w:lang w:val="fr-FR"/>
        </w:rPr>
        <w:t>des changements climatiques et d</w:t>
      </w:r>
      <w:r w:rsidR="00E22B72" w:rsidRPr="00E22B72">
        <w:rPr>
          <w:rFonts w:cs="Arial"/>
          <w:lang w:val="fr-FR"/>
        </w:rPr>
        <w:t xml:space="preserve">'adaptation </w:t>
      </w:r>
      <w:r w:rsidR="00E22B72">
        <w:rPr>
          <w:rFonts w:cs="Arial"/>
          <w:lang w:val="fr-FR"/>
        </w:rPr>
        <w:t>à ces</w:t>
      </w:r>
      <w:r w:rsidR="00E22B72" w:rsidRPr="00E22B72">
        <w:rPr>
          <w:rFonts w:cs="Arial"/>
          <w:lang w:val="fr-FR"/>
        </w:rPr>
        <w:t xml:space="preserve"> changements, le Secrétariat s'est engagé dans le programme sur les changements climatiques. En particulier, le Secrétariat a participé à la </w:t>
      </w:r>
      <w:r w:rsidR="00C54B13">
        <w:rPr>
          <w:rFonts w:cs="Arial"/>
          <w:lang w:val="fr-FR"/>
        </w:rPr>
        <w:t xml:space="preserve">COP 23 de la </w:t>
      </w:r>
      <w:r w:rsidR="00E22B72" w:rsidRPr="00E22B72">
        <w:rPr>
          <w:rFonts w:cs="Arial"/>
          <w:lang w:val="fr-FR"/>
        </w:rPr>
        <w:t xml:space="preserve">Convention-cadre des Nations Unies sur les changements climatiques (CCNUCC) </w:t>
      </w:r>
      <w:r w:rsidR="00C54B13">
        <w:rPr>
          <w:rFonts w:cs="Arial"/>
          <w:lang w:val="fr-FR"/>
        </w:rPr>
        <w:t xml:space="preserve">qui s’est déroulée </w:t>
      </w:r>
      <w:r w:rsidR="00E22B72" w:rsidRPr="00E22B72">
        <w:rPr>
          <w:rFonts w:cs="Arial"/>
          <w:lang w:val="fr-FR"/>
        </w:rPr>
        <w:t>à Bonn (6 - 17 novembre 2017)</w:t>
      </w:r>
      <w:r w:rsidR="00C54B13">
        <w:rPr>
          <w:rFonts w:cs="Arial"/>
          <w:lang w:val="fr-FR"/>
        </w:rPr>
        <w:t xml:space="preserve">, </w:t>
      </w:r>
      <w:r w:rsidR="001D0615">
        <w:rPr>
          <w:rFonts w:cs="Arial"/>
          <w:lang w:val="fr-FR"/>
        </w:rPr>
        <w:t>accordant une importance particulière</w:t>
      </w:r>
      <w:r w:rsidR="00E22B72" w:rsidRPr="00E22B72">
        <w:rPr>
          <w:rFonts w:cs="Arial"/>
          <w:lang w:val="fr-FR"/>
        </w:rPr>
        <w:t xml:space="preserve"> </w:t>
      </w:r>
      <w:r w:rsidR="001D0615">
        <w:rPr>
          <w:rFonts w:cs="Arial"/>
          <w:lang w:val="fr-FR"/>
        </w:rPr>
        <w:t>aux</w:t>
      </w:r>
      <w:r w:rsidR="00E22B72" w:rsidRPr="00E22B72">
        <w:rPr>
          <w:rFonts w:cs="Arial"/>
          <w:lang w:val="fr-FR"/>
        </w:rPr>
        <w:t xml:space="preserve"> tourbières, </w:t>
      </w:r>
      <w:r w:rsidR="001D0615">
        <w:rPr>
          <w:rFonts w:cs="Arial"/>
          <w:lang w:val="fr-FR"/>
        </w:rPr>
        <w:t>à l'eau et aux</w:t>
      </w:r>
      <w:r w:rsidR="00E22B72" w:rsidRPr="00E22B72">
        <w:rPr>
          <w:rFonts w:cs="Arial"/>
          <w:lang w:val="fr-FR"/>
        </w:rPr>
        <w:t xml:space="preserve"> écosystèmes côtiers et marins. En tant que membre fondateur de l'Initiative mondiale pour les tourbières, coordonnée par ONU Environnement, le Secrétariat a participé à la préparation, au lancement e</w:t>
      </w:r>
      <w:r w:rsidR="007F2F36">
        <w:rPr>
          <w:rFonts w:cs="Arial"/>
          <w:lang w:val="fr-FR"/>
        </w:rPr>
        <w:t>t au suivi de l'évaluation de réponse rapide « </w:t>
      </w:r>
      <w:r w:rsidR="00E22B72" w:rsidRPr="00A040D9">
        <w:rPr>
          <w:rFonts w:cs="Arial"/>
          <w:i/>
          <w:lang w:val="fr-FR"/>
        </w:rPr>
        <w:t xml:space="preserve">Smoke </w:t>
      </w:r>
      <w:r w:rsidR="00E22B72" w:rsidRPr="00A040D9">
        <w:rPr>
          <w:rFonts w:cs="Arial"/>
          <w:i/>
          <w:lang w:val="fr-FR"/>
        </w:rPr>
        <w:lastRenderedPageBreak/>
        <w:t>on Water - Countering global threats from peatland loss and degradation</w:t>
      </w:r>
      <w:r w:rsidR="00A040D9">
        <w:rPr>
          <w:rFonts w:cs="Arial"/>
          <w:lang w:val="fr-FR"/>
        </w:rPr>
        <w:t> »</w:t>
      </w:r>
      <w:r w:rsidR="00E22B72" w:rsidRPr="00E22B72">
        <w:rPr>
          <w:rFonts w:cs="Arial"/>
          <w:lang w:val="fr-FR"/>
        </w:rPr>
        <w:t xml:space="preserve">, publiée à l'occasion </w:t>
      </w:r>
      <w:r w:rsidR="00A040D9">
        <w:rPr>
          <w:rFonts w:cs="Arial"/>
          <w:lang w:val="fr-FR"/>
        </w:rPr>
        <w:t>de la COP23 de la CCNUCC, ainsi qu'</w:t>
      </w:r>
      <w:r w:rsidR="00E22B72" w:rsidRPr="00E22B72">
        <w:rPr>
          <w:rFonts w:cs="Arial"/>
          <w:lang w:val="fr-FR"/>
        </w:rPr>
        <w:t>à des événements sur l'eau et d'autres questions pertinentes.</w:t>
      </w:r>
    </w:p>
    <w:p w14:paraId="48E6A85C" w14:textId="77777777" w:rsidR="00E65BE2" w:rsidRPr="00E22B72" w:rsidRDefault="00E65BE2" w:rsidP="00570F86">
      <w:pPr>
        <w:rPr>
          <w:rFonts w:cs="Arial"/>
          <w:lang w:val="fr-FR"/>
        </w:rPr>
      </w:pPr>
    </w:p>
    <w:p w14:paraId="53D5B932" w14:textId="350D33B7" w:rsidR="00296B78" w:rsidRPr="007B40D7" w:rsidRDefault="00CB2375" w:rsidP="00570F86">
      <w:pPr>
        <w:pStyle w:val="NormalNonumber"/>
        <w:spacing w:after="0"/>
        <w:ind w:left="425" w:hanging="425"/>
        <w:rPr>
          <w:rFonts w:asciiTheme="minorHAnsi" w:hAnsiTheme="minorHAnsi" w:cstheme="minorHAnsi"/>
          <w:i/>
          <w:iCs/>
          <w:snapToGrid w:val="0"/>
          <w:sz w:val="22"/>
          <w:szCs w:val="22"/>
          <w:lang w:val="fr-FR"/>
        </w:rPr>
      </w:pPr>
      <w:r w:rsidRPr="007B40D7">
        <w:rPr>
          <w:rFonts w:asciiTheme="minorHAnsi" w:hAnsiTheme="minorHAnsi" w:cstheme="minorHAnsi"/>
          <w:sz w:val="22"/>
          <w:szCs w:val="22"/>
          <w:lang w:val="fr-FR"/>
        </w:rPr>
        <w:t>19.</w:t>
      </w:r>
      <w:r w:rsidRPr="007B40D7">
        <w:rPr>
          <w:rFonts w:asciiTheme="minorHAnsi" w:hAnsiTheme="minorHAnsi" w:cstheme="minorHAnsi"/>
          <w:sz w:val="22"/>
          <w:szCs w:val="22"/>
          <w:lang w:val="fr-FR"/>
        </w:rPr>
        <w:tab/>
      </w:r>
      <w:r w:rsidR="007B40D7" w:rsidRPr="007B40D7">
        <w:rPr>
          <w:rFonts w:asciiTheme="minorHAnsi" w:hAnsiTheme="minorHAnsi" w:cstheme="minorHAnsi"/>
          <w:sz w:val="22"/>
          <w:szCs w:val="22"/>
          <w:lang w:val="fr-FR"/>
        </w:rPr>
        <w:t xml:space="preserve">Le Secrétariat a pris une part active à la troisième session de l'Assemblée des Nations Unies </w:t>
      </w:r>
      <w:r w:rsidR="00A72F21">
        <w:rPr>
          <w:rFonts w:asciiTheme="minorHAnsi" w:hAnsiTheme="minorHAnsi" w:cstheme="minorHAnsi"/>
          <w:sz w:val="22"/>
          <w:szCs w:val="22"/>
          <w:lang w:val="fr-FR"/>
        </w:rPr>
        <w:t>pour</w:t>
      </w:r>
      <w:r w:rsidR="007B40D7" w:rsidRPr="007B40D7">
        <w:rPr>
          <w:rFonts w:asciiTheme="minorHAnsi" w:hAnsiTheme="minorHAnsi" w:cstheme="minorHAnsi"/>
          <w:sz w:val="22"/>
          <w:szCs w:val="22"/>
          <w:lang w:val="fr-FR"/>
        </w:rPr>
        <w:t xml:space="preserve"> l'environnement (UNEA-3) </w:t>
      </w:r>
      <w:r w:rsidR="009C455B">
        <w:rPr>
          <w:rFonts w:asciiTheme="minorHAnsi" w:hAnsiTheme="minorHAnsi" w:cstheme="minorHAnsi"/>
          <w:sz w:val="22"/>
          <w:szCs w:val="22"/>
          <w:lang w:val="fr-FR"/>
        </w:rPr>
        <w:t xml:space="preserve">qui s’est déroulée </w:t>
      </w:r>
      <w:r w:rsidR="007B40D7" w:rsidRPr="007B40D7">
        <w:rPr>
          <w:rFonts w:asciiTheme="minorHAnsi" w:hAnsiTheme="minorHAnsi" w:cstheme="minorHAnsi"/>
          <w:sz w:val="22"/>
          <w:szCs w:val="22"/>
          <w:lang w:val="fr-FR"/>
        </w:rPr>
        <w:t xml:space="preserve">à Nairobi (4-6 décembre 2017), </w:t>
      </w:r>
      <w:r w:rsidR="009C455B">
        <w:rPr>
          <w:rFonts w:asciiTheme="minorHAnsi" w:hAnsiTheme="minorHAnsi" w:cstheme="minorHAnsi"/>
          <w:sz w:val="22"/>
          <w:szCs w:val="22"/>
          <w:lang w:val="fr-FR"/>
        </w:rPr>
        <w:t xml:space="preserve">mettant en lumière </w:t>
      </w:r>
      <w:r w:rsidR="007B40D7" w:rsidRPr="007B40D7">
        <w:rPr>
          <w:rFonts w:asciiTheme="minorHAnsi" w:hAnsiTheme="minorHAnsi" w:cstheme="minorHAnsi"/>
          <w:sz w:val="22"/>
          <w:szCs w:val="22"/>
          <w:lang w:val="fr-FR"/>
        </w:rPr>
        <w:t>le rôle des zones humides dans la lutte contre la pollution et la purification de l'eau, et plus largement leur contribution à la réalisation de l'</w:t>
      </w:r>
      <w:r w:rsidR="009C455B">
        <w:rPr>
          <w:rFonts w:asciiTheme="minorHAnsi" w:hAnsiTheme="minorHAnsi" w:cstheme="minorHAnsi"/>
          <w:sz w:val="22"/>
          <w:szCs w:val="22"/>
          <w:lang w:val="fr-FR"/>
        </w:rPr>
        <w:t>ODD</w:t>
      </w:r>
      <w:r w:rsidR="007B40D7" w:rsidRPr="007B40D7">
        <w:rPr>
          <w:rFonts w:asciiTheme="minorHAnsi" w:hAnsiTheme="minorHAnsi" w:cstheme="minorHAnsi"/>
          <w:sz w:val="22"/>
          <w:szCs w:val="22"/>
          <w:lang w:val="fr-FR"/>
        </w:rPr>
        <w:t xml:space="preserve"> 6. La Convention de Ramsar sur les zones humides et son quatrième Plan stratégique 2016-2024 sont mentionnés dans les résolutions inti</w:t>
      </w:r>
      <w:r w:rsidR="00B31F77">
        <w:rPr>
          <w:rFonts w:asciiTheme="minorHAnsi" w:hAnsiTheme="minorHAnsi" w:cstheme="minorHAnsi"/>
          <w:sz w:val="22"/>
          <w:szCs w:val="22"/>
          <w:lang w:val="fr-FR"/>
        </w:rPr>
        <w:t>tulées « </w:t>
      </w:r>
      <w:r w:rsidR="007B40D7" w:rsidRPr="007B40D7">
        <w:rPr>
          <w:rFonts w:asciiTheme="minorHAnsi" w:hAnsiTheme="minorHAnsi" w:cstheme="minorHAnsi"/>
          <w:sz w:val="22"/>
          <w:szCs w:val="22"/>
          <w:lang w:val="fr-FR"/>
        </w:rPr>
        <w:t>Lutte contre la pollution de l'eau pour protéger et restaur</w:t>
      </w:r>
      <w:r w:rsidR="00B31F77">
        <w:rPr>
          <w:rFonts w:asciiTheme="minorHAnsi" w:hAnsiTheme="minorHAnsi" w:cstheme="minorHAnsi"/>
          <w:sz w:val="22"/>
          <w:szCs w:val="22"/>
          <w:lang w:val="fr-FR"/>
        </w:rPr>
        <w:t>er les écosystèmes liés à l'eau » et « </w:t>
      </w:r>
      <w:r w:rsidR="007B40D7" w:rsidRPr="007B40D7">
        <w:rPr>
          <w:rFonts w:asciiTheme="minorHAnsi" w:hAnsiTheme="minorHAnsi" w:cstheme="minorHAnsi"/>
          <w:sz w:val="22"/>
          <w:szCs w:val="22"/>
          <w:lang w:val="fr-FR"/>
        </w:rPr>
        <w:t>Atténuation de la pollution par l'intégration de la biod</w:t>
      </w:r>
      <w:r w:rsidR="00B31F77">
        <w:rPr>
          <w:rFonts w:asciiTheme="minorHAnsi" w:hAnsiTheme="minorHAnsi" w:cstheme="minorHAnsi"/>
          <w:sz w:val="22"/>
          <w:szCs w:val="22"/>
          <w:lang w:val="fr-FR"/>
        </w:rPr>
        <w:t>iversité dans les secteurs clés »</w:t>
      </w:r>
      <w:r w:rsidR="00A75C7A">
        <w:rPr>
          <w:rFonts w:asciiTheme="minorHAnsi" w:hAnsiTheme="minorHAnsi" w:cstheme="minorHAnsi"/>
          <w:sz w:val="22"/>
          <w:szCs w:val="22"/>
          <w:lang w:val="fr-FR"/>
        </w:rPr>
        <w:t>. La</w:t>
      </w:r>
      <w:r w:rsidR="007B40D7" w:rsidRPr="007B40D7">
        <w:rPr>
          <w:rFonts w:asciiTheme="minorHAnsi" w:hAnsiTheme="minorHAnsi" w:cstheme="minorHAnsi"/>
          <w:sz w:val="22"/>
          <w:szCs w:val="22"/>
          <w:lang w:val="fr-FR"/>
        </w:rPr>
        <w:t xml:space="preserve"> Secrétaire général</w:t>
      </w:r>
      <w:r w:rsidR="00A75C7A">
        <w:rPr>
          <w:rFonts w:asciiTheme="minorHAnsi" w:hAnsiTheme="minorHAnsi" w:cstheme="minorHAnsi"/>
          <w:sz w:val="22"/>
          <w:szCs w:val="22"/>
          <w:lang w:val="fr-FR"/>
        </w:rPr>
        <w:t xml:space="preserve">e est </w:t>
      </w:r>
      <w:r w:rsidR="007B40D7" w:rsidRPr="007B40D7">
        <w:rPr>
          <w:rFonts w:asciiTheme="minorHAnsi" w:hAnsiTheme="minorHAnsi" w:cstheme="minorHAnsi"/>
          <w:sz w:val="22"/>
          <w:szCs w:val="22"/>
          <w:lang w:val="fr-FR"/>
        </w:rPr>
        <w:t>interven</w:t>
      </w:r>
      <w:r w:rsidR="00A75C7A">
        <w:rPr>
          <w:rFonts w:asciiTheme="minorHAnsi" w:hAnsiTheme="minorHAnsi" w:cstheme="minorHAnsi"/>
          <w:sz w:val="22"/>
          <w:szCs w:val="22"/>
          <w:lang w:val="fr-FR"/>
        </w:rPr>
        <w:t xml:space="preserve">ue </w:t>
      </w:r>
      <w:r w:rsidR="00B71C5A">
        <w:rPr>
          <w:rFonts w:asciiTheme="minorHAnsi" w:hAnsiTheme="minorHAnsi" w:cstheme="minorHAnsi"/>
          <w:sz w:val="22"/>
          <w:szCs w:val="22"/>
          <w:lang w:val="fr-FR"/>
        </w:rPr>
        <w:t>lors du</w:t>
      </w:r>
      <w:r w:rsidR="007B40D7" w:rsidRPr="007B40D7">
        <w:rPr>
          <w:rFonts w:asciiTheme="minorHAnsi" w:hAnsiTheme="minorHAnsi" w:cstheme="minorHAnsi"/>
          <w:sz w:val="22"/>
          <w:szCs w:val="22"/>
          <w:lang w:val="fr-FR"/>
        </w:rPr>
        <w:t xml:space="preserve"> </w:t>
      </w:r>
      <w:r w:rsidR="00B71C5A">
        <w:rPr>
          <w:rFonts w:asciiTheme="minorHAnsi" w:hAnsiTheme="minorHAnsi" w:cstheme="minorHAnsi"/>
          <w:sz w:val="22"/>
          <w:szCs w:val="22"/>
          <w:lang w:val="fr-FR"/>
        </w:rPr>
        <w:t xml:space="preserve">« Leadership </w:t>
      </w:r>
      <w:r w:rsidR="007B40D7" w:rsidRPr="007B40D7">
        <w:rPr>
          <w:rFonts w:asciiTheme="minorHAnsi" w:hAnsiTheme="minorHAnsi" w:cstheme="minorHAnsi"/>
          <w:sz w:val="22"/>
          <w:szCs w:val="22"/>
          <w:lang w:val="fr-FR"/>
        </w:rPr>
        <w:t>Dialogue</w:t>
      </w:r>
      <w:r w:rsidR="00B71C5A">
        <w:rPr>
          <w:rFonts w:asciiTheme="minorHAnsi" w:hAnsiTheme="minorHAnsi" w:cstheme="minorHAnsi"/>
          <w:sz w:val="22"/>
          <w:szCs w:val="22"/>
          <w:lang w:val="fr-FR"/>
        </w:rPr>
        <w:t> »</w:t>
      </w:r>
      <w:r w:rsidR="007B40D7" w:rsidRPr="007B40D7">
        <w:rPr>
          <w:rFonts w:asciiTheme="minorHAnsi" w:hAnsiTheme="minorHAnsi" w:cstheme="minorHAnsi"/>
          <w:sz w:val="22"/>
          <w:szCs w:val="22"/>
          <w:lang w:val="fr-FR"/>
        </w:rPr>
        <w:t xml:space="preserve"> sur les solutions pratiques pour une planète sans pollution, lors d'une </w:t>
      </w:r>
      <w:r w:rsidR="00B71C5A">
        <w:rPr>
          <w:rFonts w:asciiTheme="minorHAnsi" w:hAnsiTheme="minorHAnsi" w:cstheme="minorHAnsi"/>
          <w:sz w:val="22"/>
          <w:szCs w:val="22"/>
          <w:lang w:val="fr-FR"/>
        </w:rPr>
        <w:t xml:space="preserve">table ronde </w:t>
      </w:r>
      <w:r w:rsidR="007B40D7" w:rsidRPr="007B40D7">
        <w:rPr>
          <w:rFonts w:asciiTheme="minorHAnsi" w:hAnsiTheme="minorHAnsi" w:cstheme="minorHAnsi"/>
          <w:sz w:val="22"/>
          <w:szCs w:val="22"/>
          <w:lang w:val="fr-FR"/>
        </w:rPr>
        <w:t xml:space="preserve">de haut niveau sur la protection des récifs coralliens et des mangroves, ainsi que lors d'un événement sur le genre et l'environnement, </w:t>
      </w:r>
      <w:r w:rsidR="00B71C5A">
        <w:rPr>
          <w:rFonts w:asciiTheme="minorHAnsi" w:hAnsiTheme="minorHAnsi" w:cstheme="minorHAnsi"/>
          <w:sz w:val="22"/>
          <w:szCs w:val="22"/>
          <w:lang w:val="fr-FR"/>
        </w:rPr>
        <w:t xml:space="preserve">s’exprimant </w:t>
      </w:r>
      <w:r w:rsidR="007B40D7" w:rsidRPr="007B40D7">
        <w:rPr>
          <w:rFonts w:asciiTheme="minorHAnsi" w:hAnsiTheme="minorHAnsi" w:cstheme="minorHAnsi"/>
          <w:sz w:val="22"/>
          <w:szCs w:val="22"/>
          <w:lang w:val="fr-FR"/>
        </w:rPr>
        <w:t>notamment lors du lancement des Champ</w:t>
      </w:r>
      <w:r w:rsidR="00F84EE7">
        <w:rPr>
          <w:rFonts w:asciiTheme="minorHAnsi" w:hAnsiTheme="minorHAnsi" w:cstheme="minorHAnsi"/>
          <w:sz w:val="22"/>
          <w:szCs w:val="22"/>
          <w:lang w:val="fr-FR"/>
        </w:rPr>
        <w:t>ions internationaux du genre. La</w:t>
      </w:r>
      <w:r w:rsidR="007B40D7" w:rsidRPr="007B40D7">
        <w:rPr>
          <w:rFonts w:asciiTheme="minorHAnsi" w:hAnsiTheme="minorHAnsi" w:cstheme="minorHAnsi"/>
          <w:sz w:val="22"/>
          <w:szCs w:val="22"/>
          <w:lang w:val="fr-FR"/>
        </w:rPr>
        <w:t xml:space="preserve"> Secrétaire général</w:t>
      </w:r>
      <w:r w:rsidR="00F84EE7">
        <w:rPr>
          <w:rFonts w:asciiTheme="minorHAnsi" w:hAnsiTheme="minorHAnsi" w:cstheme="minorHAnsi"/>
          <w:sz w:val="22"/>
          <w:szCs w:val="22"/>
          <w:lang w:val="fr-FR"/>
        </w:rPr>
        <w:t>e</w:t>
      </w:r>
      <w:r w:rsidR="007B40D7" w:rsidRPr="007B40D7">
        <w:rPr>
          <w:rFonts w:asciiTheme="minorHAnsi" w:hAnsiTheme="minorHAnsi" w:cstheme="minorHAnsi"/>
          <w:sz w:val="22"/>
          <w:szCs w:val="22"/>
          <w:lang w:val="fr-FR"/>
        </w:rPr>
        <w:t xml:space="preserve"> a fait une déclaration en séance plénière </w:t>
      </w:r>
      <w:r w:rsidR="00F84EE7">
        <w:rPr>
          <w:rFonts w:asciiTheme="minorHAnsi" w:hAnsiTheme="minorHAnsi" w:cstheme="minorHAnsi"/>
          <w:sz w:val="22"/>
          <w:szCs w:val="22"/>
          <w:lang w:val="fr-FR"/>
        </w:rPr>
        <w:t>sur « </w:t>
      </w:r>
      <w:r w:rsidR="007B40D7" w:rsidRPr="007B40D7">
        <w:rPr>
          <w:rFonts w:asciiTheme="minorHAnsi" w:hAnsiTheme="minorHAnsi" w:cstheme="minorHAnsi"/>
          <w:sz w:val="22"/>
          <w:szCs w:val="22"/>
          <w:lang w:val="fr-FR"/>
        </w:rPr>
        <w:t>Les zones humides - une solution durable pour la purif</w:t>
      </w:r>
      <w:r w:rsidR="00F84EE7">
        <w:rPr>
          <w:rFonts w:asciiTheme="minorHAnsi" w:hAnsiTheme="minorHAnsi" w:cstheme="minorHAnsi"/>
          <w:sz w:val="22"/>
          <w:szCs w:val="22"/>
          <w:lang w:val="fr-FR"/>
        </w:rPr>
        <w:t>ication et la sécurité de l'eau »</w:t>
      </w:r>
      <w:r w:rsidR="007B40D7" w:rsidRPr="007B40D7">
        <w:rPr>
          <w:rFonts w:asciiTheme="minorHAnsi" w:hAnsiTheme="minorHAnsi" w:cstheme="minorHAnsi"/>
          <w:sz w:val="22"/>
          <w:szCs w:val="22"/>
          <w:lang w:val="fr-FR"/>
        </w:rPr>
        <w:t xml:space="preserve"> et</w:t>
      </w:r>
      <w:r w:rsidR="00F84EE7">
        <w:rPr>
          <w:rFonts w:asciiTheme="minorHAnsi" w:hAnsiTheme="minorHAnsi" w:cstheme="minorHAnsi"/>
          <w:sz w:val="22"/>
          <w:szCs w:val="22"/>
          <w:lang w:val="fr-FR"/>
        </w:rPr>
        <w:t xml:space="preserve"> elle </w:t>
      </w:r>
      <w:r w:rsidR="007B40D7" w:rsidRPr="007B40D7">
        <w:rPr>
          <w:rFonts w:asciiTheme="minorHAnsi" w:hAnsiTheme="minorHAnsi" w:cstheme="minorHAnsi"/>
          <w:sz w:val="22"/>
          <w:szCs w:val="22"/>
          <w:lang w:val="fr-FR"/>
        </w:rPr>
        <w:t xml:space="preserve"> a participé à une réunion avec les chefs des secrétariats des accords multilatéraux sur l'environnement (AME) sur une approche intégrée de la mise en œuvre de la dimension environnementale de l'Agenda 2030 </w:t>
      </w:r>
      <w:r w:rsidR="002F544E">
        <w:rPr>
          <w:rFonts w:asciiTheme="minorHAnsi" w:hAnsiTheme="minorHAnsi" w:cstheme="minorHAnsi"/>
          <w:sz w:val="22"/>
          <w:szCs w:val="22"/>
          <w:lang w:val="fr-FR"/>
        </w:rPr>
        <w:t xml:space="preserve">du </w:t>
      </w:r>
      <w:r w:rsidR="007B40D7" w:rsidRPr="007B40D7">
        <w:rPr>
          <w:rFonts w:asciiTheme="minorHAnsi" w:hAnsiTheme="minorHAnsi" w:cstheme="minorHAnsi"/>
          <w:sz w:val="22"/>
          <w:szCs w:val="22"/>
          <w:lang w:val="fr-FR"/>
        </w:rPr>
        <w:t xml:space="preserve">développement durable et des </w:t>
      </w:r>
      <w:r w:rsidR="00F84EE7">
        <w:rPr>
          <w:rFonts w:asciiTheme="minorHAnsi" w:hAnsiTheme="minorHAnsi" w:cstheme="minorHAnsi"/>
          <w:sz w:val="22"/>
          <w:szCs w:val="22"/>
          <w:lang w:val="fr-FR"/>
        </w:rPr>
        <w:t>ODD</w:t>
      </w:r>
      <w:r w:rsidR="007B40D7" w:rsidRPr="007B40D7">
        <w:rPr>
          <w:rFonts w:asciiTheme="minorHAnsi" w:hAnsiTheme="minorHAnsi" w:cstheme="minorHAnsi"/>
          <w:sz w:val="22"/>
          <w:szCs w:val="22"/>
          <w:lang w:val="fr-FR"/>
        </w:rPr>
        <w:t>.</w:t>
      </w:r>
      <w:r w:rsidR="00CC6FDF" w:rsidRPr="007B40D7">
        <w:rPr>
          <w:rFonts w:asciiTheme="minorHAnsi" w:hAnsiTheme="minorHAnsi" w:cstheme="minorHAnsi"/>
          <w:i/>
          <w:iCs/>
          <w:snapToGrid w:val="0"/>
          <w:sz w:val="22"/>
          <w:szCs w:val="22"/>
          <w:lang w:val="fr-FR"/>
        </w:rPr>
        <w:t xml:space="preserve"> </w:t>
      </w:r>
    </w:p>
    <w:p w14:paraId="3C7F9515" w14:textId="77777777" w:rsidR="00127E63" w:rsidRPr="007B40D7" w:rsidRDefault="00127E63" w:rsidP="00570F86">
      <w:pPr>
        <w:pStyle w:val="NormalNonumber"/>
        <w:spacing w:after="0"/>
        <w:ind w:left="425" w:hanging="425"/>
        <w:rPr>
          <w:rFonts w:asciiTheme="minorHAnsi" w:hAnsiTheme="minorHAnsi" w:cstheme="minorHAnsi"/>
          <w:iCs/>
          <w:snapToGrid w:val="0"/>
          <w:sz w:val="22"/>
          <w:szCs w:val="22"/>
          <w:lang w:val="fr-FR"/>
        </w:rPr>
      </w:pPr>
    </w:p>
    <w:p w14:paraId="492EA2F5" w14:textId="1BE76E0C" w:rsidR="00DB1663" w:rsidRPr="00F514C7" w:rsidRDefault="00127E63" w:rsidP="00127E63">
      <w:pPr>
        <w:pStyle w:val="NormalNonumber"/>
        <w:spacing w:after="0"/>
        <w:ind w:left="425" w:hanging="425"/>
        <w:rPr>
          <w:rFonts w:asciiTheme="minorHAnsi" w:hAnsiTheme="minorHAnsi" w:cstheme="minorHAnsi"/>
          <w:sz w:val="22"/>
          <w:szCs w:val="22"/>
          <w:lang w:val="fr-FR"/>
        </w:rPr>
      </w:pPr>
      <w:r w:rsidRPr="00F514C7">
        <w:rPr>
          <w:rFonts w:asciiTheme="minorHAnsi" w:hAnsiTheme="minorHAnsi" w:cstheme="minorHAnsi"/>
          <w:sz w:val="22"/>
          <w:szCs w:val="22"/>
          <w:lang w:val="fr-FR"/>
        </w:rPr>
        <w:t>20.</w:t>
      </w:r>
      <w:r w:rsidRPr="00F514C7">
        <w:rPr>
          <w:rFonts w:asciiTheme="minorHAnsi" w:hAnsiTheme="minorHAnsi" w:cstheme="minorHAnsi"/>
          <w:sz w:val="22"/>
          <w:szCs w:val="22"/>
          <w:lang w:val="fr-FR"/>
        </w:rPr>
        <w:tab/>
      </w:r>
      <w:r w:rsidR="00F514C7" w:rsidRPr="00F514C7">
        <w:rPr>
          <w:rFonts w:asciiTheme="minorHAnsi" w:hAnsiTheme="minorHAnsi" w:cstheme="minorHAnsi"/>
          <w:sz w:val="22"/>
          <w:szCs w:val="22"/>
          <w:lang w:val="fr-FR"/>
        </w:rPr>
        <w:t>Au cours de la période considérée, le Secrétariat s'est également efforcé de renforcer ses relations avec les missions et les institutions des Nations Unies basées à Genève</w:t>
      </w:r>
      <w:r w:rsidR="00F514C7">
        <w:rPr>
          <w:rFonts w:asciiTheme="minorHAnsi" w:hAnsiTheme="minorHAnsi" w:cstheme="minorHAnsi"/>
          <w:sz w:val="22"/>
          <w:szCs w:val="22"/>
          <w:lang w:val="fr-FR"/>
        </w:rPr>
        <w:t>. Le 21 juin 2017, la</w:t>
      </w:r>
      <w:r w:rsidR="00F514C7" w:rsidRPr="00F514C7">
        <w:rPr>
          <w:rFonts w:asciiTheme="minorHAnsi" w:hAnsiTheme="minorHAnsi" w:cstheme="minorHAnsi"/>
          <w:sz w:val="22"/>
          <w:szCs w:val="22"/>
          <w:lang w:val="fr-FR"/>
        </w:rPr>
        <w:t xml:space="preserve"> Secrétaire général</w:t>
      </w:r>
      <w:r w:rsidR="00F514C7">
        <w:rPr>
          <w:rFonts w:asciiTheme="minorHAnsi" w:hAnsiTheme="minorHAnsi" w:cstheme="minorHAnsi"/>
          <w:sz w:val="22"/>
          <w:szCs w:val="22"/>
          <w:lang w:val="fr-FR"/>
        </w:rPr>
        <w:t>e</w:t>
      </w:r>
      <w:r w:rsidR="00F514C7" w:rsidRPr="00F514C7">
        <w:rPr>
          <w:rFonts w:asciiTheme="minorHAnsi" w:hAnsiTheme="minorHAnsi" w:cstheme="minorHAnsi"/>
          <w:sz w:val="22"/>
          <w:szCs w:val="22"/>
          <w:lang w:val="fr-FR"/>
        </w:rPr>
        <w:t xml:space="preserve"> a présenté </w:t>
      </w:r>
      <w:r w:rsidR="007C1C77">
        <w:rPr>
          <w:rFonts w:asciiTheme="minorHAnsi" w:hAnsiTheme="minorHAnsi" w:cstheme="minorHAnsi"/>
          <w:sz w:val="22"/>
          <w:szCs w:val="22"/>
          <w:lang w:val="fr-FR"/>
        </w:rPr>
        <w:t xml:space="preserve">un exposé </w:t>
      </w:r>
      <w:r w:rsidR="00F514C7" w:rsidRPr="00F514C7">
        <w:rPr>
          <w:rFonts w:asciiTheme="minorHAnsi" w:hAnsiTheme="minorHAnsi" w:cstheme="minorHAnsi"/>
          <w:sz w:val="22"/>
          <w:szCs w:val="22"/>
          <w:lang w:val="fr-FR"/>
        </w:rPr>
        <w:t xml:space="preserve">aux missions permanentes auprès de l'Office des Nations Unies à Genève sur </w:t>
      </w:r>
      <w:r w:rsidR="007C1C77">
        <w:rPr>
          <w:rFonts w:asciiTheme="minorHAnsi" w:hAnsiTheme="minorHAnsi" w:cstheme="minorHAnsi"/>
          <w:sz w:val="22"/>
          <w:szCs w:val="22"/>
          <w:lang w:val="fr-FR"/>
        </w:rPr>
        <w:t>« L</w:t>
      </w:r>
      <w:r w:rsidR="00F514C7" w:rsidRPr="00F514C7">
        <w:rPr>
          <w:rFonts w:asciiTheme="minorHAnsi" w:hAnsiTheme="minorHAnsi" w:cstheme="minorHAnsi"/>
          <w:sz w:val="22"/>
          <w:szCs w:val="22"/>
          <w:lang w:val="fr-FR"/>
        </w:rPr>
        <w:t xml:space="preserve">a Convention de Ramsar sur les zones humides </w:t>
      </w:r>
      <w:r w:rsidR="007C1C77">
        <w:rPr>
          <w:rFonts w:asciiTheme="minorHAnsi" w:hAnsiTheme="minorHAnsi" w:cstheme="minorHAnsi"/>
          <w:sz w:val="22"/>
          <w:szCs w:val="22"/>
          <w:lang w:val="fr-FR"/>
        </w:rPr>
        <w:t>vers</w:t>
      </w:r>
      <w:r w:rsidR="00F514C7" w:rsidRPr="00F514C7">
        <w:rPr>
          <w:rFonts w:asciiTheme="minorHAnsi" w:hAnsiTheme="minorHAnsi" w:cstheme="minorHAnsi"/>
          <w:sz w:val="22"/>
          <w:szCs w:val="22"/>
          <w:lang w:val="fr-FR"/>
        </w:rPr>
        <w:t xml:space="preserve"> la réalisation des objectifs du développement durable</w:t>
      </w:r>
      <w:r w:rsidR="007C1C77">
        <w:rPr>
          <w:rFonts w:asciiTheme="minorHAnsi" w:hAnsiTheme="minorHAnsi" w:cstheme="minorHAnsi"/>
          <w:sz w:val="22"/>
          <w:szCs w:val="22"/>
          <w:lang w:val="fr-FR"/>
        </w:rPr>
        <w:t> »</w:t>
      </w:r>
      <w:r w:rsidR="00F514C7" w:rsidRPr="00F514C7">
        <w:rPr>
          <w:rFonts w:asciiTheme="minorHAnsi" w:hAnsiTheme="minorHAnsi" w:cstheme="minorHAnsi"/>
          <w:sz w:val="22"/>
          <w:szCs w:val="22"/>
          <w:lang w:val="fr-FR"/>
        </w:rPr>
        <w:t>, organisé par le Directeur de l'Office des Nations Unies à Genève (ONUG).</w:t>
      </w:r>
    </w:p>
    <w:p w14:paraId="1D2E6B25" w14:textId="77777777" w:rsidR="00DB1663" w:rsidRPr="00F514C7" w:rsidRDefault="00DB1663" w:rsidP="00127E63">
      <w:pPr>
        <w:pStyle w:val="NormalNonumber"/>
        <w:spacing w:after="0"/>
        <w:ind w:left="425" w:hanging="425"/>
        <w:rPr>
          <w:rFonts w:asciiTheme="minorHAnsi" w:hAnsiTheme="minorHAnsi" w:cstheme="minorHAnsi"/>
          <w:sz w:val="22"/>
          <w:szCs w:val="22"/>
          <w:lang w:val="fr-FR"/>
        </w:rPr>
      </w:pPr>
    </w:p>
    <w:p w14:paraId="18D131A0" w14:textId="5F8CF8C2" w:rsidR="00DB1663" w:rsidRPr="00FB4519" w:rsidRDefault="00127E63" w:rsidP="00127E63">
      <w:pPr>
        <w:pStyle w:val="NormalNonumber"/>
        <w:spacing w:after="0"/>
        <w:ind w:left="425" w:hanging="425"/>
        <w:rPr>
          <w:rFonts w:asciiTheme="minorHAnsi" w:hAnsiTheme="minorHAnsi" w:cstheme="minorHAnsi"/>
          <w:sz w:val="22"/>
          <w:szCs w:val="22"/>
          <w:lang w:val="fr-FR"/>
        </w:rPr>
      </w:pPr>
      <w:r w:rsidRPr="00FB4519">
        <w:rPr>
          <w:rFonts w:asciiTheme="minorHAnsi" w:hAnsiTheme="minorHAnsi" w:cstheme="minorHAnsi"/>
          <w:sz w:val="22"/>
          <w:szCs w:val="22"/>
          <w:lang w:val="fr-FR"/>
        </w:rPr>
        <w:t>21.</w:t>
      </w:r>
      <w:r w:rsidRPr="00FB4519">
        <w:rPr>
          <w:rFonts w:asciiTheme="minorHAnsi" w:hAnsiTheme="minorHAnsi" w:cstheme="minorHAnsi"/>
          <w:sz w:val="22"/>
          <w:szCs w:val="22"/>
          <w:lang w:val="fr-FR"/>
        </w:rPr>
        <w:tab/>
      </w:r>
      <w:r w:rsidR="00C319A2" w:rsidRPr="00C319A2">
        <w:rPr>
          <w:rFonts w:asciiTheme="minorHAnsi" w:hAnsiTheme="minorHAnsi" w:cstheme="minorHAnsi"/>
          <w:sz w:val="22"/>
          <w:szCs w:val="22"/>
          <w:lang w:val="fr-FR"/>
        </w:rPr>
        <w:t>Parmi les autres points importants, on peut citer :</w:t>
      </w:r>
    </w:p>
    <w:p w14:paraId="1FFFFB23" w14:textId="77777777" w:rsidR="00127E63" w:rsidRPr="00FB4519" w:rsidRDefault="00127E63" w:rsidP="00127E63">
      <w:pPr>
        <w:pStyle w:val="ListParagraph"/>
        <w:ind w:left="425" w:firstLine="0"/>
        <w:rPr>
          <w:rFonts w:cstheme="minorHAnsi"/>
          <w:lang w:val="fr-FR"/>
        </w:rPr>
      </w:pPr>
    </w:p>
    <w:p w14:paraId="2C699008" w14:textId="1795BB5A" w:rsidR="00FF20E2" w:rsidRPr="00C319A2" w:rsidRDefault="005B3F1F" w:rsidP="00127E63">
      <w:pPr>
        <w:pStyle w:val="ListParagraph"/>
        <w:numPr>
          <w:ilvl w:val="1"/>
          <w:numId w:val="3"/>
        </w:numPr>
        <w:ind w:left="850" w:hanging="425"/>
        <w:rPr>
          <w:rFonts w:cs="Arial"/>
          <w:lang w:val="fr-FR"/>
        </w:rPr>
      </w:pPr>
      <w:r>
        <w:rPr>
          <w:rFonts w:cs="Arial"/>
          <w:lang w:val="fr-FR"/>
        </w:rPr>
        <w:t>Participation à la 13</w:t>
      </w:r>
      <w:r w:rsidRPr="005B3F1F">
        <w:rPr>
          <w:rFonts w:cs="Arial"/>
          <w:vertAlign w:val="superscript"/>
          <w:lang w:val="fr-FR"/>
        </w:rPr>
        <w:t>e</w:t>
      </w:r>
      <w:r w:rsidR="00C319A2" w:rsidRPr="00C319A2">
        <w:rPr>
          <w:rFonts w:cs="Arial"/>
          <w:lang w:val="fr-FR"/>
        </w:rPr>
        <w:t xml:space="preserve"> session du Comité de la science et de la technologie de la Convention des Nations Unies sur la lutte contre la désertification (UNCCD) à Ordos (Chine), du 6 au 9 septembre 2017, </w:t>
      </w:r>
      <w:r w:rsidR="00B805D0">
        <w:rPr>
          <w:rFonts w:cs="Arial"/>
          <w:lang w:val="fr-FR"/>
        </w:rPr>
        <w:t xml:space="preserve">et notamment </w:t>
      </w:r>
      <w:r w:rsidR="00C319A2" w:rsidRPr="00C319A2">
        <w:rPr>
          <w:rFonts w:cs="Arial"/>
          <w:lang w:val="fr-FR"/>
        </w:rPr>
        <w:t xml:space="preserve">une présentation </w:t>
      </w:r>
      <w:r w:rsidR="00D23599" w:rsidRPr="00D23599">
        <w:rPr>
          <w:rFonts w:cs="Arial"/>
          <w:lang w:val="fr-FR"/>
        </w:rPr>
        <w:t xml:space="preserve">devant l'IBPES </w:t>
      </w:r>
      <w:r w:rsidR="00D23599">
        <w:rPr>
          <w:rFonts w:cs="Arial"/>
          <w:lang w:val="fr-FR"/>
        </w:rPr>
        <w:t xml:space="preserve">sur les progrès accomplis en matière d’évaluation globale de la dégradation et de la restauration des terres. </w:t>
      </w:r>
      <w:r w:rsidR="00C319A2" w:rsidRPr="00C319A2">
        <w:rPr>
          <w:rFonts w:cs="Arial"/>
          <w:lang w:val="fr-FR"/>
        </w:rPr>
        <w:t>Des discussions avec le secrétariat de la Con</w:t>
      </w:r>
      <w:r w:rsidR="00B805D0">
        <w:rPr>
          <w:rFonts w:cs="Arial"/>
          <w:lang w:val="fr-FR"/>
        </w:rPr>
        <w:t>vention sont en cours sur d</w:t>
      </w:r>
      <w:r w:rsidR="00C319A2" w:rsidRPr="00C319A2">
        <w:rPr>
          <w:rFonts w:cs="Arial"/>
          <w:lang w:val="fr-FR"/>
        </w:rPr>
        <w:t>e</w:t>
      </w:r>
      <w:r w:rsidR="00B805D0">
        <w:rPr>
          <w:rFonts w:cs="Arial"/>
          <w:lang w:val="fr-FR"/>
        </w:rPr>
        <w:t>s possibilités de collaboration</w:t>
      </w:r>
      <w:r w:rsidR="009461BB" w:rsidRPr="00C319A2">
        <w:rPr>
          <w:rFonts w:cs="Arial"/>
          <w:lang w:val="fr-FR"/>
        </w:rPr>
        <w:t xml:space="preserve">. </w:t>
      </w:r>
    </w:p>
    <w:p w14:paraId="5757DBEF" w14:textId="77777777" w:rsidR="00127E63" w:rsidRPr="00C319A2" w:rsidRDefault="00127E63" w:rsidP="00127E63">
      <w:pPr>
        <w:pStyle w:val="ListParagraph"/>
        <w:ind w:left="850" w:firstLine="0"/>
        <w:rPr>
          <w:rFonts w:cs="Arial"/>
          <w:lang w:val="fr-FR"/>
        </w:rPr>
      </w:pPr>
    </w:p>
    <w:p w14:paraId="68C752A1" w14:textId="20E58F89" w:rsidR="009461BB" w:rsidRPr="00A91774" w:rsidRDefault="00A91774" w:rsidP="00127E63">
      <w:pPr>
        <w:pStyle w:val="ListParagraph"/>
        <w:numPr>
          <w:ilvl w:val="1"/>
          <w:numId w:val="3"/>
        </w:numPr>
        <w:ind w:left="850" w:hanging="425"/>
        <w:rPr>
          <w:lang w:val="fr-FR"/>
        </w:rPr>
      </w:pPr>
      <w:r w:rsidRPr="00A91774">
        <w:rPr>
          <w:rFonts w:cs="Arial"/>
          <w:lang w:val="fr-FR"/>
        </w:rPr>
        <w:t>Participation à la Semaine de l'eau de Stockholm (24 - 31 août 2017) et à la réunion des responsables de pr</w:t>
      </w:r>
      <w:r w:rsidR="00DB4FFF">
        <w:rPr>
          <w:rFonts w:cs="Arial"/>
          <w:lang w:val="fr-FR"/>
        </w:rPr>
        <w:t xml:space="preserve">ogramme de </w:t>
      </w:r>
      <w:r w:rsidRPr="00A91774">
        <w:rPr>
          <w:rFonts w:cs="Arial"/>
          <w:lang w:val="fr-FR"/>
        </w:rPr>
        <w:t>ONU-Eau tenue en marge de la Semaine de l'eau</w:t>
      </w:r>
      <w:r w:rsidR="00DB4FFF">
        <w:rPr>
          <w:rFonts w:cs="Arial"/>
          <w:lang w:val="fr-FR"/>
        </w:rPr>
        <w:t>;</w:t>
      </w:r>
      <w:r w:rsidRPr="00A91774">
        <w:rPr>
          <w:rFonts w:cs="Arial"/>
          <w:lang w:val="fr-FR"/>
        </w:rPr>
        <w:t xml:space="preserve"> et contribution au Rapport mondial sur la mise en valeur des ressources en eau 2018, </w:t>
      </w:r>
      <w:r w:rsidR="00DB4FFF">
        <w:rPr>
          <w:rFonts w:cs="Arial"/>
          <w:lang w:val="fr-FR"/>
        </w:rPr>
        <w:t xml:space="preserve">portant sur </w:t>
      </w:r>
      <w:r w:rsidR="007A4105">
        <w:rPr>
          <w:rFonts w:cs="Arial"/>
          <w:lang w:val="fr-FR"/>
        </w:rPr>
        <w:t xml:space="preserve">les </w:t>
      </w:r>
      <w:r w:rsidR="00DB4FFF">
        <w:rPr>
          <w:rFonts w:cs="Arial"/>
          <w:lang w:val="fr-FR"/>
        </w:rPr>
        <w:t>« </w:t>
      </w:r>
      <w:r w:rsidR="007A4105">
        <w:rPr>
          <w:rFonts w:cs="Arial"/>
          <w:lang w:val="fr-FR"/>
        </w:rPr>
        <w:t>Solutions basées sur la n</w:t>
      </w:r>
      <w:r w:rsidR="00DB4FFF">
        <w:rPr>
          <w:rFonts w:cs="Arial"/>
          <w:lang w:val="fr-FR"/>
        </w:rPr>
        <w:t>ature</w:t>
      </w:r>
      <w:r w:rsidR="007A4105">
        <w:rPr>
          <w:rFonts w:cs="Arial"/>
          <w:lang w:val="fr-FR"/>
        </w:rPr>
        <w:t>, pour l’</w:t>
      </w:r>
      <w:r w:rsidR="00DB4FFF">
        <w:rPr>
          <w:rFonts w:cs="Arial"/>
          <w:lang w:val="fr-FR"/>
        </w:rPr>
        <w:t xml:space="preserve">eau », qui </w:t>
      </w:r>
      <w:r w:rsidR="007A4105">
        <w:rPr>
          <w:rFonts w:cs="Arial"/>
          <w:lang w:val="fr-FR"/>
        </w:rPr>
        <w:t>paraîtra</w:t>
      </w:r>
      <w:r w:rsidRPr="00A91774">
        <w:rPr>
          <w:rFonts w:cs="Arial"/>
          <w:lang w:val="fr-FR"/>
        </w:rPr>
        <w:t xml:space="preserve"> en mars 2018.</w:t>
      </w:r>
    </w:p>
    <w:p w14:paraId="609D40A1" w14:textId="77777777" w:rsidR="00127E63" w:rsidRPr="00A91774" w:rsidRDefault="00127E63" w:rsidP="00127E63">
      <w:pPr>
        <w:pStyle w:val="ListParagraph"/>
        <w:ind w:left="850" w:firstLine="0"/>
        <w:rPr>
          <w:lang w:val="fr-FR"/>
        </w:rPr>
      </w:pPr>
    </w:p>
    <w:p w14:paraId="41B9CE85" w14:textId="29D49725" w:rsidR="004969F3" w:rsidRPr="0040696A" w:rsidRDefault="0040696A" w:rsidP="00127E63">
      <w:pPr>
        <w:pStyle w:val="ListParagraph"/>
        <w:numPr>
          <w:ilvl w:val="1"/>
          <w:numId w:val="3"/>
        </w:numPr>
        <w:ind w:left="850" w:hanging="425"/>
        <w:contextualSpacing w:val="0"/>
        <w:rPr>
          <w:lang w:val="fr-FR"/>
        </w:rPr>
      </w:pPr>
      <w:r w:rsidRPr="0040696A">
        <w:rPr>
          <w:lang w:val="fr-FR"/>
        </w:rPr>
        <w:t>Particip</w:t>
      </w:r>
      <w:r>
        <w:rPr>
          <w:lang w:val="fr-FR"/>
        </w:rPr>
        <w:t>ation à la CO</w:t>
      </w:r>
      <w:r w:rsidRPr="0040696A">
        <w:rPr>
          <w:lang w:val="fr-FR"/>
        </w:rPr>
        <w:t xml:space="preserve">P de la Convention sur les Espèces Migratrices (CMS) </w:t>
      </w:r>
      <w:r w:rsidR="00CB10A9">
        <w:rPr>
          <w:lang w:val="fr-FR"/>
        </w:rPr>
        <w:t xml:space="preserve">qui s’est déroulée </w:t>
      </w:r>
      <w:r w:rsidR="00F57F93">
        <w:rPr>
          <w:lang w:val="fr-FR"/>
        </w:rPr>
        <w:t>23 au 28 octobre 2017, au cours de laquelle</w:t>
      </w:r>
      <w:r w:rsidRPr="0040696A">
        <w:rPr>
          <w:lang w:val="fr-FR"/>
        </w:rPr>
        <w:t xml:space="preserve"> le Secrétariat était représenté à la discussion du Groupe de haut niveau sur </w:t>
      </w:r>
      <w:r w:rsidR="007F7A37">
        <w:rPr>
          <w:lang w:val="fr-FR"/>
        </w:rPr>
        <w:t>le thème « </w:t>
      </w:r>
      <w:r w:rsidRPr="0040696A">
        <w:rPr>
          <w:lang w:val="fr-FR"/>
        </w:rPr>
        <w:t xml:space="preserve">Pollution et </w:t>
      </w:r>
      <w:r w:rsidR="007F7A37">
        <w:rPr>
          <w:lang w:val="fr-FR"/>
        </w:rPr>
        <w:t>espèces</w:t>
      </w:r>
      <w:r w:rsidRPr="0040696A">
        <w:rPr>
          <w:lang w:val="fr-FR"/>
        </w:rPr>
        <w:t xml:space="preserve"> sauvage</w:t>
      </w:r>
      <w:r w:rsidR="007F7A37">
        <w:rPr>
          <w:lang w:val="fr-FR"/>
        </w:rPr>
        <w:t>s »</w:t>
      </w:r>
      <w:r w:rsidRPr="0040696A">
        <w:rPr>
          <w:lang w:val="fr-FR"/>
        </w:rPr>
        <w:t xml:space="preserve"> et à trois événements parallèles.</w:t>
      </w:r>
    </w:p>
    <w:p w14:paraId="0BC55468" w14:textId="77777777" w:rsidR="00127E63" w:rsidRPr="0040696A" w:rsidRDefault="00127E63" w:rsidP="00127E63">
      <w:pPr>
        <w:pStyle w:val="ListParagraph"/>
        <w:ind w:left="850" w:firstLine="0"/>
        <w:contextualSpacing w:val="0"/>
        <w:rPr>
          <w:lang w:val="fr-FR"/>
        </w:rPr>
      </w:pPr>
    </w:p>
    <w:p w14:paraId="10348A9A" w14:textId="21C04507" w:rsidR="00DB1663" w:rsidRPr="00307862" w:rsidRDefault="00307862" w:rsidP="00127E63">
      <w:pPr>
        <w:pStyle w:val="ListParagraph"/>
        <w:numPr>
          <w:ilvl w:val="1"/>
          <w:numId w:val="3"/>
        </w:numPr>
        <w:ind w:left="850" w:hanging="425"/>
        <w:rPr>
          <w:lang w:val="fr-FR"/>
        </w:rPr>
      </w:pPr>
      <w:r w:rsidRPr="00307862">
        <w:rPr>
          <w:lang w:val="fr-FR"/>
        </w:rPr>
        <w:t xml:space="preserve">Renforcement de la collaboration avec l'IPBES, </w:t>
      </w:r>
      <w:r>
        <w:rPr>
          <w:lang w:val="fr-FR"/>
        </w:rPr>
        <w:t xml:space="preserve">notamment </w:t>
      </w:r>
      <w:r w:rsidRPr="00307862">
        <w:rPr>
          <w:lang w:val="fr-FR"/>
        </w:rPr>
        <w:t xml:space="preserve">participation à la cinquième session plénière de l'IPBES à Bonn, du 7 au 10 mars 2017; et contribution coordonnée aux évaluations </w:t>
      </w:r>
      <w:r w:rsidR="003605D1">
        <w:rPr>
          <w:lang w:val="fr-FR"/>
        </w:rPr>
        <w:t>régionales de</w:t>
      </w:r>
      <w:r w:rsidR="00F02B0F">
        <w:rPr>
          <w:lang w:val="fr-FR"/>
        </w:rPr>
        <w:t xml:space="preserve"> la </w:t>
      </w:r>
      <w:r w:rsidRPr="00307862">
        <w:rPr>
          <w:lang w:val="fr-FR"/>
        </w:rPr>
        <w:t xml:space="preserve">diversité biologique </w:t>
      </w:r>
      <w:r w:rsidR="003605D1">
        <w:rPr>
          <w:lang w:val="fr-FR"/>
        </w:rPr>
        <w:t>mondiale réalisées par</w:t>
      </w:r>
      <w:r w:rsidRPr="00307862">
        <w:rPr>
          <w:lang w:val="fr-FR"/>
        </w:rPr>
        <w:t xml:space="preserve"> l'IPBES.</w:t>
      </w:r>
      <w:r w:rsidR="00FF20E2" w:rsidRPr="00307862">
        <w:rPr>
          <w:rFonts w:cs="Arial"/>
          <w:lang w:val="fr-FR"/>
        </w:rPr>
        <w:t xml:space="preserve"> </w:t>
      </w:r>
    </w:p>
    <w:p w14:paraId="2C43CD2F" w14:textId="77777777" w:rsidR="00127E63" w:rsidRPr="00307862" w:rsidRDefault="00127E63" w:rsidP="00127E63">
      <w:pPr>
        <w:pStyle w:val="ListParagraph"/>
        <w:ind w:left="850" w:firstLine="0"/>
        <w:rPr>
          <w:lang w:val="fr-FR"/>
        </w:rPr>
      </w:pPr>
    </w:p>
    <w:p w14:paraId="4AB5F7F5" w14:textId="41B1DA58" w:rsidR="009461BB" w:rsidRPr="00FD09AB" w:rsidRDefault="00FD09AB" w:rsidP="00127E63">
      <w:pPr>
        <w:pStyle w:val="ListParagraph"/>
        <w:numPr>
          <w:ilvl w:val="1"/>
          <w:numId w:val="3"/>
        </w:numPr>
        <w:ind w:left="850" w:hanging="425"/>
        <w:rPr>
          <w:lang w:val="fr-FR"/>
        </w:rPr>
      </w:pPr>
      <w:r w:rsidRPr="00FD09AB">
        <w:rPr>
          <w:rFonts w:cs="Arial"/>
          <w:lang w:val="fr-FR"/>
        </w:rPr>
        <w:lastRenderedPageBreak/>
        <w:t>Contribution à d'autres évaluations, en particulier le GEO-6 (chapitre sur l'eau</w:t>
      </w:r>
      <w:r>
        <w:rPr>
          <w:rFonts w:cs="Arial"/>
          <w:lang w:val="fr-FR"/>
        </w:rPr>
        <w:t xml:space="preserve"> douce</w:t>
      </w:r>
      <w:r w:rsidRPr="00FD09AB">
        <w:rPr>
          <w:rFonts w:cs="Arial"/>
          <w:lang w:val="fr-FR"/>
        </w:rPr>
        <w:t>) et participation du GEST à l'appel aux examinateurs du Groupe d'experts intergouvernemental sur l'évolution du climat (GIEC) - première version préliminaire de la version 2019 des Lignes directrices 2006 du GIEC pour les inventaires nationaux des gaz à effet de serre</w:t>
      </w:r>
      <w:r w:rsidR="00FE0742">
        <w:rPr>
          <w:rFonts w:cs="Arial"/>
          <w:lang w:val="fr-FR"/>
        </w:rPr>
        <w:t>.</w:t>
      </w:r>
    </w:p>
    <w:p w14:paraId="41F64CD1" w14:textId="77777777" w:rsidR="00C72D5E" w:rsidRPr="00FD09AB" w:rsidRDefault="00C72D5E" w:rsidP="00127E63">
      <w:pPr>
        <w:ind w:left="850"/>
        <w:rPr>
          <w:highlight w:val="yellow"/>
          <w:lang w:val="fr-FR"/>
        </w:rPr>
      </w:pPr>
    </w:p>
    <w:p w14:paraId="20EDCD76" w14:textId="5D8CB097" w:rsidR="00E32679" w:rsidRPr="008F59FC" w:rsidRDefault="008F59FC" w:rsidP="00127E63">
      <w:pPr>
        <w:pStyle w:val="ListParagraph"/>
        <w:numPr>
          <w:ilvl w:val="1"/>
          <w:numId w:val="3"/>
        </w:numPr>
        <w:ind w:left="850" w:hanging="425"/>
        <w:rPr>
          <w:rFonts w:cs="Arial"/>
          <w:lang w:val="fr-FR"/>
        </w:rPr>
      </w:pPr>
      <w:r w:rsidRPr="008F59FC">
        <w:rPr>
          <w:rFonts w:cs="Arial"/>
          <w:lang w:val="fr-FR"/>
        </w:rPr>
        <w:t xml:space="preserve">Collaboration avec le Secrétariat de l'Accord sur </w:t>
      </w:r>
      <w:r w:rsidR="002A79B8">
        <w:rPr>
          <w:rFonts w:cs="Arial"/>
          <w:lang w:val="fr-FR"/>
        </w:rPr>
        <w:t>la conservation d</w:t>
      </w:r>
      <w:r w:rsidRPr="008F59FC">
        <w:rPr>
          <w:rFonts w:cs="Arial"/>
          <w:lang w:val="fr-FR"/>
        </w:rPr>
        <w:t>es oiseaux d'eau migrateurs d'Afrique-Eurasie (AEWA) en tant que membre du Comité d</w:t>
      </w:r>
      <w:r w:rsidR="001F1635">
        <w:rPr>
          <w:rFonts w:cs="Arial"/>
          <w:lang w:val="fr-FR"/>
        </w:rPr>
        <w:t>irecteur du projet « </w:t>
      </w:r>
      <w:r w:rsidRPr="008F59FC">
        <w:rPr>
          <w:rFonts w:cs="Arial"/>
          <w:lang w:val="fr-FR"/>
        </w:rPr>
        <w:t>Renforcement d'Expertise au Sud du Sahara sur les Oiseaux et leur Utilisation Rationnelle en faveur des Commun</w:t>
      </w:r>
      <w:r w:rsidR="001F1635">
        <w:rPr>
          <w:rFonts w:cs="Arial"/>
          <w:lang w:val="fr-FR"/>
        </w:rPr>
        <w:t xml:space="preserve">autés et de leur Environnement » </w:t>
      </w:r>
      <w:r w:rsidRPr="008F59FC">
        <w:rPr>
          <w:rFonts w:cs="Arial"/>
          <w:lang w:val="fr-FR"/>
        </w:rPr>
        <w:t>de l'Organis</w:t>
      </w:r>
      <w:r w:rsidR="00E73FF0">
        <w:rPr>
          <w:rFonts w:cs="Arial"/>
          <w:lang w:val="fr-FR"/>
        </w:rPr>
        <w:t>ation des Nations Unies pour l'alimentation et l'a</w:t>
      </w:r>
      <w:r w:rsidRPr="008F59FC">
        <w:rPr>
          <w:rFonts w:cs="Arial"/>
          <w:lang w:val="fr-FR"/>
        </w:rPr>
        <w:t>griculture (FAO)</w:t>
      </w:r>
      <w:r w:rsidR="00FC5A0A" w:rsidRPr="008F59FC">
        <w:rPr>
          <w:rFonts w:cs="Arial"/>
          <w:lang w:val="fr-FR"/>
        </w:rPr>
        <w:t xml:space="preserve">. </w:t>
      </w:r>
    </w:p>
    <w:p w14:paraId="5DEFF20B" w14:textId="77777777" w:rsidR="00E32679" w:rsidRPr="008F59FC" w:rsidRDefault="00E32679" w:rsidP="00127E63">
      <w:pPr>
        <w:pStyle w:val="ListParagraph"/>
        <w:ind w:left="850"/>
        <w:rPr>
          <w:rFonts w:cstheme="minorHAnsi"/>
          <w:highlight w:val="yellow"/>
          <w:lang w:val="fr-FR"/>
        </w:rPr>
      </w:pPr>
    </w:p>
    <w:p w14:paraId="59258974" w14:textId="447AFFD0" w:rsidR="009D32B0" w:rsidRPr="00141ABF" w:rsidRDefault="00E73FF0" w:rsidP="00652DF0">
      <w:pPr>
        <w:pStyle w:val="ListParagraph"/>
        <w:numPr>
          <w:ilvl w:val="1"/>
          <w:numId w:val="3"/>
        </w:numPr>
        <w:ind w:left="850" w:hanging="425"/>
        <w:rPr>
          <w:rFonts w:cs="Arial"/>
          <w:lang w:val="fr-FR"/>
        </w:rPr>
      </w:pPr>
      <w:r>
        <w:rPr>
          <w:rFonts w:cs="Arial"/>
          <w:lang w:val="fr-FR"/>
        </w:rPr>
        <w:t>Des i</w:t>
      </w:r>
      <w:r w:rsidR="00141ABF" w:rsidRPr="00141ABF">
        <w:rPr>
          <w:rFonts w:cs="Arial"/>
          <w:lang w:val="fr-FR"/>
        </w:rPr>
        <w:t xml:space="preserve">nformations plus détaillées sur les efforts déployés par le Secrétariat pour </w:t>
      </w:r>
      <w:r w:rsidR="008D0CB9">
        <w:rPr>
          <w:rFonts w:cs="Arial"/>
          <w:lang w:val="fr-FR"/>
        </w:rPr>
        <w:t>renforcer</w:t>
      </w:r>
      <w:r w:rsidR="00141ABF" w:rsidRPr="00141ABF">
        <w:rPr>
          <w:rFonts w:cs="Arial"/>
          <w:lang w:val="fr-FR"/>
        </w:rPr>
        <w:t xml:space="preserve"> la visibilité </w:t>
      </w:r>
      <w:r w:rsidR="008D0CB9">
        <w:rPr>
          <w:rFonts w:cs="Arial"/>
          <w:lang w:val="fr-FR"/>
        </w:rPr>
        <w:t xml:space="preserve">de la Convention </w:t>
      </w:r>
      <w:r w:rsidR="00141ABF" w:rsidRPr="00141ABF">
        <w:rPr>
          <w:rFonts w:cs="Arial"/>
          <w:lang w:val="fr-FR"/>
        </w:rPr>
        <w:t>et les synergies avec les AME et d'autres institutions figurent dan</w:t>
      </w:r>
      <w:r w:rsidR="004C1A83">
        <w:rPr>
          <w:rFonts w:cs="Arial"/>
          <w:lang w:val="fr-FR"/>
        </w:rPr>
        <w:t>s le document SC54-14 intitulé « </w:t>
      </w:r>
      <w:r w:rsidR="008D0CB9" w:rsidRPr="00527714">
        <w:rPr>
          <w:rFonts w:cs="Arial"/>
          <w:i/>
          <w:lang w:val="fr-FR"/>
        </w:rPr>
        <w:t>Renforcement de</w:t>
      </w:r>
      <w:r w:rsidR="00141ABF" w:rsidRPr="00527714">
        <w:rPr>
          <w:rFonts w:cs="Arial"/>
          <w:i/>
          <w:lang w:val="fr-FR"/>
        </w:rPr>
        <w:t xml:space="preserve"> la visibilité </w:t>
      </w:r>
      <w:r w:rsidR="008D0CB9" w:rsidRPr="00527714">
        <w:rPr>
          <w:rFonts w:cs="Arial"/>
          <w:i/>
          <w:lang w:val="fr-FR"/>
        </w:rPr>
        <w:t>de la Convention et d</w:t>
      </w:r>
      <w:r w:rsidR="00141ABF" w:rsidRPr="00527714">
        <w:rPr>
          <w:rFonts w:cs="Arial"/>
          <w:i/>
          <w:lang w:val="fr-FR"/>
        </w:rPr>
        <w:t>es synergies avec d'autres accords multilatéraux sur l'environnement et institutions</w:t>
      </w:r>
      <w:r w:rsidR="008D0CB9" w:rsidRPr="00527714">
        <w:rPr>
          <w:rFonts w:cs="Arial"/>
          <w:i/>
          <w:lang w:val="fr-FR"/>
        </w:rPr>
        <w:t xml:space="preserve"> internationales</w:t>
      </w:r>
      <w:r w:rsidR="008D0CB9">
        <w:rPr>
          <w:rFonts w:cs="Arial"/>
          <w:lang w:val="fr-FR"/>
        </w:rPr>
        <w:t> »</w:t>
      </w:r>
      <w:r w:rsidR="00141ABF" w:rsidRPr="00141ABF">
        <w:rPr>
          <w:rFonts w:cs="Arial"/>
          <w:lang w:val="fr-FR"/>
        </w:rPr>
        <w:t>.</w:t>
      </w:r>
    </w:p>
    <w:p w14:paraId="101711D7" w14:textId="77777777" w:rsidR="009461BB" w:rsidRPr="00141ABF" w:rsidRDefault="009461BB" w:rsidP="00570F86">
      <w:pPr>
        <w:rPr>
          <w:rFonts w:cs="Arial"/>
          <w:lang w:val="fr-FR"/>
        </w:rPr>
      </w:pPr>
    </w:p>
    <w:p w14:paraId="601431C1" w14:textId="4C4055F5" w:rsidR="00C17218" w:rsidRPr="00D64638" w:rsidRDefault="004B5A95" w:rsidP="00652DF0">
      <w:pPr>
        <w:rPr>
          <w:rFonts w:cstheme="minorHAnsi"/>
          <w:bCs/>
          <w:lang w:val="fr-FR"/>
        </w:rPr>
      </w:pPr>
      <w:r w:rsidRPr="00D64638">
        <w:rPr>
          <w:lang w:val="fr-FR"/>
        </w:rPr>
        <w:t>2</w:t>
      </w:r>
      <w:r w:rsidR="00652DF0" w:rsidRPr="00D64638">
        <w:rPr>
          <w:lang w:val="fr-FR"/>
        </w:rPr>
        <w:t>2</w:t>
      </w:r>
      <w:r w:rsidR="004E7E51" w:rsidRPr="00D64638">
        <w:rPr>
          <w:lang w:val="fr-FR"/>
        </w:rPr>
        <w:t>.</w:t>
      </w:r>
      <w:r w:rsidR="004E7E51" w:rsidRPr="00D64638">
        <w:rPr>
          <w:lang w:val="fr-FR"/>
        </w:rPr>
        <w:tab/>
      </w:r>
      <w:r w:rsidR="00D64638" w:rsidRPr="00D64638">
        <w:rPr>
          <w:rFonts w:cstheme="minorHAnsi"/>
          <w:bCs/>
          <w:lang w:val="fr-FR"/>
        </w:rPr>
        <w:t xml:space="preserve">Pour s'acquitter de son mandat, le Secrétariat a renforcé sa collaboration avec les AME et les organismes des Nations Unies compétents. Cependant, </w:t>
      </w:r>
      <w:r w:rsidR="003B2699">
        <w:rPr>
          <w:rFonts w:cstheme="minorHAnsi"/>
          <w:bCs/>
          <w:lang w:val="fr-FR"/>
        </w:rPr>
        <w:t>pendant</w:t>
      </w:r>
      <w:r w:rsidR="00D64638" w:rsidRPr="00D64638">
        <w:rPr>
          <w:rFonts w:cstheme="minorHAnsi"/>
          <w:bCs/>
          <w:lang w:val="fr-FR"/>
        </w:rPr>
        <w:t xml:space="preserve"> la période considérée</w:t>
      </w:r>
      <w:r w:rsidR="003B2699">
        <w:rPr>
          <w:rFonts w:cstheme="minorHAnsi"/>
          <w:bCs/>
          <w:lang w:val="fr-FR"/>
        </w:rPr>
        <w:t>,</w:t>
      </w:r>
      <w:r w:rsidR="00D64638" w:rsidRPr="00D64638">
        <w:rPr>
          <w:rFonts w:cstheme="minorHAnsi"/>
          <w:bCs/>
          <w:lang w:val="fr-FR"/>
        </w:rPr>
        <w:t xml:space="preserve"> le Secrétariat s</w:t>
      </w:r>
      <w:r w:rsidR="003B2699">
        <w:rPr>
          <w:rFonts w:cstheme="minorHAnsi"/>
          <w:bCs/>
          <w:lang w:val="fr-FR"/>
        </w:rPr>
        <w:t xml:space="preserve">’est vu </w:t>
      </w:r>
      <w:r w:rsidR="00D64638" w:rsidRPr="00D64638">
        <w:rPr>
          <w:rFonts w:cstheme="minorHAnsi"/>
          <w:bCs/>
          <w:lang w:val="fr-FR"/>
        </w:rPr>
        <w:t xml:space="preserve">refuser le droit de participer, au nom de la Convention, à la réunion du </w:t>
      </w:r>
      <w:r w:rsidR="00EC398E" w:rsidRPr="00EC398E">
        <w:rPr>
          <w:rFonts w:cstheme="minorHAnsi"/>
          <w:bCs/>
          <w:lang w:val="fr-FR"/>
        </w:rPr>
        <w:t>Forum politique de haut niveau pour le développement durable (FPHN)</w:t>
      </w:r>
      <w:r w:rsidR="00D64638" w:rsidRPr="00D64638">
        <w:rPr>
          <w:rFonts w:cstheme="minorHAnsi"/>
          <w:bCs/>
          <w:lang w:val="fr-FR"/>
        </w:rPr>
        <w:t xml:space="preserve"> </w:t>
      </w:r>
      <w:r w:rsidR="00EC398E">
        <w:rPr>
          <w:rFonts w:cstheme="minorHAnsi"/>
          <w:bCs/>
          <w:lang w:val="fr-FR"/>
        </w:rPr>
        <w:t xml:space="preserve">de </w:t>
      </w:r>
      <w:r w:rsidR="00D64638" w:rsidRPr="00D64638">
        <w:rPr>
          <w:rFonts w:cstheme="minorHAnsi"/>
          <w:bCs/>
          <w:lang w:val="fr-FR"/>
        </w:rPr>
        <w:t xml:space="preserve">l'ONU en juillet 2017, qui examine la mise en œuvre des </w:t>
      </w:r>
      <w:r w:rsidR="00D274C2">
        <w:rPr>
          <w:rFonts w:cstheme="minorHAnsi"/>
          <w:bCs/>
          <w:lang w:val="fr-FR"/>
        </w:rPr>
        <w:t>ODD</w:t>
      </w:r>
      <w:r w:rsidR="00D64638" w:rsidRPr="00D64638">
        <w:rPr>
          <w:rFonts w:cstheme="minorHAnsi"/>
          <w:bCs/>
          <w:lang w:val="fr-FR"/>
        </w:rPr>
        <w:t xml:space="preserve"> et de l'Agenda </w:t>
      </w:r>
      <w:r w:rsidR="00255687">
        <w:rPr>
          <w:rFonts w:cstheme="minorHAnsi"/>
          <w:bCs/>
          <w:lang w:val="fr-FR"/>
        </w:rPr>
        <w:t>2030 d</w:t>
      </w:r>
      <w:r w:rsidR="00D64638" w:rsidRPr="00D64638">
        <w:rPr>
          <w:rFonts w:cstheme="minorHAnsi"/>
          <w:bCs/>
          <w:lang w:val="fr-FR"/>
        </w:rPr>
        <w:t xml:space="preserve">e développement durable, car il n' a pas </w:t>
      </w:r>
      <w:r w:rsidR="0089633C">
        <w:rPr>
          <w:rFonts w:cstheme="minorHAnsi"/>
          <w:bCs/>
          <w:lang w:val="fr-FR"/>
        </w:rPr>
        <w:t xml:space="preserve">ni le statut d'observateur auprès de </w:t>
      </w:r>
      <w:r w:rsidR="00D64638" w:rsidRPr="00D64638">
        <w:rPr>
          <w:rFonts w:cstheme="minorHAnsi"/>
          <w:bCs/>
          <w:lang w:val="fr-FR"/>
        </w:rPr>
        <w:t>l'Assemblée générale des Nations Unies, ni au</w:t>
      </w:r>
      <w:r w:rsidR="0089633C">
        <w:rPr>
          <w:rFonts w:cstheme="minorHAnsi"/>
          <w:bCs/>
          <w:lang w:val="fr-FR"/>
        </w:rPr>
        <w:t>près du</w:t>
      </w:r>
      <w:r w:rsidR="00D64638" w:rsidRPr="00D64638">
        <w:rPr>
          <w:rFonts w:cstheme="minorHAnsi"/>
          <w:bCs/>
          <w:lang w:val="fr-FR"/>
        </w:rPr>
        <w:t xml:space="preserve"> Conseil économique et social des </w:t>
      </w:r>
      <w:r w:rsidR="004B02CB">
        <w:rPr>
          <w:rFonts w:cstheme="minorHAnsi"/>
          <w:bCs/>
          <w:lang w:val="fr-FR"/>
        </w:rPr>
        <w:t>Nations Unies, qui est la plate</w:t>
      </w:r>
      <w:r w:rsidR="00D64638" w:rsidRPr="00D64638">
        <w:rPr>
          <w:rFonts w:cstheme="minorHAnsi"/>
          <w:bCs/>
          <w:lang w:val="fr-FR"/>
        </w:rPr>
        <w:t xml:space="preserve">forme de l'ONU pour le débat sur le développement durable. Le Secrétariat </w:t>
      </w:r>
      <w:r w:rsidR="004B02CB">
        <w:rPr>
          <w:rFonts w:cstheme="minorHAnsi"/>
          <w:bCs/>
          <w:lang w:val="fr-FR"/>
        </w:rPr>
        <w:t xml:space="preserve">en </w:t>
      </w:r>
      <w:r w:rsidR="00D64638" w:rsidRPr="00D64638">
        <w:rPr>
          <w:rFonts w:cstheme="minorHAnsi"/>
          <w:bCs/>
          <w:lang w:val="fr-FR"/>
        </w:rPr>
        <w:t>a informé l'</w:t>
      </w:r>
      <w:r w:rsidR="000D2ABD">
        <w:rPr>
          <w:rFonts w:cstheme="minorHAnsi"/>
          <w:bCs/>
          <w:lang w:val="fr-FR"/>
        </w:rPr>
        <w:t>équipe dirigeante et</w:t>
      </w:r>
      <w:r w:rsidR="00D64638" w:rsidRPr="00D64638">
        <w:rPr>
          <w:rFonts w:cstheme="minorHAnsi"/>
          <w:bCs/>
          <w:lang w:val="fr-FR"/>
        </w:rPr>
        <w:t xml:space="preserve"> les présidents du GTF et, avec le conseiller juridique, a fourni un appui au Président du Comité permanent pour </w:t>
      </w:r>
      <w:r w:rsidR="00A109C3">
        <w:rPr>
          <w:rFonts w:cstheme="minorHAnsi"/>
          <w:bCs/>
          <w:lang w:val="fr-FR"/>
        </w:rPr>
        <w:t xml:space="preserve">présenter </w:t>
      </w:r>
      <w:r w:rsidR="00D64638" w:rsidRPr="00D64638">
        <w:rPr>
          <w:rFonts w:cstheme="minorHAnsi"/>
          <w:bCs/>
          <w:lang w:val="fr-FR"/>
        </w:rPr>
        <w:t xml:space="preserve">une demande de statut d'observateur à l'Assemblée générale. La demande a été reportée </w:t>
      </w:r>
      <w:r w:rsidR="00DE6E77">
        <w:rPr>
          <w:rFonts w:cstheme="minorHAnsi"/>
          <w:bCs/>
          <w:lang w:val="fr-FR"/>
        </w:rPr>
        <w:t>jusqu’</w:t>
      </w:r>
      <w:r w:rsidR="005B3F1F">
        <w:rPr>
          <w:rFonts w:cstheme="minorHAnsi"/>
          <w:bCs/>
          <w:lang w:val="fr-FR"/>
        </w:rPr>
        <w:t>à la 73</w:t>
      </w:r>
      <w:r w:rsidR="005B3F1F" w:rsidRPr="005B3F1F">
        <w:rPr>
          <w:rFonts w:cstheme="minorHAnsi"/>
          <w:bCs/>
          <w:vertAlign w:val="superscript"/>
          <w:lang w:val="fr-FR"/>
        </w:rPr>
        <w:t>e</w:t>
      </w:r>
      <w:r w:rsidR="00D64638" w:rsidRPr="00D64638">
        <w:rPr>
          <w:rFonts w:cstheme="minorHAnsi"/>
          <w:bCs/>
          <w:lang w:val="fr-FR"/>
        </w:rPr>
        <w:t xml:space="preserve"> session de l'Assemblée générale des Nations Unies. Le Secrétariat attend avec </w:t>
      </w:r>
      <w:r w:rsidR="00D51723">
        <w:rPr>
          <w:rFonts w:cstheme="minorHAnsi"/>
          <w:bCs/>
          <w:lang w:val="fr-FR"/>
        </w:rPr>
        <w:t>impatience</w:t>
      </w:r>
      <w:r w:rsidR="00D64638" w:rsidRPr="00D64638">
        <w:rPr>
          <w:rFonts w:cstheme="minorHAnsi"/>
          <w:bCs/>
          <w:lang w:val="fr-FR"/>
        </w:rPr>
        <w:t xml:space="preserve"> l</w:t>
      </w:r>
      <w:r w:rsidR="00527714">
        <w:rPr>
          <w:rFonts w:cstheme="minorHAnsi"/>
          <w:bCs/>
          <w:lang w:val="fr-FR"/>
        </w:rPr>
        <w:t>'examen de cette question lors de</w:t>
      </w:r>
      <w:r w:rsidR="00D51723">
        <w:rPr>
          <w:rFonts w:cstheme="minorHAnsi"/>
          <w:bCs/>
          <w:lang w:val="fr-FR"/>
        </w:rPr>
        <w:t xml:space="preserve"> la</w:t>
      </w:r>
      <w:r w:rsidR="00D64638" w:rsidRPr="00D64638">
        <w:rPr>
          <w:rFonts w:cstheme="minorHAnsi"/>
          <w:bCs/>
          <w:lang w:val="fr-FR"/>
        </w:rPr>
        <w:t xml:space="preserve"> 54</w:t>
      </w:r>
      <w:r w:rsidR="00527714" w:rsidRPr="00527714">
        <w:rPr>
          <w:rFonts w:cstheme="minorHAnsi"/>
          <w:bCs/>
          <w:vertAlign w:val="superscript"/>
          <w:lang w:val="fr-FR"/>
        </w:rPr>
        <w:t>e</w:t>
      </w:r>
      <w:r w:rsidR="00527714">
        <w:rPr>
          <w:rFonts w:cstheme="minorHAnsi"/>
          <w:bCs/>
          <w:lang w:val="fr-FR"/>
        </w:rPr>
        <w:t xml:space="preserve"> </w:t>
      </w:r>
      <w:r w:rsidR="00527714" w:rsidRPr="00527714">
        <w:rPr>
          <w:rFonts w:cstheme="minorHAnsi"/>
          <w:bCs/>
          <w:lang w:val="fr-FR"/>
        </w:rPr>
        <w:t>Réunion du Comité permanen</w:t>
      </w:r>
      <w:r w:rsidR="00527714">
        <w:rPr>
          <w:rFonts w:cstheme="minorHAnsi"/>
          <w:bCs/>
          <w:lang w:val="fr-FR"/>
        </w:rPr>
        <w:t>t</w:t>
      </w:r>
      <w:r w:rsidR="00D64638" w:rsidRPr="00D64638">
        <w:rPr>
          <w:rFonts w:cstheme="minorHAnsi"/>
          <w:bCs/>
          <w:lang w:val="fr-FR"/>
        </w:rPr>
        <w:t xml:space="preserve">, étant donné que l'accès aux </w:t>
      </w:r>
      <w:r w:rsidR="00D51723">
        <w:rPr>
          <w:rFonts w:cstheme="minorHAnsi"/>
          <w:bCs/>
          <w:lang w:val="fr-FR"/>
        </w:rPr>
        <w:t xml:space="preserve">manifestations </w:t>
      </w:r>
      <w:r w:rsidR="00D64638" w:rsidRPr="00D64638">
        <w:rPr>
          <w:rFonts w:cstheme="minorHAnsi"/>
          <w:bCs/>
          <w:lang w:val="fr-FR"/>
        </w:rPr>
        <w:t xml:space="preserve">et </w:t>
      </w:r>
      <w:r w:rsidR="00D51723">
        <w:rPr>
          <w:rFonts w:cstheme="minorHAnsi"/>
          <w:bCs/>
          <w:lang w:val="fr-FR"/>
        </w:rPr>
        <w:t xml:space="preserve">mécanismes </w:t>
      </w:r>
      <w:r w:rsidR="00D64638" w:rsidRPr="00D64638">
        <w:rPr>
          <w:rFonts w:cstheme="minorHAnsi"/>
          <w:bCs/>
          <w:lang w:val="fr-FR"/>
        </w:rPr>
        <w:t xml:space="preserve">pertinents des Nations Unies est essentiel pour </w:t>
      </w:r>
      <w:r w:rsidR="00323DE5">
        <w:rPr>
          <w:rFonts w:cstheme="minorHAnsi"/>
          <w:bCs/>
          <w:lang w:val="fr-FR"/>
        </w:rPr>
        <w:t>sui</w:t>
      </w:r>
      <w:r w:rsidR="00960D95">
        <w:rPr>
          <w:rFonts w:cstheme="minorHAnsi"/>
          <w:bCs/>
          <w:lang w:val="fr-FR"/>
        </w:rPr>
        <w:t xml:space="preserve">vre au mieux </w:t>
      </w:r>
      <w:r w:rsidR="000023D7">
        <w:rPr>
          <w:rFonts w:cstheme="minorHAnsi"/>
          <w:bCs/>
          <w:lang w:val="fr-FR"/>
        </w:rPr>
        <w:t>l</w:t>
      </w:r>
      <w:r w:rsidR="00D64638" w:rsidRPr="00D64638">
        <w:rPr>
          <w:rFonts w:cstheme="minorHAnsi"/>
          <w:bCs/>
          <w:lang w:val="fr-FR"/>
        </w:rPr>
        <w:t xml:space="preserve">es instructions des Parties contractantes, en particulier pour renforcer la pertinence des zones humides et de la Convention lors des futures réunions du </w:t>
      </w:r>
      <w:r w:rsidR="001A2A1A">
        <w:rPr>
          <w:rFonts w:cstheme="minorHAnsi"/>
          <w:bCs/>
          <w:lang w:val="fr-FR"/>
        </w:rPr>
        <w:t>F</w:t>
      </w:r>
      <w:r w:rsidR="00CB60F3">
        <w:rPr>
          <w:rFonts w:cstheme="minorHAnsi"/>
          <w:bCs/>
          <w:lang w:val="fr-FR"/>
        </w:rPr>
        <w:t>PHN</w:t>
      </w:r>
      <w:r w:rsidR="00D64638" w:rsidRPr="00D64638">
        <w:rPr>
          <w:rFonts w:cstheme="minorHAnsi"/>
          <w:bCs/>
          <w:lang w:val="fr-FR"/>
        </w:rPr>
        <w:t xml:space="preserve"> et des réunions pertinentes des Nations Unies, y compris la session du </w:t>
      </w:r>
      <w:r w:rsidR="00CB60F3">
        <w:rPr>
          <w:rFonts w:cstheme="minorHAnsi"/>
          <w:bCs/>
          <w:lang w:val="fr-FR"/>
        </w:rPr>
        <w:t>FPHN</w:t>
      </w:r>
      <w:r w:rsidR="00D64638" w:rsidRPr="00D64638">
        <w:rPr>
          <w:rFonts w:cstheme="minorHAnsi"/>
          <w:bCs/>
          <w:lang w:val="fr-FR"/>
        </w:rPr>
        <w:t xml:space="preserve"> sur les zones humides en juillet 2018, au cours de laquelle les O</w:t>
      </w:r>
      <w:r w:rsidR="001A2A1A">
        <w:rPr>
          <w:rFonts w:cstheme="minorHAnsi"/>
          <w:bCs/>
          <w:lang w:val="fr-FR"/>
        </w:rPr>
        <w:t>D</w:t>
      </w:r>
      <w:r w:rsidR="00D64638" w:rsidRPr="00D64638">
        <w:rPr>
          <w:rFonts w:cstheme="minorHAnsi"/>
          <w:bCs/>
          <w:lang w:val="fr-FR"/>
        </w:rPr>
        <w:t xml:space="preserve">D 15 et 6 seront examinés. Un rapport sur cette question figure </w:t>
      </w:r>
      <w:r w:rsidR="00CB60F3">
        <w:rPr>
          <w:rFonts w:cstheme="minorHAnsi"/>
          <w:bCs/>
          <w:lang w:val="fr-FR"/>
        </w:rPr>
        <w:t>au</w:t>
      </w:r>
      <w:r w:rsidR="00D64638" w:rsidRPr="00D64638">
        <w:rPr>
          <w:rFonts w:cstheme="minorHAnsi"/>
          <w:bCs/>
          <w:lang w:val="fr-FR"/>
        </w:rPr>
        <w:t xml:space="preserve"> </w:t>
      </w:r>
      <w:r w:rsidR="00527714">
        <w:rPr>
          <w:rFonts w:cstheme="minorHAnsi"/>
          <w:bCs/>
          <w:lang w:val="fr-FR"/>
        </w:rPr>
        <w:t xml:space="preserve">document </w:t>
      </w:r>
      <w:r w:rsidR="00D64638" w:rsidRPr="00D64638">
        <w:rPr>
          <w:rFonts w:cstheme="minorHAnsi"/>
          <w:bCs/>
          <w:lang w:val="fr-FR"/>
        </w:rPr>
        <w:t xml:space="preserve">SC54-15, intitulé </w:t>
      </w:r>
      <w:r w:rsidR="00D64638" w:rsidRPr="00695B03">
        <w:rPr>
          <w:rFonts w:cstheme="minorHAnsi"/>
          <w:bCs/>
          <w:i/>
          <w:lang w:val="fr-FR"/>
        </w:rPr>
        <w:t>Statut d'observateur auprès de l'Assemblée générale des Nations Unies</w:t>
      </w:r>
      <w:r w:rsidR="00D64638" w:rsidRPr="00D64638">
        <w:rPr>
          <w:rFonts w:cstheme="minorHAnsi"/>
          <w:bCs/>
          <w:lang w:val="fr-FR"/>
        </w:rPr>
        <w:t>.</w:t>
      </w:r>
      <w:r w:rsidR="006924FE" w:rsidRPr="00D64638">
        <w:rPr>
          <w:rFonts w:cstheme="minorHAnsi"/>
          <w:bCs/>
          <w:lang w:val="fr-FR"/>
        </w:rPr>
        <w:t xml:space="preserve"> </w:t>
      </w:r>
    </w:p>
    <w:p w14:paraId="01C5B25A" w14:textId="77777777" w:rsidR="000D54A1" w:rsidRPr="00D64638" w:rsidRDefault="000D54A1" w:rsidP="00570F86">
      <w:pPr>
        <w:rPr>
          <w:rFonts w:cs="Arial"/>
          <w:lang w:val="fr-FR"/>
        </w:rPr>
      </w:pPr>
    </w:p>
    <w:p w14:paraId="1857D621" w14:textId="026D50A2" w:rsidR="001D3E01" w:rsidRPr="00D36A21" w:rsidRDefault="002C5114" w:rsidP="00F36D96">
      <w:pPr>
        <w:ind w:left="0" w:firstLine="0"/>
        <w:rPr>
          <w:b/>
          <w:bCs/>
          <w:lang w:val="fr-FR"/>
        </w:rPr>
      </w:pPr>
      <w:r w:rsidRPr="00D36A21">
        <w:rPr>
          <w:b/>
          <w:bCs/>
          <w:lang w:val="fr-FR"/>
        </w:rPr>
        <w:t>Renforcer l’appui et favoriser l’application</w:t>
      </w:r>
    </w:p>
    <w:p w14:paraId="7CBE62A4" w14:textId="77777777" w:rsidR="0091414E" w:rsidRPr="00D36A21" w:rsidRDefault="0091414E" w:rsidP="00570F86">
      <w:pPr>
        <w:keepNext/>
        <w:rPr>
          <w:rFonts w:cs="Arial"/>
          <w:lang w:val="fr-FR"/>
        </w:rPr>
      </w:pPr>
    </w:p>
    <w:p w14:paraId="2EDB1654" w14:textId="7EB63A53" w:rsidR="00A10071" w:rsidRPr="0051376E" w:rsidRDefault="00652DF0" w:rsidP="0051376E">
      <w:pPr>
        <w:rPr>
          <w:lang w:val="fr-FR"/>
        </w:rPr>
      </w:pPr>
      <w:r w:rsidRPr="0051376E">
        <w:rPr>
          <w:lang w:val="fr-FR"/>
        </w:rPr>
        <w:t>23</w:t>
      </w:r>
      <w:r w:rsidR="008133BA" w:rsidRPr="0051376E">
        <w:rPr>
          <w:lang w:val="fr-FR"/>
        </w:rPr>
        <w:t>.</w:t>
      </w:r>
      <w:r w:rsidR="008133BA" w:rsidRPr="0051376E">
        <w:rPr>
          <w:lang w:val="fr-FR"/>
        </w:rPr>
        <w:tab/>
      </w:r>
      <w:r w:rsidR="0051376E">
        <w:rPr>
          <w:lang w:val="fr-FR"/>
        </w:rPr>
        <w:t>Depuis le précédent rapport de</w:t>
      </w:r>
      <w:r w:rsidR="0051376E" w:rsidRPr="0051376E">
        <w:rPr>
          <w:lang w:val="fr-FR"/>
        </w:rPr>
        <w:t xml:space="preserve"> </w:t>
      </w:r>
      <w:r w:rsidR="0051376E">
        <w:rPr>
          <w:lang w:val="fr-FR"/>
        </w:rPr>
        <w:t xml:space="preserve">la </w:t>
      </w:r>
      <w:r w:rsidR="0051376E" w:rsidRPr="0051376E">
        <w:rPr>
          <w:lang w:val="fr-FR"/>
        </w:rPr>
        <w:t xml:space="preserve">Secrétaire général </w:t>
      </w:r>
      <w:r w:rsidR="0051376E">
        <w:rPr>
          <w:lang w:val="fr-FR"/>
        </w:rPr>
        <w:t>à la</w:t>
      </w:r>
      <w:r w:rsidR="002B2480">
        <w:rPr>
          <w:lang w:val="fr-FR"/>
        </w:rPr>
        <w:t xml:space="preserve"> 53</w:t>
      </w:r>
      <w:r w:rsidR="002B2480" w:rsidRPr="002B2480">
        <w:rPr>
          <w:vertAlign w:val="superscript"/>
          <w:lang w:val="fr-FR"/>
        </w:rPr>
        <w:t>e</w:t>
      </w:r>
      <w:r w:rsidR="002B2480">
        <w:rPr>
          <w:lang w:val="fr-FR"/>
        </w:rPr>
        <w:t xml:space="preserve"> </w:t>
      </w:r>
      <w:r w:rsidR="002B2480" w:rsidRPr="002B2480">
        <w:rPr>
          <w:lang w:val="fr-FR"/>
        </w:rPr>
        <w:t>Réunion du Comité permanen</w:t>
      </w:r>
      <w:r w:rsidR="002B2480">
        <w:rPr>
          <w:lang w:val="fr-FR"/>
        </w:rPr>
        <w:t>t</w:t>
      </w:r>
      <w:r w:rsidR="0051376E" w:rsidRPr="0051376E">
        <w:rPr>
          <w:lang w:val="fr-FR"/>
        </w:rPr>
        <w:t xml:space="preserve">, le Secrétariat a </w:t>
      </w:r>
      <w:r w:rsidR="00527714" w:rsidRPr="00527714">
        <w:rPr>
          <w:lang w:val="fr-FR"/>
        </w:rPr>
        <w:t xml:space="preserve">accordé son appui au processus d’inscription </w:t>
      </w:r>
      <w:r w:rsidR="00527714">
        <w:rPr>
          <w:lang w:val="fr-FR"/>
        </w:rPr>
        <w:t>de 42 S</w:t>
      </w:r>
      <w:r w:rsidR="0051376E" w:rsidRPr="0051376E">
        <w:rPr>
          <w:lang w:val="fr-FR"/>
        </w:rPr>
        <w:t xml:space="preserve">ites Ramsar et </w:t>
      </w:r>
      <w:r w:rsidR="00527714">
        <w:rPr>
          <w:lang w:val="fr-FR"/>
        </w:rPr>
        <w:t xml:space="preserve">à </w:t>
      </w:r>
      <w:r w:rsidR="0051376E" w:rsidRPr="0051376E">
        <w:rPr>
          <w:lang w:val="fr-FR"/>
        </w:rPr>
        <w:t xml:space="preserve">la mise à jour des informations </w:t>
      </w:r>
      <w:r w:rsidR="00C95DDF">
        <w:rPr>
          <w:lang w:val="fr-FR"/>
        </w:rPr>
        <w:t>relatives à</w:t>
      </w:r>
      <w:r w:rsidR="0051376E" w:rsidRPr="0051376E">
        <w:rPr>
          <w:lang w:val="fr-FR"/>
        </w:rPr>
        <w:t xml:space="preserve"> 12</w:t>
      </w:r>
      <w:r w:rsidR="00C95DDF">
        <w:rPr>
          <w:lang w:val="fr-FR"/>
        </w:rPr>
        <w:t>2 S</w:t>
      </w:r>
      <w:r w:rsidR="0051376E" w:rsidRPr="0051376E">
        <w:rPr>
          <w:lang w:val="fr-FR"/>
        </w:rPr>
        <w:t xml:space="preserve">ites Ramsar existants, y compris </w:t>
      </w:r>
      <w:r w:rsidR="006B5F26" w:rsidRPr="006B5F26">
        <w:rPr>
          <w:lang w:val="fr-FR"/>
        </w:rPr>
        <w:t xml:space="preserve">y compris à un appui à la compilation de données </w:t>
      </w:r>
      <w:r w:rsidR="0030651D">
        <w:rPr>
          <w:lang w:val="fr-FR"/>
        </w:rPr>
        <w:t>dans l</w:t>
      </w:r>
      <w:r w:rsidR="0051376E" w:rsidRPr="0051376E">
        <w:rPr>
          <w:lang w:val="fr-FR"/>
        </w:rPr>
        <w:t>e</w:t>
      </w:r>
      <w:r w:rsidR="0030651D">
        <w:rPr>
          <w:lang w:val="fr-FR"/>
        </w:rPr>
        <w:t xml:space="preserve"> S</w:t>
      </w:r>
      <w:r w:rsidR="004F285D">
        <w:rPr>
          <w:lang w:val="fr-FR"/>
        </w:rPr>
        <w:t>ystème</w:t>
      </w:r>
      <w:r w:rsidR="008B0CA6">
        <w:rPr>
          <w:lang w:val="fr-FR"/>
        </w:rPr>
        <w:t xml:space="preserve"> </w:t>
      </w:r>
      <w:r w:rsidR="0030651D">
        <w:rPr>
          <w:lang w:val="fr-FR"/>
        </w:rPr>
        <w:t>d'information sur les S</w:t>
      </w:r>
      <w:r w:rsidR="00680C69">
        <w:rPr>
          <w:lang w:val="fr-FR"/>
        </w:rPr>
        <w:t>ites Ramsar (RSIS), à l</w:t>
      </w:r>
      <w:r w:rsidR="0051376E" w:rsidRPr="0051376E">
        <w:rPr>
          <w:lang w:val="fr-FR"/>
        </w:rPr>
        <w:t xml:space="preserve">a publication et </w:t>
      </w:r>
      <w:r w:rsidR="00680C69">
        <w:rPr>
          <w:lang w:val="fr-FR"/>
        </w:rPr>
        <w:t>aux</w:t>
      </w:r>
      <w:r w:rsidR="0051376E" w:rsidRPr="0051376E">
        <w:rPr>
          <w:lang w:val="fr-FR"/>
        </w:rPr>
        <w:t xml:space="preserve"> traductions. Le Secrétariat a soutenu les Parties contractantes </w:t>
      </w:r>
      <w:r w:rsidR="00680C69">
        <w:rPr>
          <w:lang w:val="fr-FR"/>
        </w:rPr>
        <w:t>grâce à</w:t>
      </w:r>
      <w:r w:rsidR="0051376E" w:rsidRPr="0051376E">
        <w:rPr>
          <w:lang w:val="fr-FR"/>
        </w:rPr>
        <w:t xml:space="preserve"> sept Missions consultatives Ramsar (MCR)</w:t>
      </w:r>
      <w:r w:rsidR="00680C69">
        <w:rPr>
          <w:lang w:val="fr-FR"/>
        </w:rPr>
        <w:t xml:space="preserve"> : Indonésie (Parc national de Be</w:t>
      </w:r>
      <w:r w:rsidR="0051376E" w:rsidRPr="0051376E">
        <w:rPr>
          <w:lang w:val="fr-FR"/>
        </w:rPr>
        <w:t>r</w:t>
      </w:r>
      <w:r w:rsidR="00680C69">
        <w:rPr>
          <w:lang w:val="fr-FR"/>
        </w:rPr>
        <w:t xml:space="preserve">bak), Italie (Laguna di Venezia </w:t>
      </w:r>
      <w:r w:rsidR="0051376E" w:rsidRPr="0051376E">
        <w:rPr>
          <w:lang w:val="fr-FR"/>
        </w:rPr>
        <w:t>: Valle Averto conjointement avec le Centre du patrimoine mondial), Norvège (Système de zones humides Nord</w:t>
      </w:r>
      <w:r w:rsidR="00A27326">
        <w:rPr>
          <w:lang w:val="fr-FR"/>
        </w:rPr>
        <w:t>re</w:t>
      </w:r>
      <w:r w:rsidR="0051376E" w:rsidRPr="0051376E">
        <w:rPr>
          <w:lang w:val="fr-FR"/>
        </w:rPr>
        <w:t xml:space="preserve"> Tyrifjord), Sénégal (Réserve Spécial</w:t>
      </w:r>
      <w:r w:rsidR="004D06B2">
        <w:rPr>
          <w:lang w:val="fr-FR"/>
        </w:rPr>
        <w:t>e de Faune de Ndiaël), Émirats a</w:t>
      </w:r>
      <w:r w:rsidR="0051376E" w:rsidRPr="0051376E">
        <w:rPr>
          <w:lang w:val="fr-FR"/>
        </w:rPr>
        <w:t>rabe</w:t>
      </w:r>
      <w:r w:rsidR="004D06B2">
        <w:rPr>
          <w:lang w:val="fr-FR"/>
        </w:rPr>
        <w:t xml:space="preserve">s unis (Ras Al Khor), </w:t>
      </w:r>
      <w:r w:rsidR="0051376E" w:rsidRPr="0051376E">
        <w:rPr>
          <w:lang w:val="fr-FR"/>
        </w:rPr>
        <w:t>République-Unie de Tanzanie (plaine d'inondatio</w:t>
      </w:r>
      <w:r w:rsidR="004D06B2">
        <w:rPr>
          <w:lang w:val="fr-FR"/>
        </w:rPr>
        <w:t>n de la vallée de Kilombero), Iraq et</w:t>
      </w:r>
      <w:r w:rsidR="0051376E" w:rsidRPr="0051376E">
        <w:rPr>
          <w:lang w:val="fr-FR"/>
        </w:rPr>
        <w:t xml:space="preserve"> République islamique d'Iran (</w:t>
      </w:r>
      <w:r w:rsidR="00A14646">
        <w:rPr>
          <w:lang w:val="fr-FR"/>
        </w:rPr>
        <w:t xml:space="preserve">le marais de </w:t>
      </w:r>
      <w:r w:rsidR="0051376E" w:rsidRPr="0051376E">
        <w:rPr>
          <w:lang w:val="fr-FR"/>
        </w:rPr>
        <w:t xml:space="preserve">Hawizeh, </w:t>
      </w:r>
      <w:r w:rsidR="00A14646">
        <w:rPr>
          <w:lang w:val="fr-FR"/>
        </w:rPr>
        <w:t xml:space="preserve">le marais </w:t>
      </w:r>
      <w:r w:rsidR="00557EB7">
        <w:rPr>
          <w:lang w:val="fr-FR"/>
        </w:rPr>
        <w:t xml:space="preserve">Central </w:t>
      </w:r>
      <w:r w:rsidR="002B2480">
        <w:rPr>
          <w:lang w:val="fr-FR"/>
        </w:rPr>
        <w:t xml:space="preserve">et marais de Hammar). La </w:t>
      </w:r>
      <w:r w:rsidR="0051376E" w:rsidRPr="0051376E">
        <w:rPr>
          <w:lang w:val="fr-FR"/>
        </w:rPr>
        <w:t>53</w:t>
      </w:r>
      <w:r w:rsidR="002B2480" w:rsidRPr="002B2480">
        <w:rPr>
          <w:vertAlign w:val="superscript"/>
          <w:lang w:val="fr-FR"/>
        </w:rPr>
        <w:t>e</w:t>
      </w:r>
      <w:r w:rsidR="002B2480">
        <w:rPr>
          <w:lang w:val="fr-FR"/>
        </w:rPr>
        <w:t xml:space="preserve"> </w:t>
      </w:r>
      <w:r w:rsidR="002B2480" w:rsidRPr="002B2480">
        <w:rPr>
          <w:lang w:val="fr-FR"/>
        </w:rPr>
        <w:t>Réunion du Comité permanen</w:t>
      </w:r>
      <w:r w:rsidR="002B2480">
        <w:rPr>
          <w:lang w:val="fr-FR"/>
        </w:rPr>
        <w:t>t</w:t>
      </w:r>
      <w:r w:rsidR="003D41A8">
        <w:rPr>
          <w:lang w:val="fr-FR"/>
        </w:rPr>
        <w:t xml:space="preserve"> a approuvé des fonds pour d</w:t>
      </w:r>
      <w:r w:rsidR="0051376E" w:rsidRPr="0051376E">
        <w:rPr>
          <w:lang w:val="fr-FR"/>
        </w:rPr>
        <w:t xml:space="preserve">es </w:t>
      </w:r>
      <w:r w:rsidR="003D41A8">
        <w:rPr>
          <w:lang w:val="fr-FR"/>
        </w:rPr>
        <w:t xml:space="preserve">MCR, </w:t>
      </w:r>
      <w:r w:rsidR="003D41A8">
        <w:rPr>
          <w:lang w:val="fr-FR"/>
        </w:rPr>
        <w:lastRenderedPageBreak/>
        <w:t>notamment au Nicaragua (</w:t>
      </w:r>
      <w:r w:rsidR="001D1F63" w:rsidRPr="001D1F63">
        <w:rPr>
          <w:lang w:val="fr-FR"/>
        </w:rPr>
        <w:t>Site Ramsar de Bluefield et Corn Island</w:t>
      </w:r>
      <w:r w:rsidR="001D1F63">
        <w:rPr>
          <w:lang w:val="fr-FR"/>
        </w:rPr>
        <w:t>), en Côte d'Ivoire (S</w:t>
      </w:r>
      <w:r w:rsidR="0051376E" w:rsidRPr="0051376E">
        <w:rPr>
          <w:lang w:val="fr-FR"/>
        </w:rPr>
        <w:t>i</w:t>
      </w:r>
      <w:r w:rsidR="001D1F63">
        <w:rPr>
          <w:lang w:val="fr-FR"/>
        </w:rPr>
        <w:t>te Ramsar de Grand Bassam) et en Ouganda (</w:t>
      </w:r>
      <w:r w:rsidR="00CF2DEB" w:rsidRPr="00CF2DEB">
        <w:rPr>
          <w:lang w:val="fr-FR"/>
        </w:rPr>
        <w:t>Site Ramsar du Système de zones humides des chutes de Murchison –delta Albert et Site Ramsar du lac George</w:t>
      </w:r>
      <w:r w:rsidR="0051376E" w:rsidRPr="0051376E">
        <w:rPr>
          <w:lang w:val="fr-FR"/>
        </w:rPr>
        <w:t>) qui auront lieu en 2018.</w:t>
      </w:r>
    </w:p>
    <w:p w14:paraId="25F46BF5" w14:textId="77777777" w:rsidR="00D352B8" w:rsidRPr="0051376E" w:rsidRDefault="00D352B8" w:rsidP="00570F86">
      <w:pPr>
        <w:rPr>
          <w:lang w:val="fr-FR"/>
        </w:rPr>
      </w:pPr>
    </w:p>
    <w:p w14:paraId="2CDE6EDF" w14:textId="1F71B08C" w:rsidR="001D3733" w:rsidRPr="00CF2DEB" w:rsidRDefault="00B31A2B" w:rsidP="00570F86">
      <w:pPr>
        <w:rPr>
          <w:lang w:val="fr-FR"/>
        </w:rPr>
      </w:pPr>
      <w:r w:rsidRPr="00CF2DEB">
        <w:rPr>
          <w:lang w:val="fr-FR"/>
        </w:rPr>
        <w:t>24</w:t>
      </w:r>
      <w:r w:rsidR="008133BA" w:rsidRPr="00CF2DEB">
        <w:rPr>
          <w:lang w:val="fr-FR"/>
        </w:rPr>
        <w:t>.</w:t>
      </w:r>
      <w:r w:rsidR="008133BA" w:rsidRPr="00CF2DEB">
        <w:rPr>
          <w:lang w:val="fr-FR"/>
        </w:rPr>
        <w:tab/>
      </w:r>
      <w:r w:rsidR="00CF2DEB" w:rsidRPr="00CF2DEB">
        <w:rPr>
          <w:lang w:val="fr-FR"/>
        </w:rPr>
        <w:t xml:space="preserve">Comme mentionné dans le rapport </w:t>
      </w:r>
      <w:r w:rsidR="00CF2DEB">
        <w:rPr>
          <w:lang w:val="fr-FR"/>
        </w:rPr>
        <w:t xml:space="preserve">soumis </w:t>
      </w:r>
      <w:r w:rsidR="005A44D8">
        <w:rPr>
          <w:lang w:val="fr-FR"/>
        </w:rPr>
        <w:t>à la 53</w:t>
      </w:r>
      <w:r w:rsidR="005A44D8" w:rsidRPr="005A44D8">
        <w:rPr>
          <w:vertAlign w:val="superscript"/>
          <w:lang w:val="fr-FR"/>
        </w:rPr>
        <w:t>e</w:t>
      </w:r>
      <w:r w:rsidR="00CF2DEB" w:rsidRPr="00CF2DEB">
        <w:rPr>
          <w:lang w:val="fr-FR"/>
        </w:rPr>
        <w:t xml:space="preserve"> Réunion du Comité permanent, le Secrétariat </w:t>
      </w:r>
      <w:r w:rsidR="00AD3F49" w:rsidRPr="00AD3F49">
        <w:rPr>
          <w:lang w:val="fr-FR"/>
        </w:rPr>
        <w:t>a priorisé la saisie des données du Service d’information sur les Sites Ramsar (SISR)</w:t>
      </w:r>
      <w:r w:rsidR="00CF2DEB" w:rsidRPr="00CF2DEB">
        <w:rPr>
          <w:lang w:val="fr-FR"/>
        </w:rPr>
        <w:t xml:space="preserve">. </w:t>
      </w:r>
      <w:r w:rsidR="00AD3F49">
        <w:rPr>
          <w:lang w:val="fr-FR"/>
        </w:rPr>
        <w:t xml:space="preserve">À </w:t>
      </w:r>
      <w:r w:rsidR="00CF2DEB" w:rsidRPr="00CF2DEB">
        <w:rPr>
          <w:lang w:val="fr-FR"/>
        </w:rPr>
        <w:t>la fin de 2017, l</w:t>
      </w:r>
      <w:r w:rsidR="00AD3F49">
        <w:rPr>
          <w:lang w:val="fr-FR"/>
        </w:rPr>
        <w:t>a saisie</w:t>
      </w:r>
      <w:r w:rsidR="00CF2DEB" w:rsidRPr="00CF2DEB">
        <w:rPr>
          <w:lang w:val="fr-FR"/>
        </w:rPr>
        <w:t xml:space="preserve"> des données </w:t>
      </w:r>
      <w:r w:rsidR="00AD3F49">
        <w:rPr>
          <w:lang w:val="fr-FR"/>
        </w:rPr>
        <w:t>était</w:t>
      </w:r>
      <w:r w:rsidR="00CF2DEB" w:rsidRPr="00CF2DEB">
        <w:rPr>
          <w:lang w:val="fr-FR"/>
        </w:rPr>
        <w:t xml:space="preserve"> achevé</w:t>
      </w:r>
      <w:r w:rsidR="00AD3F49">
        <w:rPr>
          <w:lang w:val="fr-FR"/>
        </w:rPr>
        <w:t>e</w:t>
      </w:r>
      <w:r w:rsidR="00CF2DEB" w:rsidRPr="00CF2DEB">
        <w:rPr>
          <w:lang w:val="fr-FR"/>
        </w:rPr>
        <w:t xml:space="preserve"> pour 1 095 sites Ramsar et toutes les données de l'ancienne base de données </w:t>
      </w:r>
      <w:r w:rsidR="00AD3F49">
        <w:rPr>
          <w:lang w:val="fr-FR"/>
        </w:rPr>
        <w:t>avaient été transférées vers la nouvelle plate</w:t>
      </w:r>
      <w:r w:rsidR="00CF2DEB" w:rsidRPr="00CF2DEB">
        <w:rPr>
          <w:lang w:val="fr-FR"/>
        </w:rPr>
        <w:t xml:space="preserve">forme </w:t>
      </w:r>
      <w:r w:rsidR="00AD3F49">
        <w:rPr>
          <w:lang w:val="fr-FR"/>
        </w:rPr>
        <w:t>SISR</w:t>
      </w:r>
      <w:r w:rsidR="00CF2DEB" w:rsidRPr="00CF2DEB">
        <w:rPr>
          <w:lang w:val="fr-FR"/>
        </w:rPr>
        <w:t>.</w:t>
      </w:r>
    </w:p>
    <w:p w14:paraId="6C5024D2" w14:textId="77777777" w:rsidR="001D3733" w:rsidRPr="00CF2DEB" w:rsidRDefault="001D3733" w:rsidP="00570F86">
      <w:pPr>
        <w:rPr>
          <w:lang w:val="fr-FR"/>
        </w:rPr>
      </w:pPr>
    </w:p>
    <w:p w14:paraId="050E8F6F" w14:textId="3DCB2BD4" w:rsidR="00AD3F49" w:rsidRPr="00AD3F49" w:rsidRDefault="00B31A2B" w:rsidP="00AD3F49">
      <w:pPr>
        <w:rPr>
          <w:lang w:val="fr-FR"/>
        </w:rPr>
      </w:pPr>
      <w:r w:rsidRPr="00AD3F49">
        <w:rPr>
          <w:lang w:val="fr-FR"/>
        </w:rPr>
        <w:t>25</w:t>
      </w:r>
      <w:r w:rsidR="008133BA" w:rsidRPr="00AD3F49">
        <w:rPr>
          <w:lang w:val="fr-FR"/>
        </w:rPr>
        <w:t>.</w:t>
      </w:r>
      <w:r w:rsidR="008133BA" w:rsidRPr="00AD3F49">
        <w:rPr>
          <w:lang w:val="fr-FR"/>
        </w:rPr>
        <w:tab/>
      </w:r>
      <w:r w:rsidR="009E3083" w:rsidRPr="009E3083">
        <w:rPr>
          <w:lang w:val="fr-FR"/>
        </w:rPr>
        <w:t xml:space="preserve">Le Secrétariat </w:t>
      </w:r>
      <w:r w:rsidR="009E3083">
        <w:rPr>
          <w:lang w:val="fr-FR"/>
        </w:rPr>
        <w:t xml:space="preserve">a poursuivi ses efforts pour </w:t>
      </w:r>
      <w:r w:rsidR="009E3083" w:rsidRPr="009E3083">
        <w:rPr>
          <w:lang w:val="fr-FR"/>
        </w:rPr>
        <w:t>renforce</w:t>
      </w:r>
      <w:r w:rsidR="009E3083">
        <w:rPr>
          <w:lang w:val="fr-FR"/>
        </w:rPr>
        <w:t>r</w:t>
      </w:r>
      <w:r w:rsidR="009E3083" w:rsidRPr="009E3083">
        <w:rPr>
          <w:lang w:val="fr-FR"/>
        </w:rPr>
        <w:t xml:space="preserve"> son rôle de facilitation </w:t>
      </w:r>
      <w:r w:rsidR="009E3083">
        <w:rPr>
          <w:lang w:val="fr-FR"/>
        </w:rPr>
        <w:t>(</w:t>
      </w:r>
      <w:r w:rsidR="00F86CAC">
        <w:rPr>
          <w:lang w:val="fr-FR"/>
        </w:rPr>
        <w:t xml:space="preserve">en ce qui </w:t>
      </w:r>
      <w:r w:rsidR="00333E71">
        <w:rPr>
          <w:lang w:val="fr-FR"/>
        </w:rPr>
        <w:t xml:space="preserve">concerne </w:t>
      </w:r>
      <w:r w:rsidR="00333E71" w:rsidRPr="009E3083">
        <w:rPr>
          <w:lang w:val="fr-FR"/>
        </w:rPr>
        <w:t>l’appui</w:t>
      </w:r>
      <w:r w:rsidR="00F86CAC" w:rsidRPr="00AD3F49">
        <w:rPr>
          <w:lang w:val="fr-FR"/>
        </w:rPr>
        <w:t xml:space="preserve"> direct aux différentes Parties contractantes</w:t>
      </w:r>
      <w:r w:rsidR="00F86CAC">
        <w:rPr>
          <w:lang w:val="fr-FR"/>
        </w:rPr>
        <w:t xml:space="preserve">) afin </w:t>
      </w:r>
      <w:r w:rsidR="009E3083" w:rsidRPr="009E3083">
        <w:rPr>
          <w:lang w:val="fr-FR"/>
        </w:rPr>
        <w:t>de déployer ses capacités et ses ressources limitées de la manière la plus efficace</w:t>
      </w:r>
      <w:r w:rsidR="00F86CAC">
        <w:rPr>
          <w:lang w:val="fr-FR"/>
        </w:rPr>
        <w:t xml:space="preserve"> et stratégique</w:t>
      </w:r>
      <w:r w:rsidR="009E3083" w:rsidRPr="009E3083">
        <w:rPr>
          <w:lang w:val="fr-FR"/>
        </w:rPr>
        <w:t xml:space="preserve"> possible.</w:t>
      </w:r>
      <w:r w:rsidR="00AD3F49" w:rsidRPr="00AD3F49">
        <w:rPr>
          <w:lang w:val="fr-FR"/>
        </w:rPr>
        <w:t xml:space="preserve"> En ce qui concerne le renforcement des capacités, le Secrétariat a introduit des approches fondées sur l'Internet et en particulier l'utilisation des webinaires. Quatre séances de formation sur l'utilisation du SISR ont été organisées, auxquelles ont participé 53 participants de 23 Parties contractantes. Afin d'aider les Parties contractantes </w:t>
      </w:r>
      <w:r w:rsidR="00AD1FBC">
        <w:rPr>
          <w:lang w:val="fr-FR"/>
        </w:rPr>
        <w:t xml:space="preserve">à préparer </w:t>
      </w:r>
      <w:r w:rsidR="00AD3F49" w:rsidRPr="00AD3F49">
        <w:rPr>
          <w:lang w:val="fr-FR"/>
        </w:rPr>
        <w:t>des rapports nationaux et</w:t>
      </w:r>
      <w:r w:rsidR="00940C14">
        <w:rPr>
          <w:lang w:val="fr-FR"/>
        </w:rPr>
        <w:t xml:space="preserve"> de suivi </w:t>
      </w:r>
      <w:r w:rsidR="00E67A28">
        <w:rPr>
          <w:lang w:val="fr-FR"/>
        </w:rPr>
        <w:t>sur « l'étendue des zones humides »</w:t>
      </w:r>
      <w:r w:rsidR="00AD3F49" w:rsidRPr="00AD3F49">
        <w:rPr>
          <w:lang w:val="fr-FR"/>
        </w:rPr>
        <w:t xml:space="preserve"> en tant que contribution à </w:t>
      </w:r>
      <w:r w:rsidR="00E67A28">
        <w:rPr>
          <w:lang w:val="fr-FR"/>
        </w:rPr>
        <w:t xml:space="preserve">l’indicateur </w:t>
      </w:r>
      <w:r w:rsidR="00AD3F49" w:rsidRPr="00AD3F49">
        <w:rPr>
          <w:lang w:val="fr-FR"/>
        </w:rPr>
        <w:t>6.6.1</w:t>
      </w:r>
      <w:r w:rsidR="00940C14">
        <w:rPr>
          <w:lang w:val="fr-FR"/>
        </w:rPr>
        <w:t xml:space="preserve"> de l’ODD6</w:t>
      </w:r>
      <w:r w:rsidR="00AD3F49" w:rsidRPr="00AD3F49">
        <w:rPr>
          <w:lang w:val="fr-FR"/>
        </w:rPr>
        <w:t>, le Secrétariat a élaboré un tutoriel pour le Système de rapports nationaux en ligne</w:t>
      </w:r>
      <w:r w:rsidR="000677A9">
        <w:rPr>
          <w:lang w:val="fr-FR"/>
        </w:rPr>
        <w:t>,</w:t>
      </w:r>
      <w:r w:rsidR="00AD3F49" w:rsidRPr="00AD3F49">
        <w:rPr>
          <w:lang w:val="fr-FR"/>
        </w:rPr>
        <w:t xml:space="preserve"> et des lignes directrices sur les informations à fournir </w:t>
      </w:r>
      <w:r w:rsidR="00AD7EAB">
        <w:rPr>
          <w:lang w:val="fr-FR"/>
        </w:rPr>
        <w:t>par rapport à la Cible 8 « </w:t>
      </w:r>
      <w:r w:rsidR="00AD3F49" w:rsidRPr="00AD3F49">
        <w:rPr>
          <w:lang w:val="fr-FR"/>
        </w:rPr>
        <w:t>Invent</w:t>
      </w:r>
      <w:r w:rsidR="00AD7EAB">
        <w:rPr>
          <w:lang w:val="fr-FR"/>
        </w:rPr>
        <w:t>aire national des zones humides » et en particulier sur « l'étendue des zones humides »</w:t>
      </w:r>
      <w:r w:rsidR="00AD3F49" w:rsidRPr="00AD3F49">
        <w:rPr>
          <w:lang w:val="fr-FR"/>
        </w:rPr>
        <w:t xml:space="preserve">. Ce tutoriel a été </w:t>
      </w:r>
      <w:r w:rsidR="00AD7EAB">
        <w:rPr>
          <w:lang w:val="fr-FR"/>
        </w:rPr>
        <w:t xml:space="preserve">diffusé </w:t>
      </w:r>
      <w:r w:rsidR="00AD3F49" w:rsidRPr="00AD3F49">
        <w:rPr>
          <w:lang w:val="fr-FR"/>
        </w:rPr>
        <w:t>vi</w:t>
      </w:r>
      <w:r w:rsidR="00AD7EAB">
        <w:rPr>
          <w:lang w:val="fr-FR"/>
        </w:rPr>
        <w:t>a des webinaires et des appels sur S</w:t>
      </w:r>
      <w:r w:rsidR="00AD3F49" w:rsidRPr="00AD3F49">
        <w:rPr>
          <w:lang w:val="fr-FR"/>
        </w:rPr>
        <w:t xml:space="preserve">kype. </w:t>
      </w:r>
      <w:r w:rsidR="00AD7EAB">
        <w:rPr>
          <w:lang w:val="fr-FR"/>
        </w:rPr>
        <w:t>L</w:t>
      </w:r>
      <w:r w:rsidR="00AD3F49" w:rsidRPr="00AD3F49">
        <w:rPr>
          <w:lang w:val="fr-FR"/>
        </w:rPr>
        <w:t xml:space="preserve">es capacités ont </w:t>
      </w:r>
      <w:r w:rsidR="00AD7EAB">
        <w:rPr>
          <w:lang w:val="fr-FR"/>
        </w:rPr>
        <w:t xml:space="preserve">également </w:t>
      </w:r>
      <w:r w:rsidR="00AD3F49" w:rsidRPr="00AD3F49">
        <w:rPr>
          <w:lang w:val="fr-FR"/>
        </w:rPr>
        <w:t xml:space="preserve">été renforcées </w:t>
      </w:r>
      <w:r w:rsidR="00AD7EAB">
        <w:rPr>
          <w:lang w:val="fr-FR"/>
        </w:rPr>
        <w:t xml:space="preserve">dans le domaine de </w:t>
      </w:r>
      <w:r w:rsidR="00AD3F49" w:rsidRPr="00AD3F49">
        <w:rPr>
          <w:lang w:val="fr-FR"/>
        </w:rPr>
        <w:t xml:space="preserve">l'utilisation des outils d'observation de la Terre pour la cartographie et l'inventaire des zones humides (GlobWetland Africa Toolbox). Des efforts sont </w:t>
      </w:r>
      <w:r w:rsidR="00AD7EAB">
        <w:rPr>
          <w:lang w:val="fr-FR"/>
        </w:rPr>
        <w:t xml:space="preserve">déployés en faveur d’une </w:t>
      </w:r>
      <w:r w:rsidR="00AD3F49" w:rsidRPr="00AD3F49">
        <w:rPr>
          <w:lang w:val="fr-FR"/>
        </w:rPr>
        <w:t>coord</w:t>
      </w:r>
      <w:r w:rsidR="00AD7EAB">
        <w:rPr>
          <w:lang w:val="fr-FR"/>
        </w:rPr>
        <w:t xml:space="preserve">ination plus efficace </w:t>
      </w:r>
      <w:r w:rsidR="00AD3F49" w:rsidRPr="00AD3F49">
        <w:rPr>
          <w:lang w:val="fr-FR"/>
        </w:rPr>
        <w:t xml:space="preserve">du renforcement des capacités dans toutes les régions, notamment en ajustant la description de poste </w:t>
      </w:r>
      <w:r w:rsidR="0006113A">
        <w:rPr>
          <w:lang w:val="fr-FR"/>
        </w:rPr>
        <w:t xml:space="preserve">du Responsable </w:t>
      </w:r>
      <w:r w:rsidR="00AD3F49" w:rsidRPr="00AD3F49">
        <w:rPr>
          <w:lang w:val="fr-FR"/>
        </w:rPr>
        <w:t>régional basé à Gland</w:t>
      </w:r>
      <w:r w:rsidR="0006113A">
        <w:rPr>
          <w:lang w:val="fr-FR"/>
        </w:rPr>
        <w:t>,</w:t>
      </w:r>
      <w:r w:rsidR="00AD3F49" w:rsidRPr="00AD3F49">
        <w:rPr>
          <w:lang w:val="fr-FR"/>
        </w:rPr>
        <w:t xml:space="preserve"> afin de coordonner le renforcement des capacités en </w:t>
      </w:r>
      <w:r w:rsidR="0006113A">
        <w:rPr>
          <w:lang w:val="fr-FR"/>
        </w:rPr>
        <w:t xml:space="preserve">privilégiant </w:t>
      </w:r>
      <w:r w:rsidR="00AD3F49" w:rsidRPr="00AD3F49">
        <w:rPr>
          <w:lang w:val="fr-FR"/>
        </w:rPr>
        <w:t xml:space="preserve">l'Afrique. L'approche proposée </w:t>
      </w:r>
      <w:r w:rsidR="00ED0F9D">
        <w:rPr>
          <w:lang w:val="fr-FR"/>
        </w:rPr>
        <w:t xml:space="preserve">à l’échelle </w:t>
      </w:r>
      <w:r w:rsidR="00AD3F49" w:rsidRPr="00AD3F49">
        <w:rPr>
          <w:lang w:val="fr-FR"/>
        </w:rPr>
        <w:t>du Secrétariat comprend l'identification des besoins et des domaines prioritaires dans lesquels des capacités sont nécessaires, l</w:t>
      </w:r>
      <w:r w:rsidR="009C363D">
        <w:rPr>
          <w:lang w:val="fr-FR"/>
        </w:rPr>
        <w:t>’élaboration</w:t>
      </w:r>
      <w:r w:rsidR="00AD3F49" w:rsidRPr="00AD3F49">
        <w:rPr>
          <w:lang w:val="fr-FR"/>
        </w:rPr>
        <w:t xml:space="preserve"> et l'utilisation d'approches, de matériels et d'outils communs (tels que l</w:t>
      </w:r>
      <w:r w:rsidR="00E44201">
        <w:rPr>
          <w:lang w:val="fr-FR"/>
        </w:rPr>
        <w:t>es</w:t>
      </w:r>
      <w:r w:rsidR="00AD3F49" w:rsidRPr="00AD3F49">
        <w:rPr>
          <w:lang w:val="fr-FR"/>
        </w:rPr>
        <w:t xml:space="preserve"> webinaires), le développement de partenariats pour le renforcement des capacités et le suivi des résultats.</w:t>
      </w:r>
    </w:p>
    <w:p w14:paraId="220E182F" w14:textId="77777777" w:rsidR="003C427C" w:rsidRPr="00AD3F49" w:rsidRDefault="003C427C" w:rsidP="00E44201">
      <w:pPr>
        <w:ind w:left="0" w:firstLine="0"/>
        <w:rPr>
          <w:rFonts w:cs="Arial"/>
          <w:lang w:val="fr-FR"/>
        </w:rPr>
      </w:pPr>
    </w:p>
    <w:p w14:paraId="11C2963F" w14:textId="46ED1239" w:rsidR="00F46B68" w:rsidRPr="00516811" w:rsidRDefault="00B31A2B" w:rsidP="00B31A2B">
      <w:pPr>
        <w:rPr>
          <w:rFonts w:cs="Arial"/>
          <w:lang w:val="fr-FR"/>
        </w:rPr>
      </w:pPr>
      <w:r w:rsidRPr="00516811">
        <w:rPr>
          <w:lang w:val="fr-FR"/>
        </w:rPr>
        <w:t>26</w:t>
      </w:r>
      <w:r w:rsidR="008133BA" w:rsidRPr="00516811">
        <w:rPr>
          <w:lang w:val="fr-FR"/>
        </w:rPr>
        <w:t>.</w:t>
      </w:r>
      <w:r w:rsidR="008133BA" w:rsidRPr="00516811">
        <w:rPr>
          <w:lang w:val="fr-FR"/>
        </w:rPr>
        <w:tab/>
      </w:r>
      <w:r w:rsidR="00516811" w:rsidRPr="00516811">
        <w:rPr>
          <w:lang w:val="fr-FR"/>
        </w:rPr>
        <w:t xml:space="preserve">Pour </w:t>
      </w:r>
      <w:r w:rsidR="00516811">
        <w:rPr>
          <w:lang w:val="fr-FR"/>
        </w:rPr>
        <w:t xml:space="preserve">renforcer </w:t>
      </w:r>
      <w:r w:rsidR="00516811" w:rsidRPr="00516811">
        <w:rPr>
          <w:lang w:val="fr-FR"/>
        </w:rPr>
        <w:t>son rôle d</w:t>
      </w:r>
      <w:r w:rsidR="00516811">
        <w:rPr>
          <w:lang w:val="fr-FR"/>
        </w:rPr>
        <w:t>e facilitation</w:t>
      </w:r>
      <w:r w:rsidR="00516811" w:rsidRPr="00516811">
        <w:rPr>
          <w:lang w:val="fr-FR"/>
        </w:rPr>
        <w:t>, le Secrét</w:t>
      </w:r>
      <w:r w:rsidR="002358DD">
        <w:rPr>
          <w:lang w:val="fr-FR"/>
        </w:rPr>
        <w:t>ariat continue de soutenir les I</w:t>
      </w:r>
      <w:r w:rsidR="00516811" w:rsidRPr="00516811">
        <w:rPr>
          <w:lang w:val="fr-FR"/>
        </w:rPr>
        <w:t xml:space="preserve">nitiatives régionales (voir le document SC54-20.1 </w:t>
      </w:r>
      <w:r w:rsidR="00516811" w:rsidRPr="00516811">
        <w:rPr>
          <w:i/>
          <w:lang w:val="fr-FR"/>
        </w:rPr>
        <w:t>Initiatives régionales Ramsar</w:t>
      </w:r>
      <w:r w:rsidR="00C81B52">
        <w:rPr>
          <w:i/>
          <w:lang w:val="fr-FR"/>
        </w:rPr>
        <w:t xml:space="preserve"> : M</w:t>
      </w:r>
      <w:r w:rsidR="00516811" w:rsidRPr="00516811">
        <w:rPr>
          <w:i/>
          <w:lang w:val="fr-FR"/>
        </w:rPr>
        <w:t>ise à jour pour 2018</w:t>
      </w:r>
      <w:r w:rsidR="00516811" w:rsidRPr="00516811">
        <w:rPr>
          <w:lang w:val="fr-FR"/>
        </w:rPr>
        <w:t>) et de s'engager dans des partenariats stratégiques. Le Secrétariat a renouvelé son partenariat av</w:t>
      </w:r>
      <w:r w:rsidR="00C81B52">
        <w:rPr>
          <w:lang w:val="fr-FR"/>
        </w:rPr>
        <w:t>ec Danone pour trois ans. L’extension de</w:t>
      </w:r>
      <w:r w:rsidR="00516811" w:rsidRPr="00516811">
        <w:rPr>
          <w:lang w:val="fr-FR"/>
        </w:rPr>
        <w:t xml:space="preserve"> </w:t>
      </w:r>
      <w:r w:rsidR="00C81B52">
        <w:rPr>
          <w:lang w:val="fr-FR"/>
        </w:rPr>
        <w:t xml:space="preserve">ce </w:t>
      </w:r>
      <w:r w:rsidR="00516811" w:rsidRPr="00516811">
        <w:rPr>
          <w:lang w:val="fr-FR"/>
        </w:rPr>
        <w:t xml:space="preserve">partenariat </w:t>
      </w:r>
      <w:r w:rsidR="006925B1">
        <w:rPr>
          <w:lang w:val="fr-FR"/>
        </w:rPr>
        <w:t xml:space="preserve">apporte </w:t>
      </w:r>
      <w:r w:rsidR="00516811" w:rsidRPr="00516811">
        <w:rPr>
          <w:lang w:val="fr-FR"/>
        </w:rPr>
        <w:t xml:space="preserve">des ressources pour la Journée mondiale des zones humides et les Prix Ramsar, ainsi que pour </w:t>
      </w:r>
      <w:r w:rsidR="006925B1">
        <w:rPr>
          <w:lang w:val="fr-FR"/>
        </w:rPr>
        <w:t xml:space="preserve">financer </w:t>
      </w:r>
      <w:r w:rsidR="00516811" w:rsidRPr="00516811">
        <w:rPr>
          <w:lang w:val="fr-FR"/>
        </w:rPr>
        <w:t xml:space="preserve">d'autres activités visant à accroître la visibilité </w:t>
      </w:r>
      <w:r w:rsidR="00D23AFD">
        <w:rPr>
          <w:lang w:val="fr-FR"/>
        </w:rPr>
        <w:t xml:space="preserve">de la Convention </w:t>
      </w:r>
      <w:r w:rsidR="00516811" w:rsidRPr="00516811">
        <w:rPr>
          <w:lang w:val="fr-FR"/>
        </w:rPr>
        <w:t xml:space="preserve">et la sensibilisation aux zones humides. Le partenariat prévoit également une collaboration </w:t>
      </w:r>
      <w:r w:rsidR="00D23AFD">
        <w:rPr>
          <w:lang w:val="fr-FR"/>
        </w:rPr>
        <w:t xml:space="preserve">en faveur d’une </w:t>
      </w:r>
      <w:r w:rsidR="00516811" w:rsidRPr="00516811">
        <w:rPr>
          <w:lang w:val="fr-FR"/>
        </w:rPr>
        <w:t xml:space="preserve">gestion durable des bassins versants et </w:t>
      </w:r>
      <w:r w:rsidR="00D23AFD">
        <w:rPr>
          <w:lang w:val="fr-FR"/>
        </w:rPr>
        <w:t>du</w:t>
      </w:r>
      <w:r w:rsidR="00516811" w:rsidRPr="00516811">
        <w:rPr>
          <w:lang w:val="fr-FR"/>
        </w:rPr>
        <w:t xml:space="preserve"> changement climatique avec des outils et des méthodologies validés. Compte tenu de l'évolution des priorités de Danone, </w:t>
      </w:r>
      <w:r w:rsidR="00225069">
        <w:rPr>
          <w:lang w:val="fr-FR"/>
        </w:rPr>
        <w:t>il est à prévoir qu'</w:t>
      </w:r>
      <w:r w:rsidR="00516811" w:rsidRPr="00516811">
        <w:rPr>
          <w:lang w:val="fr-FR"/>
        </w:rPr>
        <w:t xml:space="preserve">à partir de 2019, le Secrétariat devra mobiliser des fonds supplémentaires pour la Journée mondiale des zones humides et les Prix Ramsar. Le partenariat </w:t>
      </w:r>
      <w:r w:rsidR="00225069">
        <w:rPr>
          <w:lang w:val="fr-FR"/>
        </w:rPr>
        <w:t xml:space="preserve">avec </w:t>
      </w:r>
      <w:r w:rsidR="00516811" w:rsidRPr="00516811">
        <w:rPr>
          <w:lang w:val="fr-FR"/>
        </w:rPr>
        <w:t xml:space="preserve">Danone continue d'ouvrir la voie à de nouvelles </w:t>
      </w:r>
      <w:r w:rsidR="00225069">
        <w:rPr>
          <w:lang w:val="fr-FR"/>
        </w:rPr>
        <w:t>possibilités,</w:t>
      </w:r>
      <w:r w:rsidR="00516811" w:rsidRPr="00516811">
        <w:rPr>
          <w:lang w:val="fr-FR"/>
        </w:rPr>
        <w:t xml:space="preserve"> </w:t>
      </w:r>
      <w:r w:rsidR="00225069">
        <w:rPr>
          <w:lang w:val="fr-FR"/>
        </w:rPr>
        <w:t>notamment une</w:t>
      </w:r>
      <w:r w:rsidR="00516811" w:rsidRPr="00516811">
        <w:rPr>
          <w:lang w:val="fr-FR"/>
        </w:rPr>
        <w:t xml:space="preserve"> collaboration potentielle avec le Fonds </w:t>
      </w:r>
      <w:r w:rsidR="00225069">
        <w:rPr>
          <w:lang w:val="fr-FR"/>
        </w:rPr>
        <w:t>Livelihoods</w:t>
      </w:r>
      <w:r w:rsidR="00516811" w:rsidRPr="00516811">
        <w:rPr>
          <w:lang w:val="fr-FR"/>
        </w:rPr>
        <w:t xml:space="preserve"> et le CEO </w:t>
      </w:r>
      <w:r w:rsidR="001C2703">
        <w:rPr>
          <w:lang w:val="fr-FR"/>
        </w:rPr>
        <w:t>Water Mandate. Le partenariat de</w:t>
      </w:r>
      <w:r w:rsidR="00516811" w:rsidRPr="00516811">
        <w:rPr>
          <w:lang w:val="fr-FR"/>
        </w:rPr>
        <w:t xml:space="preserve"> Star Alliance avec la Convention et l'UICN a pris fin en 2017 en raison d'un changement d</w:t>
      </w:r>
      <w:r w:rsidR="001C2703">
        <w:rPr>
          <w:lang w:val="fr-FR"/>
        </w:rPr>
        <w:t>e priorités dans la</w:t>
      </w:r>
      <w:r w:rsidR="00516811" w:rsidRPr="00516811">
        <w:rPr>
          <w:lang w:val="fr-FR"/>
        </w:rPr>
        <w:t xml:space="preserve"> gestion de Star Alliance. Comme indiqué </w:t>
      </w:r>
      <w:r w:rsidR="001C2703">
        <w:rPr>
          <w:lang w:val="fr-FR"/>
        </w:rPr>
        <w:t xml:space="preserve">lors de la </w:t>
      </w:r>
      <w:r w:rsidR="00516811" w:rsidRPr="00516811">
        <w:rPr>
          <w:lang w:val="fr-FR"/>
        </w:rPr>
        <w:t>53</w:t>
      </w:r>
      <w:r w:rsidR="001C2703" w:rsidRPr="001C2703">
        <w:rPr>
          <w:vertAlign w:val="superscript"/>
          <w:lang w:val="fr-FR"/>
        </w:rPr>
        <w:t>e</w:t>
      </w:r>
      <w:r w:rsidR="001C2703">
        <w:rPr>
          <w:vertAlign w:val="superscript"/>
          <w:lang w:val="fr-FR"/>
        </w:rPr>
        <w:t xml:space="preserve"> </w:t>
      </w:r>
      <w:r w:rsidR="001C2703" w:rsidRPr="001C2703">
        <w:rPr>
          <w:lang w:val="fr-FR"/>
        </w:rPr>
        <w:t>Réunion du Comité permanent</w:t>
      </w:r>
      <w:r w:rsidR="001C2703">
        <w:rPr>
          <w:lang w:val="fr-FR"/>
        </w:rPr>
        <w:t>, l</w:t>
      </w:r>
      <w:r w:rsidR="00516811" w:rsidRPr="00516811">
        <w:rPr>
          <w:lang w:val="fr-FR"/>
        </w:rPr>
        <w:t xml:space="preserve">e projet MAVA arrive à son terme en mars 2018 (voir le document SC54-11.3 </w:t>
      </w:r>
      <w:r w:rsidR="0049317D">
        <w:rPr>
          <w:i/>
          <w:lang w:val="fr-FR"/>
        </w:rPr>
        <w:t>P</w:t>
      </w:r>
      <w:r w:rsidR="00516811" w:rsidRPr="0049317D">
        <w:rPr>
          <w:i/>
          <w:lang w:val="fr-FR"/>
        </w:rPr>
        <w:t>rojet MAVA)</w:t>
      </w:r>
      <w:r w:rsidR="00516811" w:rsidRPr="00516811">
        <w:rPr>
          <w:lang w:val="fr-FR"/>
        </w:rPr>
        <w:t xml:space="preserve">. Le Secrétariat a examiné les partenariats existants pour lesquels des </w:t>
      </w:r>
      <w:r w:rsidR="006F6AD6">
        <w:rPr>
          <w:lang w:val="fr-FR"/>
        </w:rPr>
        <w:t xml:space="preserve">mémorandums d’accord </w:t>
      </w:r>
      <w:r w:rsidR="00516811" w:rsidRPr="00516811">
        <w:rPr>
          <w:lang w:val="fr-FR"/>
        </w:rPr>
        <w:t>ont été signés afin d'a</w:t>
      </w:r>
      <w:r w:rsidR="006F6AD6">
        <w:rPr>
          <w:lang w:val="fr-FR"/>
        </w:rPr>
        <w:t xml:space="preserve">border de manière </w:t>
      </w:r>
      <w:r w:rsidR="00516811" w:rsidRPr="00516811">
        <w:rPr>
          <w:lang w:val="fr-FR"/>
        </w:rPr>
        <w:t xml:space="preserve">plus stratégique </w:t>
      </w:r>
      <w:r w:rsidR="006F6AD6">
        <w:rPr>
          <w:lang w:val="fr-FR"/>
        </w:rPr>
        <w:t>sa</w:t>
      </w:r>
      <w:r w:rsidR="00516811" w:rsidRPr="00516811">
        <w:rPr>
          <w:lang w:val="fr-FR"/>
        </w:rPr>
        <w:t xml:space="preserve"> collaboration avec les principaux </w:t>
      </w:r>
      <w:r w:rsidR="006F6AD6">
        <w:rPr>
          <w:lang w:val="fr-FR"/>
        </w:rPr>
        <w:t>acteurs</w:t>
      </w:r>
      <w:r w:rsidR="00516811" w:rsidRPr="00516811">
        <w:rPr>
          <w:lang w:val="fr-FR"/>
        </w:rPr>
        <w:t xml:space="preserve"> (voir le document SC54-16 </w:t>
      </w:r>
      <w:r w:rsidR="00516811" w:rsidRPr="006F6AD6">
        <w:rPr>
          <w:i/>
          <w:lang w:val="fr-FR"/>
        </w:rPr>
        <w:t>Examen de</w:t>
      </w:r>
      <w:r w:rsidR="006F6AD6">
        <w:rPr>
          <w:i/>
          <w:lang w:val="fr-FR"/>
        </w:rPr>
        <w:t>s accords de coopération en vigueur</w:t>
      </w:r>
      <w:r w:rsidR="00516811" w:rsidRPr="006F6AD6">
        <w:rPr>
          <w:i/>
          <w:lang w:val="fr-FR"/>
        </w:rPr>
        <w:t xml:space="preserve"> et proposés</w:t>
      </w:r>
      <w:r w:rsidR="00516811" w:rsidRPr="00516811">
        <w:rPr>
          <w:lang w:val="fr-FR"/>
        </w:rPr>
        <w:t>).</w:t>
      </w:r>
      <w:r w:rsidR="00A334B5" w:rsidRPr="00516811">
        <w:rPr>
          <w:rFonts w:cs="Arial"/>
          <w:lang w:val="fr-FR"/>
        </w:rPr>
        <w:t xml:space="preserve"> </w:t>
      </w:r>
    </w:p>
    <w:p w14:paraId="710ABA30" w14:textId="77777777" w:rsidR="00F46B68" w:rsidRPr="00516811" w:rsidRDefault="00F46B68" w:rsidP="00570F86">
      <w:pPr>
        <w:rPr>
          <w:rFonts w:cs="Arial"/>
          <w:lang w:val="fr-FR"/>
        </w:rPr>
      </w:pPr>
    </w:p>
    <w:p w14:paraId="60E73A1F" w14:textId="6EDA7F7D" w:rsidR="00A457C5" w:rsidRDefault="00173630" w:rsidP="00570F86">
      <w:pPr>
        <w:rPr>
          <w:lang w:val="fr-FR"/>
        </w:rPr>
      </w:pPr>
      <w:r w:rsidRPr="00DC3F31">
        <w:rPr>
          <w:lang w:val="fr-FR"/>
        </w:rPr>
        <w:t>27.</w:t>
      </w:r>
      <w:r w:rsidRPr="00DC3F31">
        <w:rPr>
          <w:lang w:val="fr-FR"/>
        </w:rPr>
        <w:tab/>
      </w:r>
      <w:r w:rsidR="00DC3F31" w:rsidRPr="00DC3F31">
        <w:rPr>
          <w:lang w:val="fr-FR"/>
        </w:rPr>
        <w:t>En ce qui concerne la mobilisation des ressources, l'un des faits marquants de la période considérée a été le recrutement d</w:t>
      </w:r>
      <w:r w:rsidR="00DC3F31">
        <w:rPr>
          <w:lang w:val="fr-FR"/>
        </w:rPr>
        <w:t>’</w:t>
      </w:r>
      <w:r w:rsidR="00DC3F31" w:rsidRPr="00DC3F31">
        <w:rPr>
          <w:lang w:val="fr-FR"/>
        </w:rPr>
        <w:t>u</w:t>
      </w:r>
      <w:r w:rsidR="00DC3F31">
        <w:rPr>
          <w:lang w:val="fr-FR"/>
        </w:rPr>
        <w:t>n</w:t>
      </w:r>
      <w:r w:rsidR="00DC3F31" w:rsidRPr="00DC3F31">
        <w:rPr>
          <w:lang w:val="fr-FR"/>
        </w:rPr>
        <w:t xml:space="preserve"> Directeur</w:t>
      </w:r>
      <w:r w:rsidR="00A81CBE">
        <w:rPr>
          <w:lang w:val="fr-FR"/>
        </w:rPr>
        <w:t>, M</w:t>
      </w:r>
      <w:r w:rsidR="00DC3F31" w:rsidRPr="00DC3F31">
        <w:rPr>
          <w:lang w:val="fr-FR"/>
        </w:rPr>
        <w:t xml:space="preserve">obilisation des ressources et </w:t>
      </w:r>
      <w:r w:rsidR="00A81CBE">
        <w:rPr>
          <w:lang w:val="fr-FR"/>
        </w:rPr>
        <w:t>Information</w:t>
      </w:r>
      <w:r w:rsidR="00DC3F31" w:rsidRPr="00DC3F31">
        <w:rPr>
          <w:lang w:val="fr-FR"/>
        </w:rPr>
        <w:t xml:space="preserve">. </w:t>
      </w:r>
      <w:r w:rsidR="00A81CBE">
        <w:rPr>
          <w:lang w:val="fr-FR"/>
        </w:rPr>
        <w:t>L’u</w:t>
      </w:r>
      <w:r w:rsidR="00DC3F31" w:rsidRPr="00DC3F31">
        <w:rPr>
          <w:lang w:val="fr-FR"/>
        </w:rPr>
        <w:t xml:space="preserve">ne </w:t>
      </w:r>
      <w:r w:rsidR="00A81CBE">
        <w:rPr>
          <w:lang w:val="fr-FR"/>
        </w:rPr>
        <w:t xml:space="preserve">des </w:t>
      </w:r>
      <w:r w:rsidR="00DC3F31" w:rsidRPr="00DC3F31">
        <w:rPr>
          <w:lang w:val="fr-FR"/>
        </w:rPr>
        <w:t>étape</w:t>
      </w:r>
      <w:r w:rsidR="00A81CBE">
        <w:rPr>
          <w:lang w:val="fr-FR"/>
        </w:rPr>
        <w:t>s</w:t>
      </w:r>
      <w:r w:rsidR="00DC3F31" w:rsidRPr="00DC3F31">
        <w:rPr>
          <w:lang w:val="fr-FR"/>
        </w:rPr>
        <w:t xml:space="preserve"> importante</w:t>
      </w:r>
      <w:r w:rsidR="00A81CBE">
        <w:rPr>
          <w:lang w:val="fr-FR"/>
        </w:rPr>
        <w:t xml:space="preserve">s consiste à </w:t>
      </w:r>
      <w:r w:rsidR="00DC3F31" w:rsidRPr="00DC3F31">
        <w:rPr>
          <w:lang w:val="fr-FR"/>
        </w:rPr>
        <w:t>élabor</w:t>
      </w:r>
      <w:r w:rsidR="00A81CBE">
        <w:rPr>
          <w:lang w:val="fr-FR"/>
        </w:rPr>
        <w:t xml:space="preserve">er </w:t>
      </w:r>
      <w:r w:rsidR="00DC3F31" w:rsidRPr="00DC3F31">
        <w:rPr>
          <w:lang w:val="fr-FR"/>
        </w:rPr>
        <w:t>une stratégie de mobilisation des ressources</w:t>
      </w:r>
      <w:r w:rsidR="00A81CBE">
        <w:rPr>
          <w:lang w:val="fr-FR"/>
        </w:rPr>
        <w:t>, comme demandé dans la D</w:t>
      </w:r>
      <w:r w:rsidR="00DC3F31" w:rsidRPr="00DC3F31">
        <w:rPr>
          <w:lang w:val="fr-FR"/>
        </w:rPr>
        <w:t xml:space="preserve">écision SC52-23 (voir le document SC54-17 </w:t>
      </w:r>
      <w:r w:rsidR="00DC3F31" w:rsidRPr="00264D25">
        <w:rPr>
          <w:i/>
          <w:lang w:val="fr-FR"/>
        </w:rPr>
        <w:t>Plan de travail de la Convention de Ramsar</w:t>
      </w:r>
      <w:r w:rsidR="00264D25" w:rsidRPr="00264D25">
        <w:rPr>
          <w:i/>
          <w:lang w:val="fr-FR"/>
        </w:rPr>
        <w:t xml:space="preserve"> pour la mobilisation des ressources</w:t>
      </w:r>
      <w:r w:rsidR="00DC3F31" w:rsidRPr="00DC3F31">
        <w:rPr>
          <w:lang w:val="fr-FR"/>
        </w:rPr>
        <w:t xml:space="preserve">). </w:t>
      </w:r>
      <w:r w:rsidR="00264D25">
        <w:rPr>
          <w:lang w:val="fr-FR"/>
        </w:rPr>
        <w:t>Elle</w:t>
      </w:r>
      <w:r w:rsidR="00DC3F31" w:rsidRPr="00DC3F31">
        <w:rPr>
          <w:lang w:val="fr-FR"/>
        </w:rPr>
        <w:t xml:space="preserve"> permettra d'a</w:t>
      </w:r>
      <w:r w:rsidR="00264D25">
        <w:rPr>
          <w:lang w:val="fr-FR"/>
        </w:rPr>
        <w:t xml:space="preserve">border de manière </w:t>
      </w:r>
      <w:r w:rsidR="00DC3F31" w:rsidRPr="00DC3F31">
        <w:rPr>
          <w:lang w:val="fr-FR"/>
        </w:rPr>
        <w:t>plus stratégique cet important domaine d'activité du Secrétariat.</w:t>
      </w:r>
    </w:p>
    <w:p w14:paraId="3DB95CCC" w14:textId="77777777" w:rsidR="00DC3F31" w:rsidRPr="00DC3F31" w:rsidRDefault="00DC3F31" w:rsidP="00570F86">
      <w:pPr>
        <w:rPr>
          <w:rFonts w:cs="Arial"/>
          <w:lang w:val="fr-FR"/>
        </w:rPr>
      </w:pPr>
    </w:p>
    <w:p w14:paraId="2DD1FE41" w14:textId="06007A57" w:rsidR="00745CDB" w:rsidRDefault="00173630" w:rsidP="00173630">
      <w:pPr>
        <w:rPr>
          <w:lang w:val="fr-FR"/>
        </w:rPr>
      </w:pPr>
      <w:r w:rsidRPr="004A7B6B">
        <w:rPr>
          <w:lang w:val="fr-FR"/>
        </w:rPr>
        <w:t>28.</w:t>
      </w:r>
      <w:r w:rsidRPr="004A7B6B">
        <w:rPr>
          <w:lang w:val="fr-FR"/>
        </w:rPr>
        <w:tab/>
      </w:r>
      <w:r w:rsidR="004A7B6B">
        <w:rPr>
          <w:lang w:val="fr-FR"/>
        </w:rPr>
        <w:t>Pendant l’élaboration de</w:t>
      </w:r>
      <w:r w:rsidR="004A7B6B" w:rsidRPr="004A7B6B">
        <w:rPr>
          <w:lang w:val="fr-FR"/>
        </w:rPr>
        <w:t xml:space="preserve"> la stratégie susmentionnée, le Secrétariat a poursuivi ses efforts de collecte de fonds. En 2017,</w:t>
      </w:r>
      <w:r w:rsidR="004A7B6B">
        <w:rPr>
          <w:lang w:val="fr-FR"/>
        </w:rPr>
        <w:t xml:space="preserve"> </w:t>
      </w:r>
      <w:r w:rsidR="004A7B6B" w:rsidRPr="004A7B6B">
        <w:rPr>
          <w:lang w:val="fr-FR"/>
        </w:rPr>
        <w:t xml:space="preserve">422 000 </w:t>
      </w:r>
      <w:r w:rsidR="004A7B6B">
        <w:rPr>
          <w:lang w:val="fr-FR"/>
        </w:rPr>
        <w:t>CHF</w:t>
      </w:r>
      <w:r w:rsidR="004A7B6B" w:rsidRPr="004A7B6B">
        <w:rPr>
          <w:lang w:val="fr-FR"/>
        </w:rPr>
        <w:t xml:space="preserve"> </w:t>
      </w:r>
      <w:r w:rsidR="00906DFE">
        <w:rPr>
          <w:lang w:val="fr-FR"/>
        </w:rPr>
        <w:t xml:space="preserve">ont </w:t>
      </w:r>
      <w:r w:rsidR="004A7B6B" w:rsidRPr="004A7B6B">
        <w:rPr>
          <w:lang w:val="fr-FR"/>
        </w:rPr>
        <w:t>été m</w:t>
      </w:r>
      <w:r w:rsidR="00906DFE">
        <w:rPr>
          <w:lang w:val="fr-FR"/>
        </w:rPr>
        <w:t>obilisé</w:t>
      </w:r>
      <w:r w:rsidR="004A7B6B" w:rsidRPr="004A7B6B">
        <w:rPr>
          <w:lang w:val="fr-FR"/>
        </w:rPr>
        <w:t xml:space="preserve">s </w:t>
      </w:r>
      <w:r w:rsidR="00745CDB">
        <w:rPr>
          <w:lang w:val="fr-FR"/>
        </w:rPr>
        <w:t>au titre des ressources non administratives</w:t>
      </w:r>
      <w:r w:rsidR="001C6AA0">
        <w:rPr>
          <w:lang w:val="fr-FR"/>
        </w:rPr>
        <w:t xml:space="preserve"> </w:t>
      </w:r>
      <w:r w:rsidR="004A7B6B" w:rsidRPr="004A7B6B">
        <w:rPr>
          <w:lang w:val="fr-FR"/>
        </w:rPr>
        <w:t xml:space="preserve">pour </w:t>
      </w:r>
      <w:r w:rsidR="00745CDB">
        <w:rPr>
          <w:lang w:val="fr-FR"/>
        </w:rPr>
        <w:t xml:space="preserve">soutenir </w:t>
      </w:r>
      <w:r w:rsidR="004A7B6B" w:rsidRPr="004A7B6B">
        <w:rPr>
          <w:lang w:val="fr-FR"/>
        </w:rPr>
        <w:t>les priorités établies par la Conférence des Parties dans la Résolution XII. 7 Annexe 3. A la fin de l'exercice 2017,</w:t>
      </w:r>
      <w:r w:rsidR="00745CDB">
        <w:rPr>
          <w:lang w:val="fr-FR"/>
        </w:rPr>
        <w:t xml:space="preserve"> </w:t>
      </w:r>
      <w:r w:rsidR="004A7B6B" w:rsidRPr="004A7B6B">
        <w:rPr>
          <w:lang w:val="fr-FR"/>
        </w:rPr>
        <w:t xml:space="preserve">81 000 </w:t>
      </w:r>
      <w:r w:rsidR="00745CDB">
        <w:rPr>
          <w:lang w:val="fr-FR"/>
        </w:rPr>
        <w:t>CHF</w:t>
      </w:r>
      <w:r w:rsidR="004A7B6B" w:rsidRPr="004A7B6B">
        <w:rPr>
          <w:lang w:val="fr-FR"/>
        </w:rPr>
        <w:t xml:space="preserve"> ont été alloués aux M</w:t>
      </w:r>
      <w:r w:rsidR="0045470A">
        <w:rPr>
          <w:lang w:val="fr-FR"/>
        </w:rPr>
        <w:t>CR</w:t>
      </w:r>
      <w:r w:rsidR="004A7B6B" w:rsidRPr="004A7B6B">
        <w:rPr>
          <w:lang w:val="fr-FR"/>
        </w:rPr>
        <w:t xml:space="preserve"> et </w:t>
      </w:r>
    </w:p>
    <w:p w14:paraId="21ADAFE6" w14:textId="6D3B165A" w:rsidR="00662A2C" w:rsidRPr="004A7B6B" w:rsidRDefault="004A7B6B" w:rsidP="00745CDB">
      <w:pPr>
        <w:ind w:firstLine="0"/>
        <w:rPr>
          <w:lang w:val="fr-FR"/>
        </w:rPr>
      </w:pPr>
      <w:r w:rsidRPr="004A7B6B">
        <w:rPr>
          <w:lang w:val="fr-FR"/>
        </w:rPr>
        <w:t xml:space="preserve">45 000 </w:t>
      </w:r>
      <w:r w:rsidR="00745CDB">
        <w:rPr>
          <w:lang w:val="fr-FR"/>
        </w:rPr>
        <w:t>CHF</w:t>
      </w:r>
      <w:r w:rsidRPr="004A7B6B">
        <w:rPr>
          <w:lang w:val="fr-FR"/>
        </w:rPr>
        <w:t xml:space="preserve"> </w:t>
      </w:r>
      <w:r w:rsidR="00183847">
        <w:rPr>
          <w:lang w:val="fr-FR"/>
        </w:rPr>
        <w:t xml:space="preserve">pour aider les </w:t>
      </w:r>
      <w:r w:rsidRPr="004A7B6B">
        <w:rPr>
          <w:lang w:val="fr-FR"/>
        </w:rPr>
        <w:t xml:space="preserve">délégués </w:t>
      </w:r>
      <w:r w:rsidR="00183847">
        <w:rPr>
          <w:lang w:val="fr-FR"/>
        </w:rPr>
        <w:t>à p</w:t>
      </w:r>
      <w:r w:rsidRPr="004A7B6B">
        <w:rPr>
          <w:lang w:val="fr-FR"/>
        </w:rPr>
        <w:t>articiper aux réunions ré</w:t>
      </w:r>
      <w:r>
        <w:rPr>
          <w:lang w:val="fr-FR"/>
        </w:rPr>
        <w:t>gionales pr</w:t>
      </w:r>
      <w:r w:rsidR="00183847">
        <w:rPr>
          <w:lang w:val="fr-FR"/>
        </w:rPr>
        <w:t>é-</w:t>
      </w:r>
      <w:r>
        <w:rPr>
          <w:lang w:val="fr-FR"/>
        </w:rPr>
        <w:t xml:space="preserve"> COP</w:t>
      </w:r>
      <w:r w:rsidR="00833965" w:rsidRPr="004A7B6B">
        <w:rPr>
          <w:lang w:val="fr-FR"/>
        </w:rPr>
        <w:t>.</w:t>
      </w:r>
      <w:r w:rsidR="00CD7EF2" w:rsidRPr="004A7B6B">
        <w:rPr>
          <w:lang w:val="fr-FR"/>
        </w:rPr>
        <w:t xml:space="preserve"> </w:t>
      </w:r>
    </w:p>
    <w:p w14:paraId="1F41CEF7" w14:textId="77777777" w:rsidR="00670185" w:rsidRPr="004A7B6B" w:rsidRDefault="00670185" w:rsidP="00570F86">
      <w:pPr>
        <w:pStyle w:val="ListParagraph"/>
        <w:ind w:left="425"/>
        <w:rPr>
          <w:rFonts w:cs="Arial"/>
          <w:lang w:val="fr-FR"/>
        </w:rPr>
      </w:pPr>
    </w:p>
    <w:p w14:paraId="3AADAD5A" w14:textId="2F2C237D" w:rsidR="00620259" w:rsidRPr="00D73A16" w:rsidRDefault="00173630" w:rsidP="00570F86">
      <w:pPr>
        <w:rPr>
          <w:lang w:val="fr-FR"/>
        </w:rPr>
      </w:pPr>
      <w:r w:rsidRPr="00D73A16">
        <w:rPr>
          <w:lang w:val="fr-FR"/>
        </w:rPr>
        <w:t>29</w:t>
      </w:r>
      <w:r w:rsidR="008133BA" w:rsidRPr="00D73A16">
        <w:rPr>
          <w:lang w:val="fr-FR"/>
        </w:rPr>
        <w:t>.</w:t>
      </w:r>
      <w:r w:rsidR="008133BA" w:rsidRPr="00D73A16">
        <w:rPr>
          <w:lang w:val="fr-FR"/>
        </w:rPr>
        <w:tab/>
      </w:r>
      <w:r w:rsidR="00D73A16" w:rsidRPr="00D73A16">
        <w:rPr>
          <w:lang w:val="fr-FR"/>
        </w:rPr>
        <w:t>Le Secrétariat a également fourni un appui aux Parties contractantes dans leurs efforts de collecte de fonds. En particulier, en Afrique, il a aidé le Gabon à mettre au point un proje</w:t>
      </w:r>
      <w:r w:rsidR="00D73A16">
        <w:rPr>
          <w:lang w:val="fr-FR"/>
        </w:rPr>
        <w:t>t financé par le FEM, intitulé « </w:t>
      </w:r>
      <w:r w:rsidR="00D73A16" w:rsidRPr="00D73A16">
        <w:rPr>
          <w:lang w:val="fr-FR"/>
        </w:rPr>
        <w:t xml:space="preserve">Projet </w:t>
      </w:r>
      <w:r w:rsidR="002358DD">
        <w:rPr>
          <w:lang w:val="fr-FR"/>
        </w:rPr>
        <w:t>d’appui à</w:t>
      </w:r>
      <w:r w:rsidR="00D73A16" w:rsidRPr="00D73A16">
        <w:rPr>
          <w:lang w:val="fr-FR"/>
        </w:rPr>
        <w:t xml:space="preserve"> la gestion durable des écosystèmes des zones humi</w:t>
      </w:r>
      <w:r w:rsidR="00D73A16">
        <w:rPr>
          <w:lang w:val="fr-FR"/>
        </w:rPr>
        <w:t>des</w:t>
      </w:r>
      <w:r w:rsidR="002358DD">
        <w:rPr>
          <w:lang w:val="fr-FR"/>
        </w:rPr>
        <w:t xml:space="preserve"> critiques</w:t>
      </w:r>
      <w:r w:rsidR="00D73A16">
        <w:rPr>
          <w:lang w:val="fr-FR"/>
        </w:rPr>
        <w:t> »</w:t>
      </w:r>
      <w:r w:rsidR="002358DD">
        <w:rPr>
          <w:lang w:val="fr-FR"/>
        </w:rPr>
        <w:t xml:space="preserve">, d'un montant de 7 </w:t>
      </w:r>
      <w:r w:rsidR="00D73A16" w:rsidRPr="00D73A16">
        <w:rPr>
          <w:lang w:val="fr-FR"/>
        </w:rPr>
        <w:t xml:space="preserve">521 millions </w:t>
      </w:r>
      <w:r w:rsidR="002358DD">
        <w:rPr>
          <w:lang w:val="fr-FR"/>
        </w:rPr>
        <w:t>USD</w:t>
      </w:r>
      <w:r w:rsidR="00D73A16" w:rsidRPr="00D73A16">
        <w:rPr>
          <w:lang w:val="fr-FR"/>
        </w:rPr>
        <w:t>, et il aide actuellement le Bénin, la Guinée et le Burkina Faso à élaborer des projets de zones humides qui seront soumis au Fonds vert pour le climat. Dans les Amériques, la collecte de fonds a été axée sur les priorités définies par les Parti</w:t>
      </w:r>
      <w:r w:rsidR="002358DD">
        <w:rPr>
          <w:lang w:val="fr-FR"/>
        </w:rPr>
        <w:t>es contractantes, à savoir les I</w:t>
      </w:r>
      <w:r w:rsidR="00D73A16" w:rsidRPr="00D73A16">
        <w:rPr>
          <w:lang w:val="fr-FR"/>
        </w:rPr>
        <w:t xml:space="preserve">nitiatives régionales. Le Secrétariat et les Parties contractantes sont à </w:t>
      </w:r>
      <w:r w:rsidR="00412F14">
        <w:rPr>
          <w:lang w:val="fr-FR"/>
        </w:rPr>
        <w:t xml:space="preserve">la recherche de donateurs pour des initiatives régionales </w:t>
      </w:r>
      <w:r w:rsidR="008A0B2D">
        <w:rPr>
          <w:lang w:val="fr-FR"/>
        </w:rPr>
        <w:t>du</w:t>
      </w:r>
      <w:r w:rsidR="00D73A16" w:rsidRPr="00D73A16">
        <w:rPr>
          <w:lang w:val="fr-FR"/>
        </w:rPr>
        <w:t xml:space="preserve"> bassin </w:t>
      </w:r>
      <w:r w:rsidR="008A0B2D" w:rsidRPr="008A0B2D">
        <w:rPr>
          <w:lang w:val="fr-FR"/>
        </w:rPr>
        <w:t>du Rio de La Plata</w:t>
      </w:r>
      <w:r w:rsidR="008A0B2D">
        <w:rPr>
          <w:lang w:val="fr-FR"/>
        </w:rPr>
        <w:t xml:space="preserve">, </w:t>
      </w:r>
      <w:r w:rsidR="007B50A7">
        <w:rPr>
          <w:lang w:val="fr-FR"/>
        </w:rPr>
        <w:t xml:space="preserve">et </w:t>
      </w:r>
      <w:r w:rsidR="008A0B2D">
        <w:rPr>
          <w:lang w:val="fr-FR"/>
        </w:rPr>
        <w:t>des m</w:t>
      </w:r>
      <w:r w:rsidR="008A0B2D" w:rsidRPr="008A0B2D">
        <w:rPr>
          <w:lang w:val="fr-FR"/>
        </w:rPr>
        <w:t>angroves et récifs coralliens</w:t>
      </w:r>
      <w:r w:rsidR="00D73A16" w:rsidRPr="00D73A16">
        <w:rPr>
          <w:lang w:val="fr-FR"/>
        </w:rPr>
        <w:t>. L'Initiative région</w:t>
      </w:r>
      <w:r w:rsidR="007B50A7">
        <w:rPr>
          <w:lang w:val="fr-FR"/>
        </w:rPr>
        <w:t>ale pour les zones humides des H</w:t>
      </w:r>
      <w:r w:rsidR="00D73A16" w:rsidRPr="00D73A16">
        <w:rPr>
          <w:lang w:val="fr-FR"/>
        </w:rPr>
        <w:t>autes Andes, avec l'appui du Secrétariat et de la FAO, est en cours de soumission au FEM.</w:t>
      </w:r>
      <w:r w:rsidR="00CD7EF2" w:rsidRPr="00D73A16">
        <w:rPr>
          <w:lang w:val="fr-FR"/>
        </w:rPr>
        <w:t xml:space="preserve"> </w:t>
      </w:r>
    </w:p>
    <w:p w14:paraId="33E02472" w14:textId="77777777" w:rsidR="00670185" w:rsidRPr="00D73A16" w:rsidRDefault="00670185" w:rsidP="00570F86">
      <w:pPr>
        <w:pStyle w:val="ListParagraph"/>
        <w:ind w:left="425"/>
        <w:rPr>
          <w:rFonts w:cs="Arial"/>
          <w:lang w:val="fr-FR"/>
        </w:rPr>
      </w:pPr>
    </w:p>
    <w:p w14:paraId="38E2FF95" w14:textId="31E821EE" w:rsidR="00AA58E0" w:rsidRPr="00B84C2B" w:rsidRDefault="00B84C2B" w:rsidP="00F36D96">
      <w:pPr>
        <w:ind w:left="0" w:firstLine="0"/>
        <w:rPr>
          <w:b/>
          <w:bCs/>
          <w:lang w:val="fr-FR"/>
        </w:rPr>
      </w:pPr>
      <w:r w:rsidRPr="00B84C2B">
        <w:rPr>
          <w:b/>
          <w:bCs/>
          <w:lang w:val="fr-FR"/>
        </w:rPr>
        <w:t>Rehausser la visibilité des zones humides et de la Convention</w:t>
      </w:r>
    </w:p>
    <w:p w14:paraId="7773CC9E" w14:textId="77777777" w:rsidR="00D352B8" w:rsidRPr="00B84C2B" w:rsidRDefault="00D352B8" w:rsidP="00570F86">
      <w:pPr>
        <w:rPr>
          <w:rFonts w:cs="Arial"/>
          <w:lang w:val="fr-FR"/>
        </w:rPr>
      </w:pPr>
    </w:p>
    <w:p w14:paraId="307DD345" w14:textId="5E717554" w:rsidR="00EE515A" w:rsidRDefault="00C617C5" w:rsidP="00570F86">
      <w:pPr>
        <w:rPr>
          <w:lang w:val="fr-FR"/>
        </w:rPr>
      </w:pPr>
      <w:r w:rsidRPr="00B84C2B">
        <w:rPr>
          <w:lang w:val="fr-FR"/>
        </w:rPr>
        <w:t>30</w:t>
      </w:r>
      <w:r w:rsidR="008133BA" w:rsidRPr="00B84C2B">
        <w:rPr>
          <w:lang w:val="fr-FR"/>
        </w:rPr>
        <w:t>.</w:t>
      </w:r>
      <w:r w:rsidR="008133BA" w:rsidRPr="00B84C2B">
        <w:rPr>
          <w:lang w:val="fr-FR"/>
        </w:rPr>
        <w:tab/>
      </w:r>
      <w:r w:rsidR="00B84C2B" w:rsidRPr="00B84C2B">
        <w:rPr>
          <w:lang w:val="fr-FR"/>
        </w:rPr>
        <w:t xml:space="preserve">La visibilité des zones humides et de la Convention </w:t>
      </w:r>
      <w:r w:rsidR="001E1C25">
        <w:rPr>
          <w:lang w:val="fr-FR"/>
        </w:rPr>
        <w:t xml:space="preserve">bénéficie </w:t>
      </w:r>
      <w:r w:rsidR="00B84C2B" w:rsidRPr="00B84C2B">
        <w:rPr>
          <w:lang w:val="fr-FR"/>
        </w:rPr>
        <w:t>des efforts de communic</w:t>
      </w:r>
      <w:r w:rsidR="001E1C25">
        <w:rPr>
          <w:lang w:val="fr-FR"/>
        </w:rPr>
        <w:t xml:space="preserve">ation. Le Secrétariat </w:t>
      </w:r>
      <w:r w:rsidR="0036146F">
        <w:rPr>
          <w:lang w:val="fr-FR"/>
        </w:rPr>
        <w:t xml:space="preserve">poursuit l’échange </w:t>
      </w:r>
      <w:r w:rsidR="00B84C2B" w:rsidRPr="00B84C2B">
        <w:rPr>
          <w:lang w:val="fr-FR"/>
        </w:rPr>
        <w:t>d</w:t>
      </w:r>
      <w:r w:rsidR="0036146F">
        <w:rPr>
          <w:lang w:val="fr-FR"/>
        </w:rPr>
        <w:t>’</w:t>
      </w:r>
      <w:r w:rsidR="00B84C2B" w:rsidRPr="00B84C2B">
        <w:rPr>
          <w:lang w:val="fr-FR"/>
        </w:rPr>
        <w:t xml:space="preserve">informations entre les </w:t>
      </w:r>
      <w:r w:rsidR="0036146F">
        <w:rPr>
          <w:lang w:val="fr-FR"/>
        </w:rPr>
        <w:t>acteurs de la Convention et la</w:t>
      </w:r>
      <w:r w:rsidR="00B84C2B" w:rsidRPr="00B84C2B">
        <w:rPr>
          <w:lang w:val="fr-FR"/>
        </w:rPr>
        <w:t xml:space="preserve"> sensibilis</w:t>
      </w:r>
      <w:r w:rsidR="0036146F">
        <w:rPr>
          <w:lang w:val="fr-FR"/>
        </w:rPr>
        <w:t>ation du</w:t>
      </w:r>
      <w:r w:rsidR="00B84C2B" w:rsidRPr="00B84C2B">
        <w:rPr>
          <w:lang w:val="fr-FR"/>
        </w:rPr>
        <w:t xml:space="preserve"> public aux services et avantages des zones humides </w:t>
      </w:r>
      <w:r w:rsidR="0036146F">
        <w:rPr>
          <w:lang w:val="fr-FR"/>
        </w:rPr>
        <w:t>dans le cadre du site w</w:t>
      </w:r>
      <w:r w:rsidR="00B84C2B" w:rsidRPr="00B84C2B">
        <w:rPr>
          <w:lang w:val="fr-FR"/>
        </w:rPr>
        <w:t xml:space="preserve">eb Ramsar, des </w:t>
      </w:r>
      <w:r w:rsidR="00122FC6">
        <w:rPr>
          <w:lang w:val="fr-FR"/>
        </w:rPr>
        <w:t>réseaux</w:t>
      </w:r>
      <w:r w:rsidR="00B84C2B" w:rsidRPr="00B84C2B">
        <w:rPr>
          <w:lang w:val="fr-FR"/>
        </w:rPr>
        <w:t xml:space="preserve"> sociaux, du bulletin, d'un large éventail de listes électroniques et de campagnes d'information telles que </w:t>
      </w:r>
      <w:r w:rsidR="0036146F">
        <w:rPr>
          <w:lang w:val="fr-FR"/>
        </w:rPr>
        <w:t xml:space="preserve">celle de </w:t>
      </w:r>
      <w:r w:rsidR="00B84C2B" w:rsidRPr="00B84C2B">
        <w:rPr>
          <w:lang w:val="fr-FR"/>
        </w:rPr>
        <w:t xml:space="preserve">la Journée mondiale des zones humides. Depuis le dernier rapport </w:t>
      </w:r>
      <w:r w:rsidR="001E1C25">
        <w:rPr>
          <w:lang w:val="fr-FR"/>
        </w:rPr>
        <w:t>daté</w:t>
      </w:r>
      <w:r w:rsidR="00B84C2B" w:rsidRPr="00B84C2B">
        <w:rPr>
          <w:lang w:val="fr-FR"/>
        </w:rPr>
        <w:t xml:space="preserve"> du 1</w:t>
      </w:r>
      <w:r w:rsidR="001E1C25" w:rsidRPr="001E1C25">
        <w:rPr>
          <w:vertAlign w:val="superscript"/>
          <w:lang w:val="fr-FR"/>
        </w:rPr>
        <w:t>er</w:t>
      </w:r>
      <w:r w:rsidR="00B84C2B" w:rsidRPr="00B84C2B">
        <w:rPr>
          <w:lang w:val="fr-FR"/>
        </w:rPr>
        <w:t xml:space="preserve"> mars 2017 (SC53), près d'un demi-million d'utilisateurs</w:t>
      </w:r>
      <w:r w:rsidR="0036146F">
        <w:rPr>
          <w:lang w:val="fr-FR"/>
        </w:rPr>
        <w:t xml:space="preserve"> ont visité le site w</w:t>
      </w:r>
      <w:r w:rsidR="001E1C25">
        <w:rPr>
          <w:lang w:val="fr-FR"/>
        </w:rPr>
        <w:t>eb de Ramsar</w:t>
      </w:r>
      <w:r w:rsidR="0036146F">
        <w:rPr>
          <w:lang w:val="fr-FR"/>
        </w:rPr>
        <w:t xml:space="preserve"> et c</w:t>
      </w:r>
      <w:r w:rsidR="001E1C25">
        <w:rPr>
          <w:lang w:val="fr-FR"/>
        </w:rPr>
        <w:t>ent quarante</w:t>
      </w:r>
      <w:r w:rsidR="00715C22">
        <w:rPr>
          <w:lang w:val="fr-FR"/>
        </w:rPr>
        <w:t xml:space="preserve"> articles </w:t>
      </w:r>
      <w:r w:rsidR="0036146F">
        <w:rPr>
          <w:lang w:val="fr-FR"/>
        </w:rPr>
        <w:t xml:space="preserve">y </w:t>
      </w:r>
      <w:r w:rsidR="00715C22">
        <w:rPr>
          <w:lang w:val="fr-FR"/>
        </w:rPr>
        <w:t>ont été publié</w:t>
      </w:r>
      <w:r w:rsidR="00B84C2B" w:rsidRPr="00B84C2B">
        <w:rPr>
          <w:lang w:val="fr-FR"/>
        </w:rPr>
        <w:t xml:space="preserve">s. En moyenne, toutes les plateformes </w:t>
      </w:r>
      <w:r w:rsidR="00122FC6">
        <w:rPr>
          <w:lang w:val="fr-FR"/>
        </w:rPr>
        <w:t xml:space="preserve">Ramsar sur les réseaux </w:t>
      </w:r>
      <w:r w:rsidR="00B84C2B" w:rsidRPr="00B84C2B">
        <w:rPr>
          <w:lang w:val="fr-FR"/>
        </w:rPr>
        <w:t xml:space="preserve">sociaux de Ramsar (Twitter, Facebook et Instagram) </w:t>
      </w:r>
      <w:r w:rsidR="0036146F">
        <w:rPr>
          <w:lang w:val="fr-FR"/>
        </w:rPr>
        <w:t xml:space="preserve">témoignent d’une fréquentation accrue </w:t>
      </w:r>
      <w:r w:rsidR="00B84C2B" w:rsidRPr="00B84C2B">
        <w:rPr>
          <w:lang w:val="fr-FR"/>
        </w:rPr>
        <w:t xml:space="preserve">de 30 % au cours de l'année écoulée. La </w:t>
      </w:r>
      <w:r w:rsidR="0036146F">
        <w:rPr>
          <w:lang w:val="fr-FR"/>
        </w:rPr>
        <w:t>Ramsar</w:t>
      </w:r>
      <w:r w:rsidR="00122FC6">
        <w:rPr>
          <w:lang w:val="fr-FR"/>
        </w:rPr>
        <w:t xml:space="preserve"> Newsletter</w:t>
      </w:r>
      <w:r w:rsidR="0036146F">
        <w:rPr>
          <w:lang w:val="fr-FR"/>
        </w:rPr>
        <w:t>, diffusé</w:t>
      </w:r>
      <w:r w:rsidR="00B84C2B" w:rsidRPr="00B84C2B">
        <w:rPr>
          <w:lang w:val="fr-FR"/>
        </w:rPr>
        <w:t xml:space="preserve"> tous les 3-4 mois, est désormais un moyen de communication bien établi entre le Secrétariat et les Parties contractantes. Trois </w:t>
      </w:r>
      <w:r w:rsidR="00122FC6">
        <w:rPr>
          <w:lang w:val="fr-FR"/>
        </w:rPr>
        <w:t>« newsletters »</w:t>
      </w:r>
      <w:r w:rsidR="00B84C2B" w:rsidRPr="00B84C2B">
        <w:rPr>
          <w:lang w:val="fr-FR"/>
        </w:rPr>
        <w:t xml:space="preserve"> devra</w:t>
      </w:r>
      <w:r w:rsidR="00122FC6">
        <w:rPr>
          <w:lang w:val="fr-FR"/>
        </w:rPr>
        <w:t>ient être distribués avant la CO</w:t>
      </w:r>
      <w:r w:rsidR="00B84C2B" w:rsidRPr="00B84C2B">
        <w:rPr>
          <w:lang w:val="fr-FR"/>
        </w:rPr>
        <w:t xml:space="preserve">P13. Des publications, des possibilités de formation et du matériel </w:t>
      </w:r>
      <w:r w:rsidR="00122FC6">
        <w:rPr>
          <w:lang w:val="fr-FR"/>
        </w:rPr>
        <w:t xml:space="preserve">pédagogique relatifs aux </w:t>
      </w:r>
      <w:r w:rsidR="00B84C2B" w:rsidRPr="00B84C2B">
        <w:rPr>
          <w:lang w:val="fr-FR"/>
        </w:rPr>
        <w:t xml:space="preserve">zones humides ont été partagés avec les réseaux de CESP. Le Secrétariat a produit sept vidéos </w:t>
      </w:r>
      <w:r w:rsidR="00122FC6">
        <w:rPr>
          <w:lang w:val="fr-FR"/>
        </w:rPr>
        <w:t xml:space="preserve">courtes </w:t>
      </w:r>
      <w:r w:rsidR="00B84C2B" w:rsidRPr="00B84C2B">
        <w:rPr>
          <w:lang w:val="fr-FR"/>
        </w:rPr>
        <w:t xml:space="preserve">sur les avantages des zones humides dans les trois langues officielles de la Convention. Ce sont les vidéos les plus populaires sur les </w:t>
      </w:r>
      <w:r w:rsidR="00122FC6">
        <w:rPr>
          <w:lang w:val="fr-FR"/>
        </w:rPr>
        <w:t>réseaux</w:t>
      </w:r>
      <w:r w:rsidR="00B84C2B" w:rsidRPr="00B84C2B">
        <w:rPr>
          <w:lang w:val="fr-FR"/>
        </w:rPr>
        <w:t xml:space="preserve"> </w:t>
      </w:r>
      <w:r w:rsidR="00122FC6">
        <w:rPr>
          <w:lang w:val="fr-FR"/>
        </w:rPr>
        <w:t xml:space="preserve">de la Convention de </w:t>
      </w:r>
      <w:r w:rsidR="00B84C2B" w:rsidRPr="00B84C2B">
        <w:rPr>
          <w:lang w:val="fr-FR"/>
        </w:rPr>
        <w:t>Ramsar, a</w:t>
      </w:r>
      <w:r w:rsidR="00122FC6">
        <w:rPr>
          <w:lang w:val="fr-FR"/>
        </w:rPr>
        <w:t>vec 25 000 usagers</w:t>
      </w:r>
      <w:r w:rsidR="00B84C2B" w:rsidRPr="00B84C2B">
        <w:rPr>
          <w:lang w:val="fr-FR"/>
        </w:rPr>
        <w:t>.</w:t>
      </w:r>
    </w:p>
    <w:p w14:paraId="0B1BA4BB" w14:textId="77777777" w:rsidR="00122FC6" w:rsidRPr="00B84C2B" w:rsidRDefault="00122FC6" w:rsidP="00570F86">
      <w:pPr>
        <w:rPr>
          <w:rFonts w:ascii="Calibri" w:eastAsia="Calibri" w:hAnsi="Calibri" w:cs="Calibri"/>
          <w:lang w:val="fr-FR"/>
        </w:rPr>
      </w:pPr>
    </w:p>
    <w:p w14:paraId="1984E5C4" w14:textId="39413DE9" w:rsidR="00EE515A" w:rsidRDefault="00C617C5" w:rsidP="00570F86">
      <w:pPr>
        <w:rPr>
          <w:rFonts w:cs="Arial"/>
          <w:lang w:val="fr-FR"/>
        </w:rPr>
      </w:pPr>
      <w:r w:rsidRPr="00697005">
        <w:rPr>
          <w:lang w:val="fr-FR"/>
        </w:rPr>
        <w:t>31</w:t>
      </w:r>
      <w:r w:rsidR="207F27EF" w:rsidRPr="00697005">
        <w:rPr>
          <w:lang w:val="fr-FR"/>
        </w:rPr>
        <w:t>.</w:t>
      </w:r>
      <w:r w:rsidR="00B31A2B" w:rsidRPr="00697005">
        <w:rPr>
          <w:lang w:val="fr-FR"/>
        </w:rPr>
        <w:t xml:space="preserve"> </w:t>
      </w:r>
      <w:r w:rsidR="207F27EF" w:rsidRPr="00697005">
        <w:rPr>
          <w:lang w:val="fr-FR"/>
        </w:rPr>
        <w:t xml:space="preserve"> </w:t>
      </w:r>
      <w:r w:rsidR="00B84C2B" w:rsidRPr="00B84C2B">
        <w:rPr>
          <w:rFonts w:cs="Arial"/>
          <w:lang w:val="fr-FR"/>
        </w:rPr>
        <w:t>D</w:t>
      </w:r>
      <w:r w:rsidR="00697005">
        <w:rPr>
          <w:rFonts w:cs="Arial"/>
          <w:lang w:val="fr-FR"/>
        </w:rPr>
        <w:t>’autres efforts de communication ont été entrepris</w:t>
      </w:r>
      <w:r w:rsidR="00B84C2B" w:rsidRPr="00B84C2B">
        <w:rPr>
          <w:rFonts w:cs="Arial"/>
          <w:lang w:val="fr-FR"/>
        </w:rPr>
        <w:t xml:space="preserve"> pour </w:t>
      </w:r>
      <w:r w:rsidR="00697005">
        <w:rPr>
          <w:rFonts w:cs="Arial"/>
          <w:lang w:val="fr-FR"/>
        </w:rPr>
        <w:t xml:space="preserve">mettre en lumière </w:t>
      </w:r>
      <w:r w:rsidR="00B84C2B" w:rsidRPr="00B84C2B">
        <w:rPr>
          <w:rFonts w:cs="Arial"/>
          <w:lang w:val="fr-FR"/>
        </w:rPr>
        <w:t>la participation du Secrétariat à divers forums et événements mondiaux, y compris la première Conférence des Nations Unies sur l'océan, la COP12 de la CMS, la COP23 de la CCNUCC et la troisième Assemblée des Nations Unies sur l'environnement (UNEA</w:t>
      </w:r>
      <w:r w:rsidR="00697005">
        <w:rPr>
          <w:rFonts w:cs="Arial"/>
          <w:lang w:val="fr-FR"/>
        </w:rPr>
        <w:t>-</w:t>
      </w:r>
      <w:r w:rsidR="00B84C2B" w:rsidRPr="00B84C2B">
        <w:rPr>
          <w:rFonts w:cs="Arial"/>
          <w:lang w:val="fr-FR"/>
        </w:rPr>
        <w:t xml:space="preserve">3). Grâce à la présence du Secrétariat à ces conférences internationales, </w:t>
      </w:r>
      <w:r w:rsidR="00697005">
        <w:rPr>
          <w:rFonts w:cs="Arial"/>
          <w:lang w:val="fr-FR"/>
        </w:rPr>
        <w:t xml:space="preserve">et </w:t>
      </w:r>
      <w:r w:rsidR="00B84C2B" w:rsidRPr="00B84C2B">
        <w:rPr>
          <w:rFonts w:cs="Arial"/>
          <w:lang w:val="fr-FR"/>
        </w:rPr>
        <w:t xml:space="preserve">notamment </w:t>
      </w:r>
      <w:r w:rsidR="00697005">
        <w:rPr>
          <w:rFonts w:cs="Arial"/>
          <w:lang w:val="fr-FR"/>
        </w:rPr>
        <w:t xml:space="preserve">à sa présence </w:t>
      </w:r>
      <w:r w:rsidR="00B84C2B" w:rsidRPr="00B84C2B">
        <w:rPr>
          <w:rFonts w:cs="Arial"/>
          <w:lang w:val="fr-FR"/>
        </w:rPr>
        <w:t xml:space="preserve">dans plus de 20 manifestations </w:t>
      </w:r>
      <w:r w:rsidR="004060BC">
        <w:rPr>
          <w:rFonts w:cs="Arial"/>
          <w:lang w:val="fr-FR"/>
        </w:rPr>
        <w:t>prestigieuses</w:t>
      </w:r>
      <w:r w:rsidR="00B84C2B" w:rsidRPr="00B84C2B">
        <w:rPr>
          <w:rFonts w:cs="Arial"/>
          <w:lang w:val="fr-FR"/>
        </w:rPr>
        <w:t>, ses messages clés sur la Convention de Ramsar et le rôle des zon</w:t>
      </w:r>
      <w:r w:rsidR="004060BC">
        <w:rPr>
          <w:rFonts w:cs="Arial"/>
          <w:lang w:val="fr-FR"/>
        </w:rPr>
        <w:t>es humides dans l'adaptation au changement climatique et l'atténuation de ses</w:t>
      </w:r>
      <w:r w:rsidR="00B84C2B" w:rsidRPr="00B84C2B">
        <w:rPr>
          <w:rFonts w:cs="Arial"/>
          <w:lang w:val="fr-FR"/>
        </w:rPr>
        <w:t xml:space="preserve"> effets (</w:t>
      </w:r>
      <w:r w:rsidR="004060BC">
        <w:rPr>
          <w:rFonts w:cs="Arial"/>
          <w:lang w:val="fr-FR"/>
        </w:rPr>
        <w:t xml:space="preserve">notamment </w:t>
      </w:r>
      <w:r w:rsidR="00B84C2B" w:rsidRPr="00B84C2B">
        <w:rPr>
          <w:rFonts w:cs="Arial"/>
          <w:lang w:val="fr-FR"/>
        </w:rPr>
        <w:t xml:space="preserve">la sécurité de </w:t>
      </w:r>
      <w:r w:rsidR="00B84C2B" w:rsidRPr="00B84C2B">
        <w:rPr>
          <w:rFonts w:cs="Arial"/>
          <w:lang w:val="fr-FR"/>
        </w:rPr>
        <w:lastRenderedPageBreak/>
        <w:t xml:space="preserve">l'eau, le piégeage du carbone, la réduction des risques de catastrophe) ainsi que dans la réduction de la pollution, </w:t>
      </w:r>
      <w:r w:rsidR="001C518D">
        <w:rPr>
          <w:rFonts w:cs="Arial"/>
          <w:lang w:val="fr-FR"/>
        </w:rPr>
        <w:t xml:space="preserve">ont </w:t>
      </w:r>
      <w:r w:rsidR="00B84C2B" w:rsidRPr="00B84C2B">
        <w:rPr>
          <w:rFonts w:cs="Arial"/>
          <w:lang w:val="fr-FR"/>
        </w:rPr>
        <w:t>attei</w:t>
      </w:r>
      <w:r w:rsidR="001C518D">
        <w:rPr>
          <w:rFonts w:cs="Arial"/>
          <w:lang w:val="fr-FR"/>
        </w:rPr>
        <w:t>nt</w:t>
      </w:r>
      <w:r w:rsidR="00B84C2B" w:rsidRPr="00B84C2B">
        <w:rPr>
          <w:rFonts w:cs="Arial"/>
          <w:lang w:val="fr-FR"/>
        </w:rPr>
        <w:t xml:space="preserve"> plus de 100 000 personnes d</w:t>
      </w:r>
      <w:r w:rsidR="004060BC">
        <w:rPr>
          <w:rFonts w:cs="Arial"/>
          <w:lang w:val="fr-FR"/>
        </w:rPr>
        <w:t xml:space="preserve">e par </w:t>
      </w:r>
      <w:r w:rsidR="00B84C2B" w:rsidRPr="00B84C2B">
        <w:rPr>
          <w:rFonts w:cs="Arial"/>
          <w:lang w:val="fr-FR"/>
        </w:rPr>
        <w:t xml:space="preserve">le monde par l'intermédiaire des </w:t>
      </w:r>
      <w:r w:rsidR="00122FC6">
        <w:rPr>
          <w:rFonts w:cs="Arial"/>
          <w:lang w:val="fr-FR"/>
        </w:rPr>
        <w:t>réseaux</w:t>
      </w:r>
      <w:r w:rsidR="00B84C2B" w:rsidRPr="00B84C2B">
        <w:rPr>
          <w:rFonts w:cs="Arial"/>
          <w:lang w:val="fr-FR"/>
        </w:rPr>
        <w:t xml:space="preserve"> sociaux.</w:t>
      </w:r>
    </w:p>
    <w:p w14:paraId="3A6D1C2E" w14:textId="77777777" w:rsidR="00B84C2B" w:rsidRPr="00B84C2B" w:rsidRDefault="00B84C2B" w:rsidP="00570F86">
      <w:pPr>
        <w:rPr>
          <w:rFonts w:ascii="Calibri" w:eastAsia="Calibri" w:hAnsi="Calibri" w:cs="Calibri"/>
          <w:lang w:val="fr-FR"/>
        </w:rPr>
      </w:pPr>
    </w:p>
    <w:p w14:paraId="1A6F6207" w14:textId="325530EC" w:rsidR="00EE515A" w:rsidRPr="001E1C25" w:rsidRDefault="00C617C5" w:rsidP="00C617C5">
      <w:pPr>
        <w:rPr>
          <w:lang w:val="fr-FR"/>
        </w:rPr>
      </w:pPr>
      <w:r w:rsidRPr="00D36A21">
        <w:rPr>
          <w:rFonts w:ascii="Calibri" w:eastAsia="Calibri" w:hAnsi="Calibri" w:cs="Calibri"/>
          <w:lang w:val="fr-FR"/>
        </w:rPr>
        <w:t>32</w:t>
      </w:r>
      <w:r w:rsidR="637F26AC" w:rsidRPr="00D36A21">
        <w:rPr>
          <w:rFonts w:ascii="Calibri" w:eastAsia="Calibri" w:hAnsi="Calibri" w:cs="Calibri"/>
          <w:lang w:val="fr-FR"/>
        </w:rPr>
        <w:t xml:space="preserve">. </w:t>
      </w:r>
      <w:r w:rsidRPr="00D36A21">
        <w:rPr>
          <w:rFonts w:ascii="Calibri" w:eastAsia="Calibri" w:hAnsi="Calibri" w:cs="Calibri"/>
          <w:lang w:val="fr-FR"/>
        </w:rPr>
        <w:tab/>
      </w:r>
      <w:r w:rsidR="001E1C25" w:rsidRPr="001E1C25">
        <w:rPr>
          <w:rFonts w:ascii="Calibri" w:eastAsia="Calibri" w:hAnsi="Calibri" w:cs="Calibri"/>
          <w:lang w:val="fr-FR"/>
        </w:rPr>
        <w:t xml:space="preserve">Ces efforts de communication </w:t>
      </w:r>
      <w:r w:rsidR="004060BC">
        <w:rPr>
          <w:rFonts w:ascii="Calibri" w:eastAsia="Calibri" w:hAnsi="Calibri" w:cs="Calibri"/>
          <w:lang w:val="fr-FR"/>
        </w:rPr>
        <w:t xml:space="preserve">s’inscrivent dans le cadre </w:t>
      </w:r>
      <w:r w:rsidR="001E1C25" w:rsidRPr="001E1C25">
        <w:rPr>
          <w:rFonts w:ascii="Calibri" w:eastAsia="Calibri" w:hAnsi="Calibri" w:cs="Calibri"/>
          <w:lang w:val="fr-FR"/>
        </w:rPr>
        <w:t xml:space="preserve">de la mise </w:t>
      </w:r>
      <w:r w:rsidR="001C518D">
        <w:rPr>
          <w:rFonts w:ascii="Calibri" w:eastAsia="Calibri" w:hAnsi="Calibri" w:cs="Calibri"/>
          <w:lang w:val="fr-FR"/>
        </w:rPr>
        <w:t xml:space="preserve">en œuvre du Plan d'action de </w:t>
      </w:r>
      <w:r w:rsidR="001E1C25" w:rsidRPr="001E1C25">
        <w:rPr>
          <w:rFonts w:ascii="Calibri" w:eastAsia="Calibri" w:hAnsi="Calibri" w:cs="Calibri"/>
          <w:lang w:val="fr-FR"/>
        </w:rPr>
        <w:t xml:space="preserve">CESP par le Secrétariat. Le Secrétariat a évalué l'état d'avancement de la mise en œuvre du Plan et </w:t>
      </w:r>
      <w:r w:rsidR="004C5665">
        <w:rPr>
          <w:rFonts w:ascii="Calibri" w:eastAsia="Calibri" w:hAnsi="Calibri" w:cs="Calibri"/>
          <w:lang w:val="fr-FR"/>
        </w:rPr>
        <w:t xml:space="preserve">il </w:t>
      </w:r>
      <w:r w:rsidR="001E1C25" w:rsidRPr="001E1C25">
        <w:rPr>
          <w:rFonts w:ascii="Calibri" w:eastAsia="Calibri" w:hAnsi="Calibri" w:cs="Calibri"/>
          <w:lang w:val="fr-FR"/>
        </w:rPr>
        <w:t xml:space="preserve">a examiné les résultats escomptés </w:t>
      </w:r>
      <w:r w:rsidR="004C5665">
        <w:rPr>
          <w:rFonts w:ascii="Calibri" w:eastAsia="Calibri" w:hAnsi="Calibri" w:cs="Calibri"/>
          <w:lang w:val="fr-FR"/>
        </w:rPr>
        <w:t xml:space="preserve">à l’aulne </w:t>
      </w:r>
      <w:r w:rsidR="001E1C25" w:rsidRPr="001E1C25">
        <w:rPr>
          <w:rFonts w:ascii="Calibri" w:eastAsia="Calibri" w:hAnsi="Calibri" w:cs="Calibri"/>
          <w:lang w:val="fr-FR"/>
        </w:rPr>
        <w:t>de ses capacités</w:t>
      </w:r>
      <w:r w:rsidR="004C5665">
        <w:rPr>
          <w:rFonts w:ascii="Calibri" w:eastAsia="Calibri" w:hAnsi="Calibri" w:cs="Calibri"/>
          <w:lang w:val="fr-FR"/>
        </w:rPr>
        <w:t>,</w:t>
      </w:r>
      <w:r w:rsidR="001E1C25" w:rsidRPr="001E1C25">
        <w:rPr>
          <w:rFonts w:ascii="Calibri" w:eastAsia="Calibri" w:hAnsi="Calibri" w:cs="Calibri"/>
          <w:lang w:val="fr-FR"/>
        </w:rPr>
        <w:t xml:space="preserve"> en adoptant une approche globale. Le Secrétariat a intégré les résultats du Plan dans ses </w:t>
      </w:r>
      <w:r w:rsidR="004C5665">
        <w:rPr>
          <w:rFonts w:ascii="Calibri" w:eastAsia="Calibri" w:hAnsi="Calibri" w:cs="Calibri"/>
          <w:lang w:val="fr-FR"/>
        </w:rPr>
        <w:t xml:space="preserve">propres </w:t>
      </w:r>
      <w:r w:rsidR="001E1C25" w:rsidRPr="001E1C25">
        <w:rPr>
          <w:rFonts w:ascii="Calibri" w:eastAsia="Calibri" w:hAnsi="Calibri" w:cs="Calibri"/>
          <w:lang w:val="fr-FR"/>
        </w:rPr>
        <w:t>plans de travail triennaux et annuels</w:t>
      </w:r>
      <w:r w:rsidR="004C5665">
        <w:rPr>
          <w:rFonts w:ascii="Calibri" w:eastAsia="Calibri" w:hAnsi="Calibri" w:cs="Calibri"/>
          <w:lang w:val="fr-FR"/>
        </w:rPr>
        <w:t>,</w:t>
      </w:r>
      <w:r w:rsidR="001E1C25" w:rsidRPr="001E1C25">
        <w:rPr>
          <w:rFonts w:ascii="Calibri" w:eastAsia="Calibri" w:hAnsi="Calibri" w:cs="Calibri"/>
          <w:lang w:val="fr-FR"/>
        </w:rPr>
        <w:t xml:space="preserve"> afin d'aligner et de rationaliser ses travaux (voir le document SC54-12 </w:t>
      </w:r>
      <w:r w:rsidR="001E1C25" w:rsidRPr="004C5665">
        <w:rPr>
          <w:rFonts w:ascii="Calibri" w:eastAsia="Calibri" w:hAnsi="Calibri" w:cs="Calibri"/>
          <w:i/>
          <w:lang w:val="fr-FR"/>
        </w:rPr>
        <w:t>Plan de travai</w:t>
      </w:r>
      <w:r w:rsidR="004C5665">
        <w:rPr>
          <w:rFonts w:ascii="Calibri" w:eastAsia="Calibri" w:hAnsi="Calibri" w:cs="Calibri"/>
          <w:i/>
          <w:lang w:val="fr-FR"/>
        </w:rPr>
        <w:t>l du Secrétariat pour 2018 et</w:t>
      </w:r>
      <w:r w:rsidR="001E1C25" w:rsidRPr="004C5665">
        <w:rPr>
          <w:rFonts w:ascii="Calibri" w:eastAsia="Calibri" w:hAnsi="Calibri" w:cs="Calibri"/>
          <w:i/>
          <w:lang w:val="fr-FR"/>
        </w:rPr>
        <w:t xml:space="preserve"> </w:t>
      </w:r>
      <w:r w:rsidR="004C5665">
        <w:rPr>
          <w:rFonts w:ascii="Calibri" w:eastAsia="Calibri" w:hAnsi="Calibri" w:cs="Calibri"/>
          <w:i/>
          <w:lang w:val="fr-FR"/>
        </w:rPr>
        <w:t>présentation proposée</w:t>
      </w:r>
      <w:r w:rsidR="001E1C25" w:rsidRPr="004C5665">
        <w:rPr>
          <w:rFonts w:ascii="Calibri" w:eastAsia="Calibri" w:hAnsi="Calibri" w:cs="Calibri"/>
          <w:i/>
          <w:lang w:val="fr-FR"/>
        </w:rPr>
        <w:t xml:space="preserve"> pour 2019-2021</w:t>
      </w:r>
      <w:r w:rsidR="001E1C25" w:rsidRPr="001E1C25">
        <w:rPr>
          <w:rFonts w:ascii="Calibri" w:eastAsia="Calibri" w:hAnsi="Calibri" w:cs="Calibri"/>
          <w:lang w:val="fr-FR"/>
        </w:rPr>
        <w:t>).</w:t>
      </w:r>
    </w:p>
    <w:p w14:paraId="3E106782" w14:textId="255607B6" w:rsidR="00EE515A" w:rsidRPr="001E1C25" w:rsidRDefault="00EE515A" w:rsidP="00C617C5">
      <w:pPr>
        <w:tabs>
          <w:tab w:val="left" w:pos="2700"/>
        </w:tabs>
        <w:rPr>
          <w:rFonts w:cs="Arial"/>
          <w:lang w:val="fr-FR"/>
        </w:rPr>
      </w:pPr>
    </w:p>
    <w:p w14:paraId="6F5E601E" w14:textId="71FF8EE6" w:rsidR="207F27EF" w:rsidRDefault="00E716B5" w:rsidP="00570F86">
      <w:pPr>
        <w:rPr>
          <w:rFonts w:ascii="Calibri" w:eastAsia="Calibri" w:hAnsi="Calibri" w:cs="Calibri"/>
          <w:lang w:val="fr-FR"/>
        </w:rPr>
      </w:pPr>
      <w:r w:rsidRPr="00C6062B">
        <w:rPr>
          <w:rFonts w:cs="Arial"/>
          <w:lang w:val="fr-FR"/>
        </w:rPr>
        <w:t>3</w:t>
      </w:r>
      <w:r w:rsidR="002C0C40" w:rsidRPr="00C6062B">
        <w:rPr>
          <w:rFonts w:cs="Arial"/>
          <w:lang w:val="fr-FR"/>
        </w:rPr>
        <w:t>3</w:t>
      </w:r>
      <w:r w:rsidR="00064A2F" w:rsidRPr="00C6062B">
        <w:rPr>
          <w:rFonts w:cs="Arial"/>
          <w:lang w:val="fr-FR"/>
        </w:rPr>
        <w:t>.</w:t>
      </w:r>
      <w:r w:rsidR="00EE515A" w:rsidRPr="00C6062B">
        <w:rPr>
          <w:rFonts w:cs="Arial"/>
          <w:lang w:val="fr-FR"/>
        </w:rPr>
        <w:t xml:space="preserve"> </w:t>
      </w:r>
      <w:r w:rsidR="00C6062B" w:rsidRPr="00C6062B">
        <w:rPr>
          <w:rFonts w:ascii="Calibri" w:eastAsia="Calibri" w:hAnsi="Calibri" w:cs="Calibri"/>
          <w:lang w:val="fr-FR"/>
        </w:rPr>
        <w:t>« Les zones humides pour un avenir urbain durable »</w:t>
      </w:r>
      <w:r w:rsidR="207F27EF" w:rsidRPr="00C6062B">
        <w:rPr>
          <w:rFonts w:ascii="Calibri" w:eastAsia="Calibri" w:hAnsi="Calibri" w:cs="Calibri"/>
          <w:lang w:val="fr-FR"/>
        </w:rPr>
        <w:t xml:space="preserve"> </w:t>
      </w:r>
      <w:r w:rsidR="00C6062B" w:rsidRPr="00C6062B">
        <w:rPr>
          <w:rFonts w:ascii="Calibri" w:eastAsia="Calibri" w:hAnsi="Calibri" w:cs="Calibri"/>
          <w:lang w:val="fr-FR"/>
        </w:rPr>
        <w:t>le thème de la</w:t>
      </w:r>
      <w:r w:rsidR="207F27EF" w:rsidRPr="00C6062B">
        <w:rPr>
          <w:rFonts w:ascii="Calibri" w:eastAsia="Calibri" w:hAnsi="Calibri" w:cs="Calibri"/>
          <w:lang w:val="fr-FR"/>
        </w:rPr>
        <w:t xml:space="preserve"> COP 13, </w:t>
      </w:r>
      <w:r w:rsidR="00D36A21" w:rsidRPr="00D36A21">
        <w:rPr>
          <w:rFonts w:ascii="Calibri" w:eastAsia="Calibri" w:hAnsi="Calibri" w:cs="Calibri"/>
          <w:lang w:val="fr-FR"/>
        </w:rPr>
        <w:t xml:space="preserve">a été approuvé comme thème </w:t>
      </w:r>
      <w:r w:rsidR="000A2EB5">
        <w:rPr>
          <w:rFonts w:ascii="Calibri" w:eastAsia="Calibri" w:hAnsi="Calibri" w:cs="Calibri"/>
          <w:lang w:val="fr-FR"/>
        </w:rPr>
        <w:t xml:space="preserve">de </w:t>
      </w:r>
      <w:r w:rsidR="00D36A21" w:rsidRPr="00D36A21">
        <w:rPr>
          <w:rFonts w:ascii="Calibri" w:eastAsia="Calibri" w:hAnsi="Calibri" w:cs="Calibri"/>
          <w:lang w:val="fr-FR"/>
        </w:rPr>
        <w:t xml:space="preserve">la Journée mondiale des zones humides en 2018. </w:t>
      </w:r>
      <w:r w:rsidR="000A2EB5">
        <w:rPr>
          <w:rFonts w:ascii="Calibri" w:eastAsia="Calibri" w:hAnsi="Calibri" w:cs="Calibri"/>
          <w:lang w:val="fr-FR"/>
        </w:rPr>
        <w:t xml:space="preserve">Désireux </w:t>
      </w:r>
      <w:r w:rsidR="00D36A21" w:rsidRPr="00D36A21">
        <w:rPr>
          <w:rFonts w:ascii="Calibri" w:eastAsia="Calibri" w:hAnsi="Calibri" w:cs="Calibri"/>
          <w:lang w:val="fr-FR"/>
        </w:rPr>
        <w:t xml:space="preserve">d'appuyer les activités de sensibilisation des Parties contractantes et des partenaires, le Secrétariat a élaboré </w:t>
      </w:r>
      <w:r w:rsidR="00112A98">
        <w:rPr>
          <w:rFonts w:ascii="Calibri" w:eastAsia="Calibri" w:hAnsi="Calibri" w:cs="Calibri"/>
          <w:lang w:val="fr-FR"/>
        </w:rPr>
        <w:t xml:space="preserve">du matériel </w:t>
      </w:r>
      <w:r w:rsidR="00D36A21" w:rsidRPr="00D36A21">
        <w:rPr>
          <w:rFonts w:ascii="Calibri" w:eastAsia="Calibri" w:hAnsi="Calibri" w:cs="Calibri"/>
          <w:lang w:val="fr-FR"/>
        </w:rPr>
        <w:t xml:space="preserve">d'information et de sensibilisation, </w:t>
      </w:r>
      <w:r w:rsidR="00112A98">
        <w:rPr>
          <w:rFonts w:ascii="Calibri" w:eastAsia="Calibri" w:hAnsi="Calibri" w:cs="Calibri"/>
          <w:lang w:val="fr-FR"/>
        </w:rPr>
        <w:t xml:space="preserve">en particulier </w:t>
      </w:r>
      <w:r w:rsidR="00D36A21" w:rsidRPr="00D36A21">
        <w:rPr>
          <w:rFonts w:ascii="Calibri" w:eastAsia="Calibri" w:hAnsi="Calibri" w:cs="Calibri"/>
          <w:lang w:val="fr-FR"/>
        </w:rPr>
        <w:t>une vidéo animée disponible dans les trois langues</w:t>
      </w:r>
      <w:r w:rsidR="00112A98">
        <w:rPr>
          <w:rFonts w:ascii="Calibri" w:eastAsia="Calibri" w:hAnsi="Calibri" w:cs="Calibri"/>
          <w:lang w:val="fr-FR"/>
        </w:rPr>
        <w:t xml:space="preserve"> de la Convention, sur le site w</w:t>
      </w:r>
      <w:r w:rsidR="00D36A21" w:rsidRPr="00D36A21">
        <w:rPr>
          <w:rFonts w:ascii="Calibri" w:eastAsia="Calibri" w:hAnsi="Calibri" w:cs="Calibri"/>
          <w:lang w:val="fr-FR"/>
        </w:rPr>
        <w:t xml:space="preserve">eb de la Journée mondiale des zones humides. Une campagne </w:t>
      </w:r>
      <w:r w:rsidR="00112A98">
        <w:rPr>
          <w:rFonts w:ascii="Calibri" w:eastAsia="Calibri" w:hAnsi="Calibri" w:cs="Calibri"/>
          <w:lang w:val="fr-FR"/>
        </w:rPr>
        <w:t xml:space="preserve">s’appuyant sur les réseaux </w:t>
      </w:r>
      <w:r w:rsidR="00D36A21" w:rsidRPr="00D36A21">
        <w:rPr>
          <w:rFonts w:ascii="Calibri" w:eastAsia="Calibri" w:hAnsi="Calibri" w:cs="Calibri"/>
          <w:lang w:val="fr-FR"/>
        </w:rPr>
        <w:t xml:space="preserve">sociaux a été </w:t>
      </w:r>
      <w:r w:rsidR="00112A98">
        <w:rPr>
          <w:rFonts w:ascii="Calibri" w:eastAsia="Calibri" w:hAnsi="Calibri" w:cs="Calibri"/>
          <w:lang w:val="fr-FR"/>
        </w:rPr>
        <w:t>organisée afin de</w:t>
      </w:r>
      <w:r w:rsidR="00D36A21" w:rsidRPr="00D36A21">
        <w:rPr>
          <w:rFonts w:ascii="Calibri" w:eastAsia="Calibri" w:hAnsi="Calibri" w:cs="Calibri"/>
          <w:lang w:val="fr-FR"/>
        </w:rPr>
        <w:t xml:space="preserve"> promouvoir les messages clés de la Journée mondiale des zones humides. Des membres du Secrétariat </w:t>
      </w:r>
      <w:r w:rsidR="00112A98">
        <w:rPr>
          <w:rFonts w:ascii="Calibri" w:eastAsia="Calibri" w:hAnsi="Calibri" w:cs="Calibri"/>
          <w:lang w:val="fr-FR"/>
        </w:rPr>
        <w:t xml:space="preserve">ont participé </w:t>
      </w:r>
      <w:r w:rsidR="00D36A21" w:rsidRPr="00D36A21">
        <w:rPr>
          <w:rFonts w:ascii="Calibri" w:eastAsia="Calibri" w:hAnsi="Calibri" w:cs="Calibri"/>
          <w:lang w:val="fr-FR"/>
        </w:rPr>
        <w:t xml:space="preserve">aux célébrations nationales, </w:t>
      </w:r>
      <w:r w:rsidR="00112A98">
        <w:rPr>
          <w:rFonts w:ascii="Calibri" w:eastAsia="Calibri" w:hAnsi="Calibri" w:cs="Calibri"/>
          <w:lang w:val="fr-FR"/>
        </w:rPr>
        <w:t xml:space="preserve">tandis que la </w:t>
      </w:r>
      <w:r w:rsidR="00D36A21" w:rsidRPr="00D36A21">
        <w:rPr>
          <w:rFonts w:ascii="Calibri" w:eastAsia="Calibri" w:hAnsi="Calibri" w:cs="Calibri"/>
          <w:lang w:val="fr-FR"/>
        </w:rPr>
        <w:t>Secrétaire général</w:t>
      </w:r>
      <w:r w:rsidR="00112A98">
        <w:rPr>
          <w:rFonts w:ascii="Calibri" w:eastAsia="Calibri" w:hAnsi="Calibri" w:cs="Calibri"/>
          <w:lang w:val="fr-FR"/>
        </w:rPr>
        <w:t>e</w:t>
      </w:r>
      <w:r w:rsidR="00D36A21" w:rsidRPr="00D36A21">
        <w:rPr>
          <w:rFonts w:ascii="Calibri" w:eastAsia="Calibri" w:hAnsi="Calibri" w:cs="Calibri"/>
          <w:lang w:val="fr-FR"/>
        </w:rPr>
        <w:t xml:space="preserve"> s</w:t>
      </w:r>
      <w:r w:rsidR="00112A98">
        <w:rPr>
          <w:rFonts w:ascii="Calibri" w:eastAsia="Calibri" w:hAnsi="Calibri" w:cs="Calibri"/>
          <w:lang w:val="fr-FR"/>
        </w:rPr>
        <w:t xml:space="preserve">e rendait </w:t>
      </w:r>
      <w:r w:rsidR="00D36A21" w:rsidRPr="00D36A21">
        <w:rPr>
          <w:rFonts w:ascii="Calibri" w:eastAsia="Calibri" w:hAnsi="Calibri" w:cs="Calibri"/>
          <w:lang w:val="fr-FR"/>
        </w:rPr>
        <w:t>en République populaire de Chine. Une carte en ligne a été mise à disposition pour enregistrer les manifestations nationales et s</w:t>
      </w:r>
      <w:r w:rsidR="00112A98">
        <w:rPr>
          <w:rFonts w:ascii="Calibri" w:eastAsia="Calibri" w:hAnsi="Calibri" w:cs="Calibri"/>
          <w:lang w:val="fr-FR"/>
        </w:rPr>
        <w:t>e faire l’</w:t>
      </w:r>
      <w:r w:rsidR="006E2C45">
        <w:rPr>
          <w:rFonts w:ascii="Calibri" w:eastAsia="Calibri" w:hAnsi="Calibri" w:cs="Calibri"/>
          <w:lang w:val="fr-FR"/>
        </w:rPr>
        <w:t>écho du rayonnement croissant de cette Journée de par le monde</w:t>
      </w:r>
      <w:r w:rsidR="00D36A21" w:rsidRPr="00D36A21">
        <w:rPr>
          <w:rFonts w:ascii="Calibri" w:eastAsia="Calibri" w:hAnsi="Calibri" w:cs="Calibri"/>
          <w:lang w:val="fr-FR"/>
        </w:rPr>
        <w:t xml:space="preserve">. Plus de 1 400 événements ont été enregistrés sur la carte au moment de la rédaction du présent </w:t>
      </w:r>
      <w:r w:rsidR="006E2C45">
        <w:rPr>
          <w:rFonts w:ascii="Calibri" w:eastAsia="Calibri" w:hAnsi="Calibri" w:cs="Calibri"/>
          <w:lang w:val="fr-FR"/>
        </w:rPr>
        <w:t>rapport</w:t>
      </w:r>
      <w:r w:rsidR="00D36A21" w:rsidRPr="00D36A21">
        <w:rPr>
          <w:rFonts w:ascii="Calibri" w:eastAsia="Calibri" w:hAnsi="Calibri" w:cs="Calibri"/>
          <w:lang w:val="fr-FR"/>
        </w:rPr>
        <w:t xml:space="preserve">. ONU-Habitat, </w:t>
      </w:r>
      <w:r w:rsidR="006E2C45">
        <w:rPr>
          <w:rFonts w:ascii="Calibri" w:eastAsia="Calibri" w:hAnsi="Calibri" w:cs="Calibri"/>
          <w:lang w:val="fr-FR"/>
        </w:rPr>
        <w:t xml:space="preserve">le </w:t>
      </w:r>
      <w:r w:rsidR="00D36A21" w:rsidRPr="00D36A21">
        <w:rPr>
          <w:rFonts w:ascii="Calibri" w:eastAsia="Calibri" w:hAnsi="Calibri" w:cs="Calibri"/>
          <w:lang w:val="fr-FR"/>
        </w:rPr>
        <w:t>WWF, le Wildfowl &amp; Wetlands Trust (WWT) et ICLEI - Local Governments for Sustainability</w:t>
      </w:r>
      <w:r w:rsidR="00DD0790">
        <w:rPr>
          <w:rFonts w:ascii="Calibri" w:eastAsia="Calibri" w:hAnsi="Calibri" w:cs="Calibri"/>
          <w:lang w:val="fr-FR"/>
        </w:rPr>
        <w:t>,</w:t>
      </w:r>
      <w:r w:rsidR="00D36A21" w:rsidRPr="00D36A21">
        <w:rPr>
          <w:rFonts w:ascii="Calibri" w:eastAsia="Calibri" w:hAnsi="Calibri" w:cs="Calibri"/>
          <w:lang w:val="fr-FR"/>
        </w:rPr>
        <w:t xml:space="preserve"> sont les principaux partenaires de l'édition 2018 de la Journée mondiale des zones humides. Le Groupe Danone a financé l</w:t>
      </w:r>
      <w:r w:rsidR="00271DE2">
        <w:rPr>
          <w:rFonts w:ascii="Calibri" w:eastAsia="Calibri" w:hAnsi="Calibri" w:cs="Calibri"/>
          <w:lang w:val="fr-FR"/>
        </w:rPr>
        <w:t xml:space="preserve">’élaboration </w:t>
      </w:r>
      <w:r w:rsidR="00D36A21" w:rsidRPr="00D36A21">
        <w:rPr>
          <w:rFonts w:ascii="Calibri" w:eastAsia="Calibri" w:hAnsi="Calibri" w:cs="Calibri"/>
          <w:lang w:val="fr-FR"/>
        </w:rPr>
        <w:t>des supports</w:t>
      </w:r>
      <w:r w:rsidR="00CA47FD">
        <w:rPr>
          <w:rFonts w:ascii="Calibri" w:eastAsia="Calibri" w:hAnsi="Calibri" w:cs="Calibri"/>
          <w:lang w:val="fr-FR"/>
        </w:rPr>
        <w:t xml:space="preserve"> de communication</w:t>
      </w:r>
      <w:r w:rsidR="00D36A21" w:rsidRPr="00D36A21">
        <w:rPr>
          <w:rFonts w:ascii="Calibri" w:eastAsia="Calibri" w:hAnsi="Calibri" w:cs="Calibri"/>
          <w:lang w:val="fr-FR"/>
        </w:rPr>
        <w:t>.</w:t>
      </w:r>
    </w:p>
    <w:p w14:paraId="37EBA403" w14:textId="77777777" w:rsidR="00D36A21" w:rsidRPr="00D36A21" w:rsidRDefault="00D36A21" w:rsidP="00570F86">
      <w:pPr>
        <w:rPr>
          <w:rFonts w:ascii="Calibri" w:eastAsia="Calibri" w:hAnsi="Calibri" w:cs="Calibri"/>
          <w:lang w:val="fr-FR"/>
        </w:rPr>
      </w:pPr>
    </w:p>
    <w:p w14:paraId="129A4A33" w14:textId="615E43B4" w:rsidR="00561D51" w:rsidRPr="0037288A" w:rsidRDefault="00A51F72" w:rsidP="00F36D96">
      <w:pPr>
        <w:ind w:left="0" w:firstLine="0"/>
        <w:rPr>
          <w:b/>
          <w:bCs/>
          <w:lang w:val="fr-FR"/>
        </w:rPr>
      </w:pPr>
      <w:r w:rsidRPr="0037288A">
        <w:rPr>
          <w:b/>
          <w:bCs/>
          <w:lang w:val="fr-FR"/>
        </w:rPr>
        <w:t>Un Secrétariat à l’efficacité renforcée</w:t>
      </w:r>
    </w:p>
    <w:p w14:paraId="441D3E33" w14:textId="77777777" w:rsidR="00D352B8" w:rsidRPr="0037288A" w:rsidRDefault="00D352B8" w:rsidP="00570F86">
      <w:pPr>
        <w:rPr>
          <w:rFonts w:cs="Arial"/>
          <w:lang w:val="fr-FR"/>
        </w:rPr>
      </w:pPr>
    </w:p>
    <w:p w14:paraId="35442AEB" w14:textId="6952B484" w:rsidR="00A70B29" w:rsidRPr="0037288A" w:rsidRDefault="002C0C40" w:rsidP="00A70B29">
      <w:pPr>
        <w:rPr>
          <w:lang w:val="fr-FR"/>
        </w:rPr>
      </w:pPr>
      <w:r w:rsidRPr="0037288A">
        <w:rPr>
          <w:lang w:val="fr-FR"/>
        </w:rPr>
        <w:t>34</w:t>
      </w:r>
      <w:r w:rsidR="008133BA" w:rsidRPr="0037288A">
        <w:rPr>
          <w:lang w:val="fr-FR"/>
        </w:rPr>
        <w:t>.</w:t>
      </w:r>
      <w:r w:rsidR="008133BA" w:rsidRPr="0037288A">
        <w:rPr>
          <w:lang w:val="fr-FR"/>
        </w:rPr>
        <w:tab/>
      </w:r>
      <w:r w:rsidR="00E851B0" w:rsidRPr="00E851B0">
        <w:rPr>
          <w:lang w:val="fr-FR"/>
        </w:rPr>
        <w:t xml:space="preserve">L’objectif directeur </w:t>
      </w:r>
      <w:r w:rsidR="00E851B0">
        <w:rPr>
          <w:lang w:val="fr-FR"/>
        </w:rPr>
        <w:t xml:space="preserve">de l’année précédente </w:t>
      </w:r>
      <w:r w:rsidR="00E851B0" w:rsidRPr="00E851B0">
        <w:rPr>
          <w:lang w:val="fr-FR"/>
        </w:rPr>
        <w:t>a été « d’organiser pour livrer des résultats » concernant le Plan stratégique de la Convention et le mandat des Parties contractantes</w:t>
      </w:r>
      <w:r w:rsidR="00E851B0">
        <w:rPr>
          <w:lang w:val="fr-FR"/>
        </w:rPr>
        <w:t>,</w:t>
      </w:r>
      <w:r w:rsidR="00E851B0" w:rsidRPr="00E851B0">
        <w:rPr>
          <w:lang w:val="fr-FR"/>
        </w:rPr>
        <w:t xml:space="preserve"> et pour utiliser de la façon la plus efficace qui soit les ressources limitées de la Convention et les capacités de son Secrétariat. Les principales lacunes dans les capacités du Secrétariat ont été </w:t>
      </w:r>
      <w:r w:rsidR="00E851B0">
        <w:rPr>
          <w:lang w:val="fr-FR"/>
        </w:rPr>
        <w:t xml:space="preserve">comblées </w:t>
      </w:r>
      <w:r w:rsidR="00E851B0" w:rsidRPr="00E851B0">
        <w:rPr>
          <w:lang w:val="fr-FR"/>
        </w:rPr>
        <w:t xml:space="preserve">dans les </w:t>
      </w:r>
      <w:r w:rsidR="00E851B0">
        <w:rPr>
          <w:lang w:val="fr-FR"/>
        </w:rPr>
        <w:t xml:space="preserve">deux </w:t>
      </w:r>
      <w:r w:rsidR="00E851B0" w:rsidRPr="00E851B0">
        <w:rPr>
          <w:lang w:val="fr-FR"/>
        </w:rPr>
        <w:t xml:space="preserve">domaines </w:t>
      </w:r>
      <w:r w:rsidR="00E851B0">
        <w:rPr>
          <w:lang w:val="fr-FR"/>
        </w:rPr>
        <w:t xml:space="preserve">identifiés dans le rapport </w:t>
      </w:r>
      <w:r w:rsidR="00F85E52">
        <w:rPr>
          <w:lang w:val="fr-FR"/>
        </w:rPr>
        <w:t xml:space="preserve">soumis </w:t>
      </w:r>
      <w:r w:rsidR="005B3F1F">
        <w:rPr>
          <w:lang w:val="fr-FR"/>
        </w:rPr>
        <w:t>à la 53</w:t>
      </w:r>
      <w:r w:rsidR="005B3F1F" w:rsidRPr="005B3F1F">
        <w:rPr>
          <w:vertAlign w:val="superscript"/>
          <w:lang w:val="fr-FR"/>
        </w:rPr>
        <w:t>e</w:t>
      </w:r>
      <w:r w:rsidR="00F85E52" w:rsidRPr="00F85E52">
        <w:rPr>
          <w:lang w:val="fr-FR"/>
        </w:rPr>
        <w:t xml:space="preserve"> Réunion du Comité permanent</w:t>
      </w:r>
      <w:r w:rsidR="006C1CA5">
        <w:rPr>
          <w:lang w:val="fr-FR"/>
        </w:rPr>
        <w:t xml:space="preserve">, à savoir </w:t>
      </w:r>
      <w:r w:rsidR="00A70B29">
        <w:rPr>
          <w:lang w:val="fr-FR"/>
        </w:rPr>
        <w:t>l</w:t>
      </w:r>
      <w:r w:rsidR="00A70B29" w:rsidRPr="00A70B29">
        <w:rPr>
          <w:lang w:val="fr-FR"/>
        </w:rPr>
        <w:t>a fonction centrale consistant à soutenir les organes de gouvernance et subsidiaires de la Convention et les liens avec les processus politiques pertinents par l’intermédiaire d’une science utile à la politique.</w:t>
      </w:r>
    </w:p>
    <w:p w14:paraId="4FBFFE89" w14:textId="77777777" w:rsidR="00843F44" w:rsidRPr="0037288A" w:rsidRDefault="00843F44" w:rsidP="00A70B29">
      <w:pPr>
        <w:ind w:left="0" w:firstLine="0"/>
        <w:rPr>
          <w:lang w:val="fr-FR"/>
        </w:rPr>
      </w:pPr>
    </w:p>
    <w:p w14:paraId="1394B0FA" w14:textId="52F2A0B3" w:rsidR="00E7322F" w:rsidRPr="002628D1" w:rsidRDefault="002C0C40" w:rsidP="00570F86">
      <w:pPr>
        <w:rPr>
          <w:lang w:val="fr-FR"/>
        </w:rPr>
      </w:pPr>
      <w:r w:rsidRPr="002628D1">
        <w:rPr>
          <w:lang w:val="fr-FR"/>
        </w:rPr>
        <w:t>35</w:t>
      </w:r>
      <w:r w:rsidR="00843F44" w:rsidRPr="002628D1">
        <w:rPr>
          <w:lang w:val="fr-FR"/>
        </w:rPr>
        <w:t>.</w:t>
      </w:r>
      <w:r w:rsidRPr="002628D1">
        <w:rPr>
          <w:lang w:val="fr-FR"/>
        </w:rPr>
        <w:tab/>
      </w:r>
      <w:r w:rsidR="002628D1" w:rsidRPr="002628D1">
        <w:rPr>
          <w:lang w:val="fr-FR"/>
        </w:rPr>
        <w:t>L'amélioration de la gestion financière est demeurée une priorité, suite</w:t>
      </w:r>
      <w:r w:rsidR="00147E2F">
        <w:rPr>
          <w:lang w:val="fr-FR"/>
        </w:rPr>
        <w:t xml:space="preserve"> au rapport du Secrétariat sur s</w:t>
      </w:r>
      <w:r w:rsidR="002628D1" w:rsidRPr="002628D1">
        <w:rPr>
          <w:lang w:val="fr-FR"/>
        </w:rPr>
        <w:t>es conclusions et rec</w:t>
      </w:r>
      <w:r w:rsidR="005B3F1F">
        <w:rPr>
          <w:lang w:val="fr-FR"/>
        </w:rPr>
        <w:t>ommandations présentées à la 53</w:t>
      </w:r>
      <w:r w:rsidR="005B3F1F" w:rsidRPr="005B3F1F">
        <w:rPr>
          <w:vertAlign w:val="superscript"/>
          <w:lang w:val="fr-FR"/>
        </w:rPr>
        <w:t>e</w:t>
      </w:r>
      <w:r w:rsidR="002628D1" w:rsidRPr="002628D1">
        <w:rPr>
          <w:lang w:val="fr-FR"/>
        </w:rPr>
        <w:t xml:space="preserve"> Réunion du Comité permanent. Les améliorations apportées dans ce domaine ont été validées par les </w:t>
      </w:r>
      <w:r w:rsidR="00DB0F88" w:rsidRPr="000A4E0D">
        <w:rPr>
          <w:lang w:val="fr-FR"/>
        </w:rPr>
        <w:t>vérificateurs aux comptes</w:t>
      </w:r>
      <w:r w:rsidR="00DB0F88">
        <w:rPr>
          <w:lang w:val="fr-FR"/>
        </w:rPr>
        <w:t xml:space="preserve"> </w:t>
      </w:r>
      <w:r w:rsidR="002628D1" w:rsidRPr="002628D1">
        <w:rPr>
          <w:lang w:val="fr-FR"/>
        </w:rPr>
        <w:t xml:space="preserve">externes. Le Secrétariat </w:t>
      </w:r>
      <w:r w:rsidR="00787508">
        <w:rPr>
          <w:lang w:val="fr-FR"/>
        </w:rPr>
        <w:t>s’est aligné plus vigoureusement sur l</w:t>
      </w:r>
      <w:r w:rsidR="002628D1" w:rsidRPr="002628D1">
        <w:rPr>
          <w:lang w:val="fr-FR"/>
        </w:rPr>
        <w:t xml:space="preserve">es politiques et procédures de l'UICN, </w:t>
      </w:r>
      <w:r w:rsidR="00CF6EE4">
        <w:rPr>
          <w:lang w:val="fr-FR"/>
        </w:rPr>
        <w:t>s’il y avait lieu, d</w:t>
      </w:r>
      <w:r w:rsidR="002628D1" w:rsidRPr="002628D1">
        <w:rPr>
          <w:lang w:val="fr-FR"/>
        </w:rPr>
        <w:t>es processus et procédures connexes ayant été mis en place en 2017 ou étant en cours d</w:t>
      </w:r>
      <w:r w:rsidR="00CF6EE4">
        <w:rPr>
          <w:lang w:val="fr-FR"/>
        </w:rPr>
        <w:t>’application en 2018. L</w:t>
      </w:r>
      <w:r w:rsidR="002628D1" w:rsidRPr="002628D1">
        <w:rPr>
          <w:lang w:val="fr-FR"/>
        </w:rPr>
        <w:t xml:space="preserve">es capacités ont été </w:t>
      </w:r>
      <w:r w:rsidR="00CF6EE4">
        <w:rPr>
          <w:lang w:val="fr-FR"/>
        </w:rPr>
        <w:t>renforcées</w:t>
      </w:r>
      <w:r w:rsidR="002628D1" w:rsidRPr="002628D1">
        <w:rPr>
          <w:lang w:val="fr-FR"/>
        </w:rPr>
        <w:t xml:space="preserve"> à cet égard et des objectifs de performance ont été inclus </w:t>
      </w:r>
      <w:r w:rsidR="00CF6EE4">
        <w:rPr>
          <w:lang w:val="fr-FR"/>
        </w:rPr>
        <w:t xml:space="preserve">aux </w:t>
      </w:r>
      <w:r w:rsidR="002628D1" w:rsidRPr="002628D1">
        <w:rPr>
          <w:lang w:val="fr-FR"/>
        </w:rPr>
        <w:t>postes de direction. Co</w:t>
      </w:r>
      <w:r w:rsidR="00CF6EE4">
        <w:rPr>
          <w:lang w:val="fr-FR"/>
        </w:rPr>
        <w:t>mme demandé lors de</w:t>
      </w:r>
      <w:r w:rsidR="005B3F1F">
        <w:rPr>
          <w:lang w:val="fr-FR"/>
        </w:rPr>
        <w:t xml:space="preserve"> la 53</w:t>
      </w:r>
      <w:r w:rsidR="005B3F1F" w:rsidRPr="005B3F1F">
        <w:rPr>
          <w:vertAlign w:val="superscript"/>
          <w:lang w:val="fr-FR"/>
        </w:rPr>
        <w:t>e</w:t>
      </w:r>
      <w:r w:rsidR="002628D1" w:rsidRPr="002628D1">
        <w:rPr>
          <w:lang w:val="fr-FR"/>
        </w:rPr>
        <w:t xml:space="preserve"> Réunion du Comité permanent, un examen de la gestion des fonds non </w:t>
      </w:r>
      <w:r w:rsidR="00CF6EE4">
        <w:rPr>
          <w:lang w:val="fr-FR"/>
        </w:rPr>
        <w:t xml:space="preserve">administratifs </w:t>
      </w:r>
      <w:r w:rsidR="002628D1" w:rsidRPr="002628D1">
        <w:rPr>
          <w:lang w:val="fr-FR"/>
        </w:rPr>
        <w:t xml:space="preserve">est en cours. Le Secrétariat a demandé au Chef de l'Unité de </w:t>
      </w:r>
      <w:r w:rsidR="00F45156">
        <w:rPr>
          <w:lang w:val="fr-FR"/>
        </w:rPr>
        <w:t>surveillance</w:t>
      </w:r>
      <w:r w:rsidR="002628D1" w:rsidRPr="002628D1">
        <w:rPr>
          <w:lang w:val="fr-FR"/>
        </w:rPr>
        <w:t xml:space="preserve"> de l'UICN d</w:t>
      </w:r>
      <w:r w:rsidR="00CF6EE4">
        <w:rPr>
          <w:lang w:val="fr-FR"/>
        </w:rPr>
        <w:t xml:space="preserve">e mener à bien cet </w:t>
      </w:r>
      <w:r w:rsidR="002628D1" w:rsidRPr="002628D1">
        <w:rPr>
          <w:lang w:val="fr-FR"/>
        </w:rPr>
        <w:t>examen et les résultats seront communiqués aux Parties contractantes. De plus amples informations figur</w:t>
      </w:r>
      <w:r w:rsidR="005B3F1F">
        <w:rPr>
          <w:lang w:val="fr-FR"/>
        </w:rPr>
        <w:t>ent dans les documents de la 54</w:t>
      </w:r>
      <w:r w:rsidR="005B3F1F" w:rsidRPr="005B3F1F">
        <w:rPr>
          <w:vertAlign w:val="superscript"/>
          <w:lang w:val="fr-FR"/>
        </w:rPr>
        <w:t>e</w:t>
      </w:r>
      <w:r w:rsidR="002628D1" w:rsidRPr="002628D1">
        <w:rPr>
          <w:lang w:val="fr-FR"/>
        </w:rPr>
        <w:t xml:space="preserve"> Réunion du Comité permanent sur les questions financières et les contributions restant dues (documents </w:t>
      </w:r>
      <w:r w:rsidR="002628D1" w:rsidRPr="002628D1">
        <w:rPr>
          <w:lang w:val="fr-FR"/>
        </w:rPr>
        <w:lastRenderedPageBreak/>
        <w:t xml:space="preserve">SC54-7.1 </w:t>
      </w:r>
      <w:r w:rsidR="002628D1" w:rsidRPr="00CF6EE4">
        <w:rPr>
          <w:i/>
          <w:lang w:val="fr-FR"/>
        </w:rPr>
        <w:t>Rapport sur les questions financières pour 2016-2018</w:t>
      </w:r>
      <w:r w:rsidR="002628D1" w:rsidRPr="002628D1">
        <w:rPr>
          <w:lang w:val="fr-FR"/>
        </w:rPr>
        <w:t xml:space="preserve"> et SC54-7.2 </w:t>
      </w:r>
      <w:r w:rsidR="000F1809">
        <w:rPr>
          <w:i/>
          <w:lang w:val="fr-FR"/>
        </w:rPr>
        <w:t xml:space="preserve">Statut </w:t>
      </w:r>
      <w:r w:rsidR="002628D1" w:rsidRPr="00CF6EE4">
        <w:rPr>
          <w:i/>
          <w:lang w:val="fr-FR"/>
        </w:rPr>
        <w:t>des contributions annuelles</w:t>
      </w:r>
      <w:r w:rsidR="002628D1" w:rsidRPr="002628D1">
        <w:rPr>
          <w:lang w:val="fr-FR"/>
        </w:rPr>
        <w:t>).</w:t>
      </w:r>
    </w:p>
    <w:p w14:paraId="4A562D2D" w14:textId="0AF46563" w:rsidR="00E7322F" w:rsidRPr="002628D1" w:rsidRDefault="002C0C40" w:rsidP="002C0C40">
      <w:pPr>
        <w:tabs>
          <w:tab w:val="left" w:pos="3801"/>
        </w:tabs>
        <w:rPr>
          <w:lang w:val="fr-FR"/>
        </w:rPr>
      </w:pPr>
      <w:r w:rsidRPr="002628D1">
        <w:rPr>
          <w:lang w:val="fr-FR"/>
        </w:rPr>
        <w:tab/>
      </w:r>
    </w:p>
    <w:p w14:paraId="671006B0" w14:textId="2370D17A" w:rsidR="00141D11" w:rsidRPr="00FA42BA" w:rsidRDefault="002C0C40" w:rsidP="00570F86">
      <w:pPr>
        <w:rPr>
          <w:lang w:val="fr-FR"/>
        </w:rPr>
      </w:pPr>
      <w:r w:rsidRPr="00FA42BA">
        <w:rPr>
          <w:lang w:val="fr-FR"/>
        </w:rPr>
        <w:t>36</w:t>
      </w:r>
      <w:r w:rsidR="008133BA" w:rsidRPr="00FA42BA">
        <w:rPr>
          <w:lang w:val="fr-FR"/>
        </w:rPr>
        <w:t>.</w:t>
      </w:r>
      <w:r w:rsidR="008133BA" w:rsidRPr="00FA42BA">
        <w:rPr>
          <w:lang w:val="fr-FR"/>
        </w:rPr>
        <w:tab/>
      </w:r>
      <w:r w:rsidR="00FA42BA" w:rsidRPr="00FA42BA">
        <w:rPr>
          <w:lang w:val="fr-FR"/>
        </w:rPr>
        <w:t xml:space="preserve">Un atelier de planification </w:t>
      </w:r>
      <w:r w:rsidR="006D26A0">
        <w:rPr>
          <w:lang w:val="fr-FR"/>
        </w:rPr>
        <w:t>animé par des professionnels</w:t>
      </w:r>
      <w:r w:rsidR="00FA42BA" w:rsidRPr="00FA42BA">
        <w:rPr>
          <w:lang w:val="fr-FR"/>
        </w:rPr>
        <w:t xml:space="preserve"> a été organisé du 20 au 22 novembre 2017</w:t>
      </w:r>
      <w:r w:rsidR="006D26A0">
        <w:rPr>
          <w:lang w:val="fr-FR"/>
        </w:rPr>
        <w:t xml:space="preserve"> pour le Secrétariat</w:t>
      </w:r>
      <w:r w:rsidR="00FA42BA" w:rsidRPr="00FA42BA">
        <w:rPr>
          <w:lang w:val="fr-FR"/>
        </w:rPr>
        <w:t xml:space="preserve">, en s'appuyant sur les résultats du premier atelier </w:t>
      </w:r>
      <w:r w:rsidR="006D26A0">
        <w:rPr>
          <w:lang w:val="fr-FR"/>
        </w:rPr>
        <w:t xml:space="preserve">organisé </w:t>
      </w:r>
      <w:r w:rsidR="00FA42BA" w:rsidRPr="00FA42BA">
        <w:rPr>
          <w:lang w:val="fr-FR"/>
        </w:rPr>
        <w:t xml:space="preserve">en janvier 2017. Cet atelier </w:t>
      </w:r>
      <w:r w:rsidR="006D26A0">
        <w:rPr>
          <w:lang w:val="fr-FR"/>
        </w:rPr>
        <w:t xml:space="preserve">a notamment porté </w:t>
      </w:r>
      <w:r w:rsidR="00FA42BA" w:rsidRPr="00FA42BA">
        <w:rPr>
          <w:lang w:val="fr-FR"/>
        </w:rPr>
        <w:t>sur</w:t>
      </w:r>
      <w:r w:rsidR="006D26A0">
        <w:rPr>
          <w:lang w:val="fr-FR"/>
        </w:rPr>
        <w:t> :</w:t>
      </w:r>
      <w:r w:rsidR="00FA42BA" w:rsidRPr="00FA42BA">
        <w:rPr>
          <w:lang w:val="fr-FR"/>
        </w:rPr>
        <w:t xml:space="preserve"> l'examen des plans de travail triennaux et annuels sur la base du cadre intégré approuvé (voir le document SC54-12 </w:t>
      </w:r>
      <w:r w:rsidR="00FA42BA" w:rsidRPr="0078220F">
        <w:rPr>
          <w:i/>
          <w:lang w:val="fr-FR"/>
        </w:rPr>
        <w:t xml:space="preserve">Plan de travail du Secrétariat pour 2018 et </w:t>
      </w:r>
      <w:r w:rsidR="0078220F" w:rsidRPr="0078220F">
        <w:rPr>
          <w:i/>
          <w:lang w:val="fr-FR"/>
        </w:rPr>
        <w:t xml:space="preserve">présentation </w:t>
      </w:r>
      <w:r w:rsidR="00FA42BA" w:rsidRPr="0078220F">
        <w:rPr>
          <w:i/>
          <w:lang w:val="fr-FR"/>
        </w:rPr>
        <w:t>proposé</w:t>
      </w:r>
      <w:r w:rsidR="0078220F" w:rsidRPr="0078220F">
        <w:rPr>
          <w:i/>
          <w:lang w:val="fr-FR"/>
        </w:rPr>
        <w:t>e</w:t>
      </w:r>
      <w:r w:rsidR="00FA42BA" w:rsidRPr="0078220F">
        <w:rPr>
          <w:i/>
          <w:lang w:val="fr-FR"/>
        </w:rPr>
        <w:t xml:space="preserve"> pour 2019-2021</w:t>
      </w:r>
      <w:r w:rsidR="00FA42BA" w:rsidRPr="00FA42BA">
        <w:rPr>
          <w:lang w:val="fr-FR"/>
        </w:rPr>
        <w:t xml:space="preserve">); la promotion de la cohésion et de la clarté du rôle, de l'identité et des responsabilités de l'équipe; les principes </w:t>
      </w:r>
      <w:r w:rsidR="002A288B">
        <w:rPr>
          <w:lang w:val="fr-FR"/>
        </w:rPr>
        <w:t xml:space="preserve">guidant </w:t>
      </w:r>
      <w:r w:rsidR="00FA42BA" w:rsidRPr="00FA42BA">
        <w:rPr>
          <w:lang w:val="fr-FR"/>
        </w:rPr>
        <w:t xml:space="preserve">le fonctionnement du Secrétariat; et les changements </w:t>
      </w:r>
      <w:r w:rsidR="002A288B">
        <w:rPr>
          <w:lang w:val="fr-FR"/>
        </w:rPr>
        <w:t xml:space="preserve">à apporter </w:t>
      </w:r>
      <w:r w:rsidR="00FA42BA" w:rsidRPr="00FA42BA">
        <w:rPr>
          <w:lang w:val="fr-FR"/>
        </w:rPr>
        <w:t xml:space="preserve">pour mieux servir les Parties contractantes et </w:t>
      </w:r>
      <w:r w:rsidR="002A288B">
        <w:rPr>
          <w:lang w:val="fr-FR"/>
        </w:rPr>
        <w:t xml:space="preserve">pour que le Secrétariat puisse </w:t>
      </w:r>
      <w:r w:rsidR="00FA42BA" w:rsidRPr="00FA42BA">
        <w:rPr>
          <w:lang w:val="fr-FR"/>
        </w:rPr>
        <w:t xml:space="preserve">remplir </w:t>
      </w:r>
      <w:r w:rsidR="002A288B">
        <w:rPr>
          <w:lang w:val="fr-FR"/>
        </w:rPr>
        <w:t>son</w:t>
      </w:r>
      <w:r w:rsidR="00FA42BA" w:rsidRPr="00FA42BA">
        <w:rPr>
          <w:lang w:val="fr-FR"/>
        </w:rPr>
        <w:t xml:space="preserve"> mandat. Le Secrétariat a également passé en revue les enseignements tirés de la mise en œuvre du Plan de travail et a élaboré </w:t>
      </w:r>
      <w:r w:rsidR="00A70165">
        <w:rPr>
          <w:lang w:val="fr-FR"/>
        </w:rPr>
        <w:t>un nouveau cadre proposé pour la</w:t>
      </w:r>
      <w:r w:rsidR="00FA42BA" w:rsidRPr="00FA42BA">
        <w:rPr>
          <w:lang w:val="fr-FR"/>
        </w:rPr>
        <w:t xml:space="preserve"> prochain</w:t>
      </w:r>
      <w:r w:rsidR="00A70165">
        <w:rPr>
          <w:lang w:val="fr-FR"/>
        </w:rPr>
        <w:t>e période</w:t>
      </w:r>
      <w:r w:rsidR="00FA42BA" w:rsidRPr="00FA42BA">
        <w:rPr>
          <w:lang w:val="fr-FR"/>
        </w:rPr>
        <w:t xml:space="preserve"> trienna</w:t>
      </w:r>
      <w:r w:rsidR="00A70165">
        <w:rPr>
          <w:lang w:val="fr-FR"/>
        </w:rPr>
        <w:t xml:space="preserve">le, lequel </w:t>
      </w:r>
      <w:r w:rsidR="00FA42BA" w:rsidRPr="00FA42BA">
        <w:rPr>
          <w:lang w:val="fr-FR"/>
        </w:rPr>
        <w:t xml:space="preserve">pourrait mieux servir d'outil de planification et de </w:t>
      </w:r>
      <w:r w:rsidR="00FA42BA" w:rsidRPr="00123F8E">
        <w:rPr>
          <w:lang w:val="fr-FR"/>
        </w:rPr>
        <w:t>suivi.</w:t>
      </w:r>
    </w:p>
    <w:p w14:paraId="6CDD8AFE" w14:textId="77777777" w:rsidR="001A0BC7" w:rsidRPr="00FA42BA" w:rsidRDefault="001A0BC7" w:rsidP="00570F86">
      <w:pPr>
        <w:rPr>
          <w:lang w:val="fr-FR"/>
        </w:rPr>
      </w:pPr>
    </w:p>
    <w:p w14:paraId="0A2A122F" w14:textId="3D6BCBC8" w:rsidR="001A0BC7" w:rsidRPr="00C2052D" w:rsidRDefault="002C0C40" w:rsidP="00570F86">
      <w:pPr>
        <w:rPr>
          <w:lang w:val="fr-FR"/>
        </w:rPr>
      </w:pPr>
      <w:r w:rsidRPr="00FA42BA">
        <w:rPr>
          <w:lang w:val="fr-FR"/>
        </w:rPr>
        <w:t>37</w:t>
      </w:r>
      <w:r w:rsidR="008133BA" w:rsidRPr="00FA42BA">
        <w:rPr>
          <w:lang w:val="fr-FR"/>
        </w:rPr>
        <w:t>.</w:t>
      </w:r>
      <w:r w:rsidR="008133BA" w:rsidRPr="00FA42BA">
        <w:rPr>
          <w:lang w:val="fr-FR"/>
        </w:rPr>
        <w:tab/>
      </w:r>
      <w:r w:rsidR="00FA42BA" w:rsidRPr="00FA42BA">
        <w:rPr>
          <w:lang w:val="fr-FR"/>
        </w:rPr>
        <w:t>En ce qui concerne les postes</w:t>
      </w:r>
      <w:r w:rsidR="00853691">
        <w:rPr>
          <w:lang w:val="fr-FR"/>
        </w:rPr>
        <w:t xml:space="preserve"> à pourvoir</w:t>
      </w:r>
      <w:r w:rsidR="00FA42BA" w:rsidRPr="00FA42BA">
        <w:rPr>
          <w:lang w:val="fr-FR"/>
        </w:rPr>
        <w:t xml:space="preserve">, la transition </w:t>
      </w:r>
      <w:r w:rsidR="00397315">
        <w:rPr>
          <w:lang w:val="fr-FR"/>
        </w:rPr>
        <w:t xml:space="preserve">suite </w:t>
      </w:r>
      <w:r w:rsidR="00FA42BA" w:rsidRPr="00FA42BA">
        <w:rPr>
          <w:lang w:val="fr-FR"/>
        </w:rPr>
        <w:t>au départ à la retraite de l'assistant</w:t>
      </w:r>
      <w:r w:rsidR="00853691">
        <w:rPr>
          <w:lang w:val="fr-FR"/>
        </w:rPr>
        <w:t>e</w:t>
      </w:r>
      <w:r w:rsidR="00FA42BA" w:rsidRPr="00FA42BA">
        <w:rPr>
          <w:lang w:val="fr-FR"/>
        </w:rPr>
        <w:t xml:space="preserve"> exécuti</w:t>
      </w:r>
      <w:r w:rsidR="00853691">
        <w:rPr>
          <w:lang w:val="fr-FR"/>
        </w:rPr>
        <w:t xml:space="preserve">ve de la Secrétaire générale s'est déroulée sans heurts grâce à </w:t>
      </w:r>
      <w:r w:rsidR="00FA42BA" w:rsidRPr="00FA42BA">
        <w:rPr>
          <w:lang w:val="fr-FR"/>
        </w:rPr>
        <w:t xml:space="preserve">la nomination </w:t>
      </w:r>
      <w:r w:rsidR="00853691">
        <w:rPr>
          <w:lang w:val="fr-FR"/>
        </w:rPr>
        <w:t xml:space="preserve">immédiate </w:t>
      </w:r>
      <w:r w:rsidR="00FA42BA" w:rsidRPr="00FA42BA">
        <w:rPr>
          <w:lang w:val="fr-FR"/>
        </w:rPr>
        <w:t>d'un assistant administratif e</w:t>
      </w:r>
      <w:r w:rsidR="00853691">
        <w:rPr>
          <w:lang w:val="fr-FR"/>
        </w:rPr>
        <w:t>n poste</w:t>
      </w:r>
      <w:r w:rsidR="00A60F2A">
        <w:rPr>
          <w:lang w:val="fr-FR"/>
        </w:rPr>
        <w:t>,</w:t>
      </w:r>
      <w:r w:rsidR="00FA42BA" w:rsidRPr="00FA42BA">
        <w:rPr>
          <w:lang w:val="fr-FR"/>
        </w:rPr>
        <w:t xml:space="preserve"> </w:t>
      </w:r>
      <w:r w:rsidR="00853691">
        <w:rPr>
          <w:lang w:val="fr-FR"/>
        </w:rPr>
        <w:t xml:space="preserve">avec </w:t>
      </w:r>
      <w:r w:rsidR="00FA42BA" w:rsidRPr="00FA42BA">
        <w:rPr>
          <w:lang w:val="fr-FR"/>
        </w:rPr>
        <w:t>quelques a</w:t>
      </w:r>
      <w:r w:rsidR="00A60F2A">
        <w:rPr>
          <w:lang w:val="fr-FR"/>
        </w:rPr>
        <w:t xml:space="preserve">ménagements </w:t>
      </w:r>
      <w:r w:rsidR="00FA42BA" w:rsidRPr="00FA42BA">
        <w:rPr>
          <w:lang w:val="fr-FR"/>
        </w:rPr>
        <w:t>d</w:t>
      </w:r>
      <w:r w:rsidR="00853691">
        <w:rPr>
          <w:lang w:val="fr-FR"/>
        </w:rPr>
        <w:t>es</w:t>
      </w:r>
      <w:r w:rsidR="00FA42BA" w:rsidRPr="00FA42BA">
        <w:rPr>
          <w:lang w:val="fr-FR"/>
        </w:rPr>
        <w:t xml:space="preserve"> fonctions des</w:t>
      </w:r>
      <w:r w:rsidR="00A60F2A">
        <w:rPr>
          <w:lang w:val="fr-FR"/>
        </w:rPr>
        <w:t xml:space="preserve"> autres</w:t>
      </w:r>
      <w:r w:rsidR="00FA42BA" w:rsidRPr="00FA42BA">
        <w:rPr>
          <w:lang w:val="fr-FR"/>
        </w:rPr>
        <w:t xml:space="preserve"> assistants administratifs</w:t>
      </w:r>
      <w:r w:rsidR="00A60F2A">
        <w:rPr>
          <w:lang w:val="fr-FR"/>
        </w:rPr>
        <w:t>. La description du</w:t>
      </w:r>
      <w:r w:rsidR="00FA42BA" w:rsidRPr="00FA42BA">
        <w:rPr>
          <w:lang w:val="fr-FR"/>
        </w:rPr>
        <w:t xml:space="preserve"> poste vacant d'assistant administratif a été r</w:t>
      </w:r>
      <w:r w:rsidR="00A60F2A">
        <w:rPr>
          <w:lang w:val="fr-FR"/>
        </w:rPr>
        <w:t xml:space="preserve">emaniée en donnant davantage d’importance aux </w:t>
      </w:r>
      <w:r w:rsidR="00FA42BA" w:rsidRPr="00FA42BA">
        <w:rPr>
          <w:lang w:val="fr-FR"/>
        </w:rPr>
        <w:t xml:space="preserve">services de conférence afin de renforcer la fonction principale consistant à servir les organes </w:t>
      </w:r>
      <w:r w:rsidR="000A4E0D">
        <w:rPr>
          <w:lang w:val="fr-FR"/>
        </w:rPr>
        <w:t>de gouvernance</w:t>
      </w:r>
      <w:r w:rsidR="00FA42BA" w:rsidRPr="00FA42BA">
        <w:rPr>
          <w:lang w:val="fr-FR"/>
        </w:rPr>
        <w:t xml:space="preserve"> et les organes subsidiaires de la Convention. </w:t>
      </w:r>
      <w:r w:rsidR="00FA42BA" w:rsidRPr="00C2052D">
        <w:rPr>
          <w:lang w:val="fr-FR"/>
        </w:rPr>
        <w:t>Ce poste est actuellement en cours de recrutement.</w:t>
      </w:r>
    </w:p>
    <w:p w14:paraId="0B085BBC" w14:textId="77777777" w:rsidR="00AC0ECC" w:rsidRPr="00C2052D" w:rsidRDefault="00AC0ECC" w:rsidP="00570F86">
      <w:pPr>
        <w:rPr>
          <w:lang w:val="fr-FR"/>
        </w:rPr>
      </w:pPr>
    </w:p>
    <w:p w14:paraId="5AB3F9C9" w14:textId="2F35294F" w:rsidR="001A0BC7" w:rsidRPr="00A60F2A" w:rsidRDefault="002C0C40" w:rsidP="00570F86">
      <w:pPr>
        <w:rPr>
          <w:lang w:val="fr-FR"/>
        </w:rPr>
      </w:pPr>
      <w:r w:rsidRPr="00C2052D">
        <w:rPr>
          <w:lang w:val="fr-FR"/>
        </w:rPr>
        <w:t>38</w:t>
      </w:r>
      <w:r w:rsidR="008133BA" w:rsidRPr="00C2052D">
        <w:rPr>
          <w:lang w:val="fr-FR"/>
        </w:rPr>
        <w:t>.</w:t>
      </w:r>
      <w:r w:rsidR="008133BA" w:rsidRPr="00C2052D">
        <w:rPr>
          <w:lang w:val="fr-FR"/>
        </w:rPr>
        <w:tab/>
      </w:r>
      <w:r w:rsidR="00C2052D" w:rsidRPr="00C2052D">
        <w:rPr>
          <w:lang w:val="fr-FR"/>
        </w:rPr>
        <w:t>Les besoins du Secrétariat en matière de perfectionnement du personnel ont été évalués a</w:t>
      </w:r>
      <w:r w:rsidR="00A60F2A">
        <w:rPr>
          <w:lang w:val="fr-FR"/>
        </w:rPr>
        <w:t>u moyen d'une enquête interne. D</w:t>
      </w:r>
      <w:r w:rsidR="00C2052D" w:rsidRPr="00C2052D">
        <w:rPr>
          <w:lang w:val="fr-FR"/>
        </w:rPr>
        <w:t>es priorités de formation ont été identifiées et un plan de formation</w:t>
      </w:r>
      <w:r w:rsidR="00A60F2A">
        <w:rPr>
          <w:lang w:val="fr-FR"/>
        </w:rPr>
        <w:t xml:space="preserve"> dont les activités ont débuté au dernier trimestre de 2017, </w:t>
      </w:r>
      <w:r w:rsidR="00C2052D" w:rsidRPr="00C2052D">
        <w:rPr>
          <w:lang w:val="fr-FR"/>
        </w:rPr>
        <w:t xml:space="preserve">a été élaboré. Les activités de formation </w:t>
      </w:r>
      <w:r w:rsidR="00A60F2A">
        <w:rPr>
          <w:lang w:val="fr-FR"/>
        </w:rPr>
        <w:t xml:space="preserve">organisées ont été les suivantes </w:t>
      </w:r>
      <w:r w:rsidR="00C2052D" w:rsidRPr="00C2052D">
        <w:rPr>
          <w:lang w:val="fr-FR"/>
        </w:rPr>
        <w:t xml:space="preserve">: formation d'une journée sur les techniques de communication pour les cadres </w:t>
      </w:r>
      <w:r w:rsidR="005B3F1F">
        <w:rPr>
          <w:lang w:val="fr-FR"/>
        </w:rPr>
        <w:t>supérieurs</w:t>
      </w:r>
      <w:r w:rsidR="00333E71" w:rsidRPr="00C2052D">
        <w:rPr>
          <w:lang w:val="fr-FR"/>
        </w:rPr>
        <w:t>;</w:t>
      </w:r>
      <w:r w:rsidR="00C2052D" w:rsidRPr="00C2052D">
        <w:rPr>
          <w:lang w:val="fr-FR"/>
        </w:rPr>
        <w:t xml:space="preserve"> formation d'une journée sur les techniques de communication ouverte </w:t>
      </w:r>
      <w:r w:rsidR="00A60F2A">
        <w:rPr>
          <w:lang w:val="fr-FR"/>
        </w:rPr>
        <w:t xml:space="preserve">à </w:t>
      </w:r>
      <w:r w:rsidR="00C2052D" w:rsidRPr="00C2052D">
        <w:rPr>
          <w:lang w:val="fr-FR"/>
        </w:rPr>
        <w:t>tous les autres membres du personnel (14 participants</w:t>
      </w:r>
      <w:r w:rsidR="005B3F1F">
        <w:rPr>
          <w:lang w:val="fr-FR"/>
        </w:rPr>
        <w:t>)</w:t>
      </w:r>
      <w:r w:rsidR="00333E71" w:rsidRPr="00C2052D">
        <w:rPr>
          <w:lang w:val="fr-FR"/>
        </w:rPr>
        <w:t>;</w:t>
      </w:r>
      <w:r w:rsidR="00C2052D" w:rsidRPr="00C2052D">
        <w:rPr>
          <w:lang w:val="fr-FR"/>
        </w:rPr>
        <w:t xml:space="preserve"> séance de formation sur les finances pour l'ensemble du personnel. </w:t>
      </w:r>
      <w:r w:rsidR="00C2052D" w:rsidRPr="00A60F2A">
        <w:rPr>
          <w:lang w:val="fr-FR"/>
        </w:rPr>
        <w:t>D'autres activités ont été identifiées pour 2018.</w:t>
      </w:r>
    </w:p>
    <w:p w14:paraId="45828097" w14:textId="77777777" w:rsidR="00BA05BD" w:rsidRPr="00A60F2A" w:rsidRDefault="00BA05BD" w:rsidP="00570F86">
      <w:pPr>
        <w:rPr>
          <w:lang w:val="fr-FR"/>
        </w:rPr>
      </w:pPr>
    </w:p>
    <w:p w14:paraId="3A8C0243" w14:textId="0C622D6E" w:rsidR="3B9DE253" w:rsidRPr="00C2052D" w:rsidRDefault="002C0C40" w:rsidP="00570F86">
      <w:pPr>
        <w:rPr>
          <w:lang w:val="fr-FR"/>
        </w:rPr>
      </w:pPr>
      <w:r w:rsidRPr="006C4461">
        <w:rPr>
          <w:lang w:val="fr-FR"/>
        </w:rPr>
        <w:t>39</w:t>
      </w:r>
      <w:r w:rsidR="00034996" w:rsidRPr="006C4461">
        <w:rPr>
          <w:lang w:val="fr-FR"/>
        </w:rPr>
        <w:t xml:space="preserve">. </w:t>
      </w:r>
      <w:r w:rsidRPr="006C4461">
        <w:rPr>
          <w:lang w:val="fr-FR"/>
        </w:rPr>
        <w:tab/>
      </w:r>
      <w:r w:rsidR="00D70CB3" w:rsidRPr="00D70CB3">
        <w:rPr>
          <w:lang w:val="fr-FR"/>
        </w:rPr>
        <w:t>Des progrès notables ont été enregistrés en termes d’amélioration de l’effic</w:t>
      </w:r>
      <w:r w:rsidR="00D70CB3">
        <w:rPr>
          <w:lang w:val="fr-FR"/>
        </w:rPr>
        <w:t>a</w:t>
      </w:r>
      <w:r w:rsidR="00D70CB3" w:rsidRPr="00D70CB3">
        <w:rPr>
          <w:lang w:val="fr-FR"/>
        </w:rPr>
        <w:t xml:space="preserve">cité </w:t>
      </w:r>
      <w:r w:rsidR="00D70CB3">
        <w:rPr>
          <w:lang w:val="fr-FR"/>
        </w:rPr>
        <w:t xml:space="preserve">du </w:t>
      </w:r>
      <w:r w:rsidR="00C2052D" w:rsidRPr="00C2052D">
        <w:rPr>
          <w:lang w:val="fr-FR"/>
        </w:rPr>
        <w:t>Secrétariat</w:t>
      </w:r>
      <w:r w:rsidR="00D70CB3">
        <w:rPr>
          <w:lang w:val="fr-FR"/>
        </w:rPr>
        <w:t xml:space="preserve"> et d’élimination d</w:t>
      </w:r>
      <w:r w:rsidR="00C2052D" w:rsidRPr="00C2052D">
        <w:rPr>
          <w:lang w:val="fr-FR"/>
        </w:rPr>
        <w:t xml:space="preserve">es lacunes </w:t>
      </w:r>
      <w:r w:rsidR="00D70CB3">
        <w:rPr>
          <w:lang w:val="fr-FR"/>
        </w:rPr>
        <w:t xml:space="preserve">en matière de </w:t>
      </w:r>
      <w:r w:rsidR="00C2052D" w:rsidRPr="00C2052D">
        <w:rPr>
          <w:lang w:val="fr-FR"/>
        </w:rPr>
        <w:t xml:space="preserve">capacités. L'équipe a travaillé d'arrache-pied </w:t>
      </w:r>
      <w:r w:rsidR="00333E71">
        <w:rPr>
          <w:lang w:val="fr-FR"/>
        </w:rPr>
        <w:t xml:space="preserve">et </w:t>
      </w:r>
      <w:r w:rsidR="00333E71" w:rsidRPr="00C2052D">
        <w:rPr>
          <w:lang w:val="fr-FR"/>
        </w:rPr>
        <w:t>obtenu</w:t>
      </w:r>
      <w:r w:rsidR="00C2052D" w:rsidRPr="00C2052D">
        <w:rPr>
          <w:lang w:val="fr-FR"/>
        </w:rPr>
        <w:t xml:space="preserve"> des résultats encourageants dans les principaux domaines d'activité du Secrétariat décrits dans le présent rapport. Toutefois, il reste encore du travail à fa</w:t>
      </w:r>
      <w:r w:rsidR="00D70CB3">
        <w:rPr>
          <w:lang w:val="fr-FR"/>
        </w:rPr>
        <w:t xml:space="preserve">ire. L'adoption d'une approche à l’échelle </w:t>
      </w:r>
      <w:r w:rsidR="00C2052D" w:rsidRPr="00C2052D">
        <w:rPr>
          <w:lang w:val="fr-FR"/>
        </w:rPr>
        <w:t xml:space="preserve">du Secrétariat a posé des problèmes, car </w:t>
      </w:r>
      <w:r w:rsidR="00D70CB3">
        <w:rPr>
          <w:lang w:val="fr-FR"/>
        </w:rPr>
        <w:t>elle</w:t>
      </w:r>
      <w:r w:rsidR="00C2052D" w:rsidRPr="00C2052D">
        <w:rPr>
          <w:lang w:val="fr-FR"/>
        </w:rPr>
        <w:t xml:space="preserve"> </w:t>
      </w:r>
      <w:r w:rsidR="0015249D">
        <w:rPr>
          <w:lang w:val="fr-FR"/>
        </w:rPr>
        <w:t xml:space="preserve">entraîne </w:t>
      </w:r>
      <w:r w:rsidR="00C2052D" w:rsidRPr="00C2052D">
        <w:rPr>
          <w:lang w:val="fr-FR"/>
        </w:rPr>
        <w:t xml:space="preserve">des changements importants </w:t>
      </w:r>
      <w:r w:rsidR="0015249D">
        <w:rPr>
          <w:lang w:val="fr-FR"/>
        </w:rPr>
        <w:t>aux niveaux d</w:t>
      </w:r>
      <w:r w:rsidR="00C2052D" w:rsidRPr="00C2052D">
        <w:rPr>
          <w:lang w:val="fr-FR"/>
        </w:rPr>
        <w:t>es méthodes de travail</w:t>
      </w:r>
      <w:r w:rsidR="0015249D">
        <w:rPr>
          <w:lang w:val="fr-FR"/>
        </w:rPr>
        <w:t xml:space="preserve"> et de</w:t>
      </w:r>
      <w:r w:rsidR="00C2052D" w:rsidRPr="00C2052D">
        <w:rPr>
          <w:lang w:val="fr-FR"/>
        </w:rPr>
        <w:t xml:space="preserve"> la culture organisationnelle </w:t>
      </w:r>
      <w:r w:rsidR="0015249D">
        <w:rPr>
          <w:lang w:val="fr-FR"/>
        </w:rPr>
        <w:t xml:space="preserve">au sein </w:t>
      </w:r>
      <w:r w:rsidR="00C2052D" w:rsidRPr="00C2052D">
        <w:rPr>
          <w:lang w:val="fr-FR"/>
        </w:rPr>
        <w:t>du Secrétariat</w:t>
      </w:r>
      <w:r w:rsidR="0015249D">
        <w:rPr>
          <w:lang w:val="fr-FR"/>
        </w:rPr>
        <w:t>,</w:t>
      </w:r>
      <w:r w:rsidR="00C2052D" w:rsidRPr="00C2052D">
        <w:rPr>
          <w:lang w:val="fr-FR"/>
        </w:rPr>
        <w:t xml:space="preserve"> et d</w:t>
      </w:r>
      <w:r w:rsidR="0015249D">
        <w:rPr>
          <w:lang w:val="fr-FR"/>
        </w:rPr>
        <w:t>e</w:t>
      </w:r>
      <w:r w:rsidR="00C2052D" w:rsidRPr="00C2052D">
        <w:rPr>
          <w:lang w:val="fr-FR"/>
        </w:rPr>
        <w:t xml:space="preserve"> son engagement </w:t>
      </w:r>
      <w:r w:rsidR="0015249D">
        <w:rPr>
          <w:lang w:val="fr-FR"/>
        </w:rPr>
        <w:t>envers</w:t>
      </w:r>
      <w:r w:rsidR="00C2052D" w:rsidRPr="00C2052D">
        <w:rPr>
          <w:lang w:val="fr-FR"/>
        </w:rPr>
        <w:t xml:space="preserve"> les Parties contractantes. Le Secrétariat élabore actuellement des procédures opérationnelles normalisées qui </w:t>
      </w:r>
      <w:r w:rsidR="0015249D">
        <w:rPr>
          <w:lang w:val="fr-FR"/>
        </w:rPr>
        <w:t>permettront de</w:t>
      </w:r>
      <w:r w:rsidR="00C2052D" w:rsidRPr="00C2052D">
        <w:rPr>
          <w:lang w:val="fr-FR"/>
        </w:rPr>
        <w:t xml:space="preserve"> faire de nouveaux progrès. D'autres </w:t>
      </w:r>
      <w:r w:rsidR="0015249D">
        <w:rPr>
          <w:lang w:val="fr-FR"/>
        </w:rPr>
        <w:t xml:space="preserve">secteurs doivent encore être améliorés </w:t>
      </w:r>
      <w:r w:rsidR="00C2052D" w:rsidRPr="00C2052D">
        <w:rPr>
          <w:lang w:val="fr-FR"/>
        </w:rPr>
        <w:t>: rationalis</w:t>
      </w:r>
      <w:r w:rsidR="0015249D">
        <w:rPr>
          <w:lang w:val="fr-FR"/>
        </w:rPr>
        <w:t>ation du</w:t>
      </w:r>
      <w:r w:rsidR="00C2052D" w:rsidRPr="00C2052D">
        <w:rPr>
          <w:lang w:val="fr-FR"/>
        </w:rPr>
        <w:t xml:space="preserve"> processus de planification des travaux et les liens avec les plans </w:t>
      </w:r>
      <w:r w:rsidR="0015249D">
        <w:rPr>
          <w:lang w:val="fr-FR"/>
        </w:rPr>
        <w:t xml:space="preserve">individuels </w:t>
      </w:r>
      <w:r w:rsidR="00C2052D" w:rsidRPr="00C2052D">
        <w:rPr>
          <w:lang w:val="fr-FR"/>
        </w:rPr>
        <w:t xml:space="preserve">de performance; </w:t>
      </w:r>
      <w:r w:rsidR="0015249D">
        <w:rPr>
          <w:lang w:val="fr-FR"/>
        </w:rPr>
        <w:t>adoptions d’</w:t>
      </w:r>
      <w:r w:rsidR="00C2052D" w:rsidRPr="00C2052D">
        <w:rPr>
          <w:lang w:val="fr-FR"/>
        </w:rPr>
        <w:t xml:space="preserve">approches plus cohérentes et </w:t>
      </w:r>
      <w:r w:rsidR="0015249D">
        <w:rPr>
          <w:lang w:val="fr-FR"/>
        </w:rPr>
        <w:t xml:space="preserve">mieux </w:t>
      </w:r>
      <w:r w:rsidR="00C2052D" w:rsidRPr="00C2052D">
        <w:rPr>
          <w:lang w:val="fr-FR"/>
        </w:rPr>
        <w:t>coordonnées entre les régions afin d</w:t>
      </w:r>
      <w:r w:rsidR="0015249D">
        <w:rPr>
          <w:lang w:val="fr-FR"/>
        </w:rPr>
        <w:t xml:space="preserve">e gagner en </w:t>
      </w:r>
      <w:r w:rsidR="00C2052D" w:rsidRPr="00C2052D">
        <w:rPr>
          <w:lang w:val="fr-FR"/>
        </w:rPr>
        <w:t>'efficacité et de mieux servir les Parties contractantes; établi</w:t>
      </w:r>
      <w:r w:rsidR="0015249D">
        <w:rPr>
          <w:lang w:val="fr-FR"/>
        </w:rPr>
        <w:t>ssement d’</w:t>
      </w:r>
      <w:r w:rsidR="00C2052D" w:rsidRPr="00C2052D">
        <w:rPr>
          <w:lang w:val="fr-FR"/>
        </w:rPr>
        <w:t xml:space="preserve">un équilibre entre la responsabilisation </w:t>
      </w:r>
      <w:r w:rsidR="0015249D">
        <w:rPr>
          <w:lang w:val="fr-FR"/>
        </w:rPr>
        <w:t>en termes de</w:t>
      </w:r>
      <w:r w:rsidR="00C2052D" w:rsidRPr="00C2052D">
        <w:rPr>
          <w:lang w:val="fr-FR"/>
        </w:rPr>
        <w:t xml:space="preserve"> mise en œuvre des décisions prises par la Conférence des Parti</w:t>
      </w:r>
      <w:r w:rsidR="0015249D">
        <w:rPr>
          <w:lang w:val="fr-FR"/>
        </w:rPr>
        <w:t>es et le Comité permanent et de</w:t>
      </w:r>
      <w:r w:rsidR="00C2052D" w:rsidRPr="00C2052D">
        <w:rPr>
          <w:lang w:val="fr-FR"/>
        </w:rPr>
        <w:t xml:space="preserve"> services fournis aux Parties contractantes dans chaque région; établi</w:t>
      </w:r>
      <w:r w:rsidR="0015249D">
        <w:rPr>
          <w:lang w:val="fr-FR"/>
        </w:rPr>
        <w:t>ssement d’</w:t>
      </w:r>
      <w:r w:rsidR="00C2052D" w:rsidRPr="00C2052D">
        <w:rPr>
          <w:lang w:val="fr-FR"/>
        </w:rPr>
        <w:t xml:space="preserve">un équilibre entre les approches régionales et thématiques; </w:t>
      </w:r>
      <w:r w:rsidR="0015249D">
        <w:rPr>
          <w:lang w:val="fr-FR"/>
        </w:rPr>
        <w:t xml:space="preserve">poursuite du </w:t>
      </w:r>
      <w:r w:rsidR="00C2052D" w:rsidRPr="00C2052D">
        <w:rPr>
          <w:lang w:val="fr-FR"/>
        </w:rPr>
        <w:t>renforce</w:t>
      </w:r>
      <w:r w:rsidR="0015249D">
        <w:rPr>
          <w:lang w:val="fr-FR"/>
        </w:rPr>
        <w:t>ment de</w:t>
      </w:r>
      <w:r w:rsidR="00C2052D" w:rsidRPr="00C2052D">
        <w:rPr>
          <w:lang w:val="fr-FR"/>
        </w:rPr>
        <w:t xml:space="preserve"> la responsabilisation </w:t>
      </w:r>
      <w:r w:rsidR="0015249D">
        <w:rPr>
          <w:lang w:val="fr-FR"/>
        </w:rPr>
        <w:t>en termes de normes financières et de</w:t>
      </w:r>
      <w:r w:rsidR="00C2052D" w:rsidRPr="00C2052D">
        <w:rPr>
          <w:lang w:val="fr-FR"/>
        </w:rPr>
        <w:t xml:space="preserve"> procédures opérationnelles; et </w:t>
      </w:r>
      <w:r w:rsidR="0015249D">
        <w:rPr>
          <w:lang w:val="fr-FR"/>
        </w:rPr>
        <w:t>poursuite du renforcement des</w:t>
      </w:r>
      <w:r w:rsidR="00C2052D" w:rsidRPr="00C2052D">
        <w:rPr>
          <w:lang w:val="fr-FR"/>
        </w:rPr>
        <w:t xml:space="preserve"> capacités et les compétences dans les principaux domaines </w:t>
      </w:r>
      <w:r w:rsidR="00970475">
        <w:rPr>
          <w:lang w:val="fr-FR"/>
        </w:rPr>
        <w:t>d’activité</w:t>
      </w:r>
      <w:r w:rsidR="00C2052D" w:rsidRPr="00C2052D">
        <w:rPr>
          <w:lang w:val="fr-FR"/>
        </w:rPr>
        <w:t xml:space="preserve"> du Secrétariat.</w:t>
      </w:r>
    </w:p>
    <w:sectPr w:rsidR="3B9DE253" w:rsidRPr="00C2052D" w:rsidSect="00570F86">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F36DEE" w14:textId="77777777" w:rsidR="0053366A" w:rsidRDefault="0053366A" w:rsidP="00FC5A0A">
      <w:r>
        <w:separator/>
      </w:r>
    </w:p>
  </w:endnote>
  <w:endnote w:type="continuationSeparator" w:id="0">
    <w:p w14:paraId="5DF258BF" w14:textId="77777777" w:rsidR="0053366A" w:rsidRDefault="0053366A" w:rsidP="00FC5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9A7626" w14:textId="00AB9185" w:rsidR="00570F86" w:rsidRPr="00570F86" w:rsidRDefault="00570F86">
    <w:pPr>
      <w:pStyle w:val="Footer"/>
      <w:rPr>
        <w:sz w:val="20"/>
        <w:szCs w:val="20"/>
      </w:rPr>
    </w:pPr>
    <w:r w:rsidRPr="00570F86">
      <w:rPr>
        <w:sz w:val="20"/>
        <w:szCs w:val="20"/>
      </w:rPr>
      <w:t>SC54-5</w:t>
    </w:r>
    <w:r w:rsidRPr="00570F86">
      <w:rPr>
        <w:sz w:val="20"/>
        <w:szCs w:val="20"/>
      </w:rPr>
      <w:tab/>
    </w:r>
    <w:r w:rsidRPr="00570F86">
      <w:rPr>
        <w:sz w:val="20"/>
        <w:szCs w:val="20"/>
      </w:rPr>
      <w:tab/>
    </w:r>
    <w:r w:rsidRPr="00570F86">
      <w:rPr>
        <w:sz w:val="20"/>
        <w:szCs w:val="20"/>
      </w:rPr>
      <w:fldChar w:fldCharType="begin"/>
    </w:r>
    <w:r w:rsidRPr="00570F86">
      <w:rPr>
        <w:sz w:val="20"/>
        <w:szCs w:val="20"/>
      </w:rPr>
      <w:instrText xml:space="preserve"> PAGE   \* MERGEFORMAT </w:instrText>
    </w:r>
    <w:r w:rsidRPr="00570F86">
      <w:rPr>
        <w:sz w:val="20"/>
        <w:szCs w:val="20"/>
      </w:rPr>
      <w:fldChar w:fldCharType="separate"/>
    </w:r>
    <w:r w:rsidR="006C4461">
      <w:rPr>
        <w:noProof/>
        <w:sz w:val="20"/>
        <w:szCs w:val="20"/>
      </w:rPr>
      <w:t>11</w:t>
    </w:r>
    <w:r w:rsidRPr="00570F86">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F87389" w14:textId="77777777" w:rsidR="0053366A" w:rsidRDefault="0053366A" w:rsidP="00FC5A0A">
      <w:r>
        <w:separator/>
      </w:r>
    </w:p>
  </w:footnote>
  <w:footnote w:type="continuationSeparator" w:id="0">
    <w:p w14:paraId="03281FE9" w14:textId="77777777" w:rsidR="0053366A" w:rsidRDefault="0053366A" w:rsidP="00FC5A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00371"/>
    <w:multiLevelType w:val="hybridMultilevel"/>
    <w:tmpl w:val="26FAC6EE"/>
    <w:lvl w:ilvl="0" w:tplc="4F0AA8E4">
      <w:start w:val="31"/>
      <w:numFmt w:val="decimal"/>
      <w:lvlText w:val="%1."/>
      <w:lvlJc w:val="left"/>
      <w:pPr>
        <w:ind w:left="361" w:hanging="360"/>
      </w:pPr>
      <w:rPr>
        <w:rFonts w:cstheme="minorBidi" w:hint="default"/>
      </w:rPr>
    </w:lvl>
    <w:lvl w:ilvl="1" w:tplc="08090019" w:tentative="1">
      <w:start w:val="1"/>
      <w:numFmt w:val="lowerLetter"/>
      <w:lvlText w:val="%2."/>
      <w:lvlJc w:val="left"/>
      <w:pPr>
        <w:ind w:left="1081" w:hanging="360"/>
      </w:pPr>
    </w:lvl>
    <w:lvl w:ilvl="2" w:tplc="0809001B" w:tentative="1">
      <w:start w:val="1"/>
      <w:numFmt w:val="lowerRoman"/>
      <w:lvlText w:val="%3."/>
      <w:lvlJc w:val="right"/>
      <w:pPr>
        <w:ind w:left="1801" w:hanging="180"/>
      </w:pPr>
    </w:lvl>
    <w:lvl w:ilvl="3" w:tplc="0809000F" w:tentative="1">
      <w:start w:val="1"/>
      <w:numFmt w:val="decimal"/>
      <w:lvlText w:val="%4."/>
      <w:lvlJc w:val="left"/>
      <w:pPr>
        <w:ind w:left="2521" w:hanging="360"/>
      </w:pPr>
    </w:lvl>
    <w:lvl w:ilvl="4" w:tplc="08090019" w:tentative="1">
      <w:start w:val="1"/>
      <w:numFmt w:val="lowerLetter"/>
      <w:lvlText w:val="%5."/>
      <w:lvlJc w:val="left"/>
      <w:pPr>
        <w:ind w:left="3241" w:hanging="360"/>
      </w:pPr>
    </w:lvl>
    <w:lvl w:ilvl="5" w:tplc="0809001B" w:tentative="1">
      <w:start w:val="1"/>
      <w:numFmt w:val="lowerRoman"/>
      <w:lvlText w:val="%6."/>
      <w:lvlJc w:val="right"/>
      <w:pPr>
        <w:ind w:left="3961" w:hanging="180"/>
      </w:pPr>
    </w:lvl>
    <w:lvl w:ilvl="6" w:tplc="0809000F" w:tentative="1">
      <w:start w:val="1"/>
      <w:numFmt w:val="decimal"/>
      <w:lvlText w:val="%7."/>
      <w:lvlJc w:val="left"/>
      <w:pPr>
        <w:ind w:left="4681" w:hanging="360"/>
      </w:pPr>
    </w:lvl>
    <w:lvl w:ilvl="7" w:tplc="08090019" w:tentative="1">
      <w:start w:val="1"/>
      <w:numFmt w:val="lowerLetter"/>
      <w:lvlText w:val="%8."/>
      <w:lvlJc w:val="left"/>
      <w:pPr>
        <w:ind w:left="5401" w:hanging="360"/>
      </w:pPr>
    </w:lvl>
    <w:lvl w:ilvl="8" w:tplc="0809001B" w:tentative="1">
      <w:start w:val="1"/>
      <w:numFmt w:val="lowerRoman"/>
      <w:lvlText w:val="%9."/>
      <w:lvlJc w:val="right"/>
      <w:pPr>
        <w:ind w:left="6121" w:hanging="180"/>
      </w:pPr>
    </w:lvl>
  </w:abstractNum>
  <w:abstractNum w:abstractNumId="1">
    <w:nsid w:val="186C2B07"/>
    <w:multiLevelType w:val="hybridMultilevel"/>
    <w:tmpl w:val="013488B8"/>
    <w:lvl w:ilvl="0" w:tplc="08090001">
      <w:start w:val="1"/>
      <w:numFmt w:val="bullet"/>
      <w:lvlText w:val=""/>
      <w:lvlJc w:val="left"/>
      <w:pPr>
        <w:ind w:left="768" w:hanging="360"/>
      </w:pPr>
      <w:rPr>
        <w:rFonts w:ascii="Symbol" w:hAnsi="Symbol" w:hint="default"/>
      </w:rPr>
    </w:lvl>
    <w:lvl w:ilvl="1" w:tplc="08090003">
      <w:start w:val="1"/>
      <w:numFmt w:val="bullet"/>
      <w:lvlText w:val="o"/>
      <w:lvlJc w:val="left"/>
      <w:pPr>
        <w:ind w:left="1488" w:hanging="360"/>
      </w:pPr>
      <w:rPr>
        <w:rFonts w:ascii="Courier New" w:hAnsi="Courier New" w:cs="Courier New" w:hint="default"/>
      </w:rPr>
    </w:lvl>
    <w:lvl w:ilvl="2" w:tplc="08090005">
      <w:start w:val="1"/>
      <w:numFmt w:val="bullet"/>
      <w:lvlText w:val=""/>
      <w:lvlJc w:val="left"/>
      <w:pPr>
        <w:ind w:left="2208" w:hanging="360"/>
      </w:pPr>
      <w:rPr>
        <w:rFonts w:ascii="Wingdings" w:hAnsi="Wingdings" w:hint="default"/>
      </w:rPr>
    </w:lvl>
    <w:lvl w:ilvl="3" w:tplc="08090001">
      <w:start w:val="1"/>
      <w:numFmt w:val="bullet"/>
      <w:lvlText w:val=""/>
      <w:lvlJc w:val="left"/>
      <w:pPr>
        <w:ind w:left="2928" w:hanging="360"/>
      </w:pPr>
      <w:rPr>
        <w:rFonts w:ascii="Symbol" w:hAnsi="Symbol" w:hint="default"/>
      </w:rPr>
    </w:lvl>
    <w:lvl w:ilvl="4" w:tplc="08090003">
      <w:start w:val="1"/>
      <w:numFmt w:val="bullet"/>
      <w:lvlText w:val="o"/>
      <w:lvlJc w:val="left"/>
      <w:pPr>
        <w:ind w:left="3648" w:hanging="360"/>
      </w:pPr>
      <w:rPr>
        <w:rFonts w:ascii="Courier New" w:hAnsi="Courier New" w:cs="Courier New" w:hint="default"/>
      </w:rPr>
    </w:lvl>
    <w:lvl w:ilvl="5" w:tplc="08090005">
      <w:start w:val="1"/>
      <w:numFmt w:val="bullet"/>
      <w:lvlText w:val=""/>
      <w:lvlJc w:val="left"/>
      <w:pPr>
        <w:ind w:left="4368" w:hanging="360"/>
      </w:pPr>
      <w:rPr>
        <w:rFonts w:ascii="Wingdings" w:hAnsi="Wingdings" w:hint="default"/>
      </w:rPr>
    </w:lvl>
    <w:lvl w:ilvl="6" w:tplc="08090001">
      <w:start w:val="1"/>
      <w:numFmt w:val="bullet"/>
      <w:lvlText w:val=""/>
      <w:lvlJc w:val="left"/>
      <w:pPr>
        <w:ind w:left="5088" w:hanging="360"/>
      </w:pPr>
      <w:rPr>
        <w:rFonts w:ascii="Symbol" w:hAnsi="Symbol" w:hint="default"/>
      </w:rPr>
    </w:lvl>
    <w:lvl w:ilvl="7" w:tplc="08090003">
      <w:start w:val="1"/>
      <w:numFmt w:val="bullet"/>
      <w:lvlText w:val="o"/>
      <w:lvlJc w:val="left"/>
      <w:pPr>
        <w:ind w:left="5808" w:hanging="360"/>
      </w:pPr>
      <w:rPr>
        <w:rFonts w:ascii="Courier New" w:hAnsi="Courier New" w:cs="Courier New" w:hint="default"/>
      </w:rPr>
    </w:lvl>
    <w:lvl w:ilvl="8" w:tplc="08090005">
      <w:start w:val="1"/>
      <w:numFmt w:val="bullet"/>
      <w:lvlText w:val=""/>
      <w:lvlJc w:val="left"/>
      <w:pPr>
        <w:ind w:left="6528" w:hanging="360"/>
      </w:pPr>
      <w:rPr>
        <w:rFonts w:ascii="Wingdings" w:hAnsi="Wingdings" w:hint="default"/>
      </w:rPr>
    </w:lvl>
  </w:abstractNum>
  <w:abstractNum w:abstractNumId="2">
    <w:nsid w:val="20CB4958"/>
    <w:multiLevelType w:val="hybridMultilevel"/>
    <w:tmpl w:val="DA4AC9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2DA72CA7"/>
    <w:multiLevelType w:val="hybridMultilevel"/>
    <w:tmpl w:val="F74841B4"/>
    <w:lvl w:ilvl="0" w:tplc="BFB8A4E8">
      <w:start w:val="31"/>
      <w:numFmt w:val="decimal"/>
      <w:lvlText w:val="%1."/>
      <w:lvlJc w:val="left"/>
      <w:pPr>
        <w:ind w:left="361" w:hanging="360"/>
      </w:pPr>
      <w:rPr>
        <w:rFonts w:cstheme="minorBidi" w:hint="default"/>
      </w:rPr>
    </w:lvl>
    <w:lvl w:ilvl="1" w:tplc="08090019" w:tentative="1">
      <w:start w:val="1"/>
      <w:numFmt w:val="lowerLetter"/>
      <w:lvlText w:val="%2."/>
      <w:lvlJc w:val="left"/>
      <w:pPr>
        <w:ind w:left="1081" w:hanging="360"/>
      </w:pPr>
    </w:lvl>
    <w:lvl w:ilvl="2" w:tplc="0809001B" w:tentative="1">
      <w:start w:val="1"/>
      <w:numFmt w:val="lowerRoman"/>
      <w:lvlText w:val="%3."/>
      <w:lvlJc w:val="right"/>
      <w:pPr>
        <w:ind w:left="1801" w:hanging="180"/>
      </w:pPr>
    </w:lvl>
    <w:lvl w:ilvl="3" w:tplc="0809000F" w:tentative="1">
      <w:start w:val="1"/>
      <w:numFmt w:val="decimal"/>
      <w:lvlText w:val="%4."/>
      <w:lvlJc w:val="left"/>
      <w:pPr>
        <w:ind w:left="2521" w:hanging="360"/>
      </w:pPr>
    </w:lvl>
    <w:lvl w:ilvl="4" w:tplc="08090019" w:tentative="1">
      <w:start w:val="1"/>
      <w:numFmt w:val="lowerLetter"/>
      <w:lvlText w:val="%5."/>
      <w:lvlJc w:val="left"/>
      <w:pPr>
        <w:ind w:left="3241" w:hanging="360"/>
      </w:pPr>
    </w:lvl>
    <w:lvl w:ilvl="5" w:tplc="0809001B" w:tentative="1">
      <w:start w:val="1"/>
      <w:numFmt w:val="lowerRoman"/>
      <w:lvlText w:val="%6."/>
      <w:lvlJc w:val="right"/>
      <w:pPr>
        <w:ind w:left="3961" w:hanging="180"/>
      </w:pPr>
    </w:lvl>
    <w:lvl w:ilvl="6" w:tplc="0809000F" w:tentative="1">
      <w:start w:val="1"/>
      <w:numFmt w:val="decimal"/>
      <w:lvlText w:val="%7."/>
      <w:lvlJc w:val="left"/>
      <w:pPr>
        <w:ind w:left="4681" w:hanging="360"/>
      </w:pPr>
    </w:lvl>
    <w:lvl w:ilvl="7" w:tplc="08090019" w:tentative="1">
      <w:start w:val="1"/>
      <w:numFmt w:val="lowerLetter"/>
      <w:lvlText w:val="%8."/>
      <w:lvlJc w:val="left"/>
      <w:pPr>
        <w:ind w:left="5401" w:hanging="360"/>
      </w:pPr>
    </w:lvl>
    <w:lvl w:ilvl="8" w:tplc="0809001B" w:tentative="1">
      <w:start w:val="1"/>
      <w:numFmt w:val="lowerRoman"/>
      <w:lvlText w:val="%9."/>
      <w:lvlJc w:val="right"/>
      <w:pPr>
        <w:ind w:left="6121" w:hanging="180"/>
      </w:pPr>
    </w:lvl>
  </w:abstractNum>
  <w:abstractNum w:abstractNumId="4">
    <w:nsid w:val="34BC3B85"/>
    <w:multiLevelType w:val="hybridMultilevel"/>
    <w:tmpl w:val="1E643C1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00A1034"/>
    <w:multiLevelType w:val="hybridMultilevel"/>
    <w:tmpl w:val="142C21E4"/>
    <w:lvl w:ilvl="0" w:tplc="C4DCE602">
      <w:start w:val="20"/>
      <w:numFmt w:val="decimal"/>
      <w:lvlText w:val="%1."/>
      <w:lvlJc w:val="left"/>
      <w:pPr>
        <w:ind w:left="36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0A832E2"/>
    <w:multiLevelType w:val="hybridMultilevel"/>
    <w:tmpl w:val="D5547510"/>
    <w:lvl w:ilvl="0" w:tplc="BFB8A4E8">
      <w:start w:val="3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38160A7"/>
    <w:multiLevelType w:val="hybridMultilevel"/>
    <w:tmpl w:val="D8442D20"/>
    <w:lvl w:ilvl="0" w:tplc="08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B568058A">
      <w:start w:val="7"/>
      <w:numFmt w:val="bullet"/>
      <w:lvlText w:val="-"/>
      <w:lvlJc w:val="left"/>
      <w:pPr>
        <w:ind w:left="1980" w:hanging="360"/>
      </w:pPr>
      <w:rPr>
        <w:rFonts w:ascii="Calibri" w:eastAsiaTheme="minorHAnsi" w:hAnsi="Calibri" w:cs="Arial"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4"/>
  </w:num>
  <w:num w:numId="3">
    <w:abstractNumId w:val="5"/>
  </w:num>
  <w:num w:numId="4">
    <w:abstractNumId w:val="0"/>
  </w:num>
  <w:num w:numId="5">
    <w:abstractNumId w:val="2"/>
  </w:num>
  <w:num w:numId="6">
    <w:abstractNumId w:val="1"/>
  </w:num>
  <w:num w:numId="7">
    <w:abstractNumId w:val="6"/>
  </w:num>
  <w:num w:numId="8">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FB8"/>
    <w:rsid w:val="00001C7D"/>
    <w:rsid w:val="000023D7"/>
    <w:rsid w:val="00002720"/>
    <w:rsid w:val="00002FA3"/>
    <w:rsid w:val="0000494D"/>
    <w:rsid w:val="00010F0F"/>
    <w:rsid w:val="00017638"/>
    <w:rsid w:val="00027C74"/>
    <w:rsid w:val="00031F37"/>
    <w:rsid w:val="00034027"/>
    <w:rsid w:val="00034996"/>
    <w:rsid w:val="00044FD3"/>
    <w:rsid w:val="00056910"/>
    <w:rsid w:val="0006113A"/>
    <w:rsid w:val="00064A2F"/>
    <w:rsid w:val="00064E65"/>
    <w:rsid w:val="000677A9"/>
    <w:rsid w:val="00077D72"/>
    <w:rsid w:val="00081C49"/>
    <w:rsid w:val="00081FC0"/>
    <w:rsid w:val="00086DDE"/>
    <w:rsid w:val="000912DE"/>
    <w:rsid w:val="00093104"/>
    <w:rsid w:val="000A16A6"/>
    <w:rsid w:val="000A2EB5"/>
    <w:rsid w:val="000A3BC4"/>
    <w:rsid w:val="000A4E0D"/>
    <w:rsid w:val="000A75C5"/>
    <w:rsid w:val="000B4ECC"/>
    <w:rsid w:val="000C3B92"/>
    <w:rsid w:val="000C6AC6"/>
    <w:rsid w:val="000D2ABD"/>
    <w:rsid w:val="000D395B"/>
    <w:rsid w:val="000D54A1"/>
    <w:rsid w:val="000D54E1"/>
    <w:rsid w:val="000D5902"/>
    <w:rsid w:val="000D63DF"/>
    <w:rsid w:val="000D69B0"/>
    <w:rsid w:val="000E158F"/>
    <w:rsid w:val="000E6540"/>
    <w:rsid w:val="000F1809"/>
    <w:rsid w:val="001008B4"/>
    <w:rsid w:val="00101D13"/>
    <w:rsid w:val="00103598"/>
    <w:rsid w:val="00104BE2"/>
    <w:rsid w:val="00105A14"/>
    <w:rsid w:val="00107EF9"/>
    <w:rsid w:val="00110E53"/>
    <w:rsid w:val="00112A98"/>
    <w:rsid w:val="001137F8"/>
    <w:rsid w:val="00116BF8"/>
    <w:rsid w:val="00122FC6"/>
    <w:rsid w:val="00123F8E"/>
    <w:rsid w:val="00127E63"/>
    <w:rsid w:val="00135192"/>
    <w:rsid w:val="00141ABF"/>
    <w:rsid w:val="00141D11"/>
    <w:rsid w:val="00143602"/>
    <w:rsid w:val="00144197"/>
    <w:rsid w:val="00144A6A"/>
    <w:rsid w:val="00144CE0"/>
    <w:rsid w:val="00147E2F"/>
    <w:rsid w:val="0015249D"/>
    <w:rsid w:val="00161960"/>
    <w:rsid w:val="00173630"/>
    <w:rsid w:val="00173CE7"/>
    <w:rsid w:val="001771D7"/>
    <w:rsid w:val="0017730C"/>
    <w:rsid w:val="00183847"/>
    <w:rsid w:val="001932B0"/>
    <w:rsid w:val="00195777"/>
    <w:rsid w:val="001A0BC7"/>
    <w:rsid w:val="001A2A1A"/>
    <w:rsid w:val="001A663F"/>
    <w:rsid w:val="001B0AE2"/>
    <w:rsid w:val="001B2A89"/>
    <w:rsid w:val="001B2ED9"/>
    <w:rsid w:val="001B3DAD"/>
    <w:rsid w:val="001B3FF2"/>
    <w:rsid w:val="001C19A1"/>
    <w:rsid w:val="001C2703"/>
    <w:rsid w:val="001C43E8"/>
    <w:rsid w:val="001C518D"/>
    <w:rsid w:val="001C6AA0"/>
    <w:rsid w:val="001D0413"/>
    <w:rsid w:val="001D0615"/>
    <w:rsid w:val="001D1F63"/>
    <w:rsid w:val="001D287C"/>
    <w:rsid w:val="001D3733"/>
    <w:rsid w:val="001D3DFA"/>
    <w:rsid w:val="001D3E01"/>
    <w:rsid w:val="001E1C25"/>
    <w:rsid w:val="001E3520"/>
    <w:rsid w:val="001F1635"/>
    <w:rsid w:val="001F33A0"/>
    <w:rsid w:val="001F531E"/>
    <w:rsid w:val="0020317B"/>
    <w:rsid w:val="00204BCB"/>
    <w:rsid w:val="00204E02"/>
    <w:rsid w:val="00206EBE"/>
    <w:rsid w:val="00210935"/>
    <w:rsid w:val="002128FF"/>
    <w:rsid w:val="00212C9A"/>
    <w:rsid w:val="002142D3"/>
    <w:rsid w:val="002208CB"/>
    <w:rsid w:val="00225069"/>
    <w:rsid w:val="00233E58"/>
    <w:rsid w:val="002358DD"/>
    <w:rsid w:val="00250611"/>
    <w:rsid w:val="00250ACC"/>
    <w:rsid w:val="0025450B"/>
    <w:rsid w:val="00255687"/>
    <w:rsid w:val="00260669"/>
    <w:rsid w:val="00261BD8"/>
    <w:rsid w:val="002628D1"/>
    <w:rsid w:val="00264D25"/>
    <w:rsid w:val="00266AF0"/>
    <w:rsid w:val="00267B3F"/>
    <w:rsid w:val="00271DE2"/>
    <w:rsid w:val="00276784"/>
    <w:rsid w:val="00285456"/>
    <w:rsid w:val="00291A79"/>
    <w:rsid w:val="00296B78"/>
    <w:rsid w:val="002A288B"/>
    <w:rsid w:val="002A79B8"/>
    <w:rsid w:val="002B2480"/>
    <w:rsid w:val="002B32E9"/>
    <w:rsid w:val="002B5E1C"/>
    <w:rsid w:val="002C029B"/>
    <w:rsid w:val="002C0C40"/>
    <w:rsid w:val="002C5114"/>
    <w:rsid w:val="002C5B63"/>
    <w:rsid w:val="002C7598"/>
    <w:rsid w:val="002D5565"/>
    <w:rsid w:val="002D5A9B"/>
    <w:rsid w:val="002E253C"/>
    <w:rsid w:val="002E6747"/>
    <w:rsid w:val="002E78EF"/>
    <w:rsid w:val="002F1527"/>
    <w:rsid w:val="002F332A"/>
    <w:rsid w:val="002F544E"/>
    <w:rsid w:val="002F662B"/>
    <w:rsid w:val="002F73E9"/>
    <w:rsid w:val="00300649"/>
    <w:rsid w:val="0030651D"/>
    <w:rsid w:val="00307862"/>
    <w:rsid w:val="003109BF"/>
    <w:rsid w:val="00323DE5"/>
    <w:rsid w:val="003304D6"/>
    <w:rsid w:val="00333E71"/>
    <w:rsid w:val="00340D2B"/>
    <w:rsid w:val="003463C0"/>
    <w:rsid w:val="003510E3"/>
    <w:rsid w:val="0035234F"/>
    <w:rsid w:val="00355EDC"/>
    <w:rsid w:val="00357A91"/>
    <w:rsid w:val="003605D1"/>
    <w:rsid w:val="0036146F"/>
    <w:rsid w:val="00362BBD"/>
    <w:rsid w:val="00365631"/>
    <w:rsid w:val="00366A46"/>
    <w:rsid w:val="00370328"/>
    <w:rsid w:val="0037288A"/>
    <w:rsid w:val="003728DE"/>
    <w:rsid w:val="00382C8C"/>
    <w:rsid w:val="00384D85"/>
    <w:rsid w:val="003910BE"/>
    <w:rsid w:val="00394574"/>
    <w:rsid w:val="00397315"/>
    <w:rsid w:val="003A2DCD"/>
    <w:rsid w:val="003B18F4"/>
    <w:rsid w:val="003B2699"/>
    <w:rsid w:val="003B71DC"/>
    <w:rsid w:val="003B77B3"/>
    <w:rsid w:val="003C427C"/>
    <w:rsid w:val="003C53B4"/>
    <w:rsid w:val="003C64E9"/>
    <w:rsid w:val="003D13D5"/>
    <w:rsid w:val="003D41A8"/>
    <w:rsid w:val="003E2322"/>
    <w:rsid w:val="003E6853"/>
    <w:rsid w:val="003F7C2E"/>
    <w:rsid w:val="004032EF"/>
    <w:rsid w:val="00403C46"/>
    <w:rsid w:val="00403F48"/>
    <w:rsid w:val="00405735"/>
    <w:rsid w:val="00405CBD"/>
    <w:rsid w:val="004060BC"/>
    <w:rsid w:val="0040696A"/>
    <w:rsid w:val="00410C6A"/>
    <w:rsid w:val="00412F14"/>
    <w:rsid w:val="004141B3"/>
    <w:rsid w:val="0041601C"/>
    <w:rsid w:val="00416A10"/>
    <w:rsid w:val="00423F68"/>
    <w:rsid w:val="00425DBE"/>
    <w:rsid w:val="0042782C"/>
    <w:rsid w:val="00430CC1"/>
    <w:rsid w:val="0044428D"/>
    <w:rsid w:val="00445093"/>
    <w:rsid w:val="00446D1C"/>
    <w:rsid w:val="004502AF"/>
    <w:rsid w:val="0045470A"/>
    <w:rsid w:val="00456438"/>
    <w:rsid w:val="00456BCF"/>
    <w:rsid w:val="004738DB"/>
    <w:rsid w:val="0047660F"/>
    <w:rsid w:val="00477FB0"/>
    <w:rsid w:val="004812A3"/>
    <w:rsid w:val="00484FC9"/>
    <w:rsid w:val="0049317D"/>
    <w:rsid w:val="0049686B"/>
    <w:rsid w:val="004969F3"/>
    <w:rsid w:val="004A2378"/>
    <w:rsid w:val="004A476E"/>
    <w:rsid w:val="004A6874"/>
    <w:rsid w:val="004A7B6B"/>
    <w:rsid w:val="004B02CB"/>
    <w:rsid w:val="004B0E41"/>
    <w:rsid w:val="004B4E30"/>
    <w:rsid w:val="004B5A95"/>
    <w:rsid w:val="004B762C"/>
    <w:rsid w:val="004B7647"/>
    <w:rsid w:val="004C1037"/>
    <w:rsid w:val="004C1A83"/>
    <w:rsid w:val="004C1CDA"/>
    <w:rsid w:val="004C3FC8"/>
    <w:rsid w:val="004C535A"/>
    <w:rsid w:val="004C5665"/>
    <w:rsid w:val="004C6067"/>
    <w:rsid w:val="004D06B2"/>
    <w:rsid w:val="004D35A3"/>
    <w:rsid w:val="004D3756"/>
    <w:rsid w:val="004D3C32"/>
    <w:rsid w:val="004E14B1"/>
    <w:rsid w:val="004E4283"/>
    <w:rsid w:val="004E737E"/>
    <w:rsid w:val="004E7E51"/>
    <w:rsid w:val="004F285D"/>
    <w:rsid w:val="004F434A"/>
    <w:rsid w:val="005011F1"/>
    <w:rsid w:val="0050249F"/>
    <w:rsid w:val="00505C03"/>
    <w:rsid w:val="00506E65"/>
    <w:rsid w:val="00513085"/>
    <w:rsid w:val="0051376E"/>
    <w:rsid w:val="00515348"/>
    <w:rsid w:val="00515E5B"/>
    <w:rsid w:val="00516811"/>
    <w:rsid w:val="00517125"/>
    <w:rsid w:val="005175BB"/>
    <w:rsid w:val="00520F06"/>
    <w:rsid w:val="00521589"/>
    <w:rsid w:val="005260D7"/>
    <w:rsid w:val="00526305"/>
    <w:rsid w:val="00527714"/>
    <w:rsid w:val="00533501"/>
    <w:rsid w:val="0053366A"/>
    <w:rsid w:val="00540CE0"/>
    <w:rsid w:val="005419EA"/>
    <w:rsid w:val="00545F11"/>
    <w:rsid w:val="00547386"/>
    <w:rsid w:val="005474D7"/>
    <w:rsid w:val="00557EB7"/>
    <w:rsid w:val="00561D51"/>
    <w:rsid w:val="00565EB7"/>
    <w:rsid w:val="00567C7D"/>
    <w:rsid w:val="00570621"/>
    <w:rsid w:val="00570690"/>
    <w:rsid w:val="00570F86"/>
    <w:rsid w:val="0057402E"/>
    <w:rsid w:val="00581249"/>
    <w:rsid w:val="0058201C"/>
    <w:rsid w:val="00585694"/>
    <w:rsid w:val="00590D44"/>
    <w:rsid w:val="005910E4"/>
    <w:rsid w:val="005918F1"/>
    <w:rsid w:val="00591B61"/>
    <w:rsid w:val="005973AD"/>
    <w:rsid w:val="00597507"/>
    <w:rsid w:val="005A3333"/>
    <w:rsid w:val="005A44D8"/>
    <w:rsid w:val="005A59CC"/>
    <w:rsid w:val="005A63B1"/>
    <w:rsid w:val="005B04BF"/>
    <w:rsid w:val="005B0649"/>
    <w:rsid w:val="005B3F1F"/>
    <w:rsid w:val="005C667D"/>
    <w:rsid w:val="005C682A"/>
    <w:rsid w:val="005D7408"/>
    <w:rsid w:val="005E0C03"/>
    <w:rsid w:val="005E5AD4"/>
    <w:rsid w:val="00602A6A"/>
    <w:rsid w:val="00604D41"/>
    <w:rsid w:val="00616183"/>
    <w:rsid w:val="00620259"/>
    <w:rsid w:val="00626FDB"/>
    <w:rsid w:val="006311D7"/>
    <w:rsid w:val="006320DC"/>
    <w:rsid w:val="00651B32"/>
    <w:rsid w:val="00652DF0"/>
    <w:rsid w:val="006535A3"/>
    <w:rsid w:val="00656F3D"/>
    <w:rsid w:val="00662A2C"/>
    <w:rsid w:val="00662E32"/>
    <w:rsid w:val="00666DC5"/>
    <w:rsid w:val="00667680"/>
    <w:rsid w:val="00670185"/>
    <w:rsid w:val="00680202"/>
    <w:rsid w:val="00680C69"/>
    <w:rsid w:val="00681058"/>
    <w:rsid w:val="006827DA"/>
    <w:rsid w:val="00685173"/>
    <w:rsid w:val="006910E3"/>
    <w:rsid w:val="00691A7E"/>
    <w:rsid w:val="00692275"/>
    <w:rsid w:val="00692366"/>
    <w:rsid w:val="006924FE"/>
    <w:rsid w:val="006925B1"/>
    <w:rsid w:val="00695B03"/>
    <w:rsid w:val="006961C4"/>
    <w:rsid w:val="00697005"/>
    <w:rsid w:val="006A31A9"/>
    <w:rsid w:val="006A3320"/>
    <w:rsid w:val="006A5D2E"/>
    <w:rsid w:val="006A678C"/>
    <w:rsid w:val="006B315D"/>
    <w:rsid w:val="006B5142"/>
    <w:rsid w:val="006B5F26"/>
    <w:rsid w:val="006B70AE"/>
    <w:rsid w:val="006C1CA5"/>
    <w:rsid w:val="006C21D2"/>
    <w:rsid w:val="006C3BE4"/>
    <w:rsid w:val="006C4461"/>
    <w:rsid w:val="006D26A0"/>
    <w:rsid w:val="006D3E70"/>
    <w:rsid w:val="006D46B7"/>
    <w:rsid w:val="006D52A5"/>
    <w:rsid w:val="006D6655"/>
    <w:rsid w:val="006E11F8"/>
    <w:rsid w:val="006E1A57"/>
    <w:rsid w:val="006E2C45"/>
    <w:rsid w:val="006E3318"/>
    <w:rsid w:val="006E53B7"/>
    <w:rsid w:val="006E620E"/>
    <w:rsid w:val="006F6AD6"/>
    <w:rsid w:val="0070027E"/>
    <w:rsid w:val="00700762"/>
    <w:rsid w:val="00701D82"/>
    <w:rsid w:val="007031F4"/>
    <w:rsid w:val="0071220F"/>
    <w:rsid w:val="00715A00"/>
    <w:rsid w:val="00715C22"/>
    <w:rsid w:val="00715D09"/>
    <w:rsid w:val="00722335"/>
    <w:rsid w:val="00724F0A"/>
    <w:rsid w:val="00725DFF"/>
    <w:rsid w:val="007276F3"/>
    <w:rsid w:val="00727EB3"/>
    <w:rsid w:val="007324EE"/>
    <w:rsid w:val="007418E2"/>
    <w:rsid w:val="0074193F"/>
    <w:rsid w:val="00744E0B"/>
    <w:rsid w:val="00745AC8"/>
    <w:rsid w:val="00745B63"/>
    <w:rsid w:val="00745CDB"/>
    <w:rsid w:val="00746421"/>
    <w:rsid w:val="00752BCB"/>
    <w:rsid w:val="00755739"/>
    <w:rsid w:val="00770EB7"/>
    <w:rsid w:val="00772F85"/>
    <w:rsid w:val="007734DC"/>
    <w:rsid w:val="00773A5C"/>
    <w:rsid w:val="007815AF"/>
    <w:rsid w:val="0078220F"/>
    <w:rsid w:val="00785504"/>
    <w:rsid w:val="00787508"/>
    <w:rsid w:val="007A1C47"/>
    <w:rsid w:val="007A4105"/>
    <w:rsid w:val="007A727C"/>
    <w:rsid w:val="007B1343"/>
    <w:rsid w:val="007B40D7"/>
    <w:rsid w:val="007B4132"/>
    <w:rsid w:val="007B50A7"/>
    <w:rsid w:val="007C10FF"/>
    <w:rsid w:val="007C1963"/>
    <w:rsid w:val="007C1C77"/>
    <w:rsid w:val="007C69DB"/>
    <w:rsid w:val="007D2348"/>
    <w:rsid w:val="007D664F"/>
    <w:rsid w:val="007D7FB3"/>
    <w:rsid w:val="007E06B3"/>
    <w:rsid w:val="007E2FA5"/>
    <w:rsid w:val="007E726E"/>
    <w:rsid w:val="007E74EA"/>
    <w:rsid w:val="007F165E"/>
    <w:rsid w:val="007F2F36"/>
    <w:rsid w:val="007F4920"/>
    <w:rsid w:val="007F6FD4"/>
    <w:rsid w:val="007F7A37"/>
    <w:rsid w:val="00807F6A"/>
    <w:rsid w:val="00813007"/>
    <w:rsid w:val="008133BA"/>
    <w:rsid w:val="00813846"/>
    <w:rsid w:val="008178B4"/>
    <w:rsid w:val="00833965"/>
    <w:rsid w:val="008379D6"/>
    <w:rsid w:val="008415FB"/>
    <w:rsid w:val="00843F44"/>
    <w:rsid w:val="00845F04"/>
    <w:rsid w:val="008511E7"/>
    <w:rsid w:val="0085331D"/>
    <w:rsid w:val="00853691"/>
    <w:rsid w:val="00853EF2"/>
    <w:rsid w:val="00856F95"/>
    <w:rsid w:val="00862CD3"/>
    <w:rsid w:val="00870BFB"/>
    <w:rsid w:val="00870DBF"/>
    <w:rsid w:val="008711CC"/>
    <w:rsid w:val="008737ED"/>
    <w:rsid w:val="008748CA"/>
    <w:rsid w:val="00880264"/>
    <w:rsid w:val="00884BDE"/>
    <w:rsid w:val="00887A02"/>
    <w:rsid w:val="00894B78"/>
    <w:rsid w:val="0089633C"/>
    <w:rsid w:val="00897D8E"/>
    <w:rsid w:val="008A0B2D"/>
    <w:rsid w:val="008A1B52"/>
    <w:rsid w:val="008A22D3"/>
    <w:rsid w:val="008A35E8"/>
    <w:rsid w:val="008B0CA6"/>
    <w:rsid w:val="008B2634"/>
    <w:rsid w:val="008D0CB9"/>
    <w:rsid w:val="008D29D3"/>
    <w:rsid w:val="008D32F3"/>
    <w:rsid w:val="008D5A35"/>
    <w:rsid w:val="008D6FD6"/>
    <w:rsid w:val="008E231B"/>
    <w:rsid w:val="008E6513"/>
    <w:rsid w:val="008E7CCB"/>
    <w:rsid w:val="008F13EC"/>
    <w:rsid w:val="008F3F88"/>
    <w:rsid w:val="008F59FC"/>
    <w:rsid w:val="009028AB"/>
    <w:rsid w:val="00904357"/>
    <w:rsid w:val="0090472F"/>
    <w:rsid w:val="00906DFE"/>
    <w:rsid w:val="00910A91"/>
    <w:rsid w:val="00911B74"/>
    <w:rsid w:val="0091414E"/>
    <w:rsid w:val="009141B9"/>
    <w:rsid w:val="00916B18"/>
    <w:rsid w:val="00917146"/>
    <w:rsid w:val="00924999"/>
    <w:rsid w:val="00924B31"/>
    <w:rsid w:val="0092718C"/>
    <w:rsid w:val="00931ED6"/>
    <w:rsid w:val="009376BC"/>
    <w:rsid w:val="00940C14"/>
    <w:rsid w:val="009461BB"/>
    <w:rsid w:val="00951676"/>
    <w:rsid w:val="009521BD"/>
    <w:rsid w:val="0095458A"/>
    <w:rsid w:val="00955B54"/>
    <w:rsid w:val="00960D95"/>
    <w:rsid w:val="00961A7D"/>
    <w:rsid w:val="00961D68"/>
    <w:rsid w:val="009664EE"/>
    <w:rsid w:val="009665A3"/>
    <w:rsid w:val="00970475"/>
    <w:rsid w:val="00987D0D"/>
    <w:rsid w:val="0099290A"/>
    <w:rsid w:val="00997419"/>
    <w:rsid w:val="009A66C9"/>
    <w:rsid w:val="009B1423"/>
    <w:rsid w:val="009B7A0D"/>
    <w:rsid w:val="009C2C83"/>
    <w:rsid w:val="009C363D"/>
    <w:rsid w:val="009C455B"/>
    <w:rsid w:val="009D26E5"/>
    <w:rsid w:val="009D32B0"/>
    <w:rsid w:val="009D56A0"/>
    <w:rsid w:val="009D7184"/>
    <w:rsid w:val="009E3083"/>
    <w:rsid w:val="009E3419"/>
    <w:rsid w:val="009E60E2"/>
    <w:rsid w:val="009E6357"/>
    <w:rsid w:val="009E7D62"/>
    <w:rsid w:val="009F1CF3"/>
    <w:rsid w:val="009F6631"/>
    <w:rsid w:val="00A0167B"/>
    <w:rsid w:val="00A040D9"/>
    <w:rsid w:val="00A10071"/>
    <w:rsid w:val="00A109C3"/>
    <w:rsid w:val="00A13E2D"/>
    <w:rsid w:val="00A14646"/>
    <w:rsid w:val="00A2116E"/>
    <w:rsid w:val="00A2448D"/>
    <w:rsid w:val="00A27326"/>
    <w:rsid w:val="00A27753"/>
    <w:rsid w:val="00A321F0"/>
    <w:rsid w:val="00A32B48"/>
    <w:rsid w:val="00A334B5"/>
    <w:rsid w:val="00A457C5"/>
    <w:rsid w:val="00A51F72"/>
    <w:rsid w:val="00A53B42"/>
    <w:rsid w:val="00A57542"/>
    <w:rsid w:val="00A60F2A"/>
    <w:rsid w:val="00A61150"/>
    <w:rsid w:val="00A61D41"/>
    <w:rsid w:val="00A62EC4"/>
    <w:rsid w:val="00A660B8"/>
    <w:rsid w:val="00A70165"/>
    <w:rsid w:val="00A70B29"/>
    <w:rsid w:val="00A72F21"/>
    <w:rsid w:val="00A75C7A"/>
    <w:rsid w:val="00A77BB9"/>
    <w:rsid w:val="00A81CBE"/>
    <w:rsid w:val="00A82791"/>
    <w:rsid w:val="00A91774"/>
    <w:rsid w:val="00A93405"/>
    <w:rsid w:val="00A972E1"/>
    <w:rsid w:val="00A9770C"/>
    <w:rsid w:val="00AA3D2E"/>
    <w:rsid w:val="00AA58E0"/>
    <w:rsid w:val="00AB1869"/>
    <w:rsid w:val="00AB39AC"/>
    <w:rsid w:val="00AC0130"/>
    <w:rsid w:val="00AC0ECC"/>
    <w:rsid w:val="00AC388E"/>
    <w:rsid w:val="00AC6085"/>
    <w:rsid w:val="00AC7A5E"/>
    <w:rsid w:val="00AD1FBC"/>
    <w:rsid w:val="00AD3F49"/>
    <w:rsid w:val="00AD7EAB"/>
    <w:rsid w:val="00AE0EC0"/>
    <w:rsid w:val="00AE3EA9"/>
    <w:rsid w:val="00AF1131"/>
    <w:rsid w:val="00AF1376"/>
    <w:rsid w:val="00AF4B5E"/>
    <w:rsid w:val="00B052BF"/>
    <w:rsid w:val="00B06E7B"/>
    <w:rsid w:val="00B1292F"/>
    <w:rsid w:val="00B14636"/>
    <w:rsid w:val="00B176C6"/>
    <w:rsid w:val="00B177E0"/>
    <w:rsid w:val="00B22C05"/>
    <w:rsid w:val="00B25AA5"/>
    <w:rsid w:val="00B31A2B"/>
    <w:rsid w:val="00B31F77"/>
    <w:rsid w:val="00B332E9"/>
    <w:rsid w:val="00B34F97"/>
    <w:rsid w:val="00B35207"/>
    <w:rsid w:val="00B36F58"/>
    <w:rsid w:val="00B37D16"/>
    <w:rsid w:val="00B60F74"/>
    <w:rsid w:val="00B64062"/>
    <w:rsid w:val="00B6471B"/>
    <w:rsid w:val="00B6598E"/>
    <w:rsid w:val="00B700A4"/>
    <w:rsid w:val="00B71BEF"/>
    <w:rsid w:val="00B71C5A"/>
    <w:rsid w:val="00B730A3"/>
    <w:rsid w:val="00B75BC6"/>
    <w:rsid w:val="00B76FB8"/>
    <w:rsid w:val="00B805D0"/>
    <w:rsid w:val="00B82CF1"/>
    <w:rsid w:val="00B83440"/>
    <w:rsid w:val="00B84C2B"/>
    <w:rsid w:val="00B8661F"/>
    <w:rsid w:val="00BA05BD"/>
    <w:rsid w:val="00BA549C"/>
    <w:rsid w:val="00BA61DA"/>
    <w:rsid w:val="00BA74D8"/>
    <w:rsid w:val="00BA7AE5"/>
    <w:rsid w:val="00BB0431"/>
    <w:rsid w:val="00BB0CEB"/>
    <w:rsid w:val="00BB24FB"/>
    <w:rsid w:val="00BB2C15"/>
    <w:rsid w:val="00BB656A"/>
    <w:rsid w:val="00BC50B6"/>
    <w:rsid w:val="00BD434F"/>
    <w:rsid w:val="00BE086F"/>
    <w:rsid w:val="00BE141E"/>
    <w:rsid w:val="00BE44AE"/>
    <w:rsid w:val="00BE4732"/>
    <w:rsid w:val="00BE6317"/>
    <w:rsid w:val="00BF248E"/>
    <w:rsid w:val="00C01FCB"/>
    <w:rsid w:val="00C13DE9"/>
    <w:rsid w:val="00C17218"/>
    <w:rsid w:val="00C2052D"/>
    <w:rsid w:val="00C26CCF"/>
    <w:rsid w:val="00C319A2"/>
    <w:rsid w:val="00C36413"/>
    <w:rsid w:val="00C37F00"/>
    <w:rsid w:val="00C431B2"/>
    <w:rsid w:val="00C45C1E"/>
    <w:rsid w:val="00C51666"/>
    <w:rsid w:val="00C53927"/>
    <w:rsid w:val="00C54B13"/>
    <w:rsid w:val="00C5511E"/>
    <w:rsid w:val="00C553BA"/>
    <w:rsid w:val="00C56FB7"/>
    <w:rsid w:val="00C572FD"/>
    <w:rsid w:val="00C60600"/>
    <w:rsid w:val="00C6062B"/>
    <w:rsid w:val="00C617C5"/>
    <w:rsid w:val="00C644E2"/>
    <w:rsid w:val="00C64C6E"/>
    <w:rsid w:val="00C677D4"/>
    <w:rsid w:val="00C72D5E"/>
    <w:rsid w:val="00C80EBA"/>
    <w:rsid w:val="00C81B52"/>
    <w:rsid w:val="00C84478"/>
    <w:rsid w:val="00C85C77"/>
    <w:rsid w:val="00C902E9"/>
    <w:rsid w:val="00C918C4"/>
    <w:rsid w:val="00C95DDF"/>
    <w:rsid w:val="00CA47FD"/>
    <w:rsid w:val="00CA5469"/>
    <w:rsid w:val="00CA6983"/>
    <w:rsid w:val="00CB10A9"/>
    <w:rsid w:val="00CB2375"/>
    <w:rsid w:val="00CB60F3"/>
    <w:rsid w:val="00CC3412"/>
    <w:rsid w:val="00CC52CD"/>
    <w:rsid w:val="00CC6FDF"/>
    <w:rsid w:val="00CD7EF2"/>
    <w:rsid w:val="00CE0116"/>
    <w:rsid w:val="00CE16A2"/>
    <w:rsid w:val="00CE5866"/>
    <w:rsid w:val="00CF2DEB"/>
    <w:rsid w:val="00CF6EE4"/>
    <w:rsid w:val="00D02038"/>
    <w:rsid w:val="00D04B97"/>
    <w:rsid w:val="00D05243"/>
    <w:rsid w:val="00D05876"/>
    <w:rsid w:val="00D06BF9"/>
    <w:rsid w:val="00D22DF9"/>
    <w:rsid w:val="00D23599"/>
    <w:rsid w:val="00D23AFD"/>
    <w:rsid w:val="00D2615D"/>
    <w:rsid w:val="00D274C2"/>
    <w:rsid w:val="00D32985"/>
    <w:rsid w:val="00D352B8"/>
    <w:rsid w:val="00D35BDA"/>
    <w:rsid w:val="00D36A21"/>
    <w:rsid w:val="00D36B07"/>
    <w:rsid w:val="00D402CF"/>
    <w:rsid w:val="00D41243"/>
    <w:rsid w:val="00D43075"/>
    <w:rsid w:val="00D4385D"/>
    <w:rsid w:val="00D462A5"/>
    <w:rsid w:val="00D51723"/>
    <w:rsid w:val="00D546F1"/>
    <w:rsid w:val="00D55A87"/>
    <w:rsid w:val="00D5601E"/>
    <w:rsid w:val="00D63D01"/>
    <w:rsid w:val="00D64638"/>
    <w:rsid w:val="00D654EB"/>
    <w:rsid w:val="00D70CB3"/>
    <w:rsid w:val="00D73A16"/>
    <w:rsid w:val="00D73FBE"/>
    <w:rsid w:val="00D82321"/>
    <w:rsid w:val="00D85666"/>
    <w:rsid w:val="00D90165"/>
    <w:rsid w:val="00D93256"/>
    <w:rsid w:val="00D9421E"/>
    <w:rsid w:val="00DA01B9"/>
    <w:rsid w:val="00DA2FC0"/>
    <w:rsid w:val="00DA3A99"/>
    <w:rsid w:val="00DB0F88"/>
    <w:rsid w:val="00DB1663"/>
    <w:rsid w:val="00DB187E"/>
    <w:rsid w:val="00DB4FFF"/>
    <w:rsid w:val="00DC2341"/>
    <w:rsid w:val="00DC3F31"/>
    <w:rsid w:val="00DC4BA3"/>
    <w:rsid w:val="00DC4D01"/>
    <w:rsid w:val="00DC5170"/>
    <w:rsid w:val="00DD0790"/>
    <w:rsid w:val="00DD1EB2"/>
    <w:rsid w:val="00DD4B87"/>
    <w:rsid w:val="00DE1CA1"/>
    <w:rsid w:val="00DE62D5"/>
    <w:rsid w:val="00DE6E77"/>
    <w:rsid w:val="00DF1D26"/>
    <w:rsid w:val="00E0489A"/>
    <w:rsid w:val="00E05E95"/>
    <w:rsid w:val="00E06557"/>
    <w:rsid w:val="00E06E49"/>
    <w:rsid w:val="00E07BEE"/>
    <w:rsid w:val="00E110C0"/>
    <w:rsid w:val="00E11B95"/>
    <w:rsid w:val="00E21B43"/>
    <w:rsid w:val="00E22B72"/>
    <w:rsid w:val="00E24324"/>
    <w:rsid w:val="00E3044C"/>
    <w:rsid w:val="00E32679"/>
    <w:rsid w:val="00E35070"/>
    <w:rsid w:val="00E44201"/>
    <w:rsid w:val="00E46624"/>
    <w:rsid w:val="00E4717E"/>
    <w:rsid w:val="00E5408D"/>
    <w:rsid w:val="00E61469"/>
    <w:rsid w:val="00E6324A"/>
    <w:rsid w:val="00E63A8E"/>
    <w:rsid w:val="00E65A27"/>
    <w:rsid w:val="00E65BE2"/>
    <w:rsid w:val="00E67A28"/>
    <w:rsid w:val="00E67C02"/>
    <w:rsid w:val="00E716B5"/>
    <w:rsid w:val="00E71A03"/>
    <w:rsid w:val="00E7254B"/>
    <w:rsid w:val="00E7322F"/>
    <w:rsid w:val="00E73FF0"/>
    <w:rsid w:val="00E75F51"/>
    <w:rsid w:val="00E77F8B"/>
    <w:rsid w:val="00E82F32"/>
    <w:rsid w:val="00E84E79"/>
    <w:rsid w:val="00E84EBD"/>
    <w:rsid w:val="00E851B0"/>
    <w:rsid w:val="00E873FE"/>
    <w:rsid w:val="00EA221D"/>
    <w:rsid w:val="00EA2B27"/>
    <w:rsid w:val="00EA2EC9"/>
    <w:rsid w:val="00EA3B95"/>
    <w:rsid w:val="00EA56BA"/>
    <w:rsid w:val="00EB0862"/>
    <w:rsid w:val="00EB78D6"/>
    <w:rsid w:val="00EC1F95"/>
    <w:rsid w:val="00EC398E"/>
    <w:rsid w:val="00EC45A4"/>
    <w:rsid w:val="00EC4604"/>
    <w:rsid w:val="00ED0727"/>
    <w:rsid w:val="00ED0F9D"/>
    <w:rsid w:val="00ED3A2E"/>
    <w:rsid w:val="00ED43B4"/>
    <w:rsid w:val="00ED5099"/>
    <w:rsid w:val="00ED6271"/>
    <w:rsid w:val="00ED6D0A"/>
    <w:rsid w:val="00EE515A"/>
    <w:rsid w:val="00EF2CF5"/>
    <w:rsid w:val="00F02B0F"/>
    <w:rsid w:val="00F0358D"/>
    <w:rsid w:val="00F04B42"/>
    <w:rsid w:val="00F065F1"/>
    <w:rsid w:val="00F06ABB"/>
    <w:rsid w:val="00F07EA9"/>
    <w:rsid w:val="00F12B83"/>
    <w:rsid w:val="00F13E7F"/>
    <w:rsid w:val="00F14653"/>
    <w:rsid w:val="00F15C23"/>
    <w:rsid w:val="00F17078"/>
    <w:rsid w:val="00F21300"/>
    <w:rsid w:val="00F21FA5"/>
    <w:rsid w:val="00F26275"/>
    <w:rsid w:val="00F26A4A"/>
    <w:rsid w:val="00F315D9"/>
    <w:rsid w:val="00F3249C"/>
    <w:rsid w:val="00F33D38"/>
    <w:rsid w:val="00F369FF"/>
    <w:rsid w:val="00F36D96"/>
    <w:rsid w:val="00F372A8"/>
    <w:rsid w:val="00F412C0"/>
    <w:rsid w:val="00F45156"/>
    <w:rsid w:val="00F46B68"/>
    <w:rsid w:val="00F514C7"/>
    <w:rsid w:val="00F55DD6"/>
    <w:rsid w:val="00F57B5B"/>
    <w:rsid w:val="00F57F93"/>
    <w:rsid w:val="00F6166C"/>
    <w:rsid w:val="00F61ED3"/>
    <w:rsid w:val="00F63CA7"/>
    <w:rsid w:val="00F70D1B"/>
    <w:rsid w:val="00F77E64"/>
    <w:rsid w:val="00F84EE7"/>
    <w:rsid w:val="00F85E52"/>
    <w:rsid w:val="00F86CAC"/>
    <w:rsid w:val="00F8728F"/>
    <w:rsid w:val="00F95797"/>
    <w:rsid w:val="00F97DDE"/>
    <w:rsid w:val="00FA01DE"/>
    <w:rsid w:val="00FA3EF2"/>
    <w:rsid w:val="00FA42BA"/>
    <w:rsid w:val="00FA704D"/>
    <w:rsid w:val="00FB07E7"/>
    <w:rsid w:val="00FB4519"/>
    <w:rsid w:val="00FB65BD"/>
    <w:rsid w:val="00FB7F83"/>
    <w:rsid w:val="00FC1504"/>
    <w:rsid w:val="00FC5A0A"/>
    <w:rsid w:val="00FD09AB"/>
    <w:rsid w:val="00FE0742"/>
    <w:rsid w:val="00FE2B52"/>
    <w:rsid w:val="00FE44F7"/>
    <w:rsid w:val="00FF0121"/>
    <w:rsid w:val="00FF20E2"/>
    <w:rsid w:val="207F27EF"/>
    <w:rsid w:val="29E6AAA0"/>
    <w:rsid w:val="31B94901"/>
    <w:rsid w:val="3B9DE253"/>
    <w:rsid w:val="637F26AC"/>
    <w:rsid w:val="6A1F65D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27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ind w:left="425" w:hanging="42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7254B"/>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7A91"/>
    <w:rPr>
      <w:color w:val="0563C1" w:themeColor="hyperlink"/>
      <w:u w:val="single"/>
    </w:rPr>
  </w:style>
  <w:style w:type="character" w:styleId="CommentReference">
    <w:name w:val="annotation reference"/>
    <w:basedOn w:val="DefaultParagraphFont"/>
    <w:uiPriority w:val="99"/>
    <w:semiHidden/>
    <w:unhideWhenUsed/>
    <w:rsid w:val="006827DA"/>
    <w:rPr>
      <w:sz w:val="16"/>
      <w:szCs w:val="16"/>
    </w:rPr>
  </w:style>
  <w:style w:type="paragraph" w:styleId="CommentText">
    <w:name w:val="annotation text"/>
    <w:basedOn w:val="Normal"/>
    <w:link w:val="CommentTextChar"/>
    <w:uiPriority w:val="99"/>
    <w:semiHidden/>
    <w:unhideWhenUsed/>
    <w:rsid w:val="006827DA"/>
    <w:rPr>
      <w:sz w:val="20"/>
      <w:szCs w:val="20"/>
    </w:rPr>
  </w:style>
  <w:style w:type="character" w:customStyle="1" w:styleId="CommentTextChar">
    <w:name w:val="Comment Text Char"/>
    <w:basedOn w:val="DefaultParagraphFont"/>
    <w:link w:val="CommentText"/>
    <w:uiPriority w:val="99"/>
    <w:semiHidden/>
    <w:rsid w:val="006827DA"/>
    <w:rPr>
      <w:sz w:val="20"/>
      <w:szCs w:val="20"/>
    </w:rPr>
  </w:style>
  <w:style w:type="paragraph" w:styleId="CommentSubject">
    <w:name w:val="annotation subject"/>
    <w:basedOn w:val="CommentText"/>
    <w:next w:val="CommentText"/>
    <w:link w:val="CommentSubjectChar"/>
    <w:uiPriority w:val="99"/>
    <w:semiHidden/>
    <w:unhideWhenUsed/>
    <w:rsid w:val="006827DA"/>
    <w:rPr>
      <w:b/>
      <w:bCs/>
    </w:rPr>
  </w:style>
  <w:style w:type="character" w:customStyle="1" w:styleId="CommentSubjectChar">
    <w:name w:val="Comment Subject Char"/>
    <w:basedOn w:val="CommentTextChar"/>
    <w:link w:val="CommentSubject"/>
    <w:uiPriority w:val="99"/>
    <w:semiHidden/>
    <w:rsid w:val="006827DA"/>
    <w:rPr>
      <w:b/>
      <w:bCs/>
      <w:sz w:val="20"/>
      <w:szCs w:val="20"/>
    </w:rPr>
  </w:style>
  <w:style w:type="paragraph" w:styleId="BalloonText">
    <w:name w:val="Balloon Text"/>
    <w:basedOn w:val="Normal"/>
    <w:link w:val="BalloonTextChar"/>
    <w:uiPriority w:val="99"/>
    <w:semiHidden/>
    <w:unhideWhenUsed/>
    <w:rsid w:val="006827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27DA"/>
    <w:rPr>
      <w:rFonts w:ascii="Segoe UI" w:hAnsi="Segoe UI" w:cs="Segoe UI"/>
      <w:sz w:val="18"/>
      <w:szCs w:val="18"/>
    </w:rPr>
  </w:style>
  <w:style w:type="paragraph" w:styleId="ListParagraph">
    <w:name w:val="List Paragraph"/>
    <w:basedOn w:val="Normal"/>
    <w:uiPriority w:val="34"/>
    <w:qFormat/>
    <w:rsid w:val="00A53B42"/>
    <w:pPr>
      <w:ind w:left="720"/>
      <w:contextualSpacing/>
    </w:pPr>
  </w:style>
  <w:style w:type="paragraph" w:styleId="Revision">
    <w:name w:val="Revision"/>
    <w:hidden/>
    <w:uiPriority w:val="99"/>
    <w:semiHidden/>
    <w:rsid w:val="004141B3"/>
  </w:style>
  <w:style w:type="character" w:customStyle="1" w:styleId="intro-resume2">
    <w:name w:val="intro-resume2"/>
    <w:basedOn w:val="DefaultParagraphFont"/>
    <w:rsid w:val="00BC50B6"/>
    <w:rPr>
      <w:sz w:val="29"/>
      <w:szCs w:val="29"/>
    </w:rPr>
  </w:style>
  <w:style w:type="paragraph" w:customStyle="1" w:styleId="ColorfulList-Accent11">
    <w:name w:val="Colorful List - Accent 11"/>
    <w:basedOn w:val="Normal"/>
    <w:uiPriority w:val="34"/>
    <w:qFormat/>
    <w:rsid w:val="00250611"/>
    <w:pPr>
      <w:ind w:left="720"/>
      <w:contextualSpacing/>
    </w:pPr>
    <w:rPr>
      <w:rFonts w:ascii="Calibri" w:eastAsia="Calibri" w:hAnsi="Calibri" w:cs="Times New Roman"/>
    </w:rPr>
  </w:style>
  <w:style w:type="character" w:customStyle="1" w:styleId="Heading1Char">
    <w:name w:val="Heading 1 Char"/>
    <w:basedOn w:val="DefaultParagraphFont"/>
    <w:link w:val="Heading1"/>
    <w:uiPriority w:val="9"/>
    <w:rsid w:val="00E7254B"/>
    <w:rPr>
      <w:rFonts w:asciiTheme="majorHAnsi" w:eastAsiaTheme="majorEastAsia" w:hAnsiTheme="majorHAnsi" w:cstheme="majorBidi"/>
      <w:color w:val="2E74B5" w:themeColor="accent1" w:themeShade="BF"/>
      <w:sz w:val="32"/>
      <w:szCs w:val="32"/>
    </w:rPr>
  </w:style>
  <w:style w:type="paragraph" w:customStyle="1" w:styleId="NormalNonumber">
    <w:name w:val="Normal_No_number"/>
    <w:basedOn w:val="Normal"/>
    <w:rsid w:val="00CC6FDF"/>
    <w:pPr>
      <w:spacing w:after="120"/>
      <w:ind w:left="1247" w:firstLine="0"/>
    </w:pPr>
    <w:rPr>
      <w:rFonts w:ascii="Times New Roman" w:hAnsi="Times New Roman" w:cs="Times New Roman"/>
      <w:sz w:val="20"/>
      <w:szCs w:val="20"/>
    </w:rPr>
  </w:style>
  <w:style w:type="paragraph" w:customStyle="1" w:styleId="Default">
    <w:name w:val="Default"/>
    <w:basedOn w:val="Normal"/>
    <w:uiPriority w:val="99"/>
    <w:rsid w:val="004969F3"/>
    <w:pPr>
      <w:autoSpaceDE w:val="0"/>
      <w:autoSpaceDN w:val="0"/>
      <w:ind w:left="0" w:firstLine="0"/>
    </w:pPr>
    <w:rPr>
      <w:rFonts w:ascii="Arial" w:hAnsi="Arial" w:cs="Arial"/>
      <w:color w:val="000000"/>
      <w:sz w:val="24"/>
      <w:szCs w:val="24"/>
      <w:lang w:eastAsia="en-GB"/>
    </w:rPr>
  </w:style>
  <w:style w:type="paragraph" w:styleId="FootnoteText">
    <w:name w:val="footnote text"/>
    <w:basedOn w:val="Normal"/>
    <w:link w:val="FootnoteTextChar"/>
    <w:uiPriority w:val="99"/>
    <w:semiHidden/>
    <w:unhideWhenUsed/>
    <w:rsid w:val="00FC5A0A"/>
    <w:pPr>
      <w:ind w:left="0" w:firstLine="0"/>
    </w:pPr>
    <w:rPr>
      <w:rFonts w:ascii="Calibri" w:hAnsi="Calibri" w:cs="Times New Roman"/>
      <w:sz w:val="20"/>
      <w:szCs w:val="20"/>
    </w:rPr>
  </w:style>
  <w:style w:type="character" w:customStyle="1" w:styleId="FootnoteTextChar">
    <w:name w:val="Footnote Text Char"/>
    <w:basedOn w:val="DefaultParagraphFont"/>
    <w:link w:val="FootnoteText"/>
    <w:uiPriority w:val="99"/>
    <w:semiHidden/>
    <w:rsid w:val="00FC5A0A"/>
    <w:rPr>
      <w:rFonts w:ascii="Calibri" w:hAnsi="Calibri" w:cs="Times New Roman"/>
      <w:sz w:val="20"/>
      <w:szCs w:val="20"/>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basedOn w:val="DefaultParagraphFont"/>
    <w:unhideWhenUsed/>
    <w:qFormat/>
    <w:rsid w:val="00FC5A0A"/>
    <w:rPr>
      <w:vertAlign w:val="superscript"/>
    </w:rPr>
  </w:style>
  <w:style w:type="paragraph" w:styleId="Header">
    <w:name w:val="header"/>
    <w:basedOn w:val="Normal"/>
    <w:link w:val="HeaderChar"/>
    <w:uiPriority w:val="99"/>
    <w:unhideWhenUsed/>
    <w:rsid w:val="00570F86"/>
    <w:pPr>
      <w:tabs>
        <w:tab w:val="center" w:pos="4513"/>
        <w:tab w:val="right" w:pos="9026"/>
      </w:tabs>
    </w:pPr>
  </w:style>
  <w:style w:type="character" w:customStyle="1" w:styleId="HeaderChar">
    <w:name w:val="Header Char"/>
    <w:basedOn w:val="DefaultParagraphFont"/>
    <w:link w:val="Header"/>
    <w:uiPriority w:val="99"/>
    <w:rsid w:val="00570F86"/>
  </w:style>
  <w:style w:type="paragraph" w:styleId="Footer">
    <w:name w:val="footer"/>
    <w:basedOn w:val="Normal"/>
    <w:link w:val="FooterChar"/>
    <w:uiPriority w:val="99"/>
    <w:unhideWhenUsed/>
    <w:rsid w:val="00570F86"/>
    <w:pPr>
      <w:tabs>
        <w:tab w:val="center" w:pos="4513"/>
        <w:tab w:val="right" w:pos="9026"/>
      </w:tabs>
    </w:pPr>
  </w:style>
  <w:style w:type="character" w:customStyle="1" w:styleId="FooterChar">
    <w:name w:val="Footer Char"/>
    <w:basedOn w:val="DefaultParagraphFont"/>
    <w:link w:val="Footer"/>
    <w:uiPriority w:val="99"/>
    <w:rsid w:val="00570F86"/>
  </w:style>
  <w:style w:type="paragraph" w:styleId="NormalWeb">
    <w:name w:val="Normal (Web)"/>
    <w:basedOn w:val="Normal"/>
    <w:uiPriority w:val="99"/>
    <w:unhideWhenUsed/>
    <w:rsid w:val="00B31A2B"/>
    <w:pPr>
      <w:spacing w:before="100" w:beforeAutospacing="1" w:after="100" w:afterAutospacing="1"/>
      <w:ind w:left="0" w:firstLine="0"/>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C617C5"/>
    <w:rPr>
      <w:i/>
      <w:iCs/>
    </w:rPr>
  </w:style>
  <w:style w:type="character" w:styleId="FollowedHyperlink">
    <w:name w:val="FollowedHyperlink"/>
    <w:basedOn w:val="DefaultParagraphFont"/>
    <w:uiPriority w:val="99"/>
    <w:semiHidden/>
    <w:unhideWhenUsed/>
    <w:rsid w:val="008511E7"/>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ind w:left="425" w:hanging="42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7254B"/>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7A91"/>
    <w:rPr>
      <w:color w:val="0563C1" w:themeColor="hyperlink"/>
      <w:u w:val="single"/>
    </w:rPr>
  </w:style>
  <w:style w:type="character" w:styleId="CommentReference">
    <w:name w:val="annotation reference"/>
    <w:basedOn w:val="DefaultParagraphFont"/>
    <w:uiPriority w:val="99"/>
    <w:semiHidden/>
    <w:unhideWhenUsed/>
    <w:rsid w:val="006827DA"/>
    <w:rPr>
      <w:sz w:val="16"/>
      <w:szCs w:val="16"/>
    </w:rPr>
  </w:style>
  <w:style w:type="paragraph" w:styleId="CommentText">
    <w:name w:val="annotation text"/>
    <w:basedOn w:val="Normal"/>
    <w:link w:val="CommentTextChar"/>
    <w:uiPriority w:val="99"/>
    <w:semiHidden/>
    <w:unhideWhenUsed/>
    <w:rsid w:val="006827DA"/>
    <w:rPr>
      <w:sz w:val="20"/>
      <w:szCs w:val="20"/>
    </w:rPr>
  </w:style>
  <w:style w:type="character" w:customStyle="1" w:styleId="CommentTextChar">
    <w:name w:val="Comment Text Char"/>
    <w:basedOn w:val="DefaultParagraphFont"/>
    <w:link w:val="CommentText"/>
    <w:uiPriority w:val="99"/>
    <w:semiHidden/>
    <w:rsid w:val="006827DA"/>
    <w:rPr>
      <w:sz w:val="20"/>
      <w:szCs w:val="20"/>
    </w:rPr>
  </w:style>
  <w:style w:type="paragraph" w:styleId="CommentSubject">
    <w:name w:val="annotation subject"/>
    <w:basedOn w:val="CommentText"/>
    <w:next w:val="CommentText"/>
    <w:link w:val="CommentSubjectChar"/>
    <w:uiPriority w:val="99"/>
    <w:semiHidden/>
    <w:unhideWhenUsed/>
    <w:rsid w:val="006827DA"/>
    <w:rPr>
      <w:b/>
      <w:bCs/>
    </w:rPr>
  </w:style>
  <w:style w:type="character" w:customStyle="1" w:styleId="CommentSubjectChar">
    <w:name w:val="Comment Subject Char"/>
    <w:basedOn w:val="CommentTextChar"/>
    <w:link w:val="CommentSubject"/>
    <w:uiPriority w:val="99"/>
    <w:semiHidden/>
    <w:rsid w:val="006827DA"/>
    <w:rPr>
      <w:b/>
      <w:bCs/>
      <w:sz w:val="20"/>
      <w:szCs w:val="20"/>
    </w:rPr>
  </w:style>
  <w:style w:type="paragraph" w:styleId="BalloonText">
    <w:name w:val="Balloon Text"/>
    <w:basedOn w:val="Normal"/>
    <w:link w:val="BalloonTextChar"/>
    <w:uiPriority w:val="99"/>
    <w:semiHidden/>
    <w:unhideWhenUsed/>
    <w:rsid w:val="006827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27DA"/>
    <w:rPr>
      <w:rFonts w:ascii="Segoe UI" w:hAnsi="Segoe UI" w:cs="Segoe UI"/>
      <w:sz w:val="18"/>
      <w:szCs w:val="18"/>
    </w:rPr>
  </w:style>
  <w:style w:type="paragraph" w:styleId="ListParagraph">
    <w:name w:val="List Paragraph"/>
    <w:basedOn w:val="Normal"/>
    <w:uiPriority w:val="34"/>
    <w:qFormat/>
    <w:rsid w:val="00A53B42"/>
    <w:pPr>
      <w:ind w:left="720"/>
      <w:contextualSpacing/>
    </w:pPr>
  </w:style>
  <w:style w:type="paragraph" w:styleId="Revision">
    <w:name w:val="Revision"/>
    <w:hidden/>
    <w:uiPriority w:val="99"/>
    <w:semiHidden/>
    <w:rsid w:val="004141B3"/>
  </w:style>
  <w:style w:type="character" w:customStyle="1" w:styleId="intro-resume2">
    <w:name w:val="intro-resume2"/>
    <w:basedOn w:val="DefaultParagraphFont"/>
    <w:rsid w:val="00BC50B6"/>
    <w:rPr>
      <w:sz w:val="29"/>
      <w:szCs w:val="29"/>
    </w:rPr>
  </w:style>
  <w:style w:type="paragraph" w:customStyle="1" w:styleId="ColorfulList-Accent11">
    <w:name w:val="Colorful List - Accent 11"/>
    <w:basedOn w:val="Normal"/>
    <w:uiPriority w:val="34"/>
    <w:qFormat/>
    <w:rsid w:val="00250611"/>
    <w:pPr>
      <w:ind w:left="720"/>
      <w:contextualSpacing/>
    </w:pPr>
    <w:rPr>
      <w:rFonts w:ascii="Calibri" w:eastAsia="Calibri" w:hAnsi="Calibri" w:cs="Times New Roman"/>
    </w:rPr>
  </w:style>
  <w:style w:type="character" w:customStyle="1" w:styleId="Heading1Char">
    <w:name w:val="Heading 1 Char"/>
    <w:basedOn w:val="DefaultParagraphFont"/>
    <w:link w:val="Heading1"/>
    <w:uiPriority w:val="9"/>
    <w:rsid w:val="00E7254B"/>
    <w:rPr>
      <w:rFonts w:asciiTheme="majorHAnsi" w:eastAsiaTheme="majorEastAsia" w:hAnsiTheme="majorHAnsi" w:cstheme="majorBidi"/>
      <w:color w:val="2E74B5" w:themeColor="accent1" w:themeShade="BF"/>
      <w:sz w:val="32"/>
      <w:szCs w:val="32"/>
    </w:rPr>
  </w:style>
  <w:style w:type="paragraph" w:customStyle="1" w:styleId="NormalNonumber">
    <w:name w:val="Normal_No_number"/>
    <w:basedOn w:val="Normal"/>
    <w:rsid w:val="00CC6FDF"/>
    <w:pPr>
      <w:spacing w:after="120"/>
      <w:ind w:left="1247" w:firstLine="0"/>
    </w:pPr>
    <w:rPr>
      <w:rFonts w:ascii="Times New Roman" w:hAnsi="Times New Roman" w:cs="Times New Roman"/>
      <w:sz w:val="20"/>
      <w:szCs w:val="20"/>
    </w:rPr>
  </w:style>
  <w:style w:type="paragraph" w:customStyle="1" w:styleId="Default">
    <w:name w:val="Default"/>
    <w:basedOn w:val="Normal"/>
    <w:uiPriority w:val="99"/>
    <w:rsid w:val="004969F3"/>
    <w:pPr>
      <w:autoSpaceDE w:val="0"/>
      <w:autoSpaceDN w:val="0"/>
      <w:ind w:left="0" w:firstLine="0"/>
    </w:pPr>
    <w:rPr>
      <w:rFonts w:ascii="Arial" w:hAnsi="Arial" w:cs="Arial"/>
      <w:color w:val="000000"/>
      <w:sz w:val="24"/>
      <w:szCs w:val="24"/>
      <w:lang w:eastAsia="en-GB"/>
    </w:rPr>
  </w:style>
  <w:style w:type="paragraph" w:styleId="FootnoteText">
    <w:name w:val="footnote text"/>
    <w:basedOn w:val="Normal"/>
    <w:link w:val="FootnoteTextChar"/>
    <w:uiPriority w:val="99"/>
    <w:semiHidden/>
    <w:unhideWhenUsed/>
    <w:rsid w:val="00FC5A0A"/>
    <w:pPr>
      <w:ind w:left="0" w:firstLine="0"/>
    </w:pPr>
    <w:rPr>
      <w:rFonts w:ascii="Calibri" w:hAnsi="Calibri" w:cs="Times New Roman"/>
      <w:sz w:val="20"/>
      <w:szCs w:val="20"/>
    </w:rPr>
  </w:style>
  <w:style w:type="character" w:customStyle="1" w:styleId="FootnoteTextChar">
    <w:name w:val="Footnote Text Char"/>
    <w:basedOn w:val="DefaultParagraphFont"/>
    <w:link w:val="FootnoteText"/>
    <w:uiPriority w:val="99"/>
    <w:semiHidden/>
    <w:rsid w:val="00FC5A0A"/>
    <w:rPr>
      <w:rFonts w:ascii="Calibri" w:hAnsi="Calibri" w:cs="Times New Roman"/>
      <w:sz w:val="20"/>
      <w:szCs w:val="20"/>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basedOn w:val="DefaultParagraphFont"/>
    <w:unhideWhenUsed/>
    <w:qFormat/>
    <w:rsid w:val="00FC5A0A"/>
    <w:rPr>
      <w:vertAlign w:val="superscript"/>
    </w:rPr>
  </w:style>
  <w:style w:type="paragraph" w:styleId="Header">
    <w:name w:val="header"/>
    <w:basedOn w:val="Normal"/>
    <w:link w:val="HeaderChar"/>
    <w:uiPriority w:val="99"/>
    <w:unhideWhenUsed/>
    <w:rsid w:val="00570F86"/>
    <w:pPr>
      <w:tabs>
        <w:tab w:val="center" w:pos="4513"/>
        <w:tab w:val="right" w:pos="9026"/>
      </w:tabs>
    </w:pPr>
  </w:style>
  <w:style w:type="character" w:customStyle="1" w:styleId="HeaderChar">
    <w:name w:val="Header Char"/>
    <w:basedOn w:val="DefaultParagraphFont"/>
    <w:link w:val="Header"/>
    <w:uiPriority w:val="99"/>
    <w:rsid w:val="00570F86"/>
  </w:style>
  <w:style w:type="paragraph" w:styleId="Footer">
    <w:name w:val="footer"/>
    <w:basedOn w:val="Normal"/>
    <w:link w:val="FooterChar"/>
    <w:uiPriority w:val="99"/>
    <w:unhideWhenUsed/>
    <w:rsid w:val="00570F86"/>
    <w:pPr>
      <w:tabs>
        <w:tab w:val="center" w:pos="4513"/>
        <w:tab w:val="right" w:pos="9026"/>
      </w:tabs>
    </w:pPr>
  </w:style>
  <w:style w:type="character" w:customStyle="1" w:styleId="FooterChar">
    <w:name w:val="Footer Char"/>
    <w:basedOn w:val="DefaultParagraphFont"/>
    <w:link w:val="Footer"/>
    <w:uiPriority w:val="99"/>
    <w:rsid w:val="00570F86"/>
  </w:style>
  <w:style w:type="paragraph" w:styleId="NormalWeb">
    <w:name w:val="Normal (Web)"/>
    <w:basedOn w:val="Normal"/>
    <w:uiPriority w:val="99"/>
    <w:unhideWhenUsed/>
    <w:rsid w:val="00B31A2B"/>
    <w:pPr>
      <w:spacing w:before="100" w:beforeAutospacing="1" w:after="100" w:afterAutospacing="1"/>
      <w:ind w:left="0" w:firstLine="0"/>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C617C5"/>
    <w:rPr>
      <w:i/>
      <w:iCs/>
    </w:rPr>
  </w:style>
  <w:style w:type="character" w:styleId="FollowedHyperlink">
    <w:name w:val="FollowedHyperlink"/>
    <w:basedOn w:val="DefaultParagraphFont"/>
    <w:uiPriority w:val="99"/>
    <w:semiHidden/>
    <w:unhideWhenUsed/>
    <w:rsid w:val="008511E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412979">
      <w:bodyDiv w:val="1"/>
      <w:marLeft w:val="0"/>
      <w:marRight w:val="0"/>
      <w:marTop w:val="0"/>
      <w:marBottom w:val="0"/>
      <w:divBdr>
        <w:top w:val="none" w:sz="0" w:space="0" w:color="auto"/>
        <w:left w:val="none" w:sz="0" w:space="0" w:color="auto"/>
        <w:bottom w:val="none" w:sz="0" w:space="0" w:color="auto"/>
        <w:right w:val="none" w:sz="0" w:space="0" w:color="auto"/>
      </w:divBdr>
    </w:div>
    <w:div w:id="379401059">
      <w:bodyDiv w:val="1"/>
      <w:marLeft w:val="0"/>
      <w:marRight w:val="0"/>
      <w:marTop w:val="0"/>
      <w:marBottom w:val="0"/>
      <w:divBdr>
        <w:top w:val="none" w:sz="0" w:space="0" w:color="auto"/>
        <w:left w:val="none" w:sz="0" w:space="0" w:color="auto"/>
        <w:bottom w:val="none" w:sz="0" w:space="0" w:color="auto"/>
        <w:right w:val="none" w:sz="0" w:space="0" w:color="auto"/>
      </w:divBdr>
      <w:divsChild>
        <w:div w:id="2051420227">
          <w:marLeft w:val="0"/>
          <w:marRight w:val="0"/>
          <w:marTop w:val="0"/>
          <w:marBottom w:val="0"/>
          <w:divBdr>
            <w:top w:val="none" w:sz="0" w:space="0" w:color="auto"/>
            <w:left w:val="none" w:sz="0" w:space="0" w:color="auto"/>
            <w:bottom w:val="none" w:sz="0" w:space="0" w:color="auto"/>
            <w:right w:val="none" w:sz="0" w:space="0" w:color="auto"/>
          </w:divBdr>
          <w:divsChild>
            <w:div w:id="131944273">
              <w:marLeft w:val="0"/>
              <w:marRight w:val="0"/>
              <w:marTop w:val="0"/>
              <w:marBottom w:val="0"/>
              <w:divBdr>
                <w:top w:val="none" w:sz="0" w:space="0" w:color="auto"/>
                <w:left w:val="none" w:sz="0" w:space="0" w:color="auto"/>
                <w:bottom w:val="none" w:sz="0" w:space="0" w:color="auto"/>
                <w:right w:val="none" w:sz="0" w:space="0" w:color="auto"/>
              </w:divBdr>
              <w:divsChild>
                <w:div w:id="11437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397874">
      <w:bodyDiv w:val="1"/>
      <w:marLeft w:val="0"/>
      <w:marRight w:val="0"/>
      <w:marTop w:val="0"/>
      <w:marBottom w:val="0"/>
      <w:divBdr>
        <w:top w:val="none" w:sz="0" w:space="0" w:color="auto"/>
        <w:left w:val="none" w:sz="0" w:space="0" w:color="auto"/>
        <w:bottom w:val="none" w:sz="0" w:space="0" w:color="auto"/>
        <w:right w:val="none" w:sz="0" w:space="0" w:color="auto"/>
      </w:divBdr>
      <w:divsChild>
        <w:div w:id="1317563203">
          <w:marLeft w:val="0"/>
          <w:marRight w:val="0"/>
          <w:marTop w:val="0"/>
          <w:marBottom w:val="0"/>
          <w:divBdr>
            <w:top w:val="none" w:sz="0" w:space="0" w:color="auto"/>
            <w:left w:val="none" w:sz="0" w:space="0" w:color="auto"/>
            <w:bottom w:val="none" w:sz="0" w:space="0" w:color="auto"/>
            <w:right w:val="none" w:sz="0" w:space="0" w:color="auto"/>
          </w:divBdr>
          <w:divsChild>
            <w:div w:id="1383284816">
              <w:marLeft w:val="0"/>
              <w:marRight w:val="0"/>
              <w:marTop w:val="0"/>
              <w:marBottom w:val="0"/>
              <w:divBdr>
                <w:top w:val="none" w:sz="0" w:space="0" w:color="auto"/>
                <w:left w:val="none" w:sz="0" w:space="0" w:color="auto"/>
                <w:bottom w:val="none" w:sz="0" w:space="0" w:color="auto"/>
                <w:right w:val="none" w:sz="0" w:space="0" w:color="auto"/>
              </w:divBdr>
              <w:divsChild>
                <w:div w:id="15650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116205">
      <w:bodyDiv w:val="1"/>
      <w:marLeft w:val="0"/>
      <w:marRight w:val="0"/>
      <w:marTop w:val="0"/>
      <w:marBottom w:val="0"/>
      <w:divBdr>
        <w:top w:val="none" w:sz="0" w:space="0" w:color="auto"/>
        <w:left w:val="none" w:sz="0" w:space="0" w:color="auto"/>
        <w:bottom w:val="none" w:sz="0" w:space="0" w:color="auto"/>
        <w:right w:val="none" w:sz="0" w:space="0" w:color="auto"/>
      </w:divBdr>
      <w:divsChild>
        <w:div w:id="499008264">
          <w:marLeft w:val="0"/>
          <w:marRight w:val="0"/>
          <w:marTop w:val="0"/>
          <w:marBottom w:val="0"/>
          <w:divBdr>
            <w:top w:val="none" w:sz="0" w:space="0" w:color="auto"/>
            <w:left w:val="none" w:sz="0" w:space="0" w:color="auto"/>
            <w:bottom w:val="none" w:sz="0" w:space="0" w:color="auto"/>
            <w:right w:val="none" w:sz="0" w:space="0" w:color="auto"/>
          </w:divBdr>
          <w:divsChild>
            <w:div w:id="572854611">
              <w:marLeft w:val="0"/>
              <w:marRight w:val="0"/>
              <w:marTop w:val="0"/>
              <w:marBottom w:val="0"/>
              <w:divBdr>
                <w:top w:val="none" w:sz="0" w:space="0" w:color="auto"/>
                <w:left w:val="none" w:sz="0" w:space="0" w:color="auto"/>
                <w:bottom w:val="none" w:sz="0" w:space="0" w:color="auto"/>
                <w:right w:val="none" w:sz="0" w:space="0" w:color="auto"/>
              </w:divBdr>
              <w:divsChild>
                <w:div w:id="29834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910825">
      <w:bodyDiv w:val="1"/>
      <w:marLeft w:val="0"/>
      <w:marRight w:val="0"/>
      <w:marTop w:val="0"/>
      <w:marBottom w:val="0"/>
      <w:divBdr>
        <w:top w:val="none" w:sz="0" w:space="0" w:color="auto"/>
        <w:left w:val="none" w:sz="0" w:space="0" w:color="auto"/>
        <w:bottom w:val="none" w:sz="0" w:space="0" w:color="auto"/>
        <w:right w:val="none" w:sz="0" w:space="0" w:color="auto"/>
      </w:divBdr>
    </w:div>
    <w:div w:id="628166958">
      <w:bodyDiv w:val="1"/>
      <w:marLeft w:val="0"/>
      <w:marRight w:val="0"/>
      <w:marTop w:val="0"/>
      <w:marBottom w:val="0"/>
      <w:divBdr>
        <w:top w:val="none" w:sz="0" w:space="0" w:color="auto"/>
        <w:left w:val="none" w:sz="0" w:space="0" w:color="auto"/>
        <w:bottom w:val="none" w:sz="0" w:space="0" w:color="auto"/>
        <w:right w:val="none" w:sz="0" w:space="0" w:color="auto"/>
      </w:divBdr>
    </w:div>
    <w:div w:id="679432777">
      <w:bodyDiv w:val="1"/>
      <w:marLeft w:val="0"/>
      <w:marRight w:val="0"/>
      <w:marTop w:val="0"/>
      <w:marBottom w:val="0"/>
      <w:divBdr>
        <w:top w:val="none" w:sz="0" w:space="0" w:color="auto"/>
        <w:left w:val="none" w:sz="0" w:space="0" w:color="auto"/>
        <w:bottom w:val="none" w:sz="0" w:space="0" w:color="auto"/>
        <w:right w:val="none" w:sz="0" w:space="0" w:color="auto"/>
      </w:divBdr>
      <w:divsChild>
        <w:div w:id="198473570">
          <w:marLeft w:val="0"/>
          <w:marRight w:val="0"/>
          <w:marTop w:val="0"/>
          <w:marBottom w:val="0"/>
          <w:divBdr>
            <w:top w:val="none" w:sz="0" w:space="0" w:color="auto"/>
            <w:left w:val="none" w:sz="0" w:space="0" w:color="auto"/>
            <w:bottom w:val="none" w:sz="0" w:space="0" w:color="auto"/>
            <w:right w:val="none" w:sz="0" w:space="0" w:color="auto"/>
          </w:divBdr>
          <w:divsChild>
            <w:div w:id="1536622946">
              <w:marLeft w:val="0"/>
              <w:marRight w:val="0"/>
              <w:marTop w:val="0"/>
              <w:marBottom w:val="0"/>
              <w:divBdr>
                <w:top w:val="none" w:sz="0" w:space="0" w:color="auto"/>
                <w:left w:val="none" w:sz="0" w:space="0" w:color="auto"/>
                <w:bottom w:val="none" w:sz="0" w:space="0" w:color="auto"/>
                <w:right w:val="none" w:sz="0" w:space="0" w:color="auto"/>
              </w:divBdr>
              <w:divsChild>
                <w:div w:id="66528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484175">
      <w:bodyDiv w:val="1"/>
      <w:marLeft w:val="0"/>
      <w:marRight w:val="0"/>
      <w:marTop w:val="0"/>
      <w:marBottom w:val="0"/>
      <w:divBdr>
        <w:top w:val="none" w:sz="0" w:space="0" w:color="auto"/>
        <w:left w:val="none" w:sz="0" w:space="0" w:color="auto"/>
        <w:bottom w:val="none" w:sz="0" w:space="0" w:color="auto"/>
        <w:right w:val="none" w:sz="0" w:space="0" w:color="auto"/>
      </w:divBdr>
      <w:divsChild>
        <w:div w:id="965547317">
          <w:marLeft w:val="0"/>
          <w:marRight w:val="0"/>
          <w:marTop w:val="0"/>
          <w:marBottom w:val="0"/>
          <w:divBdr>
            <w:top w:val="none" w:sz="0" w:space="0" w:color="auto"/>
            <w:left w:val="none" w:sz="0" w:space="0" w:color="auto"/>
            <w:bottom w:val="none" w:sz="0" w:space="0" w:color="auto"/>
            <w:right w:val="none" w:sz="0" w:space="0" w:color="auto"/>
          </w:divBdr>
          <w:divsChild>
            <w:div w:id="1657340713">
              <w:marLeft w:val="0"/>
              <w:marRight w:val="0"/>
              <w:marTop w:val="0"/>
              <w:marBottom w:val="0"/>
              <w:divBdr>
                <w:top w:val="none" w:sz="0" w:space="0" w:color="auto"/>
                <w:left w:val="none" w:sz="0" w:space="0" w:color="auto"/>
                <w:bottom w:val="none" w:sz="0" w:space="0" w:color="auto"/>
                <w:right w:val="none" w:sz="0" w:space="0" w:color="auto"/>
              </w:divBdr>
              <w:divsChild>
                <w:div w:id="185526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970131">
      <w:bodyDiv w:val="1"/>
      <w:marLeft w:val="0"/>
      <w:marRight w:val="0"/>
      <w:marTop w:val="0"/>
      <w:marBottom w:val="0"/>
      <w:divBdr>
        <w:top w:val="none" w:sz="0" w:space="0" w:color="auto"/>
        <w:left w:val="none" w:sz="0" w:space="0" w:color="auto"/>
        <w:bottom w:val="none" w:sz="0" w:space="0" w:color="auto"/>
        <w:right w:val="none" w:sz="0" w:space="0" w:color="auto"/>
      </w:divBdr>
    </w:div>
    <w:div w:id="843596132">
      <w:bodyDiv w:val="1"/>
      <w:marLeft w:val="0"/>
      <w:marRight w:val="0"/>
      <w:marTop w:val="0"/>
      <w:marBottom w:val="0"/>
      <w:divBdr>
        <w:top w:val="none" w:sz="0" w:space="0" w:color="auto"/>
        <w:left w:val="none" w:sz="0" w:space="0" w:color="auto"/>
        <w:bottom w:val="none" w:sz="0" w:space="0" w:color="auto"/>
        <w:right w:val="none" w:sz="0" w:space="0" w:color="auto"/>
      </w:divBdr>
      <w:divsChild>
        <w:div w:id="1635868580">
          <w:marLeft w:val="0"/>
          <w:marRight w:val="0"/>
          <w:marTop w:val="0"/>
          <w:marBottom w:val="0"/>
          <w:divBdr>
            <w:top w:val="none" w:sz="0" w:space="0" w:color="auto"/>
            <w:left w:val="none" w:sz="0" w:space="0" w:color="auto"/>
            <w:bottom w:val="none" w:sz="0" w:space="0" w:color="auto"/>
            <w:right w:val="none" w:sz="0" w:space="0" w:color="auto"/>
          </w:divBdr>
          <w:divsChild>
            <w:div w:id="295528811">
              <w:marLeft w:val="0"/>
              <w:marRight w:val="0"/>
              <w:marTop w:val="0"/>
              <w:marBottom w:val="0"/>
              <w:divBdr>
                <w:top w:val="none" w:sz="0" w:space="0" w:color="auto"/>
                <w:left w:val="none" w:sz="0" w:space="0" w:color="auto"/>
                <w:bottom w:val="none" w:sz="0" w:space="0" w:color="auto"/>
                <w:right w:val="none" w:sz="0" w:space="0" w:color="auto"/>
              </w:divBdr>
              <w:divsChild>
                <w:div w:id="1771586895">
                  <w:marLeft w:val="0"/>
                  <w:marRight w:val="0"/>
                  <w:marTop w:val="0"/>
                  <w:marBottom w:val="0"/>
                  <w:divBdr>
                    <w:top w:val="none" w:sz="0" w:space="0" w:color="auto"/>
                    <w:left w:val="none" w:sz="0" w:space="0" w:color="auto"/>
                    <w:bottom w:val="none" w:sz="0" w:space="0" w:color="auto"/>
                    <w:right w:val="none" w:sz="0" w:space="0" w:color="auto"/>
                  </w:divBdr>
                  <w:divsChild>
                    <w:div w:id="74202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613274">
      <w:bodyDiv w:val="1"/>
      <w:marLeft w:val="0"/>
      <w:marRight w:val="0"/>
      <w:marTop w:val="0"/>
      <w:marBottom w:val="0"/>
      <w:divBdr>
        <w:top w:val="none" w:sz="0" w:space="0" w:color="auto"/>
        <w:left w:val="none" w:sz="0" w:space="0" w:color="auto"/>
        <w:bottom w:val="none" w:sz="0" w:space="0" w:color="auto"/>
        <w:right w:val="none" w:sz="0" w:space="0" w:color="auto"/>
      </w:divBdr>
      <w:divsChild>
        <w:div w:id="2055036152">
          <w:marLeft w:val="0"/>
          <w:marRight w:val="0"/>
          <w:marTop w:val="0"/>
          <w:marBottom w:val="0"/>
          <w:divBdr>
            <w:top w:val="none" w:sz="0" w:space="0" w:color="auto"/>
            <w:left w:val="none" w:sz="0" w:space="0" w:color="auto"/>
            <w:bottom w:val="none" w:sz="0" w:space="0" w:color="auto"/>
            <w:right w:val="none" w:sz="0" w:space="0" w:color="auto"/>
          </w:divBdr>
          <w:divsChild>
            <w:div w:id="48190523">
              <w:marLeft w:val="0"/>
              <w:marRight w:val="0"/>
              <w:marTop w:val="0"/>
              <w:marBottom w:val="0"/>
              <w:divBdr>
                <w:top w:val="none" w:sz="0" w:space="0" w:color="auto"/>
                <w:left w:val="none" w:sz="0" w:space="0" w:color="auto"/>
                <w:bottom w:val="none" w:sz="0" w:space="0" w:color="auto"/>
                <w:right w:val="none" w:sz="0" w:space="0" w:color="auto"/>
              </w:divBdr>
              <w:divsChild>
                <w:div w:id="30069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473389">
      <w:bodyDiv w:val="1"/>
      <w:marLeft w:val="0"/>
      <w:marRight w:val="0"/>
      <w:marTop w:val="0"/>
      <w:marBottom w:val="0"/>
      <w:divBdr>
        <w:top w:val="none" w:sz="0" w:space="0" w:color="auto"/>
        <w:left w:val="none" w:sz="0" w:space="0" w:color="auto"/>
        <w:bottom w:val="none" w:sz="0" w:space="0" w:color="auto"/>
        <w:right w:val="none" w:sz="0" w:space="0" w:color="auto"/>
      </w:divBdr>
    </w:div>
    <w:div w:id="955218619">
      <w:bodyDiv w:val="1"/>
      <w:marLeft w:val="0"/>
      <w:marRight w:val="0"/>
      <w:marTop w:val="0"/>
      <w:marBottom w:val="0"/>
      <w:divBdr>
        <w:top w:val="none" w:sz="0" w:space="0" w:color="auto"/>
        <w:left w:val="none" w:sz="0" w:space="0" w:color="auto"/>
        <w:bottom w:val="none" w:sz="0" w:space="0" w:color="auto"/>
        <w:right w:val="none" w:sz="0" w:space="0" w:color="auto"/>
      </w:divBdr>
    </w:div>
    <w:div w:id="998924374">
      <w:bodyDiv w:val="1"/>
      <w:marLeft w:val="0"/>
      <w:marRight w:val="0"/>
      <w:marTop w:val="0"/>
      <w:marBottom w:val="0"/>
      <w:divBdr>
        <w:top w:val="none" w:sz="0" w:space="0" w:color="auto"/>
        <w:left w:val="none" w:sz="0" w:space="0" w:color="auto"/>
        <w:bottom w:val="none" w:sz="0" w:space="0" w:color="auto"/>
        <w:right w:val="none" w:sz="0" w:space="0" w:color="auto"/>
      </w:divBdr>
      <w:divsChild>
        <w:div w:id="2078167791">
          <w:marLeft w:val="0"/>
          <w:marRight w:val="0"/>
          <w:marTop w:val="0"/>
          <w:marBottom w:val="0"/>
          <w:divBdr>
            <w:top w:val="none" w:sz="0" w:space="0" w:color="auto"/>
            <w:left w:val="none" w:sz="0" w:space="0" w:color="auto"/>
            <w:bottom w:val="none" w:sz="0" w:space="0" w:color="auto"/>
            <w:right w:val="none" w:sz="0" w:space="0" w:color="auto"/>
          </w:divBdr>
          <w:divsChild>
            <w:div w:id="1923951465">
              <w:marLeft w:val="0"/>
              <w:marRight w:val="0"/>
              <w:marTop w:val="0"/>
              <w:marBottom w:val="0"/>
              <w:divBdr>
                <w:top w:val="none" w:sz="0" w:space="0" w:color="auto"/>
                <w:left w:val="none" w:sz="0" w:space="0" w:color="auto"/>
                <w:bottom w:val="none" w:sz="0" w:space="0" w:color="auto"/>
                <w:right w:val="none" w:sz="0" w:space="0" w:color="auto"/>
              </w:divBdr>
              <w:divsChild>
                <w:div w:id="123492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307926">
      <w:bodyDiv w:val="1"/>
      <w:marLeft w:val="0"/>
      <w:marRight w:val="0"/>
      <w:marTop w:val="0"/>
      <w:marBottom w:val="0"/>
      <w:divBdr>
        <w:top w:val="none" w:sz="0" w:space="0" w:color="auto"/>
        <w:left w:val="none" w:sz="0" w:space="0" w:color="auto"/>
        <w:bottom w:val="none" w:sz="0" w:space="0" w:color="auto"/>
        <w:right w:val="none" w:sz="0" w:space="0" w:color="auto"/>
      </w:divBdr>
      <w:divsChild>
        <w:div w:id="1274094849">
          <w:marLeft w:val="0"/>
          <w:marRight w:val="0"/>
          <w:marTop w:val="0"/>
          <w:marBottom w:val="0"/>
          <w:divBdr>
            <w:top w:val="none" w:sz="0" w:space="0" w:color="auto"/>
            <w:left w:val="none" w:sz="0" w:space="0" w:color="auto"/>
            <w:bottom w:val="none" w:sz="0" w:space="0" w:color="auto"/>
            <w:right w:val="none" w:sz="0" w:space="0" w:color="auto"/>
          </w:divBdr>
          <w:divsChild>
            <w:div w:id="1197964922">
              <w:marLeft w:val="0"/>
              <w:marRight w:val="0"/>
              <w:marTop w:val="0"/>
              <w:marBottom w:val="0"/>
              <w:divBdr>
                <w:top w:val="none" w:sz="0" w:space="0" w:color="auto"/>
                <w:left w:val="none" w:sz="0" w:space="0" w:color="auto"/>
                <w:bottom w:val="none" w:sz="0" w:space="0" w:color="auto"/>
                <w:right w:val="none" w:sz="0" w:space="0" w:color="auto"/>
              </w:divBdr>
              <w:divsChild>
                <w:div w:id="130812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333238">
      <w:bodyDiv w:val="1"/>
      <w:marLeft w:val="0"/>
      <w:marRight w:val="0"/>
      <w:marTop w:val="0"/>
      <w:marBottom w:val="0"/>
      <w:divBdr>
        <w:top w:val="none" w:sz="0" w:space="0" w:color="auto"/>
        <w:left w:val="none" w:sz="0" w:space="0" w:color="auto"/>
        <w:bottom w:val="none" w:sz="0" w:space="0" w:color="auto"/>
        <w:right w:val="none" w:sz="0" w:space="0" w:color="auto"/>
      </w:divBdr>
      <w:divsChild>
        <w:div w:id="2000110895">
          <w:marLeft w:val="0"/>
          <w:marRight w:val="0"/>
          <w:marTop w:val="0"/>
          <w:marBottom w:val="0"/>
          <w:divBdr>
            <w:top w:val="none" w:sz="0" w:space="0" w:color="auto"/>
            <w:left w:val="none" w:sz="0" w:space="0" w:color="auto"/>
            <w:bottom w:val="none" w:sz="0" w:space="0" w:color="auto"/>
            <w:right w:val="none" w:sz="0" w:space="0" w:color="auto"/>
          </w:divBdr>
          <w:divsChild>
            <w:div w:id="2015984845">
              <w:marLeft w:val="0"/>
              <w:marRight w:val="0"/>
              <w:marTop w:val="0"/>
              <w:marBottom w:val="0"/>
              <w:divBdr>
                <w:top w:val="none" w:sz="0" w:space="0" w:color="auto"/>
                <w:left w:val="none" w:sz="0" w:space="0" w:color="auto"/>
                <w:bottom w:val="none" w:sz="0" w:space="0" w:color="auto"/>
                <w:right w:val="none" w:sz="0" w:space="0" w:color="auto"/>
              </w:divBdr>
              <w:divsChild>
                <w:div w:id="1517039162">
                  <w:marLeft w:val="0"/>
                  <w:marRight w:val="0"/>
                  <w:marTop w:val="0"/>
                  <w:marBottom w:val="0"/>
                  <w:divBdr>
                    <w:top w:val="none" w:sz="0" w:space="0" w:color="auto"/>
                    <w:left w:val="none" w:sz="0" w:space="0" w:color="auto"/>
                    <w:bottom w:val="none" w:sz="0" w:space="0" w:color="auto"/>
                    <w:right w:val="none" w:sz="0" w:space="0" w:color="auto"/>
                  </w:divBdr>
                  <w:divsChild>
                    <w:div w:id="21439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428596">
      <w:bodyDiv w:val="1"/>
      <w:marLeft w:val="0"/>
      <w:marRight w:val="0"/>
      <w:marTop w:val="0"/>
      <w:marBottom w:val="0"/>
      <w:divBdr>
        <w:top w:val="none" w:sz="0" w:space="0" w:color="auto"/>
        <w:left w:val="none" w:sz="0" w:space="0" w:color="auto"/>
        <w:bottom w:val="none" w:sz="0" w:space="0" w:color="auto"/>
        <w:right w:val="none" w:sz="0" w:space="0" w:color="auto"/>
      </w:divBdr>
    </w:div>
    <w:div w:id="1356881076">
      <w:bodyDiv w:val="1"/>
      <w:marLeft w:val="0"/>
      <w:marRight w:val="0"/>
      <w:marTop w:val="0"/>
      <w:marBottom w:val="0"/>
      <w:divBdr>
        <w:top w:val="none" w:sz="0" w:space="0" w:color="auto"/>
        <w:left w:val="none" w:sz="0" w:space="0" w:color="auto"/>
        <w:bottom w:val="none" w:sz="0" w:space="0" w:color="auto"/>
        <w:right w:val="none" w:sz="0" w:space="0" w:color="auto"/>
      </w:divBdr>
      <w:divsChild>
        <w:div w:id="1348554699">
          <w:marLeft w:val="0"/>
          <w:marRight w:val="0"/>
          <w:marTop w:val="0"/>
          <w:marBottom w:val="0"/>
          <w:divBdr>
            <w:top w:val="none" w:sz="0" w:space="0" w:color="auto"/>
            <w:left w:val="none" w:sz="0" w:space="0" w:color="auto"/>
            <w:bottom w:val="none" w:sz="0" w:space="0" w:color="auto"/>
            <w:right w:val="none" w:sz="0" w:space="0" w:color="auto"/>
          </w:divBdr>
          <w:divsChild>
            <w:div w:id="1308365844">
              <w:marLeft w:val="0"/>
              <w:marRight w:val="0"/>
              <w:marTop w:val="0"/>
              <w:marBottom w:val="0"/>
              <w:divBdr>
                <w:top w:val="none" w:sz="0" w:space="0" w:color="auto"/>
                <w:left w:val="none" w:sz="0" w:space="0" w:color="auto"/>
                <w:bottom w:val="none" w:sz="0" w:space="0" w:color="auto"/>
                <w:right w:val="none" w:sz="0" w:space="0" w:color="auto"/>
              </w:divBdr>
              <w:divsChild>
                <w:div w:id="760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544292">
      <w:bodyDiv w:val="1"/>
      <w:marLeft w:val="0"/>
      <w:marRight w:val="0"/>
      <w:marTop w:val="0"/>
      <w:marBottom w:val="0"/>
      <w:divBdr>
        <w:top w:val="none" w:sz="0" w:space="0" w:color="auto"/>
        <w:left w:val="none" w:sz="0" w:space="0" w:color="auto"/>
        <w:bottom w:val="none" w:sz="0" w:space="0" w:color="auto"/>
        <w:right w:val="none" w:sz="0" w:space="0" w:color="auto"/>
      </w:divBdr>
    </w:div>
    <w:div w:id="1504588154">
      <w:bodyDiv w:val="1"/>
      <w:marLeft w:val="0"/>
      <w:marRight w:val="0"/>
      <w:marTop w:val="0"/>
      <w:marBottom w:val="0"/>
      <w:divBdr>
        <w:top w:val="none" w:sz="0" w:space="0" w:color="auto"/>
        <w:left w:val="none" w:sz="0" w:space="0" w:color="auto"/>
        <w:bottom w:val="none" w:sz="0" w:space="0" w:color="auto"/>
        <w:right w:val="none" w:sz="0" w:space="0" w:color="auto"/>
      </w:divBdr>
      <w:divsChild>
        <w:div w:id="1482384904">
          <w:marLeft w:val="0"/>
          <w:marRight w:val="0"/>
          <w:marTop w:val="0"/>
          <w:marBottom w:val="0"/>
          <w:divBdr>
            <w:top w:val="none" w:sz="0" w:space="0" w:color="auto"/>
            <w:left w:val="none" w:sz="0" w:space="0" w:color="auto"/>
            <w:bottom w:val="none" w:sz="0" w:space="0" w:color="auto"/>
            <w:right w:val="none" w:sz="0" w:space="0" w:color="auto"/>
          </w:divBdr>
          <w:divsChild>
            <w:div w:id="1444769815">
              <w:marLeft w:val="0"/>
              <w:marRight w:val="0"/>
              <w:marTop w:val="0"/>
              <w:marBottom w:val="0"/>
              <w:divBdr>
                <w:top w:val="none" w:sz="0" w:space="0" w:color="auto"/>
                <w:left w:val="none" w:sz="0" w:space="0" w:color="auto"/>
                <w:bottom w:val="none" w:sz="0" w:space="0" w:color="auto"/>
                <w:right w:val="none" w:sz="0" w:space="0" w:color="auto"/>
              </w:divBdr>
              <w:divsChild>
                <w:div w:id="165205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247820">
      <w:bodyDiv w:val="1"/>
      <w:marLeft w:val="0"/>
      <w:marRight w:val="0"/>
      <w:marTop w:val="0"/>
      <w:marBottom w:val="0"/>
      <w:divBdr>
        <w:top w:val="none" w:sz="0" w:space="0" w:color="auto"/>
        <w:left w:val="none" w:sz="0" w:space="0" w:color="auto"/>
        <w:bottom w:val="none" w:sz="0" w:space="0" w:color="auto"/>
        <w:right w:val="none" w:sz="0" w:space="0" w:color="auto"/>
      </w:divBdr>
      <w:divsChild>
        <w:div w:id="681513904">
          <w:marLeft w:val="0"/>
          <w:marRight w:val="0"/>
          <w:marTop w:val="0"/>
          <w:marBottom w:val="0"/>
          <w:divBdr>
            <w:top w:val="none" w:sz="0" w:space="0" w:color="auto"/>
            <w:left w:val="none" w:sz="0" w:space="0" w:color="auto"/>
            <w:bottom w:val="none" w:sz="0" w:space="0" w:color="auto"/>
            <w:right w:val="none" w:sz="0" w:space="0" w:color="auto"/>
          </w:divBdr>
          <w:divsChild>
            <w:div w:id="378287365">
              <w:marLeft w:val="0"/>
              <w:marRight w:val="0"/>
              <w:marTop w:val="0"/>
              <w:marBottom w:val="0"/>
              <w:divBdr>
                <w:top w:val="none" w:sz="0" w:space="0" w:color="auto"/>
                <w:left w:val="none" w:sz="0" w:space="0" w:color="auto"/>
                <w:bottom w:val="none" w:sz="0" w:space="0" w:color="auto"/>
                <w:right w:val="none" w:sz="0" w:space="0" w:color="auto"/>
              </w:divBdr>
              <w:divsChild>
                <w:div w:id="101071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390294">
      <w:bodyDiv w:val="1"/>
      <w:marLeft w:val="0"/>
      <w:marRight w:val="0"/>
      <w:marTop w:val="0"/>
      <w:marBottom w:val="0"/>
      <w:divBdr>
        <w:top w:val="none" w:sz="0" w:space="0" w:color="auto"/>
        <w:left w:val="none" w:sz="0" w:space="0" w:color="auto"/>
        <w:bottom w:val="none" w:sz="0" w:space="0" w:color="auto"/>
        <w:right w:val="none" w:sz="0" w:space="0" w:color="auto"/>
      </w:divBdr>
    </w:div>
    <w:div w:id="1706560343">
      <w:bodyDiv w:val="1"/>
      <w:marLeft w:val="0"/>
      <w:marRight w:val="0"/>
      <w:marTop w:val="0"/>
      <w:marBottom w:val="0"/>
      <w:divBdr>
        <w:top w:val="none" w:sz="0" w:space="0" w:color="auto"/>
        <w:left w:val="none" w:sz="0" w:space="0" w:color="auto"/>
        <w:bottom w:val="none" w:sz="0" w:space="0" w:color="auto"/>
        <w:right w:val="none" w:sz="0" w:space="0" w:color="auto"/>
      </w:divBdr>
    </w:div>
    <w:div w:id="1747679828">
      <w:bodyDiv w:val="1"/>
      <w:marLeft w:val="0"/>
      <w:marRight w:val="0"/>
      <w:marTop w:val="0"/>
      <w:marBottom w:val="0"/>
      <w:divBdr>
        <w:top w:val="none" w:sz="0" w:space="0" w:color="auto"/>
        <w:left w:val="none" w:sz="0" w:space="0" w:color="auto"/>
        <w:bottom w:val="none" w:sz="0" w:space="0" w:color="auto"/>
        <w:right w:val="none" w:sz="0" w:space="0" w:color="auto"/>
      </w:divBdr>
    </w:div>
    <w:div w:id="1813523934">
      <w:bodyDiv w:val="1"/>
      <w:marLeft w:val="0"/>
      <w:marRight w:val="0"/>
      <w:marTop w:val="0"/>
      <w:marBottom w:val="0"/>
      <w:divBdr>
        <w:top w:val="none" w:sz="0" w:space="0" w:color="auto"/>
        <w:left w:val="none" w:sz="0" w:space="0" w:color="auto"/>
        <w:bottom w:val="none" w:sz="0" w:space="0" w:color="auto"/>
        <w:right w:val="none" w:sz="0" w:space="0" w:color="auto"/>
      </w:divBdr>
      <w:divsChild>
        <w:div w:id="1457523025">
          <w:marLeft w:val="0"/>
          <w:marRight w:val="0"/>
          <w:marTop w:val="0"/>
          <w:marBottom w:val="0"/>
          <w:divBdr>
            <w:top w:val="none" w:sz="0" w:space="0" w:color="auto"/>
            <w:left w:val="none" w:sz="0" w:space="0" w:color="auto"/>
            <w:bottom w:val="none" w:sz="0" w:space="0" w:color="auto"/>
            <w:right w:val="none" w:sz="0" w:space="0" w:color="auto"/>
          </w:divBdr>
          <w:divsChild>
            <w:div w:id="503321977">
              <w:marLeft w:val="0"/>
              <w:marRight w:val="0"/>
              <w:marTop w:val="0"/>
              <w:marBottom w:val="0"/>
              <w:divBdr>
                <w:top w:val="none" w:sz="0" w:space="0" w:color="auto"/>
                <w:left w:val="none" w:sz="0" w:space="0" w:color="auto"/>
                <w:bottom w:val="none" w:sz="0" w:space="0" w:color="auto"/>
                <w:right w:val="none" w:sz="0" w:space="0" w:color="auto"/>
              </w:divBdr>
              <w:divsChild>
                <w:div w:id="27232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570369">
      <w:bodyDiv w:val="1"/>
      <w:marLeft w:val="0"/>
      <w:marRight w:val="0"/>
      <w:marTop w:val="0"/>
      <w:marBottom w:val="0"/>
      <w:divBdr>
        <w:top w:val="none" w:sz="0" w:space="0" w:color="auto"/>
        <w:left w:val="none" w:sz="0" w:space="0" w:color="auto"/>
        <w:bottom w:val="none" w:sz="0" w:space="0" w:color="auto"/>
        <w:right w:val="none" w:sz="0" w:space="0" w:color="auto"/>
      </w:divBdr>
    </w:div>
    <w:div w:id="1877504903">
      <w:bodyDiv w:val="1"/>
      <w:marLeft w:val="0"/>
      <w:marRight w:val="0"/>
      <w:marTop w:val="0"/>
      <w:marBottom w:val="0"/>
      <w:divBdr>
        <w:top w:val="none" w:sz="0" w:space="0" w:color="auto"/>
        <w:left w:val="none" w:sz="0" w:space="0" w:color="auto"/>
        <w:bottom w:val="none" w:sz="0" w:space="0" w:color="auto"/>
        <w:right w:val="none" w:sz="0" w:space="0" w:color="auto"/>
      </w:divBdr>
      <w:divsChild>
        <w:div w:id="996618566">
          <w:marLeft w:val="0"/>
          <w:marRight w:val="0"/>
          <w:marTop w:val="0"/>
          <w:marBottom w:val="0"/>
          <w:divBdr>
            <w:top w:val="none" w:sz="0" w:space="0" w:color="auto"/>
            <w:left w:val="none" w:sz="0" w:space="0" w:color="auto"/>
            <w:bottom w:val="none" w:sz="0" w:space="0" w:color="auto"/>
            <w:right w:val="none" w:sz="0" w:space="0" w:color="auto"/>
          </w:divBdr>
          <w:divsChild>
            <w:div w:id="798843866">
              <w:marLeft w:val="0"/>
              <w:marRight w:val="0"/>
              <w:marTop w:val="0"/>
              <w:marBottom w:val="0"/>
              <w:divBdr>
                <w:top w:val="none" w:sz="0" w:space="0" w:color="auto"/>
                <w:left w:val="none" w:sz="0" w:space="0" w:color="auto"/>
                <w:bottom w:val="none" w:sz="0" w:space="0" w:color="auto"/>
                <w:right w:val="none" w:sz="0" w:space="0" w:color="auto"/>
              </w:divBdr>
              <w:divsChild>
                <w:div w:id="173160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793183">
      <w:bodyDiv w:val="1"/>
      <w:marLeft w:val="0"/>
      <w:marRight w:val="0"/>
      <w:marTop w:val="0"/>
      <w:marBottom w:val="0"/>
      <w:divBdr>
        <w:top w:val="none" w:sz="0" w:space="0" w:color="auto"/>
        <w:left w:val="none" w:sz="0" w:space="0" w:color="auto"/>
        <w:bottom w:val="none" w:sz="0" w:space="0" w:color="auto"/>
        <w:right w:val="none" w:sz="0" w:space="0" w:color="auto"/>
      </w:divBdr>
      <w:divsChild>
        <w:div w:id="1730415306">
          <w:marLeft w:val="0"/>
          <w:marRight w:val="0"/>
          <w:marTop w:val="0"/>
          <w:marBottom w:val="0"/>
          <w:divBdr>
            <w:top w:val="none" w:sz="0" w:space="0" w:color="auto"/>
            <w:left w:val="none" w:sz="0" w:space="0" w:color="auto"/>
            <w:bottom w:val="none" w:sz="0" w:space="0" w:color="auto"/>
            <w:right w:val="none" w:sz="0" w:space="0" w:color="auto"/>
          </w:divBdr>
          <w:divsChild>
            <w:div w:id="657922132">
              <w:marLeft w:val="0"/>
              <w:marRight w:val="0"/>
              <w:marTop w:val="0"/>
              <w:marBottom w:val="0"/>
              <w:divBdr>
                <w:top w:val="none" w:sz="0" w:space="0" w:color="auto"/>
                <w:left w:val="none" w:sz="0" w:space="0" w:color="auto"/>
                <w:bottom w:val="none" w:sz="0" w:space="0" w:color="auto"/>
                <w:right w:val="none" w:sz="0" w:space="0" w:color="auto"/>
              </w:divBdr>
              <w:divsChild>
                <w:div w:id="76881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838101">
      <w:bodyDiv w:val="1"/>
      <w:marLeft w:val="0"/>
      <w:marRight w:val="0"/>
      <w:marTop w:val="0"/>
      <w:marBottom w:val="0"/>
      <w:divBdr>
        <w:top w:val="none" w:sz="0" w:space="0" w:color="auto"/>
        <w:left w:val="none" w:sz="0" w:space="0" w:color="auto"/>
        <w:bottom w:val="none" w:sz="0" w:space="0" w:color="auto"/>
        <w:right w:val="none" w:sz="0" w:space="0" w:color="auto"/>
      </w:divBdr>
    </w:div>
    <w:div w:id="2116289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ramsar.org/fr/ressources/outils-de-gestion-des-sites-rams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7BC76-F3F8-44FF-8BB1-43A25BF05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6334</Words>
  <Characters>35599</Characters>
  <Application>Microsoft Office Word</Application>
  <DocSecurity>0</DocSecurity>
  <Lines>574</Lines>
  <Paragraphs>95</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41838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Ramsar\GuerquinF</dc:creator>
  <cp:lastModifiedBy>Ramsar\JenningsE</cp:lastModifiedBy>
  <cp:revision>3</cp:revision>
  <cp:lastPrinted>2018-03-01T14:13:00Z</cp:lastPrinted>
  <dcterms:created xsi:type="dcterms:W3CDTF">2018-03-05T14:17:00Z</dcterms:created>
  <dcterms:modified xsi:type="dcterms:W3CDTF">2018-04-09T12:07:00Z</dcterms:modified>
</cp:coreProperties>
</file>