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A6423" w14:textId="77777777" w:rsidR="009C3ECB" w:rsidRPr="00A2129F" w:rsidRDefault="009C3ECB" w:rsidP="009C3ECB">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es-ES_tradnl"/>
        </w:rPr>
      </w:pPr>
      <w:bookmarkStart w:id="0" w:name="OLE_LINK1"/>
      <w:r w:rsidRPr="00A2129F">
        <w:rPr>
          <w:rFonts w:asciiTheme="minorHAnsi" w:hAnsiTheme="minorHAnsi" w:cstheme="minorHAnsi"/>
          <w:bCs/>
          <w:szCs w:val="20"/>
          <w:lang w:val="es-ES_tradnl"/>
        </w:rPr>
        <w:t>CONVENCIÓN SOBRE LOS HUMEDALES (Ramsar, Irán, 1971)</w:t>
      </w:r>
    </w:p>
    <w:p w14:paraId="5BA09191" w14:textId="77777777" w:rsidR="009C3ECB" w:rsidRPr="00A2129F" w:rsidRDefault="009C3ECB" w:rsidP="009C3ECB">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es-ES_tradnl"/>
        </w:rPr>
      </w:pPr>
      <w:r w:rsidRPr="00A2129F">
        <w:rPr>
          <w:rFonts w:asciiTheme="minorHAnsi" w:hAnsiTheme="minorHAnsi" w:cstheme="minorHAnsi"/>
          <w:bCs/>
          <w:szCs w:val="20"/>
          <w:lang w:val="es-ES_tradnl"/>
        </w:rPr>
        <w:t>53ª Reunión del Comité Permanente</w:t>
      </w:r>
    </w:p>
    <w:p w14:paraId="39FD5572" w14:textId="77777777" w:rsidR="009C3ECB" w:rsidRPr="00A2129F" w:rsidRDefault="009C3ECB" w:rsidP="009C3ECB">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es-ES_tradnl"/>
        </w:rPr>
      </w:pPr>
      <w:r w:rsidRPr="00A2129F">
        <w:rPr>
          <w:rFonts w:asciiTheme="minorHAnsi" w:hAnsiTheme="minorHAnsi" w:cstheme="minorHAnsi"/>
          <w:bCs/>
          <w:szCs w:val="20"/>
          <w:lang w:val="es-ES_tradnl"/>
        </w:rPr>
        <w:t>Gland, Suiza, 29 de mayo a 2 de junio de 2017</w:t>
      </w:r>
    </w:p>
    <w:p w14:paraId="722B6B1E" w14:textId="77777777" w:rsidR="000B26D3" w:rsidRPr="00A2129F" w:rsidRDefault="000B26D3" w:rsidP="000B26D3">
      <w:pPr>
        <w:keepNext/>
        <w:suppressAutoHyphens/>
        <w:outlineLvl w:val="0"/>
        <w:rPr>
          <w:rFonts w:ascii="Calibri" w:hAnsi="Calibri"/>
          <w:b/>
          <w:sz w:val="28"/>
          <w:szCs w:val="28"/>
          <w:lang w:val="es-ES_tradnl"/>
        </w:rPr>
      </w:pPr>
    </w:p>
    <w:p w14:paraId="06B943CE" w14:textId="77777777" w:rsidR="000B26D3" w:rsidRPr="00A2129F" w:rsidRDefault="000B26D3" w:rsidP="000B26D3">
      <w:pPr>
        <w:keepNext/>
        <w:suppressAutoHyphens/>
        <w:jc w:val="right"/>
        <w:outlineLvl w:val="0"/>
        <w:rPr>
          <w:rFonts w:ascii="Calibri" w:hAnsi="Calibri"/>
          <w:b/>
          <w:sz w:val="28"/>
          <w:szCs w:val="28"/>
          <w:lang w:val="es-ES_tradnl"/>
        </w:rPr>
      </w:pPr>
      <w:r w:rsidRPr="00A2129F">
        <w:rPr>
          <w:rFonts w:ascii="Calibri" w:hAnsi="Calibri"/>
          <w:b/>
          <w:sz w:val="28"/>
          <w:szCs w:val="28"/>
          <w:lang w:val="es-ES_tradnl"/>
        </w:rPr>
        <w:t>SC</w:t>
      </w:r>
      <w:r w:rsidR="00BF2CA4" w:rsidRPr="00A2129F">
        <w:rPr>
          <w:rFonts w:ascii="Calibri" w:hAnsi="Calibri"/>
          <w:b/>
          <w:sz w:val="28"/>
          <w:szCs w:val="28"/>
          <w:lang w:val="es-ES_tradnl"/>
        </w:rPr>
        <w:t>5</w:t>
      </w:r>
      <w:r w:rsidR="005349D8" w:rsidRPr="00A2129F">
        <w:rPr>
          <w:rFonts w:ascii="Calibri" w:hAnsi="Calibri"/>
          <w:b/>
          <w:sz w:val="28"/>
          <w:szCs w:val="28"/>
          <w:lang w:val="es-ES_tradnl"/>
        </w:rPr>
        <w:t>3</w:t>
      </w:r>
      <w:r w:rsidRPr="00A2129F">
        <w:rPr>
          <w:rFonts w:ascii="Calibri" w:hAnsi="Calibri"/>
          <w:b/>
          <w:sz w:val="28"/>
          <w:szCs w:val="28"/>
          <w:lang w:val="es-ES_tradnl"/>
        </w:rPr>
        <w:t>-</w:t>
      </w:r>
      <w:r w:rsidR="00DE567C" w:rsidRPr="00A2129F">
        <w:rPr>
          <w:rFonts w:ascii="Calibri" w:hAnsi="Calibri"/>
          <w:b/>
          <w:sz w:val="28"/>
          <w:szCs w:val="28"/>
          <w:lang w:val="es-ES_tradnl"/>
        </w:rPr>
        <w:t>21</w:t>
      </w:r>
    </w:p>
    <w:bookmarkEnd w:id="0"/>
    <w:p w14:paraId="0C6AEA84" w14:textId="77777777" w:rsidR="000B26D3" w:rsidRPr="00A2129F" w:rsidRDefault="000B26D3" w:rsidP="000B26D3">
      <w:pPr>
        <w:keepNext/>
        <w:suppressAutoHyphens/>
        <w:jc w:val="right"/>
        <w:outlineLvl w:val="0"/>
        <w:rPr>
          <w:rFonts w:ascii="Calibri" w:hAnsi="Calibri" w:cs="Calibri"/>
          <w:b/>
          <w:sz w:val="28"/>
          <w:szCs w:val="28"/>
          <w:lang w:val="es-ES_tradnl"/>
        </w:rPr>
      </w:pPr>
    </w:p>
    <w:p w14:paraId="7CB371A9" w14:textId="68410B71" w:rsidR="000B26D3" w:rsidRPr="00A2129F" w:rsidRDefault="00AD5DD1" w:rsidP="00684539">
      <w:pPr>
        <w:jc w:val="center"/>
        <w:rPr>
          <w:rFonts w:ascii="Calibri" w:hAnsi="Calibri" w:cs="Calibri"/>
          <w:b/>
          <w:sz w:val="28"/>
          <w:szCs w:val="28"/>
          <w:lang w:val="es-ES_tradnl"/>
        </w:rPr>
      </w:pPr>
      <w:r w:rsidRPr="00A2129F">
        <w:rPr>
          <w:rFonts w:ascii="Calibri" w:hAnsi="Calibri" w:cs="Calibri"/>
          <w:b/>
          <w:sz w:val="28"/>
          <w:szCs w:val="28"/>
          <w:lang w:val="es-ES_tradnl"/>
        </w:rPr>
        <w:t xml:space="preserve"> </w:t>
      </w:r>
      <w:r w:rsidR="001849B9">
        <w:rPr>
          <w:rFonts w:ascii="Calibri" w:hAnsi="Calibri" w:cs="Calibri"/>
          <w:b/>
          <w:sz w:val="28"/>
          <w:szCs w:val="28"/>
          <w:lang w:val="es-ES_tradnl"/>
        </w:rPr>
        <w:t xml:space="preserve">Actualización </w:t>
      </w:r>
      <w:r w:rsidR="00A2129F" w:rsidRPr="00A2129F">
        <w:rPr>
          <w:rFonts w:ascii="Calibri" w:hAnsi="Calibri" w:cs="Calibri"/>
          <w:b/>
          <w:sz w:val="28"/>
          <w:szCs w:val="28"/>
          <w:lang w:val="es-ES_tradnl"/>
        </w:rPr>
        <w:t>sobre</w:t>
      </w:r>
      <w:r w:rsidRPr="00A2129F">
        <w:rPr>
          <w:rFonts w:ascii="Calibri" w:hAnsi="Calibri" w:cs="Calibri"/>
          <w:b/>
          <w:sz w:val="28"/>
          <w:szCs w:val="28"/>
          <w:lang w:val="es-ES_tradnl"/>
        </w:rPr>
        <w:t xml:space="preserve"> las </w:t>
      </w:r>
      <w:r w:rsidR="009C3ECB" w:rsidRPr="00A2129F">
        <w:rPr>
          <w:rFonts w:ascii="Calibri" w:hAnsi="Calibri" w:cs="Calibri"/>
          <w:b/>
          <w:sz w:val="28"/>
          <w:szCs w:val="28"/>
          <w:lang w:val="es-ES_tradnl"/>
        </w:rPr>
        <w:t>contribuciones anuales pendientes</w:t>
      </w:r>
      <w:r w:rsidR="001849B9">
        <w:rPr>
          <w:rFonts w:ascii="Calibri" w:hAnsi="Calibri" w:cs="Calibri"/>
          <w:b/>
          <w:sz w:val="28"/>
          <w:szCs w:val="28"/>
          <w:lang w:val="es-ES_tradnl"/>
        </w:rPr>
        <w:t xml:space="preserve"> de pago</w:t>
      </w:r>
    </w:p>
    <w:p w14:paraId="0B1C6AF1" w14:textId="77777777" w:rsidR="000B26D3" w:rsidRPr="00A2129F" w:rsidRDefault="000B26D3" w:rsidP="000B26D3">
      <w:pPr>
        <w:autoSpaceDE w:val="0"/>
        <w:autoSpaceDN w:val="0"/>
        <w:adjustRightInd w:val="0"/>
        <w:rPr>
          <w:rFonts w:ascii="Calibri" w:hAnsi="Calibri" w:cs="Calibri"/>
          <w:sz w:val="28"/>
          <w:szCs w:val="28"/>
          <w:lang w:val="es-ES_tradnl"/>
        </w:rPr>
      </w:pPr>
    </w:p>
    <w:p w14:paraId="5C3F4D7B" w14:textId="77777777" w:rsidR="000B26D3" w:rsidRPr="00A2129F" w:rsidRDefault="00746E33" w:rsidP="000B26D3">
      <w:pPr>
        <w:autoSpaceDE w:val="0"/>
        <w:autoSpaceDN w:val="0"/>
        <w:adjustRightInd w:val="0"/>
        <w:rPr>
          <w:rFonts w:ascii="Calibri" w:hAnsi="Calibri" w:cs="Calibri"/>
          <w:sz w:val="20"/>
          <w:szCs w:val="20"/>
          <w:lang w:val="es-ES_tradnl"/>
        </w:rPr>
      </w:pPr>
      <w:r w:rsidRPr="00A2129F">
        <w:rPr>
          <w:noProof/>
          <w:szCs w:val="20"/>
          <w:lang w:val="en-GB" w:eastAsia="en-GB"/>
        </w:rPr>
        <mc:AlternateContent>
          <mc:Choice Requires="wps">
            <w:drawing>
              <wp:inline distT="0" distB="0" distL="0" distR="0" wp14:anchorId="338F70FC" wp14:editId="20ACE94A">
                <wp:extent cx="5842635" cy="7064759"/>
                <wp:effectExtent l="0" t="0" r="24765" b="22225"/>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7064759"/>
                        </a:xfrm>
                        <a:prstGeom prst="rect">
                          <a:avLst/>
                        </a:prstGeom>
                        <a:solidFill>
                          <a:srgbClr val="FFFFFF"/>
                        </a:solidFill>
                        <a:ln w="9525">
                          <a:solidFill>
                            <a:srgbClr val="000000"/>
                          </a:solidFill>
                          <a:miter lim="800000"/>
                          <a:headEnd/>
                          <a:tailEnd/>
                        </a:ln>
                      </wps:spPr>
                      <wps:txbx>
                        <w:txbxContent>
                          <w:p w14:paraId="7947EB8E" w14:textId="0ED8516C" w:rsidR="006B0A3E" w:rsidRPr="005F6933" w:rsidRDefault="006B0A3E" w:rsidP="000B26D3">
                            <w:pPr>
                              <w:rPr>
                                <w:rFonts w:ascii="Calibri" w:hAnsi="Calibri"/>
                                <w:b/>
                                <w:bCs/>
                                <w:sz w:val="22"/>
                                <w:szCs w:val="22"/>
                                <w:lang w:val="es-ES_tradnl"/>
                              </w:rPr>
                            </w:pPr>
                            <w:r w:rsidRPr="005F6933">
                              <w:rPr>
                                <w:rFonts w:ascii="Calibri" w:hAnsi="Calibri"/>
                                <w:b/>
                                <w:bCs/>
                                <w:sz w:val="22"/>
                                <w:szCs w:val="22"/>
                                <w:lang w:val="es-ES_tradnl"/>
                              </w:rPr>
                              <w:t xml:space="preserve">Acciones solicitadas: </w:t>
                            </w:r>
                          </w:p>
                          <w:p w14:paraId="57249C5F" w14:textId="77777777" w:rsidR="006B0A3E" w:rsidRPr="005F6933" w:rsidRDefault="006B0A3E" w:rsidP="00B7463C">
                            <w:pPr>
                              <w:rPr>
                                <w:rFonts w:ascii="Calibri" w:hAnsi="Calibri"/>
                                <w:b/>
                                <w:bCs/>
                                <w:sz w:val="22"/>
                                <w:szCs w:val="22"/>
                                <w:lang w:val="es-ES_tradnl"/>
                              </w:rPr>
                            </w:pPr>
                          </w:p>
                          <w:p w14:paraId="328FD708" w14:textId="758FF99B" w:rsidR="006B0A3E" w:rsidRPr="005F6933" w:rsidRDefault="006B0A3E" w:rsidP="00B7463C">
                            <w:pPr>
                              <w:pStyle w:val="ColorfulList-Accent11"/>
                              <w:spacing w:after="0" w:line="240" w:lineRule="auto"/>
                              <w:ind w:left="0"/>
                              <w:rPr>
                                <w:rFonts w:cs="Calibri"/>
                                <w:lang w:val="es-ES_tradnl"/>
                              </w:rPr>
                            </w:pPr>
                            <w:r w:rsidRPr="005F6933">
                              <w:rPr>
                                <w:lang w:val="es-ES_tradnl"/>
                              </w:rPr>
                              <w:t>Se invita al Comité Permanente a hacer lo siguiente</w:t>
                            </w:r>
                            <w:r w:rsidRPr="005F6933">
                              <w:rPr>
                                <w:rFonts w:cs="Calibri"/>
                                <w:lang w:val="es-ES_tradnl"/>
                              </w:rPr>
                              <w:t>:</w:t>
                            </w:r>
                          </w:p>
                          <w:p w14:paraId="533924AC" w14:textId="77777777" w:rsidR="006B0A3E" w:rsidRPr="005F6933" w:rsidRDefault="006B0A3E" w:rsidP="00B7463C">
                            <w:pPr>
                              <w:pStyle w:val="ColorfulList-Accent11"/>
                              <w:spacing w:after="0" w:line="240" w:lineRule="auto"/>
                              <w:ind w:left="0"/>
                              <w:rPr>
                                <w:rFonts w:cs="Calibri"/>
                                <w:lang w:val="es-ES_tradnl"/>
                              </w:rPr>
                            </w:pPr>
                          </w:p>
                          <w:p w14:paraId="1946CF53" w14:textId="7BF35AB8" w:rsidR="006B0A3E" w:rsidRPr="001B54E6" w:rsidRDefault="006B0A3E" w:rsidP="00B7463C">
                            <w:pPr>
                              <w:pStyle w:val="ColorfulList-Accent11"/>
                              <w:numPr>
                                <w:ilvl w:val="0"/>
                                <w:numId w:val="9"/>
                              </w:numPr>
                              <w:spacing w:after="0" w:line="240" w:lineRule="auto"/>
                              <w:ind w:left="850" w:hanging="425"/>
                              <w:rPr>
                                <w:lang w:val="es-ES_tradnl"/>
                              </w:rPr>
                            </w:pPr>
                            <w:r w:rsidRPr="001B54E6">
                              <w:rPr>
                                <w:rFonts w:cs="Calibri"/>
                                <w:lang w:val="es-ES_tradnl"/>
                              </w:rPr>
                              <w:t xml:space="preserve">Tomar nota de la mejor situación </w:t>
                            </w:r>
                            <w:r>
                              <w:rPr>
                                <w:rFonts w:cs="Calibri"/>
                                <w:lang w:val="es-ES_tradnl"/>
                              </w:rPr>
                              <w:t xml:space="preserve">en lo referente al </w:t>
                            </w:r>
                            <w:r w:rsidRPr="001B54E6">
                              <w:rPr>
                                <w:rFonts w:cs="Calibri"/>
                                <w:lang w:val="es-ES_tradnl"/>
                              </w:rPr>
                              <w:t xml:space="preserve">pago de las contribuciones anuales </w:t>
                            </w:r>
                            <w:r>
                              <w:rPr>
                                <w:rFonts w:cs="Calibri"/>
                                <w:lang w:val="es-ES_tradnl"/>
                              </w:rPr>
                              <w:t>atrasadas</w:t>
                            </w:r>
                            <w:r w:rsidRPr="001B54E6">
                              <w:rPr>
                                <w:rFonts w:cs="Calibri"/>
                                <w:lang w:val="es-ES_tradnl"/>
                              </w:rPr>
                              <w:t xml:space="preserve"> de las Partes Contratantes; </w:t>
                            </w:r>
                          </w:p>
                          <w:p w14:paraId="2BCCF753" w14:textId="77777777" w:rsidR="006B0A3E" w:rsidRPr="00B7463C" w:rsidRDefault="006B0A3E" w:rsidP="00B7463C">
                            <w:pPr>
                              <w:pStyle w:val="ColorfulList-Accent11"/>
                              <w:spacing w:after="0" w:line="240" w:lineRule="auto"/>
                              <w:ind w:left="360"/>
                              <w:rPr>
                                <w:lang w:val="es-ES_tradnl"/>
                              </w:rPr>
                            </w:pPr>
                          </w:p>
                          <w:p w14:paraId="4C8C6204" w14:textId="1455BB1D" w:rsidR="006B0A3E" w:rsidRPr="005F6933" w:rsidRDefault="006B0A3E" w:rsidP="00B7463C">
                            <w:pPr>
                              <w:pStyle w:val="ColorfulList-Accent11"/>
                              <w:numPr>
                                <w:ilvl w:val="0"/>
                                <w:numId w:val="9"/>
                              </w:numPr>
                              <w:spacing w:after="0" w:line="240" w:lineRule="auto"/>
                              <w:ind w:left="850" w:hanging="425"/>
                              <w:rPr>
                                <w:lang w:val="es-ES_tradnl"/>
                              </w:rPr>
                            </w:pPr>
                            <w:r w:rsidRPr="005F6933">
                              <w:rPr>
                                <w:rFonts w:cs="Calibri"/>
                                <w:lang w:val="es-ES_tradnl"/>
                              </w:rPr>
                              <w:t xml:space="preserve">Tomar nota de las siguientes acciones de la Secretaría previstas para 2017 para seguir fomentado el pago de las contribuciones pendientes: </w:t>
                            </w:r>
                          </w:p>
                          <w:p w14:paraId="40991C81" w14:textId="54422B49" w:rsidR="006B0A3E" w:rsidRPr="005F6933" w:rsidRDefault="006B0A3E" w:rsidP="00B7463C">
                            <w:pPr>
                              <w:pStyle w:val="ColorfulList-Accent11"/>
                              <w:numPr>
                                <w:ilvl w:val="1"/>
                                <w:numId w:val="9"/>
                              </w:numPr>
                              <w:spacing w:after="0" w:line="240" w:lineRule="auto"/>
                              <w:ind w:left="1276" w:hanging="425"/>
                              <w:rPr>
                                <w:lang w:val="es-ES_tradnl"/>
                              </w:rPr>
                            </w:pPr>
                            <w:r w:rsidRPr="005F6933">
                              <w:rPr>
                                <w:lang w:val="es-ES_tradnl"/>
                              </w:rPr>
                              <w:t xml:space="preserve">Centrarse en aquellas Partes con más de tres contribuciones anuales pendientes de pago; </w:t>
                            </w:r>
                          </w:p>
                          <w:p w14:paraId="4CE74DAA" w14:textId="77E6B038" w:rsidR="006B0A3E" w:rsidRPr="005F6933" w:rsidRDefault="006B0A3E" w:rsidP="00B7463C">
                            <w:pPr>
                              <w:pStyle w:val="ColorfulList-Accent11"/>
                              <w:numPr>
                                <w:ilvl w:val="1"/>
                                <w:numId w:val="9"/>
                              </w:numPr>
                              <w:spacing w:after="0" w:line="240" w:lineRule="auto"/>
                              <w:ind w:left="1276" w:hanging="425"/>
                              <w:rPr>
                                <w:lang w:val="es-ES_tradnl"/>
                              </w:rPr>
                            </w:pPr>
                            <w:r w:rsidRPr="005F6933">
                              <w:rPr>
                                <w:lang w:val="es-ES_tradnl"/>
                              </w:rPr>
                              <w:t>Prestar</w:t>
                            </w:r>
                            <w:r>
                              <w:rPr>
                                <w:lang w:val="es-ES_tradnl"/>
                              </w:rPr>
                              <w:t xml:space="preserve"> una</w:t>
                            </w:r>
                            <w:r w:rsidRPr="005F6933">
                              <w:rPr>
                                <w:lang w:val="es-ES_tradnl"/>
                              </w:rPr>
                              <w:t xml:space="preserve"> atención especial a aquellas Partes</w:t>
                            </w:r>
                            <w:r>
                              <w:rPr>
                                <w:lang w:val="es-ES_tradnl"/>
                              </w:rPr>
                              <w:t xml:space="preserve"> que desde su adhesión nunca hayan</w:t>
                            </w:r>
                            <w:r w:rsidRPr="005F6933">
                              <w:rPr>
                                <w:lang w:val="es-ES_tradnl"/>
                              </w:rPr>
                              <w:t xml:space="preserve"> pagado sus contribuciones y aquellas que tengan atrasos acumulados más antiguos </w:t>
                            </w:r>
                            <w:r>
                              <w:rPr>
                                <w:lang w:val="es-ES_tradnl"/>
                              </w:rPr>
                              <w:t>que sumen</w:t>
                            </w:r>
                            <w:r w:rsidRPr="005F6933">
                              <w:rPr>
                                <w:lang w:val="es-ES_tradnl"/>
                              </w:rPr>
                              <w:t xml:space="preserve"> más de 50.000 francos suizos; </w:t>
                            </w:r>
                          </w:p>
                          <w:p w14:paraId="609B5390" w14:textId="1921A181" w:rsidR="006B0A3E" w:rsidRPr="005F6933" w:rsidRDefault="006B0A3E" w:rsidP="00B7463C">
                            <w:pPr>
                              <w:pStyle w:val="ColorfulList-Accent11"/>
                              <w:numPr>
                                <w:ilvl w:val="1"/>
                                <w:numId w:val="9"/>
                              </w:numPr>
                              <w:spacing w:after="0" w:line="240" w:lineRule="auto"/>
                              <w:ind w:left="1276" w:hanging="425"/>
                              <w:rPr>
                                <w:lang w:val="es-ES_tradnl"/>
                              </w:rPr>
                            </w:pPr>
                            <w:r w:rsidRPr="005F6933">
                              <w:rPr>
                                <w:lang w:val="es-ES_tradnl"/>
                              </w:rPr>
                              <w:t>Seguir trabajando con los Asesores Regionales Superiores de la Secretaría en esta tarea;</w:t>
                            </w:r>
                          </w:p>
                          <w:p w14:paraId="41E1AF3A" w14:textId="05943957" w:rsidR="006B0A3E" w:rsidRPr="005F6933" w:rsidRDefault="006B0A3E" w:rsidP="00B7463C">
                            <w:pPr>
                              <w:pStyle w:val="ColorfulList-Accent11"/>
                              <w:numPr>
                                <w:ilvl w:val="1"/>
                                <w:numId w:val="9"/>
                              </w:numPr>
                              <w:spacing w:after="0" w:line="240" w:lineRule="auto"/>
                              <w:ind w:left="1276" w:hanging="425"/>
                              <w:rPr>
                                <w:lang w:val="es-ES_tradnl"/>
                              </w:rPr>
                            </w:pPr>
                            <w:r w:rsidRPr="005F6933">
                              <w:rPr>
                                <w:lang w:val="es-ES_tradnl"/>
                              </w:rPr>
                              <w:t>Informar de los progresos logrados en el pago de las contribuciones atrasadas durante la 54ª reunión del Comité Permanente;</w:t>
                            </w:r>
                          </w:p>
                          <w:p w14:paraId="0A0C1DD7" w14:textId="77777777" w:rsidR="006B0A3E" w:rsidRPr="005F6933" w:rsidRDefault="006B0A3E" w:rsidP="00B7463C">
                            <w:pPr>
                              <w:pStyle w:val="ColorfulList-Accent11"/>
                              <w:spacing w:after="0" w:line="240" w:lineRule="auto"/>
                              <w:ind w:left="0"/>
                              <w:rPr>
                                <w:lang w:val="es-ES_tradnl"/>
                              </w:rPr>
                            </w:pPr>
                          </w:p>
                          <w:p w14:paraId="0DE16573" w14:textId="4A2AB4F9" w:rsidR="006B0A3E" w:rsidRPr="005F6933" w:rsidRDefault="006B0A3E" w:rsidP="00B7463C">
                            <w:pPr>
                              <w:pStyle w:val="ColorfulList-Accent11"/>
                              <w:numPr>
                                <w:ilvl w:val="0"/>
                                <w:numId w:val="9"/>
                              </w:numPr>
                              <w:spacing w:after="0" w:line="240" w:lineRule="auto"/>
                              <w:ind w:left="850" w:hanging="425"/>
                              <w:rPr>
                                <w:lang w:val="es-ES_tradnl"/>
                              </w:rPr>
                            </w:pPr>
                            <w:r w:rsidRPr="005F6933">
                              <w:rPr>
                                <w:lang w:val="es-ES_tradnl"/>
                              </w:rPr>
                              <w:t>Considerar medidas adicionales para</w:t>
                            </w:r>
                            <w:r>
                              <w:rPr>
                                <w:lang w:val="es-ES_tradnl"/>
                              </w:rPr>
                              <w:t xml:space="preserve"> estar en mayor consonancia con las prácticas de otras convenciones tales como </w:t>
                            </w:r>
                            <w:r>
                              <w:rPr>
                                <w:rFonts w:cs="Calibri"/>
                                <w:color w:val="000000"/>
                                <w:lang w:val="es-ES_tradnl"/>
                              </w:rPr>
                              <w:t xml:space="preserve">la inclusión de una página en el sitio web de Ramsar en la que se publiquen listas mensuales actualizadas de las contribuciones impagadas por las </w:t>
                            </w:r>
                            <w:r w:rsidRPr="00A2129F">
                              <w:rPr>
                                <w:rFonts w:cs="Calibri"/>
                                <w:color w:val="000000"/>
                                <w:lang w:val="es-ES_tradnl"/>
                              </w:rPr>
                              <w:t>Parte</w:t>
                            </w:r>
                            <w:r>
                              <w:rPr>
                                <w:rFonts w:cs="Calibri"/>
                                <w:color w:val="000000"/>
                                <w:lang w:val="es-ES_tradnl"/>
                              </w:rPr>
                              <w:t>s</w:t>
                            </w:r>
                            <w:r w:rsidRPr="00A2129F">
                              <w:rPr>
                                <w:rFonts w:cs="Calibri"/>
                                <w:color w:val="000000"/>
                                <w:lang w:val="es-ES_tradnl"/>
                              </w:rPr>
                              <w:t xml:space="preserve"> Contratante</w:t>
                            </w:r>
                            <w:r>
                              <w:rPr>
                                <w:rFonts w:cs="Calibri"/>
                                <w:color w:val="000000"/>
                                <w:lang w:val="es-ES_tradnl"/>
                              </w:rPr>
                              <w:t xml:space="preserve">s; </w:t>
                            </w:r>
                          </w:p>
                          <w:p w14:paraId="1AFDA3ED" w14:textId="77777777" w:rsidR="006B0A3E" w:rsidRPr="005F6933" w:rsidRDefault="006B0A3E" w:rsidP="00B7463C">
                            <w:pPr>
                              <w:pStyle w:val="ColorfulList-Accent11"/>
                              <w:spacing w:after="0" w:line="240" w:lineRule="auto"/>
                              <w:ind w:left="850"/>
                              <w:rPr>
                                <w:lang w:val="es-ES_tradnl"/>
                              </w:rPr>
                            </w:pPr>
                          </w:p>
                          <w:p w14:paraId="0F8688F4" w14:textId="47D0AC03" w:rsidR="006B0A3E" w:rsidRPr="005F6933" w:rsidRDefault="006B0A3E" w:rsidP="00B7463C">
                            <w:pPr>
                              <w:pStyle w:val="ColorfulList-Accent11"/>
                              <w:numPr>
                                <w:ilvl w:val="0"/>
                                <w:numId w:val="9"/>
                              </w:numPr>
                              <w:spacing w:after="0" w:line="240" w:lineRule="auto"/>
                              <w:ind w:left="850" w:hanging="425"/>
                              <w:rPr>
                                <w:lang w:val="es-ES_tradnl"/>
                              </w:rPr>
                            </w:pPr>
                            <w:r w:rsidRPr="005F6933">
                              <w:rPr>
                                <w:lang w:val="es-ES_tradnl"/>
                              </w:rPr>
                              <w:t>Ap</w:t>
                            </w:r>
                            <w:r>
                              <w:rPr>
                                <w:lang w:val="es-ES_tradnl"/>
                              </w:rPr>
                              <w:t xml:space="preserve">robar la modificación de los porcentajes y el cálculo de la provisión anual para las contribuciones a recibir de las </w:t>
                            </w:r>
                            <w:r w:rsidRPr="005F6933">
                              <w:rPr>
                                <w:lang w:val="es-ES_tradnl"/>
                              </w:rPr>
                              <w:t>Partes Contratantes</w:t>
                            </w:r>
                            <w:r>
                              <w:rPr>
                                <w:lang w:val="es-ES_tradnl"/>
                              </w:rPr>
                              <w:t>, siguiendo la práctica de otras convenciones</w:t>
                            </w:r>
                            <w:r w:rsidRPr="005F6933">
                              <w:rPr>
                                <w:lang w:val="es-ES_tradnl"/>
                              </w:rPr>
                              <w:t>;</w:t>
                            </w:r>
                          </w:p>
                          <w:p w14:paraId="3740A18D" w14:textId="77777777" w:rsidR="006B0A3E" w:rsidRPr="005F6933" w:rsidRDefault="006B0A3E" w:rsidP="00B7463C">
                            <w:pPr>
                              <w:pStyle w:val="ColorfulList-Accent11"/>
                              <w:spacing w:after="0" w:line="240" w:lineRule="auto"/>
                              <w:ind w:left="1440"/>
                              <w:rPr>
                                <w:lang w:val="es-ES_tradnl"/>
                              </w:rPr>
                            </w:pPr>
                          </w:p>
                          <w:p w14:paraId="45827ECE" w14:textId="74382B30" w:rsidR="006B0A3E" w:rsidRPr="005F6933" w:rsidRDefault="006B0A3E" w:rsidP="00B7463C">
                            <w:pPr>
                              <w:pStyle w:val="ColorfulList-Accent11"/>
                              <w:numPr>
                                <w:ilvl w:val="0"/>
                                <w:numId w:val="9"/>
                              </w:numPr>
                              <w:spacing w:after="0" w:line="240" w:lineRule="auto"/>
                              <w:ind w:left="850" w:hanging="425"/>
                              <w:rPr>
                                <w:lang w:val="es-ES_tradnl"/>
                              </w:rPr>
                            </w:pPr>
                            <w:r>
                              <w:rPr>
                                <w:rFonts w:cs="Calibri"/>
                                <w:lang w:val="es-ES_tradnl"/>
                              </w:rPr>
                              <w:t xml:space="preserve">Tomar nota de que, habida cuenta de la situación financiera actual del fondo básico de la Secretaría, no será necesario un presupuesto de austeridad para 2018, por lo que el Equipo Ejecutivo acordó, con fecha del 23 de febrero de 2017, mantener el presupuesto para 2018 que fue aprobado durante la 12ª reunión de la COP; </w:t>
                            </w:r>
                          </w:p>
                          <w:p w14:paraId="3A4783D8" w14:textId="77777777" w:rsidR="006B0A3E" w:rsidRPr="005F6933" w:rsidRDefault="006B0A3E" w:rsidP="00B7463C">
                            <w:pPr>
                              <w:pStyle w:val="ColorfulList-Accent11"/>
                              <w:spacing w:after="0" w:line="240" w:lineRule="auto"/>
                              <w:ind w:left="850" w:hanging="425"/>
                              <w:rPr>
                                <w:lang w:val="es-ES_tradnl"/>
                              </w:rPr>
                            </w:pPr>
                          </w:p>
                          <w:p w14:paraId="6499DB98" w14:textId="03BE6BF5" w:rsidR="006B0A3E" w:rsidRPr="005F6933" w:rsidRDefault="006B0A3E" w:rsidP="00B7463C">
                            <w:pPr>
                              <w:pStyle w:val="ColorfulList-Accent11"/>
                              <w:numPr>
                                <w:ilvl w:val="0"/>
                                <w:numId w:val="9"/>
                              </w:numPr>
                              <w:spacing w:after="0" w:line="240" w:lineRule="auto"/>
                              <w:ind w:left="850" w:hanging="425"/>
                              <w:rPr>
                                <w:lang w:val="es-ES_tradnl"/>
                              </w:rPr>
                            </w:pPr>
                            <w:r>
                              <w:rPr>
                                <w:rFonts w:cs="Calibri"/>
                                <w:lang w:val="es-ES_tradnl"/>
                              </w:rPr>
                              <w:t xml:space="preserve">Tomar nota de la situación actual de las contribuciones voluntarias de las </w:t>
                            </w:r>
                            <w:r w:rsidRPr="005F6933">
                              <w:rPr>
                                <w:rFonts w:cs="Calibri"/>
                                <w:lang w:val="es-ES_tradnl"/>
                              </w:rPr>
                              <w:t xml:space="preserve">Partes Contratantes </w:t>
                            </w:r>
                            <w:r>
                              <w:rPr>
                                <w:rFonts w:cs="Calibri"/>
                                <w:lang w:val="es-ES_tradnl"/>
                              </w:rPr>
                              <w:t>de la región de África, conforme a lo previsto por la Resolució</w:t>
                            </w:r>
                            <w:r w:rsidRPr="005F6933">
                              <w:rPr>
                                <w:rFonts w:cs="Calibri"/>
                                <w:lang w:val="es-ES_tradnl"/>
                              </w:rPr>
                              <w:t>n X.2, p</w:t>
                            </w:r>
                            <w:r>
                              <w:rPr>
                                <w:rFonts w:cs="Calibri"/>
                                <w:lang w:val="es-ES_tradnl"/>
                              </w:rPr>
                              <w:t>árrafo 23; y</w:t>
                            </w:r>
                          </w:p>
                          <w:p w14:paraId="7D8A4628" w14:textId="77777777" w:rsidR="006B0A3E" w:rsidRPr="005F6933" w:rsidRDefault="006B0A3E" w:rsidP="00B7463C">
                            <w:pPr>
                              <w:pStyle w:val="ColorfulList-Accent11"/>
                              <w:spacing w:after="0" w:line="240" w:lineRule="auto"/>
                              <w:ind w:left="850" w:hanging="425"/>
                              <w:rPr>
                                <w:lang w:val="es-ES_tradnl"/>
                              </w:rPr>
                            </w:pPr>
                          </w:p>
                          <w:p w14:paraId="3CB27AF8" w14:textId="69E82C06" w:rsidR="006B0A3E" w:rsidRPr="00436F6C" w:rsidRDefault="006B0A3E" w:rsidP="00B7463C">
                            <w:pPr>
                              <w:pStyle w:val="ColorfulList-Accent11"/>
                              <w:numPr>
                                <w:ilvl w:val="0"/>
                                <w:numId w:val="9"/>
                              </w:numPr>
                              <w:spacing w:after="0" w:line="240" w:lineRule="auto"/>
                              <w:ind w:left="850" w:hanging="425"/>
                              <w:rPr>
                                <w:lang w:val="es-ES"/>
                              </w:rPr>
                            </w:pPr>
                            <w:r w:rsidRPr="00B7463C">
                              <w:rPr>
                                <w:rFonts w:cs="Calibri"/>
                                <w:lang w:val="es-ES_tradnl"/>
                              </w:rPr>
                              <w:t>Aprobar la inclusión d</w:t>
                            </w:r>
                            <w:r>
                              <w:rPr>
                                <w:rFonts w:cs="Calibri"/>
                                <w:lang w:val="es-ES_tradnl"/>
                              </w:rPr>
                              <w:t>e un párrafo en el proyecto de r</w:t>
                            </w:r>
                            <w:r w:rsidRPr="00B7463C">
                              <w:rPr>
                                <w:rFonts w:cs="Calibri"/>
                                <w:lang w:val="es-ES_tradnl"/>
                              </w:rPr>
                              <w:t>esolución sobre asuntos financieros</w:t>
                            </w:r>
                            <w:r>
                              <w:rPr>
                                <w:rFonts w:cs="Calibri"/>
                                <w:lang w:val="es-ES_tradnl"/>
                              </w:rPr>
                              <w:t>,</w:t>
                            </w:r>
                            <w:r w:rsidRPr="00B7463C">
                              <w:rPr>
                                <w:rFonts w:cs="Calibri"/>
                                <w:lang w:val="es-ES_tradnl"/>
                              </w:rPr>
                              <w:t xml:space="preserve"> que se someterá a la consideración de las Partes Contratante</w:t>
                            </w:r>
                            <w:r>
                              <w:rPr>
                                <w:rFonts w:cs="Calibri"/>
                                <w:lang w:val="es-ES_tradnl"/>
                              </w:rPr>
                              <w:t>s durante la COP13, para reemplazar el término “voluntarias”</w:t>
                            </w:r>
                            <w:r w:rsidRPr="00B7463C">
                              <w:rPr>
                                <w:rFonts w:cs="Calibri"/>
                                <w:lang w:val="es-ES_tradnl"/>
                              </w:rPr>
                              <w:t xml:space="preserve"> por “adicionales” en referencia a esas</w:t>
                            </w:r>
                            <w:r>
                              <w:rPr>
                                <w:rFonts w:cs="Calibri"/>
                                <w:lang w:val="es-ES_tradnl"/>
                              </w:rPr>
                              <w:t xml:space="preserve"> contribuciones</w:t>
                            </w:r>
                            <w:r w:rsidRPr="00FC0DB0">
                              <w:rPr>
                                <w:rFonts w:cs="Calibri"/>
                                <w:lang w:val="es-ES_tradnl"/>
                              </w:rPr>
                              <w:t xml:space="preserve">.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60.05pt;height:55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">
                <v:textbox>
                  <w:txbxContent>
                    <w:p w14:paraId="7947EB8E" w14:textId="0ED8516C" w:rsidR="006B0A3E" w:rsidRPr="005F6933" w:rsidRDefault="006B0A3E" w:rsidP="000B26D3">
                      <w:pPr>
                        <w:rPr>
                          <w:rFonts w:ascii="Calibri" w:hAnsi="Calibri"/>
                          <w:b/>
                          <w:bCs/>
                          <w:sz w:val="22"/>
                          <w:szCs w:val="22"/>
                          <w:lang w:val="es-ES_tradnl"/>
                        </w:rPr>
                      </w:pPr>
                      <w:r w:rsidRPr="005F6933">
                        <w:rPr>
                          <w:rFonts w:ascii="Calibri" w:hAnsi="Calibri"/>
                          <w:b/>
                          <w:bCs/>
                          <w:sz w:val="22"/>
                          <w:szCs w:val="22"/>
                          <w:lang w:val="es-ES_tradnl"/>
                        </w:rPr>
                        <w:t xml:space="preserve">Acciones solicitadas: </w:t>
                      </w:r>
                    </w:p>
                    <w:p w14:paraId="57249C5F" w14:textId="77777777" w:rsidR="006B0A3E" w:rsidRPr="005F6933" w:rsidRDefault="006B0A3E" w:rsidP="00B7463C">
                      <w:pPr>
                        <w:rPr>
                          <w:rFonts w:ascii="Calibri" w:hAnsi="Calibri"/>
                          <w:b/>
                          <w:bCs/>
                          <w:sz w:val="22"/>
                          <w:szCs w:val="22"/>
                          <w:lang w:val="es-ES_tradnl"/>
                        </w:rPr>
                      </w:pPr>
                    </w:p>
                    <w:p w14:paraId="328FD708" w14:textId="758FF99B" w:rsidR="006B0A3E" w:rsidRPr="005F6933" w:rsidRDefault="006B0A3E" w:rsidP="00B7463C">
                      <w:pPr>
                        <w:pStyle w:val="ColorfulList-Accent11"/>
                        <w:spacing w:after="0" w:line="240" w:lineRule="auto"/>
                        <w:ind w:left="0"/>
                        <w:rPr>
                          <w:rFonts w:cs="Calibri"/>
                          <w:lang w:val="es-ES_tradnl"/>
                        </w:rPr>
                      </w:pPr>
                      <w:r w:rsidRPr="005F6933">
                        <w:rPr>
                          <w:lang w:val="es-ES_tradnl"/>
                        </w:rPr>
                        <w:t>Se invita al Comité Permanente a hacer lo siguiente</w:t>
                      </w:r>
                      <w:r w:rsidRPr="005F6933">
                        <w:rPr>
                          <w:rFonts w:cs="Calibri"/>
                          <w:lang w:val="es-ES_tradnl"/>
                        </w:rPr>
                        <w:t>:</w:t>
                      </w:r>
                    </w:p>
                    <w:p w14:paraId="533924AC" w14:textId="77777777" w:rsidR="006B0A3E" w:rsidRPr="005F6933" w:rsidRDefault="006B0A3E" w:rsidP="00B7463C">
                      <w:pPr>
                        <w:pStyle w:val="ColorfulList-Accent11"/>
                        <w:spacing w:after="0" w:line="240" w:lineRule="auto"/>
                        <w:ind w:left="0"/>
                        <w:rPr>
                          <w:rFonts w:cs="Calibri"/>
                          <w:lang w:val="es-ES_tradnl"/>
                        </w:rPr>
                      </w:pPr>
                    </w:p>
                    <w:p w14:paraId="1946CF53" w14:textId="7BF35AB8" w:rsidR="006B0A3E" w:rsidRPr="001B54E6" w:rsidRDefault="006B0A3E" w:rsidP="00B7463C">
                      <w:pPr>
                        <w:pStyle w:val="ColorfulList-Accent11"/>
                        <w:numPr>
                          <w:ilvl w:val="0"/>
                          <w:numId w:val="9"/>
                        </w:numPr>
                        <w:spacing w:after="0" w:line="240" w:lineRule="auto"/>
                        <w:ind w:left="850" w:hanging="425"/>
                        <w:rPr>
                          <w:lang w:val="es-ES_tradnl"/>
                        </w:rPr>
                      </w:pPr>
                      <w:r w:rsidRPr="001B54E6">
                        <w:rPr>
                          <w:rFonts w:cs="Calibri"/>
                          <w:lang w:val="es-ES_tradnl"/>
                        </w:rPr>
                        <w:t xml:space="preserve">Tomar nota de la mejor situación </w:t>
                      </w:r>
                      <w:r>
                        <w:rPr>
                          <w:rFonts w:cs="Calibri"/>
                          <w:lang w:val="es-ES_tradnl"/>
                        </w:rPr>
                        <w:t xml:space="preserve">en lo referente al </w:t>
                      </w:r>
                      <w:r w:rsidRPr="001B54E6">
                        <w:rPr>
                          <w:rFonts w:cs="Calibri"/>
                          <w:lang w:val="es-ES_tradnl"/>
                        </w:rPr>
                        <w:t xml:space="preserve">pago de las contribuciones anuales </w:t>
                      </w:r>
                      <w:r>
                        <w:rPr>
                          <w:rFonts w:cs="Calibri"/>
                          <w:lang w:val="es-ES_tradnl"/>
                        </w:rPr>
                        <w:t>atrasadas</w:t>
                      </w:r>
                      <w:r w:rsidRPr="001B54E6">
                        <w:rPr>
                          <w:rFonts w:cs="Calibri"/>
                          <w:lang w:val="es-ES_tradnl"/>
                        </w:rPr>
                        <w:t xml:space="preserve"> de las Partes Contratantes; </w:t>
                      </w:r>
                    </w:p>
                    <w:p w14:paraId="2BCCF753" w14:textId="77777777" w:rsidR="006B0A3E" w:rsidRPr="00B7463C" w:rsidRDefault="006B0A3E" w:rsidP="00B7463C">
                      <w:pPr>
                        <w:pStyle w:val="ColorfulList-Accent11"/>
                        <w:spacing w:after="0" w:line="240" w:lineRule="auto"/>
                        <w:ind w:left="360"/>
                        <w:rPr>
                          <w:lang w:val="es-ES_tradnl"/>
                        </w:rPr>
                      </w:pPr>
                    </w:p>
                    <w:p w14:paraId="4C8C6204" w14:textId="1455BB1D" w:rsidR="006B0A3E" w:rsidRPr="005F6933" w:rsidRDefault="006B0A3E" w:rsidP="00B7463C">
                      <w:pPr>
                        <w:pStyle w:val="ColorfulList-Accent11"/>
                        <w:numPr>
                          <w:ilvl w:val="0"/>
                          <w:numId w:val="9"/>
                        </w:numPr>
                        <w:spacing w:after="0" w:line="240" w:lineRule="auto"/>
                        <w:ind w:left="850" w:hanging="425"/>
                        <w:rPr>
                          <w:lang w:val="es-ES_tradnl"/>
                        </w:rPr>
                      </w:pPr>
                      <w:r w:rsidRPr="005F6933">
                        <w:rPr>
                          <w:rFonts w:cs="Calibri"/>
                          <w:lang w:val="es-ES_tradnl"/>
                        </w:rPr>
                        <w:t xml:space="preserve">Tomar nota de las siguientes acciones de la Secretaría previstas para 2017 para seguir fomentado el pago de las contribuciones pendientes: </w:t>
                      </w:r>
                    </w:p>
                    <w:p w14:paraId="40991C81" w14:textId="54422B49" w:rsidR="006B0A3E" w:rsidRPr="005F6933" w:rsidRDefault="006B0A3E" w:rsidP="00B7463C">
                      <w:pPr>
                        <w:pStyle w:val="ColorfulList-Accent11"/>
                        <w:numPr>
                          <w:ilvl w:val="1"/>
                          <w:numId w:val="9"/>
                        </w:numPr>
                        <w:spacing w:after="0" w:line="240" w:lineRule="auto"/>
                        <w:ind w:left="1276" w:hanging="425"/>
                        <w:rPr>
                          <w:lang w:val="es-ES_tradnl"/>
                        </w:rPr>
                      </w:pPr>
                      <w:r w:rsidRPr="005F6933">
                        <w:rPr>
                          <w:lang w:val="es-ES_tradnl"/>
                        </w:rPr>
                        <w:t xml:space="preserve">Centrarse en aquellas Partes con más de tres contribuciones anuales pendientes de pago; </w:t>
                      </w:r>
                    </w:p>
                    <w:p w14:paraId="4CE74DAA" w14:textId="77E6B038" w:rsidR="006B0A3E" w:rsidRPr="005F6933" w:rsidRDefault="006B0A3E" w:rsidP="00B7463C">
                      <w:pPr>
                        <w:pStyle w:val="ColorfulList-Accent11"/>
                        <w:numPr>
                          <w:ilvl w:val="1"/>
                          <w:numId w:val="9"/>
                        </w:numPr>
                        <w:spacing w:after="0" w:line="240" w:lineRule="auto"/>
                        <w:ind w:left="1276" w:hanging="425"/>
                        <w:rPr>
                          <w:lang w:val="es-ES_tradnl"/>
                        </w:rPr>
                      </w:pPr>
                      <w:r w:rsidRPr="005F6933">
                        <w:rPr>
                          <w:lang w:val="es-ES_tradnl"/>
                        </w:rPr>
                        <w:t>Prestar</w:t>
                      </w:r>
                      <w:r>
                        <w:rPr>
                          <w:lang w:val="es-ES_tradnl"/>
                        </w:rPr>
                        <w:t xml:space="preserve"> una</w:t>
                      </w:r>
                      <w:r w:rsidRPr="005F6933">
                        <w:rPr>
                          <w:lang w:val="es-ES_tradnl"/>
                        </w:rPr>
                        <w:t xml:space="preserve"> atención especial a aquellas Partes</w:t>
                      </w:r>
                      <w:r>
                        <w:rPr>
                          <w:lang w:val="es-ES_tradnl"/>
                        </w:rPr>
                        <w:t xml:space="preserve"> que desde su adhesión nunca hayan</w:t>
                      </w:r>
                      <w:r w:rsidRPr="005F6933">
                        <w:rPr>
                          <w:lang w:val="es-ES_tradnl"/>
                        </w:rPr>
                        <w:t xml:space="preserve"> pagado sus contribuciones y aquellas que tengan atrasos acumulados más antiguos </w:t>
                      </w:r>
                      <w:r>
                        <w:rPr>
                          <w:lang w:val="es-ES_tradnl"/>
                        </w:rPr>
                        <w:t>que sumen</w:t>
                      </w:r>
                      <w:r w:rsidRPr="005F6933">
                        <w:rPr>
                          <w:lang w:val="es-ES_tradnl"/>
                        </w:rPr>
                        <w:t xml:space="preserve"> más de 50.000 francos suizos; </w:t>
                      </w:r>
                    </w:p>
                    <w:p w14:paraId="609B5390" w14:textId="1921A181" w:rsidR="006B0A3E" w:rsidRPr="005F6933" w:rsidRDefault="006B0A3E" w:rsidP="00B7463C">
                      <w:pPr>
                        <w:pStyle w:val="ColorfulList-Accent11"/>
                        <w:numPr>
                          <w:ilvl w:val="1"/>
                          <w:numId w:val="9"/>
                        </w:numPr>
                        <w:spacing w:after="0" w:line="240" w:lineRule="auto"/>
                        <w:ind w:left="1276" w:hanging="425"/>
                        <w:rPr>
                          <w:lang w:val="es-ES_tradnl"/>
                        </w:rPr>
                      </w:pPr>
                      <w:r w:rsidRPr="005F6933">
                        <w:rPr>
                          <w:lang w:val="es-ES_tradnl"/>
                        </w:rPr>
                        <w:t>Seguir trabajando con los Asesores Regionales Superiores de la Secretaría en esta tarea;</w:t>
                      </w:r>
                    </w:p>
                    <w:p w14:paraId="41E1AF3A" w14:textId="05943957" w:rsidR="006B0A3E" w:rsidRPr="005F6933" w:rsidRDefault="006B0A3E" w:rsidP="00B7463C">
                      <w:pPr>
                        <w:pStyle w:val="ColorfulList-Accent11"/>
                        <w:numPr>
                          <w:ilvl w:val="1"/>
                          <w:numId w:val="9"/>
                        </w:numPr>
                        <w:spacing w:after="0" w:line="240" w:lineRule="auto"/>
                        <w:ind w:left="1276" w:hanging="425"/>
                        <w:rPr>
                          <w:lang w:val="es-ES_tradnl"/>
                        </w:rPr>
                      </w:pPr>
                      <w:r w:rsidRPr="005F6933">
                        <w:rPr>
                          <w:lang w:val="es-ES_tradnl"/>
                        </w:rPr>
                        <w:t>Informar de los progresos logrados en el pago de las contribuciones atrasadas durante la 54ª reunión del Comité Permanente;</w:t>
                      </w:r>
                    </w:p>
                    <w:p w14:paraId="0A0C1DD7" w14:textId="77777777" w:rsidR="006B0A3E" w:rsidRPr="005F6933" w:rsidRDefault="006B0A3E" w:rsidP="00B7463C">
                      <w:pPr>
                        <w:pStyle w:val="ColorfulList-Accent11"/>
                        <w:spacing w:after="0" w:line="240" w:lineRule="auto"/>
                        <w:ind w:left="0"/>
                        <w:rPr>
                          <w:lang w:val="es-ES_tradnl"/>
                        </w:rPr>
                      </w:pPr>
                    </w:p>
                    <w:p w14:paraId="0DE16573" w14:textId="4A2AB4F9" w:rsidR="006B0A3E" w:rsidRPr="005F6933" w:rsidRDefault="006B0A3E" w:rsidP="00B7463C">
                      <w:pPr>
                        <w:pStyle w:val="ColorfulList-Accent11"/>
                        <w:numPr>
                          <w:ilvl w:val="0"/>
                          <w:numId w:val="9"/>
                        </w:numPr>
                        <w:spacing w:after="0" w:line="240" w:lineRule="auto"/>
                        <w:ind w:left="850" w:hanging="425"/>
                        <w:rPr>
                          <w:lang w:val="es-ES_tradnl"/>
                        </w:rPr>
                      </w:pPr>
                      <w:r w:rsidRPr="005F6933">
                        <w:rPr>
                          <w:lang w:val="es-ES_tradnl"/>
                        </w:rPr>
                        <w:t>Considerar medidas adicionales para</w:t>
                      </w:r>
                      <w:r>
                        <w:rPr>
                          <w:lang w:val="es-ES_tradnl"/>
                        </w:rPr>
                        <w:t xml:space="preserve"> estar en mayor consonancia con las prácticas de otras convenciones tales como </w:t>
                      </w:r>
                      <w:r>
                        <w:rPr>
                          <w:rFonts w:cs="Calibri"/>
                          <w:color w:val="000000"/>
                          <w:lang w:val="es-ES_tradnl"/>
                        </w:rPr>
                        <w:t xml:space="preserve">la inclusión de una página en el sitio web de Ramsar en la que se publiquen listas mensuales actualizadas de las contribuciones impagadas por las </w:t>
                      </w:r>
                      <w:r w:rsidRPr="00A2129F">
                        <w:rPr>
                          <w:rFonts w:cs="Calibri"/>
                          <w:color w:val="000000"/>
                          <w:lang w:val="es-ES_tradnl"/>
                        </w:rPr>
                        <w:t>Parte</w:t>
                      </w:r>
                      <w:r>
                        <w:rPr>
                          <w:rFonts w:cs="Calibri"/>
                          <w:color w:val="000000"/>
                          <w:lang w:val="es-ES_tradnl"/>
                        </w:rPr>
                        <w:t>s</w:t>
                      </w:r>
                      <w:r w:rsidRPr="00A2129F">
                        <w:rPr>
                          <w:rFonts w:cs="Calibri"/>
                          <w:color w:val="000000"/>
                          <w:lang w:val="es-ES_tradnl"/>
                        </w:rPr>
                        <w:t xml:space="preserve"> Contratante</w:t>
                      </w:r>
                      <w:r>
                        <w:rPr>
                          <w:rFonts w:cs="Calibri"/>
                          <w:color w:val="000000"/>
                          <w:lang w:val="es-ES_tradnl"/>
                        </w:rPr>
                        <w:t xml:space="preserve">s; </w:t>
                      </w:r>
                    </w:p>
                    <w:p w14:paraId="1AFDA3ED" w14:textId="77777777" w:rsidR="006B0A3E" w:rsidRPr="005F6933" w:rsidRDefault="006B0A3E" w:rsidP="00B7463C">
                      <w:pPr>
                        <w:pStyle w:val="ColorfulList-Accent11"/>
                        <w:spacing w:after="0" w:line="240" w:lineRule="auto"/>
                        <w:ind w:left="850"/>
                        <w:rPr>
                          <w:lang w:val="es-ES_tradnl"/>
                        </w:rPr>
                      </w:pPr>
                    </w:p>
                    <w:p w14:paraId="0F8688F4" w14:textId="47D0AC03" w:rsidR="006B0A3E" w:rsidRPr="005F6933" w:rsidRDefault="006B0A3E" w:rsidP="00B7463C">
                      <w:pPr>
                        <w:pStyle w:val="ColorfulList-Accent11"/>
                        <w:numPr>
                          <w:ilvl w:val="0"/>
                          <w:numId w:val="9"/>
                        </w:numPr>
                        <w:spacing w:after="0" w:line="240" w:lineRule="auto"/>
                        <w:ind w:left="850" w:hanging="425"/>
                        <w:rPr>
                          <w:lang w:val="es-ES_tradnl"/>
                        </w:rPr>
                      </w:pPr>
                      <w:r w:rsidRPr="005F6933">
                        <w:rPr>
                          <w:lang w:val="es-ES_tradnl"/>
                        </w:rPr>
                        <w:t>Ap</w:t>
                      </w:r>
                      <w:r>
                        <w:rPr>
                          <w:lang w:val="es-ES_tradnl"/>
                        </w:rPr>
                        <w:t xml:space="preserve">robar la modificación de los porcentajes y el cálculo de la provisión anual para las contribuciones a recibir de las </w:t>
                      </w:r>
                      <w:r w:rsidRPr="005F6933">
                        <w:rPr>
                          <w:lang w:val="es-ES_tradnl"/>
                        </w:rPr>
                        <w:t>Partes Contratantes</w:t>
                      </w:r>
                      <w:r>
                        <w:rPr>
                          <w:lang w:val="es-ES_tradnl"/>
                        </w:rPr>
                        <w:t>, siguiendo la práctica de otras convenciones</w:t>
                      </w:r>
                      <w:r w:rsidRPr="005F6933">
                        <w:rPr>
                          <w:lang w:val="es-ES_tradnl"/>
                        </w:rPr>
                        <w:t>;</w:t>
                      </w:r>
                    </w:p>
                    <w:p w14:paraId="3740A18D" w14:textId="77777777" w:rsidR="006B0A3E" w:rsidRPr="005F6933" w:rsidRDefault="006B0A3E" w:rsidP="00B7463C">
                      <w:pPr>
                        <w:pStyle w:val="ColorfulList-Accent11"/>
                        <w:spacing w:after="0" w:line="240" w:lineRule="auto"/>
                        <w:ind w:left="1440"/>
                        <w:rPr>
                          <w:lang w:val="es-ES_tradnl"/>
                        </w:rPr>
                      </w:pPr>
                    </w:p>
                    <w:p w14:paraId="45827ECE" w14:textId="74382B30" w:rsidR="006B0A3E" w:rsidRPr="005F6933" w:rsidRDefault="006B0A3E" w:rsidP="00B7463C">
                      <w:pPr>
                        <w:pStyle w:val="ColorfulList-Accent11"/>
                        <w:numPr>
                          <w:ilvl w:val="0"/>
                          <w:numId w:val="9"/>
                        </w:numPr>
                        <w:spacing w:after="0" w:line="240" w:lineRule="auto"/>
                        <w:ind w:left="850" w:hanging="425"/>
                        <w:rPr>
                          <w:lang w:val="es-ES_tradnl"/>
                        </w:rPr>
                      </w:pPr>
                      <w:r>
                        <w:rPr>
                          <w:rFonts w:cs="Calibri"/>
                          <w:lang w:val="es-ES_tradnl"/>
                        </w:rPr>
                        <w:t xml:space="preserve">Tomar nota de que, habida cuenta de la situación financiera actual del fondo básico de la Secretaría, no será necesario un presupuesto de austeridad para 2018, por lo que el Equipo Ejecutivo acordó, con fecha del 23 de febrero de 2017, mantener el presupuesto para 2018 que fue aprobado durante la 12ª reunión de la COP; </w:t>
                      </w:r>
                    </w:p>
                    <w:p w14:paraId="3A4783D8" w14:textId="77777777" w:rsidR="006B0A3E" w:rsidRPr="005F6933" w:rsidRDefault="006B0A3E" w:rsidP="00B7463C">
                      <w:pPr>
                        <w:pStyle w:val="ColorfulList-Accent11"/>
                        <w:spacing w:after="0" w:line="240" w:lineRule="auto"/>
                        <w:ind w:left="850" w:hanging="425"/>
                        <w:rPr>
                          <w:lang w:val="es-ES_tradnl"/>
                        </w:rPr>
                      </w:pPr>
                    </w:p>
                    <w:p w14:paraId="6499DB98" w14:textId="03BE6BF5" w:rsidR="006B0A3E" w:rsidRPr="005F6933" w:rsidRDefault="006B0A3E" w:rsidP="00B7463C">
                      <w:pPr>
                        <w:pStyle w:val="ColorfulList-Accent11"/>
                        <w:numPr>
                          <w:ilvl w:val="0"/>
                          <w:numId w:val="9"/>
                        </w:numPr>
                        <w:spacing w:after="0" w:line="240" w:lineRule="auto"/>
                        <w:ind w:left="850" w:hanging="425"/>
                        <w:rPr>
                          <w:lang w:val="es-ES_tradnl"/>
                        </w:rPr>
                      </w:pPr>
                      <w:r>
                        <w:rPr>
                          <w:rFonts w:cs="Calibri"/>
                          <w:lang w:val="es-ES_tradnl"/>
                        </w:rPr>
                        <w:t xml:space="preserve">Tomar nota de la situación actual de las contribuciones voluntarias de las </w:t>
                      </w:r>
                      <w:r w:rsidRPr="005F6933">
                        <w:rPr>
                          <w:rFonts w:cs="Calibri"/>
                          <w:lang w:val="es-ES_tradnl"/>
                        </w:rPr>
                        <w:t xml:space="preserve">Partes Contratantes </w:t>
                      </w:r>
                      <w:r>
                        <w:rPr>
                          <w:rFonts w:cs="Calibri"/>
                          <w:lang w:val="es-ES_tradnl"/>
                        </w:rPr>
                        <w:t>de la región de África, conforme a lo previsto por la Resolució</w:t>
                      </w:r>
                      <w:r w:rsidRPr="005F6933">
                        <w:rPr>
                          <w:rFonts w:cs="Calibri"/>
                          <w:lang w:val="es-ES_tradnl"/>
                        </w:rPr>
                        <w:t>n X.2, p</w:t>
                      </w:r>
                      <w:r>
                        <w:rPr>
                          <w:rFonts w:cs="Calibri"/>
                          <w:lang w:val="es-ES_tradnl"/>
                        </w:rPr>
                        <w:t>árrafo 23; y</w:t>
                      </w:r>
                    </w:p>
                    <w:p w14:paraId="7D8A4628" w14:textId="77777777" w:rsidR="006B0A3E" w:rsidRPr="005F6933" w:rsidRDefault="006B0A3E" w:rsidP="00B7463C">
                      <w:pPr>
                        <w:pStyle w:val="ColorfulList-Accent11"/>
                        <w:spacing w:after="0" w:line="240" w:lineRule="auto"/>
                        <w:ind w:left="850" w:hanging="425"/>
                        <w:rPr>
                          <w:lang w:val="es-ES_tradnl"/>
                        </w:rPr>
                      </w:pPr>
                    </w:p>
                    <w:p w14:paraId="3CB27AF8" w14:textId="69E82C06" w:rsidR="006B0A3E" w:rsidRPr="00436F6C" w:rsidRDefault="006B0A3E" w:rsidP="00B7463C">
                      <w:pPr>
                        <w:pStyle w:val="ColorfulList-Accent11"/>
                        <w:numPr>
                          <w:ilvl w:val="0"/>
                          <w:numId w:val="9"/>
                        </w:numPr>
                        <w:spacing w:after="0" w:line="240" w:lineRule="auto"/>
                        <w:ind w:left="850" w:hanging="425"/>
                        <w:rPr>
                          <w:lang w:val="es-ES"/>
                        </w:rPr>
                      </w:pPr>
                      <w:r w:rsidRPr="00B7463C">
                        <w:rPr>
                          <w:rFonts w:cs="Calibri"/>
                          <w:lang w:val="es-ES_tradnl"/>
                        </w:rPr>
                        <w:t>Aprobar la inclusión d</w:t>
                      </w:r>
                      <w:r>
                        <w:rPr>
                          <w:rFonts w:cs="Calibri"/>
                          <w:lang w:val="es-ES_tradnl"/>
                        </w:rPr>
                        <w:t>e un párrafo en el proyecto de r</w:t>
                      </w:r>
                      <w:r w:rsidRPr="00B7463C">
                        <w:rPr>
                          <w:rFonts w:cs="Calibri"/>
                          <w:lang w:val="es-ES_tradnl"/>
                        </w:rPr>
                        <w:t>esolución sobre asuntos financieros</w:t>
                      </w:r>
                      <w:r>
                        <w:rPr>
                          <w:rFonts w:cs="Calibri"/>
                          <w:lang w:val="es-ES_tradnl"/>
                        </w:rPr>
                        <w:t>,</w:t>
                      </w:r>
                      <w:r w:rsidRPr="00B7463C">
                        <w:rPr>
                          <w:rFonts w:cs="Calibri"/>
                          <w:lang w:val="es-ES_tradnl"/>
                        </w:rPr>
                        <w:t xml:space="preserve"> que se someterá a la consideración de las Partes Contratante</w:t>
                      </w:r>
                      <w:r>
                        <w:rPr>
                          <w:rFonts w:cs="Calibri"/>
                          <w:lang w:val="es-ES_tradnl"/>
                        </w:rPr>
                        <w:t>s durante la COP13, para reemplazar el término “voluntarias”</w:t>
                      </w:r>
                      <w:r w:rsidRPr="00B7463C">
                        <w:rPr>
                          <w:rFonts w:cs="Calibri"/>
                          <w:lang w:val="es-ES_tradnl"/>
                        </w:rPr>
                        <w:t xml:space="preserve"> por “adicionales” en referencia a esas</w:t>
                      </w:r>
                      <w:r>
                        <w:rPr>
                          <w:rFonts w:cs="Calibri"/>
                          <w:lang w:val="es-ES_tradnl"/>
                        </w:rPr>
                        <w:t xml:space="preserve"> contribuciones</w:t>
                      </w:r>
                      <w:r w:rsidRPr="00FC0DB0">
                        <w:rPr>
                          <w:rFonts w:cs="Calibri"/>
                          <w:lang w:val="es-ES_tradnl"/>
                        </w:rPr>
                        <w:t xml:space="preserve">. </w:t>
                      </w:r>
                    </w:p>
                  </w:txbxContent>
                </v:textbox>
                <w10:anchorlock/>
              </v:shape>
            </w:pict>
          </mc:Fallback>
        </mc:AlternateContent>
      </w:r>
    </w:p>
    <w:p w14:paraId="038C4ECA" w14:textId="77777777" w:rsidR="000B26D3" w:rsidRPr="00A2129F" w:rsidRDefault="000B26D3" w:rsidP="000B26D3">
      <w:pPr>
        <w:autoSpaceDE w:val="0"/>
        <w:autoSpaceDN w:val="0"/>
        <w:adjustRightInd w:val="0"/>
        <w:rPr>
          <w:rFonts w:ascii="Calibri" w:hAnsi="Calibri" w:cs="Calibri"/>
          <w:sz w:val="22"/>
          <w:szCs w:val="22"/>
          <w:lang w:val="es-ES_tradnl"/>
        </w:rPr>
      </w:pPr>
    </w:p>
    <w:p w14:paraId="38B74C76" w14:textId="77777777" w:rsidR="00314C1E" w:rsidRPr="00A2129F" w:rsidRDefault="00314C1E" w:rsidP="000B26D3">
      <w:pPr>
        <w:autoSpaceDE w:val="0"/>
        <w:autoSpaceDN w:val="0"/>
        <w:adjustRightInd w:val="0"/>
        <w:rPr>
          <w:rFonts w:ascii="Calibri" w:hAnsi="Calibri" w:cs="Calibri"/>
          <w:sz w:val="22"/>
          <w:szCs w:val="22"/>
          <w:lang w:val="es-ES_tradnl"/>
        </w:rPr>
      </w:pPr>
    </w:p>
    <w:p w14:paraId="6AFD23BB" w14:textId="51AACE28" w:rsidR="000B26D3" w:rsidRPr="00A2129F" w:rsidRDefault="00A2129F" w:rsidP="00236FAF">
      <w:pPr>
        <w:keepNext/>
        <w:autoSpaceDE w:val="0"/>
        <w:autoSpaceDN w:val="0"/>
        <w:adjustRightInd w:val="0"/>
        <w:rPr>
          <w:rFonts w:ascii="Calibri" w:hAnsi="Calibri" w:cs="Calibri"/>
          <w:b/>
          <w:sz w:val="22"/>
          <w:szCs w:val="22"/>
          <w:lang w:val="es-ES_tradnl"/>
        </w:rPr>
      </w:pPr>
      <w:r w:rsidRPr="00A2129F">
        <w:rPr>
          <w:rFonts w:ascii="Calibri" w:hAnsi="Calibri" w:cs="Calibri"/>
          <w:b/>
          <w:sz w:val="22"/>
          <w:szCs w:val="22"/>
          <w:lang w:val="es-ES_tradnl"/>
        </w:rPr>
        <w:t>Antecedentes</w:t>
      </w:r>
    </w:p>
    <w:p w14:paraId="0C50A71C" w14:textId="77777777" w:rsidR="000B26D3" w:rsidRPr="00A2129F" w:rsidRDefault="000B26D3" w:rsidP="00236FAF">
      <w:pPr>
        <w:keepNext/>
        <w:autoSpaceDE w:val="0"/>
        <w:autoSpaceDN w:val="0"/>
        <w:adjustRightInd w:val="0"/>
        <w:rPr>
          <w:rFonts w:ascii="Calibri" w:hAnsi="Calibri" w:cs="Calibri"/>
          <w:sz w:val="22"/>
          <w:szCs w:val="22"/>
          <w:lang w:val="es-ES_tradnl"/>
        </w:rPr>
      </w:pPr>
    </w:p>
    <w:p w14:paraId="171B7BF1" w14:textId="6E775B1C" w:rsidR="00AD5DD1" w:rsidRPr="00A2129F" w:rsidRDefault="00AD5DD1" w:rsidP="00AD5DD1">
      <w:pPr>
        <w:numPr>
          <w:ilvl w:val="0"/>
          <w:numId w:val="1"/>
        </w:numPr>
        <w:autoSpaceDE w:val="0"/>
        <w:autoSpaceDN w:val="0"/>
        <w:adjustRightInd w:val="0"/>
        <w:ind w:left="426" w:hanging="426"/>
        <w:rPr>
          <w:rFonts w:ascii="Calibri" w:hAnsi="Calibri" w:cs="Calibri"/>
          <w:sz w:val="22"/>
          <w:szCs w:val="22"/>
          <w:lang w:val="es-ES_tradnl"/>
        </w:rPr>
      </w:pPr>
      <w:r w:rsidRPr="00A2129F">
        <w:rPr>
          <w:rFonts w:ascii="Calibri" w:hAnsi="Calibri" w:cs="Calibri"/>
          <w:sz w:val="22"/>
          <w:szCs w:val="22"/>
          <w:lang w:val="es-ES_tradnl"/>
        </w:rPr>
        <w:t>El Artículo 6.6 de la Convención establece lo siguiente: “Cada Parte Contratante contribuirá al presupuesto según la escala de contribuciones aprobada por unanimidad por las Partes Contratantes presentes y votantes en una reunión ordinaria de la Conferencia de las Partes Contratantes”.</w:t>
      </w:r>
    </w:p>
    <w:p w14:paraId="441E285F" w14:textId="77777777" w:rsidR="000B26D3" w:rsidRPr="00A2129F" w:rsidRDefault="000B26D3" w:rsidP="000B26D3">
      <w:pPr>
        <w:autoSpaceDE w:val="0"/>
        <w:autoSpaceDN w:val="0"/>
        <w:adjustRightInd w:val="0"/>
        <w:rPr>
          <w:rFonts w:ascii="Calibri" w:hAnsi="Calibri" w:cs="Calibri"/>
          <w:sz w:val="22"/>
          <w:szCs w:val="22"/>
          <w:lang w:val="es-ES_tradnl"/>
        </w:rPr>
      </w:pPr>
    </w:p>
    <w:p w14:paraId="53FF938F" w14:textId="0F736E51" w:rsidR="000B26D3" w:rsidRPr="00A2129F" w:rsidRDefault="00AD5DD1" w:rsidP="003313F8">
      <w:pPr>
        <w:numPr>
          <w:ilvl w:val="0"/>
          <w:numId w:val="1"/>
        </w:numPr>
        <w:autoSpaceDE w:val="0"/>
        <w:autoSpaceDN w:val="0"/>
        <w:adjustRightInd w:val="0"/>
        <w:ind w:left="426" w:hanging="426"/>
        <w:rPr>
          <w:rFonts w:ascii="Calibri" w:hAnsi="Calibri" w:cs="Calibri"/>
          <w:sz w:val="22"/>
          <w:szCs w:val="22"/>
          <w:lang w:val="es-ES_tradnl"/>
        </w:rPr>
      </w:pPr>
      <w:r w:rsidRPr="00A2129F">
        <w:rPr>
          <w:rFonts w:ascii="Calibri" w:hAnsi="Calibri" w:cs="Calibri"/>
          <w:sz w:val="22"/>
          <w:szCs w:val="22"/>
          <w:lang w:val="es-ES_tradnl"/>
        </w:rPr>
        <w:t>Las contribuciones (cuotas) anuales de las Partes se emplean para financiar el presupuesto básico de la Convención. Cada año, la Secretaría en</w:t>
      </w:r>
      <w:r w:rsidR="008D580F">
        <w:rPr>
          <w:rFonts w:ascii="Calibri" w:hAnsi="Calibri" w:cs="Calibri"/>
          <w:sz w:val="22"/>
          <w:szCs w:val="22"/>
          <w:lang w:val="es-ES_tradnl"/>
        </w:rPr>
        <w:t>vía a las Partes una factura de</w:t>
      </w:r>
      <w:r w:rsidRPr="00A2129F">
        <w:rPr>
          <w:rFonts w:ascii="Calibri" w:hAnsi="Calibri" w:cs="Calibri"/>
          <w:sz w:val="22"/>
          <w:szCs w:val="22"/>
          <w:lang w:val="es-ES_tradnl"/>
        </w:rPr>
        <w:t xml:space="preserve"> sus contribuciones anuales. La facturación en francos suizos </w:t>
      </w:r>
      <w:r w:rsidR="008D580F">
        <w:rPr>
          <w:rFonts w:ascii="Calibri" w:hAnsi="Calibri" w:cs="Calibri"/>
          <w:sz w:val="22"/>
          <w:szCs w:val="22"/>
          <w:lang w:val="es-ES_tradnl"/>
        </w:rPr>
        <w:t>está basada</w:t>
      </w:r>
      <w:r w:rsidRPr="00A2129F">
        <w:rPr>
          <w:rFonts w:ascii="Calibri" w:hAnsi="Calibri" w:cs="Calibri"/>
          <w:sz w:val="22"/>
          <w:szCs w:val="22"/>
          <w:lang w:val="es-ES_tradnl"/>
        </w:rPr>
        <w:t xml:space="preserve"> en el presupuesto básico aprobado y en la Escala de Cuotas vigente de las Naciones Unidas, prorrateada para reflejar el número real de miembros de la Convención al comienzo del ejercicio. </w:t>
      </w:r>
    </w:p>
    <w:p w14:paraId="0ECCC6FE" w14:textId="77777777" w:rsidR="000B26D3" w:rsidRPr="00A2129F" w:rsidRDefault="000B26D3" w:rsidP="000B26D3">
      <w:pPr>
        <w:autoSpaceDE w:val="0"/>
        <w:autoSpaceDN w:val="0"/>
        <w:adjustRightInd w:val="0"/>
        <w:rPr>
          <w:rFonts w:ascii="Calibri" w:hAnsi="Calibri" w:cs="Calibri"/>
          <w:sz w:val="22"/>
          <w:szCs w:val="22"/>
          <w:lang w:val="es-ES_tradnl"/>
        </w:rPr>
      </w:pPr>
    </w:p>
    <w:p w14:paraId="78F7962A" w14:textId="74169200" w:rsidR="008D2AD3" w:rsidRPr="00A2129F" w:rsidRDefault="008D580F" w:rsidP="008D2AD3">
      <w:pPr>
        <w:numPr>
          <w:ilvl w:val="0"/>
          <w:numId w:val="1"/>
        </w:numPr>
        <w:autoSpaceDE w:val="0"/>
        <w:autoSpaceDN w:val="0"/>
        <w:adjustRightInd w:val="0"/>
        <w:ind w:left="426" w:hanging="426"/>
        <w:rPr>
          <w:rFonts w:ascii="Calibri" w:hAnsi="Calibri" w:cs="Calibri"/>
          <w:sz w:val="22"/>
          <w:szCs w:val="22"/>
          <w:lang w:val="es-ES_tradnl"/>
        </w:rPr>
      </w:pPr>
      <w:r>
        <w:rPr>
          <w:rFonts w:ascii="Calibri" w:hAnsi="Calibri" w:cs="Calibri"/>
          <w:sz w:val="22"/>
          <w:szCs w:val="22"/>
          <w:lang w:val="es-ES_tradnl"/>
        </w:rPr>
        <w:t xml:space="preserve">En la Resolución XI.2, párrafo 17, </w:t>
      </w:r>
      <w:r w:rsidR="008D2AD3" w:rsidRPr="00A2129F">
        <w:rPr>
          <w:rFonts w:ascii="Calibri" w:hAnsi="Calibri" w:cs="Calibri"/>
          <w:sz w:val="22"/>
          <w:szCs w:val="22"/>
          <w:lang w:val="es-ES_tradnl"/>
        </w:rPr>
        <w:t>la Confere</w:t>
      </w:r>
      <w:r>
        <w:rPr>
          <w:rFonts w:ascii="Calibri" w:hAnsi="Calibri" w:cs="Calibri"/>
          <w:sz w:val="22"/>
          <w:szCs w:val="22"/>
          <w:lang w:val="es-ES_tradnl"/>
        </w:rPr>
        <w:t>ncia de las Partes Contratantes</w:t>
      </w:r>
      <w:r w:rsidR="008D2AD3" w:rsidRPr="00A2129F">
        <w:rPr>
          <w:rFonts w:ascii="Calibri" w:hAnsi="Calibri" w:cs="Calibri"/>
          <w:sz w:val="22"/>
          <w:szCs w:val="22"/>
          <w:lang w:val="es-ES_tradnl"/>
        </w:rPr>
        <w:t xml:space="preserve"> “I</w:t>
      </w:r>
      <w:r>
        <w:rPr>
          <w:rFonts w:ascii="Calibri" w:hAnsi="Calibri" w:cs="Calibri"/>
          <w:sz w:val="22"/>
          <w:szCs w:val="22"/>
          <w:lang w:val="es-ES_tradnl"/>
        </w:rPr>
        <w:t>NSTA</w:t>
      </w:r>
      <w:r w:rsidR="008D2AD3" w:rsidRPr="00A2129F">
        <w:rPr>
          <w:rFonts w:ascii="Calibri" w:hAnsi="Calibri" w:cs="Calibri"/>
          <w:sz w:val="22"/>
          <w:szCs w:val="22"/>
          <w:lang w:val="es-ES_tradnl"/>
        </w:rPr>
        <w:t xml:space="preserve"> a todas las Partes Contratantes cuyas contribuciones están pendientes de pago a que hagan nuevos esfuerzos por saldarlas lo antes posible a fin de mejorar la sostenibilidad financiera de la Convención con contribuciones de todas</w:t>
      </w:r>
      <w:r>
        <w:rPr>
          <w:rFonts w:ascii="Calibri" w:hAnsi="Calibri" w:cs="Calibri"/>
          <w:sz w:val="22"/>
          <w:szCs w:val="22"/>
          <w:lang w:val="es-ES_tradnl"/>
        </w:rPr>
        <w:t xml:space="preserve"> las Partes Contratantes, y PIDE</w:t>
      </w:r>
      <w:r w:rsidR="008D2AD3" w:rsidRPr="00A2129F">
        <w:rPr>
          <w:rFonts w:ascii="Calibri" w:hAnsi="Calibri" w:cs="Calibri"/>
          <w:sz w:val="22"/>
          <w:szCs w:val="22"/>
          <w:lang w:val="es-ES_tradnl"/>
        </w:rPr>
        <w:t xml:space="preserve"> a la Secretaría que se ponga en contacto con las Partes Contratantes que tengan contribuciones pendientes de pago durante más de tres años y colabore con ellas para encontrar opciones y medidas apropiadas a fin de resolver la situación e iniciar un plan para abonar las contribuciones, y que presente informes en todas las reuniones del Comité Permanente y de las Conferencias de las Partes sobre las actividades realizadas a este respecto y los resultados logrados”. </w:t>
      </w:r>
    </w:p>
    <w:p w14:paraId="0F22862A" w14:textId="77777777" w:rsidR="00D35109" w:rsidRPr="00A2129F" w:rsidRDefault="00D35109" w:rsidP="00D36616">
      <w:pPr>
        <w:rPr>
          <w:rFonts w:ascii="Calibri" w:hAnsi="Calibri" w:cs="Calibri"/>
          <w:sz w:val="22"/>
          <w:szCs w:val="22"/>
          <w:lang w:val="es-ES_tradnl"/>
        </w:rPr>
      </w:pPr>
    </w:p>
    <w:p w14:paraId="3A81A70A" w14:textId="77777777" w:rsidR="009A50F7" w:rsidRPr="00A2129F" w:rsidRDefault="009A50F7" w:rsidP="00D36616">
      <w:pPr>
        <w:rPr>
          <w:rFonts w:ascii="Calibri" w:hAnsi="Calibri" w:cs="Calibri"/>
          <w:sz w:val="22"/>
          <w:szCs w:val="22"/>
          <w:lang w:val="es-ES_tradnl"/>
        </w:rPr>
      </w:pPr>
    </w:p>
    <w:p w14:paraId="1AF203CD" w14:textId="1672D52F" w:rsidR="0094312C" w:rsidRPr="00A2129F" w:rsidRDefault="00ED2DE2" w:rsidP="0094312C">
      <w:pPr>
        <w:ind w:left="539" w:hanging="539"/>
        <w:rPr>
          <w:rFonts w:ascii="Calibri" w:hAnsi="Calibri" w:cs="Calibri"/>
          <w:b/>
          <w:color w:val="000000"/>
          <w:sz w:val="22"/>
          <w:szCs w:val="22"/>
          <w:lang w:val="es-ES_tradnl"/>
        </w:rPr>
      </w:pPr>
      <w:r w:rsidRPr="00A2129F">
        <w:rPr>
          <w:rFonts w:ascii="Calibri" w:hAnsi="Calibri" w:cs="Calibri"/>
          <w:b/>
          <w:color w:val="000000"/>
          <w:sz w:val="22"/>
          <w:szCs w:val="22"/>
          <w:lang w:val="es-ES_tradnl"/>
        </w:rPr>
        <w:t>Progres</w:t>
      </w:r>
      <w:r w:rsidR="00A2129F" w:rsidRPr="00A2129F">
        <w:rPr>
          <w:rFonts w:ascii="Calibri" w:hAnsi="Calibri" w:cs="Calibri"/>
          <w:b/>
          <w:color w:val="000000"/>
          <w:sz w:val="22"/>
          <w:szCs w:val="22"/>
          <w:lang w:val="es-ES_tradnl"/>
        </w:rPr>
        <w:t>o</w:t>
      </w:r>
      <w:r w:rsidRPr="00A2129F">
        <w:rPr>
          <w:rFonts w:ascii="Calibri" w:hAnsi="Calibri" w:cs="Calibri"/>
          <w:b/>
          <w:color w:val="000000"/>
          <w:sz w:val="22"/>
          <w:szCs w:val="22"/>
          <w:lang w:val="es-ES_tradnl"/>
        </w:rPr>
        <w:t>s</w:t>
      </w:r>
      <w:r w:rsidR="00A2129F" w:rsidRPr="00A2129F">
        <w:rPr>
          <w:rFonts w:ascii="Calibri" w:hAnsi="Calibri" w:cs="Calibri"/>
          <w:b/>
          <w:color w:val="000000"/>
          <w:sz w:val="22"/>
          <w:szCs w:val="22"/>
          <w:lang w:val="es-ES_tradnl"/>
        </w:rPr>
        <w:t xml:space="preserve"> logrados</w:t>
      </w:r>
      <w:r w:rsidRPr="00A2129F">
        <w:rPr>
          <w:rFonts w:ascii="Calibri" w:hAnsi="Calibri" w:cs="Calibri"/>
          <w:b/>
          <w:color w:val="000000"/>
          <w:sz w:val="22"/>
          <w:szCs w:val="22"/>
          <w:lang w:val="es-ES_tradnl"/>
        </w:rPr>
        <w:t xml:space="preserve"> dur</w:t>
      </w:r>
      <w:r w:rsidR="00A2129F" w:rsidRPr="00A2129F">
        <w:rPr>
          <w:rFonts w:ascii="Calibri" w:hAnsi="Calibri" w:cs="Calibri"/>
          <w:b/>
          <w:color w:val="000000"/>
          <w:sz w:val="22"/>
          <w:szCs w:val="22"/>
          <w:lang w:val="es-ES_tradnl"/>
        </w:rPr>
        <w:t>ante</w:t>
      </w:r>
      <w:r w:rsidR="001E317D" w:rsidRPr="00A2129F">
        <w:rPr>
          <w:rFonts w:ascii="Calibri" w:hAnsi="Calibri" w:cs="Calibri"/>
          <w:b/>
          <w:color w:val="000000"/>
          <w:sz w:val="22"/>
          <w:szCs w:val="22"/>
          <w:lang w:val="es-ES_tradnl"/>
        </w:rPr>
        <w:t xml:space="preserve"> 2016</w:t>
      </w:r>
    </w:p>
    <w:p w14:paraId="518888CB" w14:textId="77777777" w:rsidR="0094312C" w:rsidRPr="00A2129F" w:rsidRDefault="0094312C" w:rsidP="000B26D3">
      <w:pPr>
        <w:autoSpaceDE w:val="0"/>
        <w:autoSpaceDN w:val="0"/>
        <w:adjustRightInd w:val="0"/>
        <w:rPr>
          <w:rFonts w:ascii="Calibri" w:hAnsi="Calibri" w:cs="Calibri"/>
          <w:sz w:val="22"/>
          <w:szCs w:val="22"/>
          <w:lang w:val="es-ES_tradnl"/>
        </w:rPr>
      </w:pPr>
    </w:p>
    <w:p w14:paraId="7DF4ABDC" w14:textId="16BA2FA0" w:rsidR="000334A3" w:rsidRPr="00A2129F" w:rsidRDefault="00A2129F" w:rsidP="003313F8">
      <w:pPr>
        <w:numPr>
          <w:ilvl w:val="0"/>
          <w:numId w:val="1"/>
        </w:numPr>
        <w:autoSpaceDE w:val="0"/>
        <w:autoSpaceDN w:val="0"/>
        <w:adjustRightInd w:val="0"/>
        <w:ind w:left="426" w:hanging="426"/>
        <w:rPr>
          <w:rFonts w:ascii="Calibri" w:hAnsi="Calibri" w:cs="Calibri"/>
          <w:sz w:val="22"/>
          <w:szCs w:val="22"/>
          <w:lang w:val="es-ES_tradnl"/>
        </w:rPr>
      </w:pPr>
      <w:r w:rsidRPr="00A2129F">
        <w:rPr>
          <w:rFonts w:ascii="Calibri" w:hAnsi="Calibri" w:cs="Calibri"/>
          <w:sz w:val="22"/>
          <w:szCs w:val="22"/>
          <w:lang w:val="es-ES_tradnl"/>
        </w:rPr>
        <w:t xml:space="preserve">En el cuadro que figura en el Anexo 1 se muestra una comparativa de la situación de cada una de las </w:t>
      </w:r>
      <w:r w:rsidR="00AD5DD1" w:rsidRPr="00A2129F">
        <w:rPr>
          <w:rFonts w:ascii="Calibri" w:hAnsi="Calibri" w:cs="Calibri"/>
          <w:sz w:val="22"/>
          <w:szCs w:val="22"/>
          <w:lang w:val="es-ES_tradnl"/>
        </w:rPr>
        <w:t>Parte</w:t>
      </w:r>
      <w:r w:rsidRPr="00A2129F">
        <w:rPr>
          <w:rFonts w:ascii="Calibri" w:hAnsi="Calibri" w:cs="Calibri"/>
          <w:sz w:val="22"/>
          <w:szCs w:val="22"/>
          <w:lang w:val="es-ES_tradnl"/>
        </w:rPr>
        <w:t>s</w:t>
      </w:r>
      <w:r w:rsidR="00AD5DD1" w:rsidRPr="00A2129F">
        <w:rPr>
          <w:rFonts w:ascii="Calibri" w:hAnsi="Calibri" w:cs="Calibri"/>
          <w:sz w:val="22"/>
          <w:szCs w:val="22"/>
          <w:lang w:val="es-ES_tradnl"/>
        </w:rPr>
        <w:t xml:space="preserve"> Contratante</w:t>
      </w:r>
      <w:r w:rsidRPr="00A2129F">
        <w:rPr>
          <w:rFonts w:ascii="Calibri" w:hAnsi="Calibri" w:cs="Calibri"/>
          <w:sz w:val="22"/>
          <w:szCs w:val="22"/>
          <w:lang w:val="es-ES_tradnl"/>
        </w:rPr>
        <w:t xml:space="preserve">s con respecto al pago de las contribuciones pendientes al </w:t>
      </w:r>
      <w:r w:rsidR="00342AE2" w:rsidRPr="00A2129F">
        <w:rPr>
          <w:rFonts w:ascii="Calibri" w:hAnsi="Calibri" w:cs="Calibri"/>
          <w:sz w:val="22"/>
          <w:szCs w:val="22"/>
          <w:lang w:val="es-ES_tradnl"/>
        </w:rPr>
        <w:t>29</w:t>
      </w:r>
      <w:r w:rsidRPr="00A2129F">
        <w:rPr>
          <w:rFonts w:ascii="Calibri" w:hAnsi="Calibri" w:cs="Calibri"/>
          <w:sz w:val="22"/>
          <w:szCs w:val="22"/>
          <w:lang w:val="es-ES_tradnl"/>
        </w:rPr>
        <w:t xml:space="preserve"> de febrero de</w:t>
      </w:r>
      <w:r w:rsidR="00342AE2" w:rsidRPr="00A2129F">
        <w:rPr>
          <w:rFonts w:ascii="Calibri" w:hAnsi="Calibri" w:cs="Calibri"/>
          <w:sz w:val="22"/>
          <w:szCs w:val="22"/>
          <w:lang w:val="es-ES_tradnl"/>
        </w:rPr>
        <w:t xml:space="preserve"> 2016 </w:t>
      </w:r>
      <w:r w:rsidRPr="00A2129F">
        <w:rPr>
          <w:rFonts w:ascii="Calibri" w:hAnsi="Calibri" w:cs="Calibri"/>
          <w:sz w:val="22"/>
          <w:szCs w:val="22"/>
          <w:lang w:val="es-ES_tradnl"/>
        </w:rPr>
        <w:t xml:space="preserve">y al 31 de diciembre de 2016. </w:t>
      </w:r>
    </w:p>
    <w:p w14:paraId="2E720824" w14:textId="77777777" w:rsidR="00494E10" w:rsidRPr="00A2129F" w:rsidRDefault="00494E10" w:rsidP="00494E10">
      <w:pPr>
        <w:autoSpaceDE w:val="0"/>
        <w:autoSpaceDN w:val="0"/>
        <w:adjustRightInd w:val="0"/>
        <w:ind w:left="426"/>
        <w:rPr>
          <w:rFonts w:ascii="Calibri" w:hAnsi="Calibri" w:cs="Calibri"/>
          <w:sz w:val="22"/>
          <w:szCs w:val="22"/>
          <w:lang w:val="es-ES_tradnl"/>
        </w:rPr>
      </w:pPr>
    </w:p>
    <w:p w14:paraId="67AF123C" w14:textId="5F7C2F71" w:rsidR="005410BE" w:rsidRPr="00EB1875" w:rsidRDefault="0002467F" w:rsidP="003313F8">
      <w:pPr>
        <w:numPr>
          <w:ilvl w:val="0"/>
          <w:numId w:val="1"/>
        </w:numPr>
        <w:autoSpaceDE w:val="0"/>
        <w:autoSpaceDN w:val="0"/>
        <w:adjustRightInd w:val="0"/>
        <w:ind w:left="426" w:hanging="426"/>
        <w:rPr>
          <w:rFonts w:ascii="Calibri" w:hAnsi="Calibri" w:cs="Calibri"/>
          <w:sz w:val="22"/>
          <w:szCs w:val="22"/>
          <w:lang w:val="es-ES_tradnl"/>
        </w:rPr>
      </w:pPr>
      <w:r>
        <w:rPr>
          <w:rFonts w:ascii="Calibri" w:hAnsi="Calibri" w:cs="Calibri"/>
          <w:sz w:val="22"/>
          <w:szCs w:val="22"/>
          <w:lang w:val="es-ES_tradnl"/>
        </w:rPr>
        <w:t xml:space="preserve">En el Cuadro 1 se incluyen las contribuciones impagadas correspondientes a los años </w:t>
      </w:r>
      <w:r w:rsidR="004452E9" w:rsidRPr="00A2129F">
        <w:rPr>
          <w:rFonts w:ascii="Calibri" w:hAnsi="Calibri" w:cs="Calibri"/>
          <w:sz w:val="22"/>
          <w:szCs w:val="22"/>
          <w:lang w:val="es-ES_tradnl"/>
        </w:rPr>
        <w:t xml:space="preserve">2012 </w:t>
      </w:r>
      <w:r>
        <w:rPr>
          <w:rFonts w:ascii="Calibri" w:hAnsi="Calibri" w:cs="Calibri"/>
          <w:sz w:val="22"/>
          <w:szCs w:val="22"/>
          <w:lang w:val="es-ES_tradnl"/>
        </w:rPr>
        <w:t>a</w:t>
      </w:r>
      <w:r w:rsidR="00CA142A" w:rsidRPr="00A2129F">
        <w:rPr>
          <w:rFonts w:ascii="Calibri" w:hAnsi="Calibri" w:cs="Calibri"/>
          <w:sz w:val="22"/>
          <w:szCs w:val="22"/>
          <w:lang w:val="es-ES_tradnl"/>
        </w:rPr>
        <w:t xml:space="preserve"> </w:t>
      </w:r>
      <w:r w:rsidR="004452E9" w:rsidRPr="00A2129F">
        <w:rPr>
          <w:rFonts w:ascii="Calibri" w:hAnsi="Calibri" w:cs="Calibri"/>
          <w:sz w:val="22"/>
          <w:szCs w:val="22"/>
          <w:lang w:val="es-ES_tradnl"/>
        </w:rPr>
        <w:t>2016</w:t>
      </w:r>
      <w:r>
        <w:rPr>
          <w:rFonts w:ascii="Calibri" w:hAnsi="Calibri" w:cs="Calibri"/>
          <w:sz w:val="22"/>
          <w:szCs w:val="22"/>
          <w:lang w:val="es-ES_tradnl"/>
        </w:rPr>
        <w:t xml:space="preserve"> y las provisiones correspondientes en caso de mora. El importe total de las contribuciones impagadas hasta el año 2016 inclusive, al 31 de diciembre de 2016, fue de 1.</w:t>
      </w:r>
      <w:r w:rsidR="00847F61" w:rsidRPr="00A2129F">
        <w:rPr>
          <w:rFonts w:ascii="Calibri" w:hAnsi="Calibri" w:cs="Calibri"/>
          <w:sz w:val="22"/>
          <w:szCs w:val="22"/>
          <w:lang w:val="es-ES_tradnl"/>
        </w:rPr>
        <w:t>2</w:t>
      </w:r>
      <w:r>
        <w:rPr>
          <w:rFonts w:ascii="Calibri" w:hAnsi="Calibri" w:cs="Calibri"/>
          <w:sz w:val="22"/>
          <w:szCs w:val="22"/>
          <w:lang w:val="es-ES_tradnl"/>
        </w:rPr>
        <w:t>77.</w:t>
      </w:r>
      <w:r w:rsidR="00847F61" w:rsidRPr="00A2129F">
        <w:rPr>
          <w:rFonts w:ascii="Calibri" w:hAnsi="Calibri" w:cs="Calibri"/>
          <w:sz w:val="22"/>
          <w:szCs w:val="22"/>
          <w:lang w:val="es-ES_tradnl"/>
        </w:rPr>
        <w:t>035</w:t>
      </w:r>
      <w:r>
        <w:rPr>
          <w:rFonts w:ascii="Calibri" w:hAnsi="Calibri" w:cs="Calibri"/>
          <w:sz w:val="22"/>
          <w:szCs w:val="22"/>
          <w:lang w:val="es-ES_tradnl"/>
        </w:rPr>
        <w:t xml:space="preserve"> francos suizos</w:t>
      </w:r>
      <w:r w:rsidR="00847F61" w:rsidRPr="00A2129F">
        <w:rPr>
          <w:rFonts w:ascii="Calibri" w:hAnsi="Calibri" w:cs="Calibri"/>
          <w:sz w:val="22"/>
          <w:szCs w:val="22"/>
          <w:lang w:val="es-ES_tradnl"/>
        </w:rPr>
        <w:t xml:space="preserve">. </w:t>
      </w:r>
      <w:r w:rsidR="00811D6A">
        <w:rPr>
          <w:rFonts w:ascii="Calibri" w:hAnsi="Calibri" w:cs="Calibri"/>
          <w:sz w:val="22"/>
          <w:szCs w:val="22"/>
          <w:lang w:val="es-ES_tradnl"/>
        </w:rPr>
        <w:t xml:space="preserve">Este importe corresponde a las contribuciones impagadas de 79 de las Partes. En términos generales, el nivel de mora ha mejorado </w:t>
      </w:r>
      <w:r w:rsidR="00671285">
        <w:rPr>
          <w:rFonts w:ascii="Calibri" w:hAnsi="Calibri" w:cs="Calibri"/>
          <w:sz w:val="22"/>
          <w:szCs w:val="22"/>
          <w:lang w:val="es-ES_tradnl"/>
        </w:rPr>
        <w:t>y al 31 de diciembre de 2016, había disminuido en 72.086 francos suizos</w:t>
      </w:r>
      <w:r w:rsidR="00EB1875">
        <w:rPr>
          <w:rFonts w:ascii="Calibri" w:hAnsi="Calibri" w:cs="Calibri"/>
          <w:sz w:val="22"/>
          <w:szCs w:val="22"/>
          <w:lang w:val="es-ES_tradnl"/>
        </w:rPr>
        <w:t xml:space="preserve">, lo que representa </w:t>
      </w:r>
      <w:r w:rsidR="004F60A9">
        <w:rPr>
          <w:rFonts w:ascii="Calibri" w:hAnsi="Calibri" w:cs="Calibri"/>
          <w:sz w:val="22"/>
          <w:szCs w:val="22"/>
          <w:lang w:val="es-ES_tradnl"/>
        </w:rPr>
        <w:t>un 5</w:t>
      </w:r>
      <w:r w:rsidR="005E1897">
        <w:rPr>
          <w:rFonts w:ascii="Calibri" w:hAnsi="Calibri" w:cs="Calibri"/>
          <w:sz w:val="22"/>
          <w:szCs w:val="22"/>
          <w:lang w:val="es-ES_tradnl"/>
        </w:rPr>
        <w:t xml:space="preserve"> </w:t>
      </w:r>
      <w:r w:rsidR="004F60A9">
        <w:rPr>
          <w:rFonts w:ascii="Calibri" w:hAnsi="Calibri" w:cs="Calibri"/>
          <w:sz w:val="22"/>
          <w:szCs w:val="22"/>
          <w:lang w:val="es-ES_tradnl"/>
        </w:rPr>
        <w:t xml:space="preserve">%. </w:t>
      </w:r>
      <w:r w:rsidR="00ED2DE2" w:rsidRPr="00A2129F">
        <w:rPr>
          <w:rFonts w:ascii="Calibri" w:hAnsi="Calibri" w:cs="Calibri"/>
          <w:sz w:val="22"/>
          <w:szCs w:val="22"/>
          <w:lang w:val="es-ES_tradnl"/>
        </w:rPr>
        <w:t>(</w:t>
      </w:r>
      <w:r w:rsidR="004F60A9">
        <w:rPr>
          <w:rFonts w:ascii="Calibri" w:hAnsi="Calibri" w:cs="Calibri"/>
          <w:sz w:val="22"/>
          <w:szCs w:val="22"/>
          <w:lang w:val="es-ES_tradnl"/>
        </w:rPr>
        <w:t xml:space="preserve">Se </w:t>
      </w:r>
      <w:r w:rsidR="00EB1875">
        <w:rPr>
          <w:rFonts w:ascii="Calibri" w:hAnsi="Calibri" w:cs="Calibri"/>
          <w:sz w:val="22"/>
          <w:szCs w:val="22"/>
          <w:lang w:val="es-ES_tradnl"/>
        </w:rPr>
        <w:t xml:space="preserve">debe tener en cuenta </w:t>
      </w:r>
      <w:r w:rsidR="004F60A9">
        <w:rPr>
          <w:rFonts w:ascii="Calibri" w:hAnsi="Calibri" w:cs="Calibri"/>
          <w:sz w:val="22"/>
          <w:szCs w:val="22"/>
          <w:lang w:val="es-ES_tradnl"/>
        </w:rPr>
        <w:t>que entre el 1 de enero de 2017 y el 22 de febrero de 2017 se recibieron 103.000 francos suizos</w:t>
      </w:r>
      <w:r w:rsidR="00EB1875">
        <w:rPr>
          <w:rFonts w:ascii="Calibri" w:hAnsi="Calibri" w:cs="Calibri"/>
          <w:sz w:val="22"/>
          <w:szCs w:val="22"/>
          <w:lang w:val="es-ES_tradnl"/>
        </w:rPr>
        <w:t xml:space="preserve"> adicionales</w:t>
      </w:r>
      <w:r w:rsidR="004F60A9">
        <w:rPr>
          <w:rFonts w:ascii="Calibri" w:hAnsi="Calibri" w:cs="Calibri"/>
          <w:sz w:val="22"/>
          <w:szCs w:val="22"/>
          <w:lang w:val="es-ES_tradnl"/>
        </w:rPr>
        <w:t xml:space="preserve"> de las </w:t>
      </w:r>
      <w:r w:rsidR="00AD5DD1" w:rsidRPr="00A2129F">
        <w:rPr>
          <w:rFonts w:ascii="Calibri" w:hAnsi="Calibri" w:cs="Calibri"/>
          <w:sz w:val="22"/>
          <w:szCs w:val="22"/>
          <w:lang w:val="es-ES_tradnl"/>
        </w:rPr>
        <w:t>Partes Contratantes</w:t>
      </w:r>
      <w:r w:rsidR="00ED2DE2" w:rsidRPr="00A2129F">
        <w:rPr>
          <w:rFonts w:ascii="Calibri" w:hAnsi="Calibri" w:cs="Calibri"/>
          <w:sz w:val="22"/>
          <w:szCs w:val="22"/>
          <w:lang w:val="es-ES_tradnl"/>
        </w:rPr>
        <w:t xml:space="preserve"> </w:t>
      </w:r>
      <w:r w:rsidR="004F60A9">
        <w:rPr>
          <w:rFonts w:ascii="Calibri" w:hAnsi="Calibri" w:cs="Calibri"/>
          <w:sz w:val="22"/>
          <w:szCs w:val="22"/>
          <w:lang w:val="es-ES_tradnl"/>
        </w:rPr>
        <w:t xml:space="preserve">en pago de contribuciones pendientes.) Asimismo, se señala que la provisión inicial calculada para 2016 fue de 30.000 francos suizos </w:t>
      </w:r>
      <w:r w:rsidR="008E02ED">
        <w:rPr>
          <w:rFonts w:ascii="Calibri" w:hAnsi="Calibri" w:cs="Calibri"/>
          <w:sz w:val="22"/>
          <w:szCs w:val="22"/>
          <w:lang w:val="es-ES_tradnl"/>
        </w:rPr>
        <w:t>menos que</w:t>
      </w:r>
      <w:r w:rsidR="004F60A9">
        <w:rPr>
          <w:rFonts w:ascii="Calibri" w:hAnsi="Calibri" w:cs="Calibri"/>
          <w:sz w:val="22"/>
          <w:szCs w:val="22"/>
          <w:lang w:val="es-ES_tradnl"/>
        </w:rPr>
        <w:t xml:space="preserve"> la provisión para 2015</w:t>
      </w:r>
      <w:r w:rsidR="008E02ED">
        <w:rPr>
          <w:rFonts w:ascii="Calibri" w:hAnsi="Calibri" w:cs="Calibri"/>
          <w:sz w:val="22"/>
          <w:szCs w:val="22"/>
          <w:lang w:val="es-ES_tradnl"/>
        </w:rPr>
        <w:t xml:space="preserve">, </w:t>
      </w:r>
      <w:r w:rsidR="00EB1875">
        <w:rPr>
          <w:rFonts w:ascii="Calibri" w:hAnsi="Calibri" w:cs="Calibri"/>
          <w:sz w:val="22"/>
          <w:szCs w:val="22"/>
          <w:lang w:val="es-ES_tradnl"/>
        </w:rPr>
        <w:t xml:space="preserve">algo que contrasta con </w:t>
      </w:r>
      <w:r w:rsidR="008E02ED" w:rsidRPr="00EB1875">
        <w:rPr>
          <w:rFonts w:ascii="Calibri" w:hAnsi="Calibri" w:cs="Calibri"/>
          <w:sz w:val="22"/>
          <w:szCs w:val="22"/>
          <w:lang w:val="es-ES_tradnl"/>
        </w:rPr>
        <w:t>la tendencia reciente de aumentar esas provisiones anuales.</w:t>
      </w:r>
      <w:r w:rsidR="004F60A9" w:rsidRPr="00EB1875">
        <w:rPr>
          <w:rFonts w:ascii="Calibri" w:hAnsi="Calibri" w:cs="Calibri"/>
          <w:sz w:val="22"/>
          <w:szCs w:val="22"/>
          <w:lang w:val="es-ES_tradnl"/>
        </w:rPr>
        <w:t xml:space="preserve"> </w:t>
      </w:r>
    </w:p>
    <w:p w14:paraId="425B7ABD" w14:textId="77777777" w:rsidR="00D6547F" w:rsidRPr="00A2129F" w:rsidRDefault="00D6547F" w:rsidP="00D6547F">
      <w:pPr>
        <w:autoSpaceDE w:val="0"/>
        <w:autoSpaceDN w:val="0"/>
        <w:adjustRightInd w:val="0"/>
        <w:rPr>
          <w:rFonts w:ascii="Calibri" w:hAnsi="Calibri" w:cs="Calibri"/>
          <w:sz w:val="22"/>
          <w:szCs w:val="22"/>
          <w:lang w:val="es-ES_tradnl"/>
        </w:rPr>
      </w:pPr>
    </w:p>
    <w:p w14:paraId="36F48FC0" w14:textId="77777777" w:rsidR="00EB1875" w:rsidRDefault="00EB1875" w:rsidP="008D2AD3">
      <w:pPr>
        <w:autoSpaceDE w:val="0"/>
        <w:autoSpaceDN w:val="0"/>
        <w:adjustRightInd w:val="0"/>
        <w:rPr>
          <w:rFonts w:ascii="Calibri" w:hAnsi="Calibri" w:cs="Calibri"/>
          <w:i/>
          <w:sz w:val="22"/>
          <w:szCs w:val="22"/>
          <w:lang w:val="es-ES_tradnl"/>
        </w:rPr>
      </w:pPr>
    </w:p>
    <w:p w14:paraId="5F3B87B9" w14:textId="77777777" w:rsidR="00EB1875" w:rsidRDefault="00EB1875" w:rsidP="008D2AD3">
      <w:pPr>
        <w:autoSpaceDE w:val="0"/>
        <w:autoSpaceDN w:val="0"/>
        <w:adjustRightInd w:val="0"/>
        <w:rPr>
          <w:rFonts w:ascii="Calibri" w:hAnsi="Calibri" w:cs="Calibri"/>
          <w:i/>
          <w:sz w:val="22"/>
          <w:szCs w:val="22"/>
          <w:lang w:val="es-ES_tradnl"/>
        </w:rPr>
      </w:pPr>
    </w:p>
    <w:p w14:paraId="09D2AF48" w14:textId="77777777" w:rsidR="00EB1875" w:rsidRDefault="00EB1875" w:rsidP="008D2AD3">
      <w:pPr>
        <w:autoSpaceDE w:val="0"/>
        <w:autoSpaceDN w:val="0"/>
        <w:adjustRightInd w:val="0"/>
        <w:rPr>
          <w:rFonts w:ascii="Calibri" w:hAnsi="Calibri" w:cs="Calibri"/>
          <w:i/>
          <w:sz w:val="22"/>
          <w:szCs w:val="22"/>
          <w:lang w:val="es-ES_tradnl"/>
        </w:rPr>
      </w:pPr>
    </w:p>
    <w:p w14:paraId="729B2649" w14:textId="77777777" w:rsidR="00EB1875" w:rsidRDefault="00EB1875" w:rsidP="008D2AD3">
      <w:pPr>
        <w:autoSpaceDE w:val="0"/>
        <w:autoSpaceDN w:val="0"/>
        <w:adjustRightInd w:val="0"/>
        <w:rPr>
          <w:rFonts w:ascii="Calibri" w:hAnsi="Calibri" w:cs="Calibri"/>
          <w:i/>
          <w:sz w:val="22"/>
          <w:szCs w:val="22"/>
          <w:lang w:val="es-ES_tradnl"/>
        </w:rPr>
      </w:pPr>
    </w:p>
    <w:p w14:paraId="4518A326" w14:textId="77777777" w:rsidR="00EB1875" w:rsidRDefault="00EB1875" w:rsidP="008D2AD3">
      <w:pPr>
        <w:autoSpaceDE w:val="0"/>
        <w:autoSpaceDN w:val="0"/>
        <w:adjustRightInd w:val="0"/>
        <w:rPr>
          <w:rFonts w:ascii="Calibri" w:hAnsi="Calibri" w:cs="Calibri"/>
          <w:i/>
          <w:sz w:val="22"/>
          <w:szCs w:val="22"/>
          <w:lang w:val="es-ES_tradnl"/>
        </w:rPr>
      </w:pPr>
    </w:p>
    <w:p w14:paraId="5D37C08B" w14:textId="77777777" w:rsidR="00EB1875" w:rsidRDefault="00EB1875" w:rsidP="008D2AD3">
      <w:pPr>
        <w:autoSpaceDE w:val="0"/>
        <w:autoSpaceDN w:val="0"/>
        <w:adjustRightInd w:val="0"/>
        <w:rPr>
          <w:rFonts w:ascii="Calibri" w:hAnsi="Calibri" w:cs="Calibri"/>
          <w:i/>
          <w:sz w:val="22"/>
          <w:szCs w:val="22"/>
          <w:lang w:val="es-ES_tradnl"/>
        </w:rPr>
      </w:pPr>
    </w:p>
    <w:p w14:paraId="47787FC7" w14:textId="3205AC6D" w:rsidR="008D2AD3" w:rsidRPr="00A2129F" w:rsidRDefault="008D2AD3" w:rsidP="008D2AD3">
      <w:pPr>
        <w:autoSpaceDE w:val="0"/>
        <w:autoSpaceDN w:val="0"/>
        <w:adjustRightInd w:val="0"/>
        <w:rPr>
          <w:rFonts w:ascii="Calibri" w:hAnsi="Calibri" w:cs="Calibri"/>
          <w:i/>
          <w:sz w:val="22"/>
          <w:szCs w:val="22"/>
          <w:lang w:val="es-ES_tradnl"/>
        </w:rPr>
      </w:pPr>
      <w:r w:rsidRPr="00A2129F">
        <w:rPr>
          <w:rFonts w:ascii="Calibri" w:hAnsi="Calibri" w:cs="Calibri"/>
          <w:i/>
          <w:sz w:val="22"/>
          <w:szCs w:val="22"/>
          <w:lang w:val="es-ES_tradnl"/>
        </w:rPr>
        <w:lastRenderedPageBreak/>
        <w:t>Cuadro 1: Contribuciones pendientes y provisión en caso de mora, 2012-2016 (en miles de francos suizos)</w:t>
      </w:r>
    </w:p>
    <w:p w14:paraId="3C6B1E3A" w14:textId="77777777" w:rsidR="005410BE" w:rsidRPr="00A2129F" w:rsidRDefault="005410BE" w:rsidP="00D6547F">
      <w:pPr>
        <w:pStyle w:val="ListParagraph"/>
        <w:keepNext/>
        <w:autoSpaceDE w:val="0"/>
        <w:autoSpaceDN w:val="0"/>
        <w:adjustRightInd w:val="0"/>
        <w:rPr>
          <w:rFonts w:ascii="Calibri" w:hAnsi="Calibri" w:cs="Calibri"/>
          <w:sz w:val="22"/>
          <w:szCs w:val="22"/>
          <w:lang w:val="es-ES_tradnl"/>
        </w:rPr>
      </w:pPr>
    </w:p>
    <w:tbl>
      <w:tblPr>
        <w:tblW w:w="8369" w:type="dxa"/>
        <w:tblInd w:w="103" w:type="dxa"/>
        <w:tblLook w:val="04A0" w:firstRow="1" w:lastRow="0" w:firstColumn="1" w:lastColumn="0" w:noHBand="0" w:noVBand="1"/>
      </w:tblPr>
      <w:tblGrid>
        <w:gridCol w:w="3580"/>
        <w:gridCol w:w="960"/>
        <w:gridCol w:w="960"/>
        <w:gridCol w:w="960"/>
        <w:gridCol w:w="960"/>
        <w:gridCol w:w="949"/>
      </w:tblGrid>
      <w:tr w:rsidR="008D2AD3" w:rsidRPr="00A2129F" w14:paraId="07D90B45" w14:textId="77777777" w:rsidTr="008D2AD3">
        <w:trPr>
          <w:trHeight w:val="300"/>
        </w:trPr>
        <w:tc>
          <w:tcPr>
            <w:tcW w:w="358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72292A0" w14:textId="5CC63E99" w:rsidR="008D2AD3" w:rsidRPr="00A2129F" w:rsidRDefault="008D2AD3" w:rsidP="009A2B8A">
            <w:pPr>
              <w:keepNext/>
              <w:rPr>
                <w:rFonts w:asciiTheme="minorHAnsi" w:eastAsia="Times New Roman" w:hAnsiTheme="minorHAnsi" w:cs="Arial"/>
                <w:b/>
                <w:bCs/>
                <w:sz w:val="22"/>
                <w:szCs w:val="22"/>
                <w:lang w:val="es-ES_tradnl" w:eastAsia="en-GB"/>
              </w:rPr>
            </w:pPr>
            <w:r w:rsidRPr="00A2129F">
              <w:rPr>
                <w:rFonts w:asciiTheme="minorHAnsi" w:eastAsia="Times New Roman" w:hAnsiTheme="minorHAnsi" w:cs="Arial"/>
                <w:b/>
                <w:bCs/>
                <w:sz w:val="20"/>
                <w:szCs w:val="20"/>
                <w:lang w:val="es-ES_tradnl" w:eastAsia="en-GB"/>
              </w:rPr>
              <w:t>Descripción</w:t>
            </w:r>
          </w:p>
        </w:tc>
        <w:tc>
          <w:tcPr>
            <w:tcW w:w="96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14:paraId="0B916E64" w14:textId="77777777" w:rsidR="008D2AD3" w:rsidRPr="00A2129F" w:rsidRDefault="008D2AD3" w:rsidP="00A04293">
            <w:pPr>
              <w:jc w:val="right"/>
              <w:rPr>
                <w:rFonts w:asciiTheme="minorHAnsi" w:eastAsia="Times New Roman" w:hAnsiTheme="minorHAnsi" w:cs="Arial"/>
                <w:b/>
                <w:bCs/>
                <w:sz w:val="22"/>
                <w:szCs w:val="22"/>
                <w:lang w:val="es-ES_tradnl" w:eastAsia="en-GB"/>
              </w:rPr>
            </w:pPr>
            <w:r w:rsidRPr="00A2129F">
              <w:rPr>
                <w:rFonts w:asciiTheme="minorHAnsi" w:eastAsia="Times New Roman" w:hAnsiTheme="minorHAnsi" w:cs="Arial"/>
                <w:b/>
                <w:bCs/>
                <w:sz w:val="22"/>
                <w:szCs w:val="22"/>
                <w:lang w:val="es-ES_tradnl" w:eastAsia="en-GB"/>
              </w:rPr>
              <w:t>2012</w:t>
            </w:r>
          </w:p>
        </w:tc>
        <w:tc>
          <w:tcPr>
            <w:tcW w:w="96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14:paraId="65449AB6" w14:textId="77777777" w:rsidR="008D2AD3" w:rsidRPr="00A2129F" w:rsidRDefault="008D2AD3" w:rsidP="00A04293">
            <w:pPr>
              <w:jc w:val="right"/>
              <w:rPr>
                <w:rFonts w:asciiTheme="minorHAnsi" w:eastAsia="Times New Roman" w:hAnsiTheme="minorHAnsi" w:cs="Arial"/>
                <w:b/>
                <w:bCs/>
                <w:sz w:val="22"/>
                <w:szCs w:val="22"/>
                <w:lang w:val="es-ES_tradnl" w:eastAsia="en-GB"/>
              </w:rPr>
            </w:pPr>
            <w:r w:rsidRPr="00A2129F">
              <w:rPr>
                <w:rFonts w:asciiTheme="minorHAnsi" w:eastAsia="Times New Roman" w:hAnsiTheme="minorHAnsi" w:cs="Arial"/>
                <w:b/>
                <w:bCs/>
                <w:sz w:val="22"/>
                <w:szCs w:val="22"/>
                <w:lang w:val="es-ES_tradnl" w:eastAsia="en-GB"/>
              </w:rPr>
              <w:t>2013</w:t>
            </w:r>
          </w:p>
        </w:tc>
        <w:tc>
          <w:tcPr>
            <w:tcW w:w="96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14:paraId="13F034A7" w14:textId="77777777" w:rsidR="008D2AD3" w:rsidRPr="00A2129F" w:rsidRDefault="008D2AD3" w:rsidP="00A04293">
            <w:pPr>
              <w:jc w:val="right"/>
              <w:rPr>
                <w:rFonts w:asciiTheme="minorHAnsi" w:eastAsia="Times New Roman" w:hAnsiTheme="minorHAnsi" w:cs="Arial"/>
                <w:b/>
                <w:bCs/>
                <w:sz w:val="22"/>
                <w:szCs w:val="22"/>
                <w:lang w:val="es-ES_tradnl" w:eastAsia="en-GB"/>
              </w:rPr>
            </w:pPr>
            <w:r w:rsidRPr="00A2129F">
              <w:rPr>
                <w:rFonts w:asciiTheme="minorHAnsi" w:eastAsia="Times New Roman" w:hAnsiTheme="minorHAnsi" w:cs="Arial"/>
                <w:b/>
                <w:bCs/>
                <w:sz w:val="22"/>
                <w:szCs w:val="22"/>
                <w:lang w:val="es-ES_tradnl" w:eastAsia="en-GB"/>
              </w:rPr>
              <w:t>2014</w:t>
            </w:r>
          </w:p>
        </w:tc>
        <w:tc>
          <w:tcPr>
            <w:tcW w:w="96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14:paraId="012099CD" w14:textId="77777777" w:rsidR="008D2AD3" w:rsidRPr="00A2129F" w:rsidRDefault="008D2AD3" w:rsidP="00A04293">
            <w:pPr>
              <w:jc w:val="right"/>
              <w:rPr>
                <w:rFonts w:asciiTheme="minorHAnsi" w:eastAsia="Times New Roman" w:hAnsiTheme="minorHAnsi" w:cs="Arial"/>
                <w:b/>
                <w:bCs/>
                <w:sz w:val="22"/>
                <w:szCs w:val="22"/>
                <w:lang w:val="es-ES_tradnl" w:eastAsia="en-GB"/>
              </w:rPr>
            </w:pPr>
            <w:r w:rsidRPr="00A2129F">
              <w:rPr>
                <w:rFonts w:asciiTheme="minorHAnsi" w:eastAsia="Times New Roman" w:hAnsiTheme="minorHAnsi" w:cs="Arial"/>
                <w:b/>
                <w:bCs/>
                <w:sz w:val="22"/>
                <w:szCs w:val="22"/>
                <w:lang w:val="es-ES_tradnl" w:eastAsia="en-GB"/>
              </w:rPr>
              <w:t>2015</w:t>
            </w:r>
          </w:p>
        </w:tc>
        <w:tc>
          <w:tcPr>
            <w:tcW w:w="949" w:type="dxa"/>
            <w:tcBorders>
              <w:top w:val="single" w:sz="4" w:space="0" w:color="auto"/>
              <w:left w:val="nil"/>
              <w:bottom w:val="single" w:sz="4" w:space="0" w:color="auto"/>
              <w:right w:val="single" w:sz="4" w:space="0" w:color="auto"/>
            </w:tcBorders>
            <w:shd w:val="clear" w:color="auto" w:fill="C6D9F1" w:themeFill="text2" w:themeFillTint="33"/>
            <w:noWrap/>
            <w:vAlign w:val="bottom"/>
          </w:tcPr>
          <w:p w14:paraId="5AB90A9D" w14:textId="77777777" w:rsidR="008D2AD3" w:rsidRPr="00A2129F" w:rsidRDefault="008D2AD3" w:rsidP="00A04293">
            <w:pPr>
              <w:jc w:val="right"/>
              <w:rPr>
                <w:rFonts w:asciiTheme="minorHAnsi" w:eastAsia="Times New Roman" w:hAnsiTheme="minorHAnsi" w:cs="Arial"/>
                <w:b/>
                <w:bCs/>
                <w:sz w:val="22"/>
                <w:szCs w:val="22"/>
                <w:lang w:val="es-ES_tradnl" w:eastAsia="en-GB"/>
              </w:rPr>
            </w:pPr>
            <w:r w:rsidRPr="00A2129F">
              <w:rPr>
                <w:rFonts w:asciiTheme="minorHAnsi" w:eastAsia="Times New Roman" w:hAnsiTheme="minorHAnsi" w:cs="Arial"/>
                <w:b/>
                <w:bCs/>
                <w:sz w:val="22"/>
                <w:szCs w:val="22"/>
                <w:lang w:val="es-ES_tradnl" w:eastAsia="en-GB"/>
              </w:rPr>
              <w:t>2016</w:t>
            </w:r>
          </w:p>
        </w:tc>
      </w:tr>
      <w:tr w:rsidR="008D2AD3" w:rsidRPr="00A2129F" w14:paraId="302F5914" w14:textId="77777777" w:rsidTr="008D2AD3">
        <w:trPr>
          <w:trHeight w:val="300"/>
        </w:trPr>
        <w:tc>
          <w:tcPr>
            <w:tcW w:w="3580" w:type="dxa"/>
            <w:tcBorders>
              <w:top w:val="nil"/>
              <w:left w:val="single" w:sz="4" w:space="0" w:color="auto"/>
              <w:bottom w:val="single" w:sz="4" w:space="0" w:color="auto"/>
              <w:right w:val="single" w:sz="4" w:space="0" w:color="auto"/>
            </w:tcBorders>
            <w:vAlign w:val="center"/>
          </w:tcPr>
          <w:p w14:paraId="1988E44C" w14:textId="3C5C694C" w:rsidR="008D2AD3" w:rsidRPr="00A2129F" w:rsidRDefault="008D2AD3" w:rsidP="009A2B8A">
            <w:pPr>
              <w:keepNext/>
              <w:rPr>
                <w:rFonts w:asciiTheme="minorHAnsi" w:eastAsia="Times New Roman" w:hAnsiTheme="minorHAnsi" w:cs="Arial"/>
                <w:sz w:val="22"/>
                <w:szCs w:val="22"/>
                <w:lang w:val="es-ES_tradnl" w:eastAsia="en-GB"/>
              </w:rPr>
            </w:pPr>
            <w:r w:rsidRPr="00A2129F">
              <w:rPr>
                <w:rFonts w:asciiTheme="minorHAnsi" w:eastAsia="Times New Roman" w:hAnsiTheme="minorHAnsi" w:cs="Arial"/>
                <w:sz w:val="20"/>
                <w:szCs w:val="20"/>
                <w:lang w:val="es-ES_tradnl" w:eastAsia="en-GB"/>
              </w:rPr>
              <w:t>Contribuciones de las Partes</w:t>
            </w:r>
          </w:p>
        </w:tc>
        <w:tc>
          <w:tcPr>
            <w:tcW w:w="960" w:type="dxa"/>
            <w:tcBorders>
              <w:top w:val="nil"/>
              <w:left w:val="nil"/>
              <w:bottom w:val="single" w:sz="4" w:space="0" w:color="auto"/>
              <w:right w:val="single" w:sz="4" w:space="0" w:color="auto"/>
            </w:tcBorders>
            <w:shd w:val="clear" w:color="auto" w:fill="auto"/>
            <w:noWrap/>
            <w:vAlign w:val="bottom"/>
          </w:tcPr>
          <w:p w14:paraId="7BFD4EB7" w14:textId="218A0E24" w:rsidR="008D2AD3" w:rsidRPr="00A2129F" w:rsidRDefault="008D2AD3" w:rsidP="00A04293">
            <w:pPr>
              <w:jc w:val="right"/>
              <w:rPr>
                <w:rFonts w:asciiTheme="minorHAnsi" w:eastAsia="Times New Roman" w:hAnsiTheme="minorHAnsi" w:cs="Arial"/>
                <w:sz w:val="22"/>
                <w:szCs w:val="22"/>
                <w:lang w:val="es-ES_tradnl" w:eastAsia="en-GB"/>
              </w:rPr>
            </w:pPr>
            <w:r w:rsidRPr="00A2129F">
              <w:rPr>
                <w:rFonts w:asciiTheme="minorHAnsi" w:eastAsia="Times New Roman" w:hAnsiTheme="minorHAnsi" w:cs="Arial"/>
                <w:sz w:val="22"/>
                <w:szCs w:val="22"/>
                <w:lang w:val="es-ES_tradnl" w:eastAsia="en-GB"/>
              </w:rPr>
              <w:t>3.780</w:t>
            </w:r>
          </w:p>
        </w:tc>
        <w:tc>
          <w:tcPr>
            <w:tcW w:w="960" w:type="dxa"/>
            <w:tcBorders>
              <w:top w:val="nil"/>
              <w:left w:val="nil"/>
              <w:bottom w:val="single" w:sz="4" w:space="0" w:color="auto"/>
              <w:right w:val="single" w:sz="4" w:space="0" w:color="auto"/>
            </w:tcBorders>
            <w:shd w:val="clear" w:color="auto" w:fill="auto"/>
            <w:noWrap/>
            <w:vAlign w:val="bottom"/>
          </w:tcPr>
          <w:p w14:paraId="3FC1A9F5" w14:textId="5F0890F1" w:rsidR="008D2AD3" w:rsidRPr="00A2129F" w:rsidRDefault="008D2AD3" w:rsidP="00A04293">
            <w:pPr>
              <w:jc w:val="right"/>
              <w:rPr>
                <w:rFonts w:asciiTheme="minorHAnsi" w:eastAsia="Times New Roman" w:hAnsiTheme="minorHAnsi" w:cs="Arial"/>
                <w:sz w:val="22"/>
                <w:szCs w:val="22"/>
                <w:lang w:val="es-ES_tradnl" w:eastAsia="en-GB"/>
              </w:rPr>
            </w:pPr>
            <w:r w:rsidRPr="00A2129F">
              <w:rPr>
                <w:rFonts w:asciiTheme="minorHAnsi" w:eastAsia="Times New Roman" w:hAnsiTheme="minorHAnsi" w:cs="Arial"/>
                <w:sz w:val="22"/>
                <w:szCs w:val="22"/>
                <w:lang w:val="es-ES_tradnl" w:eastAsia="en-GB"/>
              </w:rPr>
              <w:t>3.782</w:t>
            </w:r>
          </w:p>
        </w:tc>
        <w:tc>
          <w:tcPr>
            <w:tcW w:w="960" w:type="dxa"/>
            <w:tcBorders>
              <w:top w:val="nil"/>
              <w:left w:val="nil"/>
              <w:bottom w:val="single" w:sz="4" w:space="0" w:color="auto"/>
              <w:right w:val="single" w:sz="4" w:space="0" w:color="auto"/>
            </w:tcBorders>
            <w:shd w:val="clear" w:color="auto" w:fill="auto"/>
            <w:noWrap/>
            <w:vAlign w:val="bottom"/>
          </w:tcPr>
          <w:p w14:paraId="03A1F001" w14:textId="57BA70B9" w:rsidR="008D2AD3" w:rsidRPr="00A2129F" w:rsidRDefault="008D2AD3" w:rsidP="00A04293">
            <w:pPr>
              <w:jc w:val="right"/>
              <w:rPr>
                <w:rFonts w:asciiTheme="minorHAnsi" w:eastAsia="Times New Roman" w:hAnsiTheme="minorHAnsi" w:cs="Arial"/>
                <w:sz w:val="22"/>
                <w:szCs w:val="22"/>
                <w:lang w:val="es-ES_tradnl" w:eastAsia="en-GB"/>
              </w:rPr>
            </w:pPr>
            <w:r w:rsidRPr="00A2129F">
              <w:rPr>
                <w:rFonts w:asciiTheme="minorHAnsi" w:eastAsia="Times New Roman" w:hAnsiTheme="minorHAnsi" w:cs="Arial"/>
                <w:sz w:val="22"/>
                <w:szCs w:val="22"/>
                <w:lang w:val="es-ES_tradnl" w:eastAsia="en-GB"/>
              </w:rPr>
              <w:t>3.779</w:t>
            </w:r>
          </w:p>
        </w:tc>
        <w:tc>
          <w:tcPr>
            <w:tcW w:w="960" w:type="dxa"/>
            <w:tcBorders>
              <w:top w:val="nil"/>
              <w:left w:val="nil"/>
              <w:bottom w:val="single" w:sz="4" w:space="0" w:color="auto"/>
              <w:right w:val="single" w:sz="4" w:space="0" w:color="auto"/>
            </w:tcBorders>
            <w:shd w:val="clear" w:color="auto" w:fill="auto"/>
            <w:noWrap/>
            <w:vAlign w:val="bottom"/>
          </w:tcPr>
          <w:p w14:paraId="7680FB3A" w14:textId="5788A870" w:rsidR="008D2AD3" w:rsidRPr="00A2129F" w:rsidRDefault="008D2AD3" w:rsidP="00A04293">
            <w:pPr>
              <w:jc w:val="right"/>
              <w:rPr>
                <w:rFonts w:asciiTheme="minorHAnsi" w:eastAsia="Times New Roman" w:hAnsiTheme="minorHAnsi" w:cs="Arial"/>
                <w:sz w:val="22"/>
                <w:szCs w:val="22"/>
                <w:lang w:val="es-ES_tradnl" w:eastAsia="en-GB"/>
              </w:rPr>
            </w:pPr>
            <w:r w:rsidRPr="00A2129F">
              <w:rPr>
                <w:rFonts w:asciiTheme="minorHAnsi" w:eastAsia="Times New Roman" w:hAnsiTheme="minorHAnsi" w:cs="Arial"/>
                <w:sz w:val="22"/>
                <w:szCs w:val="22"/>
                <w:lang w:val="es-ES_tradnl" w:eastAsia="en-GB"/>
              </w:rPr>
              <w:t>3.779</w:t>
            </w:r>
          </w:p>
        </w:tc>
        <w:tc>
          <w:tcPr>
            <w:tcW w:w="949" w:type="dxa"/>
            <w:tcBorders>
              <w:top w:val="nil"/>
              <w:left w:val="nil"/>
              <w:bottom w:val="single" w:sz="4" w:space="0" w:color="auto"/>
              <w:right w:val="single" w:sz="4" w:space="0" w:color="auto"/>
            </w:tcBorders>
            <w:shd w:val="clear" w:color="auto" w:fill="auto"/>
            <w:noWrap/>
            <w:vAlign w:val="bottom"/>
          </w:tcPr>
          <w:p w14:paraId="4D32C7FF" w14:textId="5297FF74" w:rsidR="008D2AD3" w:rsidRPr="00A2129F" w:rsidRDefault="008D2AD3" w:rsidP="00A04293">
            <w:pPr>
              <w:jc w:val="right"/>
              <w:rPr>
                <w:rFonts w:asciiTheme="minorHAnsi" w:eastAsia="Times New Roman" w:hAnsiTheme="minorHAnsi" w:cs="Arial"/>
                <w:sz w:val="22"/>
                <w:szCs w:val="22"/>
                <w:lang w:val="es-ES_tradnl" w:eastAsia="en-GB"/>
              </w:rPr>
            </w:pPr>
            <w:r w:rsidRPr="00A2129F">
              <w:rPr>
                <w:rFonts w:asciiTheme="minorHAnsi" w:eastAsia="Times New Roman" w:hAnsiTheme="minorHAnsi" w:cs="Arial"/>
                <w:sz w:val="22"/>
                <w:szCs w:val="22"/>
                <w:lang w:val="es-ES_tradnl" w:eastAsia="en-GB"/>
              </w:rPr>
              <w:t>3.779</w:t>
            </w:r>
          </w:p>
        </w:tc>
      </w:tr>
      <w:tr w:rsidR="008D2AD3" w:rsidRPr="00A2129F" w14:paraId="3E5E20C4" w14:textId="77777777" w:rsidTr="008D2AD3">
        <w:trPr>
          <w:trHeight w:val="300"/>
        </w:trPr>
        <w:tc>
          <w:tcPr>
            <w:tcW w:w="3580" w:type="dxa"/>
            <w:tcBorders>
              <w:top w:val="nil"/>
              <w:left w:val="single" w:sz="4" w:space="0" w:color="auto"/>
              <w:bottom w:val="single" w:sz="4" w:space="0" w:color="auto"/>
              <w:right w:val="single" w:sz="4" w:space="0" w:color="auto"/>
            </w:tcBorders>
            <w:vAlign w:val="center"/>
          </w:tcPr>
          <w:p w14:paraId="41B59DE2" w14:textId="404049CC" w:rsidR="008D2AD3" w:rsidRPr="00A2129F" w:rsidRDefault="008D2AD3" w:rsidP="009A2B8A">
            <w:pPr>
              <w:keepNext/>
              <w:rPr>
                <w:rFonts w:asciiTheme="minorHAnsi" w:eastAsia="Times New Roman" w:hAnsiTheme="minorHAnsi" w:cs="Arial"/>
                <w:sz w:val="22"/>
                <w:szCs w:val="22"/>
                <w:lang w:val="es-ES_tradnl" w:eastAsia="en-GB"/>
              </w:rPr>
            </w:pPr>
            <w:r w:rsidRPr="00A2129F">
              <w:rPr>
                <w:rFonts w:asciiTheme="minorHAnsi" w:eastAsia="Times New Roman" w:hAnsiTheme="minorHAnsi" w:cs="Arial"/>
                <w:sz w:val="20"/>
                <w:szCs w:val="20"/>
                <w:lang w:val="es-ES_tradnl" w:eastAsia="en-GB"/>
              </w:rPr>
              <w:t xml:space="preserve">Contribución voluntaria de los Estados Unidos </w:t>
            </w:r>
          </w:p>
        </w:tc>
        <w:tc>
          <w:tcPr>
            <w:tcW w:w="960" w:type="dxa"/>
            <w:tcBorders>
              <w:top w:val="nil"/>
              <w:left w:val="nil"/>
              <w:bottom w:val="single" w:sz="4" w:space="0" w:color="auto"/>
              <w:right w:val="single" w:sz="4" w:space="0" w:color="auto"/>
            </w:tcBorders>
            <w:shd w:val="clear" w:color="auto" w:fill="auto"/>
            <w:noWrap/>
            <w:vAlign w:val="bottom"/>
          </w:tcPr>
          <w:p w14:paraId="7AC53529" w14:textId="77777777" w:rsidR="008D2AD3" w:rsidRPr="00A2129F" w:rsidRDefault="008D2AD3" w:rsidP="00A04293">
            <w:pPr>
              <w:jc w:val="right"/>
              <w:rPr>
                <w:rFonts w:asciiTheme="minorHAnsi" w:eastAsia="Times New Roman" w:hAnsiTheme="minorHAnsi" w:cs="Arial"/>
                <w:sz w:val="22"/>
                <w:szCs w:val="22"/>
                <w:lang w:val="es-ES_tradnl" w:eastAsia="en-GB"/>
              </w:rPr>
            </w:pPr>
            <w:r w:rsidRPr="00A2129F">
              <w:rPr>
                <w:rFonts w:asciiTheme="minorHAnsi" w:eastAsia="Times New Roman" w:hAnsiTheme="minorHAnsi" w:cs="Arial"/>
                <w:sz w:val="22"/>
                <w:szCs w:val="22"/>
                <w:lang w:val="es-ES_tradnl" w:eastAsia="en-GB"/>
              </w:rPr>
              <w:t>930</w:t>
            </w:r>
          </w:p>
        </w:tc>
        <w:tc>
          <w:tcPr>
            <w:tcW w:w="960" w:type="dxa"/>
            <w:tcBorders>
              <w:top w:val="nil"/>
              <w:left w:val="nil"/>
              <w:bottom w:val="single" w:sz="4" w:space="0" w:color="auto"/>
              <w:right w:val="single" w:sz="4" w:space="0" w:color="auto"/>
            </w:tcBorders>
            <w:shd w:val="clear" w:color="auto" w:fill="auto"/>
            <w:noWrap/>
            <w:vAlign w:val="bottom"/>
          </w:tcPr>
          <w:p w14:paraId="7A954E7E" w14:textId="53CC1196" w:rsidR="008D2AD3" w:rsidRPr="00A2129F" w:rsidRDefault="008D2AD3" w:rsidP="00A04293">
            <w:pPr>
              <w:jc w:val="right"/>
              <w:rPr>
                <w:rFonts w:asciiTheme="minorHAnsi" w:eastAsia="Times New Roman" w:hAnsiTheme="minorHAnsi" w:cs="Arial"/>
                <w:sz w:val="22"/>
                <w:szCs w:val="22"/>
                <w:lang w:val="es-ES_tradnl" w:eastAsia="en-GB"/>
              </w:rPr>
            </w:pPr>
            <w:r w:rsidRPr="00A2129F">
              <w:rPr>
                <w:rFonts w:asciiTheme="minorHAnsi" w:eastAsia="Times New Roman" w:hAnsiTheme="minorHAnsi" w:cs="Arial"/>
                <w:sz w:val="22"/>
                <w:szCs w:val="22"/>
                <w:lang w:val="es-ES_tradnl" w:eastAsia="en-GB"/>
              </w:rPr>
              <w:t>1.048</w:t>
            </w:r>
          </w:p>
        </w:tc>
        <w:tc>
          <w:tcPr>
            <w:tcW w:w="960" w:type="dxa"/>
            <w:tcBorders>
              <w:top w:val="nil"/>
              <w:left w:val="nil"/>
              <w:bottom w:val="single" w:sz="4" w:space="0" w:color="auto"/>
              <w:right w:val="single" w:sz="4" w:space="0" w:color="auto"/>
            </w:tcBorders>
            <w:shd w:val="clear" w:color="auto" w:fill="auto"/>
            <w:noWrap/>
            <w:vAlign w:val="bottom"/>
          </w:tcPr>
          <w:p w14:paraId="4CF1277E" w14:textId="4556002A" w:rsidR="008D2AD3" w:rsidRPr="00A2129F" w:rsidRDefault="008D2AD3" w:rsidP="00A04293">
            <w:pPr>
              <w:jc w:val="right"/>
              <w:rPr>
                <w:rFonts w:asciiTheme="minorHAnsi" w:eastAsia="Times New Roman" w:hAnsiTheme="minorHAnsi" w:cs="Arial"/>
                <w:sz w:val="22"/>
                <w:szCs w:val="22"/>
                <w:lang w:val="es-ES_tradnl" w:eastAsia="en-GB"/>
              </w:rPr>
            </w:pPr>
            <w:r w:rsidRPr="00A2129F">
              <w:rPr>
                <w:rFonts w:asciiTheme="minorHAnsi" w:eastAsia="Times New Roman" w:hAnsiTheme="minorHAnsi" w:cs="Arial"/>
                <w:sz w:val="22"/>
                <w:szCs w:val="22"/>
                <w:lang w:val="es-ES_tradnl" w:eastAsia="en-GB"/>
              </w:rPr>
              <w:t>1.066</w:t>
            </w:r>
          </w:p>
        </w:tc>
        <w:tc>
          <w:tcPr>
            <w:tcW w:w="960" w:type="dxa"/>
            <w:tcBorders>
              <w:top w:val="nil"/>
              <w:left w:val="nil"/>
              <w:bottom w:val="single" w:sz="4" w:space="0" w:color="auto"/>
              <w:right w:val="single" w:sz="4" w:space="0" w:color="auto"/>
            </w:tcBorders>
            <w:shd w:val="clear" w:color="auto" w:fill="auto"/>
            <w:noWrap/>
            <w:vAlign w:val="bottom"/>
          </w:tcPr>
          <w:p w14:paraId="5A84E004" w14:textId="35E3CEF2" w:rsidR="008D2AD3" w:rsidRPr="00A2129F" w:rsidRDefault="008D2AD3" w:rsidP="00A04293">
            <w:pPr>
              <w:jc w:val="right"/>
              <w:rPr>
                <w:rFonts w:asciiTheme="minorHAnsi" w:eastAsia="Times New Roman" w:hAnsiTheme="minorHAnsi" w:cs="Arial"/>
                <w:sz w:val="22"/>
                <w:szCs w:val="22"/>
                <w:lang w:val="es-ES_tradnl" w:eastAsia="en-GB"/>
              </w:rPr>
            </w:pPr>
            <w:r w:rsidRPr="00A2129F">
              <w:rPr>
                <w:rFonts w:asciiTheme="minorHAnsi" w:eastAsia="Times New Roman" w:hAnsiTheme="minorHAnsi" w:cs="Arial"/>
                <w:sz w:val="22"/>
                <w:szCs w:val="22"/>
                <w:lang w:val="es-ES_tradnl" w:eastAsia="en-GB"/>
              </w:rPr>
              <w:t>1.066</w:t>
            </w:r>
          </w:p>
        </w:tc>
        <w:tc>
          <w:tcPr>
            <w:tcW w:w="949" w:type="dxa"/>
            <w:tcBorders>
              <w:top w:val="nil"/>
              <w:left w:val="nil"/>
              <w:bottom w:val="single" w:sz="4" w:space="0" w:color="auto"/>
              <w:right w:val="single" w:sz="4" w:space="0" w:color="auto"/>
            </w:tcBorders>
            <w:shd w:val="clear" w:color="auto" w:fill="auto"/>
            <w:noWrap/>
            <w:vAlign w:val="bottom"/>
          </w:tcPr>
          <w:p w14:paraId="3692F217" w14:textId="59FEC082" w:rsidR="008D2AD3" w:rsidRPr="00A2129F" w:rsidRDefault="008D2AD3" w:rsidP="00A04293">
            <w:pPr>
              <w:jc w:val="right"/>
              <w:rPr>
                <w:rFonts w:asciiTheme="minorHAnsi" w:eastAsia="Times New Roman" w:hAnsiTheme="minorHAnsi" w:cs="Arial"/>
                <w:sz w:val="22"/>
                <w:szCs w:val="22"/>
                <w:lang w:val="es-ES_tradnl" w:eastAsia="en-GB"/>
              </w:rPr>
            </w:pPr>
            <w:r w:rsidRPr="00A2129F">
              <w:rPr>
                <w:rFonts w:asciiTheme="minorHAnsi" w:eastAsia="Times New Roman" w:hAnsiTheme="minorHAnsi" w:cs="Arial"/>
                <w:sz w:val="22"/>
                <w:szCs w:val="22"/>
                <w:lang w:val="es-ES_tradnl" w:eastAsia="en-GB"/>
              </w:rPr>
              <w:t>1.066</w:t>
            </w:r>
          </w:p>
        </w:tc>
      </w:tr>
      <w:tr w:rsidR="008D2AD3" w:rsidRPr="00A2129F" w14:paraId="38274764" w14:textId="77777777" w:rsidTr="008D2AD3">
        <w:trPr>
          <w:cantSplit/>
          <w:trHeight w:val="300"/>
        </w:trPr>
        <w:tc>
          <w:tcPr>
            <w:tcW w:w="3580" w:type="dxa"/>
            <w:tcBorders>
              <w:top w:val="nil"/>
              <w:left w:val="single" w:sz="4" w:space="0" w:color="auto"/>
              <w:bottom w:val="single" w:sz="4" w:space="0" w:color="auto"/>
              <w:right w:val="single" w:sz="4" w:space="0" w:color="auto"/>
            </w:tcBorders>
            <w:vAlign w:val="bottom"/>
          </w:tcPr>
          <w:p w14:paraId="3C41934A" w14:textId="7D5BF1FE" w:rsidR="008D2AD3" w:rsidRPr="00A2129F" w:rsidRDefault="008D2AD3" w:rsidP="003C58DD">
            <w:pPr>
              <w:keepNext/>
              <w:rPr>
                <w:rFonts w:asciiTheme="minorHAnsi" w:eastAsia="Times New Roman" w:hAnsiTheme="minorHAnsi" w:cs="Arial"/>
                <w:sz w:val="22"/>
                <w:szCs w:val="22"/>
                <w:lang w:val="es-ES_tradnl" w:eastAsia="en-GB"/>
              </w:rPr>
            </w:pPr>
            <w:r w:rsidRPr="00A2129F">
              <w:rPr>
                <w:rFonts w:asciiTheme="minorHAnsi" w:eastAsia="Times New Roman" w:hAnsiTheme="minorHAnsi" w:cs="Arial"/>
                <w:sz w:val="20"/>
                <w:szCs w:val="20"/>
                <w:lang w:val="es-ES_tradnl" w:eastAsia="en-GB"/>
              </w:rPr>
              <w:t>Contribuciones pendientes acumuladas</w:t>
            </w:r>
            <w:r w:rsidRPr="00A2129F">
              <w:rPr>
                <w:rFonts w:ascii="Calibri" w:hAnsi="Calibri" w:cs="Calibri"/>
                <w:position w:val="1"/>
                <w:sz w:val="22"/>
                <w:szCs w:val="22"/>
                <w:lang w:val="es-ES_tradnl"/>
              </w:rPr>
              <w:t xml:space="preserve"> </w:t>
            </w:r>
          </w:p>
        </w:tc>
        <w:tc>
          <w:tcPr>
            <w:tcW w:w="960" w:type="dxa"/>
            <w:tcBorders>
              <w:top w:val="nil"/>
              <w:left w:val="nil"/>
              <w:bottom w:val="single" w:sz="4" w:space="0" w:color="auto"/>
              <w:right w:val="single" w:sz="4" w:space="0" w:color="auto"/>
            </w:tcBorders>
            <w:shd w:val="clear" w:color="auto" w:fill="auto"/>
            <w:noWrap/>
            <w:vAlign w:val="bottom"/>
          </w:tcPr>
          <w:p w14:paraId="1273B768" w14:textId="77777777" w:rsidR="008D2AD3" w:rsidRPr="00A2129F" w:rsidRDefault="008D2AD3" w:rsidP="00A04293">
            <w:pPr>
              <w:jc w:val="right"/>
              <w:rPr>
                <w:rFonts w:asciiTheme="minorHAnsi" w:eastAsia="Times New Roman" w:hAnsiTheme="minorHAnsi" w:cs="Arial"/>
                <w:sz w:val="22"/>
                <w:szCs w:val="22"/>
                <w:lang w:val="es-ES_tradnl" w:eastAsia="en-GB"/>
              </w:rPr>
            </w:pPr>
            <w:r w:rsidRPr="00A2129F">
              <w:rPr>
                <w:rFonts w:asciiTheme="minorHAnsi" w:eastAsia="Times New Roman" w:hAnsiTheme="minorHAnsi" w:cs="Arial"/>
                <w:sz w:val="22"/>
                <w:szCs w:val="22"/>
                <w:lang w:val="es-ES_tradnl" w:eastAsia="en-GB"/>
              </w:rPr>
              <w:t>759</w:t>
            </w:r>
          </w:p>
        </w:tc>
        <w:tc>
          <w:tcPr>
            <w:tcW w:w="960" w:type="dxa"/>
            <w:tcBorders>
              <w:top w:val="nil"/>
              <w:left w:val="nil"/>
              <w:bottom w:val="single" w:sz="4" w:space="0" w:color="auto"/>
              <w:right w:val="single" w:sz="4" w:space="0" w:color="auto"/>
            </w:tcBorders>
            <w:shd w:val="clear" w:color="auto" w:fill="auto"/>
            <w:noWrap/>
            <w:vAlign w:val="bottom"/>
          </w:tcPr>
          <w:p w14:paraId="7C4FC095" w14:textId="77777777" w:rsidR="008D2AD3" w:rsidRPr="00A2129F" w:rsidRDefault="008D2AD3" w:rsidP="00A04293">
            <w:pPr>
              <w:jc w:val="right"/>
              <w:rPr>
                <w:rFonts w:asciiTheme="minorHAnsi" w:eastAsia="Times New Roman" w:hAnsiTheme="minorHAnsi" w:cs="Arial"/>
                <w:sz w:val="22"/>
                <w:szCs w:val="22"/>
                <w:lang w:val="es-ES_tradnl" w:eastAsia="en-GB"/>
              </w:rPr>
            </w:pPr>
            <w:r w:rsidRPr="00A2129F">
              <w:rPr>
                <w:rFonts w:asciiTheme="minorHAnsi" w:eastAsia="Times New Roman" w:hAnsiTheme="minorHAnsi" w:cs="Arial"/>
                <w:sz w:val="22"/>
                <w:szCs w:val="22"/>
                <w:lang w:val="es-ES_tradnl" w:eastAsia="en-GB"/>
              </w:rPr>
              <w:t>759</w:t>
            </w:r>
          </w:p>
        </w:tc>
        <w:tc>
          <w:tcPr>
            <w:tcW w:w="960" w:type="dxa"/>
            <w:tcBorders>
              <w:top w:val="nil"/>
              <w:left w:val="nil"/>
              <w:bottom w:val="single" w:sz="4" w:space="0" w:color="auto"/>
              <w:right w:val="single" w:sz="4" w:space="0" w:color="auto"/>
            </w:tcBorders>
            <w:shd w:val="clear" w:color="auto" w:fill="auto"/>
            <w:noWrap/>
            <w:vAlign w:val="bottom"/>
          </w:tcPr>
          <w:p w14:paraId="1A9C0FFD" w14:textId="77777777" w:rsidR="008D2AD3" w:rsidRPr="00A2129F" w:rsidRDefault="008D2AD3" w:rsidP="00A04293">
            <w:pPr>
              <w:jc w:val="right"/>
              <w:rPr>
                <w:rFonts w:asciiTheme="minorHAnsi" w:eastAsia="Times New Roman" w:hAnsiTheme="minorHAnsi" w:cs="Arial"/>
                <w:sz w:val="22"/>
                <w:szCs w:val="22"/>
                <w:lang w:val="es-ES_tradnl" w:eastAsia="en-GB"/>
              </w:rPr>
            </w:pPr>
            <w:r w:rsidRPr="00A2129F">
              <w:rPr>
                <w:rFonts w:asciiTheme="minorHAnsi" w:eastAsia="Times New Roman" w:hAnsiTheme="minorHAnsi" w:cs="Arial"/>
                <w:sz w:val="22"/>
                <w:szCs w:val="22"/>
                <w:lang w:val="es-ES_tradnl" w:eastAsia="en-GB"/>
              </w:rPr>
              <w:t>943</w:t>
            </w:r>
          </w:p>
        </w:tc>
        <w:tc>
          <w:tcPr>
            <w:tcW w:w="960" w:type="dxa"/>
            <w:tcBorders>
              <w:top w:val="nil"/>
              <w:left w:val="nil"/>
              <w:bottom w:val="single" w:sz="4" w:space="0" w:color="auto"/>
              <w:right w:val="single" w:sz="4" w:space="0" w:color="auto"/>
            </w:tcBorders>
            <w:shd w:val="clear" w:color="auto" w:fill="auto"/>
            <w:noWrap/>
            <w:vAlign w:val="bottom"/>
          </w:tcPr>
          <w:p w14:paraId="701E1A20" w14:textId="76F18867" w:rsidR="008D2AD3" w:rsidRPr="00A2129F" w:rsidRDefault="008D2AD3" w:rsidP="00A04293">
            <w:pPr>
              <w:jc w:val="right"/>
              <w:rPr>
                <w:rFonts w:asciiTheme="minorHAnsi" w:eastAsia="Times New Roman" w:hAnsiTheme="minorHAnsi" w:cs="Arial"/>
                <w:sz w:val="22"/>
                <w:szCs w:val="22"/>
                <w:lang w:val="es-ES_tradnl" w:eastAsia="en-GB"/>
              </w:rPr>
            </w:pPr>
            <w:r w:rsidRPr="00A2129F">
              <w:rPr>
                <w:rFonts w:asciiTheme="minorHAnsi" w:eastAsia="Times New Roman" w:hAnsiTheme="minorHAnsi" w:cs="Arial"/>
                <w:sz w:val="22"/>
                <w:szCs w:val="22"/>
                <w:lang w:val="es-ES_tradnl" w:eastAsia="en-GB"/>
              </w:rPr>
              <w:t>1.349</w:t>
            </w:r>
          </w:p>
        </w:tc>
        <w:tc>
          <w:tcPr>
            <w:tcW w:w="949" w:type="dxa"/>
            <w:tcBorders>
              <w:top w:val="nil"/>
              <w:left w:val="nil"/>
              <w:bottom w:val="single" w:sz="4" w:space="0" w:color="auto"/>
              <w:right w:val="single" w:sz="4" w:space="0" w:color="auto"/>
            </w:tcBorders>
            <w:shd w:val="clear" w:color="auto" w:fill="auto"/>
            <w:noWrap/>
            <w:vAlign w:val="bottom"/>
          </w:tcPr>
          <w:p w14:paraId="4DDD26D3" w14:textId="402B1399" w:rsidR="008D2AD3" w:rsidRPr="00A2129F" w:rsidRDefault="008D2AD3" w:rsidP="00384DDC">
            <w:pPr>
              <w:jc w:val="right"/>
              <w:rPr>
                <w:rFonts w:asciiTheme="minorHAnsi" w:eastAsia="Times New Roman" w:hAnsiTheme="minorHAnsi" w:cs="Arial"/>
                <w:sz w:val="22"/>
                <w:szCs w:val="22"/>
                <w:lang w:val="es-ES_tradnl" w:eastAsia="en-GB"/>
              </w:rPr>
            </w:pPr>
            <w:r w:rsidRPr="00A2129F">
              <w:rPr>
                <w:rFonts w:asciiTheme="minorHAnsi" w:eastAsia="Times New Roman" w:hAnsiTheme="minorHAnsi" w:cs="Arial"/>
                <w:sz w:val="22"/>
                <w:szCs w:val="22"/>
                <w:lang w:val="es-ES_tradnl" w:eastAsia="en-GB"/>
              </w:rPr>
              <w:t>1.277</w:t>
            </w:r>
            <w:r w:rsidRPr="00A2129F">
              <w:rPr>
                <w:rStyle w:val="FootnoteReference"/>
                <w:rFonts w:asciiTheme="minorHAnsi" w:eastAsia="Times New Roman" w:hAnsiTheme="minorHAnsi" w:cs="Arial"/>
                <w:sz w:val="22"/>
                <w:szCs w:val="22"/>
                <w:lang w:val="es-ES_tradnl" w:eastAsia="en-GB"/>
              </w:rPr>
              <w:footnoteReference w:id="1"/>
            </w:r>
          </w:p>
        </w:tc>
      </w:tr>
      <w:tr w:rsidR="008D2AD3" w:rsidRPr="00A2129F" w14:paraId="26F0E2E5" w14:textId="77777777" w:rsidTr="008D2AD3">
        <w:trPr>
          <w:trHeight w:val="300"/>
        </w:trPr>
        <w:tc>
          <w:tcPr>
            <w:tcW w:w="3580" w:type="dxa"/>
            <w:tcBorders>
              <w:top w:val="nil"/>
              <w:left w:val="single" w:sz="4" w:space="0" w:color="auto"/>
              <w:bottom w:val="single" w:sz="4" w:space="0" w:color="auto"/>
              <w:right w:val="single" w:sz="4" w:space="0" w:color="auto"/>
            </w:tcBorders>
            <w:vAlign w:val="bottom"/>
          </w:tcPr>
          <w:p w14:paraId="7E616E7B" w14:textId="77777777" w:rsidR="008D2AD3" w:rsidRDefault="008D2AD3" w:rsidP="00A04293">
            <w:pPr>
              <w:rPr>
                <w:rFonts w:asciiTheme="minorHAnsi" w:eastAsia="Times New Roman" w:hAnsiTheme="minorHAnsi" w:cs="Arial"/>
                <w:sz w:val="20"/>
                <w:szCs w:val="20"/>
                <w:lang w:val="es-ES_tradnl" w:eastAsia="en-GB"/>
              </w:rPr>
            </w:pPr>
            <w:r w:rsidRPr="00A2129F">
              <w:rPr>
                <w:rFonts w:asciiTheme="minorHAnsi" w:eastAsia="Times New Roman" w:hAnsiTheme="minorHAnsi" w:cs="Arial"/>
                <w:sz w:val="20"/>
                <w:szCs w:val="20"/>
                <w:lang w:val="es-ES_tradnl" w:eastAsia="en-GB"/>
              </w:rPr>
              <w:t>Provisión en caso de mora</w:t>
            </w:r>
          </w:p>
          <w:p w14:paraId="6547B3D8" w14:textId="3EB055FD" w:rsidR="00F00A2D" w:rsidRPr="00A2129F" w:rsidRDefault="00F00A2D" w:rsidP="00A04293">
            <w:pPr>
              <w:rPr>
                <w:rFonts w:asciiTheme="minorHAnsi" w:eastAsia="Times New Roman" w:hAnsiTheme="minorHAnsi" w:cs="Arial"/>
                <w:sz w:val="22"/>
                <w:szCs w:val="22"/>
                <w:lang w:val="es-ES_tradnl" w:eastAsia="en-GB"/>
              </w:rPr>
            </w:pPr>
            <w:r>
              <w:rPr>
                <w:rFonts w:asciiTheme="minorHAnsi" w:eastAsia="Times New Roman" w:hAnsiTheme="minorHAnsi" w:cs="Arial"/>
                <w:sz w:val="20"/>
                <w:szCs w:val="20"/>
                <w:lang w:val="es-ES_tradnl" w:eastAsia="en-GB"/>
              </w:rPr>
              <w:t>(provisión para contribuciones pendientes de pago)</w:t>
            </w:r>
          </w:p>
        </w:tc>
        <w:tc>
          <w:tcPr>
            <w:tcW w:w="960" w:type="dxa"/>
            <w:tcBorders>
              <w:top w:val="nil"/>
              <w:left w:val="nil"/>
              <w:bottom w:val="single" w:sz="4" w:space="0" w:color="auto"/>
              <w:right w:val="single" w:sz="4" w:space="0" w:color="auto"/>
            </w:tcBorders>
            <w:shd w:val="clear" w:color="auto" w:fill="auto"/>
            <w:noWrap/>
            <w:vAlign w:val="bottom"/>
          </w:tcPr>
          <w:p w14:paraId="4771CE7F" w14:textId="77777777" w:rsidR="008D2AD3" w:rsidRPr="00A2129F" w:rsidRDefault="008D2AD3" w:rsidP="00A04293">
            <w:pPr>
              <w:jc w:val="right"/>
              <w:rPr>
                <w:rFonts w:asciiTheme="minorHAnsi" w:eastAsia="Times New Roman" w:hAnsiTheme="minorHAnsi" w:cs="Arial"/>
                <w:sz w:val="22"/>
                <w:szCs w:val="22"/>
                <w:lang w:val="es-ES_tradnl" w:eastAsia="en-GB"/>
              </w:rPr>
            </w:pPr>
            <w:r w:rsidRPr="00A2129F">
              <w:rPr>
                <w:rFonts w:asciiTheme="minorHAnsi" w:eastAsia="Times New Roman" w:hAnsiTheme="minorHAnsi" w:cs="Arial"/>
                <w:sz w:val="22"/>
                <w:szCs w:val="22"/>
                <w:lang w:val="es-ES_tradnl" w:eastAsia="en-GB"/>
              </w:rPr>
              <w:t>361</w:t>
            </w:r>
          </w:p>
        </w:tc>
        <w:tc>
          <w:tcPr>
            <w:tcW w:w="960" w:type="dxa"/>
            <w:tcBorders>
              <w:top w:val="nil"/>
              <w:left w:val="nil"/>
              <w:bottom w:val="single" w:sz="4" w:space="0" w:color="auto"/>
              <w:right w:val="single" w:sz="4" w:space="0" w:color="auto"/>
            </w:tcBorders>
            <w:shd w:val="clear" w:color="auto" w:fill="auto"/>
            <w:noWrap/>
            <w:vAlign w:val="bottom"/>
          </w:tcPr>
          <w:p w14:paraId="740BA5FD" w14:textId="77777777" w:rsidR="008D2AD3" w:rsidRPr="00A2129F" w:rsidRDefault="008D2AD3" w:rsidP="00A04293">
            <w:pPr>
              <w:jc w:val="right"/>
              <w:rPr>
                <w:rFonts w:asciiTheme="minorHAnsi" w:eastAsia="Times New Roman" w:hAnsiTheme="minorHAnsi" w:cs="Arial"/>
                <w:sz w:val="22"/>
                <w:szCs w:val="22"/>
                <w:lang w:val="es-ES_tradnl" w:eastAsia="en-GB"/>
              </w:rPr>
            </w:pPr>
            <w:r w:rsidRPr="00A2129F">
              <w:rPr>
                <w:rFonts w:asciiTheme="minorHAnsi" w:eastAsia="Times New Roman" w:hAnsiTheme="minorHAnsi" w:cs="Arial"/>
                <w:sz w:val="22"/>
                <w:szCs w:val="22"/>
                <w:lang w:val="es-ES_tradnl" w:eastAsia="en-GB"/>
              </w:rPr>
              <w:t>385</w:t>
            </w:r>
          </w:p>
        </w:tc>
        <w:tc>
          <w:tcPr>
            <w:tcW w:w="960" w:type="dxa"/>
            <w:tcBorders>
              <w:top w:val="nil"/>
              <w:left w:val="nil"/>
              <w:bottom w:val="single" w:sz="4" w:space="0" w:color="auto"/>
              <w:right w:val="single" w:sz="4" w:space="0" w:color="auto"/>
            </w:tcBorders>
            <w:shd w:val="clear" w:color="auto" w:fill="auto"/>
            <w:noWrap/>
            <w:vAlign w:val="bottom"/>
          </w:tcPr>
          <w:p w14:paraId="7DEBE287" w14:textId="77777777" w:rsidR="008D2AD3" w:rsidRPr="00A2129F" w:rsidRDefault="008D2AD3" w:rsidP="00A04293">
            <w:pPr>
              <w:jc w:val="right"/>
              <w:rPr>
                <w:rFonts w:asciiTheme="minorHAnsi" w:eastAsia="Times New Roman" w:hAnsiTheme="minorHAnsi" w:cs="Arial"/>
                <w:sz w:val="22"/>
                <w:szCs w:val="22"/>
                <w:lang w:val="es-ES_tradnl" w:eastAsia="en-GB"/>
              </w:rPr>
            </w:pPr>
            <w:r w:rsidRPr="00A2129F">
              <w:rPr>
                <w:rFonts w:asciiTheme="minorHAnsi" w:eastAsia="Times New Roman" w:hAnsiTheme="minorHAnsi" w:cs="Arial"/>
                <w:sz w:val="22"/>
                <w:szCs w:val="22"/>
                <w:lang w:val="es-ES_tradnl" w:eastAsia="en-GB"/>
              </w:rPr>
              <w:t>483</w:t>
            </w:r>
          </w:p>
        </w:tc>
        <w:tc>
          <w:tcPr>
            <w:tcW w:w="960" w:type="dxa"/>
            <w:tcBorders>
              <w:top w:val="nil"/>
              <w:left w:val="nil"/>
              <w:bottom w:val="single" w:sz="4" w:space="0" w:color="auto"/>
              <w:right w:val="single" w:sz="4" w:space="0" w:color="auto"/>
            </w:tcBorders>
            <w:shd w:val="clear" w:color="auto" w:fill="auto"/>
            <w:noWrap/>
            <w:vAlign w:val="bottom"/>
          </w:tcPr>
          <w:p w14:paraId="5D5E4C8D" w14:textId="77777777" w:rsidR="008D2AD3" w:rsidRPr="00A2129F" w:rsidRDefault="008D2AD3" w:rsidP="00A04293">
            <w:pPr>
              <w:jc w:val="right"/>
              <w:rPr>
                <w:rFonts w:asciiTheme="minorHAnsi" w:eastAsia="Times New Roman" w:hAnsiTheme="minorHAnsi" w:cs="Arial"/>
                <w:sz w:val="22"/>
                <w:szCs w:val="22"/>
                <w:lang w:val="es-ES_tradnl" w:eastAsia="en-GB"/>
              </w:rPr>
            </w:pPr>
            <w:r w:rsidRPr="00A2129F">
              <w:rPr>
                <w:rFonts w:asciiTheme="minorHAnsi" w:eastAsia="Times New Roman" w:hAnsiTheme="minorHAnsi" w:cs="Arial"/>
                <w:sz w:val="22"/>
                <w:szCs w:val="22"/>
                <w:lang w:val="es-ES_tradnl" w:eastAsia="en-GB"/>
              </w:rPr>
              <w:t>691</w:t>
            </w:r>
          </w:p>
        </w:tc>
        <w:tc>
          <w:tcPr>
            <w:tcW w:w="949" w:type="dxa"/>
            <w:tcBorders>
              <w:top w:val="nil"/>
              <w:left w:val="nil"/>
              <w:bottom w:val="single" w:sz="4" w:space="0" w:color="auto"/>
              <w:right w:val="single" w:sz="4" w:space="0" w:color="auto"/>
            </w:tcBorders>
            <w:shd w:val="clear" w:color="auto" w:fill="auto"/>
            <w:noWrap/>
            <w:vAlign w:val="bottom"/>
          </w:tcPr>
          <w:p w14:paraId="05ABB2A4" w14:textId="77777777" w:rsidR="008D2AD3" w:rsidRPr="00A2129F" w:rsidRDefault="008D2AD3" w:rsidP="00A04293">
            <w:pPr>
              <w:jc w:val="right"/>
              <w:rPr>
                <w:rFonts w:asciiTheme="minorHAnsi" w:eastAsia="Times New Roman" w:hAnsiTheme="minorHAnsi" w:cs="Arial"/>
                <w:sz w:val="22"/>
                <w:szCs w:val="22"/>
                <w:lang w:val="es-ES_tradnl" w:eastAsia="en-GB"/>
              </w:rPr>
            </w:pPr>
            <w:r w:rsidRPr="00A2129F">
              <w:rPr>
                <w:rFonts w:asciiTheme="minorHAnsi" w:eastAsia="Times New Roman" w:hAnsiTheme="minorHAnsi" w:cs="Arial"/>
                <w:sz w:val="22"/>
                <w:szCs w:val="22"/>
                <w:lang w:val="es-ES_tradnl" w:eastAsia="en-GB"/>
              </w:rPr>
              <w:t>661</w:t>
            </w:r>
            <w:r w:rsidRPr="00A2129F">
              <w:rPr>
                <w:rStyle w:val="FootnoteReference"/>
                <w:rFonts w:asciiTheme="minorHAnsi" w:eastAsia="Times New Roman" w:hAnsiTheme="minorHAnsi" w:cs="Arial"/>
                <w:sz w:val="22"/>
                <w:szCs w:val="22"/>
                <w:lang w:val="es-ES_tradnl" w:eastAsia="en-GB"/>
              </w:rPr>
              <w:footnoteReference w:id="2"/>
            </w:r>
          </w:p>
        </w:tc>
      </w:tr>
    </w:tbl>
    <w:p w14:paraId="023D3034" w14:textId="77777777" w:rsidR="005410BE" w:rsidRPr="00A2129F" w:rsidRDefault="005410BE" w:rsidP="005410BE">
      <w:pPr>
        <w:autoSpaceDE w:val="0"/>
        <w:autoSpaceDN w:val="0"/>
        <w:adjustRightInd w:val="0"/>
        <w:rPr>
          <w:rFonts w:ascii="Calibri" w:hAnsi="Calibri" w:cs="Calibri"/>
          <w:sz w:val="22"/>
          <w:szCs w:val="22"/>
          <w:lang w:val="es-ES_tradnl"/>
        </w:rPr>
      </w:pPr>
    </w:p>
    <w:p w14:paraId="006EF989" w14:textId="77777777" w:rsidR="003C6AAA" w:rsidRPr="00A2129F" w:rsidRDefault="003C6AAA" w:rsidP="00F8523A">
      <w:pPr>
        <w:rPr>
          <w:rFonts w:ascii="Calibri" w:hAnsi="Calibri" w:cs="Calibri"/>
          <w:sz w:val="22"/>
          <w:szCs w:val="22"/>
          <w:lang w:val="es-ES_tradnl"/>
        </w:rPr>
      </w:pPr>
    </w:p>
    <w:p w14:paraId="3E1A90A0" w14:textId="63C4FCBF" w:rsidR="00EB4E1D" w:rsidRPr="00A2129F" w:rsidRDefault="00EB4E1D" w:rsidP="00EB4E1D">
      <w:pPr>
        <w:numPr>
          <w:ilvl w:val="0"/>
          <w:numId w:val="1"/>
        </w:numPr>
        <w:autoSpaceDE w:val="0"/>
        <w:autoSpaceDN w:val="0"/>
        <w:adjustRightInd w:val="0"/>
        <w:ind w:left="426" w:hanging="426"/>
        <w:rPr>
          <w:rFonts w:ascii="Calibri" w:hAnsi="Calibri" w:cs="Calibri"/>
          <w:sz w:val="22"/>
          <w:szCs w:val="22"/>
          <w:lang w:val="es-ES_tradnl"/>
        </w:rPr>
      </w:pPr>
      <w:r w:rsidRPr="00A2129F">
        <w:rPr>
          <w:rFonts w:ascii="Calibri" w:hAnsi="Calibri" w:cs="Calibri"/>
          <w:sz w:val="22"/>
          <w:szCs w:val="22"/>
          <w:lang w:val="es-ES_tradnl"/>
        </w:rPr>
        <w:t>Al 31 de diciembre de 2016, 90 de las Partes Contratantes habían pagado todas sus contribucio</w:t>
      </w:r>
      <w:r w:rsidR="008E774F">
        <w:rPr>
          <w:rFonts w:ascii="Calibri" w:hAnsi="Calibri" w:cs="Calibri"/>
          <w:sz w:val="22"/>
          <w:szCs w:val="22"/>
          <w:lang w:val="es-ES_tradnl"/>
        </w:rPr>
        <w:t>nes hasta el año 2016 inclusive; diecinueve</w:t>
      </w:r>
      <w:r w:rsidRPr="00A2129F">
        <w:rPr>
          <w:rFonts w:ascii="Calibri" w:hAnsi="Calibri" w:cs="Calibri"/>
          <w:sz w:val="22"/>
          <w:szCs w:val="22"/>
          <w:lang w:val="es-ES_tradnl"/>
        </w:rPr>
        <w:t xml:space="preserve"> de ellas </w:t>
      </w:r>
      <w:r w:rsidR="008E02ED">
        <w:rPr>
          <w:rFonts w:ascii="Calibri" w:hAnsi="Calibri" w:cs="Calibri"/>
          <w:sz w:val="22"/>
          <w:szCs w:val="22"/>
          <w:lang w:val="es-ES_tradnl"/>
        </w:rPr>
        <w:t xml:space="preserve">ya </w:t>
      </w:r>
      <w:r w:rsidRPr="00A2129F">
        <w:rPr>
          <w:rFonts w:ascii="Calibri" w:hAnsi="Calibri" w:cs="Calibri"/>
          <w:sz w:val="22"/>
          <w:szCs w:val="22"/>
          <w:lang w:val="es-ES_tradnl"/>
        </w:rPr>
        <w:t xml:space="preserve">habían pagado sus contribuciones correspondientes a 2017. </w:t>
      </w:r>
      <w:r w:rsidRPr="002C4363">
        <w:rPr>
          <w:rFonts w:ascii="Calibri" w:hAnsi="Calibri" w:cs="Calibri"/>
          <w:sz w:val="22"/>
          <w:szCs w:val="22"/>
          <w:lang w:val="es-ES_tradnl"/>
        </w:rPr>
        <w:t xml:space="preserve">La Secretaría agradece </w:t>
      </w:r>
      <w:r w:rsidR="002C4363" w:rsidRPr="002C4363">
        <w:rPr>
          <w:rFonts w:ascii="Calibri" w:hAnsi="Calibri" w:cs="Calibri"/>
          <w:sz w:val="22"/>
          <w:szCs w:val="22"/>
          <w:lang w:val="es-ES_tradnl"/>
        </w:rPr>
        <w:t xml:space="preserve">la puntualidad </w:t>
      </w:r>
      <w:r w:rsidR="008E774F">
        <w:rPr>
          <w:rFonts w:ascii="Calibri" w:hAnsi="Calibri" w:cs="Calibri"/>
          <w:sz w:val="22"/>
          <w:szCs w:val="22"/>
          <w:lang w:val="es-ES_tradnl"/>
        </w:rPr>
        <w:t xml:space="preserve">constante de esas Partes en el </w:t>
      </w:r>
      <w:r w:rsidR="002C4363" w:rsidRPr="002C4363">
        <w:rPr>
          <w:rFonts w:ascii="Calibri" w:hAnsi="Calibri" w:cs="Calibri"/>
          <w:sz w:val="22"/>
          <w:szCs w:val="22"/>
          <w:lang w:val="es-ES_tradnl"/>
        </w:rPr>
        <w:t>pago de sus contribuciones.</w:t>
      </w:r>
    </w:p>
    <w:p w14:paraId="7006D362" w14:textId="77777777" w:rsidR="00044588" w:rsidRPr="00A2129F" w:rsidRDefault="00044588" w:rsidP="00044588">
      <w:pPr>
        <w:autoSpaceDE w:val="0"/>
        <w:autoSpaceDN w:val="0"/>
        <w:adjustRightInd w:val="0"/>
        <w:rPr>
          <w:rFonts w:ascii="Calibri" w:hAnsi="Calibri" w:cs="Calibri"/>
          <w:sz w:val="22"/>
          <w:szCs w:val="22"/>
          <w:lang w:val="es-ES_tradnl"/>
        </w:rPr>
      </w:pPr>
    </w:p>
    <w:p w14:paraId="67474348" w14:textId="3A34DA64" w:rsidR="00EB4E1D" w:rsidRPr="00A2129F" w:rsidRDefault="002C4363" w:rsidP="00EB4E1D">
      <w:pPr>
        <w:numPr>
          <w:ilvl w:val="0"/>
          <w:numId w:val="1"/>
        </w:numPr>
        <w:autoSpaceDE w:val="0"/>
        <w:autoSpaceDN w:val="0"/>
        <w:adjustRightInd w:val="0"/>
        <w:ind w:left="426" w:hanging="426"/>
        <w:rPr>
          <w:rFonts w:ascii="Calibri" w:hAnsi="Calibri" w:cs="Calibri"/>
          <w:sz w:val="22"/>
          <w:szCs w:val="22"/>
          <w:lang w:val="es-ES_tradnl"/>
        </w:rPr>
      </w:pPr>
      <w:r>
        <w:rPr>
          <w:rFonts w:ascii="Calibri" w:hAnsi="Calibri" w:cs="Calibri"/>
          <w:sz w:val="22"/>
          <w:szCs w:val="22"/>
          <w:lang w:val="es-ES_tradnl"/>
        </w:rPr>
        <w:t>En el Cuadro 2 se muestra una comparativa del importe total de las contribuciones pendientes de pago al 29 de febrero de 2016</w:t>
      </w:r>
      <w:r w:rsidR="005F0A54">
        <w:rPr>
          <w:rFonts w:ascii="Calibri" w:hAnsi="Calibri" w:cs="Calibri"/>
          <w:sz w:val="22"/>
          <w:szCs w:val="22"/>
          <w:lang w:val="es-ES_tradnl"/>
        </w:rPr>
        <w:t xml:space="preserve"> y al 31 de diciembre de 2016, </w:t>
      </w:r>
      <w:r w:rsidRPr="005F0A54">
        <w:rPr>
          <w:rFonts w:ascii="Calibri" w:hAnsi="Calibri" w:cs="Calibri"/>
          <w:sz w:val="22"/>
          <w:szCs w:val="22"/>
          <w:lang w:val="es-ES_tradnl"/>
        </w:rPr>
        <w:t>desglosad</w:t>
      </w:r>
      <w:r w:rsidR="005F0A54">
        <w:rPr>
          <w:rFonts w:ascii="Calibri" w:hAnsi="Calibri" w:cs="Calibri"/>
          <w:sz w:val="22"/>
          <w:szCs w:val="22"/>
          <w:lang w:val="es-ES_tradnl"/>
        </w:rPr>
        <w:t>as</w:t>
      </w:r>
      <w:r w:rsidRPr="005F0A54">
        <w:rPr>
          <w:rFonts w:ascii="Calibri" w:hAnsi="Calibri" w:cs="Calibri"/>
          <w:sz w:val="22"/>
          <w:szCs w:val="22"/>
          <w:lang w:val="es-ES_tradnl"/>
        </w:rPr>
        <w:t xml:space="preserve"> por año de vencimiento inicial</w:t>
      </w:r>
      <w:r w:rsidR="005F0A54" w:rsidRPr="005F0A54">
        <w:rPr>
          <w:rFonts w:ascii="Calibri" w:hAnsi="Calibri" w:cs="Calibri"/>
          <w:sz w:val="22"/>
          <w:szCs w:val="22"/>
          <w:lang w:val="es-ES_tradnl"/>
        </w:rPr>
        <w:t xml:space="preserve">. </w:t>
      </w:r>
      <w:r w:rsidR="00CB573C">
        <w:rPr>
          <w:rFonts w:ascii="Calibri" w:hAnsi="Calibri" w:cs="Calibri"/>
          <w:sz w:val="22"/>
          <w:szCs w:val="22"/>
          <w:lang w:val="es-ES_tradnl"/>
        </w:rPr>
        <w:t>Se mejoró</w:t>
      </w:r>
      <w:r w:rsidR="005F0A54">
        <w:rPr>
          <w:rFonts w:ascii="Calibri" w:hAnsi="Calibri" w:cs="Calibri"/>
          <w:sz w:val="22"/>
          <w:szCs w:val="22"/>
          <w:lang w:val="es-ES_tradnl"/>
        </w:rPr>
        <w:t xml:space="preserve"> considerablemente la situación con respecto a las contribuciones impagadas con hasta cuatro años de antigüedad. En el caso de los saldos pendientes con cinco años o más</w:t>
      </w:r>
      <w:r w:rsidR="00BD0520">
        <w:rPr>
          <w:rFonts w:ascii="Calibri" w:hAnsi="Calibri" w:cs="Calibri"/>
          <w:sz w:val="22"/>
          <w:szCs w:val="22"/>
          <w:lang w:val="es-ES_tradnl"/>
        </w:rPr>
        <w:t xml:space="preserve"> de antigüedad</w:t>
      </w:r>
      <w:r w:rsidR="005F0A54">
        <w:rPr>
          <w:rFonts w:ascii="Calibri" w:hAnsi="Calibri" w:cs="Calibri"/>
          <w:sz w:val="22"/>
          <w:szCs w:val="22"/>
          <w:lang w:val="es-ES_tradnl"/>
        </w:rPr>
        <w:t xml:space="preserve"> los resultados fueron más mode</w:t>
      </w:r>
      <w:r w:rsidR="00CB573C">
        <w:rPr>
          <w:rFonts w:ascii="Calibri" w:hAnsi="Calibri" w:cs="Calibri"/>
          <w:sz w:val="22"/>
          <w:szCs w:val="22"/>
          <w:lang w:val="es-ES_tradnl"/>
        </w:rPr>
        <w:t>rados. En términos globales, al 31 de diciembre de 2016 se había pagado el 70</w:t>
      </w:r>
      <w:r w:rsidR="005E1897">
        <w:rPr>
          <w:rFonts w:ascii="Calibri" w:hAnsi="Calibri" w:cs="Calibri"/>
          <w:sz w:val="22"/>
          <w:szCs w:val="22"/>
          <w:lang w:val="es-ES_tradnl"/>
        </w:rPr>
        <w:t xml:space="preserve"> </w:t>
      </w:r>
      <w:r w:rsidR="00CB573C">
        <w:rPr>
          <w:rFonts w:ascii="Calibri" w:hAnsi="Calibri" w:cs="Calibri"/>
          <w:sz w:val="22"/>
          <w:szCs w:val="22"/>
          <w:lang w:val="es-ES_tradnl"/>
        </w:rPr>
        <w:t>% de las contribuciones pendientes de pago al 29 de febrero de 2016.</w:t>
      </w:r>
      <w:r w:rsidR="008E774F">
        <w:rPr>
          <w:rFonts w:ascii="Calibri" w:hAnsi="Calibri" w:cs="Calibri"/>
          <w:sz w:val="22"/>
          <w:szCs w:val="22"/>
          <w:lang w:val="es-ES_tradnl"/>
        </w:rPr>
        <w:t xml:space="preserve"> </w:t>
      </w:r>
    </w:p>
    <w:p w14:paraId="50E84079" w14:textId="08A61A2F" w:rsidR="00044588" w:rsidRPr="00A2129F" w:rsidRDefault="00044588" w:rsidP="00EB4E1D">
      <w:pPr>
        <w:autoSpaceDE w:val="0"/>
        <w:autoSpaceDN w:val="0"/>
        <w:adjustRightInd w:val="0"/>
        <w:ind w:left="360"/>
        <w:rPr>
          <w:rFonts w:ascii="Calibri" w:hAnsi="Calibri" w:cs="Calibri"/>
          <w:sz w:val="22"/>
          <w:szCs w:val="22"/>
          <w:lang w:val="es-ES_tradnl"/>
        </w:rPr>
      </w:pPr>
    </w:p>
    <w:p w14:paraId="78FE551E" w14:textId="77777777" w:rsidR="0019138B" w:rsidRPr="00A2129F" w:rsidRDefault="0019138B" w:rsidP="005D4F37">
      <w:pPr>
        <w:keepNext/>
        <w:autoSpaceDE w:val="0"/>
        <w:autoSpaceDN w:val="0"/>
        <w:adjustRightInd w:val="0"/>
        <w:rPr>
          <w:rFonts w:ascii="Calibri" w:hAnsi="Calibri" w:cs="Calibri"/>
          <w:sz w:val="22"/>
          <w:szCs w:val="22"/>
          <w:lang w:val="es-ES_tradnl"/>
        </w:rPr>
      </w:pPr>
    </w:p>
    <w:p w14:paraId="513CA90C" w14:textId="71D43F84" w:rsidR="00EB4E1D" w:rsidRPr="00A2129F" w:rsidRDefault="00EB4E1D" w:rsidP="00EB4E1D">
      <w:pPr>
        <w:autoSpaceDE w:val="0"/>
        <w:autoSpaceDN w:val="0"/>
        <w:adjustRightInd w:val="0"/>
        <w:rPr>
          <w:rFonts w:ascii="Calibri" w:hAnsi="Calibri" w:cs="Calibri"/>
          <w:i/>
          <w:sz w:val="22"/>
          <w:szCs w:val="22"/>
          <w:lang w:val="es-ES_tradnl"/>
        </w:rPr>
      </w:pPr>
      <w:r w:rsidRPr="00A2129F">
        <w:rPr>
          <w:rFonts w:ascii="Calibri" w:hAnsi="Calibri" w:cs="Calibri"/>
          <w:i/>
          <w:sz w:val="22"/>
          <w:szCs w:val="22"/>
          <w:lang w:val="es-ES_tradnl"/>
        </w:rPr>
        <w:t>Cuadro 2: C</w:t>
      </w:r>
      <w:r w:rsidR="008E02ED">
        <w:rPr>
          <w:rFonts w:ascii="Calibri" w:hAnsi="Calibri" w:cs="Calibri"/>
          <w:i/>
          <w:sz w:val="22"/>
          <w:szCs w:val="22"/>
          <w:lang w:val="es-ES_tradnl"/>
        </w:rPr>
        <w:t>omparativa de las c</w:t>
      </w:r>
      <w:r w:rsidRPr="00A2129F">
        <w:rPr>
          <w:rFonts w:ascii="Calibri" w:hAnsi="Calibri" w:cs="Calibri"/>
          <w:i/>
          <w:sz w:val="22"/>
          <w:szCs w:val="22"/>
          <w:lang w:val="es-ES_tradnl"/>
        </w:rPr>
        <w:t>ontribuciones pendientes de pago al 29 de febrero de 2016 y al 31 de diciembre de 2016,</w:t>
      </w:r>
      <w:r w:rsidR="00BD0520">
        <w:rPr>
          <w:rFonts w:ascii="Calibri" w:hAnsi="Calibri" w:cs="Calibri"/>
          <w:i/>
          <w:sz w:val="22"/>
          <w:szCs w:val="22"/>
          <w:lang w:val="es-ES_tradnl"/>
        </w:rPr>
        <w:t xml:space="preserve"> según los</w:t>
      </w:r>
      <w:r w:rsidRPr="00A2129F">
        <w:rPr>
          <w:rFonts w:ascii="Calibri" w:hAnsi="Calibri" w:cs="Calibri"/>
          <w:i/>
          <w:sz w:val="22"/>
          <w:szCs w:val="22"/>
          <w:lang w:val="es-ES_tradnl"/>
        </w:rPr>
        <w:t xml:space="preserve"> años de atraso </w:t>
      </w:r>
    </w:p>
    <w:p w14:paraId="39C2EB17" w14:textId="77777777" w:rsidR="00044588" w:rsidRPr="00A2129F" w:rsidRDefault="00044588" w:rsidP="005D4F37">
      <w:pPr>
        <w:keepNext/>
        <w:autoSpaceDE w:val="0"/>
        <w:autoSpaceDN w:val="0"/>
        <w:adjustRightInd w:val="0"/>
        <w:rPr>
          <w:rFonts w:ascii="Calibri" w:hAnsi="Calibri" w:cs="Calibri"/>
          <w:sz w:val="22"/>
          <w:szCs w:val="22"/>
          <w:lang w:val="es-ES_tradnl"/>
        </w:rPr>
      </w:pPr>
    </w:p>
    <w:tbl>
      <w:tblPr>
        <w:tblW w:w="9000" w:type="dxa"/>
        <w:tblInd w:w="108" w:type="dxa"/>
        <w:tblLayout w:type="fixed"/>
        <w:tblLook w:val="04A0" w:firstRow="1" w:lastRow="0" w:firstColumn="1" w:lastColumn="0" w:noHBand="0" w:noVBand="1"/>
      </w:tblPr>
      <w:tblGrid>
        <w:gridCol w:w="1440"/>
        <w:gridCol w:w="1320"/>
        <w:gridCol w:w="2080"/>
        <w:gridCol w:w="2000"/>
        <w:gridCol w:w="2160"/>
      </w:tblGrid>
      <w:tr w:rsidR="00E9087C" w:rsidRPr="00436F6C" w14:paraId="30F5E763" w14:textId="77777777" w:rsidTr="0019138B">
        <w:trPr>
          <w:trHeight w:val="721"/>
        </w:trPr>
        <w:tc>
          <w:tcPr>
            <w:tcW w:w="14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5C1AB20" w14:textId="0943BADC" w:rsidR="00E9087C" w:rsidRPr="00A2129F" w:rsidRDefault="00CB573C" w:rsidP="005D4F37">
            <w:pPr>
              <w:keepNext/>
              <w:jc w:val="center"/>
              <w:rPr>
                <w:rFonts w:ascii="Calibri" w:eastAsia="Times New Roman" w:hAnsi="Calibri"/>
                <w:b/>
                <w:bCs/>
                <w:sz w:val="20"/>
                <w:szCs w:val="20"/>
                <w:lang w:val="es-ES_tradnl" w:eastAsia="en-GB"/>
              </w:rPr>
            </w:pPr>
            <w:r>
              <w:rPr>
                <w:rFonts w:ascii="Calibri" w:eastAsia="Times New Roman" w:hAnsi="Calibri"/>
                <w:b/>
                <w:bCs/>
                <w:sz w:val="20"/>
                <w:szCs w:val="20"/>
                <w:lang w:val="es-ES_tradnl" w:eastAsia="en-GB"/>
              </w:rPr>
              <w:t>Año de vencimiento</w:t>
            </w:r>
          </w:p>
        </w:tc>
        <w:tc>
          <w:tcPr>
            <w:tcW w:w="1320" w:type="dxa"/>
            <w:tcBorders>
              <w:top w:val="single" w:sz="4" w:space="0" w:color="auto"/>
              <w:left w:val="nil"/>
              <w:bottom w:val="single" w:sz="4" w:space="0" w:color="auto"/>
              <w:right w:val="single" w:sz="4" w:space="0" w:color="auto"/>
            </w:tcBorders>
            <w:shd w:val="clear" w:color="auto" w:fill="C6D9F1" w:themeFill="text2" w:themeFillTint="33"/>
            <w:vAlign w:val="center"/>
          </w:tcPr>
          <w:p w14:paraId="71CE8EF6" w14:textId="3AEE267B" w:rsidR="00E9087C" w:rsidRPr="00A2129F" w:rsidRDefault="00CB573C" w:rsidP="00A04293">
            <w:pPr>
              <w:jc w:val="center"/>
              <w:rPr>
                <w:rFonts w:ascii="Calibri" w:eastAsia="Times New Roman" w:hAnsi="Calibri"/>
                <w:b/>
                <w:bCs/>
                <w:sz w:val="20"/>
                <w:szCs w:val="20"/>
                <w:lang w:val="es-ES_tradnl" w:eastAsia="en-GB"/>
              </w:rPr>
            </w:pPr>
            <w:r>
              <w:rPr>
                <w:rFonts w:ascii="Calibri" w:eastAsia="Times New Roman" w:hAnsi="Calibri"/>
                <w:b/>
                <w:bCs/>
                <w:sz w:val="20"/>
                <w:szCs w:val="20"/>
                <w:lang w:val="es-ES_tradnl" w:eastAsia="en-GB"/>
              </w:rPr>
              <w:t>Años de atraso</w:t>
            </w:r>
          </w:p>
        </w:tc>
        <w:tc>
          <w:tcPr>
            <w:tcW w:w="2080" w:type="dxa"/>
            <w:tcBorders>
              <w:top w:val="single" w:sz="4" w:space="0" w:color="auto"/>
              <w:left w:val="nil"/>
              <w:bottom w:val="single" w:sz="4" w:space="0" w:color="auto"/>
              <w:right w:val="single" w:sz="4" w:space="0" w:color="auto"/>
            </w:tcBorders>
            <w:shd w:val="clear" w:color="auto" w:fill="C6D9F1" w:themeFill="text2" w:themeFillTint="33"/>
            <w:vAlign w:val="center"/>
          </w:tcPr>
          <w:p w14:paraId="1C4F773E" w14:textId="63A673CD" w:rsidR="00E9087C" w:rsidRPr="00A2129F" w:rsidRDefault="00CB573C" w:rsidP="00BD0520">
            <w:pPr>
              <w:jc w:val="center"/>
              <w:rPr>
                <w:rFonts w:ascii="Calibri" w:eastAsia="Times New Roman" w:hAnsi="Calibri"/>
                <w:b/>
                <w:bCs/>
                <w:sz w:val="20"/>
                <w:szCs w:val="20"/>
                <w:lang w:val="es-ES_tradnl" w:eastAsia="en-GB"/>
              </w:rPr>
            </w:pPr>
            <w:r>
              <w:rPr>
                <w:rFonts w:ascii="Calibri" w:eastAsia="Times New Roman" w:hAnsi="Calibri"/>
                <w:b/>
                <w:bCs/>
                <w:sz w:val="20"/>
                <w:szCs w:val="20"/>
                <w:lang w:val="es-ES_tradnl" w:eastAsia="en-GB"/>
              </w:rPr>
              <w:t>Importe t</w:t>
            </w:r>
            <w:r w:rsidR="00E9087C" w:rsidRPr="00A2129F">
              <w:rPr>
                <w:rFonts w:ascii="Calibri" w:eastAsia="Times New Roman" w:hAnsi="Calibri"/>
                <w:b/>
                <w:bCs/>
                <w:sz w:val="20"/>
                <w:szCs w:val="20"/>
                <w:lang w:val="es-ES_tradnl" w:eastAsia="en-GB"/>
              </w:rPr>
              <w:t>otal</w:t>
            </w:r>
            <w:r>
              <w:rPr>
                <w:rFonts w:ascii="Calibri" w:eastAsia="Times New Roman" w:hAnsi="Calibri"/>
                <w:b/>
                <w:bCs/>
                <w:sz w:val="20"/>
                <w:szCs w:val="20"/>
                <w:lang w:val="es-ES_tradnl" w:eastAsia="en-GB"/>
              </w:rPr>
              <w:t xml:space="preserve"> de las contribuciones </w:t>
            </w:r>
            <w:r w:rsidR="00BD0520">
              <w:rPr>
                <w:rFonts w:ascii="Calibri" w:eastAsia="Times New Roman" w:hAnsi="Calibri"/>
                <w:b/>
                <w:bCs/>
                <w:sz w:val="20"/>
                <w:szCs w:val="20"/>
                <w:lang w:val="es-ES_tradnl" w:eastAsia="en-GB"/>
              </w:rPr>
              <w:t>pendientes</w:t>
            </w:r>
            <w:r>
              <w:rPr>
                <w:rFonts w:ascii="Calibri" w:eastAsia="Times New Roman" w:hAnsi="Calibri"/>
                <w:b/>
                <w:bCs/>
                <w:sz w:val="20"/>
                <w:szCs w:val="20"/>
                <w:lang w:val="es-ES_tradnl" w:eastAsia="en-GB"/>
              </w:rPr>
              <w:t xml:space="preserve"> al 29.2.2016 </w:t>
            </w:r>
            <w:r w:rsidR="00E9087C" w:rsidRPr="00A2129F">
              <w:rPr>
                <w:rFonts w:ascii="Calibri" w:eastAsia="Times New Roman" w:hAnsi="Calibri"/>
                <w:b/>
                <w:bCs/>
                <w:sz w:val="20"/>
                <w:szCs w:val="20"/>
                <w:lang w:val="es-ES_tradnl" w:eastAsia="en-GB"/>
              </w:rPr>
              <w:t>(</w:t>
            </w:r>
            <w:r>
              <w:rPr>
                <w:rFonts w:ascii="Calibri" w:eastAsia="Times New Roman" w:hAnsi="Calibri"/>
                <w:b/>
                <w:bCs/>
                <w:sz w:val="20"/>
                <w:szCs w:val="20"/>
                <w:lang w:val="es-ES_tradnl" w:eastAsia="en-GB"/>
              </w:rPr>
              <w:t>en miles de francos suizos</w:t>
            </w:r>
            <w:r w:rsidR="00E9087C" w:rsidRPr="00A2129F">
              <w:rPr>
                <w:rFonts w:ascii="Calibri" w:eastAsia="Times New Roman" w:hAnsi="Calibri"/>
                <w:b/>
                <w:bCs/>
                <w:sz w:val="20"/>
                <w:szCs w:val="20"/>
                <w:lang w:val="es-ES_tradnl" w:eastAsia="en-GB"/>
              </w:rPr>
              <w:t>)</w:t>
            </w:r>
          </w:p>
        </w:tc>
        <w:tc>
          <w:tcPr>
            <w:tcW w:w="2000" w:type="dxa"/>
            <w:tcBorders>
              <w:top w:val="single" w:sz="4" w:space="0" w:color="auto"/>
              <w:left w:val="nil"/>
              <w:bottom w:val="single" w:sz="4" w:space="0" w:color="auto"/>
              <w:right w:val="single" w:sz="4" w:space="0" w:color="auto"/>
            </w:tcBorders>
            <w:shd w:val="clear" w:color="auto" w:fill="C6D9F1" w:themeFill="text2" w:themeFillTint="33"/>
            <w:vAlign w:val="center"/>
          </w:tcPr>
          <w:p w14:paraId="2F9E5360" w14:textId="616F09DE" w:rsidR="00E9087C" w:rsidRPr="00A2129F" w:rsidRDefault="00CB573C" w:rsidP="00BD0520">
            <w:pPr>
              <w:jc w:val="center"/>
              <w:rPr>
                <w:rFonts w:ascii="Calibri" w:eastAsia="Times New Roman" w:hAnsi="Calibri"/>
                <w:b/>
                <w:bCs/>
                <w:sz w:val="20"/>
                <w:szCs w:val="20"/>
                <w:lang w:val="es-ES_tradnl" w:eastAsia="en-GB"/>
              </w:rPr>
            </w:pPr>
            <w:r>
              <w:rPr>
                <w:rFonts w:ascii="Calibri" w:eastAsia="Times New Roman" w:hAnsi="Calibri"/>
                <w:b/>
                <w:bCs/>
                <w:sz w:val="20"/>
                <w:szCs w:val="20"/>
                <w:lang w:val="es-ES_tradnl" w:eastAsia="en-GB"/>
              </w:rPr>
              <w:t>Importe t</w:t>
            </w:r>
            <w:r w:rsidRPr="00A2129F">
              <w:rPr>
                <w:rFonts w:ascii="Calibri" w:eastAsia="Times New Roman" w:hAnsi="Calibri"/>
                <w:b/>
                <w:bCs/>
                <w:sz w:val="20"/>
                <w:szCs w:val="20"/>
                <w:lang w:val="es-ES_tradnl" w:eastAsia="en-GB"/>
              </w:rPr>
              <w:t>otal</w:t>
            </w:r>
            <w:r>
              <w:rPr>
                <w:rFonts w:ascii="Calibri" w:eastAsia="Times New Roman" w:hAnsi="Calibri"/>
                <w:b/>
                <w:bCs/>
                <w:sz w:val="20"/>
                <w:szCs w:val="20"/>
                <w:lang w:val="es-ES_tradnl" w:eastAsia="en-GB"/>
              </w:rPr>
              <w:t xml:space="preserve"> de las contribuciones </w:t>
            </w:r>
            <w:r w:rsidR="00BD0520">
              <w:rPr>
                <w:rFonts w:ascii="Calibri" w:eastAsia="Times New Roman" w:hAnsi="Calibri"/>
                <w:b/>
                <w:bCs/>
                <w:sz w:val="20"/>
                <w:szCs w:val="20"/>
                <w:lang w:val="es-ES_tradnl" w:eastAsia="en-GB"/>
              </w:rPr>
              <w:t>pendientes</w:t>
            </w:r>
            <w:r>
              <w:rPr>
                <w:rFonts w:ascii="Calibri" w:eastAsia="Times New Roman" w:hAnsi="Calibri"/>
                <w:b/>
                <w:bCs/>
                <w:sz w:val="20"/>
                <w:szCs w:val="20"/>
                <w:lang w:val="es-ES_tradnl" w:eastAsia="en-GB"/>
              </w:rPr>
              <w:t xml:space="preserve"> al </w:t>
            </w:r>
            <w:r w:rsidR="00E9087C" w:rsidRPr="00A2129F">
              <w:rPr>
                <w:rFonts w:ascii="Calibri" w:eastAsia="Times New Roman" w:hAnsi="Calibri"/>
                <w:b/>
                <w:bCs/>
                <w:sz w:val="20"/>
                <w:szCs w:val="20"/>
                <w:lang w:val="es-ES_tradnl" w:eastAsia="en-GB"/>
              </w:rPr>
              <w:t>31</w:t>
            </w:r>
            <w:r>
              <w:rPr>
                <w:rFonts w:ascii="Calibri" w:eastAsia="Times New Roman" w:hAnsi="Calibri"/>
                <w:b/>
                <w:bCs/>
                <w:sz w:val="20"/>
                <w:szCs w:val="20"/>
                <w:lang w:val="es-ES_tradnl" w:eastAsia="en-GB"/>
              </w:rPr>
              <w:t>.</w:t>
            </w:r>
            <w:r w:rsidR="0019138B" w:rsidRPr="00A2129F">
              <w:rPr>
                <w:rFonts w:ascii="Calibri" w:eastAsia="Times New Roman" w:hAnsi="Calibri"/>
                <w:b/>
                <w:bCs/>
                <w:sz w:val="20"/>
                <w:szCs w:val="20"/>
                <w:lang w:val="es-ES_tradnl" w:eastAsia="en-GB"/>
              </w:rPr>
              <w:t>12</w:t>
            </w:r>
            <w:r>
              <w:rPr>
                <w:rFonts w:ascii="Calibri" w:eastAsia="Times New Roman" w:hAnsi="Calibri"/>
                <w:b/>
                <w:bCs/>
                <w:sz w:val="20"/>
                <w:szCs w:val="20"/>
                <w:lang w:val="es-ES_tradnl" w:eastAsia="en-GB"/>
              </w:rPr>
              <w:t>.</w:t>
            </w:r>
            <w:r w:rsidR="00E9087C" w:rsidRPr="00A2129F">
              <w:rPr>
                <w:rFonts w:ascii="Calibri" w:eastAsia="Times New Roman" w:hAnsi="Calibri"/>
                <w:b/>
                <w:bCs/>
                <w:sz w:val="20"/>
                <w:szCs w:val="20"/>
                <w:lang w:val="es-ES_tradnl" w:eastAsia="en-GB"/>
              </w:rPr>
              <w:t>2016</w:t>
            </w:r>
            <w:r w:rsidR="0019138B" w:rsidRPr="00A2129F">
              <w:rPr>
                <w:rFonts w:ascii="Calibri" w:eastAsia="Times New Roman" w:hAnsi="Calibri"/>
                <w:b/>
                <w:bCs/>
                <w:sz w:val="20"/>
                <w:szCs w:val="20"/>
                <w:lang w:val="es-ES_tradnl" w:eastAsia="en-GB"/>
              </w:rPr>
              <w:t xml:space="preserve"> </w:t>
            </w:r>
            <w:r w:rsidR="0019138B" w:rsidRPr="00A2129F">
              <w:rPr>
                <w:rFonts w:ascii="Calibri" w:eastAsia="Times New Roman" w:hAnsi="Calibri"/>
                <w:b/>
                <w:bCs/>
                <w:sz w:val="20"/>
                <w:szCs w:val="20"/>
                <w:lang w:val="es-ES_tradnl" w:eastAsia="en-GB"/>
              </w:rPr>
              <w:br/>
            </w:r>
            <w:r w:rsidRPr="00A2129F">
              <w:rPr>
                <w:rFonts w:ascii="Calibri" w:eastAsia="Times New Roman" w:hAnsi="Calibri"/>
                <w:b/>
                <w:bCs/>
                <w:sz w:val="20"/>
                <w:szCs w:val="20"/>
                <w:lang w:val="es-ES_tradnl" w:eastAsia="en-GB"/>
              </w:rPr>
              <w:t>(</w:t>
            </w:r>
            <w:r>
              <w:rPr>
                <w:rFonts w:ascii="Calibri" w:eastAsia="Times New Roman" w:hAnsi="Calibri"/>
                <w:b/>
                <w:bCs/>
                <w:sz w:val="20"/>
                <w:szCs w:val="20"/>
                <w:lang w:val="es-ES_tradnl" w:eastAsia="en-GB"/>
              </w:rPr>
              <w:t>en miles de francos suizos</w:t>
            </w:r>
            <w:r w:rsidRPr="00A2129F">
              <w:rPr>
                <w:rFonts w:ascii="Calibri" w:eastAsia="Times New Roman" w:hAnsi="Calibri"/>
                <w:b/>
                <w:bCs/>
                <w:sz w:val="20"/>
                <w:szCs w:val="20"/>
                <w:lang w:val="es-ES_tradnl" w:eastAsia="en-GB"/>
              </w:rPr>
              <w:t>)</w:t>
            </w:r>
          </w:p>
        </w:tc>
        <w:tc>
          <w:tcPr>
            <w:tcW w:w="2160" w:type="dxa"/>
            <w:tcBorders>
              <w:top w:val="single" w:sz="4" w:space="0" w:color="auto"/>
              <w:left w:val="nil"/>
              <w:bottom w:val="single" w:sz="4" w:space="0" w:color="auto"/>
              <w:right w:val="single" w:sz="4" w:space="0" w:color="auto"/>
            </w:tcBorders>
            <w:shd w:val="clear" w:color="auto" w:fill="C6D9F1" w:themeFill="text2" w:themeFillTint="33"/>
            <w:vAlign w:val="center"/>
          </w:tcPr>
          <w:p w14:paraId="67F15926" w14:textId="3121A8D5" w:rsidR="00E9087C" w:rsidRPr="00A2129F" w:rsidRDefault="00E9087C" w:rsidP="00835E22">
            <w:pPr>
              <w:jc w:val="center"/>
              <w:rPr>
                <w:rFonts w:ascii="Calibri" w:eastAsia="Times New Roman" w:hAnsi="Calibri"/>
                <w:b/>
                <w:bCs/>
                <w:sz w:val="20"/>
                <w:szCs w:val="20"/>
                <w:lang w:val="es-ES_tradnl" w:eastAsia="en-GB"/>
              </w:rPr>
            </w:pPr>
            <w:r w:rsidRPr="00A2129F">
              <w:rPr>
                <w:rFonts w:ascii="Calibri" w:eastAsia="Times New Roman" w:hAnsi="Calibri"/>
                <w:b/>
                <w:bCs/>
                <w:sz w:val="20"/>
                <w:szCs w:val="20"/>
                <w:lang w:val="es-ES_tradnl" w:eastAsia="en-GB"/>
              </w:rPr>
              <w:t>P</w:t>
            </w:r>
            <w:r w:rsidR="00835E22">
              <w:rPr>
                <w:rFonts w:ascii="Calibri" w:eastAsia="Times New Roman" w:hAnsi="Calibri"/>
                <w:b/>
                <w:bCs/>
                <w:sz w:val="20"/>
                <w:szCs w:val="20"/>
                <w:lang w:val="es-ES_tradnl" w:eastAsia="en-GB"/>
              </w:rPr>
              <w:t>orcentaje de contribuciones pendientes al 29 de febrero de 2016 que se pagaron antes del 31.12.2016</w:t>
            </w:r>
            <w:r w:rsidR="0019138B" w:rsidRPr="00A2129F">
              <w:rPr>
                <w:rFonts w:ascii="Calibri" w:eastAsia="Times New Roman" w:hAnsi="Calibri"/>
                <w:b/>
                <w:bCs/>
                <w:sz w:val="20"/>
                <w:szCs w:val="20"/>
                <w:lang w:val="es-ES_tradnl" w:eastAsia="en-GB"/>
              </w:rPr>
              <w:t xml:space="preserve"> </w:t>
            </w:r>
            <w:r w:rsidRPr="00A2129F">
              <w:rPr>
                <w:rFonts w:ascii="Calibri" w:eastAsia="Times New Roman" w:hAnsi="Calibri"/>
                <w:b/>
                <w:bCs/>
                <w:sz w:val="20"/>
                <w:szCs w:val="20"/>
                <w:lang w:val="es-ES_tradnl" w:eastAsia="en-GB"/>
              </w:rPr>
              <w:t>(%)</w:t>
            </w:r>
          </w:p>
        </w:tc>
      </w:tr>
      <w:tr w:rsidR="00E9087C" w:rsidRPr="00A2129F" w14:paraId="31637622" w14:textId="77777777" w:rsidTr="0019138B">
        <w:tc>
          <w:tcPr>
            <w:tcW w:w="1440" w:type="dxa"/>
            <w:tcBorders>
              <w:top w:val="nil"/>
              <w:left w:val="single" w:sz="4" w:space="0" w:color="auto"/>
              <w:bottom w:val="single" w:sz="4" w:space="0" w:color="auto"/>
              <w:right w:val="single" w:sz="4" w:space="0" w:color="auto"/>
            </w:tcBorders>
            <w:shd w:val="clear" w:color="auto" w:fill="auto"/>
            <w:noWrap/>
            <w:vAlign w:val="center"/>
          </w:tcPr>
          <w:p w14:paraId="64BA9FF9" w14:textId="69BAB656" w:rsidR="00E9087C" w:rsidRPr="00A2129F" w:rsidRDefault="00720AE9" w:rsidP="00720AE9">
            <w:pPr>
              <w:keepNext/>
              <w:jc w:val="center"/>
              <w:rPr>
                <w:rFonts w:ascii="Calibri" w:eastAsia="Times New Roman" w:hAnsi="Calibri"/>
                <w:b/>
                <w:bCs/>
                <w:sz w:val="20"/>
                <w:szCs w:val="20"/>
                <w:lang w:val="es-ES_tradnl" w:eastAsia="en-GB"/>
              </w:rPr>
            </w:pPr>
            <w:r>
              <w:rPr>
                <w:rFonts w:ascii="Calibri" w:eastAsia="Times New Roman" w:hAnsi="Calibri"/>
                <w:b/>
                <w:bCs/>
                <w:sz w:val="20"/>
                <w:szCs w:val="20"/>
                <w:lang w:val="es-ES_tradnl" w:eastAsia="en-GB"/>
              </w:rPr>
              <w:t xml:space="preserve">hasta el año </w:t>
            </w:r>
            <w:r w:rsidR="00E9087C" w:rsidRPr="00A2129F">
              <w:rPr>
                <w:rFonts w:ascii="Calibri" w:eastAsia="Times New Roman" w:hAnsi="Calibri"/>
                <w:b/>
                <w:bCs/>
                <w:sz w:val="20"/>
                <w:szCs w:val="20"/>
                <w:lang w:val="es-ES_tradnl" w:eastAsia="en-GB"/>
              </w:rPr>
              <w:t xml:space="preserve">2008 </w:t>
            </w:r>
            <w:r>
              <w:rPr>
                <w:rFonts w:ascii="Calibri" w:eastAsia="Times New Roman" w:hAnsi="Calibri"/>
                <w:b/>
                <w:bCs/>
                <w:sz w:val="20"/>
                <w:szCs w:val="20"/>
                <w:lang w:val="es-ES_tradnl" w:eastAsia="en-GB"/>
              </w:rPr>
              <w:t>inclusive</w:t>
            </w:r>
          </w:p>
        </w:tc>
        <w:tc>
          <w:tcPr>
            <w:tcW w:w="1320" w:type="dxa"/>
            <w:tcBorders>
              <w:top w:val="nil"/>
              <w:left w:val="nil"/>
              <w:bottom w:val="single" w:sz="4" w:space="0" w:color="auto"/>
              <w:right w:val="single" w:sz="4" w:space="0" w:color="auto"/>
            </w:tcBorders>
            <w:shd w:val="clear" w:color="auto" w:fill="auto"/>
            <w:noWrap/>
            <w:vAlign w:val="center"/>
          </w:tcPr>
          <w:p w14:paraId="6697F995" w14:textId="77777777" w:rsidR="00E9087C" w:rsidRPr="00A2129F" w:rsidRDefault="00E9087C" w:rsidP="0019138B">
            <w:pPr>
              <w:jc w:val="center"/>
              <w:rPr>
                <w:rFonts w:ascii="Calibri" w:eastAsia="Times New Roman" w:hAnsi="Calibri"/>
                <w:sz w:val="20"/>
                <w:szCs w:val="20"/>
                <w:lang w:val="es-ES_tradnl" w:eastAsia="en-GB"/>
              </w:rPr>
            </w:pPr>
            <w:r w:rsidRPr="00A2129F">
              <w:rPr>
                <w:rFonts w:ascii="Calibri" w:eastAsia="Times New Roman" w:hAnsi="Calibri"/>
                <w:sz w:val="20"/>
                <w:szCs w:val="20"/>
                <w:lang w:val="es-ES_tradnl" w:eastAsia="en-GB"/>
              </w:rPr>
              <w:t>&gt;8</w:t>
            </w:r>
          </w:p>
        </w:tc>
        <w:tc>
          <w:tcPr>
            <w:tcW w:w="2080" w:type="dxa"/>
            <w:tcBorders>
              <w:top w:val="nil"/>
              <w:left w:val="nil"/>
              <w:bottom w:val="single" w:sz="4" w:space="0" w:color="auto"/>
              <w:right w:val="single" w:sz="4" w:space="0" w:color="auto"/>
            </w:tcBorders>
            <w:shd w:val="clear" w:color="auto" w:fill="auto"/>
            <w:noWrap/>
            <w:vAlign w:val="center"/>
          </w:tcPr>
          <w:p w14:paraId="6F4EB912" w14:textId="77777777" w:rsidR="00E9087C" w:rsidRPr="00A2129F" w:rsidRDefault="00E9087C" w:rsidP="0019138B">
            <w:pPr>
              <w:ind w:right="459"/>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91</w:t>
            </w:r>
          </w:p>
        </w:tc>
        <w:tc>
          <w:tcPr>
            <w:tcW w:w="2000" w:type="dxa"/>
            <w:tcBorders>
              <w:top w:val="nil"/>
              <w:left w:val="nil"/>
              <w:bottom w:val="single" w:sz="4" w:space="0" w:color="auto"/>
              <w:right w:val="single" w:sz="4" w:space="0" w:color="auto"/>
            </w:tcBorders>
            <w:shd w:val="clear" w:color="auto" w:fill="auto"/>
            <w:noWrap/>
            <w:vAlign w:val="center"/>
          </w:tcPr>
          <w:p w14:paraId="3A1ECF9D" w14:textId="77777777" w:rsidR="00E9087C" w:rsidRPr="00A2129F" w:rsidRDefault="00E9087C" w:rsidP="0019138B">
            <w:pPr>
              <w:ind w:right="601"/>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82</w:t>
            </w:r>
          </w:p>
        </w:tc>
        <w:tc>
          <w:tcPr>
            <w:tcW w:w="2160" w:type="dxa"/>
            <w:tcBorders>
              <w:top w:val="nil"/>
              <w:left w:val="nil"/>
              <w:bottom w:val="single" w:sz="4" w:space="0" w:color="auto"/>
              <w:right w:val="single" w:sz="4" w:space="0" w:color="auto"/>
            </w:tcBorders>
            <w:vAlign w:val="center"/>
          </w:tcPr>
          <w:p w14:paraId="4B0F9F6A" w14:textId="77777777" w:rsidR="00E9087C" w:rsidRPr="00A2129F" w:rsidRDefault="00E9087C" w:rsidP="0019138B">
            <w:pPr>
              <w:ind w:right="459"/>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10%</w:t>
            </w:r>
          </w:p>
        </w:tc>
      </w:tr>
      <w:tr w:rsidR="00E9087C" w:rsidRPr="00A2129F" w14:paraId="484774F0" w14:textId="77777777" w:rsidTr="0019138B">
        <w:tc>
          <w:tcPr>
            <w:tcW w:w="1440" w:type="dxa"/>
            <w:tcBorders>
              <w:top w:val="nil"/>
              <w:left w:val="single" w:sz="4" w:space="0" w:color="auto"/>
              <w:bottom w:val="single" w:sz="4" w:space="0" w:color="auto"/>
              <w:right w:val="single" w:sz="4" w:space="0" w:color="auto"/>
            </w:tcBorders>
            <w:shd w:val="clear" w:color="auto" w:fill="auto"/>
            <w:noWrap/>
            <w:vAlign w:val="center"/>
          </w:tcPr>
          <w:p w14:paraId="4FB7BAE9" w14:textId="77777777" w:rsidR="00E9087C" w:rsidRPr="00A2129F" w:rsidRDefault="00E9087C" w:rsidP="0019138B">
            <w:pPr>
              <w:keepNext/>
              <w:jc w:val="center"/>
              <w:rPr>
                <w:rFonts w:ascii="Calibri" w:eastAsia="Times New Roman" w:hAnsi="Calibri"/>
                <w:b/>
                <w:bCs/>
                <w:sz w:val="20"/>
                <w:szCs w:val="20"/>
                <w:lang w:val="es-ES_tradnl" w:eastAsia="en-GB"/>
              </w:rPr>
            </w:pPr>
            <w:r w:rsidRPr="00A2129F">
              <w:rPr>
                <w:rFonts w:ascii="Calibri" w:eastAsia="Times New Roman" w:hAnsi="Calibri"/>
                <w:b/>
                <w:bCs/>
                <w:sz w:val="20"/>
                <w:szCs w:val="20"/>
                <w:lang w:val="es-ES_tradnl" w:eastAsia="en-GB"/>
              </w:rPr>
              <w:t>2009</w:t>
            </w:r>
          </w:p>
        </w:tc>
        <w:tc>
          <w:tcPr>
            <w:tcW w:w="1320" w:type="dxa"/>
            <w:tcBorders>
              <w:top w:val="nil"/>
              <w:left w:val="nil"/>
              <w:bottom w:val="single" w:sz="4" w:space="0" w:color="auto"/>
              <w:right w:val="single" w:sz="4" w:space="0" w:color="auto"/>
            </w:tcBorders>
            <w:shd w:val="clear" w:color="auto" w:fill="auto"/>
            <w:noWrap/>
            <w:vAlign w:val="center"/>
          </w:tcPr>
          <w:p w14:paraId="568A5E33" w14:textId="77777777" w:rsidR="00E9087C" w:rsidRPr="00A2129F" w:rsidRDefault="00E9087C" w:rsidP="0019138B">
            <w:pPr>
              <w:jc w:val="center"/>
              <w:rPr>
                <w:rFonts w:ascii="Calibri" w:eastAsia="Times New Roman" w:hAnsi="Calibri"/>
                <w:sz w:val="20"/>
                <w:szCs w:val="20"/>
                <w:lang w:val="es-ES_tradnl" w:eastAsia="en-GB"/>
              </w:rPr>
            </w:pPr>
            <w:r w:rsidRPr="00A2129F">
              <w:rPr>
                <w:rFonts w:ascii="Calibri" w:eastAsia="Times New Roman" w:hAnsi="Calibri"/>
                <w:sz w:val="20"/>
                <w:szCs w:val="20"/>
                <w:lang w:val="es-ES_tradnl" w:eastAsia="en-GB"/>
              </w:rPr>
              <w:t>8</w:t>
            </w:r>
          </w:p>
        </w:tc>
        <w:tc>
          <w:tcPr>
            <w:tcW w:w="2080" w:type="dxa"/>
            <w:tcBorders>
              <w:top w:val="nil"/>
              <w:left w:val="nil"/>
              <w:bottom w:val="single" w:sz="4" w:space="0" w:color="auto"/>
              <w:right w:val="single" w:sz="4" w:space="0" w:color="auto"/>
            </w:tcBorders>
            <w:shd w:val="clear" w:color="auto" w:fill="auto"/>
            <w:noWrap/>
            <w:vAlign w:val="center"/>
          </w:tcPr>
          <w:p w14:paraId="154CB767" w14:textId="77777777" w:rsidR="00E9087C" w:rsidRPr="00A2129F" w:rsidRDefault="00E9087C" w:rsidP="0019138B">
            <w:pPr>
              <w:ind w:right="459"/>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22</w:t>
            </w:r>
          </w:p>
        </w:tc>
        <w:tc>
          <w:tcPr>
            <w:tcW w:w="2000" w:type="dxa"/>
            <w:tcBorders>
              <w:top w:val="nil"/>
              <w:left w:val="nil"/>
              <w:bottom w:val="single" w:sz="4" w:space="0" w:color="auto"/>
              <w:right w:val="single" w:sz="4" w:space="0" w:color="auto"/>
            </w:tcBorders>
            <w:shd w:val="clear" w:color="auto" w:fill="auto"/>
            <w:noWrap/>
            <w:vAlign w:val="center"/>
          </w:tcPr>
          <w:p w14:paraId="3B249AF9" w14:textId="77777777" w:rsidR="00E9087C" w:rsidRPr="00A2129F" w:rsidRDefault="00E9087C" w:rsidP="0019138B">
            <w:pPr>
              <w:ind w:right="601"/>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20</w:t>
            </w:r>
          </w:p>
        </w:tc>
        <w:tc>
          <w:tcPr>
            <w:tcW w:w="2160" w:type="dxa"/>
            <w:tcBorders>
              <w:top w:val="nil"/>
              <w:left w:val="nil"/>
              <w:bottom w:val="single" w:sz="4" w:space="0" w:color="auto"/>
              <w:right w:val="single" w:sz="4" w:space="0" w:color="auto"/>
            </w:tcBorders>
            <w:vAlign w:val="center"/>
          </w:tcPr>
          <w:p w14:paraId="065A10E9" w14:textId="77777777" w:rsidR="00E9087C" w:rsidRPr="00A2129F" w:rsidRDefault="00E9087C" w:rsidP="0019138B">
            <w:pPr>
              <w:ind w:right="459"/>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9%</w:t>
            </w:r>
          </w:p>
        </w:tc>
      </w:tr>
      <w:tr w:rsidR="00E9087C" w:rsidRPr="00A2129F" w14:paraId="6EC70724" w14:textId="77777777" w:rsidTr="0019138B">
        <w:tc>
          <w:tcPr>
            <w:tcW w:w="1440" w:type="dxa"/>
            <w:tcBorders>
              <w:top w:val="nil"/>
              <w:left w:val="single" w:sz="4" w:space="0" w:color="auto"/>
              <w:bottom w:val="single" w:sz="4" w:space="0" w:color="auto"/>
              <w:right w:val="single" w:sz="4" w:space="0" w:color="auto"/>
            </w:tcBorders>
            <w:shd w:val="clear" w:color="auto" w:fill="auto"/>
            <w:noWrap/>
            <w:vAlign w:val="center"/>
          </w:tcPr>
          <w:p w14:paraId="785E0129" w14:textId="77777777" w:rsidR="00E9087C" w:rsidRPr="00A2129F" w:rsidRDefault="00E9087C" w:rsidP="0019138B">
            <w:pPr>
              <w:keepNext/>
              <w:jc w:val="center"/>
              <w:rPr>
                <w:rFonts w:ascii="Calibri" w:eastAsia="Times New Roman" w:hAnsi="Calibri"/>
                <w:b/>
                <w:bCs/>
                <w:sz w:val="20"/>
                <w:szCs w:val="20"/>
                <w:lang w:val="es-ES_tradnl" w:eastAsia="en-GB"/>
              </w:rPr>
            </w:pPr>
            <w:r w:rsidRPr="00A2129F">
              <w:rPr>
                <w:rFonts w:ascii="Calibri" w:eastAsia="Times New Roman" w:hAnsi="Calibri"/>
                <w:b/>
                <w:bCs/>
                <w:sz w:val="20"/>
                <w:szCs w:val="20"/>
                <w:lang w:val="es-ES_tradnl" w:eastAsia="en-GB"/>
              </w:rPr>
              <w:t>2010</w:t>
            </w:r>
          </w:p>
        </w:tc>
        <w:tc>
          <w:tcPr>
            <w:tcW w:w="1320" w:type="dxa"/>
            <w:tcBorders>
              <w:top w:val="nil"/>
              <w:left w:val="nil"/>
              <w:bottom w:val="single" w:sz="4" w:space="0" w:color="auto"/>
              <w:right w:val="single" w:sz="4" w:space="0" w:color="auto"/>
            </w:tcBorders>
            <w:shd w:val="clear" w:color="auto" w:fill="auto"/>
            <w:noWrap/>
            <w:vAlign w:val="center"/>
          </w:tcPr>
          <w:p w14:paraId="495F8A44" w14:textId="77777777" w:rsidR="00E9087C" w:rsidRPr="00A2129F" w:rsidRDefault="00E9087C" w:rsidP="0019138B">
            <w:pPr>
              <w:jc w:val="center"/>
              <w:rPr>
                <w:rFonts w:ascii="Calibri" w:eastAsia="Times New Roman" w:hAnsi="Calibri"/>
                <w:sz w:val="20"/>
                <w:szCs w:val="20"/>
                <w:lang w:val="es-ES_tradnl" w:eastAsia="en-GB"/>
              </w:rPr>
            </w:pPr>
            <w:r w:rsidRPr="00A2129F">
              <w:rPr>
                <w:rFonts w:ascii="Calibri" w:eastAsia="Times New Roman" w:hAnsi="Calibri"/>
                <w:sz w:val="20"/>
                <w:szCs w:val="20"/>
                <w:lang w:val="es-ES_tradnl" w:eastAsia="en-GB"/>
              </w:rPr>
              <w:t>7</w:t>
            </w:r>
          </w:p>
        </w:tc>
        <w:tc>
          <w:tcPr>
            <w:tcW w:w="2080" w:type="dxa"/>
            <w:tcBorders>
              <w:top w:val="nil"/>
              <w:left w:val="nil"/>
              <w:bottom w:val="single" w:sz="4" w:space="0" w:color="auto"/>
              <w:right w:val="single" w:sz="4" w:space="0" w:color="auto"/>
            </w:tcBorders>
            <w:shd w:val="clear" w:color="auto" w:fill="auto"/>
            <w:noWrap/>
            <w:vAlign w:val="center"/>
          </w:tcPr>
          <w:p w14:paraId="71481CA8" w14:textId="77777777" w:rsidR="00E9087C" w:rsidRPr="00A2129F" w:rsidRDefault="00E9087C" w:rsidP="0019138B">
            <w:pPr>
              <w:ind w:right="459"/>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28</w:t>
            </w:r>
          </w:p>
        </w:tc>
        <w:tc>
          <w:tcPr>
            <w:tcW w:w="2000" w:type="dxa"/>
            <w:tcBorders>
              <w:top w:val="nil"/>
              <w:left w:val="nil"/>
              <w:bottom w:val="single" w:sz="4" w:space="0" w:color="auto"/>
              <w:right w:val="single" w:sz="4" w:space="0" w:color="auto"/>
            </w:tcBorders>
            <w:shd w:val="clear" w:color="auto" w:fill="auto"/>
            <w:noWrap/>
            <w:vAlign w:val="center"/>
          </w:tcPr>
          <w:p w14:paraId="76803D95" w14:textId="77777777" w:rsidR="00E9087C" w:rsidRPr="00A2129F" w:rsidRDefault="00E9087C" w:rsidP="0019138B">
            <w:pPr>
              <w:ind w:right="601"/>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26</w:t>
            </w:r>
          </w:p>
        </w:tc>
        <w:tc>
          <w:tcPr>
            <w:tcW w:w="2160" w:type="dxa"/>
            <w:tcBorders>
              <w:top w:val="nil"/>
              <w:left w:val="nil"/>
              <w:bottom w:val="single" w:sz="4" w:space="0" w:color="auto"/>
              <w:right w:val="single" w:sz="4" w:space="0" w:color="auto"/>
            </w:tcBorders>
            <w:vAlign w:val="center"/>
          </w:tcPr>
          <w:p w14:paraId="30C77457" w14:textId="77777777" w:rsidR="00E9087C" w:rsidRPr="00A2129F" w:rsidRDefault="00E9087C" w:rsidP="0019138B">
            <w:pPr>
              <w:ind w:right="459"/>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7%</w:t>
            </w:r>
          </w:p>
        </w:tc>
      </w:tr>
      <w:tr w:rsidR="00E9087C" w:rsidRPr="00A2129F" w14:paraId="0A7AF05F" w14:textId="77777777" w:rsidTr="0019138B">
        <w:tc>
          <w:tcPr>
            <w:tcW w:w="1440" w:type="dxa"/>
            <w:tcBorders>
              <w:top w:val="nil"/>
              <w:left w:val="single" w:sz="4" w:space="0" w:color="auto"/>
              <w:bottom w:val="single" w:sz="4" w:space="0" w:color="auto"/>
              <w:right w:val="single" w:sz="4" w:space="0" w:color="auto"/>
            </w:tcBorders>
            <w:shd w:val="clear" w:color="auto" w:fill="auto"/>
            <w:noWrap/>
            <w:vAlign w:val="center"/>
          </w:tcPr>
          <w:p w14:paraId="6469F29A" w14:textId="77777777" w:rsidR="00E9087C" w:rsidRPr="00A2129F" w:rsidRDefault="00E9087C" w:rsidP="0019138B">
            <w:pPr>
              <w:keepNext/>
              <w:jc w:val="center"/>
              <w:rPr>
                <w:rFonts w:ascii="Calibri" w:eastAsia="Times New Roman" w:hAnsi="Calibri"/>
                <w:b/>
                <w:bCs/>
                <w:sz w:val="20"/>
                <w:szCs w:val="20"/>
                <w:lang w:val="es-ES_tradnl" w:eastAsia="en-GB"/>
              </w:rPr>
            </w:pPr>
            <w:r w:rsidRPr="00A2129F">
              <w:rPr>
                <w:rFonts w:ascii="Calibri" w:eastAsia="Times New Roman" w:hAnsi="Calibri"/>
                <w:b/>
                <w:bCs/>
                <w:sz w:val="20"/>
                <w:szCs w:val="20"/>
                <w:lang w:val="es-ES_tradnl" w:eastAsia="en-GB"/>
              </w:rPr>
              <w:t>2011</w:t>
            </w:r>
          </w:p>
        </w:tc>
        <w:tc>
          <w:tcPr>
            <w:tcW w:w="1320" w:type="dxa"/>
            <w:tcBorders>
              <w:top w:val="nil"/>
              <w:left w:val="nil"/>
              <w:bottom w:val="single" w:sz="4" w:space="0" w:color="auto"/>
              <w:right w:val="single" w:sz="4" w:space="0" w:color="auto"/>
            </w:tcBorders>
            <w:shd w:val="clear" w:color="auto" w:fill="auto"/>
            <w:noWrap/>
            <w:vAlign w:val="center"/>
          </w:tcPr>
          <w:p w14:paraId="4F8CE7F8" w14:textId="77777777" w:rsidR="00E9087C" w:rsidRPr="00A2129F" w:rsidRDefault="00E9087C" w:rsidP="0019138B">
            <w:pPr>
              <w:jc w:val="center"/>
              <w:rPr>
                <w:rFonts w:ascii="Calibri" w:eastAsia="Times New Roman" w:hAnsi="Calibri"/>
                <w:sz w:val="20"/>
                <w:szCs w:val="20"/>
                <w:lang w:val="es-ES_tradnl" w:eastAsia="en-GB"/>
              </w:rPr>
            </w:pPr>
            <w:r w:rsidRPr="00A2129F">
              <w:rPr>
                <w:rFonts w:ascii="Calibri" w:eastAsia="Times New Roman" w:hAnsi="Calibri"/>
                <w:sz w:val="20"/>
                <w:szCs w:val="20"/>
                <w:lang w:val="es-ES_tradnl" w:eastAsia="en-GB"/>
              </w:rPr>
              <w:t>6</w:t>
            </w:r>
          </w:p>
        </w:tc>
        <w:tc>
          <w:tcPr>
            <w:tcW w:w="2080" w:type="dxa"/>
            <w:tcBorders>
              <w:top w:val="nil"/>
              <w:left w:val="nil"/>
              <w:bottom w:val="single" w:sz="4" w:space="0" w:color="auto"/>
              <w:right w:val="single" w:sz="4" w:space="0" w:color="auto"/>
            </w:tcBorders>
            <w:shd w:val="clear" w:color="auto" w:fill="auto"/>
            <w:noWrap/>
            <w:vAlign w:val="center"/>
          </w:tcPr>
          <w:p w14:paraId="6BABEFC1" w14:textId="77777777" w:rsidR="00E9087C" w:rsidRPr="00A2129F" w:rsidRDefault="00E9087C" w:rsidP="0019138B">
            <w:pPr>
              <w:ind w:right="459"/>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44</w:t>
            </w:r>
          </w:p>
        </w:tc>
        <w:tc>
          <w:tcPr>
            <w:tcW w:w="2000" w:type="dxa"/>
            <w:tcBorders>
              <w:top w:val="nil"/>
              <w:left w:val="nil"/>
              <w:bottom w:val="single" w:sz="4" w:space="0" w:color="auto"/>
              <w:right w:val="single" w:sz="4" w:space="0" w:color="auto"/>
            </w:tcBorders>
            <w:shd w:val="clear" w:color="auto" w:fill="auto"/>
            <w:noWrap/>
            <w:vAlign w:val="center"/>
          </w:tcPr>
          <w:p w14:paraId="3E19B713" w14:textId="77777777" w:rsidR="00E9087C" w:rsidRPr="00A2129F" w:rsidRDefault="00E9087C" w:rsidP="0019138B">
            <w:pPr>
              <w:ind w:right="601"/>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42</w:t>
            </w:r>
          </w:p>
        </w:tc>
        <w:tc>
          <w:tcPr>
            <w:tcW w:w="2160" w:type="dxa"/>
            <w:tcBorders>
              <w:top w:val="nil"/>
              <w:left w:val="nil"/>
              <w:bottom w:val="single" w:sz="4" w:space="0" w:color="auto"/>
              <w:right w:val="single" w:sz="4" w:space="0" w:color="auto"/>
            </w:tcBorders>
            <w:vAlign w:val="center"/>
          </w:tcPr>
          <w:p w14:paraId="7B912665" w14:textId="77777777" w:rsidR="00E9087C" w:rsidRPr="00A2129F" w:rsidRDefault="00E9087C" w:rsidP="0019138B">
            <w:pPr>
              <w:ind w:right="459"/>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5%</w:t>
            </w:r>
          </w:p>
        </w:tc>
      </w:tr>
      <w:tr w:rsidR="00E9087C" w:rsidRPr="00A2129F" w14:paraId="5AF65D9A" w14:textId="77777777" w:rsidTr="0019138B">
        <w:tc>
          <w:tcPr>
            <w:tcW w:w="1440" w:type="dxa"/>
            <w:tcBorders>
              <w:top w:val="nil"/>
              <w:left w:val="single" w:sz="4" w:space="0" w:color="auto"/>
              <w:bottom w:val="single" w:sz="4" w:space="0" w:color="auto"/>
              <w:right w:val="single" w:sz="4" w:space="0" w:color="auto"/>
            </w:tcBorders>
            <w:shd w:val="clear" w:color="auto" w:fill="auto"/>
            <w:noWrap/>
            <w:vAlign w:val="center"/>
          </w:tcPr>
          <w:p w14:paraId="296433C5" w14:textId="77777777" w:rsidR="00E9087C" w:rsidRPr="00A2129F" w:rsidRDefault="00E9087C" w:rsidP="0019138B">
            <w:pPr>
              <w:keepNext/>
              <w:jc w:val="center"/>
              <w:rPr>
                <w:rFonts w:ascii="Calibri" w:eastAsia="Times New Roman" w:hAnsi="Calibri"/>
                <w:b/>
                <w:bCs/>
                <w:sz w:val="20"/>
                <w:szCs w:val="20"/>
                <w:lang w:val="es-ES_tradnl" w:eastAsia="en-GB"/>
              </w:rPr>
            </w:pPr>
            <w:r w:rsidRPr="00A2129F">
              <w:rPr>
                <w:rFonts w:ascii="Calibri" w:eastAsia="Times New Roman" w:hAnsi="Calibri"/>
                <w:b/>
                <w:bCs/>
                <w:sz w:val="20"/>
                <w:szCs w:val="20"/>
                <w:lang w:val="es-ES_tradnl" w:eastAsia="en-GB"/>
              </w:rPr>
              <w:t>2012</w:t>
            </w:r>
          </w:p>
        </w:tc>
        <w:tc>
          <w:tcPr>
            <w:tcW w:w="1320" w:type="dxa"/>
            <w:tcBorders>
              <w:top w:val="nil"/>
              <w:left w:val="nil"/>
              <w:bottom w:val="single" w:sz="4" w:space="0" w:color="auto"/>
              <w:right w:val="single" w:sz="4" w:space="0" w:color="auto"/>
            </w:tcBorders>
            <w:shd w:val="clear" w:color="auto" w:fill="auto"/>
            <w:noWrap/>
            <w:vAlign w:val="center"/>
          </w:tcPr>
          <w:p w14:paraId="0422DC72" w14:textId="77777777" w:rsidR="00E9087C" w:rsidRPr="00A2129F" w:rsidRDefault="00E9087C" w:rsidP="0019138B">
            <w:pPr>
              <w:jc w:val="center"/>
              <w:rPr>
                <w:rFonts w:ascii="Calibri" w:eastAsia="Times New Roman" w:hAnsi="Calibri"/>
                <w:sz w:val="20"/>
                <w:szCs w:val="20"/>
                <w:lang w:val="es-ES_tradnl" w:eastAsia="en-GB"/>
              </w:rPr>
            </w:pPr>
            <w:r w:rsidRPr="00A2129F">
              <w:rPr>
                <w:rFonts w:ascii="Calibri" w:eastAsia="Times New Roman" w:hAnsi="Calibri"/>
                <w:sz w:val="20"/>
                <w:szCs w:val="20"/>
                <w:lang w:val="es-ES_tradnl" w:eastAsia="en-GB"/>
              </w:rPr>
              <w:t>5</w:t>
            </w:r>
          </w:p>
        </w:tc>
        <w:tc>
          <w:tcPr>
            <w:tcW w:w="2080" w:type="dxa"/>
            <w:tcBorders>
              <w:top w:val="nil"/>
              <w:left w:val="nil"/>
              <w:bottom w:val="single" w:sz="4" w:space="0" w:color="auto"/>
              <w:right w:val="single" w:sz="4" w:space="0" w:color="auto"/>
            </w:tcBorders>
            <w:shd w:val="clear" w:color="auto" w:fill="auto"/>
            <w:noWrap/>
            <w:vAlign w:val="center"/>
          </w:tcPr>
          <w:p w14:paraId="486FA6A7" w14:textId="77777777" w:rsidR="00E9087C" w:rsidRPr="00A2129F" w:rsidRDefault="00E9087C" w:rsidP="0019138B">
            <w:pPr>
              <w:ind w:right="459"/>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53</w:t>
            </w:r>
          </w:p>
        </w:tc>
        <w:tc>
          <w:tcPr>
            <w:tcW w:w="2000" w:type="dxa"/>
            <w:tcBorders>
              <w:top w:val="nil"/>
              <w:left w:val="nil"/>
              <w:bottom w:val="single" w:sz="4" w:space="0" w:color="auto"/>
              <w:right w:val="single" w:sz="4" w:space="0" w:color="auto"/>
            </w:tcBorders>
            <w:shd w:val="clear" w:color="auto" w:fill="auto"/>
            <w:noWrap/>
            <w:vAlign w:val="center"/>
          </w:tcPr>
          <w:p w14:paraId="7E593912" w14:textId="77777777" w:rsidR="00E9087C" w:rsidRPr="00A2129F" w:rsidRDefault="00E9087C" w:rsidP="0019138B">
            <w:pPr>
              <w:ind w:right="601"/>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48</w:t>
            </w:r>
          </w:p>
        </w:tc>
        <w:tc>
          <w:tcPr>
            <w:tcW w:w="2160" w:type="dxa"/>
            <w:tcBorders>
              <w:top w:val="nil"/>
              <w:left w:val="nil"/>
              <w:bottom w:val="single" w:sz="4" w:space="0" w:color="auto"/>
              <w:right w:val="single" w:sz="4" w:space="0" w:color="auto"/>
            </w:tcBorders>
            <w:vAlign w:val="center"/>
          </w:tcPr>
          <w:p w14:paraId="3FEF50AA" w14:textId="77777777" w:rsidR="00E9087C" w:rsidRPr="00A2129F" w:rsidRDefault="00E9087C" w:rsidP="0019138B">
            <w:pPr>
              <w:ind w:right="459"/>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9%</w:t>
            </w:r>
          </w:p>
        </w:tc>
      </w:tr>
      <w:tr w:rsidR="00E9087C" w:rsidRPr="00A2129F" w14:paraId="72D005D4" w14:textId="77777777" w:rsidTr="0019138B">
        <w:tc>
          <w:tcPr>
            <w:tcW w:w="1440" w:type="dxa"/>
            <w:tcBorders>
              <w:top w:val="nil"/>
              <w:left w:val="single" w:sz="4" w:space="0" w:color="auto"/>
              <w:bottom w:val="single" w:sz="4" w:space="0" w:color="auto"/>
              <w:right w:val="single" w:sz="4" w:space="0" w:color="auto"/>
            </w:tcBorders>
            <w:shd w:val="clear" w:color="auto" w:fill="auto"/>
            <w:noWrap/>
            <w:vAlign w:val="center"/>
          </w:tcPr>
          <w:p w14:paraId="3871C09A" w14:textId="77777777" w:rsidR="00E9087C" w:rsidRPr="00A2129F" w:rsidRDefault="00E9087C" w:rsidP="0019138B">
            <w:pPr>
              <w:keepNext/>
              <w:jc w:val="center"/>
              <w:rPr>
                <w:rFonts w:ascii="Calibri" w:eastAsia="Times New Roman" w:hAnsi="Calibri"/>
                <w:b/>
                <w:bCs/>
                <w:sz w:val="20"/>
                <w:szCs w:val="20"/>
                <w:lang w:val="es-ES_tradnl" w:eastAsia="en-GB"/>
              </w:rPr>
            </w:pPr>
            <w:r w:rsidRPr="00A2129F">
              <w:rPr>
                <w:rFonts w:ascii="Calibri" w:eastAsia="Times New Roman" w:hAnsi="Calibri"/>
                <w:b/>
                <w:bCs/>
                <w:sz w:val="20"/>
                <w:szCs w:val="20"/>
                <w:lang w:val="es-ES_tradnl" w:eastAsia="en-GB"/>
              </w:rPr>
              <w:t>2013</w:t>
            </w:r>
          </w:p>
        </w:tc>
        <w:tc>
          <w:tcPr>
            <w:tcW w:w="1320" w:type="dxa"/>
            <w:tcBorders>
              <w:top w:val="nil"/>
              <w:left w:val="nil"/>
              <w:bottom w:val="single" w:sz="4" w:space="0" w:color="auto"/>
              <w:right w:val="single" w:sz="4" w:space="0" w:color="auto"/>
            </w:tcBorders>
            <w:shd w:val="clear" w:color="auto" w:fill="auto"/>
            <w:noWrap/>
            <w:vAlign w:val="center"/>
          </w:tcPr>
          <w:p w14:paraId="7EF69DBF" w14:textId="77777777" w:rsidR="00E9087C" w:rsidRPr="00A2129F" w:rsidRDefault="00E9087C" w:rsidP="0019138B">
            <w:pPr>
              <w:jc w:val="center"/>
              <w:rPr>
                <w:rFonts w:ascii="Calibri" w:eastAsia="Times New Roman" w:hAnsi="Calibri"/>
                <w:sz w:val="20"/>
                <w:szCs w:val="20"/>
                <w:lang w:val="es-ES_tradnl" w:eastAsia="en-GB"/>
              </w:rPr>
            </w:pPr>
            <w:r w:rsidRPr="00A2129F">
              <w:rPr>
                <w:rFonts w:ascii="Calibri" w:eastAsia="Times New Roman" w:hAnsi="Calibri"/>
                <w:sz w:val="20"/>
                <w:szCs w:val="20"/>
                <w:lang w:val="es-ES_tradnl" w:eastAsia="en-GB"/>
              </w:rPr>
              <w:t>4</w:t>
            </w:r>
          </w:p>
        </w:tc>
        <w:tc>
          <w:tcPr>
            <w:tcW w:w="2080" w:type="dxa"/>
            <w:tcBorders>
              <w:top w:val="nil"/>
              <w:left w:val="nil"/>
              <w:bottom w:val="single" w:sz="4" w:space="0" w:color="auto"/>
              <w:right w:val="single" w:sz="4" w:space="0" w:color="auto"/>
            </w:tcBorders>
            <w:shd w:val="clear" w:color="auto" w:fill="auto"/>
            <w:noWrap/>
            <w:vAlign w:val="center"/>
          </w:tcPr>
          <w:p w14:paraId="560EA55E" w14:textId="77777777" w:rsidR="00E9087C" w:rsidRPr="00A2129F" w:rsidRDefault="00E9087C" w:rsidP="0019138B">
            <w:pPr>
              <w:ind w:right="459"/>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226</w:t>
            </w:r>
          </w:p>
        </w:tc>
        <w:tc>
          <w:tcPr>
            <w:tcW w:w="2000" w:type="dxa"/>
            <w:tcBorders>
              <w:top w:val="nil"/>
              <w:left w:val="nil"/>
              <w:bottom w:val="single" w:sz="4" w:space="0" w:color="auto"/>
              <w:right w:val="single" w:sz="4" w:space="0" w:color="auto"/>
            </w:tcBorders>
            <w:shd w:val="clear" w:color="auto" w:fill="auto"/>
            <w:noWrap/>
            <w:vAlign w:val="center"/>
          </w:tcPr>
          <w:p w14:paraId="0AEAE018" w14:textId="77777777" w:rsidR="00E9087C" w:rsidRPr="00A2129F" w:rsidRDefault="00E9087C" w:rsidP="0019138B">
            <w:pPr>
              <w:ind w:right="601"/>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73</w:t>
            </w:r>
          </w:p>
        </w:tc>
        <w:tc>
          <w:tcPr>
            <w:tcW w:w="2160" w:type="dxa"/>
            <w:tcBorders>
              <w:top w:val="nil"/>
              <w:left w:val="nil"/>
              <w:bottom w:val="single" w:sz="4" w:space="0" w:color="auto"/>
              <w:right w:val="single" w:sz="4" w:space="0" w:color="auto"/>
            </w:tcBorders>
            <w:vAlign w:val="center"/>
          </w:tcPr>
          <w:p w14:paraId="6FA39D22" w14:textId="77777777" w:rsidR="00E9087C" w:rsidRPr="00A2129F" w:rsidRDefault="00E9087C" w:rsidP="0019138B">
            <w:pPr>
              <w:ind w:right="459"/>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68%</w:t>
            </w:r>
          </w:p>
        </w:tc>
      </w:tr>
      <w:tr w:rsidR="00E9087C" w:rsidRPr="00A2129F" w14:paraId="7F39103C" w14:textId="77777777" w:rsidTr="0019138B">
        <w:tc>
          <w:tcPr>
            <w:tcW w:w="1440" w:type="dxa"/>
            <w:tcBorders>
              <w:top w:val="nil"/>
              <w:left w:val="single" w:sz="4" w:space="0" w:color="auto"/>
              <w:bottom w:val="single" w:sz="4" w:space="0" w:color="auto"/>
              <w:right w:val="single" w:sz="4" w:space="0" w:color="auto"/>
            </w:tcBorders>
            <w:shd w:val="clear" w:color="auto" w:fill="auto"/>
            <w:noWrap/>
            <w:vAlign w:val="center"/>
          </w:tcPr>
          <w:p w14:paraId="317C862F" w14:textId="77777777" w:rsidR="00E9087C" w:rsidRPr="00A2129F" w:rsidRDefault="00E9087C" w:rsidP="0019138B">
            <w:pPr>
              <w:keepNext/>
              <w:jc w:val="center"/>
              <w:rPr>
                <w:rFonts w:ascii="Calibri" w:eastAsia="Times New Roman" w:hAnsi="Calibri"/>
                <w:b/>
                <w:bCs/>
                <w:sz w:val="20"/>
                <w:szCs w:val="20"/>
                <w:lang w:val="es-ES_tradnl" w:eastAsia="en-GB"/>
              </w:rPr>
            </w:pPr>
            <w:r w:rsidRPr="00A2129F">
              <w:rPr>
                <w:rFonts w:ascii="Calibri" w:eastAsia="Times New Roman" w:hAnsi="Calibri"/>
                <w:b/>
                <w:bCs/>
                <w:sz w:val="20"/>
                <w:szCs w:val="20"/>
                <w:lang w:val="es-ES_tradnl" w:eastAsia="en-GB"/>
              </w:rPr>
              <w:t>2014</w:t>
            </w:r>
          </w:p>
        </w:tc>
        <w:tc>
          <w:tcPr>
            <w:tcW w:w="1320" w:type="dxa"/>
            <w:tcBorders>
              <w:top w:val="nil"/>
              <w:left w:val="nil"/>
              <w:bottom w:val="single" w:sz="4" w:space="0" w:color="auto"/>
              <w:right w:val="single" w:sz="4" w:space="0" w:color="auto"/>
            </w:tcBorders>
            <w:shd w:val="clear" w:color="auto" w:fill="auto"/>
            <w:noWrap/>
            <w:vAlign w:val="center"/>
          </w:tcPr>
          <w:p w14:paraId="11348FC5" w14:textId="77777777" w:rsidR="00E9087C" w:rsidRPr="00A2129F" w:rsidRDefault="00E9087C" w:rsidP="0019138B">
            <w:pPr>
              <w:jc w:val="center"/>
              <w:rPr>
                <w:rFonts w:ascii="Calibri" w:eastAsia="Times New Roman" w:hAnsi="Calibri"/>
                <w:sz w:val="20"/>
                <w:szCs w:val="20"/>
                <w:lang w:val="es-ES_tradnl" w:eastAsia="en-GB"/>
              </w:rPr>
            </w:pPr>
            <w:r w:rsidRPr="00A2129F">
              <w:rPr>
                <w:rFonts w:ascii="Calibri" w:eastAsia="Times New Roman" w:hAnsi="Calibri"/>
                <w:sz w:val="20"/>
                <w:szCs w:val="20"/>
                <w:lang w:val="es-ES_tradnl" w:eastAsia="en-GB"/>
              </w:rPr>
              <w:t>3</w:t>
            </w:r>
          </w:p>
        </w:tc>
        <w:tc>
          <w:tcPr>
            <w:tcW w:w="2080" w:type="dxa"/>
            <w:tcBorders>
              <w:top w:val="nil"/>
              <w:left w:val="nil"/>
              <w:bottom w:val="single" w:sz="4" w:space="0" w:color="auto"/>
              <w:right w:val="single" w:sz="4" w:space="0" w:color="auto"/>
            </w:tcBorders>
            <w:shd w:val="clear" w:color="auto" w:fill="auto"/>
            <w:noWrap/>
            <w:vAlign w:val="center"/>
          </w:tcPr>
          <w:p w14:paraId="287C321D" w14:textId="77777777" w:rsidR="00E9087C" w:rsidRPr="00A2129F" w:rsidRDefault="00E9087C" w:rsidP="0019138B">
            <w:pPr>
              <w:ind w:right="459"/>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269</w:t>
            </w:r>
          </w:p>
        </w:tc>
        <w:tc>
          <w:tcPr>
            <w:tcW w:w="2000" w:type="dxa"/>
            <w:tcBorders>
              <w:top w:val="nil"/>
              <w:left w:val="nil"/>
              <w:bottom w:val="single" w:sz="4" w:space="0" w:color="auto"/>
              <w:right w:val="single" w:sz="4" w:space="0" w:color="auto"/>
            </w:tcBorders>
            <w:shd w:val="clear" w:color="auto" w:fill="auto"/>
            <w:noWrap/>
            <w:vAlign w:val="center"/>
          </w:tcPr>
          <w:p w14:paraId="3F9B4931" w14:textId="77777777" w:rsidR="00E9087C" w:rsidRPr="00A2129F" w:rsidRDefault="00E9087C" w:rsidP="0019138B">
            <w:pPr>
              <w:ind w:right="601"/>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114</w:t>
            </w:r>
          </w:p>
        </w:tc>
        <w:tc>
          <w:tcPr>
            <w:tcW w:w="2160" w:type="dxa"/>
            <w:tcBorders>
              <w:top w:val="nil"/>
              <w:left w:val="nil"/>
              <w:bottom w:val="single" w:sz="4" w:space="0" w:color="auto"/>
              <w:right w:val="single" w:sz="4" w:space="0" w:color="auto"/>
            </w:tcBorders>
            <w:vAlign w:val="center"/>
          </w:tcPr>
          <w:p w14:paraId="4353C1A8" w14:textId="77777777" w:rsidR="00E9087C" w:rsidRPr="00A2129F" w:rsidRDefault="00E9087C" w:rsidP="0019138B">
            <w:pPr>
              <w:ind w:right="459"/>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58%</w:t>
            </w:r>
          </w:p>
        </w:tc>
      </w:tr>
      <w:tr w:rsidR="00E9087C" w:rsidRPr="00A2129F" w14:paraId="652B108E" w14:textId="77777777" w:rsidTr="0019138B">
        <w:tc>
          <w:tcPr>
            <w:tcW w:w="1440" w:type="dxa"/>
            <w:tcBorders>
              <w:top w:val="nil"/>
              <w:left w:val="single" w:sz="4" w:space="0" w:color="auto"/>
              <w:bottom w:val="single" w:sz="4" w:space="0" w:color="auto"/>
              <w:right w:val="single" w:sz="4" w:space="0" w:color="auto"/>
            </w:tcBorders>
            <w:shd w:val="clear" w:color="auto" w:fill="auto"/>
            <w:noWrap/>
            <w:vAlign w:val="center"/>
          </w:tcPr>
          <w:p w14:paraId="4B30D591" w14:textId="77777777" w:rsidR="00E9087C" w:rsidRPr="00A2129F" w:rsidRDefault="00E9087C" w:rsidP="0019138B">
            <w:pPr>
              <w:keepNext/>
              <w:jc w:val="center"/>
              <w:rPr>
                <w:rFonts w:ascii="Calibri" w:eastAsia="Times New Roman" w:hAnsi="Calibri"/>
                <w:b/>
                <w:bCs/>
                <w:sz w:val="20"/>
                <w:szCs w:val="20"/>
                <w:lang w:val="es-ES_tradnl" w:eastAsia="en-GB"/>
              </w:rPr>
            </w:pPr>
            <w:r w:rsidRPr="00A2129F">
              <w:rPr>
                <w:rFonts w:ascii="Calibri" w:eastAsia="Times New Roman" w:hAnsi="Calibri"/>
                <w:b/>
                <w:bCs/>
                <w:sz w:val="20"/>
                <w:szCs w:val="20"/>
                <w:lang w:val="es-ES_tradnl" w:eastAsia="en-GB"/>
              </w:rPr>
              <w:t>2015</w:t>
            </w:r>
          </w:p>
        </w:tc>
        <w:tc>
          <w:tcPr>
            <w:tcW w:w="1320" w:type="dxa"/>
            <w:tcBorders>
              <w:top w:val="nil"/>
              <w:left w:val="nil"/>
              <w:bottom w:val="single" w:sz="4" w:space="0" w:color="auto"/>
              <w:right w:val="single" w:sz="4" w:space="0" w:color="auto"/>
            </w:tcBorders>
            <w:shd w:val="clear" w:color="auto" w:fill="auto"/>
            <w:noWrap/>
            <w:vAlign w:val="center"/>
          </w:tcPr>
          <w:p w14:paraId="2B7DFA9D" w14:textId="77777777" w:rsidR="00E9087C" w:rsidRPr="00A2129F" w:rsidRDefault="00E9087C" w:rsidP="0019138B">
            <w:pPr>
              <w:jc w:val="center"/>
              <w:rPr>
                <w:rFonts w:ascii="Calibri" w:eastAsia="Times New Roman" w:hAnsi="Calibri"/>
                <w:sz w:val="20"/>
                <w:szCs w:val="20"/>
                <w:lang w:val="es-ES_tradnl" w:eastAsia="en-GB"/>
              </w:rPr>
            </w:pPr>
            <w:r w:rsidRPr="00A2129F">
              <w:rPr>
                <w:rFonts w:ascii="Calibri" w:eastAsia="Times New Roman" w:hAnsi="Calibri"/>
                <w:sz w:val="20"/>
                <w:szCs w:val="20"/>
                <w:lang w:val="es-ES_tradnl" w:eastAsia="en-GB"/>
              </w:rPr>
              <w:t>2</w:t>
            </w:r>
          </w:p>
        </w:tc>
        <w:tc>
          <w:tcPr>
            <w:tcW w:w="2080" w:type="dxa"/>
            <w:tcBorders>
              <w:top w:val="nil"/>
              <w:left w:val="nil"/>
              <w:bottom w:val="single" w:sz="4" w:space="0" w:color="auto"/>
              <w:right w:val="single" w:sz="4" w:space="0" w:color="auto"/>
            </w:tcBorders>
            <w:shd w:val="clear" w:color="auto" w:fill="auto"/>
            <w:noWrap/>
            <w:vAlign w:val="center"/>
          </w:tcPr>
          <w:p w14:paraId="1B0411D5" w14:textId="77777777" w:rsidR="00E9087C" w:rsidRPr="00A2129F" w:rsidRDefault="00E9087C" w:rsidP="0019138B">
            <w:pPr>
              <w:ind w:right="459"/>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489</w:t>
            </w:r>
          </w:p>
        </w:tc>
        <w:tc>
          <w:tcPr>
            <w:tcW w:w="2000" w:type="dxa"/>
            <w:tcBorders>
              <w:top w:val="nil"/>
              <w:left w:val="nil"/>
              <w:bottom w:val="single" w:sz="4" w:space="0" w:color="auto"/>
              <w:right w:val="single" w:sz="4" w:space="0" w:color="auto"/>
            </w:tcBorders>
            <w:shd w:val="clear" w:color="auto" w:fill="auto"/>
            <w:noWrap/>
            <w:vAlign w:val="center"/>
          </w:tcPr>
          <w:p w14:paraId="062CE615" w14:textId="77777777" w:rsidR="00E9087C" w:rsidRPr="00A2129F" w:rsidRDefault="00E9087C" w:rsidP="0019138B">
            <w:pPr>
              <w:ind w:right="601"/>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327</w:t>
            </w:r>
          </w:p>
        </w:tc>
        <w:tc>
          <w:tcPr>
            <w:tcW w:w="2160" w:type="dxa"/>
            <w:tcBorders>
              <w:top w:val="nil"/>
              <w:left w:val="nil"/>
              <w:bottom w:val="single" w:sz="4" w:space="0" w:color="auto"/>
              <w:right w:val="single" w:sz="4" w:space="0" w:color="auto"/>
            </w:tcBorders>
            <w:vAlign w:val="center"/>
          </w:tcPr>
          <w:p w14:paraId="038374F8" w14:textId="77777777" w:rsidR="00E9087C" w:rsidRPr="00A2129F" w:rsidRDefault="00E9087C" w:rsidP="0019138B">
            <w:pPr>
              <w:ind w:right="459"/>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33%</w:t>
            </w:r>
          </w:p>
        </w:tc>
      </w:tr>
      <w:tr w:rsidR="00E9087C" w:rsidRPr="00A2129F" w14:paraId="4F5CEE65" w14:textId="77777777" w:rsidTr="0019138B">
        <w:tc>
          <w:tcPr>
            <w:tcW w:w="1440" w:type="dxa"/>
            <w:tcBorders>
              <w:top w:val="nil"/>
              <w:left w:val="single" w:sz="4" w:space="0" w:color="auto"/>
              <w:bottom w:val="single" w:sz="4" w:space="0" w:color="auto"/>
              <w:right w:val="single" w:sz="4" w:space="0" w:color="auto"/>
            </w:tcBorders>
            <w:shd w:val="clear" w:color="auto" w:fill="auto"/>
            <w:noWrap/>
            <w:vAlign w:val="center"/>
          </w:tcPr>
          <w:p w14:paraId="4026F5D9" w14:textId="77777777" w:rsidR="00E9087C" w:rsidRPr="00A2129F" w:rsidRDefault="00E9087C" w:rsidP="0019138B">
            <w:pPr>
              <w:keepNext/>
              <w:jc w:val="center"/>
              <w:rPr>
                <w:rFonts w:ascii="Calibri" w:eastAsia="Times New Roman" w:hAnsi="Calibri"/>
                <w:b/>
                <w:bCs/>
                <w:sz w:val="20"/>
                <w:szCs w:val="20"/>
                <w:lang w:val="es-ES_tradnl" w:eastAsia="en-GB"/>
              </w:rPr>
            </w:pPr>
            <w:r w:rsidRPr="00A2129F">
              <w:rPr>
                <w:rFonts w:ascii="Calibri" w:eastAsia="Times New Roman" w:hAnsi="Calibri"/>
                <w:b/>
                <w:bCs/>
                <w:sz w:val="20"/>
                <w:szCs w:val="20"/>
                <w:lang w:val="es-ES_tradnl" w:eastAsia="en-GB"/>
              </w:rPr>
              <w:t>2016</w:t>
            </w:r>
          </w:p>
        </w:tc>
        <w:tc>
          <w:tcPr>
            <w:tcW w:w="1320" w:type="dxa"/>
            <w:tcBorders>
              <w:top w:val="nil"/>
              <w:left w:val="nil"/>
              <w:bottom w:val="single" w:sz="4" w:space="0" w:color="auto"/>
              <w:right w:val="single" w:sz="4" w:space="0" w:color="auto"/>
            </w:tcBorders>
            <w:shd w:val="clear" w:color="auto" w:fill="auto"/>
            <w:noWrap/>
            <w:vAlign w:val="center"/>
          </w:tcPr>
          <w:p w14:paraId="31B24CA4" w14:textId="77777777" w:rsidR="00E9087C" w:rsidRPr="00A2129F" w:rsidRDefault="00E9087C" w:rsidP="0019138B">
            <w:pPr>
              <w:jc w:val="center"/>
              <w:rPr>
                <w:rFonts w:ascii="Calibri" w:eastAsia="Times New Roman" w:hAnsi="Calibri"/>
                <w:sz w:val="20"/>
                <w:szCs w:val="20"/>
                <w:lang w:val="es-ES_tradnl" w:eastAsia="en-GB"/>
              </w:rPr>
            </w:pPr>
            <w:r w:rsidRPr="00A2129F">
              <w:rPr>
                <w:rFonts w:ascii="Calibri" w:eastAsia="Times New Roman" w:hAnsi="Calibri"/>
                <w:sz w:val="20"/>
                <w:szCs w:val="20"/>
                <w:lang w:val="es-ES_tradnl" w:eastAsia="en-GB"/>
              </w:rPr>
              <w:t>1</w:t>
            </w:r>
          </w:p>
        </w:tc>
        <w:tc>
          <w:tcPr>
            <w:tcW w:w="2080" w:type="dxa"/>
            <w:tcBorders>
              <w:top w:val="nil"/>
              <w:left w:val="nil"/>
              <w:bottom w:val="single" w:sz="4" w:space="0" w:color="auto"/>
              <w:right w:val="single" w:sz="4" w:space="0" w:color="auto"/>
            </w:tcBorders>
            <w:shd w:val="clear" w:color="auto" w:fill="auto"/>
            <w:noWrap/>
            <w:vAlign w:val="center"/>
          </w:tcPr>
          <w:p w14:paraId="2032FC02" w14:textId="76A6526F" w:rsidR="00E9087C" w:rsidRPr="00A2129F" w:rsidRDefault="00E9087C" w:rsidP="0019138B">
            <w:pPr>
              <w:ind w:right="459"/>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3</w:t>
            </w:r>
            <w:r w:rsidR="008E02ED">
              <w:rPr>
                <w:rFonts w:ascii="Calibri" w:eastAsia="Times New Roman" w:hAnsi="Calibri"/>
                <w:color w:val="000000"/>
                <w:sz w:val="20"/>
                <w:szCs w:val="20"/>
                <w:lang w:val="es-ES_tradnl" w:eastAsia="en-GB"/>
              </w:rPr>
              <w:t>.</w:t>
            </w:r>
            <w:r w:rsidRPr="00A2129F">
              <w:rPr>
                <w:rFonts w:ascii="Calibri" w:eastAsia="Times New Roman" w:hAnsi="Calibri"/>
                <w:color w:val="000000"/>
                <w:sz w:val="20"/>
                <w:szCs w:val="20"/>
                <w:lang w:val="es-ES_tradnl" w:eastAsia="en-GB"/>
              </w:rPr>
              <w:t>006</w:t>
            </w:r>
          </w:p>
        </w:tc>
        <w:tc>
          <w:tcPr>
            <w:tcW w:w="2000" w:type="dxa"/>
            <w:tcBorders>
              <w:top w:val="nil"/>
              <w:left w:val="nil"/>
              <w:bottom w:val="single" w:sz="4" w:space="0" w:color="auto"/>
              <w:right w:val="single" w:sz="4" w:space="0" w:color="auto"/>
            </w:tcBorders>
            <w:shd w:val="clear" w:color="auto" w:fill="auto"/>
            <w:noWrap/>
            <w:vAlign w:val="center"/>
          </w:tcPr>
          <w:p w14:paraId="5EFA96B1" w14:textId="77777777" w:rsidR="00E9087C" w:rsidRPr="00A2129F" w:rsidRDefault="00E9087C" w:rsidP="0019138B">
            <w:pPr>
              <w:ind w:right="601"/>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545</w:t>
            </w:r>
          </w:p>
        </w:tc>
        <w:tc>
          <w:tcPr>
            <w:tcW w:w="2160" w:type="dxa"/>
            <w:tcBorders>
              <w:top w:val="nil"/>
              <w:left w:val="nil"/>
              <w:bottom w:val="single" w:sz="4" w:space="0" w:color="auto"/>
              <w:right w:val="single" w:sz="4" w:space="0" w:color="auto"/>
            </w:tcBorders>
            <w:vAlign w:val="center"/>
          </w:tcPr>
          <w:p w14:paraId="4E73E675" w14:textId="77777777" w:rsidR="00E9087C" w:rsidRPr="00A2129F" w:rsidRDefault="00E9087C" w:rsidP="0019138B">
            <w:pPr>
              <w:ind w:right="459"/>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82%</w:t>
            </w:r>
          </w:p>
        </w:tc>
      </w:tr>
      <w:tr w:rsidR="00E9087C" w:rsidRPr="00A2129F" w14:paraId="6CCA7CD2" w14:textId="77777777" w:rsidTr="0019138B">
        <w:tc>
          <w:tcPr>
            <w:tcW w:w="1440" w:type="dxa"/>
            <w:tcBorders>
              <w:top w:val="nil"/>
              <w:left w:val="single" w:sz="4" w:space="0" w:color="auto"/>
              <w:bottom w:val="single" w:sz="4" w:space="0" w:color="auto"/>
              <w:right w:val="single" w:sz="4" w:space="0" w:color="auto"/>
            </w:tcBorders>
            <w:shd w:val="clear" w:color="000000" w:fill="D9D9D9"/>
            <w:noWrap/>
            <w:vAlign w:val="center"/>
          </w:tcPr>
          <w:p w14:paraId="3B327501" w14:textId="77777777" w:rsidR="00E9087C" w:rsidRPr="00A2129F" w:rsidRDefault="00E9087C" w:rsidP="0019138B">
            <w:pPr>
              <w:jc w:val="center"/>
              <w:rPr>
                <w:rFonts w:ascii="Calibri" w:eastAsia="Times New Roman" w:hAnsi="Calibri"/>
                <w:b/>
                <w:bCs/>
                <w:sz w:val="20"/>
                <w:szCs w:val="20"/>
                <w:lang w:val="es-ES_tradnl" w:eastAsia="en-GB"/>
              </w:rPr>
            </w:pPr>
            <w:r w:rsidRPr="00A2129F">
              <w:rPr>
                <w:rFonts w:ascii="Calibri" w:eastAsia="Times New Roman" w:hAnsi="Calibri"/>
                <w:b/>
                <w:bCs/>
                <w:sz w:val="20"/>
                <w:szCs w:val="20"/>
                <w:lang w:val="es-ES_tradnl" w:eastAsia="en-GB"/>
              </w:rPr>
              <w:t>Total</w:t>
            </w:r>
          </w:p>
        </w:tc>
        <w:tc>
          <w:tcPr>
            <w:tcW w:w="1320" w:type="dxa"/>
            <w:tcBorders>
              <w:top w:val="single" w:sz="4" w:space="0" w:color="auto"/>
              <w:left w:val="nil"/>
              <w:bottom w:val="single" w:sz="4" w:space="0" w:color="auto"/>
              <w:right w:val="nil"/>
            </w:tcBorders>
            <w:shd w:val="clear" w:color="000000" w:fill="D9D9D9"/>
            <w:noWrap/>
            <w:vAlign w:val="center"/>
          </w:tcPr>
          <w:p w14:paraId="19BF78D0" w14:textId="77777777" w:rsidR="00E9087C" w:rsidRPr="00A2129F" w:rsidRDefault="00E9087C" w:rsidP="0019138B">
            <w:pPr>
              <w:jc w:val="center"/>
              <w:rPr>
                <w:rFonts w:ascii="Calibri" w:eastAsia="Times New Roman" w:hAnsi="Calibri"/>
                <w:sz w:val="20"/>
                <w:szCs w:val="20"/>
                <w:lang w:val="es-ES_tradnl" w:eastAsia="en-GB"/>
              </w:rPr>
            </w:pPr>
          </w:p>
        </w:tc>
        <w:tc>
          <w:tcPr>
            <w:tcW w:w="2080" w:type="dxa"/>
            <w:tcBorders>
              <w:top w:val="nil"/>
              <w:left w:val="single" w:sz="4" w:space="0" w:color="auto"/>
              <w:bottom w:val="single" w:sz="4" w:space="0" w:color="auto"/>
              <w:right w:val="single" w:sz="4" w:space="0" w:color="auto"/>
            </w:tcBorders>
            <w:shd w:val="clear" w:color="000000" w:fill="D9D9D9"/>
            <w:noWrap/>
            <w:vAlign w:val="center"/>
          </w:tcPr>
          <w:p w14:paraId="618A880C" w14:textId="5F71240A" w:rsidR="00E9087C" w:rsidRPr="00A2129F" w:rsidRDefault="00835E22" w:rsidP="0019138B">
            <w:pPr>
              <w:ind w:right="459"/>
              <w:jc w:val="right"/>
              <w:rPr>
                <w:rFonts w:ascii="Calibri" w:eastAsia="Times New Roman" w:hAnsi="Calibri"/>
                <w:b/>
                <w:bCs/>
                <w:color w:val="000000"/>
                <w:sz w:val="20"/>
                <w:szCs w:val="20"/>
                <w:lang w:val="es-ES_tradnl" w:eastAsia="en-GB"/>
              </w:rPr>
            </w:pPr>
            <w:r>
              <w:rPr>
                <w:rFonts w:ascii="Calibri" w:eastAsia="Times New Roman" w:hAnsi="Calibri"/>
                <w:b/>
                <w:bCs/>
                <w:color w:val="000000"/>
                <w:sz w:val="20"/>
                <w:szCs w:val="20"/>
                <w:lang w:val="es-ES_tradnl" w:eastAsia="en-GB"/>
              </w:rPr>
              <w:t>4.</w:t>
            </w:r>
            <w:r w:rsidR="00E9087C" w:rsidRPr="00A2129F">
              <w:rPr>
                <w:rFonts w:ascii="Calibri" w:eastAsia="Times New Roman" w:hAnsi="Calibri"/>
                <w:b/>
                <w:bCs/>
                <w:color w:val="000000"/>
                <w:sz w:val="20"/>
                <w:szCs w:val="20"/>
                <w:lang w:val="es-ES_tradnl" w:eastAsia="en-GB"/>
              </w:rPr>
              <w:t>228</w:t>
            </w:r>
          </w:p>
        </w:tc>
        <w:tc>
          <w:tcPr>
            <w:tcW w:w="2000" w:type="dxa"/>
            <w:tcBorders>
              <w:top w:val="nil"/>
              <w:left w:val="nil"/>
              <w:bottom w:val="single" w:sz="4" w:space="0" w:color="auto"/>
              <w:right w:val="single" w:sz="4" w:space="0" w:color="auto"/>
            </w:tcBorders>
            <w:shd w:val="clear" w:color="000000" w:fill="D9D9D9"/>
            <w:noWrap/>
            <w:vAlign w:val="center"/>
          </w:tcPr>
          <w:p w14:paraId="1A920EF3" w14:textId="64228A8F" w:rsidR="00E9087C" w:rsidRPr="00A2129F" w:rsidRDefault="00835E22" w:rsidP="0019138B">
            <w:pPr>
              <w:ind w:right="601"/>
              <w:jc w:val="right"/>
              <w:rPr>
                <w:rFonts w:ascii="Calibri" w:eastAsia="Times New Roman" w:hAnsi="Calibri"/>
                <w:b/>
                <w:bCs/>
                <w:color w:val="000000"/>
                <w:sz w:val="20"/>
                <w:szCs w:val="20"/>
                <w:lang w:val="es-ES_tradnl" w:eastAsia="en-GB"/>
              </w:rPr>
            </w:pPr>
            <w:r>
              <w:rPr>
                <w:rFonts w:ascii="Calibri" w:eastAsia="Times New Roman" w:hAnsi="Calibri"/>
                <w:b/>
                <w:bCs/>
                <w:color w:val="000000"/>
                <w:sz w:val="20"/>
                <w:szCs w:val="20"/>
                <w:lang w:val="es-ES_tradnl" w:eastAsia="en-GB"/>
              </w:rPr>
              <w:t>1.</w:t>
            </w:r>
            <w:r w:rsidR="00E9087C" w:rsidRPr="00A2129F">
              <w:rPr>
                <w:rFonts w:ascii="Calibri" w:eastAsia="Times New Roman" w:hAnsi="Calibri"/>
                <w:b/>
                <w:bCs/>
                <w:color w:val="000000"/>
                <w:sz w:val="20"/>
                <w:szCs w:val="20"/>
                <w:lang w:val="es-ES_tradnl" w:eastAsia="en-GB"/>
              </w:rPr>
              <w:t>277</w:t>
            </w:r>
          </w:p>
        </w:tc>
        <w:tc>
          <w:tcPr>
            <w:tcW w:w="2160" w:type="dxa"/>
            <w:tcBorders>
              <w:top w:val="nil"/>
              <w:left w:val="nil"/>
              <w:bottom w:val="single" w:sz="4" w:space="0" w:color="auto"/>
              <w:right w:val="single" w:sz="4" w:space="0" w:color="auto"/>
            </w:tcBorders>
            <w:shd w:val="clear" w:color="000000" w:fill="D9D9D9"/>
            <w:vAlign w:val="center"/>
          </w:tcPr>
          <w:p w14:paraId="70544AE7" w14:textId="77777777" w:rsidR="00E9087C" w:rsidRPr="00A2129F" w:rsidRDefault="00E9087C" w:rsidP="0019138B">
            <w:pPr>
              <w:ind w:right="459"/>
              <w:jc w:val="right"/>
              <w:rPr>
                <w:rFonts w:ascii="Calibri" w:eastAsia="Times New Roman" w:hAnsi="Calibri"/>
                <w:b/>
                <w:bCs/>
                <w:color w:val="000000"/>
                <w:sz w:val="20"/>
                <w:szCs w:val="20"/>
                <w:lang w:val="es-ES_tradnl" w:eastAsia="en-GB"/>
              </w:rPr>
            </w:pPr>
            <w:r w:rsidRPr="00A2129F">
              <w:rPr>
                <w:rFonts w:ascii="Calibri" w:eastAsia="Times New Roman" w:hAnsi="Calibri"/>
                <w:b/>
                <w:bCs/>
                <w:color w:val="000000"/>
                <w:sz w:val="20"/>
                <w:szCs w:val="20"/>
                <w:lang w:val="es-ES_tradnl" w:eastAsia="en-GB"/>
              </w:rPr>
              <w:t>70%</w:t>
            </w:r>
          </w:p>
        </w:tc>
      </w:tr>
    </w:tbl>
    <w:p w14:paraId="2F237CB3" w14:textId="77777777" w:rsidR="00044588" w:rsidRPr="00A2129F" w:rsidRDefault="00044588" w:rsidP="00F8523A">
      <w:pPr>
        <w:autoSpaceDE w:val="0"/>
        <w:autoSpaceDN w:val="0"/>
        <w:adjustRightInd w:val="0"/>
        <w:rPr>
          <w:rFonts w:ascii="Calibri" w:hAnsi="Calibri" w:cs="Calibri"/>
          <w:sz w:val="22"/>
          <w:szCs w:val="22"/>
          <w:lang w:val="es-ES_tradnl"/>
        </w:rPr>
      </w:pPr>
    </w:p>
    <w:p w14:paraId="7F73B4F7" w14:textId="77777777" w:rsidR="00C37DBB" w:rsidRPr="00A2129F" w:rsidRDefault="00C37DBB" w:rsidP="00F8523A">
      <w:pPr>
        <w:autoSpaceDE w:val="0"/>
        <w:autoSpaceDN w:val="0"/>
        <w:adjustRightInd w:val="0"/>
        <w:rPr>
          <w:rFonts w:ascii="Calibri" w:hAnsi="Calibri" w:cs="Calibri"/>
          <w:sz w:val="22"/>
          <w:szCs w:val="22"/>
          <w:lang w:val="es-ES_tradnl"/>
        </w:rPr>
      </w:pPr>
    </w:p>
    <w:p w14:paraId="14F2750C" w14:textId="070D22B8" w:rsidR="00A04293" w:rsidRPr="00A2129F" w:rsidRDefault="00835E22" w:rsidP="003313F8">
      <w:pPr>
        <w:numPr>
          <w:ilvl w:val="0"/>
          <w:numId w:val="1"/>
        </w:numPr>
        <w:autoSpaceDE w:val="0"/>
        <w:autoSpaceDN w:val="0"/>
        <w:adjustRightInd w:val="0"/>
        <w:ind w:left="426" w:hanging="426"/>
        <w:rPr>
          <w:rFonts w:ascii="Calibri" w:hAnsi="Calibri" w:cs="Calibri"/>
          <w:sz w:val="22"/>
          <w:szCs w:val="22"/>
          <w:lang w:val="es-ES_tradnl"/>
        </w:rPr>
      </w:pPr>
      <w:r>
        <w:rPr>
          <w:rFonts w:ascii="Calibri" w:hAnsi="Calibri" w:cs="Calibri"/>
          <w:sz w:val="22"/>
          <w:szCs w:val="22"/>
          <w:lang w:val="es-ES_tradnl"/>
        </w:rPr>
        <w:t xml:space="preserve">En el Cuadro 3 se muestra una comparativa del importe total de las contribuciones </w:t>
      </w:r>
      <w:r w:rsidR="00BD0520">
        <w:rPr>
          <w:rFonts w:ascii="Calibri" w:hAnsi="Calibri" w:cs="Calibri"/>
          <w:sz w:val="22"/>
          <w:szCs w:val="22"/>
          <w:lang w:val="es-ES_tradnl"/>
        </w:rPr>
        <w:t xml:space="preserve">pendientes </w:t>
      </w:r>
      <w:r>
        <w:rPr>
          <w:rFonts w:ascii="Calibri" w:hAnsi="Calibri" w:cs="Calibri"/>
          <w:sz w:val="22"/>
          <w:szCs w:val="22"/>
          <w:lang w:val="es-ES_tradnl"/>
        </w:rPr>
        <w:t xml:space="preserve">al 29 de febrero de 2016 y al 31 de diciembre de 2016, por regiones. </w:t>
      </w:r>
    </w:p>
    <w:p w14:paraId="34811704" w14:textId="77777777" w:rsidR="00BA5FB7" w:rsidRPr="00A2129F" w:rsidRDefault="00BA5FB7" w:rsidP="00A04293">
      <w:pPr>
        <w:autoSpaceDE w:val="0"/>
        <w:autoSpaceDN w:val="0"/>
        <w:adjustRightInd w:val="0"/>
        <w:rPr>
          <w:rFonts w:ascii="Calibri" w:hAnsi="Calibri" w:cs="Calibri"/>
          <w:sz w:val="22"/>
          <w:szCs w:val="22"/>
          <w:lang w:val="es-ES_tradnl"/>
        </w:rPr>
      </w:pPr>
    </w:p>
    <w:p w14:paraId="6F1D189C" w14:textId="4AA88B68" w:rsidR="008E02ED" w:rsidRPr="00A2129F" w:rsidRDefault="008E02ED" w:rsidP="008E02ED">
      <w:pPr>
        <w:autoSpaceDE w:val="0"/>
        <w:autoSpaceDN w:val="0"/>
        <w:adjustRightInd w:val="0"/>
        <w:rPr>
          <w:rFonts w:ascii="Calibri" w:hAnsi="Calibri" w:cs="Calibri"/>
          <w:i/>
          <w:sz w:val="22"/>
          <w:szCs w:val="22"/>
          <w:lang w:val="es-ES_tradnl"/>
        </w:rPr>
      </w:pPr>
      <w:r>
        <w:rPr>
          <w:rFonts w:ascii="Calibri" w:hAnsi="Calibri" w:cs="Calibri"/>
          <w:i/>
          <w:sz w:val="22"/>
          <w:szCs w:val="22"/>
          <w:lang w:val="es-ES_tradnl"/>
        </w:rPr>
        <w:t>Cuadro 3</w:t>
      </w:r>
      <w:r w:rsidRPr="00A2129F">
        <w:rPr>
          <w:rFonts w:ascii="Calibri" w:hAnsi="Calibri" w:cs="Calibri"/>
          <w:i/>
          <w:sz w:val="22"/>
          <w:szCs w:val="22"/>
          <w:lang w:val="es-ES_tradnl"/>
        </w:rPr>
        <w:t>: C</w:t>
      </w:r>
      <w:r>
        <w:rPr>
          <w:rFonts w:ascii="Calibri" w:hAnsi="Calibri" w:cs="Calibri"/>
          <w:i/>
          <w:sz w:val="22"/>
          <w:szCs w:val="22"/>
          <w:lang w:val="es-ES_tradnl"/>
        </w:rPr>
        <w:t>omparativa de las c</w:t>
      </w:r>
      <w:r w:rsidRPr="00A2129F">
        <w:rPr>
          <w:rFonts w:ascii="Calibri" w:hAnsi="Calibri" w:cs="Calibri"/>
          <w:i/>
          <w:sz w:val="22"/>
          <w:szCs w:val="22"/>
          <w:lang w:val="es-ES_tradnl"/>
        </w:rPr>
        <w:t xml:space="preserve">ontribuciones pendientes de pago al 29 de febrero de 2016 y al 31 de diciembre de 2016, </w:t>
      </w:r>
      <w:r>
        <w:rPr>
          <w:rFonts w:ascii="Calibri" w:hAnsi="Calibri" w:cs="Calibri"/>
          <w:i/>
          <w:sz w:val="22"/>
          <w:szCs w:val="22"/>
          <w:lang w:val="es-ES_tradnl"/>
        </w:rPr>
        <w:t>por regiones</w:t>
      </w:r>
    </w:p>
    <w:p w14:paraId="7D395B8A" w14:textId="77777777" w:rsidR="008E02ED" w:rsidRPr="00A2129F" w:rsidRDefault="008E02ED" w:rsidP="000A2A20">
      <w:pPr>
        <w:keepNext/>
        <w:autoSpaceDE w:val="0"/>
        <w:autoSpaceDN w:val="0"/>
        <w:adjustRightInd w:val="0"/>
        <w:rPr>
          <w:rFonts w:ascii="Calibri" w:hAnsi="Calibri" w:cs="Calibri"/>
          <w:i/>
          <w:sz w:val="22"/>
          <w:szCs w:val="22"/>
          <w:lang w:val="es-ES_tradnl"/>
        </w:rPr>
      </w:pPr>
    </w:p>
    <w:p w14:paraId="1BD0A289" w14:textId="77777777" w:rsidR="00A04293" w:rsidRPr="00A2129F" w:rsidRDefault="00A04293" w:rsidP="0019138B">
      <w:pPr>
        <w:autoSpaceDE w:val="0"/>
        <w:autoSpaceDN w:val="0"/>
        <w:adjustRightInd w:val="0"/>
        <w:rPr>
          <w:rFonts w:ascii="Calibri" w:hAnsi="Calibri" w:cs="Calibri"/>
          <w:sz w:val="22"/>
          <w:szCs w:val="22"/>
          <w:lang w:val="es-ES_tradnl"/>
        </w:rPr>
      </w:pPr>
    </w:p>
    <w:tbl>
      <w:tblPr>
        <w:tblW w:w="9240" w:type="dxa"/>
        <w:tblInd w:w="-132" w:type="dxa"/>
        <w:tblLayout w:type="fixed"/>
        <w:tblLook w:val="04A0" w:firstRow="1" w:lastRow="0" w:firstColumn="1" w:lastColumn="0" w:noHBand="0" w:noVBand="1"/>
      </w:tblPr>
      <w:tblGrid>
        <w:gridCol w:w="1800"/>
        <w:gridCol w:w="1860"/>
        <w:gridCol w:w="1860"/>
        <w:gridCol w:w="1860"/>
        <w:gridCol w:w="1860"/>
      </w:tblGrid>
      <w:tr w:rsidR="001E7CDF" w:rsidRPr="00A2129F" w14:paraId="25C98E4D" w14:textId="77777777" w:rsidTr="005B4475">
        <w:trPr>
          <w:trHeight w:val="292"/>
        </w:trPr>
        <w:tc>
          <w:tcPr>
            <w:tcW w:w="1800" w:type="dxa"/>
            <w:tcBorders>
              <w:top w:val="nil"/>
              <w:left w:val="nil"/>
              <w:bottom w:val="nil"/>
              <w:right w:val="single" w:sz="4" w:space="0" w:color="auto"/>
            </w:tcBorders>
            <w:shd w:val="clear" w:color="auto" w:fill="auto"/>
            <w:noWrap/>
          </w:tcPr>
          <w:p w14:paraId="2DF82BCD" w14:textId="77777777" w:rsidR="001E7CDF" w:rsidRPr="00A2129F" w:rsidRDefault="001E7CDF" w:rsidP="000A2A20">
            <w:pPr>
              <w:keepNext/>
              <w:jc w:val="center"/>
              <w:rPr>
                <w:rFonts w:ascii="Calibri" w:eastAsia="Times New Roman" w:hAnsi="Calibri"/>
                <w:color w:val="000000"/>
                <w:sz w:val="20"/>
                <w:szCs w:val="20"/>
                <w:lang w:val="es-ES_tradnl" w:eastAsia="en-GB"/>
              </w:rPr>
            </w:pPr>
          </w:p>
        </w:tc>
        <w:tc>
          <w:tcPr>
            <w:tcW w:w="1860" w:type="dxa"/>
            <w:tcBorders>
              <w:top w:val="single" w:sz="4" w:space="0" w:color="auto"/>
              <w:left w:val="single" w:sz="4" w:space="0" w:color="auto"/>
              <w:bottom w:val="single" w:sz="4" w:space="0" w:color="auto"/>
              <w:right w:val="single" w:sz="4" w:space="0" w:color="000000"/>
            </w:tcBorders>
            <w:shd w:val="clear" w:color="auto" w:fill="C6D9F1" w:themeFill="text2" w:themeFillTint="33"/>
            <w:noWrap/>
            <w:vAlign w:val="center"/>
          </w:tcPr>
          <w:p w14:paraId="24B51CA2" w14:textId="2F76335E" w:rsidR="00835E22" w:rsidRPr="005E1897" w:rsidRDefault="00835E22" w:rsidP="00835E22">
            <w:pPr>
              <w:jc w:val="center"/>
              <w:rPr>
                <w:rFonts w:ascii="Calibri" w:eastAsia="Times New Roman" w:hAnsi="Calibri"/>
                <w:b/>
                <w:bCs/>
                <w:sz w:val="20"/>
                <w:szCs w:val="20"/>
                <w:lang w:val="es-ES_tradnl" w:eastAsia="en-GB"/>
              </w:rPr>
            </w:pPr>
            <w:r w:rsidRPr="005E1897">
              <w:rPr>
                <w:rFonts w:ascii="Calibri" w:eastAsia="Times New Roman" w:hAnsi="Calibri"/>
                <w:b/>
                <w:bCs/>
                <w:sz w:val="20"/>
                <w:szCs w:val="20"/>
                <w:lang w:val="es-ES_tradnl" w:eastAsia="en-GB"/>
              </w:rPr>
              <w:t xml:space="preserve">Importe total de las contribuciones </w:t>
            </w:r>
            <w:r w:rsidR="00D650D9" w:rsidRPr="005E1897">
              <w:rPr>
                <w:rFonts w:ascii="Calibri" w:eastAsia="Times New Roman" w:hAnsi="Calibri"/>
                <w:b/>
                <w:bCs/>
                <w:sz w:val="20"/>
                <w:szCs w:val="20"/>
                <w:lang w:val="es-ES_tradnl" w:eastAsia="en-GB"/>
              </w:rPr>
              <w:t>pendientes</w:t>
            </w:r>
            <w:r w:rsidRPr="005E1897">
              <w:rPr>
                <w:rFonts w:ascii="Calibri" w:eastAsia="Times New Roman" w:hAnsi="Calibri"/>
                <w:b/>
                <w:bCs/>
                <w:sz w:val="20"/>
                <w:szCs w:val="20"/>
                <w:lang w:val="es-ES_tradnl" w:eastAsia="en-GB"/>
              </w:rPr>
              <w:t xml:space="preserve"> al 29.2.2016 </w:t>
            </w:r>
          </w:p>
          <w:p w14:paraId="53183F6D" w14:textId="1A24131F" w:rsidR="001E7CDF" w:rsidRPr="005E1897" w:rsidRDefault="001E7CDF" w:rsidP="0019138B">
            <w:pPr>
              <w:jc w:val="center"/>
              <w:rPr>
                <w:rFonts w:ascii="Calibri" w:eastAsia="Times New Roman" w:hAnsi="Calibri"/>
                <w:b/>
                <w:bCs/>
                <w:sz w:val="20"/>
                <w:szCs w:val="20"/>
                <w:lang w:val="es-ES_tradnl" w:eastAsia="en-GB"/>
              </w:rPr>
            </w:pPr>
          </w:p>
        </w:tc>
        <w:tc>
          <w:tcPr>
            <w:tcW w:w="18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E73A32" w14:textId="076C1F47" w:rsidR="001E7CDF" w:rsidRPr="005E1897" w:rsidRDefault="00835E22" w:rsidP="00D650D9">
            <w:pPr>
              <w:jc w:val="center"/>
              <w:rPr>
                <w:rFonts w:ascii="Calibri" w:eastAsia="Times New Roman" w:hAnsi="Calibri"/>
                <w:b/>
                <w:bCs/>
                <w:sz w:val="20"/>
                <w:szCs w:val="20"/>
                <w:lang w:val="es-ES_tradnl" w:eastAsia="en-GB"/>
              </w:rPr>
            </w:pPr>
            <w:r w:rsidRPr="005E1897">
              <w:rPr>
                <w:rFonts w:ascii="Calibri" w:eastAsia="Times New Roman" w:hAnsi="Calibri"/>
                <w:b/>
                <w:bCs/>
                <w:sz w:val="20"/>
                <w:szCs w:val="20"/>
                <w:lang w:val="es-ES_tradnl" w:eastAsia="en-GB"/>
              </w:rPr>
              <w:t xml:space="preserve">Importe total de las contribuciones </w:t>
            </w:r>
            <w:r w:rsidR="00D650D9" w:rsidRPr="005E1897">
              <w:rPr>
                <w:rFonts w:ascii="Calibri" w:eastAsia="Times New Roman" w:hAnsi="Calibri"/>
                <w:b/>
                <w:bCs/>
                <w:sz w:val="20"/>
                <w:szCs w:val="20"/>
                <w:lang w:val="es-ES_tradnl" w:eastAsia="en-GB"/>
              </w:rPr>
              <w:t>pendientes</w:t>
            </w:r>
            <w:r w:rsidRPr="005E1897">
              <w:rPr>
                <w:rFonts w:ascii="Calibri" w:eastAsia="Times New Roman" w:hAnsi="Calibri"/>
                <w:b/>
                <w:bCs/>
                <w:sz w:val="20"/>
                <w:szCs w:val="20"/>
                <w:lang w:val="es-ES_tradnl" w:eastAsia="en-GB"/>
              </w:rPr>
              <w:t xml:space="preserve"> al </w:t>
            </w:r>
            <w:r w:rsidR="0019138B" w:rsidRPr="005E1897">
              <w:rPr>
                <w:rFonts w:ascii="Calibri" w:eastAsia="Times New Roman" w:hAnsi="Calibri"/>
                <w:b/>
                <w:bCs/>
                <w:sz w:val="20"/>
                <w:szCs w:val="20"/>
                <w:lang w:val="es-ES_tradnl" w:eastAsia="en-GB"/>
              </w:rPr>
              <w:t>31</w:t>
            </w:r>
            <w:r w:rsidRPr="005E1897">
              <w:rPr>
                <w:rFonts w:ascii="Calibri" w:eastAsia="Times New Roman" w:hAnsi="Calibri"/>
                <w:b/>
                <w:bCs/>
                <w:sz w:val="20"/>
                <w:szCs w:val="20"/>
                <w:lang w:val="es-ES_tradnl" w:eastAsia="en-GB"/>
              </w:rPr>
              <w:t>.</w:t>
            </w:r>
            <w:r w:rsidR="0019138B" w:rsidRPr="005E1897">
              <w:rPr>
                <w:rFonts w:ascii="Calibri" w:eastAsia="Times New Roman" w:hAnsi="Calibri"/>
                <w:b/>
                <w:bCs/>
                <w:sz w:val="20"/>
                <w:szCs w:val="20"/>
                <w:lang w:val="es-ES_tradnl" w:eastAsia="en-GB"/>
              </w:rPr>
              <w:t>12</w:t>
            </w:r>
            <w:r w:rsidRPr="005E1897">
              <w:rPr>
                <w:rFonts w:ascii="Calibri" w:eastAsia="Times New Roman" w:hAnsi="Calibri"/>
                <w:b/>
                <w:bCs/>
                <w:sz w:val="20"/>
                <w:szCs w:val="20"/>
                <w:lang w:val="es-ES_tradnl" w:eastAsia="en-GB"/>
              </w:rPr>
              <w:t>.</w:t>
            </w:r>
            <w:r w:rsidR="001E7CDF" w:rsidRPr="005E1897">
              <w:rPr>
                <w:rFonts w:ascii="Calibri" w:eastAsia="Times New Roman" w:hAnsi="Calibri"/>
                <w:b/>
                <w:bCs/>
                <w:sz w:val="20"/>
                <w:szCs w:val="20"/>
                <w:lang w:val="es-ES_tradnl" w:eastAsia="en-GB"/>
              </w:rPr>
              <w:t>2016</w:t>
            </w:r>
          </w:p>
        </w:tc>
        <w:tc>
          <w:tcPr>
            <w:tcW w:w="18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B08F2B" w14:textId="0C9C28B3" w:rsidR="001E7CDF" w:rsidRPr="005E1897" w:rsidRDefault="00835E22" w:rsidP="00835E22">
            <w:pPr>
              <w:jc w:val="center"/>
              <w:rPr>
                <w:rFonts w:ascii="Calibri" w:eastAsia="Times New Roman" w:hAnsi="Calibri"/>
                <w:b/>
                <w:bCs/>
                <w:sz w:val="20"/>
                <w:szCs w:val="20"/>
                <w:lang w:val="es-ES_tradnl" w:eastAsia="en-GB"/>
              </w:rPr>
            </w:pPr>
            <w:r w:rsidRPr="005E1897">
              <w:rPr>
                <w:rFonts w:ascii="Calibri" w:eastAsia="Times New Roman" w:hAnsi="Calibri"/>
                <w:b/>
                <w:bCs/>
                <w:sz w:val="20"/>
                <w:szCs w:val="20"/>
                <w:lang w:val="es-ES_tradnl" w:eastAsia="en-GB"/>
              </w:rPr>
              <w:t>Porcentaje de contribuciones pendientes al 29.2.2016 que se pagaron antes del 31.12.2016 (%)</w:t>
            </w:r>
          </w:p>
        </w:tc>
        <w:tc>
          <w:tcPr>
            <w:tcW w:w="18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501492" w14:textId="77777777" w:rsidR="009136E7" w:rsidRPr="005E1897" w:rsidRDefault="001E7CDF" w:rsidP="009136E7">
            <w:pPr>
              <w:jc w:val="center"/>
              <w:rPr>
                <w:rFonts w:ascii="Calibri" w:eastAsia="Times New Roman" w:hAnsi="Calibri"/>
                <w:b/>
                <w:bCs/>
                <w:sz w:val="20"/>
                <w:szCs w:val="20"/>
                <w:lang w:val="es-ES_tradnl" w:eastAsia="en-GB"/>
              </w:rPr>
            </w:pPr>
            <w:r w:rsidRPr="005E1897">
              <w:rPr>
                <w:rFonts w:ascii="Calibri" w:eastAsia="Times New Roman" w:hAnsi="Calibri"/>
                <w:b/>
                <w:bCs/>
                <w:sz w:val="20"/>
                <w:szCs w:val="20"/>
                <w:lang w:val="es-ES_tradnl" w:eastAsia="en-GB"/>
              </w:rPr>
              <w:t>Memo:</w:t>
            </w:r>
            <w:r w:rsidR="0019138B" w:rsidRPr="005E1897">
              <w:rPr>
                <w:rFonts w:ascii="Calibri" w:eastAsia="Times New Roman" w:hAnsi="Calibri"/>
                <w:b/>
                <w:bCs/>
                <w:sz w:val="20"/>
                <w:szCs w:val="20"/>
                <w:lang w:val="es-ES_tradnl" w:eastAsia="en-GB"/>
              </w:rPr>
              <w:t xml:space="preserve"> </w:t>
            </w:r>
            <w:r w:rsidR="00AD5DD1" w:rsidRPr="005E1897">
              <w:rPr>
                <w:rFonts w:ascii="Calibri" w:eastAsia="Times New Roman" w:hAnsi="Calibri"/>
                <w:b/>
                <w:bCs/>
                <w:sz w:val="20"/>
                <w:szCs w:val="20"/>
                <w:lang w:val="es-ES_tradnl" w:eastAsia="en-GB"/>
              </w:rPr>
              <w:t>Partes Contratantes</w:t>
            </w:r>
            <w:r w:rsidRPr="005E1897">
              <w:rPr>
                <w:rFonts w:ascii="Calibri" w:eastAsia="Times New Roman" w:hAnsi="Calibri"/>
                <w:b/>
                <w:bCs/>
                <w:sz w:val="20"/>
                <w:szCs w:val="20"/>
                <w:lang w:val="es-ES_tradnl" w:eastAsia="en-GB"/>
              </w:rPr>
              <w:t xml:space="preserve"> </w:t>
            </w:r>
            <w:r w:rsidR="009136E7" w:rsidRPr="005E1897">
              <w:rPr>
                <w:rFonts w:ascii="Calibri" w:eastAsia="Times New Roman" w:hAnsi="Calibri"/>
                <w:b/>
                <w:bCs/>
                <w:sz w:val="20"/>
                <w:szCs w:val="20"/>
                <w:lang w:val="es-ES_tradnl" w:eastAsia="en-GB"/>
              </w:rPr>
              <w:t>con atrasos</w:t>
            </w:r>
            <w:r w:rsidRPr="005E1897">
              <w:rPr>
                <w:rFonts w:ascii="Calibri" w:eastAsia="Times New Roman" w:hAnsi="Calibri"/>
                <w:b/>
                <w:bCs/>
                <w:sz w:val="20"/>
                <w:szCs w:val="20"/>
                <w:lang w:val="es-ES_tradnl" w:eastAsia="en-GB"/>
              </w:rPr>
              <w:t xml:space="preserve"> &gt; </w:t>
            </w:r>
            <w:r w:rsidR="00BB4BF3" w:rsidRPr="005E1897">
              <w:rPr>
                <w:rFonts w:ascii="Calibri" w:eastAsia="Times New Roman" w:hAnsi="Calibri"/>
                <w:b/>
                <w:bCs/>
                <w:sz w:val="20"/>
                <w:szCs w:val="20"/>
                <w:lang w:val="es-ES_tradnl" w:eastAsia="en-GB"/>
              </w:rPr>
              <w:t>3</w:t>
            </w:r>
            <w:r w:rsidRPr="005E1897">
              <w:rPr>
                <w:rFonts w:ascii="Calibri" w:eastAsia="Times New Roman" w:hAnsi="Calibri"/>
                <w:b/>
                <w:bCs/>
                <w:sz w:val="20"/>
                <w:szCs w:val="20"/>
                <w:lang w:val="es-ES_tradnl" w:eastAsia="en-GB"/>
              </w:rPr>
              <w:t xml:space="preserve"> </w:t>
            </w:r>
            <w:r w:rsidR="009136E7" w:rsidRPr="005E1897">
              <w:rPr>
                <w:rFonts w:ascii="Calibri" w:eastAsia="Times New Roman" w:hAnsi="Calibri"/>
                <w:b/>
                <w:bCs/>
                <w:sz w:val="20"/>
                <w:szCs w:val="20"/>
                <w:lang w:val="es-ES_tradnl" w:eastAsia="en-GB"/>
              </w:rPr>
              <w:t>años</w:t>
            </w:r>
          </w:p>
          <w:p w14:paraId="2F7139F7" w14:textId="15E454F5" w:rsidR="001E7CDF" w:rsidRPr="005E1897" w:rsidRDefault="009136E7" w:rsidP="009136E7">
            <w:pPr>
              <w:jc w:val="center"/>
              <w:rPr>
                <w:rFonts w:ascii="Calibri" w:eastAsia="Times New Roman" w:hAnsi="Calibri"/>
                <w:b/>
                <w:bCs/>
                <w:sz w:val="20"/>
                <w:szCs w:val="20"/>
                <w:lang w:val="es-ES_tradnl" w:eastAsia="en-GB"/>
              </w:rPr>
            </w:pPr>
            <w:r w:rsidRPr="005E1897">
              <w:rPr>
                <w:rFonts w:ascii="Calibri" w:eastAsia="Times New Roman" w:hAnsi="Calibri"/>
                <w:b/>
                <w:bCs/>
                <w:sz w:val="20"/>
                <w:szCs w:val="20"/>
                <w:lang w:val="es-ES_tradnl" w:eastAsia="en-GB"/>
              </w:rPr>
              <w:t>al</w:t>
            </w:r>
            <w:r w:rsidR="001E7CDF" w:rsidRPr="005E1897">
              <w:rPr>
                <w:rFonts w:ascii="Calibri" w:eastAsia="Times New Roman" w:hAnsi="Calibri"/>
                <w:b/>
                <w:bCs/>
                <w:sz w:val="20"/>
                <w:szCs w:val="20"/>
                <w:lang w:val="es-ES_tradnl" w:eastAsia="en-GB"/>
              </w:rPr>
              <w:t xml:space="preserve"> 31</w:t>
            </w:r>
            <w:r w:rsidRPr="005E1897">
              <w:rPr>
                <w:rFonts w:ascii="Calibri" w:eastAsia="Times New Roman" w:hAnsi="Calibri"/>
                <w:b/>
                <w:bCs/>
                <w:sz w:val="20"/>
                <w:szCs w:val="20"/>
                <w:lang w:val="es-ES_tradnl" w:eastAsia="en-GB"/>
              </w:rPr>
              <w:t>.</w:t>
            </w:r>
            <w:r w:rsidR="001E7CDF" w:rsidRPr="005E1897">
              <w:rPr>
                <w:rFonts w:ascii="Calibri" w:eastAsia="Times New Roman" w:hAnsi="Calibri"/>
                <w:b/>
                <w:bCs/>
                <w:sz w:val="20"/>
                <w:szCs w:val="20"/>
                <w:lang w:val="es-ES_tradnl" w:eastAsia="en-GB"/>
              </w:rPr>
              <w:t>12</w:t>
            </w:r>
            <w:r w:rsidRPr="005E1897">
              <w:rPr>
                <w:rFonts w:ascii="Calibri" w:eastAsia="Times New Roman" w:hAnsi="Calibri"/>
                <w:b/>
                <w:bCs/>
                <w:sz w:val="20"/>
                <w:szCs w:val="20"/>
                <w:lang w:val="es-ES_tradnl" w:eastAsia="en-GB"/>
              </w:rPr>
              <w:t>.</w:t>
            </w:r>
            <w:r w:rsidR="001E7CDF" w:rsidRPr="005E1897">
              <w:rPr>
                <w:rFonts w:ascii="Calibri" w:eastAsia="Times New Roman" w:hAnsi="Calibri"/>
                <w:b/>
                <w:bCs/>
                <w:sz w:val="20"/>
                <w:szCs w:val="20"/>
                <w:lang w:val="es-ES_tradnl" w:eastAsia="en-GB"/>
              </w:rPr>
              <w:t xml:space="preserve">2016 </w:t>
            </w:r>
          </w:p>
        </w:tc>
      </w:tr>
      <w:tr w:rsidR="001E7CDF" w:rsidRPr="00A2129F" w14:paraId="281D7976" w14:textId="77777777" w:rsidTr="005B4475">
        <w:trPr>
          <w:trHeight w:val="292"/>
        </w:trPr>
        <w:tc>
          <w:tcPr>
            <w:tcW w:w="180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064E415" w14:textId="73ED4EF2" w:rsidR="001E7CDF" w:rsidRPr="00A2129F" w:rsidRDefault="00835E22" w:rsidP="000A2A20">
            <w:pPr>
              <w:keepNext/>
              <w:jc w:val="center"/>
              <w:rPr>
                <w:rFonts w:ascii="Calibri" w:eastAsia="Times New Roman" w:hAnsi="Calibri"/>
                <w:b/>
                <w:bCs/>
                <w:sz w:val="20"/>
                <w:szCs w:val="20"/>
                <w:lang w:val="es-ES_tradnl" w:eastAsia="en-GB"/>
              </w:rPr>
            </w:pPr>
            <w:r>
              <w:rPr>
                <w:rFonts w:ascii="Calibri" w:eastAsia="Times New Roman" w:hAnsi="Calibri"/>
                <w:b/>
                <w:bCs/>
                <w:sz w:val="20"/>
                <w:szCs w:val="20"/>
                <w:lang w:val="es-ES_tradnl" w:eastAsia="en-GB"/>
              </w:rPr>
              <w:t>Regió</w:t>
            </w:r>
            <w:r w:rsidR="001E7CDF" w:rsidRPr="00A2129F">
              <w:rPr>
                <w:rFonts w:ascii="Calibri" w:eastAsia="Times New Roman" w:hAnsi="Calibri"/>
                <w:b/>
                <w:bCs/>
                <w:sz w:val="20"/>
                <w:szCs w:val="20"/>
                <w:lang w:val="es-ES_tradnl" w:eastAsia="en-GB"/>
              </w:rPr>
              <w:t>n</w:t>
            </w:r>
          </w:p>
        </w:tc>
        <w:tc>
          <w:tcPr>
            <w:tcW w:w="1860" w:type="dxa"/>
            <w:tcBorders>
              <w:top w:val="nil"/>
              <w:left w:val="single" w:sz="4" w:space="0" w:color="auto"/>
              <w:bottom w:val="single" w:sz="4" w:space="0" w:color="auto"/>
              <w:right w:val="single" w:sz="4" w:space="0" w:color="auto"/>
            </w:tcBorders>
            <w:shd w:val="clear" w:color="auto" w:fill="C6D9F1" w:themeFill="text2" w:themeFillTint="33"/>
            <w:vAlign w:val="center"/>
          </w:tcPr>
          <w:p w14:paraId="798ED7BC" w14:textId="1DF9AAD0" w:rsidR="001E7CDF" w:rsidRPr="005E1897" w:rsidRDefault="00835E22" w:rsidP="00835E22">
            <w:pPr>
              <w:jc w:val="center"/>
              <w:rPr>
                <w:rFonts w:ascii="Calibri" w:eastAsia="Times New Roman" w:hAnsi="Calibri"/>
                <w:b/>
                <w:bCs/>
                <w:sz w:val="20"/>
                <w:szCs w:val="20"/>
                <w:lang w:val="es-ES_tradnl" w:eastAsia="en-GB"/>
              </w:rPr>
            </w:pPr>
            <w:r w:rsidRPr="005E1897">
              <w:rPr>
                <w:rFonts w:ascii="Calibri" w:eastAsia="Times New Roman" w:hAnsi="Calibri"/>
                <w:b/>
                <w:bCs/>
                <w:sz w:val="20"/>
                <w:szCs w:val="20"/>
                <w:lang w:val="es-ES_tradnl" w:eastAsia="en-GB"/>
              </w:rPr>
              <w:t xml:space="preserve">Importe en </w:t>
            </w:r>
            <w:r w:rsidR="00BD0520" w:rsidRPr="005E1897">
              <w:rPr>
                <w:rFonts w:ascii="Calibri" w:eastAsia="Times New Roman" w:hAnsi="Calibri"/>
                <w:b/>
                <w:bCs/>
                <w:sz w:val="20"/>
                <w:szCs w:val="20"/>
                <w:lang w:val="es-ES_tradnl" w:eastAsia="en-GB"/>
              </w:rPr>
              <w:t xml:space="preserve">miles de </w:t>
            </w:r>
            <w:r w:rsidRPr="005E1897">
              <w:rPr>
                <w:rFonts w:ascii="Calibri" w:eastAsia="Times New Roman" w:hAnsi="Calibri"/>
                <w:b/>
                <w:bCs/>
                <w:sz w:val="20"/>
                <w:szCs w:val="20"/>
                <w:lang w:val="es-ES_tradnl" w:eastAsia="en-GB"/>
              </w:rPr>
              <w:t xml:space="preserve">francos suizos </w:t>
            </w:r>
          </w:p>
        </w:tc>
        <w:tc>
          <w:tcPr>
            <w:tcW w:w="1860" w:type="dxa"/>
            <w:tcBorders>
              <w:top w:val="nil"/>
              <w:left w:val="single" w:sz="4" w:space="0" w:color="auto"/>
              <w:bottom w:val="single" w:sz="4" w:space="0" w:color="auto"/>
              <w:right w:val="single" w:sz="4" w:space="0" w:color="auto"/>
            </w:tcBorders>
            <w:shd w:val="clear" w:color="auto" w:fill="C6D9F1" w:themeFill="text2" w:themeFillTint="33"/>
            <w:vAlign w:val="center"/>
          </w:tcPr>
          <w:p w14:paraId="77F74CE4" w14:textId="3A9F4997" w:rsidR="001E7CDF" w:rsidRPr="005E1897" w:rsidRDefault="00BD0520" w:rsidP="00A04293">
            <w:pPr>
              <w:jc w:val="center"/>
              <w:rPr>
                <w:rFonts w:ascii="Calibri" w:eastAsia="Times New Roman" w:hAnsi="Calibri"/>
                <w:b/>
                <w:bCs/>
                <w:sz w:val="20"/>
                <w:szCs w:val="20"/>
                <w:lang w:val="es-ES_tradnl" w:eastAsia="en-GB"/>
              </w:rPr>
            </w:pPr>
            <w:r w:rsidRPr="005E1897">
              <w:rPr>
                <w:rFonts w:ascii="Calibri" w:eastAsia="Times New Roman" w:hAnsi="Calibri"/>
                <w:b/>
                <w:bCs/>
                <w:sz w:val="20"/>
                <w:szCs w:val="20"/>
                <w:lang w:val="es-ES_tradnl" w:eastAsia="en-GB"/>
              </w:rPr>
              <w:t xml:space="preserve">Importe en miles de francos suizos </w:t>
            </w:r>
          </w:p>
        </w:tc>
        <w:tc>
          <w:tcPr>
            <w:tcW w:w="1860" w:type="dxa"/>
            <w:tcBorders>
              <w:top w:val="nil"/>
              <w:left w:val="single" w:sz="4" w:space="0" w:color="auto"/>
              <w:bottom w:val="single" w:sz="4" w:space="0" w:color="auto"/>
              <w:right w:val="single" w:sz="4" w:space="0" w:color="auto"/>
            </w:tcBorders>
            <w:shd w:val="clear" w:color="auto" w:fill="C6D9F1" w:themeFill="text2" w:themeFillTint="33"/>
          </w:tcPr>
          <w:p w14:paraId="654DC1EF" w14:textId="77777777" w:rsidR="001E7CDF" w:rsidRPr="005E1897" w:rsidRDefault="001E7CDF" w:rsidP="00A04293">
            <w:pPr>
              <w:jc w:val="center"/>
              <w:rPr>
                <w:rFonts w:ascii="Calibri" w:eastAsia="Times New Roman" w:hAnsi="Calibri"/>
                <w:b/>
                <w:bCs/>
                <w:sz w:val="20"/>
                <w:szCs w:val="20"/>
                <w:lang w:val="es-ES_tradnl" w:eastAsia="en-GB"/>
              </w:rPr>
            </w:pPr>
            <w:r w:rsidRPr="005E1897">
              <w:rPr>
                <w:rFonts w:ascii="Calibri" w:eastAsia="Times New Roman" w:hAnsi="Calibri"/>
                <w:b/>
                <w:bCs/>
                <w:sz w:val="20"/>
                <w:szCs w:val="20"/>
                <w:lang w:val="es-ES_tradnl" w:eastAsia="en-GB"/>
              </w:rPr>
              <w:t>%</w:t>
            </w:r>
          </w:p>
        </w:tc>
        <w:tc>
          <w:tcPr>
            <w:tcW w:w="1860" w:type="dxa"/>
            <w:tcBorders>
              <w:top w:val="nil"/>
              <w:left w:val="single" w:sz="4" w:space="0" w:color="auto"/>
              <w:bottom w:val="single" w:sz="4" w:space="0" w:color="auto"/>
              <w:right w:val="single" w:sz="4" w:space="0" w:color="auto"/>
            </w:tcBorders>
            <w:shd w:val="clear" w:color="auto" w:fill="C6D9F1" w:themeFill="text2" w:themeFillTint="33"/>
          </w:tcPr>
          <w:p w14:paraId="7315D872" w14:textId="77777777" w:rsidR="001E7CDF" w:rsidRPr="005E1897" w:rsidRDefault="001E7CDF" w:rsidP="00A04293">
            <w:pPr>
              <w:jc w:val="center"/>
              <w:rPr>
                <w:rFonts w:ascii="Calibri" w:eastAsia="Times New Roman" w:hAnsi="Calibri"/>
                <w:b/>
                <w:bCs/>
                <w:sz w:val="20"/>
                <w:szCs w:val="20"/>
                <w:lang w:val="es-ES_tradnl" w:eastAsia="en-GB"/>
              </w:rPr>
            </w:pPr>
          </w:p>
        </w:tc>
      </w:tr>
      <w:tr w:rsidR="00EB4E1D" w:rsidRPr="00A2129F" w14:paraId="50DAD8F0" w14:textId="77777777" w:rsidTr="005B4475">
        <w:trPr>
          <w:trHeight w:val="292"/>
        </w:trPr>
        <w:tc>
          <w:tcPr>
            <w:tcW w:w="1800" w:type="dxa"/>
            <w:tcBorders>
              <w:top w:val="nil"/>
              <w:left w:val="single" w:sz="4" w:space="0" w:color="auto"/>
              <w:bottom w:val="single" w:sz="4" w:space="0" w:color="auto"/>
              <w:right w:val="single" w:sz="4" w:space="0" w:color="auto"/>
            </w:tcBorders>
            <w:shd w:val="clear" w:color="auto" w:fill="auto"/>
            <w:noWrap/>
            <w:vAlign w:val="center"/>
          </w:tcPr>
          <w:p w14:paraId="0DC97B03" w14:textId="643689E3" w:rsidR="00EB4E1D" w:rsidRPr="00835E22" w:rsidRDefault="00EB4E1D" w:rsidP="000A2A20">
            <w:pPr>
              <w:keepNext/>
              <w:rPr>
                <w:rFonts w:ascii="Calibri" w:eastAsia="Times New Roman" w:hAnsi="Calibri"/>
                <w:b/>
                <w:bCs/>
                <w:sz w:val="20"/>
                <w:szCs w:val="20"/>
                <w:lang w:val="es-ES_tradnl" w:eastAsia="en-GB"/>
              </w:rPr>
            </w:pPr>
            <w:r w:rsidRPr="00835E22">
              <w:rPr>
                <w:rFonts w:ascii="Calibri" w:eastAsia="Times New Roman" w:hAnsi="Calibri"/>
                <w:b/>
                <w:bCs/>
                <w:sz w:val="20"/>
                <w:szCs w:val="22"/>
                <w:lang w:val="es-ES_tradnl" w:eastAsia="en-GB"/>
              </w:rPr>
              <w:t>África</w:t>
            </w:r>
          </w:p>
        </w:tc>
        <w:tc>
          <w:tcPr>
            <w:tcW w:w="1860" w:type="dxa"/>
            <w:tcBorders>
              <w:top w:val="nil"/>
              <w:left w:val="single" w:sz="4" w:space="0" w:color="auto"/>
              <w:bottom w:val="single" w:sz="4" w:space="0" w:color="auto"/>
              <w:right w:val="single" w:sz="4" w:space="0" w:color="auto"/>
            </w:tcBorders>
            <w:vAlign w:val="bottom"/>
          </w:tcPr>
          <w:p w14:paraId="0580DF16" w14:textId="77777777" w:rsidR="00EB4E1D" w:rsidRPr="00A2129F" w:rsidRDefault="00EB4E1D" w:rsidP="00A04293">
            <w:pPr>
              <w:ind w:right="176"/>
              <w:jc w:val="right"/>
              <w:rPr>
                <w:rFonts w:ascii="Calibri" w:eastAsia="Times New Roman" w:hAnsi="Calibri"/>
                <w:color w:val="000000"/>
                <w:sz w:val="20"/>
                <w:szCs w:val="20"/>
                <w:lang w:val="es-ES_tradnl" w:eastAsia="en-GB"/>
              </w:rPr>
            </w:pPr>
            <w:r w:rsidRPr="00A2129F">
              <w:rPr>
                <w:rFonts w:ascii="Calibri" w:hAnsi="Calibri"/>
                <w:color w:val="000000"/>
                <w:sz w:val="20"/>
                <w:szCs w:val="20"/>
                <w:lang w:val="es-ES_tradnl"/>
              </w:rPr>
              <w:t>352</w:t>
            </w:r>
          </w:p>
        </w:tc>
        <w:tc>
          <w:tcPr>
            <w:tcW w:w="1860" w:type="dxa"/>
            <w:tcBorders>
              <w:top w:val="nil"/>
              <w:left w:val="single" w:sz="4" w:space="0" w:color="auto"/>
              <w:bottom w:val="single" w:sz="4" w:space="0" w:color="auto"/>
              <w:right w:val="single" w:sz="4" w:space="0" w:color="auto"/>
            </w:tcBorders>
            <w:vAlign w:val="center"/>
          </w:tcPr>
          <w:p w14:paraId="3BFAFCEC" w14:textId="77777777" w:rsidR="00EB4E1D" w:rsidRPr="00A2129F" w:rsidRDefault="00EB4E1D" w:rsidP="00A04293">
            <w:pPr>
              <w:ind w:right="234"/>
              <w:jc w:val="right"/>
              <w:rPr>
                <w:rFonts w:ascii="Calibri" w:hAnsi="Calibri"/>
                <w:color w:val="000000"/>
                <w:sz w:val="20"/>
                <w:szCs w:val="20"/>
                <w:lang w:val="es-ES_tradnl"/>
              </w:rPr>
            </w:pPr>
            <w:r w:rsidRPr="00A2129F">
              <w:rPr>
                <w:rFonts w:ascii="Calibri" w:hAnsi="Calibri"/>
                <w:color w:val="000000"/>
                <w:sz w:val="20"/>
                <w:szCs w:val="20"/>
                <w:lang w:val="es-ES_tradnl"/>
              </w:rPr>
              <w:t>302</w:t>
            </w:r>
          </w:p>
        </w:tc>
        <w:tc>
          <w:tcPr>
            <w:tcW w:w="1860" w:type="dxa"/>
            <w:tcBorders>
              <w:top w:val="nil"/>
              <w:left w:val="single" w:sz="4" w:space="0" w:color="auto"/>
              <w:bottom w:val="single" w:sz="4" w:space="0" w:color="auto"/>
              <w:right w:val="single" w:sz="4" w:space="0" w:color="auto"/>
            </w:tcBorders>
          </w:tcPr>
          <w:p w14:paraId="26C5D0D6" w14:textId="77777777" w:rsidR="00EB4E1D" w:rsidRPr="00A2129F" w:rsidRDefault="00EB4E1D" w:rsidP="00A04293">
            <w:pPr>
              <w:ind w:right="317"/>
              <w:jc w:val="right"/>
              <w:rPr>
                <w:rFonts w:ascii="Calibri" w:hAnsi="Calibri"/>
                <w:color w:val="000000"/>
                <w:sz w:val="20"/>
                <w:szCs w:val="20"/>
                <w:lang w:val="es-ES_tradnl"/>
              </w:rPr>
            </w:pPr>
            <w:r w:rsidRPr="00A2129F">
              <w:rPr>
                <w:rFonts w:ascii="Calibri" w:hAnsi="Calibri"/>
                <w:color w:val="000000"/>
                <w:sz w:val="20"/>
                <w:szCs w:val="20"/>
                <w:lang w:val="es-ES_tradnl"/>
              </w:rPr>
              <w:t>14%</w:t>
            </w:r>
          </w:p>
        </w:tc>
        <w:tc>
          <w:tcPr>
            <w:tcW w:w="1860" w:type="dxa"/>
            <w:tcBorders>
              <w:top w:val="nil"/>
              <w:left w:val="single" w:sz="4" w:space="0" w:color="auto"/>
              <w:bottom w:val="single" w:sz="4" w:space="0" w:color="auto"/>
              <w:right w:val="single" w:sz="4" w:space="0" w:color="auto"/>
            </w:tcBorders>
          </w:tcPr>
          <w:p w14:paraId="0DE97930" w14:textId="77777777" w:rsidR="00EB4E1D" w:rsidRPr="00A2129F" w:rsidRDefault="00EB4E1D" w:rsidP="00A04293">
            <w:pPr>
              <w:ind w:right="317"/>
              <w:jc w:val="right"/>
              <w:rPr>
                <w:rFonts w:ascii="Calibri" w:hAnsi="Calibri"/>
                <w:color w:val="000000"/>
                <w:sz w:val="20"/>
                <w:szCs w:val="20"/>
                <w:lang w:val="es-ES_tradnl"/>
              </w:rPr>
            </w:pPr>
            <w:r w:rsidRPr="00A2129F">
              <w:rPr>
                <w:rFonts w:ascii="Calibri" w:hAnsi="Calibri"/>
                <w:color w:val="000000"/>
                <w:sz w:val="20"/>
                <w:szCs w:val="20"/>
                <w:lang w:val="es-ES_tradnl"/>
              </w:rPr>
              <w:t>20</w:t>
            </w:r>
          </w:p>
        </w:tc>
      </w:tr>
      <w:tr w:rsidR="00EB4E1D" w:rsidRPr="00A2129F" w14:paraId="3F0B1821" w14:textId="77777777" w:rsidTr="005B4475">
        <w:trPr>
          <w:trHeight w:val="292"/>
        </w:trPr>
        <w:tc>
          <w:tcPr>
            <w:tcW w:w="1800" w:type="dxa"/>
            <w:tcBorders>
              <w:top w:val="nil"/>
              <w:left w:val="single" w:sz="4" w:space="0" w:color="auto"/>
              <w:bottom w:val="single" w:sz="4" w:space="0" w:color="auto"/>
              <w:right w:val="single" w:sz="4" w:space="0" w:color="auto"/>
            </w:tcBorders>
            <w:shd w:val="clear" w:color="auto" w:fill="auto"/>
            <w:noWrap/>
            <w:vAlign w:val="center"/>
          </w:tcPr>
          <w:p w14:paraId="76C1595C" w14:textId="257A69B8" w:rsidR="00EB4E1D" w:rsidRPr="00835E22" w:rsidRDefault="00EB4E1D" w:rsidP="000A2A20">
            <w:pPr>
              <w:keepNext/>
              <w:rPr>
                <w:rFonts w:ascii="Calibri" w:eastAsia="Times New Roman" w:hAnsi="Calibri"/>
                <w:b/>
                <w:bCs/>
                <w:sz w:val="20"/>
                <w:szCs w:val="20"/>
                <w:lang w:val="es-ES_tradnl" w:eastAsia="en-GB"/>
              </w:rPr>
            </w:pPr>
            <w:r w:rsidRPr="00835E22">
              <w:rPr>
                <w:rFonts w:ascii="Calibri" w:eastAsia="Times New Roman" w:hAnsi="Calibri"/>
                <w:b/>
                <w:bCs/>
                <w:sz w:val="20"/>
                <w:szCs w:val="22"/>
                <w:lang w:val="es-ES_tradnl" w:eastAsia="en-GB"/>
              </w:rPr>
              <w:t>Asia</w:t>
            </w:r>
          </w:p>
        </w:tc>
        <w:tc>
          <w:tcPr>
            <w:tcW w:w="1860" w:type="dxa"/>
            <w:tcBorders>
              <w:top w:val="nil"/>
              <w:left w:val="single" w:sz="4" w:space="0" w:color="auto"/>
              <w:bottom w:val="single" w:sz="4" w:space="0" w:color="auto"/>
              <w:right w:val="single" w:sz="4" w:space="0" w:color="auto"/>
            </w:tcBorders>
            <w:vAlign w:val="bottom"/>
          </w:tcPr>
          <w:p w14:paraId="728E0705" w14:textId="4EE2E80F" w:rsidR="00EB4E1D" w:rsidRPr="00A2129F" w:rsidRDefault="00835E22" w:rsidP="00BE00D7">
            <w:pPr>
              <w:ind w:right="176"/>
              <w:jc w:val="right"/>
              <w:rPr>
                <w:rFonts w:ascii="Calibri" w:eastAsia="Times New Roman" w:hAnsi="Calibri"/>
                <w:color w:val="000000"/>
                <w:sz w:val="20"/>
                <w:szCs w:val="20"/>
                <w:lang w:val="es-ES_tradnl" w:eastAsia="en-GB"/>
              </w:rPr>
            </w:pPr>
            <w:r>
              <w:rPr>
                <w:rFonts w:ascii="Calibri" w:hAnsi="Calibri"/>
                <w:color w:val="000000"/>
                <w:sz w:val="20"/>
                <w:szCs w:val="20"/>
                <w:lang w:val="es-ES_tradnl"/>
              </w:rPr>
              <w:t>1.</w:t>
            </w:r>
            <w:r w:rsidR="00EB4E1D" w:rsidRPr="00A2129F">
              <w:rPr>
                <w:rFonts w:ascii="Calibri" w:hAnsi="Calibri"/>
                <w:color w:val="000000"/>
                <w:sz w:val="20"/>
                <w:szCs w:val="20"/>
                <w:lang w:val="es-ES_tradnl"/>
              </w:rPr>
              <w:t>109</w:t>
            </w:r>
          </w:p>
        </w:tc>
        <w:tc>
          <w:tcPr>
            <w:tcW w:w="1860" w:type="dxa"/>
            <w:tcBorders>
              <w:top w:val="nil"/>
              <w:left w:val="single" w:sz="4" w:space="0" w:color="auto"/>
              <w:bottom w:val="single" w:sz="4" w:space="0" w:color="auto"/>
              <w:right w:val="single" w:sz="4" w:space="0" w:color="auto"/>
            </w:tcBorders>
            <w:vAlign w:val="center"/>
          </w:tcPr>
          <w:p w14:paraId="4DB03A89" w14:textId="77777777" w:rsidR="00EB4E1D" w:rsidRPr="00A2129F" w:rsidRDefault="00EB4E1D" w:rsidP="00BE00D7">
            <w:pPr>
              <w:ind w:right="234"/>
              <w:jc w:val="right"/>
              <w:rPr>
                <w:rFonts w:ascii="Calibri" w:hAnsi="Calibri"/>
                <w:color w:val="000000"/>
                <w:sz w:val="20"/>
                <w:szCs w:val="20"/>
                <w:lang w:val="es-ES_tradnl"/>
              </w:rPr>
            </w:pPr>
            <w:r w:rsidRPr="00A2129F">
              <w:rPr>
                <w:rFonts w:ascii="Calibri" w:hAnsi="Calibri"/>
                <w:color w:val="000000"/>
                <w:sz w:val="20"/>
                <w:szCs w:val="20"/>
                <w:lang w:val="es-ES_tradnl"/>
              </w:rPr>
              <w:t>108</w:t>
            </w:r>
          </w:p>
        </w:tc>
        <w:tc>
          <w:tcPr>
            <w:tcW w:w="1860" w:type="dxa"/>
            <w:tcBorders>
              <w:top w:val="nil"/>
              <w:left w:val="single" w:sz="4" w:space="0" w:color="auto"/>
              <w:bottom w:val="single" w:sz="4" w:space="0" w:color="auto"/>
              <w:right w:val="single" w:sz="4" w:space="0" w:color="auto"/>
            </w:tcBorders>
          </w:tcPr>
          <w:p w14:paraId="7CC26D03" w14:textId="77777777" w:rsidR="00EB4E1D" w:rsidRPr="00A2129F" w:rsidRDefault="00EB4E1D" w:rsidP="00A04293">
            <w:pPr>
              <w:ind w:right="317"/>
              <w:jc w:val="right"/>
              <w:rPr>
                <w:rFonts w:ascii="Calibri" w:hAnsi="Calibri"/>
                <w:color w:val="000000"/>
                <w:sz w:val="20"/>
                <w:szCs w:val="20"/>
                <w:lang w:val="es-ES_tradnl"/>
              </w:rPr>
            </w:pPr>
            <w:r w:rsidRPr="00A2129F">
              <w:rPr>
                <w:rFonts w:ascii="Calibri" w:hAnsi="Calibri"/>
                <w:color w:val="000000"/>
                <w:sz w:val="20"/>
                <w:szCs w:val="20"/>
                <w:lang w:val="es-ES_tradnl"/>
              </w:rPr>
              <w:t>90%</w:t>
            </w:r>
          </w:p>
        </w:tc>
        <w:tc>
          <w:tcPr>
            <w:tcW w:w="1860" w:type="dxa"/>
            <w:tcBorders>
              <w:top w:val="nil"/>
              <w:left w:val="single" w:sz="4" w:space="0" w:color="auto"/>
              <w:bottom w:val="single" w:sz="4" w:space="0" w:color="auto"/>
              <w:right w:val="single" w:sz="4" w:space="0" w:color="auto"/>
            </w:tcBorders>
          </w:tcPr>
          <w:p w14:paraId="49DD04B9" w14:textId="77777777" w:rsidR="00EB4E1D" w:rsidRPr="00A2129F" w:rsidRDefault="00EB4E1D" w:rsidP="00A04293">
            <w:pPr>
              <w:ind w:right="317"/>
              <w:jc w:val="right"/>
              <w:rPr>
                <w:rFonts w:ascii="Calibri" w:hAnsi="Calibri"/>
                <w:color w:val="000000"/>
                <w:sz w:val="20"/>
                <w:szCs w:val="20"/>
                <w:lang w:val="es-ES_tradnl"/>
              </w:rPr>
            </w:pPr>
            <w:r w:rsidRPr="00A2129F">
              <w:rPr>
                <w:rFonts w:ascii="Calibri" w:hAnsi="Calibri"/>
                <w:color w:val="000000"/>
                <w:sz w:val="20"/>
                <w:szCs w:val="20"/>
                <w:lang w:val="es-ES_tradnl"/>
              </w:rPr>
              <w:t>6</w:t>
            </w:r>
          </w:p>
        </w:tc>
      </w:tr>
      <w:tr w:rsidR="00EB4E1D" w:rsidRPr="00A2129F" w14:paraId="215A7B95" w14:textId="77777777" w:rsidTr="005B4475">
        <w:trPr>
          <w:trHeight w:val="292"/>
        </w:trPr>
        <w:tc>
          <w:tcPr>
            <w:tcW w:w="1800" w:type="dxa"/>
            <w:tcBorders>
              <w:top w:val="nil"/>
              <w:left w:val="single" w:sz="4" w:space="0" w:color="auto"/>
              <w:bottom w:val="single" w:sz="4" w:space="0" w:color="auto"/>
              <w:right w:val="single" w:sz="4" w:space="0" w:color="auto"/>
            </w:tcBorders>
            <w:shd w:val="clear" w:color="auto" w:fill="auto"/>
            <w:noWrap/>
            <w:vAlign w:val="center"/>
          </w:tcPr>
          <w:p w14:paraId="27A98B8C" w14:textId="27A2A400" w:rsidR="00EB4E1D" w:rsidRPr="00835E22" w:rsidRDefault="00EB4E1D" w:rsidP="000A2A20">
            <w:pPr>
              <w:keepNext/>
              <w:rPr>
                <w:rFonts w:ascii="Calibri" w:eastAsia="Times New Roman" w:hAnsi="Calibri"/>
                <w:b/>
                <w:bCs/>
                <w:sz w:val="20"/>
                <w:szCs w:val="20"/>
                <w:lang w:val="es-ES_tradnl" w:eastAsia="en-GB"/>
              </w:rPr>
            </w:pPr>
            <w:r w:rsidRPr="00835E22">
              <w:rPr>
                <w:rFonts w:ascii="Calibri" w:eastAsia="Times New Roman" w:hAnsi="Calibri"/>
                <w:b/>
                <w:bCs/>
                <w:sz w:val="20"/>
                <w:szCs w:val="22"/>
                <w:lang w:val="es-ES_tradnl" w:eastAsia="en-GB"/>
              </w:rPr>
              <w:t>Europa</w:t>
            </w:r>
          </w:p>
        </w:tc>
        <w:tc>
          <w:tcPr>
            <w:tcW w:w="1860" w:type="dxa"/>
            <w:tcBorders>
              <w:top w:val="nil"/>
              <w:left w:val="single" w:sz="4" w:space="0" w:color="auto"/>
              <w:bottom w:val="single" w:sz="4" w:space="0" w:color="auto"/>
              <w:right w:val="single" w:sz="4" w:space="0" w:color="auto"/>
            </w:tcBorders>
            <w:vAlign w:val="bottom"/>
          </w:tcPr>
          <w:p w14:paraId="2E5B405E" w14:textId="3CC82DE3" w:rsidR="00EB4E1D" w:rsidRPr="00A2129F" w:rsidRDefault="00835E22" w:rsidP="00A04293">
            <w:pPr>
              <w:ind w:right="176"/>
              <w:jc w:val="right"/>
              <w:rPr>
                <w:rFonts w:ascii="Calibri" w:eastAsia="Times New Roman" w:hAnsi="Calibri"/>
                <w:color w:val="000000"/>
                <w:sz w:val="20"/>
                <w:szCs w:val="20"/>
                <w:lang w:val="es-ES_tradnl" w:eastAsia="en-GB"/>
              </w:rPr>
            </w:pPr>
            <w:r>
              <w:rPr>
                <w:rFonts w:ascii="Calibri" w:hAnsi="Calibri"/>
                <w:color w:val="000000"/>
                <w:sz w:val="20"/>
                <w:szCs w:val="20"/>
                <w:lang w:val="es-ES_tradnl"/>
              </w:rPr>
              <w:t>1.</w:t>
            </w:r>
            <w:r w:rsidR="00EB4E1D" w:rsidRPr="00A2129F">
              <w:rPr>
                <w:rFonts w:ascii="Calibri" w:hAnsi="Calibri"/>
                <w:color w:val="000000"/>
                <w:sz w:val="20"/>
                <w:szCs w:val="20"/>
                <w:lang w:val="es-ES_tradnl"/>
              </w:rPr>
              <w:t>728</w:t>
            </w:r>
          </w:p>
        </w:tc>
        <w:tc>
          <w:tcPr>
            <w:tcW w:w="1860" w:type="dxa"/>
            <w:tcBorders>
              <w:top w:val="nil"/>
              <w:left w:val="single" w:sz="4" w:space="0" w:color="auto"/>
              <w:bottom w:val="single" w:sz="4" w:space="0" w:color="auto"/>
              <w:right w:val="single" w:sz="4" w:space="0" w:color="auto"/>
            </w:tcBorders>
            <w:vAlign w:val="center"/>
          </w:tcPr>
          <w:p w14:paraId="7DC12D10" w14:textId="77777777" w:rsidR="00EB4E1D" w:rsidRPr="00A2129F" w:rsidRDefault="00EB4E1D" w:rsidP="00BE00D7">
            <w:pPr>
              <w:ind w:right="234"/>
              <w:jc w:val="right"/>
              <w:rPr>
                <w:rFonts w:ascii="Calibri" w:hAnsi="Calibri"/>
                <w:color w:val="000000"/>
                <w:sz w:val="20"/>
                <w:szCs w:val="20"/>
                <w:lang w:val="es-ES_tradnl"/>
              </w:rPr>
            </w:pPr>
            <w:r w:rsidRPr="00A2129F">
              <w:rPr>
                <w:rFonts w:ascii="Calibri" w:hAnsi="Calibri"/>
                <w:color w:val="000000"/>
                <w:sz w:val="20"/>
                <w:szCs w:val="20"/>
                <w:lang w:val="es-ES_tradnl"/>
              </w:rPr>
              <w:t>231</w:t>
            </w:r>
          </w:p>
        </w:tc>
        <w:tc>
          <w:tcPr>
            <w:tcW w:w="1860" w:type="dxa"/>
            <w:tcBorders>
              <w:top w:val="nil"/>
              <w:left w:val="single" w:sz="4" w:space="0" w:color="auto"/>
              <w:bottom w:val="single" w:sz="4" w:space="0" w:color="auto"/>
              <w:right w:val="single" w:sz="4" w:space="0" w:color="auto"/>
            </w:tcBorders>
          </w:tcPr>
          <w:p w14:paraId="76EAB39F" w14:textId="77777777" w:rsidR="00EB4E1D" w:rsidRPr="00A2129F" w:rsidRDefault="00EB4E1D" w:rsidP="00A04293">
            <w:pPr>
              <w:ind w:right="317"/>
              <w:jc w:val="right"/>
              <w:rPr>
                <w:rFonts w:ascii="Calibri" w:hAnsi="Calibri"/>
                <w:color w:val="000000"/>
                <w:sz w:val="20"/>
                <w:szCs w:val="20"/>
                <w:lang w:val="es-ES_tradnl"/>
              </w:rPr>
            </w:pPr>
            <w:r w:rsidRPr="00A2129F">
              <w:rPr>
                <w:rFonts w:ascii="Calibri" w:hAnsi="Calibri"/>
                <w:color w:val="000000"/>
                <w:sz w:val="20"/>
                <w:szCs w:val="20"/>
                <w:lang w:val="es-ES_tradnl"/>
              </w:rPr>
              <w:t>87%</w:t>
            </w:r>
          </w:p>
        </w:tc>
        <w:tc>
          <w:tcPr>
            <w:tcW w:w="1860" w:type="dxa"/>
            <w:tcBorders>
              <w:top w:val="nil"/>
              <w:left w:val="single" w:sz="4" w:space="0" w:color="auto"/>
              <w:bottom w:val="single" w:sz="4" w:space="0" w:color="auto"/>
              <w:right w:val="single" w:sz="4" w:space="0" w:color="auto"/>
            </w:tcBorders>
          </w:tcPr>
          <w:p w14:paraId="24F9E1DC" w14:textId="77777777" w:rsidR="00EB4E1D" w:rsidRPr="00A2129F" w:rsidRDefault="00EB4E1D" w:rsidP="00A04293">
            <w:pPr>
              <w:ind w:right="317"/>
              <w:jc w:val="right"/>
              <w:rPr>
                <w:rFonts w:ascii="Calibri" w:hAnsi="Calibri"/>
                <w:color w:val="000000"/>
                <w:sz w:val="20"/>
                <w:szCs w:val="20"/>
                <w:lang w:val="es-ES_tradnl"/>
              </w:rPr>
            </w:pPr>
            <w:r w:rsidRPr="00A2129F">
              <w:rPr>
                <w:rFonts w:ascii="Calibri" w:hAnsi="Calibri"/>
                <w:color w:val="000000"/>
                <w:sz w:val="20"/>
                <w:szCs w:val="20"/>
                <w:lang w:val="es-ES_tradnl"/>
              </w:rPr>
              <w:t>1</w:t>
            </w:r>
          </w:p>
        </w:tc>
      </w:tr>
      <w:tr w:rsidR="00EB4E1D" w:rsidRPr="00A2129F" w14:paraId="7C3841BF" w14:textId="77777777" w:rsidTr="005B4475">
        <w:trPr>
          <w:trHeight w:val="292"/>
        </w:trPr>
        <w:tc>
          <w:tcPr>
            <w:tcW w:w="1800" w:type="dxa"/>
            <w:tcBorders>
              <w:top w:val="nil"/>
              <w:left w:val="single" w:sz="4" w:space="0" w:color="auto"/>
              <w:bottom w:val="single" w:sz="4" w:space="0" w:color="auto"/>
              <w:right w:val="single" w:sz="4" w:space="0" w:color="auto"/>
            </w:tcBorders>
            <w:shd w:val="clear" w:color="auto" w:fill="auto"/>
            <w:noWrap/>
            <w:vAlign w:val="center"/>
          </w:tcPr>
          <w:p w14:paraId="2743C19F" w14:textId="3EC1B0A6" w:rsidR="00EB4E1D" w:rsidRPr="00835E22" w:rsidRDefault="00EB4E1D" w:rsidP="000A2A20">
            <w:pPr>
              <w:keepNext/>
              <w:rPr>
                <w:rFonts w:ascii="Calibri" w:eastAsia="Times New Roman" w:hAnsi="Calibri"/>
                <w:b/>
                <w:bCs/>
                <w:sz w:val="20"/>
                <w:szCs w:val="20"/>
                <w:lang w:val="es-ES_tradnl" w:eastAsia="en-GB"/>
              </w:rPr>
            </w:pPr>
            <w:r w:rsidRPr="00835E22">
              <w:rPr>
                <w:rFonts w:ascii="Calibri" w:eastAsia="Times New Roman" w:hAnsi="Calibri"/>
                <w:b/>
                <w:bCs/>
                <w:sz w:val="20"/>
                <w:szCs w:val="22"/>
                <w:lang w:val="es-ES_tradnl" w:eastAsia="en-GB"/>
              </w:rPr>
              <w:t>América Latina y el Caribe</w:t>
            </w:r>
          </w:p>
        </w:tc>
        <w:tc>
          <w:tcPr>
            <w:tcW w:w="1860" w:type="dxa"/>
            <w:tcBorders>
              <w:top w:val="nil"/>
              <w:left w:val="single" w:sz="4" w:space="0" w:color="auto"/>
              <w:bottom w:val="single" w:sz="4" w:space="0" w:color="auto"/>
              <w:right w:val="single" w:sz="4" w:space="0" w:color="auto"/>
            </w:tcBorders>
            <w:vAlign w:val="center"/>
          </w:tcPr>
          <w:p w14:paraId="6D67B6F8" w14:textId="77777777" w:rsidR="00EB4E1D" w:rsidRPr="00A2129F" w:rsidRDefault="00EB4E1D" w:rsidP="00A04293">
            <w:pPr>
              <w:ind w:right="176"/>
              <w:jc w:val="right"/>
              <w:rPr>
                <w:rFonts w:ascii="Calibri" w:eastAsia="Times New Roman" w:hAnsi="Calibri"/>
                <w:color w:val="000000"/>
                <w:sz w:val="20"/>
                <w:szCs w:val="20"/>
                <w:lang w:val="es-ES_tradnl" w:eastAsia="en-GB"/>
              </w:rPr>
            </w:pPr>
            <w:r w:rsidRPr="00A2129F">
              <w:rPr>
                <w:rFonts w:ascii="Calibri" w:hAnsi="Calibri"/>
                <w:color w:val="000000"/>
                <w:sz w:val="20"/>
                <w:szCs w:val="20"/>
                <w:lang w:val="es-ES_tradnl"/>
              </w:rPr>
              <w:t>957</w:t>
            </w:r>
          </w:p>
        </w:tc>
        <w:tc>
          <w:tcPr>
            <w:tcW w:w="1860" w:type="dxa"/>
            <w:tcBorders>
              <w:top w:val="nil"/>
              <w:left w:val="single" w:sz="4" w:space="0" w:color="auto"/>
              <w:bottom w:val="single" w:sz="4" w:space="0" w:color="auto"/>
              <w:right w:val="single" w:sz="4" w:space="0" w:color="auto"/>
            </w:tcBorders>
            <w:vAlign w:val="center"/>
          </w:tcPr>
          <w:p w14:paraId="3EE32980" w14:textId="77777777" w:rsidR="00EB4E1D" w:rsidRPr="00A2129F" w:rsidRDefault="00EB4E1D" w:rsidP="00BE00D7">
            <w:pPr>
              <w:ind w:right="234"/>
              <w:jc w:val="right"/>
              <w:rPr>
                <w:rFonts w:ascii="Calibri" w:hAnsi="Calibri"/>
                <w:color w:val="000000"/>
                <w:sz w:val="20"/>
                <w:szCs w:val="20"/>
                <w:lang w:val="es-ES_tradnl"/>
              </w:rPr>
            </w:pPr>
            <w:r w:rsidRPr="00A2129F">
              <w:rPr>
                <w:rFonts w:ascii="Calibri" w:hAnsi="Calibri"/>
                <w:color w:val="000000"/>
                <w:sz w:val="20"/>
                <w:szCs w:val="20"/>
                <w:lang w:val="es-ES_tradnl"/>
              </w:rPr>
              <w:t>616</w:t>
            </w:r>
          </w:p>
        </w:tc>
        <w:tc>
          <w:tcPr>
            <w:tcW w:w="1860" w:type="dxa"/>
            <w:tcBorders>
              <w:top w:val="nil"/>
              <w:left w:val="single" w:sz="4" w:space="0" w:color="auto"/>
              <w:bottom w:val="single" w:sz="4" w:space="0" w:color="auto"/>
              <w:right w:val="single" w:sz="4" w:space="0" w:color="auto"/>
            </w:tcBorders>
            <w:vAlign w:val="center"/>
          </w:tcPr>
          <w:p w14:paraId="2BBBF270" w14:textId="77777777" w:rsidR="00EB4E1D" w:rsidRPr="00A2129F" w:rsidRDefault="00EB4E1D" w:rsidP="00A04293">
            <w:pPr>
              <w:ind w:right="317"/>
              <w:jc w:val="right"/>
              <w:rPr>
                <w:rFonts w:ascii="Calibri" w:hAnsi="Calibri"/>
                <w:color w:val="000000"/>
                <w:sz w:val="20"/>
                <w:szCs w:val="20"/>
                <w:lang w:val="es-ES_tradnl"/>
              </w:rPr>
            </w:pPr>
            <w:r w:rsidRPr="00A2129F">
              <w:rPr>
                <w:rFonts w:ascii="Calibri" w:hAnsi="Calibri"/>
                <w:color w:val="000000"/>
                <w:sz w:val="20"/>
                <w:szCs w:val="20"/>
                <w:lang w:val="es-ES_tradnl"/>
              </w:rPr>
              <w:t>36%</w:t>
            </w:r>
          </w:p>
        </w:tc>
        <w:tc>
          <w:tcPr>
            <w:tcW w:w="1860" w:type="dxa"/>
            <w:tcBorders>
              <w:top w:val="nil"/>
              <w:left w:val="single" w:sz="4" w:space="0" w:color="auto"/>
              <w:bottom w:val="single" w:sz="4" w:space="0" w:color="auto"/>
              <w:right w:val="single" w:sz="4" w:space="0" w:color="auto"/>
            </w:tcBorders>
            <w:vAlign w:val="center"/>
          </w:tcPr>
          <w:p w14:paraId="64506B7B" w14:textId="77777777" w:rsidR="00EB4E1D" w:rsidRPr="00A2129F" w:rsidRDefault="00EB4E1D" w:rsidP="00A04293">
            <w:pPr>
              <w:ind w:right="317"/>
              <w:jc w:val="right"/>
              <w:rPr>
                <w:rFonts w:ascii="Calibri" w:hAnsi="Calibri"/>
                <w:color w:val="000000"/>
                <w:sz w:val="20"/>
                <w:szCs w:val="20"/>
                <w:lang w:val="es-ES_tradnl"/>
              </w:rPr>
            </w:pPr>
            <w:r w:rsidRPr="00A2129F">
              <w:rPr>
                <w:rFonts w:ascii="Calibri" w:hAnsi="Calibri"/>
                <w:color w:val="000000"/>
                <w:sz w:val="20"/>
                <w:szCs w:val="20"/>
                <w:lang w:val="es-ES_tradnl"/>
              </w:rPr>
              <w:t>6</w:t>
            </w:r>
          </w:p>
        </w:tc>
      </w:tr>
      <w:tr w:rsidR="00EB4E1D" w:rsidRPr="00A2129F" w14:paraId="046B5A57" w14:textId="77777777" w:rsidTr="005B4475">
        <w:trPr>
          <w:trHeight w:val="292"/>
        </w:trPr>
        <w:tc>
          <w:tcPr>
            <w:tcW w:w="1800" w:type="dxa"/>
            <w:tcBorders>
              <w:top w:val="nil"/>
              <w:left w:val="single" w:sz="4" w:space="0" w:color="auto"/>
              <w:bottom w:val="single" w:sz="4" w:space="0" w:color="auto"/>
              <w:right w:val="single" w:sz="4" w:space="0" w:color="auto"/>
            </w:tcBorders>
            <w:shd w:val="clear" w:color="auto" w:fill="auto"/>
            <w:noWrap/>
            <w:vAlign w:val="center"/>
          </w:tcPr>
          <w:p w14:paraId="153F2417" w14:textId="67DDB04F" w:rsidR="00EB4E1D" w:rsidRPr="00835E22" w:rsidRDefault="00EB4E1D" w:rsidP="000A2A20">
            <w:pPr>
              <w:keepNext/>
              <w:rPr>
                <w:rFonts w:ascii="Calibri" w:eastAsia="Times New Roman" w:hAnsi="Calibri"/>
                <w:b/>
                <w:bCs/>
                <w:sz w:val="20"/>
                <w:szCs w:val="20"/>
                <w:lang w:val="es-ES_tradnl" w:eastAsia="en-GB"/>
              </w:rPr>
            </w:pPr>
            <w:r w:rsidRPr="00835E22">
              <w:rPr>
                <w:rFonts w:ascii="Calibri" w:eastAsia="Times New Roman" w:hAnsi="Calibri"/>
                <w:b/>
                <w:bCs/>
                <w:sz w:val="20"/>
                <w:szCs w:val="22"/>
                <w:lang w:val="es-ES_tradnl" w:eastAsia="en-GB"/>
              </w:rPr>
              <w:t>Oceanía</w:t>
            </w:r>
          </w:p>
        </w:tc>
        <w:tc>
          <w:tcPr>
            <w:tcW w:w="1860" w:type="dxa"/>
            <w:tcBorders>
              <w:top w:val="nil"/>
              <w:left w:val="single" w:sz="4" w:space="0" w:color="auto"/>
              <w:bottom w:val="single" w:sz="4" w:space="0" w:color="auto"/>
              <w:right w:val="single" w:sz="4" w:space="0" w:color="auto"/>
            </w:tcBorders>
            <w:vAlign w:val="bottom"/>
          </w:tcPr>
          <w:p w14:paraId="325848D1" w14:textId="77777777" w:rsidR="00EB4E1D" w:rsidRPr="00A2129F" w:rsidRDefault="00EB4E1D" w:rsidP="00A04293">
            <w:pPr>
              <w:ind w:right="176"/>
              <w:jc w:val="right"/>
              <w:rPr>
                <w:rFonts w:ascii="Calibri" w:eastAsia="Times New Roman" w:hAnsi="Calibri"/>
                <w:color w:val="000000"/>
                <w:sz w:val="20"/>
                <w:szCs w:val="20"/>
                <w:lang w:val="es-ES_tradnl" w:eastAsia="en-GB"/>
              </w:rPr>
            </w:pPr>
            <w:r w:rsidRPr="00A2129F">
              <w:rPr>
                <w:rFonts w:ascii="Calibri" w:hAnsi="Calibri"/>
                <w:color w:val="000000"/>
                <w:sz w:val="20"/>
                <w:szCs w:val="20"/>
                <w:lang w:val="es-ES_tradnl"/>
              </w:rPr>
              <w:t>37</w:t>
            </w:r>
          </w:p>
        </w:tc>
        <w:tc>
          <w:tcPr>
            <w:tcW w:w="1860" w:type="dxa"/>
            <w:tcBorders>
              <w:top w:val="nil"/>
              <w:left w:val="single" w:sz="4" w:space="0" w:color="auto"/>
              <w:bottom w:val="single" w:sz="4" w:space="0" w:color="auto"/>
              <w:right w:val="single" w:sz="4" w:space="0" w:color="auto"/>
            </w:tcBorders>
            <w:vAlign w:val="center"/>
          </w:tcPr>
          <w:p w14:paraId="7FEE582F" w14:textId="77777777" w:rsidR="00EB4E1D" w:rsidRPr="00A2129F" w:rsidRDefault="00EB4E1D" w:rsidP="00BE00D7">
            <w:pPr>
              <w:ind w:right="234"/>
              <w:jc w:val="right"/>
              <w:rPr>
                <w:rFonts w:ascii="Calibri" w:hAnsi="Calibri"/>
                <w:color w:val="000000"/>
                <w:sz w:val="20"/>
                <w:szCs w:val="20"/>
                <w:lang w:val="es-ES_tradnl"/>
              </w:rPr>
            </w:pPr>
            <w:r w:rsidRPr="00A2129F">
              <w:rPr>
                <w:rFonts w:ascii="Calibri" w:hAnsi="Calibri"/>
                <w:color w:val="000000"/>
                <w:sz w:val="20"/>
                <w:szCs w:val="20"/>
                <w:lang w:val="es-ES_tradnl"/>
              </w:rPr>
              <w:t>20</w:t>
            </w:r>
          </w:p>
        </w:tc>
        <w:tc>
          <w:tcPr>
            <w:tcW w:w="1860" w:type="dxa"/>
            <w:tcBorders>
              <w:top w:val="nil"/>
              <w:left w:val="single" w:sz="4" w:space="0" w:color="auto"/>
              <w:bottom w:val="single" w:sz="4" w:space="0" w:color="auto"/>
              <w:right w:val="single" w:sz="4" w:space="0" w:color="auto"/>
            </w:tcBorders>
          </w:tcPr>
          <w:p w14:paraId="75B9F03E" w14:textId="77777777" w:rsidR="00EB4E1D" w:rsidRPr="00A2129F" w:rsidRDefault="00EB4E1D" w:rsidP="00A04293">
            <w:pPr>
              <w:ind w:right="317"/>
              <w:jc w:val="right"/>
              <w:rPr>
                <w:rFonts w:ascii="Calibri" w:hAnsi="Calibri"/>
                <w:color w:val="000000"/>
                <w:sz w:val="20"/>
                <w:szCs w:val="20"/>
                <w:lang w:val="es-ES_tradnl"/>
              </w:rPr>
            </w:pPr>
            <w:r w:rsidRPr="00A2129F">
              <w:rPr>
                <w:rFonts w:ascii="Calibri" w:hAnsi="Calibri"/>
                <w:color w:val="000000"/>
                <w:sz w:val="20"/>
                <w:szCs w:val="20"/>
                <w:lang w:val="es-ES_tradnl"/>
              </w:rPr>
              <w:t>46%</w:t>
            </w:r>
          </w:p>
        </w:tc>
        <w:tc>
          <w:tcPr>
            <w:tcW w:w="1860" w:type="dxa"/>
            <w:tcBorders>
              <w:top w:val="nil"/>
              <w:left w:val="single" w:sz="4" w:space="0" w:color="auto"/>
              <w:bottom w:val="single" w:sz="4" w:space="0" w:color="auto"/>
              <w:right w:val="single" w:sz="4" w:space="0" w:color="auto"/>
            </w:tcBorders>
          </w:tcPr>
          <w:p w14:paraId="79426D63" w14:textId="77777777" w:rsidR="00EB4E1D" w:rsidRPr="00A2129F" w:rsidRDefault="00EB4E1D" w:rsidP="00A04293">
            <w:pPr>
              <w:ind w:right="317"/>
              <w:jc w:val="right"/>
              <w:rPr>
                <w:rFonts w:ascii="Calibri" w:hAnsi="Calibri"/>
                <w:color w:val="000000"/>
                <w:sz w:val="20"/>
                <w:szCs w:val="20"/>
                <w:lang w:val="es-ES_tradnl"/>
              </w:rPr>
            </w:pPr>
            <w:r w:rsidRPr="00A2129F">
              <w:rPr>
                <w:rFonts w:ascii="Calibri" w:hAnsi="Calibri"/>
                <w:color w:val="000000"/>
                <w:sz w:val="20"/>
                <w:szCs w:val="20"/>
                <w:lang w:val="es-ES_tradnl"/>
              </w:rPr>
              <w:t>1</w:t>
            </w:r>
          </w:p>
        </w:tc>
      </w:tr>
      <w:tr w:rsidR="001E7CDF" w:rsidRPr="00A2129F" w14:paraId="09D86B6A" w14:textId="77777777" w:rsidTr="005B4475">
        <w:trPr>
          <w:trHeight w:val="292"/>
        </w:trPr>
        <w:tc>
          <w:tcPr>
            <w:tcW w:w="1800" w:type="dxa"/>
            <w:tcBorders>
              <w:top w:val="nil"/>
              <w:left w:val="single" w:sz="4" w:space="0" w:color="auto"/>
              <w:bottom w:val="single" w:sz="4" w:space="0" w:color="auto"/>
              <w:right w:val="single" w:sz="4" w:space="0" w:color="auto"/>
            </w:tcBorders>
            <w:shd w:val="clear" w:color="auto" w:fill="auto"/>
            <w:noWrap/>
            <w:vAlign w:val="center"/>
          </w:tcPr>
          <w:p w14:paraId="25757A53" w14:textId="730F3352" w:rsidR="001E7CDF" w:rsidRPr="00835E22" w:rsidRDefault="00835E22" w:rsidP="00835E22">
            <w:pPr>
              <w:keepNext/>
              <w:rPr>
                <w:rFonts w:ascii="Calibri" w:eastAsia="Times New Roman" w:hAnsi="Calibri"/>
                <w:b/>
                <w:bCs/>
                <w:sz w:val="20"/>
                <w:szCs w:val="20"/>
                <w:lang w:val="es-ES_tradnl" w:eastAsia="en-GB"/>
              </w:rPr>
            </w:pPr>
            <w:r w:rsidRPr="00835E22">
              <w:rPr>
                <w:rFonts w:ascii="Calibri" w:eastAsia="Times New Roman" w:hAnsi="Calibri"/>
                <w:b/>
                <w:bCs/>
                <w:sz w:val="20"/>
                <w:szCs w:val="20"/>
                <w:lang w:val="es-ES_tradnl" w:eastAsia="en-GB"/>
              </w:rPr>
              <w:t>América del Norte</w:t>
            </w:r>
          </w:p>
        </w:tc>
        <w:tc>
          <w:tcPr>
            <w:tcW w:w="1860" w:type="dxa"/>
            <w:tcBorders>
              <w:top w:val="nil"/>
              <w:left w:val="single" w:sz="4" w:space="0" w:color="auto"/>
              <w:bottom w:val="single" w:sz="4" w:space="0" w:color="auto"/>
              <w:right w:val="single" w:sz="4" w:space="0" w:color="auto"/>
            </w:tcBorders>
            <w:vAlign w:val="bottom"/>
          </w:tcPr>
          <w:p w14:paraId="26E276E7" w14:textId="77777777" w:rsidR="001E7CDF" w:rsidRPr="00A2129F" w:rsidRDefault="001E7CDF" w:rsidP="00A04293">
            <w:pPr>
              <w:ind w:right="176"/>
              <w:jc w:val="right"/>
              <w:rPr>
                <w:rFonts w:ascii="Calibri" w:hAnsi="Calibri"/>
                <w:color w:val="000000"/>
                <w:sz w:val="20"/>
                <w:szCs w:val="20"/>
                <w:lang w:val="es-ES_tradnl"/>
              </w:rPr>
            </w:pPr>
            <w:r w:rsidRPr="00A2129F">
              <w:rPr>
                <w:rFonts w:ascii="Calibri" w:hAnsi="Calibri"/>
                <w:color w:val="000000"/>
                <w:sz w:val="20"/>
                <w:szCs w:val="20"/>
                <w:lang w:val="es-ES_tradnl"/>
              </w:rPr>
              <w:t>45</w:t>
            </w:r>
          </w:p>
        </w:tc>
        <w:tc>
          <w:tcPr>
            <w:tcW w:w="1860" w:type="dxa"/>
            <w:tcBorders>
              <w:top w:val="nil"/>
              <w:left w:val="single" w:sz="4" w:space="0" w:color="auto"/>
              <w:bottom w:val="single" w:sz="4" w:space="0" w:color="auto"/>
              <w:right w:val="single" w:sz="4" w:space="0" w:color="auto"/>
            </w:tcBorders>
            <w:vAlign w:val="center"/>
          </w:tcPr>
          <w:p w14:paraId="58F850F6" w14:textId="77777777" w:rsidR="001E7CDF" w:rsidRPr="00A2129F" w:rsidRDefault="001E7CDF" w:rsidP="00A04293">
            <w:pPr>
              <w:ind w:right="234"/>
              <w:jc w:val="right"/>
              <w:rPr>
                <w:rFonts w:ascii="Calibri" w:hAnsi="Calibri"/>
                <w:color w:val="000000"/>
                <w:sz w:val="20"/>
                <w:szCs w:val="20"/>
                <w:lang w:val="es-ES_tradnl"/>
              </w:rPr>
            </w:pPr>
            <w:r w:rsidRPr="00A2129F">
              <w:rPr>
                <w:rFonts w:ascii="Calibri" w:hAnsi="Calibri"/>
                <w:color w:val="000000"/>
                <w:sz w:val="20"/>
                <w:szCs w:val="20"/>
                <w:lang w:val="es-ES_tradnl"/>
              </w:rPr>
              <w:t>0</w:t>
            </w:r>
          </w:p>
        </w:tc>
        <w:tc>
          <w:tcPr>
            <w:tcW w:w="1860" w:type="dxa"/>
            <w:tcBorders>
              <w:top w:val="nil"/>
              <w:left w:val="single" w:sz="4" w:space="0" w:color="auto"/>
              <w:bottom w:val="single" w:sz="4" w:space="0" w:color="auto"/>
              <w:right w:val="single" w:sz="4" w:space="0" w:color="auto"/>
            </w:tcBorders>
          </w:tcPr>
          <w:p w14:paraId="4946CD6D" w14:textId="77777777" w:rsidR="001E7CDF" w:rsidRPr="00A2129F" w:rsidRDefault="001E7CDF" w:rsidP="00A04293">
            <w:pPr>
              <w:ind w:right="317"/>
              <w:jc w:val="right"/>
              <w:rPr>
                <w:rFonts w:ascii="Calibri" w:hAnsi="Calibri"/>
                <w:color w:val="000000"/>
                <w:sz w:val="20"/>
                <w:szCs w:val="20"/>
                <w:lang w:val="es-ES_tradnl"/>
              </w:rPr>
            </w:pPr>
            <w:r w:rsidRPr="00A2129F">
              <w:rPr>
                <w:rFonts w:ascii="Calibri" w:hAnsi="Calibri"/>
                <w:color w:val="000000"/>
                <w:sz w:val="20"/>
                <w:szCs w:val="20"/>
                <w:lang w:val="es-ES_tradnl"/>
              </w:rPr>
              <w:t>100%</w:t>
            </w:r>
          </w:p>
        </w:tc>
        <w:tc>
          <w:tcPr>
            <w:tcW w:w="1860" w:type="dxa"/>
            <w:tcBorders>
              <w:top w:val="nil"/>
              <w:left w:val="single" w:sz="4" w:space="0" w:color="auto"/>
              <w:bottom w:val="single" w:sz="4" w:space="0" w:color="auto"/>
              <w:right w:val="single" w:sz="4" w:space="0" w:color="auto"/>
            </w:tcBorders>
          </w:tcPr>
          <w:p w14:paraId="3C43A331" w14:textId="77777777" w:rsidR="001E7CDF" w:rsidRPr="00A2129F" w:rsidRDefault="001E7CDF" w:rsidP="00A04293">
            <w:pPr>
              <w:ind w:right="317"/>
              <w:jc w:val="right"/>
              <w:rPr>
                <w:rFonts w:ascii="Calibri" w:hAnsi="Calibri"/>
                <w:color w:val="000000"/>
                <w:sz w:val="20"/>
                <w:szCs w:val="20"/>
                <w:lang w:val="es-ES_tradnl"/>
              </w:rPr>
            </w:pPr>
            <w:r w:rsidRPr="00A2129F">
              <w:rPr>
                <w:rFonts w:ascii="Calibri" w:hAnsi="Calibri"/>
                <w:color w:val="000000"/>
                <w:sz w:val="20"/>
                <w:szCs w:val="20"/>
                <w:lang w:val="es-ES_tradnl"/>
              </w:rPr>
              <w:t>0</w:t>
            </w:r>
          </w:p>
        </w:tc>
      </w:tr>
      <w:tr w:rsidR="001E7CDF" w:rsidRPr="00A2129F" w14:paraId="4E2E5CFB" w14:textId="77777777" w:rsidTr="005B4475">
        <w:trPr>
          <w:trHeight w:val="292"/>
        </w:trPr>
        <w:tc>
          <w:tcPr>
            <w:tcW w:w="1800" w:type="dxa"/>
            <w:tcBorders>
              <w:top w:val="nil"/>
              <w:left w:val="single" w:sz="4" w:space="0" w:color="auto"/>
              <w:bottom w:val="single" w:sz="4" w:space="0" w:color="auto"/>
              <w:right w:val="single" w:sz="4" w:space="0" w:color="auto"/>
            </w:tcBorders>
            <w:shd w:val="clear" w:color="000000" w:fill="D9D9D9"/>
            <w:noWrap/>
            <w:vAlign w:val="center"/>
          </w:tcPr>
          <w:p w14:paraId="4E9D8877" w14:textId="77777777" w:rsidR="001E7CDF" w:rsidRPr="00A2129F" w:rsidRDefault="001E7CDF" w:rsidP="00A04293">
            <w:pPr>
              <w:rPr>
                <w:rFonts w:ascii="Calibri" w:eastAsia="Times New Roman" w:hAnsi="Calibri"/>
                <w:b/>
                <w:bCs/>
                <w:sz w:val="20"/>
                <w:szCs w:val="20"/>
                <w:lang w:val="es-ES_tradnl" w:eastAsia="en-GB"/>
              </w:rPr>
            </w:pPr>
            <w:r w:rsidRPr="00A2129F">
              <w:rPr>
                <w:rFonts w:ascii="Calibri" w:eastAsia="Times New Roman" w:hAnsi="Calibri"/>
                <w:b/>
                <w:bCs/>
                <w:sz w:val="20"/>
                <w:szCs w:val="20"/>
                <w:lang w:val="es-ES_tradnl" w:eastAsia="en-GB"/>
              </w:rPr>
              <w:t>Total</w:t>
            </w:r>
          </w:p>
        </w:tc>
        <w:tc>
          <w:tcPr>
            <w:tcW w:w="1860" w:type="dxa"/>
            <w:tcBorders>
              <w:top w:val="nil"/>
              <w:left w:val="single" w:sz="4" w:space="0" w:color="auto"/>
              <w:bottom w:val="single" w:sz="4" w:space="0" w:color="auto"/>
              <w:right w:val="single" w:sz="4" w:space="0" w:color="auto"/>
            </w:tcBorders>
            <w:shd w:val="clear" w:color="000000" w:fill="D9D9D9"/>
            <w:vAlign w:val="bottom"/>
          </w:tcPr>
          <w:p w14:paraId="0C891799" w14:textId="07602707" w:rsidR="001E7CDF" w:rsidRPr="00A2129F" w:rsidRDefault="00835E22" w:rsidP="00952F50">
            <w:pPr>
              <w:ind w:right="176"/>
              <w:jc w:val="right"/>
              <w:rPr>
                <w:rFonts w:ascii="Calibri" w:eastAsia="Times New Roman" w:hAnsi="Calibri"/>
                <w:b/>
                <w:bCs/>
                <w:sz w:val="20"/>
                <w:szCs w:val="20"/>
                <w:lang w:val="es-ES_tradnl" w:eastAsia="en-GB"/>
              </w:rPr>
            </w:pPr>
            <w:r>
              <w:rPr>
                <w:rFonts w:ascii="Calibri" w:hAnsi="Calibri"/>
                <w:b/>
                <w:bCs/>
                <w:sz w:val="20"/>
                <w:szCs w:val="20"/>
                <w:lang w:val="es-ES_tradnl"/>
              </w:rPr>
              <w:t>4.</w:t>
            </w:r>
            <w:r w:rsidR="001E7CDF" w:rsidRPr="00A2129F">
              <w:rPr>
                <w:rFonts w:ascii="Calibri" w:hAnsi="Calibri"/>
                <w:b/>
                <w:bCs/>
                <w:sz w:val="20"/>
                <w:szCs w:val="20"/>
                <w:lang w:val="es-ES_tradnl"/>
              </w:rPr>
              <w:t>228</w:t>
            </w:r>
          </w:p>
        </w:tc>
        <w:tc>
          <w:tcPr>
            <w:tcW w:w="1860" w:type="dxa"/>
            <w:tcBorders>
              <w:top w:val="nil"/>
              <w:left w:val="single" w:sz="4" w:space="0" w:color="auto"/>
              <w:bottom w:val="single" w:sz="4" w:space="0" w:color="auto"/>
              <w:right w:val="single" w:sz="4" w:space="0" w:color="auto"/>
            </w:tcBorders>
            <w:shd w:val="clear" w:color="000000" w:fill="D9D9D9"/>
            <w:vAlign w:val="center"/>
          </w:tcPr>
          <w:p w14:paraId="025AFE4F" w14:textId="58438298" w:rsidR="001E7CDF" w:rsidRPr="00A2129F" w:rsidRDefault="00835E22" w:rsidP="00A04293">
            <w:pPr>
              <w:ind w:right="234"/>
              <w:jc w:val="right"/>
              <w:rPr>
                <w:rFonts w:ascii="Calibri" w:hAnsi="Calibri"/>
                <w:b/>
                <w:bCs/>
                <w:sz w:val="20"/>
                <w:szCs w:val="20"/>
                <w:lang w:val="es-ES_tradnl"/>
              </w:rPr>
            </w:pPr>
            <w:r>
              <w:rPr>
                <w:rFonts w:ascii="Calibri" w:hAnsi="Calibri"/>
                <w:b/>
                <w:bCs/>
                <w:sz w:val="20"/>
                <w:szCs w:val="20"/>
                <w:lang w:val="es-ES_tradnl"/>
              </w:rPr>
              <w:t>1.</w:t>
            </w:r>
            <w:r w:rsidR="001E7CDF" w:rsidRPr="00A2129F">
              <w:rPr>
                <w:rFonts w:ascii="Calibri" w:hAnsi="Calibri"/>
                <w:b/>
                <w:bCs/>
                <w:sz w:val="20"/>
                <w:szCs w:val="20"/>
                <w:lang w:val="es-ES_tradnl"/>
              </w:rPr>
              <w:t>277</w:t>
            </w:r>
            <w:r w:rsidR="001E7CDF" w:rsidRPr="00A2129F">
              <w:rPr>
                <w:rStyle w:val="FootnoteReference"/>
                <w:rFonts w:asciiTheme="minorHAnsi" w:eastAsia="Times New Roman" w:hAnsiTheme="minorHAnsi" w:cs="Arial"/>
                <w:sz w:val="20"/>
                <w:szCs w:val="20"/>
                <w:lang w:val="es-ES_tradnl" w:eastAsia="en-GB"/>
              </w:rPr>
              <w:footnoteReference w:id="3"/>
            </w:r>
          </w:p>
        </w:tc>
        <w:tc>
          <w:tcPr>
            <w:tcW w:w="1860" w:type="dxa"/>
            <w:tcBorders>
              <w:top w:val="nil"/>
              <w:left w:val="single" w:sz="4" w:space="0" w:color="auto"/>
              <w:bottom w:val="single" w:sz="4" w:space="0" w:color="auto"/>
              <w:right w:val="single" w:sz="4" w:space="0" w:color="auto"/>
            </w:tcBorders>
            <w:shd w:val="clear" w:color="000000" w:fill="D9D9D9"/>
            <w:vAlign w:val="bottom"/>
          </w:tcPr>
          <w:p w14:paraId="77DAD93D" w14:textId="77777777" w:rsidR="001E7CDF" w:rsidRPr="00A2129F" w:rsidRDefault="001E7CDF" w:rsidP="00185224">
            <w:pPr>
              <w:ind w:right="317"/>
              <w:jc w:val="right"/>
              <w:rPr>
                <w:rFonts w:ascii="Calibri" w:hAnsi="Calibri"/>
                <w:b/>
                <w:bCs/>
                <w:sz w:val="20"/>
                <w:szCs w:val="20"/>
                <w:lang w:val="es-ES_tradnl"/>
              </w:rPr>
            </w:pPr>
            <w:r w:rsidRPr="00A2129F">
              <w:rPr>
                <w:rFonts w:ascii="Calibri" w:hAnsi="Calibri"/>
                <w:b/>
                <w:bCs/>
                <w:sz w:val="20"/>
                <w:szCs w:val="20"/>
                <w:lang w:val="es-ES_tradnl"/>
              </w:rPr>
              <w:t>70%</w:t>
            </w:r>
          </w:p>
        </w:tc>
        <w:tc>
          <w:tcPr>
            <w:tcW w:w="1860" w:type="dxa"/>
            <w:tcBorders>
              <w:top w:val="nil"/>
              <w:left w:val="single" w:sz="4" w:space="0" w:color="auto"/>
              <w:bottom w:val="single" w:sz="4" w:space="0" w:color="auto"/>
              <w:right w:val="single" w:sz="4" w:space="0" w:color="auto"/>
            </w:tcBorders>
            <w:shd w:val="clear" w:color="000000" w:fill="D9D9D9"/>
            <w:vAlign w:val="bottom"/>
          </w:tcPr>
          <w:p w14:paraId="21CCF060" w14:textId="77777777" w:rsidR="001E7CDF" w:rsidRPr="00A2129F" w:rsidRDefault="001E7CDF" w:rsidP="00185224">
            <w:pPr>
              <w:ind w:right="317"/>
              <w:jc w:val="right"/>
              <w:rPr>
                <w:rFonts w:ascii="Calibri" w:hAnsi="Calibri"/>
                <w:b/>
                <w:bCs/>
                <w:sz w:val="20"/>
                <w:szCs w:val="20"/>
                <w:lang w:val="es-ES_tradnl"/>
              </w:rPr>
            </w:pPr>
            <w:r w:rsidRPr="00A2129F">
              <w:rPr>
                <w:rFonts w:ascii="Calibri" w:hAnsi="Calibri"/>
                <w:b/>
                <w:bCs/>
                <w:sz w:val="20"/>
                <w:szCs w:val="20"/>
                <w:lang w:val="es-ES_tradnl"/>
              </w:rPr>
              <w:t>34</w:t>
            </w:r>
          </w:p>
        </w:tc>
      </w:tr>
    </w:tbl>
    <w:p w14:paraId="63B1D54F" w14:textId="77777777" w:rsidR="00A04293" w:rsidRPr="00A2129F" w:rsidRDefault="00A04293" w:rsidP="00A04293">
      <w:pPr>
        <w:autoSpaceDE w:val="0"/>
        <w:autoSpaceDN w:val="0"/>
        <w:adjustRightInd w:val="0"/>
        <w:rPr>
          <w:rFonts w:ascii="Calibri" w:hAnsi="Calibri" w:cs="Calibri"/>
          <w:sz w:val="22"/>
          <w:szCs w:val="22"/>
          <w:lang w:val="es-ES_tradnl"/>
        </w:rPr>
      </w:pPr>
    </w:p>
    <w:p w14:paraId="38512685" w14:textId="77777777" w:rsidR="00792244" w:rsidRPr="00A2129F" w:rsidRDefault="00792244" w:rsidP="00E64E26">
      <w:pPr>
        <w:rPr>
          <w:rFonts w:ascii="Calibri" w:hAnsi="Calibri" w:cs="Calibri"/>
          <w:color w:val="000000"/>
          <w:sz w:val="22"/>
          <w:szCs w:val="22"/>
          <w:lang w:val="es-ES_tradnl"/>
        </w:rPr>
      </w:pPr>
    </w:p>
    <w:p w14:paraId="1C3F8899" w14:textId="42CA241C" w:rsidR="00463531" w:rsidRPr="00A2129F" w:rsidRDefault="00835E22" w:rsidP="003313F8">
      <w:pPr>
        <w:numPr>
          <w:ilvl w:val="0"/>
          <w:numId w:val="1"/>
        </w:numPr>
        <w:autoSpaceDE w:val="0"/>
        <w:autoSpaceDN w:val="0"/>
        <w:adjustRightInd w:val="0"/>
        <w:ind w:left="426" w:hanging="426"/>
        <w:rPr>
          <w:rFonts w:ascii="Calibri" w:hAnsi="Calibri" w:cs="Calibri"/>
          <w:sz w:val="22"/>
          <w:szCs w:val="22"/>
          <w:lang w:val="es-ES_tradnl"/>
        </w:rPr>
      </w:pPr>
      <w:r>
        <w:rPr>
          <w:rFonts w:ascii="Calibri" w:hAnsi="Calibri" w:cs="Calibri"/>
          <w:sz w:val="22"/>
          <w:szCs w:val="22"/>
          <w:lang w:val="es-ES_tradnl"/>
        </w:rPr>
        <w:t>En respuesta a la Decisió</w:t>
      </w:r>
      <w:r w:rsidR="00E64E26" w:rsidRPr="00A2129F">
        <w:rPr>
          <w:rFonts w:ascii="Calibri" w:hAnsi="Calibri" w:cs="Calibri"/>
          <w:sz w:val="22"/>
          <w:szCs w:val="22"/>
          <w:lang w:val="es-ES_tradnl"/>
        </w:rPr>
        <w:t>n SC52-27</w:t>
      </w:r>
      <w:r w:rsidR="001565DC" w:rsidRPr="00A2129F">
        <w:rPr>
          <w:rStyle w:val="FootnoteReference"/>
          <w:rFonts w:ascii="Calibri" w:hAnsi="Calibri" w:cs="Calibri"/>
          <w:sz w:val="22"/>
          <w:szCs w:val="22"/>
          <w:lang w:val="es-ES_tradnl"/>
        </w:rPr>
        <w:footnoteReference w:id="4"/>
      </w:r>
      <w:r>
        <w:rPr>
          <w:rFonts w:ascii="Calibri" w:hAnsi="Calibri" w:cs="Calibri"/>
          <w:sz w:val="22"/>
          <w:szCs w:val="22"/>
          <w:lang w:val="es-ES_tradnl"/>
        </w:rPr>
        <w:t>,</w:t>
      </w:r>
      <w:r w:rsidR="00E64E26" w:rsidRPr="00A2129F">
        <w:rPr>
          <w:rFonts w:ascii="Calibri" w:hAnsi="Calibri" w:cs="Calibri"/>
          <w:sz w:val="22"/>
          <w:szCs w:val="22"/>
          <w:lang w:val="es-ES_tradnl"/>
        </w:rPr>
        <w:t xml:space="preserve"> </w:t>
      </w:r>
      <w:r>
        <w:rPr>
          <w:rFonts w:ascii="Calibri" w:hAnsi="Calibri" w:cs="Calibri"/>
          <w:sz w:val="22"/>
          <w:szCs w:val="22"/>
          <w:lang w:val="es-ES_tradnl"/>
        </w:rPr>
        <w:t>los Asesores Regionales Superiores de</w:t>
      </w:r>
      <w:r w:rsidR="00E64E26" w:rsidRPr="00A2129F">
        <w:rPr>
          <w:rFonts w:ascii="Calibri" w:hAnsi="Calibri" w:cs="Calibri"/>
          <w:sz w:val="22"/>
          <w:szCs w:val="22"/>
          <w:lang w:val="es-ES_tradnl"/>
        </w:rPr>
        <w:t xml:space="preserve"> Ramsar </w:t>
      </w:r>
      <w:r>
        <w:rPr>
          <w:rFonts w:ascii="Calibri" w:hAnsi="Calibri" w:cs="Calibri"/>
          <w:sz w:val="22"/>
          <w:szCs w:val="22"/>
          <w:lang w:val="es-ES_tradnl"/>
        </w:rPr>
        <w:t xml:space="preserve">se pusieron en contacto con las </w:t>
      </w:r>
      <w:r w:rsidR="00AD5DD1" w:rsidRPr="00A2129F">
        <w:rPr>
          <w:rFonts w:ascii="Calibri" w:hAnsi="Calibri" w:cs="Calibri"/>
          <w:sz w:val="22"/>
          <w:szCs w:val="22"/>
          <w:lang w:val="es-ES_tradnl"/>
        </w:rPr>
        <w:t>Partes Contratantes</w:t>
      </w:r>
      <w:r w:rsidR="00E64E26" w:rsidRPr="00A2129F">
        <w:rPr>
          <w:rFonts w:ascii="Calibri" w:hAnsi="Calibri" w:cs="Calibri"/>
          <w:sz w:val="22"/>
          <w:szCs w:val="22"/>
          <w:lang w:val="es-ES_tradnl"/>
        </w:rPr>
        <w:t xml:space="preserve"> </w:t>
      </w:r>
      <w:r>
        <w:rPr>
          <w:rFonts w:ascii="Calibri" w:hAnsi="Calibri" w:cs="Calibri"/>
          <w:sz w:val="22"/>
          <w:szCs w:val="22"/>
          <w:lang w:val="es-ES_tradnl"/>
        </w:rPr>
        <w:t xml:space="preserve">de su región durante 2016 a fin de resolver el problema de las contribuciones anuales pendientes de pago. Además, la </w:t>
      </w:r>
      <w:r w:rsidR="00AD5DD1" w:rsidRPr="00A2129F">
        <w:rPr>
          <w:rFonts w:ascii="Calibri" w:hAnsi="Calibri" w:cs="Calibri"/>
          <w:sz w:val="22"/>
          <w:szCs w:val="22"/>
          <w:lang w:val="es-ES_tradnl"/>
        </w:rPr>
        <w:t>Secretaría</w:t>
      </w:r>
      <w:r w:rsidR="00E64E26" w:rsidRPr="00A2129F">
        <w:rPr>
          <w:rFonts w:ascii="Calibri" w:hAnsi="Calibri" w:cs="Calibri"/>
          <w:sz w:val="22"/>
          <w:szCs w:val="22"/>
          <w:lang w:val="es-ES_tradnl"/>
        </w:rPr>
        <w:t xml:space="preserve"> </w:t>
      </w:r>
      <w:r w:rsidR="003240CC" w:rsidRPr="00A2129F">
        <w:rPr>
          <w:rFonts w:ascii="Calibri" w:hAnsi="Calibri" w:cs="Calibri"/>
          <w:sz w:val="22"/>
          <w:szCs w:val="22"/>
          <w:lang w:val="es-ES_tradnl"/>
        </w:rPr>
        <w:t>ha</w:t>
      </w:r>
      <w:r>
        <w:rPr>
          <w:rFonts w:ascii="Calibri" w:hAnsi="Calibri" w:cs="Calibri"/>
          <w:sz w:val="22"/>
          <w:szCs w:val="22"/>
          <w:lang w:val="es-ES_tradnl"/>
        </w:rPr>
        <w:t xml:space="preserve"> seguido enviando los estados de cuenta </w:t>
      </w:r>
      <w:r w:rsidR="00623F5C">
        <w:rPr>
          <w:rFonts w:ascii="Calibri" w:hAnsi="Calibri" w:cs="Calibri"/>
          <w:sz w:val="22"/>
          <w:szCs w:val="22"/>
          <w:lang w:val="es-ES_tradnl"/>
        </w:rPr>
        <w:t xml:space="preserve">a las </w:t>
      </w:r>
      <w:r w:rsidR="00623F5C" w:rsidRPr="00A2129F">
        <w:rPr>
          <w:rFonts w:ascii="Calibri" w:hAnsi="Calibri" w:cs="Calibri"/>
          <w:sz w:val="22"/>
          <w:szCs w:val="22"/>
          <w:lang w:val="es-ES_tradnl"/>
        </w:rPr>
        <w:t>Partes Contratantes</w:t>
      </w:r>
      <w:r w:rsidR="00623F5C">
        <w:rPr>
          <w:rFonts w:ascii="Calibri" w:hAnsi="Calibri" w:cs="Calibri"/>
          <w:sz w:val="22"/>
          <w:szCs w:val="22"/>
          <w:lang w:val="es-ES_tradnl"/>
        </w:rPr>
        <w:t xml:space="preserve">, </w:t>
      </w:r>
      <w:r>
        <w:rPr>
          <w:rFonts w:ascii="Calibri" w:hAnsi="Calibri" w:cs="Calibri"/>
          <w:sz w:val="22"/>
          <w:szCs w:val="22"/>
          <w:lang w:val="es-ES_tradnl"/>
        </w:rPr>
        <w:t xml:space="preserve">junto con </w:t>
      </w:r>
      <w:r w:rsidR="00623F5C">
        <w:rPr>
          <w:rFonts w:ascii="Calibri" w:hAnsi="Calibri" w:cs="Calibri"/>
          <w:sz w:val="22"/>
          <w:szCs w:val="22"/>
          <w:lang w:val="es-ES_tradnl"/>
        </w:rPr>
        <w:t>las facturas anuales. Estas acciones ayudaron a reducir el importe total de las contribuciones pendientes en un 5</w:t>
      </w:r>
      <w:r w:rsidR="005E1897">
        <w:rPr>
          <w:rFonts w:ascii="Calibri" w:hAnsi="Calibri" w:cs="Calibri"/>
          <w:sz w:val="22"/>
          <w:szCs w:val="22"/>
          <w:lang w:val="es-ES_tradnl"/>
        </w:rPr>
        <w:t xml:space="preserve"> </w:t>
      </w:r>
      <w:r w:rsidR="00623F5C">
        <w:rPr>
          <w:rFonts w:ascii="Calibri" w:hAnsi="Calibri" w:cs="Calibri"/>
          <w:sz w:val="22"/>
          <w:szCs w:val="22"/>
          <w:lang w:val="es-ES_tradnl"/>
        </w:rPr>
        <w:t xml:space="preserve">% a lo largo del ejercicio. </w:t>
      </w:r>
    </w:p>
    <w:p w14:paraId="4C68059C" w14:textId="77777777" w:rsidR="00463531" w:rsidRPr="00A2129F" w:rsidRDefault="00463531" w:rsidP="00463531">
      <w:pPr>
        <w:autoSpaceDE w:val="0"/>
        <w:autoSpaceDN w:val="0"/>
        <w:adjustRightInd w:val="0"/>
        <w:rPr>
          <w:rFonts w:ascii="Calibri" w:hAnsi="Calibri" w:cs="Calibri"/>
          <w:sz w:val="22"/>
          <w:szCs w:val="22"/>
          <w:lang w:val="es-ES_tradnl"/>
        </w:rPr>
      </w:pPr>
    </w:p>
    <w:p w14:paraId="4DAC1C12" w14:textId="27448550" w:rsidR="00463531" w:rsidRPr="00A2129F" w:rsidRDefault="00623F5C" w:rsidP="003313F8">
      <w:pPr>
        <w:numPr>
          <w:ilvl w:val="0"/>
          <w:numId w:val="1"/>
        </w:numPr>
        <w:autoSpaceDE w:val="0"/>
        <w:autoSpaceDN w:val="0"/>
        <w:adjustRightInd w:val="0"/>
        <w:ind w:left="426" w:hanging="426"/>
        <w:rPr>
          <w:rFonts w:ascii="Calibri" w:hAnsi="Calibri" w:cs="Calibri"/>
          <w:sz w:val="22"/>
          <w:szCs w:val="22"/>
          <w:lang w:val="es-ES_tradnl"/>
        </w:rPr>
      </w:pPr>
      <w:r>
        <w:rPr>
          <w:rFonts w:ascii="Calibri" w:hAnsi="Calibri" w:cs="Calibri"/>
          <w:sz w:val="22"/>
          <w:szCs w:val="22"/>
          <w:lang w:val="es-ES_tradnl"/>
        </w:rPr>
        <w:t xml:space="preserve">Las respuestas de las </w:t>
      </w:r>
      <w:r w:rsidR="00AD5DD1" w:rsidRPr="00A2129F">
        <w:rPr>
          <w:rFonts w:ascii="Calibri" w:hAnsi="Calibri" w:cs="Calibri"/>
          <w:sz w:val="22"/>
          <w:szCs w:val="22"/>
          <w:lang w:val="es-ES_tradnl"/>
        </w:rPr>
        <w:t>Partes Contratantes</w:t>
      </w:r>
      <w:r w:rsidR="00463531" w:rsidRPr="00A2129F">
        <w:rPr>
          <w:rFonts w:ascii="Calibri" w:hAnsi="Calibri" w:cs="Calibri"/>
          <w:sz w:val="22"/>
          <w:szCs w:val="22"/>
          <w:lang w:val="es-ES_tradnl"/>
        </w:rPr>
        <w:t xml:space="preserve"> </w:t>
      </w:r>
      <w:r w:rsidR="004F1DB5">
        <w:rPr>
          <w:rFonts w:ascii="Calibri" w:hAnsi="Calibri" w:cs="Calibri"/>
          <w:sz w:val="22"/>
          <w:szCs w:val="22"/>
          <w:lang w:val="es-ES_tradnl"/>
        </w:rPr>
        <w:t xml:space="preserve">sobre la Decisión </w:t>
      </w:r>
      <w:r w:rsidR="00463531" w:rsidRPr="00A2129F">
        <w:rPr>
          <w:rFonts w:ascii="Calibri" w:hAnsi="Calibri" w:cs="Calibri"/>
          <w:sz w:val="22"/>
          <w:szCs w:val="22"/>
          <w:lang w:val="es-ES_tradnl"/>
        </w:rPr>
        <w:t>SC52-27</w:t>
      </w:r>
      <w:r w:rsidR="008B6492" w:rsidRPr="00A2129F">
        <w:rPr>
          <w:rFonts w:ascii="Calibri" w:hAnsi="Calibri" w:cs="Calibri"/>
          <w:sz w:val="22"/>
          <w:szCs w:val="22"/>
          <w:lang w:val="es-ES_tradnl"/>
        </w:rPr>
        <w:t xml:space="preserve"> indica</w:t>
      </w:r>
      <w:r w:rsidR="004F1DB5">
        <w:rPr>
          <w:rFonts w:ascii="Calibri" w:hAnsi="Calibri" w:cs="Calibri"/>
          <w:sz w:val="22"/>
          <w:szCs w:val="22"/>
          <w:lang w:val="es-ES_tradnl"/>
        </w:rPr>
        <w:t xml:space="preserve">n que es preferible comunicarse por escrito con los funcionarios o ministros de los gobiernos únicamente cuando así lo solicite una </w:t>
      </w:r>
      <w:r w:rsidR="00AD5DD1" w:rsidRPr="00A2129F">
        <w:rPr>
          <w:rFonts w:ascii="Calibri" w:hAnsi="Calibri" w:cs="Calibri"/>
          <w:sz w:val="22"/>
          <w:szCs w:val="22"/>
          <w:lang w:val="es-ES_tradnl"/>
        </w:rPr>
        <w:t>Parte Contratante</w:t>
      </w:r>
      <w:r w:rsidR="008B6492" w:rsidRPr="00A2129F">
        <w:rPr>
          <w:rFonts w:ascii="Calibri" w:hAnsi="Calibri" w:cs="Calibri"/>
          <w:sz w:val="22"/>
          <w:szCs w:val="22"/>
          <w:lang w:val="es-ES_tradnl"/>
        </w:rPr>
        <w:t xml:space="preserve">. </w:t>
      </w:r>
      <w:r w:rsidR="004F1DB5">
        <w:rPr>
          <w:rFonts w:ascii="Calibri" w:hAnsi="Calibri" w:cs="Calibri"/>
          <w:sz w:val="22"/>
          <w:szCs w:val="22"/>
          <w:lang w:val="es-ES_tradnl"/>
        </w:rPr>
        <w:t xml:space="preserve">Por consiguiente, la </w:t>
      </w:r>
      <w:r w:rsidR="00AD5DD1" w:rsidRPr="00A2129F">
        <w:rPr>
          <w:rFonts w:ascii="Calibri" w:hAnsi="Calibri" w:cs="Calibri"/>
          <w:sz w:val="22"/>
          <w:szCs w:val="22"/>
          <w:lang w:val="es-ES_tradnl"/>
        </w:rPr>
        <w:t>Secretaría</w:t>
      </w:r>
      <w:r w:rsidR="008B6492" w:rsidRPr="00A2129F">
        <w:rPr>
          <w:rFonts w:ascii="Calibri" w:hAnsi="Calibri" w:cs="Calibri"/>
          <w:sz w:val="22"/>
          <w:szCs w:val="22"/>
          <w:lang w:val="es-ES_tradnl"/>
        </w:rPr>
        <w:t xml:space="preserve"> </w:t>
      </w:r>
      <w:r w:rsidR="004F1DB5">
        <w:rPr>
          <w:rFonts w:ascii="Calibri" w:hAnsi="Calibri" w:cs="Calibri"/>
          <w:sz w:val="22"/>
          <w:szCs w:val="22"/>
          <w:lang w:val="es-ES_tradnl"/>
        </w:rPr>
        <w:t xml:space="preserve">se está dedicando actualmente a identificar al funcionario o ministro correspondiente al que tendría que dirigirse </w:t>
      </w:r>
      <w:r w:rsidR="004F1DB5">
        <w:rPr>
          <w:rFonts w:ascii="Calibri" w:hAnsi="Calibri" w:cs="Calibri"/>
          <w:sz w:val="22"/>
          <w:szCs w:val="22"/>
          <w:lang w:val="es-ES_tradnl"/>
        </w:rPr>
        <w:lastRenderedPageBreak/>
        <w:t xml:space="preserve">con respecto a las </w:t>
      </w:r>
      <w:r w:rsidR="00183E1C" w:rsidRPr="00A2129F">
        <w:rPr>
          <w:rFonts w:ascii="Calibri" w:hAnsi="Calibri" w:cs="Calibri"/>
          <w:sz w:val="22"/>
          <w:szCs w:val="22"/>
          <w:lang w:val="es-ES_tradnl"/>
        </w:rPr>
        <w:t xml:space="preserve">20 </w:t>
      </w:r>
      <w:r w:rsidR="00AD5DD1" w:rsidRPr="00A2129F">
        <w:rPr>
          <w:rFonts w:ascii="Calibri" w:hAnsi="Calibri" w:cs="Calibri"/>
          <w:sz w:val="22"/>
          <w:szCs w:val="22"/>
          <w:lang w:val="es-ES_tradnl"/>
        </w:rPr>
        <w:t>Partes Contratantes</w:t>
      </w:r>
      <w:r w:rsidR="004F1DB5">
        <w:rPr>
          <w:rFonts w:ascii="Calibri" w:hAnsi="Calibri" w:cs="Calibri"/>
          <w:sz w:val="22"/>
          <w:szCs w:val="22"/>
          <w:lang w:val="es-ES_tradnl"/>
        </w:rPr>
        <w:t xml:space="preserve"> de África que tienen </w:t>
      </w:r>
      <w:r w:rsidR="00E41805">
        <w:rPr>
          <w:rFonts w:ascii="Calibri" w:hAnsi="Calibri" w:cs="Calibri"/>
          <w:sz w:val="22"/>
          <w:szCs w:val="22"/>
          <w:lang w:val="es-ES_tradnl"/>
        </w:rPr>
        <w:t xml:space="preserve">más de tres contribuciones anuales pendientes de pago. </w:t>
      </w:r>
    </w:p>
    <w:p w14:paraId="5EBDB5AE" w14:textId="77777777" w:rsidR="00603FE5" w:rsidRPr="00A2129F" w:rsidRDefault="00603FE5" w:rsidP="00CA4F6D">
      <w:pPr>
        <w:rPr>
          <w:rFonts w:ascii="Calibri" w:hAnsi="Calibri" w:cs="Calibri"/>
          <w:sz w:val="22"/>
          <w:szCs w:val="22"/>
          <w:lang w:val="es-ES_tradnl"/>
        </w:rPr>
      </w:pPr>
    </w:p>
    <w:p w14:paraId="2EEFB791" w14:textId="77777777" w:rsidR="005B4475" w:rsidRPr="00A2129F" w:rsidRDefault="005B4475" w:rsidP="00CA4F6D">
      <w:pPr>
        <w:rPr>
          <w:rFonts w:ascii="Calibri" w:hAnsi="Calibri" w:cs="Calibri"/>
          <w:sz w:val="22"/>
          <w:szCs w:val="22"/>
          <w:lang w:val="es-ES_tradnl"/>
        </w:rPr>
      </w:pPr>
    </w:p>
    <w:p w14:paraId="3D6209F8" w14:textId="30E6754E" w:rsidR="00342AE2" w:rsidRPr="00A2129F" w:rsidRDefault="00E41805" w:rsidP="00342AE2">
      <w:pPr>
        <w:rPr>
          <w:rFonts w:ascii="Calibri" w:hAnsi="Calibri" w:cs="Calibri"/>
          <w:b/>
          <w:sz w:val="22"/>
          <w:szCs w:val="22"/>
          <w:lang w:val="es-ES_tradnl"/>
        </w:rPr>
      </w:pPr>
      <w:r>
        <w:rPr>
          <w:rFonts w:ascii="Calibri" w:hAnsi="Calibri" w:cs="Calibri"/>
          <w:b/>
          <w:sz w:val="22"/>
          <w:szCs w:val="22"/>
          <w:lang w:val="es-ES_tradnl"/>
        </w:rPr>
        <w:t xml:space="preserve">Acciones de la Secretaría previstas para 2017 </w:t>
      </w:r>
    </w:p>
    <w:p w14:paraId="75255631" w14:textId="77777777" w:rsidR="000334A3" w:rsidRPr="00A2129F" w:rsidRDefault="000334A3" w:rsidP="008F622C">
      <w:pPr>
        <w:rPr>
          <w:rFonts w:ascii="Calibri" w:hAnsi="Calibri" w:cs="Calibri"/>
          <w:sz w:val="22"/>
          <w:szCs w:val="22"/>
          <w:lang w:val="es-ES_tradnl"/>
        </w:rPr>
      </w:pPr>
    </w:p>
    <w:p w14:paraId="4362C8CD" w14:textId="024259E7" w:rsidR="002110C7" w:rsidRPr="00A2129F" w:rsidRDefault="00A2129F" w:rsidP="002110C7">
      <w:pPr>
        <w:numPr>
          <w:ilvl w:val="0"/>
          <w:numId w:val="1"/>
        </w:numPr>
        <w:autoSpaceDE w:val="0"/>
        <w:autoSpaceDN w:val="0"/>
        <w:adjustRightInd w:val="0"/>
        <w:ind w:left="426" w:hanging="426"/>
        <w:rPr>
          <w:rFonts w:ascii="Calibri" w:hAnsi="Calibri" w:cs="Calibri"/>
          <w:sz w:val="22"/>
          <w:szCs w:val="22"/>
          <w:lang w:val="es-ES_tradnl"/>
        </w:rPr>
      </w:pPr>
      <w:r w:rsidRPr="00A2129F">
        <w:rPr>
          <w:rFonts w:ascii="Calibri" w:hAnsi="Calibri" w:cs="Calibri"/>
          <w:sz w:val="22"/>
          <w:szCs w:val="22"/>
          <w:lang w:val="es-ES_tradnl"/>
        </w:rPr>
        <w:t xml:space="preserve">Las acciones prioritarias </w:t>
      </w:r>
      <w:r w:rsidR="00E41805">
        <w:rPr>
          <w:rFonts w:ascii="Calibri" w:hAnsi="Calibri" w:cs="Calibri"/>
          <w:sz w:val="22"/>
          <w:szCs w:val="22"/>
          <w:lang w:val="es-ES_tradnl"/>
        </w:rPr>
        <w:t xml:space="preserve">de la Secretaría en </w:t>
      </w:r>
      <w:r w:rsidRPr="00A2129F">
        <w:rPr>
          <w:rFonts w:ascii="Calibri" w:hAnsi="Calibri" w:cs="Calibri"/>
          <w:sz w:val="22"/>
          <w:szCs w:val="22"/>
          <w:lang w:val="es-ES_tradnl"/>
        </w:rPr>
        <w:t>201</w:t>
      </w:r>
      <w:r w:rsidR="00E41805">
        <w:rPr>
          <w:rFonts w:ascii="Calibri" w:hAnsi="Calibri" w:cs="Calibri"/>
          <w:sz w:val="22"/>
          <w:szCs w:val="22"/>
          <w:lang w:val="es-ES_tradnl"/>
        </w:rPr>
        <w:t>7</w:t>
      </w:r>
      <w:r w:rsidRPr="00A2129F">
        <w:rPr>
          <w:rFonts w:ascii="Calibri" w:hAnsi="Calibri" w:cs="Calibri"/>
          <w:sz w:val="22"/>
          <w:szCs w:val="22"/>
          <w:lang w:val="es-ES_tradnl"/>
        </w:rPr>
        <w:t xml:space="preserve"> se centrarán en las </w:t>
      </w:r>
      <w:r w:rsidR="00E41805">
        <w:rPr>
          <w:rFonts w:ascii="Calibri" w:hAnsi="Calibri" w:cs="Calibri"/>
          <w:sz w:val="22"/>
          <w:szCs w:val="22"/>
          <w:lang w:val="es-ES_tradnl"/>
        </w:rPr>
        <w:t>3</w:t>
      </w:r>
      <w:r w:rsidRPr="00A2129F">
        <w:rPr>
          <w:rFonts w:ascii="Calibri" w:hAnsi="Calibri" w:cs="Calibri"/>
          <w:sz w:val="22"/>
          <w:szCs w:val="22"/>
          <w:lang w:val="es-ES_tradnl"/>
        </w:rPr>
        <w:t xml:space="preserve">4 Partes </w:t>
      </w:r>
      <w:r w:rsidR="00D650D9" w:rsidRPr="00A2129F">
        <w:rPr>
          <w:rFonts w:ascii="Calibri" w:hAnsi="Calibri" w:cs="Calibri"/>
          <w:sz w:val="22"/>
          <w:szCs w:val="22"/>
          <w:lang w:val="es-ES_tradnl"/>
        </w:rPr>
        <w:t>con atrasos de más de tres años al final de 201</w:t>
      </w:r>
      <w:r w:rsidR="00D650D9">
        <w:rPr>
          <w:rFonts w:ascii="Calibri" w:hAnsi="Calibri" w:cs="Calibri"/>
          <w:sz w:val="22"/>
          <w:szCs w:val="22"/>
          <w:lang w:val="es-ES_tradnl"/>
        </w:rPr>
        <w:t xml:space="preserve">6 </w:t>
      </w:r>
      <w:r w:rsidR="00E41805">
        <w:rPr>
          <w:rFonts w:ascii="Calibri" w:hAnsi="Calibri" w:cs="Calibri"/>
          <w:sz w:val="22"/>
          <w:szCs w:val="22"/>
          <w:lang w:val="es-ES_tradnl"/>
        </w:rPr>
        <w:t>(el número ha disminuido con respecto a las 41 de las que se informó</w:t>
      </w:r>
      <w:r w:rsidR="00E31D60">
        <w:rPr>
          <w:rFonts w:ascii="Calibri" w:hAnsi="Calibri" w:cs="Calibri"/>
          <w:sz w:val="22"/>
          <w:szCs w:val="22"/>
          <w:lang w:val="es-ES_tradnl"/>
        </w:rPr>
        <w:t xml:space="preserve"> en la 52ª reunión del Comité Permanente)</w:t>
      </w:r>
      <w:r w:rsidRPr="00A2129F">
        <w:rPr>
          <w:rFonts w:ascii="Calibri" w:hAnsi="Calibri" w:cs="Calibri"/>
          <w:sz w:val="22"/>
          <w:szCs w:val="22"/>
          <w:lang w:val="es-ES_tradnl"/>
        </w:rPr>
        <w:t>. La Secretaría se</w:t>
      </w:r>
      <w:r w:rsidR="00E31D60">
        <w:rPr>
          <w:rFonts w:ascii="Calibri" w:hAnsi="Calibri" w:cs="Calibri"/>
          <w:sz w:val="22"/>
          <w:szCs w:val="22"/>
          <w:lang w:val="es-ES_tradnl"/>
        </w:rPr>
        <w:t xml:space="preserve">guirá contando con los Asesores Regionales Superiores </w:t>
      </w:r>
      <w:r w:rsidR="00D650D9">
        <w:rPr>
          <w:rFonts w:ascii="Calibri" w:hAnsi="Calibri" w:cs="Calibri"/>
          <w:sz w:val="22"/>
          <w:szCs w:val="22"/>
          <w:lang w:val="es-ES_tradnl"/>
        </w:rPr>
        <w:t>para esta tarea.</w:t>
      </w:r>
      <w:r w:rsidR="00E31D60">
        <w:rPr>
          <w:rFonts w:ascii="Calibri" w:hAnsi="Calibri" w:cs="Calibri"/>
          <w:sz w:val="22"/>
          <w:szCs w:val="22"/>
          <w:lang w:val="es-ES_tradnl"/>
        </w:rPr>
        <w:t xml:space="preserve"> A</w:t>
      </w:r>
      <w:r w:rsidR="00D650D9">
        <w:rPr>
          <w:rFonts w:ascii="Calibri" w:hAnsi="Calibri" w:cs="Calibri"/>
          <w:sz w:val="22"/>
          <w:szCs w:val="22"/>
          <w:lang w:val="es-ES_tradnl"/>
        </w:rPr>
        <w:t>demás,</w:t>
      </w:r>
      <w:r w:rsidR="00E31D60">
        <w:rPr>
          <w:rFonts w:ascii="Calibri" w:hAnsi="Calibri" w:cs="Calibri"/>
          <w:sz w:val="22"/>
          <w:szCs w:val="22"/>
          <w:lang w:val="es-ES_tradnl"/>
        </w:rPr>
        <w:t xml:space="preserve"> se </w:t>
      </w:r>
      <w:r w:rsidR="00D650D9">
        <w:rPr>
          <w:rFonts w:ascii="Calibri" w:hAnsi="Calibri" w:cs="Calibri"/>
          <w:sz w:val="22"/>
          <w:szCs w:val="22"/>
          <w:lang w:val="es-ES_tradnl"/>
        </w:rPr>
        <w:t>centrará en la región de África y</w:t>
      </w:r>
      <w:r w:rsidR="00E31D60">
        <w:rPr>
          <w:rFonts w:ascii="Calibri" w:hAnsi="Calibri" w:cs="Calibri"/>
          <w:sz w:val="22"/>
          <w:szCs w:val="22"/>
          <w:lang w:val="es-ES_tradnl"/>
        </w:rPr>
        <w:t xml:space="preserve"> </w:t>
      </w:r>
      <w:r w:rsidR="002110C7">
        <w:rPr>
          <w:rFonts w:ascii="Calibri" w:hAnsi="Calibri" w:cs="Calibri"/>
          <w:sz w:val="22"/>
          <w:szCs w:val="22"/>
          <w:lang w:val="es-ES_tradnl"/>
        </w:rPr>
        <w:t>dará seguimiento a lo p</w:t>
      </w:r>
      <w:r w:rsidR="005E1897">
        <w:rPr>
          <w:rFonts w:ascii="Calibri" w:hAnsi="Calibri" w:cs="Calibri"/>
          <w:sz w:val="22"/>
          <w:szCs w:val="22"/>
          <w:lang w:val="es-ES_tradnl"/>
        </w:rPr>
        <w:t>revisto en el párrafo 17 de la r</w:t>
      </w:r>
      <w:r w:rsidR="002110C7">
        <w:rPr>
          <w:rFonts w:ascii="Calibri" w:hAnsi="Calibri" w:cs="Calibri"/>
          <w:sz w:val="22"/>
          <w:szCs w:val="22"/>
          <w:lang w:val="es-ES_tradnl"/>
        </w:rPr>
        <w:t xml:space="preserve">esolución </w:t>
      </w:r>
      <w:r w:rsidRPr="00A2129F">
        <w:rPr>
          <w:rFonts w:ascii="Calibri" w:hAnsi="Calibri" w:cs="Calibri"/>
          <w:sz w:val="22"/>
          <w:szCs w:val="22"/>
          <w:lang w:val="es-ES_tradnl"/>
        </w:rPr>
        <w:t xml:space="preserve">para obtener un plan específico de pago, por escrito, del mayor número posible de </w:t>
      </w:r>
      <w:r w:rsidR="002110C7">
        <w:rPr>
          <w:rFonts w:ascii="Calibri" w:hAnsi="Calibri" w:cs="Calibri"/>
          <w:sz w:val="22"/>
          <w:szCs w:val="22"/>
          <w:lang w:val="es-ES_tradnl"/>
        </w:rPr>
        <w:t xml:space="preserve">esas </w:t>
      </w:r>
      <w:r w:rsidRPr="00A2129F">
        <w:rPr>
          <w:rFonts w:ascii="Calibri" w:hAnsi="Calibri" w:cs="Calibri"/>
          <w:sz w:val="22"/>
          <w:szCs w:val="22"/>
          <w:lang w:val="es-ES_tradnl"/>
        </w:rPr>
        <w:t>Partes</w:t>
      </w:r>
      <w:r w:rsidR="00D650D9">
        <w:rPr>
          <w:rFonts w:ascii="Calibri" w:hAnsi="Calibri" w:cs="Calibri"/>
          <w:sz w:val="22"/>
          <w:szCs w:val="22"/>
          <w:lang w:val="es-ES_tradnl"/>
        </w:rPr>
        <w:t>; se</w:t>
      </w:r>
      <w:r w:rsidRPr="00A2129F">
        <w:rPr>
          <w:rFonts w:ascii="Calibri" w:hAnsi="Calibri" w:cs="Calibri"/>
          <w:sz w:val="22"/>
          <w:szCs w:val="22"/>
          <w:lang w:val="es-ES_tradnl"/>
        </w:rPr>
        <w:t xml:space="preserve"> informará a la 5</w:t>
      </w:r>
      <w:r w:rsidR="002110C7">
        <w:rPr>
          <w:rFonts w:ascii="Calibri" w:hAnsi="Calibri" w:cs="Calibri"/>
          <w:sz w:val="22"/>
          <w:szCs w:val="22"/>
          <w:lang w:val="es-ES_tradnl"/>
        </w:rPr>
        <w:t>4</w:t>
      </w:r>
      <w:r w:rsidRPr="00A2129F">
        <w:rPr>
          <w:rFonts w:ascii="Calibri" w:hAnsi="Calibri" w:cs="Calibri"/>
          <w:sz w:val="22"/>
          <w:szCs w:val="22"/>
          <w:lang w:val="es-ES_tradnl"/>
        </w:rPr>
        <w:t xml:space="preserve">ª reunión del Comité Permanente sobre el progreso </w:t>
      </w:r>
      <w:r w:rsidR="002110C7">
        <w:rPr>
          <w:rFonts w:ascii="Calibri" w:hAnsi="Calibri" w:cs="Calibri"/>
          <w:sz w:val="22"/>
          <w:szCs w:val="22"/>
          <w:lang w:val="es-ES_tradnl"/>
        </w:rPr>
        <w:t>logrado con</w:t>
      </w:r>
      <w:r w:rsidRPr="00A2129F">
        <w:rPr>
          <w:rFonts w:ascii="Calibri" w:hAnsi="Calibri" w:cs="Calibri"/>
          <w:sz w:val="22"/>
          <w:szCs w:val="22"/>
          <w:lang w:val="es-ES_tradnl"/>
        </w:rPr>
        <w:t xml:space="preserve"> cada una de las Partes Contratantes. </w:t>
      </w:r>
    </w:p>
    <w:p w14:paraId="2AF37A40" w14:textId="77777777" w:rsidR="00FE4BDA" w:rsidRPr="00A2129F" w:rsidRDefault="00FE4BDA" w:rsidP="00FE4BDA">
      <w:pPr>
        <w:pStyle w:val="ListParagraph"/>
        <w:rPr>
          <w:rFonts w:ascii="Calibri" w:hAnsi="Calibri" w:cs="Calibri"/>
          <w:sz w:val="22"/>
          <w:szCs w:val="22"/>
          <w:lang w:val="es-ES_tradnl"/>
        </w:rPr>
      </w:pPr>
    </w:p>
    <w:p w14:paraId="44F85506" w14:textId="79A081EF" w:rsidR="000817FD" w:rsidRPr="00A4110B" w:rsidRDefault="00EB4E1D" w:rsidP="0012784A">
      <w:pPr>
        <w:numPr>
          <w:ilvl w:val="0"/>
          <w:numId w:val="1"/>
        </w:numPr>
        <w:autoSpaceDE w:val="0"/>
        <w:autoSpaceDN w:val="0"/>
        <w:adjustRightInd w:val="0"/>
        <w:ind w:left="426" w:hanging="426"/>
        <w:rPr>
          <w:rFonts w:ascii="Calibri" w:hAnsi="Calibri" w:cs="Calibri"/>
          <w:b/>
          <w:color w:val="000000"/>
          <w:sz w:val="26"/>
          <w:szCs w:val="26"/>
          <w:lang w:val="es-ES_tradnl"/>
        </w:rPr>
      </w:pPr>
      <w:r w:rsidRPr="00A2129F">
        <w:rPr>
          <w:rFonts w:ascii="Calibri" w:hAnsi="Calibri" w:cs="Calibri"/>
          <w:sz w:val="22"/>
          <w:szCs w:val="22"/>
          <w:lang w:val="es-ES_tradnl"/>
        </w:rPr>
        <w:t xml:space="preserve">Se prestará una atención especial a las </w:t>
      </w:r>
      <w:r w:rsidR="002110C7">
        <w:rPr>
          <w:rFonts w:ascii="Calibri" w:hAnsi="Calibri" w:cs="Calibri"/>
          <w:sz w:val="22"/>
          <w:szCs w:val="22"/>
          <w:lang w:val="es-ES_tradnl"/>
        </w:rPr>
        <w:t>siete</w:t>
      </w:r>
      <w:r w:rsidRPr="00A2129F">
        <w:rPr>
          <w:rFonts w:ascii="Calibri" w:hAnsi="Calibri" w:cs="Calibri"/>
          <w:sz w:val="22"/>
          <w:szCs w:val="22"/>
          <w:lang w:val="es-ES_tradnl"/>
        </w:rPr>
        <w:t xml:space="preserve"> Partes que nunca han pagado</w:t>
      </w:r>
      <w:r w:rsidR="002110C7">
        <w:rPr>
          <w:rFonts w:ascii="Calibri" w:hAnsi="Calibri" w:cs="Calibri"/>
          <w:sz w:val="22"/>
          <w:szCs w:val="22"/>
          <w:lang w:val="es-ES_tradnl"/>
        </w:rPr>
        <w:t xml:space="preserve"> sus contribuciones (el número ha disminuido con respecto a las ocho de las que se informó en la 52ª reunión del Comité Permanente) </w:t>
      </w:r>
      <w:r w:rsidRPr="00A2129F">
        <w:rPr>
          <w:rFonts w:ascii="Calibri" w:hAnsi="Calibri" w:cs="Calibri"/>
          <w:sz w:val="22"/>
          <w:szCs w:val="22"/>
          <w:lang w:val="es-ES_tradnl"/>
        </w:rPr>
        <w:t xml:space="preserve">y a las </w:t>
      </w:r>
      <w:r w:rsidR="002110C7">
        <w:rPr>
          <w:rFonts w:ascii="Calibri" w:hAnsi="Calibri" w:cs="Calibri"/>
          <w:sz w:val="22"/>
          <w:szCs w:val="22"/>
          <w:lang w:val="es-ES_tradnl"/>
        </w:rPr>
        <w:t>dos</w:t>
      </w:r>
      <w:r w:rsidRPr="00A2129F">
        <w:rPr>
          <w:rFonts w:ascii="Calibri" w:hAnsi="Calibri" w:cs="Calibri"/>
          <w:sz w:val="22"/>
          <w:szCs w:val="22"/>
          <w:lang w:val="es-ES_tradnl"/>
        </w:rPr>
        <w:t xml:space="preserve"> Partes que tienen atrasos de más de tres años por un total superior a 50.000 francos suizos</w:t>
      </w:r>
      <w:r w:rsidR="002110C7">
        <w:rPr>
          <w:rFonts w:ascii="Calibri" w:hAnsi="Calibri" w:cs="Calibri"/>
          <w:sz w:val="22"/>
          <w:szCs w:val="22"/>
          <w:lang w:val="es-ES_tradnl"/>
        </w:rPr>
        <w:t xml:space="preserve"> (el número ha disminuido con respecto a las cuatro de las que se informó en la 52ª reunión del Comité Permanente)</w:t>
      </w:r>
      <w:r w:rsidRPr="00A2129F">
        <w:rPr>
          <w:rFonts w:ascii="Calibri" w:hAnsi="Calibri" w:cs="Calibri"/>
          <w:sz w:val="22"/>
          <w:szCs w:val="22"/>
          <w:lang w:val="es-ES_tradnl"/>
        </w:rPr>
        <w:t>.</w:t>
      </w:r>
    </w:p>
    <w:p w14:paraId="05E290EA" w14:textId="77777777" w:rsidR="00B228CC" w:rsidRDefault="00B228CC" w:rsidP="0012784A">
      <w:pPr>
        <w:rPr>
          <w:rFonts w:ascii="Calibri" w:hAnsi="Calibri" w:cs="Calibri"/>
          <w:b/>
          <w:color w:val="000000"/>
          <w:sz w:val="22"/>
          <w:szCs w:val="22"/>
          <w:lang w:val="es-ES_tradnl"/>
        </w:rPr>
      </w:pPr>
    </w:p>
    <w:p w14:paraId="3F35F8BF" w14:textId="77777777" w:rsidR="00436F6C" w:rsidRPr="00A2129F" w:rsidRDefault="00436F6C" w:rsidP="0012784A">
      <w:pPr>
        <w:rPr>
          <w:rFonts w:ascii="Calibri" w:hAnsi="Calibri" w:cs="Calibri"/>
          <w:b/>
          <w:color w:val="000000"/>
          <w:sz w:val="22"/>
          <w:szCs w:val="22"/>
          <w:lang w:val="es-ES_tradnl"/>
        </w:rPr>
      </w:pPr>
    </w:p>
    <w:p w14:paraId="5FDE0A4B" w14:textId="70CC18A3" w:rsidR="0012784A" w:rsidRPr="00A2129F" w:rsidRDefault="00EA5E8E" w:rsidP="0012784A">
      <w:pPr>
        <w:rPr>
          <w:rFonts w:ascii="Calibri" w:hAnsi="Calibri" w:cs="Calibri"/>
          <w:b/>
          <w:color w:val="000000"/>
          <w:sz w:val="22"/>
          <w:szCs w:val="22"/>
          <w:lang w:val="es-ES_tradnl"/>
        </w:rPr>
      </w:pPr>
      <w:r>
        <w:rPr>
          <w:rFonts w:ascii="Calibri" w:hAnsi="Calibri" w:cs="Calibri"/>
          <w:b/>
          <w:color w:val="000000"/>
          <w:sz w:val="22"/>
          <w:szCs w:val="22"/>
          <w:lang w:val="es-ES_tradnl"/>
        </w:rPr>
        <w:t xml:space="preserve">Propuesta de otras medidas a considerar con el fin de </w:t>
      </w:r>
      <w:r w:rsidR="00D650D9">
        <w:rPr>
          <w:rFonts w:ascii="Calibri" w:hAnsi="Calibri" w:cs="Calibri"/>
          <w:b/>
          <w:color w:val="000000"/>
          <w:sz w:val="22"/>
          <w:szCs w:val="22"/>
          <w:lang w:val="es-ES_tradnl"/>
        </w:rPr>
        <w:t xml:space="preserve">lograr </w:t>
      </w:r>
      <w:r>
        <w:rPr>
          <w:rFonts w:ascii="Calibri" w:hAnsi="Calibri" w:cs="Calibri"/>
          <w:b/>
          <w:color w:val="000000"/>
          <w:sz w:val="22"/>
          <w:szCs w:val="22"/>
          <w:lang w:val="es-ES_tradnl"/>
        </w:rPr>
        <w:t xml:space="preserve">mayor consonancia con las prácticas de otras convenciones </w:t>
      </w:r>
    </w:p>
    <w:p w14:paraId="643DBC4E" w14:textId="77777777" w:rsidR="0012784A" w:rsidRPr="00A2129F" w:rsidRDefault="0012784A" w:rsidP="0012784A">
      <w:pPr>
        <w:rPr>
          <w:rFonts w:ascii="Calibri" w:hAnsi="Calibri" w:cs="Calibri"/>
          <w:b/>
          <w:color w:val="000000"/>
          <w:sz w:val="22"/>
          <w:szCs w:val="22"/>
          <w:lang w:val="es-ES_tradnl"/>
        </w:rPr>
      </w:pPr>
    </w:p>
    <w:p w14:paraId="3296E836" w14:textId="51723835" w:rsidR="00A574BB" w:rsidRDefault="00A37553" w:rsidP="00A574BB">
      <w:pPr>
        <w:numPr>
          <w:ilvl w:val="0"/>
          <w:numId w:val="1"/>
        </w:numPr>
        <w:autoSpaceDE w:val="0"/>
        <w:autoSpaceDN w:val="0"/>
        <w:adjustRightInd w:val="0"/>
        <w:ind w:left="426" w:hanging="426"/>
        <w:rPr>
          <w:rFonts w:ascii="Calibri" w:hAnsi="Calibri" w:cs="Calibri"/>
          <w:b/>
          <w:color w:val="000000"/>
          <w:sz w:val="26"/>
          <w:szCs w:val="26"/>
          <w:lang w:val="es-ES_tradnl"/>
        </w:rPr>
      </w:pPr>
      <w:r>
        <w:rPr>
          <w:rFonts w:ascii="Calibri" w:hAnsi="Calibri" w:cs="Calibri"/>
          <w:color w:val="000000"/>
          <w:sz w:val="22"/>
          <w:szCs w:val="22"/>
          <w:lang w:val="es-ES_tradnl"/>
        </w:rPr>
        <w:t xml:space="preserve">La </w:t>
      </w:r>
      <w:r w:rsidR="00AD5DD1" w:rsidRPr="00A2129F">
        <w:rPr>
          <w:rFonts w:ascii="Calibri" w:hAnsi="Calibri" w:cs="Calibri"/>
          <w:color w:val="000000"/>
          <w:sz w:val="22"/>
          <w:szCs w:val="22"/>
          <w:lang w:val="es-ES_tradnl"/>
        </w:rPr>
        <w:t>Secretaría</w:t>
      </w:r>
      <w:r w:rsidR="00017A46" w:rsidRPr="00A2129F">
        <w:rPr>
          <w:rFonts w:ascii="Calibri" w:hAnsi="Calibri" w:cs="Calibri"/>
          <w:color w:val="000000"/>
          <w:sz w:val="22"/>
          <w:szCs w:val="22"/>
          <w:lang w:val="es-ES_tradnl"/>
        </w:rPr>
        <w:t xml:space="preserve"> </w:t>
      </w:r>
      <w:r w:rsidR="00F3474C" w:rsidRPr="00A2129F">
        <w:rPr>
          <w:rFonts w:ascii="Calibri" w:hAnsi="Calibri" w:cs="Calibri"/>
          <w:color w:val="000000"/>
          <w:sz w:val="22"/>
          <w:szCs w:val="22"/>
          <w:lang w:val="es-ES_tradnl"/>
        </w:rPr>
        <w:t xml:space="preserve">ha </w:t>
      </w:r>
      <w:r w:rsidR="006020F5" w:rsidRPr="00A2129F">
        <w:rPr>
          <w:rFonts w:ascii="Calibri" w:hAnsi="Calibri" w:cs="Calibri"/>
          <w:color w:val="000000"/>
          <w:sz w:val="22"/>
          <w:szCs w:val="22"/>
          <w:lang w:val="es-ES_tradnl"/>
        </w:rPr>
        <w:t>identifi</w:t>
      </w:r>
      <w:r>
        <w:rPr>
          <w:rFonts w:ascii="Calibri" w:hAnsi="Calibri" w:cs="Calibri"/>
          <w:color w:val="000000"/>
          <w:sz w:val="22"/>
          <w:szCs w:val="22"/>
          <w:lang w:val="es-ES_tradnl"/>
        </w:rPr>
        <w:t>c</w:t>
      </w:r>
      <w:r w:rsidR="00D90064">
        <w:rPr>
          <w:rFonts w:ascii="Calibri" w:hAnsi="Calibri" w:cs="Calibri"/>
          <w:color w:val="000000"/>
          <w:sz w:val="22"/>
          <w:szCs w:val="22"/>
          <w:lang w:val="es-ES_tradnl"/>
        </w:rPr>
        <w:t>ado algunas prácticas de otras c</w:t>
      </w:r>
      <w:r>
        <w:rPr>
          <w:rFonts w:ascii="Calibri" w:hAnsi="Calibri" w:cs="Calibri"/>
          <w:color w:val="000000"/>
          <w:sz w:val="22"/>
          <w:szCs w:val="22"/>
          <w:lang w:val="es-ES_tradnl"/>
        </w:rPr>
        <w:t xml:space="preserve">onvenciones que posiblemente el </w:t>
      </w:r>
      <w:r w:rsidR="00AD5DD1" w:rsidRPr="00A2129F">
        <w:rPr>
          <w:rFonts w:ascii="Calibri" w:hAnsi="Calibri" w:cs="Calibri"/>
          <w:color w:val="000000"/>
          <w:sz w:val="22"/>
          <w:szCs w:val="22"/>
          <w:lang w:val="es-ES_tradnl"/>
        </w:rPr>
        <w:t>Comité Permanente</w:t>
      </w:r>
      <w:r w:rsidR="006020F5" w:rsidRPr="00A2129F">
        <w:rPr>
          <w:rFonts w:ascii="Calibri" w:hAnsi="Calibri" w:cs="Calibri"/>
          <w:color w:val="000000"/>
          <w:sz w:val="22"/>
          <w:szCs w:val="22"/>
          <w:lang w:val="es-ES_tradnl"/>
        </w:rPr>
        <w:t xml:space="preserve"> </w:t>
      </w:r>
      <w:r>
        <w:rPr>
          <w:rFonts w:ascii="Calibri" w:hAnsi="Calibri" w:cs="Calibri"/>
          <w:color w:val="000000"/>
          <w:sz w:val="22"/>
          <w:szCs w:val="22"/>
          <w:lang w:val="es-ES_tradnl"/>
        </w:rPr>
        <w:t xml:space="preserve">quiera considerar, tales como la inclusión de una página en el sitio web de Ramsar en la que se </w:t>
      </w:r>
      <w:r w:rsidR="00FD050B">
        <w:rPr>
          <w:rFonts w:ascii="Calibri" w:hAnsi="Calibri" w:cs="Calibri"/>
          <w:color w:val="000000"/>
          <w:sz w:val="22"/>
          <w:szCs w:val="22"/>
          <w:lang w:val="es-ES_tradnl"/>
        </w:rPr>
        <w:t>publiquen</w:t>
      </w:r>
      <w:r>
        <w:rPr>
          <w:rFonts w:ascii="Calibri" w:hAnsi="Calibri" w:cs="Calibri"/>
          <w:color w:val="000000"/>
          <w:sz w:val="22"/>
          <w:szCs w:val="22"/>
          <w:lang w:val="es-ES_tradnl"/>
        </w:rPr>
        <w:t xml:space="preserve"> listas mensuales actualizadas de las contribuciones impagadas por </w:t>
      </w:r>
      <w:r w:rsidR="00AD5DD1" w:rsidRPr="00A2129F">
        <w:rPr>
          <w:rFonts w:ascii="Calibri" w:hAnsi="Calibri" w:cs="Calibri"/>
          <w:color w:val="000000"/>
          <w:sz w:val="22"/>
          <w:szCs w:val="22"/>
          <w:lang w:val="es-ES_tradnl"/>
        </w:rPr>
        <w:t>Parte Contratante</w:t>
      </w:r>
      <w:r w:rsidR="009F3C1F" w:rsidRPr="00A2129F">
        <w:rPr>
          <w:rFonts w:ascii="Calibri" w:hAnsi="Calibri" w:cs="Calibri"/>
          <w:color w:val="000000"/>
          <w:sz w:val="22"/>
          <w:szCs w:val="22"/>
          <w:lang w:val="es-ES_tradnl"/>
        </w:rPr>
        <w:t>. Ot</w:t>
      </w:r>
      <w:r w:rsidR="00D90064">
        <w:rPr>
          <w:rFonts w:ascii="Calibri" w:hAnsi="Calibri" w:cs="Calibri"/>
          <w:color w:val="000000"/>
          <w:sz w:val="22"/>
          <w:szCs w:val="22"/>
          <w:lang w:val="es-ES_tradnl"/>
        </w:rPr>
        <w:t>ras c</w:t>
      </w:r>
      <w:r>
        <w:rPr>
          <w:rFonts w:ascii="Calibri" w:hAnsi="Calibri" w:cs="Calibri"/>
          <w:color w:val="000000"/>
          <w:sz w:val="22"/>
          <w:szCs w:val="22"/>
          <w:lang w:val="es-ES_tradnl"/>
        </w:rPr>
        <w:t>onvenciones, entre ellas l</w:t>
      </w:r>
      <w:r w:rsidR="00BF3884">
        <w:rPr>
          <w:rFonts w:ascii="Calibri" w:hAnsi="Calibri" w:cs="Calibri"/>
          <w:color w:val="000000"/>
          <w:sz w:val="22"/>
          <w:szCs w:val="22"/>
          <w:lang w:val="es-ES_tradnl"/>
        </w:rPr>
        <w:t>os Convenios</w:t>
      </w:r>
      <w:r>
        <w:rPr>
          <w:rFonts w:ascii="Calibri" w:hAnsi="Calibri" w:cs="Calibri"/>
          <w:color w:val="000000"/>
          <w:sz w:val="22"/>
          <w:szCs w:val="22"/>
          <w:lang w:val="es-ES_tradnl"/>
        </w:rPr>
        <w:t xml:space="preserve"> de </w:t>
      </w:r>
      <w:r w:rsidR="00D03792" w:rsidRPr="00A2129F">
        <w:rPr>
          <w:rFonts w:ascii="Calibri" w:hAnsi="Calibri" w:cs="Calibri"/>
          <w:color w:val="000000"/>
          <w:sz w:val="22"/>
          <w:szCs w:val="22"/>
          <w:lang w:val="es-ES_tradnl"/>
        </w:rPr>
        <w:t xml:space="preserve">Rotterdam, </w:t>
      </w:r>
      <w:r w:rsidR="00A574BB">
        <w:rPr>
          <w:rFonts w:ascii="Calibri" w:hAnsi="Calibri" w:cs="Calibri"/>
          <w:color w:val="000000"/>
          <w:sz w:val="22"/>
          <w:szCs w:val="22"/>
          <w:lang w:val="es-ES_tradnl"/>
        </w:rPr>
        <w:t xml:space="preserve">Estocolmo y Basilea, y la </w:t>
      </w:r>
      <w:r w:rsidR="00BF3884">
        <w:rPr>
          <w:rFonts w:ascii="Calibri" w:hAnsi="Calibri" w:cs="Calibri"/>
          <w:color w:val="000000"/>
          <w:sz w:val="22"/>
          <w:szCs w:val="22"/>
          <w:lang w:val="es-ES_tradnl"/>
        </w:rPr>
        <w:t xml:space="preserve">Convención </w:t>
      </w:r>
      <w:r w:rsidR="00A574BB">
        <w:rPr>
          <w:rFonts w:ascii="Calibri" w:hAnsi="Calibri" w:cs="Calibri"/>
          <w:color w:val="000000"/>
          <w:sz w:val="22"/>
          <w:szCs w:val="22"/>
          <w:lang w:val="es-ES_tradnl"/>
        </w:rPr>
        <w:t xml:space="preserve">de la </w:t>
      </w:r>
      <w:r w:rsidR="00D03792" w:rsidRPr="00A2129F">
        <w:rPr>
          <w:rFonts w:ascii="Calibri" w:hAnsi="Calibri" w:cs="Calibri"/>
          <w:color w:val="000000"/>
          <w:sz w:val="22"/>
          <w:szCs w:val="22"/>
          <w:lang w:val="es-ES_tradnl"/>
        </w:rPr>
        <w:t>CITES,</w:t>
      </w:r>
      <w:r w:rsidR="009F3C1F" w:rsidRPr="00A2129F">
        <w:rPr>
          <w:rFonts w:ascii="Calibri" w:hAnsi="Calibri" w:cs="Calibri"/>
          <w:color w:val="000000"/>
          <w:sz w:val="22"/>
          <w:szCs w:val="22"/>
          <w:lang w:val="es-ES_tradnl"/>
        </w:rPr>
        <w:t xml:space="preserve"> </w:t>
      </w:r>
      <w:r w:rsidR="00BF3884">
        <w:rPr>
          <w:rFonts w:ascii="Calibri" w:hAnsi="Calibri" w:cs="Calibri"/>
          <w:color w:val="000000"/>
          <w:sz w:val="22"/>
          <w:szCs w:val="22"/>
          <w:lang w:val="es-ES_tradnl"/>
        </w:rPr>
        <w:t xml:space="preserve">tienen implantado un proceso </w:t>
      </w:r>
      <w:r w:rsidR="00D92B8C">
        <w:rPr>
          <w:rFonts w:ascii="Calibri" w:hAnsi="Calibri" w:cs="Calibri"/>
          <w:color w:val="000000"/>
          <w:sz w:val="22"/>
          <w:szCs w:val="22"/>
          <w:lang w:val="es-ES_tradnl"/>
        </w:rPr>
        <w:t>similar</w:t>
      </w:r>
      <w:r w:rsidR="00BF3884">
        <w:rPr>
          <w:rFonts w:ascii="Calibri" w:hAnsi="Calibri" w:cs="Calibri"/>
          <w:color w:val="000000"/>
          <w:sz w:val="22"/>
          <w:szCs w:val="22"/>
          <w:lang w:val="es-ES_tradnl"/>
        </w:rPr>
        <w:t xml:space="preserve"> desde hace varios años, tal y como se puede </w:t>
      </w:r>
      <w:r w:rsidR="00D92B8C">
        <w:rPr>
          <w:rFonts w:ascii="Calibri" w:hAnsi="Calibri" w:cs="Calibri"/>
          <w:color w:val="000000"/>
          <w:sz w:val="22"/>
          <w:szCs w:val="22"/>
          <w:lang w:val="es-ES_tradnl"/>
        </w:rPr>
        <w:t>comprobar</w:t>
      </w:r>
      <w:r w:rsidR="00BF3884">
        <w:rPr>
          <w:rFonts w:ascii="Calibri" w:hAnsi="Calibri" w:cs="Calibri"/>
          <w:color w:val="000000"/>
          <w:sz w:val="22"/>
          <w:szCs w:val="22"/>
          <w:lang w:val="es-ES_tradnl"/>
        </w:rPr>
        <w:t xml:space="preserve"> </w:t>
      </w:r>
      <w:r w:rsidR="00D92B8C">
        <w:rPr>
          <w:rFonts w:ascii="Calibri" w:hAnsi="Calibri" w:cs="Calibri"/>
          <w:color w:val="000000"/>
          <w:sz w:val="22"/>
          <w:szCs w:val="22"/>
          <w:lang w:val="es-ES_tradnl"/>
        </w:rPr>
        <w:t xml:space="preserve">en </w:t>
      </w:r>
      <w:r w:rsidR="00BF3884">
        <w:rPr>
          <w:rFonts w:ascii="Calibri" w:hAnsi="Calibri" w:cs="Calibri"/>
          <w:color w:val="000000"/>
          <w:sz w:val="22"/>
          <w:szCs w:val="22"/>
          <w:lang w:val="es-ES_tradnl"/>
        </w:rPr>
        <w:t xml:space="preserve">los siguientes enlaces: </w:t>
      </w:r>
    </w:p>
    <w:p w14:paraId="272DE673" w14:textId="6EAE6C71" w:rsidR="00DC6B26" w:rsidRPr="00436F6C" w:rsidRDefault="00BF3884" w:rsidP="004561C4">
      <w:pPr>
        <w:numPr>
          <w:ilvl w:val="1"/>
          <w:numId w:val="1"/>
        </w:numPr>
        <w:autoSpaceDE w:val="0"/>
        <w:autoSpaceDN w:val="0"/>
        <w:adjustRightInd w:val="0"/>
        <w:ind w:left="850" w:hanging="425"/>
        <w:rPr>
          <w:rFonts w:ascii="Calibri" w:hAnsi="Calibri" w:cs="Calibri"/>
          <w:color w:val="000000"/>
          <w:sz w:val="22"/>
          <w:szCs w:val="22"/>
          <w:lang w:val="es-ES_tradnl"/>
        </w:rPr>
      </w:pPr>
      <w:r w:rsidRPr="00436F6C">
        <w:rPr>
          <w:rFonts w:ascii="Calibri" w:hAnsi="Calibri" w:cs="Calibri"/>
          <w:color w:val="000000"/>
          <w:sz w:val="22"/>
          <w:szCs w:val="22"/>
          <w:lang w:val="es-ES_tradnl"/>
        </w:rPr>
        <w:t>Convenio de Rotterdam</w:t>
      </w:r>
      <w:r w:rsidR="00DC6B26" w:rsidRPr="00436F6C">
        <w:rPr>
          <w:rFonts w:ascii="Calibri" w:hAnsi="Calibri" w:cs="Calibri"/>
          <w:color w:val="000000"/>
          <w:sz w:val="22"/>
          <w:szCs w:val="22"/>
          <w:lang w:val="es-ES_tradnl"/>
        </w:rPr>
        <w:t xml:space="preserve">: </w:t>
      </w:r>
      <w:hyperlink r:id="rId9" w:history="1">
        <w:r w:rsidR="00D03792" w:rsidRPr="00436F6C">
          <w:rPr>
            <w:rStyle w:val="Hyperlink"/>
            <w:rFonts w:ascii="Calibri" w:hAnsi="Calibri" w:cs="Calibri"/>
            <w:sz w:val="22"/>
            <w:szCs w:val="22"/>
            <w:lang w:val="es-ES_tradnl"/>
          </w:rPr>
          <w:t>http://www.pic.int/Default.aspx?tabid=5023</w:t>
        </w:r>
      </w:hyperlink>
      <w:r w:rsidR="00D03792" w:rsidRPr="00436F6C">
        <w:rPr>
          <w:rFonts w:ascii="Calibri" w:hAnsi="Calibri" w:cs="Calibri"/>
          <w:color w:val="000000"/>
          <w:sz w:val="22"/>
          <w:szCs w:val="22"/>
          <w:lang w:val="es-ES_tradnl"/>
        </w:rPr>
        <w:t xml:space="preserve"> </w:t>
      </w:r>
    </w:p>
    <w:p w14:paraId="26EE81C0" w14:textId="3B4801CE" w:rsidR="009F3C1F" w:rsidRPr="00436F6C" w:rsidRDefault="00BF3884" w:rsidP="004561C4">
      <w:pPr>
        <w:numPr>
          <w:ilvl w:val="1"/>
          <w:numId w:val="1"/>
        </w:numPr>
        <w:autoSpaceDE w:val="0"/>
        <w:autoSpaceDN w:val="0"/>
        <w:adjustRightInd w:val="0"/>
        <w:ind w:left="850" w:hanging="425"/>
        <w:rPr>
          <w:rFonts w:ascii="Calibri" w:hAnsi="Calibri" w:cs="Calibri"/>
          <w:color w:val="000000"/>
          <w:sz w:val="22"/>
          <w:szCs w:val="22"/>
          <w:lang w:val="es-ES_tradnl"/>
        </w:rPr>
      </w:pPr>
      <w:r w:rsidRPr="00436F6C">
        <w:rPr>
          <w:rFonts w:ascii="Calibri" w:hAnsi="Calibri" w:cs="Calibri"/>
          <w:color w:val="000000"/>
          <w:sz w:val="22"/>
          <w:szCs w:val="22"/>
          <w:lang w:val="es-ES_tradnl"/>
        </w:rPr>
        <w:t>Convenio de Estocolmo</w:t>
      </w:r>
      <w:r w:rsidR="009F3C1F" w:rsidRPr="00436F6C">
        <w:rPr>
          <w:rFonts w:ascii="Calibri" w:hAnsi="Calibri" w:cs="Calibri"/>
          <w:color w:val="000000"/>
          <w:sz w:val="22"/>
          <w:szCs w:val="22"/>
          <w:lang w:val="es-ES_tradnl"/>
        </w:rPr>
        <w:t xml:space="preserve">: </w:t>
      </w:r>
      <w:hyperlink r:id="rId10" w:history="1">
        <w:r w:rsidR="00D03792" w:rsidRPr="00436F6C">
          <w:rPr>
            <w:rStyle w:val="Hyperlink"/>
            <w:rFonts w:ascii="Calibri" w:hAnsi="Calibri" w:cs="Calibri"/>
            <w:sz w:val="22"/>
            <w:szCs w:val="22"/>
            <w:lang w:val="es-ES_tradnl"/>
          </w:rPr>
          <w:t>http://chm.pops.int/Default.aspx?tabid=5020</w:t>
        </w:r>
      </w:hyperlink>
      <w:r w:rsidR="00D03792" w:rsidRPr="00436F6C">
        <w:rPr>
          <w:rFonts w:ascii="Calibri" w:hAnsi="Calibri" w:cs="Calibri"/>
          <w:color w:val="000000"/>
          <w:sz w:val="22"/>
          <w:szCs w:val="22"/>
          <w:lang w:val="es-ES_tradnl"/>
        </w:rPr>
        <w:t xml:space="preserve"> </w:t>
      </w:r>
    </w:p>
    <w:p w14:paraId="26F47087" w14:textId="34BC207A" w:rsidR="009F3C1F" w:rsidRPr="00436F6C" w:rsidRDefault="00D90064" w:rsidP="004561C4">
      <w:pPr>
        <w:numPr>
          <w:ilvl w:val="1"/>
          <w:numId w:val="1"/>
        </w:numPr>
        <w:autoSpaceDE w:val="0"/>
        <w:autoSpaceDN w:val="0"/>
        <w:adjustRightInd w:val="0"/>
        <w:ind w:left="850" w:hanging="425"/>
        <w:rPr>
          <w:rFonts w:ascii="Calibri" w:hAnsi="Calibri" w:cs="Calibri"/>
          <w:color w:val="000000"/>
          <w:sz w:val="22"/>
          <w:szCs w:val="22"/>
          <w:lang w:val="es-ES_tradnl"/>
        </w:rPr>
      </w:pPr>
      <w:r w:rsidRPr="00436F6C">
        <w:rPr>
          <w:rFonts w:ascii="Calibri" w:hAnsi="Calibri" w:cs="Calibri"/>
          <w:color w:val="000000"/>
          <w:sz w:val="22"/>
          <w:szCs w:val="22"/>
          <w:lang w:val="es-ES_tradnl"/>
        </w:rPr>
        <w:t>Conven</w:t>
      </w:r>
      <w:r w:rsidR="00BF3884" w:rsidRPr="00436F6C">
        <w:rPr>
          <w:rFonts w:ascii="Calibri" w:hAnsi="Calibri" w:cs="Calibri"/>
          <w:color w:val="000000"/>
          <w:sz w:val="22"/>
          <w:szCs w:val="22"/>
          <w:lang w:val="es-ES_tradnl"/>
        </w:rPr>
        <w:t>io de Basilea</w:t>
      </w:r>
      <w:r w:rsidR="009F3C1F" w:rsidRPr="00436F6C">
        <w:rPr>
          <w:rFonts w:ascii="Calibri" w:hAnsi="Calibri" w:cs="Calibri"/>
          <w:color w:val="000000"/>
          <w:sz w:val="22"/>
          <w:szCs w:val="22"/>
          <w:lang w:val="es-ES_tradnl"/>
        </w:rPr>
        <w:t xml:space="preserve">: </w:t>
      </w:r>
      <w:hyperlink r:id="rId11" w:history="1">
        <w:r w:rsidR="00D03792" w:rsidRPr="00436F6C">
          <w:rPr>
            <w:rStyle w:val="Hyperlink"/>
            <w:rFonts w:ascii="Calibri" w:hAnsi="Calibri" w:cs="Calibri"/>
            <w:sz w:val="22"/>
            <w:szCs w:val="22"/>
            <w:lang w:val="es-ES_tradnl"/>
          </w:rPr>
          <w:t>http://www.basel.int/Default.aspx?tabid=5021</w:t>
        </w:r>
      </w:hyperlink>
      <w:r w:rsidR="00D03792" w:rsidRPr="00436F6C">
        <w:rPr>
          <w:rFonts w:ascii="Calibri" w:hAnsi="Calibri" w:cs="Calibri"/>
          <w:color w:val="000000"/>
          <w:sz w:val="22"/>
          <w:szCs w:val="22"/>
          <w:lang w:val="es-ES_tradnl"/>
        </w:rPr>
        <w:t xml:space="preserve"> </w:t>
      </w:r>
    </w:p>
    <w:p w14:paraId="0A8DB35A" w14:textId="154D66D3" w:rsidR="00586EBD" w:rsidRPr="00436F6C" w:rsidRDefault="00A574BB" w:rsidP="004561C4">
      <w:pPr>
        <w:numPr>
          <w:ilvl w:val="1"/>
          <w:numId w:val="1"/>
        </w:numPr>
        <w:autoSpaceDE w:val="0"/>
        <w:autoSpaceDN w:val="0"/>
        <w:adjustRightInd w:val="0"/>
        <w:ind w:left="850" w:hanging="425"/>
        <w:rPr>
          <w:rFonts w:ascii="Calibri" w:hAnsi="Calibri" w:cs="Calibri"/>
          <w:color w:val="000000"/>
          <w:sz w:val="22"/>
          <w:szCs w:val="22"/>
          <w:lang w:val="es-ES_tradnl"/>
        </w:rPr>
      </w:pPr>
      <w:r w:rsidRPr="00436F6C">
        <w:rPr>
          <w:rFonts w:ascii="Calibri" w:hAnsi="Calibri" w:cs="Calibri"/>
          <w:color w:val="000000"/>
          <w:sz w:val="22"/>
          <w:szCs w:val="22"/>
          <w:lang w:val="es-ES_tradnl"/>
        </w:rPr>
        <w:t>Convención</w:t>
      </w:r>
      <w:r w:rsidR="00FD050B" w:rsidRPr="00436F6C">
        <w:rPr>
          <w:rFonts w:ascii="Calibri" w:hAnsi="Calibri" w:cs="Calibri"/>
          <w:color w:val="000000"/>
          <w:sz w:val="22"/>
          <w:szCs w:val="22"/>
          <w:lang w:val="es-ES_tradnl"/>
        </w:rPr>
        <w:t xml:space="preserve"> </w:t>
      </w:r>
      <w:r w:rsidR="00017A46" w:rsidRPr="00436F6C">
        <w:rPr>
          <w:rFonts w:ascii="Calibri" w:hAnsi="Calibri" w:cs="Calibri"/>
          <w:color w:val="000000"/>
          <w:sz w:val="22"/>
          <w:szCs w:val="22"/>
          <w:lang w:val="es-ES_tradnl"/>
        </w:rPr>
        <w:t xml:space="preserve">CITES: </w:t>
      </w:r>
      <w:hyperlink r:id="rId12" w:history="1">
        <w:r w:rsidR="00D03792" w:rsidRPr="00436F6C">
          <w:rPr>
            <w:rStyle w:val="Hyperlink"/>
            <w:rFonts w:ascii="Calibri" w:hAnsi="Calibri" w:cs="Calibri"/>
            <w:sz w:val="22"/>
            <w:szCs w:val="22"/>
            <w:lang w:val="es-ES_tradnl"/>
          </w:rPr>
          <w:t>https://www.cites.org/sites/default/files/eng/disc/funds/ct_en.pdf</w:t>
        </w:r>
      </w:hyperlink>
      <w:r w:rsidR="00D03792" w:rsidRPr="00436F6C">
        <w:rPr>
          <w:rFonts w:ascii="Calibri" w:hAnsi="Calibri" w:cs="Calibri"/>
          <w:color w:val="000000"/>
          <w:sz w:val="22"/>
          <w:szCs w:val="22"/>
          <w:lang w:val="es-ES_tradnl"/>
        </w:rPr>
        <w:t xml:space="preserve"> </w:t>
      </w:r>
    </w:p>
    <w:p w14:paraId="79264208" w14:textId="77777777" w:rsidR="000817FD" w:rsidRPr="00A2129F" w:rsidRDefault="000817FD" w:rsidP="000817FD">
      <w:pPr>
        <w:pStyle w:val="ListParagraph"/>
        <w:rPr>
          <w:rFonts w:ascii="Calibri" w:hAnsi="Calibri" w:cs="Calibri"/>
          <w:b/>
          <w:color w:val="000000"/>
          <w:sz w:val="26"/>
          <w:szCs w:val="26"/>
          <w:lang w:val="es-ES_tradnl"/>
        </w:rPr>
      </w:pPr>
    </w:p>
    <w:p w14:paraId="4BC031E7" w14:textId="5B588BCD" w:rsidR="000817FD" w:rsidRPr="00BF3884" w:rsidRDefault="00EB4E1D" w:rsidP="003313F8">
      <w:pPr>
        <w:numPr>
          <w:ilvl w:val="0"/>
          <w:numId w:val="1"/>
        </w:numPr>
        <w:autoSpaceDE w:val="0"/>
        <w:autoSpaceDN w:val="0"/>
        <w:adjustRightInd w:val="0"/>
        <w:ind w:left="426" w:hanging="426"/>
        <w:rPr>
          <w:rFonts w:ascii="Calibri" w:hAnsi="Calibri" w:cs="Calibri"/>
          <w:sz w:val="22"/>
          <w:szCs w:val="22"/>
          <w:lang w:val="es-ES_tradnl"/>
        </w:rPr>
      </w:pPr>
      <w:r w:rsidRPr="00A2129F">
        <w:rPr>
          <w:rFonts w:ascii="Calibri" w:hAnsi="Calibri" w:cs="Calibri"/>
          <w:sz w:val="22"/>
          <w:szCs w:val="22"/>
          <w:lang w:val="es-ES_tradnl"/>
        </w:rPr>
        <w:t xml:space="preserve">Antes del cierre de cada ejercicio </w:t>
      </w:r>
      <w:r w:rsidR="00D92B8C">
        <w:rPr>
          <w:rFonts w:ascii="Calibri" w:hAnsi="Calibri" w:cs="Calibri"/>
          <w:sz w:val="22"/>
          <w:szCs w:val="22"/>
          <w:lang w:val="es-ES_tradnl"/>
        </w:rPr>
        <w:t>financier</w:t>
      </w:r>
      <w:r w:rsidRPr="00A2129F">
        <w:rPr>
          <w:rFonts w:ascii="Calibri" w:hAnsi="Calibri" w:cs="Calibri"/>
          <w:sz w:val="22"/>
          <w:szCs w:val="22"/>
          <w:lang w:val="es-ES_tradnl"/>
        </w:rPr>
        <w:t>o, la Secretaría evalúa el estado de las contribuciones pendientes, teniendo en cuenta los importes y el período de mora, y consigna una provisión adecuada</w:t>
      </w:r>
      <w:r w:rsidR="00BF3884">
        <w:rPr>
          <w:rFonts w:ascii="Calibri" w:hAnsi="Calibri" w:cs="Calibri"/>
          <w:sz w:val="22"/>
          <w:szCs w:val="22"/>
          <w:lang w:val="es-ES_tradnl"/>
        </w:rPr>
        <w:t xml:space="preserve"> </w:t>
      </w:r>
      <w:r w:rsidR="00D90064">
        <w:rPr>
          <w:rFonts w:ascii="Calibri" w:hAnsi="Calibri" w:cs="Calibri"/>
          <w:sz w:val="22"/>
          <w:szCs w:val="22"/>
          <w:lang w:val="es-ES_tradnl"/>
        </w:rPr>
        <w:t xml:space="preserve">para esas contribuciones pendientes de pago. </w:t>
      </w:r>
      <w:r w:rsidR="00D92B8C">
        <w:rPr>
          <w:rFonts w:ascii="Calibri" w:hAnsi="Calibri" w:cs="Calibri"/>
          <w:sz w:val="22"/>
          <w:szCs w:val="22"/>
          <w:lang w:val="es-ES_tradnl"/>
        </w:rPr>
        <w:t>Todo incremento anual de</w:t>
      </w:r>
      <w:r w:rsidRPr="00A2129F">
        <w:rPr>
          <w:rFonts w:ascii="Calibri" w:hAnsi="Calibri" w:cs="Calibri"/>
          <w:sz w:val="22"/>
          <w:szCs w:val="22"/>
          <w:lang w:val="es-ES_tradnl"/>
        </w:rPr>
        <w:t xml:space="preserve"> dicha provisión reduce los fondos básicos disponibles para gastar.</w:t>
      </w:r>
      <w:r w:rsidR="000368DA">
        <w:rPr>
          <w:rFonts w:asciiTheme="minorHAnsi" w:hAnsiTheme="minorHAnsi"/>
          <w:sz w:val="22"/>
          <w:szCs w:val="22"/>
          <w:lang w:val="es-ES_tradnl"/>
        </w:rPr>
        <w:t xml:space="preserve"> A partir de </w:t>
      </w:r>
      <w:r w:rsidR="00957A6D" w:rsidRPr="00BF3884">
        <w:rPr>
          <w:rFonts w:ascii="Calibri" w:hAnsi="Calibri" w:cs="Calibri"/>
          <w:color w:val="000000"/>
          <w:sz w:val="22"/>
          <w:szCs w:val="22"/>
          <w:lang w:val="es-ES_tradnl"/>
        </w:rPr>
        <w:t>2016</w:t>
      </w:r>
      <w:r w:rsidR="000368DA">
        <w:rPr>
          <w:rFonts w:ascii="Calibri" w:hAnsi="Calibri" w:cs="Calibri"/>
          <w:color w:val="000000"/>
          <w:sz w:val="22"/>
          <w:szCs w:val="22"/>
          <w:lang w:val="es-ES_tradnl"/>
        </w:rPr>
        <w:t>, la</w:t>
      </w:r>
      <w:r w:rsidR="00957A6D" w:rsidRPr="00BF3884">
        <w:rPr>
          <w:rFonts w:ascii="Calibri" w:hAnsi="Calibri" w:cs="Calibri"/>
          <w:color w:val="000000"/>
          <w:sz w:val="22"/>
          <w:szCs w:val="22"/>
          <w:lang w:val="es-ES_tradnl"/>
        </w:rPr>
        <w:t xml:space="preserve"> </w:t>
      </w:r>
      <w:r w:rsidR="00AD5DD1" w:rsidRPr="00BF3884">
        <w:rPr>
          <w:rFonts w:ascii="Calibri" w:hAnsi="Calibri" w:cs="Calibri"/>
          <w:color w:val="000000"/>
          <w:sz w:val="22"/>
          <w:szCs w:val="22"/>
          <w:lang w:val="es-ES_tradnl"/>
        </w:rPr>
        <w:t>Secretaría</w:t>
      </w:r>
      <w:r w:rsidR="00017A46" w:rsidRPr="00BF3884">
        <w:rPr>
          <w:rFonts w:ascii="Calibri" w:hAnsi="Calibri" w:cs="Calibri"/>
          <w:color w:val="000000"/>
          <w:sz w:val="22"/>
          <w:szCs w:val="22"/>
          <w:lang w:val="es-ES_tradnl"/>
        </w:rPr>
        <w:t xml:space="preserve"> </w:t>
      </w:r>
      <w:r w:rsidR="000368DA">
        <w:rPr>
          <w:rFonts w:ascii="Calibri" w:hAnsi="Calibri" w:cs="Calibri"/>
          <w:color w:val="000000"/>
          <w:sz w:val="22"/>
          <w:szCs w:val="22"/>
          <w:lang w:val="es-ES_tradnl"/>
        </w:rPr>
        <w:t xml:space="preserve">se propone modificar los porcentajes y el cálculo de la provisión anual correspondiente a las contribuciones a recibir de las </w:t>
      </w:r>
      <w:r w:rsidR="00AD5DD1" w:rsidRPr="00BF3884">
        <w:rPr>
          <w:rFonts w:ascii="Calibri" w:hAnsi="Calibri" w:cs="Calibri"/>
          <w:color w:val="000000"/>
          <w:sz w:val="22"/>
          <w:szCs w:val="22"/>
          <w:lang w:val="es-ES_tradnl"/>
        </w:rPr>
        <w:t>Partes Contratantes</w:t>
      </w:r>
      <w:r w:rsidR="000368DA">
        <w:rPr>
          <w:rFonts w:ascii="Calibri" w:hAnsi="Calibri" w:cs="Calibri"/>
          <w:color w:val="000000"/>
          <w:sz w:val="22"/>
          <w:szCs w:val="22"/>
          <w:lang w:val="es-ES_tradnl"/>
        </w:rPr>
        <w:t xml:space="preserve"> con el fin de armonizar su práctica con la de otras convenciones, entre ellas los Convenios de </w:t>
      </w:r>
      <w:r w:rsidR="000368DA" w:rsidRPr="00A2129F">
        <w:rPr>
          <w:rFonts w:ascii="Calibri" w:hAnsi="Calibri" w:cs="Calibri"/>
          <w:color w:val="000000"/>
          <w:sz w:val="22"/>
          <w:szCs w:val="22"/>
          <w:lang w:val="es-ES_tradnl"/>
        </w:rPr>
        <w:t xml:space="preserve">Rotterdam, </w:t>
      </w:r>
      <w:r w:rsidR="000368DA">
        <w:rPr>
          <w:rFonts w:ascii="Calibri" w:hAnsi="Calibri" w:cs="Calibri"/>
          <w:color w:val="000000"/>
          <w:sz w:val="22"/>
          <w:szCs w:val="22"/>
          <w:lang w:val="es-ES_tradnl"/>
        </w:rPr>
        <w:t>Estocolmo y</w:t>
      </w:r>
      <w:r w:rsidR="006B0A3E">
        <w:rPr>
          <w:rFonts w:ascii="Calibri" w:hAnsi="Calibri" w:cs="Calibri"/>
          <w:color w:val="000000"/>
          <w:sz w:val="22"/>
          <w:szCs w:val="22"/>
          <w:lang w:val="es-ES_tradnl"/>
        </w:rPr>
        <w:t xml:space="preserve"> Basilea, y la Convención </w:t>
      </w:r>
      <w:r w:rsidR="000368DA" w:rsidRPr="00A2129F">
        <w:rPr>
          <w:rFonts w:ascii="Calibri" w:hAnsi="Calibri" w:cs="Calibri"/>
          <w:color w:val="000000"/>
          <w:sz w:val="22"/>
          <w:szCs w:val="22"/>
          <w:lang w:val="es-ES_tradnl"/>
        </w:rPr>
        <w:t>CITES</w:t>
      </w:r>
      <w:r w:rsidR="000368DA">
        <w:rPr>
          <w:rFonts w:ascii="Calibri" w:hAnsi="Calibri" w:cs="Calibri"/>
          <w:color w:val="000000"/>
          <w:sz w:val="22"/>
          <w:szCs w:val="22"/>
          <w:lang w:val="es-ES_tradnl"/>
        </w:rPr>
        <w:t>.</w:t>
      </w:r>
      <w:r w:rsidR="000368DA" w:rsidRPr="00A2129F">
        <w:rPr>
          <w:rFonts w:ascii="Calibri" w:hAnsi="Calibri" w:cs="Calibri"/>
          <w:color w:val="000000"/>
          <w:sz w:val="22"/>
          <w:szCs w:val="22"/>
          <w:lang w:val="es-ES_tradnl"/>
        </w:rPr>
        <w:t xml:space="preserve"> </w:t>
      </w:r>
      <w:r w:rsidR="000368DA">
        <w:rPr>
          <w:rFonts w:ascii="Calibri" w:hAnsi="Calibri" w:cs="Calibri"/>
          <w:color w:val="000000"/>
          <w:sz w:val="22"/>
          <w:szCs w:val="22"/>
          <w:lang w:val="es-ES_tradnl"/>
        </w:rPr>
        <w:t>De es</w:t>
      </w:r>
      <w:r w:rsidR="00D90064">
        <w:rPr>
          <w:rFonts w:ascii="Calibri" w:hAnsi="Calibri" w:cs="Calibri"/>
          <w:color w:val="000000"/>
          <w:sz w:val="22"/>
          <w:szCs w:val="22"/>
          <w:lang w:val="es-ES_tradnl"/>
        </w:rPr>
        <w:t xml:space="preserve">te modo, la política de Ramsar </w:t>
      </w:r>
      <w:r w:rsidR="00D92B8C">
        <w:rPr>
          <w:rFonts w:ascii="Calibri" w:hAnsi="Calibri" w:cs="Calibri"/>
          <w:color w:val="000000"/>
          <w:sz w:val="22"/>
          <w:szCs w:val="22"/>
          <w:lang w:val="es-ES_tradnl"/>
        </w:rPr>
        <w:t xml:space="preserve">también </w:t>
      </w:r>
      <w:r w:rsidR="00D90064">
        <w:rPr>
          <w:rFonts w:ascii="Calibri" w:hAnsi="Calibri" w:cs="Calibri"/>
          <w:color w:val="000000"/>
          <w:sz w:val="22"/>
          <w:szCs w:val="22"/>
          <w:lang w:val="es-ES_tradnl"/>
        </w:rPr>
        <w:t xml:space="preserve">estaría más en consonancia con </w:t>
      </w:r>
      <w:r w:rsidR="00E675B5">
        <w:rPr>
          <w:rFonts w:ascii="Calibri" w:hAnsi="Calibri" w:cs="Calibri"/>
          <w:color w:val="000000"/>
          <w:sz w:val="22"/>
          <w:szCs w:val="22"/>
          <w:lang w:val="es-ES_tradnl"/>
        </w:rPr>
        <w:t>las Normas Internacionales de Contabilidad para el Sector Público (NICSP). No está previsto que la aplicación de los porcentajes revis</w:t>
      </w:r>
      <w:r w:rsidR="00C4111D">
        <w:rPr>
          <w:rFonts w:ascii="Calibri" w:hAnsi="Calibri" w:cs="Calibri"/>
          <w:color w:val="000000"/>
          <w:sz w:val="22"/>
          <w:szCs w:val="22"/>
          <w:lang w:val="es-ES_tradnl"/>
        </w:rPr>
        <w:t xml:space="preserve">ados y del nuevo cálculo suponga </w:t>
      </w:r>
      <w:r w:rsidR="00E675B5">
        <w:rPr>
          <w:rFonts w:ascii="Calibri" w:hAnsi="Calibri" w:cs="Calibri"/>
          <w:color w:val="000000"/>
          <w:sz w:val="22"/>
          <w:szCs w:val="22"/>
          <w:lang w:val="es-ES_tradnl"/>
        </w:rPr>
        <w:t xml:space="preserve">incremento alguno de la cuantía de la provisión calculada por </w:t>
      </w:r>
      <w:r w:rsidR="00C4111D">
        <w:rPr>
          <w:rFonts w:ascii="Calibri" w:hAnsi="Calibri" w:cs="Calibri"/>
          <w:color w:val="000000"/>
          <w:sz w:val="22"/>
          <w:szCs w:val="22"/>
          <w:lang w:val="es-ES_tradnl"/>
        </w:rPr>
        <w:t xml:space="preserve">Ramsar para </w:t>
      </w:r>
      <w:r w:rsidR="00E675B5">
        <w:rPr>
          <w:rFonts w:ascii="Calibri" w:hAnsi="Calibri" w:cs="Calibri"/>
          <w:color w:val="000000"/>
          <w:sz w:val="22"/>
          <w:szCs w:val="22"/>
          <w:lang w:val="es-ES_tradnl"/>
        </w:rPr>
        <w:t>2016</w:t>
      </w:r>
      <w:r w:rsidR="00C4111D">
        <w:rPr>
          <w:rFonts w:ascii="Calibri" w:hAnsi="Calibri" w:cs="Calibri"/>
          <w:color w:val="000000"/>
          <w:sz w:val="22"/>
          <w:szCs w:val="22"/>
          <w:lang w:val="es-ES_tradnl"/>
        </w:rPr>
        <w:t>.</w:t>
      </w:r>
      <w:r w:rsidR="008E774F">
        <w:rPr>
          <w:rFonts w:ascii="Calibri" w:hAnsi="Calibri" w:cs="Calibri"/>
          <w:color w:val="000000"/>
          <w:sz w:val="22"/>
          <w:szCs w:val="22"/>
          <w:lang w:val="es-ES_tradnl"/>
        </w:rPr>
        <w:t xml:space="preserve"> </w:t>
      </w:r>
      <w:r w:rsidR="00E675B5">
        <w:rPr>
          <w:rFonts w:ascii="Calibri" w:hAnsi="Calibri" w:cs="Calibri"/>
          <w:color w:val="000000"/>
          <w:sz w:val="22"/>
          <w:szCs w:val="22"/>
          <w:lang w:val="es-ES_tradnl"/>
        </w:rPr>
        <w:t>Los porcentajes</w:t>
      </w:r>
      <w:r w:rsidR="00D90064">
        <w:rPr>
          <w:rFonts w:ascii="Calibri" w:hAnsi="Calibri" w:cs="Calibri"/>
          <w:color w:val="000000"/>
          <w:sz w:val="22"/>
          <w:szCs w:val="22"/>
          <w:lang w:val="es-ES_tradnl"/>
        </w:rPr>
        <w:t xml:space="preserve"> y el cálculo aplicados para determinar la cuantía de la provisión figuran en el Cuadro 4. </w:t>
      </w:r>
    </w:p>
    <w:p w14:paraId="274754A5" w14:textId="77777777" w:rsidR="000B6221" w:rsidRPr="00A2129F" w:rsidRDefault="000B6221" w:rsidP="000B6221">
      <w:pPr>
        <w:rPr>
          <w:rFonts w:ascii="Calibri" w:hAnsi="Calibri" w:cs="Calibri"/>
          <w:b/>
          <w:color w:val="000000"/>
          <w:sz w:val="22"/>
          <w:szCs w:val="22"/>
          <w:lang w:val="es-ES_tradnl"/>
        </w:rPr>
      </w:pPr>
    </w:p>
    <w:p w14:paraId="7686FCBA" w14:textId="28890040" w:rsidR="000B6221" w:rsidRPr="00A2129F" w:rsidRDefault="00E675B5" w:rsidP="005F1238">
      <w:pPr>
        <w:keepNext/>
        <w:autoSpaceDE w:val="0"/>
        <w:autoSpaceDN w:val="0"/>
        <w:adjustRightInd w:val="0"/>
        <w:rPr>
          <w:rFonts w:ascii="Calibri" w:hAnsi="Calibri" w:cs="Calibri"/>
          <w:i/>
          <w:sz w:val="22"/>
          <w:szCs w:val="22"/>
          <w:lang w:val="es-ES_tradnl"/>
        </w:rPr>
      </w:pPr>
      <w:r>
        <w:rPr>
          <w:rFonts w:ascii="Calibri" w:hAnsi="Calibri" w:cs="Calibri"/>
          <w:i/>
          <w:sz w:val="22"/>
          <w:szCs w:val="22"/>
          <w:lang w:val="es-ES_tradnl"/>
        </w:rPr>
        <w:lastRenderedPageBreak/>
        <w:t>Cuadro</w:t>
      </w:r>
      <w:r w:rsidR="000B6221" w:rsidRPr="00A2129F">
        <w:rPr>
          <w:rFonts w:ascii="Calibri" w:hAnsi="Calibri" w:cs="Calibri"/>
          <w:i/>
          <w:sz w:val="22"/>
          <w:szCs w:val="22"/>
          <w:lang w:val="es-ES_tradnl"/>
        </w:rPr>
        <w:t xml:space="preserve"> </w:t>
      </w:r>
      <w:r w:rsidR="00FF39BD" w:rsidRPr="00A2129F">
        <w:rPr>
          <w:rFonts w:ascii="Calibri" w:hAnsi="Calibri" w:cs="Calibri"/>
          <w:i/>
          <w:sz w:val="22"/>
          <w:szCs w:val="22"/>
          <w:lang w:val="es-ES_tradnl"/>
        </w:rPr>
        <w:t>4</w:t>
      </w:r>
      <w:r w:rsidR="000B6221" w:rsidRPr="00A2129F">
        <w:rPr>
          <w:rFonts w:ascii="Calibri" w:hAnsi="Calibri" w:cs="Calibri"/>
          <w:i/>
          <w:sz w:val="22"/>
          <w:szCs w:val="22"/>
          <w:lang w:val="es-ES_tradnl"/>
        </w:rPr>
        <w:t xml:space="preserve">: </w:t>
      </w:r>
      <w:r w:rsidR="00A818D6" w:rsidRPr="00A2129F">
        <w:rPr>
          <w:rFonts w:ascii="Calibri" w:hAnsi="Calibri" w:cs="Calibri"/>
          <w:i/>
          <w:sz w:val="22"/>
          <w:szCs w:val="22"/>
          <w:lang w:val="es-ES_tradnl"/>
        </w:rPr>
        <w:t>Compar</w:t>
      </w:r>
      <w:r>
        <w:rPr>
          <w:rFonts w:ascii="Calibri" w:hAnsi="Calibri" w:cs="Calibri"/>
          <w:i/>
          <w:sz w:val="22"/>
          <w:szCs w:val="22"/>
          <w:lang w:val="es-ES_tradnl"/>
        </w:rPr>
        <w:t>ativa de los porcentajes y cálculos propuestos y actuales para determinar</w:t>
      </w:r>
      <w:r w:rsidR="00D90064">
        <w:rPr>
          <w:rFonts w:ascii="Calibri" w:hAnsi="Calibri" w:cs="Calibri"/>
          <w:i/>
          <w:sz w:val="22"/>
          <w:szCs w:val="22"/>
          <w:lang w:val="es-ES_tradnl"/>
        </w:rPr>
        <w:t xml:space="preserve"> la cuantía de la provisión para las contribuciones a recibir de las </w:t>
      </w:r>
      <w:r w:rsidR="00AD5DD1" w:rsidRPr="00A2129F">
        <w:rPr>
          <w:rFonts w:ascii="Calibri" w:hAnsi="Calibri" w:cs="Calibri"/>
          <w:i/>
          <w:sz w:val="22"/>
          <w:szCs w:val="22"/>
          <w:lang w:val="es-ES_tradnl"/>
        </w:rPr>
        <w:t>Partes Contratantes</w:t>
      </w:r>
    </w:p>
    <w:p w14:paraId="339A7404" w14:textId="77777777" w:rsidR="000B6221" w:rsidRPr="00A2129F" w:rsidRDefault="000B6221" w:rsidP="005F1238">
      <w:pPr>
        <w:keepNext/>
        <w:autoSpaceDE w:val="0"/>
        <w:autoSpaceDN w:val="0"/>
        <w:adjustRightInd w:val="0"/>
        <w:rPr>
          <w:rFonts w:ascii="Calibri" w:hAnsi="Calibri" w:cs="Calibri"/>
          <w:sz w:val="22"/>
          <w:szCs w:val="22"/>
          <w:lang w:val="es-ES_tradnl"/>
        </w:rPr>
      </w:pPr>
    </w:p>
    <w:tbl>
      <w:tblPr>
        <w:tblW w:w="9000" w:type="dxa"/>
        <w:tblInd w:w="108" w:type="dxa"/>
        <w:tblLayout w:type="fixed"/>
        <w:tblLook w:val="04A0" w:firstRow="1" w:lastRow="0" w:firstColumn="1" w:lastColumn="0" w:noHBand="0" w:noVBand="1"/>
      </w:tblPr>
      <w:tblGrid>
        <w:gridCol w:w="1800"/>
        <w:gridCol w:w="1800"/>
        <w:gridCol w:w="2700"/>
        <w:gridCol w:w="2700"/>
      </w:tblGrid>
      <w:tr w:rsidR="009A2159" w:rsidRPr="00436F6C" w14:paraId="339CBA8A" w14:textId="77777777" w:rsidTr="004561C4">
        <w:trPr>
          <w:trHeight w:val="807"/>
        </w:trPr>
        <w:tc>
          <w:tcPr>
            <w:tcW w:w="18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7618E73" w14:textId="4EC82551" w:rsidR="009A2159" w:rsidRPr="00A2129F" w:rsidRDefault="00E675B5" w:rsidP="005F1238">
            <w:pPr>
              <w:keepNext/>
              <w:jc w:val="center"/>
              <w:rPr>
                <w:rFonts w:ascii="Calibri" w:eastAsia="Times New Roman" w:hAnsi="Calibri"/>
                <w:b/>
                <w:bCs/>
                <w:sz w:val="20"/>
                <w:szCs w:val="20"/>
                <w:lang w:val="es-ES_tradnl" w:eastAsia="en-GB"/>
              </w:rPr>
            </w:pPr>
            <w:r>
              <w:rPr>
                <w:rFonts w:ascii="Calibri" w:eastAsia="Times New Roman" w:hAnsi="Calibri"/>
                <w:b/>
                <w:bCs/>
                <w:sz w:val="20"/>
                <w:szCs w:val="20"/>
                <w:lang w:val="es-ES_tradnl" w:eastAsia="en-GB"/>
              </w:rPr>
              <w:t>Años de mora</w:t>
            </w:r>
          </w:p>
        </w:tc>
        <w:tc>
          <w:tcPr>
            <w:tcW w:w="1800" w:type="dxa"/>
            <w:tcBorders>
              <w:top w:val="single" w:sz="4" w:space="0" w:color="auto"/>
              <w:left w:val="nil"/>
              <w:bottom w:val="single" w:sz="4" w:space="0" w:color="auto"/>
              <w:right w:val="single" w:sz="4" w:space="0" w:color="auto"/>
            </w:tcBorders>
            <w:shd w:val="clear" w:color="auto" w:fill="C6D9F1" w:themeFill="text2" w:themeFillTint="33"/>
            <w:vAlign w:val="center"/>
          </w:tcPr>
          <w:p w14:paraId="04A2B92F" w14:textId="2BCE0FA1" w:rsidR="009A2159" w:rsidRPr="00A2129F" w:rsidRDefault="00D90064" w:rsidP="00D90064">
            <w:pPr>
              <w:jc w:val="center"/>
              <w:rPr>
                <w:rFonts w:ascii="Calibri" w:eastAsia="Times New Roman" w:hAnsi="Calibri"/>
                <w:b/>
                <w:bCs/>
                <w:sz w:val="20"/>
                <w:szCs w:val="20"/>
                <w:lang w:val="es-ES_tradnl" w:eastAsia="en-GB"/>
              </w:rPr>
            </w:pPr>
            <w:r>
              <w:rPr>
                <w:rFonts w:ascii="Calibri" w:eastAsia="Times New Roman" w:hAnsi="Calibri"/>
                <w:b/>
                <w:bCs/>
                <w:sz w:val="20"/>
                <w:szCs w:val="20"/>
                <w:lang w:val="es-ES_tradnl" w:eastAsia="en-GB"/>
              </w:rPr>
              <w:t xml:space="preserve">Años tenidos en cuenta para el cálculo de la provisión para 2016 </w:t>
            </w:r>
          </w:p>
        </w:tc>
        <w:tc>
          <w:tcPr>
            <w:tcW w:w="2700" w:type="dxa"/>
            <w:tcBorders>
              <w:top w:val="single" w:sz="4" w:space="0" w:color="auto"/>
              <w:left w:val="nil"/>
              <w:bottom w:val="single" w:sz="4" w:space="0" w:color="auto"/>
              <w:right w:val="single" w:sz="4" w:space="0" w:color="auto"/>
            </w:tcBorders>
            <w:shd w:val="clear" w:color="auto" w:fill="C6D9F1" w:themeFill="text2" w:themeFillTint="33"/>
            <w:vAlign w:val="center"/>
          </w:tcPr>
          <w:p w14:paraId="33383F6F" w14:textId="3CCE5DAF" w:rsidR="003632AE" w:rsidRDefault="00A818D6" w:rsidP="003632AE">
            <w:pPr>
              <w:jc w:val="center"/>
              <w:rPr>
                <w:rFonts w:ascii="Calibri" w:eastAsia="Times New Roman" w:hAnsi="Calibri"/>
                <w:b/>
                <w:bCs/>
                <w:sz w:val="20"/>
                <w:szCs w:val="20"/>
                <w:lang w:val="es-ES_tradnl" w:eastAsia="en-GB"/>
              </w:rPr>
            </w:pPr>
            <w:r w:rsidRPr="00A2129F">
              <w:rPr>
                <w:rFonts w:ascii="Calibri" w:eastAsia="Times New Roman" w:hAnsi="Calibri"/>
                <w:b/>
                <w:bCs/>
                <w:sz w:val="20"/>
                <w:szCs w:val="20"/>
                <w:lang w:val="es-ES_tradnl" w:eastAsia="en-GB"/>
              </w:rPr>
              <w:t>P</w:t>
            </w:r>
            <w:r w:rsidR="00D90064">
              <w:rPr>
                <w:rFonts w:ascii="Calibri" w:eastAsia="Times New Roman" w:hAnsi="Calibri"/>
                <w:b/>
                <w:bCs/>
                <w:sz w:val="20"/>
                <w:szCs w:val="20"/>
                <w:lang w:val="es-ES_tradnl" w:eastAsia="en-GB"/>
              </w:rPr>
              <w:t>orcentajes propuestos p</w:t>
            </w:r>
            <w:r w:rsidR="003632AE">
              <w:rPr>
                <w:rFonts w:ascii="Calibri" w:eastAsia="Times New Roman" w:hAnsi="Calibri"/>
                <w:b/>
                <w:bCs/>
                <w:sz w:val="20"/>
                <w:szCs w:val="20"/>
                <w:lang w:val="es-ES_tradnl" w:eastAsia="en-GB"/>
              </w:rPr>
              <w:t xml:space="preserve">ara el cálculo de la provisión que se aplicarán individualmente a cada importe pendiente </w:t>
            </w:r>
          </w:p>
          <w:p w14:paraId="71A6E6A9" w14:textId="12878F53" w:rsidR="009A2159" w:rsidRPr="00A2129F" w:rsidRDefault="003632AE" w:rsidP="003632AE">
            <w:pPr>
              <w:jc w:val="center"/>
              <w:rPr>
                <w:rFonts w:ascii="Calibri" w:eastAsia="Times New Roman" w:hAnsi="Calibri"/>
                <w:b/>
                <w:bCs/>
                <w:sz w:val="20"/>
                <w:szCs w:val="20"/>
                <w:lang w:val="es-ES_tradnl" w:eastAsia="en-GB"/>
              </w:rPr>
            </w:pPr>
            <w:r>
              <w:rPr>
                <w:rFonts w:ascii="Calibri" w:eastAsia="Times New Roman" w:hAnsi="Calibri"/>
                <w:b/>
                <w:bCs/>
                <w:sz w:val="20"/>
                <w:szCs w:val="20"/>
                <w:lang w:val="es-ES_tradnl" w:eastAsia="en-GB"/>
              </w:rPr>
              <w:t xml:space="preserve">en función de la antigüedad del mismo </w:t>
            </w:r>
            <w:r w:rsidR="009A2159" w:rsidRPr="00A2129F">
              <w:rPr>
                <w:rFonts w:ascii="Calibri" w:eastAsia="Times New Roman" w:hAnsi="Calibri"/>
                <w:b/>
                <w:bCs/>
                <w:sz w:val="20"/>
                <w:szCs w:val="20"/>
                <w:lang w:val="es-ES_tradnl" w:eastAsia="en-GB"/>
              </w:rPr>
              <w:t>(%)</w:t>
            </w:r>
          </w:p>
        </w:tc>
        <w:tc>
          <w:tcPr>
            <w:tcW w:w="2700" w:type="dxa"/>
            <w:tcBorders>
              <w:top w:val="single" w:sz="4" w:space="0" w:color="auto"/>
              <w:left w:val="nil"/>
              <w:bottom w:val="single" w:sz="4" w:space="0" w:color="auto"/>
              <w:right w:val="single" w:sz="4" w:space="0" w:color="auto"/>
            </w:tcBorders>
            <w:shd w:val="clear" w:color="auto" w:fill="C6D9F1" w:themeFill="text2" w:themeFillTint="33"/>
            <w:vAlign w:val="center"/>
          </w:tcPr>
          <w:p w14:paraId="2AEBD024" w14:textId="53E50855" w:rsidR="00957A6D" w:rsidRPr="00A2129F" w:rsidRDefault="003632AE" w:rsidP="003A589C">
            <w:pPr>
              <w:jc w:val="center"/>
              <w:rPr>
                <w:rFonts w:ascii="Calibri" w:eastAsia="Times New Roman" w:hAnsi="Calibri"/>
                <w:b/>
                <w:bCs/>
                <w:sz w:val="20"/>
                <w:szCs w:val="20"/>
                <w:lang w:val="es-ES_tradnl" w:eastAsia="en-GB"/>
              </w:rPr>
            </w:pPr>
            <w:r>
              <w:rPr>
                <w:rFonts w:ascii="Calibri" w:eastAsia="Times New Roman" w:hAnsi="Calibri"/>
                <w:b/>
                <w:bCs/>
                <w:sz w:val="20"/>
                <w:szCs w:val="20"/>
                <w:lang w:val="es-ES_tradnl" w:eastAsia="en-GB"/>
              </w:rPr>
              <w:t xml:space="preserve">Porcentajes actualmente aplicados para el cálculo de la provisión que se aplican al saldo total pendiente de cada </w:t>
            </w:r>
            <w:r w:rsidR="00AD5DD1" w:rsidRPr="00A2129F">
              <w:rPr>
                <w:rFonts w:ascii="Calibri" w:eastAsia="Times New Roman" w:hAnsi="Calibri"/>
                <w:b/>
                <w:bCs/>
                <w:sz w:val="20"/>
                <w:szCs w:val="20"/>
                <w:lang w:val="es-ES_tradnl" w:eastAsia="en-GB"/>
              </w:rPr>
              <w:t>Parte Contratante</w:t>
            </w:r>
            <w:r w:rsidR="00A818D6" w:rsidRPr="00A2129F">
              <w:rPr>
                <w:rFonts w:ascii="Calibri" w:eastAsia="Times New Roman" w:hAnsi="Calibri"/>
                <w:b/>
                <w:bCs/>
                <w:sz w:val="20"/>
                <w:szCs w:val="20"/>
                <w:lang w:val="es-ES_tradnl" w:eastAsia="en-GB"/>
              </w:rPr>
              <w:t xml:space="preserve"> </w:t>
            </w:r>
            <w:r>
              <w:rPr>
                <w:rFonts w:ascii="Calibri" w:eastAsia="Times New Roman" w:hAnsi="Calibri"/>
                <w:b/>
                <w:bCs/>
                <w:sz w:val="20"/>
                <w:szCs w:val="20"/>
                <w:lang w:val="es-ES_tradnl" w:eastAsia="en-GB"/>
              </w:rPr>
              <w:t xml:space="preserve">en función del </w:t>
            </w:r>
            <w:r w:rsidR="003A589C">
              <w:rPr>
                <w:rFonts w:ascii="Calibri" w:eastAsia="Times New Roman" w:hAnsi="Calibri"/>
                <w:b/>
                <w:bCs/>
                <w:sz w:val="20"/>
                <w:szCs w:val="20"/>
                <w:lang w:val="es-ES_tradnl" w:eastAsia="en-GB"/>
              </w:rPr>
              <w:t>saldo</w:t>
            </w:r>
            <w:r>
              <w:rPr>
                <w:rFonts w:ascii="Calibri" w:eastAsia="Times New Roman" w:hAnsi="Calibri"/>
                <w:b/>
                <w:bCs/>
                <w:sz w:val="20"/>
                <w:szCs w:val="20"/>
                <w:lang w:val="es-ES_tradnl" w:eastAsia="en-GB"/>
              </w:rPr>
              <w:t xml:space="preserve"> más antiguo</w:t>
            </w:r>
            <w:r w:rsidR="003A589C">
              <w:rPr>
                <w:rFonts w:ascii="Calibri" w:eastAsia="Times New Roman" w:hAnsi="Calibri"/>
                <w:b/>
                <w:bCs/>
                <w:sz w:val="20"/>
                <w:szCs w:val="20"/>
                <w:lang w:val="es-ES_tradnl" w:eastAsia="en-GB"/>
              </w:rPr>
              <w:t xml:space="preserve"> todavía pendiente </w:t>
            </w:r>
            <w:r w:rsidR="00957A6D" w:rsidRPr="00A2129F">
              <w:rPr>
                <w:rFonts w:ascii="Calibri" w:eastAsia="Times New Roman" w:hAnsi="Calibri"/>
                <w:b/>
                <w:bCs/>
                <w:sz w:val="20"/>
                <w:szCs w:val="20"/>
                <w:lang w:val="es-ES_tradnl" w:eastAsia="en-GB"/>
              </w:rPr>
              <w:t>(%)</w:t>
            </w:r>
          </w:p>
        </w:tc>
      </w:tr>
      <w:tr w:rsidR="009A2159" w:rsidRPr="00A2129F" w14:paraId="2F8F0203" w14:textId="77777777" w:rsidTr="004561C4">
        <w:trPr>
          <w:trHeight w:val="337"/>
        </w:trPr>
        <w:tc>
          <w:tcPr>
            <w:tcW w:w="1800" w:type="dxa"/>
            <w:tcBorders>
              <w:top w:val="nil"/>
              <w:left w:val="single" w:sz="4" w:space="0" w:color="auto"/>
              <w:bottom w:val="single" w:sz="4" w:space="0" w:color="auto"/>
              <w:right w:val="single" w:sz="4" w:space="0" w:color="auto"/>
            </w:tcBorders>
            <w:shd w:val="clear" w:color="auto" w:fill="auto"/>
            <w:noWrap/>
            <w:vAlign w:val="center"/>
          </w:tcPr>
          <w:p w14:paraId="1EAD0239" w14:textId="0FE65640" w:rsidR="009A2159" w:rsidRPr="00A2129F" w:rsidRDefault="009A2159" w:rsidP="003457A3">
            <w:pPr>
              <w:keepNext/>
              <w:jc w:val="center"/>
              <w:rPr>
                <w:rFonts w:ascii="Calibri" w:eastAsia="Times New Roman" w:hAnsi="Calibri"/>
                <w:b/>
                <w:bCs/>
                <w:sz w:val="20"/>
                <w:szCs w:val="20"/>
                <w:lang w:val="es-ES_tradnl" w:eastAsia="en-GB"/>
              </w:rPr>
            </w:pPr>
            <w:r w:rsidRPr="00A2129F">
              <w:rPr>
                <w:rFonts w:ascii="Calibri" w:eastAsia="Times New Roman" w:hAnsi="Calibri"/>
                <w:b/>
                <w:bCs/>
                <w:sz w:val="20"/>
                <w:szCs w:val="20"/>
                <w:lang w:val="es-ES_tradnl" w:eastAsia="en-GB"/>
              </w:rPr>
              <w:t>1</w:t>
            </w:r>
          </w:p>
        </w:tc>
        <w:tc>
          <w:tcPr>
            <w:tcW w:w="1800" w:type="dxa"/>
            <w:tcBorders>
              <w:top w:val="nil"/>
              <w:left w:val="nil"/>
              <w:bottom w:val="single" w:sz="4" w:space="0" w:color="auto"/>
              <w:right w:val="single" w:sz="4" w:space="0" w:color="auto"/>
            </w:tcBorders>
            <w:shd w:val="clear" w:color="auto" w:fill="auto"/>
            <w:noWrap/>
            <w:vAlign w:val="center"/>
          </w:tcPr>
          <w:p w14:paraId="6E3B001F" w14:textId="77777777" w:rsidR="009A2159" w:rsidRPr="00A2129F" w:rsidRDefault="009A2159" w:rsidP="00DC6092">
            <w:pPr>
              <w:jc w:val="center"/>
              <w:rPr>
                <w:rFonts w:ascii="Calibri" w:eastAsia="Times New Roman" w:hAnsi="Calibri"/>
                <w:sz w:val="20"/>
                <w:szCs w:val="20"/>
                <w:lang w:val="es-ES_tradnl" w:eastAsia="en-GB"/>
              </w:rPr>
            </w:pPr>
            <w:r w:rsidRPr="00A2129F">
              <w:rPr>
                <w:rFonts w:ascii="Calibri" w:eastAsia="Times New Roman" w:hAnsi="Calibri"/>
                <w:sz w:val="20"/>
                <w:szCs w:val="20"/>
                <w:lang w:val="es-ES_tradnl" w:eastAsia="en-GB"/>
              </w:rPr>
              <w:t>2016</w:t>
            </w:r>
          </w:p>
        </w:tc>
        <w:tc>
          <w:tcPr>
            <w:tcW w:w="2700" w:type="dxa"/>
            <w:tcBorders>
              <w:top w:val="nil"/>
              <w:left w:val="nil"/>
              <w:bottom w:val="single" w:sz="4" w:space="0" w:color="auto"/>
              <w:right w:val="single" w:sz="4" w:space="0" w:color="auto"/>
            </w:tcBorders>
            <w:shd w:val="clear" w:color="auto" w:fill="auto"/>
            <w:noWrap/>
            <w:vAlign w:val="center"/>
          </w:tcPr>
          <w:p w14:paraId="6880A709" w14:textId="77777777" w:rsidR="009A2159" w:rsidRPr="00A2129F" w:rsidRDefault="009A2159" w:rsidP="00DC6092">
            <w:pPr>
              <w:ind w:right="902"/>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20%</w:t>
            </w:r>
          </w:p>
        </w:tc>
        <w:tc>
          <w:tcPr>
            <w:tcW w:w="2700" w:type="dxa"/>
            <w:tcBorders>
              <w:top w:val="nil"/>
              <w:left w:val="nil"/>
              <w:bottom w:val="single" w:sz="4" w:space="0" w:color="auto"/>
              <w:right w:val="single" w:sz="4" w:space="0" w:color="auto"/>
            </w:tcBorders>
            <w:vAlign w:val="center"/>
          </w:tcPr>
          <w:p w14:paraId="2A94F530" w14:textId="77777777" w:rsidR="009A2159" w:rsidRPr="00A2129F" w:rsidRDefault="00A818D6" w:rsidP="00DC6092">
            <w:pPr>
              <w:ind w:right="902"/>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5%</w:t>
            </w:r>
          </w:p>
        </w:tc>
      </w:tr>
      <w:tr w:rsidR="009A2159" w:rsidRPr="00A2129F" w14:paraId="1256A88E" w14:textId="77777777" w:rsidTr="004561C4">
        <w:trPr>
          <w:trHeight w:val="337"/>
        </w:trPr>
        <w:tc>
          <w:tcPr>
            <w:tcW w:w="1800" w:type="dxa"/>
            <w:tcBorders>
              <w:top w:val="nil"/>
              <w:left w:val="single" w:sz="4" w:space="0" w:color="auto"/>
              <w:bottom w:val="single" w:sz="4" w:space="0" w:color="auto"/>
              <w:right w:val="single" w:sz="4" w:space="0" w:color="auto"/>
            </w:tcBorders>
            <w:shd w:val="clear" w:color="auto" w:fill="auto"/>
            <w:noWrap/>
            <w:vAlign w:val="center"/>
          </w:tcPr>
          <w:p w14:paraId="1C4D032F" w14:textId="77777777" w:rsidR="009A2159" w:rsidRPr="00A2129F" w:rsidRDefault="009A2159" w:rsidP="003457A3">
            <w:pPr>
              <w:keepNext/>
              <w:jc w:val="center"/>
              <w:rPr>
                <w:rFonts w:ascii="Calibri" w:eastAsia="Times New Roman" w:hAnsi="Calibri"/>
                <w:b/>
                <w:bCs/>
                <w:sz w:val="20"/>
                <w:szCs w:val="20"/>
                <w:lang w:val="es-ES_tradnl" w:eastAsia="en-GB"/>
              </w:rPr>
            </w:pPr>
            <w:r w:rsidRPr="00A2129F">
              <w:rPr>
                <w:rFonts w:ascii="Calibri" w:eastAsia="Times New Roman" w:hAnsi="Calibri"/>
                <w:b/>
                <w:bCs/>
                <w:sz w:val="20"/>
                <w:szCs w:val="20"/>
                <w:lang w:val="es-ES_tradnl" w:eastAsia="en-GB"/>
              </w:rPr>
              <w:t>2</w:t>
            </w:r>
          </w:p>
        </w:tc>
        <w:tc>
          <w:tcPr>
            <w:tcW w:w="1800" w:type="dxa"/>
            <w:tcBorders>
              <w:top w:val="nil"/>
              <w:left w:val="nil"/>
              <w:bottom w:val="single" w:sz="4" w:space="0" w:color="auto"/>
              <w:right w:val="single" w:sz="4" w:space="0" w:color="auto"/>
            </w:tcBorders>
            <w:shd w:val="clear" w:color="auto" w:fill="auto"/>
            <w:noWrap/>
            <w:vAlign w:val="center"/>
          </w:tcPr>
          <w:p w14:paraId="517FF099" w14:textId="77777777" w:rsidR="009A2159" w:rsidRPr="00A2129F" w:rsidRDefault="009A2159" w:rsidP="00DC6092">
            <w:pPr>
              <w:jc w:val="center"/>
              <w:rPr>
                <w:rFonts w:ascii="Calibri" w:eastAsia="Times New Roman" w:hAnsi="Calibri"/>
                <w:sz w:val="20"/>
                <w:szCs w:val="20"/>
                <w:lang w:val="es-ES_tradnl" w:eastAsia="en-GB"/>
              </w:rPr>
            </w:pPr>
            <w:r w:rsidRPr="00A2129F">
              <w:rPr>
                <w:rFonts w:ascii="Calibri" w:eastAsia="Times New Roman" w:hAnsi="Calibri"/>
                <w:sz w:val="20"/>
                <w:szCs w:val="20"/>
                <w:lang w:val="es-ES_tradnl" w:eastAsia="en-GB"/>
              </w:rPr>
              <w:t>2015</w:t>
            </w:r>
          </w:p>
        </w:tc>
        <w:tc>
          <w:tcPr>
            <w:tcW w:w="2700" w:type="dxa"/>
            <w:tcBorders>
              <w:top w:val="nil"/>
              <w:left w:val="nil"/>
              <w:bottom w:val="single" w:sz="4" w:space="0" w:color="auto"/>
              <w:right w:val="single" w:sz="4" w:space="0" w:color="auto"/>
            </w:tcBorders>
            <w:shd w:val="clear" w:color="auto" w:fill="auto"/>
            <w:noWrap/>
            <w:vAlign w:val="center"/>
          </w:tcPr>
          <w:p w14:paraId="343E0535" w14:textId="77777777" w:rsidR="009A2159" w:rsidRPr="00A2129F" w:rsidRDefault="00A818D6" w:rsidP="00DC6092">
            <w:pPr>
              <w:ind w:right="902"/>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2</w:t>
            </w:r>
            <w:r w:rsidR="009A2159" w:rsidRPr="00A2129F">
              <w:rPr>
                <w:rFonts w:ascii="Calibri" w:eastAsia="Times New Roman" w:hAnsi="Calibri"/>
                <w:color w:val="000000"/>
                <w:sz w:val="20"/>
                <w:szCs w:val="20"/>
                <w:lang w:val="es-ES_tradnl" w:eastAsia="en-GB"/>
              </w:rPr>
              <w:t>0%</w:t>
            </w:r>
          </w:p>
        </w:tc>
        <w:tc>
          <w:tcPr>
            <w:tcW w:w="2700" w:type="dxa"/>
            <w:tcBorders>
              <w:top w:val="nil"/>
              <w:left w:val="nil"/>
              <w:bottom w:val="single" w:sz="4" w:space="0" w:color="auto"/>
              <w:right w:val="single" w:sz="4" w:space="0" w:color="auto"/>
            </w:tcBorders>
            <w:vAlign w:val="center"/>
          </w:tcPr>
          <w:p w14:paraId="4A5AA41C" w14:textId="77777777" w:rsidR="009A2159" w:rsidRPr="00A2129F" w:rsidRDefault="00A818D6" w:rsidP="00DC6092">
            <w:pPr>
              <w:ind w:right="902"/>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20%</w:t>
            </w:r>
          </w:p>
        </w:tc>
      </w:tr>
      <w:tr w:rsidR="009A2159" w:rsidRPr="00A2129F" w14:paraId="37A4171E" w14:textId="77777777" w:rsidTr="004561C4">
        <w:trPr>
          <w:trHeight w:val="337"/>
        </w:trPr>
        <w:tc>
          <w:tcPr>
            <w:tcW w:w="1800" w:type="dxa"/>
            <w:tcBorders>
              <w:top w:val="nil"/>
              <w:left w:val="single" w:sz="4" w:space="0" w:color="auto"/>
              <w:bottom w:val="single" w:sz="4" w:space="0" w:color="auto"/>
              <w:right w:val="single" w:sz="4" w:space="0" w:color="auto"/>
            </w:tcBorders>
            <w:shd w:val="clear" w:color="auto" w:fill="auto"/>
            <w:noWrap/>
            <w:vAlign w:val="center"/>
          </w:tcPr>
          <w:p w14:paraId="218D1605" w14:textId="77777777" w:rsidR="009A2159" w:rsidRPr="00A2129F" w:rsidRDefault="009A2159" w:rsidP="003457A3">
            <w:pPr>
              <w:keepNext/>
              <w:jc w:val="center"/>
              <w:rPr>
                <w:rFonts w:ascii="Calibri" w:eastAsia="Times New Roman" w:hAnsi="Calibri"/>
                <w:b/>
                <w:bCs/>
                <w:sz w:val="20"/>
                <w:szCs w:val="20"/>
                <w:lang w:val="es-ES_tradnl" w:eastAsia="en-GB"/>
              </w:rPr>
            </w:pPr>
            <w:r w:rsidRPr="00A2129F">
              <w:rPr>
                <w:rFonts w:ascii="Calibri" w:eastAsia="Times New Roman" w:hAnsi="Calibri"/>
                <w:b/>
                <w:bCs/>
                <w:sz w:val="20"/>
                <w:szCs w:val="20"/>
                <w:lang w:val="es-ES_tradnl" w:eastAsia="en-GB"/>
              </w:rPr>
              <w:t>3</w:t>
            </w:r>
          </w:p>
        </w:tc>
        <w:tc>
          <w:tcPr>
            <w:tcW w:w="1800" w:type="dxa"/>
            <w:tcBorders>
              <w:top w:val="nil"/>
              <w:left w:val="nil"/>
              <w:bottom w:val="single" w:sz="4" w:space="0" w:color="auto"/>
              <w:right w:val="single" w:sz="4" w:space="0" w:color="auto"/>
            </w:tcBorders>
            <w:shd w:val="clear" w:color="auto" w:fill="auto"/>
            <w:noWrap/>
            <w:vAlign w:val="center"/>
          </w:tcPr>
          <w:p w14:paraId="3C928DC4" w14:textId="77777777" w:rsidR="009A2159" w:rsidRPr="00A2129F" w:rsidRDefault="009A2159" w:rsidP="00DC6092">
            <w:pPr>
              <w:jc w:val="center"/>
              <w:rPr>
                <w:rFonts w:ascii="Calibri" w:eastAsia="Times New Roman" w:hAnsi="Calibri"/>
                <w:sz w:val="20"/>
                <w:szCs w:val="20"/>
                <w:lang w:val="es-ES_tradnl" w:eastAsia="en-GB"/>
              </w:rPr>
            </w:pPr>
            <w:r w:rsidRPr="00A2129F">
              <w:rPr>
                <w:rFonts w:ascii="Calibri" w:eastAsia="Times New Roman" w:hAnsi="Calibri"/>
                <w:sz w:val="20"/>
                <w:szCs w:val="20"/>
                <w:lang w:val="es-ES_tradnl" w:eastAsia="en-GB"/>
              </w:rPr>
              <w:t>2014</w:t>
            </w:r>
          </w:p>
        </w:tc>
        <w:tc>
          <w:tcPr>
            <w:tcW w:w="2700" w:type="dxa"/>
            <w:tcBorders>
              <w:top w:val="nil"/>
              <w:left w:val="nil"/>
              <w:bottom w:val="single" w:sz="4" w:space="0" w:color="auto"/>
              <w:right w:val="single" w:sz="4" w:space="0" w:color="auto"/>
            </w:tcBorders>
            <w:shd w:val="clear" w:color="auto" w:fill="auto"/>
            <w:noWrap/>
            <w:vAlign w:val="center"/>
          </w:tcPr>
          <w:p w14:paraId="5D556AC6" w14:textId="77777777" w:rsidR="009A2159" w:rsidRPr="00A2129F" w:rsidRDefault="00A818D6" w:rsidP="00DC6092">
            <w:pPr>
              <w:ind w:right="902"/>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6</w:t>
            </w:r>
            <w:r w:rsidR="009A2159" w:rsidRPr="00A2129F">
              <w:rPr>
                <w:rFonts w:ascii="Calibri" w:eastAsia="Times New Roman" w:hAnsi="Calibri"/>
                <w:color w:val="000000"/>
                <w:sz w:val="20"/>
                <w:szCs w:val="20"/>
                <w:lang w:val="es-ES_tradnl" w:eastAsia="en-GB"/>
              </w:rPr>
              <w:t>0%</w:t>
            </w:r>
          </w:p>
        </w:tc>
        <w:tc>
          <w:tcPr>
            <w:tcW w:w="2700" w:type="dxa"/>
            <w:tcBorders>
              <w:top w:val="nil"/>
              <w:left w:val="nil"/>
              <w:bottom w:val="single" w:sz="4" w:space="0" w:color="auto"/>
              <w:right w:val="single" w:sz="4" w:space="0" w:color="auto"/>
            </w:tcBorders>
            <w:vAlign w:val="center"/>
          </w:tcPr>
          <w:p w14:paraId="30EE0E37" w14:textId="77777777" w:rsidR="009A2159" w:rsidRPr="00A2129F" w:rsidRDefault="00A818D6" w:rsidP="00DC6092">
            <w:pPr>
              <w:ind w:right="902"/>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40%</w:t>
            </w:r>
          </w:p>
        </w:tc>
      </w:tr>
      <w:tr w:rsidR="009A2159" w:rsidRPr="00A2129F" w14:paraId="37B647A3" w14:textId="77777777" w:rsidTr="004561C4">
        <w:trPr>
          <w:trHeight w:val="337"/>
        </w:trPr>
        <w:tc>
          <w:tcPr>
            <w:tcW w:w="1800" w:type="dxa"/>
            <w:tcBorders>
              <w:top w:val="nil"/>
              <w:left w:val="single" w:sz="4" w:space="0" w:color="auto"/>
              <w:bottom w:val="single" w:sz="4" w:space="0" w:color="auto"/>
              <w:right w:val="single" w:sz="4" w:space="0" w:color="auto"/>
            </w:tcBorders>
            <w:shd w:val="clear" w:color="auto" w:fill="auto"/>
            <w:noWrap/>
            <w:vAlign w:val="center"/>
          </w:tcPr>
          <w:p w14:paraId="2D17AA26" w14:textId="77777777" w:rsidR="009A2159" w:rsidRPr="00A2129F" w:rsidRDefault="009A2159" w:rsidP="003457A3">
            <w:pPr>
              <w:keepNext/>
              <w:jc w:val="center"/>
              <w:rPr>
                <w:rFonts w:ascii="Calibri" w:eastAsia="Times New Roman" w:hAnsi="Calibri"/>
                <w:b/>
                <w:bCs/>
                <w:sz w:val="20"/>
                <w:szCs w:val="20"/>
                <w:lang w:val="es-ES_tradnl" w:eastAsia="en-GB"/>
              </w:rPr>
            </w:pPr>
            <w:r w:rsidRPr="00A2129F">
              <w:rPr>
                <w:rFonts w:ascii="Calibri" w:eastAsia="Times New Roman" w:hAnsi="Calibri"/>
                <w:b/>
                <w:bCs/>
                <w:sz w:val="20"/>
                <w:szCs w:val="20"/>
                <w:lang w:val="es-ES_tradnl" w:eastAsia="en-GB"/>
              </w:rPr>
              <w:t>4</w:t>
            </w:r>
          </w:p>
        </w:tc>
        <w:tc>
          <w:tcPr>
            <w:tcW w:w="1800" w:type="dxa"/>
            <w:tcBorders>
              <w:top w:val="nil"/>
              <w:left w:val="nil"/>
              <w:bottom w:val="single" w:sz="4" w:space="0" w:color="auto"/>
              <w:right w:val="single" w:sz="4" w:space="0" w:color="auto"/>
            </w:tcBorders>
            <w:shd w:val="clear" w:color="auto" w:fill="auto"/>
            <w:noWrap/>
            <w:vAlign w:val="center"/>
          </w:tcPr>
          <w:p w14:paraId="7FE73BE2" w14:textId="77777777" w:rsidR="009A2159" w:rsidRPr="00A2129F" w:rsidRDefault="009A2159" w:rsidP="00DC6092">
            <w:pPr>
              <w:jc w:val="center"/>
              <w:rPr>
                <w:rFonts w:ascii="Calibri" w:eastAsia="Times New Roman" w:hAnsi="Calibri"/>
                <w:sz w:val="20"/>
                <w:szCs w:val="20"/>
                <w:lang w:val="es-ES_tradnl" w:eastAsia="en-GB"/>
              </w:rPr>
            </w:pPr>
            <w:r w:rsidRPr="00A2129F">
              <w:rPr>
                <w:rFonts w:ascii="Calibri" w:eastAsia="Times New Roman" w:hAnsi="Calibri"/>
                <w:sz w:val="20"/>
                <w:szCs w:val="20"/>
                <w:lang w:val="es-ES_tradnl" w:eastAsia="en-GB"/>
              </w:rPr>
              <w:t>2013</w:t>
            </w:r>
          </w:p>
        </w:tc>
        <w:tc>
          <w:tcPr>
            <w:tcW w:w="2700" w:type="dxa"/>
            <w:tcBorders>
              <w:top w:val="nil"/>
              <w:left w:val="nil"/>
              <w:bottom w:val="single" w:sz="4" w:space="0" w:color="auto"/>
              <w:right w:val="single" w:sz="4" w:space="0" w:color="auto"/>
            </w:tcBorders>
            <w:shd w:val="clear" w:color="auto" w:fill="auto"/>
            <w:noWrap/>
            <w:vAlign w:val="center"/>
          </w:tcPr>
          <w:p w14:paraId="64F14343" w14:textId="77777777" w:rsidR="009A2159" w:rsidRPr="00A2129F" w:rsidRDefault="00A818D6" w:rsidP="00DC6092">
            <w:pPr>
              <w:ind w:right="902"/>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80%</w:t>
            </w:r>
          </w:p>
        </w:tc>
        <w:tc>
          <w:tcPr>
            <w:tcW w:w="2700" w:type="dxa"/>
            <w:tcBorders>
              <w:top w:val="nil"/>
              <w:left w:val="nil"/>
              <w:bottom w:val="single" w:sz="4" w:space="0" w:color="auto"/>
              <w:right w:val="single" w:sz="4" w:space="0" w:color="auto"/>
            </w:tcBorders>
            <w:vAlign w:val="center"/>
          </w:tcPr>
          <w:p w14:paraId="16AE4C6A" w14:textId="77777777" w:rsidR="009A2159" w:rsidRPr="00A2129F" w:rsidRDefault="00A818D6" w:rsidP="00DC6092">
            <w:pPr>
              <w:ind w:right="902"/>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60%</w:t>
            </w:r>
          </w:p>
        </w:tc>
      </w:tr>
      <w:tr w:rsidR="009A2159" w:rsidRPr="00A2129F" w14:paraId="6E76D343" w14:textId="77777777" w:rsidTr="004561C4">
        <w:trPr>
          <w:trHeight w:val="337"/>
        </w:trPr>
        <w:tc>
          <w:tcPr>
            <w:tcW w:w="1800" w:type="dxa"/>
            <w:tcBorders>
              <w:top w:val="nil"/>
              <w:left w:val="single" w:sz="4" w:space="0" w:color="auto"/>
              <w:bottom w:val="single" w:sz="4" w:space="0" w:color="auto"/>
              <w:right w:val="single" w:sz="4" w:space="0" w:color="auto"/>
            </w:tcBorders>
            <w:shd w:val="clear" w:color="auto" w:fill="auto"/>
            <w:noWrap/>
            <w:vAlign w:val="center"/>
          </w:tcPr>
          <w:p w14:paraId="66E71CD7" w14:textId="77777777" w:rsidR="009A2159" w:rsidRPr="00A2129F" w:rsidRDefault="009A2159" w:rsidP="003457A3">
            <w:pPr>
              <w:keepNext/>
              <w:jc w:val="center"/>
              <w:rPr>
                <w:rFonts w:ascii="Calibri" w:eastAsia="Times New Roman" w:hAnsi="Calibri"/>
                <w:b/>
                <w:bCs/>
                <w:sz w:val="20"/>
                <w:szCs w:val="20"/>
                <w:lang w:val="es-ES_tradnl" w:eastAsia="en-GB"/>
              </w:rPr>
            </w:pPr>
            <w:r w:rsidRPr="00A2129F">
              <w:rPr>
                <w:rFonts w:ascii="Calibri" w:eastAsia="Times New Roman" w:hAnsi="Calibri"/>
                <w:b/>
                <w:bCs/>
                <w:sz w:val="20"/>
                <w:szCs w:val="20"/>
                <w:lang w:val="es-ES_tradnl" w:eastAsia="en-GB"/>
              </w:rPr>
              <w:t>5</w:t>
            </w:r>
          </w:p>
        </w:tc>
        <w:tc>
          <w:tcPr>
            <w:tcW w:w="1800" w:type="dxa"/>
            <w:tcBorders>
              <w:top w:val="nil"/>
              <w:left w:val="nil"/>
              <w:bottom w:val="single" w:sz="4" w:space="0" w:color="auto"/>
              <w:right w:val="single" w:sz="4" w:space="0" w:color="auto"/>
            </w:tcBorders>
            <w:shd w:val="clear" w:color="auto" w:fill="auto"/>
            <w:noWrap/>
            <w:vAlign w:val="center"/>
          </w:tcPr>
          <w:p w14:paraId="4B4A6222" w14:textId="77777777" w:rsidR="009A2159" w:rsidRPr="00A2129F" w:rsidRDefault="009A2159" w:rsidP="00DC6092">
            <w:pPr>
              <w:jc w:val="center"/>
              <w:rPr>
                <w:rFonts w:ascii="Calibri" w:eastAsia="Times New Roman" w:hAnsi="Calibri"/>
                <w:sz w:val="20"/>
                <w:szCs w:val="20"/>
                <w:lang w:val="es-ES_tradnl" w:eastAsia="en-GB"/>
              </w:rPr>
            </w:pPr>
            <w:r w:rsidRPr="00A2129F">
              <w:rPr>
                <w:rFonts w:ascii="Calibri" w:eastAsia="Times New Roman" w:hAnsi="Calibri"/>
                <w:sz w:val="20"/>
                <w:szCs w:val="20"/>
                <w:lang w:val="es-ES_tradnl" w:eastAsia="en-GB"/>
              </w:rPr>
              <w:t>2012</w:t>
            </w:r>
          </w:p>
        </w:tc>
        <w:tc>
          <w:tcPr>
            <w:tcW w:w="2700" w:type="dxa"/>
            <w:tcBorders>
              <w:top w:val="nil"/>
              <w:left w:val="nil"/>
              <w:bottom w:val="single" w:sz="4" w:space="0" w:color="auto"/>
              <w:right w:val="single" w:sz="4" w:space="0" w:color="auto"/>
            </w:tcBorders>
            <w:shd w:val="clear" w:color="auto" w:fill="auto"/>
            <w:noWrap/>
            <w:vAlign w:val="center"/>
          </w:tcPr>
          <w:p w14:paraId="7FA3A01E" w14:textId="77777777" w:rsidR="009A2159" w:rsidRPr="00A2129F" w:rsidRDefault="00A818D6" w:rsidP="00DC6092">
            <w:pPr>
              <w:ind w:right="902"/>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100%</w:t>
            </w:r>
          </w:p>
        </w:tc>
        <w:tc>
          <w:tcPr>
            <w:tcW w:w="2700" w:type="dxa"/>
            <w:tcBorders>
              <w:top w:val="nil"/>
              <w:left w:val="nil"/>
              <w:bottom w:val="single" w:sz="4" w:space="0" w:color="auto"/>
              <w:right w:val="single" w:sz="4" w:space="0" w:color="auto"/>
            </w:tcBorders>
            <w:vAlign w:val="center"/>
          </w:tcPr>
          <w:p w14:paraId="4342A312" w14:textId="77777777" w:rsidR="009A2159" w:rsidRPr="00A2129F" w:rsidRDefault="00A818D6" w:rsidP="00DC6092">
            <w:pPr>
              <w:ind w:right="902"/>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80%</w:t>
            </w:r>
          </w:p>
        </w:tc>
      </w:tr>
      <w:tr w:rsidR="009A2159" w:rsidRPr="00A2129F" w14:paraId="41001A60" w14:textId="77777777" w:rsidTr="004561C4">
        <w:trPr>
          <w:trHeight w:val="337"/>
        </w:trPr>
        <w:tc>
          <w:tcPr>
            <w:tcW w:w="1800" w:type="dxa"/>
            <w:tcBorders>
              <w:top w:val="nil"/>
              <w:left w:val="single" w:sz="4" w:space="0" w:color="auto"/>
              <w:bottom w:val="single" w:sz="4" w:space="0" w:color="auto"/>
              <w:right w:val="single" w:sz="4" w:space="0" w:color="auto"/>
            </w:tcBorders>
            <w:shd w:val="clear" w:color="auto" w:fill="auto"/>
            <w:noWrap/>
            <w:vAlign w:val="center"/>
          </w:tcPr>
          <w:p w14:paraId="5F93967E" w14:textId="45F39339" w:rsidR="009A2159" w:rsidRPr="00A2129F" w:rsidRDefault="009A2159" w:rsidP="003A589C">
            <w:pPr>
              <w:jc w:val="center"/>
              <w:rPr>
                <w:rFonts w:ascii="Calibri" w:eastAsia="Times New Roman" w:hAnsi="Calibri"/>
                <w:b/>
                <w:bCs/>
                <w:sz w:val="20"/>
                <w:szCs w:val="20"/>
                <w:lang w:val="es-ES_tradnl" w:eastAsia="en-GB"/>
              </w:rPr>
            </w:pPr>
            <w:r w:rsidRPr="00A2129F">
              <w:rPr>
                <w:rFonts w:ascii="Calibri" w:eastAsia="Times New Roman" w:hAnsi="Calibri"/>
                <w:b/>
                <w:bCs/>
                <w:sz w:val="20"/>
                <w:szCs w:val="20"/>
                <w:lang w:val="es-ES_tradnl" w:eastAsia="en-GB"/>
              </w:rPr>
              <w:t xml:space="preserve">6 </w:t>
            </w:r>
            <w:r w:rsidR="003A589C">
              <w:rPr>
                <w:rFonts w:ascii="Calibri" w:eastAsia="Times New Roman" w:hAnsi="Calibri"/>
                <w:b/>
                <w:bCs/>
                <w:sz w:val="20"/>
                <w:szCs w:val="20"/>
                <w:lang w:val="es-ES_tradnl" w:eastAsia="en-GB"/>
              </w:rPr>
              <w:t>o más</w:t>
            </w:r>
          </w:p>
        </w:tc>
        <w:tc>
          <w:tcPr>
            <w:tcW w:w="1800" w:type="dxa"/>
            <w:tcBorders>
              <w:top w:val="nil"/>
              <w:left w:val="nil"/>
              <w:bottom w:val="single" w:sz="4" w:space="0" w:color="auto"/>
              <w:right w:val="single" w:sz="4" w:space="0" w:color="auto"/>
            </w:tcBorders>
            <w:shd w:val="clear" w:color="auto" w:fill="auto"/>
            <w:noWrap/>
            <w:vAlign w:val="center"/>
          </w:tcPr>
          <w:p w14:paraId="3C014201" w14:textId="0A5998FC" w:rsidR="009A2159" w:rsidRPr="00A2129F" w:rsidRDefault="003A589C" w:rsidP="00DC6092">
            <w:pPr>
              <w:jc w:val="center"/>
              <w:rPr>
                <w:rFonts w:ascii="Calibri" w:eastAsia="Times New Roman" w:hAnsi="Calibri"/>
                <w:sz w:val="20"/>
                <w:szCs w:val="20"/>
                <w:lang w:val="es-ES_tradnl" w:eastAsia="en-GB"/>
              </w:rPr>
            </w:pPr>
            <w:r>
              <w:rPr>
                <w:rFonts w:ascii="Calibri" w:eastAsia="Times New Roman" w:hAnsi="Calibri"/>
                <w:sz w:val="20"/>
                <w:szCs w:val="20"/>
                <w:lang w:val="es-ES_tradnl" w:eastAsia="en-GB"/>
              </w:rPr>
              <w:t>hasta el 2011 inclusive</w:t>
            </w:r>
          </w:p>
        </w:tc>
        <w:tc>
          <w:tcPr>
            <w:tcW w:w="2700" w:type="dxa"/>
            <w:tcBorders>
              <w:top w:val="nil"/>
              <w:left w:val="nil"/>
              <w:bottom w:val="single" w:sz="4" w:space="0" w:color="auto"/>
              <w:right w:val="single" w:sz="4" w:space="0" w:color="auto"/>
            </w:tcBorders>
            <w:shd w:val="clear" w:color="auto" w:fill="auto"/>
            <w:noWrap/>
            <w:vAlign w:val="center"/>
          </w:tcPr>
          <w:p w14:paraId="174DFF3A" w14:textId="77777777" w:rsidR="009A2159" w:rsidRPr="00A2129F" w:rsidRDefault="009A2159" w:rsidP="00DC6092">
            <w:pPr>
              <w:ind w:right="902"/>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100%</w:t>
            </w:r>
          </w:p>
        </w:tc>
        <w:tc>
          <w:tcPr>
            <w:tcW w:w="2700" w:type="dxa"/>
            <w:tcBorders>
              <w:top w:val="nil"/>
              <w:left w:val="nil"/>
              <w:bottom w:val="single" w:sz="4" w:space="0" w:color="auto"/>
              <w:right w:val="single" w:sz="4" w:space="0" w:color="auto"/>
            </w:tcBorders>
            <w:vAlign w:val="center"/>
          </w:tcPr>
          <w:p w14:paraId="264505E6" w14:textId="77777777" w:rsidR="009A2159" w:rsidRPr="00A2129F" w:rsidRDefault="00A818D6" w:rsidP="00DC6092">
            <w:pPr>
              <w:ind w:right="902"/>
              <w:jc w:val="right"/>
              <w:rPr>
                <w:rFonts w:ascii="Calibri" w:eastAsia="Times New Roman" w:hAnsi="Calibri"/>
                <w:color w:val="000000"/>
                <w:sz w:val="20"/>
                <w:szCs w:val="20"/>
                <w:lang w:val="es-ES_tradnl" w:eastAsia="en-GB"/>
              </w:rPr>
            </w:pPr>
            <w:r w:rsidRPr="00A2129F">
              <w:rPr>
                <w:rFonts w:ascii="Calibri" w:eastAsia="Times New Roman" w:hAnsi="Calibri"/>
                <w:color w:val="000000"/>
                <w:sz w:val="20"/>
                <w:szCs w:val="20"/>
                <w:lang w:val="es-ES_tradnl" w:eastAsia="en-GB"/>
              </w:rPr>
              <w:t>100%</w:t>
            </w:r>
          </w:p>
        </w:tc>
      </w:tr>
    </w:tbl>
    <w:p w14:paraId="3C00BC34" w14:textId="77777777" w:rsidR="000B6221" w:rsidRPr="00A2129F" w:rsidRDefault="000B6221" w:rsidP="000B6221">
      <w:pPr>
        <w:autoSpaceDE w:val="0"/>
        <w:autoSpaceDN w:val="0"/>
        <w:adjustRightInd w:val="0"/>
        <w:rPr>
          <w:rFonts w:ascii="Calibri" w:hAnsi="Calibri" w:cs="Calibri"/>
          <w:b/>
          <w:color w:val="000000"/>
          <w:sz w:val="22"/>
          <w:szCs w:val="22"/>
          <w:lang w:val="es-ES_tradnl"/>
        </w:rPr>
      </w:pPr>
    </w:p>
    <w:p w14:paraId="0340DCE1" w14:textId="77777777" w:rsidR="00CA4F6D" w:rsidRPr="00A2129F" w:rsidRDefault="00CA4F6D" w:rsidP="00F8523A">
      <w:pPr>
        <w:rPr>
          <w:rFonts w:ascii="Calibri" w:hAnsi="Calibri" w:cs="Calibri"/>
          <w:b/>
          <w:color w:val="000000"/>
          <w:sz w:val="22"/>
          <w:szCs w:val="22"/>
          <w:lang w:val="es-ES_tradnl"/>
        </w:rPr>
      </w:pPr>
    </w:p>
    <w:p w14:paraId="6A6649E0" w14:textId="3C1FCB2A" w:rsidR="00CA4F6D" w:rsidRPr="00A2129F" w:rsidRDefault="00E675B5" w:rsidP="00924F5F">
      <w:pPr>
        <w:keepNext/>
        <w:rPr>
          <w:rFonts w:ascii="Calibri" w:hAnsi="Calibri" w:cs="Calibri"/>
          <w:b/>
          <w:sz w:val="22"/>
          <w:szCs w:val="22"/>
          <w:lang w:val="es-ES_tradnl"/>
        </w:rPr>
      </w:pPr>
      <w:r>
        <w:rPr>
          <w:rFonts w:ascii="Calibri" w:hAnsi="Calibri" w:cs="Calibri"/>
          <w:b/>
          <w:color w:val="000000"/>
          <w:sz w:val="22"/>
          <w:szCs w:val="22"/>
          <w:lang w:val="es-ES_tradnl"/>
        </w:rPr>
        <w:t>Presupuesto de austeridad</w:t>
      </w:r>
    </w:p>
    <w:p w14:paraId="712D01AC" w14:textId="77777777" w:rsidR="00CA4F6D" w:rsidRPr="00A2129F" w:rsidRDefault="00CA4F6D" w:rsidP="00924F5F">
      <w:pPr>
        <w:pStyle w:val="ListParagraph"/>
        <w:keepNext/>
        <w:rPr>
          <w:rFonts w:ascii="Calibri" w:hAnsi="Calibri" w:cs="Calibri"/>
          <w:b/>
          <w:color w:val="000000"/>
          <w:sz w:val="26"/>
          <w:szCs w:val="26"/>
          <w:lang w:val="es-ES_tradnl"/>
        </w:rPr>
      </w:pPr>
    </w:p>
    <w:p w14:paraId="66A61885" w14:textId="46E99DB7" w:rsidR="00DC11C0" w:rsidRPr="00AF42DF" w:rsidRDefault="00C16C3E" w:rsidP="00AF42DF">
      <w:pPr>
        <w:numPr>
          <w:ilvl w:val="0"/>
          <w:numId w:val="1"/>
        </w:numPr>
        <w:autoSpaceDE w:val="0"/>
        <w:autoSpaceDN w:val="0"/>
        <w:adjustRightInd w:val="0"/>
        <w:ind w:left="426" w:hanging="426"/>
        <w:rPr>
          <w:rFonts w:ascii="Calibri" w:hAnsi="Calibri" w:cs="Calibri"/>
          <w:sz w:val="22"/>
          <w:szCs w:val="22"/>
          <w:lang w:val="es-ES_tradnl"/>
        </w:rPr>
      </w:pPr>
      <w:r w:rsidRPr="00AF42DF">
        <w:rPr>
          <w:rFonts w:ascii="Calibri" w:hAnsi="Calibri" w:cs="Calibri"/>
          <w:sz w:val="22"/>
          <w:szCs w:val="22"/>
          <w:lang w:val="es-ES_tradnl"/>
        </w:rPr>
        <w:t>Mediante la Decisió</w:t>
      </w:r>
      <w:r w:rsidR="00CA4F6D" w:rsidRPr="00AF42DF">
        <w:rPr>
          <w:rFonts w:ascii="Calibri" w:hAnsi="Calibri" w:cs="Calibri"/>
          <w:sz w:val="22"/>
          <w:szCs w:val="22"/>
          <w:lang w:val="es-ES_tradnl"/>
        </w:rPr>
        <w:t>n SC52-28</w:t>
      </w:r>
      <w:r w:rsidR="00DC11C0" w:rsidRPr="00AF42DF">
        <w:rPr>
          <w:rFonts w:ascii="Calibri" w:hAnsi="Calibri" w:cs="Calibri"/>
          <w:sz w:val="22"/>
          <w:szCs w:val="22"/>
          <w:lang w:val="es-ES_tradnl"/>
        </w:rPr>
        <w:t>,</w:t>
      </w:r>
      <w:r w:rsidR="00CA4F6D" w:rsidRPr="00AF42DF">
        <w:rPr>
          <w:rFonts w:ascii="Calibri" w:hAnsi="Calibri" w:cs="Calibri"/>
          <w:sz w:val="22"/>
          <w:szCs w:val="22"/>
          <w:lang w:val="es-ES_tradnl"/>
        </w:rPr>
        <w:t xml:space="preserve"> </w:t>
      </w:r>
      <w:r w:rsidR="00DC11C0" w:rsidRPr="00AF42DF">
        <w:rPr>
          <w:rFonts w:ascii="Calibri" w:hAnsi="Calibri" w:cs="Calibri"/>
          <w:sz w:val="22"/>
          <w:szCs w:val="22"/>
          <w:lang w:val="es-ES_tradnl"/>
        </w:rPr>
        <w:t>“</w:t>
      </w:r>
      <w:r w:rsidR="00AF42DF" w:rsidRPr="00AF42DF">
        <w:rPr>
          <w:rFonts w:ascii="Calibri" w:hAnsi="Calibri" w:cs="Calibri"/>
          <w:sz w:val="22"/>
          <w:szCs w:val="22"/>
          <w:lang w:val="es-ES_tradnl"/>
        </w:rPr>
        <w:t>El Comité Permanente encargó a la Secretaria General que propusiera un presupuesto de austeridad para 2018 a fin de responder al importe creciente de las contribuciones pendientes de pago, para su examen en la 53ª reunión del Comité Permanente</w:t>
      </w:r>
      <w:r w:rsidR="006B0A3E">
        <w:rPr>
          <w:rFonts w:ascii="Calibri" w:hAnsi="Calibri" w:cs="Calibri"/>
          <w:sz w:val="22"/>
          <w:szCs w:val="22"/>
          <w:lang w:val="es-ES_tradnl"/>
        </w:rPr>
        <w:t>”</w:t>
      </w:r>
      <w:r w:rsidR="00AF42DF" w:rsidRPr="00AF42DF">
        <w:rPr>
          <w:rFonts w:ascii="Calibri" w:hAnsi="Calibri" w:cs="Calibri"/>
          <w:sz w:val="22"/>
          <w:szCs w:val="22"/>
          <w:lang w:val="es-ES_tradnl"/>
        </w:rPr>
        <w:t xml:space="preserve">. </w:t>
      </w:r>
    </w:p>
    <w:p w14:paraId="0D079C08" w14:textId="77777777" w:rsidR="00CD2E33" w:rsidRPr="00A2129F" w:rsidRDefault="00CD2E33" w:rsidP="00DC11C0">
      <w:pPr>
        <w:autoSpaceDE w:val="0"/>
        <w:autoSpaceDN w:val="0"/>
        <w:adjustRightInd w:val="0"/>
        <w:ind w:left="426"/>
        <w:rPr>
          <w:rFonts w:ascii="Calibri" w:hAnsi="Calibri" w:cs="Calibri"/>
          <w:sz w:val="22"/>
          <w:szCs w:val="22"/>
          <w:lang w:val="es-ES_tradnl"/>
        </w:rPr>
      </w:pPr>
    </w:p>
    <w:p w14:paraId="77F9A017" w14:textId="574BBC7E" w:rsidR="00235D06" w:rsidRPr="00A2129F" w:rsidRDefault="00AF42DF" w:rsidP="0062771A">
      <w:pPr>
        <w:numPr>
          <w:ilvl w:val="0"/>
          <w:numId w:val="1"/>
        </w:numPr>
        <w:autoSpaceDE w:val="0"/>
        <w:autoSpaceDN w:val="0"/>
        <w:adjustRightInd w:val="0"/>
        <w:ind w:left="426" w:hanging="426"/>
        <w:rPr>
          <w:rFonts w:ascii="Calibri" w:hAnsi="Calibri" w:cs="Calibri"/>
          <w:b/>
          <w:color w:val="000000"/>
          <w:sz w:val="26"/>
          <w:szCs w:val="26"/>
          <w:lang w:val="es-ES_tradnl"/>
        </w:rPr>
      </w:pPr>
      <w:r>
        <w:rPr>
          <w:rFonts w:ascii="Calibri" w:hAnsi="Calibri" w:cs="Calibri"/>
          <w:sz w:val="22"/>
          <w:szCs w:val="22"/>
          <w:lang w:val="es-ES_tradnl"/>
        </w:rPr>
        <w:t xml:space="preserve">La Secretaria General ha informado al </w:t>
      </w:r>
      <w:r w:rsidR="00D07449">
        <w:rPr>
          <w:rFonts w:ascii="Calibri" w:hAnsi="Calibri" w:cs="Calibri"/>
          <w:sz w:val="22"/>
          <w:szCs w:val="22"/>
          <w:lang w:val="es-ES_tradnl"/>
        </w:rPr>
        <w:t xml:space="preserve">Equipo Ejecutivo </w:t>
      </w:r>
      <w:r w:rsidR="006B0A3E">
        <w:rPr>
          <w:rFonts w:ascii="Calibri" w:hAnsi="Calibri" w:cs="Calibri"/>
          <w:sz w:val="22"/>
          <w:szCs w:val="22"/>
          <w:lang w:val="es-ES_tradnl"/>
        </w:rPr>
        <w:t xml:space="preserve">de </w:t>
      </w:r>
      <w:r w:rsidR="00D07449">
        <w:rPr>
          <w:rFonts w:ascii="Calibri" w:hAnsi="Calibri" w:cs="Calibri"/>
          <w:sz w:val="22"/>
          <w:szCs w:val="22"/>
          <w:lang w:val="es-ES_tradnl"/>
        </w:rPr>
        <w:t>que se ha logrado contrarrestar</w:t>
      </w:r>
      <w:r w:rsidR="008E774F">
        <w:rPr>
          <w:rFonts w:ascii="Calibri" w:hAnsi="Calibri" w:cs="Calibri"/>
          <w:sz w:val="22"/>
          <w:szCs w:val="22"/>
          <w:lang w:val="es-ES_tradnl"/>
        </w:rPr>
        <w:t xml:space="preserve"> </w:t>
      </w:r>
      <w:r w:rsidR="00D07449">
        <w:rPr>
          <w:rFonts w:ascii="Calibri" w:hAnsi="Calibri" w:cs="Calibri"/>
          <w:sz w:val="22"/>
          <w:szCs w:val="22"/>
          <w:lang w:val="es-ES_tradnl"/>
        </w:rPr>
        <w:t xml:space="preserve">considerablemente la tendencia reciente </w:t>
      </w:r>
      <w:r w:rsidR="00C4111D">
        <w:rPr>
          <w:rFonts w:ascii="Calibri" w:hAnsi="Calibri" w:cs="Calibri"/>
          <w:sz w:val="22"/>
          <w:szCs w:val="22"/>
          <w:lang w:val="es-ES_tradnl"/>
        </w:rPr>
        <w:t>al alza</w:t>
      </w:r>
      <w:r w:rsidR="00420F45">
        <w:rPr>
          <w:rFonts w:ascii="Calibri" w:hAnsi="Calibri" w:cs="Calibri"/>
          <w:sz w:val="22"/>
          <w:szCs w:val="22"/>
          <w:lang w:val="es-ES_tradnl"/>
        </w:rPr>
        <w:t xml:space="preserve"> de las contribuciones pendientes de pago. </w:t>
      </w:r>
      <w:r w:rsidR="00723595">
        <w:rPr>
          <w:rFonts w:ascii="Calibri" w:hAnsi="Calibri" w:cs="Calibri"/>
          <w:sz w:val="22"/>
          <w:szCs w:val="22"/>
          <w:lang w:val="es-ES_tradnl"/>
        </w:rPr>
        <w:t xml:space="preserve">Este avance, junto con las acciones previstas para el 2017 antes descritas, seguirá mejorando la estabilidad del fondo básico de la </w:t>
      </w:r>
      <w:r w:rsidR="00AD5DD1" w:rsidRPr="00A2129F">
        <w:rPr>
          <w:rFonts w:ascii="Calibri" w:hAnsi="Calibri" w:cs="Calibri"/>
          <w:sz w:val="22"/>
          <w:szCs w:val="22"/>
          <w:lang w:val="es-ES_tradnl"/>
        </w:rPr>
        <w:t>Secretaría</w:t>
      </w:r>
      <w:r w:rsidR="00CD2E33" w:rsidRPr="00A2129F">
        <w:rPr>
          <w:rFonts w:ascii="Calibri" w:hAnsi="Calibri" w:cs="Calibri"/>
          <w:sz w:val="22"/>
          <w:szCs w:val="22"/>
          <w:lang w:val="es-ES_tradnl"/>
        </w:rPr>
        <w:t xml:space="preserve">. </w:t>
      </w:r>
      <w:r w:rsidR="00723595">
        <w:rPr>
          <w:rFonts w:ascii="Calibri" w:hAnsi="Calibri" w:cs="Calibri"/>
          <w:sz w:val="22"/>
          <w:szCs w:val="22"/>
          <w:lang w:val="es-ES_tradnl"/>
        </w:rPr>
        <w:t xml:space="preserve">Por consiguiente, la Secretaria General </w:t>
      </w:r>
      <w:r w:rsidR="00420F45">
        <w:rPr>
          <w:rFonts w:ascii="Calibri" w:hAnsi="Calibri" w:cs="Calibri"/>
          <w:sz w:val="22"/>
          <w:szCs w:val="22"/>
          <w:lang w:val="es-ES_tradnl"/>
        </w:rPr>
        <w:t>informó</w:t>
      </w:r>
      <w:r w:rsidR="00723595">
        <w:rPr>
          <w:rFonts w:ascii="Calibri" w:hAnsi="Calibri" w:cs="Calibri"/>
          <w:sz w:val="22"/>
          <w:szCs w:val="22"/>
          <w:lang w:val="es-ES_tradnl"/>
        </w:rPr>
        <w:t xml:space="preserve"> al Equipo Ejecutivo </w:t>
      </w:r>
      <w:r w:rsidR="006B0A3E">
        <w:rPr>
          <w:rFonts w:ascii="Calibri" w:hAnsi="Calibri" w:cs="Calibri"/>
          <w:sz w:val="22"/>
          <w:szCs w:val="22"/>
          <w:lang w:val="es-ES_tradnl"/>
        </w:rPr>
        <w:t xml:space="preserve">de </w:t>
      </w:r>
      <w:r w:rsidR="00723595">
        <w:rPr>
          <w:rFonts w:ascii="Calibri" w:hAnsi="Calibri" w:cs="Calibri"/>
          <w:sz w:val="22"/>
          <w:szCs w:val="22"/>
          <w:lang w:val="es-ES_tradnl"/>
        </w:rPr>
        <w:t>que el fondo ya no está en una situación de inestabilidad financiera que requ</w:t>
      </w:r>
      <w:r w:rsidR="00187A55">
        <w:rPr>
          <w:rFonts w:ascii="Calibri" w:hAnsi="Calibri" w:cs="Calibri"/>
          <w:sz w:val="22"/>
          <w:szCs w:val="22"/>
          <w:lang w:val="es-ES_tradnl"/>
        </w:rPr>
        <w:t>iera</w:t>
      </w:r>
      <w:r w:rsidR="00723595">
        <w:rPr>
          <w:rFonts w:ascii="Calibri" w:hAnsi="Calibri" w:cs="Calibri"/>
          <w:sz w:val="22"/>
          <w:szCs w:val="22"/>
          <w:lang w:val="es-ES_tradnl"/>
        </w:rPr>
        <w:t xml:space="preserve"> la adopción de </w:t>
      </w:r>
      <w:r w:rsidR="00187A55">
        <w:rPr>
          <w:rFonts w:ascii="Calibri" w:hAnsi="Calibri" w:cs="Calibri"/>
          <w:sz w:val="22"/>
          <w:szCs w:val="22"/>
          <w:lang w:val="es-ES_tradnl"/>
        </w:rPr>
        <w:t>un presupuesto de austeridad en el</w:t>
      </w:r>
      <w:r w:rsidR="00B36116">
        <w:rPr>
          <w:rFonts w:ascii="Calibri" w:hAnsi="Calibri" w:cs="Calibri"/>
          <w:sz w:val="22"/>
          <w:szCs w:val="22"/>
          <w:lang w:val="es-ES_tradnl"/>
        </w:rPr>
        <w:t xml:space="preserve"> futuro previsible</w:t>
      </w:r>
      <w:r w:rsidR="00187A55">
        <w:rPr>
          <w:rFonts w:ascii="Calibri" w:hAnsi="Calibri" w:cs="Calibri"/>
          <w:sz w:val="22"/>
          <w:szCs w:val="22"/>
          <w:lang w:val="es-ES_tradnl"/>
        </w:rPr>
        <w:t xml:space="preserve">. Con fecha </w:t>
      </w:r>
      <w:r w:rsidR="006B0A3E">
        <w:rPr>
          <w:rFonts w:ascii="Calibri" w:hAnsi="Calibri" w:cs="Calibri"/>
          <w:sz w:val="22"/>
          <w:szCs w:val="22"/>
          <w:lang w:val="es-ES_tradnl"/>
        </w:rPr>
        <w:t xml:space="preserve">de </w:t>
      </w:r>
      <w:r w:rsidR="00187A55">
        <w:rPr>
          <w:rFonts w:ascii="Calibri" w:hAnsi="Calibri" w:cs="Calibri"/>
          <w:sz w:val="22"/>
          <w:szCs w:val="22"/>
          <w:lang w:val="es-ES_tradnl"/>
        </w:rPr>
        <w:t xml:space="preserve">23 de febrero de 2017, el Equipo Ejecutivo acordó mantener el presupuesto para 2018 que fue aprobado en la 12ª reunión de la COP. </w:t>
      </w:r>
    </w:p>
    <w:p w14:paraId="3E7F939B" w14:textId="77777777" w:rsidR="008F622C" w:rsidRPr="00A2129F" w:rsidRDefault="008F622C" w:rsidP="00F8523A">
      <w:pPr>
        <w:rPr>
          <w:rFonts w:ascii="Calibri" w:hAnsi="Calibri" w:cs="Calibri"/>
          <w:b/>
          <w:color w:val="000000"/>
          <w:sz w:val="22"/>
          <w:szCs w:val="22"/>
          <w:lang w:val="es-ES_tradnl"/>
        </w:rPr>
      </w:pPr>
    </w:p>
    <w:p w14:paraId="3F4E87E3" w14:textId="77777777" w:rsidR="00823F13" w:rsidRPr="00A2129F" w:rsidRDefault="00823F13" w:rsidP="00F8523A">
      <w:pPr>
        <w:rPr>
          <w:rFonts w:ascii="Calibri" w:hAnsi="Calibri" w:cs="Calibri"/>
          <w:b/>
          <w:color w:val="000000"/>
          <w:sz w:val="22"/>
          <w:szCs w:val="22"/>
          <w:lang w:val="es-ES_tradnl"/>
        </w:rPr>
      </w:pPr>
    </w:p>
    <w:p w14:paraId="42BFDC7E" w14:textId="6CC1B70A" w:rsidR="008F622C" w:rsidRPr="00A2129F" w:rsidRDefault="00720AE9" w:rsidP="00924F5F">
      <w:pPr>
        <w:keepNext/>
        <w:rPr>
          <w:rFonts w:ascii="Calibri" w:hAnsi="Calibri" w:cs="Calibri"/>
          <w:sz w:val="22"/>
          <w:szCs w:val="22"/>
          <w:lang w:val="es-ES_tradnl"/>
        </w:rPr>
      </w:pPr>
      <w:r>
        <w:rPr>
          <w:rFonts w:ascii="Calibri" w:hAnsi="Calibri" w:cs="Calibri"/>
          <w:b/>
          <w:color w:val="000000"/>
          <w:sz w:val="22"/>
          <w:szCs w:val="22"/>
          <w:lang w:val="es-ES_tradnl"/>
        </w:rPr>
        <w:t>Contribuciones voluntaria</w:t>
      </w:r>
      <w:r w:rsidR="000D5509">
        <w:rPr>
          <w:rFonts w:ascii="Calibri" w:hAnsi="Calibri" w:cs="Calibri"/>
          <w:b/>
          <w:color w:val="000000"/>
          <w:sz w:val="22"/>
          <w:szCs w:val="22"/>
          <w:lang w:val="es-ES_tradnl"/>
        </w:rPr>
        <w:t>s de la región de África</w:t>
      </w:r>
    </w:p>
    <w:p w14:paraId="557A9D1F" w14:textId="77777777" w:rsidR="008F622C" w:rsidRPr="00A2129F" w:rsidRDefault="008F622C" w:rsidP="00924F5F">
      <w:pPr>
        <w:keepNext/>
        <w:rPr>
          <w:rFonts w:ascii="Calibri" w:hAnsi="Calibri" w:cs="Calibri"/>
          <w:sz w:val="22"/>
          <w:szCs w:val="22"/>
          <w:lang w:val="es-ES_tradnl"/>
        </w:rPr>
      </w:pPr>
    </w:p>
    <w:p w14:paraId="5BEA95D0" w14:textId="448B5B91" w:rsidR="00D36616" w:rsidRPr="0047717E" w:rsidRDefault="0047717E" w:rsidP="0047717E">
      <w:pPr>
        <w:numPr>
          <w:ilvl w:val="0"/>
          <w:numId w:val="1"/>
        </w:numPr>
        <w:autoSpaceDE w:val="0"/>
        <w:autoSpaceDN w:val="0"/>
        <w:adjustRightInd w:val="0"/>
        <w:ind w:left="426" w:hanging="426"/>
        <w:rPr>
          <w:rFonts w:ascii="Calibri" w:hAnsi="Calibri" w:cs="Calibri"/>
          <w:sz w:val="22"/>
          <w:szCs w:val="22"/>
          <w:lang w:val="es-ES_tradnl"/>
        </w:rPr>
      </w:pPr>
      <w:r w:rsidRPr="0047717E">
        <w:rPr>
          <w:rFonts w:ascii="Calibri" w:hAnsi="Calibri" w:cs="Calibri"/>
          <w:sz w:val="22"/>
          <w:szCs w:val="22"/>
          <w:lang w:val="es-ES_tradnl"/>
        </w:rPr>
        <w:t xml:space="preserve">En la 10ª reunión de la </w:t>
      </w:r>
      <w:r w:rsidR="00D36616" w:rsidRPr="0047717E">
        <w:rPr>
          <w:rFonts w:ascii="Calibri" w:hAnsi="Calibri" w:cs="Calibri"/>
          <w:sz w:val="22"/>
          <w:szCs w:val="22"/>
          <w:lang w:val="es-ES_tradnl"/>
        </w:rPr>
        <w:t>COP</w:t>
      </w:r>
      <w:r w:rsidR="00DC11C0" w:rsidRPr="0047717E">
        <w:rPr>
          <w:rFonts w:ascii="Calibri" w:hAnsi="Calibri" w:cs="Calibri"/>
          <w:sz w:val="22"/>
          <w:szCs w:val="22"/>
          <w:lang w:val="es-ES_tradnl"/>
        </w:rPr>
        <w:t>,</w:t>
      </w:r>
      <w:r w:rsidR="00D36616" w:rsidRPr="0047717E">
        <w:rPr>
          <w:rFonts w:ascii="Calibri" w:hAnsi="Calibri" w:cs="Calibri"/>
          <w:sz w:val="22"/>
          <w:szCs w:val="22"/>
          <w:lang w:val="es-ES_tradnl"/>
        </w:rPr>
        <w:t xml:space="preserve"> </w:t>
      </w:r>
      <w:r w:rsidRPr="0047717E">
        <w:rPr>
          <w:rFonts w:ascii="Calibri" w:hAnsi="Calibri" w:cs="Calibri"/>
          <w:sz w:val="22"/>
          <w:szCs w:val="22"/>
          <w:lang w:val="es-ES_tradnl"/>
        </w:rPr>
        <w:t>mediante la Resolución</w:t>
      </w:r>
      <w:r w:rsidR="00D36616" w:rsidRPr="0047717E">
        <w:rPr>
          <w:rFonts w:ascii="Calibri" w:hAnsi="Calibri" w:cs="Calibri"/>
          <w:sz w:val="22"/>
          <w:szCs w:val="22"/>
          <w:lang w:val="es-ES_tradnl"/>
        </w:rPr>
        <w:t xml:space="preserve"> X.2</w:t>
      </w:r>
      <w:r w:rsidR="00A6376A" w:rsidRPr="0047717E">
        <w:rPr>
          <w:rFonts w:ascii="Calibri" w:hAnsi="Calibri" w:cs="Calibri"/>
          <w:sz w:val="22"/>
          <w:szCs w:val="22"/>
          <w:lang w:val="es-ES_tradnl"/>
        </w:rPr>
        <w:t>,</w:t>
      </w:r>
      <w:r w:rsidR="00D36616" w:rsidRPr="0047717E">
        <w:rPr>
          <w:rFonts w:ascii="Calibri" w:hAnsi="Calibri" w:cs="Calibri"/>
          <w:sz w:val="22"/>
          <w:szCs w:val="22"/>
          <w:lang w:val="es-ES_tradnl"/>
        </w:rPr>
        <w:t xml:space="preserve"> p</w:t>
      </w:r>
      <w:r w:rsidRPr="0047717E">
        <w:rPr>
          <w:rFonts w:ascii="Calibri" w:hAnsi="Calibri" w:cs="Calibri"/>
          <w:sz w:val="22"/>
          <w:szCs w:val="22"/>
          <w:lang w:val="es-ES_tradnl"/>
        </w:rPr>
        <w:t>árrafo</w:t>
      </w:r>
      <w:r w:rsidR="00D36616" w:rsidRPr="0047717E">
        <w:rPr>
          <w:rFonts w:ascii="Calibri" w:hAnsi="Calibri" w:cs="Calibri"/>
          <w:sz w:val="22"/>
          <w:szCs w:val="22"/>
          <w:lang w:val="es-ES_tradnl"/>
        </w:rPr>
        <w:t xml:space="preserve"> 23</w:t>
      </w:r>
      <w:r w:rsidR="00DC11C0" w:rsidRPr="0047717E">
        <w:rPr>
          <w:rFonts w:ascii="Calibri" w:hAnsi="Calibri" w:cs="Calibri"/>
          <w:sz w:val="22"/>
          <w:szCs w:val="22"/>
          <w:lang w:val="es-ES_tradnl"/>
        </w:rPr>
        <w:t>,</w:t>
      </w:r>
      <w:r w:rsidR="00D36616" w:rsidRPr="0047717E">
        <w:rPr>
          <w:rFonts w:ascii="Calibri" w:hAnsi="Calibri" w:cs="Calibri"/>
          <w:sz w:val="22"/>
          <w:szCs w:val="22"/>
          <w:lang w:val="es-ES_tradnl"/>
        </w:rPr>
        <w:t xml:space="preserve"> </w:t>
      </w:r>
      <w:r>
        <w:rPr>
          <w:rFonts w:ascii="Calibri" w:hAnsi="Calibri" w:cs="Calibri"/>
          <w:sz w:val="22"/>
          <w:szCs w:val="22"/>
          <w:lang w:val="es-ES_tradnl"/>
        </w:rPr>
        <w:t>las</w:t>
      </w:r>
      <w:r w:rsidR="00D36616" w:rsidRPr="0047717E">
        <w:rPr>
          <w:rFonts w:ascii="Calibri" w:hAnsi="Calibri" w:cs="Calibri"/>
          <w:sz w:val="22"/>
          <w:szCs w:val="22"/>
          <w:lang w:val="es-ES_tradnl"/>
        </w:rPr>
        <w:t xml:space="preserve"> </w:t>
      </w:r>
      <w:r w:rsidR="00AD5DD1" w:rsidRPr="0047717E">
        <w:rPr>
          <w:rFonts w:ascii="Calibri" w:hAnsi="Calibri" w:cs="Calibri"/>
          <w:sz w:val="22"/>
          <w:szCs w:val="22"/>
          <w:lang w:val="es-ES_tradnl"/>
        </w:rPr>
        <w:t>Partes Contratantes</w:t>
      </w:r>
      <w:r w:rsidR="00187A55" w:rsidRPr="0047717E">
        <w:rPr>
          <w:rFonts w:ascii="Calibri" w:hAnsi="Calibri" w:cs="Calibri"/>
          <w:sz w:val="22"/>
          <w:szCs w:val="22"/>
          <w:lang w:val="es-ES_tradnl"/>
        </w:rPr>
        <w:t xml:space="preserve"> de Á</w:t>
      </w:r>
      <w:r w:rsidR="00D36616" w:rsidRPr="0047717E">
        <w:rPr>
          <w:rFonts w:ascii="Calibri" w:hAnsi="Calibri" w:cs="Calibri"/>
          <w:sz w:val="22"/>
          <w:szCs w:val="22"/>
          <w:lang w:val="es-ES_tradnl"/>
        </w:rPr>
        <w:t xml:space="preserve">frica </w:t>
      </w:r>
      <w:r w:rsidR="000D5509" w:rsidRPr="0047717E">
        <w:rPr>
          <w:rFonts w:ascii="Calibri" w:hAnsi="Calibri" w:cs="Calibri"/>
          <w:sz w:val="22"/>
          <w:szCs w:val="22"/>
          <w:lang w:val="es-ES_tradnl"/>
        </w:rPr>
        <w:t xml:space="preserve">cuyas cuotas asignadas </w:t>
      </w:r>
      <w:r w:rsidR="000D5509">
        <w:rPr>
          <w:rFonts w:ascii="Calibri" w:hAnsi="Calibri" w:cs="Calibri"/>
          <w:sz w:val="22"/>
          <w:szCs w:val="22"/>
          <w:lang w:val="es-ES_tradnl"/>
        </w:rPr>
        <w:t>eran</w:t>
      </w:r>
      <w:r w:rsidR="000D5509" w:rsidRPr="0047717E">
        <w:rPr>
          <w:rFonts w:ascii="Calibri" w:hAnsi="Calibri" w:cs="Calibri"/>
          <w:sz w:val="22"/>
          <w:szCs w:val="22"/>
          <w:lang w:val="es-ES_tradnl"/>
        </w:rPr>
        <w:t xml:space="preserve"> menores de 2.000 francos suizos </w:t>
      </w:r>
      <w:r w:rsidR="000D5509">
        <w:rPr>
          <w:rFonts w:ascii="Calibri" w:hAnsi="Calibri" w:cs="Calibri"/>
          <w:sz w:val="22"/>
          <w:szCs w:val="22"/>
          <w:lang w:val="es-ES_tradnl"/>
        </w:rPr>
        <w:t>acordaron</w:t>
      </w:r>
      <w:r w:rsidR="000D5509" w:rsidRPr="0047717E">
        <w:rPr>
          <w:rFonts w:ascii="Calibri" w:hAnsi="Calibri" w:cs="Calibri"/>
          <w:sz w:val="22"/>
          <w:szCs w:val="22"/>
          <w:lang w:val="es-ES_tradnl"/>
        </w:rPr>
        <w:t xml:space="preserve"> aumentar sus contribuciones hasta ese nivel. </w:t>
      </w:r>
      <w:r w:rsidRPr="0047717E">
        <w:rPr>
          <w:rFonts w:ascii="Calibri" w:hAnsi="Calibri" w:cs="Calibri"/>
          <w:sz w:val="22"/>
          <w:szCs w:val="22"/>
          <w:lang w:val="es-ES_tradnl"/>
        </w:rPr>
        <w:t>La diferencia entre los 2.000 francos suizo</w:t>
      </w:r>
      <w:r w:rsidR="000D5509">
        <w:rPr>
          <w:rFonts w:ascii="Calibri" w:hAnsi="Calibri" w:cs="Calibri"/>
          <w:sz w:val="22"/>
          <w:szCs w:val="22"/>
          <w:lang w:val="es-ES_tradnl"/>
        </w:rPr>
        <w:t>s y sus asignaciones se aportaría</w:t>
      </w:r>
      <w:r w:rsidRPr="0047717E">
        <w:rPr>
          <w:rFonts w:ascii="Calibri" w:hAnsi="Calibri" w:cs="Calibri"/>
          <w:sz w:val="22"/>
          <w:szCs w:val="22"/>
          <w:lang w:val="es-ES_tradnl"/>
        </w:rPr>
        <w:t xml:space="preserve"> en forma de contribución voluntaria destinada específicamente a inic</w:t>
      </w:r>
      <w:r w:rsidR="000D5509">
        <w:rPr>
          <w:rFonts w:ascii="Calibri" w:hAnsi="Calibri" w:cs="Calibri"/>
          <w:sz w:val="22"/>
          <w:szCs w:val="22"/>
          <w:lang w:val="es-ES_tradnl"/>
        </w:rPr>
        <w:t>iativas regionales africanas.</w:t>
      </w:r>
    </w:p>
    <w:p w14:paraId="51822773" w14:textId="77777777" w:rsidR="00D36616" w:rsidRPr="00A2129F" w:rsidRDefault="00D36616" w:rsidP="00D36616">
      <w:pPr>
        <w:autoSpaceDE w:val="0"/>
        <w:autoSpaceDN w:val="0"/>
        <w:adjustRightInd w:val="0"/>
        <w:rPr>
          <w:rFonts w:ascii="Calibri" w:hAnsi="Calibri" w:cs="Calibri"/>
          <w:sz w:val="22"/>
          <w:szCs w:val="22"/>
          <w:lang w:val="es-ES_tradnl"/>
        </w:rPr>
      </w:pPr>
    </w:p>
    <w:p w14:paraId="09304D48" w14:textId="7D12A807" w:rsidR="008F622C" w:rsidRPr="00A2129F" w:rsidRDefault="00187A55" w:rsidP="003313F8">
      <w:pPr>
        <w:numPr>
          <w:ilvl w:val="0"/>
          <w:numId w:val="1"/>
        </w:numPr>
        <w:autoSpaceDE w:val="0"/>
        <w:autoSpaceDN w:val="0"/>
        <w:adjustRightInd w:val="0"/>
        <w:ind w:left="426" w:hanging="426"/>
        <w:rPr>
          <w:rFonts w:ascii="Calibri" w:hAnsi="Calibri" w:cs="Calibri"/>
          <w:sz w:val="22"/>
          <w:szCs w:val="22"/>
          <w:lang w:val="es-ES_tradnl"/>
        </w:rPr>
      </w:pPr>
      <w:r>
        <w:rPr>
          <w:rFonts w:ascii="Calibri" w:hAnsi="Calibri" w:cs="Calibri"/>
          <w:sz w:val="22"/>
          <w:szCs w:val="22"/>
          <w:lang w:val="es-ES_tradnl"/>
        </w:rPr>
        <w:t>En respuesta a la Decisión</w:t>
      </w:r>
      <w:r w:rsidR="008F622C" w:rsidRPr="00A2129F">
        <w:rPr>
          <w:rFonts w:ascii="Calibri" w:hAnsi="Calibri" w:cs="Calibri"/>
          <w:sz w:val="22"/>
          <w:szCs w:val="22"/>
          <w:lang w:val="es-ES_tradnl"/>
        </w:rPr>
        <w:t xml:space="preserve"> SC52-27</w:t>
      </w:r>
      <w:r w:rsidR="00DC11C0" w:rsidRPr="00A2129F">
        <w:rPr>
          <w:rFonts w:ascii="Calibri" w:hAnsi="Calibri" w:cs="Calibri"/>
          <w:sz w:val="22"/>
          <w:szCs w:val="22"/>
          <w:lang w:val="es-ES_tradnl"/>
        </w:rPr>
        <w:t>,</w:t>
      </w:r>
      <w:r w:rsidR="008F622C" w:rsidRPr="00A2129F">
        <w:rPr>
          <w:rFonts w:ascii="Calibri" w:hAnsi="Calibri" w:cs="Calibri"/>
          <w:sz w:val="22"/>
          <w:szCs w:val="22"/>
          <w:lang w:val="es-ES_tradnl"/>
        </w:rPr>
        <w:t xml:space="preserve"> </w:t>
      </w:r>
      <w:r w:rsidR="000D5509">
        <w:rPr>
          <w:rFonts w:ascii="Calibri" w:hAnsi="Calibri" w:cs="Calibri"/>
          <w:sz w:val="22"/>
          <w:szCs w:val="22"/>
          <w:lang w:val="es-ES_tradnl"/>
        </w:rPr>
        <w:t xml:space="preserve">la evaluación de las contribuciones voluntarias para </w:t>
      </w:r>
      <w:r w:rsidR="008F622C" w:rsidRPr="00A2129F">
        <w:rPr>
          <w:rFonts w:ascii="Calibri" w:hAnsi="Calibri" w:cs="Calibri"/>
          <w:sz w:val="22"/>
          <w:szCs w:val="22"/>
          <w:lang w:val="es-ES_tradnl"/>
        </w:rPr>
        <w:t xml:space="preserve">2016 </w:t>
      </w:r>
      <w:r w:rsidR="000D5509">
        <w:rPr>
          <w:rFonts w:ascii="Calibri" w:hAnsi="Calibri" w:cs="Calibri"/>
          <w:sz w:val="22"/>
          <w:szCs w:val="22"/>
          <w:lang w:val="es-ES_tradnl"/>
        </w:rPr>
        <w:t xml:space="preserve">muestra que cuatro de las </w:t>
      </w:r>
      <w:r w:rsidR="008F622C" w:rsidRPr="00A2129F">
        <w:rPr>
          <w:rFonts w:ascii="Calibri" w:hAnsi="Calibri" w:cs="Calibri"/>
          <w:sz w:val="22"/>
          <w:szCs w:val="22"/>
          <w:lang w:val="es-ES_tradnl"/>
        </w:rPr>
        <w:t xml:space="preserve">44 </w:t>
      </w:r>
      <w:r w:rsidR="00AD5DD1" w:rsidRPr="00A2129F">
        <w:rPr>
          <w:rFonts w:ascii="Calibri" w:hAnsi="Calibri" w:cs="Calibri"/>
          <w:sz w:val="22"/>
          <w:szCs w:val="22"/>
          <w:lang w:val="es-ES_tradnl"/>
        </w:rPr>
        <w:t>Partes Contratantes</w:t>
      </w:r>
      <w:r w:rsidR="008F622C" w:rsidRPr="00A2129F">
        <w:rPr>
          <w:rFonts w:ascii="Calibri" w:hAnsi="Calibri" w:cs="Calibri"/>
          <w:sz w:val="22"/>
          <w:szCs w:val="22"/>
          <w:lang w:val="es-ES_tradnl"/>
        </w:rPr>
        <w:t xml:space="preserve"> </w:t>
      </w:r>
      <w:r w:rsidR="000D5509">
        <w:rPr>
          <w:rFonts w:ascii="Calibri" w:hAnsi="Calibri" w:cs="Calibri"/>
          <w:sz w:val="22"/>
          <w:szCs w:val="22"/>
          <w:lang w:val="es-ES_tradnl"/>
        </w:rPr>
        <w:t>correspondientes</w:t>
      </w:r>
      <w:r w:rsidR="006B0A3E">
        <w:rPr>
          <w:rFonts w:ascii="Calibri" w:hAnsi="Calibri" w:cs="Calibri"/>
          <w:sz w:val="22"/>
          <w:szCs w:val="22"/>
          <w:lang w:val="es-ES_tradnl"/>
        </w:rPr>
        <w:t xml:space="preserve"> </w:t>
      </w:r>
      <w:r w:rsidR="006B0A3E" w:rsidRPr="00A2129F">
        <w:rPr>
          <w:rFonts w:ascii="Calibri" w:hAnsi="Calibri" w:cs="Calibri"/>
          <w:sz w:val="22"/>
          <w:szCs w:val="22"/>
          <w:lang w:val="es-ES_tradnl"/>
        </w:rPr>
        <w:t>(</w:t>
      </w:r>
      <w:r w:rsidR="006B0A3E">
        <w:rPr>
          <w:rFonts w:ascii="Calibri" w:hAnsi="Calibri" w:cs="Calibri"/>
          <w:sz w:val="22"/>
          <w:szCs w:val="22"/>
          <w:lang w:val="es-ES_tradnl"/>
        </w:rPr>
        <w:t xml:space="preserve">el </w:t>
      </w:r>
      <w:r w:rsidR="006B0A3E" w:rsidRPr="00A2129F">
        <w:rPr>
          <w:rFonts w:ascii="Calibri" w:hAnsi="Calibri" w:cs="Calibri"/>
          <w:sz w:val="22"/>
          <w:szCs w:val="22"/>
          <w:lang w:val="es-ES_tradnl"/>
        </w:rPr>
        <w:t>9</w:t>
      </w:r>
      <w:r w:rsidR="006B0A3E">
        <w:rPr>
          <w:rFonts w:ascii="Calibri" w:hAnsi="Calibri" w:cs="Calibri"/>
          <w:sz w:val="22"/>
          <w:szCs w:val="22"/>
          <w:lang w:val="es-ES_tradnl"/>
        </w:rPr>
        <w:t xml:space="preserve"> </w:t>
      </w:r>
      <w:r w:rsidR="004C741E">
        <w:rPr>
          <w:rFonts w:ascii="Calibri" w:hAnsi="Calibri" w:cs="Calibri"/>
          <w:sz w:val="22"/>
          <w:szCs w:val="22"/>
          <w:lang w:val="es-ES_tradnl"/>
        </w:rPr>
        <w:t>%)</w:t>
      </w:r>
      <w:r w:rsidR="000D5509">
        <w:rPr>
          <w:rFonts w:ascii="Calibri" w:hAnsi="Calibri" w:cs="Calibri"/>
          <w:sz w:val="22"/>
          <w:szCs w:val="22"/>
          <w:lang w:val="es-ES_tradnl"/>
        </w:rPr>
        <w:t xml:space="preserve"> estaban al día en el pago de sus contribuciones y, además, habían reali</w:t>
      </w:r>
      <w:r w:rsidR="00225F25">
        <w:rPr>
          <w:rFonts w:ascii="Calibri" w:hAnsi="Calibri" w:cs="Calibri"/>
          <w:sz w:val="22"/>
          <w:szCs w:val="22"/>
          <w:lang w:val="es-ES_tradnl"/>
        </w:rPr>
        <w:t>zado una contribución voluntaria</w:t>
      </w:r>
      <w:r w:rsidR="000D5509">
        <w:rPr>
          <w:rFonts w:ascii="Calibri" w:hAnsi="Calibri" w:cs="Calibri"/>
          <w:sz w:val="22"/>
          <w:szCs w:val="22"/>
          <w:lang w:val="es-ES_tradnl"/>
        </w:rPr>
        <w:t xml:space="preserve"> para el año. </w:t>
      </w:r>
      <w:r w:rsidR="00FC0DB0">
        <w:rPr>
          <w:rFonts w:ascii="Calibri" w:hAnsi="Calibri" w:cs="Calibri"/>
          <w:sz w:val="22"/>
          <w:szCs w:val="22"/>
          <w:lang w:val="es-ES_tradnl"/>
        </w:rPr>
        <w:t>La Resolución</w:t>
      </w:r>
      <w:r w:rsidR="008F622C" w:rsidRPr="00A2129F">
        <w:rPr>
          <w:rFonts w:ascii="Calibri" w:hAnsi="Calibri" w:cs="Calibri"/>
          <w:sz w:val="22"/>
          <w:szCs w:val="22"/>
          <w:lang w:val="es-ES_tradnl"/>
        </w:rPr>
        <w:t xml:space="preserve"> X.2 </w:t>
      </w:r>
      <w:r w:rsidR="00FC0DB0">
        <w:rPr>
          <w:rFonts w:ascii="Calibri" w:hAnsi="Calibri" w:cs="Calibri"/>
          <w:sz w:val="22"/>
          <w:szCs w:val="22"/>
          <w:lang w:val="es-ES_tradnl"/>
        </w:rPr>
        <w:t xml:space="preserve">fue aprobada hace ocho años y desde entonces, 23 de las 44 </w:t>
      </w:r>
      <w:r w:rsidR="00AD5DD1" w:rsidRPr="00A2129F">
        <w:rPr>
          <w:rFonts w:ascii="Calibri" w:hAnsi="Calibri" w:cs="Calibri"/>
          <w:sz w:val="22"/>
          <w:szCs w:val="22"/>
          <w:lang w:val="es-ES_tradnl"/>
        </w:rPr>
        <w:t>Partes Contratantes</w:t>
      </w:r>
      <w:r w:rsidR="004F3AB1" w:rsidRPr="00A2129F">
        <w:rPr>
          <w:rFonts w:ascii="Calibri" w:hAnsi="Calibri" w:cs="Calibri"/>
          <w:sz w:val="22"/>
          <w:szCs w:val="22"/>
          <w:lang w:val="es-ES_tradnl"/>
        </w:rPr>
        <w:t xml:space="preserve"> (</w:t>
      </w:r>
      <w:r w:rsidR="006B0A3E">
        <w:rPr>
          <w:rFonts w:ascii="Calibri" w:hAnsi="Calibri" w:cs="Calibri"/>
          <w:sz w:val="22"/>
          <w:szCs w:val="22"/>
          <w:lang w:val="es-ES_tradnl"/>
        </w:rPr>
        <w:t xml:space="preserve">el </w:t>
      </w:r>
      <w:r w:rsidR="004F3AB1" w:rsidRPr="00A2129F">
        <w:rPr>
          <w:rFonts w:ascii="Calibri" w:hAnsi="Calibri" w:cs="Calibri"/>
          <w:sz w:val="22"/>
          <w:szCs w:val="22"/>
          <w:lang w:val="es-ES_tradnl"/>
        </w:rPr>
        <w:t>52</w:t>
      </w:r>
      <w:r w:rsidR="006B0A3E">
        <w:rPr>
          <w:rFonts w:ascii="Calibri" w:hAnsi="Calibri" w:cs="Calibri"/>
          <w:sz w:val="22"/>
          <w:szCs w:val="22"/>
          <w:lang w:val="es-ES_tradnl"/>
        </w:rPr>
        <w:t xml:space="preserve"> </w:t>
      </w:r>
      <w:r w:rsidR="004F3AB1" w:rsidRPr="00A2129F">
        <w:rPr>
          <w:rFonts w:ascii="Calibri" w:hAnsi="Calibri" w:cs="Calibri"/>
          <w:sz w:val="22"/>
          <w:szCs w:val="22"/>
          <w:lang w:val="es-ES_tradnl"/>
        </w:rPr>
        <w:t xml:space="preserve">%) </w:t>
      </w:r>
      <w:r w:rsidR="008F622C" w:rsidRPr="00A2129F">
        <w:rPr>
          <w:rFonts w:ascii="Calibri" w:hAnsi="Calibri" w:cs="Calibri"/>
          <w:sz w:val="22"/>
          <w:szCs w:val="22"/>
          <w:lang w:val="es-ES_tradnl"/>
        </w:rPr>
        <w:t>ha</w:t>
      </w:r>
      <w:r w:rsidR="00FC0DB0">
        <w:rPr>
          <w:rFonts w:ascii="Calibri" w:hAnsi="Calibri" w:cs="Calibri"/>
          <w:sz w:val="22"/>
          <w:szCs w:val="22"/>
          <w:lang w:val="es-ES_tradnl"/>
        </w:rPr>
        <w:t xml:space="preserve">n realizado una contribución voluntaria en al menos uno de esos ocho años. Estas </w:t>
      </w:r>
      <w:r w:rsidR="008F622C" w:rsidRPr="00A2129F">
        <w:rPr>
          <w:rFonts w:ascii="Calibri" w:hAnsi="Calibri" w:cs="Calibri"/>
          <w:sz w:val="22"/>
          <w:szCs w:val="22"/>
          <w:lang w:val="es-ES_tradnl"/>
        </w:rPr>
        <w:t xml:space="preserve">23 </w:t>
      </w:r>
      <w:r w:rsidR="00AD5DD1" w:rsidRPr="00A2129F">
        <w:rPr>
          <w:rFonts w:ascii="Calibri" w:hAnsi="Calibri" w:cs="Calibri"/>
          <w:sz w:val="22"/>
          <w:szCs w:val="22"/>
          <w:lang w:val="es-ES_tradnl"/>
        </w:rPr>
        <w:t>Partes Contratantes</w:t>
      </w:r>
      <w:r w:rsidR="008F622C" w:rsidRPr="00A2129F">
        <w:rPr>
          <w:rFonts w:ascii="Calibri" w:hAnsi="Calibri" w:cs="Calibri"/>
          <w:sz w:val="22"/>
          <w:szCs w:val="22"/>
          <w:lang w:val="es-ES_tradnl"/>
        </w:rPr>
        <w:t xml:space="preserve"> </w:t>
      </w:r>
      <w:r w:rsidR="00FC0DB0">
        <w:rPr>
          <w:rFonts w:ascii="Calibri" w:hAnsi="Calibri" w:cs="Calibri"/>
          <w:sz w:val="22"/>
          <w:szCs w:val="22"/>
          <w:lang w:val="es-ES_tradnl"/>
        </w:rPr>
        <w:t>han hecho, en su conju</w:t>
      </w:r>
      <w:r w:rsidR="003A589C">
        <w:rPr>
          <w:rFonts w:ascii="Calibri" w:hAnsi="Calibri" w:cs="Calibri"/>
          <w:sz w:val="22"/>
          <w:szCs w:val="22"/>
          <w:lang w:val="es-ES_tradnl"/>
        </w:rPr>
        <w:t>nto, una contribución voluntaria</w:t>
      </w:r>
      <w:r w:rsidR="00FC0DB0">
        <w:rPr>
          <w:rFonts w:ascii="Calibri" w:hAnsi="Calibri" w:cs="Calibri"/>
          <w:sz w:val="22"/>
          <w:szCs w:val="22"/>
          <w:lang w:val="es-ES_tradnl"/>
        </w:rPr>
        <w:t xml:space="preserve"> </w:t>
      </w:r>
      <w:r w:rsidR="003A589C">
        <w:rPr>
          <w:rFonts w:ascii="Calibri" w:hAnsi="Calibri" w:cs="Calibri"/>
          <w:sz w:val="22"/>
          <w:szCs w:val="22"/>
          <w:lang w:val="es-ES_tradnl"/>
        </w:rPr>
        <w:t xml:space="preserve">por un total de </w:t>
      </w:r>
      <w:r w:rsidR="00FC0DB0">
        <w:rPr>
          <w:rFonts w:ascii="Calibri" w:hAnsi="Calibri" w:cs="Calibri"/>
          <w:sz w:val="22"/>
          <w:szCs w:val="22"/>
          <w:lang w:val="es-ES_tradnl"/>
        </w:rPr>
        <w:t>98.</w:t>
      </w:r>
      <w:r w:rsidR="008F622C" w:rsidRPr="00A2129F">
        <w:rPr>
          <w:rFonts w:ascii="Calibri" w:hAnsi="Calibri" w:cs="Calibri"/>
          <w:sz w:val="22"/>
          <w:szCs w:val="22"/>
          <w:lang w:val="es-ES_tradnl"/>
        </w:rPr>
        <w:t xml:space="preserve">551 </w:t>
      </w:r>
      <w:r w:rsidR="00FC0DB0">
        <w:rPr>
          <w:rFonts w:ascii="Calibri" w:hAnsi="Calibri" w:cs="Calibri"/>
          <w:sz w:val="22"/>
          <w:szCs w:val="22"/>
          <w:lang w:val="es-ES_tradnl"/>
        </w:rPr>
        <w:t xml:space="preserve">francos suizos a lo largo de estos ocho años. </w:t>
      </w:r>
    </w:p>
    <w:p w14:paraId="1D118937" w14:textId="77777777" w:rsidR="008F622C" w:rsidRPr="00A2129F" w:rsidRDefault="008F622C" w:rsidP="008F622C">
      <w:pPr>
        <w:pStyle w:val="ListParagraph"/>
        <w:rPr>
          <w:rFonts w:ascii="Calibri" w:hAnsi="Calibri" w:cs="Calibri"/>
          <w:sz w:val="22"/>
          <w:szCs w:val="22"/>
          <w:lang w:val="es-ES_tradnl"/>
        </w:rPr>
      </w:pPr>
    </w:p>
    <w:p w14:paraId="44C9D673" w14:textId="2B4017C2" w:rsidR="008F622C" w:rsidRPr="00A2129F" w:rsidRDefault="00FC0DB0" w:rsidP="003313F8">
      <w:pPr>
        <w:numPr>
          <w:ilvl w:val="0"/>
          <w:numId w:val="1"/>
        </w:numPr>
        <w:autoSpaceDE w:val="0"/>
        <w:autoSpaceDN w:val="0"/>
        <w:adjustRightInd w:val="0"/>
        <w:ind w:left="426" w:hanging="426"/>
        <w:rPr>
          <w:rFonts w:ascii="Calibri" w:hAnsi="Calibri" w:cs="Calibri"/>
          <w:sz w:val="22"/>
          <w:szCs w:val="22"/>
          <w:lang w:val="es-ES_tradnl"/>
        </w:rPr>
      </w:pPr>
      <w:r>
        <w:rPr>
          <w:rFonts w:ascii="Calibri" w:hAnsi="Calibri" w:cs="Calibri"/>
          <w:sz w:val="22"/>
          <w:szCs w:val="22"/>
          <w:lang w:val="es-ES_tradnl"/>
        </w:rPr>
        <w:t>Las co</w:t>
      </w:r>
      <w:r w:rsidR="0047717E">
        <w:rPr>
          <w:rFonts w:ascii="Calibri" w:hAnsi="Calibri" w:cs="Calibri"/>
          <w:sz w:val="22"/>
          <w:szCs w:val="22"/>
          <w:lang w:val="es-ES_tradnl"/>
        </w:rPr>
        <w:t>ntribuciones voluntarias de la r</w:t>
      </w:r>
      <w:r>
        <w:rPr>
          <w:rFonts w:ascii="Calibri" w:hAnsi="Calibri" w:cs="Calibri"/>
          <w:sz w:val="22"/>
          <w:szCs w:val="22"/>
          <w:lang w:val="es-ES_tradnl"/>
        </w:rPr>
        <w:t xml:space="preserve">egión de África durante el período entre 2009 y 2016 figuran en el Anexo 2. </w:t>
      </w:r>
    </w:p>
    <w:p w14:paraId="0E34E0F5" w14:textId="77777777" w:rsidR="008F622C" w:rsidRPr="00A2129F" w:rsidRDefault="008F622C" w:rsidP="008F622C">
      <w:pPr>
        <w:pStyle w:val="ListParagraph"/>
        <w:rPr>
          <w:rFonts w:ascii="Calibri" w:hAnsi="Calibri" w:cs="Calibri"/>
          <w:sz w:val="22"/>
          <w:szCs w:val="22"/>
          <w:lang w:val="es-ES_tradnl"/>
        </w:rPr>
      </w:pPr>
    </w:p>
    <w:p w14:paraId="1DA6CF0D" w14:textId="1E167918" w:rsidR="008F622C" w:rsidRPr="00FC0DB0" w:rsidRDefault="00FC0DB0" w:rsidP="003313F8">
      <w:pPr>
        <w:numPr>
          <w:ilvl w:val="0"/>
          <w:numId w:val="1"/>
        </w:numPr>
        <w:autoSpaceDE w:val="0"/>
        <w:autoSpaceDN w:val="0"/>
        <w:adjustRightInd w:val="0"/>
        <w:ind w:left="426" w:hanging="426"/>
        <w:rPr>
          <w:rFonts w:ascii="Calibri" w:hAnsi="Calibri" w:cs="Calibri"/>
          <w:sz w:val="22"/>
          <w:szCs w:val="22"/>
          <w:lang w:val="es-ES_tradnl"/>
        </w:rPr>
      </w:pPr>
      <w:r>
        <w:rPr>
          <w:rFonts w:ascii="Calibri" w:hAnsi="Calibri" w:cs="Calibri"/>
          <w:sz w:val="22"/>
          <w:szCs w:val="22"/>
          <w:lang w:val="es-ES_tradnl"/>
        </w:rPr>
        <w:t>La</w:t>
      </w:r>
      <w:r w:rsidR="008E007B" w:rsidRPr="00A2129F">
        <w:rPr>
          <w:rFonts w:ascii="Calibri" w:hAnsi="Calibri" w:cs="Calibri"/>
          <w:sz w:val="22"/>
          <w:szCs w:val="22"/>
          <w:lang w:val="es-ES_tradnl"/>
        </w:rPr>
        <w:t xml:space="preserve"> </w:t>
      </w:r>
      <w:r w:rsidR="00AD5DD1" w:rsidRPr="00A2129F">
        <w:rPr>
          <w:rFonts w:ascii="Calibri" w:hAnsi="Calibri" w:cs="Calibri"/>
          <w:sz w:val="22"/>
          <w:szCs w:val="22"/>
          <w:lang w:val="es-ES_tradnl"/>
        </w:rPr>
        <w:t>Secretaría</w:t>
      </w:r>
      <w:r w:rsidR="00FB7AF7" w:rsidRPr="00A2129F">
        <w:rPr>
          <w:rFonts w:ascii="Calibri" w:hAnsi="Calibri" w:cs="Calibri"/>
          <w:sz w:val="22"/>
          <w:szCs w:val="22"/>
          <w:lang w:val="es-ES_tradnl"/>
        </w:rPr>
        <w:t xml:space="preserve"> </w:t>
      </w:r>
      <w:r w:rsidR="008E007B" w:rsidRPr="00A2129F">
        <w:rPr>
          <w:rFonts w:ascii="Calibri" w:hAnsi="Calibri" w:cs="Calibri"/>
          <w:sz w:val="22"/>
          <w:szCs w:val="22"/>
          <w:lang w:val="es-ES_tradnl"/>
        </w:rPr>
        <w:t>propo</w:t>
      </w:r>
      <w:r w:rsidR="004C741E">
        <w:rPr>
          <w:rFonts w:ascii="Calibri" w:hAnsi="Calibri" w:cs="Calibri"/>
          <w:sz w:val="22"/>
          <w:szCs w:val="22"/>
          <w:lang w:val="es-ES_tradnl"/>
        </w:rPr>
        <w:t>ne que el proyecto de r</w:t>
      </w:r>
      <w:r>
        <w:rPr>
          <w:rFonts w:ascii="Calibri" w:hAnsi="Calibri" w:cs="Calibri"/>
          <w:sz w:val="22"/>
          <w:szCs w:val="22"/>
          <w:lang w:val="es-ES_tradnl"/>
        </w:rPr>
        <w:t>esolución sobre asuntos financieros</w:t>
      </w:r>
      <w:r w:rsidR="00225F25">
        <w:rPr>
          <w:rFonts w:ascii="Calibri" w:hAnsi="Calibri" w:cs="Calibri"/>
          <w:sz w:val="22"/>
          <w:szCs w:val="22"/>
          <w:lang w:val="es-ES_tradnl"/>
        </w:rPr>
        <w:t>,</w:t>
      </w:r>
      <w:r>
        <w:rPr>
          <w:rFonts w:ascii="Calibri" w:hAnsi="Calibri" w:cs="Calibri"/>
          <w:sz w:val="22"/>
          <w:szCs w:val="22"/>
          <w:lang w:val="es-ES_tradnl"/>
        </w:rPr>
        <w:t xml:space="preserve"> que se someterá </w:t>
      </w:r>
      <w:r w:rsidRPr="00FC0DB0">
        <w:rPr>
          <w:rFonts w:ascii="Calibri" w:hAnsi="Calibri" w:cs="Calibri"/>
          <w:sz w:val="22"/>
          <w:szCs w:val="22"/>
          <w:lang w:val="es-ES_tradnl"/>
        </w:rPr>
        <w:t xml:space="preserve">a la consideración </w:t>
      </w:r>
      <w:r>
        <w:rPr>
          <w:rFonts w:ascii="Calibri" w:hAnsi="Calibri" w:cs="Calibri"/>
          <w:sz w:val="22"/>
          <w:szCs w:val="22"/>
          <w:lang w:val="es-ES_tradnl"/>
        </w:rPr>
        <w:t xml:space="preserve">de las </w:t>
      </w:r>
      <w:r w:rsidR="00AD5DD1" w:rsidRPr="00FC0DB0">
        <w:rPr>
          <w:rFonts w:ascii="Calibri" w:hAnsi="Calibri" w:cs="Calibri"/>
          <w:sz w:val="22"/>
          <w:szCs w:val="22"/>
          <w:lang w:val="es-ES_tradnl"/>
        </w:rPr>
        <w:t>Partes Contratantes</w:t>
      </w:r>
      <w:r w:rsidR="004F3AB1" w:rsidRPr="00FC0DB0">
        <w:rPr>
          <w:rFonts w:ascii="Calibri" w:hAnsi="Calibri" w:cs="Calibri"/>
          <w:sz w:val="22"/>
          <w:szCs w:val="22"/>
          <w:lang w:val="es-ES_tradnl"/>
        </w:rPr>
        <w:t xml:space="preserve"> </w:t>
      </w:r>
      <w:r>
        <w:rPr>
          <w:rFonts w:ascii="Calibri" w:hAnsi="Calibri" w:cs="Calibri"/>
          <w:sz w:val="22"/>
          <w:szCs w:val="22"/>
          <w:lang w:val="es-ES_tradnl"/>
        </w:rPr>
        <w:t xml:space="preserve">durante la 13ª </w:t>
      </w:r>
      <w:r w:rsidR="00225F25">
        <w:rPr>
          <w:rFonts w:ascii="Calibri" w:hAnsi="Calibri" w:cs="Calibri"/>
          <w:sz w:val="22"/>
          <w:szCs w:val="22"/>
          <w:lang w:val="es-ES_tradnl"/>
        </w:rPr>
        <w:t xml:space="preserve">reunión </w:t>
      </w:r>
      <w:r>
        <w:rPr>
          <w:rFonts w:ascii="Calibri" w:hAnsi="Calibri" w:cs="Calibri"/>
          <w:sz w:val="22"/>
          <w:szCs w:val="22"/>
          <w:lang w:val="es-ES_tradnl"/>
        </w:rPr>
        <w:t xml:space="preserve">de la </w:t>
      </w:r>
      <w:r w:rsidR="004F3AB1" w:rsidRPr="00FC0DB0">
        <w:rPr>
          <w:rFonts w:ascii="Calibri" w:hAnsi="Calibri" w:cs="Calibri"/>
          <w:sz w:val="22"/>
          <w:szCs w:val="22"/>
          <w:lang w:val="es-ES_tradnl"/>
        </w:rPr>
        <w:t>COP</w:t>
      </w:r>
      <w:r w:rsidR="00FB7AF7" w:rsidRPr="00FC0DB0">
        <w:rPr>
          <w:rFonts w:ascii="Calibri" w:hAnsi="Calibri" w:cs="Calibri"/>
          <w:sz w:val="22"/>
          <w:szCs w:val="22"/>
          <w:lang w:val="es-ES_tradnl"/>
        </w:rPr>
        <w:t>,</w:t>
      </w:r>
      <w:r w:rsidR="004F3AB1" w:rsidRPr="00FC0DB0">
        <w:rPr>
          <w:rFonts w:ascii="Calibri" w:hAnsi="Calibri" w:cs="Calibri"/>
          <w:sz w:val="22"/>
          <w:szCs w:val="22"/>
          <w:lang w:val="es-ES_tradnl"/>
        </w:rPr>
        <w:t xml:space="preserve"> inclu</w:t>
      </w:r>
      <w:r>
        <w:rPr>
          <w:rFonts w:ascii="Calibri" w:hAnsi="Calibri" w:cs="Calibri"/>
          <w:sz w:val="22"/>
          <w:szCs w:val="22"/>
          <w:lang w:val="es-ES_tradnl"/>
        </w:rPr>
        <w:t>ya un párrafo para enmendar el texto de la Resolución</w:t>
      </w:r>
      <w:r w:rsidR="0047717E">
        <w:rPr>
          <w:rFonts w:ascii="Calibri" w:hAnsi="Calibri" w:cs="Calibri"/>
          <w:sz w:val="22"/>
          <w:szCs w:val="22"/>
          <w:lang w:val="es-ES_tradnl"/>
        </w:rPr>
        <w:t xml:space="preserve"> X.2, párrafo 23, mediante el reemplazo </w:t>
      </w:r>
      <w:r w:rsidR="00225F25">
        <w:rPr>
          <w:rFonts w:ascii="Calibri" w:hAnsi="Calibri" w:cs="Calibri"/>
          <w:sz w:val="22"/>
          <w:szCs w:val="22"/>
          <w:lang w:val="es-ES_tradnl"/>
        </w:rPr>
        <w:t>d</w:t>
      </w:r>
      <w:r w:rsidR="004C741E">
        <w:rPr>
          <w:rFonts w:ascii="Calibri" w:hAnsi="Calibri" w:cs="Calibri"/>
          <w:sz w:val="22"/>
          <w:szCs w:val="22"/>
          <w:lang w:val="es-ES_tradnl"/>
        </w:rPr>
        <w:t>el término “voluntarias”</w:t>
      </w:r>
      <w:r w:rsidR="0047717E">
        <w:rPr>
          <w:rFonts w:ascii="Calibri" w:hAnsi="Calibri" w:cs="Calibri"/>
          <w:sz w:val="22"/>
          <w:szCs w:val="22"/>
          <w:lang w:val="es-ES_tradnl"/>
        </w:rPr>
        <w:t xml:space="preserve"> por “adicionales” en referencia a las contribuciones</w:t>
      </w:r>
      <w:r w:rsidR="008E007B" w:rsidRPr="00FC0DB0">
        <w:rPr>
          <w:rFonts w:ascii="Calibri" w:hAnsi="Calibri" w:cs="Calibri"/>
          <w:sz w:val="22"/>
          <w:szCs w:val="22"/>
          <w:lang w:val="es-ES_tradnl"/>
        </w:rPr>
        <w:t xml:space="preserve">. </w:t>
      </w:r>
    </w:p>
    <w:p w14:paraId="2361FA78" w14:textId="77777777" w:rsidR="008F622C" w:rsidRPr="00A2129F" w:rsidRDefault="008F622C" w:rsidP="00F8523A">
      <w:pPr>
        <w:autoSpaceDE w:val="0"/>
        <w:autoSpaceDN w:val="0"/>
        <w:adjustRightInd w:val="0"/>
        <w:rPr>
          <w:rFonts w:ascii="Calibri" w:hAnsi="Calibri" w:cs="Calibri"/>
          <w:sz w:val="22"/>
          <w:szCs w:val="22"/>
          <w:lang w:val="es-ES_tradnl"/>
        </w:rPr>
      </w:pPr>
    </w:p>
    <w:p w14:paraId="00D291C8" w14:textId="77777777" w:rsidR="008F622C" w:rsidRPr="00A2129F" w:rsidRDefault="008F622C" w:rsidP="008F622C">
      <w:pPr>
        <w:autoSpaceDE w:val="0"/>
        <w:autoSpaceDN w:val="0"/>
        <w:adjustRightInd w:val="0"/>
        <w:rPr>
          <w:rFonts w:ascii="Calibri" w:hAnsi="Calibri" w:cs="Calibri"/>
          <w:sz w:val="22"/>
          <w:szCs w:val="22"/>
          <w:lang w:val="es-ES_tradnl"/>
        </w:rPr>
      </w:pPr>
      <w:r w:rsidRPr="00A2129F">
        <w:rPr>
          <w:rFonts w:ascii="Calibri" w:hAnsi="Calibri" w:cs="Calibri"/>
          <w:sz w:val="22"/>
          <w:szCs w:val="22"/>
          <w:lang w:val="es-ES_tradnl"/>
        </w:rPr>
        <w:t xml:space="preserve"> </w:t>
      </w:r>
    </w:p>
    <w:p w14:paraId="292F645F" w14:textId="51858A4A" w:rsidR="00AC4F8C" w:rsidRDefault="00235D06" w:rsidP="00CF5D82">
      <w:pPr>
        <w:keepNext/>
        <w:rPr>
          <w:rFonts w:ascii="Calibri" w:hAnsi="Calibri" w:cs="Calibri"/>
          <w:b/>
          <w:sz w:val="22"/>
          <w:szCs w:val="22"/>
          <w:lang w:val="es-ES_tradnl"/>
        </w:rPr>
      </w:pPr>
      <w:r w:rsidRPr="00A2129F">
        <w:rPr>
          <w:rFonts w:ascii="Calibri" w:hAnsi="Calibri" w:cs="Calibri"/>
          <w:b/>
          <w:sz w:val="22"/>
          <w:szCs w:val="22"/>
          <w:lang w:val="es-ES_tradnl"/>
        </w:rPr>
        <w:br w:type="page"/>
      </w:r>
    </w:p>
    <w:p w14:paraId="0D2C8DA0" w14:textId="58946F7A" w:rsidR="00225F25" w:rsidRPr="00A2129F" w:rsidRDefault="00225F25" w:rsidP="00CF5D82">
      <w:pPr>
        <w:keepNext/>
        <w:rPr>
          <w:rFonts w:ascii="Calibri" w:hAnsi="Calibri" w:cs="Calibri"/>
          <w:b/>
          <w:sz w:val="22"/>
          <w:szCs w:val="22"/>
          <w:lang w:val="es-ES_tradnl"/>
        </w:rPr>
      </w:pPr>
      <w:r w:rsidRPr="00225F25">
        <w:rPr>
          <w:rFonts w:ascii="Calibri" w:hAnsi="Calibri" w:cs="Calibri"/>
          <w:b/>
          <w:sz w:val="22"/>
          <w:szCs w:val="22"/>
          <w:lang w:val="es-ES_tradnl"/>
        </w:rPr>
        <w:lastRenderedPageBreak/>
        <w:t>Anexo 1 - Cambios en las contribuciones pendientes al 31 de diciembre de 2016 (1 de 2)</w:t>
      </w:r>
    </w:p>
    <w:p w14:paraId="1A2A6BA1" w14:textId="30809B2E" w:rsidR="00AC4F8C" w:rsidRDefault="006003F3" w:rsidP="00CF5D82">
      <w:pPr>
        <w:rPr>
          <w:noProof/>
          <w:lang w:val="en-GB" w:eastAsia="en-GB"/>
        </w:rPr>
      </w:pPr>
      <w:r w:rsidRPr="006003F3">
        <w:drawing>
          <wp:inline distT="0" distB="0" distL="0" distR="0" wp14:anchorId="56E464AD" wp14:editId="366D306C">
            <wp:extent cx="5507831" cy="86348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7026" cy="8633583"/>
                    </a:xfrm>
                    <a:prstGeom prst="rect">
                      <a:avLst/>
                    </a:prstGeom>
                    <a:noFill/>
                    <a:ln>
                      <a:noFill/>
                    </a:ln>
                  </pic:spPr>
                </pic:pic>
              </a:graphicData>
            </a:graphic>
          </wp:inline>
        </w:drawing>
      </w:r>
      <w:r w:rsidR="00AC4F8C" w:rsidRPr="00A2129F">
        <w:rPr>
          <w:lang w:val="es-ES_tradnl" w:eastAsia="en-GB"/>
        </w:rPr>
        <w:br w:type="page"/>
      </w:r>
      <w:r w:rsidR="00225F25" w:rsidRPr="00225F25">
        <w:rPr>
          <w:rFonts w:ascii="Calibri" w:hAnsi="Calibri" w:cs="Calibri"/>
          <w:b/>
          <w:sz w:val="22"/>
          <w:szCs w:val="22"/>
          <w:lang w:val="es-ES_tradnl"/>
        </w:rPr>
        <w:lastRenderedPageBreak/>
        <w:t>Anexo 1 - Cambios en las contribuciones pendient</w:t>
      </w:r>
      <w:r w:rsidR="00225F25">
        <w:rPr>
          <w:rFonts w:ascii="Calibri" w:hAnsi="Calibri" w:cs="Calibri"/>
          <w:b/>
          <w:sz w:val="22"/>
          <w:szCs w:val="22"/>
          <w:lang w:val="es-ES_tradnl"/>
        </w:rPr>
        <w:t>es al 31 de diciembre de 2016 (2</w:t>
      </w:r>
      <w:r w:rsidR="00225F25" w:rsidRPr="00225F25">
        <w:rPr>
          <w:rFonts w:ascii="Calibri" w:hAnsi="Calibri" w:cs="Calibri"/>
          <w:b/>
          <w:sz w:val="22"/>
          <w:szCs w:val="22"/>
          <w:lang w:val="es-ES_tradnl"/>
        </w:rPr>
        <w:t xml:space="preserve"> de 2)</w:t>
      </w:r>
    </w:p>
    <w:p w14:paraId="65B0BC67" w14:textId="4E71BCB7" w:rsidR="00436F6C" w:rsidRDefault="005A6EFC">
      <w:pPr>
        <w:rPr>
          <w:noProof/>
          <w:lang w:val="en-GB" w:eastAsia="en-GB"/>
        </w:rPr>
      </w:pPr>
      <w:r w:rsidRPr="005A6EFC">
        <w:drawing>
          <wp:inline distT="0" distB="0" distL="0" distR="0" wp14:anchorId="76263F84" wp14:editId="33869E40">
            <wp:extent cx="5344330" cy="8625693"/>
            <wp:effectExtent l="0" t="0" r="889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5061" cy="8643012"/>
                    </a:xfrm>
                    <a:prstGeom prst="rect">
                      <a:avLst/>
                    </a:prstGeom>
                    <a:noFill/>
                    <a:ln>
                      <a:noFill/>
                    </a:ln>
                  </pic:spPr>
                </pic:pic>
              </a:graphicData>
            </a:graphic>
          </wp:inline>
        </w:drawing>
      </w:r>
      <w:r w:rsidR="00436F6C">
        <w:rPr>
          <w:noProof/>
          <w:lang w:val="en-GB" w:eastAsia="en-GB"/>
        </w:rPr>
        <w:br w:type="page"/>
      </w:r>
    </w:p>
    <w:p w14:paraId="686FB9AB" w14:textId="1886B157" w:rsidR="002B2086" w:rsidRPr="00A2129F" w:rsidRDefault="00225F25" w:rsidP="00CF6E51">
      <w:pPr>
        <w:keepNext/>
        <w:rPr>
          <w:rFonts w:asciiTheme="minorHAnsi" w:hAnsiTheme="minorHAnsi"/>
          <w:b/>
          <w:sz w:val="22"/>
          <w:szCs w:val="22"/>
          <w:lang w:val="es-ES_tradnl"/>
        </w:rPr>
      </w:pPr>
      <w:r w:rsidRPr="00225F25">
        <w:rPr>
          <w:rFonts w:asciiTheme="minorHAnsi" w:hAnsiTheme="minorHAnsi"/>
          <w:b/>
          <w:sz w:val="22"/>
          <w:szCs w:val="22"/>
          <w:lang w:val="es-ES_tradnl"/>
        </w:rPr>
        <w:lastRenderedPageBreak/>
        <w:t>Anexo 2 – Contribuciones voluntarias de Partes Contratantes de la región de África</w:t>
      </w:r>
      <w:r w:rsidR="002B2086" w:rsidRPr="00A2129F">
        <w:rPr>
          <w:rFonts w:asciiTheme="minorHAnsi" w:hAnsiTheme="minorHAnsi"/>
          <w:b/>
          <w:sz w:val="22"/>
          <w:szCs w:val="22"/>
          <w:lang w:val="es-ES_tradnl"/>
        </w:rPr>
        <w:tab/>
      </w:r>
      <w:r w:rsidR="002B2086" w:rsidRPr="00A2129F">
        <w:rPr>
          <w:rFonts w:asciiTheme="minorHAnsi" w:hAnsiTheme="minorHAnsi"/>
          <w:b/>
          <w:sz w:val="22"/>
          <w:szCs w:val="22"/>
          <w:lang w:val="es-ES_tradnl"/>
        </w:rPr>
        <w:tab/>
      </w:r>
    </w:p>
    <w:p w14:paraId="2132C3D4" w14:textId="5D535BFD" w:rsidR="00AC4F8C" w:rsidRPr="00A2129F" w:rsidRDefault="005A6EFC" w:rsidP="00554FED">
      <w:pPr>
        <w:rPr>
          <w:b/>
          <w:lang w:val="es-ES_tradnl"/>
        </w:rPr>
      </w:pPr>
      <w:r w:rsidRPr="005A6EFC">
        <w:drawing>
          <wp:inline distT="0" distB="0" distL="0" distR="0" wp14:anchorId="73393DA9" wp14:editId="385AA6E9">
            <wp:extent cx="4967011" cy="864969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2207" cy="8641325"/>
                    </a:xfrm>
                    <a:prstGeom prst="rect">
                      <a:avLst/>
                    </a:prstGeom>
                    <a:noFill/>
                    <a:ln>
                      <a:noFill/>
                    </a:ln>
                  </pic:spPr>
                </pic:pic>
              </a:graphicData>
            </a:graphic>
          </wp:inline>
        </w:drawing>
      </w:r>
      <w:bookmarkStart w:id="1" w:name="_GoBack"/>
      <w:bookmarkEnd w:id="1"/>
    </w:p>
    <w:sectPr w:rsidR="00AC4F8C" w:rsidRPr="00A2129F" w:rsidSect="00C31D14">
      <w:footerReference w:type="default" r:id="rId16"/>
      <w:pgSz w:w="11907" w:h="16840" w:code="9"/>
      <w:pgMar w:top="1440" w:right="1440" w:bottom="1440" w:left="1440"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6B13C" w14:textId="77777777" w:rsidR="006B0A3E" w:rsidRDefault="006B0A3E">
      <w:r>
        <w:separator/>
      </w:r>
    </w:p>
  </w:endnote>
  <w:endnote w:type="continuationSeparator" w:id="0">
    <w:p w14:paraId="39E2B01D" w14:textId="77777777" w:rsidR="006B0A3E" w:rsidRDefault="006B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97CF6" w14:textId="77777777" w:rsidR="006B0A3E" w:rsidRPr="009A50F7" w:rsidRDefault="006B0A3E" w:rsidP="00F4142F">
    <w:pPr>
      <w:pStyle w:val="Footer"/>
      <w:tabs>
        <w:tab w:val="clear" w:pos="8640"/>
        <w:tab w:val="right" w:pos="9072"/>
      </w:tabs>
      <w:rPr>
        <w:rFonts w:asciiTheme="minorHAnsi" w:hAnsiTheme="minorHAnsi"/>
        <w:sz w:val="20"/>
        <w:szCs w:val="20"/>
        <w:lang w:val="en-GB"/>
      </w:rPr>
    </w:pPr>
    <w:r w:rsidRPr="009A50F7">
      <w:rPr>
        <w:rFonts w:asciiTheme="minorHAnsi" w:hAnsiTheme="minorHAnsi"/>
        <w:sz w:val="20"/>
        <w:szCs w:val="20"/>
      </w:rPr>
      <w:t>SC53</w:t>
    </w:r>
    <w:r w:rsidRPr="009A50F7">
      <w:rPr>
        <w:rFonts w:asciiTheme="minorHAnsi" w:hAnsiTheme="minorHAnsi"/>
        <w:sz w:val="20"/>
        <w:szCs w:val="20"/>
        <w:lang w:val="en-GB"/>
      </w:rPr>
      <w:t>-21</w:t>
    </w:r>
    <w:r w:rsidRPr="009A50F7">
      <w:rPr>
        <w:rFonts w:asciiTheme="minorHAnsi" w:hAnsiTheme="minorHAnsi"/>
        <w:sz w:val="20"/>
        <w:szCs w:val="20"/>
      </w:rPr>
      <w:tab/>
    </w:r>
    <w:r w:rsidRPr="009A50F7">
      <w:rPr>
        <w:rFonts w:asciiTheme="minorHAnsi" w:hAnsiTheme="minorHAnsi"/>
        <w:sz w:val="20"/>
        <w:szCs w:val="20"/>
      </w:rPr>
      <w:tab/>
    </w:r>
    <w:r w:rsidRPr="009A50F7">
      <w:rPr>
        <w:rFonts w:asciiTheme="minorHAnsi" w:hAnsiTheme="minorHAnsi"/>
        <w:sz w:val="20"/>
        <w:szCs w:val="20"/>
      </w:rPr>
      <w:fldChar w:fldCharType="begin"/>
    </w:r>
    <w:r w:rsidRPr="009A50F7">
      <w:rPr>
        <w:rFonts w:asciiTheme="minorHAnsi" w:hAnsiTheme="minorHAnsi"/>
        <w:sz w:val="20"/>
        <w:szCs w:val="20"/>
      </w:rPr>
      <w:instrText xml:space="preserve"> PAGE   \* MERGEFORMAT </w:instrText>
    </w:r>
    <w:r w:rsidRPr="009A50F7">
      <w:rPr>
        <w:rFonts w:asciiTheme="minorHAnsi" w:hAnsiTheme="minorHAnsi"/>
        <w:sz w:val="20"/>
        <w:szCs w:val="20"/>
      </w:rPr>
      <w:fldChar w:fldCharType="separate"/>
    </w:r>
    <w:r w:rsidR="005A6EFC">
      <w:rPr>
        <w:rFonts w:asciiTheme="minorHAnsi" w:hAnsiTheme="minorHAnsi"/>
        <w:noProof/>
        <w:sz w:val="20"/>
        <w:szCs w:val="20"/>
      </w:rPr>
      <w:t>2</w:t>
    </w:r>
    <w:r w:rsidRPr="009A50F7">
      <w:rPr>
        <w:rFonts w:asciiTheme="minorHAnsi" w:hAnsiTheme="minorHAns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4E3C3" w14:textId="77777777" w:rsidR="006B0A3E" w:rsidRDefault="006B0A3E">
      <w:r>
        <w:separator/>
      </w:r>
    </w:p>
  </w:footnote>
  <w:footnote w:type="continuationSeparator" w:id="0">
    <w:p w14:paraId="0C73C3B2" w14:textId="77777777" w:rsidR="006B0A3E" w:rsidRDefault="006B0A3E">
      <w:r>
        <w:continuationSeparator/>
      </w:r>
    </w:p>
  </w:footnote>
  <w:footnote w:id="1">
    <w:p w14:paraId="56326941" w14:textId="5D1D178F" w:rsidR="006B0A3E" w:rsidRPr="00632BC8" w:rsidRDefault="006B0A3E" w:rsidP="00632BC8">
      <w:pPr>
        <w:pStyle w:val="FootnoteText"/>
        <w:rPr>
          <w:lang w:val="es-ES_tradnl"/>
        </w:rPr>
      </w:pPr>
      <w:r w:rsidRPr="00632BC8">
        <w:rPr>
          <w:rStyle w:val="FootnoteReference"/>
          <w:rFonts w:asciiTheme="minorHAnsi" w:hAnsiTheme="minorHAnsi"/>
          <w:sz w:val="18"/>
          <w:szCs w:val="18"/>
          <w:lang w:val="es-ES_tradnl"/>
        </w:rPr>
        <w:footnoteRef/>
      </w:r>
      <w:r>
        <w:rPr>
          <w:rFonts w:asciiTheme="minorHAnsi" w:hAnsiTheme="minorHAnsi"/>
          <w:sz w:val="18"/>
          <w:szCs w:val="18"/>
          <w:lang w:val="es-ES_tradnl"/>
        </w:rPr>
        <w:t xml:space="preserve"> El importe definitivo se determinará durante la auditoría del ejercicio 2016. </w:t>
      </w:r>
      <w:r w:rsidRPr="00632BC8">
        <w:rPr>
          <w:rFonts w:asciiTheme="minorHAnsi" w:hAnsiTheme="minorHAnsi"/>
          <w:sz w:val="18"/>
          <w:szCs w:val="18"/>
          <w:lang w:val="es-ES_tradnl"/>
        </w:rPr>
        <w:t xml:space="preserve">Se debe tener en cuenta que, entre el 1 de enero de 2017 y el 22 de febrero de 2017, las Partes Contratantes </w:t>
      </w:r>
      <w:r>
        <w:rPr>
          <w:rFonts w:asciiTheme="minorHAnsi" w:hAnsiTheme="minorHAnsi"/>
          <w:sz w:val="18"/>
          <w:szCs w:val="18"/>
          <w:lang w:val="es-ES_tradnl"/>
        </w:rPr>
        <w:t>abonaron</w:t>
      </w:r>
      <w:r w:rsidRPr="00632BC8">
        <w:rPr>
          <w:rFonts w:asciiTheme="minorHAnsi" w:hAnsiTheme="minorHAnsi"/>
          <w:sz w:val="18"/>
          <w:szCs w:val="18"/>
          <w:lang w:val="es-ES_tradnl"/>
        </w:rPr>
        <w:t xml:space="preserve"> 103.000 francos suizos </w:t>
      </w:r>
      <w:r>
        <w:rPr>
          <w:rFonts w:asciiTheme="minorHAnsi" w:hAnsiTheme="minorHAnsi"/>
          <w:sz w:val="18"/>
          <w:szCs w:val="18"/>
          <w:lang w:val="es-ES_tradnl"/>
        </w:rPr>
        <w:t>de las</w:t>
      </w:r>
      <w:r w:rsidRPr="00632BC8">
        <w:rPr>
          <w:rFonts w:asciiTheme="minorHAnsi" w:hAnsiTheme="minorHAnsi"/>
          <w:sz w:val="18"/>
          <w:szCs w:val="18"/>
          <w:lang w:val="es-ES_tradnl"/>
        </w:rPr>
        <w:t xml:space="preserve"> contribuciones </w:t>
      </w:r>
      <w:r>
        <w:rPr>
          <w:rFonts w:asciiTheme="minorHAnsi" w:hAnsiTheme="minorHAnsi"/>
          <w:sz w:val="18"/>
          <w:szCs w:val="18"/>
          <w:lang w:val="es-ES_tradnl"/>
        </w:rPr>
        <w:t>impagadas.</w:t>
      </w:r>
      <w:r w:rsidRPr="00632BC8">
        <w:rPr>
          <w:rFonts w:asciiTheme="minorHAnsi" w:hAnsiTheme="minorHAnsi"/>
          <w:sz w:val="18"/>
          <w:szCs w:val="18"/>
          <w:lang w:val="es-ES_tradnl"/>
        </w:rPr>
        <w:t xml:space="preserve"> </w:t>
      </w:r>
    </w:p>
  </w:footnote>
  <w:footnote w:id="2">
    <w:p w14:paraId="66FCD327" w14:textId="63640679" w:rsidR="006B0A3E" w:rsidRPr="00436F6C" w:rsidRDefault="006B0A3E" w:rsidP="008D2AD3">
      <w:pPr>
        <w:pStyle w:val="FootnoteText"/>
        <w:rPr>
          <w:lang w:val="es-ES"/>
        </w:rPr>
      </w:pPr>
      <w:r w:rsidRPr="00632BC8">
        <w:rPr>
          <w:rStyle w:val="FootnoteReference"/>
          <w:rFonts w:asciiTheme="minorHAnsi" w:hAnsiTheme="minorHAnsi"/>
          <w:sz w:val="18"/>
          <w:szCs w:val="18"/>
          <w:lang w:val="es-ES_tradnl"/>
        </w:rPr>
        <w:footnoteRef/>
      </w:r>
      <w:r w:rsidRPr="00632BC8">
        <w:rPr>
          <w:rFonts w:asciiTheme="minorHAnsi" w:hAnsiTheme="minorHAnsi"/>
          <w:sz w:val="18"/>
          <w:szCs w:val="18"/>
          <w:lang w:val="es-ES_tradnl"/>
        </w:rPr>
        <w:t xml:space="preserve"> </w:t>
      </w:r>
      <w:r>
        <w:rPr>
          <w:rFonts w:asciiTheme="minorHAnsi" w:hAnsiTheme="minorHAnsi"/>
          <w:sz w:val="18"/>
          <w:szCs w:val="18"/>
          <w:lang w:val="es-ES_tradnl"/>
        </w:rPr>
        <w:t xml:space="preserve">El importe definitivo se determinará durante la auditoría del ejercicio 2016. </w:t>
      </w:r>
    </w:p>
  </w:footnote>
  <w:footnote w:id="3">
    <w:p w14:paraId="0C3D78A1" w14:textId="27EFFD6A" w:rsidR="006B0A3E" w:rsidRPr="00D90064" w:rsidRDefault="006B0A3E" w:rsidP="00D90064">
      <w:pPr>
        <w:pStyle w:val="FootnoteText"/>
        <w:rPr>
          <w:lang w:val="es-ES_tradnl"/>
        </w:rPr>
      </w:pPr>
      <w:r w:rsidRPr="00D90064">
        <w:rPr>
          <w:rStyle w:val="FootnoteReference"/>
          <w:rFonts w:asciiTheme="minorHAnsi" w:hAnsiTheme="minorHAnsi"/>
          <w:sz w:val="18"/>
          <w:szCs w:val="18"/>
          <w:lang w:val="es-ES_tradnl"/>
        </w:rPr>
        <w:footnoteRef/>
      </w:r>
      <w:r w:rsidRPr="00D90064">
        <w:rPr>
          <w:rFonts w:asciiTheme="minorHAnsi" w:hAnsiTheme="minorHAnsi"/>
          <w:sz w:val="18"/>
          <w:szCs w:val="18"/>
          <w:lang w:val="es-ES_tradnl"/>
        </w:rPr>
        <w:t xml:space="preserve"> Se debe tener en cuenta que, entre el 1 de enero de 2017 y el 22 de febrero de 2017, las Partes Contratantes abonaron 103.000 francos suizos de las contribuciones impagadas. </w:t>
      </w:r>
    </w:p>
  </w:footnote>
  <w:footnote w:id="4">
    <w:p w14:paraId="1DA93363" w14:textId="1E7FACC2" w:rsidR="006B0A3E" w:rsidRPr="00D90064" w:rsidRDefault="006B0A3E" w:rsidP="000D5509">
      <w:pPr>
        <w:rPr>
          <w:rFonts w:asciiTheme="minorHAnsi" w:hAnsiTheme="minorHAnsi"/>
          <w:sz w:val="18"/>
          <w:szCs w:val="18"/>
          <w:lang w:val="es-ES_tradnl"/>
        </w:rPr>
      </w:pPr>
      <w:r w:rsidRPr="00D90064">
        <w:rPr>
          <w:rStyle w:val="FootnoteReference"/>
          <w:rFonts w:asciiTheme="minorHAnsi" w:hAnsiTheme="minorHAnsi"/>
          <w:sz w:val="18"/>
          <w:szCs w:val="18"/>
          <w:lang w:val="es-ES_tradnl"/>
        </w:rPr>
        <w:footnoteRef/>
      </w:r>
      <w:r w:rsidRPr="00D90064">
        <w:rPr>
          <w:rStyle w:val="FootnoteReference"/>
          <w:rFonts w:asciiTheme="minorHAnsi" w:hAnsiTheme="minorHAnsi"/>
          <w:sz w:val="18"/>
          <w:szCs w:val="18"/>
          <w:lang w:val="es-ES_tradnl"/>
        </w:rPr>
        <w:t xml:space="preserve"> </w:t>
      </w:r>
      <w:r w:rsidRPr="00D90064">
        <w:rPr>
          <w:rFonts w:asciiTheme="minorHAnsi" w:hAnsiTheme="minorHAnsi"/>
          <w:sz w:val="18"/>
          <w:szCs w:val="18"/>
          <w:lang w:val="es-ES_tradnl"/>
        </w:rPr>
        <w:t>Decisión SC52-27: El Comité Permanente encargó a la Secretaría:</w:t>
      </w:r>
    </w:p>
    <w:p w14:paraId="7F250C64" w14:textId="77777777" w:rsidR="006B0A3E" w:rsidRPr="00D90064" w:rsidRDefault="006B0A3E" w:rsidP="000D5509">
      <w:pPr>
        <w:rPr>
          <w:rFonts w:asciiTheme="minorHAnsi" w:hAnsiTheme="minorHAnsi"/>
          <w:sz w:val="18"/>
          <w:szCs w:val="18"/>
          <w:lang w:val="es-ES_tradnl"/>
        </w:rPr>
      </w:pPr>
      <w:r w:rsidRPr="00D90064">
        <w:rPr>
          <w:rFonts w:asciiTheme="minorHAnsi" w:hAnsiTheme="minorHAnsi"/>
          <w:sz w:val="18"/>
          <w:szCs w:val="18"/>
          <w:lang w:val="es-ES_tradnl"/>
        </w:rPr>
        <w:t>• Para los países con atrasos de más de tres años (desde finales de 2015):</w:t>
      </w:r>
    </w:p>
    <w:p w14:paraId="6DC8EADB" w14:textId="0E21FB20" w:rsidR="006B0A3E" w:rsidRPr="00D90064" w:rsidRDefault="006B0A3E" w:rsidP="00D90064">
      <w:pPr>
        <w:ind w:left="284" w:hanging="142"/>
        <w:rPr>
          <w:rFonts w:asciiTheme="minorHAnsi" w:hAnsiTheme="minorHAnsi"/>
          <w:sz w:val="18"/>
          <w:szCs w:val="18"/>
          <w:lang w:val="es-ES_tradnl"/>
        </w:rPr>
      </w:pPr>
      <w:r w:rsidRPr="00D90064">
        <w:rPr>
          <w:rFonts w:asciiTheme="minorHAnsi" w:hAnsiTheme="minorHAnsi"/>
          <w:sz w:val="18"/>
          <w:szCs w:val="18"/>
          <w:lang w:val="es-ES_tradnl"/>
        </w:rPr>
        <w:t>− Colaborar con los coordinadores nacionales de Ramsar para determinar quién es el funcionario o ministro competente (a título individual) que puede solucionar las contribuciones anuales pendientes de pago,</w:t>
      </w:r>
    </w:p>
    <w:p w14:paraId="62FB0CBE" w14:textId="7D48ACDB" w:rsidR="006B0A3E" w:rsidRPr="00D90064" w:rsidRDefault="006B0A3E" w:rsidP="00D90064">
      <w:pPr>
        <w:ind w:left="284" w:hanging="142"/>
        <w:rPr>
          <w:rFonts w:asciiTheme="minorHAnsi" w:hAnsiTheme="minorHAnsi"/>
          <w:sz w:val="18"/>
          <w:szCs w:val="18"/>
          <w:lang w:val="es-ES_tradnl"/>
        </w:rPr>
      </w:pPr>
      <w:r w:rsidRPr="00D90064">
        <w:rPr>
          <w:rFonts w:asciiTheme="minorHAnsi" w:hAnsiTheme="minorHAnsi"/>
          <w:sz w:val="18"/>
          <w:szCs w:val="18"/>
          <w:lang w:val="es-ES_tradnl"/>
        </w:rPr>
        <w:t>− Notificar a esa persona, por escrito, sobre la situación de las contribuciones pendientes de pago, con copia al Ministro de Finanzas (o equivalente), y</w:t>
      </w:r>
    </w:p>
    <w:p w14:paraId="5424CACF" w14:textId="77777777" w:rsidR="006B0A3E" w:rsidRPr="00D90064" w:rsidRDefault="006B0A3E" w:rsidP="00D90064">
      <w:pPr>
        <w:ind w:left="142"/>
        <w:rPr>
          <w:rFonts w:asciiTheme="minorHAnsi" w:hAnsiTheme="minorHAnsi"/>
          <w:sz w:val="18"/>
          <w:szCs w:val="18"/>
          <w:lang w:val="es-ES_tradnl"/>
        </w:rPr>
      </w:pPr>
      <w:r w:rsidRPr="00D90064">
        <w:rPr>
          <w:rFonts w:asciiTheme="minorHAnsi" w:hAnsiTheme="minorHAnsi"/>
          <w:sz w:val="18"/>
          <w:szCs w:val="18"/>
          <w:lang w:val="es-ES_tradnl"/>
        </w:rPr>
        <w:t>− Solicitar acuse de recibo y/o el pago de esas contribuciones pendientes.</w:t>
      </w:r>
    </w:p>
    <w:p w14:paraId="228555B8" w14:textId="77777777" w:rsidR="006B0A3E" w:rsidRPr="00D90064" w:rsidRDefault="006B0A3E" w:rsidP="000D5509">
      <w:pPr>
        <w:rPr>
          <w:rFonts w:asciiTheme="minorHAnsi" w:hAnsiTheme="minorHAnsi"/>
          <w:sz w:val="18"/>
          <w:szCs w:val="18"/>
          <w:lang w:val="es-ES_tradnl"/>
        </w:rPr>
      </w:pPr>
      <w:r w:rsidRPr="00D90064">
        <w:rPr>
          <w:rFonts w:asciiTheme="minorHAnsi" w:hAnsiTheme="minorHAnsi"/>
          <w:sz w:val="18"/>
          <w:szCs w:val="18"/>
          <w:lang w:val="es-ES_tradnl"/>
        </w:rPr>
        <w:t>• Con arreglo a la recomendación formulada por los países de África al Comité Permanente:</w:t>
      </w:r>
    </w:p>
    <w:p w14:paraId="70364A9C" w14:textId="77777777" w:rsidR="006B0A3E" w:rsidRPr="00D90064" w:rsidRDefault="006B0A3E" w:rsidP="00D90064">
      <w:pPr>
        <w:ind w:left="142"/>
        <w:rPr>
          <w:rFonts w:asciiTheme="minorHAnsi" w:hAnsiTheme="minorHAnsi"/>
          <w:sz w:val="18"/>
          <w:szCs w:val="18"/>
          <w:lang w:val="es-ES_tradnl"/>
        </w:rPr>
      </w:pPr>
      <w:r w:rsidRPr="00D90064">
        <w:rPr>
          <w:rFonts w:asciiTheme="minorHAnsi" w:hAnsiTheme="minorHAnsi"/>
          <w:sz w:val="18"/>
          <w:szCs w:val="18"/>
          <w:lang w:val="es-ES_tradnl"/>
        </w:rPr>
        <w:t>− Realizar una evaluación de las contribuciones voluntarias de esa región</w:t>
      </w:r>
    </w:p>
    <w:p w14:paraId="27F47FA7" w14:textId="26E62AC8" w:rsidR="006B0A3E" w:rsidRPr="00D90064" w:rsidRDefault="006B0A3E" w:rsidP="00D90064">
      <w:pPr>
        <w:ind w:left="284" w:hanging="142"/>
        <w:rPr>
          <w:rFonts w:asciiTheme="minorHAnsi" w:hAnsiTheme="minorHAnsi"/>
          <w:sz w:val="18"/>
          <w:szCs w:val="18"/>
          <w:lang w:val="es-ES_tradnl"/>
        </w:rPr>
      </w:pPr>
      <w:r w:rsidRPr="00D90064">
        <w:rPr>
          <w:rFonts w:asciiTheme="minorHAnsi" w:hAnsiTheme="minorHAnsi"/>
          <w:sz w:val="18"/>
          <w:szCs w:val="18"/>
          <w:lang w:val="es-ES_tradnl"/>
        </w:rPr>
        <w:t>− Presentar un informe a la 53ª reunión del Comité Permanente y elaborar un proyecto de resolución en el cual se utilice la palabra “adicional” en lugar de “voluntaria”, teniendo en cuenta las consideraciones de esa región.</w:t>
      </w:r>
    </w:p>
    <w:p w14:paraId="2D497CD3" w14:textId="2EB70629" w:rsidR="006B0A3E" w:rsidRPr="00436F6C" w:rsidRDefault="006B0A3E" w:rsidP="000D5509">
      <w:pPr>
        <w:pStyle w:val="FootnoteText"/>
        <w:rPr>
          <w:lang w:val="es-ES"/>
        </w:rPr>
      </w:pPr>
    </w:p>
    <w:p w14:paraId="49CFEC1B" w14:textId="69D1EF33" w:rsidR="006B0A3E" w:rsidRPr="00436F6C" w:rsidRDefault="006B0A3E" w:rsidP="001565DC">
      <w:pPr>
        <w:pStyle w:val="FootnoteText"/>
        <w:ind w:left="425"/>
        <w:rPr>
          <w:lang w:val="es-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7C17"/>
    <w:multiLevelType w:val="hybridMultilevel"/>
    <w:tmpl w:val="15C0E134"/>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42468E"/>
    <w:multiLevelType w:val="multilevel"/>
    <w:tmpl w:val="6588691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731FBD"/>
    <w:multiLevelType w:val="hybridMultilevel"/>
    <w:tmpl w:val="D6309F90"/>
    <w:lvl w:ilvl="0" w:tplc="0CB24D0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D1913"/>
    <w:multiLevelType w:val="multilevel"/>
    <w:tmpl w:val="FBE8BF00"/>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8F87DB2"/>
    <w:multiLevelType w:val="multilevel"/>
    <w:tmpl w:val="DBC477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08D3C25"/>
    <w:multiLevelType w:val="hybridMultilevel"/>
    <w:tmpl w:val="3072E75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1C128E"/>
    <w:multiLevelType w:val="multilevel"/>
    <w:tmpl w:val="B6A67E90"/>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F8B7D7E"/>
    <w:multiLevelType w:val="hybridMultilevel"/>
    <w:tmpl w:val="1E9A808C"/>
    <w:lvl w:ilvl="0" w:tplc="08090019">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nsid w:val="5B5B7E6B"/>
    <w:multiLevelType w:val="hybridMultilevel"/>
    <w:tmpl w:val="29761478"/>
    <w:lvl w:ilvl="0" w:tplc="83A49FB4">
      <w:start w:val="1"/>
      <w:numFmt w:val="decimal"/>
      <w:lvlText w:val="%1."/>
      <w:lvlJc w:val="left"/>
      <w:pPr>
        <w:ind w:left="720" w:hanging="360"/>
      </w:pPr>
      <w:rPr>
        <w:rFonts w:asciiTheme="minorHAnsi" w:hAnsiTheme="minorHAnsi" w:hint="default"/>
        <w:b w:val="0"/>
        <w:sz w:val="22"/>
        <w:szCs w:val="22"/>
      </w:r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9E0CD8"/>
    <w:multiLevelType w:val="hybridMultilevel"/>
    <w:tmpl w:val="A9082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DBF640C"/>
    <w:multiLevelType w:val="multilevel"/>
    <w:tmpl w:val="FBE8BF00"/>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1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2"/>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851"/>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33"/>
    <w:rsid w:val="00000D9D"/>
    <w:rsid w:val="00004FD1"/>
    <w:rsid w:val="00005336"/>
    <w:rsid w:val="0000629A"/>
    <w:rsid w:val="00006AED"/>
    <w:rsid w:val="000138CA"/>
    <w:rsid w:val="00017A46"/>
    <w:rsid w:val="00022613"/>
    <w:rsid w:val="0002467F"/>
    <w:rsid w:val="000251FF"/>
    <w:rsid w:val="0002556B"/>
    <w:rsid w:val="000334A3"/>
    <w:rsid w:val="000368DA"/>
    <w:rsid w:val="0004366A"/>
    <w:rsid w:val="00044588"/>
    <w:rsid w:val="00051807"/>
    <w:rsid w:val="00056FEB"/>
    <w:rsid w:val="000739CF"/>
    <w:rsid w:val="000817FD"/>
    <w:rsid w:val="0008320D"/>
    <w:rsid w:val="0008660E"/>
    <w:rsid w:val="000A2A20"/>
    <w:rsid w:val="000A30EF"/>
    <w:rsid w:val="000A7157"/>
    <w:rsid w:val="000A7CDB"/>
    <w:rsid w:val="000B0132"/>
    <w:rsid w:val="000B06A3"/>
    <w:rsid w:val="000B26D3"/>
    <w:rsid w:val="000B6221"/>
    <w:rsid w:val="000B78E5"/>
    <w:rsid w:val="000C3E5D"/>
    <w:rsid w:val="000C621F"/>
    <w:rsid w:val="000D5509"/>
    <w:rsid w:val="000D6A66"/>
    <w:rsid w:val="000D73E8"/>
    <w:rsid w:val="000F1AF5"/>
    <w:rsid w:val="000F3B60"/>
    <w:rsid w:val="000F63F9"/>
    <w:rsid w:val="000F729D"/>
    <w:rsid w:val="0010113F"/>
    <w:rsid w:val="00113F2C"/>
    <w:rsid w:val="0012208C"/>
    <w:rsid w:val="00124C1F"/>
    <w:rsid w:val="0012784A"/>
    <w:rsid w:val="00133C00"/>
    <w:rsid w:val="00141738"/>
    <w:rsid w:val="00150DBB"/>
    <w:rsid w:val="00152374"/>
    <w:rsid w:val="00152C44"/>
    <w:rsid w:val="001565DC"/>
    <w:rsid w:val="0015666F"/>
    <w:rsid w:val="00160B5F"/>
    <w:rsid w:val="0016641A"/>
    <w:rsid w:val="001667B3"/>
    <w:rsid w:val="00167933"/>
    <w:rsid w:val="001817E1"/>
    <w:rsid w:val="00183E1C"/>
    <w:rsid w:val="001849B9"/>
    <w:rsid w:val="00185224"/>
    <w:rsid w:val="00186676"/>
    <w:rsid w:val="00186D68"/>
    <w:rsid w:val="00187A55"/>
    <w:rsid w:val="00190E70"/>
    <w:rsid w:val="0019138B"/>
    <w:rsid w:val="00192218"/>
    <w:rsid w:val="001923A5"/>
    <w:rsid w:val="0019401F"/>
    <w:rsid w:val="001B234E"/>
    <w:rsid w:val="001B54E6"/>
    <w:rsid w:val="001C7111"/>
    <w:rsid w:val="001C7D04"/>
    <w:rsid w:val="001D03B1"/>
    <w:rsid w:val="001D1A13"/>
    <w:rsid w:val="001E317D"/>
    <w:rsid w:val="001E78AC"/>
    <w:rsid w:val="001E7CDF"/>
    <w:rsid w:val="001F24FA"/>
    <w:rsid w:val="00204E8C"/>
    <w:rsid w:val="002110C7"/>
    <w:rsid w:val="00211D5E"/>
    <w:rsid w:val="00220986"/>
    <w:rsid w:val="00223492"/>
    <w:rsid w:val="00225F25"/>
    <w:rsid w:val="00231331"/>
    <w:rsid w:val="00235D06"/>
    <w:rsid w:val="0023616E"/>
    <w:rsid w:val="00236FAF"/>
    <w:rsid w:val="00240AB5"/>
    <w:rsid w:val="00241FA1"/>
    <w:rsid w:val="002437E3"/>
    <w:rsid w:val="00247B34"/>
    <w:rsid w:val="002521E9"/>
    <w:rsid w:val="0025756D"/>
    <w:rsid w:val="002604E6"/>
    <w:rsid w:val="0026069D"/>
    <w:rsid w:val="00260AF4"/>
    <w:rsid w:val="00262C9D"/>
    <w:rsid w:val="0027337C"/>
    <w:rsid w:val="002749FE"/>
    <w:rsid w:val="0028389A"/>
    <w:rsid w:val="00285449"/>
    <w:rsid w:val="00290A83"/>
    <w:rsid w:val="002919A9"/>
    <w:rsid w:val="002B2086"/>
    <w:rsid w:val="002B2B86"/>
    <w:rsid w:val="002B6306"/>
    <w:rsid w:val="002C2F06"/>
    <w:rsid w:val="002C4363"/>
    <w:rsid w:val="002C7884"/>
    <w:rsid w:val="002D0441"/>
    <w:rsid w:val="002E257F"/>
    <w:rsid w:val="002E3881"/>
    <w:rsid w:val="002E73A8"/>
    <w:rsid w:val="003044E1"/>
    <w:rsid w:val="00305284"/>
    <w:rsid w:val="00305809"/>
    <w:rsid w:val="00314C1E"/>
    <w:rsid w:val="003159D6"/>
    <w:rsid w:val="003240CC"/>
    <w:rsid w:val="00324248"/>
    <w:rsid w:val="003313F8"/>
    <w:rsid w:val="00342AE2"/>
    <w:rsid w:val="003457A3"/>
    <w:rsid w:val="00347937"/>
    <w:rsid w:val="003626FF"/>
    <w:rsid w:val="003627A8"/>
    <w:rsid w:val="003632AE"/>
    <w:rsid w:val="00370EDC"/>
    <w:rsid w:val="00384DDC"/>
    <w:rsid w:val="003857FC"/>
    <w:rsid w:val="00387DBA"/>
    <w:rsid w:val="00391E0E"/>
    <w:rsid w:val="00393420"/>
    <w:rsid w:val="003950B8"/>
    <w:rsid w:val="003A09A4"/>
    <w:rsid w:val="003A589C"/>
    <w:rsid w:val="003A66D7"/>
    <w:rsid w:val="003B0EBB"/>
    <w:rsid w:val="003B7B1C"/>
    <w:rsid w:val="003C58DD"/>
    <w:rsid w:val="003C6AAA"/>
    <w:rsid w:val="003D1FAA"/>
    <w:rsid w:val="003D425B"/>
    <w:rsid w:val="003E0A63"/>
    <w:rsid w:val="003E3C96"/>
    <w:rsid w:val="003F309D"/>
    <w:rsid w:val="003F3484"/>
    <w:rsid w:val="003F66B4"/>
    <w:rsid w:val="003F6D4B"/>
    <w:rsid w:val="003F7A3B"/>
    <w:rsid w:val="004015B9"/>
    <w:rsid w:val="004116D0"/>
    <w:rsid w:val="00420F45"/>
    <w:rsid w:val="00427F1F"/>
    <w:rsid w:val="00432977"/>
    <w:rsid w:val="00436F6C"/>
    <w:rsid w:val="004452E9"/>
    <w:rsid w:val="004561C4"/>
    <w:rsid w:val="00463531"/>
    <w:rsid w:val="0047717E"/>
    <w:rsid w:val="0049071C"/>
    <w:rsid w:val="00491981"/>
    <w:rsid w:val="00494E10"/>
    <w:rsid w:val="00496282"/>
    <w:rsid w:val="004A0F35"/>
    <w:rsid w:val="004A5431"/>
    <w:rsid w:val="004A7272"/>
    <w:rsid w:val="004C741E"/>
    <w:rsid w:val="004D0955"/>
    <w:rsid w:val="004E33DC"/>
    <w:rsid w:val="004F1DB5"/>
    <w:rsid w:val="004F3AB1"/>
    <w:rsid w:val="004F3CC9"/>
    <w:rsid w:val="004F4E14"/>
    <w:rsid w:val="004F57BA"/>
    <w:rsid w:val="004F60A9"/>
    <w:rsid w:val="005100CD"/>
    <w:rsid w:val="00520248"/>
    <w:rsid w:val="0052288D"/>
    <w:rsid w:val="00522DB3"/>
    <w:rsid w:val="005349D8"/>
    <w:rsid w:val="00537DC2"/>
    <w:rsid w:val="005410BE"/>
    <w:rsid w:val="00542E69"/>
    <w:rsid w:val="00545C2C"/>
    <w:rsid w:val="0054714C"/>
    <w:rsid w:val="00552454"/>
    <w:rsid w:val="005534FD"/>
    <w:rsid w:val="00554FED"/>
    <w:rsid w:val="00555EF8"/>
    <w:rsid w:val="00562502"/>
    <w:rsid w:val="005648B5"/>
    <w:rsid w:val="005659FC"/>
    <w:rsid w:val="00567EAB"/>
    <w:rsid w:val="00580684"/>
    <w:rsid w:val="00586EBD"/>
    <w:rsid w:val="005966C7"/>
    <w:rsid w:val="005A05B9"/>
    <w:rsid w:val="005A1AD0"/>
    <w:rsid w:val="005A6EFC"/>
    <w:rsid w:val="005B3572"/>
    <w:rsid w:val="005B4475"/>
    <w:rsid w:val="005C0B9D"/>
    <w:rsid w:val="005C1815"/>
    <w:rsid w:val="005D4F37"/>
    <w:rsid w:val="005D6B30"/>
    <w:rsid w:val="005E1897"/>
    <w:rsid w:val="005E1E4B"/>
    <w:rsid w:val="005E3255"/>
    <w:rsid w:val="005E37CC"/>
    <w:rsid w:val="005F0A54"/>
    <w:rsid w:val="005F1238"/>
    <w:rsid w:val="005F2612"/>
    <w:rsid w:val="005F6933"/>
    <w:rsid w:val="005F6979"/>
    <w:rsid w:val="005F7F24"/>
    <w:rsid w:val="006003F3"/>
    <w:rsid w:val="006018B5"/>
    <w:rsid w:val="006020F5"/>
    <w:rsid w:val="00603632"/>
    <w:rsid w:val="00603FE5"/>
    <w:rsid w:val="0060429E"/>
    <w:rsid w:val="00607E86"/>
    <w:rsid w:val="00611296"/>
    <w:rsid w:val="0062018C"/>
    <w:rsid w:val="00623F5C"/>
    <w:rsid w:val="0062771A"/>
    <w:rsid w:val="00632BC8"/>
    <w:rsid w:val="00641C7B"/>
    <w:rsid w:val="00646D6C"/>
    <w:rsid w:val="00664DEA"/>
    <w:rsid w:val="00667479"/>
    <w:rsid w:val="00671285"/>
    <w:rsid w:val="006755B6"/>
    <w:rsid w:val="00680535"/>
    <w:rsid w:val="00682AC4"/>
    <w:rsid w:val="00684539"/>
    <w:rsid w:val="006967A8"/>
    <w:rsid w:val="0069724F"/>
    <w:rsid w:val="00697B30"/>
    <w:rsid w:val="006A29FB"/>
    <w:rsid w:val="006A7362"/>
    <w:rsid w:val="006B0A3E"/>
    <w:rsid w:val="006B5AD8"/>
    <w:rsid w:val="006C4E36"/>
    <w:rsid w:val="006C5FE5"/>
    <w:rsid w:val="006C6B9E"/>
    <w:rsid w:val="006D5A3F"/>
    <w:rsid w:val="006D7760"/>
    <w:rsid w:val="006F53E8"/>
    <w:rsid w:val="006F5E62"/>
    <w:rsid w:val="0070040D"/>
    <w:rsid w:val="0071003D"/>
    <w:rsid w:val="007150D9"/>
    <w:rsid w:val="00720AE9"/>
    <w:rsid w:val="0072177A"/>
    <w:rsid w:val="00723595"/>
    <w:rsid w:val="007242AE"/>
    <w:rsid w:val="0073038E"/>
    <w:rsid w:val="0073092B"/>
    <w:rsid w:val="00737598"/>
    <w:rsid w:val="00746E33"/>
    <w:rsid w:val="00747EB3"/>
    <w:rsid w:val="00750353"/>
    <w:rsid w:val="00752F09"/>
    <w:rsid w:val="0075705E"/>
    <w:rsid w:val="00764A23"/>
    <w:rsid w:val="007654CB"/>
    <w:rsid w:val="00766996"/>
    <w:rsid w:val="00770B39"/>
    <w:rsid w:val="00771A59"/>
    <w:rsid w:val="00774E34"/>
    <w:rsid w:val="00781AFE"/>
    <w:rsid w:val="007826E0"/>
    <w:rsid w:val="00792244"/>
    <w:rsid w:val="00795F82"/>
    <w:rsid w:val="007A3696"/>
    <w:rsid w:val="007B2E59"/>
    <w:rsid w:val="007B728C"/>
    <w:rsid w:val="007B7C95"/>
    <w:rsid w:val="007C5B75"/>
    <w:rsid w:val="007E1DC6"/>
    <w:rsid w:val="007E2C7A"/>
    <w:rsid w:val="007E4D5D"/>
    <w:rsid w:val="007F00A9"/>
    <w:rsid w:val="007F2E09"/>
    <w:rsid w:val="00806A3A"/>
    <w:rsid w:val="00811D49"/>
    <w:rsid w:val="00811D6A"/>
    <w:rsid w:val="00812D10"/>
    <w:rsid w:val="00823F13"/>
    <w:rsid w:val="00827066"/>
    <w:rsid w:val="00833610"/>
    <w:rsid w:val="00835E22"/>
    <w:rsid w:val="008371AC"/>
    <w:rsid w:val="00846409"/>
    <w:rsid w:val="00847F61"/>
    <w:rsid w:val="00856D0E"/>
    <w:rsid w:val="00865022"/>
    <w:rsid w:val="00866C39"/>
    <w:rsid w:val="00876450"/>
    <w:rsid w:val="00876902"/>
    <w:rsid w:val="00882A11"/>
    <w:rsid w:val="00882E80"/>
    <w:rsid w:val="00883C01"/>
    <w:rsid w:val="008862E5"/>
    <w:rsid w:val="008A3F26"/>
    <w:rsid w:val="008B1FDD"/>
    <w:rsid w:val="008B2880"/>
    <w:rsid w:val="008B6492"/>
    <w:rsid w:val="008C306B"/>
    <w:rsid w:val="008C40C7"/>
    <w:rsid w:val="008D2AD3"/>
    <w:rsid w:val="008D580F"/>
    <w:rsid w:val="008D6FBA"/>
    <w:rsid w:val="008D79E1"/>
    <w:rsid w:val="008E007B"/>
    <w:rsid w:val="008E02ED"/>
    <w:rsid w:val="008E3EAD"/>
    <w:rsid w:val="008E5000"/>
    <w:rsid w:val="008E774F"/>
    <w:rsid w:val="008F622C"/>
    <w:rsid w:val="00910D27"/>
    <w:rsid w:val="009136E7"/>
    <w:rsid w:val="00916B74"/>
    <w:rsid w:val="00916E8C"/>
    <w:rsid w:val="00920234"/>
    <w:rsid w:val="00924F5F"/>
    <w:rsid w:val="00932734"/>
    <w:rsid w:val="0094113A"/>
    <w:rsid w:val="0094312C"/>
    <w:rsid w:val="00943AA3"/>
    <w:rsid w:val="00945C38"/>
    <w:rsid w:val="00945D26"/>
    <w:rsid w:val="0094631D"/>
    <w:rsid w:val="00946A42"/>
    <w:rsid w:val="00947AFC"/>
    <w:rsid w:val="00950216"/>
    <w:rsid w:val="00952F50"/>
    <w:rsid w:val="00957A6D"/>
    <w:rsid w:val="00964BCB"/>
    <w:rsid w:val="009678FC"/>
    <w:rsid w:val="00976FD8"/>
    <w:rsid w:val="009773EC"/>
    <w:rsid w:val="009832C2"/>
    <w:rsid w:val="00990872"/>
    <w:rsid w:val="0099535E"/>
    <w:rsid w:val="009A2159"/>
    <w:rsid w:val="009A26EF"/>
    <w:rsid w:val="009A2B8A"/>
    <w:rsid w:val="009A50F7"/>
    <w:rsid w:val="009A5BF0"/>
    <w:rsid w:val="009B1070"/>
    <w:rsid w:val="009B4034"/>
    <w:rsid w:val="009C01EE"/>
    <w:rsid w:val="009C3ECB"/>
    <w:rsid w:val="009F3C1F"/>
    <w:rsid w:val="009F6684"/>
    <w:rsid w:val="00A04293"/>
    <w:rsid w:val="00A072F1"/>
    <w:rsid w:val="00A14A5A"/>
    <w:rsid w:val="00A16D57"/>
    <w:rsid w:val="00A2129F"/>
    <w:rsid w:val="00A24CA5"/>
    <w:rsid w:val="00A36780"/>
    <w:rsid w:val="00A37553"/>
    <w:rsid w:val="00A4110B"/>
    <w:rsid w:val="00A44E24"/>
    <w:rsid w:val="00A5446F"/>
    <w:rsid w:val="00A574BB"/>
    <w:rsid w:val="00A60E11"/>
    <w:rsid w:val="00A62A2B"/>
    <w:rsid w:val="00A6376A"/>
    <w:rsid w:val="00A7416E"/>
    <w:rsid w:val="00A818D6"/>
    <w:rsid w:val="00A81B6A"/>
    <w:rsid w:val="00A86E76"/>
    <w:rsid w:val="00A8722A"/>
    <w:rsid w:val="00A91525"/>
    <w:rsid w:val="00A928D9"/>
    <w:rsid w:val="00A937AB"/>
    <w:rsid w:val="00AA0AFF"/>
    <w:rsid w:val="00AA1F6B"/>
    <w:rsid w:val="00AA457F"/>
    <w:rsid w:val="00AA4A7C"/>
    <w:rsid w:val="00AA5278"/>
    <w:rsid w:val="00AA66B9"/>
    <w:rsid w:val="00AB0B71"/>
    <w:rsid w:val="00AB3BE1"/>
    <w:rsid w:val="00AC4F8C"/>
    <w:rsid w:val="00AD067B"/>
    <w:rsid w:val="00AD1611"/>
    <w:rsid w:val="00AD28C6"/>
    <w:rsid w:val="00AD3D9E"/>
    <w:rsid w:val="00AD50C0"/>
    <w:rsid w:val="00AD5DD1"/>
    <w:rsid w:val="00AE3AD2"/>
    <w:rsid w:val="00AE4B8C"/>
    <w:rsid w:val="00AE6E7B"/>
    <w:rsid w:val="00AF42DF"/>
    <w:rsid w:val="00AF520E"/>
    <w:rsid w:val="00B074EB"/>
    <w:rsid w:val="00B228CC"/>
    <w:rsid w:val="00B306C4"/>
    <w:rsid w:val="00B33756"/>
    <w:rsid w:val="00B36116"/>
    <w:rsid w:val="00B40201"/>
    <w:rsid w:val="00B447E6"/>
    <w:rsid w:val="00B44A64"/>
    <w:rsid w:val="00B469E0"/>
    <w:rsid w:val="00B51787"/>
    <w:rsid w:val="00B56220"/>
    <w:rsid w:val="00B6362D"/>
    <w:rsid w:val="00B66A55"/>
    <w:rsid w:val="00B6767E"/>
    <w:rsid w:val="00B7463C"/>
    <w:rsid w:val="00B76ED8"/>
    <w:rsid w:val="00B87AD4"/>
    <w:rsid w:val="00B922EA"/>
    <w:rsid w:val="00BA1BFB"/>
    <w:rsid w:val="00BA1DC9"/>
    <w:rsid w:val="00BA4FB1"/>
    <w:rsid w:val="00BA5FB7"/>
    <w:rsid w:val="00BB4BF3"/>
    <w:rsid w:val="00BB5963"/>
    <w:rsid w:val="00BB68F3"/>
    <w:rsid w:val="00BC697D"/>
    <w:rsid w:val="00BC6BF6"/>
    <w:rsid w:val="00BD0520"/>
    <w:rsid w:val="00BD4BC8"/>
    <w:rsid w:val="00BE00D7"/>
    <w:rsid w:val="00BE4BDA"/>
    <w:rsid w:val="00BF2CA4"/>
    <w:rsid w:val="00BF3884"/>
    <w:rsid w:val="00C0417D"/>
    <w:rsid w:val="00C0756D"/>
    <w:rsid w:val="00C07763"/>
    <w:rsid w:val="00C126A4"/>
    <w:rsid w:val="00C160EF"/>
    <w:rsid w:val="00C16C3E"/>
    <w:rsid w:val="00C170EF"/>
    <w:rsid w:val="00C22102"/>
    <w:rsid w:val="00C232BB"/>
    <w:rsid w:val="00C24E73"/>
    <w:rsid w:val="00C24FDC"/>
    <w:rsid w:val="00C25AA3"/>
    <w:rsid w:val="00C31D14"/>
    <w:rsid w:val="00C34133"/>
    <w:rsid w:val="00C37DBB"/>
    <w:rsid w:val="00C4111D"/>
    <w:rsid w:val="00C44E44"/>
    <w:rsid w:val="00C533FB"/>
    <w:rsid w:val="00C538CB"/>
    <w:rsid w:val="00C54947"/>
    <w:rsid w:val="00C60110"/>
    <w:rsid w:val="00C8247B"/>
    <w:rsid w:val="00C837E4"/>
    <w:rsid w:val="00C87DC0"/>
    <w:rsid w:val="00C9414D"/>
    <w:rsid w:val="00C94FA8"/>
    <w:rsid w:val="00CA0CD7"/>
    <w:rsid w:val="00CA142A"/>
    <w:rsid w:val="00CA2889"/>
    <w:rsid w:val="00CA4F6D"/>
    <w:rsid w:val="00CA7BB8"/>
    <w:rsid w:val="00CB573C"/>
    <w:rsid w:val="00CC016F"/>
    <w:rsid w:val="00CC0C9B"/>
    <w:rsid w:val="00CC7F09"/>
    <w:rsid w:val="00CD2E33"/>
    <w:rsid w:val="00CE04EF"/>
    <w:rsid w:val="00CF2225"/>
    <w:rsid w:val="00CF5D82"/>
    <w:rsid w:val="00CF6E51"/>
    <w:rsid w:val="00D03792"/>
    <w:rsid w:val="00D03D55"/>
    <w:rsid w:val="00D07449"/>
    <w:rsid w:val="00D12369"/>
    <w:rsid w:val="00D16308"/>
    <w:rsid w:val="00D20DBE"/>
    <w:rsid w:val="00D214B3"/>
    <w:rsid w:val="00D21B2C"/>
    <w:rsid w:val="00D2373F"/>
    <w:rsid w:val="00D2475F"/>
    <w:rsid w:val="00D35109"/>
    <w:rsid w:val="00D36616"/>
    <w:rsid w:val="00D407AA"/>
    <w:rsid w:val="00D41B67"/>
    <w:rsid w:val="00D425DF"/>
    <w:rsid w:val="00D502E9"/>
    <w:rsid w:val="00D617A3"/>
    <w:rsid w:val="00D628EC"/>
    <w:rsid w:val="00D64CB4"/>
    <w:rsid w:val="00D64D54"/>
    <w:rsid w:val="00D650D9"/>
    <w:rsid w:val="00D6547F"/>
    <w:rsid w:val="00D75C30"/>
    <w:rsid w:val="00D83960"/>
    <w:rsid w:val="00D90064"/>
    <w:rsid w:val="00D92B8C"/>
    <w:rsid w:val="00D93924"/>
    <w:rsid w:val="00DA4846"/>
    <w:rsid w:val="00DA678C"/>
    <w:rsid w:val="00DB7369"/>
    <w:rsid w:val="00DC11C0"/>
    <w:rsid w:val="00DC3520"/>
    <w:rsid w:val="00DC6092"/>
    <w:rsid w:val="00DC6B26"/>
    <w:rsid w:val="00DC7529"/>
    <w:rsid w:val="00DD29C8"/>
    <w:rsid w:val="00DE567C"/>
    <w:rsid w:val="00DF4E55"/>
    <w:rsid w:val="00DF7215"/>
    <w:rsid w:val="00E0659B"/>
    <w:rsid w:val="00E10E30"/>
    <w:rsid w:val="00E12543"/>
    <w:rsid w:val="00E12DD0"/>
    <w:rsid w:val="00E15503"/>
    <w:rsid w:val="00E213B7"/>
    <w:rsid w:val="00E223AA"/>
    <w:rsid w:val="00E23E46"/>
    <w:rsid w:val="00E24952"/>
    <w:rsid w:val="00E25509"/>
    <w:rsid w:val="00E30E6A"/>
    <w:rsid w:val="00E31D60"/>
    <w:rsid w:val="00E33904"/>
    <w:rsid w:val="00E41805"/>
    <w:rsid w:val="00E60DC9"/>
    <w:rsid w:val="00E64E26"/>
    <w:rsid w:val="00E675B5"/>
    <w:rsid w:val="00E7310F"/>
    <w:rsid w:val="00E75166"/>
    <w:rsid w:val="00E83A6F"/>
    <w:rsid w:val="00E84A57"/>
    <w:rsid w:val="00E85496"/>
    <w:rsid w:val="00E9087C"/>
    <w:rsid w:val="00EA3D0E"/>
    <w:rsid w:val="00EA549C"/>
    <w:rsid w:val="00EA5E8E"/>
    <w:rsid w:val="00EA674B"/>
    <w:rsid w:val="00EB03F9"/>
    <w:rsid w:val="00EB1875"/>
    <w:rsid w:val="00EB4E1D"/>
    <w:rsid w:val="00EB63F1"/>
    <w:rsid w:val="00EC4B47"/>
    <w:rsid w:val="00EC4C7A"/>
    <w:rsid w:val="00EC7CFA"/>
    <w:rsid w:val="00ED12DF"/>
    <w:rsid w:val="00ED2DE2"/>
    <w:rsid w:val="00ED3823"/>
    <w:rsid w:val="00ED7B50"/>
    <w:rsid w:val="00EE17FA"/>
    <w:rsid w:val="00EE32B3"/>
    <w:rsid w:val="00EE77EC"/>
    <w:rsid w:val="00EF1FD7"/>
    <w:rsid w:val="00EF2B04"/>
    <w:rsid w:val="00EF4612"/>
    <w:rsid w:val="00EF6468"/>
    <w:rsid w:val="00F00A2D"/>
    <w:rsid w:val="00F04713"/>
    <w:rsid w:val="00F054BE"/>
    <w:rsid w:val="00F11E62"/>
    <w:rsid w:val="00F2383A"/>
    <w:rsid w:val="00F33C3F"/>
    <w:rsid w:val="00F3474C"/>
    <w:rsid w:val="00F351CA"/>
    <w:rsid w:val="00F36482"/>
    <w:rsid w:val="00F4142F"/>
    <w:rsid w:val="00F6080F"/>
    <w:rsid w:val="00F7129C"/>
    <w:rsid w:val="00F745D0"/>
    <w:rsid w:val="00F77B7B"/>
    <w:rsid w:val="00F81A2F"/>
    <w:rsid w:val="00F841FC"/>
    <w:rsid w:val="00F8523A"/>
    <w:rsid w:val="00FA5056"/>
    <w:rsid w:val="00FB48B7"/>
    <w:rsid w:val="00FB72DE"/>
    <w:rsid w:val="00FB7AF7"/>
    <w:rsid w:val="00FC0DB0"/>
    <w:rsid w:val="00FD050B"/>
    <w:rsid w:val="00FD4C37"/>
    <w:rsid w:val="00FE2FD3"/>
    <w:rsid w:val="00FE4BDA"/>
    <w:rsid w:val="00FF39B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EA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sz w:val="24"/>
        <w:szCs w:val="24"/>
        <w:lang w:val="en-GB" w:eastAsia="en-GB" w:bidi="ar-SA"/>
      </w:rPr>
    </w:rPrDefault>
    <w:pPrDefault/>
  </w:docDefaults>
  <w:latentStyles w:defLockedState="0" w:defUIPriority="0" w:defSemiHidden="0" w:defUnhideWhenUsed="0" w:defQFormat="0" w:count="267"/>
  <w:style w:type="paragraph" w:default="1" w:styleId="Normal">
    <w:name w:val="Normal"/>
    <w:qFormat/>
    <w:rsid w:val="0072564A"/>
    <w:rPr>
      <w:lang w:val="en-US" w:eastAsia="en-US"/>
    </w:rPr>
  </w:style>
  <w:style w:type="paragraph" w:styleId="Heading3">
    <w:name w:val="heading 3"/>
    <w:basedOn w:val="Normal"/>
    <w:next w:val="Normal"/>
    <w:qFormat/>
    <w:rsid w:val="00D63F69"/>
    <w:pPr>
      <w:keepNext/>
      <w:jc w:val="right"/>
      <w:outlineLvl w:val="2"/>
    </w:pPr>
    <w:rPr>
      <w:rFonts w:ascii="Garamond" w:eastAsia="Times New Roman" w:hAnsi="Garamond"/>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6CF8"/>
    <w:pPr>
      <w:spacing w:before="100" w:beforeAutospacing="1" w:after="100" w:afterAutospacing="1"/>
    </w:pPr>
    <w:rPr>
      <w:rFonts w:ascii="Gulim" w:eastAsia="Gulim" w:hAnsi="Gulim" w:cs="Gulim"/>
      <w:lang w:eastAsia="ko-KR"/>
    </w:rPr>
  </w:style>
  <w:style w:type="paragraph" w:styleId="BalloonText">
    <w:name w:val="Balloon Text"/>
    <w:basedOn w:val="Normal"/>
    <w:semiHidden/>
    <w:rsid w:val="00E45C25"/>
    <w:rPr>
      <w:rFonts w:ascii="Arial" w:eastAsia="Dotum" w:hAnsi="Arial"/>
      <w:sz w:val="18"/>
      <w:szCs w:val="18"/>
    </w:rPr>
  </w:style>
  <w:style w:type="paragraph" w:styleId="Footer">
    <w:name w:val="footer"/>
    <w:basedOn w:val="Normal"/>
    <w:link w:val="FooterChar"/>
    <w:rsid w:val="006F4F21"/>
    <w:pPr>
      <w:tabs>
        <w:tab w:val="center" w:pos="4320"/>
        <w:tab w:val="right" w:pos="8640"/>
      </w:tabs>
    </w:pPr>
  </w:style>
  <w:style w:type="character" w:styleId="PageNumber">
    <w:name w:val="page number"/>
    <w:basedOn w:val="DefaultParagraphFont"/>
    <w:rsid w:val="006F4F21"/>
  </w:style>
  <w:style w:type="character" w:styleId="CommentReference">
    <w:name w:val="annotation reference"/>
    <w:basedOn w:val="DefaultParagraphFont"/>
    <w:semiHidden/>
    <w:rsid w:val="001F2842"/>
    <w:rPr>
      <w:sz w:val="16"/>
      <w:szCs w:val="16"/>
    </w:rPr>
  </w:style>
  <w:style w:type="paragraph" w:styleId="CommentText">
    <w:name w:val="annotation text"/>
    <w:basedOn w:val="Normal"/>
    <w:semiHidden/>
    <w:rsid w:val="001F2842"/>
    <w:rPr>
      <w:sz w:val="20"/>
      <w:szCs w:val="20"/>
    </w:rPr>
  </w:style>
  <w:style w:type="paragraph" w:styleId="CommentSubject">
    <w:name w:val="annotation subject"/>
    <w:basedOn w:val="CommentText"/>
    <w:next w:val="CommentText"/>
    <w:semiHidden/>
    <w:rsid w:val="001F2842"/>
    <w:rPr>
      <w:b/>
      <w:bCs/>
    </w:rPr>
  </w:style>
  <w:style w:type="paragraph" w:styleId="FootnoteText">
    <w:name w:val="footnote text"/>
    <w:basedOn w:val="Normal"/>
    <w:semiHidden/>
    <w:rsid w:val="00C22C92"/>
    <w:rPr>
      <w:sz w:val="20"/>
      <w:szCs w:val="20"/>
    </w:rPr>
  </w:style>
  <w:style w:type="character" w:styleId="FootnoteReference">
    <w:name w:val="footnote reference"/>
    <w:basedOn w:val="DefaultParagraphFont"/>
    <w:semiHidden/>
    <w:rsid w:val="00C22C92"/>
    <w:rPr>
      <w:vertAlign w:val="superscript"/>
    </w:rPr>
  </w:style>
  <w:style w:type="paragraph" w:styleId="Header">
    <w:name w:val="header"/>
    <w:basedOn w:val="Normal"/>
    <w:link w:val="HeaderChar"/>
    <w:uiPriority w:val="99"/>
    <w:rsid w:val="002F381C"/>
    <w:pPr>
      <w:tabs>
        <w:tab w:val="center" w:pos="4320"/>
        <w:tab w:val="right" w:pos="8640"/>
      </w:tabs>
    </w:pPr>
  </w:style>
  <w:style w:type="paragraph" w:styleId="EndnoteText">
    <w:name w:val="endnote text"/>
    <w:basedOn w:val="Normal"/>
    <w:link w:val="EndnoteTextChar"/>
    <w:rsid w:val="00E536CA"/>
    <w:rPr>
      <w:sz w:val="20"/>
      <w:szCs w:val="20"/>
    </w:rPr>
  </w:style>
  <w:style w:type="character" w:customStyle="1" w:styleId="EndnoteTextChar">
    <w:name w:val="Endnote Text Char"/>
    <w:basedOn w:val="DefaultParagraphFont"/>
    <w:link w:val="EndnoteText"/>
    <w:rsid w:val="00E536CA"/>
  </w:style>
  <w:style w:type="character" w:styleId="EndnoteReference">
    <w:name w:val="endnote reference"/>
    <w:basedOn w:val="DefaultParagraphFont"/>
    <w:rsid w:val="00E536CA"/>
    <w:rPr>
      <w:vertAlign w:val="superscript"/>
    </w:rPr>
  </w:style>
  <w:style w:type="paragraph" w:customStyle="1" w:styleId="Default">
    <w:name w:val="Default"/>
    <w:rsid w:val="00E536CA"/>
    <w:pPr>
      <w:autoSpaceDE w:val="0"/>
      <w:autoSpaceDN w:val="0"/>
      <w:adjustRightInd w:val="0"/>
    </w:pPr>
    <w:rPr>
      <w:color w:val="000000"/>
      <w:lang w:val="en-US" w:eastAsia="en-US"/>
    </w:rPr>
  </w:style>
  <w:style w:type="paragraph" w:customStyle="1" w:styleId="MediumGrid1-Accent21">
    <w:name w:val="Medium Grid 1 - Accent 21"/>
    <w:basedOn w:val="Normal"/>
    <w:uiPriority w:val="34"/>
    <w:qFormat/>
    <w:rsid w:val="00FF77D6"/>
    <w:pPr>
      <w:ind w:left="720"/>
    </w:pPr>
  </w:style>
  <w:style w:type="table" w:styleId="TableGrid">
    <w:name w:val="Table Grid"/>
    <w:basedOn w:val="TableNormal"/>
    <w:rsid w:val="00053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26EFC"/>
    <w:rPr>
      <w:b/>
      <w:bCs/>
      <w:i w:val="0"/>
      <w:iCs w:val="0"/>
    </w:rPr>
  </w:style>
  <w:style w:type="character" w:customStyle="1" w:styleId="st1">
    <w:name w:val="st1"/>
    <w:basedOn w:val="DefaultParagraphFont"/>
    <w:rsid w:val="00326EFC"/>
  </w:style>
  <w:style w:type="character" w:styleId="Hyperlink">
    <w:name w:val="Hyperlink"/>
    <w:basedOn w:val="DefaultParagraphFont"/>
    <w:rsid w:val="00326EFC"/>
    <w:rPr>
      <w:color w:val="0000FF"/>
      <w:u w:val="single"/>
    </w:rPr>
  </w:style>
  <w:style w:type="paragraph" w:customStyle="1" w:styleId="ColorfulList-Accent11">
    <w:name w:val="Colorful List - Accent 11"/>
    <w:basedOn w:val="Normal"/>
    <w:uiPriority w:val="34"/>
    <w:qFormat/>
    <w:rsid w:val="00DF5A86"/>
    <w:pPr>
      <w:spacing w:after="200" w:line="276" w:lineRule="auto"/>
      <w:ind w:left="720"/>
      <w:contextualSpacing/>
    </w:pPr>
    <w:rPr>
      <w:rFonts w:ascii="Calibri" w:eastAsia="Calibri" w:hAnsi="Calibri"/>
      <w:sz w:val="22"/>
      <w:szCs w:val="22"/>
      <w:lang w:val="en-GB"/>
    </w:rPr>
  </w:style>
  <w:style w:type="paragraph" w:customStyle="1" w:styleId="ColorfulShading-Accent11">
    <w:name w:val="Colorful Shading - Accent 11"/>
    <w:hidden/>
    <w:uiPriority w:val="99"/>
    <w:semiHidden/>
    <w:rsid w:val="002E2A6A"/>
    <w:rPr>
      <w:lang w:val="en-US" w:eastAsia="en-US"/>
    </w:rPr>
  </w:style>
  <w:style w:type="paragraph" w:styleId="Revision">
    <w:name w:val="Revision"/>
    <w:hidden/>
    <w:uiPriority w:val="99"/>
    <w:semiHidden/>
    <w:rsid w:val="007242AE"/>
    <w:rPr>
      <w:lang w:val="en-US" w:eastAsia="en-US"/>
    </w:rPr>
  </w:style>
  <w:style w:type="paragraph" w:styleId="ListParagraph">
    <w:name w:val="List Paragraph"/>
    <w:basedOn w:val="Normal"/>
    <w:uiPriority w:val="34"/>
    <w:qFormat/>
    <w:rsid w:val="00E33904"/>
    <w:pPr>
      <w:ind w:left="720"/>
    </w:pPr>
  </w:style>
  <w:style w:type="character" w:customStyle="1" w:styleId="HeaderChar">
    <w:name w:val="Header Char"/>
    <w:basedOn w:val="DefaultParagraphFont"/>
    <w:link w:val="Header"/>
    <w:uiPriority w:val="99"/>
    <w:rsid w:val="00C94FA8"/>
    <w:rPr>
      <w:sz w:val="24"/>
      <w:szCs w:val="24"/>
    </w:rPr>
  </w:style>
  <w:style w:type="character" w:customStyle="1" w:styleId="FooterChar">
    <w:name w:val="Footer Char"/>
    <w:basedOn w:val="DefaultParagraphFont"/>
    <w:link w:val="Footer"/>
    <w:rsid w:val="00F4142F"/>
    <w:rPr>
      <w:sz w:val="24"/>
      <w:szCs w:val="24"/>
      <w:lang w:val="en-US" w:eastAsia="en-US"/>
    </w:rPr>
  </w:style>
  <w:style w:type="character" w:styleId="FollowedHyperlink">
    <w:name w:val="FollowedHyperlink"/>
    <w:basedOn w:val="DefaultParagraphFont"/>
    <w:rsid w:val="00D03792"/>
    <w:rPr>
      <w:color w:val="800080" w:themeColor="followedHyperlink"/>
      <w:u w:val="single"/>
    </w:rPr>
  </w:style>
  <w:style w:type="paragraph" w:styleId="DocumentMap">
    <w:name w:val="Document Map"/>
    <w:basedOn w:val="Normal"/>
    <w:link w:val="DocumentMapChar"/>
    <w:rsid w:val="00AD5DD1"/>
    <w:rPr>
      <w:rFonts w:ascii="Lucida Grande" w:hAnsi="Lucida Grande" w:cs="Lucida Grande"/>
    </w:rPr>
  </w:style>
  <w:style w:type="character" w:customStyle="1" w:styleId="DocumentMapChar">
    <w:name w:val="Document Map Char"/>
    <w:basedOn w:val="DefaultParagraphFont"/>
    <w:link w:val="DocumentMap"/>
    <w:rsid w:val="00AD5DD1"/>
    <w:rPr>
      <w:rFonts w:ascii="Lucida Grande" w:hAnsi="Lucida Grande" w:cs="Lucida Grand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sz w:val="24"/>
        <w:szCs w:val="24"/>
        <w:lang w:val="en-GB" w:eastAsia="en-GB" w:bidi="ar-SA"/>
      </w:rPr>
    </w:rPrDefault>
    <w:pPrDefault/>
  </w:docDefaults>
  <w:latentStyles w:defLockedState="0" w:defUIPriority="0" w:defSemiHidden="0" w:defUnhideWhenUsed="0" w:defQFormat="0" w:count="267"/>
  <w:style w:type="paragraph" w:default="1" w:styleId="Normal">
    <w:name w:val="Normal"/>
    <w:qFormat/>
    <w:rsid w:val="0072564A"/>
    <w:rPr>
      <w:lang w:val="en-US" w:eastAsia="en-US"/>
    </w:rPr>
  </w:style>
  <w:style w:type="paragraph" w:styleId="Heading3">
    <w:name w:val="heading 3"/>
    <w:basedOn w:val="Normal"/>
    <w:next w:val="Normal"/>
    <w:qFormat/>
    <w:rsid w:val="00D63F69"/>
    <w:pPr>
      <w:keepNext/>
      <w:jc w:val="right"/>
      <w:outlineLvl w:val="2"/>
    </w:pPr>
    <w:rPr>
      <w:rFonts w:ascii="Garamond" w:eastAsia="Times New Roman" w:hAnsi="Garamond"/>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6CF8"/>
    <w:pPr>
      <w:spacing w:before="100" w:beforeAutospacing="1" w:after="100" w:afterAutospacing="1"/>
    </w:pPr>
    <w:rPr>
      <w:rFonts w:ascii="Gulim" w:eastAsia="Gulim" w:hAnsi="Gulim" w:cs="Gulim"/>
      <w:lang w:eastAsia="ko-KR"/>
    </w:rPr>
  </w:style>
  <w:style w:type="paragraph" w:styleId="BalloonText">
    <w:name w:val="Balloon Text"/>
    <w:basedOn w:val="Normal"/>
    <w:semiHidden/>
    <w:rsid w:val="00E45C25"/>
    <w:rPr>
      <w:rFonts w:ascii="Arial" w:eastAsia="Dotum" w:hAnsi="Arial"/>
      <w:sz w:val="18"/>
      <w:szCs w:val="18"/>
    </w:rPr>
  </w:style>
  <w:style w:type="paragraph" w:styleId="Footer">
    <w:name w:val="footer"/>
    <w:basedOn w:val="Normal"/>
    <w:link w:val="FooterChar"/>
    <w:rsid w:val="006F4F21"/>
    <w:pPr>
      <w:tabs>
        <w:tab w:val="center" w:pos="4320"/>
        <w:tab w:val="right" w:pos="8640"/>
      </w:tabs>
    </w:pPr>
  </w:style>
  <w:style w:type="character" w:styleId="PageNumber">
    <w:name w:val="page number"/>
    <w:basedOn w:val="DefaultParagraphFont"/>
    <w:rsid w:val="006F4F21"/>
  </w:style>
  <w:style w:type="character" w:styleId="CommentReference">
    <w:name w:val="annotation reference"/>
    <w:basedOn w:val="DefaultParagraphFont"/>
    <w:semiHidden/>
    <w:rsid w:val="001F2842"/>
    <w:rPr>
      <w:sz w:val="16"/>
      <w:szCs w:val="16"/>
    </w:rPr>
  </w:style>
  <w:style w:type="paragraph" w:styleId="CommentText">
    <w:name w:val="annotation text"/>
    <w:basedOn w:val="Normal"/>
    <w:semiHidden/>
    <w:rsid w:val="001F2842"/>
    <w:rPr>
      <w:sz w:val="20"/>
      <w:szCs w:val="20"/>
    </w:rPr>
  </w:style>
  <w:style w:type="paragraph" w:styleId="CommentSubject">
    <w:name w:val="annotation subject"/>
    <w:basedOn w:val="CommentText"/>
    <w:next w:val="CommentText"/>
    <w:semiHidden/>
    <w:rsid w:val="001F2842"/>
    <w:rPr>
      <w:b/>
      <w:bCs/>
    </w:rPr>
  </w:style>
  <w:style w:type="paragraph" w:styleId="FootnoteText">
    <w:name w:val="footnote text"/>
    <w:basedOn w:val="Normal"/>
    <w:semiHidden/>
    <w:rsid w:val="00C22C92"/>
    <w:rPr>
      <w:sz w:val="20"/>
      <w:szCs w:val="20"/>
    </w:rPr>
  </w:style>
  <w:style w:type="character" w:styleId="FootnoteReference">
    <w:name w:val="footnote reference"/>
    <w:basedOn w:val="DefaultParagraphFont"/>
    <w:semiHidden/>
    <w:rsid w:val="00C22C92"/>
    <w:rPr>
      <w:vertAlign w:val="superscript"/>
    </w:rPr>
  </w:style>
  <w:style w:type="paragraph" w:styleId="Header">
    <w:name w:val="header"/>
    <w:basedOn w:val="Normal"/>
    <w:link w:val="HeaderChar"/>
    <w:uiPriority w:val="99"/>
    <w:rsid w:val="002F381C"/>
    <w:pPr>
      <w:tabs>
        <w:tab w:val="center" w:pos="4320"/>
        <w:tab w:val="right" w:pos="8640"/>
      </w:tabs>
    </w:pPr>
  </w:style>
  <w:style w:type="paragraph" w:styleId="EndnoteText">
    <w:name w:val="endnote text"/>
    <w:basedOn w:val="Normal"/>
    <w:link w:val="EndnoteTextChar"/>
    <w:rsid w:val="00E536CA"/>
    <w:rPr>
      <w:sz w:val="20"/>
      <w:szCs w:val="20"/>
    </w:rPr>
  </w:style>
  <w:style w:type="character" w:customStyle="1" w:styleId="EndnoteTextChar">
    <w:name w:val="Endnote Text Char"/>
    <w:basedOn w:val="DefaultParagraphFont"/>
    <w:link w:val="EndnoteText"/>
    <w:rsid w:val="00E536CA"/>
  </w:style>
  <w:style w:type="character" w:styleId="EndnoteReference">
    <w:name w:val="endnote reference"/>
    <w:basedOn w:val="DefaultParagraphFont"/>
    <w:rsid w:val="00E536CA"/>
    <w:rPr>
      <w:vertAlign w:val="superscript"/>
    </w:rPr>
  </w:style>
  <w:style w:type="paragraph" w:customStyle="1" w:styleId="Default">
    <w:name w:val="Default"/>
    <w:rsid w:val="00E536CA"/>
    <w:pPr>
      <w:autoSpaceDE w:val="0"/>
      <w:autoSpaceDN w:val="0"/>
      <w:adjustRightInd w:val="0"/>
    </w:pPr>
    <w:rPr>
      <w:color w:val="000000"/>
      <w:lang w:val="en-US" w:eastAsia="en-US"/>
    </w:rPr>
  </w:style>
  <w:style w:type="paragraph" w:customStyle="1" w:styleId="MediumGrid1-Accent21">
    <w:name w:val="Medium Grid 1 - Accent 21"/>
    <w:basedOn w:val="Normal"/>
    <w:uiPriority w:val="34"/>
    <w:qFormat/>
    <w:rsid w:val="00FF77D6"/>
    <w:pPr>
      <w:ind w:left="720"/>
    </w:pPr>
  </w:style>
  <w:style w:type="table" w:styleId="TableGrid">
    <w:name w:val="Table Grid"/>
    <w:basedOn w:val="TableNormal"/>
    <w:rsid w:val="00053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26EFC"/>
    <w:rPr>
      <w:b/>
      <w:bCs/>
      <w:i w:val="0"/>
      <w:iCs w:val="0"/>
    </w:rPr>
  </w:style>
  <w:style w:type="character" w:customStyle="1" w:styleId="st1">
    <w:name w:val="st1"/>
    <w:basedOn w:val="DefaultParagraphFont"/>
    <w:rsid w:val="00326EFC"/>
  </w:style>
  <w:style w:type="character" w:styleId="Hyperlink">
    <w:name w:val="Hyperlink"/>
    <w:basedOn w:val="DefaultParagraphFont"/>
    <w:rsid w:val="00326EFC"/>
    <w:rPr>
      <w:color w:val="0000FF"/>
      <w:u w:val="single"/>
    </w:rPr>
  </w:style>
  <w:style w:type="paragraph" w:customStyle="1" w:styleId="ColorfulList-Accent11">
    <w:name w:val="Colorful List - Accent 11"/>
    <w:basedOn w:val="Normal"/>
    <w:uiPriority w:val="34"/>
    <w:qFormat/>
    <w:rsid w:val="00DF5A86"/>
    <w:pPr>
      <w:spacing w:after="200" w:line="276" w:lineRule="auto"/>
      <w:ind w:left="720"/>
      <w:contextualSpacing/>
    </w:pPr>
    <w:rPr>
      <w:rFonts w:ascii="Calibri" w:eastAsia="Calibri" w:hAnsi="Calibri"/>
      <w:sz w:val="22"/>
      <w:szCs w:val="22"/>
      <w:lang w:val="en-GB"/>
    </w:rPr>
  </w:style>
  <w:style w:type="paragraph" w:customStyle="1" w:styleId="ColorfulShading-Accent11">
    <w:name w:val="Colorful Shading - Accent 11"/>
    <w:hidden/>
    <w:uiPriority w:val="99"/>
    <w:semiHidden/>
    <w:rsid w:val="002E2A6A"/>
    <w:rPr>
      <w:lang w:val="en-US" w:eastAsia="en-US"/>
    </w:rPr>
  </w:style>
  <w:style w:type="paragraph" w:styleId="Revision">
    <w:name w:val="Revision"/>
    <w:hidden/>
    <w:uiPriority w:val="99"/>
    <w:semiHidden/>
    <w:rsid w:val="007242AE"/>
    <w:rPr>
      <w:lang w:val="en-US" w:eastAsia="en-US"/>
    </w:rPr>
  </w:style>
  <w:style w:type="paragraph" w:styleId="ListParagraph">
    <w:name w:val="List Paragraph"/>
    <w:basedOn w:val="Normal"/>
    <w:uiPriority w:val="34"/>
    <w:qFormat/>
    <w:rsid w:val="00E33904"/>
    <w:pPr>
      <w:ind w:left="720"/>
    </w:pPr>
  </w:style>
  <w:style w:type="character" w:customStyle="1" w:styleId="HeaderChar">
    <w:name w:val="Header Char"/>
    <w:basedOn w:val="DefaultParagraphFont"/>
    <w:link w:val="Header"/>
    <w:uiPriority w:val="99"/>
    <w:rsid w:val="00C94FA8"/>
    <w:rPr>
      <w:sz w:val="24"/>
      <w:szCs w:val="24"/>
    </w:rPr>
  </w:style>
  <w:style w:type="character" w:customStyle="1" w:styleId="FooterChar">
    <w:name w:val="Footer Char"/>
    <w:basedOn w:val="DefaultParagraphFont"/>
    <w:link w:val="Footer"/>
    <w:rsid w:val="00F4142F"/>
    <w:rPr>
      <w:sz w:val="24"/>
      <w:szCs w:val="24"/>
      <w:lang w:val="en-US" w:eastAsia="en-US"/>
    </w:rPr>
  </w:style>
  <w:style w:type="character" w:styleId="FollowedHyperlink">
    <w:name w:val="FollowedHyperlink"/>
    <w:basedOn w:val="DefaultParagraphFont"/>
    <w:rsid w:val="00D03792"/>
    <w:rPr>
      <w:color w:val="800080" w:themeColor="followedHyperlink"/>
      <w:u w:val="single"/>
    </w:rPr>
  </w:style>
  <w:style w:type="paragraph" w:styleId="DocumentMap">
    <w:name w:val="Document Map"/>
    <w:basedOn w:val="Normal"/>
    <w:link w:val="DocumentMapChar"/>
    <w:rsid w:val="00AD5DD1"/>
    <w:rPr>
      <w:rFonts w:ascii="Lucida Grande" w:hAnsi="Lucida Grande" w:cs="Lucida Grande"/>
    </w:rPr>
  </w:style>
  <w:style w:type="character" w:customStyle="1" w:styleId="DocumentMapChar">
    <w:name w:val="Document Map Char"/>
    <w:basedOn w:val="DefaultParagraphFont"/>
    <w:link w:val="DocumentMap"/>
    <w:rsid w:val="00AD5DD1"/>
    <w:rPr>
      <w:rFonts w:ascii="Lucida Grande" w:hAnsi="Lucida Grande" w:cs="Lucida Grand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8757">
      <w:bodyDiv w:val="1"/>
      <w:marLeft w:val="0"/>
      <w:marRight w:val="0"/>
      <w:marTop w:val="0"/>
      <w:marBottom w:val="0"/>
      <w:divBdr>
        <w:top w:val="none" w:sz="0" w:space="0" w:color="auto"/>
        <w:left w:val="none" w:sz="0" w:space="0" w:color="auto"/>
        <w:bottom w:val="none" w:sz="0" w:space="0" w:color="auto"/>
        <w:right w:val="none" w:sz="0" w:space="0" w:color="auto"/>
      </w:divBdr>
    </w:div>
    <w:div w:id="32584290">
      <w:bodyDiv w:val="1"/>
      <w:marLeft w:val="0"/>
      <w:marRight w:val="0"/>
      <w:marTop w:val="0"/>
      <w:marBottom w:val="0"/>
      <w:divBdr>
        <w:top w:val="none" w:sz="0" w:space="0" w:color="auto"/>
        <w:left w:val="none" w:sz="0" w:space="0" w:color="auto"/>
        <w:bottom w:val="none" w:sz="0" w:space="0" w:color="auto"/>
        <w:right w:val="none" w:sz="0" w:space="0" w:color="auto"/>
      </w:divBdr>
    </w:div>
    <w:div w:id="174224025">
      <w:bodyDiv w:val="1"/>
      <w:marLeft w:val="0"/>
      <w:marRight w:val="0"/>
      <w:marTop w:val="0"/>
      <w:marBottom w:val="0"/>
      <w:divBdr>
        <w:top w:val="none" w:sz="0" w:space="0" w:color="auto"/>
        <w:left w:val="none" w:sz="0" w:space="0" w:color="auto"/>
        <w:bottom w:val="none" w:sz="0" w:space="0" w:color="auto"/>
        <w:right w:val="none" w:sz="0" w:space="0" w:color="auto"/>
      </w:divBdr>
    </w:div>
    <w:div w:id="200752381">
      <w:bodyDiv w:val="1"/>
      <w:marLeft w:val="0"/>
      <w:marRight w:val="0"/>
      <w:marTop w:val="0"/>
      <w:marBottom w:val="0"/>
      <w:divBdr>
        <w:top w:val="none" w:sz="0" w:space="0" w:color="auto"/>
        <w:left w:val="none" w:sz="0" w:space="0" w:color="auto"/>
        <w:bottom w:val="none" w:sz="0" w:space="0" w:color="auto"/>
        <w:right w:val="none" w:sz="0" w:space="0" w:color="auto"/>
      </w:divBdr>
    </w:div>
    <w:div w:id="204218091">
      <w:bodyDiv w:val="1"/>
      <w:marLeft w:val="0"/>
      <w:marRight w:val="0"/>
      <w:marTop w:val="0"/>
      <w:marBottom w:val="0"/>
      <w:divBdr>
        <w:top w:val="none" w:sz="0" w:space="0" w:color="auto"/>
        <w:left w:val="none" w:sz="0" w:space="0" w:color="auto"/>
        <w:bottom w:val="none" w:sz="0" w:space="0" w:color="auto"/>
        <w:right w:val="none" w:sz="0" w:space="0" w:color="auto"/>
      </w:divBdr>
    </w:div>
    <w:div w:id="217009150">
      <w:bodyDiv w:val="1"/>
      <w:marLeft w:val="0"/>
      <w:marRight w:val="0"/>
      <w:marTop w:val="0"/>
      <w:marBottom w:val="0"/>
      <w:divBdr>
        <w:top w:val="none" w:sz="0" w:space="0" w:color="auto"/>
        <w:left w:val="none" w:sz="0" w:space="0" w:color="auto"/>
        <w:bottom w:val="none" w:sz="0" w:space="0" w:color="auto"/>
        <w:right w:val="none" w:sz="0" w:space="0" w:color="auto"/>
      </w:divBdr>
    </w:div>
    <w:div w:id="264307518">
      <w:bodyDiv w:val="1"/>
      <w:marLeft w:val="0"/>
      <w:marRight w:val="0"/>
      <w:marTop w:val="0"/>
      <w:marBottom w:val="0"/>
      <w:divBdr>
        <w:top w:val="none" w:sz="0" w:space="0" w:color="auto"/>
        <w:left w:val="none" w:sz="0" w:space="0" w:color="auto"/>
        <w:bottom w:val="none" w:sz="0" w:space="0" w:color="auto"/>
        <w:right w:val="none" w:sz="0" w:space="0" w:color="auto"/>
      </w:divBdr>
    </w:div>
    <w:div w:id="281348213">
      <w:bodyDiv w:val="1"/>
      <w:marLeft w:val="0"/>
      <w:marRight w:val="0"/>
      <w:marTop w:val="0"/>
      <w:marBottom w:val="0"/>
      <w:divBdr>
        <w:top w:val="none" w:sz="0" w:space="0" w:color="auto"/>
        <w:left w:val="none" w:sz="0" w:space="0" w:color="auto"/>
        <w:bottom w:val="none" w:sz="0" w:space="0" w:color="auto"/>
        <w:right w:val="none" w:sz="0" w:space="0" w:color="auto"/>
      </w:divBdr>
    </w:div>
    <w:div w:id="282543176">
      <w:bodyDiv w:val="1"/>
      <w:marLeft w:val="0"/>
      <w:marRight w:val="0"/>
      <w:marTop w:val="0"/>
      <w:marBottom w:val="0"/>
      <w:divBdr>
        <w:top w:val="none" w:sz="0" w:space="0" w:color="auto"/>
        <w:left w:val="none" w:sz="0" w:space="0" w:color="auto"/>
        <w:bottom w:val="none" w:sz="0" w:space="0" w:color="auto"/>
        <w:right w:val="none" w:sz="0" w:space="0" w:color="auto"/>
      </w:divBdr>
    </w:div>
    <w:div w:id="357586202">
      <w:bodyDiv w:val="1"/>
      <w:marLeft w:val="0"/>
      <w:marRight w:val="0"/>
      <w:marTop w:val="0"/>
      <w:marBottom w:val="0"/>
      <w:divBdr>
        <w:top w:val="none" w:sz="0" w:space="0" w:color="auto"/>
        <w:left w:val="none" w:sz="0" w:space="0" w:color="auto"/>
        <w:bottom w:val="none" w:sz="0" w:space="0" w:color="auto"/>
        <w:right w:val="none" w:sz="0" w:space="0" w:color="auto"/>
      </w:divBdr>
    </w:div>
    <w:div w:id="365181108">
      <w:bodyDiv w:val="1"/>
      <w:marLeft w:val="0"/>
      <w:marRight w:val="0"/>
      <w:marTop w:val="0"/>
      <w:marBottom w:val="0"/>
      <w:divBdr>
        <w:top w:val="none" w:sz="0" w:space="0" w:color="auto"/>
        <w:left w:val="none" w:sz="0" w:space="0" w:color="auto"/>
        <w:bottom w:val="none" w:sz="0" w:space="0" w:color="auto"/>
        <w:right w:val="none" w:sz="0" w:space="0" w:color="auto"/>
      </w:divBdr>
    </w:div>
    <w:div w:id="373500709">
      <w:bodyDiv w:val="1"/>
      <w:marLeft w:val="0"/>
      <w:marRight w:val="0"/>
      <w:marTop w:val="0"/>
      <w:marBottom w:val="0"/>
      <w:divBdr>
        <w:top w:val="none" w:sz="0" w:space="0" w:color="auto"/>
        <w:left w:val="none" w:sz="0" w:space="0" w:color="auto"/>
        <w:bottom w:val="none" w:sz="0" w:space="0" w:color="auto"/>
        <w:right w:val="none" w:sz="0" w:space="0" w:color="auto"/>
      </w:divBdr>
    </w:div>
    <w:div w:id="390739292">
      <w:bodyDiv w:val="1"/>
      <w:marLeft w:val="0"/>
      <w:marRight w:val="0"/>
      <w:marTop w:val="0"/>
      <w:marBottom w:val="0"/>
      <w:divBdr>
        <w:top w:val="none" w:sz="0" w:space="0" w:color="auto"/>
        <w:left w:val="none" w:sz="0" w:space="0" w:color="auto"/>
        <w:bottom w:val="none" w:sz="0" w:space="0" w:color="auto"/>
        <w:right w:val="none" w:sz="0" w:space="0" w:color="auto"/>
      </w:divBdr>
    </w:div>
    <w:div w:id="410590676">
      <w:bodyDiv w:val="1"/>
      <w:marLeft w:val="0"/>
      <w:marRight w:val="0"/>
      <w:marTop w:val="0"/>
      <w:marBottom w:val="0"/>
      <w:divBdr>
        <w:top w:val="none" w:sz="0" w:space="0" w:color="auto"/>
        <w:left w:val="none" w:sz="0" w:space="0" w:color="auto"/>
        <w:bottom w:val="none" w:sz="0" w:space="0" w:color="auto"/>
        <w:right w:val="none" w:sz="0" w:space="0" w:color="auto"/>
      </w:divBdr>
    </w:div>
    <w:div w:id="430593577">
      <w:bodyDiv w:val="1"/>
      <w:marLeft w:val="0"/>
      <w:marRight w:val="0"/>
      <w:marTop w:val="0"/>
      <w:marBottom w:val="0"/>
      <w:divBdr>
        <w:top w:val="none" w:sz="0" w:space="0" w:color="auto"/>
        <w:left w:val="none" w:sz="0" w:space="0" w:color="auto"/>
        <w:bottom w:val="none" w:sz="0" w:space="0" w:color="auto"/>
        <w:right w:val="none" w:sz="0" w:space="0" w:color="auto"/>
      </w:divBdr>
    </w:div>
    <w:div w:id="435566693">
      <w:bodyDiv w:val="1"/>
      <w:marLeft w:val="0"/>
      <w:marRight w:val="0"/>
      <w:marTop w:val="0"/>
      <w:marBottom w:val="0"/>
      <w:divBdr>
        <w:top w:val="none" w:sz="0" w:space="0" w:color="auto"/>
        <w:left w:val="none" w:sz="0" w:space="0" w:color="auto"/>
        <w:bottom w:val="none" w:sz="0" w:space="0" w:color="auto"/>
        <w:right w:val="none" w:sz="0" w:space="0" w:color="auto"/>
      </w:divBdr>
    </w:div>
    <w:div w:id="522549165">
      <w:bodyDiv w:val="1"/>
      <w:marLeft w:val="0"/>
      <w:marRight w:val="0"/>
      <w:marTop w:val="0"/>
      <w:marBottom w:val="0"/>
      <w:divBdr>
        <w:top w:val="none" w:sz="0" w:space="0" w:color="auto"/>
        <w:left w:val="none" w:sz="0" w:space="0" w:color="auto"/>
        <w:bottom w:val="none" w:sz="0" w:space="0" w:color="auto"/>
        <w:right w:val="none" w:sz="0" w:space="0" w:color="auto"/>
      </w:divBdr>
    </w:div>
    <w:div w:id="557086509">
      <w:bodyDiv w:val="1"/>
      <w:marLeft w:val="0"/>
      <w:marRight w:val="0"/>
      <w:marTop w:val="0"/>
      <w:marBottom w:val="0"/>
      <w:divBdr>
        <w:top w:val="none" w:sz="0" w:space="0" w:color="auto"/>
        <w:left w:val="none" w:sz="0" w:space="0" w:color="auto"/>
        <w:bottom w:val="none" w:sz="0" w:space="0" w:color="auto"/>
        <w:right w:val="none" w:sz="0" w:space="0" w:color="auto"/>
      </w:divBdr>
    </w:div>
    <w:div w:id="573515209">
      <w:bodyDiv w:val="1"/>
      <w:marLeft w:val="0"/>
      <w:marRight w:val="0"/>
      <w:marTop w:val="0"/>
      <w:marBottom w:val="0"/>
      <w:divBdr>
        <w:top w:val="none" w:sz="0" w:space="0" w:color="auto"/>
        <w:left w:val="none" w:sz="0" w:space="0" w:color="auto"/>
        <w:bottom w:val="none" w:sz="0" w:space="0" w:color="auto"/>
        <w:right w:val="none" w:sz="0" w:space="0" w:color="auto"/>
      </w:divBdr>
    </w:div>
    <w:div w:id="576014402">
      <w:bodyDiv w:val="1"/>
      <w:marLeft w:val="0"/>
      <w:marRight w:val="0"/>
      <w:marTop w:val="0"/>
      <w:marBottom w:val="0"/>
      <w:divBdr>
        <w:top w:val="none" w:sz="0" w:space="0" w:color="auto"/>
        <w:left w:val="none" w:sz="0" w:space="0" w:color="auto"/>
        <w:bottom w:val="none" w:sz="0" w:space="0" w:color="auto"/>
        <w:right w:val="none" w:sz="0" w:space="0" w:color="auto"/>
      </w:divBdr>
    </w:div>
    <w:div w:id="581333202">
      <w:bodyDiv w:val="1"/>
      <w:marLeft w:val="0"/>
      <w:marRight w:val="0"/>
      <w:marTop w:val="0"/>
      <w:marBottom w:val="0"/>
      <w:divBdr>
        <w:top w:val="none" w:sz="0" w:space="0" w:color="auto"/>
        <w:left w:val="none" w:sz="0" w:space="0" w:color="auto"/>
        <w:bottom w:val="none" w:sz="0" w:space="0" w:color="auto"/>
        <w:right w:val="none" w:sz="0" w:space="0" w:color="auto"/>
      </w:divBdr>
    </w:div>
    <w:div w:id="587740169">
      <w:bodyDiv w:val="1"/>
      <w:marLeft w:val="0"/>
      <w:marRight w:val="0"/>
      <w:marTop w:val="0"/>
      <w:marBottom w:val="0"/>
      <w:divBdr>
        <w:top w:val="none" w:sz="0" w:space="0" w:color="auto"/>
        <w:left w:val="none" w:sz="0" w:space="0" w:color="auto"/>
        <w:bottom w:val="none" w:sz="0" w:space="0" w:color="auto"/>
        <w:right w:val="none" w:sz="0" w:space="0" w:color="auto"/>
      </w:divBdr>
    </w:div>
    <w:div w:id="630794511">
      <w:bodyDiv w:val="1"/>
      <w:marLeft w:val="0"/>
      <w:marRight w:val="0"/>
      <w:marTop w:val="0"/>
      <w:marBottom w:val="0"/>
      <w:divBdr>
        <w:top w:val="none" w:sz="0" w:space="0" w:color="auto"/>
        <w:left w:val="none" w:sz="0" w:space="0" w:color="auto"/>
        <w:bottom w:val="none" w:sz="0" w:space="0" w:color="auto"/>
        <w:right w:val="none" w:sz="0" w:space="0" w:color="auto"/>
      </w:divBdr>
    </w:div>
    <w:div w:id="655492615">
      <w:bodyDiv w:val="1"/>
      <w:marLeft w:val="0"/>
      <w:marRight w:val="0"/>
      <w:marTop w:val="0"/>
      <w:marBottom w:val="0"/>
      <w:divBdr>
        <w:top w:val="none" w:sz="0" w:space="0" w:color="auto"/>
        <w:left w:val="none" w:sz="0" w:space="0" w:color="auto"/>
        <w:bottom w:val="none" w:sz="0" w:space="0" w:color="auto"/>
        <w:right w:val="none" w:sz="0" w:space="0" w:color="auto"/>
      </w:divBdr>
    </w:div>
    <w:div w:id="676929600">
      <w:bodyDiv w:val="1"/>
      <w:marLeft w:val="0"/>
      <w:marRight w:val="0"/>
      <w:marTop w:val="0"/>
      <w:marBottom w:val="0"/>
      <w:divBdr>
        <w:top w:val="none" w:sz="0" w:space="0" w:color="auto"/>
        <w:left w:val="none" w:sz="0" w:space="0" w:color="auto"/>
        <w:bottom w:val="none" w:sz="0" w:space="0" w:color="auto"/>
        <w:right w:val="none" w:sz="0" w:space="0" w:color="auto"/>
      </w:divBdr>
    </w:div>
    <w:div w:id="697124263">
      <w:bodyDiv w:val="1"/>
      <w:marLeft w:val="0"/>
      <w:marRight w:val="0"/>
      <w:marTop w:val="0"/>
      <w:marBottom w:val="0"/>
      <w:divBdr>
        <w:top w:val="none" w:sz="0" w:space="0" w:color="auto"/>
        <w:left w:val="none" w:sz="0" w:space="0" w:color="auto"/>
        <w:bottom w:val="none" w:sz="0" w:space="0" w:color="auto"/>
        <w:right w:val="none" w:sz="0" w:space="0" w:color="auto"/>
      </w:divBdr>
    </w:div>
    <w:div w:id="719867562">
      <w:bodyDiv w:val="1"/>
      <w:marLeft w:val="0"/>
      <w:marRight w:val="0"/>
      <w:marTop w:val="0"/>
      <w:marBottom w:val="0"/>
      <w:divBdr>
        <w:top w:val="none" w:sz="0" w:space="0" w:color="auto"/>
        <w:left w:val="none" w:sz="0" w:space="0" w:color="auto"/>
        <w:bottom w:val="none" w:sz="0" w:space="0" w:color="auto"/>
        <w:right w:val="none" w:sz="0" w:space="0" w:color="auto"/>
      </w:divBdr>
    </w:div>
    <w:div w:id="812991381">
      <w:bodyDiv w:val="1"/>
      <w:marLeft w:val="0"/>
      <w:marRight w:val="0"/>
      <w:marTop w:val="0"/>
      <w:marBottom w:val="0"/>
      <w:divBdr>
        <w:top w:val="none" w:sz="0" w:space="0" w:color="auto"/>
        <w:left w:val="none" w:sz="0" w:space="0" w:color="auto"/>
        <w:bottom w:val="none" w:sz="0" w:space="0" w:color="auto"/>
        <w:right w:val="none" w:sz="0" w:space="0" w:color="auto"/>
      </w:divBdr>
    </w:div>
    <w:div w:id="867986603">
      <w:bodyDiv w:val="1"/>
      <w:marLeft w:val="0"/>
      <w:marRight w:val="0"/>
      <w:marTop w:val="0"/>
      <w:marBottom w:val="0"/>
      <w:divBdr>
        <w:top w:val="none" w:sz="0" w:space="0" w:color="auto"/>
        <w:left w:val="none" w:sz="0" w:space="0" w:color="auto"/>
        <w:bottom w:val="none" w:sz="0" w:space="0" w:color="auto"/>
        <w:right w:val="none" w:sz="0" w:space="0" w:color="auto"/>
      </w:divBdr>
    </w:div>
    <w:div w:id="899749000">
      <w:bodyDiv w:val="1"/>
      <w:marLeft w:val="0"/>
      <w:marRight w:val="0"/>
      <w:marTop w:val="0"/>
      <w:marBottom w:val="0"/>
      <w:divBdr>
        <w:top w:val="none" w:sz="0" w:space="0" w:color="auto"/>
        <w:left w:val="none" w:sz="0" w:space="0" w:color="auto"/>
        <w:bottom w:val="none" w:sz="0" w:space="0" w:color="auto"/>
        <w:right w:val="none" w:sz="0" w:space="0" w:color="auto"/>
      </w:divBdr>
    </w:div>
    <w:div w:id="905916371">
      <w:bodyDiv w:val="1"/>
      <w:marLeft w:val="0"/>
      <w:marRight w:val="0"/>
      <w:marTop w:val="0"/>
      <w:marBottom w:val="0"/>
      <w:divBdr>
        <w:top w:val="none" w:sz="0" w:space="0" w:color="auto"/>
        <w:left w:val="none" w:sz="0" w:space="0" w:color="auto"/>
        <w:bottom w:val="none" w:sz="0" w:space="0" w:color="auto"/>
        <w:right w:val="none" w:sz="0" w:space="0" w:color="auto"/>
      </w:divBdr>
    </w:div>
    <w:div w:id="947008464">
      <w:bodyDiv w:val="1"/>
      <w:marLeft w:val="0"/>
      <w:marRight w:val="0"/>
      <w:marTop w:val="0"/>
      <w:marBottom w:val="0"/>
      <w:divBdr>
        <w:top w:val="none" w:sz="0" w:space="0" w:color="auto"/>
        <w:left w:val="none" w:sz="0" w:space="0" w:color="auto"/>
        <w:bottom w:val="none" w:sz="0" w:space="0" w:color="auto"/>
        <w:right w:val="none" w:sz="0" w:space="0" w:color="auto"/>
      </w:divBdr>
    </w:div>
    <w:div w:id="958605121">
      <w:bodyDiv w:val="1"/>
      <w:marLeft w:val="0"/>
      <w:marRight w:val="0"/>
      <w:marTop w:val="0"/>
      <w:marBottom w:val="0"/>
      <w:divBdr>
        <w:top w:val="none" w:sz="0" w:space="0" w:color="auto"/>
        <w:left w:val="none" w:sz="0" w:space="0" w:color="auto"/>
        <w:bottom w:val="none" w:sz="0" w:space="0" w:color="auto"/>
        <w:right w:val="none" w:sz="0" w:space="0" w:color="auto"/>
      </w:divBdr>
    </w:div>
    <w:div w:id="1008218274">
      <w:bodyDiv w:val="1"/>
      <w:marLeft w:val="0"/>
      <w:marRight w:val="0"/>
      <w:marTop w:val="0"/>
      <w:marBottom w:val="0"/>
      <w:divBdr>
        <w:top w:val="none" w:sz="0" w:space="0" w:color="auto"/>
        <w:left w:val="none" w:sz="0" w:space="0" w:color="auto"/>
        <w:bottom w:val="none" w:sz="0" w:space="0" w:color="auto"/>
        <w:right w:val="none" w:sz="0" w:space="0" w:color="auto"/>
      </w:divBdr>
    </w:div>
    <w:div w:id="1018001293">
      <w:bodyDiv w:val="1"/>
      <w:marLeft w:val="0"/>
      <w:marRight w:val="0"/>
      <w:marTop w:val="0"/>
      <w:marBottom w:val="0"/>
      <w:divBdr>
        <w:top w:val="none" w:sz="0" w:space="0" w:color="auto"/>
        <w:left w:val="none" w:sz="0" w:space="0" w:color="auto"/>
        <w:bottom w:val="none" w:sz="0" w:space="0" w:color="auto"/>
        <w:right w:val="none" w:sz="0" w:space="0" w:color="auto"/>
      </w:divBdr>
    </w:div>
    <w:div w:id="1028141021">
      <w:bodyDiv w:val="1"/>
      <w:marLeft w:val="0"/>
      <w:marRight w:val="0"/>
      <w:marTop w:val="0"/>
      <w:marBottom w:val="0"/>
      <w:divBdr>
        <w:top w:val="none" w:sz="0" w:space="0" w:color="auto"/>
        <w:left w:val="none" w:sz="0" w:space="0" w:color="auto"/>
        <w:bottom w:val="none" w:sz="0" w:space="0" w:color="auto"/>
        <w:right w:val="none" w:sz="0" w:space="0" w:color="auto"/>
      </w:divBdr>
    </w:div>
    <w:div w:id="1068303164">
      <w:bodyDiv w:val="1"/>
      <w:marLeft w:val="0"/>
      <w:marRight w:val="0"/>
      <w:marTop w:val="0"/>
      <w:marBottom w:val="0"/>
      <w:divBdr>
        <w:top w:val="none" w:sz="0" w:space="0" w:color="auto"/>
        <w:left w:val="none" w:sz="0" w:space="0" w:color="auto"/>
        <w:bottom w:val="none" w:sz="0" w:space="0" w:color="auto"/>
        <w:right w:val="none" w:sz="0" w:space="0" w:color="auto"/>
      </w:divBdr>
    </w:div>
    <w:div w:id="1152060307">
      <w:bodyDiv w:val="1"/>
      <w:marLeft w:val="0"/>
      <w:marRight w:val="0"/>
      <w:marTop w:val="0"/>
      <w:marBottom w:val="0"/>
      <w:divBdr>
        <w:top w:val="none" w:sz="0" w:space="0" w:color="auto"/>
        <w:left w:val="none" w:sz="0" w:space="0" w:color="auto"/>
        <w:bottom w:val="none" w:sz="0" w:space="0" w:color="auto"/>
        <w:right w:val="none" w:sz="0" w:space="0" w:color="auto"/>
      </w:divBdr>
    </w:div>
    <w:div w:id="1235123282">
      <w:bodyDiv w:val="1"/>
      <w:marLeft w:val="0"/>
      <w:marRight w:val="0"/>
      <w:marTop w:val="0"/>
      <w:marBottom w:val="0"/>
      <w:divBdr>
        <w:top w:val="none" w:sz="0" w:space="0" w:color="auto"/>
        <w:left w:val="none" w:sz="0" w:space="0" w:color="auto"/>
        <w:bottom w:val="none" w:sz="0" w:space="0" w:color="auto"/>
        <w:right w:val="none" w:sz="0" w:space="0" w:color="auto"/>
      </w:divBdr>
    </w:div>
    <w:div w:id="1242331610">
      <w:bodyDiv w:val="1"/>
      <w:marLeft w:val="0"/>
      <w:marRight w:val="0"/>
      <w:marTop w:val="0"/>
      <w:marBottom w:val="0"/>
      <w:divBdr>
        <w:top w:val="none" w:sz="0" w:space="0" w:color="auto"/>
        <w:left w:val="none" w:sz="0" w:space="0" w:color="auto"/>
        <w:bottom w:val="none" w:sz="0" w:space="0" w:color="auto"/>
        <w:right w:val="none" w:sz="0" w:space="0" w:color="auto"/>
      </w:divBdr>
    </w:div>
    <w:div w:id="1267423137">
      <w:bodyDiv w:val="1"/>
      <w:marLeft w:val="0"/>
      <w:marRight w:val="0"/>
      <w:marTop w:val="0"/>
      <w:marBottom w:val="0"/>
      <w:divBdr>
        <w:top w:val="none" w:sz="0" w:space="0" w:color="auto"/>
        <w:left w:val="none" w:sz="0" w:space="0" w:color="auto"/>
        <w:bottom w:val="none" w:sz="0" w:space="0" w:color="auto"/>
        <w:right w:val="none" w:sz="0" w:space="0" w:color="auto"/>
      </w:divBdr>
    </w:div>
    <w:div w:id="1268544948">
      <w:bodyDiv w:val="1"/>
      <w:marLeft w:val="0"/>
      <w:marRight w:val="0"/>
      <w:marTop w:val="0"/>
      <w:marBottom w:val="0"/>
      <w:divBdr>
        <w:top w:val="none" w:sz="0" w:space="0" w:color="auto"/>
        <w:left w:val="none" w:sz="0" w:space="0" w:color="auto"/>
        <w:bottom w:val="none" w:sz="0" w:space="0" w:color="auto"/>
        <w:right w:val="none" w:sz="0" w:space="0" w:color="auto"/>
      </w:divBdr>
    </w:div>
    <w:div w:id="1302150161">
      <w:bodyDiv w:val="1"/>
      <w:marLeft w:val="0"/>
      <w:marRight w:val="0"/>
      <w:marTop w:val="0"/>
      <w:marBottom w:val="0"/>
      <w:divBdr>
        <w:top w:val="none" w:sz="0" w:space="0" w:color="auto"/>
        <w:left w:val="none" w:sz="0" w:space="0" w:color="auto"/>
        <w:bottom w:val="none" w:sz="0" w:space="0" w:color="auto"/>
        <w:right w:val="none" w:sz="0" w:space="0" w:color="auto"/>
      </w:divBdr>
    </w:div>
    <w:div w:id="1307588712">
      <w:bodyDiv w:val="1"/>
      <w:marLeft w:val="0"/>
      <w:marRight w:val="0"/>
      <w:marTop w:val="0"/>
      <w:marBottom w:val="0"/>
      <w:divBdr>
        <w:top w:val="none" w:sz="0" w:space="0" w:color="auto"/>
        <w:left w:val="none" w:sz="0" w:space="0" w:color="auto"/>
        <w:bottom w:val="none" w:sz="0" w:space="0" w:color="auto"/>
        <w:right w:val="none" w:sz="0" w:space="0" w:color="auto"/>
      </w:divBdr>
    </w:div>
    <w:div w:id="1308587521">
      <w:bodyDiv w:val="1"/>
      <w:marLeft w:val="0"/>
      <w:marRight w:val="0"/>
      <w:marTop w:val="0"/>
      <w:marBottom w:val="0"/>
      <w:divBdr>
        <w:top w:val="none" w:sz="0" w:space="0" w:color="auto"/>
        <w:left w:val="none" w:sz="0" w:space="0" w:color="auto"/>
        <w:bottom w:val="none" w:sz="0" w:space="0" w:color="auto"/>
        <w:right w:val="none" w:sz="0" w:space="0" w:color="auto"/>
      </w:divBdr>
    </w:div>
    <w:div w:id="1313829713">
      <w:bodyDiv w:val="1"/>
      <w:marLeft w:val="0"/>
      <w:marRight w:val="0"/>
      <w:marTop w:val="0"/>
      <w:marBottom w:val="0"/>
      <w:divBdr>
        <w:top w:val="none" w:sz="0" w:space="0" w:color="auto"/>
        <w:left w:val="none" w:sz="0" w:space="0" w:color="auto"/>
        <w:bottom w:val="none" w:sz="0" w:space="0" w:color="auto"/>
        <w:right w:val="none" w:sz="0" w:space="0" w:color="auto"/>
      </w:divBdr>
    </w:div>
    <w:div w:id="1330258533">
      <w:bodyDiv w:val="1"/>
      <w:marLeft w:val="0"/>
      <w:marRight w:val="0"/>
      <w:marTop w:val="0"/>
      <w:marBottom w:val="0"/>
      <w:divBdr>
        <w:top w:val="none" w:sz="0" w:space="0" w:color="auto"/>
        <w:left w:val="none" w:sz="0" w:space="0" w:color="auto"/>
        <w:bottom w:val="none" w:sz="0" w:space="0" w:color="auto"/>
        <w:right w:val="none" w:sz="0" w:space="0" w:color="auto"/>
      </w:divBdr>
    </w:div>
    <w:div w:id="1337458778">
      <w:bodyDiv w:val="1"/>
      <w:marLeft w:val="0"/>
      <w:marRight w:val="0"/>
      <w:marTop w:val="0"/>
      <w:marBottom w:val="0"/>
      <w:divBdr>
        <w:top w:val="none" w:sz="0" w:space="0" w:color="auto"/>
        <w:left w:val="none" w:sz="0" w:space="0" w:color="auto"/>
        <w:bottom w:val="none" w:sz="0" w:space="0" w:color="auto"/>
        <w:right w:val="none" w:sz="0" w:space="0" w:color="auto"/>
      </w:divBdr>
    </w:div>
    <w:div w:id="1349212933">
      <w:bodyDiv w:val="1"/>
      <w:marLeft w:val="0"/>
      <w:marRight w:val="0"/>
      <w:marTop w:val="0"/>
      <w:marBottom w:val="0"/>
      <w:divBdr>
        <w:top w:val="none" w:sz="0" w:space="0" w:color="auto"/>
        <w:left w:val="none" w:sz="0" w:space="0" w:color="auto"/>
        <w:bottom w:val="none" w:sz="0" w:space="0" w:color="auto"/>
        <w:right w:val="none" w:sz="0" w:space="0" w:color="auto"/>
      </w:divBdr>
    </w:div>
    <w:div w:id="1356228259">
      <w:bodyDiv w:val="1"/>
      <w:marLeft w:val="0"/>
      <w:marRight w:val="0"/>
      <w:marTop w:val="0"/>
      <w:marBottom w:val="0"/>
      <w:divBdr>
        <w:top w:val="none" w:sz="0" w:space="0" w:color="auto"/>
        <w:left w:val="none" w:sz="0" w:space="0" w:color="auto"/>
        <w:bottom w:val="none" w:sz="0" w:space="0" w:color="auto"/>
        <w:right w:val="none" w:sz="0" w:space="0" w:color="auto"/>
      </w:divBdr>
    </w:div>
    <w:div w:id="1487631163">
      <w:bodyDiv w:val="1"/>
      <w:marLeft w:val="0"/>
      <w:marRight w:val="0"/>
      <w:marTop w:val="0"/>
      <w:marBottom w:val="0"/>
      <w:divBdr>
        <w:top w:val="none" w:sz="0" w:space="0" w:color="auto"/>
        <w:left w:val="none" w:sz="0" w:space="0" w:color="auto"/>
        <w:bottom w:val="none" w:sz="0" w:space="0" w:color="auto"/>
        <w:right w:val="none" w:sz="0" w:space="0" w:color="auto"/>
      </w:divBdr>
    </w:div>
    <w:div w:id="1487746370">
      <w:bodyDiv w:val="1"/>
      <w:marLeft w:val="0"/>
      <w:marRight w:val="0"/>
      <w:marTop w:val="0"/>
      <w:marBottom w:val="0"/>
      <w:divBdr>
        <w:top w:val="none" w:sz="0" w:space="0" w:color="auto"/>
        <w:left w:val="none" w:sz="0" w:space="0" w:color="auto"/>
        <w:bottom w:val="none" w:sz="0" w:space="0" w:color="auto"/>
        <w:right w:val="none" w:sz="0" w:space="0" w:color="auto"/>
      </w:divBdr>
    </w:div>
    <w:div w:id="1519150281">
      <w:bodyDiv w:val="1"/>
      <w:marLeft w:val="0"/>
      <w:marRight w:val="0"/>
      <w:marTop w:val="0"/>
      <w:marBottom w:val="0"/>
      <w:divBdr>
        <w:top w:val="none" w:sz="0" w:space="0" w:color="auto"/>
        <w:left w:val="none" w:sz="0" w:space="0" w:color="auto"/>
        <w:bottom w:val="none" w:sz="0" w:space="0" w:color="auto"/>
        <w:right w:val="none" w:sz="0" w:space="0" w:color="auto"/>
      </w:divBdr>
    </w:div>
    <w:div w:id="1601717442">
      <w:bodyDiv w:val="1"/>
      <w:marLeft w:val="0"/>
      <w:marRight w:val="0"/>
      <w:marTop w:val="0"/>
      <w:marBottom w:val="0"/>
      <w:divBdr>
        <w:top w:val="none" w:sz="0" w:space="0" w:color="auto"/>
        <w:left w:val="none" w:sz="0" w:space="0" w:color="auto"/>
        <w:bottom w:val="none" w:sz="0" w:space="0" w:color="auto"/>
        <w:right w:val="none" w:sz="0" w:space="0" w:color="auto"/>
      </w:divBdr>
    </w:div>
    <w:div w:id="1605529732">
      <w:bodyDiv w:val="1"/>
      <w:marLeft w:val="0"/>
      <w:marRight w:val="0"/>
      <w:marTop w:val="0"/>
      <w:marBottom w:val="0"/>
      <w:divBdr>
        <w:top w:val="none" w:sz="0" w:space="0" w:color="auto"/>
        <w:left w:val="none" w:sz="0" w:space="0" w:color="auto"/>
        <w:bottom w:val="none" w:sz="0" w:space="0" w:color="auto"/>
        <w:right w:val="none" w:sz="0" w:space="0" w:color="auto"/>
      </w:divBdr>
    </w:div>
    <w:div w:id="1652101142">
      <w:bodyDiv w:val="1"/>
      <w:marLeft w:val="0"/>
      <w:marRight w:val="0"/>
      <w:marTop w:val="0"/>
      <w:marBottom w:val="0"/>
      <w:divBdr>
        <w:top w:val="none" w:sz="0" w:space="0" w:color="auto"/>
        <w:left w:val="none" w:sz="0" w:space="0" w:color="auto"/>
        <w:bottom w:val="none" w:sz="0" w:space="0" w:color="auto"/>
        <w:right w:val="none" w:sz="0" w:space="0" w:color="auto"/>
      </w:divBdr>
    </w:div>
    <w:div w:id="1670475839">
      <w:bodyDiv w:val="1"/>
      <w:marLeft w:val="0"/>
      <w:marRight w:val="0"/>
      <w:marTop w:val="0"/>
      <w:marBottom w:val="0"/>
      <w:divBdr>
        <w:top w:val="none" w:sz="0" w:space="0" w:color="auto"/>
        <w:left w:val="none" w:sz="0" w:space="0" w:color="auto"/>
        <w:bottom w:val="none" w:sz="0" w:space="0" w:color="auto"/>
        <w:right w:val="none" w:sz="0" w:space="0" w:color="auto"/>
      </w:divBdr>
    </w:div>
    <w:div w:id="1700812136">
      <w:bodyDiv w:val="1"/>
      <w:marLeft w:val="0"/>
      <w:marRight w:val="0"/>
      <w:marTop w:val="0"/>
      <w:marBottom w:val="0"/>
      <w:divBdr>
        <w:top w:val="none" w:sz="0" w:space="0" w:color="auto"/>
        <w:left w:val="none" w:sz="0" w:space="0" w:color="auto"/>
        <w:bottom w:val="none" w:sz="0" w:space="0" w:color="auto"/>
        <w:right w:val="none" w:sz="0" w:space="0" w:color="auto"/>
      </w:divBdr>
    </w:div>
    <w:div w:id="1714230679">
      <w:bodyDiv w:val="1"/>
      <w:marLeft w:val="0"/>
      <w:marRight w:val="0"/>
      <w:marTop w:val="0"/>
      <w:marBottom w:val="0"/>
      <w:divBdr>
        <w:top w:val="none" w:sz="0" w:space="0" w:color="auto"/>
        <w:left w:val="none" w:sz="0" w:space="0" w:color="auto"/>
        <w:bottom w:val="none" w:sz="0" w:space="0" w:color="auto"/>
        <w:right w:val="none" w:sz="0" w:space="0" w:color="auto"/>
      </w:divBdr>
    </w:div>
    <w:div w:id="1717123786">
      <w:bodyDiv w:val="1"/>
      <w:marLeft w:val="0"/>
      <w:marRight w:val="0"/>
      <w:marTop w:val="0"/>
      <w:marBottom w:val="0"/>
      <w:divBdr>
        <w:top w:val="none" w:sz="0" w:space="0" w:color="auto"/>
        <w:left w:val="none" w:sz="0" w:space="0" w:color="auto"/>
        <w:bottom w:val="none" w:sz="0" w:space="0" w:color="auto"/>
        <w:right w:val="none" w:sz="0" w:space="0" w:color="auto"/>
      </w:divBdr>
    </w:div>
    <w:div w:id="1755930457">
      <w:bodyDiv w:val="1"/>
      <w:marLeft w:val="0"/>
      <w:marRight w:val="0"/>
      <w:marTop w:val="0"/>
      <w:marBottom w:val="0"/>
      <w:divBdr>
        <w:top w:val="none" w:sz="0" w:space="0" w:color="auto"/>
        <w:left w:val="none" w:sz="0" w:space="0" w:color="auto"/>
        <w:bottom w:val="none" w:sz="0" w:space="0" w:color="auto"/>
        <w:right w:val="none" w:sz="0" w:space="0" w:color="auto"/>
      </w:divBdr>
    </w:div>
    <w:div w:id="1888178797">
      <w:bodyDiv w:val="1"/>
      <w:marLeft w:val="0"/>
      <w:marRight w:val="0"/>
      <w:marTop w:val="0"/>
      <w:marBottom w:val="0"/>
      <w:divBdr>
        <w:top w:val="none" w:sz="0" w:space="0" w:color="auto"/>
        <w:left w:val="none" w:sz="0" w:space="0" w:color="auto"/>
        <w:bottom w:val="none" w:sz="0" w:space="0" w:color="auto"/>
        <w:right w:val="none" w:sz="0" w:space="0" w:color="auto"/>
      </w:divBdr>
    </w:div>
    <w:div w:id="1896157825">
      <w:bodyDiv w:val="1"/>
      <w:marLeft w:val="0"/>
      <w:marRight w:val="0"/>
      <w:marTop w:val="0"/>
      <w:marBottom w:val="0"/>
      <w:divBdr>
        <w:top w:val="none" w:sz="0" w:space="0" w:color="auto"/>
        <w:left w:val="none" w:sz="0" w:space="0" w:color="auto"/>
        <w:bottom w:val="none" w:sz="0" w:space="0" w:color="auto"/>
        <w:right w:val="none" w:sz="0" w:space="0" w:color="auto"/>
      </w:divBdr>
    </w:div>
    <w:div w:id="1956208326">
      <w:bodyDiv w:val="1"/>
      <w:marLeft w:val="0"/>
      <w:marRight w:val="0"/>
      <w:marTop w:val="0"/>
      <w:marBottom w:val="0"/>
      <w:divBdr>
        <w:top w:val="none" w:sz="0" w:space="0" w:color="auto"/>
        <w:left w:val="none" w:sz="0" w:space="0" w:color="auto"/>
        <w:bottom w:val="none" w:sz="0" w:space="0" w:color="auto"/>
        <w:right w:val="none" w:sz="0" w:space="0" w:color="auto"/>
      </w:divBdr>
    </w:div>
    <w:div w:id="1975401598">
      <w:bodyDiv w:val="1"/>
      <w:marLeft w:val="0"/>
      <w:marRight w:val="0"/>
      <w:marTop w:val="0"/>
      <w:marBottom w:val="0"/>
      <w:divBdr>
        <w:top w:val="none" w:sz="0" w:space="0" w:color="auto"/>
        <w:left w:val="none" w:sz="0" w:space="0" w:color="auto"/>
        <w:bottom w:val="none" w:sz="0" w:space="0" w:color="auto"/>
        <w:right w:val="none" w:sz="0" w:space="0" w:color="auto"/>
      </w:divBdr>
    </w:div>
    <w:div w:id="1993169484">
      <w:bodyDiv w:val="1"/>
      <w:marLeft w:val="0"/>
      <w:marRight w:val="0"/>
      <w:marTop w:val="0"/>
      <w:marBottom w:val="0"/>
      <w:divBdr>
        <w:top w:val="none" w:sz="0" w:space="0" w:color="auto"/>
        <w:left w:val="none" w:sz="0" w:space="0" w:color="auto"/>
        <w:bottom w:val="none" w:sz="0" w:space="0" w:color="auto"/>
        <w:right w:val="none" w:sz="0" w:space="0" w:color="auto"/>
      </w:divBdr>
    </w:div>
    <w:div w:id="2028865395">
      <w:bodyDiv w:val="1"/>
      <w:marLeft w:val="0"/>
      <w:marRight w:val="0"/>
      <w:marTop w:val="0"/>
      <w:marBottom w:val="0"/>
      <w:divBdr>
        <w:top w:val="none" w:sz="0" w:space="0" w:color="auto"/>
        <w:left w:val="none" w:sz="0" w:space="0" w:color="auto"/>
        <w:bottom w:val="none" w:sz="0" w:space="0" w:color="auto"/>
        <w:right w:val="none" w:sz="0" w:space="0" w:color="auto"/>
      </w:divBdr>
    </w:div>
    <w:div w:id="2030569000">
      <w:bodyDiv w:val="1"/>
      <w:marLeft w:val="0"/>
      <w:marRight w:val="0"/>
      <w:marTop w:val="0"/>
      <w:marBottom w:val="0"/>
      <w:divBdr>
        <w:top w:val="none" w:sz="0" w:space="0" w:color="auto"/>
        <w:left w:val="none" w:sz="0" w:space="0" w:color="auto"/>
        <w:bottom w:val="none" w:sz="0" w:space="0" w:color="auto"/>
        <w:right w:val="none" w:sz="0" w:space="0" w:color="auto"/>
      </w:divBdr>
    </w:div>
    <w:div w:id="2073963342">
      <w:bodyDiv w:val="1"/>
      <w:marLeft w:val="0"/>
      <w:marRight w:val="0"/>
      <w:marTop w:val="0"/>
      <w:marBottom w:val="0"/>
      <w:divBdr>
        <w:top w:val="none" w:sz="0" w:space="0" w:color="auto"/>
        <w:left w:val="none" w:sz="0" w:space="0" w:color="auto"/>
        <w:bottom w:val="none" w:sz="0" w:space="0" w:color="auto"/>
        <w:right w:val="none" w:sz="0" w:space="0" w:color="auto"/>
      </w:divBdr>
    </w:div>
    <w:div w:id="2083062773">
      <w:bodyDiv w:val="1"/>
      <w:marLeft w:val="0"/>
      <w:marRight w:val="0"/>
      <w:marTop w:val="0"/>
      <w:marBottom w:val="0"/>
      <w:divBdr>
        <w:top w:val="none" w:sz="0" w:space="0" w:color="auto"/>
        <w:left w:val="none" w:sz="0" w:space="0" w:color="auto"/>
        <w:bottom w:val="none" w:sz="0" w:space="0" w:color="auto"/>
        <w:right w:val="none" w:sz="0" w:space="0" w:color="auto"/>
      </w:divBdr>
    </w:div>
    <w:div w:id="2113355190">
      <w:bodyDiv w:val="1"/>
      <w:marLeft w:val="0"/>
      <w:marRight w:val="0"/>
      <w:marTop w:val="0"/>
      <w:marBottom w:val="0"/>
      <w:divBdr>
        <w:top w:val="none" w:sz="0" w:space="0" w:color="auto"/>
        <w:left w:val="none" w:sz="0" w:space="0" w:color="auto"/>
        <w:bottom w:val="none" w:sz="0" w:space="0" w:color="auto"/>
        <w:right w:val="none" w:sz="0" w:space="0" w:color="auto"/>
      </w:divBdr>
    </w:div>
    <w:div w:id="214257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ites.org/sites/default/files/eng/disc/funds/ct_e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sel.int/Default.aspx?tabid=5021"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http://chm.pops.int/Default.aspx?tabid=5020" TargetMode="External"/><Relationship Id="rId4" Type="http://schemas.microsoft.com/office/2007/relationships/stylesWithEffects" Target="stylesWithEffects.xml"/><Relationship Id="rId9" Type="http://schemas.openxmlformats.org/officeDocument/2006/relationships/hyperlink" Target="http://www.pic.int/Default.aspx?tabid=5023"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AFF83-C883-4733-8E7F-BB72CD8E2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2136</Words>
  <Characters>11624</Characters>
  <Application>Microsoft Office Word</Application>
  <DocSecurity>4</DocSecurity>
  <Lines>464</Lines>
  <Paragraphs>280</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IUCN</Company>
  <LinksUpToDate>false</LinksUpToDate>
  <CharactersWithSpaces>13480</CharactersWithSpaces>
  <SharedDoc>false</SharedDoc>
  <HLinks>
    <vt:vector size="6" baseType="variant">
      <vt:variant>
        <vt:i4>2949183</vt:i4>
      </vt:variant>
      <vt:variant>
        <vt:i4>3</vt:i4>
      </vt:variant>
      <vt:variant>
        <vt:i4>0</vt:i4>
      </vt:variant>
      <vt:variant>
        <vt:i4>5</vt:i4>
      </vt:variant>
      <vt:variant>
        <vt:lpwstr>http://apps.who.int/gb/fctc/PDF/cop5/FCTC_COP5_21-en.pdf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Marsel Kuzyakov</dc:creator>
  <cp:lastModifiedBy>Ramsar\JenningsE</cp:lastModifiedBy>
  <cp:revision>2</cp:revision>
  <cp:lastPrinted>2017-03-15T16:39:00Z</cp:lastPrinted>
  <dcterms:created xsi:type="dcterms:W3CDTF">2017-03-17T12:21:00Z</dcterms:created>
  <dcterms:modified xsi:type="dcterms:W3CDTF">2017-03-17T12:21:00Z</dcterms:modified>
</cp:coreProperties>
</file>