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79178" w14:textId="142D0658" w:rsidR="0056312E" w:rsidRPr="00387415" w:rsidRDefault="00AA5903" w:rsidP="001E4474">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noProof/>
          <w:lang w:val="es-ES_tradnl"/>
        </w:rPr>
      </w:pPr>
      <w:bookmarkStart w:id="0" w:name="OLE_LINK1"/>
      <w:r w:rsidRPr="00387415">
        <w:rPr>
          <w:rFonts w:ascii="Calibri" w:hAnsi="Calibri"/>
          <w:bCs/>
          <w:noProof/>
          <w:lang w:val="es-ES_tradnl"/>
        </w:rPr>
        <w:t xml:space="preserve">CONVENCIÓN </w:t>
      </w:r>
      <w:r w:rsidR="00841924">
        <w:rPr>
          <w:rFonts w:ascii="Calibri" w:hAnsi="Calibri"/>
          <w:bCs/>
          <w:noProof/>
          <w:lang w:val="es-ES_tradnl"/>
        </w:rPr>
        <w:t>SOBRE LOS HUMEDALES (Ramsar, Irá</w:t>
      </w:r>
      <w:r w:rsidR="0056312E" w:rsidRPr="00387415">
        <w:rPr>
          <w:rFonts w:ascii="Calibri" w:hAnsi="Calibri"/>
          <w:bCs/>
          <w:noProof/>
          <w:lang w:val="es-ES_tradnl"/>
        </w:rPr>
        <w:t>n, 1971)</w:t>
      </w:r>
    </w:p>
    <w:p w14:paraId="3E446C41" w14:textId="77777777" w:rsidR="0056312E" w:rsidRPr="00387415" w:rsidRDefault="00BC59B6" w:rsidP="001E4474">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noProof/>
          <w:lang w:val="es-ES_tradnl"/>
        </w:rPr>
      </w:pPr>
      <w:r w:rsidRPr="00387415">
        <w:rPr>
          <w:rFonts w:ascii="Calibri" w:hAnsi="Calibri"/>
          <w:bCs/>
          <w:noProof/>
          <w:lang w:val="es-ES_tradnl"/>
        </w:rPr>
        <w:t>5</w:t>
      </w:r>
      <w:r w:rsidR="00AA5903" w:rsidRPr="00387415">
        <w:rPr>
          <w:rFonts w:ascii="Calibri" w:hAnsi="Calibri"/>
          <w:bCs/>
          <w:noProof/>
          <w:lang w:val="es-ES_tradnl"/>
        </w:rPr>
        <w:t>3</w:t>
      </w:r>
      <w:r w:rsidR="00AA5903" w:rsidRPr="00387415">
        <w:rPr>
          <w:rFonts w:ascii="Calibri" w:hAnsi="Calibri"/>
          <w:bCs/>
          <w:noProof/>
          <w:vertAlign w:val="superscript"/>
          <w:lang w:val="es-ES_tradnl"/>
        </w:rPr>
        <w:t>a</w:t>
      </w:r>
      <w:r w:rsidRPr="00387415">
        <w:rPr>
          <w:rFonts w:ascii="Calibri" w:hAnsi="Calibri"/>
          <w:bCs/>
          <w:noProof/>
          <w:lang w:val="es-ES_tradnl"/>
        </w:rPr>
        <w:t xml:space="preserve"> </w:t>
      </w:r>
      <w:r w:rsidR="00AA5903" w:rsidRPr="00387415">
        <w:rPr>
          <w:rFonts w:ascii="Calibri" w:hAnsi="Calibri"/>
          <w:bCs/>
          <w:noProof/>
          <w:lang w:val="es-ES_tradnl"/>
        </w:rPr>
        <w:t xml:space="preserve">Reunión del Comité Permanente </w:t>
      </w:r>
    </w:p>
    <w:p w14:paraId="61F9D446" w14:textId="77777777" w:rsidR="0056312E" w:rsidRPr="00387415" w:rsidRDefault="0056312E" w:rsidP="001E4474">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noProof/>
          <w:lang w:val="es-ES_tradnl"/>
        </w:rPr>
      </w:pPr>
      <w:r w:rsidRPr="00387415">
        <w:rPr>
          <w:rFonts w:ascii="Calibri" w:hAnsi="Calibri"/>
          <w:bCs/>
          <w:noProof/>
          <w:lang w:val="es-ES_tradnl"/>
        </w:rPr>
        <w:t xml:space="preserve">Gland, </w:t>
      </w:r>
      <w:r w:rsidR="00AA5903" w:rsidRPr="00387415">
        <w:rPr>
          <w:rFonts w:ascii="Calibri" w:hAnsi="Calibri"/>
          <w:bCs/>
          <w:noProof/>
          <w:lang w:val="es-ES_tradnl"/>
        </w:rPr>
        <w:t>Suiza</w:t>
      </w:r>
      <w:r w:rsidRPr="00387415">
        <w:rPr>
          <w:rFonts w:ascii="Calibri" w:hAnsi="Calibri"/>
          <w:bCs/>
          <w:noProof/>
          <w:lang w:val="es-ES_tradnl"/>
        </w:rPr>
        <w:t xml:space="preserve">, </w:t>
      </w:r>
      <w:r w:rsidR="00097E94" w:rsidRPr="00387415">
        <w:rPr>
          <w:rFonts w:ascii="Calibri" w:hAnsi="Calibri"/>
          <w:bCs/>
          <w:noProof/>
          <w:lang w:val="es-ES_tradnl"/>
        </w:rPr>
        <w:t xml:space="preserve">29 </w:t>
      </w:r>
      <w:r w:rsidR="00AA5903" w:rsidRPr="00387415">
        <w:rPr>
          <w:rFonts w:ascii="Calibri" w:hAnsi="Calibri"/>
          <w:bCs/>
          <w:noProof/>
          <w:lang w:val="es-ES_tradnl"/>
        </w:rPr>
        <w:t xml:space="preserve">de mayo a 2 de junio de </w:t>
      </w:r>
      <w:r w:rsidR="009D28C3" w:rsidRPr="00387415">
        <w:rPr>
          <w:rFonts w:ascii="Calibri" w:hAnsi="Calibri"/>
          <w:bCs/>
          <w:noProof/>
          <w:lang w:val="es-ES_tradnl"/>
        </w:rPr>
        <w:t>201</w:t>
      </w:r>
      <w:r w:rsidR="00B0151E" w:rsidRPr="00387415">
        <w:rPr>
          <w:rFonts w:ascii="Calibri" w:hAnsi="Calibri"/>
          <w:bCs/>
          <w:noProof/>
          <w:lang w:val="es-ES_tradnl"/>
        </w:rPr>
        <w:t>7</w:t>
      </w:r>
    </w:p>
    <w:p w14:paraId="48517964" w14:textId="77777777" w:rsidR="0056312E" w:rsidRPr="00387415" w:rsidRDefault="0056312E" w:rsidP="0056312E">
      <w:pPr>
        <w:keepNext/>
        <w:suppressAutoHyphens/>
        <w:outlineLvl w:val="0"/>
        <w:rPr>
          <w:rFonts w:ascii="Calibri" w:hAnsi="Calibri"/>
          <w:b/>
          <w:noProof/>
          <w:sz w:val="22"/>
          <w:szCs w:val="22"/>
          <w:lang w:val="es-ES_tradnl"/>
        </w:rPr>
      </w:pPr>
    </w:p>
    <w:p w14:paraId="78AAC3BF" w14:textId="77777777" w:rsidR="0056312E" w:rsidRPr="00387415" w:rsidRDefault="0056312E" w:rsidP="0056312E">
      <w:pPr>
        <w:keepNext/>
        <w:suppressAutoHyphens/>
        <w:jc w:val="right"/>
        <w:outlineLvl w:val="0"/>
        <w:rPr>
          <w:rFonts w:asciiTheme="minorHAnsi" w:hAnsiTheme="minorHAnsi"/>
          <w:b/>
          <w:noProof/>
          <w:sz w:val="28"/>
          <w:szCs w:val="28"/>
          <w:lang w:val="es-ES_tradnl"/>
        </w:rPr>
      </w:pPr>
      <w:r w:rsidRPr="00387415">
        <w:rPr>
          <w:rFonts w:asciiTheme="minorHAnsi" w:hAnsiTheme="minorHAnsi"/>
          <w:b/>
          <w:noProof/>
          <w:sz w:val="28"/>
          <w:szCs w:val="28"/>
          <w:lang w:val="es-ES_tradnl"/>
        </w:rPr>
        <w:t>SC</w:t>
      </w:r>
      <w:r w:rsidR="00E72D40" w:rsidRPr="00387415">
        <w:rPr>
          <w:rFonts w:asciiTheme="minorHAnsi" w:hAnsiTheme="minorHAnsi"/>
          <w:b/>
          <w:noProof/>
          <w:sz w:val="28"/>
          <w:szCs w:val="28"/>
          <w:lang w:val="es-ES_tradnl"/>
        </w:rPr>
        <w:t>5</w:t>
      </w:r>
      <w:r w:rsidR="00B0151E" w:rsidRPr="00387415">
        <w:rPr>
          <w:rFonts w:asciiTheme="minorHAnsi" w:hAnsiTheme="minorHAnsi"/>
          <w:b/>
          <w:noProof/>
          <w:sz w:val="28"/>
          <w:szCs w:val="28"/>
          <w:lang w:val="es-ES_tradnl"/>
        </w:rPr>
        <w:t>3</w:t>
      </w:r>
      <w:r w:rsidRPr="00387415">
        <w:rPr>
          <w:rFonts w:asciiTheme="minorHAnsi" w:hAnsiTheme="minorHAnsi"/>
          <w:b/>
          <w:noProof/>
          <w:sz w:val="28"/>
          <w:szCs w:val="28"/>
          <w:lang w:val="es-ES_tradnl"/>
        </w:rPr>
        <w:t>-</w:t>
      </w:r>
      <w:bookmarkEnd w:id="0"/>
      <w:r w:rsidR="00F77C70" w:rsidRPr="00387415">
        <w:rPr>
          <w:rFonts w:asciiTheme="minorHAnsi" w:hAnsiTheme="minorHAnsi"/>
          <w:b/>
          <w:noProof/>
          <w:sz w:val="28"/>
          <w:szCs w:val="28"/>
          <w:lang w:val="es-ES_tradnl"/>
        </w:rPr>
        <w:t>20</w:t>
      </w:r>
    </w:p>
    <w:p w14:paraId="4A246F19" w14:textId="77777777" w:rsidR="0056312E" w:rsidRPr="00387415" w:rsidRDefault="0056312E" w:rsidP="0056312E">
      <w:pPr>
        <w:rPr>
          <w:rFonts w:asciiTheme="minorHAnsi" w:hAnsiTheme="minorHAnsi"/>
          <w:noProof/>
          <w:sz w:val="28"/>
          <w:szCs w:val="28"/>
          <w:lang w:val="es-ES_tradnl"/>
        </w:rPr>
      </w:pPr>
    </w:p>
    <w:p w14:paraId="72C6DD88" w14:textId="0119076F" w:rsidR="0056312E" w:rsidRPr="00387415" w:rsidRDefault="00E36909" w:rsidP="00CD1518">
      <w:pPr>
        <w:jc w:val="center"/>
        <w:rPr>
          <w:rFonts w:asciiTheme="minorHAnsi" w:eastAsia="Times New Roman" w:hAnsiTheme="minorHAnsi" w:cs="Calibri"/>
          <w:b/>
          <w:bCs/>
          <w:noProof/>
          <w:color w:val="000000"/>
          <w:sz w:val="28"/>
          <w:szCs w:val="28"/>
          <w:lang w:val="es-ES_tradnl"/>
        </w:rPr>
      </w:pPr>
      <w:hyperlink r:id="rId9" w:history="1">
        <w:r w:rsidR="00C83A46">
          <w:rPr>
            <w:rFonts w:asciiTheme="minorHAnsi" w:eastAsia="Times New Roman" w:hAnsiTheme="minorHAnsi" w:cs="Calibri"/>
            <w:b/>
            <w:bCs/>
            <w:noProof/>
            <w:color w:val="000000"/>
            <w:sz w:val="28"/>
            <w:szCs w:val="28"/>
            <w:lang w:val="es-ES_tradnl"/>
          </w:rPr>
          <w:t xml:space="preserve"> Asuntos financieros </w:t>
        </w:r>
        <w:r w:rsidR="00AA5903" w:rsidRPr="00387415">
          <w:rPr>
            <w:rFonts w:asciiTheme="minorHAnsi" w:eastAsia="Times New Roman" w:hAnsiTheme="minorHAnsi" w:cs="Calibri"/>
            <w:b/>
            <w:bCs/>
            <w:noProof/>
            <w:color w:val="000000"/>
            <w:sz w:val="28"/>
            <w:szCs w:val="28"/>
            <w:lang w:val="es-ES_tradnl"/>
          </w:rPr>
          <w:t xml:space="preserve">de Ramsar </w:t>
        </w:r>
        <w:r w:rsidR="00BC59B6" w:rsidRPr="00387415">
          <w:rPr>
            <w:rFonts w:asciiTheme="minorHAnsi" w:eastAsia="Times New Roman" w:hAnsiTheme="minorHAnsi" w:cs="Calibri"/>
            <w:b/>
            <w:bCs/>
            <w:noProof/>
            <w:color w:val="000000"/>
            <w:sz w:val="28"/>
            <w:szCs w:val="28"/>
            <w:lang w:val="es-ES_tradnl"/>
          </w:rPr>
          <w:t>201</w:t>
        </w:r>
        <w:r w:rsidR="000D3F33" w:rsidRPr="00387415">
          <w:rPr>
            <w:rFonts w:asciiTheme="minorHAnsi" w:eastAsia="Times New Roman" w:hAnsiTheme="minorHAnsi" w:cs="Calibri"/>
            <w:b/>
            <w:bCs/>
            <w:noProof/>
            <w:color w:val="000000"/>
            <w:sz w:val="28"/>
            <w:szCs w:val="28"/>
            <w:lang w:val="es-ES_tradnl"/>
          </w:rPr>
          <w:t>6</w:t>
        </w:r>
      </w:hyperlink>
    </w:p>
    <w:p w14:paraId="522DA73C" w14:textId="77777777" w:rsidR="00CD1518" w:rsidRPr="00387415" w:rsidRDefault="00CD1518" w:rsidP="0056312E">
      <w:pPr>
        <w:rPr>
          <w:rFonts w:ascii="Calibri" w:hAnsi="Calibri"/>
          <w:b/>
          <w:iCs/>
          <w:noProof/>
          <w:sz w:val="22"/>
          <w:szCs w:val="22"/>
          <w:highlight w:val="yellow"/>
          <w:lang w:val="es-ES_tradnl"/>
        </w:rPr>
      </w:pPr>
    </w:p>
    <w:p w14:paraId="3C759A50" w14:textId="77777777" w:rsidR="0056312E" w:rsidRPr="00387415" w:rsidRDefault="00737F87" w:rsidP="0056312E">
      <w:pPr>
        <w:ind w:left="540" w:hanging="540"/>
        <w:rPr>
          <w:rFonts w:ascii="Calibri" w:hAnsi="Calibri"/>
          <w:noProof/>
          <w:sz w:val="22"/>
          <w:szCs w:val="22"/>
          <w:lang w:val="es-ES_tradnl"/>
        </w:rPr>
      </w:pPr>
      <w:r w:rsidRPr="00387415">
        <w:rPr>
          <w:rFonts w:ascii="Calibri" w:hAnsi="Calibri"/>
          <w:noProof/>
          <w:sz w:val="22"/>
          <w:szCs w:val="22"/>
          <w:lang w:val="en-GB" w:eastAsia="en-GB"/>
        </w:rPr>
        <mc:AlternateContent>
          <mc:Choice Requires="wps">
            <w:drawing>
              <wp:inline distT="0" distB="0" distL="0" distR="0" wp14:anchorId="6D04733E" wp14:editId="5EC60E47">
                <wp:extent cx="5728970" cy="4306330"/>
                <wp:effectExtent l="0" t="0" r="36830" b="374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4306330"/>
                        </a:xfrm>
                        <a:prstGeom prst="rect">
                          <a:avLst/>
                        </a:prstGeom>
                        <a:solidFill>
                          <a:srgbClr val="FFFFFF"/>
                        </a:solidFill>
                        <a:ln w="9525">
                          <a:solidFill>
                            <a:srgbClr val="000000"/>
                          </a:solidFill>
                          <a:miter lim="800000"/>
                          <a:headEnd/>
                          <a:tailEnd/>
                        </a:ln>
                      </wps:spPr>
                      <wps:txbx>
                        <w:txbxContent>
                          <w:p w14:paraId="5D3D544F" w14:textId="41C9CF12" w:rsidR="00140064" w:rsidRPr="002062A4" w:rsidRDefault="00140064" w:rsidP="0056312E">
                            <w:pPr>
                              <w:jc w:val="both"/>
                              <w:rPr>
                                <w:rFonts w:ascii="Calibri" w:hAnsi="Calibri"/>
                                <w:b/>
                                <w:noProof/>
                                <w:sz w:val="22"/>
                                <w:szCs w:val="22"/>
                                <w:lang w:val="es-ES_tradnl"/>
                              </w:rPr>
                            </w:pPr>
                            <w:r w:rsidRPr="002062A4">
                              <w:rPr>
                                <w:rFonts w:ascii="Calibri" w:hAnsi="Calibri"/>
                                <w:b/>
                                <w:noProof/>
                                <w:sz w:val="22"/>
                                <w:szCs w:val="22"/>
                                <w:lang w:val="es-ES_tradnl"/>
                              </w:rPr>
                              <w:t>Acciones solicitadas</w:t>
                            </w:r>
                            <w:r>
                              <w:rPr>
                                <w:rFonts w:ascii="Calibri" w:hAnsi="Calibri"/>
                                <w:b/>
                                <w:noProof/>
                                <w:sz w:val="22"/>
                                <w:szCs w:val="22"/>
                                <w:lang w:val="es-ES_tradnl"/>
                              </w:rPr>
                              <w:t>:</w:t>
                            </w:r>
                          </w:p>
                          <w:p w14:paraId="14D844F3" w14:textId="77777777" w:rsidR="00140064" w:rsidRPr="002062A4" w:rsidRDefault="00140064" w:rsidP="0056312E">
                            <w:pPr>
                              <w:jc w:val="both"/>
                              <w:rPr>
                                <w:rFonts w:ascii="Calibri" w:hAnsi="Calibri"/>
                                <w:b/>
                                <w:noProof/>
                                <w:sz w:val="22"/>
                                <w:szCs w:val="22"/>
                                <w:lang w:val="es-ES_tradnl"/>
                              </w:rPr>
                            </w:pPr>
                          </w:p>
                          <w:p w14:paraId="47D9E77B" w14:textId="77777777" w:rsidR="00140064" w:rsidRPr="002062A4" w:rsidRDefault="00140064" w:rsidP="00CD1518">
                            <w:pPr>
                              <w:pStyle w:val="ListParagraph"/>
                              <w:ind w:left="0"/>
                              <w:rPr>
                                <w:rFonts w:ascii="Calibri" w:hAnsi="Calibri"/>
                                <w:noProof/>
                                <w:sz w:val="22"/>
                                <w:szCs w:val="22"/>
                                <w:lang w:val="es-ES_tradnl"/>
                              </w:rPr>
                            </w:pPr>
                            <w:r w:rsidRPr="002062A4">
                              <w:rPr>
                                <w:rFonts w:ascii="Calibri" w:hAnsi="Calibri"/>
                                <w:noProof/>
                                <w:sz w:val="22"/>
                                <w:szCs w:val="22"/>
                                <w:lang w:val="es-ES_tradnl"/>
                              </w:rPr>
                              <w:t>Se invita al Comité Permanente a:</w:t>
                            </w:r>
                          </w:p>
                          <w:p w14:paraId="0D924549" w14:textId="77777777" w:rsidR="00140064" w:rsidRPr="002062A4" w:rsidRDefault="00140064" w:rsidP="00CD1518">
                            <w:pPr>
                              <w:pStyle w:val="ListParagraph"/>
                              <w:ind w:left="0"/>
                              <w:rPr>
                                <w:rFonts w:ascii="Calibri" w:hAnsi="Calibri"/>
                                <w:noProof/>
                                <w:sz w:val="22"/>
                                <w:szCs w:val="22"/>
                                <w:lang w:val="es-ES_tradnl"/>
                              </w:rPr>
                            </w:pPr>
                          </w:p>
                          <w:p w14:paraId="3F78AEB4" w14:textId="77777777" w:rsidR="00140064" w:rsidRPr="002062A4" w:rsidRDefault="00140064" w:rsidP="000D3F33">
                            <w:pPr>
                              <w:pStyle w:val="ListParagraph"/>
                              <w:numPr>
                                <w:ilvl w:val="0"/>
                                <w:numId w:val="18"/>
                              </w:numPr>
                              <w:rPr>
                                <w:rFonts w:ascii="Calibri" w:hAnsi="Calibri"/>
                                <w:noProof/>
                                <w:sz w:val="22"/>
                                <w:szCs w:val="22"/>
                                <w:lang w:val="es-ES_tradnl"/>
                              </w:rPr>
                            </w:pPr>
                            <w:r w:rsidRPr="002062A4">
                              <w:rPr>
                                <w:rFonts w:ascii="Calibri" w:hAnsi="Calibri" w:cs="Calibri"/>
                                <w:noProof/>
                                <w:sz w:val="22"/>
                                <w:szCs w:val="22"/>
                                <w:lang w:val="es-ES_tradnl"/>
                              </w:rPr>
                              <w:t xml:space="preserve">tomar nota de los resultados </w:t>
                            </w:r>
                            <w:r>
                              <w:rPr>
                                <w:rFonts w:ascii="Calibri" w:hAnsi="Calibri" w:cs="Calibri"/>
                                <w:noProof/>
                                <w:sz w:val="22"/>
                                <w:szCs w:val="22"/>
                                <w:lang w:val="es-ES_tradnl"/>
                              </w:rPr>
                              <w:t>preliminar</w:t>
                            </w:r>
                            <w:r w:rsidRPr="002062A4">
                              <w:rPr>
                                <w:rFonts w:ascii="Calibri" w:hAnsi="Calibri" w:cs="Calibri"/>
                                <w:noProof/>
                                <w:sz w:val="22"/>
                                <w:szCs w:val="22"/>
                                <w:lang w:val="es-ES_tradnl"/>
                              </w:rPr>
                              <w:t xml:space="preserve">es del presupuesto básico </w:t>
                            </w:r>
                            <w:r>
                              <w:rPr>
                                <w:rFonts w:ascii="Calibri" w:hAnsi="Calibri" w:cs="Calibri"/>
                                <w:noProof/>
                                <w:sz w:val="22"/>
                                <w:szCs w:val="22"/>
                                <w:lang w:val="es-ES_tradnl"/>
                              </w:rPr>
                              <w:t>para</w:t>
                            </w:r>
                            <w:r w:rsidRPr="002062A4">
                              <w:rPr>
                                <w:rFonts w:ascii="Calibri" w:hAnsi="Calibri" w:cs="Calibri"/>
                                <w:noProof/>
                                <w:sz w:val="22"/>
                                <w:szCs w:val="22"/>
                                <w:lang w:val="es-ES_tradnl"/>
                              </w:rPr>
                              <w:t xml:space="preserve"> 2016;</w:t>
                            </w:r>
                          </w:p>
                          <w:p w14:paraId="13D2F72D" w14:textId="77777777" w:rsidR="00140064" w:rsidRPr="002062A4" w:rsidRDefault="00140064" w:rsidP="000D3F33">
                            <w:pPr>
                              <w:pStyle w:val="ListParagraph"/>
                              <w:ind w:left="774"/>
                              <w:rPr>
                                <w:rFonts w:ascii="Calibri" w:hAnsi="Calibri"/>
                                <w:noProof/>
                                <w:sz w:val="22"/>
                                <w:szCs w:val="22"/>
                                <w:lang w:val="es-ES_tradnl"/>
                              </w:rPr>
                            </w:pPr>
                          </w:p>
                          <w:p w14:paraId="1F612D46" w14:textId="77777777" w:rsidR="0014006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aprobar las propuestas para el excedente y el fondo de reserva de 2016;</w:t>
                            </w:r>
                          </w:p>
                          <w:p w14:paraId="6E12AB8C" w14:textId="77777777" w:rsidR="00140064" w:rsidRPr="002062A4" w:rsidRDefault="00140064" w:rsidP="002062A4">
                            <w:pPr>
                              <w:rPr>
                                <w:rFonts w:ascii="Calibri" w:hAnsi="Calibri" w:cs="Calibri"/>
                                <w:noProof/>
                                <w:sz w:val="22"/>
                                <w:szCs w:val="22"/>
                                <w:lang w:val="es-ES_tradnl"/>
                              </w:rPr>
                            </w:pPr>
                          </w:p>
                          <w:p w14:paraId="5D4C00E2" w14:textId="77777777" w:rsidR="00140064" w:rsidRPr="002062A4" w:rsidRDefault="00140064" w:rsidP="002062A4">
                            <w:pPr>
                              <w:pStyle w:val="ListParagraph"/>
                              <w:numPr>
                                <w:ilvl w:val="0"/>
                                <w:numId w:val="18"/>
                              </w:numPr>
                              <w:rPr>
                                <w:rFonts w:ascii="Calibri" w:hAnsi="Calibri"/>
                                <w:noProof/>
                                <w:sz w:val="22"/>
                                <w:szCs w:val="22"/>
                                <w:lang w:val="es-ES_tradnl"/>
                              </w:rPr>
                            </w:pPr>
                            <w:r>
                              <w:rPr>
                                <w:rFonts w:ascii="Calibri" w:hAnsi="Calibri" w:cs="Calibri"/>
                                <w:noProof/>
                                <w:sz w:val="22"/>
                                <w:szCs w:val="22"/>
                                <w:lang w:val="es-ES_tradnl"/>
                              </w:rPr>
                              <w:t>examinar</w:t>
                            </w:r>
                            <w:r w:rsidRPr="002062A4">
                              <w:rPr>
                                <w:rFonts w:ascii="Calibri" w:hAnsi="Calibri" w:cs="Calibri"/>
                                <w:noProof/>
                                <w:sz w:val="22"/>
                                <w:szCs w:val="22"/>
                                <w:lang w:val="es-ES_tradnl"/>
                              </w:rPr>
                              <w:t xml:space="preserve"> la propuesta </w:t>
                            </w:r>
                            <w:r>
                              <w:rPr>
                                <w:rFonts w:ascii="Calibri" w:hAnsi="Calibri" w:cs="Calibri"/>
                                <w:noProof/>
                                <w:sz w:val="22"/>
                                <w:szCs w:val="22"/>
                                <w:lang w:val="es-ES_tradnl"/>
                              </w:rPr>
                              <w:t>para</w:t>
                            </w:r>
                            <w:r w:rsidRPr="002062A4">
                              <w:rPr>
                                <w:rFonts w:ascii="Calibri" w:hAnsi="Calibri" w:cs="Calibri"/>
                                <w:noProof/>
                                <w:sz w:val="22"/>
                                <w:szCs w:val="22"/>
                                <w:lang w:val="es-ES_tradnl"/>
                              </w:rPr>
                              <w:t xml:space="preserve"> iniciar el uso de reservas designadas para </w:t>
                            </w:r>
                            <w:r>
                              <w:rPr>
                                <w:rFonts w:ascii="Calibri" w:hAnsi="Calibri" w:cs="Calibri"/>
                                <w:noProof/>
                                <w:sz w:val="22"/>
                                <w:szCs w:val="22"/>
                                <w:lang w:val="es-ES_tradnl"/>
                              </w:rPr>
                              <w:t>excedentes excepionales</w:t>
                            </w:r>
                            <w:r w:rsidRPr="002062A4">
                              <w:rPr>
                                <w:rFonts w:ascii="Calibri" w:hAnsi="Calibri" w:cs="Calibri"/>
                                <w:noProof/>
                                <w:sz w:val="22"/>
                                <w:szCs w:val="22"/>
                                <w:lang w:val="es-ES_tradnl"/>
                              </w:rPr>
                              <w:t xml:space="preserve"> </w:t>
                            </w:r>
                            <w:r>
                              <w:rPr>
                                <w:rFonts w:ascii="Calibri" w:hAnsi="Calibri" w:cs="Calibri"/>
                                <w:noProof/>
                                <w:sz w:val="22"/>
                                <w:szCs w:val="22"/>
                                <w:lang w:val="es-ES_tradnl"/>
                              </w:rPr>
                              <w:t>del presupuesto básico anual</w:t>
                            </w:r>
                            <w:r w:rsidRPr="002062A4">
                              <w:rPr>
                                <w:rFonts w:ascii="Calibri" w:hAnsi="Calibri" w:cs="Calibri"/>
                                <w:noProof/>
                                <w:sz w:val="22"/>
                                <w:szCs w:val="22"/>
                                <w:lang w:val="es-ES_tradnl"/>
                              </w:rPr>
                              <w:t>;</w:t>
                            </w:r>
                          </w:p>
                          <w:p w14:paraId="47CAD503" w14:textId="77777777" w:rsidR="00140064" w:rsidRPr="002062A4" w:rsidRDefault="00140064" w:rsidP="002062A4">
                            <w:pPr>
                              <w:rPr>
                                <w:rFonts w:ascii="Calibri" w:hAnsi="Calibri"/>
                                <w:noProof/>
                                <w:sz w:val="22"/>
                                <w:szCs w:val="22"/>
                                <w:lang w:val="es-ES_tradnl"/>
                              </w:rPr>
                            </w:pPr>
                          </w:p>
                          <w:p w14:paraId="4B5AB80B" w14:textId="77777777" w:rsidR="0014006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t</w:t>
                            </w:r>
                            <w:r w:rsidRPr="002062A4">
                              <w:rPr>
                                <w:rFonts w:ascii="Calibri" w:hAnsi="Calibri"/>
                                <w:noProof/>
                                <w:sz w:val="22"/>
                                <w:szCs w:val="22"/>
                                <w:lang w:val="es-ES_tradnl"/>
                              </w:rPr>
                              <w:t>omar nota del presupuesto no básico y las contribuciones voluntarias para 2017;</w:t>
                            </w:r>
                          </w:p>
                          <w:p w14:paraId="725363AC" w14:textId="77777777" w:rsidR="00140064" w:rsidRPr="0031449F" w:rsidRDefault="00140064" w:rsidP="0031449F">
                            <w:pPr>
                              <w:rPr>
                                <w:rFonts w:ascii="Calibri" w:hAnsi="Calibri"/>
                                <w:noProof/>
                                <w:sz w:val="22"/>
                                <w:szCs w:val="22"/>
                                <w:lang w:val="es-ES_tradnl"/>
                              </w:rPr>
                            </w:pPr>
                          </w:p>
                          <w:p w14:paraId="0423A9FC" w14:textId="77777777" w:rsidR="0014006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tomar nota del balance preliminar de 2016;</w:t>
                            </w:r>
                          </w:p>
                          <w:p w14:paraId="673CDC9F" w14:textId="77777777" w:rsidR="00140064" w:rsidRPr="0031449F" w:rsidRDefault="00140064" w:rsidP="0031449F">
                            <w:pPr>
                              <w:rPr>
                                <w:rFonts w:ascii="Calibri" w:hAnsi="Calibri"/>
                                <w:noProof/>
                                <w:sz w:val="22"/>
                                <w:szCs w:val="22"/>
                                <w:lang w:val="es-ES_tradnl"/>
                              </w:rPr>
                            </w:pPr>
                          </w:p>
                          <w:p w14:paraId="24E8A2D2" w14:textId="77777777" w:rsidR="0014006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tomar nota del acuerdo para retrasar la auditoría de los estados financieros de 2016 hasta junio de 2017;</w:t>
                            </w:r>
                          </w:p>
                          <w:p w14:paraId="0BBB0AB7" w14:textId="77777777" w:rsidR="00140064" w:rsidRPr="0031449F" w:rsidRDefault="00140064" w:rsidP="0031449F">
                            <w:pPr>
                              <w:rPr>
                                <w:rFonts w:ascii="Calibri" w:hAnsi="Calibri"/>
                                <w:noProof/>
                                <w:sz w:val="22"/>
                                <w:szCs w:val="22"/>
                                <w:lang w:val="es-ES_tradnl"/>
                              </w:rPr>
                            </w:pPr>
                          </w:p>
                          <w:p w14:paraId="2196B957" w14:textId="5DB91BDD" w:rsidR="00140064" w:rsidRDefault="00C83A46"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examinar</w:t>
                            </w:r>
                            <w:r w:rsidR="00140064">
                              <w:rPr>
                                <w:rFonts w:ascii="Calibri" w:hAnsi="Calibri"/>
                                <w:noProof/>
                                <w:sz w:val="22"/>
                                <w:szCs w:val="22"/>
                                <w:lang w:val="es-ES_tradnl"/>
                              </w:rPr>
                              <w:t xml:space="preserve"> los proyectos de estados financieros de 2016 a 31 de diciembre de 2016;</w:t>
                            </w:r>
                          </w:p>
                          <w:p w14:paraId="2E51148D" w14:textId="77777777" w:rsidR="00140064" w:rsidRPr="0031449F" w:rsidRDefault="00140064" w:rsidP="0031449F">
                            <w:pPr>
                              <w:rPr>
                                <w:rFonts w:ascii="Calibri" w:hAnsi="Calibri"/>
                                <w:noProof/>
                                <w:sz w:val="22"/>
                                <w:szCs w:val="22"/>
                                <w:lang w:val="es-ES_tradnl"/>
                              </w:rPr>
                            </w:pPr>
                          </w:p>
                          <w:p w14:paraId="778E25CF" w14:textId="72CC790E" w:rsidR="0014006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 xml:space="preserve">confirmar el presupuesto básico de 2018 aprobado en la </w:t>
                            </w:r>
                            <w:r w:rsidR="001C0991">
                              <w:rPr>
                                <w:rFonts w:ascii="Calibri" w:hAnsi="Calibri"/>
                                <w:noProof/>
                                <w:sz w:val="22"/>
                                <w:szCs w:val="22"/>
                                <w:lang w:val="es-ES_tradnl"/>
                              </w:rPr>
                              <w:t>12ª reunión de la COP</w:t>
                            </w:r>
                            <w:r>
                              <w:rPr>
                                <w:rFonts w:ascii="Calibri" w:hAnsi="Calibri"/>
                                <w:noProof/>
                                <w:sz w:val="22"/>
                                <w:szCs w:val="22"/>
                                <w:lang w:val="es-ES_tradnl"/>
                              </w:rPr>
                              <w:t>; y</w:t>
                            </w:r>
                          </w:p>
                          <w:p w14:paraId="234D6612" w14:textId="77777777" w:rsidR="00140064" w:rsidRPr="0031449F" w:rsidRDefault="00140064" w:rsidP="0031449F">
                            <w:pPr>
                              <w:rPr>
                                <w:rFonts w:ascii="Calibri" w:hAnsi="Calibri"/>
                                <w:noProof/>
                                <w:sz w:val="22"/>
                                <w:szCs w:val="22"/>
                                <w:lang w:val="es-ES_tradnl"/>
                              </w:rPr>
                            </w:pPr>
                          </w:p>
                          <w:p w14:paraId="6B517B5B" w14:textId="77777777" w:rsidR="00140064" w:rsidRPr="002062A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tomar nota de que se está llevando a cabo un examen de los saldos antiguos del presupuesto no básico de los proyectos.</w:t>
                            </w:r>
                          </w:p>
                          <w:p w14:paraId="2FF64274" w14:textId="77777777" w:rsidR="00140064" w:rsidRPr="002062A4" w:rsidRDefault="00140064" w:rsidP="00F0720F">
                            <w:pPr>
                              <w:rPr>
                                <w:rFonts w:ascii="Calibri" w:hAnsi="Calibri"/>
                                <w:noProof/>
                                <w:sz w:val="22"/>
                                <w:szCs w:val="22"/>
                                <w:lang w:val="es-ES_tradnl"/>
                              </w:rPr>
                            </w:pPr>
                          </w:p>
                          <w:p w14:paraId="1560214D" w14:textId="77777777" w:rsidR="00140064" w:rsidRPr="002062A4" w:rsidRDefault="00140064" w:rsidP="00387415">
                            <w:pPr>
                              <w:rPr>
                                <w:rFonts w:ascii="Calibri" w:hAnsi="Calibri"/>
                                <w:noProof/>
                                <w:sz w:val="22"/>
                                <w:szCs w:val="22"/>
                                <w:lang w:val="es-ES_tradn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1pt;height:3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">
                <v:textbox>
                  <w:txbxContent>
                    <w:p w14:paraId="5D3D544F" w14:textId="41C9CF12" w:rsidR="00140064" w:rsidRPr="002062A4" w:rsidRDefault="00140064" w:rsidP="0056312E">
                      <w:pPr>
                        <w:jc w:val="both"/>
                        <w:rPr>
                          <w:rFonts w:ascii="Calibri" w:hAnsi="Calibri"/>
                          <w:b/>
                          <w:noProof/>
                          <w:sz w:val="22"/>
                          <w:szCs w:val="22"/>
                          <w:lang w:val="es-ES_tradnl"/>
                        </w:rPr>
                      </w:pPr>
                      <w:r w:rsidRPr="002062A4">
                        <w:rPr>
                          <w:rFonts w:ascii="Calibri" w:hAnsi="Calibri"/>
                          <w:b/>
                          <w:noProof/>
                          <w:sz w:val="22"/>
                          <w:szCs w:val="22"/>
                          <w:lang w:val="es-ES_tradnl"/>
                        </w:rPr>
                        <w:t>Acciones solicitadas</w:t>
                      </w:r>
                      <w:r>
                        <w:rPr>
                          <w:rFonts w:ascii="Calibri" w:hAnsi="Calibri"/>
                          <w:b/>
                          <w:noProof/>
                          <w:sz w:val="22"/>
                          <w:szCs w:val="22"/>
                          <w:lang w:val="es-ES_tradnl"/>
                        </w:rPr>
                        <w:t>:</w:t>
                      </w:r>
                    </w:p>
                    <w:p w14:paraId="14D844F3" w14:textId="77777777" w:rsidR="00140064" w:rsidRPr="002062A4" w:rsidRDefault="00140064" w:rsidP="0056312E">
                      <w:pPr>
                        <w:jc w:val="both"/>
                        <w:rPr>
                          <w:rFonts w:ascii="Calibri" w:hAnsi="Calibri"/>
                          <w:b/>
                          <w:noProof/>
                          <w:sz w:val="22"/>
                          <w:szCs w:val="22"/>
                          <w:lang w:val="es-ES_tradnl"/>
                        </w:rPr>
                      </w:pPr>
                    </w:p>
                    <w:p w14:paraId="47D9E77B" w14:textId="77777777" w:rsidR="00140064" w:rsidRPr="002062A4" w:rsidRDefault="00140064" w:rsidP="00CD1518">
                      <w:pPr>
                        <w:pStyle w:val="ListParagraph"/>
                        <w:ind w:left="0"/>
                        <w:rPr>
                          <w:rFonts w:ascii="Calibri" w:hAnsi="Calibri"/>
                          <w:noProof/>
                          <w:sz w:val="22"/>
                          <w:szCs w:val="22"/>
                          <w:lang w:val="es-ES_tradnl"/>
                        </w:rPr>
                      </w:pPr>
                      <w:r w:rsidRPr="002062A4">
                        <w:rPr>
                          <w:rFonts w:ascii="Calibri" w:hAnsi="Calibri"/>
                          <w:noProof/>
                          <w:sz w:val="22"/>
                          <w:szCs w:val="22"/>
                          <w:lang w:val="es-ES_tradnl"/>
                        </w:rPr>
                        <w:t>Se invita al Comité Permanente a:</w:t>
                      </w:r>
                    </w:p>
                    <w:p w14:paraId="0D924549" w14:textId="77777777" w:rsidR="00140064" w:rsidRPr="002062A4" w:rsidRDefault="00140064" w:rsidP="00CD1518">
                      <w:pPr>
                        <w:pStyle w:val="ListParagraph"/>
                        <w:ind w:left="0"/>
                        <w:rPr>
                          <w:rFonts w:ascii="Calibri" w:hAnsi="Calibri"/>
                          <w:noProof/>
                          <w:sz w:val="22"/>
                          <w:szCs w:val="22"/>
                          <w:lang w:val="es-ES_tradnl"/>
                        </w:rPr>
                      </w:pPr>
                    </w:p>
                    <w:p w14:paraId="3F78AEB4" w14:textId="77777777" w:rsidR="00140064" w:rsidRPr="002062A4" w:rsidRDefault="00140064" w:rsidP="000D3F33">
                      <w:pPr>
                        <w:pStyle w:val="ListParagraph"/>
                        <w:numPr>
                          <w:ilvl w:val="0"/>
                          <w:numId w:val="18"/>
                        </w:numPr>
                        <w:rPr>
                          <w:rFonts w:ascii="Calibri" w:hAnsi="Calibri"/>
                          <w:noProof/>
                          <w:sz w:val="22"/>
                          <w:szCs w:val="22"/>
                          <w:lang w:val="es-ES_tradnl"/>
                        </w:rPr>
                      </w:pPr>
                      <w:r w:rsidRPr="002062A4">
                        <w:rPr>
                          <w:rFonts w:ascii="Calibri" w:hAnsi="Calibri" w:cs="Calibri"/>
                          <w:noProof/>
                          <w:sz w:val="22"/>
                          <w:szCs w:val="22"/>
                          <w:lang w:val="es-ES_tradnl"/>
                        </w:rPr>
                        <w:t xml:space="preserve">tomar nota de los resultados </w:t>
                      </w:r>
                      <w:r>
                        <w:rPr>
                          <w:rFonts w:ascii="Calibri" w:hAnsi="Calibri" w:cs="Calibri"/>
                          <w:noProof/>
                          <w:sz w:val="22"/>
                          <w:szCs w:val="22"/>
                          <w:lang w:val="es-ES_tradnl"/>
                        </w:rPr>
                        <w:t>preliminar</w:t>
                      </w:r>
                      <w:r w:rsidRPr="002062A4">
                        <w:rPr>
                          <w:rFonts w:ascii="Calibri" w:hAnsi="Calibri" w:cs="Calibri"/>
                          <w:noProof/>
                          <w:sz w:val="22"/>
                          <w:szCs w:val="22"/>
                          <w:lang w:val="es-ES_tradnl"/>
                        </w:rPr>
                        <w:t xml:space="preserve">es del presupuesto básico </w:t>
                      </w:r>
                      <w:r>
                        <w:rPr>
                          <w:rFonts w:ascii="Calibri" w:hAnsi="Calibri" w:cs="Calibri"/>
                          <w:noProof/>
                          <w:sz w:val="22"/>
                          <w:szCs w:val="22"/>
                          <w:lang w:val="es-ES_tradnl"/>
                        </w:rPr>
                        <w:t>para</w:t>
                      </w:r>
                      <w:r w:rsidRPr="002062A4">
                        <w:rPr>
                          <w:rFonts w:ascii="Calibri" w:hAnsi="Calibri" w:cs="Calibri"/>
                          <w:noProof/>
                          <w:sz w:val="22"/>
                          <w:szCs w:val="22"/>
                          <w:lang w:val="es-ES_tradnl"/>
                        </w:rPr>
                        <w:t xml:space="preserve"> 2016;</w:t>
                      </w:r>
                    </w:p>
                    <w:p w14:paraId="13D2F72D" w14:textId="77777777" w:rsidR="00140064" w:rsidRPr="002062A4" w:rsidRDefault="00140064" w:rsidP="000D3F33">
                      <w:pPr>
                        <w:pStyle w:val="ListParagraph"/>
                        <w:ind w:left="774"/>
                        <w:rPr>
                          <w:rFonts w:ascii="Calibri" w:hAnsi="Calibri"/>
                          <w:noProof/>
                          <w:sz w:val="22"/>
                          <w:szCs w:val="22"/>
                          <w:lang w:val="es-ES_tradnl"/>
                        </w:rPr>
                      </w:pPr>
                    </w:p>
                    <w:p w14:paraId="1F612D46" w14:textId="77777777" w:rsidR="0014006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aprobar las propuestas para el excedente y el fondo de reserva de 2016;</w:t>
                      </w:r>
                    </w:p>
                    <w:p w14:paraId="6E12AB8C" w14:textId="77777777" w:rsidR="00140064" w:rsidRPr="002062A4" w:rsidRDefault="00140064" w:rsidP="002062A4">
                      <w:pPr>
                        <w:rPr>
                          <w:rFonts w:ascii="Calibri" w:hAnsi="Calibri" w:cs="Calibri"/>
                          <w:noProof/>
                          <w:sz w:val="22"/>
                          <w:szCs w:val="22"/>
                          <w:lang w:val="es-ES_tradnl"/>
                        </w:rPr>
                      </w:pPr>
                    </w:p>
                    <w:p w14:paraId="5D4C00E2" w14:textId="77777777" w:rsidR="00140064" w:rsidRPr="002062A4" w:rsidRDefault="00140064" w:rsidP="002062A4">
                      <w:pPr>
                        <w:pStyle w:val="ListParagraph"/>
                        <w:numPr>
                          <w:ilvl w:val="0"/>
                          <w:numId w:val="18"/>
                        </w:numPr>
                        <w:rPr>
                          <w:rFonts w:ascii="Calibri" w:hAnsi="Calibri"/>
                          <w:noProof/>
                          <w:sz w:val="22"/>
                          <w:szCs w:val="22"/>
                          <w:lang w:val="es-ES_tradnl"/>
                        </w:rPr>
                      </w:pPr>
                      <w:r>
                        <w:rPr>
                          <w:rFonts w:ascii="Calibri" w:hAnsi="Calibri" w:cs="Calibri"/>
                          <w:noProof/>
                          <w:sz w:val="22"/>
                          <w:szCs w:val="22"/>
                          <w:lang w:val="es-ES_tradnl"/>
                        </w:rPr>
                        <w:t>examinar</w:t>
                      </w:r>
                      <w:r w:rsidRPr="002062A4">
                        <w:rPr>
                          <w:rFonts w:ascii="Calibri" w:hAnsi="Calibri" w:cs="Calibri"/>
                          <w:noProof/>
                          <w:sz w:val="22"/>
                          <w:szCs w:val="22"/>
                          <w:lang w:val="es-ES_tradnl"/>
                        </w:rPr>
                        <w:t xml:space="preserve"> la propuesta </w:t>
                      </w:r>
                      <w:r>
                        <w:rPr>
                          <w:rFonts w:ascii="Calibri" w:hAnsi="Calibri" w:cs="Calibri"/>
                          <w:noProof/>
                          <w:sz w:val="22"/>
                          <w:szCs w:val="22"/>
                          <w:lang w:val="es-ES_tradnl"/>
                        </w:rPr>
                        <w:t>para</w:t>
                      </w:r>
                      <w:r w:rsidRPr="002062A4">
                        <w:rPr>
                          <w:rFonts w:ascii="Calibri" w:hAnsi="Calibri" w:cs="Calibri"/>
                          <w:noProof/>
                          <w:sz w:val="22"/>
                          <w:szCs w:val="22"/>
                          <w:lang w:val="es-ES_tradnl"/>
                        </w:rPr>
                        <w:t xml:space="preserve"> iniciar el uso de reservas designadas para </w:t>
                      </w:r>
                      <w:r>
                        <w:rPr>
                          <w:rFonts w:ascii="Calibri" w:hAnsi="Calibri" w:cs="Calibri"/>
                          <w:noProof/>
                          <w:sz w:val="22"/>
                          <w:szCs w:val="22"/>
                          <w:lang w:val="es-ES_tradnl"/>
                        </w:rPr>
                        <w:t>excedentes excepionales</w:t>
                      </w:r>
                      <w:r w:rsidRPr="002062A4">
                        <w:rPr>
                          <w:rFonts w:ascii="Calibri" w:hAnsi="Calibri" w:cs="Calibri"/>
                          <w:noProof/>
                          <w:sz w:val="22"/>
                          <w:szCs w:val="22"/>
                          <w:lang w:val="es-ES_tradnl"/>
                        </w:rPr>
                        <w:t xml:space="preserve"> </w:t>
                      </w:r>
                      <w:r>
                        <w:rPr>
                          <w:rFonts w:ascii="Calibri" w:hAnsi="Calibri" w:cs="Calibri"/>
                          <w:noProof/>
                          <w:sz w:val="22"/>
                          <w:szCs w:val="22"/>
                          <w:lang w:val="es-ES_tradnl"/>
                        </w:rPr>
                        <w:t>del presupuesto básico anual</w:t>
                      </w:r>
                      <w:r w:rsidRPr="002062A4">
                        <w:rPr>
                          <w:rFonts w:ascii="Calibri" w:hAnsi="Calibri" w:cs="Calibri"/>
                          <w:noProof/>
                          <w:sz w:val="22"/>
                          <w:szCs w:val="22"/>
                          <w:lang w:val="es-ES_tradnl"/>
                        </w:rPr>
                        <w:t>;</w:t>
                      </w:r>
                    </w:p>
                    <w:p w14:paraId="47CAD503" w14:textId="77777777" w:rsidR="00140064" w:rsidRPr="002062A4" w:rsidRDefault="00140064" w:rsidP="002062A4">
                      <w:pPr>
                        <w:rPr>
                          <w:rFonts w:ascii="Calibri" w:hAnsi="Calibri"/>
                          <w:noProof/>
                          <w:sz w:val="22"/>
                          <w:szCs w:val="22"/>
                          <w:lang w:val="es-ES_tradnl"/>
                        </w:rPr>
                      </w:pPr>
                    </w:p>
                    <w:p w14:paraId="4B5AB80B" w14:textId="77777777" w:rsidR="0014006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t</w:t>
                      </w:r>
                      <w:r w:rsidRPr="002062A4">
                        <w:rPr>
                          <w:rFonts w:ascii="Calibri" w:hAnsi="Calibri"/>
                          <w:noProof/>
                          <w:sz w:val="22"/>
                          <w:szCs w:val="22"/>
                          <w:lang w:val="es-ES_tradnl"/>
                        </w:rPr>
                        <w:t>omar nota del presupuesto no básico y las contribuciones voluntarias para 2017;</w:t>
                      </w:r>
                    </w:p>
                    <w:p w14:paraId="725363AC" w14:textId="77777777" w:rsidR="00140064" w:rsidRPr="0031449F" w:rsidRDefault="00140064" w:rsidP="0031449F">
                      <w:pPr>
                        <w:rPr>
                          <w:rFonts w:ascii="Calibri" w:hAnsi="Calibri"/>
                          <w:noProof/>
                          <w:sz w:val="22"/>
                          <w:szCs w:val="22"/>
                          <w:lang w:val="es-ES_tradnl"/>
                        </w:rPr>
                      </w:pPr>
                    </w:p>
                    <w:p w14:paraId="0423A9FC" w14:textId="77777777" w:rsidR="0014006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tomar nota del balance preliminar de 2016;</w:t>
                      </w:r>
                    </w:p>
                    <w:p w14:paraId="673CDC9F" w14:textId="77777777" w:rsidR="00140064" w:rsidRPr="0031449F" w:rsidRDefault="00140064" w:rsidP="0031449F">
                      <w:pPr>
                        <w:rPr>
                          <w:rFonts w:ascii="Calibri" w:hAnsi="Calibri"/>
                          <w:noProof/>
                          <w:sz w:val="22"/>
                          <w:szCs w:val="22"/>
                          <w:lang w:val="es-ES_tradnl"/>
                        </w:rPr>
                      </w:pPr>
                    </w:p>
                    <w:p w14:paraId="24E8A2D2" w14:textId="77777777" w:rsidR="0014006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tomar nota del acuerdo para retrasar la auditoría de los estados financieros de 2016 hasta junio de 2017;</w:t>
                      </w:r>
                    </w:p>
                    <w:p w14:paraId="0BBB0AB7" w14:textId="77777777" w:rsidR="00140064" w:rsidRPr="0031449F" w:rsidRDefault="00140064" w:rsidP="0031449F">
                      <w:pPr>
                        <w:rPr>
                          <w:rFonts w:ascii="Calibri" w:hAnsi="Calibri"/>
                          <w:noProof/>
                          <w:sz w:val="22"/>
                          <w:szCs w:val="22"/>
                          <w:lang w:val="es-ES_tradnl"/>
                        </w:rPr>
                      </w:pPr>
                    </w:p>
                    <w:p w14:paraId="2196B957" w14:textId="5DB91BDD" w:rsidR="00140064" w:rsidRDefault="00C83A46"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examinar</w:t>
                      </w:r>
                      <w:r w:rsidR="00140064">
                        <w:rPr>
                          <w:rFonts w:ascii="Calibri" w:hAnsi="Calibri"/>
                          <w:noProof/>
                          <w:sz w:val="22"/>
                          <w:szCs w:val="22"/>
                          <w:lang w:val="es-ES_tradnl"/>
                        </w:rPr>
                        <w:t xml:space="preserve"> los proyectos de estados financieros de 2016 a 31 de diciembre de 2016;</w:t>
                      </w:r>
                    </w:p>
                    <w:p w14:paraId="2E51148D" w14:textId="77777777" w:rsidR="00140064" w:rsidRPr="0031449F" w:rsidRDefault="00140064" w:rsidP="0031449F">
                      <w:pPr>
                        <w:rPr>
                          <w:rFonts w:ascii="Calibri" w:hAnsi="Calibri"/>
                          <w:noProof/>
                          <w:sz w:val="22"/>
                          <w:szCs w:val="22"/>
                          <w:lang w:val="es-ES_tradnl"/>
                        </w:rPr>
                      </w:pPr>
                    </w:p>
                    <w:p w14:paraId="778E25CF" w14:textId="72CC790E" w:rsidR="0014006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 xml:space="preserve">confirmar el presupuesto básico de 2018 aprobado en la </w:t>
                      </w:r>
                      <w:r w:rsidR="001C0991">
                        <w:rPr>
                          <w:rFonts w:ascii="Calibri" w:hAnsi="Calibri"/>
                          <w:noProof/>
                          <w:sz w:val="22"/>
                          <w:szCs w:val="22"/>
                          <w:lang w:val="es-ES_tradnl"/>
                        </w:rPr>
                        <w:t>12ª reunión de la COP</w:t>
                      </w:r>
                      <w:r>
                        <w:rPr>
                          <w:rFonts w:ascii="Calibri" w:hAnsi="Calibri"/>
                          <w:noProof/>
                          <w:sz w:val="22"/>
                          <w:szCs w:val="22"/>
                          <w:lang w:val="es-ES_tradnl"/>
                        </w:rPr>
                        <w:t>; y</w:t>
                      </w:r>
                    </w:p>
                    <w:p w14:paraId="234D6612" w14:textId="77777777" w:rsidR="00140064" w:rsidRPr="0031449F" w:rsidRDefault="00140064" w:rsidP="0031449F">
                      <w:pPr>
                        <w:rPr>
                          <w:rFonts w:ascii="Calibri" w:hAnsi="Calibri"/>
                          <w:noProof/>
                          <w:sz w:val="22"/>
                          <w:szCs w:val="22"/>
                          <w:lang w:val="es-ES_tradnl"/>
                        </w:rPr>
                      </w:pPr>
                    </w:p>
                    <w:p w14:paraId="6B517B5B" w14:textId="77777777" w:rsidR="00140064" w:rsidRPr="002062A4" w:rsidRDefault="00140064" w:rsidP="002062A4">
                      <w:pPr>
                        <w:pStyle w:val="ListParagraph"/>
                        <w:numPr>
                          <w:ilvl w:val="0"/>
                          <w:numId w:val="18"/>
                        </w:numPr>
                        <w:rPr>
                          <w:rFonts w:ascii="Calibri" w:hAnsi="Calibri"/>
                          <w:noProof/>
                          <w:sz w:val="22"/>
                          <w:szCs w:val="22"/>
                          <w:lang w:val="es-ES_tradnl"/>
                        </w:rPr>
                      </w:pPr>
                      <w:r>
                        <w:rPr>
                          <w:rFonts w:ascii="Calibri" w:hAnsi="Calibri"/>
                          <w:noProof/>
                          <w:sz w:val="22"/>
                          <w:szCs w:val="22"/>
                          <w:lang w:val="es-ES_tradnl"/>
                        </w:rPr>
                        <w:t>tomar nota de que se está llevando a cabo un examen de los saldos antiguos del presupuesto no básico de los proyectos.</w:t>
                      </w:r>
                    </w:p>
                    <w:p w14:paraId="2FF64274" w14:textId="77777777" w:rsidR="00140064" w:rsidRPr="002062A4" w:rsidRDefault="00140064" w:rsidP="00F0720F">
                      <w:pPr>
                        <w:rPr>
                          <w:rFonts w:ascii="Calibri" w:hAnsi="Calibri"/>
                          <w:noProof/>
                          <w:sz w:val="22"/>
                          <w:szCs w:val="22"/>
                          <w:lang w:val="es-ES_tradnl"/>
                        </w:rPr>
                      </w:pPr>
                    </w:p>
                    <w:p w14:paraId="1560214D" w14:textId="77777777" w:rsidR="00140064" w:rsidRPr="002062A4" w:rsidRDefault="00140064" w:rsidP="00387415">
                      <w:pPr>
                        <w:rPr>
                          <w:rFonts w:ascii="Calibri" w:hAnsi="Calibri"/>
                          <w:noProof/>
                          <w:sz w:val="22"/>
                          <w:szCs w:val="22"/>
                          <w:lang w:val="es-ES_tradnl"/>
                        </w:rPr>
                      </w:pPr>
                    </w:p>
                  </w:txbxContent>
                </v:textbox>
                <w10:anchorlock/>
              </v:shape>
            </w:pict>
          </mc:Fallback>
        </mc:AlternateContent>
      </w:r>
    </w:p>
    <w:p w14:paraId="06ADD006" w14:textId="77777777" w:rsidR="0056312E" w:rsidRPr="00387415" w:rsidRDefault="00097E94" w:rsidP="0056312E">
      <w:pPr>
        <w:ind w:left="540" w:hanging="540"/>
        <w:rPr>
          <w:rFonts w:ascii="Calibri" w:hAnsi="Calibri"/>
          <w:noProof/>
          <w:sz w:val="22"/>
          <w:szCs w:val="22"/>
          <w:lang w:val="es-ES_tradnl"/>
        </w:rPr>
      </w:pPr>
      <w:r w:rsidRPr="00387415">
        <w:rPr>
          <w:rFonts w:ascii="Calibri" w:hAnsi="Calibri"/>
          <w:noProof/>
          <w:sz w:val="22"/>
          <w:szCs w:val="22"/>
          <w:lang w:val="es-ES_tradnl"/>
        </w:rPr>
        <w:t xml:space="preserve"> </w:t>
      </w:r>
    </w:p>
    <w:p w14:paraId="55122B4E" w14:textId="77777777" w:rsidR="00387415" w:rsidRDefault="00387415" w:rsidP="00387415">
      <w:pPr>
        <w:pStyle w:val="ListParagraph"/>
        <w:numPr>
          <w:ilvl w:val="0"/>
          <w:numId w:val="26"/>
        </w:numPr>
        <w:ind w:left="426" w:hanging="426"/>
        <w:rPr>
          <w:rFonts w:ascii="Calibri" w:hAnsi="Calibri" w:cs="Calibri"/>
          <w:bCs/>
          <w:noProof/>
          <w:sz w:val="22"/>
          <w:szCs w:val="22"/>
          <w:lang w:val="es-ES_tradnl"/>
        </w:rPr>
      </w:pPr>
      <w:r>
        <w:rPr>
          <w:rFonts w:ascii="Calibri" w:hAnsi="Calibri" w:cs="Calibri"/>
          <w:bCs/>
          <w:noProof/>
          <w:sz w:val="22"/>
          <w:szCs w:val="22"/>
          <w:lang w:val="es-ES_tradnl"/>
        </w:rPr>
        <w:t>E</w:t>
      </w:r>
      <w:r w:rsidRPr="00387415">
        <w:rPr>
          <w:rFonts w:ascii="Calibri" w:hAnsi="Calibri" w:cs="Calibri"/>
          <w:bCs/>
          <w:noProof/>
          <w:sz w:val="22"/>
          <w:szCs w:val="22"/>
          <w:lang w:val="es-ES_tradnl"/>
        </w:rPr>
        <w:t xml:space="preserve">l Anexo 1 </w:t>
      </w:r>
      <w:r>
        <w:rPr>
          <w:rFonts w:ascii="Calibri" w:hAnsi="Calibri" w:cs="Calibri"/>
          <w:bCs/>
          <w:noProof/>
          <w:sz w:val="22"/>
          <w:szCs w:val="22"/>
          <w:lang w:val="es-ES_tradnl"/>
        </w:rPr>
        <w:t>contiene</w:t>
      </w:r>
      <w:r w:rsidRPr="00387415">
        <w:rPr>
          <w:rFonts w:ascii="Calibri" w:hAnsi="Calibri" w:cs="Calibri"/>
          <w:bCs/>
          <w:noProof/>
          <w:sz w:val="22"/>
          <w:szCs w:val="22"/>
          <w:lang w:val="es-ES_tradnl"/>
        </w:rPr>
        <w:t xml:space="preserve"> los estados financieros preliminares de 2016 (</w:t>
      </w:r>
      <w:r>
        <w:rPr>
          <w:rFonts w:ascii="Calibri" w:hAnsi="Calibri" w:cs="Calibri"/>
          <w:bCs/>
          <w:noProof/>
          <w:sz w:val="22"/>
          <w:szCs w:val="22"/>
          <w:lang w:val="es-ES_tradnl"/>
        </w:rPr>
        <w:t>según</w:t>
      </w:r>
      <w:r w:rsidRPr="00387415">
        <w:rPr>
          <w:rFonts w:ascii="Calibri" w:hAnsi="Calibri" w:cs="Calibri"/>
          <w:bCs/>
          <w:noProof/>
          <w:sz w:val="22"/>
          <w:szCs w:val="22"/>
          <w:lang w:val="es-ES_tradnl"/>
        </w:rPr>
        <w:t xml:space="preserve"> el formato de presentación de</w:t>
      </w:r>
      <w:r w:rsidR="00062CF7">
        <w:rPr>
          <w:rFonts w:ascii="Calibri" w:hAnsi="Calibri" w:cs="Calibri"/>
          <w:bCs/>
          <w:noProof/>
          <w:sz w:val="22"/>
          <w:szCs w:val="22"/>
          <w:lang w:val="es-ES_tradnl"/>
        </w:rPr>
        <w:t xml:space="preserve"> informes aplicable</w:t>
      </w:r>
      <w:r>
        <w:rPr>
          <w:rFonts w:ascii="Calibri" w:hAnsi="Calibri" w:cs="Calibri"/>
          <w:bCs/>
          <w:noProof/>
          <w:sz w:val="22"/>
          <w:szCs w:val="22"/>
          <w:lang w:val="es-ES_tradnl"/>
        </w:rPr>
        <w:t xml:space="preserve"> en Suiza) a</w:t>
      </w:r>
      <w:r w:rsidRPr="00387415">
        <w:rPr>
          <w:rFonts w:ascii="Calibri" w:hAnsi="Calibri" w:cs="Calibri"/>
          <w:bCs/>
          <w:noProof/>
          <w:sz w:val="22"/>
          <w:szCs w:val="22"/>
          <w:lang w:val="es-ES_tradnl"/>
        </w:rPr>
        <w:t xml:space="preserve"> 31 de diciembre de 2016.</w:t>
      </w:r>
    </w:p>
    <w:p w14:paraId="351420DC" w14:textId="77777777" w:rsidR="00062CF7" w:rsidRDefault="00062CF7" w:rsidP="00062CF7">
      <w:pPr>
        <w:pStyle w:val="ListParagraph"/>
        <w:ind w:left="426"/>
        <w:rPr>
          <w:rFonts w:ascii="Calibri" w:hAnsi="Calibri" w:cs="Calibri"/>
          <w:bCs/>
          <w:noProof/>
          <w:sz w:val="22"/>
          <w:szCs w:val="22"/>
          <w:lang w:val="es-ES_tradnl"/>
        </w:rPr>
      </w:pPr>
    </w:p>
    <w:p w14:paraId="603D635F" w14:textId="489419BC" w:rsidR="000E6D09" w:rsidRPr="00062CF7" w:rsidRDefault="00062CF7" w:rsidP="0047333D">
      <w:pPr>
        <w:pStyle w:val="ListParagraph"/>
        <w:numPr>
          <w:ilvl w:val="0"/>
          <w:numId w:val="26"/>
        </w:numPr>
        <w:ind w:left="426" w:hanging="426"/>
        <w:rPr>
          <w:rFonts w:ascii="Calibri" w:hAnsi="Calibri" w:cs="Calibri"/>
          <w:bCs/>
          <w:noProof/>
          <w:sz w:val="22"/>
          <w:szCs w:val="22"/>
          <w:lang w:val="es-ES_tradnl"/>
        </w:rPr>
      </w:pPr>
      <w:r>
        <w:rPr>
          <w:rFonts w:ascii="Calibri" w:hAnsi="Calibri" w:cs="Calibri"/>
          <w:bCs/>
          <w:noProof/>
          <w:sz w:val="22"/>
          <w:szCs w:val="22"/>
          <w:lang w:val="es-ES_tradnl"/>
        </w:rPr>
        <w:t>En el Anexo 2 se adjunta un resumen del presupuesto básico aprobado para 2016 (conforme a la Decisión SC51-22</w:t>
      </w:r>
      <w:r w:rsidR="00662572">
        <w:rPr>
          <w:rFonts w:ascii="Calibri" w:hAnsi="Calibri" w:cs="Calibri"/>
          <w:bCs/>
          <w:noProof/>
          <w:sz w:val="22"/>
          <w:szCs w:val="22"/>
          <w:lang w:val="es-ES_tradnl"/>
        </w:rPr>
        <w:t>,</w:t>
      </w:r>
      <w:r>
        <w:rPr>
          <w:rFonts w:ascii="Calibri" w:hAnsi="Calibri" w:cs="Calibri"/>
          <w:bCs/>
          <w:noProof/>
          <w:sz w:val="22"/>
          <w:szCs w:val="22"/>
          <w:lang w:val="es-ES_tradnl"/>
        </w:rPr>
        <w:t xml:space="preserve"> que contiene los cambios acordados al presupuesto aprobado por la </w:t>
      </w:r>
      <w:r w:rsidR="00EF3413">
        <w:rPr>
          <w:rFonts w:ascii="Calibri" w:hAnsi="Calibri" w:cs="Calibri"/>
          <w:bCs/>
          <w:noProof/>
          <w:sz w:val="22"/>
          <w:szCs w:val="22"/>
          <w:lang w:val="es-ES_tradnl"/>
        </w:rPr>
        <w:t>12ª reunión de la COP)</w:t>
      </w:r>
      <w:r>
        <w:rPr>
          <w:rFonts w:ascii="Calibri" w:hAnsi="Calibri" w:cs="Calibri"/>
          <w:bCs/>
          <w:noProof/>
          <w:sz w:val="22"/>
          <w:szCs w:val="22"/>
          <w:lang w:val="es-ES_tradnl"/>
        </w:rPr>
        <w:t xml:space="preserve"> </w:t>
      </w:r>
      <w:r w:rsidR="00EF3413">
        <w:rPr>
          <w:rFonts w:ascii="Calibri" w:hAnsi="Calibri" w:cs="Calibri"/>
          <w:bCs/>
          <w:noProof/>
          <w:sz w:val="22"/>
          <w:szCs w:val="22"/>
          <w:lang w:val="es-ES_tradnl"/>
        </w:rPr>
        <w:t xml:space="preserve">y de los </w:t>
      </w:r>
      <w:r>
        <w:rPr>
          <w:rFonts w:ascii="Calibri" w:hAnsi="Calibri" w:cs="Calibri"/>
          <w:bCs/>
          <w:noProof/>
          <w:sz w:val="22"/>
          <w:szCs w:val="22"/>
          <w:lang w:val="es-ES_tradnl"/>
        </w:rPr>
        <w:t xml:space="preserve">ingresos y gastos preliminares a 31 de diciembre de 2016. </w:t>
      </w:r>
      <w:r w:rsidRPr="00701888">
        <w:rPr>
          <w:rFonts w:ascii="Calibri" w:hAnsi="Calibri" w:cs="Calibri"/>
          <w:bCs/>
          <w:sz w:val="22"/>
          <w:szCs w:val="22"/>
          <w:lang w:val="es-ES_tradnl"/>
        </w:rPr>
        <w:t>Dicha información se presenta en el formato utilizado por Ramsar para la presentación de cuentas.</w:t>
      </w:r>
    </w:p>
    <w:p w14:paraId="2E1A3058" w14:textId="77777777" w:rsidR="000E6D09" w:rsidRPr="00387415" w:rsidRDefault="000E6D09" w:rsidP="0047333D">
      <w:pPr>
        <w:rPr>
          <w:rFonts w:ascii="Calibri" w:hAnsi="Calibri" w:cs="Calibri"/>
          <w:bCs/>
          <w:noProof/>
          <w:sz w:val="22"/>
          <w:szCs w:val="22"/>
          <w:lang w:val="es-ES_tradnl"/>
        </w:rPr>
      </w:pPr>
    </w:p>
    <w:p w14:paraId="3DBD6AF9" w14:textId="77777777" w:rsidR="000E6D09" w:rsidRPr="00387415" w:rsidRDefault="00062CF7" w:rsidP="0047333D">
      <w:pPr>
        <w:rPr>
          <w:rFonts w:ascii="Calibri" w:hAnsi="Calibri" w:cs="Calibri"/>
          <w:b/>
          <w:bCs/>
          <w:noProof/>
          <w:sz w:val="22"/>
          <w:szCs w:val="22"/>
          <w:lang w:val="es-ES_tradnl"/>
        </w:rPr>
      </w:pPr>
      <w:r>
        <w:rPr>
          <w:rFonts w:ascii="Calibri" w:hAnsi="Calibri" w:cs="Calibri"/>
          <w:b/>
          <w:bCs/>
          <w:noProof/>
          <w:sz w:val="22"/>
          <w:szCs w:val="22"/>
          <w:lang w:val="es-ES_tradnl"/>
        </w:rPr>
        <w:t>Antecedentes</w:t>
      </w:r>
    </w:p>
    <w:p w14:paraId="26BDA57B" w14:textId="77777777" w:rsidR="000E6D09" w:rsidRPr="00387415" w:rsidRDefault="000E6D09" w:rsidP="0047333D">
      <w:pPr>
        <w:rPr>
          <w:rFonts w:ascii="Calibri" w:hAnsi="Calibri" w:cs="Calibri"/>
          <w:bCs/>
          <w:noProof/>
          <w:sz w:val="22"/>
          <w:szCs w:val="22"/>
          <w:lang w:val="es-ES_tradnl"/>
        </w:rPr>
      </w:pPr>
    </w:p>
    <w:p w14:paraId="54821D0D" w14:textId="1575EFB2" w:rsidR="003265F8" w:rsidRDefault="00062CF7" w:rsidP="003265F8">
      <w:pPr>
        <w:pStyle w:val="ListParagraph"/>
        <w:numPr>
          <w:ilvl w:val="0"/>
          <w:numId w:val="26"/>
        </w:numPr>
        <w:ind w:left="426" w:hanging="426"/>
        <w:rPr>
          <w:rFonts w:ascii="Calibri" w:hAnsi="Calibri" w:cs="Calibri"/>
          <w:bCs/>
          <w:noProof/>
          <w:sz w:val="22"/>
          <w:szCs w:val="22"/>
          <w:lang w:val="es-ES_tradnl"/>
        </w:rPr>
      </w:pPr>
      <w:r>
        <w:rPr>
          <w:rFonts w:ascii="Calibri" w:hAnsi="Calibri" w:cs="Calibri"/>
          <w:bCs/>
          <w:noProof/>
          <w:sz w:val="22"/>
          <w:szCs w:val="22"/>
          <w:lang w:val="es-ES_tradnl"/>
        </w:rPr>
        <w:t xml:space="preserve">La nueva Secretaria General ha identificado una serie de cuestiones de interés relacionadas </w:t>
      </w:r>
      <w:r w:rsidR="003265F8">
        <w:rPr>
          <w:rFonts w:ascii="Calibri" w:hAnsi="Calibri" w:cs="Calibri"/>
          <w:bCs/>
          <w:noProof/>
          <w:sz w:val="22"/>
          <w:szCs w:val="22"/>
          <w:lang w:val="es-ES_tradnl"/>
        </w:rPr>
        <w:t>con</w:t>
      </w:r>
      <w:r>
        <w:rPr>
          <w:rFonts w:ascii="Calibri" w:hAnsi="Calibri" w:cs="Calibri"/>
          <w:bCs/>
          <w:noProof/>
          <w:sz w:val="22"/>
          <w:szCs w:val="22"/>
          <w:lang w:val="es-ES_tradnl"/>
        </w:rPr>
        <w:t xml:space="preserve"> la gestión de las finanzas de la Secretaría y ha presentado un informe al Equipo Ejecutivo en 2016, que </w:t>
      </w:r>
      <w:r w:rsidR="00EF3413">
        <w:rPr>
          <w:rFonts w:ascii="Calibri" w:hAnsi="Calibri" w:cs="Calibri"/>
          <w:bCs/>
          <w:noProof/>
          <w:sz w:val="22"/>
          <w:szCs w:val="22"/>
          <w:lang w:val="es-ES_tradnl"/>
        </w:rPr>
        <w:t>incluye un plan de a</w:t>
      </w:r>
      <w:r w:rsidR="003265F8">
        <w:rPr>
          <w:rFonts w:ascii="Calibri" w:hAnsi="Calibri" w:cs="Calibri"/>
          <w:bCs/>
          <w:noProof/>
          <w:sz w:val="22"/>
          <w:szCs w:val="22"/>
          <w:lang w:val="es-ES_tradnl"/>
        </w:rPr>
        <w:t xml:space="preserve">cción para atender las cuestiones identificadas. Este plan de acción se </w:t>
      </w:r>
      <w:r w:rsidR="00EF3413">
        <w:rPr>
          <w:rFonts w:ascii="Calibri" w:hAnsi="Calibri" w:cs="Calibri"/>
          <w:bCs/>
          <w:noProof/>
          <w:sz w:val="22"/>
          <w:szCs w:val="22"/>
          <w:lang w:val="es-ES_tradnl"/>
        </w:rPr>
        <w:t>ejecuta</w:t>
      </w:r>
      <w:r w:rsidR="003265F8">
        <w:rPr>
          <w:rFonts w:ascii="Calibri" w:hAnsi="Calibri" w:cs="Calibri"/>
          <w:bCs/>
          <w:noProof/>
          <w:sz w:val="22"/>
          <w:szCs w:val="22"/>
          <w:lang w:val="es-ES_tradnl"/>
        </w:rPr>
        <w:t xml:space="preserve"> actualmente.</w:t>
      </w:r>
    </w:p>
    <w:p w14:paraId="1EA14C7F" w14:textId="77777777" w:rsidR="003265F8" w:rsidRDefault="003265F8" w:rsidP="003265F8">
      <w:pPr>
        <w:pStyle w:val="ListParagraph"/>
        <w:ind w:left="426"/>
        <w:rPr>
          <w:rFonts w:ascii="Calibri" w:hAnsi="Calibri" w:cs="Calibri"/>
          <w:bCs/>
          <w:noProof/>
          <w:sz w:val="22"/>
          <w:szCs w:val="22"/>
          <w:lang w:val="es-ES_tradnl"/>
        </w:rPr>
      </w:pPr>
    </w:p>
    <w:p w14:paraId="417D0C2A" w14:textId="258CF583" w:rsidR="003E5F44" w:rsidRDefault="003265F8" w:rsidP="003E5F44">
      <w:pPr>
        <w:pStyle w:val="ListParagraph"/>
        <w:numPr>
          <w:ilvl w:val="0"/>
          <w:numId w:val="26"/>
        </w:numPr>
        <w:ind w:left="426" w:hanging="426"/>
        <w:rPr>
          <w:rFonts w:ascii="Calibri" w:hAnsi="Calibri" w:cs="Calibri"/>
          <w:bCs/>
          <w:noProof/>
          <w:sz w:val="22"/>
          <w:szCs w:val="22"/>
          <w:lang w:val="es-ES_tradnl"/>
        </w:rPr>
      </w:pPr>
      <w:r w:rsidRPr="003265F8">
        <w:rPr>
          <w:rFonts w:ascii="Calibri" w:hAnsi="Calibri" w:cs="Calibri"/>
          <w:bCs/>
          <w:noProof/>
          <w:sz w:val="22"/>
          <w:szCs w:val="22"/>
          <w:lang w:val="es-ES_tradnl"/>
        </w:rPr>
        <w:lastRenderedPageBreak/>
        <w:t>La posterior sa</w:t>
      </w:r>
      <w:r w:rsidR="00BD0E36">
        <w:rPr>
          <w:rFonts w:ascii="Calibri" w:hAnsi="Calibri" w:cs="Calibri"/>
          <w:bCs/>
          <w:noProof/>
          <w:sz w:val="22"/>
          <w:szCs w:val="22"/>
          <w:lang w:val="es-ES_tradnl"/>
        </w:rPr>
        <w:t xml:space="preserve">lida inesperada del </w:t>
      </w:r>
      <w:r w:rsidR="000C5A16">
        <w:rPr>
          <w:rFonts w:ascii="Calibri" w:hAnsi="Calibri" w:cs="Calibri"/>
          <w:bCs/>
          <w:noProof/>
          <w:sz w:val="22"/>
          <w:szCs w:val="22"/>
          <w:lang w:val="es-ES_tradnl"/>
        </w:rPr>
        <w:t>Oficial de finanzas</w:t>
      </w:r>
      <w:r w:rsidRPr="003265F8">
        <w:rPr>
          <w:rFonts w:ascii="Calibri" w:hAnsi="Calibri" w:cs="Calibri"/>
          <w:bCs/>
          <w:noProof/>
          <w:sz w:val="22"/>
          <w:szCs w:val="22"/>
          <w:lang w:val="es-ES_tradnl"/>
        </w:rPr>
        <w:t xml:space="preserve">, el </w:t>
      </w:r>
      <w:r>
        <w:rPr>
          <w:rFonts w:ascii="Calibri" w:hAnsi="Calibri" w:cs="Calibri"/>
          <w:bCs/>
          <w:noProof/>
          <w:sz w:val="22"/>
          <w:szCs w:val="22"/>
          <w:lang w:val="es-ES_tradnl"/>
        </w:rPr>
        <w:t xml:space="preserve">2 de noviembre de 2016, creó un déficit de capacidad para </w:t>
      </w:r>
      <w:r w:rsidRPr="003265F8">
        <w:rPr>
          <w:rFonts w:ascii="Calibri" w:hAnsi="Calibri" w:cs="Calibri"/>
          <w:bCs/>
          <w:noProof/>
          <w:sz w:val="22"/>
          <w:szCs w:val="22"/>
          <w:lang w:val="es-ES_tradnl"/>
        </w:rPr>
        <w:t xml:space="preserve">el Departamento de Finanzas. </w:t>
      </w:r>
      <w:r>
        <w:rPr>
          <w:rFonts w:ascii="Calibri" w:hAnsi="Calibri" w:cs="Calibri"/>
          <w:bCs/>
          <w:noProof/>
          <w:sz w:val="22"/>
          <w:szCs w:val="22"/>
          <w:lang w:val="es-ES_tradnl"/>
        </w:rPr>
        <w:t>Hay</w:t>
      </w:r>
      <w:r w:rsidRPr="003265F8">
        <w:rPr>
          <w:rFonts w:ascii="Calibri" w:hAnsi="Calibri" w:cs="Calibri"/>
          <w:bCs/>
          <w:noProof/>
          <w:sz w:val="22"/>
          <w:szCs w:val="22"/>
          <w:lang w:val="es-ES_tradnl"/>
        </w:rPr>
        <w:t xml:space="preserve"> una solución provisional</w:t>
      </w:r>
      <w:r>
        <w:rPr>
          <w:rFonts w:ascii="Calibri" w:hAnsi="Calibri" w:cs="Calibri"/>
          <w:bCs/>
          <w:noProof/>
          <w:sz w:val="22"/>
          <w:szCs w:val="22"/>
          <w:lang w:val="es-ES_tradnl"/>
        </w:rPr>
        <w:t xml:space="preserve"> </w:t>
      </w:r>
      <w:r w:rsidR="00BD0E36">
        <w:rPr>
          <w:rFonts w:ascii="Calibri" w:hAnsi="Calibri" w:cs="Calibri"/>
          <w:bCs/>
          <w:noProof/>
          <w:sz w:val="22"/>
          <w:szCs w:val="22"/>
          <w:lang w:val="es-ES_tradnl"/>
        </w:rPr>
        <w:t xml:space="preserve">hasta que el </w:t>
      </w:r>
      <w:r w:rsidR="000C5A16">
        <w:rPr>
          <w:rFonts w:ascii="Calibri" w:hAnsi="Calibri" w:cs="Calibri"/>
          <w:bCs/>
          <w:noProof/>
          <w:sz w:val="22"/>
          <w:szCs w:val="22"/>
          <w:lang w:val="es-ES_tradnl"/>
        </w:rPr>
        <w:t>Oficial de finanzas</w:t>
      </w:r>
      <w:r w:rsidRPr="003265F8">
        <w:rPr>
          <w:rFonts w:ascii="Calibri" w:hAnsi="Calibri" w:cs="Calibri"/>
          <w:bCs/>
          <w:noProof/>
          <w:sz w:val="22"/>
          <w:szCs w:val="22"/>
          <w:lang w:val="es-ES_tradnl"/>
        </w:rPr>
        <w:t xml:space="preserve"> recién contratado comience </w:t>
      </w:r>
      <w:r>
        <w:rPr>
          <w:rFonts w:ascii="Calibri" w:hAnsi="Calibri" w:cs="Calibri"/>
          <w:bCs/>
          <w:noProof/>
          <w:sz w:val="22"/>
          <w:szCs w:val="22"/>
          <w:lang w:val="es-ES_tradnl"/>
        </w:rPr>
        <w:t xml:space="preserve">sus labores </w:t>
      </w:r>
      <w:r w:rsidRPr="003265F8">
        <w:rPr>
          <w:rFonts w:ascii="Calibri" w:hAnsi="Calibri" w:cs="Calibri"/>
          <w:bCs/>
          <w:noProof/>
          <w:sz w:val="22"/>
          <w:szCs w:val="22"/>
          <w:lang w:val="es-ES_tradnl"/>
        </w:rPr>
        <w:t>el 15 de mayo de 2017.</w:t>
      </w:r>
    </w:p>
    <w:p w14:paraId="7A5C6470" w14:textId="77777777" w:rsidR="003E5F44" w:rsidRPr="003E5F44" w:rsidRDefault="003E5F44" w:rsidP="003E5F44">
      <w:pPr>
        <w:rPr>
          <w:rFonts w:ascii="Calibri" w:hAnsi="Calibri" w:cs="Calibri"/>
          <w:bCs/>
          <w:noProof/>
          <w:sz w:val="22"/>
          <w:szCs w:val="22"/>
          <w:lang w:val="es-ES_tradnl"/>
        </w:rPr>
      </w:pPr>
    </w:p>
    <w:p w14:paraId="461A909E" w14:textId="38EA68F0" w:rsidR="00515D38" w:rsidRPr="00660FA1" w:rsidRDefault="003E5F44" w:rsidP="00660FA1">
      <w:pPr>
        <w:pStyle w:val="ListParagraph"/>
        <w:numPr>
          <w:ilvl w:val="0"/>
          <w:numId w:val="26"/>
        </w:numPr>
        <w:ind w:left="426" w:hanging="426"/>
        <w:rPr>
          <w:rFonts w:ascii="Calibri" w:hAnsi="Calibri" w:cs="Calibri"/>
          <w:bCs/>
          <w:noProof/>
          <w:sz w:val="22"/>
          <w:szCs w:val="22"/>
          <w:lang w:val="es-ES_tradnl"/>
        </w:rPr>
      </w:pPr>
      <w:r w:rsidRPr="003E5F44">
        <w:rPr>
          <w:rFonts w:ascii="Calibri" w:hAnsi="Calibri" w:cs="Calibri"/>
          <w:bCs/>
          <w:noProof/>
          <w:sz w:val="22"/>
          <w:szCs w:val="22"/>
          <w:lang w:val="es-ES_tradnl"/>
        </w:rPr>
        <w:t>Debido a estas circunstancias y</w:t>
      </w:r>
      <w:r>
        <w:rPr>
          <w:rFonts w:ascii="Calibri" w:hAnsi="Calibri" w:cs="Calibri"/>
          <w:bCs/>
          <w:noProof/>
          <w:sz w:val="22"/>
          <w:szCs w:val="22"/>
          <w:lang w:val="es-ES_tradnl"/>
        </w:rPr>
        <w:t xml:space="preserve"> a</w:t>
      </w:r>
      <w:r w:rsidRPr="003E5F44">
        <w:rPr>
          <w:rFonts w:ascii="Calibri" w:hAnsi="Calibri" w:cs="Calibri"/>
          <w:bCs/>
          <w:noProof/>
          <w:sz w:val="22"/>
          <w:szCs w:val="22"/>
          <w:lang w:val="es-ES_tradnl"/>
        </w:rPr>
        <w:t xml:space="preserve"> la </w:t>
      </w:r>
      <w:r w:rsidR="00DF1E27">
        <w:rPr>
          <w:rFonts w:ascii="Calibri" w:hAnsi="Calibri" w:cs="Calibri"/>
          <w:bCs/>
          <w:noProof/>
          <w:sz w:val="22"/>
          <w:szCs w:val="22"/>
          <w:lang w:val="es-ES_tradnl"/>
        </w:rPr>
        <w:t xml:space="preserve">rectificación </w:t>
      </w:r>
      <w:r>
        <w:rPr>
          <w:rFonts w:ascii="Calibri" w:hAnsi="Calibri" w:cs="Calibri"/>
          <w:bCs/>
          <w:noProof/>
          <w:sz w:val="22"/>
          <w:szCs w:val="22"/>
          <w:lang w:val="es-ES_tradnl"/>
        </w:rPr>
        <w:t>en curso</w:t>
      </w:r>
      <w:r w:rsidRPr="003E5F44">
        <w:rPr>
          <w:rFonts w:ascii="Calibri" w:hAnsi="Calibri" w:cs="Calibri"/>
          <w:bCs/>
          <w:noProof/>
          <w:sz w:val="22"/>
          <w:szCs w:val="22"/>
          <w:lang w:val="es-ES_tradnl"/>
        </w:rPr>
        <w:t xml:space="preserve"> de </w:t>
      </w:r>
      <w:r w:rsidR="00660FA1">
        <w:rPr>
          <w:rFonts w:ascii="Calibri" w:hAnsi="Calibri" w:cs="Calibri"/>
          <w:bCs/>
          <w:noProof/>
          <w:sz w:val="22"/>
          <w:szCs w:val="22"/>
          <w:lang w:val="es-ES_tradnl"/>
        </w:rPr>
        <w:t>las cuestiones identificada</w:t>
      </w:r>
      <w:r w:rsidRPr="003E5F44">
        <w:rPr>
          <w:rFonts w:ascii="Calibri" w:hAnsi="Calibri" w:cs="Calibri"/>
          <w:bCs/>
          <w:noProof/>
          <w:sz w:val="22"/>
          <w:szCs w:val="22"/>
          <w:lang w:val="es-ES_tradnl"/>
        </w:rPr>
        <w:t xml:space="preserve">s, </w:t>
      </w:r>
      <w:r w:rsidR="00660FA1">
        <w:rPr>
          <w:rFonts w:ascii="Calibri" w:hAnsi="Calibri" w:cs="Calibri"/>
          <w:bCs/>
          <w:noProof/>
          <w:sz w:val="22"/>
          <w:szCs w:val="22"/>
          <w:lang w:val="es-ES_tradnl"/>
        </w:rPr>
        <w:t xml:space="preserve">en este documento </w:t>
      </w:r>
      <w:r w:rsidRPr="003E5F44">
        <w:rPr>
          <w:rFonts w:ascii="Calibri" w:hAnsi="Calibri" w:cs="Calibri"/>
          <w:bCs/>
          <w:noProof/>
          <w:sz w:val="22"/>
          <w:szCs w:val="22"/>
          <w:lang w:val="es-ES_tradnl"/>
        </w:rPr>
        <w:t xml:space="preserve">la Secretaría </w:t>
      </w:r>
      <w:r w:rsidR="00660FA1">
        <w:rPr>
          <w:rFonts w:ascii="Calibri" w:hAnsi="Calibri" w:cs="Calibri"/>
          <w:bCs/>
          <w:noProof/>
          <w:sz w:val="22"/>
          <w:szCs w:val="22"/>
          <w:lang w:val="es-ES_tradnl"/>
        </w:rPr>
        <w:t xml:space="preserve">ha incluido </w:t>
      </w:r>
      <w:r w:rsidRPr="003E5F44">
        <w:rPr>
          <w:rFonts w:ascii="Calibri" w:hAnsi="Calibri" w:cs="Calibri"/>
          <w:bCs/>
          <w:noProof/>
          <w:sz w:val="22"/>
          <w:szCs w:val="22"/>
          <w:lang w:val="es-ES_tradnl"/>
        </w:rPr>
        <w:t>cifras financieras preliminares y no definitivas. Esto fue acordado por el Subgrupo de Finanzas el 2 de marzo de 2017.</w:t>
      </w:r>
    </w:p>
    <w:p w14:paraId="0308BD3D" w14:textId="77777777" w:rsidR="00085510" w:rsidRDefault="00085510" w:rsidP="0047333D">
      <w:pPr>
        <w:rPr>
          <w:rFonts w:ascii="Calibri" w:hAnsi="Calibri" w:cs="Calibri"/>
          <w:b/>
          <w:bCs/>
          <w:noProof/>
          <w:sz w:val="22"/>
          <w:szCs w:val="22"/>
          <w:lang w:val="es-ES_tradnl"/>
        </w:rPr>
      </w:pPr>
    </w:p>
    <w:p w14:paraId="01506DE8" w14:textId="77777777" w:rsidR="00085510" w:rsidRDefault="00085510" w:rsidP="0047333D">
      <w:pPr>
        <w:rPr>
          <w:rFonts w:ascii="Calibri" w:hAnsi="Calibri" w:cs="Calibri"/>
          <w:b/>
          <w:bCs/>
          <w:noProof/>
          <w:sz w:val="22"/>
          <w:szCs w:val="22"/>
          <w:lang w:val="es-ES_tradnl"/>
        </w:rPr>
      </w:pPr>
    </w:p>
    <w:p w14:paraId="7CDA7672" w14:textId="24F8E7E9" w:rsidR="002464F2" w:rsidRPr="00387415" w:rsidRDefault="00660FA1" w:rsidP="0047333D">
      <w:pPr>
        <w:rPr>
          <w:rFonts w:ascii="Calibri" w:hAnsi="Calibri" w:cs="Calibri"/>
          <w:bCs/>
          <w:noProof/>
          <w:sz w:val="22"/>
          <w:szCs w:val="22"/>
          <w:lang w:val="es-ES_tradnl"/>
        </w:rPr>
      </w:pPr>
      <w:r>
        <w:rPr>
          <w:rFonts w:ascii="Calibri" w:hAnsi="Calibri" w:cs="Calibri"/>
          <w:b/>
          <w:bCs/>
          <w:noProof/>
          <w:sz w:val="22"/>
          <w:szCs w:val="22"/>
          <w:lang w:val="es-ES_tradnl"/>
        </w:rPr>
        <w:t xml:space="preserve">Resultados de </w:t>
      </w:r>
      <w:r w:rsidR="00E50BEF" w:rsidRPr="00387415">
        <w:rPr>
          <w:rFonts w:ascii="Calibri" w:hAnsi="Calibri" w:cs="Calibri"/>
          <w:b/>
          <w:bCs/>
          <w:noProof/>
          <w:sz w:val="22"/>
          <w:szCs w:val="22"/>
          <w:lang w:val="es-ES_tradnl"/>
        </w:rPr>
        <w:t>201</w:t>
      </w:r>
      <w:r w:rsidR="008C5CB1" w:rsidRPr="00387415">
        <w:rPr>
          <w:rFonts w:ascii="Calibri" w:hAnsi="Calibri" w:cs="Calibri"/>
          <w:b/>
          <w:bCs/>
          <w:noProof/>
          <w:sz w:val="22"/>
          <w:szCs w:val="22"/>
          <w:lang w:val="es-ES_tradnl"/>
        </w:rPr>
        <w:t>6</w:t>
      </w:r>
      <w:r>
        <w:rPr>
          <w:rFonts w:ascii="Calibri" w:hAnsi="Calibri" w:cs="Calibri"/>
          <w:b/>
          <w:bCs/>
          <w:noProof/>
          <w:sz w:val="22"/>
          <w:szCs w:val="22"/>
          <w:lang w:val="es-ES_tradnl"/>
        </w:rPr>
        <w:t>: presupuesto básico</w:t>
      </w:r>
    </w:p>
    <w:p w14:paraId="0DE662C8" w14:textId="77777777" w:rsidR="00660FA1" w:rsidRDefault="00660FA1" w:rsidP="00660FA1">
      <w:pPr>
        <w:pStyle w:val="ListParagraph"/>
        <w:ind w:left="426"/>
        <w:rPr>
          <w:rFonts w:ascii="Calibri" w:hAnsi="Calibri" w:cs="Calibri"/>
          <w:bCs/>
          <w:noProof/>
          <w:sz w:val="22"/>
          <w:szCs w:val="22"/>
          <w:lang w:val="es-ES_tradnl"/>
        </w:rPr>
      </w:pPr>
    </w:p>
    <w:p w14:paraId="4A3611A5" w14:textId="739ADDA6" w:rsidR="00161CB8" w:rsidRDefault="00E232B5" w:rsidP="00E232B5">
      <w:pPr>
        <w:pStyle w:val="ListParagraph"/>
        <w:numPr>
          <w:ilvl w:val="0"/>
          <w:numId w:val="26"/>
        </w:numPr>
        <w:ind w:left="426" w:hanging="426"/>
        <w:rPr>
          <w:rFonts w:ascii="Calibri" w:hAnsi="Calibri" w:cs="Calibri"/>
          <w:bCs/>
          <w:noProof/>
          <w:sz w:val="22"/>
          <w:szCs w:val="22"/>
          <w:lang w:val="es-ES_tradnl"/>
        </w:rPr>
      </w:pPr>
      <w:r>
        <w:rPr>
          <w:rFonts w:ascii="Calibri" w:hAnsi="Calibri" w:cs="Calibri"/>
          <w:bCs/>
          <w:noProof/>
          <w:sz w:val="22"/>
          <w:szCs w:val="22"/>
          <w:lang w:val="es-ES_tradnl"/>
        </w:rPr>
        <w:t xml:space="preserve">Se adjunta el </w:t>
      </w:r>
      <w:r w:rsidR="00660FA1" w:rsidRPr="00660FA1">
        <w:rPr>
          <w:rFonts w:ascii="Calibri" w:hAnsi="Calibri" w:cs="Calibri"/>
          <w:bCs/>
          <w:noProof/>
          <w:sz w:val="22"/>
          <w:szCs w:val="22"/>
          <w:lang w:val="es-ES_tradnl"/>
        </w:rPr>
        <w:t>resumen preliminar del presupuesto básico de 2016</w:t>
      </w:r>
      <w:r>
        <w:rPr>
          <w:rFonts w:ascii="Calibri" w:hAnsi="Calibri" w:cs="Calibri"/>
          <w:bCs/>
          <w:noProof/>
          <w:sz w:val="22"/>
          <w:szCs w:val="22"/>
          <w:lang w:val="es-ES_tradnl"/>
        </w:rPr>
        <w:t xml:space="preserve"> en el Anexo 2. Incluye </w:t>
      </w:r>
      <w:r w:rsidR="00660FA1" w:rsidRPr="00660FA1">
        <w:rPr>
          <w:rFonts w:ascii="Calibri" w:hAnsi="Calibri" w:cs="Calibri"/>
          <w:bCs/>
          <w:noProof/>
          <w:sz w:val="22"/>
          <w:szCs w:val="22"/>
          <w:lang w:val="es-ES_tradnl"/>
        </w:rPr>
        <w:t xml:space="preserve">el presupuesto aprobado, los ingresos y gastos reales y </w:t>
      </w:r>
      <w:r>
        <w:rPr>
          <w:rFonts w:ascii="Calibri" w:hAnsi="Calibri" w:cs="Calibri"/>
          <w:bCs/>
          <w:noProof/>
          <w:sz w:val="22"/>
          <w:szCs w:val="22"/>
          <w:lang w:val="es-ES_tradnl"/>
        </w:rPr>
        <w:t xml:space="preserve">la </w:t>
      </w:r>
      <w:r w:rsidR="00660FA1">
        <w:rPr>
          <w:rFonts w:ascii="Calibri" w:hAnsi="Calibri" w:cs="Calibri"/>
          <w:bCs/>
          <w:noProof/>
          <w:sz w:val="22"/>
          <w:szCs w:val="22"/>
          <w:lang w:val="es-ES_tradnl"/>
        </w:rPr>
        <w:t>variación</w:t>
      </w:r>
      <w:r w:rsidR="00660FA1" w:rsidRPr="00660FA1">
        <w:rPr>
          <w:rFonts w:ascii="Calibri" w:hAnsi="Calibri" w:cs="Calibri"/>
          <w:bCs/>
          <w:noProof/>
          <w:sz w:val="22"/>
          <w:szCs w:val="22"/>
          <w:lang w:val="es-ES_tradnl"/>
        </w:rPr>
        <w:t xml:space="preserve"> </w:t>
      </w:r>
      <w:r>
        <w:rPr>
          <w:rFonts w:ascii="Calibri" w:hAnsi="Calibri" w:cs="Calibri"/>
          <w:bCs/>
          <w:noProof/>
          <w:sz w:val="22"/>
          <w:szCs w:val="22"/>
          <w:lang w:val="es-ES_tradnl"/>
        </w:rPr>
        <w:t>entre los importes reales y las previsiones presupuestarias</w:t>
      </w:r>
      <w:r w:rsidR="00660FA1" w:rsidRPr="00660FA1">
        <w:rPr>
          <w:rFonts w:ascii="Calibri" w:hAnsi="Calibri" w:cs="Calibri"/>
          <w:bCs/>
          <w:noProof/>
          <w:sz w:val="22"/>
          <w:szCs w:val="22"/>
          <w:lang w:val="es-ES_tradnl"/>
        </w:rPr>
        <w:t>.</w:t>
      </w:r>
    </w:p>
    <w:p w14:paraId="1433AE5B" w14:textId="77777777" w:rsidR="00E232B5" w:rsidRDefault="00E232B5" w:rsidP="00E232B5">
      <w:pPr>
        <w:pStyle w:val="ListParagraph"/>
        <w:ind w:left="426"/>
        <w:rPr>
          <w:rFonts w:ascii="Calibri" w:hAnsi="Calibri" w:cs="Calibri"/>
          <w:bCs/>
          <w:noProof/>
          <w:sz w:val="22"/>
          <w:szCs w:val="22"/>
          <w:lang w:val="es-ES_tradnl"/>
        </w:rPr>
      </w:pPr>
    </w:p>
    <w:p w14:paraId="17362B9C" w14:textId="5D8CC4CE" w:rsidR="00E232B5" w:rsidRPr="00E232B5" w:rsidRDefault="00E232B5" w:rsidP="00E232B5">
      <w:pPr>
        <w:pStyle w:val="ListParagraph"/>
        <w:numPr>
          <w:ilvl w:val="0"/>
          <w:numId w:val="26"/>
        </w:numPr>
        <w:ind w:left="426" w:hanging="426"/>
        <w:rPr>
          <w:rFonts w:ascii="Calibri" w:hAnsi="Calibri" w:cs="Calibri"/>
          <w:bCs/>
          <w:noProof/>
          <w:sz w:val="22"/>
          <w:szCs w:val="22"/>
          <w:lang w:val="es-ES_tradnl"/>
        </w:rPr>
      </w:pPr>
      <w:r>
        <w:rPr>
          <w:rFonts w:ascii="Calibri" w:hAnsi="Calibri" w:cs="Calibri"/>
          <w:bCs/>
          <w:noProof/>
          <w:sz w:val="22"/>
          <w:szCs w:val="22"/>
          <w:lang w:val="es-ES_tradnl"/>
        </w:rPr>
        <w:t xml:space="preserve">A finales de 2016, el presupuesto básico preliminar arrojaba un </w:t>
      </w:r>
      <w:r w:rsidR="00385176">
        <w:rPr>
          <w:rFonts w:ascii="Calibri" w:hAnsi="Calibri" w:cs="Calibri"/>
          <w:bCs/>
          <w:noProof/>
          <w:sz w:val="22"/>
          <w:szCs w:val="22"/>
          <w:lang w:val="es-ES_tradnl"/>
        </w:rPr>
        <w:t>excedente</w:t>
      </w:r>
      <w:r>
        <w:rPr>
          <w:rFonts w:ascii="Calibri" w:hAnsi="Calibri" w:cs="Calibri"/>
          <w:bCs/>
          <w:noProof/>
          <w:sz w:val="22"/>
          <w:szCs w:val="22"/>
          <w:lang w:val="es-ES_tradnl"/>
        </w:rPr>
        <w:t xml:space="preserve"> de 338.000 francos suizos. El Cuadro 1 proporciona un resumen.</w:t>
      </w:r>
    </w:p>
    <w:p w14:paraId="696A0CEA" w14:textId="77777777" w:rsidR="00161CB8" w:rsidRPr="00387415" w:rsidRDefault="00161CB8" w:rsidP="0047333D">
      <w:pPr>
        <w:pStyle w:val="ListParagraph"/>
        <w:ind w:left="426"/>
        <w:rPr>
          <w:rFonts w:ascii="Calibri" w:hAnsi="Calibri" w:cs="Calibri"/>
          <w:bCs/>
          <w:noProof/>
          <w:sz w:val="22"/>
          <w:szCs w:val="22"/>
          <w:lang w:val="es-ES_tradnl"/>
        </w:rPr>
      </w:pPr>
    </w:p>
    <w:p w14:paraId="4BA88A51" w14:textId="7C66FE48" w:rsidR="00F65A34" w:rsidRDefault="00F65A34" w:rsidP="0047333D">
      <w:pPr>
        <w:rPr>
          <w:rFonts w:ascii="Calibri" w:hAnsi="Calibri" w:cs="Calibri"/>
          <w:bCs/>
          <w:i/>
          <w:noProof/>
          <w:sz w:val="22"/>
          <w:szCs w:val="22"/>
          <w:lang w:val="es-ES_tradnl"/>
        </w:rPr>
      </w:pPr>
      <w:r>
        <w:rPr>
          <w:rFonts w:ascii="Calibri" w:hAnsi="Calibri" w:cs="Calibri"/>
          <w:bCs/>
          <w:i/>
          <w:noProof/>
          <w:sz w:val="22"/>
          <w:szCs w:val="22"/>
          <w:lang w:val="es-ES_tradnl"/>
        </w:rPr>
        <w:t>Cuadro</w:t>
      </w:r>
      <w:r w:rsidR="00A15D95" w:rsidRPr="00387415">
        <w:rPr>
          <w:rFonts w:ascii="Calibri" w:hAnsi="Calibri" w:cs="Calibri"/>
          <w:bCs/>
          <w:i/>
          <w:noProof/>
          <w:sz w:val="22"/>
          <w:szCs w:val="22"/>
          <w:lang w:val="es-ES_tradnl"/>
        </w:rPr>
        <w:t xml:space="preserve"> 1</w:t>
      </w:r>
      <w:r w:rsidR="00161CB8" w:rsidRPr="00387415">
        <w:rPr>
          <w:rFonts w:ascii="Calibri" w:hAnsi="Calibri" w:cs="Calibri"/>
          <w:bCs/>
          <w:i/>
          <w:noProof/>
          <w:sz w:val="22"/>
          <w:szCs w:val="22"/>
          <w:lang w:val="es-ES_tradnl"/>
        </w:rPr>
        <w:t xml:space="preserve">: </w:t>
      </w:r>
      <w:r>
        <w:rPr>
          <w:rFonts w:ascii="Calibri" w:hAnsi="Calibri" w:cs="Calibri"/>
          <w:bCs/>
          <w:i/>
          <w:noProof/>
          <w:sz w:val="22"/>
          <w:szCs w:val="22"/>
          <w:lang w:val="es-ES_tradnl"/>
        </w:rPr>
        <w:t xml:space="preserve">Resumen del </w:t>
      </w:r>
      <w:r w:rsidRPr="007226D9">
        <w:rPr>
          <w:rFonts w:ascii="Calibri" w:hAnsi="Calibri" w:cs="Calibri"/>
          <w:bCs/>
          <w:i/>
          <w:noProof/>
          <w:sz w:val="22"/>
          <w:szCs w:val="22"/>
          <w:lang w:val="es-ES_tradnl"/>
        </w:rPr>
        <w:t>excedente</w:t>
      </w:r>
      <w:r>
        <w:rPr>
          <w:rFonts w:ascii="Calibri" w:hAnsi="Calibri" w:cs="Calibri"/>
          <w:bCs/>
          <w:i/>
          <w:noProof/>
          <w:sz w:val="22"/>
          <w:szCs w:val="22"/>
          <w:lang w:val="es-ES_tradnl"/>
        </w:rPr>
        <w:t xml:space="preserve"> del presupuesto básico preliminar de 2016 (en miles de francos suizos, con </w:t>
      </w:r>
      <w:r w:rsidR="00385176">
        <w:rPr>
          <w:rFonts w:ascii="Calibri" w:hAnsi="Calibri" w:cs="Calibri"/>
          <w:bCs/>
          <w:i/>
          <w:noProof/>
          <w:sz w:val="22"/>
          <w:szCs w:val="22"/>
          <w:lang w:val="es-ES_tradnl"/>
        </w:rPr>
        <w:t xml:space="preserve">posibles </w:t>
      </w:r>
      <w:r>
        <w:rPr>
          <w:rFonts w:ascii="Calibri" w:hAnsi="Calibri" w:cs="Calibri"/>
          <w:bCs/>
          <w:i/>
          <w:noProof/>
          <w:sz w:val="22"/>
          <w:szCs w:val="22"/>
          <w:lang w:val="es-ES_tradnl"/>
        </w:rPr>
        <w:t>errores por redondeo)</w:t>
      </w:r>
    </w:p>
    <w:p w14:paraId="1C39FB74" w14:textId="77777777" w:rsidR="00F906AD" w:rsidRPr="00387415" w:rsidRDefault="00F906AD" w:rsidP="0047333D">
      <w:pPr>
        <w:rPr>
          <w:rFonts w:ascii="Calibri" w:hAnsi="Calibri" w:cs="Calibri"/>
          <w:b/>
          <w:bCs/>
          <w:noProof/>
          <w:sz w:val="22"/>
          <w:szCs w:val="22"/>
          <w:lang w:val="es-ES_tradnl"/>
        </w:rPr>
      </w:pPr>
    </w:p>
    <w:tbl>
      <w:tblPr>
        <w:tblW w:w="9125" w:type="dxa"/>
        <w:tblInd w:w="103" w:type="dxa"/>
        <w:tblLook w:val="04A0" w:firstRow="1" w:lastRow="0" w:firstColumn="1" w:lastColumn="0" w:noHBand="0" w:noVBand="1"/>
      </w:tblPr>
      <w:tblGrid>
        <w:gridCol w:w="3407"/>
        <w:gridCol w:w="684"/>
        <w:gridCol w:w="960"/>
        <w:gridCol w:w="4074"/>
      </w:tblGrid>
      <w:tr w:rsidR="00161CB8" w:rsidRPr="00387415" w14:paraId="14AEA209" w14:textId="77777777" w:rsidTr="00A43173">
        <w:trPr>
          <w:trHeight w:val="288"/>
        </w:trPr>
        <w:tc>
          <w:tcPr>
            <w:tcW w:w="3407" w:type="dxa"/>
            <w:tcBorders>
              <w:top w:val="single" w:sz="4" w:space="0" w:color="auto"/>
              <w:left w:val="single" w:sz="4" w:space="0" w:color="auto"/>
              <w:bottom w:val="nil"/>
              <w:right w:val="single" w:sz="4" w:space="0" w:color="auto"/>
            </w:tcBorders>
            <w:shd w:val="clear" w:color="auto" w:fill="C6D9F1" w:themeFill="text2" w:themeFillTint="33"/>
            <w:noWrap/>
            <w:vAlign w:val="bottom"/>
          </w:tcPr>
          <w:p w14:paraId="77705699" w14:textId="6AB21433" w:rsidR="00161CB8" w:rsidRPr="00387415" w:rsidRDefault="00F50C8D" w:rsidP="0047333D">
            <w:pPr>
              <w:rPr>
                <w:rFonts w:ascii="Calibri" w:eastAsia="Times New Roman" w:hAnsi="Calibri"/>
                <w:b/>
                <w:bCs/>
                <w:noProof/>
                <w:color w:val="000000"/>
                <w:sz w:val="22"/>
                <w:szCs w:val="22"/>
                <w:lang w:val="es-ES_tradnl" w:eastAsia="en-GB"/>
              </w:rPr>
            </w:pPr>
            <w:r>
              <w:rPr>
                <w:rFonts w:ascii="Calibri" w:eastAsia="Times New Roman" w:hAnsi="Calibri"/>
                <w:b/>
                <w:bCs/>
                <w:noProof/>
                <w:color w:val="000000"/>
                <w:sz w:val="22"/>
                <w:szCs w:val="22"/>
                <w:lang w:val="es-ES_tradnl" w:eastAsia="en-GB"/>
              </w:rPr>
              <w:t>Centro de costos</w:t>
            </w:r>
          </w:p>
        </w:tc>
        <w:tc>
          <w:tcPr>
            <w:tcW w:w="684" w:type="dxa"/>
            <w:tcBorders>
              <w:top w:val="single" w:sz="4" w:space="0" w:color="auto"/>
              <w:left w:val="nil"/>
              <w:bottom w:val="nil"/>
              <w:right w:val="nil"/>
            </w:tcBorders>
            <w:shd w:val="clear" w:color="auto" w:fill="C6D9F1" w:themeFill="text2" w:themeFillTint="33"/>
            <w:noWrap/>
            <w:vAlign w:val="bottom"/>
          </w:tcPr>
          <w:p w14:paraId="2BB71409" w14:textId="77777777" w:rsidR="00161CB8" w:rsidRPr="00387415" w:rsidRDefault="00161CB8" w:rsidP="0047333D">
            <w:pPr>
              <w:jc w:val="center"/>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 </w:t>
            </w:r>
          </w:p>
        </w:tc>
        <w:tc>
          <w:tcPr>
            <w:tcW w:w="960" w:type="dxa"/>
            <w:tcBorders>
              <w:top w:val="single" w:sz="4" w:space="0" w:color="auto"/>
              <w:left w:val="nil"/>
              <w:bottom w:val="nil"/>
              <w:right w:val="single" w:sz="4" w:space="0" w:color="auto"/>
            </w:tcBorders>
            <w:shd w:val="clear" w:color="auto" w:fill="C6D9F1" w:themeFill="text2" w:themeFillTint="33"/>
            <w:noWrap/>
            <w:vAlign w:val="bottom"/>
          </w:tcPr>
          <w:p w14:paraId="298858D7" w14:textId="77777777" w:rsidR="00161CB8" w:rsidRPr="00387415" w:rsidRDefault="00161CB8" w:rsidP="0047333D">
            <w:pPr>
              <w:jc w:val="center"/>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 </w:t>
            </w:r>
          </w:p>
        </w:tc>
        <w:tc>
          <w:tcPr>
            <w:tcW w:w="4074" w:type="dxa"/>
            <w:tcBorders>
              <w:top w:val="single" w:sz="4" w:space="0" w:color="auto"/>
              <w:left w:val="nil"/>
              <w:bottom w:val="nil"/>
              <w:right w:val="single" w:sz="4" w:space="0" w:color="auto"/>
            </w:tcBorders>
            <w:shd w:val="clear" w:color="auto" w:fill="C6D9F1" w:themeFill="text2" w:themeFillTint="33"/>
            <w:noWrap/>
            <w:vAlign w:val="bottom"/>
          </w:tcPr>
          <w:p w14:paraId="6EC4F317" w14:textId="2BDB4803" w:rsidR="00161CB8" w:rsidRPr="00387415" w:rsidRDefault="00F50C8D" w:rsidP="0047333D">
            <w:pPr>
              <w:rPr>
                <w:rFonts w:ascii="Calibri" w:eastAsia="Times New Roman" w:hAnsi="Calibri"/>
                <w:b/>
                <w:bCs/>
                <w:noProof/>
                <w:color w:val="000000"/>
                <w:sz w:val="22"/>
                <w:szCs w:val="22"/>
                <w:lang w:val="es-ES_tradnl" w:eastAsia="en-GB"/>
              </w:rPr>
            </w:pPr>
            <w:r>
              <w:rPr>
                <w:rFonts w:ascii="Calibri" w:eastAsia="Times New Roman" w:hAnsi="Calibri"/>
                <w:b/>
                <w:bCs/>
                <w:noProof/>
                <w:color w:val="000000"/>
                <w:sz w:val="22"/>
                <w:szCs w:val="22"/>
                <w:lang w:val="es-ES_tradnl" w:eastAsia="en-GB"/>
              </w:rPr>
              <w:t>Observaciones</w:t>
            </w:r>
          </w:p>
        </w:tc>
      </w:tr>
      <w:tr w:rsidR="00161CB8" w:rsidRPr="000222F9" w14:paraId="7AC78922"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0A8ADD4F" w14:textId="39676B06" w:rsidR="00161CB8" w:rsidRPr="00387415" w:rsidRDefault="00F50C8D"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Ingresos</w:t>
            </w:r>
          </w:p>
        </w:tc>
        <w:tc>
          <w:tcPr>
            <w:tcW w:w="684" w:type="dxa"/>
            <w:tcBorders>
              <w:top w:val="nil"/>
              <w:left w:val="nil"/>
              <w:bottom w:val="nil"/>
              <w:right w:val="nil"/>
            </w:tcBorders>
            <w:shd w:val="clear" w:color="auto" w:fill="auto"/>
            <w:noWrap/>
            <w:vAlign w:val="bottom"/>
          </w:tcPr>
          <w:p w14:paraId="0C58CF5B"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tcPr>
          <w:p w14:paraId="46179D9D" w14:textId="77777777" w:rsidR="00161CB8" w:rsidRPr="00387415" w:rsidRDefault="00161CB8"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w:t>
            </w:r>
            <w:r w:rsidR="00A1746A" w:rsidRPr="00387415">
              <w:rPr>
                <w:rFonts w:ascii="Calibri" w:eastAsia="Times New Roman" w:hAnsi="Calibri"/>
                <w:noProof/>
                <w:color w:val="000000"/>
                <w:sz w:val="22"/>
                <w:szCs w:val="22"/>
                <w:lang w:val="es-ES_tradnl" w:eastAsia="en-GB"/>
              </w:rPr>
              <w:t>30</w:t>
            </w:r>
            <w:r w:rsidRPr="00387415">
              <w:rPr>
                <w:rFonts w:ascii="Calibri" w:eastAsia="Times New Roman" w:hAnsi="Calibri"/>
                <w:noProof/>
                <w:color w:val="000000"/>
                <w:sz w:val="22"/>
                <w:szCs w:val="22"/>
                <w:lang w:val="es-ES_tradnl" w:eastAsia="en-GB"/>
              </w:rPr>
              <w:t>)</w:t>
            </w:r>
          </w:p>
        </w:tc>
        <w:tc>
          <w:tcPr>
            <w:tcW w:w="4074" w:type="dxa"/>
            <w:tcBorders>
              <w:top w:val="nil"/>
              <w:left w:val="nil"/>
              <w:bottom w:val="nil"/>
              <w:right w:val="single" w:sz="4" w:space="0" w:color="auto"/>
            </w:tcBorders>
            <w:shd w:val="clear" w:color="auto" w:fill="auto"/>
            <w:noWrap/>
            <w:vAlign w:val="bottom"/>
          </w:tcPr>
          <w:p w14:paraId="13067BC9" w14:textId="2838C15C" w:rsidR="00161CB8" w:rsidRPr="00387415" w:rsidRDefault="00F50C8D" w:rsidP="00F50C8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Impuesto sobre la renta</w:t>
            </w:r>
            <w:r w:rsidR="008C5CB1" w:rsidRPr="00387415">
              <w:rPr>
                <w:rFonts w:ascii="Calibri" w:eastAsia="Times New Roman" w:hAnsi="Calibri"/>
                <w:noProof/>
                <w:color w:val="000000"/>
                <w:sz w:val="22"/>
                <w:szCs w:val="22"/>
                <w:lang w:val="es-ES_tradnl" w:eastAsia="en-GB"/>
              </w:rPr>
              <w:t xml:space="preserve"> (53)</w:t>
            </w:r>
            <w:r w:rsidR="005D6F79" w:rsidRPr="00387415">
              <w:rPr>
                <w:rFonts w:ascii="Calibri" w:eastAsia="Times New Roman" w:hAnsi="Calibri"/>
                <w:noProof/>
                <w:color w:val="000000"/>
                <w:sz w:val="22"/>
                <w:szCs w:val="22"/>
                <w:lang w:val="es-ES_tradnl" w:eastAsia="en-GB"/>
              </w:rPr>
              <w:t>k</w:t>
            </w:r>
            <w:r w:rsidR="007E7929" w:rsidRPr="00387415">
              <w:rPr>
                <w:rFonts w:ascii="Calibri" w:eastAsia="Times New Roman" w:hAnsi="Calibri"/>
                <w:noProof/>
                <w:color w:val="000000"/>
                <w:sz w:val="22"/>
                <w:szCs w:val="22"/>
                <w:lang w:val="es-ES_tradnl" w:eastAsia="en-GB"/>
              </w:rPr>
              <w:t xml:space="preserve">, </w:t>
            </w:r>
            <w:r>
              <w:rPr>
                <w:rFonts w:ascii="Calibri" w:eastAsia="Times New Roman" w:hAnsi="Calibri"/>
                <w:noProof/>
                <w:color w:val="000000"/>
                <w:sz w:val="22"/>
                <w:szCs w:val="22"/>
                <w:lang w:val="es-ES_tradnl" w:eastAsia="en-GB"/>
              </w:rPr>
              <w:t xml:space="preserve">ingresos por intereses </w:t>
            </w:r>
            <w:r w:rsidR="00A1746A" w:rsidRPr="00387415">
              <w:rPr>
                <w:rFonts w:ascii="Calibri" w:eastAsia="Times New Roman" w:hAnsi="Calibri"/>
                <w:noProof/>
                <w:color w:val="000000"/>
                <w:sz w:val="22"/>
                <w:szCs w:val="22"/>
                <w:lang w:val="es-ES_tradnl" w:eastAsia="en-GB"/>
              </w:rPr>
              <w:t>23k</w:t>
            </w:r>
          </w:p>
        </w:tc>
      </w:tr>
      <w:tr w:rsidR="00161CB8" w:rsidRPr="00387415" w14:paraId="2738C40A"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53E4E99E" w14:textId="3B98CAA9" w:rsidR="00161CB8" w:rsidRPr="00387415" w:rsidRDefault="00F50C8D"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Personal directivo</w:t>
            </w:r>
          </w:p>
        </w:tc>
        <w:tc>
          <w:tcPr>
            <w:tcW w:w="684" w:type="dxa"/>
            <w:tcBorders>
              <w:top w:val="nil"/>
              <w:left w:val="nil"/>
              <w:bottom w:val="nil"/>
              <w:right w:val="nil"/>
            </w:tcBorders>
            <w:shd w:val="clear" w:color="auto" w:fill="auto"/>
            <w:noWrap/>
            <w:vAlign w:val="bottom"/>
          </w:tcPr>
          <w:p w14:paraId="0FE32D71"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tcPr>
          <w:p w14:paraId="1952EFC4" w14:textId="77777777" w:rsidR="00161CB8" w:rsidRPr="00387415" w:rsidRDefault="008C5CB1"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73</w:t>
            </w:r>
          </w:p>
        </w:tc>
        <w:tc>
          <w:tcPr>
            <w:tcW w:w="4074" w:type="dxa"/>
            <w:tcBorders>
              <w:top w:val="nil"/>
              <w:left w:val="nil"/>
              <w:bottom w:val="nil"/>
              <w:right w:val="single" w:sz="4" w:space="0" w:color="auto"/>
            </w:tcBorders>
            <w:shd w:val="clear" w:color="auto" w:fill="auto"/>
            <w:noWrap/>
            <w:vAlign w:val="bottom"/>
          </w:tcPr>
          <w:p w14:paraId="1DC4F005" w14:textId="0E71855E" w:rsidR="00161CB8" w:rsidRPr="00387415" w:rsidRDefault="00F50C8D"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Salario y prestaciones</w:t>
            </w:r>
          </w:p>
        </w:tc>
      </w:tr>
      <w:tr w:rsidR="008C5CB1" w:rsidRPr="00387415" w14:paraId="63434B6C"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47C56D67" w14:textId="01E5B59A" w:rsidR="008C5CB1" w:rsidRPr="00387415" w:rsidRDefault="00F50C8D"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Coordinador de asociaciones de colaboración</w:t>
            </w:r>
          </w:p>
        </w:tc>
        <w:tc>
          <w:tcPr>
            <w:tcW w:w="684" w:type="dxa"/>
            <w:tcBorders>
              <w:top w:val="nil"/>
              <w:left w:val="nil"/>
              <w:bottom w:val="nil"/>
              <w:right w:val="nil"/>
            </w:tcBorders>
            <w:shd w:val="clear" w:color="auto" w:fill="auto"/>
            <w:noWrap/>
            <w:vAlign w:val="bottom"/>
          </w:tcPr>
          <w:p w14:paraId="7C02E3FA" w14:textId="77777777" w:rsidR="008C5CB1" w:rsidRPr="00387415" w:rsidRDefault="008C5CB1" w:rsidP="0047333D">
            <w:pPr>
              <w:rPr>
                <w:rFonts w:ascii="Calibri" w:eastAsia="Times New Roman" w:hAnsi="Calibri"/>
                <w:noProof/>
                <w:color w:val="000000"/>
                <w:sz w:val="22"/>
                <w:szCs w:val="22"/>
                <w:lang w:val="es-ES_tradnl" w:eastAsia="en-GB"/>
              </w:rPr>
            </w:pPr>
          </w:p>
        </w:tc>
        <w:tc>
          <w:tcPr>
            <w:tcW w:w="960" w:type="dxa"/>
            <w:tcBorders>
              <w:top w:val="nil"/>
              <w:left w:val="nil"/>
              <w:bottom w:val="nil"/>
              <w:right w:val="single" w:sz="4" w:space="0" w:color="auto"/>
            </w:tcBorders>
            <w:shd w:val="clear" w:color="auto" w:fill="auto"/>
            <w:noWrap/>
            <w:vAlign w:val="bottom"/>
          </w:tcPr>
          <w:p w14:paraId="15F0ECAD" w14:textId="77777777" w:rsidR="008C5CB1" w:rsidRPr="00387415" w:rsidRDefault="008C5CB1"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64</w:t>
            </w:r>
          </w:p>
        </w:tc>
        <w:tc>
          <w:tcPr>
            <w:tcW w:w="4074" w:type="dxa"/>
            <w:tcBorders>
              <w:top w:val="nil"/>
              <w:left w:val="nil"/>
              <w:bottom w:val="nil"/>
              <w:right w:val="single" w:sz="4" w:space="0" w:color="auto"/>
            </w:tcBorders>
            <w:shd w:val="clear" w:color="auto" w:fill="auto"/>
            <w:noWrap/>
            <w:vAlign w:val="bottom"/>
          </w:tcPr>
          <w:p w14:paraId="56B47041" w14:textId="4E224824" w:rsidR="008C5CB1" w:rsidRPr="00387415" w:rsidRDefault="00F50C8D"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Salario y prestaciones</w:t>
            </w:r>
          </w:p>
        </w:tc>
      </w:tr>
      <w:tr w:rsidR="00161CB8" w:rsidRPr="000222F9" w14:paraId="2D222570"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27B157F6" w14:textId="72CBD1B2" w:rsidR="00161CB8" w:rsidRPr="00387415" w:rsidRDefault="00F50C8D"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Asesoramiento y apoyo regionales</w:t>
            </w:r>
          </w:p>
        </w:tc>
        <w:tc>
          <w:tcPr>
            <w:tcW w:w="684" w:type="dxa"/>
            <w:tcBorders>
              <w:top w:val="nil"/>
              <w:left w:val="nil"/>
              <w:bottom w:val="nil"/>
              <w:right w:val="nil"/>
            </w:tcBorders>
            <w:shd w:val="clear" w:color="auto" w:fill="auto"/>
            <w:noWrap/>
            <w:vAlign w:val="bottom"/>
          </w:tcPr>
          <w:p w14:paraId="59883728" w14:textId="77777777" w:rsidR="00161CB8" w:rsidRPr="00387415" w:rsidRDefault="00161CB8" w:rsidP="0047333D">
            <w:pPr>
              <w:rPr>
                <w:rFonts w:ascii="Calibri" w:eastAsia="Times New Roman" w:hAnsi="Calibri"/>
                <w:noProof/>
                <w:color w:val="000000"/>
                <w:sz w:val="22"/>
                <w:szCs w:val="22"/>
                <w:lang w:val="es-ES_tradnl" w:eastAsia="en-GB"/>
              </w:rPr>
            </w:pPr>
          </w:p>
        </w:tc>
        <w:tc>
          <w:tcPr>
            <w:tcW w:w="960" w:type="dxa"/>
            <w:tcBorders>
              <w:top w:val="nil"/>
              <w:left w:val="nil"/>
              <w:bottom w:val="nil"/>
              <w:right w:val="single" w:sz="4" w:space="0" w:color="auto"/>
            </w:tcBorders>
            <w:shd w:val="clear" w:color="auto" w:fill="auto"/>
            <w:noWrap/>
            <w:vAlign w:val="bottom"/>
          </w:tcPr>
          <w:p w14:paraId="59B8DB9C" w14:textId="77777777" w:rsidR="00161CB8" w:rsidRPr="00387415" w:rsidRDefault="008C5CB1"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81</w:t>
            </w:r>
          </w:p>
        </w:tc>
        <w:tc>
          <w:tcPr>
            <w:tcW w:w="4074" w:type="dxa"/>
            <w:tcBorders>
              <w:top w:val="nil"/>
              <w:left w:val="nil"/>
              <w:bottom w:val="nil"/>
              <w:right w:val="single" w:sz="4" w:space="0" w:color="auto"/>
            </w:tcBorders>
            <w:shd w:val="clear" w:color="auto" w:fill="auto"/>
            <w:noWrap/>
            <w:vAlign w:val="bottom"/>
          </w:tcPr>
          <w:p w14:paraId="23CDE6F6" w14:textId="6A2B329D" w:rsidR="00161CB8" w:rsidRPr="00387415" w:rsidRDefault="00F50C8D" w:rsidP="00F50C8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Salario y prestaciones</w:t>
            </w:r>
            <w:r w:rsidR="005D6F79" w:rsidRPr="00387415">
              <w:rPr>
                <w:rFonts w:ascii="Calibri" w:eastAsia="Times New Roman" w:hAnsi="Calibri"/>
                <w:noProof/>
                <w:color w:val="000000"/>
                <w:sz w:val="22"/>
                <w:szCs w:val="22"/>
                <w:lang w:val="es-ES_tradnl" w:eastAsia="en-GB"/>
              </w:rPr>
              <w:t xml:space="preserve"> </w:t>
            </w:r>
            <w:r w:rsidR="00161CB8" w:rsidRPr="00387415">
              <w:rPr>
                <w:rFonts w:ascii="Calibri" w:eastAsia="Times New Roman" w:hAnsi="Calibri"/>
                <w:noProof/>
                <w:color w:val="000000"/>
                <w:sz w:val="22"/>
                <w:szCs w:val="22"/>
                <w:lang w:val="es-ES_tradnl" w:eastAsia="en-GB"/>
              </w:rPr>
              <w:t>6</w:t>
            </w:r>
            <w:r w:rsidR="005D6F79" w:rsidRPr="00387415">
              <w:rPr>
                <w:rFonts w:ascii="Calibri" w:eastAsia="Times New Roman" w:hAnsi="Calibri"/>
                <w:noProof/>
                <w:color w:val="000000"/>
                <w:sz w:val="22"/>
                <w:szCs w:val="22"/>
                <w:lang w:val="es-ES_tradnl" w:eastAsia="en-GB"/>
              </w:rPr>
              <w:t>1</w:t>
            </w:r>
            <w:r w:rsidR="00161CB8" w:rsidRPr="00387415">
              <w:rPr>
                <w:rFonts w:ascii="Calibri" w:eastAsia="Times New Roman" w:hAnsi="Calibri"/>
                <w:noProof/>
                <w:color w:val="000000"/>
                <w:sz w:val="22"/>
                <w:szCs w:val="22"/>
                <w:lang w:val="es-ES_tradnl" w:eastAsia="en-GB"/>
              </w:rPr>
              <w:t xml:space="preserve">k, </w:t>
            </w:r>
            <w:r>
              <w:rPr>
                <w:rFonts w:ascii="Calibri" w:eastAsia="Times New Roman" w:hAnsi="Calibri"/>
                <w:noProof/>
                <w:color w:val="000000"/>
                <w:sz w:val="22"/>
                <w:szCs w:val="22"/>
                <w:lang w:val="es-ES_tradnl" w:eastAsia="en-GB"/>
              </w:rPr>
              <w:t>viajes</w:t>
            </w:r>
            <w:r w:rsidR="005D6F79" w:rsidRPr="00387415">
              <w:rPr>
                <w:rFonts w:ascii="Calibri" w:eastAsia="Times New Roman" w:hAnsi="Calibri"/>
                <w:noProof/>
                <w:color w:val="000000"/>
                <w:sz w:val="22"/>
                <w:szCs w:val="22"/>
                <w:lang w:val="es-ES_tradnl" w:eastAsia="en-GB"/>
              </w:rPr>
              <w:t xml:space="preserve"> 20</w:t>
            </w:r>
            <w:r w:rsidR="00161CB8" w:rsidRPr="00387415">
              <w:rPr>
                <w:rFonts w:ascii="Calibri" w:eastAsia="Times New Roman" w:hAnsi="Calibri"/>
                <w:noProof/>
                <w:color w:val="000000"/>
                <w:sz w:val="22"/>
                <w:szCs w:val="22"/>
                <w:lang w:val="es-ES_tradnl" w:eastAsia="en-GB"/>
              </w:rPr>
              <w:t>k</w:t>
            </w:r>
          </w:p>
        </w:tc>
      </w:tr>
      <w:tr w:rsidR="005D6F79" w:rsidRPr="00387415" w14:paraId="669022BD"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12030AC3" w14:textId="2B037731" w:rsidR="005D6F79" w:rsidRPr="00387415" w:rsidRDefault="00F11042"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Comunicaciones</w:t>
            </w:r>
          </w:p>
        </w:tc>
        <w:tc>
          <w:tcPr>
            <w:tcW w:w="684" w:type="dxa"/>
            <w:tcBorders>
              <w:top w:val="nil"/>
              <w:left w:val="nil"/>
              <w:bottom w:val="nil"/>
              <w:right w:val="nil"/>
            </w:tcBorders>
            <w:shd w:val="clear" w:color="auto" w:fill="auto"/>
            <w:noWrap/>
            <w:vAlign w:val="bottom"/>
          </w:tcPr>
          <w:p w14:paraId="19C0A2D9" w14:textId="77777777" w:rsidR="005D6F79" w:rsidRPr="00387415" w:rsidRDefault="005D6F79" w:rsidP="0047333D">
            <w:pPr>
              <w:rPr>
                <w:rFonts w:ascii="Calibri" w:eastAsia="Times New Roman" w:hAnsi="Calibri"/>
                <w:noProof/>
                <w:color w:val="000000"/>
                <w:sz w:val="22"/>
                <w:szCs w:val="22"/>
                <w:lang w:val="es-ES_tradnl" w:eastAsia="en-GB"/>
              </w:rPr>
            </w:pPr>
          </w:p>
        </w:tc>
        <w:tc>
          <w:tcPr>
            <w:tcW w:w="960" w:type="dxa"/>
            <w:tcBorders>
              <w:top w:val="nil"/>
              <w:left w:val="nil"/>
              <w:bottom w:val="nil"/>
              <w:right w:val="single" w:sz="4" w:space="0" w:color="auto"/>
            </w:tcBorders>
            <w:shd w:val="clear" w:color="auto" w:fill="auto"/>
            <w:noWrap/>
            <w:vAlign w:val="bottom"/>
          </w:tcPr>
          <w:p w14:paraId="0E3427AA" w14:textId="77777777" w:rsidR="005D6F79" w:rsidRPr="00387415" w:rsidRDefault="005D6F79"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104</w:t>
            </w:r>
          </w:p>
        </w:tc>
        <w:tc>
          <w:tcPr>
            <w:tcW w:w="4074" w:type="dxa"/>
            <w:tcBorders>
              <w:top w:val="nil"/>
              <w:left w:val="nil"/>
              <w:bottom w:val="nil"/>
              <w:right w:val="single" w:sz="4" w:space="0" w:color="auto"/>
            </w:tcBorders>
            <w:shd w:val="clear" w:color="auto" w:fill="auto"/>
            <w:noWrap/>
            <w:vAlign w:val="bottom"/>
          </w:tcPr>
          <w:p w14:paraId="01E26D84" w14:textId="44E86ED8" w:rsidR="005D6F79" w:rsidRPr="00387415" w:rsidRDefault="00F50C8D"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Salario y prestaciones</w:t>
            </w:r>
            <w:r w:rsidRPr="00387415">
              <w:rPr>
                <w:rFonts w:ascii="Calibri" w:eastAsia="Times New Roman" w:hAnsi="Calibri"/>
                <w:noProof/>
                <w:color w:val="000000"/>
                <w:sz w:val="22"/>
                <w:szCs w:val="22"/>
                <w:lang w:val="es-ES_tradnl" w:eastAsia="en-GB"/>
              </w:rPr>
              <w:t xml:space="preserve"> </w:t>
            </w:r>
            <w:r w:rsidR="005D6F79" w:rsidRPr="00387415">
              <w:rPr>
                <w:rFonts w:ascii="Calibri" w:eastAsia="Times New Roman" w:hAnsi="Calibri"/>
                <w:noProof/>
                <w:color w:val="000000"/>
                <w:sz w:val="22"/>
                <w:szCs w:val="22"/>
                <w:lang w:val="es-ES_tradnl" w:eastAsia="en-GB"/>
              </w:rPr>
              <w:t>86k</w:t>
            </w:r>
          </w:p>
        </w:tc>
      </w:tr>
      <w:tr w:rsidR="00161CB8" w:rsidRPr="000222F9" w14:paraId="6953C038"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429198EF" w14:textId="6CAA4066" w:rsidR="00161CB8" w:rsidRPr="00387415" w:rsidRDefault="00F50C8D"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Administración</w:t>
            </w:r>
          </w:p>
        </w:tc>
        <w:tc>
          <w:tcPr>
            <w:tcW w:w="684" w:type="dxa"/>
            <w:tcBorders>
              <w:top w:val="nil"/>
              <w:left w:val="nil"/>
              <w:bottom w:val="nil"/>
              <w:right w:val="nil"/>
            </w:tcBorders>
            <w:shd w:val="clear" w:color="auto" w:fill="auto"/>
            <w:noWrap/>
            <w:vAlign w:val="bottom"/>
          </w:tcPr>
          <w:p w14:paraId="66A4E55C" w14:textId="77777777" w:rsidR="00161CB8" w:rsidRPr="00387415" w:rsidRDefault="00161CB8" w:rsidP="0047333D">
            <w:pPr>
              <w:rPr>
                <w:rFonts w:ascii="Calibri" w:eastAsia="Times New Roman" w:hAnsi="Calibri"/>
                <w:noProof/>
                <w:color w:val="000000"/>
                <w:sz w:val="22"/>
                <w:szCs w:val="22"/>
                <w:lang w:val="es-ES_tradnl" w:eastAsia="en-GB"/>
              </w:rPr>
            </w:pPr>
          </w:p>
        </w:tc>
        <w:tc>
          <w:tcPr>
            <w:tcW w:w="960" w:type="dxa"/>
            <w:tcBorders>
              <w:top w:val="nil"/>
              <w:left w:val="nil"/>
              <w:bottom w:val="nil"/>
              <w:right w:val="single" w:sz="4" w:space="0" w:color="auto"/>
            </w:tcBorders>
            <w:shd w:val="clear" w:color="auto" w:fill="auto"/>
            <w:noWrap/>
            <w:vAlign w:val="bottom"/>
          </w:tcPr>
          <w:p w14:paraId="5EFFE0C6" w14:textId="77777777" w:rsidR="00161CB8" w:rsidRPr="00387415" w:rsidRDefault="005D6F79"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1</w:t>
            </w:r>
            <w:r w:rsidR="00161CB8" w:rsidRPr="00387415">
              <w:rPr>
                <w:rFonts w:ascii="Calibri" w:eastAsia="Times New Roman" w:hAnsi="Calibri"/>
                <w:noProof/>
                <w:color w:val="000000"/>
                <w:sz w:val="22"/>
                <w:szCs w:val="22"/>
                <w:lang w:val="es-ES_tradnl" w:eastAsia="en-GB"/>
              </w:rPr>
              <w:t>4</w:t>
            </w:r>
            <w:r w:rsidRPr="00387415">
              <w:rPr>
                <w:rFonts w:ascii="Calibri" w:eastAsia="Times New Roman" w:hAnsi="Calibri"/>
                <w:noProof/>
                <w:color w:val="000000"/>
                <w:sz w:val="22"/>
                <w:szCs w:val="22"/>
                <w:lang w:val="es-ES_tradnl" w:eastAsia="en-GB"/>
              </w:rPr>
              <w:t>1</w:t>
            </w:r>
          </w:p>
        </w:tc>
        <w:tc>
          <w:tcPr>
            <w:tcW w:w="4074" w:type="dxa"/>
            <w:tcBorders>
              <w:top w:val="nil"/>
              <w:left w:val="nil"/>
              <w:bottom w:val="nil"/>
              <w:right w:val="single" w:sz="4" w:space="0" w:color="auto"/>
            </w:tcBorders>
            <w:shd w:val="clear" w:color="auto" w:fill="auto"/>
            <w:noWrap/>
            <w:vAlign w:val="bottom"/>
          </w:tcPr>
          <w:p w14:paraId="195EEA6B" w14:textId="02447792" w:rsidR="00161CB8" w:rsidRPr="00387415" w:rsidRDefault="00F50C8D" w:rsidP="00E2669A">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Salario y prestaciones</w:t>
            </w:r>
            <w:r w:rsidRPr="00387415">
              <w:rPr>
                <w:rFonts w:ascii="Calibri" w:eastAsia="Times New Roman" w:hAnsi="Calibri"/>
                <w:noProof/>
                <w:color w:val="000000"/>
                <w:sz w:val="22"/>
                <w:szCs w:val="22"/>
                <w:lang w:val="es-ES_tradnl" w:eastAsia="en-GB"/>
              </w:rPr>
              <w:t xml:space="preserve"> </w:t>
            </w:r>
            <w:r w:rsidR="005D6F79" w:rsidRPr="00387415">
              <w:rPr>
                <w:rFonts w:ascii="Calibri" w:eastAsia="Times New Roman" w:hAnsi="Calibri"/>
                <w:noProof/>
                <w:color w:val="000000"/>
                <w:sz w:val="22"/>
                <w:szCs w:val="22"/>
                <w:lang w:val="es-ES_tradnl" w:eastAsia="en-GB"/>
              </w:rPr>
              <w:t xml:space="preserve">85k, </w:t>
            </w:r>
            <w:r w:rsidR="00E2669A">
              <w:rPr>
                <w:rFonts w:ascii="Calibri" w:eastAsia="Times New Roman" w:hAnsi="Calibri"/>
                <w:noProof/>
                <w:color w:val="000000"/>
                <w:sz w:val="22"/>
                <w:szCs w:val="22"/>
                <w:lang w:val="es-ES_tradnl" w:eastAsia="en-GB"/>
              </w:rPr>
              <w:t xml:space="preserve">costos de </w:t>
            </w:r>
            <w:r>
              <w:rPr>
                <w:rFonts w:ascii="Calibri" w:eastAsia="Times New Roman" w:hAnsi="Calibri"/>
                <w:noProof/>
                <w:color w:val="000000"/>
                <w:sz w:val="22"/>
                <w:szCs w:val="22"/>
                <w:lang w:val="es-ES_tradnl" w:eastAsia="en-GB"/>
              </w:rPr>
              <w:t xml:space="preserve">contratación y </w:t>
            </w:r>
          </w:p>
        </w:tc>
      </w:tr>
      <w:tr w:rsidR="005D6F79" w:rsidRPr="00387415" w14:paraId="6B27120F"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4D020AC5" w14:textId="77777777" w:rsidR="005D6F79" w:rsidRPr="00387415" w:rsidRDefault="005D6F79" w:rsidP="0047333D">
            <w:pPr>
              <w:rPr>
                <w:rFonts w:ascii="Calibri" w:eastAsia="Times New Roman" w:hAnsi="Calibri"/>
                <w:noProof/>
                <w:color w:val="000000"/>
                <w:sz w:val="22"/>
                <w:szCs w:val="22"/>
                <w:lang w:val="es-ES_tradnl" w:eastAsia="en-GB"/>
              </w:rPr>
            </w:pPr>
          </w:p>
        </w:tc>
        <w:tc>
          <w:tcPr>
            <w:tcW w:w="684" w:type="dxa"/>
            <w:tcBorders>
              <w:top w:val="nil"/>
              <w:left w:val="nil"/>
              <w:bottom w:val="nil"/>
              <w:right w:val="nil"/>
            </w:tcBorders>
            <w:shd w:val="clear" w:color="auto" w:fill="auto"/>
            <w:noWrap/>
            <w:vAlign w:val="bottom"/>
          </w:tcPr>
          <w:p w14:paraId="62640D04" w14:textId="77777777" w:rsidR="005D6F79" w:rsidRPr="00387415" w:rsidRDefault="005D6F79" w:rsidP="0047333D">
            <w:pPr>
              <w:rPr>
                <w:rFonts w:ascii="Calibri" w:eastAsia="Times New Roman" w:hAnsi="Calibri"/>
                <w:noProof/>
                <w:color w:val="000000"/>
                <w:sz w:val="22"/>
                <w:szCs w:val="22"/>
                <w:lang w:val="es-ES_tradnl" w:eastAsia="en-GB"/>
              </w:rPr>
            </w:pPr>
          </w:p>
        </w:tc>
        <w:tc>
          <w:tcPr>
            <w:tcW w:w="960" w:type="dxa"/>
            <w:tcBorders>
              <w:top w:val="nil"/>
              <w:left w:val="nil"/>
              <w:bottom w:val="nil"/>
              <w:right w:val="single" w:sz="4" w:space="0" w:color="auto"/>
            </w:tcBorders>
            <w:shd w:val="clear" w:color="auto" w:fill="auto"/>
            <w:noWrap/>
            <w:vAlign w:val="bottom"/>
          </w:tcPr>
          <w:p w14:paraId="33545069" w14:textId="77777777" w:rsidR="005D6F79" w:rsidRPr="00387415" w:rsidRDefault="005D6F79" w:rsidP="0047333D">
            <w:pPr>
              <w:jc w:val="right"/>
              <w:rPr>
                <w:rFonts w:ascii="Calibri" w:eastAsia="Times New Roman" w:hAnsi="Calibri"/>
                <w:noProof/>
                <w:color w:val="000000"/>
                <w:sz w:val="22"/>
                <w:szCs w:val="22"/>
                <w:lang w:val="es-ES_tradnl" w:eastAsia="en-GB"/>
              </w:rPr>
            </w:pPr>
          </w:p>
        </w:tc>
        <w:tc>
          <w:tcPr>
            <w:tcW w:w="4074" w:type="dxa"/>
            <w:tcBorders>
              <w:top w:val="nil"/>
              <w:left w:val="nil"/>
              <w:bottom w:val="nil"/>
              <w:right w:val="single" w:sz="4" w:space="0" w:color="auto"/>
            </w:tcBorders>
            <w:shd w:val="clear" w:color="auto" w:fill="auto"/>
            <w:noWrap/>
            <w:vAlign w:val="bottom"/>
          </w:tcPr>
          <w:p w14:paraId="449D8C95" w14:textId="6FDF1D68" w:rsidR="005D6F79" w:rsidRPr="00387415" w:rsidRDefault="00E2669A"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separación</w:t>
            </w:r>
            <w:r w:rsidR="005D6F79" w:rsidRPr="00387415">
              <w:rPr>
                <w:rFonts w:ascii="Calibri" w:eastAsia="Times New Roman" w:hAnsi="Calibri"/>
                <w:noProof/>
                <w:color w:val="000000"/>
                <w:sz w:val="22"/>
                <w:szCs w:val="22"/>
                <w:lang w:val="es-ES_tradnl" w:eastAsia="en-GB"/>
              </w:rPr>
              <w:t xml:space="preserve"> </w:t>
            </w:r>
            <w:r>
              <w:rPr>
                <w:rFonts w:ascii="Calibri" w:eastAsia="Times New Roman" w:hAnsi="Calibri"/>
                <w:noProof/>
                <w:color w:val="000000"/>
                <w:sz w:val="22"/>
                <w:szCs w:val="22"/>
                <w:lang w:val="es-ES_tradnl" w:eastAsia="en-GB"/>
              </w:rPr>
              <w:t>de pe</w:t>
            </w:r>
            <w:r w:rsidR="00F11042">
              <w:rPr>
                <w:rFonts w:ascii="Calibri" w:eastAsia="Times New Roman" w:hAnsi="Calibri"/>
                <w:noProof/>
                <w:color w:val="000000"/>
                <w:sz w:val="22"/>
                <w:szCs w:val="22"/>
                <w:lang w:val="es-ES_tradnl" w:eastAsia="en-GB"/>
              </w:rPr>
              <w:t>r</w:t>
            </w:r>
            <w:r>
              <w:rPr>
                <w:rFonts w:ascii="Calibri" w:eastAsia="Times New Roman" w:hAnsi="Calibri"/>
                <w:noProof/>
                <w:color w:val="000000"/>
                <w:sz w:val="22"/>
                <w:szCs w:val="22"/>
                <w:lang w:val="es-ES_tradnl" w:eastAsia="en-GB"/>
              </w:rPr>
              <w:t xml:space="preserve">sonal </w:t>
            </w:r>
            <w:r w:rsidR="005D6F79" w:rsidRPr="00387415">
              <w:rPr>
                <w:rFonts w:ascii="Calibri" w:eastAsia="Times New Roman" w:hAnsi="Calibri"/>
                <w:noProof/>
                <w:color w:val="000000"/>
                <w:sz w:val="22"/>
                <w:szCs w:val="22"/>
                <w:lang w:val="es-ES_tradnl" w:eastAsia="en-GB"/>
              </w:rPr>
              <w:t>48k</w:t>
            </w:r>
          </w:p>
        </w:tc>
      </w:tr>
      <w:tr w:rsidR="00161CB8" w:rsidRPr="00387415" w14:paraId="0C1F29E7"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54ECB2CC"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Other</w:t>
            </w:r>
          </w:p>
        </w:tc>
        <w:tc>
          <w:tcPr>
            <w:tcW w:w="684" w:type="dxa"/>
            <w:tcBorders>
              <w:top w:val="nil"/>
              <w:left w:val="nil"/>
              <w:bottom w:val="nil"/>
              <w:right w:val="nil"/>
            </w:tcBorders>
            <w:shd w:val="clear" w:color="auto" w:fill="auto"/>
            <w:noWrap/>
            <w:vAlign w:val="bottom"/>
          </w:tcPr>
          <w:p w14:paraId="179424F0"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960" w:type="dxa"/>
            <w:tcBorders>
              <w:top w:val="nil"/>
              <w:left w:val="nil"/>
              <w:bottom w:val="single" w:sz="4" w:space="0" w:color="auto"/>
              <w:right w:val="single" w:sz="4" w:space="0" w:color="auto"/>
            </w:tcBorders>
            <w:shd w:val="clear" w:color="auto" w:fill="auto"/>
            <w:noWrap/>
            <w:vAlign w:val="bottom"/>
          </w:tcPr>
          <w:p w14:paraId="2959C316" w14:textId="77777777" w:rsidR="00161CB8" w:rsidRPr="00387415" w:rsidRDefault="00A1746A"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21</w:t>
            </w:r>
          </w:p>
        </w:tc>
        <w:tc>
          <w:tcPr>
            <w:tcW w:w="4074" w:type="dxa"/>
            <w:tcBorders>
              <w:top w:val="nil"/>
              <w:left w:val="nil"/>
              <w:bottom w:val="nil"/>
              <w:right w:val="single" w:sz="4" w:space="0" w:color="auto"/>
            </w:tcBorders>
            <w:shd w:val="clear" w:color="auto" w:fill="auto"/>
            <w:noWrap/>
            <w:vAlign w:val="bottom"/>
          </w:tcPr>
          <w:p w14:paraId="739DE9CC"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r>
      <w:tr w:rsidR="00161CB8" w:rsidRPr="000222F9" w14:paraId="4BC021D0"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229740E3" w14:textId="77777777" w:rsidR="00161CB8" w:rsidRPr="00387415" w:rsidRDefault="00161CB8" w:rsidP="0047333D">
            <w:pPr>
              <w:rPr>
                <w:rFonts w:ascii="Calibri" w:eastAsia="Times New Roman" w:hAnsi="Calibri"/>
                <w:b/>
                <w:bCs/>
                <w:i/>
                <w:iCs/>
                <w:noProof/>
                <w:color w:val="000000"/>
                <w:sz w:val="22"/>
                <w:szCs w:val="22"/>
                <w:lang w:val="es-ES_tradnl" w:eastAsia="en-GB"/>
              </w:rPr>
            </w:pPr>
            <w:r w:rsidRPr="00387415">
              <w:rPr>
                <w:rFonts w:ascii="Calibri" w:eastAsia="Times New Roman" w:hAnsi="Calibri"/>
                <w:b/>
                <w:bCs/>
                <w:i/>
                <w:iCs/>
                <w:noProof/>
                <w:color w:val="000000"/>
                <w:sz w:val="22"/>
                <w:szCs w:val="22"/>
                <w:lang w:val="es-ES_tradnl" w:eastAsia="en-GB"/>
              </w:rPr>
              <w:t>Subtotal</w:t>
            </w:r>
          </w:p>
        </w:tc>
        <w:tc>
          <w:tcPr>
            <w:tcW w:w="684" w:type="dxa"/>
            <w:tcBorders>
              <w:top w:val="nil"/>
              <w:left w:val="nil"/>
              <w:bottom w:val="nil"/>
              <w:right w:val="nil"/>
            </w:tcBorders>
            <w:shd w:val="clear" w:color="auto" w:fill="auto"/>
            <w:noWrap/>
            <w:vAlign w:val="bottom"/>
          </w:tcPr>
          <w:p w14:paraId="1FA10043" w14:textId="77777777" w:rsidR="00161CB8" w:rsidRPr="00387415" w:rsidRDefault="00161CB8" w:rsidP="0047333D">
            <w:pPr>
              <w:rPr>
                <w:rFonts w:ascii="Calibri" w:eastAsia="Times New Roman" w:hAnsi="Calibri"/>
                <w:b/>
                <w:bCs/>
                <w:i/>
                <w:iCs/>
                <w:noProof/>
                <w:color w:val="000000"/>
                <w:sz w:val="22"/>
                <w:szCs w:val="22"/>
                <w:lang w:val="es-ES_tradnl" w:eastAsia="en-GB"/>
              </w:rPr>
            </w:pPr>
            <w:r w:rsidRPr="00387415">
              <w:rPr>
                <w:rFonts w:ascii="Calibri" w:eastAsia="Times New Roman" w:hAnsi="Calibri"/>
                <w:b/>
                <w:bCs/>
                <w:i/>
                <w:iCs/>
                <w:noProof/>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tcPr>
          <w:p w14:paraId="7E93BBDD" w14:textId="77777777" w:rsidR="00161CB8" w:rsidRPr="00387415" w:rsidRDefault="005D6F79" w:rsidP="0047333D">
            <w:pPr>
              <w:jc w:val="right"/>
              <w:rPr>
                <w:rFonts w:ascii="Calibri" w:eastAsia="Times New Roman" w:hAnsi="Calibri"/>
                <w:b/>
                <w:bCs/>
                <w:i/>
                <w:iCs/>
                <w:noProof/>
                <w:color w:val="000000"/>
                <w:sz w:val="22"/>
                <w:szCs w:val="22"/>
                <w:lang w:val="es-ES_tradnl" w:eastAsia="en-GB"/>
              </w:rPr>
            </w:pPr>
            <w:r w:rsidRPr="00387415">
              <w:rPr>
                <w:rFonts w:ascii="Calibri" w:eastAsia="Times New Roman" w:hAnsi="Calibri"/>
                <w:b/>
                <w:bCs/>
                <w:i/>
                <w:iCs/>
                <w:noProof/>
                <w:color w:val="000000"/>
                <w:sz w:val="22"/>
                <w:szCs w:val="22"/>
                <w:lang w:val="es-ES_tradnl" w:eastAsia="en-GB"/>
              </w:rPr>
              <w:t>454</w:t>
            </w:r>
          </w:p>
        </w:tc>
        <w:tc>
          <w:tcPr>
            <w:tcW w:w="4074" w:type="dxa"/>
            <w:tcBorders>
              <w:top w:val="nil"/>
              <w:left w:val="nil"/>
              <w:bottom w:val="nil"/>
              <w:right w:val="single" w:sz="4" w:space="0" w:color="auto"/>
            </w:tcBorders>
            <w:shd w:val="clear" w:color="auto" w:fill="auto"/>
            <w:noWrap/>
            <w:vAlign w:val="bottom"/>
          </w:tcPr>
          <w:p w14:paraId="049B0FF7" w14:textId="1DBD5D48" w:rsidR="00161CB8" w:rsidRPr="00387415" w:rsidRDefault="00E2669A" w:rsidP="000C5A16">
            <w:pPr>
              <w:rPr>
                <w:rFonts w:ascii="Calibri" w:eastAsia="Times New Roman" w:hAnsi="Calibri"/>
                <w:i/>
                <w:iCs/>
                <w:noProof/>
                <w:color w:val="000000"/>
                <w:sz w:val="22"/>
                <w:szCs w:val="22"/>
                <w:lang w:val="es-ES_tradnl" w:eastAsia="en-GB"/>
              </w:rPr>
            </w:pPr>
            <w:r>
              <w:rPr>
                <w:rFonts w:ascii="Calibri" w:eastAsia="Times New Roman" w:hAnsi="Calibri"/>
                <w:i/>
                <w:iCs/>
                <w:noProof/>
                <w:color w:val="000000"/>
                <w:sz w:val="22"/>
                <w:szCs w:val="22"/>
                <w:lang w:val="es-ES_tradnl" w:eastAsia="en-GB"/>
              </w:rPr>
              <w:t xml:space="preserve">Excedente </w:t>
            </w:r>
            <w:r w:rsidR="000C5A16">
              <w:rPr>
                <w:rFonts w:ascii="Calibri" w:eastAsia="Times New Roman" w:hAnsi="Calibri"/>
                <w:i/>
                <w:iCs/>
                <w:noProof/>
                <w:color w:val="000000"/>
                <w:sz w:val="22"/>
                <w:szCs w:val="22"/>
                <w:lang w:val="es-ES_tradnl" w:eastAsia="en-GB"/>
              </w:rPr>
              <w:t xml:space="preserve">sin contar las </w:t>
            </w:r>
            <w:r>
              <w:rPr>
                <w:rFonts w:ascii="Calibri" w:eastAsia="Times New Roman" w:hAnsi="Calibri"/>
                <w:i/>
                <w:iCs/>
                <w:noProof/>
                <w:color w:val="000000"/>
                <w:sz w:val="22"/>
                <w:szCs w:val="22"/>
                <w:lang w:val="es-ES_tradnl" w:eastAsia="en-GB"/>
              </w:rPr>
              <w:t>provisiones</w:t>
            </w:r>
          </w:p>
        </w:tc>
      </w:tr>
      <w:tr w:rsidR="00161CB8" w:rsidRPr="000222F9" w14:paraId="158AAE8D"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24DE136A"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684" w:type="dxa"/>
            <w:tcBorders>
              <w:top w:val="nil"/>
              <w:left w:val="nil"/>
              <w:bottom w:val="nil"/>
              <w:right w:val="nil"/>
            </w:tcBorders>
            <w:shd w:val="clear" w:color="auto" w:fill="auto"/>
            <w:noWrap/>
            <w:vAlign w:val="bottom"/>
          </w:tcPr>
          <w:p w14:paraId="769B7DBB"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tcPr>
          <w:p w14:paraId="46335FED"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4074" w:type="dxa"/>
            <w:tcBorders>
              <w:top w:val="nil"/>
              <w:left w:val="nil"/>
              <w:bottom w:val="nil"/>
              <w:right w:val="single" w:sz="4" w:space="0" w:color="auto"/>
            </w:tcBorders>
            <w:shd w:val="clear" w:color="auto" w:fill="auto"/>
            <w:noWrap/>
            <w:vAlign w:val="bottom"/>
          </w:tcPr>
          <w:p w14:paraId="3BF3DDA4"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r>
      <w:tr w:rsidR="00161CB8" w:rsidRPr="00387415" w14:paraId="2285F8E4"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04572620" w14:textId="37822B95" w:rsidR="00161CB8" w:rsidRPr="00387415" w:rsidRDefault="00161CB8" w:rsidP="00F50C8D">
            <w:pPr>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KMISC, Provision</w:t>
            </w:r>
            <w:r w:rsidR="00F50C8D">
              <w:rPr>
                <w:rFonts w:ascii="Calibri" w:eastAsia="Times New Roman" w:hAnsi="Calibri"/>
                <w:b/>
                <w:bCs/>
                <w:noProof/>
                <w:color w:val="000000"/>
                <w:sz w:val="22"/>
                <w:szCs w:val="22"/>
                <w:lang w:val="es-ES_tradnl" w:eastAsia="en-GB"/>
              </w:rPr>
              <w:t xml:space="preserve">es y otros </w:t>
            </w:r>
          </w:p>
        </w:tc>
        <w:tc>
          <w:tcPr>
            <w:tcW w:w="684" w:type="dxa"/>
            <w:tcBorders>
              <w:top w:val="nil"/>
              <w:left w:val="nil"/>
              <w:bottom w:val="nil"/>
              <w:right w:val="nil"/>
            </w:tcBorders>
            <w:shd w:val="clear" w:color="auto" w:fill="auto"/>
            <w:noWrap/>
            <w:vAlign w:val="bottom"/>
          </w:tcPr>
          <w:p w14:paraId="1E5E575E"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tcPr>
          <w:p w14:paraId="244A7E67"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4074" w:type="dxa"/>
            <w:tcBorders>
              <w:top w:val="nil"/>
              <w:left w:val="nil"/>
              <w:bottom w:val="nil"/>
              <w:right w:val="single" w:sz="4" w:space="0" w:color="auto"/>
            </w:tcBorders>
            <w:shd w:val="clear" w:color="auto" w:fill="auto"/>
            <w:noWrap/>
            <w:vAlign w:val="bottom"/>
          </w:tcPr>
          <w:p w14:paraId="58DFF34F"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r>
      <w:tr w:rsidR="00161CB8" w:rsidRPr="00387415" w14:paraId="162DEBD3"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08A9F87B" w14:textId="0AB70AE5" w:rsidR="00161CB8" w:rsidRPr="00387415" w:rsidRDefault="00097E94" w:rsidP="00F11042">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xml:space="preserve"> </w:t>
            </w:r>
            <w:r w:rsidR="00F11042">
              <w:rPr>
                <w:rFonts w:ascii="Calibri" w:eastAsia="Times New Roman" w:hAnsi="Calibri"/>
                <w:noProof/>
                <w:color w:val="000000"/>
                <w:sz w:val="22"/>
                <w:szCs w:val="22"/>
                <w:lang w:val="es-ES_tradnl" w:eastAsia="en-GB"/>
              </w:rPr>
              <w:t>Importes acumulados</w:t>
            </w:r>
          </w:p>
        </w:tc>
        <w:tc>
          <w:tcPr>
            <w:tcW w:w="684" w:type="dxa"/>
            <w:tcBorders>
              <w:top w:val="nil"/>
              <w:left w:val="nil"/>
              <w:bottom w:val="nil"/>
              <w:right w:val="nil"/>
            </w:tcBorders>
            <w:shd w:val="clear" w:color="auto" w:fill="auto"/>
            <w:noWrap/>
            <w:vAlign w:val="bottom"/>
          </w:tcPr>
          <w:p w14:paraId="7BAE3C41" w14:textId="77777777" w:rsidR="00161CB8" w:rsidRPr="00387415" w:rsidRDefault="00161CB8"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w:t>
            </w:r>
            <w:r w:rsidR="005D6F79" w:rsidRPr="00387415">
              <w:rPr>
                <w:rFonts w:ascii="Calibri" w:eastAsia="Times New Roman" w:hAnsi="Calibri"/>
                <w:noProof/>
                <w:color w:val="000000"/>
                <w:sz w:val="22"/>
                <w:szCs w:val="22"/>
                <w:lang w:val="es-ES_tradnl" w:eastAsia="en-GB"/>
              </w:rPr>
              <w:t>169</w:t>
            </w:r>
            <w:r w:rsidRPr="00387415">
              <w:rPr>
                <w:rFonts w:ascii="Calibri" w:eastAsia="Times New Roman" w:hAnsi="Calibri"/>
                <w:noProof/>
                <w:color w:val="000000"/>
                <w:sz w:val="22"/>
                <w:szCs w:val="22"/>
                <w:lang w:val="es-ES_tradnl" w:eastAsia="en-GB"/>
              </w:rPr>
              <w:t>)</w:t>
            </w:r>
          </w:p>
        </w:tc>
        <w:tc>
          <w:tcPr>
            <w:tcW w:w="960" w:type="dxa"/>
            <w:tcBorders>
              <w:top w:val="nil"/>
              <w:left w:val="nil"/>
              <w:bottom w:val="nil"/>
              <w:right w:val="single" w:sz="4" w:space="0" w:color="auto"/>
            </w:tcBorders>
            <w:shd w:val="clear" w:color="auto" w:fill="auto"/>
            <w:noWrap/>
            <w:vAlign w:val="bottom"/>
          </w:tcPr>
          <w:p w14:paraId="664A84F1"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4074" w:type="dxa"/>
            <w:tcBorders>
              <w:top w:val="nil"/>
              <w:left w:val="nil"/>
              <w:bottom w:val="nil"/>
              <w:right w:val="single" w:sz="4" w:space="0" w:color="auto"/>
            </w:tcBorders>
            <w:shd w:val="clear" w:color="auto" w:fill="auto"/>
            <w:noWrap/>
            <w:vAlign w:val="bottom"/>
          </w:tcPr>
          <w:p w14:paraId="53DB1127"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r>
      <w:tr w:rsidR="00161CB8" w:rsidRPr="00387415" w14:paraId="074392DD"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7ABCAB48" w14:textId="63D8C5C5" w:rsidR="00161CB8" w:rsidRPr="00387415" w:rsidRDefault="00097E94" w:rsidP="00F50C8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xml:space="preserve"> </w:t>
            </w:r>
            <w:r w:rsidR="00A1746A" w:rsidRPr="00387415">
              <w:rPr>
                <w:rFonts w:ascii="Calibri" w:eastAsia="Times New Roman" w:hAnsi="Calibri"/>
                <w:noProof/>
                <w:color w:val="000000"/>
                <w:sz w:val="22"/>
                <w:szCs w:val="22"/>
                <w:lang w:val="es-ES_tradnl" w:eastAsia="en-GB"/>
              </w:rPr>
              <w:t>Provision</w:t>
            </w:r>
            <w:r w:rsidR="00F50C8D">
              <w:rPr>
                <w:rFonts w:ascii="Calibri" w:eastAsia="Times New Roman" w:hAnsi="Calibri"/>
                <w:noProof/>
                <w:color w:val="000000"/>
                <w:sz w:val="22"/>
                <w:szCs w:val="22"/>
                <w:lang w:val="es-ES_tradnl" w:eastAsia="en-GB"/>
              </w:rPr>
              <w:t>e</w:t>
            </w:r>
            <w:r w:rsidR="00A1746A" w:rsidRPr="00387415">
              <w:rPr>
                <w:rFonts w:ascii="Calibri" w:eastAsia="Times New Roman" w:hAnsi="Calibri"/>
                <w:noProof/>
                <w:color w:val="000000"/>
                <w:sz w:val="22"/>
                <w:szCs w:val="22"/>
                <w:lang w:val="es-ES_tradnl" w:eastAsia="en-GB"/>
              </w:rPr>
              <w:t xml:space="preserve">s </w:t>
            </w:r>
            <w:r w:rsidR="00F50C8D">
              <w:rPr>
                <w:rFonts w:ascii="Calibri" w:eastAsia="Times New Roman" w:hAnsi="Calibri"/>
                <w:noProof/>
                <w:color w:val="000000"/>
                <w:sz w:val="22"/>
                <w:szCs w:val="22"/>
                <w:lang w:val="es-ES_tradnl" w:eastAsia="en-GB"/>
              </w:rPr>
              <w:t>y pérdidas cambiarias</w:t>
            </w:r>
          </w:p>
        </w:tc>
        <w:tc>
          <w:tcPr>
            <w:tcW w:w="684" w:type="dxa"/>
            <w:tcBorders>
              <w:top w:val="nil"/>
              <w:left w:val="nil"/>
              <w:right w:val="nil"/>
            </w:tcBorders>
            <w:shd w:val="clear" w:color="auto" w:fill="auto"/>
            <w:noWrap/>
            <w:vAlign w:val="bottom"/>
          </w:tcPr>
          <w:p w14:paraId="3303DAC0" w14:textId="77777777" w:rsidR="00161CB8" w:rsidRPr="00387415" w:rsidRDefault="00A1746A"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xml:space="preserve">24 </w:t>
            </w:r>
          </w:p>
        </w:tc>
        <w:tc>
          <w:tcPr>
            <w:tcW w:w="960" w:type="dxa"/>
            <w:tcBorders>
              <w:top w:val="nil"/>
              <w:left w:val="nil"/>
              <w:right w:val="single" w:sz="4" w:space="0" w:color="auto"/>
            </w:tcBorders>
            <w:shd w:val="clear" w:color="auto" w:fill="auto"/>
            <w:noWrap/>
            <w:vAlign w:val="bottom"/>
          </w:tcPr>
          <w:p w14:paraId="35EBB950"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4074" w:type="dxa"/>
            <w:tcBorders>
              <w:top w:val="nil"/>
              <w:left w:val="nil"/>
              <w:bottom w:val="nil"/>
              <w:right w:val="single" w:sz="4" w:space="0" w:color="auto"/>
            </w:tcBorders>
            <w:shd w:val="clear" w:color="auto" w:fill="auto"/>
            <w:noWrap/>
            <w:vAlign w:val="bottom"/>
          </w:tcPr>
          <w:p w14:paraId="2F31096E"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r>
      <w:tr w:rsidR="00161CB8" w:rsidRPr="00387415" w14:paraId="069F1CB6"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4665C9DA" w14:textId="10E6ADA7" w:rsidR="00161CB8" w:rsidRPr="00387415" w:rsidRDefault="00097E94" w:rsidP="00F50C8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xml:space="preserve"> </w:t>
            </w:r>
            <w:r w:rsidR="00F50C8D">
              <w:rPr>
                <w:rFonts w:ascii="Calibri" w:eastAsia="Times New Roman" w:hAnsi="Calibri"/>
                <w:noProof/>
                <w:color w:val="000000"/>
                <w:sz w:val="22"/>
                <w:szCs w:val="22"/>
                <w:lang w:val="es-ES_tradnl" w:eastAsia="en-GB"/>
              </w:rPr>
              <w:t>Servicios jurídicos y profesionales</w:t>
            </w:r>
          </w:p>
        </w:tc>
        <w:tc>
          <w:tcPr>
            <w:tcW w:w="684" w:type="dxa"/>
            <w:tcBorders>
              <w:left w:val="nil"/>
              <w:bottom w:val="single" w:sz="4" w:space="0" w:color="auto"/>
              <w:right w:val="nil"/>
            </w:tcBorders>
            <w:shd w:val="clear" w:color="auto" w:fill="auto"/>
            <w:noWrap/>
            <w:vAlign w:val="bottom"/>
          </w:tcPr>
          <w:p w14:paraId="49FD986C" w14:textId="77777777" w:rsidR="00161CB8" w:rsidRPr="00387415" w:rsidRDefault="00A1746A"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29</w:t>
            </w:r>
          </w:p>
        </w:tc>
        <w:tc>
          <w:tcPr>
            <w:tcW w:w="960" w:type="dxa"/>
            <w:tcBorders>
              <w:left w:val="nil"/>
              <w:bottom w:val="single" w:sz="4" w:space="0" w:color="auto"/>
              <w:right w:val="single" w:sz="4" w:space="0" w:color="auto"/>
            </w:tcBorders>
            <w:shd w:val="clear" w:color="auto" w:fill="auto"/>
            <w:noWrap/>
            <w:vAlign w:val="bottom"/>
          </w:tcPr>
          <w:p w14:paraId="20CD341D" w14:textId="77777777" w:rsidR="00161CB8" w:rsidRPr="00387415" w:rsidRDefault="00161CB8" w:rsidP="0047333D">
            <w:pPr>
              <w:jc w:val="right"/>
              <w:rPr>
                <w:rFonts w:ascii="Calibri" w:eastAsia="Times New Roman" w:hAnsi="Calibri"/>
                <w:noProof/>
                <w:color w:val="000000"/>
                <w:sz w:val="22"/>
                <w:szCs w:val="22"/>
                <w:lang w:val="es-ES_tradnl" w:eastAsia="en-GB"/>
              </w:rPr>
            </w:pPr>
          </w:p>
        </w:tc>
        <w:tc>
          <w:tcPr>
            <w:tcW w:w="4074" w:type="dxa"/>
            <w:tcBorders>
              <w:top w:val="nil"/>
              <w:left w:val="nil"/>
              <w:bottom w:val="nil"/>
              <w:right w:val="single" w:sz="4" w:space="0" w:color="auto"/>
            </w:tcBorders>
            <w:shd w:val="clear" w:color="auto" w:fill="auto"/>
            <w:noWrap/>
            <w:vAlign w:val="bottom"/>
          </w:tcPr>
          <w:p w14:paraId="7B54FDF2"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r>
      <w:tr w:rsidR="00161CB8" w:rsidRPr="00387415" w14:paraId="3CC66524" w14:textId="77777777" w:rsidTr="00A43173">
        <w:trPr>
          <w:trHeight w:val="288"/>
        </w:trPr>
        <w:tc>
          <w:tcPr>
            <w:tcW w:w="3407" w:type="dxa"/>
            <w:tcBorders>
              <w:top w:val="nil"/>
              <w:left w:val="single" w:sz="4" w:space="0" w:color="auto"/>
              <w:bottom w:val="nil"/>
              <w:right w:val="single" w:sz="4" w:space="0" w:color="auto"/>
            </w:tcBorders>
            <w:shd w:val="clear" w:color="auto" w:fill="auto"/>
            <w:noWrap/>
            <w:vAlign w:val="bottom"/>
          </w:tcPr>
          <w:p w14:paraId="211D25E5"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r w:rsidRPr="00387415">
              <w:rPr>
                <w:rFonts w:ascii="Calibri" w:eastAsia="Times New Roman" w:hAnsi="Calibri"/>
                <w:b/>
                <w:bCs/>
                <w:i/>
                <w:iCs/>
                <w:noProof/>
                <w:color w:val="000000"/>
                <w:sz w:val="22"/>
                <w:szCs w:val="22"/>
                <w:lang w:val="es-ES_tradnl" w:eastAsia="en-GB"/>
              </w:rPr>
              <w:t>Subtotal</w:t>
            </w:r>
          </w:p>
        </w:tc>
        <w:tc>
          <w:tcPr>
            <w:tcW w:w="684" w:type="dxa"/>
            <w:tcBorders>
              <w:top w:val="nil"/>
              <w:left w:val="nil"/>
              <w:bottom w:val="nil"/>
              <w:right w:val="nil"/>
            </w:tcBorders>
            <w:shd w:val="clear" w:color="auto" w:fill="auto"/>
            <w:noWrap/>
            <w:vAlign w:val="bottom"/>
          </w:tcPr>
          <w:p w14:paraId="7643895F" w14:textId="77777777" w:rsidR="00161CB8" w:rsidRPr="00387415" w:rsidRDefault="00161CB8"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tcPr>
          <w:p w14:paraId="17F9F0C8" w14:textId="77777777" w:rsidR="00161CB8" w:rsidRPr="00387415" w:rsidRDefault="00161CB8" w:rsidP="0047333D">
            <w:pPr>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r w:rsidR="00A1746A" w:rsidRPr="00387415">
              <w:rPr>
                <w:rFonts w:ascii="Calibri" w:eastAsia="Times New Roman" w:hAnsi="Calibri"/>
                <w:noProof/>
                <w:color w:val="000000"/>
                <w:sz w:val="22"/>
                <w:szCs w:val="22"/>
                <w:lang w:val="es-ES_tradnl" w:eastAsia="en-GB"/>
              </w:rPr>
              <w:t>116</w:t>
            </w:r>
            <w:r w:rsidRPr="00387415">
              <w:rPr>
                <w:rFonts w:ascii="Calibri" w:eastAsia="Times New Roman" w:hAnsi="Calibri"/>
                <w:noProof/>
                <w:color w:val="000000"/>
                <w:sz w:val="22"/>
                <w:szCs w:val="22"/>
                <w:lang w:val="es-ES_tradnl" w:eastAsia="en-GB"/>
              </w:rPr>
              <w:t>)</w:t>
            </w:r>
          </w:p>
        </w:tc>
        <w:tc>
          <w:tcPr>
            <w:tcW w:w="4074" w:type="dxa"/>
            <w:tcBorders>
              <w:top w:val="nil"/>
              <w:left w:val="nil"/>
              <w:bottom w:val="nil"/>
              <w:right w:val="single" w:sz="4" w:space="0" w:color="auto"/>
            </w:tcBorders>
            <w:shd w:val="clear" w:color="auto" w:fill="auto"/>
            <w:noWrap/>
            <w:vAlign w:val="bottom"/>
          </w:tcPr>
          <w:p w14:paraId="6A96F874" w14:textId="7D37E734" w:rsidR="00161CB8" w:rsidRPr="00387415" w:rsidRDefault="00161CB8" w:rsidP="00E2669A">
            <w:pPr>
              <w:rPr>
                <w:rFonts w:ascii="Calibri" w:eastAsia="Times New Roman" w:hAnsi="Calibri"/>
                <w: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r w:rsidRPr="00387415">
              <w:rPr>
                <w:rFonts w:ascii="Calibri" w:eastAsia="Times New Roman" w:hAnsi="Calibri"/>
                <w:i/>
                <w:noProof/>
                <w:color w:val="000000"/>
                <w:sz w:val="22"/>
                <w:szCs w:val="22"/>
                <w:lang w:val="es-ES_tradnl" w:eastAsia="en-GB"/>
              </w:rPr>
              <w:t>Provision</w:t>
            </w:r>
            <w:r w:rsidR="00E2669A">
              <w:rPr>
                <w:rFonts w:ascii="Calibri" w:eastAsia="Times New Roman" w:hAnsi="Calibri"/>
                <w:i/>
                <w:noProof/>
                <w:color w:val="000000"/>
                <w:sz w:val="22"/>
                <w:szCs w:val="22"/>
                <w:lang w:val="es-ES_tradnl" w:eastAsia="en-GB"/>
              </w:rPr>
              <w:t>e</w:t>
            </w:r>
            <w:r w:rsidRPr="00387415">
              <w:rPr>
                <w:rFonts w:ascii="Calibri" w:eastAsia="Times New Roman" w:hAnsi="Calibri"/>
                <w:i/>
                <w:noProof/>
                <w:color w:val="000000"/>
                <w:sz w:val="22"/>
                <w:szCs w:val="22"/>
                <w:lang w:val="es-ES_tradnl" w:eastAsia="en-GB"/>
              </w:rPr>
              <w:t xml:space="preserve">s </w:t>
            </w:r>
            <w:r w:rsidR="00E2669A">
              <w:rPr>
                <w:rFonts w:ascii="Calibri" w:eastAsia="Times New Roman" w:hAnsi="Calibri"/>
                <w:i/>
                <w:noProof/>
                <w:color w:val="000000"/>
                <w:sz w:val="22"/>
                <w:szCs w:val="22"/>
                <w:lang w:val="es-ES_tradnl" w:eastAsia="en-GB"/>
              </w:rPr>
              <w:t>y otros</w:t>
            </w:r>
          </w:p>
        </w:tc>
      </w:tr>
      <w:tr w:rsidR="00161CB8" w:rsidRPr="00387415" w14:paraId="59B7E1F3" w14:textId="77777777" w:rsidTr="00A43173">
        <w:trPr>
          <w:trHeight w:val="288"/>
        </w:trPr>
        <w:tc>
          <w:tcPr>
            <w:tcW w:w="3407" w:type="dxa"/>
            <w:tcBorders>
              <w:top w:val="nil"/>
              <w:left w:val="single" w:sz="4" w:space="0" w:color="auto"/>
              <w:bottom w:val="single" w:sz="4" w:space="0" w:color="auto"/>
              <w:right w:val="single" w:sz="4" w:space="0" w:color="auto"/>
            </w:tcBorders>
            <w:shd w:val="clear" w:color="auto" w:fill="C6D9F1" w:themeFill="text2" w:themeFillTint="33"/>
            <w:noWrap/>
            <w:vAlign w:val="bottom"/>
          </w:tcPr>
          <w:p w14:paraId="2222D83E" w14:textId="77777777" w:rsidR="00161CB8" w:rsidRPr="00387415" w:rsidRDefault="00161CB8" w:rsidP="0047333D">
            <w:pPr>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Total</w:t>
            </w:r>
          </w:p>
        </w:tc>
        <w:tc>
          <w:tcPr>
            <w:tcW w:w="684" w:type="dxa"/>
            <w:tcBorders>
              <w:top w:val="nil"/>
              <w:left w:val="nil"/>
              <w:bottom w:val="single" w:sz="4" w:space="0" w:color="auto"/>
              <w:right w:val="nil"/>
            </w:tcBorders>
            <w:shd w:val="clear" w:color="auto" w:fill="C6D9F1" w:themeFill="text2" w:themeFillTint="33"/>
            <w:noWrap/>
            <w:vAlign w:val="bottom"/>
          </w:tcPr>
          <w:p w14:paraId="2DCE84E9" w14:textId="77777777" w:rsidR="00161CB8" w:rsidRPr="00387415" w:rsidRDefault="00161CB8" w:rsidP="0047333D">
            <w:pPr>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 </w:t>
            </w:r>
          </w:p>
        </w:tc>
        <w:tc>
          <w:tcPr>
            <w:tcW w:w="960" w:type="dxa"/>
            <w:tcBorders>
              <w:top w:val="nil"/>
              <w:left w:val="nil"/>
              <w:bottom w:val="single" w:sz="4" w:space="0" w:color="auto"/>
              <w:right w:val="single" w:sz="4" w:space="0" w:color="auto"/>
            </w:tcBorders>
            <w:shd w:val="clear" w:color="auto" w:fill="C6D9F1" w:themeFill="text2" w:themeFillTint="33"/>
            <w:noWrap/>
            <w:vAlign w:val="bottom"/>
          </w:tcPr>
          <w:p w14:paraId="66CDB5EF" w14:textId="77777777" w:rsidR="00161CB8" w:rsidRPr="00387415" w:rsidRDefault="00A1746A" w:rsidP="0047333D">
            <w:pPr>
              <w:jc w:val="right"/>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338</w:t>
            </w:r>
          </w:p>
        </w:tc>
        <w:tc>
          <w:tcPr>
            <w:tcW w:w="4074" w:type="dxa"/>
            <w:tcBorders>
              <w:top w:val="nil"/>
              <w:left w:val="nil"/>
              <w:bottom w:val="single" w:sz="4" w:space="0" w:color="auto"/>
              <w:right w:val="single" w:sz="4" w:space="0" w:color="auto"/>
            </w:tcBorders>
            <w:shd w:val="clear" w:color="auto" w:fill="C6D9F1" w:themeFill="text2" w:themeFillTint="33"/>
            <w:noWrap/>
            <w:vAlign w:val="bottom"/>
          </w:tcPr>
          <w:p w14:paraId="7CC9831D" w14:textId="7DEDD457" w:rsidR="00161CB8" w:rsidRPr="00387415" w:rsidRDefault="00E2669A" w:rsidP="000C5A16">
            <w:pPr>
              <w:rPr>
                <w:rFonts w:ascii="Calibri" w:eastAsia="Times New Roman" w:hAnsi="Calibri"/>
                <w:i/>
                <w:iCs/>
                <w:noProof/>
                <w:color w:val="000000"/>
                <w:sz w:val="22"/>
                <w:szCs w:val="22"/>
                <w:lang w:val="es-ES_tradnl" w:eastAsia="en-GB"/>
              </w:rPr>
            </w:pPr>
            <w:r>
              <w:rPr>
                <w:rFonts w:ascii="Calibri" w:eastAsia="Times New Roman" w:hAnsi="Calibri"/>
                <w:i/>
                <w:iCs/>
                <w:noProof/>
                <w:color w:val="000000"/>
                <w:sz w:val="22"/>
                <w:szCs w:val="22"/>
                <w:lang w:val="es-ES_tradnl" w:eastAsia="en-GB"/>
              </w:rPr>
              <w:t xml:space="preserve">Excedente </w:t>
            </w:r>
            <w:r w:rsidR="000C5A16">
              <w:rPr>
                <w:rFonts w:ascii="Calibri" w:eastAsia="Times New Roman" w:hAnsi="Calibri"/>
                <w:i/>
                <w:iCs/>
                <w:noProof/>
                <w:color w:val="000000"/>
                <w:sz w:val="22"/>
                <w:szCs w:val="22"/>
                <w:lang w:val="es-ES_tradnl" w:eastAsia="en-GB"/>
              </w:rPr>
              <w:t>total</w:t>
            </w:r>
          </w:p>
        </w:tc>
      </w:tr>
    </w:tbl>
    <w:p w14:paraId="7E640F33" w14:textId="77777777" w:rsidR="00161CB8" w:rsidRPr="00387415" w:rsidRDefault="00161CB8" w:rsidP="0047333D">
      <w:pPr>
        <w:pStyle w:val="ListParagraph"/>
        <w:rPr>
          <w:rFonts w:ascii="Calibri" w:hAnsi="Calibri" w:cs="Calibri"/>
          <w:bCs/>
          <w:noProof/>
          <w:sz w:val="22"/>
          <w:szCs w:val="22"/>
          <w:lang w:val="es-ES_tradnl"/>
        </w:rPr>
      </w:pPr>
    </w:p>
    <w:p w14:paraId="5FA81541" w14:textId="77777777" w:rsidR="00161CB8" w:rsidRPr="00387415" w:rsidRDefault="00161CB8" w:rsidP="0047333D">
      <w:pPr>
        <w:pStyle w:val="ListParagraph"/>
        <w:rPr>
          <w:rFonts w:ascii="Calibri" w:hAnsi="Calibri" w:cs="Calibri"/>
          <w:bCs/>
          <w:noProof/>
          <w:sz w:val="22"/>
          <w:szCs w:val="22"/>
          <w:lang w:val="es-ES_tradnl"/>
        </w:rPr>
      </w:pPr>
    </w:p>
    <w:p w14:paraId="4ABC7B0D" w14:textId="4201249D" w:rsidR="00F65A34" w:rsidRPr="00586CA2" w:rsidRDefault="00F65A34" w:rsidP="00103427">
      <w:pPr>
        <w:pStyle w:val="ListParagraph"/>
        <w:numPr>
          <w:ilvl w:val="0"/>
          <w:numId w:val="26"/>
        </w:numPr>
        <w:ind w:left="426" w:hanging="426"/>
        <w:rPr>
          <w:rFonts w:ascii="Calibri" w:hAnsi="Calibri" w:cs="Calibri"/>
          <w:bCs/>
          <w:sz w:val="22"/>
          <w:szCs w:val="22"/>
          <w:lang w:val="es-ES_tradnl"/>
        </w:rPr>
      </w:pPr>
      <w:r w:rsidRPr="00586CA2">
        <w:rPr>
          <w:rFonts w:ascii="Calibri" w:hAnsi="Calibri" w:cs="Calibri"/>
          <w:bCs/>
          <w:noProof/>
          <w:sz w:val="22"/>
          <w:szCs w:val="22"/>
          <w:lang w:val="es-ES_tradnl"/>
        </w:rPr>
        <w:t xml:space="preserve">Se destacan los siguientes puntos para información del Comité Permanente: </w:t>
      </w:r>
    </w:p>
    <w:p w14:paraId="2ECB570D" w14:textId="77777777" w:rsidR="002464F2" w:rsidRPr="00387415" w:rsidRDefault="002464F2" w:rsidP="0047333D">
      <w:pPr>
        <w:pStyle w:val="ListParagraph"/>
        <w:rPr>
          <w:rFonts w:ascii="Calibri" w:hAnsi="Calibri" w:cs="Calibri"/>
          <w:bCs/>
          <w:noProof/>
          <w:sz w:val="22"/>
          <w:szCs w:val="22"/>
          <w:lang w:val="es-ES_tradnl"/>
        </w:rPr>
      </w:pPr>
    </w:p>
    <w:p w14:paraId="71DC3A33" w14:textId="27F819A6" w:rsidR="00871406" w:rsidRDefault="00F65A34" w:rsidP="00871406">
      <w:pPr>
        <w:pStyle w:val="ListParagraph"/>
        <w:numPr>
          <w:ilvl w:val="1"/>
          <w:numId w:val="26"/>
        </w:numPr>
        <w:ind w:left="851" w:hanging="425"/>
        <w:rPr>
          <w:rFonts w:ascii="Calibri" w:hAnsi="Calibri" w:cs="Calibri"/>
          <w:bCs/>
          <w:noProof/>
          <w:sz w:val="22"/>
          <w:szCs w:val="22"/>
          <w:lang w:val="es-ES_tradnl"/>
        </w:rPr>
      </w:pPr>
      <w:r>
        <w:rPr>
          <w:rFonts w:ascii="Calibri" w:hAnsi="Calibri" w:cs="Calibri"/>
          <w:bCs/>
          <w:noProof/>
          <w:sz w:val="22"/>
          <w:szCs w:val="22"/>
          <w:lang w:val="es-ES_tradnl"/>
        </w:rPr>
        <w:t>En términos generales, se cumplieron las previsiones presupuestarias respecto de los ingresos, salvo en el caso del impuesto sobre la renta</w:t>
      </w:r>
      <w:r w:rsidR="000C5A16">
        <w:rPr>
          <w:rFonts w:ascii="Calibri" w:hAnsi="Calibri" w:cs="Calibri"/>
          <w:bCs/>
          <w:noProof/>
          <w:sz w:val="22"/>
          <w:szCs w:val="22"/>
          <w:lang w:val="es-ES_tradnl"/>
        </w:rPr>
        <w:t>,</w:t>
      </w:r>
      <w:r>
        <w:rPr>
          <w:rFonts w:ascii="Calibri" w:hAnsi="Calibri" w:cs="Calibri"/>
          <w:bCs/>
          <w:noProof/>
          <w:sz w:val="22"/>
          <w:szCs w:val="22"/>
          <w:lang w:val="es-ES_tradnl"/>
        </w:rPr>
        <w:t xml:space="preserve"> que estuvo 53.000 francos suizos por d</w:t>
      </w:r>
      <w:r w:rsidR="00871406">
        <w:rPr>
          <w:rFonts w:ascii="Calibri" w:hAnsi="Calibri" w:cs="Calibri"/>
          <w:bCs/>
          <w:noProof/>
          <w:sz w:val="22"/>
          <w:szCs w:val="22"/>
          <w:lang w:val="es-ES_tradnl"/>
        </w:rPr>
        <w:t xml:space="preserve">ebajo de la cifra presupuestada, lo </w:t>
      </w:r>
      <w:r>
        <w:rPr>
          <w:rFonts w:ascii="Calibri" w:hAnsi="Calibri" w:cs="Calibri"/>
          <w:bCs/>
          <w:noProof/>
          <w:sz w:val="22"/>
          <w:szCs w:val="22"/>
          <w:lang w:val="es-ES_tradnl"/>
        </w:rPr>
        <w:t xml:space="preserve">que solo fue compensado parcialmente </w:t>
      </w:r>
      <w:r w:rsidR="00871406">
        <w:rPr>
          <w:rFonts w:ascii="Calibri" w:hAnsi="Calibri" w:cs="Calibri"/>
          <w:bCs/>
          <w:noProof/>
          <w:sz w:val="22"/>
          <w:szCs w:val="22"/>
          <w:lang w:val="es-ES_tradnl"/>
        </w:rPr>
        <w:t>por un aumento de los</w:t>
      </w:r>
      <w:r>
        <w:rPr>
          <w:rFonts w:ascii="Calibri" w:hAnsi="Calibri" w:cs="Calibri"/>
          <w:bCs/>
          <w:noProof/>
          <w:sz w:val="22"/>
          <w:szCs w:val="22"/>
          <w:lang w:val="es-ES_tradnl"/>
        </w:rPr>
        <w:t xml:space="preserve"> ingresos por intereses </w:t>
      </w:r>
      <w:r w:rsidR="00871406">
        <w:rPr>
          <w:rFonts w:ascii="Calibri" w:hAnsi="Calibri" w:cs="Calibri"/>
          <w:bCs/>
          <w:noProof/>
          <w:sz w:val="22"/>
          <w:szCs w:val="22"/>
          <w:lang w:val="es-ES_tradnl"/>
        </w:rPr>
        <w:t xml:space="preserve">de </w:t>
      </w:r>
      <w:r>
        <w:rPr>
          <w:rFonts w:ascii="Calibri" w:hAnsi="Calibri" w:cs="Calibri"/>
          <w:bCs/>
          <w:noProof/>
          <w:sz w:val="22"/>
          <w:szCs w:val="22"/>
          <w:lang w:val="es-ES_tradnl"/>
        </w:rPr>
        <w:t>23.000 francos suizos. La reducción del impuesto sobre la renta se debe a las carencias de personal durante el año.</w:t>
      </w:r>
    </w:p>
    <w:p w14:paraId="41ED5603" w14:textId="77777777" w:rsidR="00871406" w:rsidRDefault="00871406" w:rsidP="00871406">
      <w:pPr>
        <w:pStyle w:val="ListParagraph"/>
        <w:ind w:left="851"/>
        <w:rPr>
          <w:rFonts w:ascii="Calibri" w:hAnsi="Calibri" w:cs="Calibri"/>
          <w:bCs/>
          <w:noProof/>
          <w:sz w:val="22"/>
          <w:szCs w:val="22"/>
          <w:lang w:val="es-ES_tradnl"/>
        </w:rPr>
      </w:pPr>
    </w:p>
    <w:p w14:paraId="24CC25AD" w14:textId="307CFF67" w:rsidR="002D2D03" w:rsidRDefault="00871406" w:rsidP="002D2D03">
      <w:pPr>
        <w:pStyle w:val="ListParagraph"/>
        <w:numPr>
          <w:ilvl w:val="1"/>
          <w:numId w:val="26"/>
        </w:numPr>
        <w:ind w:left="851" w:hanging="425"/>
        <w:rPr>
          <w:rFonts w:ascii="Calibri" w:hAnsi="Calibri" w:cs="Calibri"/>
          <w:bCs/>
          <w:noProof/>
          <w:sz w:val="22"/>
          <w:szCs w:val="22"/>
          <w:lang w:val="es-ES_tradnl"/>
        </w:rPr>
      </w:pPr>
      <w:r w:rsidRPr="00871406">
        <w:rPr>
          <w:rFonts w:ascii="Calibri" w:hAnsi="Calibri" w:cs="Calibri"/>
          <w:bCs/>
          <w:sz w:val="22"/>
          <w:szCs w:val="22"/>
          <w:lang w:val="es-ES_tradnl"/>
        </w:rPr>
        <w:t xml:space="preserve">Los costos salariales totales </w:t>
      </w:r>
      <w:r>
        <w:rPr>
          <w:rFonts w:ascii="Calibri" w:hAnsi="Calibri" w:cs="Calibri"/>
          <w:bCs/>
          <w:sz w:val="22"/>
          <w:szCs w:val="22"/>
          <w:lang w:val="es-ES_tradnl"/>
        </w:rPr>
        <w:t>fueron inferiores en 377</w:t>
      </w:r>
      <w:r w:rsidRPr="00871406">
        <w:rPr>
          <w:rFonts w:ascii="Calibri" w:hAnsi="Calibri" w:cs="Calibri"/>
          <w:bCs/>
          <w:sz w:val="22"/>
          <w:szCs w:val="22"/>
          <w:lang w:val="es-ES_tradnl"/>
        </w:rPr>
        <w:t>.000 francos suizos a las previsiones presupuestarias (</w:t>
      </w:r>
      <w:r w:rsidR="00BD0E36">
        <w:rPr>
          <w:rFonts w:ascii="Calibri" w:hAnsi="Calibri" w:cs="Calibri"/>
          <w:bCs/>
          <w:sz w:val="22"/>
          <w:szCs w:val="22"/>
          <w:lang w:val="es-ES_tradnl"/>
        </w:rPr>
        <w:t xml:space="preserve">un </w:t>
      </w:r>
      <w:r w:rsidRPr="00871406">
        <w:rPr>
          <w:rFonts w:ascii="Calibri" w:hAnsi="Calibri" w:cs="Calibri"/>
          <w:bCs/>
          <w:sz w:val="22"/>
          <w:szCs w:val="22"/>
          <w:lang w:val="es-ES_tradnl"/>
        </w:rPr>
        <w:t>7</w:t>
      </w:r>
      <w:r w:rsidR="00BD0E36">
        <w:rPr>
          <w:rFonts w:ascii="Calibri" w:hAnsi="Calibri" w:cs="Calibri"/>
          <w:bCs/>
          <w:sz w:val="22"/>
          <w:szCs w:val="22"/>
          <w:lang w:val="es-ES_tradnl"/>
        </w:rPr>
        <w:t xml:space="preserve"> </w:t>
      </w:r>
      <w:r w:rsidRPr="00871406">
        <w:rPr>
          <w:rFonts w:ascii="Calibri" w:hAnsi="Calibri" w:cs="Calibri"/>
          <w:bCs/>
          <w:sz w:val="22"/>
          <w:szCs w:val="22"/>
          <w:lang w:val="es-ES_tradnl"/>
        </w:rPr>
        <w:t>% por debajo del presupuesto)</w:t>
      </w:r>
      <w:r w:rsidR="002D2D03">
        <w:rPr>
          <w:rFonts w:ascii="Calibri" w:hAnsi="Calibri" w:cs="Calibri"/>
          <w:bCs/>
          <w:sz w:val="22"/>
          <w:szCs w:val="22"/>
          <w:lang w:val="es-ES_tradnl"/>
        </w:rPr>
        <w:t>. Esto se debió a que los puestos vacantes tardaron en ocuparse</w:t>
      </w:r>
      <w:r>
        <w:rPr>
          <w:rFonts w:ascii="Calibri" w:hAnsi="Calibri" w:cs="Calibri"/>
          <w:bCs/>
          <w:sz w:val="22"/>
          <w:szCs w:val="22"/>
          <w:lang w:val="es-ES_tradnl"/>
        </w:rPr>
        <w:t xml:space="preserve"> (</w:t>
      </w:r>
      <w:r w:rsidR="005005AD">
        <w:rPr>
          <w:rFonts w:ascii="Calibri" w:hAnsi="Calibri" w:cs="Calibri"/>
          <w:bCs/>
          <w:sz w:val="22"/>
          <w:szCs w:val="22"/>
          <w:lang w:val="es-ES_tradnl"/>
        </w:rPr>
        <w:t>la Secretaría</w:t>
      </w:r>
      <w:r>
        <w:rPr>
          <w:rFonts w:ascii="Calibri" w:hAnsi="Calibri" w:cs="Calibri"/>
          <w:bCs/>
          <w:sz w:val="22"/>
          <w:szCs w:val="22"/>
          <w:lang w:val="es-ES_tradnl"/>
        </w:rPr>
        <w:t xml:space="preserve"> General, </w:t>
      </w:r>
      <w:r w:rsidR="005005AD">
        <w:rPr>
          <w:rFonts w:ascii="Calibri" w:hAnsi="Calibri" w:cs="Calibri"/>
          <w:bCs/>
          <w:sz w:val="22"/>
          <w:szCs w:val="22"/>
          <w:lang w:val="es-ES_tradnl"/>
        </w:rPr>
        <w:t xml:space="preserve">el </w:t>
      </w:r>
      <w:r w:rsidR="00BD0E36">
        <w:rPr>
          <w:rFonts w:ascii="Calibri" w:hAnsi="Calibri" w:cs="Calibri"/>
          <w:bCs/>
          <w:sz w:val="22"/>
          <w:szCs w:val="22"/>
          <w:lang w:val="es-ES_tradnl"/>
        </w:rPr>
        <w:t>Coordinador</w:t>
      </w:r>
      <w:r w:rsidR="005005AD">
        <w:rPr>
          <w:rFonts w:ascii="Calibri" w:hAnsi="Calibri" w:cs="Calibri"/>
          <w:bCs/>
          <w:sz w:val="22"/>
          <w:szCs w:val="22"/>
          <w:lang w:val="es-ES_tradnl"/>
        </w:rPr>
        <w:t xml:space="preserve"> de asociaciones de colaboración</w:t>
      </w:r>
      <w:r>
        <w:rPr>
          <w:rFonts w:ascii="Calibri" w:hAnsi="Calibri" w:cs="Calibri"/>
          <w:bCs/>
          <w:sz w:val="22"/>
          <w:szCs w:val="22"/>
          <w:lang w:val="es-ES_tradnl"/>
        </w:rPr>
        <w:t xml:space="preserve">, </w:t>
      </w:r>
      <w:r w:rsidR="005005AD">
        <w:rPr>
          <w:rFonts w:ascii="Calibri" w:hAnsi="Calibri" w:cs="Calibri"/>
          <w:bCs/>
          <w:sz w:val="22"/>
          <w:szCs w:val="22"/>
          <w:lang w:val="es-ES_tradnl"/>
        </w:rPr>
        <w:t xml:space="preserve">el </w:t>
      </w:r>
      <w:r w:rsidR="005914D5">
        <w:rPr>
          <w:rFonts w:ascii="Calibri" w:hAnsi="Calibri" w:cs="Calibri"/>
          <w:bCs/>
          <w:sz w:val="22"/>
          <w:szCs w:val="22"/>
          <w:lang w:val="es-ES_tradnl"/>
        </w:rPr>
        <w:t>Oficial de</w:t>
      </w:r>
      <w:r w:rsidR="005005AD">
        <w:rPr>
          <w:rFonts w:ascii="Calibri" w:hAnsi="Calibri" w:cs="Calibri"/>
          <w:bCs/>
          <w:sz w:val="22"/>
          <w:szCs w:val="22"/>
          <w:lang w:val="es-ES_tradnl"/>
        </w:rPr>
        <w:t xml:space="preserve"> comunicaciones y el </w:t>
      </w:r>
      <w:r w:rsidR="000C5A16">
        <w:rPr>
          <w:rFonts w:ascii="Calibri" w:hAnsi="Calibri" w:cs="Calibri"/>
          <w:bCs/>
          <w:sz w:val="22"/>
          <w:szCs w:val="22"/>
          <w:lang w:val="es-ES_tradnl"/>
        </w:rPr>
        <w:t>Oficial de finanzas</w:t>
      </w:r>
      <w:r>
        <w:rPr>
          <w:rFonts w:ascii="Calibri" w:hAnsi="Calibri" w:cs="Calibri"/>
          <w:bCs/>
          <w:sz w:val="22"/>
          <w:szCs w:val="22"/>
          <w:lang w:val="es-ES_tradnl"/>
        </w:rPr>
        <w:t>).</w:t>
      </w:r>
    </w:p>
    <w:p w14:paraId="6FBCB24C" w14:textId="77777777" w:rsidR="002D2D03" w:rsidRPr="002D2D03" w:rsidRDefault="002D2D03" w:rsidP="002D2D03">
      <w:pPr>
        <w:rPr>
          <w:rFonts w:ascii="Calibri" w:hAnsi="Calibri" w:cs="Calibri"/>
          <w:bCs/>
          <w:sz w:val="22"/>
          <w:szCs w:val="22"/>
          <w:lang w:val="es-ES_tradnl"/>
        </w:rPr>
      </w:pPr>
    </w:p>
    <w:p w14:paraId="06FA3222" w14:textId="06BF52E3" w:rsidR="002D2D03" w:rsidRDefault="002D2D03" w:rsidP="002D2D03">
      <w:pPr>
        <w:pStyle w:val="ListParagraph"/>
        <w:numPr>
          <w:ilvl w:val="1"/>
          <w:numId w:val="26"/>
        </w:numPr>
        <w:ind w:left="851" w:hanging="425"/>
        <w:rPr>
          <w:rFonts w:ascii="Calibri" w:hAnsi="Calibri" w:cs="Calibri"/>
          <w:bCs/>
          <w:noProof/>
          <w:sz w:val="22"/>
          <w:szCs w:val="22"/>
          <w:lang w:val="es-ES_tradnl"/>
        </w:rPr>
      </w:pPr>
      <w:r w:rsidRPr="002D2D03">
        <w:rPr>
          <w:rFonts w:ascii="Calibri" w:hAnsi="Calibri" w:cs="Calibri"/>
          <w:bCs/>
          <w:sz w:val="22"/>
          <w:szCs w:val="22"/>
          <w:lang w:val="es-ES_tradnl"/>
        </w:rPr>
        <w:t>No ha habido incrementos impuestos por la UICN por aument</w:t>
      </w:r>
      <w:r w:rsidR="00BD0E36">
        <w:rPr>
          <w:rFonts w:ascii="Calibri" w:hAnsi="Calibri" w:cs="Calibri"/>
          <w:bCs/>
          <w:sz w:val="22"/>
          <w:szCs w:val="22"/>
          <w:lang w:val="es-ES_tradnl"/>
        </w:rPr>
        <w:t>o del costo de la vida</w:t>
      </w:r>
      <w:r>
        <w:rPr>
          <w:rFonts w:ascii="Calibri" w:hAnsi="Calibri" w:cs="Calibri"/>
          <w:bCs/>
          <w:sz w:val="22"/>
          <w:szCs w:val="22"/>
          <w:lang w:val="es-ES_tradnl"/>
        </w:rPr>
        <w:t xml:space="preserve"> desde 2011.</w:t>
      </w:r>
    </w:p>
    <w:p w14:paraId="14C75031" w14:textId="77777777" w:rsidR="002D2D03" w:rsidRPr="002D2D03" w:rsidRDefault="002D2D03" w:rsidP="002D2D03">
      <w:pPr>
        <w:rPr>
          <w:rFonts w:ascii="Calibri" w:hAnsi="Calibri" w:cs="Calibri"/>
          <w:bCs/>
          <w:sz w:val="22"/>
          <w:szCs w:val="22"/>
          <w:lang w:val="es-ES_tradnl"/>
        </w:rPr>
      </w:pPr>
    </w:p>
    <w:p w14:paraId="6BF1883B" w14:textId="0FE3D4F2" w:rsidR="002D2D03" w:rsidRDefault="005A186A" w:rsidP="002D2D03">
      <w:pPr>
        <w:pStyle w:val="ListParagraph"/>
        <w:numPr>
          <w:ilvl w:val="1"/>
          <w:numId w:val="26"/>
        </w:numPr>
        <w:ind w:left="851" w:hanging="425"/>
        <w:rPr>
          <w:rFonts w:ascii="Calibri" w:hAnsi="Calibri" w:cs="Calibri"/>
          <w:bCs/>
          <w:noProof/>
          <w:sz w:val="22"/>
          <w:szCs w:val="22"/>
          <w:lang w:val="es-ES_tradnl"/>
        </w:rPr>
      </w:pPr>
      <w:r>
        <w:rPr>
          <w:rFonts w:ascii="Calibri" w:hAnsi="Calibri" w:cs="Calibri"/>
          <w:bCs/>
          <w:sz w:val="22"/>
          <w:szCs w:val="22"/>
          <w:lang w:val="es-ES_tradnl"/>
        </w:rPr>
        <w:t xml:space="preserve">La partida presupuestaria </w:t>
      </w:r>
      <w:r w:rsidR="002D2D03">
        <w:rPr>
          <w:rFonts w:ascii="Calibri" w:hAnsi="Calibri" w:cs="Calibri"/>
          <w:bCs/>
          <w:sz w:val="22"/>
          <w:szCs w:val="22"/>
          <w:lang w:val="es-ES_tradnl"/>
        </w:rPr>
        <w:t>K.MISC, Provisiones y o</w:t>
      </w:r>
      <w:r w:rsidR="002D2D03" w:rsidRPr="002D2D03">
        <w:rPr>
          <w:rFonts w:ascii="Calibri" w:hAnsi="Calibri" w:cs="Calibri"/>
          <w:bCs/>
          <w:sz w:val="22"/>
          <w:szCs w:val="22"/>
          <w:lang w:val="es-ES_tradnl"/>
        </w:rPr>
        <w:t>tros</w:t>
      </w:r>
      <w:r>
        <w:rPr>
          <w:rFonts w:ascii="Calibri" w:hAnsi="Calibri" w:cs="Calibri"/>
          <w:bCs/>
          <w:sz w:val="22"/>
          <w:szCs w:val="22"/>
          <w:lang w:val="es-ES_tradnl"/>
        </w:rPr>
        <w:t>,</w:t>
      </w:r>
      <w:r w:rsidR="002D2D03" w:rsidRPr="002D2D03">
        <w:rPr>
          <w:rFonts w:ascii="Calibri" w:hAnsi="Calibri" w:cs="Calibri"/>
          <w:bCs/>
          <w:sz w:val="22"/>
          <w:szCs w:val="22"/>
          <w:lang w:val="es-ES_tradnl"/>
        </w:rPr>
        <w:t xml:space="preserve"> </w:t>
      </w:r>
      <w:r>
        <w:rPr>
          <w:rFonts w:ascii="Calibri" w:hAnsi="Calibri" w:cs="Calibri"/>
          <w:bCs/>
          <w:sz w:val="22"/>
          <w:szCs w:val="22"/>
          <w:lang w:val="es-ES_tradnl"/>
        </w:rPr>
        <w:t>excedió</w:t>
      </w:r>
      <w:r w:rsidR="002D2D03">
        <w:rPr>
          <w:rFonts w:ascii="Calibri" w:hAnsi="Calibri" w:cs="Calibri"/>
          <w:bCs/>
          <w:sz w:val="22"/>
          <w:szCs w:val="22"/>
          <w:lang w:val="es-ES_tradnl"/>
        </w:rPr>
        <w:t xml:space="preserve"> las previsiones presupuestarias</w:t>
      </w:r>
      <w:r w:rsidR="002D2D03" w:rsidRPr="002D2D03">
        <w:rPr>
          <w:rFonts w:ascii="Calibri" w:hAnsi="Calibri" w:cs="Calibri"/>
          <w:bCs/>
          <w:sz w:val="22"/>
          <w:szCs w:val="22"/>
          <w:lang w:val="es-ES_tradnl"/>
        </w:rPr>
        <w:t xml:space="preserve">, </w:t>
      </w:r>
      <w:r>
        <w:rPr>
          <w:rFonts w:ascii="Calibri" w:hAnsi="Calibri" w:cs="Calibri"/>
          <w:bCs/>
          <w:sz w:val="22"/>
          <w:szCs w:val="22"/>
          <w:lang w:val="es-ES_tradnl"/>
        </w:rPr>
        <w:t>sobre todo</w:t>
      </w:r>
      <w:r w:rsidR="002D2D03" w:rsidRPr="002D2D03">
        <w:rPr>
          <w:rFonts w:ascii="Calibri" w:hAnsi="Calibri" w:cs="Calibri"/>
          <w:bCs/>
          <w:sz w:val="22"/>
          <w:szCs w:val="22"/>
          <w:lang w:val="es-ES_tradnl"/>
        </w:rPr>
        <w:t xml:space="preserve"> como </w:t>
      </w:r>
      <w:r>
        <w:rPr>
          <w:rFonts w:ascii="Calibri" w:hAnsi="Calibri" w:cs="Calibri"/>
          <w:bCs/>
          <w:sz w:val="22"/>
          <w:szCs w:val="22"/>
          <w:lang w:val="es-ES_tradnl"/>
        </w:rPr>
        <w:t>consecuencia</w:t>
      </w:r>
      <w:r w:rsidR="002D2D03" w:rsidRPr="002D2D03">
        <w:rPr>
          <w:rFonts w:ascii="Calibri" w:hAnsi="Calibri" w:cs="Calibri"/>
          <w:bCs/>
          <w:sz w:val="22"/>
          <w:szCs w:val="22"/>
          <w:lang w:val="es-ES_tradnl"/>
        </w:rPr>
        <w:t xml:space="preserve"> </w:t>
      </w:r>
      <w:r>
        <w:rPr>
          <w:rFonts w:ascii="Calibri" w:hAnsi="Calibri" w:cs="Calibri"/>
          <w:bCs/>
          <w:sz w:val="22"/>
          <w:szCs w:val="22"/>
          <w:lang w:val="es-ES_tradnl"/>
        </w:rPr>
        <w:t>de los importes acumulados preliminares</w:t>
      </w:r>
      <w:r w:rsidR="002D2D03" w:rsidRPr="002D2D03">
        <w:rPr>
          <w:rFonts w:ascii="Calibri" w:hAnsi="Calibri" w:cs="Calibri"/>
          <w:bCs/>
          <w:sz w:val="22"/>
          <w:szCs w:val="22"/>
          <w:lang w:val="es-ES_tradnl"/>
        </w:rPr>
        <w:t xml:space="preserve"> </w:t>
      </w:r>
      <w:r>
        <w:rPr>
          <w:rFonts w:ascii="Calibri" w:hAnsi="Calibri" w:cs="Calibri"/>
          <w:bCs/>
          <w:sz w:val="22"/>
          <w:szCs w:val="22"/>
          <w:lang w:val="es-ES_tradnl"/>
        </w:rPr>
        <w:t xml:space="preserve">por un total de </w:t>
      </w:r>
      <w:r w:rsidR="002D2D03" w:rsidRPr="002D2D03">
        <w:rPr>
          <w:rFonts w:ascii="Calibri" w:hAnsi="Calibri" w:cs="Calibri"/>
          <w:bCs/>
          <w:sz w:val="22"/>
          <w:szCs w:val="22"/>
          <w:lang w:val="es-ES_tradnl"/>
        </w:rPr>
        <w:t>169.000</w:t>
      </w:r>
      <w:r>
        <w:rPr>
          <w:rFonts w:ascii="Calibri" w:hAnsi="Calibri" w:cs="Calibri"/>
          <w:bCs/>
          <w:sz w:val="22"/>
          <w:szCs w:val="22"/>
          <w:lang w:val="es-ES_tradnl"/>
        </w:rPr>
        <w:t xml:space="preserve"> francos suizos. Estos importes</w:t>
      </w:r>
      <w:r w:rsidR="008A1083">
        <w:rPr>
          <w:rFonts w:ascii="Calibri" w:hAnsi="Calibri" w:cs="Calibri"/>
          <w:bCs/>
          <w:sz w:val="22"/>
          <w:szCs w:val="22"/>
          <w:lang w:val="es-ES_tradnl"/>
        </w:rPr>
        <w:t xml:space="preserve"> acumulados se están </w:t>
      </w:r>
      <w:r w:rsidR="007E164A">
        <w:rPr>
          <w:rFonts w:ascii="Calibri" w:hAnsi="Calibri" w:cs="Calibri"/>
          <w:bCs/>
          <w:sz w:val="22"/>
          <w:szCs w:val="22"/>
          <w:lang w:val="es-ES_tradnl"/>
        </w:rPr>
        <w:t>estudiando</w:t>
      </w:r>
      <w:r w:rsidR="002D2D03" w:rsidRPr="002D2D03">
        <w:rPr>
          <w:rFonts w:ascii="Calibri" w:hAnsi="Calibri" w:cs="Calibri"/>
          <w:bCs/>
          <w:sz w:val="22"/>
          <w:szCs w:val="22"/>
          <w:lang w:val="es-ES_tradnl"/>
        </w:rPr>
        <w:t xml:space="preserve"> para identificar las </w:t>
      </w:r>
      <w:r>
        <w:rPr>
          <w:rFonts w:ascii="Calibri" w:hAnsi="Calibri" w:cs="Calibri"/>
          <w:bCs/>
          <w:sz w:val="22"/>
          <w:szCs w:val="22"/>
          <w:lang w:val="es-ES_tradnl"/>
        </w:rPr>
        <w:t>partidas</w:t>
      </w:r>
      <w:r w:rsidR="002D2D03" w:rsidRPr="002D2D03">
        <w:rPr>
          <w:rFonts w:ascii="Calibri" w:hAnsi="Calibri" w:cs="Calibri"/>
          <w:bCs/>
          <w:sz w:val="22"/>
          <w:szCs w:val="22"/>
          <w:lang w:val="es-ES_tradnl"/>
        </w:rPr>
        <w:t xml:space="preserve"> presupuestarias </w:t>
      </w:r>
      <w:r>
        <w:rPr>
          <w:rFonts w:ascii="Calibri" w:hAnsi="Calibri" w:cs="Calibri"/>
          <w:bCs/>
          <w:sz w:val="22"/>
          <w:szCs w:val="22"/>
          <w:lang w:val="es-ES_tradnl"/>
        </w:rPr>
        <w:t xml:space="preserve">a las </w:t>
      </w:r>
      <w:r w:rsidR="002D2D03" w:rsidRPr="002D2D03">
        <w:rPr>
          <w:rFonts w:ascii="Calibri" w:hAnsi="Calibri" w:cs="Calibri"/>
          <w:bCs/>
          <w:sz w:val="22"/>
          <w:szCs w:val="22"/>
          <w:lang w:val="es-ES_tradnl"/>
        </w:rPr>
        <w:t xml:space="preserve">que deben cargarse y </w:t>
      </w:r>
      <w:r>
        <w:rPr>
          <w:rFonts w:ascii="Calibri" w:hAnsi="Calibri" w:cs="Calibri"/>
          <w:bCs/>
          <w:sz w:val="22"/>
          <w:szCs w:val="22"/>
          <w:lang w:val="es-ES_tradnl"/>
        </w:rPr>
        <w:t xml:space="preserve">para </w:t>
      </w:r>
      <w:r w:rsidR="002D2D03" w:rsidRPr="002D2D03">
        <w:rPr>
          <w:rFonts w:ascii="Calibri" w:hAnsi="Calibri" w:cs="Calibri"/>
          <w:bCs/>
          <w:sz w:val="22"/>
          <w:szCs w:val="22"/>
          <w:lang w:val="es-ES_tradnl"/>
        </w:rPr>
        <w:t>confirmar el monto total.</w:t>
      </w:r>
    </w:p>
    <w:p w14:paraId="77C75626" w14:textId="77777777" w:rsidR="008A1083" w:rsidRPr="008A1083" w:rsidRDefault="008A1083" w:rsidP="008A1083">
      <w:pPr>
        <w:rPr>
          <w:rFonts w:ascii="Calibri" w:hAnsi="Calibri" w:cs="Calibri"/>
          <w:bCs/>
          <w:noProof/>
          <w:sz w:val="22"/>
          <w:szCs w:val="22"/>
          <w:lang w:val="es-ES_tradnl"/>
        </w:rPr>
      </w:pPr>
    </w:p>
    <w:p w14:paraId="036FEC42" w14:textId="321E2212" w:rsidR="008A1083" w:rsidRPr="002D2D03" w:rsidRDefault="008A1083" w:rsidP="002D2D03">
      <w:pPr>
        <w:pStyle w:val="ListParagraph"/>
        <w:numPr>
          <w:ilvl w:val="1"/>
          <w:numId w:val="26"/>
        </w:numPr>
        <w:ind w:left="851" w:hanging="425"/>
        <w:rPr>
          <w:rFonts w:ascii="Calibri" w:hAnsi="Calibri" w:cs="Calibri"/>
          <w:bCs/>
          <w:noProof/>
          <w:sz w:val="22"/>
          <w:szCs w:val="22"/>
          <w:lang w:val="es-ES_tradnl"/>
        </w:rPr>
      </w:pPr>
      <w:r>
        <w:rPr>
          <w:rFonts w:ascii="Calibri" w:hAnsi="Calibri" w:cs="Calibri"/>
          <w:bCs/>
          <w:noProof/>
          <w:sz w:val="22"/>
          <w:szCs w:val="22"/>
          <w:lang w:val="es-ES_tradnl"/>
        </w:rPr>
        <w:t xml:space="preserve">Se hicieron asignaciones de 277.000 francos suizos del presupuesto básico a </w:t>
      </w:r>
      <w:r w:rsidR="000E7B24">
        <w:rPr>
          <w:rFonts w:ascii="Calibri" w:hAnsi="Calibri" w:cs="Calibri"/>
          <w:bCs/>
          <w:noProof/>
          <w:sz w:val="22"/>
          <w:szCs w:val="22"/>
          <w:lang w:val="es-ES_tradnl"/>
        </w:rPr>
        <w:t>proyectos</w:t>
      </w:r>
      <w:r w:rsidR="000E7B24" w:rsidRPr="00930868">
        <w:rPr>
          <w:rFonts w:ascii="Calibri" w:hAnsi="Calibri" w:cs="Calibri"/>
          <w:bCs/>
          <w:noProof/>
          <w:sz w:val="22"/>
          <w:szCs w:val="22"/>
          <w:lang w:val="es-ES_tradnl"/>
        </w:rPr>
        <w:t xml:space="preserve"> no</w:t>
      </w:r>
      <w:r w:rsidR="000E7B24">
        <w:rPr>
          <w:rFonts w:ascii="Calibri" w:hAnsi="Calibri" w:cs="Calibri"/>
          <w:bCs/>
          <w:noProof/>
          <w:sz w:val="22"/>
          <w:szCs w:val="22"/>
          <w:lang w:val="es-ES_tradnl"/>
        </w:rPr>
        <w:t xml:space="preserve"> financiados del presupuesto básico </w:t>
      </w:r>
      <w:r>
        <w:rPr>
          <w:rFonts w:ascii="Calibri" w:hAnsi="Calibri" w:cs="Calibri"/>
          <w:bCs/>
          <w:noProof/>
          <w:sz w:val="22"/>
          <w:szCs w:val="22"/>
          <w:lang w:val="es-ES_tradnl"/>
        </w:rPr>
        <w:t xml:space="preserve">relacionados con las iniciativas regionales de Ramsar, el SISR y </w:t>
      </w:r>
      <w:r w:rsidR="004648E3">
        <w:rPr>
          <w:rFonts w:ascii="Calibri" w:hAnsi="Calibri" w:cs="Calibri"/>
          <w:bCs/>
          <w:noProof/>
          <w:sz w:val="22"/>
          <w:szCs w:val="22"/>
          <w:lang w:val="es-ES_tradnl"/>
        </w:rPr>
        <w:t>renovación del sitio web</w:t>
      </w:r>
      <w:r>
        <w:rPr>
          <w:rFonts w:ascii="Calibri" w:hAnsi="Calibri" w:cs="Calibri"/>
          <w:bCs/>
          <w:noProof/>
          <w:sz w:val="22"/>
          <w:szCs w:val="22"/>
          <w:lang w:val="es-ES_tradnl"/>
        </w:rPr>
        <w:t xml:space="preserve"> y la ejecución del GECT. Estas transferencias se llevaron a cabo durante los últimos años sin la presentación de informes claros. En su informe de octubre de 2016 al Equipo Ejecutivo, la Secretaria General incluyó la necesidad de revisar esta práctica. Las asignaciones totales para 2014 y 2015 se contemplan en la partida “Transferencia entre el presupuesto básico y los proyectos” de los estados de resultados auditados.</w:t>
      </w:r>
      <w:r w:rsidR="003506A5">
        <w:rPr>
          <w:rFonts w:ascii="Calibri" w:hAnsi="Calibri" w:cs="Calibri"/>
          <w:bCs/>
          <w:noProof/>
          <w:sz w:val="22"/>
          <w:szCs w:val="22"/>
          <w:lang w:val="es-ES_tradnl"/>
        </w:rPr>
        <w:t xml:space="preserve"> En el Cuadro 2 se resumen las asignaciones del presupuesto básico entre 2014 y 2016. Un nuevo enfoque propuesto se describe más adelante en el párrafo 12.</w:t>
      </w:r>
    </w:p>
    <w:p w14:paraId="253CA749" w14:textId="77777777" w:rsidR="002464F2" w:rsidRPr="008A1083" w:rsidRDefault="002464F2" w:rsidP="008A1083">
      <w:pPr>
        <w:rPr>
          <w:rFonts w:ascii="Calibri" w:hAnsi="Calibri" w:cs="Calibri"/>
          <w:bCs/>
          <w:noProof/>
          <w:sz w:val="22"/>
          <w:szCs w:val="22"/>
          <w:lang w:val="es-ES_tradnl"/>
        </w:rPr>
      </w:pPr>
    </w:p>
    <w:p w14:paraId="490DC8C8" w14:textId="77777777" w:rsidR="004648E3" w:rsidRDefault="004648E3" w:rsidP="0047333D">
      <w:pPr>
        <w:rPr>
          <w:rFonts w:ascii="Calibri" w:hAnsi="Calibri" w:cs="Calibri"/>
          <w:i/>
          <w:noProof/>
          <w:sz w:val="22"/>
          <w:szCs w:val="22"/>
          <w:lang w:val="es-ES_tradnl"/>
        </w:rPr>
      </w:pPr>
    </w:p>
    <w:p w14:paraId="328AF442" w14:textId="272767D6" w:rsidR="007E7929" w:rsidRPr="000E7B24" w:rsidRDefault="003506A5" w:rsidP="0047333D">
      <w:pPr>
        <w:rPr>
          <w:rFonts w:ascii="Calibri" w:hAnsi="Calibri" w:cs="Calibri"/>
          <w:i/>
          <w:noProof/>
          <w:sz w:val="22"/>
          <w:szCs w:val="22"/>
          <w:lang w:val="es-ES_tradnl"/>
        </w:rPr>
      </w:pPr>
      <w:r w:rsidRPr="000E7B24">
        <w:rPr>
          <w:rFonts w:ascii="Calibri" w:hAnsi="Calibri" w:cs="Calibri"/>
          <w:i/>
          <w:noProof/>
          <w:sz w:val="22"/>
          <w:szCs w:val="22"/>
          <w:lang w:val="es-ES_tradnl"/>
        </w:rPr>
        <w:t xml:space="preserve">Cuadro 2: Asignaciones del presupuesto básico a </w:t>
      </w:r>
      <w:r w:rsidR="000E7B24" w:rsidRPr="000E7B24">
        <w:rPr>
          <w:rFonts w:ascii="Calibri" w:hAnsi="Calibri" w:cs="Calibri"/>
          <w:bCs/>
          <w:i/>
          <w:noProof/>
          <w:sz w:val="22"/>
          <w:szCs w:val="22"/>
          <w:lang w:val="es-ES_tradnl"/>
        </w:rPr>
        <w:t>proyectos no financiados del presupuesto básico</w:t>
      </w:r>
      <w:r w:rsidR="000E7B24" w:rsidRPr="000E7B24">
        <w:rPr>
          <w:rFonts w:ascii="Calibri" w:hAnsi="Calibri" w:cs="Calibri"/>
          <w:i/>
          <w:noProof/>
          <w:sz w:val="22"/>
          <w:szCs w:val="22"/>
          <w:lang w:val="es-ES_tradnl"/>
        </w:rPr>
        <w:t xml:space="preserve"> </w:t>
      </w:r>
      <w:r w:rsidRPr="000E7B24">
        <w:rPr>
          <w:rFonts w:ascii="Calibri" w:hAnsi="Calibri" w:cs="Calibri"/>
          <w:i/>
          <w:noProof/>
          <w:sz w:val="22"/>
          <w:szCs w:val="22"/>
          <w:lang w:val="es-ES_tradnl"/>
        </w:rPr>
        <w:t>entre 2014 y 2016 (en miles de francos suizos, con posibles errores por redondeo)</w:t>
      </w:r>
    </w:p>
    <w:p w14:paraId="242A7B8E" w14:textId="77777777" w:rsidR="00F906AD" w:rsidRPr="00387415" w:rsidRDefault="00F906AD" w:rsidP="0047333D">
      <w:pPr>
        <w:rPr>
          <w:rFonts w:ascii="Calibri" w:hAnsi="Calibri"/>
          <w:b/>
          <w:noProof/>
          <w:sz w:val="22"/>
          <w:szCs w:val="22"/>
          <w:lang w:val="es-ES_tradnl"/>
        </w:rPr>
      </w:pPr>
    </w:p>
    <w:tbl>
      <w:tblPr>
        <w:tblW w:w="6961" w:type="dxa"/>
        <w:tblInd w:w="93" w:type="dxa"/>
        <w:tblLayout w:type="fixed"/>
        <w:tblLook w:val="04A0" w:firstRow="1" w:lastRow="0" w:firstColumn="1" w:lastColumn="0" w:noHBand="0" w:noVBand="1"/>
      </w:tblPr>
      <w:tblGrid>
        <w:gridCol w:w="3276"/>
        <w:gridCol w:w="1275"/>
        <w:gridCol w:w="1134"/>
        <w:gridCol w:w="1276"/>
      </w:tblGrid>
      <w:tr w:rsidR="009A4030" w:rsidRPr="00387415" w14:paraId="3BB5ABAE" w14:textId="77777777" w:rsidTr="00513AB1">
        <w:trPr>
          <w:trHeight w:val="288"/>
        </w:trPr>
        <w:tc>
          <w:tcPr>
            <w:tcW w:w="3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D2C8B6" w14:textId="0A0B6DBE" w:rsidR="009A4030" w:rsidRPr="00387415" w:rsidRDefault="00AE23C1" w:rsidP="0047333D">
            <w:pPr>
              <w:rPr>
                <w:rFonts w:ascii="Calibri" w:eastAsia="Times New Roman" w:hAnsi="Calibri"/>
                <w:b/>
                <w:bCs/>
                <w:noProof/>
                <w:color w:val="000000"/>
                <w:sz w:val="22"/>
                <w:szCs w:val="22"/>
                <w:lang w:val="es-ES_tradnl" w:eastAsia="en-GB"/>
              </w:rPr>
            </w:pPr>
            <w:r>
              <w:rPr>
                <w:rFonts w:ascii="Calibri" w:eastAsia="Times New Roman" w:hAnsi="Calibri"/>
                <w:b/>
                <w:bCs/>
                <w:noProof/>
                <w:color w:val="000000"/>
                <w:sz w:val="22"/>
                <w:szCs w:val="22"/>
                <w:lang w:val="es-ES_tradnl" w:eastAsia="en-GB"/>
              </w:rPr>
              <w:t>Descripción</w:t>
            </w:r>
          </w:p>
        </w:tc>
        <w:tc>
          <w:tcPr>
            <w:tcW w:w="1275" w:type="dxa"/>
            <w:tcBorders>
              <w:top w:val="single" w:sz="4" w:space="0" w:color="auto"/>
              <w:left w:val="nil"/>
              <w:bottom w:val="single" w:sz="4" w:space="0" w:color="auto"/>
              <w:right w:val="single" w:sz="4" w:space="0" w:color="auto"/>
            </w:tcBorders>
            <w:shd w:val="clear" w:color="auto" w:fill="C6D9F1" w:themeFill="text2" w:themeFillTint="33"/>
            <w:vAlign w:val="bottom"/>
          </w:tcPr>
          <w:p w14:paraId="0D6AA498" w14:textId="77777777" w:rsidR="009A4030" w:rsidRPr="00387415" w:rsidRDefault="009A4030" w:rsidP="0047333D">
            <w:pPr>
              <w:jc w:val="center"/>
              <w:rPr>
                <w:rFonts w:ascii="Calibri" w:hAnsi="Calibri"/>
                <w:b/>
                <w:noProof/>
                <w:color w:val="000000"/>
                <w:sz w:val="22"/>
                <w:szCs w:val="22"/>
                <w:lang w:val="es-ES_tradnl"/>
              </w:rPr>
            </w:pPr>
            <w:r w:rsidRPr="00387415">
              <w:rPr>
                <w:rFonts w:ascii="Calibri" w:eastAsia="Times New Roman" w:hAnsi="Calibri"/>
                <w:b/>
                <w:bCs/>
                <w:noProof/>
                <w:color w:val="000000"/>
                <w:sz w:val="22"/>
                <w:szCs w:val="22"/>
                <w:lang w:val="es-ES_tradnl" w:eastAsia="en-GB"/>
              </w:rPr>
              <w:t> 2014</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4F3910B8" w14:textId="77777777" w:rsidR="009A4030" w:rsidRPr="00387415" w:rsidRDefault="009A4030" w:rsidP="0047333D">
            <w:pPr>
              <w:jc w:val="center"/>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2015 </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5B4330D8" w14:textId="77777777" w:rsidR="009A4030" w:rsidRPr="00387415" w:rsidRDefault="009A4030" w:rsidP="0047333D">
            <w:pPr>
              <w:jc w:val="center"/>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 2016</w:t>
            </w:r>
          </w:p>
        </w:tc>
      </w:tr>
      <w:tr w:rsidR="009A4030" w:rsidRPr="00387415" w14:paraId="3ACE8CEF" w14:textId="77777777">
        <w:trPr>
          <w:trHeight w:val="288"/>
        </w:trPr>
        <w:tc>
          <w:tcPr>
            <w:tcW w:w="3276" w:type="dxa"/>
            <w:tcBorders>
              <w:top w:val="nil"/>
              <w:left w:val="single" w:sz="4" w:space="0" w:color="auto"/>
              <w:bottom w:val="nil"/>
              <w:right w:val="nil"/>
            </w:tcBorders>
            <w:shd w:val="clear" w:color="auto" w:fill="auto"/>
            <w:noWrap/>
            <w:vAlign w:val="bottom"/>
          </w:tcPr>
          <w:p w14:paraId="43880A8D" w14:textId="39A74157" w:rsidR="009A4030" w:rsidRPr="00387415" w:rsidRDefault="00AE23C1"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Iniciativas regionales</w:t>
            </w:r>
          </w:p>
        </w:tc>
        <w:tc>
          <w:tcPr>
            <w:tcW w:w="1275" w:type="dxa"/>
            <w:tcBorders>
              <w:top w:val="nil"/>
              <w:left w:val="single" w:sz="4" w:space="0" w:color="auto"/>
              <w:bottom w:val="nil"/>
              <w:right w:val="single" w:sz="4" w:space="0" w:color="auto"/>
            </w:tcBorders>
            <w:shd w:val="clear" w:color="auto" w:fill="auto"/>
            <w:noWrap/>
            <w:vAlign w:val="bottom"/>
          </w:tcPr>
          <w:p w14:paraId="5509A2FB" w14:textId="77777777" w:rsidR="009A4030" w:rsidRPr="00387415" w:rsidRDefault="009A4030" w:rsidP="0047333D">
            <w:pPr>
              <w:ind w:right="175"/>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120</w:t>
            </w:r>
          </w:p>
        </w:tc>
        <w:tc>
          <w:tcPr>
            <w:tcW w:w="1134" w:type="dxa"/>
            <w:tcBorders>
              <w:top w:val="nil"/>
              <w:left w:val="nil"/>
              <w:bottom w:val="nil"/>
              <w:right w:val="single" w:sz="4" w:space="0" w:color="auto"/>
            </w:tcBorders>
            <w:shd w:val="clear" w:color="auto" w:fill="auto"/>
            <w:noWrap/>
            <w:vAlign w:val="bottom"/>
          </w:tcPr>
          <w:p w14:paraId="6DBE5644" w14:textId="77777777" w:rsidR="009A4030" w:rsidRPr="00387415" w:rsidRDefault="009A4030" w:rsidP="0047333D">
            <w:pPr>
              <w:ind w:right="176"/>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107</w:t>
            </w:r>
          </w:p>
        </w:tc>
        <w:tc>
          <w:tcPr>
            <w:tcW w:w="1276" w:type="dxa"/>
            <w:tcBorders>
              <w:top w:val="nil"/>
              <w:left w:val="nil"/>
              <w:bottom w:val="nil"/>
              <w:right w:val="single" w:sz="4" w:space="0" w:color="auto"/>
            </w:tcBorders>
            <w:shd w:val="clear" w:color="auto" w:fill="auto"/>
            <w:noWrap/>
            <w:vAlign w:val="bottom"/>
          </w:tcPr>
          <w:p w14:paraId="3A005BCD" w14:textId="77777777" w:rsidR="009A4030" w:rsidRPr="00387415" w:rsidRDefault="009A4030" w:rsidP="0047333D">
            <w:pPr>
              <w:ind w:right="176"/>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120</w:t>
            </w:r>
          </w:p>
        </w:tc>
      </w:tr>
      <w:tr w:rsidR="009A4030" w:rsidRPr="00387415" w14:paraId="14D6F585" w14:textId="77777777">
        <w:trPr>
          <w:trHeight w:val="288"/>
        </w:trPr>
        <w:tc>
          <w:tcPr>
            <w:tcW w:w="3276" w:type="dxa"/>
            <w:tcBorders>
              <w:top w:val="nil"/>
              <w:left w:val="single" w:sz="4" w:space="0" w:color="auto"/>
              <w:bottom w:val="nil"/>
              <w:right w:val="nil"/>
            </w:tcBorders>
            <w:shd w:val="clear" w:color="auto" w:fill="auto"/>
            <w:noWrap/>
            <w:vAlign w:val="bottom"/>
          </w:tcPr>
          <w:p w14:paraId="21016EEA" w14:textId="0C337168" w:rsidR="009A4030" w:rsidRPr="00387415" w:rsidRDefault="00AE23C1"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Renovación del SISR</w:t>
            </w:r>
          </w:p>
        </w:tc>
        <w:tc>
          <w:tcPr>
            <w:tcW w:w="1275" w:type="dxa"/>
            <w:tcBorders>
              <w:top w:val="nil"/>
              <w:left w:val="single" w:sz="4" w:space="0" w:color="auto"/>
              <w:bottom w:val="nil"/>
              <w:right w:val="single" w:sz="4" w:space="0" w:color="auto"/>
            </w:tcBorders>
            <w:shd w:val="clear" w:color="auto" w:fill="auto"/>
            <w:noWrap/>
            <w:vAlign w:val="bottom"/>
          </w:tcPr>
          <w:p w14:paraId="4F08C26D" w14:textId="77777777" w:rsidR="009A4030" w:rsidRPr="00387415" w:rsidRDefault="009A4030" w:rsidP="0047333D">
            <w:pPr>
              <w:ind w:right="175"/>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90</w:t>
            </w:r>
          </w:p>
        </w:tc>
        <w:tc>
          <w:tcPr>
            <w:tcW w:w="1134" w:type="dxa"/>
            <w:tcBorders>
              <w:top w:val="nil"/>
              <w:left w:val="nil"/>
              <w:bottom w:val="nil"/>
              <w:right w:val="single" w:sz="4" w:space="0" w:color="auto"/>
            </w:tcBorders>
            <w:shd w:val="clear" w:color="auto" w:fill="auto"/>
            <w:noWrap/>
            <w:vAlign w:val="bottom"/>
          </w:tcPr>
          <w:p w14:paraId="1E17AB03" w14:textId="77777777" w:rsidR="009A4030" w:rsidRPr="00387415" w:rsidRDefault="009A4030" w:rsidP="0047333D">
            <w:pPr>
              <w:ind w:right="176"/>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80</w:t>
            </w:r>
          </w:p>
        </w:tc>
        <w:tc>
          <w:tcPr>
            <w:tcW w:w="1276" w:type="dxa"/>
            <w:tcBorders>
              <w:top w:val="nil"/>
              <w:left w:val="nil"/>
              <w:bottom w:val="nil"/>
              <w:right w:val="single" w:sz="4" w:space="0" w:color="auto"/>
            </w:tcBorders>
            <w:shd w:val="clear" w:color="auto" w:fill="auto"/>
            <w:noWrap/>
            <w:vAlign w:val="bottom"/>
          </w:tcPr>
          <w:p w14:paraId="0D085CA6" w14:textId="77777777" w:rsidR="009A4030" w:rsidRPr="00387415" w:rsidRDefault="009A4030" w:rsidP="0047333D">
            <w:pPr>
              <w:ind w:right="176"/>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47</w:t>
            </w:r>
          </w:p>
        </w:tc>
      </w:tr>
      <w:tr w:rsidR="009A4030" w:rsidRPr="00387415" w14:paraId="6F73D2FA" w14:textId="77777777">
        <w:trPr>
          <w:trHeight w:val="288"/>
        </w:trPr>
        <w:tc>
          <w:tcPr>
            <w:tcW w:w="3276" w:type="dxa"/>
            <w:tcBorders>
              <w:top w:val="nil"/>
              <w:left w:val="single" w:sz="4" w:space="0" w:color="auto"/>
              <w:bottom w:val="nil"/>
              <w:right w:val="nil"/>
            </w:tcBorders>
            <w:shd w:val="clear" w:color="auto" w:fill="auto"/>
            <w:noWrap/>
            <w:vAlign w:val="bottom"/>
          </w:tcPr>
          <w:p w14:paraId="15959F0C" w14:textId="250899AD" w:rsidR="009A4030" w:rsidRPr="00387415" w:rsidRDefault="00AE23C1"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Renovación del sitio web</w:t>
            </w:r>
          </w:p>
        </w:tc>
        <w:tc>
          <w:tcPr>
            <w:tcW w:w="1275" w:type="dxa"/>
            <w:tcBorders>
              <w:top w:val="nil"/>
              <w:left w:val="single" w:sz="4" w:space="0" w:color="auto"/>
              <w:bottom w:val="nil"/>
              <w:right w:val="single" w:sz="4" w:space="0" w:color="auto"/>
            </w:tcBorders>
            <w:shd w:val="clear" w:color="auto" w:fill="auto"/>
            <w:noWrap/>
            <w:vAlign w:val="bottom"/>
          </w:tcPr>
          <w:p w14:paraId="28035DE3" w14:textId="77777777" w:rsidR="009A4030" w:rsidRPr="00387415" w:rsidRDefault="009A4030" w:rsidP="0047333D">
            <w:pPr>
              <w:ind w:right="175"/>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30</w:t>
            </w:r>
          </w:p>
        </w:tc>
        <w:tc>
          <w:tcPr>
            <w:tcW w:w="1134" w:type="dxa"/>
            <w:tcBorders>
              <w:top w:val="nil"/>
              <w:left w:val="nil"/>
              <w:bottom w:val="nil"/>
              <w:right w:val="single" w:sz="4" w:space="0" w:color="auto"/>
            </w:tcBorders>
            <w:shd w:val="clear" w:color="auto" w:fill="auto"/>
            <w:noWrap/>
            <w:vAlign w:val="bottom"/>
          </w:tcPr>
          <w:p w14:paraId="24358EBB" w14:textId="77777777" w:rsidR="009A4030" w:rsidRPr="00387415" w:rsidRDefault="009A4030" w:rsidP="0047333D">
            <w:pPr>
              <w:ind w:right="176"/>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60</w:t>
            </w:r>
          </w:p>
        </w:tc>
        <w:tc>
          <w:tcPr>
            <w:tcW w:w="1276" w:type="dxa"/>
            <w:tcBorders>
              <w:top w:val="nil"/>
              <w:left w:val="nil"/>
              <w:bottom w:val="nil"/>
              <w:right w:val="single" w:sz="4" w:space="0" w:color="auto"/>
            </w:tcBorders>
            <w:shd w:val="clear" w:color="auto" w:fill="auto"/>
            <w:noWrap/>
            <w:vAlign w:val="bottom"/>
          </w:tcPr>
          <w:p w14:paraId="35B1576D" w14:textId="77777777" w:rsidR="009A4030" w:rsidRPr="00387415" w:rsidRDefault="009A4030" w:rsidP="0047333D">
            <w:pPr>
              <w:ind w:right="176"/>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70</w:t>
            </w:r>
          </w:p>
        </w:tc>
      </w:tr>
      <w:tr w:rsidR="009A4030" w:rsidRPr="00387415" w14:paraId="59E26A06" w14:textId="77777777">
        <w:trPr>
          <w:trHeight w:val="288"/>
        </w:trPr>
        <w:tc>
          <w:tcPr>
            <w:tcW w:w="3276" w:type="dxa"/>
            <w:tcBorders>
              <w:top w:val="nil"/>
              <w:left w:val="single" w:sz="4" w:space="0" w:color="auto"/>
              <w:bottom w:val="nil"/>
              <w:right w:val="nil"/>
            </w:tcBorders>
            <w:shd w:val="clear" w:color="auto" w:fill="auto"/>
            <w:noWrap/>
            <w:vAlign w:val="bottom"/>
          </w:tcPr>
          <w:p w14:paraId="4971AD9E" w14:textId="21CA31B0" w:rsidR="009A4030" w:rsidRPr="00387415" w:rsidRDefault="00AE23C1"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Ejecución del GECT</w:t>
            </w:r>
          </w:p>
        </w:tc>
        <w:tc>
          <w:tcPr>
            <w:tcW w:w="1275" w:type="dxa"/>
            <w:tcBorders>
              <w:top w:val="nil"/>
              <w:left w:val="single" w:sz="4" w:space="0" w:color="auto"/>
              <w:bottom w:val="nil"/>
              <w:right w:val="single" w:sz="4" w:space="0" w:color="auto"/>
            </w:tcBorders>
            <w:shd w:val="clear" w:color="auto" w:fill="auto"/>
            <w:noWrap/>
            <w:vAlign w:val="bottom"/>
          </w:tcPr>
          <w:p w14:paraId="291E5659" w14:textId="77777777" w:rsidR="009A4030" w:rsidRPr="00387415" w:rsidRDefault="009A4030" w:rsidP="0047333D">
            <w:pPr>
              <w:ind w:right="175"/>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30</w:t>
            </w:r>
          </w:p>
        </w:tc>
        <w:tc>
          <w:tcPr>
            <w:tcW w:w="1134" w:type="dxa"/>
            <w:tcBorders>
              <w:top w:val="nil"/>
              <w:left w:val="nil"/>
              <w:bottom w:val="nil"/>
              <w:right w:val="single" w:sz="4" w:space="0" w:color="auto"/>
            </w:tcBorders>
            <w:shd w:val="clear" w:color="auto" w:fill="auto"/>
            <w:noWrap/>
            <w:vAlign w:val="bottom"/>
          </w:tcPr>
          <w:p w14:paraId="0BE366E8" w14:textId="77777777" w:rsidR="009A4030" w:rsidRPr="00387415" w:rsidRDefault="009A4030" w:rsidP="0047333D">
            <w:pPr>
              <w:ind w:right="176"/>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40</w:t>
            </w:r>
          </w:p>
        </w:tc>
        <w:tc>
          <w:tcPr>
            <w:tcW w:w="1276" w:type="dxa"/>
            <w:tcBorders>
              <w:top w:val="nil"/>
              <w:left w:val="nil"/>
              <w:bottom w:val="nil"/>
              <w:right w:val="single" w:sz="4" w:space="0" w:color="auto"/>
            </w:tcBorders>
            <w:shd w:val="clear" w:color="auto" w:fill="auto"/>
            <w:noWrap/>
            <w:vAlign w:val="bottom"/>
          </w:tcPr>
          <w:p w14:paraId="2DEF8C34" w14:textId="77777777" w:rsidR="009A4030" w:rsidRPr="00387415" w:rsidRDefault="009A4030" w:rsidP="0047333D">
            <w:pPr>
              <w:ind w:right="176"/>
              <w:jc w:val="right"/>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40</w:t>
            </w:r>
          </w:p>
        </w:tc>
      </w:tr>
      <w:tr w:rsidR="009A4030" w:rsidRPr="00387415" w14:paraId="33A7457A" w14:textId="77777777">
        <w:trPr>
          <w:trHeight w:val="300"/>
        </w:trPr>
        <w:tc>
          <w:tcPr>
            <w:tcW w:w="3276" w:type="dxa"/>
            <w:tcBorders>
              <w:top w:val="nil"/>
              <w:left w:val="single" w:sz="4" w:space="0" w:color="auto"/>
              <w:bottom w:val="single" w:sz="4" w:space="0" w:color="auto"/>
              <w:right w:val="nil"/>
            </w:tcBorders>
            <w:shd w:val="clear" w:color="auto" w:fill="auto"/>
            <w:noWrap/>
            <w:vAlign w:val="bottom"/>
          </w:tcPr>
          <w:p w14:paraId="5E0A5ECA" w14:textId="77777777" w:rsidR="009A4030" w:rsidRPr="00387415" w:rsidRDefault="009A4030" w:rsidP="0047333D">
            <w:pPr>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Total</w:t>
            </w:r>
          </w:p>
        </w:tc>
        <w:tc>
          <w:tcPr>
            <w:tcW w:w="1275" w:type="dxa"/>
            <w:tcBorders>
              <w:top w:val="single" w:sz="4" w:space="0" w:color="auto"/>
              <w:left w:val="single" w:sz="4" w:space="0" w:color="auto"/>
              <w:bottom w:val="double" w:sz="6" w:space="0" w:color="auto"/>
              <w:right w:val="single" w:sz="4" w:space="0" w:color="auto"/>
            </w:tcBorders>
            <w:shd w:val="clear" w:color="000000" w:fill="D9D9D9"/>
            <w:noWrap/>
            <w:vAlign w:val="bottom"/>
          </w:tcPr>
          <w:p w14:paraId="4EE359D4" w14:textId="77777777" w:rsidR="009A4030" w:rsidRPr="00387415" w:rsidRDefault="009A4030" w:rsidP="0047333D">
            <w:pPr>
              <w:ind w:right="175"/>
              <w:jc w:val="right"/>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270</w:t>
            </w:r>
            <w:r w:rsidRPr="00387415">
              <w:rPr>
                <w:rStyle w:val="FootnoteReference"/>
                <w:rFonts w:ascii="Calibri" w:eastAsia="Times New Roman" w:hAnsi="Calibri"/>
                <w:b/>
                <w:bCs/>
                <w:noProof/>
                <w:color w:val="000000"/>
                <w:sz w:val="22"/>
                <w:szCs w:val="22"/>
                <w:lang w:val="es-ES_tradnl" w:eastAsia="en-GB"/>
              </w:rPr>
              <w:footnoteReference w:id="2"/>
            </w:r>
          </w:p>
        </w:tc>
        <w:tc>
          <w:tcPr>
            <w:tcW w:w="1134" w:type="dxa"/>
            <w:tcBorders>
              <w:top w:val="single" w:sz="4" w:space="0" w:color="auto"/>
              <w:left w:val="nil"/>
              <w:bottom w:val="double" w:sz="6" w:space="0" w:color="auto"/>
              <w:right w:val="single" w:sz="4" w:space="0" w:color="auto"/>
            </w:tcBorders>
            <w:shd w:val="clear" w:color="000000" w:fill="D9D9D9"/>
            <w:noWrap/>
            <w:vAlign w:val="bottom"/>
          </w:tcPr>
          <w:p w14:paraId="02F9E9D1" w14:textId="77777777" w:rsidR="009A4030" w:rsidRPr="00387415" w:rsidRDefault="009A4030" w:rsidP="0047333D">
            <w:pPr>
              <w:ind w:right="176"/>
              <w:jc w:val="right"/>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287</w:t>
            </w:r>
            <w:r w:rsidRPr="00387415">
              <w:rPr>
                <w:rStyle w:val="FootnoteReference"/>
                <w:rFonts w:ascii="Calibri" w:eastAsia="Times New Roman" w:hAnsi="Calibri"/>
                <w:b/>
                <w:bCs/>
                <w:noProof/>
                <w:color w:val="000000"/>
                <w:sz w:val="22"/>
                <w:szCs w:val="22"/>
                <w:lang w:val="es-ES_tradnl" w:eastAsia="en-GB"/>
              </w:rPr>
              <w:footnoteReference w:id="3"/>
            </w:r>
          </w:p>
        </w:tc>
        <w:tc>
          <w:tcPr>
            <w:tcW w:w="1276" w:type="dxa"/>
            <w:tcBorders>
              <w:top w:val="single" w:sz="4" w:space="0" w:color="auto"/>
              <w:left w:val="nil"/>
              <w:bottom w:val="double" w:sz="6" w:space="0" w:color="auto"/>
              <w:right w:val="single" w:sz="4" w:space="0" w:color="auto"/>
            </w:tcBorders>
            <w:shd w:val="clear" w:color="000000" w:fill="D9D9D9"/>
            <w:noWrap/>
            <w:vAlign w:val="bottom"/>
          </w:tcPr>
          <w:p w14:paraId="488BBB8F" w14:textId="77777777" w:rsidR="009A4030" w:rsidRPr="00387415" w:rsidRDefault="009A4030" w:rsidP="0047333D">
            <w:pPr>
              <w:ind w:right="176"/>
              <w:jc w:val="right"/>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277</w:t>
            </w:r>
          </w:p>
        </w:tc>
      </w:tr>
    </w:tbl>
    <w:p w14:paraId="332132B6" w14:textId="77777777" w:rsidR="00797C03" w:rsidRPr="00387415" w:rsidRDefault="00797C03" w:rsidP="0047333D">
      <w:pPr>
        <w:pStyle w:val="ListParagraph"/>
        <w:ind w:left="851" w:hanging="425"/>
        <w:rPr>
          <w:rFonts w:ascii="Calibri" w:hAnsi="Calibri" w:cs="Calibri"/>
          <w:bCs/>
          <w:noProof/>
          <w:sz w:val="22"/>
          <w:szCs w:val="22"/>
          <w:lang w:val="es-ES_tradnl"/>
        </w:rPr>
      </w:pPr>
    </w:p>
    <w:p w14:paraId="30DC7BFF" w14:textId="77777777" w:rsidR="004648E3" w:rsidRDefault="004648E3" w:rsidP="0047333D">
      <w:pPr>
        <w:rPr>
          <w:rFonts w:ascii="Calibri" w:hAnsi="Calibri" w:cs="Calibri"/>
          <w:b/>
          <w:bCs/>
          <w:noProof/>
          <w:sz w:val="22"/>
          <w:szCs w:val="22"/>
          <w:lang w:val="es-ES_tradnl"/>
        </w:rPr>
      </w:pPr>
    </w:p>
    <w:p w14:paraId="1BA33E58" w14:textId="34AED99E" w:rsidR="00C63097" w:rsidRPr="003506A5" w:rsidRDefault="003506A5" w:rsidP="0047333D">
      <w:pPr>
        <w:rPr>
          <w:rFonts w:ascii="Calibri" w:hAnsi="Calibri" w:cs="Calibri"/>
          <w:b/>
          <w:bCs/>
          <w:noProof/>
          <w:sz w:val="22"/>
          <w:szCs w:val="22"/>
          <w:lang w:val="es-ES_tradnl"/>
        </w:rPr>
      </w:pPr>
      <w:r w:rsidRPr="003506A5">
        <w:rPr>
          <w:rFonts w:ascii="Calibri" w:hAnsi="Calibri" w:cs="Calibri"/>
          <w:b/>
          <w:bCs/>
          <w:noProof/>
          <w:sz w:val="22"/>
          <w:szCs w:val="22"/>
          <w:lang w:val="es-ES_tradnl"/>
        </w:rPr>
        <w:t>Propuesta para el excedente de 2016 y el fondo de reserva</w:t>
      </w:r>
    </w:p>
    <w:p w14:paraId="48CC622F" w14:textId="77777777" w:rsidR="00BF2443" w:rsidRPr="00387415" w:rsidRDefault="00BF2443" w:rsidP="0047333D">
      <w:pPr>
        <w:pStyle w:val="ListParagraph"/>
        <w:rPr>
          <w:rFonts w:ascii="Calibri" w:hAnsi="Calibri" w:cs="Calibri"/>
          <w:bCs/>
          <w:noProof/>
          <w:sz w:val="22"/>
          <w:szCs w:val="22"/>
          <w:highlight w:val="yellow"/>
          <w:lang w:val="es-ES_tradnl"/>
        </w:rPr>
      </w:pPr>
    </w:p>
    <w:p w14:paraId="2DBF804E" w14:textId="589B56F7" w:rsidR="003506A5" w:rsidRPr="003506A5" w:rsidRDefault="003506A5" w:rsidP="003506A5">
      <w:pPr>
        <w:pStyle w:val="ListParagraph"/>
        <w:numPr>
          <w:ilvl w:val="0"/>
          <w:numId w:val="26"/>
        </w:numPr>
        <w:ind w:left="426" w:hanging="426"/>
        <w:rPr>
          <w:rFonts w:ascii="Calibri" w:hAnsi="Calibri" w:cs="Calibri"/>
          <w:bCs/>
          <w:noProof/>
          <w:sz w:val="22"/>
          <w:szCs w:val="22"/>
          <w:lang w:val="es-ES_tradnl"/>
        </w:rPr>
      </w:pPr>
      <w:r w:rsidRPr="003506A5">
        <w:rPr>
          <w:rFonts w:ascii="Calibri" w:hAnsi="Calibri" w:cs="Calibri"/>
          <w:bCs/>
          <w:noProof/>
          <w:sz w:val="22"/>
          <w:szCs w:val="22"/>
          <w:lang w:val="es-ES_tradnl"/>
        </w:rPr>
        <w:t xml:space="preserve">En </w:t>
      </w:r>
      <w:r w:rsidR="000C43CE">
        <w:rPr>
          <w:rFonts w:ascii="Calibri" w:hAnsi="Calibri" w:cs="Calibri"/>
          <w:bCs/>
          <w:noProof/>
          <w:sz w:val="22"/>
          <w:szCs w:val="22"/>
          <w:lang w:val="es-ES_tradnl"/>
        </w:rPr>
        <w:t xml:space="preserve">2015, en </w:t>
      </w:r>
      <w:r w:rsidRPr="003506A5">
        <w:rPr>
          <w:rFonts w:ascii="Calibri" w:hAnsi="Calibri" w:cs="Calibri"/>
          <w:bCs/>
          <w:noProof/>
          <w:sz w:val="22"/>
          <w:szCs w:val="22"/>
          <w:lang w:val="es-ES_tradnl"/>
        </w:rPr>
        <w:t xml:space="preserve">su 51ª </w:t>
      </w:r>
      <w:r>
        <w:rPr>
          <w:rFonts w:ascii="Calibri" w:hAnsi="Calibri" w:cs="Calibri"/>
          <w:bCs/>
          <w:noProof/>
          <w:sz w:val="22"/>
          <w:szCs w:val="22"/>
          <w:lang w:val="es-ES_tradnl"/>
        </w:rPr>
        <w:t>reunión</w:t>
      </w:r>
      <w:r w:rsidRPr="003506A5">
        <w:rPr>
          <w:rFonts w:ascii="Calibri" w:hAnsi="Calibri" w:cs="Calibri"/>
          <w:bCs/>
          <w:noProof/>
          <w:sz w:val="22"/>
          <w:szCs w:val="22"/>
          <w:lang w:val="es-ES_tradnl"/>
        </w:rPr>
        <w:t>, el C</w:t>
      </w:r>
      <w:r w:rsidR="005005AD">
        <w:rPr>
          <w:rFonts w:ascii="Calibri" w:hAnsi="Calibri" w:cs="Calibri"/>
          <w:bCs/>
          <w:noProof/>
          <w:sz w:val="22"/>
          <w:szCs w:val="22"/>
          <w:lang w:val="es-ES_tradnl"/>
        </w:rPr>
        <w:t xml:space="preserve">omité Permanente decidió en </w:t>
      </w:r>
      <w:r w:rsidR="000C43CE">
        <w:rPr>
          <w:rFonts w:ascii="Calibri" w:hAnsi="Calibri" w:cs="Calibri"/>
          <w:bCs/>
          <w:noProof/>
          <w:sz w:val="22"/>
          <w:szCs w:val="22"/>
          <w:lang w:val="es-ES_tradnl"/>
        </w:rPr>
        <w:t>la</w:t>
      </w:r>
      <w:r w:rsidR="005005AD">
        <w:rPr>
          <w:rFonts w:ascii="Calibri" w:hAnsi="Calibri" w:cs="Calibri"/>
          <w:bCs/>
          <w:noProof/>
          <w:sz w:val="22"/>
          <w:szCs w:val="22"/>
          <w:lang w:val="es-ES_tradnl"/>
        </w:rPr>
        <w:t xml:space="preserve"> D</w:t>
      </w:r>
      <w:r w:rsidRPr="003506A5">
        <w:rPr>
          <w:rFonts w:ascii="Calibri" w:hAnsi="Calibri" w:cs="Calibri"/>
          <w:bCs/>
          <w:noProof/>
          <w:sz w:val="22"/>
          <w:szCs w:val="22"/>
          <w:lang w:val="es-ES_tradnl"/>
        </w:rPr>
        <w:t xml:space="preserve">ecisión SC51-22 </w:t>
      </w:r>
      <w:r w:rsidR="005005AD">
        <w:rPr>
          <w:rFonts w:ascii="Calibri" w:hAnsi="Calibri" w:cs="Calibri"/>
          <w:bCs/>
          <w:noProof/>
          <w:sz w:val="22"/>
          <w:szCs w:val="22"/>
          <w:lang w:val="es-ES_tradnl"/>
        </w:rPr>
        <w:t>incluir</w:t>
      </w:r>
      <w:r w:rsidRPr="003506A5">
        <w:rPr>
          <w:rFonts w:ascii="Calibri" w:hAnsi="Calibri" w:cs="Calibri"/>
          <w:bCs/>
          <w:noProof/>
          <w:sz w:val="22"/>
          <w:szCs w:val="22"/>
          <w:lang w:val="es-ES_tradnl"/>
        </w:rPr>
        <w:t xml:space="preserve"> 278.000 francos suizos </w:t>
      </w:r>
      <w:r w:rsidR="005005AD">
        <w:rPr>
          <w:rFonts w:ascii="Calibri" w:hAnsi="Calibri" w:cs="Calibri"/>
          <w:bCs/>
          <w:noProof/>
          <w:sz w:val="22"/>
          <w:szCs w:val="22"/>
          <w:lang w:val="es-ES_tradnl"/>
        </w:rPr>
        <w:t>en la partida</w:t>
      </w:r>
      <w:r w:rsidRPr="003506A5">
        <w:rPr>
          <w:rFonts w:ascii="Calibri" w:hAnsi="Calibri" w:cs="Calibri"/>
          <w:bCs/>
          <w:noProof/>
          <w:sz w:val="22"/>
          <w:szCs w:val="22"/>
          <w:lang w:val="es-ES_tradnl"/>
        </w:rPr>
        <w:t xml:space="preserve"> K del presupuesto de 2016 para </w:t>
      </w:r>
      <w:r w:rsidR="005005AD">
        <w:rPr>
          <w:rFonts w:ascii="Calibri" w:hAnsi="Calibri" w:cs="Calibri"/>
          <w:bCs/>
          <w:noProof/>
          <w:sz w:val="22"/>
          <w:szCs w:val="22"/>
          <w:lang w:val="es-ES_tradnl"/>
        </w:rPr>
        <w:t>provisiones</w:t>
      </w:r>
      <w:r w:rsidRPr="003506A5">
        <w:rPr>
          <w:rFonts w:ascii="Calibri" w:hAnsi="Calibri" w:cs="Calibri"/>
          <w:bCs/>
          <w:noProof/>
          <w:sz w:val="22"/>
          <w:szCs w:val="22"/>
          <w:lang w:val="es-ES_tradnl"/>
        </w:rPr>
        <w:t xml:space="preserve"> </w:t>
      </w:r>
      <w:r w:rsidR="005005AD">
        <w:rPr>
          <w:rFonts w:ascii="Calibri" w:hAnsi="Calibri" w:cs="Calibri"/>
          <w:bCs/>
          <w:noProof/>
          <w:sz w:val="22"/>
          <w:szCs w:val="22"/>
          <w:lang w:val="es-ES_tradnl"/>
        </w:rPr>
        <w:t>para el fondo de</w:t>
      </w:r>
      <w:r w:rsidRPr="003506A5">
        <w:rPr>
          <w:rFonts w:ascii="Calibri" w:hAnsi="Calibri" w:cs="Calibri"/>
          <w:bCs/>
          <w:noProof/>
          <w:sz w:val="22"/>
          <w:szCs w:val="22"/>
          <w:lang w:val="es-ES_tradnl"/>
        </w:rPr>
        <w:t xml:space="preserve"> reserva. </w:t>
      </w:r>
      <w:r w:rsidR="005005AD">
        <w:rPr>
          <w:rFonts w:ascii="Calibri" w:hAnsi="Calibri" w:cs="Calibri"/>
          <w:bCs/>
          <w:noProof/>
          <w:sz w:val="22"/>
          <w:szCs w:val="22"/>
          <w:lang w:val="es-ES_tradnl"/>
        </w:rPr>
        <w:t>Tras reservar</w:t>
      </w:r>
      <w:r w:rsidRPr="003506A5">
        <w:rPr>
          <w:rFonts w:ascii="Calibri" w:hAnsi="Calibri" w:cs="Calibri"/>
          <w:bCs/>
          <w:noProof/>
          <w:sz w:val="22"/>
          <w:szCs w:val="22"/>
          <w:lang w:val="es-ES_tradnl"/>
        </w:rPr>
        <w:t xml:space="preserve"> este importe, el </w:t>
      </w:r>
      <w:r w:rsidR="005914D5">
        <w:rPr>
          <w:rFonts w:ascii="Calibri" w:hAnsi="Calibri" w:cs="Calibri"/>
          <w:bCs/>
          <w:noProof/>
          <w:sz w:val="22"/>
          <w:szCs w:val="22"/>
          <w:lang w:val="es-ES_tradnl"/>
        </w:rPr>
        <w:t>presupuesto</w:t>
      </w:r>
      <w:r w:rsidRPr="003506A5">
        <w:rPr>
          <w:rFonts w:ascii="Calibri" w:hAnsi="Calibri" w:cs="Calibri"/>
          <w:bCs/>
          <w:noProof/>
          <w:sz w:val="22"/>
          <w:szCs w:val="22"/>
          <w:lang w:val="es-ES_tradnl"/>
        </w:rPr>
        <w:t xml:space="preserve"> básico </w:t>
      </w:r>
      <w:r w:rsidR="00DA2904">
        <w:rPr>
          <w:rFonts w:ascii="Calibri" w:hAnsi="Calibri" w:cs="Calibri"/>
          <w:bCs/>
          <w:noProof/>
          <w:sz w:val="22"/>
          <w:szCs w:val="22"/>
          <w:lang w:val="es-ES_tradnl"/>
        </w:rPr>
        <w:t xml:space="preserve">arrojaba un </w:t>
      </w:r>
      <w:r w:rsidR="000C43CE">
        <w:rPr>
          <w:rFonts w:ascii="Calibri" w:hAnsi="Calibri" w:cs="Calibri"/>
          <w:bCs/>
          <w:noProof/>
          <w:sz w:val="22"/>
          <w:szCs w:val="22"/>
          <w:lang w:val="es-ES_tradnl"/>
        </w:rPr>
        <w:t>excedente</w:t>
      </w:r>
      <w:r w:rsidR="00DA2904">
        <w:rPr>
          <w:rFonts w:ascii="Calibri" w:hAnsi="Calibri" w:cs="Calibri"/>
          <w:bCs/>
          <w:noProof/>
          <w:sz w:val="22"/>
          <w:szCs w:val="22"/>
          <w:lang w:val="es-ES_tradnl"/>
        </w:rPr>
        <w:t xml:space="preserve"> global</w:t>
      </w:r>
      <w:r w:rsidRPr="003506A5">
        <w:rPr>
          <w:rFonts w:ascii="Calibri" w:hAnsi="Calibri" w:cs="Calibri"/>
          <w:bCs/>
          <w:noProof/>
          <w:sz w:val="22"/>
          <w:szCs w:val="22"/>
          <w:lang w:val="es-ES_tradnl"/>
        </w:rPr>
        <w:t xml:space="preserve"> preliminar de 338.000 francos suizos a finales de 2016.</w:t>
      </w:r>
    </w:p>
    <w:p w14:paraId="1122DC87" w14:textId="77777777" w:rsidR="00B763F5" w:rsidRPr="00DA2904" w:rsidRDefault="00B763F5" w:rsidP="00DA2904">
      <w:pPr>
        <w:rPr>
          <w:rFonts w:ascii="Calibri" w:hAnsi="Calibri" w:cs="Calibri"/>
          <w:bCs/>
          <w:noProof/>
          <w:sz w:val="22"/>
          <w:szCs w:val="22"/>
          <w:lang w:val="es-ES_tradnl"/>
        </w:rPr>
      </w:pPr>
    </w:p>
    <w:p w14:paraId="28FE19E7" w14:textId="6852A2F5" w:rsidR="00DA2904" w:rsidRDefault="00DA2904" w:rsidP="0047333D">
      <w:pPr>
        <w:pStyle w:val="ListParagraph"/>
        <w:numPr>
          <w:ilvl w:val="0"/>
          <w:numId w:val="26"/>
        </w:numPr>
        <w:ind w:left="426" w:hanging="426"/>
        <w:rPr>
          <w:rFonts w:ascii="Calibri" w:hAnsi="Calibri" w:cs="Calibri"/>
          <w:bCs/>
          <w:noProof/>
          <w:sz w:val="22"/>
          <w:szCs w:val="22"/>
          <w:lang w:val="es-ES_tradnl"/>
        </w:rPr>
      </w:pPr>
      <w:r>
        <w:rPr>
          <w:rFonts w:ascii="Calibri" w:hAnsi="Calibri" w:cs="Calibri"/>
          <w:bCs/>
          <w:noProof/>
          <w:sz w:val="22"/>
          <w:szCs w:val="22"/>
          <w:lang w:val="es-ES_tradnl"/>
        </w:rPr>
        <w:lastRenderedPageBreak/>
        <w:t xml:space="preserve">La Secretaría propone asignar 112.000 francos suizos del </w:t>
      </w:r>
      <w:r w:rsidR="00E6734D">
        <w:rPr>
          <w:rFonts w:ascii="Calibri" w:hAnsi="Calibri" w:cs="Calibri"/>
          <w:bCs/>
          <w:noProof/>
          <w:sz w:val="22"/>
          <w:szCs w:val="22"/>
          <w:lang w:val="es-ES_tradnl"/>
        </w:rPr>
        <w:t>excedente</w:t>
      </w:r>
      <w:r>
        <w:rPr>
          <w:rFonts w:ascii="Calibri" w:hAnsi="Calibri" w:cs="Calibri"/>
          <w:bCs/>
          <w:noProof/>
          <w:sz w:val="22"/>
          <w:szCs w:val="22"/>
          <w:lang w:val="es-ES_tradnl"/>
        </w:rPr>
        <w:t xml:space="preserve"> de 2016 para </w:t>
      </w:r>
      <w:r w:rsidR="0006464B">
        <w:rPr>
          <w:rFonts w:ascii="Calibri" w:hAnsi="Calibri" w:cs="Calibri"/>
          <w:bCs/>
          <w:noProof/>
          <w:sz w:val="22"/>
          <w:szCs w:val="22"/>
          <w:lang w:val="es-ES_tradnl"/>
        </w:rPr>
        <w:t xml:space="preserve">reponer </w:t>
      </w:r>
      <w:r>
        <w:rPr>
          <w:rFonts w:ascii="Calibri" w:hAnsi="Calibri" w:cs="Calibri"/>
          <w:bCs/>
          <w:noProof/>
          <w:sz w:val="22"/>
          <w:szCs w:val="22"/>
          <w:lang w:val="es-ES_tradnl"/>
        </w:rPr>
        <w:t>el fondo de reserva</w:t>
      </w:r>
      <w:r w:rsidR="0006464B">
        <w:rPr>
          <w:rFonts w:ascii="Calibri" w:hAnsi="Calibri" w:cs="Calibri"/>
          <w:bCs/>
          <w:noProof/>
          <w:sz w:val="22"/>
          <w:szCs w:val="22"/>
          <w:lang w:val="es-ES_tradnl"/>
        </w:rPr>
        <w:t xml:space="preserve"> hasta el nivel objetivo máximo del 15</w:t>
      </w:r>
      <w:r w:rsidR="00F11042">
        <w:rPr>
          <w:rFonts w:ascii="Calibri" w:hAnsi="Calibri" w:cs="Calibri"/>
          <w:bCs/>
          <w:noProof/>
          <w:sz w:val="22"/>
          <w:szCs w:val="22"/>
          <w:lang w:val="es-ES_tradnl"/>
        </w:rPr>
        <w:t xml:space="preserve"> </w:t>
      </w:r>
      <w:r w:rsidR="0006464B">
        <w:rPr>
          <w:rFonts w:ascii="Calibri" w:hAnsi="Calibri" w:cs="Calibri"/>
          <w:bCs/>
          <w:noProof/>
          <w:sz w:val="22"/>
          <w:szCs w:val="22"/>
          <w:lang w:val="es-ES_tradnl"/>
        </w:rPr>
        <w:t>% del presupuesto básico anual, de conformidad con la Resolución XII.1.</w:t>
      </w:r>
    </w:p>
    <w:p w14:paraId="37348CE8" w14:textId="77777777" w:rsidR="00DA2904" w:rsidRPr="00DA2904" w:rsidRDefault="00DA2904" w:rsidP="00DA2904">
      <w:pPr>
        <w:rPr>
          <w:rFonts w:ascii="Calibri" w:hAnsi="Calibri" w:cs="Calibri"/>
          <w:bCs/>
          <w:noProof/>
          <w:sz w:val="22"/>
          <w:szCs w:val="22"/>
          <w:lang w:val="es-ES_tradnl"/>
        </w:rPr>
      </w:pPr>
    </w:p>
    <w:p w14:paraId="56896BF5" w14:textId="128BCE77" w:rsidR="00F11042" w:rsidRPr="00F11042" w:rsidRDefault="00F11042" w:rsidP="00FE1491">
      <w:pPr>
        <w:pStyle w:val="ListParagraph"/>
        <w:numPr>
          <w:ilvl w:val="0"/>
          <w:numId w:val="26"/>
        </w:numPr>
        <w:ind w:left="426" w:hanging="426"/>
        <w:rPr>
          <w:rFonts w:ascii="Calibri" w:hAnsi="Calibri" w:cs="Calibri"/>
          <w:bCs/>
          <w:noProof/>
          <w:sz w:val="22"/>
          <w:szCs w:val="22"/>
          <w:lang w:val="es-ES_tradnl"/>
        </w:rPr>
      </w:pPr>
      <w:r w:rsidRPr="00F11042">
        <w:rPr>
          <w:rFonts w:ascii="Calibri" w:hAnsi="Calibri" w:cs="Calibri"/>
          <w:bCs/>
          <w:noProof/>
          <w:sz w:val="22"/>
          <w:szCs w:val="22"/>
          <w:lang w:val="es-ES_tradnl"/>
        </w:rPr>
        <w:t xml:space="preserve">La Secretaría también propone establecer una reserva designada para el saldo restante del </w:t>
      </w:r>
      <w:r w:rsidR="00AC748D">
        <w:rPr>
          <w:rFonts w:ascii="Calibri" w:hAnsi="Calibri" w:cs="Calibri"/>
          <w:bCs/>
          <w:noProof/>
          <w:sz w:val="22"/>
          <w:szCs w:val="22"/>
          <w:lang w:val="es-ES_tradnl"/>
        </w:rPr>
        <w:t>excedente</w:t>
      </w:r>
      <w:r w:rsidRPr="00F11042">
        <w:rPr>
          <w:rFonts w:ascii="Calibri" w:hAnsi="Calibri" w:cs="Calibri"/>
          <w:bCs/>
          <w:noProof/>
          <w:sz w:val="22"/>
          <w:szCs w:val="22"/>
          <w:lang w:val="es-ES_tradnl"/>
        </w:rPr>
        <w:t xml:space="preserve"> de 2016 (226.000</w:t>
      </w:r>
      <w:r w:rsidR="008A588E">
        <w:rPr>
          <w:rFonts w:ascii="Calibri" w:hAnsi="Calibri" w:cs="Calibri"/>
          <w:bCs/>
          <w:noProof/>
          <w:sz w:val="22"/>
          <w:szCs w:val="22"/>
          <w:lang w:val="es-ES_tradnl"/>
        </w:rPr>
        <w:t xml:space="preserve"> francos suizos</w:t>
      </w:r>
      <w:r w:rsidRPr="00F11042">
        <w:rPr>
          <w:rFonts w:ascii="Calibri" w:hAnsi="Calibri" w:cs="Calibri"/>
          <w:bCs/>
          <w:noProof/>
          <w:sz w:val="22"/>
          <w:szCs w:val="22"/>
          <w:lang w:val="es-ES_tradnl"/>
        </w:rPr>
        <w:t xml:space="preserve">) y está </w:t>
      </w:r>
      <w:r w:rsidR="006B1675">
        <w:rPr>
          <w:rFonts w:ascii="Calibri" w:hAnsi="Calibri" w:cs="Calibri"/>
          <w:bCs/>
          <w:noProof/>
          <w:sz w:val="22"/>
          <w:szCs w:val="22"/>
          <w:lang w:val="es-ES_tradnl"/>
        </w:rPr>
        <w:t>en proceso de preparación de</w:t>
      </w:r>
      <w:r w:rsidRPr="00F11042">
        <w:rPr>
          <w:rFonts w:ascii="Calibri" w:hAnsi="Calibri" w:cs="Calibri"/>
          <w:bCs/>
          <w:noProof/>
          <w:sz w:val="22"/>
          <w:szCs w:val="22"/>
          <w:lang w:val="es-ES_tradnl"/>
        </w:rPr>
        <w:t xml:space="preserve"> propu</w:t>
      </w:r>
      <w:r w:rsidR="0005342B">
        <w:rPr>
          <w:rFonts w:ascii="Calibri" w:hAnsi="Calibri" w:cs="Calibri"/>
          <w:bCs/>
          <w:noProof/>
          <w:sz w:val="22"/>
          <w:szCs w:val="22"/>
          <w:lang w:val="es-ES_tradnl"/>
        </w:rPr>
        <w:t>estas para la asignación de esta reserva preliminar de excedentes. E</w:t>
      </w:r>
      <w:r w:rsidRPr="00F11042">
        <w:rPr>
          <w:rFonts w:ascii="Calibri" w:hAnsi="Calibri" w:cs="Calibri"/>
          <w:bCs/>
          <w:noProof/>
          <w:sz w:val="22"/>
          <w:szCs w:val="22"/>
          <w:lang w:val="es-ES_tradnl"/>
        </w:rPr>
        <w:t xml:space="preserve">stas </w:t>
      </w:r>
      <w:r w:rsidR="00930868">
        <w:rPr>
          <w:rFonts w:ascii="Calibri" w:hAnsi="Calibri" w:cs="Calibri"/>
          <w:bCs/>
          <w:noProof/>
          <w:sz w:val="22"/>
          <w:szCs w:val="22"/>
          <w:lang w:val="es-ES_tradnl"/>
        </w:rPr>
        <w:t>cubrirán</w:t>
      </w:r>
      <w:r w:rsidRPr="00F11042">
        <w:rPr>
          <w:rFonts w:ascii="Calibri" w:hAnsi="Calibri" w:cs="Calibri"/>
          <w:bCs/>
          <w:noProof/>
          <w:sz w:val="22"/>
          <w:szCs w:val="22"/>
          <w:lang w:val="es-ES_tradnl"/>
        </w:rPr>
        <w:t xml:space="preserve"> áreas tales como </w:t>
      </w:r>
      <w:r w:rsidR="008A588E">
        <w:rPr>
          <w:rFonts w:ascii="Calibri" w:hAnsi="Calibri" w:cs="Calibri"/>
          <w:bCs/>
          <w:noProof/>
          <w:sz w:val="22"/>
          <w:szCs w:val="22"/>
          <w:lang w:val="es-ES_tradnl"/>
        </w:rPr>
        <w:t xml:space="preserve">las </w:t>
      </w:r>
      <w:r w:rsidRPr="00F11042">
        <w:rPr>
          <w:rFonts w:ascii="Calibri" w:hAnsi="Calibri" w:cs="Calibri"/>
          <w:bCs/>
          <w:noProof/>
          <w:sz w:val="22"/>
          <w:szCs w:val="22"/>
          <w:lang w:val="es-ES_tradnl"/>
        </w:rPr>
        <w:t>necesidades adicionales de</w:t>
      </w:r>
      <w:r w:rsidR="0005342B">
        <w:rPr>
          <w:rFonts w:ascii="Calibri" w:hAnsi="Calibri" w:cs="Calibri"/>
          <w:bCs/>
          <w:noProof/>
          <w:sz w:val="22"/>
          <w:szCs w:val="22"/>
          <w:lang w:val="es-ES_tradnl"/>
        </w:rPr>
        <w:t xml:space="preserve"> </w:t>
      </w:r>
      <w:r w:rsidRPr="00F11042">
        <w:rPr>
          <w:rFonts w:ascii="Calibri" w:hAnsi="Calibri" w:cs="Calibri"/>
          <w:bCs/>
          <w:noProof/>
          <w:sz w:val="22"/>
          <w:szCs w:val="22"/>
          <w:lang w:val="es-ES_tradnl"/>
        </w:rPr>
        <w:t>personal apro</w:t>
      </w:r>
      <w:r w:rsidR="008A588E">
        <w:rPr>
          <w:rFonts w:ascii="Calibri" w:hAnsi="Calibri" w:cs="Calibri"/>
          <w:bCs/>
          <w:noProof/>
          <w:sz w:val="22"/>
          <w:szCs w:val="22"/>
          <w:lang w:val="es-ES_tradnl"/>
        </w:rPr>
        <w:t>bado</w:t>
      </w:r>
      <w:r w:rsidR="0005342B">
        <w:rPr>
          <w:rFonts w:ascii="Calibri" w:hAnsi="Calibri" w:cs="Calibri"/>
          <w:bCs/>
          <w:noProof/>
          <w:sz w:val="22"/>
          <w:szCs w:val="22"/>
          <w:lang w:val="es-ES_tradnl"/>
        </w:rPr>
        <w:t xml:space="preserve"> por el Equipo Ejecutivo (un a</w:t>
      </w:r>
      <w:r w:rsidRPr="00F11042">
        <w:rPr>
          <w:rFonts w:ascii="Calibri" w:hAnsi="Calibri" w:cs="Calibri"/>
          <w:bCs/>
          <w:noProof/>
          <w:sz w:val="22"/>
          <w:szCs w:val="22"/>
          <w:lang w:val="es-ES_tradnl"/>
        </w:rPr>
        <w:t xml:space="preserve">sistente </w:t>
      </w:r>
      <w:r w:rsidR="0005342B">
        <w:rPr>
          <w:rFonts w:ascii="Calibri" w:hAnsi="Calibri" w:cs="Calibri"/>
          <w:bCs/>
          <w:noProof/>
          <w:sz w:val="22"/>
          <w:szCs w:val="22"/>
          <w:lang w:val="es-ES_tradnl"/>
        </w:rPr>
        <w:t>de contabilidad</w:t>
      </w:r>
      <w:r w:rsidRPr="00F11042">
        <w:rPr>
          <w:rFonts w:ascii="Calibri" w:hAnsi="Calibri" w:cs="Calibri"/>
          <w:bCs/>
          <w:noProof/>
          <w:sz w:val="22"/>
          <w:szCs w:val="22"/>
          <w:lang w:val="es-ES_tradnl"/>
        </w:rPr>
        <w:t xml:space="preserve"> a tiempo parcial, en discusión con la UICN</w:t>
      </w:r>
      <w:r w:rsidR="0005342B">
        <w:rPr>
          <w:rFonts w:ascii="Calibri" w:hAnsi="Calibri" w:cs="Calibri"/>
          <w:bCs/>
          <w:noProof/>
          <w:sz w:val="22"/>
          <w:szCs w:val="22"/>
          <w:lang w:val="es-ES_tradnl"/>
        </w:rPr>
        <w:t>,</w:t>
      </w:r>
      <w:r w:rsidRPr="00F11042">
        <w:rPr>
          <w:rFonts w:ascii="Calibri" w:hAnsi="Calibri" w:cs="Calibri"/>
          <w:bCs/>
          <w:noProof/>
          <w:sz w:val="22"/>
          <w:szCs w:val="22"/>
          <w:lang w:val="es-ES_tradnl"/>
        </w:rPr>
        <w:t xml:space="preserve"> y un </w:t>
      </w:r>
      <w:r w:rsidR="0005342B">
        <w:rPr>
          <w:rFonts w:ascii="Calibri" w:hAnsi="Calibri" w:cs="Calibri"/>
          <w:bCs/>
          <w:noProof/>
          <w:sz w:val="22"/>
          <w:szCs w:val="22"/>
          <w:lang w:val="es-ES_tradnl"/>
        </w:rPr>
        <w:t>a</w:t>
      </w:r>
      <w:r w:rsidRPr="00F11042">
        <w:rPr>
          <w:rFonts w:ascii="Calibri" w:hAnsi="Calibri" w:cs="Calibri"/>
          <w:bCs/>
          <w:noProof/>
          <w:sz w:val="22"/>
          <w:szCs w:val="22"/>
          <w:lang w:val="es-ES_tradnl"/>
        </w:rPr>
        <w:t xml:space="preserve">sesor </w:t>
      </w:r>
      <w:r w:rsidR="0005342B">
        <w:rPr>
          <w:rFonts w:ascii="Calibri" w:hAnsi="Calibri" w:cs="Calibri"/>
          <w:bCs/>
          <w:noProof/>
          <w:sz w:val="22"/>
          <w:szCs w:val="22"/>
          <w:lang w:val="es-ES_tradnl"/>
        </w:rPr>
        <w:t>jurídico sobre a</w:t>
      </w:r>
      <w:r w:rsidRPr="00F11042">
        <w:rPr>
          <w:rFonts w:ascii="Calibri" w:hAnsi="Calibri" w:cs="Calibri"/>
          <w:bCs/>
          <w:noProof/>
          <w:sz w:val="22"/>
          <w:szCs w:val="22"/>
          <w:lang w:val="es-ES_tradnl"/>
        </w:rPr>
        <w:t xml:space="preserve">suntos de la Convención que se mantendrá a través de un contrato de servicios), </w:t>
      </w:r>
      <w:r w:rsidR="00930868">
        <w:rPr>
          <w:rFonts w:ascii="Calibri" w:hAnsi="Calibri" w:cs="Calibri"/>
          <w:bCs/>
          <w:noProof/>
          <w:sz w:val="22"/>
          <w:szCs w:val="22"/>
          <w:lang w:val="es-ES_tradnl"/>
        </w:rPr>
        <w:t>cubrirán</w:t>
      </w:r>
      <w:r w:rsidRPr="00F11042">
        <w:rPr>
          <w:rFonts w:ascii="Calibri" w:hAnsi="Calibri" w:cs="Calibri"/>
          <w:bCs/>
          <w:noProof/>
          <w:sz w:val="22"/>
          <w:szCs w:val="22"/>
          <w:lang w:val="es-ES_tradnl"/>
        </w:rPr>
        <w:t xml:space="preserve"> vacíos de personal y </w:t>
      </w:r>
      <w:r w:rsidR="006B1675">
        <w:rPr>
          <w:rFonts w:ascii="Calibri" w:hAnsi="Calibri" w:cs="Calibri"/>
          <w:bCs/>
          <w:noProof/>
          <w:sz w:val="22"/>
          <w:szCs w:val="22"/>
          <w:lang w:val="es-ES_tradnl"/>
        </w:rPr>
        <w:t>la creación</w:t>
      </w:r>
      <w:r w:rsidR="00930868">
        <w:rPr>
          <w:rFonts w:ascii="Calibri" w:hAnsi="Calibri" w:cs="Calibri"/>
          <w:bCs/>
          <w:noProof/>
          <w:sz w:val="22"/>
          <w:szCs w:val="22"/>
          <w:lang w:val="es-ES_tradnl"/>
        </w:rPr>
        <w:t xml:space="preserve"> de</w:t>
      </w:r>
      <w:r w:rsidR="00522DE4">
        <w:rPr>
          <w:rFonts w:ascii="Calibri" w:hAnsi="Calibri" w:cs="Calibri"/>
          <w:bCs/>
          <w:noProof/>
          <w:sz w:val="22"/>
          <w:szCs w:val="22"/>
          <w:lang w:val="es-ES_tradnl"/>
        </w:rPr>
        <w:t xml:space="preserve"> capacidad y habilidades p</w:t>
      </w:r>
      <w:r w:rsidRPr="00F11042">
        <w:rPr>
          <w:rFonts w:ascii="Calibri" w:hAnsi="Calibri" w:cs="Calibri"/>
          <w:bCs/>
          <w:noProof/>
          <w:sz w:val="22"/>
          <w:szCs w:val="22"/>
          <w:lang w:val="es-ES_tradnl"/>
        </w:rPr>
        <w:t xml:space="preserve">ara </w:t>
      </w:r>
      <w:r w:rsidR="00522DE4">
        <w:rPr>
          <w:rFonts w:ascii="Calibri" w:hAnsi="Calibri" w:cs="Calibri"/>
          <w:bCs/>
          <w:noProof/>
          <w:sz w:val="22"/>
          <w:szCs w:val="22"/>
          <w:lang w:val="es-ES_tradnl"/>
        </w:rPr>
        <w:t>garantizar</w:t>
      </w:r>
      <w:r w:rsidRPr="00F11042">
        <w:rPr>
          <w:rFonts w:ascii="Calibri" w:hAnsi="Calibri" w:cs="Calibri"/>
          <w:bCs/>
          <w:noProof/>
          <w:sz w:val="22"/>
          <w:szCs w:val="22"/>
          <w:lang w:val="es-ES_tradnl"/>
        </w:rPr>
        <w:t xml:space="preserve"> el funcionamiento eficaz de la Secretaría. Estas propuestas se presentarán en la </w:t>
      </w:r>
      <w:r w:rsidR="00522DE4">
        <w:rPr>
          <w:rFonts w:ascii="Calibri" w:hAnsi="Calibri" w:cs="Calibri"/>
          <w:bCs/>
          <w:noProof/>
          <w:sz w:val="22"/>
          <w:szCs w:val="22"/>
          <w:lang w:val="es-ES_tradnl"/>
        </w:rPr>
        <w:t>53ª</w:t>
      </w:r>
      <w:r w:rsidR="006B1675">
        <w:rPr>
          <w:rFonts w:ascii="Calibri" w:hAnsi="Calibri" w:cs="Calibri"/>
          <w:bCs/>
          <w:noProof/>
          <w:sz w:val="22"/>
          <w:szCs w:val="22"/>
          <w:lang w:val="es-ES_tradnl"/>
        </w:rPr>
        <w:t xml:space="preserve"> reunión del Comité Permanente.</w:t>
      </w:r>
    </w:p>
    <w:p w14:paraId="3710E858" w14:textId="77777777" w:rsidR="003861A1" w:rsidRPr="00387415" w:rsidRDefault="003861A1" w:rsidP="0047333D">
      <w:pPr>
        <w:rPr>
          <w:rFonts w:ascii="Calibri" w:hAnsi="Calibri" w:cs="Calibri"/>
          <w:bCs/>
          <w:noProof/>
          <w:sz w:val="22"/>
          <w:szCs w:val="22"/>
          <w:lang w:val="es-ES_tradnl"/>
        </w:rPr>
      </w:pPr>
    </w:p>
    <w:p w14:paraId="187C5CB0" w14:textId="77777777" w:rsidR="006B1675" w:rsidRDefault="006B1675" w:rsidP="0047333D">
      <w:pPr>
        <w:rPr>
          <w:rFonts w:ascii="Calibri" w:hAnsi="Calibri" w:cs="Calibri"/>
          <w:b/>
          <w:bCs/>
          <w:noProof/>
          <w:sz w:val="22"/>
          <w:szCs w:val="22"/>
          <w:lang w:val="es-ES_tradnl"/>
        </w:rPr>
      </w:pPr>
    </w:p>
    <w:p w14:paraId="1EAE57BB" w14:textId="6300F339" w:rsidR="007220B9" w:rsidRPr="00930868" w:rsidRDefault="00930868" w:rsidP="0047333D">
      <w:pPr>
        <w:rPr>
          <w:rFonts w:ascii="Calibri" w:hAnsi="Calibri" w:cs="Calibri"/>
          <w:b/>
          <w:bCs/>
          <w:noProof/>
          <w:sz w:val="22"/>
          <w:szCs w:val="22"/>
          <w:lang w:val="es-ES_tradnl"/>
        </w:rPr>
      </w:pPr>
      <w:r w:rsidRPr="00930868">
        <w:rPr>
          <w:rFonts w:ascii="Calibri" w:hAnsi="Calibri" w:cs="Calibri"/>
          <w:b/>
          <w:bCs/>
          <w:noProof/>
          <w:sz w:val="22"/>
          <w:szCs w:val="22"/>
          <w:lang w:val="es-ES_tradnl"/>
        </w:rPr>
        <w:t xml:space="preserve">Propuesta para 2017 </w:t>
      </w:r>
      <w:r>
        <w:rPr>
          <w:rFonts w:ascii="Calibri" w:hAnsi="Calibri" w:cs="Calibri"/>
          <w:b/>
          <w:bCs/>
          <w:noProof/>
          <w:sz w:val="22"/>
          <w:szCs w:val="22"/>
          <w:lang w:val="es-ES_tradnl"/>
        </w:rPr>
        <w:t>de iniciar</w:t>
      </w:r>
      <w:r w:rsidRPr="00930868">
        <w:rPr>
          <w:rFonts w:ascii="Calibri" w:hAnsi="Calibri" w:cs="Calibri"/>
          <w:b/>
          <w:bCs/>
          <w:noProof/>
          <w:sz w:val="22"/>
          <w:szCs w:val="22"/>
          <w:lang w:val="es-ES_tradnl"/>
        </w:rPr>
        <w:t xml:space="preserve"> el uso de reservas d</w:t>
      </w:r>
      <w:r>
        <w:rPr>
          <w:rFonts w:ascii="Calibri" w:hAnsi="Calibri" w:cs="Calibri"/>
          <w:b/>
          <w:bCs/>
          <w:noProof/>
          <w:sz w:val="22"/>
          <w:szCs w:val="22"/>
          <w:lang w:val="es-ES_tradnl"/>
        </w:rPr>
        <w:t>esignadas para excedentes excepc</w:t>
      </w:r>
      <w:r w:rsidRPr="00930868">
        <w:rPr>
          <w:rFonts w:ascii="Calibri" w:hAnsi="Calibri" w:cs="Calibri"/>
          <w:b/>
          <w:bCs/>
          <w:noProof/>
          <w:sz w:val="22"/>
          <w:szCs w:val="22"/>
          <w:lang w:val="es-ES_tradnl"/>
        </w:rPr>
        <w:t>ionales del presupuesto básico anual</w:t>
      </w:r>
    </w:p>
    <w:p w14:paraId="3B4448C4" w14:textId="77777777" w:rsidR="003861A1" w:rsidRDefault="003861A1" w:rsidP="0047333D">
      <w:pPr>
        <w:rPr>
          <w:rFonts w:ascii="Calibri" w:hAnsi="Calibri" w:cs="Calibri"/>
          <w:b/>
          <w:bCs/>
          <w:noProof/>
          <w:sz w:val="22"/>
          <w:szCs w:val="22"/>
          <w:lang w:val="es-ES_tradnl"/>
        </w:rPr>
      </w:pPr>
    </w:p>
    <w:p w14:paraId="091B6AF3" w14:textId="296D435C" w:rsidR="00930868" w:rsidRPr="00930868" w:rsidRDefault="00930868" w:rsidP="00930868">
      <w:pPr>
        <w:pStyle w:val="ListParagraph"/>
        <w:numPr>
          <w:ilvl w:val="0"/>
          <w:numId w:val="26"/>
        </w:numPr>
        <w:ind w:left="426" w:hanging="426"/>
        <w:rPr>
          <w:rFonts w:ascii="Calibri" w:hAnsi="Calibri" w:cs="Calibri"/>
          <w:bCs/>
          <w:noProof/>
          <w:sz w:val="22"/>
          <w:szCs w:val="22"/>
          <w:lang w:val="es-ES_tradnl"/>
        </w:rPr>
      </w:pPr>
      <w:r w:rsidRPr="00930868">
        <w:rPr>
          <w:rFonts w:ascii="Calibri" w:hAnsi="Calibri" w:cs="Calibri"/>
          <w:bCs/>
          <w:noProof/>
          <w:sz w:val="22"/>
          <w:szCs w:val="22"/>
          <w:lang w:val="es-ES_tradnl"/>
        </w:rPr>
        <w:t>La Secretaría propone suspender la práctica de asignar recursos de proyectos</w:t>
      </w:r>
      <w:r w:rsidR="00C37121">
        <w:rPr>
          <w:rFonts w:ascii="Calibri" w:hAnsi="Calibri" w:cs="Calibri"/>
          <w:bCs/>
          <w:noProof/>
          <w:sz w:val="22"/>
          <w:szCs w:val="22"/>
          <w:lang w:val="es-ES_tradnl"/>
        </w:rPr>
        <w:t xml:space="preserve"> financiados del presupuesto básico</w:t>
      </w:r>
      <w:r w:rsidRPr="00930868">
        <w:rPr>
          <w:rFonts w:ascii="Calibri" w:hAnsi="Calibri" w:cs="Calibri"/>
          <w:bCs/>
          <w:noProof/>
          <w:sz w:val="22"/>
          <w:szCs w:val="22"/>
          <w:lang w:val="es-ES_tradnl"/>
        </w:rPr>
        <w:t xml:space="preserve"> a </w:t>
      </w:r>
      <w:r w:rsidR="00C37121">
        <w:rPr>
          <w:rFonts w:ascii="Calibri" w:hAnsi="Calibri" w:cs="Calibri"/>
          <w:bCs/>
          <w:noProof/>
          <w:sz w:val="22"/>
          <w:szCs w:val="22"/>
          <w:lang w:val="es-ES_tradnl"/>
        </w:rPr>
        <w:t>proyectos</w:t>
      </w:r>
      <w:r w:rsidRPr="00930868">
        <w:rPr>
          <w:rFonts w:ascii="Calibri" w:hAnsi="Calibri" w:cs="Calibri"/>
          <w:bCs/>
          <w:noProof/>
          <w:sz w:val="22"/>
          <w:szCs w:val="22"/>
          <w:lang w:val="es-ES_tradnl"/>
        </w:rPr>
        <w:t xml:space="preserve"> no</w:t>
      </w:r>
      <w:r w:rsidR="00C37121">
        <w:rPr>
          <w:rFonts w:ascii="Calibri" w:hAnsi="Calibri" w:cs="Calibri"/>
          <w:bCs/>
          <w:noProof/>
          <w:sz w:val="22"/>
          <w:szCs w:val="22"/>
          <w:lang w:val="es-ES_tradnl"/>
        </w:rPr>
        <w:t xml:space="preserve"> financiados del presupuesto básico</w:t>
      </w:r>
      <w:r w:rsidRPr="00930868">
        <w:rPr>
          <w:rFonts w:ascii="Calibri" w:hAnsi="Calibri" w:cs="Calibri"/>
          <w:bCs/>
          <w:noProof/>
          <w:sz w:val="22"/>
          <w:szCs w:val="22"/>
          <w:lang w:val="es-ES_tradnl"/>
        </w:rPr>
        <w:t xml:space="preserve">, aumentar la eficiencia en la ejecución del presupuesto y establecer un mecanismo claro y transparente para circunstancias excepcionales cuando </w:t>
      </w:r>
      <w:r w:rsidR="000E7B24">
        <w:rPr>
          <w:rFonts w:ascii="Calibri" w:hAnsi="Calibri" w:cs="Calibri"/>
          <w:bCs/>
          <w:noProof/>
          <w:sz w:val="22"/>
          <w:szCs w:val="22"/>
          <w:lang w:val="es-ES_tradnl"/>
        </w:rPr>
        <w:t>haya</w:t>
      </w:r>
      <w:r w:rsidR="00C37121">
        <w:rPr>
          <w:rFonts w:ascii="Calibri" w:hAnsi="Calibri" w:cs="Calibri"/>
          <w:bCs/>
          <w:noProof/>
          <w:sz w:val="22"/>
          <w:szCs w:val="22"/>
          <w:lang w:val="es-ES_tradnl"/>
        </w:rPr>
        <w:t xml:space="preserve"> excedentes del</w:t>
      </w:r>
      <w:r w:rsidRPr="00930868">
        <w:rPr>
          <w:rFonts w:ascii="Calibri" w:hAnsi="Calibri" w:cs="Calibri"/>
          <w:bCs/>
          <w:noProof/>
          <w:sz w:val="22"/>
          <w:szCs w:val="22"/>
          <w:lang w:val="es-ES_tradnl"/>
        </w:rPr>
        <w:t xml:space="preserve"> presupuestario básico que </w:t>
      </w:r>
      <w:r w:rsidR="00C37121">
        <w:rPr>
          <w:rFonts w:ascii="Calibri" w:hAnsi="Calibri" w:cs="Calibri"/>
          <w:bCs/>
          <w:noProof/>
          <w:sz w:val="22"/>
          <w:szCs w:val="22"/>
          <w:lang w:val="es-ES_tradnl"/>
        </w:rPr>
        <w:t>es necesario utilizar para</w:t>
      </w:r>
      <w:r w:rsidRPr="00930868">
        <w:rPr>
          <w:rFonts w:ascii="Calibri" w:hAnsi="Calibri" w:cs="Calibri"/>
          <w:bCs/>
          <w:noProof/>
          <w:sz w:val="22"/>
          <w:szCs w:val="22"/>
          <w:lang w:val="es-ES_tradnl"/>
        </w:rPr>
        <w:t xml:space="preserve"> fines específicos después del final del año. La UICN ha suspendido la práctica de asignar </w:t>
      </w:r>
      <w:r w:rsidR="000E7B24" w:rsidRPr="00930868">
        <w:rPr>
          <w:rFonts w:ascii="Calibri" w:hAnsi="Calibri" w:cs="Calibri"/>
          <w:bCs/>
          <w:noProof/>
          <w:sz w:val="22"/>
          <w:szCs w:val="22"/>
          <w:lang w:val="es-ES_tradnl"/>
        </w:rPr>
        <w:t>recursos de proyectos</w:t>
      </w:r>
      <w:r w:rsidR="000E7B24">
        <w:rPr>
          <w:rFonts w:ascii="Calibri" w:hAnsi="Calibri" w:cs="Calibri"/>
          <w:bCs/>
          <w:noProof/>
          <w:sz w:val="22"/>
          <w:szCs w:val="22"/>
          <w:lang w:val="es-ES_tradnl"/>
        </w:rPr>
        <w:t xml:space="preserve"> financiados del presupuesto básico</w:t>
      </w:r>
      <w:r w:rsidR="000E7B24" w:rsidRPr="00930868">
        <w:rPr>
          <w:rFonts w:ascii="Calibri" w:hAnsi="Calibri" w:cs="Calibri"/>
          <w:bCs/>
          <w:noProof/>
          <w:sz w:val="22"/>
          <w:szCs w:val="22"/>
          <w:lang w:val="es-ES_tradnl"/>
        </w:rPr>
        <w:t xml:space="preserve"> a </w:t>
      </w:r>
      <w:r w:rsidR="000E7B24">
        <w:rPr>
          <w:rFonts w:ascii="Calibri" w:hAnsi="Calibri" w:cs="Calibri"/>
          <w:bCs/>
          <w:noProof/>
          <w:sz w:val="22"/>
          <w:szCs w:val="22"/>
          <w:lang w:val="es-ES_tradnl"/>
        </w:rPr>
        <w:t>proyectos</w:t>
      </w:r>
      <w:r w:rsidR="000E7B24" w:rsidRPr="00930868">
        <w:rPr>
          <w:rFonts w:ascii="Calibri" w:hAnsi="Calibri" w:cs="Calibri"/>
          <w:bCs/>
          <w:noProof/>
          <w:sz w:val="22"/>
          <w:szCs w:val="22"/>
          <w:lang w:val="es-ES_tradnl"/>
        </w:rPr>
        <w:t xml:space="preserve"> no</w:t>
      </w:r>
      <w:r w:rsidR="000E7B24">
        <w:rPr>
          <w:rFonts w:ascii="Calibri" w:hAnsi="Calibri" w:cs="Calibri"/>
          <w:bCs/>
          <w:noProof/>
          <w:sz w:val="22"/>
          <w:szCs w:val="22"/>
          <w:lang w:val="es-ES_tradnl"/>
        </w:rPr>
        <w:t xml:space="preserve"> financiados del presupuesto básico</w:t>
      </w:r>
      <w:r w:rsidR="000E7B24" w:rsidRPr="00930868">
        <w:rPr>
          <w:rFonts w:ascii="Calibri" w:hAnsi="Calibri" w:cs="Calibri"/>
          <w:bCs/>
          <w:noProof/>
          <w:sz w:val="22"/>
          <w:szCs w:val="22"/>
          <w:lang w:val="es-ES_tradnl"/>
        </w:rPr>
        <w:t xml:space="preserve"> </w:t>
      </w:r>
      <w:r w:rsidRPr="00930868">
        <w:rPr>
          <w:rFonts w:ascii="Calibri" w:hAnsi="Calibri" w:cs="Calibri"/>
          <w:bCs/>
          <w:noProof/>
          <w:sz w:val="22"/>
          <w:szCs w:val="22"/>
          <w:lang w:val="es-ES_tradnl"/>
        </w:rPr>
        <w:t xml:space="preserve">y </w:t>
      </w:r>
      <w:r w:rsidR="00C37121">
        <w:rPr>
          <w:rFonts w:ascii="Calibri" w:hAnsi="Calibri" w:cs="Calibri"/>
          <w:bCs/>
          <w:noProof/>
          <w:sz w:val="22"/>
          <w:szCs w:val="22"/>
          <w:lang w:val="es-ES_tradnl"/>
        </w:rPr>
        <w:t>actualmente</w:t>
      </w:r>
      <w:r w:rsidRPr="00930868">
        <w:rPr>
          <w:rFonts w:ascii="Calibri" w:hAnsi="Calibri" w:cs="Calibri"/>
          <w:bCs/>
          <w:noProof/>
          <w:sz w:val="22"/>
          <w:szCs w:val="22"/>
          <w:lang w:val="es-ES_tradnl"/>
        </w:rPr>
        <w:t xml:space="preserve"> utiliza reservas designadas para los excedentes </w:t>
      </w:r>
      <w:r w:rsidR="00C37121">
        <w:rPr>
          <w:rFonts w:ascii="Calibri" w:hAnsi="Calibri" w:cs="Calibri"/>
          <w:bCs/>
          <w:noProof/>
          <w:sz w:val="22"/>
          <w:szCs w:val="22"/>
          <w:lang w:val="es-ES_tradnl"/>
        </w:rPr>
        <w:t>del presupuesto básico</w:t>
      </w:r>
      <w:r w:rsidRPr="00930868">
        <w:rPr>
          <w:rFonts w:ascii="Calibri" w:hAnsi="Calibri" w:cs="Calibri"/>
          <w:bCs/>
          <w:noProof/>
          <w:sz w:val="22"/>
          <w:szCs w:val="22"/>
          <w:lang w:val="es-ES_tradnl"/>
        </w:rPr>
        <w:t xml:space="preserve">. </w:t>
      </w:r>
      <w:r w:rsidR="00C37121">
        <w:rPr>
          <w:rFonts w:ascii="Calibri" w:hAnsi="Calibri" w:cs="Calibri"/>
          <w:bCs/>
          <w:noProof/>
          <w:sz w:val="22"/>
          <w:szCs w:val="22"/>
          <w:lang w:val="es-ES_tradnl"/>
        </w:rPr>
        <w:t>Además, la</w:t>
      </w:r>
      <w:r w:rsidRPr="00930868">
        <w:rPr>
          <w:rFonts w:ascii="Calibri" w:hAnsi="Calibri" w:cs="Calibri"/>
          <w:bCs/>
          <w:noProof/>
          <w:sz w:val="22"/>
          <w:szCs w:val="22"/>
          <w:lang w:val="es-ES_tradnl"/>
        </w:rPr>
        <w:t xml:space="preserve"> Secretaría está en proceso de verificar las prácticas seguidas por otros convenios </w:t>
      </w:r>
      <w:r w:rsidR="00F3329C">
        <w:rPr>
          <w:rFonts w:ascii="Calibri" w:hAnsi="Calibri" w:cs="Calibri"/>
          <w:bCs/>
          <w:noProof/>
          <w:sz w:val="22"/>
          <w:szCs w:val="22"/>
          <w:lang w:val="es-ES_tradnl"/>
        </w:rPr>
        <w:t>para</w:t>
      </w:r>
      <w:r w:rsidRPr="00930868">
        <w:rPr>
          <w:rFonts w:ascii="Calibri" w:hAnsi="Calibri" w:cs="Calibri"/>
          <w:bCs/>
          <w:noProof/>
          <w:sz w:val="22"/>
          <w:szCs w:val="22"/>
          <w:lang w:val="es-ES_tradnl"/>
        </w:rPr>
        <w:t xml:space="preserve"> los excedentes </w:t>
      </w:r>
      <w:r w:rsidR="00C37121">
        <w:rPr>
          <w:rFonts w:ascii="Calibri" w:hAnsi="Calibri" w:cs="Calibri"/>
          <w:bCs/>
          <w:noProof/>
          <w:sz w:val="22"/>
          <w:szCs w:val="22"/>
          <w:lang w:val="es-ES_tradnl"/>
        </w:rPr>
        <w:t>del presupuesto básico</w:t>
      </w:r>
      <w:r w:rsidRPr="00930868">
        <w:rPr>
          <w:rFonts w:ascii="Calibri" w:hAnsi="Calibri" w:cs="Calibri"/>
          <w:bCs/>
          <w:noProof/>
          <w:sz w:val="22"/>
          <w:szCs w:val="22"/>
          <w:lang w:val="es-ES_tradnl"/>
        </w:rPr>
        <w:t xml:space="preserve"> y proporcionará más información en </w:t>
      </w:r>
      <w:r w:rsidR="00C37121">
        <w:rPr>
          <w:rFonts w:ascii="Calibri" w:hAnsi="Calibri" w:cs="Calibri"/>
          <w:bCs/>
          <w:noProof/>
          <w:sz w:val="22"/>
          <w:szCs w:val="22"/>
          <w:lang w:val="es-ES_tradnl"/>
        </w:rPr>
        <w:t>la 53ª reunión del Comité Permanente</w:t>
      </w:r>
      <w:r w:rsidRPr="00930868">
        <w:rPr>
          <w:rFonts w:ascii="Calibri" w:hAnsi="Calibri" w:cs="Calibri"/>
          <w:bCs/>
          <w:noProof/>
          <w:sz w:val="22"/>
          <w:szCs w:val="22"/>
          <w:lang w:val="es-ES_tradnl"/>
        </w:rPr>
        <w:t>.</w:t>
      </w:r>
    </w:p>
    <w:p w14:paraId="6491D7D8" w14:textId="77777777" w:rsidR="00D77E07" w:rsidRPr="00387415" w:rsidRDefault="00D77E07" w:rsidP="0047333D">
      <w:pPr>
        <w:rPr>
          <w:rFonts w:ascii="Calibri" w:hAnsi="Calibri" w:cs="Calibri"/>
          <w:bCs/>
          <w:noProof/>
          <w:sz w:val="22"/>
          <w:szCs w:val="22"/>
          <w:lang w:val="es-ES_tradnl"/>
        </w:rPr>
      </w:pPr>
    </w:p>
    <w:p w14:paraId="5FBDF550" w14:textId="77777777" w:rsidR="00F3329C" w:rsidRDefault="00F3329C" w:rsidP="0047333D">
      <w:pPr>
        <w:rPr>
          <w:rFonts w:ascii="Calibri" w:hAnsi="Calibri" w:cs="Calibri"/>
          <w:b/>
          <w:bCs/>
          <w:noProof/>
          <w:sz w:val="22"/>
          <w:szCs w:val="22"/>
          <w:lang w:val="es-ES_tradnl"/>
        </w:rPr>
      </w:pPr>
    </w:p>
    <w:p w14:paraId="4A125B40" w14:textId="1C294FC1" w:rsidR="00D77E07" w:rsidRPr="000E7B24" w:rsidRDefault="000E7B24" w:rsidP="0047333D">
      <w:pPr>
        <w:rPr>
          <w:rFonts w:ascii="Calibri" w:hAnsi="Calibri" w:cs="Calibri"/>
          <w:b/>
          <w:bCs/>
          <w:noProof/>
          <w:sz w:val="22"/>
          <w:szCs w:val="22"/>
          <w:lang w:val="es-ES_tradnl"/>
        </w:rPr>
      </w:pPr>
      <w:r w:rsidRPr="000E7B24">
        <w:rPr>
          <w:rFonts w:ascii="Calibri" w:hAnsi="Calibri" w:cs="Calibri"/>
          <w:b/>
          <w:bCs/>
          <w:noProof/>
          <w:sz w:val="22"/>
          <w:szCs w:val="22"/>
          <w:lang w:val="es-ES_tradnl"/>
        </w:rPr>
        <w:t>Resultados de 2016: presupuesto no básico y contribuciones voluntarias</w:t>
      </w:r>
    </w:p>
    <w:p w14:paraId="61D2214F" w14:textId="77777777" w:rsidR="000E650E" w:rsidRPr="00387415" w:rsidRDefault="000E650E" w:rsidP="0047333D">
      <w:pPr>
        <w:keepNext/>
        <w:ind w:left="426"/>
        <w:rPr>
          <w:rFonts w:ascii="Calibri" w:hAnsi="Calibri"/>
          <w:noProof/>
          <w:sz w:val="22"/>
          <w:szCs w:val="22"/>
          <w:lang w:val="es-ES_tradnl"/>
        </w:rPr>
      </w:pPr>
    </w:p>
    <w:p w14:paraId="4F6FE6AA" w14:textId="224E5557" w:rsidR="000E7B24" w:rsidRDefault="000E7B24" w:rsidP="000E7B24">
      <w:pPr>
        <w:numPr>
          <w:ilvl w:val="0"/>
          <w:numId w:val="26"/>
        </w:numPr>
        <w:ind w:left="426" w:hanging="426"/>
        <w:rPr>
          <w:rFonts w:ascii="Calibri" w:hAnsi="Calibri"/>
          <w:noProof/>
          <w:sz w:val="22"/>
          <w:szCs w:val="22"/>
          <w:lang w:val="es-ES_tradnl"/>
        </w:rPr>
      </w:pPr>
      <w:r>
        <w:rPr>
          <w:rFonts w:ascii="Calibri" w:hAnsi="Calibri"/>
          <w:noProof/>
          <w:sz w:val="22"/>
          <w:szCs w:val="22"/>
          <w:lang w:val="es-ES_tradnl"/>
        </w:rPr>
        <w:t>En 2016 l</w:t>
      </w:r>
      <w:r w:rsidRPr="000E7B24">
        <w:rPr>
          <w:rFonts w:ascii="Calibri" w:hAnsi="Calibri"/>
          <w:noProof/>
          <w:sz w:val="22"/>
          <w:szCs w:val="22"/>
          <w:lang w:val="es-ES_tradnl"/>
        </w:rPr>
        <w:t xml:space="preserve">os Estados Unidos de América </w:t>
      </w:r>
      <w:r w:rsidR="00B10B37">
        <w:rPr>
          <w:rFonts w:ascii="Calibri" w:hAnsi="Calibri"/>
          <w:noProof/>
          <w:sz w:val="22"/>
          <w:szCs w:val="22"/>
          <w:lang w:val="es-ES_tradnl"/>
        </w:rPr>
        <w:t>hicieron</w:t>
      </w:r>
      <w:r w:rsidRPr="000E7B24">
        <w:rPr>
          <w:rFonts w:ascii="Calibri" w:hAnsi="Calibri"/>
          <w:noProof/>
          <w:sz w:val="22"/>
          <w:szCs w:val="22"/>
          <w:lang w:val="es-ES_tradnl"/>
        </w:rPr>
        <w:t xml:space="preserve"> una contribución voluntaria de 1.</w:t>
      </w:r>
      <w:r>
        <w:rPr>
          <w:rFonts w:ascii="Calibri" w:hAnsi="Calibri"/>
          <w:noProof/>
          <w:sz w:val="22"/>
          <w:szCs w:val="22"/>
          <w:lang w:val="es-ES_tradnl"/>
        </w:rPr>
        <w:t>142</w:t>
      </w:r>
      <w:r w:rsidRPr="000E7B24">
        <w:rPr>
          <w:rFonts w:ascii="Calibri" w:hAnsi="Calibri"/>
          <w:noProof/>
          <w:sz w:val="22"/>
          <w:szCs w:val="22"/>
          <w:lang w:val="es-ES_tradnl"/>
        </w:rPr>
        <w:t>.</w:t>
      </w:r>
      <w:r>
        <w:rPr>
          <w:rFonts w:ascii="Calibri" w:hAnsi="Calibri"/>
          <w:noProof/>
          <w:sz w:val="22"/>
          <w:szCs w:val="22"/>
          <w:lang w:val="es-ES_tradnl"/>
        </w:rPr>
        <w:t>233</w:t>
      </w:r>
      <w:r w:rsidRPr="000E7B24">
        <w:rPr>
          <w:rFonts w:ascii="Calibri" w:hAnsi="Calibri"/>
          <w:noProof/>
          <w:sz w:val="22"/>
          <w:szCs w:val="22"/>
          <w:lang w:val="es-ES_tradnl"/>
        </w:rPr>
        <w:t xml:space="preserve"> francos suizos (1.150.000 dólares de los EE.UU.), de los cuales 1.065.</w:t>
      </w:r>
      <w:r>
        <w:rPr>
          <w:rFonts w:ascii="Calibri" w:hAnsi="Calibri"/>
          <w:noProof/>
          <w:sz w:val="22"/>
          <w:szCs w:val="22"/>
          <w:lang w:val="es-ES_tradnl"/>
        </w:rPr>
        <w:t>799</w:t>
      </w:r>
      <w:r w:rsidRPr="000E7B24">
        <w:rPr>
          <w:rFonts w:ascii="Calibri" w:hAnsi="Calibri"/>
          <w:noProof/>
          <w:sz w:val="22"/>
          <w:szCs w:val="22"/>
          <w:lang w:val="es-ES_tradnl"/>
        </w:rPr>
        <w:t xml:space="preserve"> francos suizos</w:t>
      </w:r>
      <w:r w:rsidR="00F3329C">
        <w:rPr>
          <w:rFonts w:ascii="Calibri" w:hAnsi="Calibri"/>
          <w:noProof/>
          <w:sz w:val="22"/>
          <w:szCs w:val="22"/>
          <w:lang w:val="es-ES_tradnl"/>
        </w:rPr>
        <w:t xml:space="preserve"> se destinaron</w:t>
      </w:r>
      <w:r w:rsidRPr="000E7B24">
        <w:rPr>
          <w:rFonts w:ascii="Calibri" w:hAnsi="Calibri"/>
          <w:noProof/>
          <w:sz w:val="22"/>
          <w:szCs w:val="22"/>
          <w:lang w:val="es-ES_tradnl"/>
        </w:rPr>
        <w:t xml:space="preserve"> al presupuesto básico de la Secretaría y </w:t>
      </w:r>
      <w:r>
        <w:rPr>
          <w:rFonts w:ascii="Calibri" w:hAnsi="Calibri"/>
          <w:noProof/>
          <w:sz w:val="22"/>
          <w:szCs w:val="22"/>
          <w:lang w:val="es-ES_tradnl"/>
        </w:rPr>
        <w:t>76.434</w:t>
      </w:r>
      <w:r w:rsidRPr="000E7B24">
        <w:rPr>
          <w:rFonts w:ascii="Calibri" w:hAnsi="Calibri"/>
          <w:noProof/>
          <w:sz w:val="22"/>
          <w:szCs w:val="22"/>
          <w:lang w:val="es-ES_tradnl"/>
        </w:rPr>
        <w:t xml:space="preserve"> francos suizos se destinaron a proyectos no financiados del presupuesto básico a través del Fondo Humedales para el Futuro. </w:t>
      </w:r>
    </w:p>
    <w:p w14:paraId="30C8484F" w14:textId="77777777" w:rsidR="000808A8" w:rsidRPr="00387415" w:rsidRDefault="000808A8" w:rsidP="0047333D">
      <w:pPr>
        <w:ind w:left="426"/>
        <w:rPr>
          <w:rFonts w:ascii="Calibri" w:hAnsi="Calibri"/>
          <w:noProof/>
          <w:sz w:val="22"/>
          <w:szCs w:val="22"/>
          <w:lang w:val="es-ES_tradnl"/>
        </w:rPr>
      </w:pPr>
    </w:p>
    <w:p w14:paraId="2E8D48C9" w14:textId="7C2EF700" w:rsidR="000E7B24" w:rsidRDefault="00D31420" w:rsidP="0047333D">
      <w:pPr>
        <w:numPr>
          <w:ilvl w:val="0"/>
          <w:numId w:val="26"/>
        </w:numPr>
        <w:ind w:left="426" w:hanging="426"/>
        <w:rPr>
          <w:rFonts w:ascii="Calibri" w:hAnsi="Calibri"/>
          <w:noProof/>
          <w:sz w:val="22"/>
          <w:szCs w:val="22"/>
          <w:lang w:val="es-ES_tradnl"/>
        </w:rPr>
      </w:pPr>
      <w:r>
        <w:rPr>
          <w:rFonts w:ascii="Calibri" w:hAnsi="Calibri"/>
          <w:noProof/>
          <w:sz w:val="22"/>
          <w:szCs w:val="22"/>
          <w:lang w:val="es-ES_tradnl"/>
        </w:rPr>
        <w:t>S</w:t>
      </w:r>
      <w:r w:rsidR="000E7B24">
        <w:rPr>
          <w:rFonts w:ascii="Calibri" w:hAnsi="Calibri"/>
          <w:noProof/>
          <w:sz w:val="22"/>
          <w:szCs w:val="22"/>
          <w:lang w:val="es-ES_tradnl"/>
        </w:rPr>
        <w:t xml:space="preserve">e recibieron contribuciones voluntarias de 13.000 francos suizos de las Partes Contratantes en la </w:t>
      </w:r>
      <w:r>
        <w:rPr>
          <w:rFonts w:ascii="Calibri" w:hAnsi="Calibri"/>
          <w:noProof/>
          <w:sz w:val="22"/>
          <w:szCs w:val="22"/>
          <w:lang w:val="es-ES_tradnl"/>
        </w:rPr>
        <w:t>región de África, correspondientes a 2016 y años anteriores. El párrafo 23 de la Resolución X.2 estipula que estas contribuciones deben destinarse específicamente a iniciativas regionales en África.</w:t>
      </w:r>
      <w:r w:rsidR="000E7B24">
        <w:rPr>
          <w:rFonts w:ascii="Calibri" w:hAnsi="Calibri"/>
          <w:noProof/>
          <w:sz w:val="22"/>
          <w:szCs w:val="22"/>
          <w:lang w:val="es-ES_tradnl"/>
        </w:rPr>
        <w:t xml:space="preserve"> </w:t>
      </w:r>
    </w:p>
    <w:p w14:paraId="52AC8FC6" w14:textId="77777777" w:rsidR="00D31420" w:rsidRDefault="00D31420" w:rsidP="00D31420">
      <w:pPr>
        <w:rPr>
          <w:rFonts w:ascii="Calibri" w:hAnsi="Calibri"/>
          <w:noProof/>
          <w:sz w:val="22"/>
          <w:szCs w:val="22"/>
          <w:lang w:val="es-ES_tradnl"/>
        </w:rPr>
      </w:pPr>
    </w:p>
    <w:p w14:paraId="30C6B8CE" w14:textId="1E93C5C3" w:rsidR="00D31420" w:rsidRDefault="00D31420" w:rsidP="0047333D">
      <w:pPr>
        <w:numPr>
          <w:ilvl w:val="0"/>
          <w:numId w:val="26"/>
        </w:numPr>
        <w:ind w:left="426" w:hanging="426"/>
        <w:rPr>
          <w:rFonts w:ascii="Calibri" w:hAnsi="Calibri"/>
          <w:noProof/>
          <w:sz w:val="22"/>
          <w:szCs w:val="22"/>
          <w:lang w:val="es-ES_tradnl"/>
        </w:rPr>
      </w:pPr>
      <w:r>
        <w:rPr>
          <w:rFonts w:ascii="Calibri" w:hAnsi="Calibri"/>
          <w:noProof/>
          <w:sz w:val="22"/>
          <w:szCs w:val="22"/>
          <w:lang w:val="es-ES_tradnl"/>
        </w:rPr>
        <w:t xml:space="preserve">En 2016, se recibieron contribuciones voluntarias </w:t>
      </w:r>
      <w:r w:rsidRPr="00D31420">
        <w:rPr>
          <w:rFonts w:ascii="Calibri" w:hAnsi="Calibri"/>
          <w:noProof/>
          <w:sz w:val="22"/>
          <w:szCs w:val="22"/>
          <w:lang w:val="es-ES_tradnl"/>
        </w:rPr>
        <w:t xml:space="preserve">adicionales </w:t>
      </w:r>
      <w:r>
        <w:rPr>
          <w:rFonts w:ascii="Calibri" w:hAnsi="Calibri"/>
          <w:noProof/>
          <w:sz w:val="22"/>
          <w:szCs w:val="22"/>
          <w:lang w:val="es-ES_tradnl"/>
        </w:rPr>
        <w:t>al presupuesto no básico</w:t>
      </w:r>
      <w:r w:rsidRPr="00D31420">
        <w:rPr>
          <w:rFonts w:ascii="Calibri" w:hAnsi="Calibri"/>
          <w:noProof/>
          <w:sz w:val="22"/>
          <w:szCs w:val="22"/>
          <w:lang w:val="es-ES_tradnl"/>
        </w:rPr>
        <w:t xml:space="preserve"> </w:t>
      </w:r>
      <w:r>
        <w:rPr>
          <w:rFonts w:ascii="Calibri" w:hAnsi="Calibri"/>
          <w:noProof/>
          <w:sz w:val="22"/>
          <w:szCs w:val="22"/>
          <w:lang w:val="es-ES_tradnl"/>
        </w:rPr>
        <w:t>por el importe de 703.000 francos suizos</w:t>
      </w:r>
      <w:r w:rsidRPr="00D31420">
        <w:rPr>
          <w:rFonts w:ascii="Calibri" w:hAnsi="Calibri"/>
          <w:noProof/>
          <w:sz w:val="22"/>
          <w:szCs w:val="22"/>
          <w:lang w:val="es-ES_tradnl"/>
        </w:rPr>
        <w:t xml:space="preserve">. </w:t>
      </w:r>
      <w:r>
        <w:rPr>
          <w:rFonts w:ascii="Calibri" w:hAnsi="Calibri"/>
          <w:noProof/>
          <w:sz w:val="22"/>
          <w:szCs w:val="22"/>
          <w:lang w:val="es-ES_tradnl"/>
        </w:rPr>
        <w:t>Dichas</w:t>
      </w:r>
      <w:r w:rsidRPr="00D31420">
        <w:rPr>
          <w:rFonts w:ascii="Calibri" w:hAnsi="Calibri"/>
          <w:noProof/>
          <w:sz w:val="22"/>
          <w:szCs w:val="22"/>
          <w:lang w:val="es-ES_tradnl"/>
        </w:rPr>
        <w:t xml:space="preserve"> contribuci</w:t>
      </w:r>
      <w:r>
        <w:rPr>
          <w:rFonts w:ascii="Calibri" w:hAnsi="Calibri"/>
          <w:noProof/>
          <w:sz w:val="22"/>
          <w:szCs w:val="22"/>
          <w:lang w:val="es-ES_tradnl"/>
        </w:rPr>
        <w:t>ones figuran en el Cuadro 3.</w:t>
      </w:r>
    </w:p>
    <w:p w14:paraId="17C9F7D5" w14:textId="77777777" w:rsidR="0084272B" w:rsidRPr="00D31420" w:rsidRDefault="0084272B" w:rsidP="00D31420">
      <w:pPr>
        <w:rPr>
          <w:rFonts w:ascii="Calibri" w:hAnsi="Calibri"/>
          <w:noProof/>
          <w:sz w:val="22"/>
          <w:szCs w:val="22"/>
          <w:lang w:val="es-ES_tradnl"/>
        </w:rPr>
      </w:pPr>
    </w:p>
    <w:p w14:paraId="2BAECAAB" w14:textId="77777777" w:rsidR="000222F9" w:rsidRDefault="000222F9">
      <w:pPr>
        <w:rPr>
          <w:rFonts w:ascii="Calibri" w:hAnsi="Calibri"/>
          <w:i/>
          <w:noProof/>
          <w:sz w:val="22"/>
          <w:szCs w:val="22"/>
          <w:lang w:val="es-ES_tradnl"/>
        </w:rPr>
      </w:pPr>
      <w:r>
        <w:rPr>
          <w:rFonts w:ascii="Calibri" w:hAnsi="Calibri"/>
          <w:i/>
          <w:noProof/>
          <w:sz w:val="22"/>
          <w:szCs w:val="22"/>
          <w:lang w:val="es-ES_tradnl"/>
        </w:rPr>
        <w:br w:type="page"/>
      </w:r>
    </w:p>
    <w:p w14:paraId="3A355476" w14:textId="11A61636" w:rsidR="00F9733B" w:rsidRPr="00387415" w:rsidRDefault="00D31420" w:rsidP="0047333D">
      <w:pPr>
        <w:keepNext/>
        <w:rPr>
          <w:rFonts w:ascii="Calibri" w:hAnsi="Calibri"/>
          <w:i/>
          <w:noProof/>
          <w:sz w:val="22"/>
          <w:szCs w:val="22"/>
          <w:lang w:val="es-ES_tradnl"/>
        </w:rPr>
      </w:pPr>
      <w:r>
        <w:rPr>
          <w:rFonts w:ascii="Calibri" w:hAnsi="Calibri"/>
          <w:i/>
          <w:noProof/>
          <w:sz w:val="22"/>
          <w:szCs w:val="22"/>
          <w:lang w:val="es-ES_tradnl"/>
        </w:rPr>
        <w:lastRenderedPageBreak/>
        <w:t>Cuadro</w:t>
      </w:r>
      <w:r w:rsidR="00F9733B" w:rsidRPr="00387415">
        <w:rPr>
          <w:rFonts w:ascii="Calibri" w:hAnsi="Calibri"/>
          <w:i/>
          <w:noProof/>
          <w:sz w:val="22"/>
          <w:szCs w:val="22"/>
          <w:lang w:val="es-ES_tradnl"/>
        </w:rPr>
        <w:t xml:space="preserve"> </w:t>
      </w:r>
      <w:r w:rsidR="00274133" w:rsidRPr="00387415">
        <w:rPr>
          <w:rFonts w:ascii="Calibri" w:hAnsi="Calibri"/>
          <w:i/>
          <w:noProof/>
          <w:sz w:val="22"/>
          <w:szCs w:val="22"/>
          <w:lang w:val="es-ES_tradnl"/>
        </w:rPr>
        <w:t>3</w:t>
      </w:r>
      <w:r w:rsidR="00F9733B" w:rsidRPr="00387415">
        <w:rPr>
          <w:rFonts w:ascii="Calibri" w:hAnsi="Calibri"/>
          <w:i/>
          <w:noProof/>
          <w:sz w:val="22"/>
          <w:szCs w:val="22"/>
          <w:lang w:val="es-ES_tradnl"/>
        </w:rPr>
        <w:t>:</w:t>
      </w:r>
      <w:r>
        <w:rPr>
          <w:rFonts w:ascii="Calibri" w:hAnsi="Calibri"/>
          <w:i/>
          <w:noProof/>
          <w:sz w:val="22"/>
          <w:szCs w:val="22"/>
          <w:lang w:val="es-ES_tradnl"/>
        </w:rPr>
        <w:t xml:space="preserve"> </w:t>
      </w:r>
      <w:r w:rsidRPr="003C5C91">
        <w:rPr>
          <w:rFonts w:ascii="Calibri" w:hAnsi="Calibri"/>
          <w:i/>
          <w:noProof/>
          <w:sz w:val="22"/>
          <w:szCs w:val="22"/>
          <w:lang w:val="es-ES_tradnl"/>
        </w:rPr>
        <w:t>Contribuciones voluntarias adicionales al presupuesto no básico recibidas en 2016 (en miles de francos suizos</w:t>
      </w:r>
      <w:r>
        <w:rPr>
          <w:rFonts w:ascii="Calibri" w:hAnsi="Calibri" w:cs="Calibri"/>
          <w:bCs/>
          <w:i/>
          <w:noProof/>
          <w:sz w:val="22"/>
          <w:szCs w:val="22"/>
          <w:lang w:val="es-ES_tradnl"/>
        </w:rPr>
        <w:t>, con posibles errores por redondeo)</w:t>
      </w:r>
    </w:p>
    <w:p w14:paraId="2AF6018B" w14:textId="77777777" w:rsidR="00F9733B" w:rsidRPr="00387415" w:rsidRDefault="00F9733B" w:rsidP="0047333D">
      <w:pPr>
        <w:keepNext/>
        <w:rPr>
          <w:rFonts w:ascii="Calibri" w:hAnsi="Calibri"/>
          <w:b/>
          <w:noProof/>
          <w:sz w:val="22"/>
          <w:szCs w:val="22"/>
          <w:lang w:val="es-ES_tradnl"/>
        </w:rPr>
      </w:pPr>
    </w:p>
    <w:tbl>
      <w:tblPr>
        <w:tblW w:w="8885" w:type="dxa"/>
        <w:tblInd w:w="103" w:type="dxa"/>
        <w:tblLook w:val="04A0" w:firstRow="1" w:lastRow="0" w:firstColumn="1" w:lastColumn="0" w:noHBand="0" w:noVBand="1"/>
      </w:tblPr>
      <w:tblGrid>
        <w:gridCol w:w="2699"/>
        <w:gridCol w:w="1842"/>
        <w:gridCol w:w="4344"/>
      </w:tblGrid>
      <w:tr w:rsidR="00F9733B" w:rsidRPr="00387415" w14:paraId="3FD4277D" w14:textId="77777777">
        <w:trPr>
          <w:trHeight w:val="293"/>
        </w:trPr>
        <w:tc>
          <w:tcPr>
            <w:tcW w:w="2699"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3AA600B2" w14:textId="2E7A0949" w:rsidR="00F9733B" w:rsidRPr="00387415" w:rsidRDefault="00D31420" w:rsidP="0047333D">
            <w:pPr>
              <w:rPr>
                <w:rFonts w:ascii="Calibri" w:eastAsia="Times New Roman" w:hAnsi="Calibri"/>
                <w:b/>
                <w:bCs/>
                <w:noProof/>
                <w:color w:val="000000"/>
                <w:sz w:val="22"/>
                <w:szCs w:val="22"/>
                <w:lang w:val="es-ES_tradnl" w:eastAsia="en-GB"/>
              </w:rPr>
            </w:pPr>
            <w:r>
              <w:rPr>
                <w:rFonts w:ascii="Calibri" w:eastAsia="Times New Roman" w:hAnsi="Calibri"/>
                <w:b/>
                <w:bCs/>
                <w:noProof/>
                <w:color w:val="000000"/>
                <w:sz w:val="22"/>
                <w:szCs w:val="22"/>
                <w:lang w:val="es-ES_tradnl" w:eastAsia="en-GB"/>
              </w:rPr>
              <w:t>Donante</w:t>
            </w:r>
          </w:p>
        </w:tc>
        <w:tc>
          <w:tcPr>
            <w:tcW w:w="1842" w:type="dxa"/>
            <w:tcBorders>
              <w:top w:val="single" w:sz="4" w:space="0" w:color="auto"/>
              <w:left w:val="nil"/>
              <w:bottom w:val="single" w:sz="4" w:space="0" w:color="auto"/>
              <w:right w:val="single" w:sz="4" w:space="0" w:color="auto"/>
            </w:tcBorders>
            <w:shd w:val="clear" w:color="000000" w:fill="C5D9F1"/>
            <w:noWrap/>
            <w:vAlign w:val="bottom"/>
          </w:tcPr>
          <w:p w14:paraId="0D758648" w14:textId="7B2F18A7" w:rsidR="00F9733B" w:rsidRPr="00387415" w:rsidRDefault="00D31420" w:rsidP="00BE14B8">
            <w:pPr>
              <w:jc w:val="center"/>
              <w:rPr>
                <w:rFonts w:ascii="Calibri" w:eastAsia="Times New Roman" w:hAnsi="Calibri"/>
                <w:b/>
                <w:bCs/>
                <w:noProof/>
                <w:color w:val="000000"/>
                <w:sz w:val="22"/>
                <w:szCs w:val="22"/>
                <w:lang w:val="es-ES_tradnl" w:eastAsia="en-GB"/>
              </w:rPr>
            </w:pPr>
            <w:r>
              <w:rPr>
                <w:rFonts w:ascii="Calibri" w:eastAsia="Times New Roman" w:hAnsi="Calibri"/>
                <w:b/>
                <w:bCs/>
                <w:noProof/>
                <w:color w:val="000000"/>
                <w:sz w:val="22"/>
                <w:szCs w:val="22"/>
                <w:lang w:val="es-ES_tradnl" w:eastAsia="en-GB"/>
              </w:rPr>
              <w:t xml:space="preserve">Importe </w:t>
            </w:r>
          </w:p>
        </w:tc>
        <w:tc>
          <w:tcPr>
            <w:tcW w:w="4344" w:type="dxa"/>
            <w:tcBorders>
              <w:top w:val="single" w:sz="4" w:space="0" w:color="auto"/>
              <w:left w:val="nil"/>
              <w:bottom w:val="single" w:sz="4" w:space="0" w:color="auto"/>
              <w:right w:val="single" w:sz="4" w:space="0" w:color="auto"/>
            </w:tcBorders>
            <w:shd w:val="clear" w:color="000000" w:fill="C5D9F1"/>
            <w:noWrap/>
            <w:vAlign w:val="bottom"/>
          </w:tcPr>
          <w:p w14:paraId="70AD34EC" w14:textId="40FFE9F2" w:rsidR="00F9733B" w:rsidRPr="00387415" w:rsidRDefault="00D31420" w:rsidP="0047333D">
            <w:pPr>
              <w:jc w:val="center"/>
              <w:rPr>
                <w:rFonts w:ascii="Calibri" w:eastAsia="Times New Roman" w:hAnsi="Calibri"/>
                <w:b/>
                <w:bCs/>
                <w:noProof/>
                <w:color w:val="000000"/>
                <w:sz w:val="22"/>
                <w:szCs w:val="22"/>
                <w:lang w:val="es-ES_tradnl" w:eastAsia="en-GB"/>
              </w:rPr>
            </w:pPr>
            <w:r>
              <w:rPr>
                <w:rFonts w:ascii="Calibri" w:eastAsia="Times New Roman" w:hAnsi="Calibri"/>
                <w:b/>
                <w:bCs/>
                <w:noProof/>
                <w:color w:val="000000"/>
                <w:sz w:val="22"/>
                <w:szCs w:val="22"/>
                <w:lang w:val="es-ES_tradnl" w:eastAsia="en-GB"/>
              </w:rPr>
              <w:t>Observaciones</w:t>
            </w:r>
          </w:p>
        </w:tc>
      </w:tr>
      <w:tr w:rsidR="00F9733B" w:rsidRPr="00387415" w14:paraId="3BF55ADC" w14:textId="77777777">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14:paraId="48FBB3A9" w14:textId="77777777" w:rsidR="00F9733B" w:rsidRPr="00387415" w:rsidRDefault="00996235"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Danon</w:t>
            </w:r>
            <w:r w:rsidR="003D30F3" w:rsidRPr="00387415">
              <w:rPr>
                <w:rFonts w:ascii="Calibri" w:eastAsia="Times New Roman" w:hAnsi="Calibri"/>
                <w:noProof/>
                <w:color w:val="000000"/>
                <w:sz w:val="22"/>
                <w:szCs w:val="22"/>
                <w:lang w:val="es-ES_tradnl" w:eastAsia="en-GB"/>
              </w:rPr>
              <w:t>e</w:t>
            </w:r>
          </w:p>
        </w:tc>
        <w:tc>
          <w:tcPr>
            <w:tcW w:w="1842" w:type="dxa"/>
            <w:tcBorders>
              <w:top w:val="nil"/>
              <w:left w:val="nil"/>
              <w:bottom w:val="single" w:sz="4" w:space="0" w:color="auto"/>
              <w:right w:val="single" w:sz="4" w:space="0" w:color="auto"/>
            </w:tcBorders>
            <w:shd w:val="clear" w:color="000000" w:fill="C5D9F1"/>
            <w:noWrap/>
            <w:vAlign w:val="bottom"/>
          </w:tcPr>
          <w:p w14:paraId="7B283EA5" w14:textId="77777777" w:rsidR="00F9733B" w:rsidRPr="00387415" w:rsidRDefault="00996235" w:rsidP="0047333D">
            <w:pPr>
              <w:ind w:right="396"/>
              <w:jc w:val="right"/>
              <w:rPr>
                <w:rFonts w:ascii="Calibri" w:eastAsia="Times New Roman" w:hAnsi="Calibri"/>
                <w:noProof/>
                <w:sz w:val="22"/>
                <w:szCs w:val="22"/>
                <w:lang w:val="es-ES_tradnl" w:eastAsia="en-GB"/>
              </w:rPr>
            </w:pPr>
            <w:r w:rsidRPr="00387415">
              <w:rPr>
                <w:rFonts w:ascii="Calibri" w:eastAsia="Times New Roman" w:hAnsi="Calibri"/>
                <w:noProof/>
                <w:sz w:val="22"/>
                <w:szCs w:val="22"/>
                <w:lang w:val="es-ES_tradnl" w:eastAsia="en-GB"/>
              </w:rPr>
              <w:t>271</w:t>
            </w:r>
          </w:p>
        </w:tc>
        <w:tc>
          <w:tcPr>
            <w:tcW w:w="4344" w:type="dxa"/>
            <w:tcBorders>
              <w:top w:val="nil"/>
              <w:left w:val="nil"/>
              <w:bottom w:val="single" w:sz="4" w:space="0" w:color="auto"/>
              <w:right w:val="single" w:sz="4" w:space="0" w:color="auto"/>
            </w:tcBorders>
            <w:shd w:val="clear" w:color="auto" w:fill="auto"/>
            <w:noWrap/>
            <w:vAlign w:val="bottom"/>
          </w:tcPr>
          <w:p w14:paraId="51F8417E" w14:textId="77777777" w:rsidR="00F9733B" w:rsidRPr="00387415" w:rsidRDefault="00F9733B" w:rsidP="0047333D">
            <w:pPr>
              <w:jc w:val="center"/>
              <w:rPr>
                <w:rFonts w:ascii="Calibri" w:eastAsia="Times New Roman" w:hAnsi="Calibri"/>
                <w:noProof/>
                <w:color w:val="000000"/>
                <w:sz w:val="22"/>
                <w:szCs w:val="22"/>
                <w:lang w:val="es-ES_tradnl" w:eastAsia="en-GB"/>
              </w:rPr>
            </w:pPr>
          </w:p>
        </w:tc>
      </w:tr>
      <w:tr w:rsidR="00F9733B" w:rsidRPr="00387415" w14:paraId="2B420EF2" w14:textId="77777777">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14:paraId="4EAB8CD4" w14:textId="202BAA88" w:rsidR="00F9733B" w:rsidRPr="00387415" w:rsidRDefault="00BE14B8"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Suiza</w:t>
            </w:r>
            <w:r w:rsidR="00243763" w:rsidRPr="00387415">
              <w:rPr>
                <w:rFonts w:ascii="Calibri" w:eastAsia="Times New Roman" w:hAnsi="Calibri"/>
                <w:noProof/>
                <w:color w:val="000000"/>
                <w:sz w:val="22"/>
                <w:szCs w:val="22"/>
                <w:lang w:val="es-ES_tradnl" w:eastAsia="en-GB"/>
              </w:rPr>
              <w:t xml:space="preserve"> (FOEN)</w:t>
            </w:r>
          </w:p>
        </w:tc>
        <w:tc>
          <w:tcPr>
            <w:tcW w:w="1842" w:type="dxa"/>
            <w:tcBorders>
              <w:top w:val="nil"/>
              <w:left w:val="nil"/>
              <w:bottom w:val="single" w:sz="4" w:space="0" w:color="auto"/>
              <w:right w:val="single" w:sz="4" w:space="0" w:color="auto"/>
            </w:tcBorders>
            <w:shd w:val="clear" w:color="000000" w:fill="C5D9F1"/>
            <w:noWrap/>
            <w:vAlign w:val="bottom"/>
          </w:tcPr>
          <w:p w14:paraId="264671DD" w14:textId="77777777" w:rsidR="00F9733B" w:rsidRPr="00387415" w:rsidRDefault="00996235" w:rsidP="0047333D">
            <w:pPr>
              <w:ind w:right="396"/>
              <w:jc w:val="right"/>
              <w:rPr>
                <w:rFonts w:ascii="Calibri" w:eastAsia="Times New Roman" w:hAnsi="Calibri"/>
                <w:noProof/>
                <w:sz w:val="22"/>
                <w:szCs w:val="22"/>
                <w:lang w:val="es-ES_tradnl" w:eastAsia="en-GB"/>
              </w:rPr>
            </w:pPr>
            <w:r w:rsidRPr="00387415">
              <w:rPr>
                <w:rFonts w:ascii="Calibri" w:eastAsia="Times New Roman" w:hAnsi="Calibri"/>
                <w:noProof/>
                <w:sz w:val="22"/>
                <w:szCs w:val="22"/>
                <w:lang w:val="es-ES_tradnl" w:eastAsia="en-GB"/>
              </w:rPr>
              <w:t>120</w:t>
            </w:r>
            <w:r w:rsidR="00F9733B" w:rsidRPr="00387415">
              <w:rPr>
                <w:rFonts w:ascii="Calibri" w:eastAsia="Times New Roman" w:hAnsi="Calibri"/>
                <w:noProof/>
                <w:sz w:val="22"/>
                <w:szCs w:val="22"/>
                <w:lang w:val="es-ES_tradnl"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14:paraId="778B04BF" w14:textId="77777777" w:rsidR="00F9733B" w:rsidRPr="00387415" w:rsidRDefault="00F9733B" w:rsidP="0047333D">
            <w:pPr>
              <w:jc w:val="center"/>
              <w:rPr>
                <w:rFonts w:ascii="Calibri" w:eastAsia="Times New Roman" w:hAnsi="Calibri"/>
                <w:noProof/>
                <w:color w:val="000000"/>
                <w:sz w:val="22"/>
                <w:szCs w:val="22"/>
                <w:lang w:val="es-ES_tradnl" w:eastAsia="en-GB"/>
              </w:rPr>
            </w:pPr>
          </w:p>
        </w:tc>
      </w:tr>
      <w:tr w:rsidR="00F9733B" w:rsidRPr="00387415" w14:paraId="55E03560" w14:textId="77777777">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14:paraId="2044219F" w14:textId="77777777" w:rsidR="00F9733B" w:rsidRPr="00387415" w:rsidRDefault="00BA4F43"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MAVA</w:t>
            </w:r>
          </w:p>
        </w:tc>
        <w:tc>
          <w:tcPr>
            <w:tcW w:w="1842" w:type="dxa"/>
            <w:tcBorders>
              <w:top w:val="nil"/>
              <w:left w:val="nil"/>
              <w:bottom w:val="single" w:sz="4" w:space="0" w:color="auto"/>
              <w:right w:val="single" w:sz="4" w:space="0" w:color="auto"/>
            </w:tcBorders>
            <w:shd w:val="clear" w:color="000000" w:fill="C5D9F1"/>
            <w:noWrap/>
            <w:vAlign w:val="bottom"/>
          </w:tcPr>
          <w:p w14:paraId="70CAA414" w14:textId="77777777" w:rsidR="00F9733B" w:rsidRPr="00387415" w:rsidRDefault="00996235" w:rsidP="0047333D">
            <w:pPr>
              <w:ind w:right="396"/>
              <w:jc w:val="right"/>
              <w:rPr>
                <w:rFonts w:ascii="Calibri" w:eastAsia="Times New Roman" w:hAnsi="Calibri"/>
                <w:noProof/>
                <w:sz w:val="22"/>
                <w:szCs w:val="22"/>
                <w:lang w:val="es-ES_tradnl" w:eastAsia="en-GB"/>
              </w:rPr>
            </w:pPr>
            <w:r w:rsidRPr="00387415">
              <w:rPr>
                <w:rFonts w:ascii="Calibri" w:eastAsia="Times New Roman" w:hAnsi="Calibri"/>
                <w:noProof/>
                <w:sz w:val="22"/>
                <w:szCs w:val="22"/>
                <w:lang w:val="es-ES_tradnl" w:eastAsia="en-GB"/>
              </w:rPr>
              <w:t>124</w:t>
            </w:r>
            <w:r w:rsidR="00F9733B" w:rsidRPr="00387415">
              <w:rPr>
                <w:rFonts w:ascii="Calibri" w:eastAsia="Times New Roman" w:hAnsi="Calibri"/>
                <w:noProof/>
                <w:sz w:val="22"/>
                <w:szCs w:val="22"/>
                <w:lang w:val="es-ES_tradnl"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14:paraId="290592DF" w14:textId="77777777" w:rsidR="00F9733B" w:rsidRPr="00387415" w:rsidRDefault="00F9733B" w:rsidP="0047333D">
            <w:pPr>
              <w:jc w:val="center"/>
              <w:rPr>
                <w:rFonts w:ascii="Calibri" w:eastAsia="Times New Roman" w:hAnsi="Calibri"/>
                <w:noProof/>
                <w:color w:val="000000"/>
                <w:sz w:val="22"/>
                <w:szCs w:val="22"/>
                <w:lang w:val="es-ES_tradnl" w:eastAsia="en-GB"/>
              </w:rPr>
            </w:pPr>
          </w:p>
        </w:tc>
      </w:tr>
      <w:tr w:rsidR="00F9733B" w:rsidRPr="00387415" w14:paraId="66D05B37" w14:textId="77777777">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14:paraId="156C7ED7" w14:textId="249A5E71" w:rsidR="00F9733B" w:rsidRPr="00387415" w:rsidRDefault="00BE14B8"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Japón</w:t>
            </w:r>
            <w:r w:rsidR="00243763" w:rsidRPr="00387415">
              <w:rPr>
                <w:rFonts w:ascii="Calibri" w:eastAsia="Times New Roman" w:hAnsi="Calibri"/>
                <w:noProof/>
                <w:color w:val="000000"/>
                <w:sz w:val="22"/>
                <w:szCs w:val="22"/>
                <w:lang w:val="es-ES_tradnl" w:eastAsia="en-GB"/>
              </w:rPr>
              <w:t xml:space="preserve"> (NEF)</w:t>
            </w:r>
          </w:p>
        </w:tc>
        <w:tc>
          <w:tcPr>
            <w:tcW w:w="1842" w:type="dxa"/>
            <w:tcBorders>
              <w:top w:val="nil"/>
              <w:left w:val="nil"/>
              <w:bottom w:val="single" w:sz="4" w:space="0" w:color="auto"/>
              <w:right w:val="single" w:sz="4" w:space="0" w:color="auto"/>
            </w:tcBorders>
            <w:shd w:val="clear" w:color="000000" w:fill="C5D9F1"/>
            <w:noWrap/>
            <w:vAlign w:val="bottom"/>
          </w:tcPr>
          <w:p w14:paraId="7E4AC535" w14:textId="77777777" w:rsidR="00F9733B" w:rsidRPr="00387415" w:rsidRDefault="00996235" w:rsidP="0047333D">
            <w:pPr>
              <w:ind w:right="396"/>
              <w:jc w:val="right"/>
              <w:rPr>
                <w:rFonts w:ascii="Calibri" w:eastAsia="Times New Roman" w:hAnsi="Calibri"/>
                <w:noProof/>
                <w:sz w:val="22"/>
                <w:szCs w:val="22"/>
                <w:lang w:val="es-ES_tradnl" w:eastAsia="en-GB"/>
              </w:rPr>
            </w:pPr>
            <w:r w:rsidRPr="00387415">
              <w:rPr>
                <w:rFonts w:ascii="Calibri" w:eastAsia="Times New Roman" w:hAnsi="Calibri"/>
                <w:noProof/>
                <w:sz w:val="22"/>
                <w:szCs w:val="22"/>
                <w:lang w:val="es-ES_tradnl" w:eastAsia="en-GB"/>
              </w:rPr>
              <w:t>92</w:t>
            </w:r>
            <w:r w:rsidR="00F9733B" w:rsidRPr="00387415">
              <w:rPr>
                <w:rFonts w:ascii="Calibri" w:eastAsia="Times New Roman" w:hAnsi="Calibri"/>
                <w:noProof/>
                <w:sz w:val="22"/>
                <w:szCs w:val="22"/>
                <w:lang w:val="es-ES_tradnl"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14:paraId="157C90EC" w14:textId="77777777" w:rsidR="00F9733B" w:rsidRPr="00387415" w:rsidRDefault="00F9733B" w:rsidP="0047333D">
            <w:pPr>
              <w:jc w:val="center"/>
              <w:rPr>
                <w:rFonts w:ascii="Calibri" w:eastAsia="Times New Roman" w:hAnsi="Calibri"/>
                <w:noProof/>
                <w:color w:val="000000"/>
                <w:sz w:val="22"/>
                <w:szCs w:val="22"/>
                <w:lang w:val="es-ES_tradnl" w:eastAsia="en-GB"/>
              </w:rPr>
            </w:pPr>
          </w:p>
        </w:tc>
      </w:tr>
      <w:tr w:rsidR="00F9733B" w:rsidRPr="000222F9" w14:paraId="270D1844" w14:textId="77777777">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14:paraId="624830A2" w14:textId="32AD07A7" w:rsidR="00F9733B" w:rsidRPr="00387415" w:rsidRDefault="003D30F3"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Canad</w:t>
            </w:r>
            <w:r w:rsidR="00BE14B8">
              <w:rPr>
                <w:rFonts w:ascii="Calibri" w:eastAsia="Times New Roman" w:hAnsi="Calibri"/>
                <w:noProof/>
                <w:color w:val="000000"/>
                <w:sz w:val="22"/>
                <w:szCs w:val="22"/>
                <w:lang w:val="es-ES_tradnl" w:eastAsia="en-GB"/>
              </w:rPr>
              <w:t>á</w:t>
            </w:r>
          </w:p>
        </w:tc>
        <w:tc>
          <w:tcPr>
            <w:tcW w:w="1842" w:type="dxa"/>
            <w:tcBorders>
              <w:top w:val="nil"/>
              <w:left w:val="nil"/>
              <w:bottom w:val="single" w:sz="4" w:space="0" w:color="auto"/>
              <w:right w:val="single" w:sz="4" w:space="0" w:color="auto"/>
            </w:tcBorders>
            <w:shd w:val="clear" w:color="000000" w:fill="C5D9F1"/>
            <w:noWrap/>
            <w:vAlign w:val="bottom"/>
          </w:tcPr>
          <w:p w14:paraId="067EA706" w14:textId="77777777" w:rsidR="00F9733B" w:rsidRPr="00387415" w:rsidRDefault="00996235" w:rsidP="0047333D">
            <w:pPr>
              <w:ind w:right="396"/>
              <w:jc w:val="right"/>
              <w:rPr>
                <w:rFonts w:ascii="Calibri" w:eastAsia="Times New Roman" w:hAnsi="Calibri"/>
                <w:noProof/>
                <w:sz w:val="22"/>
                <w:szCs w:val="22"/>
                <w:lang w:val="es-ES_tradnl" w:eastAsia="en-GB"/>
              </w:rPr>
            </w:pPr>
            <w:r w:rsidRPr="00387415">
              <w:rPr>
                <w:rFonts w:ascii="Calibri" w:eastAsia="Times New Roman" w:hAnsi="Calibri"/>
                <w:noProof/>
                <w:sz w:val="22"/>
                <w:szCs w:val="22"/>
                <w:lang w:val="es-ES_tradnl" w:eastAsia="en-GB"/>
              </w:rPr>
              <w:t>2</w:t>
            </w:r>
            <w:r w:rsidR="003D30F3" w:rsidRPr="00387415">
              <w:rPr>
                <w:rFonts w:ascii="Calibri" w:eastAsia="Times New Roman" w:hAnsi="Calibri"/>
                <w:noProof/>
                <w:sz w:val="22"/>
                <w:szCs w:val="22"/>
                <w:lang w:val="es-ES_tradnl" w:eastAsia="en-GB"/>
              </w:rPr>
              <w:t>8</w:t>
            </w:r>
            <w:r w:rsidR="00F9733B" w:rsidRPr="00387415">
              <w:rPr>
                <w:rFonts w:ascii="Calibri" w:eastAsia="Times New Roman" w:hAnsi="Calibri"/>
                <w:noProof/>
                <w:sz w:val="22"/>
                <w:szCs w:val="22"/>
                <w:lang w:val="es-ES_tradnl"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14:paraId="43DA416F" w14:textId="4FF0EED1" w:rsidR="00F9733B" w:rsidRPr="00387415" w:rsidRDefault="00BE14B8" w:rsidP="009505ED">
            <w:pPr>
              <w:jc w:val="cente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 xml:space="preserve">Patrocinio </w:t>
            </w:r>
            <w:r w:rsidR="009505ED">
              <w:rPr>
                <w:rFonts w:ascii="Calibri" w:eastAsia="Times New Roman" w:hAnsi="Calibri"/>
                <w:noProof/>
                <w:color w:val="000000"/>
                <w:sz w:val="22"/>
                <w:szCs w:val="22"/>
                <w:lang w:val="es-ES_tradnl" w:eastAsia="en-GB"/>
              </w:rPr>
              <w:t xml:space="preserve">a </w:t>
            </w:r>
            <w:r>
              <w:rPr>
                <w:rFonts w:ascii="Calibri" w:eastAsia="Times New Roman" w:hAnsi="Calibri"/>
                <w:noProof/>
                <w:color w:val="000000"/>
                <w:sz w:val="22"/>
                <w:szCs w:val="22"/>
                <w:lang w:val="es-ES_tradnl" w:eastAsia="en-GB"/>
              </w:rPr>
              <w:t xml:space="preserve">delegados </w:t>
            </w:r>
            <w:r w:rsidR="009505ED">
              <w:rPr>
                <w:rFonts w:ascii="Calibri" w:eastAsia="Times New Roman" w:hAnsi="Calibri"/>
                <w:noProof/>
                <w:color w:val="000000"/>
                <w:sz w:val="22"/>
                <w:szCs w:val="22"/>
                <w:lang w:val="es-ES_tradnl" w:eastAsia="en-GB"/>
              </w:rPr>
              <w:t>de la 12ª reunión de la COP</w:t>
            </w:r>
            <w:r w:rsidR="00243763" w:rsidRPr="00387415">
              <w:rPr>
                <w:rFonts w:ascii="Calibri" w:eastAsia="Times New Roman" w:hAnsi="Calibri"/>
                <w:noProof/>
                <w:color w:val="000000"/>
                <w:sz w:val="22"/>
                <w:szCs w:val="22"/>
                <w:lang w:val="es-ES_tradnl" w:eastAsia="en-GB"/>
              </w:rPr>
              <w:t xml:space="preserve"> </w:t>
            </w:r>
          </w:p>
        </w:tc>
      </w:tr>
      <w:tr w:rsidR="00F9733B" w:rsidRPr="00387415" w14:paraId="21DBA790" w14:textId="77777777">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14:paraId="3C68B37B" w14:textId="58F442B7" w:rsidR="00F9733B" w:rsidRPr="00387415" w:rsidRDefault="00BE14B8"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Noruega</w:t>
            </w:r>
          </w:p>
        </w:tc>
        <w:tc>
          <w:tcPr>
            <w:tcW w:w="1842" w:type="dxa"/>
            <w:tcBorders>
              <w:top w:val="nil"/>
              <w:left w:val="nil"/>
              <w:bottom w:val="single" w:sz="4" w:space="0" w:color="auto"/>
              <w:right w:val="single" w:sz="4" w:space="0" w:color="auto"/>
            </w:tcBorders>
            <w:shd w:val="clear" w:color="000000" w:fill="C5D9F1"/>
            <w:noWrap/>
            <w:vAlign w:val="bottom"/>
          </w:tcPr>
          <w:p w14:paraId="17BA5A2A" w14:textId="77777777" w:rsidR="00F9733B" w:rsidRPr="00387415" w:rsidRDefault="00243763" w:rsidP="0047333D">
            <w:pPr>
              <w:ind w:right="396"/>
              <w:jc w:val="right"/>
              <w:rPr>
                <w:rFonts w:ascii="Calibri" w:eastAsia="Times New Roman" w:hAnsi="Calibri"/>
                <w:noProof/>
                <w:sz w:val="22"/>
                <w:szCs w:val="22"/>
                <w:lang w:val="es-ES_tradnl" w:eastAsia="en-GB"/>
              </w:rPr>
            </w:pPr>
            <w:r w:rsidRPr="00387415">
              <w:rPr>
                <w:rFonts w:ascii="Calibri" w:eastAsia="Times New Roman" w:hAnsi="Calibri"/>
                <w:noProof/>
                <w:sz w:val="22"/>
                <w:szCs w:val="22"/>
                <w:lang w:val="es-ES_tradnl" w:eastAsia="en-GB"/>
              </w:rPr>
              <w:t>36</w:t>
            </w:r>
            <w:r w:rsidR="00F9733B" w:rsidRPr="00387415">
              <w:rPr>
                <w:rFonts w:ascii="Calibri" w:eastAsia="Times New Roman" w:hAnsi="Calibri"/>
                <w:noProof/>
                <w:sz w:val="22"/>
                <w:szCs w:val="22"/>
                <w:lang w:val="es-ES_tradnl"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14:paraId="6321C6FC" w14:textId="77777777" w:rsidR="00F9733B" w:rsidRPr="00387415" w:rsidRDefault="00F9733B" w:rsidP="0047333D">
            <w:pPr>
              <w:jc w:val="center"/>
              <w:rPr>
                <w:rFonts w:ascii="Calibri" w:eastAsia="Times New Roman" w:hAnsi="Calibri"/>
                <w:noProof/>
                <w:color w:val="000000"/>
                <w:sz w:val="22"/>
                <w:szCs w:val="22"/>
                <w:lang w:val="es-ES_tradnl" w:eastAsia="en-GB"/>
              </w:rPr>
            </w:pPr>
          </w:p>
        </w:tc>
      </w:tr>
      <w:tr w:rsidR="00F9733B" w:rsidRPr="00387415" w14:paraId="3BC25945" w14:textId="77777777">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14:paraId="02B7F604" w14:textId="77777777" w:rsidR="00F9733B" w:rsidRPr="00387415" w:rsidRDefault="00996235"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WWF</w:t>
            </w:r>
            <w:r w:rsidR="000D3F33" w:rsidRPr="00387415">
              <w:rPr>
                <w:rFonts w:ascii="Calibri" w:eastAsia="Times New Roman" w:hAnsi="Calibri"/>
                <w:noProof/>
                <w:color w:val="000000"/>
                <w:sz w:val="22"/>
                <w:szCs w:val="22"/>
                <w:lang w:val="es-ES_tradnl" w:eastAsia="en-GB"/>
              </w:rPr>
              <w:t xml:space="preserve"> International</w:t>
            </w:r>
          </w:p>
        </w:tc>
        <w:tc>
          <w:tcPr>
            <w:tcW w:w="1842" w:type="dxa"/>
            <w:tcBorders>
              <w:top w:val="nil"/>
              <w:left w:val="nil"/>
              <w:bottom w:val="single" w:sz="4" w:space="0" w:color="auto"/>
              <w:right w:val="single" w:sz="4" w:space="0" w:color="auto"/>
            </w:tcBorders>
            <w:shd w:val="clear" w:color="000000" w:fill="C5D9F1"/>
            <w:noWrap/>
            <w:vAlign w:val="bottom"/>
          </w:tcPr>
          <w:p w14:paraId="66659B7E" w14:textId="77777777" w:rsidR="00F9733B" w:rsidRPr="00387415" w:rsidRDefault="00996235" w:rsidP="0047333D">
            <w:pPr>
              <w:ind w:right="396"/>
              <w:jc w:val="right"/>
              <w:rPr>
                <w:rFonts w:ascii="Calibri" w:eastAsia="Times New Roman" w:hAnsi="Calibri"/>
                <w:noProof/>
                <w:sz w:val="22"/>
                <w:szCs w:val="22"/>
                <w:lang w:val="es-ES_tradnl" w:eastAsia="en-GB"/>
              </w:rPr>
            </w:pPr>
            <w:r w:rsidRPr="00387415">
              <w:rPr>
                <w:rFonts w:ascii="Calibri" w:eastAsia="Times New Roman" w:hAnsi="Calibri"/>
                <w:noProof/>
                <w:sz w:val="22"/>
                <w:szCs w:val="22"/>
                <w:lang w:val="es-ES_tradnl" w:eastAsia="en-GB"/>
              </w:rPr>
              <w:t>22</w:t>
            </w:r>
            <w:r w:rsidR="00F9733B" w:rsidRPr="00387415">
              <w:rPr>
                <w:rFonts w:ascii="Calibri" w:eastAsia="Times New Roman" w:hAnsi="Calibri"/>
                <w:noProof/>
                <w:sz w:val="22"/>
                <w:szCs w:val="22"/>
                <w:lang w:val="es-ES_tradnl"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14:paraId="630B18C6" w14:textId="77777777" w:rsidR="00F9733B" w:rsidRPr="00387415" w:rsidRDefault="00F9733B" w:rsidP="0047333D">
            <w:pPr>
              <w:jc w:val="center"/>
              <w:rPr>
                <w:rFonts w:ascii="Calibri" w:eastAsia="Times New Roman" w:hAnsi="Calibri"/>
                <w:noProof/>
                <w:color w:val="000000"/>
                <w:sz w:val="22"/>
                <w:szCs w:val="22"/>
                <w:lang w:val="es-ES_tradnl" w:eastAsia="en-GB"/>
              </w:rPr>
            </w:pPr>
          </w:p>
        </w:tc>
      </w:tr>
      <w:tr w:rsidR="00F9733B" w:rsidRPr="00387415" w14:paraId="2477BFF4" w14:textId="77777777">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14:paraId="29E770C7" w14:textId="77777777" w:rsidR="00F9733B" w:rsidRPr="00387415" w:rsidRDefault="00996235"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Hans Seidel Foundation</w:t>
            </w:r>
          </w:p>
        </w:tc>
        <w:tc>
          <w:tcPr>
            <w:tcW w:w="1842" w:type="dxa"/>
            <w:tcBorders>
              <w:top w:val="nil"/>
              <w:left w:val="nil"/>
              <w:bottom w:val="single" w:sz="4" w:space="0" w:color="auto"/>
              <w:right w:val="single" w:sz="4" w:space="0" w:color="auto"/>
            </w:tcBorders>
            <w:shd w:val="clear" w:color="000000" w:fill="C5D9F1"/>
            <w:noWrap/>
            <w:vAlign w:val="bottom"/>
          </w:tcPr>
          <w:p w14:paraId="2EDE4B6D" w14:textId="77777777" w:rsidR="00F9733B" w:rsidRPr="00387415" w:rsidRDefault="00996235" w:rsidP="0047333D">
            <w:pPr>
              <w:ind w:right="396"/>
              <w:jc w:val="right"/>
              <w:rPr>
                <w:rFonts w:ascii="Calibri" w:eastAsia="Times New Roman" w:hAnsi="Calibri"/>
                <w:noProof/>
                <w:sz w:val="22"/>
                <w:szCs w:val="22"/>
                <w:lang w:val="es-ES_tradnl" w:eastAsia="en-GB"/>
              </w:rPr>
            </w:pPr>
            <w:r w:rsidRPr="00387415">
              <w:rPr>
                <w:rFonts w:ascii="Calibri" w:eastAsia="Times New Roman" w:hAnsi="Calibri"/>
                <w:noProof/>
                <w:sz w:val="22"/>
                <w:szCs w:val="22"/>
                <w:lang w:val="es-ES_tradnl" w:eastAsia="en-GB"/>
              </w:rPr>
              <w:t>5</w:t>
            </w:r>
            <w:r w:rsidR="00F9733B" w:rsidRPr="00387415">
              <w:rPr>
                <w:rFonts w:ascii="Calibri" w:eastAsia="Times New Roman" w:hAnsi="Calibri"/>
                <w:noProof/>
                <w:sz w:val="22"/>
                <w:szCs w:val="22"/>
                <w:lang w:val="es-ES_tradnl"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14:paraId="210052DE" w14:textId="77777777" w:rsidR="00F9733B" w:rsidRPr="00387415" w:rsidRDefault="00F9733B" w:rsidP="0047333D">
            <w:pPr>
              <w:jc w:val="center"/>
              <w:rPr>
                <w:rFonts w:ascii="Calibri" w:eastAsia="Times New Roman" w:hAnsi="Calibri"/>
                <w:noProof/>
                <w:color w:val="000000"/>
                <w:sz w:val="22"/>
                <w:szCs w:val="22"/>
                <w:lang w:val="es-ES_tradnl" w:eastAsia="en-GB"/>
              </w:rPr>
            </w:pPr>
          </w:p>
        </w:tc>
      </w:tr>
      <w:tr w:rsidR="00F9733B" w:rsidRPr="00387415" w14:paraId="28FC4520" w14:textId="77777777">
        <w:trPr>
          <w:trHeight w:val="293"/>
        </w:trPr>
        <w:tc>
          <w:tcPr>
            <w:tcW w:w="2699" w:type="dxa"/>
            <w:tcBorders>
              <w:top w:val="nil"/>
              <w:left w:val="single" w:sz="4" w:space="0" w:color="auto"/>
              <w:bottom w:val="single" w:sz="4" w:space="0" w:color="auto"/>
              <w:right w:val="single" w:sz="4" w:space="0" w:color="auto"/>
            </w:tcBorders>
            <w:shd w:val="clear" w:color="auto" w:fill="auto"/>
            <w:noWrap/>
            <w:vAlign w:val="bottom"/>
          </w:tcPr>
          <w:p w14:paraId="210BBB0D" w14:textId="5FB42389" w:rsidR="00F9733B" w:rsidRPr="00387415" w:rsidRDefault="00BE14B8" w:rsidP="0047333D">
            <w:pPr>
              <w:rPr>
                <w:rFonts w:ascii="Calibri" w:eastAsia="Times New Roman" w:hAnsi="Calibri"/>
                <w:noProof/>
                <w:color w:val="000000"/>
                <w:sz w:val="22"/>
                <w:szCs w:val="22"/>
                <w:lang w:val="es-ES_tradnl" w:eastAsia="en-GB"/>
              </w:rPr>
            </w:pPr>
            <w:r>
              <w:rPr>
                <w:rFonts w:ascii="Calibri" w:eastAsia="Times New Roman" w:hAnsi="Calibri"/>
                <w:noProof/>
                <w:color w:val="000000"/>
                <w:sz w:val="22"/>
                <w:szCs w:val="22"/>
                <w:lang w:val="es-ES_tradnl" w:eastAsia="en-GB"/>
              </w:rPr>
              <w:t>Otros ajustes</w:t>
            </w:r>
          </w:p>
        </w:tc>
        <w:tc>
          <w:tcPr>
            <w:tcW w:w="1842" w:type="dxa"/>
            <w:tcBorders>
              <w:top w:val="nil"/>
              <w:left w:val="nil"/>
              <w:bottom w:val="single" w:sz="4" w:space="0" w:color="auto"/>
              <w:right w:val="single" w:sz="4" w:space="0" w:color="auto"/>
            </w:tcBorders>
            <w:shd w:val="clear" w:color="000000" w:fill="C5D9F1"/>
            <w:noWrap/>
            <w:vAlign w:val="bottom"/>
          </w:tcPr>
          <w:p w14:paraId="5A13992B" w14:textId="77777777" w:rsidR="00F9733B" w:rsidRPr="00387415" w:rsidRDefault="000D3F33" w:rsidP="0047333D">
            <w:pPr>
              <w:ind w:right="396"/>
              <w:jc w:val="right"/>
              <w:rPr>
                <w:rFonts w:ascii="Calibri" w:eastAsia="Times New Roman" w:hAnsi="Calibri"/>
                <w:noProof/>
                <w:sz w:val="22"/>
                <w:szCs w:val="22"/>
                <w:lang w:val="es-ES_tradnl" w:eastAsia="en-GB"/>
              </w:rPr>
            </w:pPr>
            <w:r w:rsidRPr="00387415">
              <w:rPr>
                <w:rFonts w:ascii="Calibri" w:eastAsia="Times New Roman" w:hAnsi="Calibri"/>
                <w:noProof/>
                <w:sz w:val="22"/>
                <w:szCs w:val="22"/>
                <w:lang w:val="es-ES_tradnl" w:eastAsia="en-GB"/>
              </w:rPr>
              <w:t>5</w:t>
            </w:r>
            <w:r w:rsidR="00F9733B" w:rsidRPr="00387415">
              <w:rPr>
                <w:rFonts w:ascii="Calibri" w:eastAsia="Times New Roman" w:hAnsi="Calibri"/>
                <w:noProof/>
                <w:sz w:val="22"/>
                <w:szCs w:val="22"/>
                <w:lang w:val="es-ES_tradnl" w:eastAsia="en-GB"/>
              </w:rPr>
              <w:t xml:space="preserve"> </w:t>
            </w:r>
          </w:p>
        </w:tc>
        <w:tc>
          <w:tcPr>
            <w:tcW w:w="4344" w:type="dxa"/>
            <w:tcBorders>
              <w:top w:val="nil"/>
              <w:left w:val="nil"/>
              <w:bottom w:val="single" w:sz="4" w:space="0" w:color="auto"/>
              <w:right w:val="single" w:sz="4" w:space="0" w:color="auto"/>
            </w:tcBorders>
            <w:shd w:val="clear" w:color="auto" w:fill="auto"/>
            <w:noWrap/>
            <w:vAlign w:val="bottom"/>
          </w:tcPr>
          <w:p w14:paraId="3CE7F058" w14:textId="77777777" w:rsidR="00F9733B" w:rsidRPr="00387415" w:rsidRDefault="00F9733B" w:rsidP="0047333D">
            <w:pPr>
              <w:jc w:val="center"/>
              <w:rPr>
                <w:rFonts w:ascii="Calibri" w:eastAsia="Times New Roman" w:hAnsi="Calibri"/>
                <w:noProof/>
                <w:color w:val="000000"/>
                <w:sz w:val="22"/>
                <w:szCs w:val="22"/>
                <w:lang w:val="es-ES_tradnl" w:eastAsia="en-GB"/>
              </w:rPr>
            </w:pPr>
          </w:p>
        </w:tc>
      </w:tr>
      <w:tr w:rsidR="00F9733B" w:rsidRPr="00387415" w14:paraId="03C0D27E" w14:textId="77777777">
        <w:trPr>
          <w:trHeight w:val="293"/>
        </w:trPr>
        <w:tc>
          <w:tcPr>
            <w:tcW w:w="2699" w:type="dxa"/>
            <w:tcBorders>
              <w:top w:val="single" w:sz="4" w:space="0" w:color="auto"/>
              <w:left w:val="single" w:sz="4" w:space="0" w:color="auto"/>
              <w:bottom w:val="single" w:sz="4" w:space="0" w:color="auto"/>
              <w:right w:val="nil"/>
            </w:tcBorders>
            <w:shd w:val="clear" w:color="000000" w:fill="8DB4E2"/>
            <w:noWrap/>
            <w:vAlign w:val="bottom"/>
          </w:tcPr>
          <w:p w14:paraId="70F49857" w14:textId="77777777" w:rsidR="00F9733B" w:rsidRPr="00387415" w:rsidRDefault="00F9733B" w:rsidP="0047333D">
            <w:pPr>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Total</w:t>
            </w:r>
          </w:p>
        </w:tc>
        <w:tc>
          <w:tcPr>
            <w:tcW w:w="1842" w:type="dxa"/>
            <w:tcBorders>
              <w:top w:val="nil"/>
              <w:left w:val="nil"/>
              <w:bottom w:val="single" w:sz="4" w:space="0" w:color="auto"/>
              <w:right w:val="single" w:sz="4" w:space="0" w:color="auto"/>
            </w:tcBorders>
            <w:shd w:val="clear" w:color="000000" w:fill="D9D9D9"/>
            <w:noWrap/>
            <w:vAlign w:val="bottom"/>
          </w:tcPr>
          <w:p w14:paraId="728538E3" w14:textId="77777777" w:rsidR="00F9733B" w:rsidRPr="00387415" w:rsidRDefault="000C260D" w:rsidP="0047333D">
            <w:pPr>
              <w:ind w:right="396"/>
              <w:jc w:val="right"/>
              <w:rPr>
                <w:rFonts w:ascii="Calibri" w:eastAsia="Times New Roman" w:hAnsi="Calibri"/>
                <w:b/>
                <w:bCs/>
                <w:noProof/>
                <w:color w:val="000000"/>
                <w:sz w:val="22"/>
                <w:szCs w:val="22"/>
                <w:lang w:val="es-ES_tradnl" w:eastAsia="en-GB"/>
              </w:rPr>
            </w:pPr>
            <w:r w:rsidRPr="00387415">
              <w:rPr>
                <w:rFonts w:ascii="Calibri" w:eastAsia="Times New Roman" w:hAnsi="Calibri"/>
                <w:b/>
                <w:bCs/>
                <w:noProof/>
                <w:color w:val="000000"/>
                <w:sz w:val="22"/>
                <w:szCs w:val="22"/>
                <w:lang w:val="es-ES_tradnl" w:eastAsia="en-GB"/>
              </w:rPr>
              <w:t>703</w:t>
            </w:r>
            <w:r w:rsidR="00E74F77" w:rsidRPr="00387415">
              <w:rPr>
                <w:rStyle w:val="FootnoteReference"/>
                <w:rFonts w:ascii="Calibri" w:eastAsia="Times New Roman" w:hAnsi="Calibri"/>
                <w:b/>
                <w:bCs/>
                <w:noProof/>
                <w:color w:val="000000"/>
                <w:sz w:val="22"/>
                <w:szCs w:val="22"/>
                <w:lang w:val="es-ES_tradnl" w:eastAsia="en-GB"/>
              </w:rPr>
              <w:footnoteReference w:id="4"/>
            </w:r>
            <w:r w:rsidR="00F9733B" w:rsidRPr="00387415">
              <w:rPr>
                <w:rFonts w:ascii="Calibri" w:eastAsia="Times New Roman" w:hAnsi="Calibri"/>
                <w:b/>
                <w:bCs/>
                <w:noProof/>
                <w:color w:val="000000"/>
                <w:sz w:val="22"/>
                <w:szCs w:val="22"/>
                <w:lang w:val="es-ES_tradnl" w:eastAsia="en-GB"/>
              </w:rPr>
              <w:t xml:space="preserve"> </w:t>
            </w:r>
          </w:p>
        </w:tc>
        <w:tc>
          <w:tcPr>
            <w:tcW w:w="4344" w:type="dxa"/>
            <w:tcBorders>
              <w:top w:val="nil"/>
              <w:left w:val="nil"/>
              <w:bottom w:val="nil"/>
              <w:right w:val="nil"/>
            </w:tcBorders>
            <w:shd w:val="clear" w:color="000000" w:fill="FFFFFF"/>
            <w:noWrap/>
            <w:vAlign w:val="bottom"/>
          </w:tcPr>
          <w:p w14:paraId="7BE46342" w14:textId="77777777" w:rsidR="00F9733B" w:rsidRPr="00387415" w:rsidRDefault="00F9733B" w:rsidP="0047333D">
            <w:pPr>
              <w:rPr>
                <w:rFonts w:ascii="Calibri" w:eastAsia="Times New Roman" w:hAnsi="Calibri"/>
                <w:noProof/>
                <w:color w:val="000000"/>
                <w:sz w:val="22"/>
                <w:szCs w:val="22"/>
                <w:lang w:val="es-ES_tradnl" w:eastAsia="en-GB"/>
              </w:rPr>
            </w:pPr>
            <w:r w:rsidRPr="00387415">
              <w:rPr>
                <w:rFonts w:ascii="Calibri" w:eastAsia="Times New Roman" w:hAnsi="Calibri"/>
                <w:noProof/>
                <w:color w:val="000000"/>
                <w:sz w:val="22"/>
                <w:szCs w:val="22"/>
                <w:lang w:val="es-ES_tradnl" w:eastAsia="en-GB"/>
              </w:rPr>
              <w:t> </w:t>
            </w:r>
          </w:p>
        </w:tc>
      </w:tr>
    </w:tbl>
    <w:p w14:paraId="1757D476" w14:textId="77777777" w:rsidR="00F9733B" w:rsidRPr="00387415" w:rsidRDefault="00F9733B" w:rsidP="0047333D">
      <w:pPr>
        <w:rPr>
          <w:rFonts w:ascii="Calibri" w:hAnsi="Calibri"/>
          <w:noProof/>
          <w:sz w:val="22"/>
          <w:szCs w:val="22"/>
          <w:lang w:val="es-ES_tradnl"/>
        </w:rPr>
      </w:pPr>
    </w:p>
    <w:p w14:paraId="1F7E7E8C" w14:textId="77777777" w:rsidR="00D62360" w:rsidRPr="00387415" w:rsidRDefault="00D62360" w:rsidP="0047333D">
      <w:pPr>
        <w:rPr>
          <w:rFonts w:ascii="Calibri" w:hAnsi="Calibri"/>
          <w:noProof/>
          <w:sz w:val="22"/>
          <w:szCs w:val="22"/>
          <w:lang w:val="es-ES_tradnl"/>
        </w:rPr>
      </w:pPr>
    </w:p>
    <w:p w14:paraId="5AC3D9A6" w14:textId="77777777" w:rsidR="00BE14B8" w:rsidRDefault="00BE14B8" w:rsidP="00BE14B8">
      <w:pPr>
        <w:numPr>
          <w:ilvl w:val="0"/>
          <w:numId w:val="26"/>
        </w:numPr>
        <w:ind w:left="426" w:hanging="426"/>
        <w:rPr>
          <w:rFonts w:ascii="Calibri" w:hAnsi="Calibri"/>
          <w:noProof/>
          <w:sz w:val="22"/>
          <w:szCs w:val="22"/>
          <w:lang w:val="es-ES_tradnl"/>
        </w:rPr>
      </w:pPr>
      <w:r w:rsidRPr="00BE14B8">
        <w:rPr>
          <w:rFonts w:ascii="Calibri" w:hAnsi="Calibri"/>
          <w:noProof/>
          <w:sz w:val="22"/>
          <w:szCs w:val="22"/>
          <w:lang w:val="es-ES_tradnl"/>
        </w:rPr>
        <w:t>Además, Star Alliance proporcionó billetes de avión con un valor total de 19.000</w:t>
      </w:r>
      <w:r>
        <w:rPr>
          <w:rFonts w:ascii="Calibri" w:hAnsi="Calibri"/>
          <w:noProof/>
          <w:sz w:val="22"/>
          <w:szCs w:val="22"/>
          <w:lang w:val="es-ES_tradnl"/>
        </w:rPr>
        <w:t xml:space="preserve"> francos suizos</w:t>
      </w:r>
      <w:r w:rsidRPr="00BE14B8">
        <w:rPr>
          <w:rFonts w:ascii="Calibri" w:hAnsi="Calibri"/>
          <w:noProof/>
          <w:sz w:val="22"/>
          <w:szCs w:val="22"/>
          <w:lang w:val="es-ES_tradnl"/>
        </w:rPr>
        <w:t xml:space="preserve"> (18.000</w:t>
      </w:r>
      <w:r>
        <w:rPr>
          <w:rFonts w:ascii="Calibri" w:hAnsi="Calibri"/>
          <w:noProof/>
          <w:sz w:val="22"/>
          <w:szCs w:val="22"/>
          <w:lang w:val="es-ES_tradnl"/>
        </w:rPr>
        <w:t xml:space="preserve"> euros</w:t>
      </w:r>
      <w:r w:rsidRPr="00BE14B8">
        <w:rPr>
          <w:rFonts w:ascii="Calibri" w:hAnsi="Calibri"/>
          <w:noProof/>
          <w:sz w:val="22"/>
          <w:szCs w:val="22"/>
          <w:lang w:val="es-ES_tradnl"/>
        </w:rPr>
        <w:t>).</w:t>
      </w:r>
    </w:p>
    <w:p w14:paraId="547143B2" w14:textId="77777777" w:rsidR="00BE14B8" w:rsidRDefault="00BE14B8" w:rsidP="00BE14B8">
      <w:pPr>
        <w:ind w:left="426"/>
        <w:rPr>
          <w:rFonts w:ascii="Calibri" w:hAnsi="Calibri"/>
          <w:noProof/>
          <w:sz w:val="22"/>
          <w:szCs w:val="22"/>
          <w:lang w:val="es-ES_tradnl"/>
        </w:rPr>
      </w:pPr>
    </w:p>
    <w:p w14:paraId="27E52D3F" w14:textId="77777777" w:rsidR="00BE14B8" w:rsidRDefault="00BE14B8" w:rsidP="0047333D">
      <w:pPr>
        <w:numPr>
          <w:ilvl w:val="0"/>
          <w:numId w:val="26"/>
        </w:numPr>
        <w:ind w:left="426" w:hanging="426"/>
        <w:rPr>
          <w:rFonts w:ascii="Calibri" w:hAnsi="Calibri"/>
          <w:noProof/>
          <w:sz w:val="22"/>
          <w:szCs w:val="22"/>
          <w:lang w:val="es-ES_tradnl"/>
        </w:rPr>
      </w:pPr>
      <w:r w:rsidRPr="00BE14B8">
        <w:rPr>
          <w:rFonts w:ascii="Calibri" w:hAnsi="Calibri"/>
          <w:noProof/>
          <w:sz w:val="22"/>
          <w:szCs w:val="22"/>
          <w:lang w:val="es-ES_tradnl"/>
        </w:rPr>
        <w:t>La Secretaría desea expresar su sincero agradecimiento a las Partes Contratantes y</w:t>
      </w:r>
      <w:r>
        <w:rPr>
          <w:rFonts w:ascii="Calibri" w:hAnsi="Calibri"/>
          <w:noProof/>
          <w:sz w:val="22"/>
          <w:szCs w:val="22"/>
          <w:lang w:val="es-ES_tradnl"/>
        </w:rPr>
        <w:t xml:space="preserve"> </w:t>
      </w:r>
      <w:r w:rsidRPr="00BE14B8">
        <w:rPr>
          <w:rFonts w:ascii="Calibri" w:hAnsi="Calibri"/>
          <w:noProof/>
          <w:sz w:val="22"/>
          <w:szCs w:val="22"/>
          <w:lang w:val="es-ES_tradnl"/>
        </w:rPr>
        <w:t xml:space="preserve">a los donantes por sus contribuciones voluntarias a actividades no </w:t>
      </w:r>
      <w:r>
        <w:rPr>
          <w:rFonts w:ascii="Calibri" w:hAnsi="Calibri"/>
          <w:noProof/>
          <w:sz w:val="22"/>
          <w:szCs w:val="22"/>
          <w:lang w:val="es-ES_tradnl"/>
        </w:rPr>
        <w:t>financiadas del presupuesto básico</w:t>
      </w:r>
      <w:r w:rsidRPr="00BE14B8">
        <w:rPr>
          <w:rFonts w:ascii="Calibri" w:hAnsi="Calibri"/>
          <w:noProof/>
          <w:sz w:val="22"/>
          <w:szCs w:val="22"/>
          <w:lang w:val="es-ES_tradnl"/>
        </w:rPr>
        <w:t xml:space="preserve"> de la Convención.</w:t>
      </w:r>
    </w:p>
    <w:p w14:paraId="021A02E3" w14:textId="77777777" w:rsidR="00035841" w:rsidRDefault="00035841" w:rsidP="00BE14B8">
      <w:pPr>
        <w:rPr>
          <w:rFonts w:ascii="Calibri" w:hAnsi="Calibri"/>
          <w:noProof/>
          <w:sz w:val="22"/>
          <w:szCs w:val="22"/>
          <w:lang w:val="es-ES_tradnl"/>
        </w:rPr>
      </w:pPr>
    </w:p>
    <w:p w14:paraId="0938F8BC" w14:textId="7BECAFEC" w:rsidR="000917F6" w:rsidRPr="00D86C01" w:rsidRDefault="00035841" w:rsidP="00D86C01">
      <w:pPr>
        <w:numPr>
          <w:ilvl w:val="0"/>
          <w:numId w:val="26"/>
        </w:numPr>
        <w:ind w:left="426" w:hanging="426"/>
        <w:rPr>
          <w:rFonts w:ascii="Calibri" w:hAnsi="Calibri"/>
          <w:noProof/>
          <w:sz w:val="22"/>
          <w:szCs w:val="22"/>
          <w:lang w:val="es-ES_tradnl"/>
        </w:rPr>
      </w:pPr>
      <w:r>
        <w:rPr>
          <w:rFonts w:ascii="Calibri" w:hAnsi="Calibri"/>
          <w:noProof/>
          <w:sz w:val="22"/>
          <w:szCs w:val="22"/>
          <w:lang w:val="es-ES_tradnl"/>
        </w:rPr>
        <w:t>E</w:t>
      </w:r>
      <w:r w:rsidR="00BE14B8" w:rsidRPr="00035841">
        <w:rPr>
          <w:rFonts w:ascii="Calibri" w:hAnsi="Calibri"/>
          <w:noProof/>
          <w:sz w:val="22"/>
          <w:szCs w:val="22"/>
          <w:lang w:val="es-ES_tradnl"/>
        </w:rPr>
        <w:t xml:space="preserve">l presupuesto aprobado </w:t>
      </w:r>
      <w:r>
        <w:rPr>
          <w:rFonts w:ascii="Calibri" w:hAnsi="Calibri"/>
          <w:noProof/>
          <w:sz w:val="22"/>
          <w:szCs w:val="22"/>
          <w:lang w:val="es-ES_tradnl"/>
        </w:rPr>
        <w:t>por</w:t>
      </w:r>
      <w:r w:rsidR="00BE14B8" w:rsidRPr="00035841">
        <w:rPr>
          <w:rFonts w:ascii="Calibri" w:hAnsi="Calibri"/>
          <w:noProof/>
          <w:sz w:val="22"/>
          <w:szCs w:val="22"/>
          <w:lang w:val="es-ES_tradnl"/>
        </w:rPr>
        <w:t xml:space="preserve"> la </w:t>
      </w:r>
      <w:r>
        <w:rPr>
          <w:rFonts w:ascii="Calibri" w:hAnsi="Calibri"/>
          <w:noProof/>
          <w:sz w:val="22"/>
          <w:szCs w:val="22"/>
          <w:lang w:val="es-ES_tradnl"/>
        </w:rPr>
        <w:t xml:space="preserve">12ª reunión de la </w:t>
      </w:r>
      <w:r w:rsidR="007A5CA7">
        <w:rPr>
          <w:rFonts w:ascii="Calibri" w:hAnsi="Calibri"/>
          <w:noProof/>
          <w:sz w:val="22"/>
          <w:szCs w:val="22"/>
          <w:lang w:val="es-ES_tradnl"/>
        </w:rPr>
        <w:t>COP</w:t>
      </w:r>
      <w:r>
        <w:rPr>
          <w:rFonts w:ascii="Calibri" w:hAnsi="Calibri"/>
          <w:noProof/>
          <w:sz w:val="22"/>
          <w:szCs w:val="22"/>
          <w:lang w:val="es-ES_tradnl"/>
        </w:rPr>
        <w:t xml:space="preserve"> </w:t>
      </w:r>
      <w:r w:rsidR="007A5CA7">
        <w:rPr>
          <w:rFonts w:ascii="Calibri" w:hAnsi="Calibri"/>
          <w:noProof/>
          <w:sz w:val="22"/>
          <w:szCs w:val="22"/>
          <w:lang w:val="es-ES_tradnl"/>
        </w:rPr>
        <w:t>anticipó</w:t>
      </w:r>
      <w:r>
        <w:rPr>
          <w:rFonts w:ascii="Calibri" w:hAnsi="Calibri"/>
          <w:noProof/>
          <w:sz w:val="22"/>
          <w:szCs w:val="22"/>
          <w:lang w:val="es-ES_tradnl"/>
        </w:rPr>
        <w:t xml:space="preserve"> </w:t>
      </w:r>
      <w:r w:rsidR="00BE14B8" w:rsidRPr="00035841">
        <w:rPr>
          <w:rFonts w:ascii="Calibri" w:hAnsi="Calibri"/>
          <w:noProof/>
          <w:sz w:val="22"/>
          <w:szCs w:val="22"/>
          <w:lang w:val="es-ES_tradnl"/>
        </w:rPr>
        <w:t xml:space="preserve">contribuciones voluntarias </w:t>
      </w:r>
      <w:r>
        <w:rPr>
          <w:rFonts w:ascii="Calibri" w:hAnsi="Calibri"/>
          <w:noProof/>
          <w:sz w:val="22"/>
          <w:szCs w:val="22"/>
          <w:lang w:val="es-ES_tradnl"/>
        </w:rPr>
        <w:t>al presupuesto no básico</w:t>
      </w:r>
      <w:r w:rsidR="00BE14B8" w:rsidRPr="00035841">
        <w:rPr>
          <w:rFonts w:ascii="Calibri" w:hAnsi="Calibri"/>
          <w:noProof/>
          <w:sz w:val="22"/>
          <w:szCs w:val="22"/>
          <w:lang w:val="es-ES_tradnl"/>
        </w:rPr>
        <w:t xml:space="preserve"> de 4,2 millones de francos suizos </w:t>
      </w:r>
      <w:r>
        <w:rPr>
          <w:rFonts w:ascii="Calibri" w:hAnsi="Calibri"/>
          <w:noProof/>
          <w:sz w:val="22"/>
          <w:szCs w:val="22"/>
          <w:lang w:val="es-ES_tradnl"/>
        </w:rPr>
        <w:t>durante</w:t>
      </w:r>
      <w:r w:rsidR="00BE14B8" w:rsidRPr="00035841">
        <w:rPr>
          <w:rFonts w:ascii="Calibri" w:hAnsi="Calibri"/>
          <w:noProof/>
          <w:sz w:val="22"/>
          <w:szCs w:val="22"/>
          <w:lang w:val="es-ES_tradnl"/>
        </w:rPr>
        <w:t xml:space="preserve"> el trienio para financiar las actividades prioritarias </w:t>
      </w:r>
      <w:r>
        <w:rPr>
          <w:rFonts w:ascii="Calibri" w:hAnsi="Calibri"/>
          <w:noProof/>
          <w:sz w:val="22"/>
          <w:szCs w:val="22"/>
          <w:lang w:val="es-ES_tradnl"/>
        </w:rPr>
        <w:t>para 2016-2018 (véase el A</w:t>
      </w:r>
      <w:r w:rsidR="00BE14B8" w:rsidRPr="00035841">
        <w:rPr>
          <w:rFonts w:ascii="Calibri" w:hAnsi="Calibri"/>
          <w:noProof/>
          <w:sz w:val="22"/>
          <w:szCs w:val="22"/>
          <w:lang w:val="es-ES_tradnl"/>
        </w:rPr>
        <w:t xml:space="preserve">nexo 5). Cabe señalar que el antiguo cargo de </w:t>
      </w:r>
      <w:r>
        <w:rPr>
          <w:rFonts w:ascii="Calibri" w:hAnsi="Calibri"/>
          <w:noProof/>
          <w:sz w:val="22"/>
          <w:szCs w:val="22"/>
          <w:lang w:val="es-ES_tradnl"/>
        </w:rPr>
        <w:t>Coordinador</w:t>
      </w:r>
      <w:r w:rsidR="00BE14B8" w:rsidRPr="00035841">
        <w:rPr>
          <w:rFonts w:ascii="Calibri" w:hAnsi="Calibri"/>
          <w:noProof/>
          <w:sz w:val="22"/>
          <w:szCs w:val="22"/>
          <w:lang w:val="es-ES_tradnl"/>
        </w:rPr>
        <w:t xml:space="preserve"> de Asociaciones</w:t>
      </w:r>
      <w:r>
        <w:rPr>
          <w:rFonts w:ascii="Calibri" w:hAnsi="Calibri"/>
          <w:noProof/>
          <w:sz w:val="22"/>
          <w:szCs w:val="22"/>
          <w:lang w:val="es-ES_tradnl"/>
        </w:rPr>
        <w:t xml:space="preserve"> de Colaboración</w:t>
      </w:r>
      <w:r w:rsidR="00BE14B8" w:rsidRPr="00035841">
        <w:rPr>
          <w:rFonts w:ascii="Calibri" w:hAnsi="Calibri"/>
          <w:noProof/>
          <w:sz w:val="22"/>
          <w:szCs w:val="22"/>
          <w:lang w:val="es-ES_tradnl"/>
        </w:rPr>
        <w:t xml:space="preserve"> </w:t>
      </w:r>
      <w:r w:rsidR="00D86C01">
        <w:rPr>
          <w:rFonts w:ascii="Calibri" w:hAnsi="Calibri"/>
          <w:noProof/>
          <w:sz w:val="22"/>
          <w:szCs w:val="22"/>
          <w:lang w:val="es-ES_tradnl"/>
        </w:rPr>
        <w:t>estuvo</w:t>
      </w:r>
      <w:r w:rsidR="00BE14B8" w:rsidRPr="00035841">
        <w:rPr>
          <w:rFonts w:ascii="Calibri" w:hAnsi="Calibri"/>
          <w:noProof/>
          <w:sz w:val="22"/>
          <w:szCs w:val="22"/>
          <w:lang w:val="es-ES_tradnl"/>
        </w:rPr>
        <w:t xml:space="preserve"> vacante </w:t>
      </w:r>
      <w:r>
        <w:rPr>
          <w:rFonts w:ascii="Calibri" w:hAnsi="Calibri"/>
          <w:noProof/>
          <w:sz w:val="22"/>
          <w:szCs w:val="22"/>
          <w:lang w:val="es-ES_tradnl"/>
        </w:rPr>
        <w:t>en 2016</w:t>
      </w:r>
      <w:r w:rsidR="00D86C01">
        <w:rPr>
          <w:rFonts w:ascii="Calibri" w:hAnsi="Calibri"/>
          <w:noProof/>
          <w:sz w:val="22"/>
          <w:szCs w:val="22"/>
          <w:lang w:val="es-ES_tradnl"/>
        </w:rPr>
        <w:t xml:space="preserve">; </w:t>
      </w:r>
      <w:r w:rsidR="00665E53">
        <w:rPr>
          <w:rFonts w:ascii="Calibri" w:hAnsi="Calibri"/>
          <w:noProof/>
          <w:sz w:val="22"/>
          <w:szCs w:val="22"/>
          <w:lang w:val="es-ES_tradnl"/>
        </w:rPr>
        <w:t>en vez de este se creó el puesto</w:t>
      </w:r>
      <w:r w:rsidR="00665E53" w:rsidRPr="00665E53">
        <w:rPr>
          <w:rFonts w:ascii="Calibri" w:hAnsi="Calibri"/>
          <w:noProof/>
          <w:sz w:val="22"/>
          <w:szCs w:val="22"/>
          <w:lang w:val="es-ES_tradnl"/>
        </w:rPr>
        <w:t xml:space="preserve"> </w:t>
      </w:r>
      <w:r w:rsidR="00665E53" w:rsidRPr="00035841">
        <w:rPr>
          <w:rFonts w:ascii="Calibri" w:hAnsi="Calibri"/>
          <w:noProof/>
          <w:sz w:val="22"/>
          <w:szCs w:val="22"/>
          <w:lang w:val="es-ES_tradnl"/>
        </w:rPr>
        <w:t xml:space="preserve">de </w:t>
      </w:r>
      <w:r w:rsidR="00665E53">
        <w:rPr>
          <w:rFonts w:ascii="Calibri" w:hAnsi="Calibri"/>
          <w:noProof/>
          <w:sz w:val="22"/>
          <w:szCs w:val="22"/>
          <w:lang w:val="es-ES_tradnl"/>
        </w:rPr>
        <w:t>Coordinador</w:t>
      </w:r>
      <w:r w:rsidR="00665E53" w:rsidRPr="00035841">
        <w:rPr>
          <w:rFonts w:ascii="Calibri" w:hAnsi="Calibri"/>
          <w:noProof/>
          <w:sz w:val="22"/>
          <w:szCs w:val="22"/>
          <w:lang w:val="es-ES_tradnl"/>
        </w:rPr>
        <w:t xml:space="preserve"> de Movilización de Recursos y </w:t>
      </w:r>
      <w:r w:rsidR="00665E53">
        <w:rPr>
          <w:rFonts w:ascii="Calibri" w:hAnsi="Calibri"/>
          <w:noProof/>
          <w:sz w:val="22"/>
          <w:szCs w:val="22"/>
          <w:lang w:val="es-ES_tradnl"/>
        </w:rPr>
        <w:t>Promoción</w:t>
      </w:r>
      <w:r>
        <w:rPr>
          <w:rFonts w:ascii="Calibri" w:hAnsi="Calibri"/>
          <w:noProof/>
          <w:sz w:val="22"/>
          <w:szCs w:val="22"/>
          <w:lang w:val="es-ES_tradnl"/>
        </w:rPr>
        <w:t xml:space="preserve"> </w:t>
      </w:r>
      <w:r w:rsidR="00665E53">
        <w:rPr>
          <w:rFonts w:ascii="Calibri" w:hAnsi="Calibri"/>
          <w:noProof/>
          <w:sz w:val="22"/>
          <w:szCs w:val="22"/>
          <w:lang w:val="es-ES_tradnl"/>
        </w:rPr>
        <w:t xml:space="preserve">que </w:t>
      </w:r>
      <w:r w:rsidR="00D86C01">
        <w:rPr>
          <w:rFonts w:ascii="Calibri" w:hAnsi="Calibri"/>
          <w:noProof/>
          <w:sz w:val="22"/>
          <w:szCs w:val="22"/>
          <w:lang w:val="es-ES_tradnl"/>
        </w:rPr>
        <w:t>será ocupado</w:t>
      </w:r>
      <w:r w:rsidR="00665E53">
        <w:rPr>
          <w:rFonts w:ascii="Calibri" w:hAnsi="Calibri"/>
          <w:noProof/>
          <w:sz w:val="22"/>
          <w:szCs w:val="22"/>
          <w:lang w:val="es-ES_tradnl"/>
        </w:rPr>
        <w:t xml:space="preserve"> tras un proceso de selección en curso actualmente</w:t>
      </w:r>
      <w:r w:rsidR="00BE14B8" w:rsidRPr="00035841">
        <w:rPr>
          <w:rFonts w:ascii="Calibri" w:hAnsi="Calibri"/>
          <w:noProof/>
          <w:sz w:val="22"/>
          <w:szCs w:val="22"/>
          <w:lang w:val="es-ES_tradnl"/>
        </w:rPr>
        <w:t>.</w:t>
      </w:r>
      <w:r w:rsidR="00827D22" w:rsidRPr="00035841">
        <w:rPr>
          <w:rFonts w:ascii="Calibri" w:hAnsi="Calibri"/>
          <w:noProof/>
          <w:sz w:val="22"/>
          <w:szCs w:val="22"/>
          <w:lang w:val="es-ES_tradnl"/>
        </w:rPr>
        <w:t xml:space="preserve"> </w:t>
      </w:r>
    </w:p>
    <w:p w14:paraId="6BA1CCAC" w14:textId="77777777" w:rsidR="000222F9" w:rsidRDefault="000222F9" w:rsidP="000222F9">
      <w:pPr>
        <w:rPr>
          <w:rFonts w:ascii="Calibri" w:hAnsi="Calibri"/>
          <w:b/>
          <w:noProof/>
          <w:sz w:val="22"/>
          <w:szCs w:val="22"/>
          <w:lang w:val="es-ES_tradnl"/>
        </w:rPr>
      </w:pPr>
    </w:p>
    <w:p w14:paraId="3935D86C" w14:textId="77777777" w:rsidR="000222F9" w:rsidRPr="00387415" w:rsidRDefault="000222F9" w:rsidP="000222F9">
      <w:pPr>
        <w:rPr>
          <w:rFonts w:ascii="Calibri" w:hAnsi="Calibri"/>
          <w:b/>
          <w:noProof/>
          <w:sz w:val="22"/>
          <w:szCs w:val="22"/>
          <w:lang w:val="es-ES_tradnl"/>
        </w:rPr>
      </w:pPr>
    </w:p>
    <w:p w14:paraId="5CB15277" w14:textId="4E0CD60F" w:rsidR="00D22F60" w:rsidRPr="00387415" w:rsidRDefault="00D86C01" w:rsidP="0047333D">
      <w:pPr>
        <w:keepNext/>
        <w:rPr>
          <w:rFonts w:ascii="Calibri" w:hAnsi="Calibri"/>
          <w:b/>
          <w:noProof/>
          <w:sz w:val="22"/>
          <w:szCs w:val="22"/>
          <w:lang w:val="es-ES_tradnl"/>
        </w:rPr>
      </w:pPr>
      <w:r>
        <w:rPr>
          <w:rFonts w:ascii="Calibri" w:hAnsi="Calibri"/>
          <w:b/>
          <w:noProof/>
          <w:sz w:val="22"/>
          <w:szCs w:val="22"/>
          <w:lang w:val="es-ES_tradnl"/>
        </w:rPr>
        <w:t xml:space="preserve">Balance del año </w:t>
      </w:r>
      <w:r w:rsidR="000E650E" w:rsidRPr="00387415">
        <w:rPr>
          <w:rFonts w:ascii="Calibri" w:hAnsi="Calibri"/>
          <w:b/>
          <w:noProof/>
          <w:sz w:val="22"/>
          <w:szCs w:val="22"/>
          <w:lang w:val="es-ES_tradnl"/>
        </w:rPr>
        <w:t>201</w:t>
      </w:r>
      <w:r w:rsidR="00C3484B" w:rsidRPr="00387415">
        <w:rPr>
          <w:rFonts w:ascii="Calibri" w:hAnsi="Calibri"/>
          <w:b/>
          <w:noProof/>
          <w:sz w:val="22"/>
          <w:szCs w:val="22"/>
          <w:lang w:val="es-ES_tradnl"/>
        </w:rPr>
        <w:t>6</w:t>
      </w:r>
      <w:r w:rsidR="000E650E" w:rsidRPr="00387415">
        <w:rPr>
          <w:rFonts w:ascii="Calibri" w:hAnsi="Calibri"/>
          <w:b/>
          <w:noProof/>
          <w:sz w:val="22"/>
          <w:szCs w:val="22"/>
          <w:lang w:val="es-ES_tradnl"/>
        </w:rPr>
        <w:t xml:space="preserve"> </w:t>
      </w:r>
    </w:p>
    <w:p w14:paraId="19B58B34" w14:textId="77777777" w:rsidR="000E650E" w:rsidRPr="00387415" w:rsidRDefault="000E650E" w:rsidP="0047333D">
      <w:pPr>
        <w:keepNext/>
        <w:ind w:left="426" w:hanging="426"/>
        <w:rPr>
          <w:rFonts w:ascii="Calibri" w:hAnsi="Calibri"/>
          <w:noProof/>
          <w:sz w:val="22"/>
          <w:szCs w:val="22"/>
          <w:lang w:val="es-ES_tradnl"/>
        </w:rPr>
      </w:pPr>
    </w:p>
    <w:p w14:paraId="5758F860" w14:textId="77777777" w:rsidR="00882818" w:rsidRDefault="00D86C01" w:rsidP="00882818">
      <w:pPr>
        <w:numPr>
          <w:ilvl w:val="0"/>
          <w:numId w:val="26"/>
        </w:numPr>
        <w:ind w:left="426" w:hanging="426"/>
        <w:rPr>
          <w:rFonts w:ascii="Calibri" w:hAnsi="Calibri"/>
          <w:noProof/>
          <w:sz w:val="22"/>
          <w:szCs w:val="22"/>
          <w:lang w:val="es-ES_tradnl"/>
        </w:rPr>
      </w:pPr>
      <w:r w:rsidRPr="00701888">
        <w:rPr>
          <w:rFonts w:ascii="Calibri" w:hAnsi="Calibri" w:cs="Calibri"/>
          <w:bCs/>
          <w:sz w:val="22"/>
          <w:szCs w:val="22"/>
          <w:lang w:val="es-ES_tradnl"/>
        </w:rPr>
        <w:t>El Anexo 1 corresponde al Balance</w:t>
      </w:r>
      <w:r>
        <w:rPr>
          <w:rFonts w:ascii="Calibri" w:hAnsi="Calibri" w:cs="Calibri"/>
          <w:bCs/>
          <w:sz w:val="22"/>
          <w:szCs w:val="22"/>
          <w:lang w:val="es-ES_tradnl"/>
        </w:rPr>
        <w:t xml:space="preserve"> preliminar</w:t>
      </w:r>
      <w:r w:rsidRPr="00701888">
        <w:rPr>
          <w:rFonts w:ascii="Calibri" w:hAnsi="Calibri" w:cs="Calibri"/>
          <w:bCs/>
          <w:sz w:val="22"/>
          <w:szCs w:val="22"/>
          <w:lang w:val="es-ES_tradnl"/>
        </w:rPr>
        <w:t xml:space="preserve"> a</w:t>
      </w:r>
      <w:r>
        <w:rPr>
          <w:rFonts w:ascii="Calibri" w:hAnsi="Calibri" w:cs="Calibri"/>
          <w:bCs/>
          <w:sz w:val="22"/>
          <w:szCs w:val="22"/>
          <w:lang w:val="es-ES_tradnl"/>
        </w:rPr>
        <w:t xml:space="preserve"> 31 de diciembre de 2016</w:t>
      </w:r>
      <w:r w:rsidRPr="00701888">
        <w:rPr>
          <w:rFonts w:ascii="Calibri" w:hAnsi="Calibri" w:cs="Calibri"/>
          <w:bCs/>
          <w:sz w:val="22"/>
          <w:szCs w:val="22"/>
          <w:lang w:val="es-ES_tradnl"/>
        </w:rPr>
        <w:t xml:space="preserve">. La Secretaría tenía </w:t>
      </w:r>
      <w:r w:rsidR="00882818">
        <w:rPr>
          <w:rFonts w:ascii="Calibri" w:hAnsi="Calibri" w:cs="Calibri"/>
          <w:bCs/>
          <w:sz w:val="22"/>
          <w:szCs w:val="22"/>
          <w:lang w:val="es-ES_tradnl"/>
        </w:rPr>
        <w:t xml:space="preserve">el equivalente </w:t>
      </w:r>
      <w:r w:rsidRPr="00701888">
        <w:rPr>
          <w:rFonts w:ascii="Calibri" w:hAnsi="Calibri" w:cs="Calibri"/>
          <w:bCs/>
          <w:sz w:val="22"/>
          <w:szCs w:val="22"/>
          <w:lang w:val="es-ES_tradnl"/>
        </w:rPr>
        <w:t>de</w:t>
      </w:r>
      <w:r w:rsidR="00EC518F">
        <w:rPr>
          <w:rFonts w:ascii="Calibri" w:hAnsi="Calibri" w:cs="Calibri"/>
          <w:bCs/>
          <w:sz w:val="22"/>
          <w:szCs w:val="22"/>
          <w:lang w:val="es-ES_tradnl"/>
        </w:rPr>
        <w:t xml:space="preserve"> </w:t>
      </w:r>
      <w:r w:rsidR="00EC518F">
        <w:rPr>
          <w:rFonts w:ascii="Calibri" w:hAnsi="Calibri"/>
          <w:noProof/>
          <w:sz w:val="22"/>
          <w:szCs w:val="22"/>
          <w:lang w:val="es-ES_tradnl"/>
        </w:rPr>
        <w:t>4.569.</w:t>
      </w:r>
      <w:r w:rsidR="00EC518F" w:rsidRPr="00387415">
        <w:rPr>
          <w:rFonts w:ascii="Calibri" w:hAnsi="Calibri"/>
          <w:noProof/>
          <w:sz w:val="22"/>
          <w:szCs w:val="22"/>
          <w:lang w:val="es-ES_tradnl"/>
        </w:rPr>
        <w:t>000</w:t>
      </w:r>
      <w:r w:rsidR="00EC518F">
        <w:rPr>
          <w:rFonts w:ascii="Calibri" w:hAnsi="Calibri"/>
          <w:noProof/>
          <w:sz w:val="22"/>
          <w:szCs w:val="22"/>
          <w:lang w:val="es-ES_tradnl"/>
        </w:rPr>
        <w:t xml:space="preserve"> </w:t>
      </w:r>
      <w:r w:rsidR="00EC518F">
        <w:rPr>
          <w:rFonts w:ascii="Calibri" w:hAnsi="Calibri" w:cs="Calibri"/>
          <w:bCs/>
          <w:sz w:val="22"/>
          <w:szCs w:val="22"/>
          <w:lang w:val="es-ES_tradnl"/>
        </w:rPr>
        <w:t xml:space="preserve">francos suizos en efectivo </w:t>
      </w:r>
      <w:r w:rsidR="00882818">
        <w:rPr>
          <w:rFonts w:ascii="Calibri" w:hAnsi="Calibri" w:cs="Calibri"/>
          <w:bCs/>
          <w:sz w:val="22"/>
          <w:szCs w:val="22"/>
          <w:lang w:val="es-ES_tradnl"/>
        </w:rPr>
        <w:t>en total</w:t>
      </w:r>
      <w:r w:rsidR="00EC518F">
        <w:rPr>
          <w:rFonts w:ascii="Calibri" w:hAnsi="Calibri" w:cs="Calibri"/>
          <w:bCs/>
          <w:sz w:val="22"/>
          <w:szCs w:val="22"/>
          <w:lang w:val="es-ES_tradnl"/>
        </w:rPr>
        <w:t xml:space="preserve"> (</w:t>
      </w:r>
      <w:r w:rsidR="00EC518F">
        <w:rPr>
          <w:rFonts w:ascii="Calibri" w:hAnsi="Calibri"/>
          <w:noProof/>
          <w:sz w:val="22"/>
          <w:szCs w:val="22"/>
          <w:lang w:val="es-ES_tradnl"/>
        </w:rPr>
        <w:t>un 48 % en francos suizos, un 24 % en dólares de los EE.UU., un 17 % en euros y un 11 % en coronas noruegas).</w:t>
      </w:r>
    </w:p>
    <w:p w14:paraId="4B469DE2" w14:textId="77777777" w:rsidR="00882818" w:rsidRDefault="00882818" w:rsidP="00882818">
      <w:pPr>
        <w:ind w:left="426"/>
        <w:rPr>
          <w:rFonts w:ascii="Calibri" w:hAnsi="Calibri"/>
          <w:noProof/>
          <w:sz w:val="22"/>
          <w:szCs w:val="22"/>
          <w:lang w:val="es-ES_tradnl"/>
        </w:rPr>
      </w:pPr>
    </w:p>
    <w:p w14:paraId="5F1DD97D" w14:textId="0BA60D68" w:rsidR="00AD347F" w:rsidRDefault="00882818" w:rsidP="0047333D">
      <w:pPr>
        <w:numPr>
          <w:ilvl w:val="0"/>
          <w:numId w:val="26"/>
        </w:numPr>
        <w:ind w:left="426" w:hanging="426"/>
        <w:rPr>
          <w:rFonts w:ascii="Calibri" w:hAnsi="Calibri"/>
          <w:noProof/>
          <w:sz w:val="22"/>
          <w:szCs w:val="22"/>
          <w:lang w:val="es-ES_tradnl"/>
        </w:rPr>
      </w:pPr>
      <w:r w:rsidRPr="00882818">
        <w:rPr>
          <w:rFonts w:ascii="Calibri" w:hAnsi="Calibri" w:cs="Calibri"/>
          <w:bCs/>
          <w:sz w:val="22"/>
          <w:szCs w:val="22"/>
          <w:lang w:val="es-ES_tradnl"/>
        </w:rPr>
        <w:t>La suma de los saldos de efectivo y de las cuentas por cobrar fue suficiente para cubrir todas las obligaciones financieras de</w:t>
      </w:r>
      <w:r>
        <w:rPr>
          <w:rFonts w:ascii="Calibri" w:hAnsi="Calibri" w:cs="Calibri"/>
          <w:bCs/>
          <w:sz w:val="22"/>
          <w:szCs w:val="22"/>
          <w:lang w:val="es-ES_tradnl"/>
        </w:rPr>
        <w:t xml:space="preserve"> la Secretaría al cierre de 2016</w:t>
      </w:r>
      <w:r w:rsidRPr="00882818">
        <w:rPr>
          <w:rFonts w:ascii="Calibri" w:hAnsi="Calibri" w:cs="Calibri"/>
          <w:bCs/>
          <w:sz w:val="22"/>
          <w:szCs w:val="22"/>
          <w:lang w:val="es-ES_tradnl"/>
        </w:rPr>
        <w:t>.</w:t>
      </w:r>
    </w:p>
    <w:p w14:paraId="457FBD58" w14:textId="77777777" w:rsidR="00AD347F" w:rsidRDefault="00AD347F" w:rsidP="00AD347F">
      <w:pPr>
        <w:rPr>
          <w:rFonts w:ascii="Calibri" w:hAnsi="Calibri"/>
          <w:noProof/>
          <w:sz w:val="22"/>
          <w:szCs w:val="22"/>
          <w:lang w:val="es-ES_tradnl"/>
        </w:rPr>
      </w:pPr>
    </w:p>
    <w:p w14:paraId="156EF42B" w14:textId="18ACBBE7" w:rsidR="00334CA4" w:rsidRPr="00AD347F" w:rsidRDefault="00AD347F" w:rsidP="0047333D">
      <w:pPr>
        <w:numPr>
          <w:ilvl w:val="0"/>
          <w:numId w:val="26"/>
        </w:numPr>
        <w:ind w:left="426" w:hanging="426"/>
        <w:rPr>
          <w:rFonts w:ascii="Calibri" w:hAnsi="Calibri"/>
          <w:noProof/>
          <w:sz w:val="22"/>
          <w:szCs w:val="22"/>
          <w:lang w:val="es-ES_tradnl"/>
        </w:rPr>
      </w:pPr>
      <w:r w:rsidRPr="00AD347F">
        <w:rPr>
          <w:rFonts w:ascii="Calibri" w:hAnsi="Calibri"/>
          <w:noProof/>
          <w:sz w:val="22"/>
          <w:szCs w:val="22"/>
          <w:lang w:val="es-ES_tradnl"/>
        </w:rPr>
        <w:t xml:space="preserve">El nivel de las contribuciones pendientes de las Partes Contratantes disminuyó en 2016. </w:t>
      </w:r>
      <w:r w:rsidRPr="00701888">
        <w:rPr>
          <w:rFonts w:ascii="Calibri" w:hAnsi="Calibri"/>
          <w:sz w:val="22"/>
          <w:lang w:val="es-ES_tradnl"/>
        </w:rPr>
        <w:t xml:space="preserve">Las propuestas para resolver la cuestión de las contribuciones pendientes de pago se tratan en mayor detalle en el </w:t>
      </w:r>
      <w:r w:rsidRPr="00AD347F">
        <w:rPr>
          <w:rFonts w:ascii="Calibri" w:hAnsi="Calibri"/>
          <w:noProof/>
          <w:sz w:val="22"/>
          <w:szCs w:val="22"/>
          <w:lang w:val="es-ES_tradnl"/>
        </w:rPr>
        <w:t>documento SC53-21</w:t>
      </w:r>
      <w:r>
        <w:rPr>
          <w:rFonts w:ascii="Calibri" w:hAnsi="Calibri"/>
          <w:noProof/>
          <w:sz w:val="22"/>
          <w:szCs w:val="22"/>
          <w:lang w:val="es-ES_tradnl"/>
        </w:rPr>
        <w:t>.</w:t>
      </w:r>
    </w:p>
    <w:p w14:paraId="5C99C1AD" w14:textId="77777777" w:rsidR="00334CA4" w:rsidRPr="00387415" w:rsidRDefault="00334CA4" w:rsidP="0047333D">
      <w:pPr>
        <w:rPr>
          <w:rFonts w:ascii="Calibri" w:hAnsi="Calibri"/>
          <w:noProof/>
          <w:sz w:val="22"/>
          <w:szCs w:val="22"/>
          <w:lang w:val="es-ES_tradnl"/>
        </w:rPr>
      </w:pPr>
    </w:p>
    <w:p w14:paraId="65D3BD60" w14:textId="77777777" w:rsidR="00B57CF7" w:rsidRDefault="00B57CF7" w:rsidP="00B8311C">
      <w:pPr>
        <w:rPr>
          <w:rFonts w:ascii="Calibri" w:hAnsi="Calibri"/>
          <w:b/>
          <w:noProof/>
          <w:sz w:val="22"/>
          <w:szCs w:val="22"/>
          <w:lang w:val="es-ES_tradnl"/>
        </w:rPr>
      </w:pPr>
    </w:p>
    <w:p w14:paraId="13D3C5C4" w14:textId="77777777" w:rsidR="00B8311C" w:rsidRPr="00B8311C" w:rsidRDefault="00B8311C" w:rsidP="00B8311C">
      <w:pPr>
        <w:rPr>
          <w:rFonts w:ascii="Calibri" w:hAnsi="Calibri"/>
          <w:b/>
          <w:noProof/>
          <w:sz w:val="22"/>
          <w:szCs w:val="22"/>
          <w:lang w:val="es-ES_tradnl"/>
        </w:rPr>
      </w:pPr>
      <w:r w:rsidRPr="00B8311C">
        <w:rPr>
          <w:rFonts w:ascii="Calibri" w:hAnsi="Calibri"/>
          <w:b/>
          <w:noProof/>
          <w:sz w:val="22"/>
          <w:szCs w:val="22"/>
          <w:lang w:val="es-ES_tradnl"/>
        </w:rPr>
        <w:lastRenderedPageBreak/>
        <w:t>Retraso de la auditoría de los estados financieros de 2016</w:t>
      </w:r>
    </w:p>
    <w:p w14:paraId="7576F353" w14:textId="77777777" w:rsidR="00334CA4" w:rsidRDefault="00334CA4" w:rsidP="0047333D">
      <w:pPr>
        <w:rPr>
          <w:rFonts w:ascii="Calibri" w:hAnsi="Calibri"/>
          <w:b/>
          <w:noProof/>
          <w:sz w:val="22"/>
          <w:szCs w:val="22"/>
          <w:lang w:val="es-ES_tradnl"/>
        </w:rPr>
      </w:pPr>
    </w:p>
    <w:p w14:paraId="635DE7B1" w14:textId="1ABD14C0" w:rsidR="00B8311C" w:rsidRPr="00B8311C" w:rsidRDefault="00B8311C" w:rsidP="005A7C0B">
      <w:pPr>
        <w:numPr>
          <w:ilvl w:val="0"/>
          <w:numId w:val="26"/>
        </w:numPr>
        <w:ind w:left="426" w:hanging="426"/>
        <w:rPr>
          <w:rFonts w:ascii="Calibri" w:hAnsi="Calibri"/>
          <w:noProof/>
          <w:sz w:val="22"/>
          <w:szCs w:val="22"/>
          <w:lang w:val="es-ES_tradnl"/>
        </w:rPr>
      </w:pPr>
      <w:r w:rsidRPr="00B8311C">
        <w:rPr>
          <w:rFonts w:ascii="Calibri" w:hAnsi="Calibri"/>
          <w:noProof/>
          <w:sz w:val="22"/>
          <w:szCs w:val="22"/>
          <w:lang w:val="es-ES_tradnl"/>
        </w:rPr>
        <w:t xml:space="preserve">El 2 de marzo de 2017, el Subgrupo de Finanzas </w:t>
      </w:r>
      <w:r w:rsidR="00AF5D4F">
        <w:rPr>
          <w:rFonts w:ascii="Calibri" w:hAnsi="Calibri"/>
          <w:noProof/>
          <w:sz w:val="22"/>
          <w:szCs w:val="22"/>
          <w:lang w:val="es-ES_tradnl"/>
        </w:rPr>
        <w:t xml:space="preserve">aprobó </w:t>
      </w:r>
      <w:r w:rsidRPr="00B8311C">
        <w:rPr>
          <w:rFonts w:ascii="Calibri" w:hAnsi="Calibri"/>
          <w:noProof/>
          <w:sz w:val="22"/>
          <w:szCs w:val="22"/>
          <w:lang w:val="es-ES_tradnl"/>
        </w:rPr>
        <w:t xml:space="preserve">la solicitud </w:t>
      </w:r>
      <w:r w:rsidR="00B57CF7">
        <w:rPr>
          <w:rFonts w:ascii="Calibri" w:hAnsi="Calibri"/>
          <w:noProof/>
          <w:sz w:val="22"/>
          <w:szCs w:val="22"/>
          <w:lang w:val="es-ES_tradnl"/>
        </w:rPr>
        <w:t>de la Secretaria</w:t>
      </w:r>
      <w:r w:rsidRPr="00B8311C">
        <w:rPr>
          <w:rFonts w:ascii="Calibri" w:hAnsi="Calibri"/>
          <w:noProof/>
          <w:sz w:val="22"/>
          <w:szCs w:val="22"/>
          <w:lang w:val="es-ES_tradnl"/>
        </w:rPr>
        <w:t xml:space="preserve"> General de retrasar la auditoría de los estados financieros de 2016 hasta junio de 2017 y presentar cifras preliminares en la </w:t>
      </w:r>
      <w:r w:rsidR="00AF5D4F">
        <w:rPr>
          <w:rFonts w:ascii="Calibri" w:hAnsi="Calibri"/>
          <w:noProof/>
          <w:sz w:val="22"/>
          <w:szCs w:val="22"/>
          <w:lang w:val="es-ES_tradnl"/>
        </w:rPr>
        <w:t>53ª reunión del Comité Permanente,</w:t>
      </w:r>
      <w:r w:rsidRPr="00B8311C">
        <w:rPr>
          <w:rFonts w:ascii="Calibri" w:hAnsi="Calibri"/>
          <w:noProof/>
          <w:sz w:val="22"/>
          <w:szCs w:val="22"/>
          <w:lang w:val="es-ES_tradnl"/>
        </w:rPr>
        <w:t xml:space="preserve"> por las </w:t>
      </w:r>
      <w:r w:rsidR="00AF5D4F" w:rsidRPr="00B8311C">
        <w:rPr>
          <w:rFonts w:ascii="Calibri" w:hAnsi="Calibri"/>
          <w:noProof/>
          <w:sz w:val="22"/>
          <w:szCs w:val="22"/>
          <w:lang w:val="es-ES_tradnl"/>
        </w:rPr>
        <w:t xml:space="preserve">razones </w:t>
      </w:r>
      <w:r w:rsidRPr="00B8311C">
        <w:rPr>
          <w:rFonts w:ascii="Calibri" w:hAnsi="Calibri"/>
          <w:noProof/>
          <w:sz w:val="22"/>
          <w:szCs w:val="22"/>
          <w:lang w:val="es-ES_tradnl"/>
        </w:rPr>
        <w:t>siguientes:</w:t>
      </w:r>
    </w:p>
    <w:p w14:paraId="0DDB1C6A" w14:textId="07035E72" w:rsidR="00956F92" w:rsidRDefault="00AF5D4F" w:rsidP="00956F92">
      <w:pPr>
        <w:numPr>
          <w:ilvl w:val="0"/>
          <w:numId w:val="21"/>
        </w:numPr>
        <w:ind w:left="850" w:hanging="425"/>
        <w:rPr>
          <w:rFonts w:ascii="Calibri" w:eastAsia="Times New Roman" w:hAnsi="Calibri" w:cs="Arial"/>
          <w:noProof/>
          <w:sz w:val="22"/>
          <w:szCs w:val="22"/>
          <w:lang w:val="es-ES_tradnl" w:eastAsia="en-GB"/>
        </w:rPr>
      </w:pPr>
      <w:r>
        <w:rPr>
          <w:rFonts w:ascii="Calibri" w:eastAsia="Times New Roman" w:hAnsi="Calibri" w:cs="Arial"/>
          <w:noProof/>
          <w:sz w:val="22"/>
          <w:szCs w:val="22"/>
          <w:lang w:val="es-ES_tradnl" w:eastAsia="en-GB"/>
        </w:rPr>
        <w:t>a</w:t>
      </w:r>
      <w:r w:rsidRPr="00AF5D4F">
        <w:rPr>
          <w:rFonts w:ascii="Calibri" w:eastAsia="Times New Roman" w:hAnsi="Calibri" w:cs="Arial"/>
          <w:noProof/>
          <w:sz w:val="22"/>
          <w:szCs w:val="22"/>
          <w:lang w:val="es-ES_tradnl" w:eastAsia="en-GB"/>
        </w:rPr>
        <w:t xml:space="preserve">bordar y corregir </w:t>
      </w:r>
      <w:r w:rsidR="00956F92">
        <w:rPr>
          <w:rFonts w:ascii="Calibri" w:eastAsia="Times New Roman" w:hAnsi="Calibri" w:cs="Arial"/>
          <w:noProof/>
          <w:sz w:val="22"/>
          <w:szCs w:val="22"/>
          <w:lang w:val="es-ES_tradnl" w:eastAsia="en-GB"/>
        </w:rPr>
        <w:t>las cuestiones destacada</w:t>
      </w:r>
      <w:r w:rsidRPr="00AF5D4F">
        <w:rPr>
          <w:rFonts w:ascii="Calibri" w:eastAsia="Times New Roman" w:hAnsi="Calibri" w:cs="Arial"/>
          <w:noProof/>
          <w:sz w:val="22"/>
          <w:szCs w:val="22"/>
          <w:lang w:val="es-ES_tradnl" w:eastAsia="en-GB"/>
        </w:rPr>
        <w:t xml:space="preserve">s </w:t>
      </w:r>
      <w:r w:rsidR="00956F92">
        <w:rPr>
          <w:rFonts w:ascii="Calibri" w:eastAsia="Times New Roman" w:hAnsi="Calibri" w:cs="Arial"/>
          <w:noProof/>
          <w:sz w:val="22"/>
          <w:szCs w:val="22"/>
          <w:lang w:val="es-ES_tradnl" w:eastAsia="en-GB"/>
        </w:rPr>
        <w:t>en la c</w:t>
      </w:r>
      <w:r w:rsidRPr="00AF5D4F">
        <w:rPr>
          <w:rFonts w:ascii="Calibri" w:eastAsia="Times New Roman" w:hAnsi="Calibri" w:cs="Arial"/>
          <w:noProof/>
          <w:sz w:val="22"/>
          <w:szCs w:val="22"/>
          <w:lang w:val="es-ES_tradnl" w:eastAsia="en-GB"/>
        </w:rPr>
        <w:t xml:space="preserve">arta </w:t>
      </w:r>
      <w:r w:rsidR="00956F92">
        <w:rPr>
          <w:rFonts w:ascii="Calibri" w:eastAsia="Times New Roman" w:hAnsi="Calibri" w:cs="Arial"/>
          <w:noProof/>
          <w:sz w:val="22"/>
          <w:szCs w:val="22"/>
          <w:lang w:val="es-ES_tradnl" w:eastAsia="en-GB"/>
        </w:rPr>
        <w:t>de</w:t>
      </w:r>
      <w:r w:rsidR="004A21D5">
        <w:rPr>
          <w:rFonts w:ascii="Calibri" w:eastAsia="Times New Roman" w:hAnsi="Calibri" w:cs="Arial"/>
          <w:noProof/>
          <w:sz w:val="22"/>
          <w:szCs w:val="22"/>
          <w:lang w:val="es-ES_tradnl" w:eastAsia="en-GB"/>
        </w:rPr>
        <w:t xml:space="preserve"> auditoría de</w:t>
      </w:r>
      <w:r w:rsidR="00956F92">
        <w:rPr>
          <w:rFonts w:ascii="Calibri" w:eastAsia="Times New Roman" w:hAnsi="Calibri" w:cs="Arial"/>
          <w:noProof/>
          <w:sz w:val="22"/>
          <w:szCs w:val="22"/>
          <w:lang w:val="es-ES_tradnl" w:eastAsia="en-GB"/>
        </w:rPr>
        <w:t xml:space="preserve"> </w:t>
      </w:r>
      <w:r w:rsidR="00956F92" w:rsidRPr="00956F92">
        <w:rPr>
          <w:rFonts w:ascii="Calibri" w:eastAsia="Times New Roman" w:hAnsi="Calibri" w:cs="Arial"/>
          <w:noProof/>
          <w:sz w:val="22"/>
          <w:szCs w:val="22"/>
          <w:lang w:val="es-ES_tradnl" w:eastAsia="en-GB"/>
        </w:rPr>
        <w:t>PricewaterhouseCoopers</w:t>
      </w:r>
      <w:r w:rsidR="00956F92">
        <w:rPr>
          <w:rFonts w:ascii="Calibri" w:eastAsia="Times New Roman" w:hAnsi="Calibri" w:cs="Arial"/>
          <w:noProof/>
          <w:sz w:val="22"/>
          <w:szCs w:val="22"/>
          <w:lang w:val="es-ES_tradnl" w:eastAsia="en-GB"/>
        </w:rPr>
        <w:t xml:space="preserve"> de </w:t>
      </w:r>
      <w:r w:rsidRPr="00AF5D4F">
        <w:rPr>
          <w:rFonts w:ascii="Calibri" w:eastAsia="Times New Roman" w:hAnsi="Calibri" w:cs="Arial"/>
          <w:noProof/>
          <w:sz w:val="22"/>
          <w:szCs w:val="22"/>
          <w:lang w:val="es-ES_tradnl" w:eastAsia="en-GB"/>
        </w:rPr>
        <w:t>2015;</w:t>
      </w:r>
    </w:p>
    <w:p w14:paraId="59887F9C" w14:textId="4238B60C" w:rsidR="00956F92" w:rsidRPr="00956F92" w:rsidRDefault="00956F92" w:rsidP="00956F92">
      <w:pPr>
        <w:numPr>
          <w:ilvl w:val="0"/>
          <w:numId w:val="21"/>
        </w:numPr>
        <w:ind w:left="850" w:hanging="425"/>
        <w:rPr>
          <w:rFonts w:ascii="Calibri" w:eastAsia="Times New Roman" w:hAnsi="Calibri" w:cs="Arial"/>
          <w:noProof/>
          <w:sz w:val="22"/>
          <w:szCs w:val="22"/>
          <w:lang w:val="es-ES_tradnl" w:eastAsia="en-GB"/>
        </w:rPr>
      </w:pPr>
      <w:r w:rsidRPr="00956F92">
        <w:rPr>
          <w:rFonts w:ascii="Calibri" w:hAnsi="Calibri"/>
          <w:noProof/>
          <w:sz w:val="22"/>
          <w:szCs w:val="22"/>
          <w:lang w:val="es-ES_tradnl"/>
        </w:rPr>
        <w:t>resolver el retraso causad</w:t>
      </w:r>
      <w:r w:rsidR="00B57CF7">
        <w:rPr>
          <w:rFonts w:ascii="Calibri" w:hAnsi="Calibri"/>
          <w:noProof/>
          <w:sz w:val="22"/>
          <w:szCs w:val="22"/>
          <w:lang w:val="es-ES_tradnl"/>
        </w:rPr>
        <w:t xml:space="preserve">o por la salida del </w:t>
      </w:r>
      <w:r w:rsidR="000C5A16">
        <w:rPr>
          <w:rFonts w:ascii="Calibri" w:hAnsi="Calibri"/>
          <w:noProof/>
          <w:sz w:val="22"/>
          <w:szCs w:val="22"/>
          <w:lang w:val="es-ES_tradnl"/>
        </w:rPr>
        <w:t>Oficial de finanzas</w:t>
      </w:r>
      <w:r>
        <w:rPr>
          <w:rFonts w:ascii="Calibri" w:hAnsi="Calibri"/>
          <w:noProof/>
          <w:sz w:val="22"/>
          <w:szCs w:val="22"/>
          <w:lang w:val="es-ES_tradnl"/>
        </w:rPr>
        <w:t>;</w:t>
      </w:r>
    </w:p>
    <w:p w14:paraId="0593E448" w14:textId="073E1437" w:rsidR="00956F92" w:rsidRDefault="00956F92" w:rsidP="00956F92">
      <w:pPr>
        <w:numPr>
          <w:ilvl w:val="0"/>
          <w:numId w:val="21"/>
        </w:numPr>
        <w:ind w:left="850" w:hanging="425"/>
        <w:rPr>
          <w:rFonts w:ascii="Calibri" w:eastAsia="Times New Roman" w:hAnsi="Calibri" w:cs="Arial"/>
          <w:noProof/>
          <w:sz w:val="22"/>
          <w:szCs w:val="22"/>
          <w:lang w:val="es-ES_tradnl" w:eastAsia="en-GB"/>
        </w:rPr>
      </w:pPr>
      <w:r w:rsidRPr="00956F92">
        <w:rPr>
          <w:rFonts w:ascii="Calibri" w:eastAsia="Times New Roman" w:hAnsi="Calibri" w:cs="Arial"/>
          <w:noProof/>
          <w:sz w:val="22"/>
          <w:szCs w:val="22"/>
          <w:lang w:val="es-ES_tradnl" w:eastAsia="en-GB"/>
        </w:rPr>
        <w:t xml:space="preserve">completar la </w:t>
      </w:r>
      <w:r>
        <w:rPr>
          <w:rFonts w:ascii="Calibri" w:eastAsia="Times New Roman" w:hAnsi="Calibri" w:cs="Arial"/>
          <w:noProof/>
          <w:sz w:val="22"/>
          <w:szCs w:val="22"/>
          <w:lang w:val="es-ES_tradnl" w:eastAsia="en-GB"/>
        </w:rPr>
        <w:t>depuración</w:t>
      </w:r>
      <w:r w:rsidRPr="00956F92">
        <w:rPr>
          <w:rFonts w:ascii="Calibri" w:eastAsia="Times New Roman" w:hAnsi="Calibri" w:cs="Arial"/>
          <w:noProof/>
          <w:sz w:val="22"/>
          <w:szCs w:val="22"/>
          <w:lang w:val="es-ES_tradnl" w:eastAsia="en-GB"/>
        </w:rPr>
        <w:t xml:space="preserve"> en curso de las cuen</w:t>
      </w:r>
      <w:r w:rsidR="0015442F">
        <w:rPr>
          <w:rFonts w:ascii="Calibri" w:eastAsia="Times New Roman" w:hAnsi="Calibri" w:cs="Arial"/>
          <w:noProof/>
          <w:sz w:val="22"/>
          <w:szCs w:val="22"/>
          <w:lang w:val="es-ES_tradnl" w:eastAsia="en-GB"/>
        </w:rPr>
        <w:t>tas tal como se describe en el plan de a</w:t>
      </w:r>
      <w:r w:rsidRPr="00956F92">
        <w:rPr>
          <w:rFonts w:ascii="Calibri" w:eastAsia="Times New Roman" w:hAnsi="Calibri" w:cs="Arial"/>
          <w:noProof/>
          <w:sz w:val="22"/>
          <w:szCs w:val="22"/>
          <w:lang w:val="es-ES_tradnl" w:eastAsia="en-GB"/>
        </w:rPr>
        <w:t xml:space="preserve">cción y </w:t>
      </w:r>
      <w:r w:rsidR="004A21D5">
        <w:rPr>
          <w:rFonts w:ascii="Calibri" w:eastAsia="Times New Roman" w:hAnsi="Calibri" w:cs="Arial"/>
          <w:noProof/>
          <w:sz w:val="22"/>
          <w:szCs w:val="22"/>
          <w:lang w:val="es-ES_tradnl" w:eastAsia="en-GB"/>
        </w:rPr>
        <w:t xml:space="preserve">en </w:t>
      </w:r>
      <w:r w:rsidRPr="00956F92">
        <w:rPr>
          <w:rFonts w:ascii="Calibri" w:eastAsia="Times New Roman" w:hAnsi="Calibri" w:cs="Arial"/>
          <w:noProof/>
          <w:sz w:val="22"/>
          <w:szCs w:val="22"/>
          <w:lang w:val="es-ES_tradnl" w:eastAsia="en-GB"/>
        </w:rPr>
        <w:t xml:space="preserve">la actualización </w:t>
      </w:r>
      <w:r>
        <w:rPr>
          <w:rFonts w:ascii="Calibri" w:eastAsia="Times New Roman" w:hAnsi="Calibri" w:cs="Arial"/>
          <w:noProof/>
          <w:sz w:val="22"/>
          <w:szCs w:val="22"/>
          <w:lang w:val="es-ES_tradnl" w:eastAsia="en-GB"/>
        </w:rPr>
        <w:t>que se presentó</w:t>
      </w:r>
      <w:r w:rsidRPr="00956F92">
        <w:rPr>
          <w:rFonts w:ascii="Calibri" w:eastAsia="Times New Roman" w:hAnsi="Calibri" w:cs="Arial"/>
          <w:noProof/>
          <w:sz w:val="22"/>
          <w:szCs w:val="22"/>
          <w:lang w:val="es-ES_tradnl" w:eastAsia="en-GB"/>
        </w:rPr>
        <w:t xml:space="preserve"> al Equipo Ejecutivo; y</w:t>
      </w:r>
    </w:p>
    <w:p w14:paraId="16DED913" w14:textId="40DEC1FF" w:rsidR="00956F92" w:rsidRPr="00956F92" w:rsidRDefault="00956F92" w:rsidP="00956F92">
      <w:pPr>
        <w:numPr>
          <w:ilvl w:val="0"/>
          <w:numId w:val="21"/>
        </w:numPr>
        <w:ind w:left="850" w:hanging="425"/>
        <w:rPr>
          <w:rFonts w:ascii="Calibri" w:eastAsia="Times New Roman" w:hAnsi="Calibri" w:cs="Arial"/>
          <w:noProof/>
          <w:sz w:val="22"/>
          <w:szCs w:val="22"/>
          <w:lang w:val="es-ES_tradnl" w:eastAsia="en-GB"/>
        </w:rPr>
      </w:pPr>
      <w:r w:rsidRPr="00956F92">
        <w:rPr>
          <w:rFonts w:ascii="Calibri" w:eastAsia="Times New Roman" w:hAnsi="Calibri" w:cs="Arial"/>
          <w:noProof/>
          <w:sz w:val="22"/>
          <w:szCs w:val="22"/>
          <w:lang w:val="es-ES_tradnl" w:eastAsia="en-GB"/>
        </w:rPr>
        <w:t>permit</w:t>
      </w:r>
      <w:r w:rsidR="0015442F">
        <w:rPr>
          <w:rFonts w:ascii="Calibri" w:eastAsia="Times New Roman" w:hAnsi="Calibri" w:cs="Arial"/>
          <w:noProof/>
          <w:sz w:val="22"/>
          <w:szCs w:val="22"/>
          <w:lang w:val="es-ES_tradnl" w:eastAsia="en-GB"/>
        </w:rPr>
        <w:t xml:space="preserve">ir que el nuevo </w:t>
      </w:r>
      <w:r w:rsidR="000C5A16">
        <w:rPr>
          <w:rFonts w:ascii="Calibri" w:eastAsia="Times New Roman" w:hAnsi="Calibri" w:cs="Arial"/>
          <w:noProof/>
          <w:sz w:val="22"/>
          <w:szCs w:val="22"/>
          <w:lang w:val="es-ES_tradnl" w:eastAsia="en-GB"/>
        </w:rPr>
        <w:t>Oficial de finanzas</w:t>
      </w:r>
      <w:r w:rsidRPr="00956F92">
        <w:rPr>
          <w:rFonts w:ascii="Calibri" w:eastAsia="Times New Roman" w:hAnsi="Calibri" w:cs="Arial"/>
          <w:noProof/>
          <w:sz w:val="22"/>
          <w:szCs w:val="22"/>
          <w:lang w:val="es-ES_tradnl" w:eastAsia="en-GB"/>
        </w:rPr>
        <w:t xml:space="preserve"> participe en el proceso de auditoría (se ha seleccionado un candidato que </w:t>
      </w:r>
      <w:r>
        <w:rPr>
          <w:rFonts w:ascii="Calibri" w:eastAsia="Times New Roman" w:hAnsi="Calibri" w:cs="Arial"/>
          <w:noProof/>
          <w:sz w:val="22"/>
          <w:szCs w:val="22"/>
          <w:lang w:val="es-ES_tradnl" w:eastAsia="en-GB"/>
        </w:rPr>
        <w:t xml:space="preserve">tomará posesión del cargo </w:t>
      </w:r>
      <w:r w:rsidRPr="00956F92">
        <w:rPr>
          <w:rFonts w:ascii="Calibri" w:eastAsia="Times New Roman" w:hAnsi="Calibri" w:cs="Arial"/>
          <w:noProof/>
          <w:sz w:val="22"/>
          <w:szCs w:val="22"/>
          <w:lang w:val="es-ES_tradnl" w:eastAsia="en-GB"/>
        </w:rPr>
        <w:t>el 15 de mayo de 2017).</w:t>
      </w:r>
    </w:p>
    <w:p w14:paraId="7B209EBB" w14:textId="77777777" w:rsidR="003204BB" w:rsidRPr="00387415" w:rsidRDefault="003204BB" w:rsidP="00956F92">
      <w:pPr>
        <w:rPr>
          <w:rFonts w:ascii="Calibri" w:hAnsi="Calibri"/>
          <w:noProof/>
          <w:sz w:val="22"/>
          <w:szCs w:val="22"/>
          <w:lang w:val="es-ES_tradnl"/>
        </w:rPr>
      </w:pPr>
    </w:p>
    <w:p w14:paraId="3211189F" w14:textId="56F47024" w:rsidR="00F31AC0" w:rsidRPr="008C2CC2" w:rsidRDefault="00A802E8" w:rsidP="0047333D">
      <w:pPr>
        <w:numPr>
          <w:ilvl w:val="0"/>
          <w:numId w:val="26"/>
        </w:numPr>
        <w:ind w:left="426" w:hanging="426"/>
        <w:rPr>
          <w:rFonts w:ascii="Calibri" w:hAnsi="Calibri"/>
          <w:noProof/>
          <w:sz w:val="22"/>
          <w:szCs w:val="22"/>
          <w:lang w:val="es-ES_tradnl"/>
        </w:rPr>
      </w:pPr>
      <w:r w:rsidRPr="00A802E8">
        <w:rPr>
          <w:rFonts w:ascii="Calibri" w:hAnsi="Calibri"/>
          <w:noProof/>
          <w:sz w:val="22"/>
          <w:szCs w:val="22"/>
          <w:lang w:val="es-ES_tradnl"/>
        </w:rPr>
        <w:t xml:space="preserve">Los auditores de </w:t>
      </w:r>
      <w:r w:rsidR="008C2CC2">
        <w:rPr>
          <w:rFonts w:ascii="Calibri" w:hAnsi="Calibri"/>
          <w:noProof/>
          <w:sz w:val="22"/>
          <w:szCs w:val="22"/>
          <w:lang w:val="es-ES_tradnl"/>
        </w:rPr>
        <w:t>PricewaterhouseCoopers</w:t>
      </w:r>
      <w:r w:rsidRPr="00A802E8">
        <w:rPr>
          <w:rFonts w:ascii="Calibri" w:hAnsi="Calibri"/>
          <w:noProof/>
          <w:sz w:val="22"/>
          <w:szCs w:val="22"/>
          <w:lang w:val="es-ES_tradnl"/>
        </w:rPr>
        <w:t xml:space="preserve"> han indicado que es mejor retrasar la auditoría y que la Secretaría de Ramsar esté lista, en lugar de repetir los retrasos en la preparación y los cambios en los estados financieros </w:t>
      </w:r>
      <w:r w:rsidR="008C2CC2">
        <w:rPr>
          <w:rFonts w:ascii="Calibri" w:hAnsi="Calibri"/>
          <w:noProof/>
          <w:sz w:val="22"/>
          <w:szCs w:val="22"/>
          <w:lang w:val="es-ES_tradnl"/>
        </w:rPr>
        <w:t xml:space="preserve">que hubo </w:t>
      </w:r>
      <w:r w:rsidRPr="00A802E8">
        <w:rPr>
          <w:rFonts w:ascii="Calibri" w:hAnsi="Calibri"/>
          <w:noProof/>
          <w:sz w:val="22"/>
          <w:szCs w:val="22"/>
          <w:lang w:val="es-ES_tradnl"/>
        </w:rPr>
        <w:t>durante la auditoría de 2015.</w:t>
      </w:r>
    </w:p>
    <w:p w14:paraId="54EA4980" w14:textId="77777777" w:rsidR="0047333D" w:rsidRPr="00387415" w:rsidRDefault="0047333D" w:rsidP="0047333D">
      <w:pPr>
        <w:rPr>
          <w:rFonts w:ascii="Calibri" w:hAnsi="Calibri"/>
          <w:noProof/>
          <w:sz w:val="22"/>
          <w:szCs w:val="22"/>
          <w:lang w:val="es-ES_tradnl"/>
        </w:rPr>
      </w:pPr>
    </w:p>
    <w:p w14:paraId="67F497D0" w14:textId="77777777" w:rsidR="0015442F" w:rsidRDefault="0015442F" w:rsidP="0047333D">
      <w:pPr>
        <w:keepNext/>
        <w:rPr>
          <w:rFonts w:ascii="Calibri" w:hAnsi="Calibri" w:cs="Calibri"/>
          <w:b/>
          <w:bCs/>
          <w:noProof/>
          <w:sz w:val="22"/>
          <w:szCs w:val="22"/>
          <w:lang w:val="es-ES_tradnl"/>
        </w:rPr>
      </w:pPr>
    </w:p>
    <w:p w14:paraId="3B12A71D" w14:textId="6C088A31" w:rsidR="009E05CE" w:rsidRPr="00387415" w:rsidRDefault="008C2CC2" w:rsidP="0047333D">
      <w:pPr>
        <w:keepNext/>
        <w:rPr>
          <w:rFonts w:ascii="Calibri" w:hAnsi="Calibri" w:cs="Calibri"/>
          <w:b/>
          <w:bCs/>
          <w:noProof/>
          <w:sz w:val="22"/>
          <w:szCs w:val="22"/>
          <w:lang w:val="es-ES_tradnl"/>
        </w:rPr>
      </w:pPr>
      <w:r>
        <w:rPr>
          <w:rFonts w:ascii="Calibri" w:hAnsi="Calibri" w:cs="Calibri"/>
          <w:b/>
          <w:bCs/>
          <w:noProof/>
          <w:sz w:val="22"/>
          <w:szCs w:val="22"/>
          <w:lang w:val="es-ES_tradnl"/>
        </w:rPr>
        <w:t xml:space="preserve">Presupuesto básico </w:t>
      </w:r>
      <w:r w:rsidR="006D6A7B">
        <w:rPr>
          <w:rFonts w:ascii="Calibri" w:hAnsi="Calibri" w:cs="Calibri"/>
          <w:b/>
          <w:bCs/>
          <w:noProof/>
          <w:sz w:val="22"/>
          <w:szCs w:val="22"/>
          <w:lang w:val="es-ES_tradnl"/>
        </w:rPr>
        <w:t>de</w:t>
      </w:r>
      <w:r w:rsidR="000F6886" w:rsidRPr="00387415">
        <w:rPr>
          <w:rFonts w:ascii="Calibri" w:hAnsi="Calibri" w:cs="Calibri"/>
          <w:b/>
          <w:bCs/>
          <w:noProof/>
          <w:sz w:val="22"/>
          <w:szCs w:val="22"/>
          <w:lang w:val="es-ES_tradnl"/>
        </w:rPr>
        <w:t xml:space="preserve"> 2017</w:t>
      </w:r>
    </w:p>
    <w:p w14:paraId="55A1E7CA" w14:textId="77777777" w:rsidR="009E05CE" w:rsidRPr="00387415" w:rsidRDefault="009E05CE" w:rsidP="0047333D">
      <w:pPr>
        <w:keepNext/>
        <w:rPr>
          <w:rFonts w:ascii="Calibri" w:hAnsi="Calibri"/>
          <w:noProof/>
          <w:sz w:val="22"/>
          <w:szCs w:val="22"/>
          <w:lang w:val="es-ES_tradnl"/>
        </w:rPr>
      </w:pPr>
    </w:p>
    <w:p w14:paraId="68CBA6E6" w14:textId="5E660C8E" w:rsidR="006D6A7B" w:rsidRDefault="006D6A7B" w:rsidP="006D6A7B">
      <w:pPr>
        <w:numPr>
          <w:ilvl w:val="0"/>
          <w:numId w:val="26"/>
        </w:numPr>
        <w:ind w:left="426" w:hanging="426"/>
        <w:rPr>
          <w:rFonts w:ascii="Calibri" w:hAnsi="Calibri"/>
          <w:noProof/>
          <w:sz w:val="22"/>
          <w:szCs w:val="22"/>
          <w:lang w:val="es-ES_tradnl"/>
        </w:rPr>
      </w:pPr>
      <w:r>
        <w:rPr>
          <w:rFonts w:ascii="Calibri" w:hAnsi="Calibri"/>
          <w:noProof/>
          <w:sz w:val="22"/>
          <w:szCs w:val="22"/>
          <w:lang w:val="es-ES_tradnl"/>
        </w:rPr>
        <w:t>Adjunto al Anexo 3 está el presupuesto básico de 2017 aproba</w:t>
      </w:r>
      <w:r w:rsidR="00E06300">
        <w:rPr>
          <w:rFonts w:ascii="Calibri" w:hAnsi="Calibri"/>
          <w:noProof/>
          <w:sz w:val="22"/>
          <w:szCs w:val="22"/>
          <w:lang w:val="es-ES_tradnl"/>
        </w:rPr>
        <w:t xml:space="preserve">do por la 12ª reunión de la COP </w:t>
      </w:r>
      <w:r>
        <w:rPr>
          <w:rFonts w:ascii="Calibri" w:hAnsi="Calibri"/>
          <w:noProof/>
          <w:sz w:val="22"/>
          <w:szCs w:val="22"/>
          <w:lang w:val="es-ES_tradnl"/>
        </w:rPr>
        <w:t>y confirmado en la Decisión SC52-30.</w:t>
      </w:r>
    </w:p>
    <w:p w14:paraId="7E35A6CE" w14:textId="77777777" w:rsidR="006D6A7B" w:rsidRDefault="006D6A7B" w:rsidP="006D6A7B">
      <w:pPr>
        <w:ind w:left="426"/>
        <w:rPr>
          <w:rFonts w:ascii="Calibri" w:hAnsi="Calibri"/>
          <w:noProof/>
          <w:sz w:val="22"/>
          <w:szCs w:val="22"/>
          <w:lang w:val="es-ES_tradnl"/>
        </w:rPr>
      </w:pPr>
    </w:p>
    <w:p w14:paraId="1EE09A71" w14:textId="21640848" w:rsidR="00EE3D4F" w:rsidRPr="000D4298" w:rsidRDefault="006D6A7B" w:rsidP="0047333D">
      <w:pPr>
        <w:numPr>
          <w:ilvl w:val="0"/>
          <w:numId w:val="26"/>
        </w:numPr>
        <w:ind w:left="426" w:hanging="426"/>
        <w:rPr>
          <w:rFonts w:ascii="Calibri" w:hAnsi="Calibri"/>
          <w:noProof/>
          <w:sz w:val="22"/>
          <w:szCs w:val="22"/>
          <w:lang w:val="es-ES_tradnl"/>
        </w:rPr>
      </w:pPr>
      <w:r>
        <w:rPr>
          <w:rFonts w:ascii="Calibri" w:hAnsi="Calibri"/>
          <w:noProof/>
          <w:sz w:val="22"/>
          <w:szCs w:val="22"/>
          <w:lang w:val="es-ES_tradnl"/>
        </w:rPr>
        <w:t>La Secretaria</w:t>
      </w:r>
      <w:r w:rsidRPr="006D6A7B">
        <w:rPr>
          <w:rFonts w:ascii="Calibri" w:hAnsi="Calibri"/>
          <w:noProof/>
          <w:sz w:val="22"/>
          <w:szCs w:val="22"/>
          <w:lang w:val="es-ES_tradnl"/>
        </w:rPr>
        <w:t xml:space="preserve"> General no propone cambios importantes al presupuesto básico </w:t>
      </w:r>
      <w:r w:rsidR="005612DE">
        <w:rPr>
          <w:rFonts w:ascii="Calibri" w:hAnsi="Calibri"/>
          <w:noProof/>
          <w:sz w:val="22"/>
          <w:szCs w:val="22"/>
          <w:lang w:val="es-ES_tradnl"/>
        </w:rPr>
        <w:t>de</w:t>
      </w:r>
      <w:r w:rsidRPr="006D6A7B">
        <w:rPr>
          <w:rFonts w:ascii="Calibri" w:hAnsi="Calibri"/>
          <w:noProof/>
          <w:sz w:val="22"/>
          <w:szCs w:val="22"/>
          <w:lang w:val="es-ES_tradnl"/>
        </w:rPr>
        <w:t xml:space="preserve"> 2017. Sin embargo, </w:t>
      </w:r>
      <w:r w:rsidR="000D4298">
        <w:rPr>
          <w:rFonts w:ascii="Calibri" w:hAnsi="Calibri"/>
          <w:noProof/>
          <w:sz w:val="22"/>
          <w:szCs w:val="22"/>
          <w:lang w:val="es-ES_tradnl"/>
        </w:rPr>
        <w:t xml:space="preserve">ella </w:t>
      </w:r>
      <w:r w:rsidRPr="006D6A7B">
        <w:rPr>
          <w:rFonts w:ascii="Calibri" w:hAnsi="Calibri"/>
          <w:noProof/>
          <w:sz w:val="22"/>
          <w:szCs w:val="22"/>
          <w:lang w:val="es-ES_tradnl"/>
        </w:rPr>
        <w:t xml:space="preserve">puede hacer ajustes para permitir </w:t>
      </w:r>
      <w:r w:rsidR="005612DE">
        <w:rPr>
          <w:rFonts w:ascii="Calibri" w:hAnsi="Calibri"/>
          <w:noProof/>
          <w:sz w:val="22"/>
          <w:szCs w:val="22"/>
          <w:lang w:val="es-ES_tradnl"/>
        </w:rPr>
        <w:t>la gestión</w:t>
      </w:r>
      <w:r w:rsidRPr="006D6A7B">
        <w:rPr>
          <w:rFonts w:ascii="Calibri" w:hAnsi="Calibri"/>
          <w:noProof/>
          <w:sz w:val="22"/>
          <w:szCs w:val="22"/>
          <w:lang w:val="es-ES_tradnl"/>
        </w:rPr>
        <w:t xml:space="preserve"> eficaz de la Secretaría </w:t>
      </w:r>
      <w:r w:rsidR="00BA6280">
        <w:rPr>
          <w:rFonts w:ascii="Calibri" w:hAnsi="Calibri"/>
          <w:noProof/>
          <w:sz w:val="22"/>
          <w:szCs w:val="22"/>
          <w:lang w:val="es-ES_tradnl"/>
        </w:rPr>
        <w:t>a fin de</w:t>
      </w:r>
      <w:r w:rsidR="005612DE">
        <w:rPr>
          <w:rFonts w:ascii="Calibri" w:hAnsi="Calibri"/>
          <w:noProof/>
          <w:sz w:val="22"/>
          <w:szCs w:val="22"/>
          <w:lang w:val="es-ES_tradnl"/>
        </w:rPr>
        <w:t xml:space="preserve"> cumplir</w:t>
      </w:r>
      <w:r w:rsidR="00BA6280">
        <w:rPr>
          <w:rFonts w:ascii="Calibri" w:hAnsi="Calibri"/>
          <w:noProof/>
          <w:sz w:val="22"/>
          <w:szCs w:val="22"/>
          <w:lang w:val="es-ES_tradnl"/>
        </w:rPr>
        <w:t xml:space="preserve"> con el plan de t</w:t>
      </w:r>
      <w:r w:rsidRPr="006D6A7B">
        <w:rPr>
          <w:rFonts w:ascii="Calibri" w:hAnsi="Calibri"/>
          <w:noProof/>
          <w:sz w:val="22"/>
          <w:szCs w:val="22"/>
          <w:lang w:val="es-ES_tradnl"/>
        </w:rPr>
        <w:t>rabajo reorientado y para responder a las solicitudes de las Partes Contratantes (por ejemplo</w:t>
      </w:r>
      <w:r w:rsidR="005612DE">
        <w:rPr>
          <w:rFonts w:ascii="Calibri" w:hAnsi="Calibri"/>
          <w:noProof/>
          <w:sz w:val="22"/>
          <w:szCs w:val="22"/>
          <w:lang w:val="es-ES_tradnl"/>
        </w:rPr>
        <w:t>, a</w:t>
      </w:r>
      <w:r w:rsidRPr="006D6A7B">
        <w:rPr>
          <w:rFonts w:ascii="Calibri" w:hAnsi="Calibri"/>
          <w:noProof/>
          <w:sz w:val="22"/>
          <w:szCs w:val="22"/>
          <w:lang w:val="es-ES_tradnl"/>
        </w:rPr>
        <w:t>justes de gastos de viaje entre departamentos).</w:t>
      </w:r>
    </w:p>
    <w:p w14:paraId="51EA65FB" w14:textId="713FAFDA" w:rsidR="001E4474" w:rsidRPr="00387415" w:rsidRDefault="001E4474">
      <w:pPr>
        <w:rPr>
          <w:rFonts w:ascii="Calibri" w:hAnsi="Calibri"/>
          <w:b/>
          <w:noProof/>
          <w:sz w:val="22"/>
          <w:szCs w:val="22"/>
          <w:lang w:val="es-ES_tradnl"/>
        </w:rPr>
      </w:pPr>
    </w:p>
    <w:p w14:paraId="4A6A1B12" w14:textId="77777777" w:rsidR="00BC4C7E" w:rsidRDefault="00BC4C7E" w:rsidP="00E60802">
      <w:pPr>
        <w:rPr>
          <w:rFonts w:ascii="Calibri" w:hAnsi="Calibri"/>
          <w:b/>
          <w:noProof/>
          <w:sz w:val="22"/>
          <w:szCs w:val="22"/>
          <w:lang w:val="es-ES_tradnl"/>
        </w:rPr>
      </w:pPr>
    </w:p>
    <w:p w14:paraId="727F0C24" w14:textId="77777777" w:rsidR="00E60802" w:rsidRPr="00E60802" w:rsidRDefault="00E60802" w:rsidP="00E60802">
      <w:pPr>
        <w:rPr>
          <w:rFonts w:ascii="Calibri" w:hAnsi="Calibri"/>
          <w:b/>
          <w:noProof/>
          <w:sz w:val="22"/>
          <w:szCs w:val="22"/>
          <w:lang w:val="es-ES_tradnl"/>
        </w:rPr>
      </w:pPr>
      <w:r w:rsidRPr="00E60802">
        <w:rPr>
          <w:rFonts w:ascii="Calibri" w:hAnsi="Calibri"/>
          <w:b/>
          <w:noProof/>
          <w:sz w:val="22"/>
          <w:szCs w:val="22"/>
          <w:lang w:val="es-ES_tradnl"/>
        </w:rPr>
        <w:t>Confirmación del presupuesto básico de 2018</w:t>
      </w:r>
    </w:p>
    <w:p w14:paraId="0F01B90B" w14:textId="77777777" w:rsidR="00E60802" w:rsidRPr="00E60802" w:rsidRDefault="00E60802" w:rsidP="00E60802">
      <w:pPr>
        <w:rPr>
          <w:rFonts w:ascii="Calibri" w:hAnsi="Calibri"/>
          <w:b/>
          <w:noProof/>
          <w:sz w:val="22"/>
          <w:szCs w:val="22"/>
          <w:lang w:val="es-ES_tradnl"/>
        </w:rPr>
      </w:pPr>
    </w:p>
    <w:p w14:paraId="50248721" w14:textId="7EB2D964" w:rsidR="00E60802" w:rsidRPr="00E60802" w:rsidRDefault="00E60802" w:rsidP="00E60802">
      <w:pPr>
        <w:pStyle w:val="ListParagraph"/>
        <w:numPr>
          <w:ilvl w:val="0"/>
          <w:numId w:val="26"/>
        </w:numPr>
        <w:rPr>
          <w:rFonts w:ascii="Calibri" w:hAnsi="Calibri"/>
          <w:noProof/>
          <w:sz w:val="22"/>
          <w:szCs w:val="22"/>
          <w:lang w:val="es-ES_tradnl"/>
        </w:rPr>
      </w:pPr>
      <w:r w:rsidRPr="00E60802">
        <w:rPr>
          <w:rFonts w:ascii="Calibri" w:hAnsi="Calibri"/>
          <w:noProof/>
          <w:sz w:val="22"/>
          <w:szCs w:val="22"/>
          <w:lang w:val="es-ES_tradnl"/>
        </w:rPr>
        <w:t>Como se señala en</w:t>
      </w:r>
      <w:r>
        <w:rPr>
          <w:rFonts w:ascii="Calibri" w:hAnsi="Calibri"/>
          <w:noProof/>
          <w:sz w:val="22"/>
          <w:szCs w:val="22"/>
          <w:lang w:val="es-ES_tradnl"/>
        </w:rPr>
        <w:t xml:space="preserve"> el Documento SC53-21, </w:t>
      </w:r>
      <w:r w:rsidRPr="00E60802">
        <w:rPr>
          <w:rFonts w:ascii="Calibri" w:hAnsi="Calibri"/>
          <w:i/>
          <w:noProof/>
          <w:sz w:val="22"/>
          <w:szCs w:val="22"/>
          <w:lang w:val="es-ES_tradnl"/>
        </w:rPr>
        <w:t xml:space="preserve">Actualización </w:t>
      </w:r>
      <w:r>
        <w:rPr>
          <w:rFonts w:ascii="Calibri" w:hAnsi="Calibri"/>
          <w:i/>
          <w:noProof/>
          <w:sz w:val="22"/>
          <w:szCs w:val="22"/>
          <w:lang w:val="es-ES_tradnl"/>
        </w:rPr>
        <w:t>sobre</w:t>
      </w:r>
      <w:r w:rsidRPr="00E60802">
        <w:rPr>
          <w:rFonts w:ascii="Calibri" w:hAnsi="Calibri"/>
          <w:i/>
          <w:noProof/>
          <w:sz w:val="22"/>
          <w:szCs w:val="22"/>
          <w:lang w:val="es-ES_tradnl"/>
        </w:rPr>
        <w:t xml:space="preserve"> las contribuciones anuales pendientes</w:t>
      </w:r>
      <w:r>
        <w:rPr>
          <w:rFonts w:ascii="Calibri" w:hAnsi="Calibri"/>
          <w:i/>
          <w:noProof/>
          <w:sz w:val="22"/>
          <w:szCs w:val="22"/>
          <w:lang w:val="es-ES_tradnl"/>
        </w:rPr>
        <w:t xml:space="preserve"> de pago</w:t>
      </w:r>
      <w:r w:rsidRPr="00E60802">
        <w:rPr>
          <w:rFonts w:ascii="Calibri" w:hAnsi="Calibri"/>
          <w:noProof/>
          <w:sz w:val="22"/>
          <w:szCs w:val="22"/>
          <w:lang w:val="es-ES_tradnl"/>
        </w:rPr>
        <w:t xml:space="preserve">, la Secretaría ya </w:t>
      </w:r>
      <w:r w:rsidR="008D0D3F">
        <w:rPr>
          <w:rFonts w:ascii="Calibri" w:hAnsi="Calibri"/>
          <w:noProof/>
          <w:sz w:val="22"/>
          <w:szCs w:val="22"/>
          <w:lang w:val="es-ES_tradnl"/>
        </w:rPr>
        <w:t>no está</w:t>
      </w:r>
      <w:r w:rsidRPr="00E60802">
        <w:rPr>
          <w:rFonts w:ascii="Calibri" w:hAnsi="Calibri"/>
          <w:noProof/>
          <w:sz w:val="22"/>
          <w:szCs w:val="22"/>
          <w:lang w:val="es-ES_tradnl"/>
        </w:rPr>
        <w:t xml:space="preserve"> en una situación </w:t>
      </w:r>
      <w:r w:rsidR="008D0D3F">
        <w:rPr>
          <w:rFonts w:ascii="Calibri" w:hAnsi="Calibri"/>
          <w:noProof/>
          <w:sz w:val="22"/>
          <w:szCs w:val="22"/>
          <w:lang w:val="es-ES_tradnl"/>
        </w:rPr>
        <w:t xml:space="preserve">de inestabilidad </w:t>
      </w:r>
      <w:r w:rsidRPr="00E60802">
        <w:rPr>
          <w:rFonts w:ascii="Calibri" w:hAnsi="Calibri"/>
          <w:noProof/>
          <w:sz w:val="22"/>
          <w:szCs w:val="22"/>
          <w:lang w:val="es-ES_tradnl"/>
        </w:rPr>
        <w:t xml:space="preserve">financiera que </w:t>
      </w:r>
      <w:r w:rsidR="008D0D3F">
        <w:rPr>
          <w:rFonts w:ascii="Calibri" w:hAnsi="Calibri"/>
          <w:noProof/>
          <w:sz w:val="22"/>
          <w:szCs w:val="22"/>
          <w:lang w:val="es-ES_tradnl"/>
        </w:rPr>
        <w:t>requiera la adopción de</w:t>
      </w:r>
      <w:r w:rsidRPr="00E60802">
        <w:rPr>
          <w:rFonts w:ascii="Calibri" w:hAnsi="Calibri"/>
          <w:noProof/>
          <w:sz w:val="22"/>
          <w:szCs w:val="22"/>
          <w:lang w:val="es-ES_tradnl"/>
        </w:rPr>
        <w:t xml:space="preserve"> un presupuesto de austeridad para 2018, </w:t>
      </w:r>
      <w:r w:rsidR="008D0D3F">
        <w:rPr>
          <w:rFonts w:ascii="Calibri" w:hAnsi="Calibri"/>
          <w:noProof/>
          <w:sz w:val="22"/>
          <w:szCs w:val="22"/>
          <w:lang w:val="es-ES_tradnl"/>
        </w:rPr>
        <w:t xml:space="preserve">por lo que el </w:t>
      </w:r>
      <w:r w:rsidR="008D0D3F" w:rsidRPr="00E60802">
        <w:rPr>
          <w:rFonts w:ascii="Calibri" w:hAnsi="Calibri"/>
          <w:noProof/>
          <w:sz w:val="22"/>
          <w:szCs w:val="22"/>
          <w:lang w:val="es-ES_tradnl"/>
        </w:rPr>
        <w:t>23 de febrero de 2017</w:t>
      </w:r>
      <w:r w:rsidR="008D0D3F">
        <w:rPr>
          <w:rFonts w:ascii="Calibri" w:hAnsi="Calibri"/>
          <w:noProof/>
          <w:sz w:val="22"/>
          <w:szCs w:val="22"/>
          <w:lang w:val="es-ES_tradnl"/>
        </w:rPr>
        <w:t xml:space="preserve"> el </w:t>
      </w:r>
      <w:r w:rsidRPr="00E60802">
        <w:rPr>
          <w:rFonts w:ascii="Calibri" w:hAnsi="Calibri"/>
          <w:noProof/>
          <w:sz w:val="22"/>
          <w:szCs w:val="22"/>
          <w:lang w:val="es-ES_tradnl"/>
        </w:rPr>
        <w:t xml:space="preserve">Equipo Ejecutivo acordó mantener el presupuesto para 2018 </w:t>
      </w:r>
      <w:r w:rsidR="008D0D3F">
        <w:rPr>
          <w:rFonts w:ascii="Calibri" w:hAnsi="Calibri"/>
          <w:noProof/>
          <w:sz w:val="22"/>
          <w:szCs w:val="22"/>
          <w:lang w:val="es-ES_tradnl"/>
        </w:rPr>
        <w:t>que fue aprobado en la 12ª reunión de la COP</w:t>
      </w:r>
      <w:r w:rsidRPr="00E60802">
        <w:rPr>
          <w:rFonts w:ascii="Calibri" w:hAnsi="Calibri"/>
          <w:noProof/>
          <w:sz w:val="22"/>
          <w:szCs w:val="22"/>
          <w:lang w:val="es-ES_tradnl"/>
        </w:rPr>
        <w:t xml:space="preserve">. Se invita al Comité Permanente a confirmar el presupuesto de 2018 aprobado en la </w:t>
      </w:r>
      <w:r w:rsidR="008D0D3F">
        <w:rPr>
          <w:rFonts w:ascii="Calibri" w:hAnsi="Calibri"/>
          <w:noProof/>
          <w:sz w:val="22"/>
          <w:szCs w:val="22"/>
          <w:lang w:val="es-ES_tradnl"/>
        </w:rPr>
        <w:t>12ª reunión de la COP</w:t>
      </w:r>
      <w:r w:rsidR="008D0D3F" w:rsidRPr="00E60802">
        <w:rPr>
          <w:rFonts w:ascii="Calibri" w:hAnsi="Calibri"/>
          <w:noProof/>
          <w:sz w:val="22"/>
          <w:szCs w:val="22"/>
          <w:lang w:val="es-ES_tradnl"/>
        </w:rPr>
        <w:t xml:space="preserve"> </w:t>
      </w:r>
      <w:r w:rsidRPr="00E60802">
        <w:rPr>
          <w:rFonts w:ascii="Calibri" w:hAnsi="Calibri"/>
          <w:noProof/>
          <w:sz w:val="22"/>
          <w:szCs w:val="22"/>
          <w:lang w:val="es-ES_tradnl"/>
        </w:rPr>
        <w:t>que se adjunta en el Anexo 4.</w:t>
      </w:r>
    </w:p>
    <w:p w14:paraId="33119B11" w14:textId="77777777" w:rsidR="000F6886" w:rsidRPr="00387415" w:rsidRDefault="000F6886" w:rsidP="0047333D">
      <w:pPr>
        <w:rPr>
          <w:rFonts w:ascii="Calibri" w:hAnsi="Calibri"/>
          <w:noProof/>
          <w:sz w:val="22"/>
          <w:szCs w:val="22"/>
          <w:lang w:val="es-ES_tradnl"/>
        </w:rPr>
      </w:pPr>
    </w:p>
    <w:p w14:paraId="639D6B7C" w14:textId="77777777" w:rsidR="00BC4C7E" w:rsidRDefault="00BC4C7E" w:rsidP="004C49E4">
      <w:pPr>
        <w:rPr>
          <w:rFonts w:ascii="Calibri" w:hAnsi="Calibri"/>
          <w:b/>
          <w:noProof/>
          <w:sz w:val="22"/>
          <w:szCs w:val="22"/>
          <w:lang w:val="es-ES_tradnl"/>
        </w:rPr>
      </w:pPr>
    </w:p>
    <w:p w14:paraId="3F856A04" w14:textId="2F87CE8A" w:rsidR="004C49E4" w:rsidRPr="004C49E4" w:rsidRDefault="009E33EA" w:rsidP="004C49E4">
      <w:pPr>
        <w:rPr>
          <w:rFonts w:ascii="Calibri" w:hAnsi="Calibri"/>
          <w:b/>
          <w:noProof/>
          <w:sz w:val="22"/>
          <w:szCs w:val="22"/>
          <w:lang w:val="es-ES_tradnl"/>
        </w:rPr>
      </w:pPr>
      <w:r>
        <w:rPr>
          <w:rFonts w:ascii="Calibri" w:hAnsi="Calibri"/>
          <w:b/>
          <w:noProof/>
          <w:sz w:val="22"/>
          <w:szCs w:val="22"/>
          <w:lang w:val="es-ES_tradnl"/>
        </w:rPr>
        <w:t>Examen</w:t>
      </w:r>
      <w:r w:rsidR="004C49E4" w:rsidRPr="004C49E4">
        <w:rPr>
          <w:rFonts w:ascii="Calibri" w:hAnsi="Calibri"/>
          <w:b/>
          <w:noProof/>
          <w:sz w:val="22"/>
          <w:szCs w:val="22"/>
          <w:lang w:val="es-ES_tradnl"/>
        </w:rPr>
        <w:t xml:space="preserve"> de antiguos </w:t>
      </w:r>
      <w:r w:rsidR="004C49E4" w:rsidRPr="004C49E4">
        <w:rPr>
          <w:rFonts w:ascii="Calibri" w:hAnsi="Calibri"/>
          <w:b/>
          <w:sz w:val="22"/>
          <w:lang w:val="es-ES_tradnl"/>
        </w:rPr>
        <w:t>proyectos no financiados del presupuesto básico</w:t>
      </w:r>
    </w:p>
    <w:p w14:paraId="7C40F789" w14:textId="77777777" w:rsidR="004C49E4" w:rsidRPr="004C49E4" w:rsidRDefault="004C49E4" w:rsidP="004C49E4">
      <w:pPr>
        <w:rPr>
          <w:rFonts w:ascii="Calibri" w:hAnsi="Calibri"/>
          <w:noProof/>
          <w:sz w:val="22"/>
          <w:szCs w:val="22"/>
          <w:lang w:val="es-ES_tradnl"/>
        </w:rPr>
      </w:pPr>
    </w:p>
    <w:p w14:paraId="1D33859A" w14:textId="29316E1B" w:rsidR="00937B09" w:rsidRDefault="004C49E4" w:rsidP="00937B09">
      <w:pPr>
        <w:pStyle w:val="ListParagraph"/>
        <w:numPr>
          <w:ilvl w:val="0"/>
          <w:numId w:val="26"/>
        </w:numPr>
        <w:rPr>
          <w:rFonts w:ascii="Calibri" w:hAnsi="Calibri"/>
          <w:noProof/>
          <w:sz w:val="22"/>
          <w:szCs w:val="22"/>
          <w:lang w:val="es-ES_tradnl"/>
        </w:rPr>
      </w:pPr>
      <w:r w:rsidRPr="004C49E4">
        <w:rPr>
          <w:rFonts w:ascii="Calibri" w:hAnsi="Calibri"/>
          <w:noProof/>
          <w:sz w:val="22"/>
          <w:szCs w:val="22"/>
          <w:lang w:val="es-ES_tradnl"/>
        </w:rPr>
        <w:t xml:space="preserve">La Secretaría </w:t>
      </w:r>
      <w:r>
        <w:rPr>
          <w:rFonts w:ascii="Calibri" w:hAnsi="Calibri"/>
          <w:noProof/>
          <w:sz w:val="22"/>
          <w:szCs w:val="22"/>
          <w:lang w:val="es-ES_tradnl"/>
        </w:rPr>
        <w:t xml:space="preserve">está en proceso de examen de </w:t>
      </w:r>
      <w:r w:rsidRPr="004C49E4">
        <w:rPr>
          <w:rFonts w:ascii="Calibri" w:hAnsi="Calibri"/>
          <w:noProof/>
          <w:sz w:val="22"/>
          <w:szCs w:val="22"/>
          <w:lang w:val="es-ES_tradnl"/>
        </w:rPr>
        <w:t xml:space="preserve">saldos antiguos de </w:t>
      </w:r>
      <w:r w:rsidRPr="004C49E4">
        <w:rPr>
          <w:rFonts w:ascii="Calibri" w:hAnsi="Calibri"/>
          <w:sz w:val="22"/>
          <w:lang w:val="es-ES_tradnl"/>
        </w:rPr>
        <w:t>proyectos no financiados del presupuesto básico</w:t>
      </w:r>
      <w:r w:rsidRPr="004C49E4">
        <w:rPr>
          <w:rFonts w:ascii="Calibri" w:hAnsi="Calibri"/>
          <w:noProof/>
          <w:sz w:val="22"/>
          <w:szCs w:val="22"/>
          <w:lang w:val="es-ES_tradnl"/>
        </w:rPr>
        <w:t xml:space="preserve">. Esta cuestión </w:t>
      </w:r>
      <w:r>
        <w:rPr>
          <w:rFonts w:ascii="Calibri" w:hAnsi="Calibri"/>
          <w:noProof/>
          <w:sz w:val="22"/>
          <w:szCs w:val="22"/>
          <w:lang w:val="es-ES_tradnl"/>
        </w:rPr>
        <w:t>se identificó</w:t>
      </w:r>
      <w:r w:rsidRPr="004C49E4">
        <w:rPr>
          <w:rFonts w:ascii="Calibri" w:hAnsi="Calibri"/>
          <w:noProof/>
          <w:sz w:val="22"/>
          <w:szCs w:val="22"/>
          <w:lang w:val="es-ES_tradnl"/>
        </w:rPr>
        <w:t xml:space="preserve"> en el informe </w:t>
      </w:r>
      <w:r>
        <w:rPr>
          <w:rFonts w:ascii="Calibri" w:hAnsi="Calibri"/>
          <w:noProof/>
          <w:sz w:val="22"/>
          <w:szCs w:val="22"/>
          <w:lang w:val="es-ES_tradnl"/>
        </w:rPr>
        <w:t>de la Secretaria</w:t>
      </w:r>
      <w:r w:rsidRPr="004C49E4">
        <w:rPr>
          <w:rFonts w:ascii="Calibri" w:hAnsi="Calibri"/>
          <w:noProof/>
          <w:sz w:val="22"/>
          <w:szCs w:val="22"/>
          <w:lang w:val="es-ES_tradnl"/>
        </w:rPr>
        <w:t xml:space="preserve"> General </w:t>
      </w:r>
      <w:r>
        <w:rPr>
          <w:rFonts w:ascii="Calibri" w:hAnsi="Calibri"/>
          <w:noProof/>
          <w:sz w:val="22"/>
          <w:szCs w:val="22"/>
          <w:lang w:val="es-ES_tradnl"/>
        </w:rPr>
        <w:t>que se presentó</w:t>
      </w:r>
      <w:r w:rsidRPr="004C49E4">
        <w:rPr>
          <w:rFonts w:ascii="Calibri" w:hAnsi="Calibri"/>
          <w:noProof/>
          <w:sz w:val="22"/>
          <w:szCs w:val="22"/>
          <w:lang w:val="es-ES_tradnl"/>
        </w:rPr>
        <w:t xml:space="preserve"> al Equipo Ejecutivo en octubre de 2016. El 23 de febrero de 2017, el Equipo Ejecutivo </w:t>
      </w:r>
      <w:r w:rsidR="00823843">
        <w:rPr>
          <w:rFonts w:ascii="Calibri" w:hAnsi="Calibri"/>
          <w:noProof/>
          <w:sz w:val="22"/>
          <w:szCs w:val="22"/>
          <w:lang w:val="es-ES_tradnl"/>
        </w:rPr>
        <w:t xml:space="preserve">aprobó </w:t>
      </w:r>
      <w:r w:rsidR="00937B09">
        <w:rPr>
          <w:rFonts w:ascii="Calibri" w:hAnsi="Calibri"/>
          <w:noProof/>
          <w:sz w:val="22"/>
          <w:szCs w:val="22"/>
          <w:lang w:val="es-ES_tradnl"/>
        </w:rPr>
        <w:t xml:space="preserve">la realización de </w:t>
      </w:r>
      <w:r w:rsidR="00823843">
        <w:rPr>
          <w:rFonts w:ascii="Calibri" w:hAnsi="Calibri"/>
          <w:noProof/>
          <w:sz w:val="22"/>
          <w:szCs w:val="22"/>
          <w:lang w:val="es-ES_tradnl"/>
        </w:rPr>
        <w:t>un examen que se remonte diez años atrás como máximo</w:t>
      </w:r>
      <w:r w:rsidRPr="004C49E4">
        <w:rPr>
          <w:rFonts w:ascii="Calibri" w:hAnsi="Calibri"/>
          <w:noProof/>
          <w:sz w:val="22"/>
          <w:szCs w:val="22"/>
          <w:lang w:val="es-ES_tradnl"/>
        </w:rPr>
        <w:t xml:space="preserve">. En </w:t>
      </w:r>
      <w:r>
        <w:rPr>
          <w:rFonts w:ascii="Calibri" w:hAnsi="Calibri"/>
          <w:noProof/>
          <w:sz w:val="22"/>
          <w:szCs w:val="22"/>
          <w:lang w:val="es-ES_tradnl"/>
        </w:rPr>
        <w:t xml:space="preserve">la 53ª reunión del Comité Permanente </w:t>
      </w:r>
      <w:r w:rsidRPr="004C49E4">
        <w:rPr>
          <w:rFonts w:ascii="Calibri" w:hAnsi="Calibri"/>
          <w:noProof/>
          <w:sz w:val="22"/>
          <w:szCs w:val="22"/>
          <w:lang w:val="es-ES_tradnl"/>
        </w:rPr>
        <w:t xml:space="preserve">se presentará una actualización </w:t>
      </w:r>
      <w:r>
        <w:rPr>
          <w:rFonts w:ascii="Calibri" w:hAnsi="Calibri"/>
          <w:noProof/>
          <w:sz w:val="22"/>
          <w:szCs w:val="22"/>
          <w:lang w:val="es-ES_tradnl"/>
        </w:rPr>
        <w:t>sobre el</w:t>
      </w:r>
      <w:r w:rsidRPr="004C49E4">
        <w:rPr>
          <w:rFonts w:ascii="Calibri" w:hAnsi="Calibri"/>
          <w:noProof/>
          <w:sz w:val="22"/>
          <w:szCs w:val="22"/>
          <w:lang w:val="es-ES_tradnl"/>
        </w:rPr>
        <w:t xml:space="preserve"> estado y</w:t>
      </w:r>
      <w:r w:rsidR="00937B09">
        <w:rPr>
          <w:rFonts w:ascii="Calibri" w:hAnsi="Calibri"/>
          <w:noProof/>
          <w:sz w:val="22"/>
          <w:szCs w:val="22"/>
          <w:lang w:val="es-ES_tradnl"/>
        </w:rPr>
        <w:t xml:space="preserve"> las conclusiones</w:t>
      </w:r>
      <w:r w:rsidRPr="004C49E4">
        <w:rPr>
          <w:rFonts w:ascii="Calibri" w:hAnsi="Calibri"/>
          <w:noProof/>
          <w:sz w:val="22"/>
          <w:szCs w:val="22"/>
          <w:lang w:val="es-ES_tradnl"/>
        </w:rPr>
        <w:t xml:space="preserve"> </w:t>
      </w:r>
      <w:r>
        <w:rPr>
          <w:rFonts w:ascii="Calibri" w:hAnsi="Calibri"/>
          <w:noProof/>
          <w:sz w:val="22"/>
          <w:szCs w:val="22"/>
          <w:lang w:val="es-ES_tradnl"/>
        </w:rPr>
        <w:t>del examen</w:t>
      </w:r>
      <w:r w:rsidRPr="004C49E4">
        <w:rPr>
          <w:rFonts w:ascii="Calibri" w:hAnsi="Calibri"/>
          <w:noProof/>
          <w:sz w:val="22"/>
          <w:szCs w:val="22"/>
          <w:lang w:val="es-ES_tradnl"/>
        </w:rPr>
        <w:t>.</w:t>
      </w:r>
    </w:p>
    <w:p w14:paraId="610EF734" w14:textId="77777777" w:rsidR="00937B09" w:rsidRPr="00F0491B" w:rsidRDefault="00937B09" w:rsidP="00F0491B">
      <w:pPr>
        <w:rPr>
          <w:rFonts w:ascii="Calibri" w:hAnsi="Calibri"/>
          <w:noProof/>
          <w:sz w:val="22"/>
          <w:szCs w:val="22"/>
          <w:lang w:val="es-ES_tradnl"/>
        </w:rPr>
      </w:pPr>
    </w:p>
    <w:p w14:paraId="7DBDBD57" w14:textId="1DD8E2D2" w:rsidR="00F31AC0" w:rsidRPr="00300D82" w:rsidRDefault="00937B09" w:rsidP="0047333D">
      <w:pPr>
        <w:pStyle w:val="ListParagraph"/>
        <w:numPr>
          <w:ilvl w:val="0"/>
          <w:numId w:val="26"/>
        </w:numPr>
        <w:rPr>
          <w:rFonts w:ascii="Calibri" w:hAnsi="Calibri"/>
          <w:noProof/>
          <w:sz w:val="22"/>
          <w:szCs w:val="22"/>
          <w:lang w:val="es-ES_tradnl"/>
        </w:rPr>
      </w:pPr>
      <w:r w:rsidRPr="00937B09">
        <w:rPr>
          <w:rFonts w:ascii="Calibri" w:hAnsi="Calibri"/>
          <w:noProof/>
          <w:sz w:val="22"/>
          <w:szCs w:val="22"/>
          <w:lang w:val="es-ES_tradnl"/>
        </w:rPr>
        <w:t xml:space="preserve">Un componente importante de este examen </w:t>
      </w:r>
      <w:r w:rsidR="00F0491B">
        <w:rPr>
          <w:rFonts w:ascii="Calibri" w:hAnsi="Calibri"/>
          <w:noProof/>
          <w:sz w:val="22"/>
          <w:szCs w:val="22"/>
          <w:lang w:val="es-ES_tradnl"/>
        </w:rPr>
        <w:t>es</w:t>
      </w:r>
      <w:r w:rsidRPr="00937B09">
        <w:rPr>
          <w:rFonts w:ascii="Calibri" w:hAnsi="Calibri"/>
          <w:noProof/>
          <w:sz w:val="22"/>
          <w:szCs w:val="22"/>
          <w:lang w:val="es-ES_tradnl"/>
        </w:rPr>
        <w:t xml:space="preserve"> la cuestión </w:t>
      </w:r>
      <w:r w:rsidR="00F0491B">
        <w:rPr>
          <w:rFonts w:ascii="Calibri" w:hAnsi="Calibri"/>
          <w:noProof/>
          <w:sz w:val="22"/>
          <w:szCs w:val="22"/>
          <w:lang w:val="es-ES_tradnl"/>
        </w:rPr>
        <w:t>del</w:t>
      </w:r>
      <w:r w:rsidRPr="00937B09">
        <w:rPr>
          <w:rFonts w:ascii="Calibri" w:hAnsi="Calibri"/>
          <w:noProof/>
          <w:sz w:val="22"/>
          <w:szCs w:val="22"/>
          <w:lang w:val="es-ES_tradnl"/>
        </w:rPr>
        <w:t xml:space="preserve"> saldo considerable de proyectos antiguos que se cerraron y se incluyeron </w:t>
      </w:r>
      <w:r w:rsidR="00F0491B" w:rsidRPr="00937B09">
        <w:rPr>
          <w:rFonts w:ascii="Calibri" w:hAnsi="Calibri"/>
          <w:noProof/>
          <w:sz w:val="22"/>
          <w:szCs w:val="22"/>
          <w:lang w:val="es-ES_tradnl"/>
        </w:rPr>
        <w:t xml:space="preserve">en el saldo </w:t>
      </w:r>
      <w:r w:rsidR="002F4CBF">
        <w:rPr>
          <w:rFonts w:ascii="Calibri" w:hAnsi="Calibri"/>
          <w:noProof/>
          <w:sz w:val="22"/>
          <w:szCs w:val="22"/>
          <w:lang w:val="es-ES_tradnl"/>
        </w:rPr>
        <w:t xml:space="preserve">de “Admin” </w:t>
      </w:r>
      <w:r w:rsidRPr="00937B09">
        <w:rPr>
          <w:rFonts w:ascii="Calibri" w:hAnsi="Calibri"/>
          <w:noProof/>
          <w:sz w:val="22"/>
          <w:szCs w:val="22"/>
          <w:lang w:val="es-ES_tradnl"/>
        </w:rPr>
        <w:t xml:space="preserve">de </w:t>
      </w:r>
      <w:r w:rsidRPr="00937B09">
        <w:rPr>
          <w:rFonts w:ascii="Calibri" w:hAnsi="Calibri"/>
          <w:sz w:val="22"/>
          <w:lang w:val="es-ES_tradnl"/>
        </w:rPr>
        <w:t>proyectos no financiados del presupuesto básico</w:t>
      </w:r>
      <w:r w:rsidR="002F4CBF">
        <w:rPr>
          <w:rFonts w:ascii="Calibri" w:hAnsi="Calibri"/>
          <w:sz w:val="22"/>
          <w:lang w:val="es-ES_tradnl"/>
        </w:rPr>
        <w:t xml:space="preserve">. </w:t>
      </w:r>
      <w:r>
        <w:rPr>
          <w:rFonts w:ascii="Calibri" w:hAnsi="Calibri"/>
          <w:sz w:val="22"/>
          <w:lang w:val="es-ES_tradnl"/>
        </w:rPr>
        <w:t xml:space="preserve">El saldo se está analizando y desglosando en grupos para que se </w:t>
      </w:r>
      <w:r>
        <w:rPr>
          <w:rFonts w:ascii="Calibri" w:hAnsi="Calibri"/>
          <w:sz w:val="22"/>
          <w:lang w:val="es-ES_tradnl"/>
        </w:rPr>
        <w:lastRenderedPageBreak/>
        <w:t xml:space="preserve">puedan tomar decisiones </w:t>
      </w:r>
      <w:r w:rsidR="000B212E">
        <w:rPr>
          <w:rFonts w:ascii="Calibri" w:hAnsi="Calibri"/>
          <w:sz w:val="22"/>
          <w:lang w:val="es-ES_tradnl"/>
        </w:rPr>
        <w:t>en lo que respecta</w:t>
      </w:r>
      <w:r>
        <w:rPr>
          <w:rFonts w:ascii="Calibri" w:hAnsi="Calibri"/>
          <w:sz w:val="22"/>
          <w:lang w:val="es-ES_tradnl"/>
        </w:rPr>
        <w:t xml:space="preserve"> a los fondos sobre los que sería necesario informar a los donantes para que tomen una decisión sobre su uso y los fondos restantes </w:t>
      </w:r>
      <w:r w:rsidR="00F0491B">
        <w:rPr>
          <w:rFonts w:ascii="Calibri" w:hAnsi="Calibri"/>
          <w:sz w:val="22"/>
          <w:lang w:val="es-ES_tradnl"/>
        </w:rPr>
        <w:t xml:space="preserve">que podrían </w:t>
      </w:r>
      <w:r w:rsidR="002F4CBF">
        <w:rPr>
          <w:rFonts w:ascii="Calibri" w:hAnsi="Calibri"/>
          <w:sz w:val="22"/>
          <w:lang w:val="es-ES_tradnl"/>
        </w:rPr>
        <w:t xml:space="preserve">estar </w:t>
      </w:r>
      <w:r w:rsidR="00F63BDB">
        <w:rPr>
          <w:rFonts w:ascii="Calibri" w:hAnsi="Calibri"/>
          <w:sz w:val="22"/>
          <w:lang w:val="es-ES_tradnl"/>
        </w:rPr>
        <w:t>disponibles</w:t>
      </w:r>
      <w:r w:rsidR="00F0491B">
        <w:rPr>
          <w:rFonts w:ascii="Calibri" w:hAnsi="Calibri"/>
          <w:sz w:val="22"/>
          <w:lang w:val="es-ES_tradnl"/>
        </w:rPr>
        <w:t xml:space="preserve"> para ser utilizados con la aprobación del Equipo Ejecutivo o el Comité Permanente, según proceda. En la 53ª reunión del Comité Permanente se ofrecerá una actualización.</w:t>
      </w:r>
      <w:r>
        <w:rPr>
          <w:rFonts w:ascii="Calibri" w:hAnsi="Calibri"/>
          <w:sz w:val="22"/>
          <w:lang w:val="es-ES_tradnl"/>
        </w:rPr>
        <w:t xml:space="preserve"> </w:t>
      </w:r>
    </w:p>
    <w:p w14:paraId="2C5737EB" w14:textId="77777777" w:rsidR="00300D82" w:rsidRDefault="00300D82" w:rsidP="0047333D">
      <w:pPr>
        <w:ind w:left="567" w:hanging="567"/>
        <w:rPr>
          <w:rFonts w:ascii="Calibri" w:hAnsi="Calibri" w:cs="Calibri"/>
          <w:b/>
          <w:noProof/>
          <w:sz w:val="22"/>
          <w:szCs w:val="22"/>
          <w:lang w:val="es-ES_tradnl"/>
        </w:rPr>
      </w:pPr>
    </w:p>
    <w:p w14:paraId="527BF259" w14:textId="77777777" w:rsidR="006E70BA" w:rsidRDefault="006E70BA" w:rsidP="0047333D">
      <w:pPr>
        <w:ind w:left="567" w:hanging="567"/>
        <w:rPr>
          <w:rFonts w:ascii="Calibri" w:hAnsi="Calibri" w:cs="Calibri"/>
          <w:b/>
          <w:noProof/>
          <w:sz w:val="22"/>
          <w:szCs w:val="22"/>
          <w:lang w:val="es-ES_tradnl"/>
        </w:rPr>
      </w:pPr>
    </w:p>
    <w:p w14:paraId="780D1C31" w14:textId="77777777" w:rsidR="006E70BA" w:rsidRDefault="006E70BA" w:rsidP="0047333D">
      <w:pPr>
        <w:ind w:left="567" w:hanging="567"/>
        <w:rPr>
          <w:rFonts w:ascii="Calibri" w:hAnsi="Calibri" w:cs="Calibri"/>
          <w:b/>
          <w:noProof/>
          <w:sz w:val="22"/>
          <w:szCs w:val="22"/>
          <w:lang w:val="es-ES_tradnl"/>
        </w:rPr>
      </w:pPr>
    </w:p>
    <w:p w14:paraId="7315ABB0" w14:textId="4DF95506" w:rsidR="0044433D" w:rsidRPr="00387415" w:rsidRDefault="002357BE" w:rsidP="0047333D">
      <w:pPr>
        <w:ind w:left="567" w:hanging="567"/>
        <w:rPr>
          <w:rFonts w:ascii="Calibri" w:hAnsi="Calibri" w:cs="Calibri"/>
          <w:b/>
          <w:noProof/>
          <w:sz w:val="22"/>
          <w:szCs w:val="22"/>
          <w:lang w:val="es-ES_tradnl"/>
        </w:rPr>
      </w:pPr>
      <w:r>
        <w:rPr>
          <w:rFonts w:ascii="Calibri" w:hAnsi="Calibri" w:cs="Calibri"/>
          <w:b/>
          <w:noProof/>
          <w:sz w:val="22"/>
          <w:szCs w:val="22"/>
          <w:lang w:val="es-ES_tradnl"/>
        </w:rPr>
        <w:t>Anexos</w:t>
      </w:r>
    </w:p>
    <w:p w14:paraId="21686D29" w14:textId="77777777" w:rsidR="008532A7" w:rsidRPr="00387415" w:rsidRDefault="008532A7" w:rsidP="00300D82">
      <w:pPr>
        <w:rPr>
          <w:rFonts w:ascii="Calibri" w:hAnsi="Calibri" w:cs="Calibri"/>
          <w:b/>
          <w:noProof/>
          <w:sz w:val="22"/>
          <w:szCs w:val="22"/>
          <w:lang w:val="es-ES_tradnl"/>
        </w:rPr>
      </w:pPr>
    </w:p>
    <w:p w14:paraId="3E3078DD" w14:textId="67A3F0AE" w:rsidR="008532A7" w:rsidRPr="00E36909" w:rsidRDefault="002357BE" w:rsidP="00E36909">
      <w:pPr>
        <w:pStyle w:val="ListParagraph"/>
        <w:numPr>
          <w:ilvl w:val="0"/>
          <w:numId w:val="3"/>
        </w:numPr>
        <w:tabs>
          <w:tab w:val="right" w:pos="9000"/>
        </w:tabs>
        <w:ind w:left="426" w:hanging="426"/>
        <w:rPr>
          <w:rFonts w:ascii="Calibri" w:hAnsi="Calibri" w:cs="Calibri"/>
          <w:noProof/>
          <w:sz w:val="22"/>
          <w:szCs w:val="22"/>
          <w:lang w:val="es-ES_tradnl"/>
        </w:rPr>
      </w:pPr>
      <w:r>
        <w:rPr>
          <w:rFonts w:ascii="Calibri" w:hAnsi="Calibri" w:cs="Calibri"/>
          <w:noProof/>
          <w:sz w:val="22"/>
          <w:szCs w:val="22"/>
          <w:lang w:val="es-ES_tradnl"/>
        </w:rPr>
        <w:t>Estados finan</w:t>
      </w:r>
      <w:r w:rsidRPr="00E36909">
        <w:rPr>
          <w:rFonts w:ascii="Calibri" w:hAnsi="Calibri" w:cs="Calibri"/>
          <w:noProof/>
          <w:sz w:val="22"/>
          <w:szCs w:val="22"/>
          <w:lang w:val="es-ES_tradnl"/>
        </w:rPr>
        <w:t>cieros preliminares a 31 de diciembre de</w:t>
      </w:r>
      <w:r w:rsidR="00F9733B" w:rsidRPr="00E36909">
        <w:rPr>
          <w:rFonts w:ascii="Calibri" w:hAnsi="Calibri" w:cs="Calibri"/>
          <w:noProof/>
          <w:sz w:val="22"/>
          <w:szCs w:val="22"/>
          <w:lang w:val="es-ES_tradnl"/>
        </w:rPr>
        <w:t xml:space="preserve"> 2016</w:t>
      </w:r>
      <w:r w:rsidR="00C01945" w:rsidRPr="00E36909">
        <w:rPr>
          <w:rFonts w:ascii="Calibri" w:hAnsi="Calibri" w:cs="Calibri"/>
          <w:noProof/>
          <w:sz w:val="22"/>
          <w:szCs w:val="22"/>
          <w:lang w:val="es-ES_tradnl"/>
        </w:rPr>
        <w:t xml:space="preserve"> (</w:t>
      </w:r>
      <w:r w:rsidR="00F63BDB" w:rsidRPr="00E36909">
        <w:rPr>
          <w:rFonts w:ascii="Calibri" w:hAnsi="Calibri" w:cs="Calibri"/>
          <w:sz w:val="22"/>
          <w:szCs w:val="22"/>
          <w:lang w:val="es-ES_tradnl"/>
        </w:rPr>
        <w:t>preparados según e</w:t>
      </w:r>
      <w:r w:rsidR="00E36909">
        <w:rPr>
          <w:rFonts w:ascii="Calibri" w:hAnsi="Calibri" w:cs="Calibri"/>
          <w:sz w:val="22"/>
          <w:szCs w:val="22"/>
          <w:lang w:val="es-ES_tradnl"/>
        </w:rPr>
        <w:t>l</w:t>
      </w:r>
      <w:r w:rsidR="00E36909">
        <w:rPr>
          <w:rFonts w:ascii="Calibri" w:hAnsi="Calibri" w:cs="Calibri"/>
          <w:sz w:val="22"/>
          <w:szCs w:val="22"/>
          <w:lang w:val="es-ES_tradnl"/>
        </w:rPr>
        <w:br/>
      </w:r>
      <w:bookmarkStart w:id="1" w:name="_GoBack"/>
      <w:bookmarkEnd w:id="1"/>
      <w:r w:rsidRPr="00E36909">
        <w:rPr>
          <w:rFonts w:ascii="Calibri" w:hAnsi="Calibri" w:cs="Calibri"/>
          <w:sz w:val="22"/>
          <w:szCs w:val="22"/>
          <w:lang w:val="es-ES_tradnl"/>
        </w:rPr>
        <w:t>formato de presentación de estados financieros aplicable en Suiza</w:t>
      </w:r>
      <w:r w:rsidR="00F9733B" w:rsidRPr="00E36909">
        <w:rPr>
          <w:rFonts w:ascii="Calibri" w:hAnsi="Calibri" w:cs="Calibri"/>
          <w:noProof/>
          <w:sz w:val="22"/>
          <w:szCs w:val="22"/>
          <w:lang w:val="es-ES_tradnl"/>
        </w:rPr>
        <w:t>)</w:t>
      </w:r>
      <w:r w:rsidRPr="00E36909">
        <w:rPr>
          <w:rFonts w:ascii="Calibri" w:hAnsi="Calibri" w:cs="Calibri"/>
          <w:noProof/>
          <w:sz w:val="22"/>
          <w:szCs w:val="22"/>
          <w:lang w:val="es-ES_tradnl"/>
        </w:rPr>
        <w:t xml:space="preserve"> </w:t>
      </w:r>
      <w:r w:rsidR="00300D82" w:rsidRPr="00E36909">
        <w:rPr>
          <w:rFonts w:ascii="Calibri" w:hAnsi="Calibri" w:cs="Calibri"/>
          <w:noProof/>
          <w:sz w:val="22"/>
          <w:szCs w:val="22"/>
          <w:lang w:val="es-ES_tradnl"/>
        </w:rPr>
        <w:tab/>
      </w:r>
      <w:r w:rsidR="00E36909" w:rsidRPr="00E36909">
        <w:rPr>
          <w:rFonts w:ascii="Calibri" w:hAnsi="Calibri" w:cs="Calibri"/>
          <w:noProof/>
          <w:sz w:val="22"/>
          <w:szCs w:val="22"/>
          <w:lang w:val="es-ES_tradnl"/>
        </w:rPr>
        <w:t>8</w:t>
      </w:r>
    </w:p>
    <w:p w14:paraId="2478AC98" w14:textId="706FED44" w:rsidR="002357BE" w:rsidRPr="00E36909" w:rsidRDefault="002357BE" w:rsidP="00E36909">
      <w:pPr>
        <w:pStyle w:val="ListParagraph"/>
        <w:numPr>
          <w:ilvl w:val="0"/>
          <w:numId w:val="3"/>
        </w:numPr>
        <w:tabs>
          <w:tab w:val="right" w:pos="9000"/>
        </w:tabs>
        <w:ind w:left="426" w:hanging="426"/>
        <w:rPr>
          <w:rFonts w:ascii="Calibri" w:hAnsi="Calibri" w:cs="Calibri"/>
          <w:noProof/>
          <w:sz w:val="22"/>
          <w:szCs w:val="22"/>
          <w:lang w:val="es-ES_tradnl"/>
        </w:rPr>
      </w:pPr>
      <w:r w:rsidRPr="00E36909">
        <w:rPr>
          <w:rFonts w:ascii="Calibri" w:hAnsi="Calibri" w:cs="Calibri"/>
          <w:noProof/>
          <w:sz w:val="22"/>
          <w:szCs w:val="22"/>
          <w:lang w:val="es-ES_tradnl"/>
        </w:rPr>
        <w:t xml:space="preserve">Resultados del presupuesto básico preliminar de 2016, con los cambios de la 51ª reunión del Comité Permanente al presupuesto aprobado por la 12ª reunión de la COP, ingresos y gastos reales y variación respecto del presupuesto aprobado </w:t>
      </w:r>
      <w:r w:rsidR="00300D82" w:rsidRPr="00E36909">
        <w:rPr>
          <w:rFonts w:ascii="Calibri" w:hAnsi="Calibri" w:cs="Calibri"/>
          <w:noProof/>
          <w:sz w:val="22"/>
          <w:szCs w:val="22"/>
          <w:lang w:val="es-ES_tradnl"/>
        </w:rPr>
        <w:tab/>
        <w:t>1</w:t>
      </w:r>
      <w:r w:rsidR="00E36909" w:rsidRPr="00E36909">
        <w:rPr>
          <w:rFonts w:ascii="Calibri" w:hAnsi="Calibri" w:cs="Calibri"/>
          <w:noProof/>
          <w:sz w:val="22"/>
          <w:szCs w:val="22"/>
          <w:lang w:val="es-ES_tradnl"/>
        </w:rPr>
        <w:t>1</w:t>
      </w:r>
    </w:p>
    <w:p w14:paraId="7CFA1AE4" w14:textId="2FE4FC83" w:rsidR="002357BE" w:rsidRPr="00E36909" w:rsidRDefault="002357BE" w:rsidP="00E36909">
      <w:pPr>
        <w:pStyle w:val="ListParagraph"/>
        <w:numPr>
          <w:ilvl w:val="0"/>
          <w:numId w:val="3"/>
        </w:numPr>
        <w:tabs>
          <w:tab w:val="right" w:pos="9000"/>
        </w:tabs>
        <w:ind w:left="426" w:hanging="426"/>
        <w:rPr>
          <w:rFonts w:ascii="Calibri" w:hAnsi="Calibri" w:cs="Calibri"/>
          <w:noProof/>
          <w:sz w:val="22"/>
          <w:szCs w:val="22"/>
          <w:lang w:val="es-ES_tradnl"/>
        </w:rPr>
      </w:pPr>
      <w:r w:rsidRPr="00E36909">
        <w:rPr>
          <w:rFonts w:ascii="Calibri" w:hAnsi="Calibri" w:cs="Calibri"/>
          <w:noProof/>
          <w:sz w:val="22"/>
          <w:szCs w:val="22"/>
          <w:lang w:val="es-ES_tradnl"/>
        </w:rPr>
        <w:t>Presupuesto para 2017 aprobado por la 12ª reunión de la COP</w:t>
      </w:r>
      <w:r w:rsidR="00300D82" w:rsidRPr="00E36909">
        <w:rPr>
          <w:rFonts w:ascii="Calibri" w:hAnsi="Calibri" w:cs="Calibri"/>
          <w:noProof/>
          <w:sz w:val="22"/>
          <w:szCs w:val="22"/>
          <w:lang w:val="es-ES_tradnl"/>
        </w:rPr>
        <w:tab/>
        <w:t>1</w:t>
      </w:r>
      <w:r w:rsidR="00E36909" w:rsidRPr="00E36909">
        <w:rPr>
          <w:rFonts w:ascii="Calibri" w:hAnsi="Calibri" w:cs="Calibri"/>
          <w:noProof/>
          <w:sz w:val="22"/>
          <w:szCs w:val="22"/>
          <w:lang w:val="es-ES_tradnl"/>
        </w:rPr>
        <w:t>2</w:t>
      </w:r>
    </w:p>
    <w:p w14:paraId="75D01005" w14:textId="2B5CD128" w:rsidR="002357BE" w:rsidRPr="00E36909" w:rsidRDefault="002357BE" w:rsidP="00E36909">
      <w:pPr>
        <w:pStyle w:val="ListParagraph"/>
        <w:numPr>
          <w:ilvl w:val="0"/>
          <w:numId w:val="3"/>
        </w:numPr>
        <w:tabs>
          <w:tab w:val="left" w:pos="8303"/>
          <w:tab w:val="right" w:pos="9000"/>
        </w:tabs>
        <w:ind w:left="426" w:hanging="426"/>
        <w:rPr>
          <w:rFonts w:ascii="Calibri" w:hAnsi="Calibri" w:cs="Calibri"/>
          <w:noProof/>
          <w:sz w:val="22"/>
          <w:szCs w:val="22"/>
          <w:lang w:val="es-ES_tradnl"/>
        </w:rPr>
      </w:pPr>
      <w:r w:rsidRPr="00E36909">
        <w:rPr>
          <w:rFonts w:ascii="Calibri" w:hAnsi="Calibri" w:cs="Calibri"/>
          <w:noProof/>
          <w:sz w:val="22"/>
          <w:szCs w:val="22"/>
          <w:lang w:val="es-ES_tradnl"/>
        </w:rPr>
        <w:t>Presupuesto para 2018 aprobado por la 12ª reunión de la COP</w:t>
      </w:r>
      <w:r w:rsidR="00300D82" w:rsidRPr="00E36909">
        <w:rPr>
          <w:rFonts w:ascii="Calibri" w:hAnsi="Calibri" w:cs="Calibri"/>
          <w:noProof/>
          <w:sz w:val="22"/>
          <w:szCs w:val="22"/>
          <w:lang w:val="es-ES_tradnl"/>
        </w:rPr>
        <w:tab/>
      </w:r>
      <w:r w:rsidR="00E36909" w:rsidRPr="00E36909">
        <w:rPr>
          <w:rFonts w:ascii="Calibri" w:hAnsi="Calibri" w:cs="Calibri"/>
          <w:noProof/>
          <w:sz w:val="22"/>
          <w:szCs w:val="22"/>
          <w:lang w:val="es-ES_tradnl"/>
        </w:rPr>
        <w:tab/>
      </w:r>
      <w:r w:rsidR="00300D82" w:rsidRPr="00E36909">
        <w:rPr>
          <w:rFonts w:ascii="Calibri" w:hAnsi="Calibri" w:cs="Calibri"/>
          <w:noProof/>
          <w:sz w:val="22"/>
          <w:szCs w:val="22"/>
          <w:lang w:val="es-ES_tradnl"/>
        </w:rPr>
        <w:t>1</w:t>
      </w:r>
      <w:r w:rsidR="00E36909" w:rsidRPr="00E36909">
        <w:rPr>
          <w:rFonts w:ascii="Calibri" w:hAnsi="Calibri" w:cs="Calibri"/>
          <w:noProof/>
          <w:sz w:val="22"/>
          <w:szCs w:val="22"/>
          <w:lang w:val="es-ES_tradnl"/>
        </w:rPr>
        <w:t>3</w:t>
      </w:r>
    </w:p>
    <w:p w14:paraId="14908992" w14:textId="5A06A7E6" w:rsidR="002357BE" w:rsidRPr="00E36909" w:rsidRDefault="002357BE" w:rsidP="00E36909">
      <w:pPr>
        <w:pStyle w:val="ListParagraph"/>
        <w:numPr>
          <w:ilvl w:val="0"/>
          <w:numId w:val="3"/>
        </w:numPr>
        <w:tabs>
          <w:tab w:val="right" w:pos="9000"/>
        </w:tabs>
        <w:ind w:left="426" w:hanging="426"/>
        <w:rPr>
          <w:rFonts w:ascii="Calibri" w:hAnsi="Calibri" w:cs="Calibri"/>
          <w:sz w:val="22"/>
          <w:szCs w:val="22"/>
          <w:lang w:val="es-ES_tradnl"/>
        </w:rPr>
      </w:pPr>
      <w:r w:rsidRPr="00E36909">
        <w:rPr>
          <w:rFonts w:ascii="Calibri" w:hAnsi="Calibri" w:cs="Calibri"/>
          <w:noProof/>
          <w:sz w:val="22"/>
          <w:szCs w:val="22"/>
          <w:lang w:val="es-ES_tradnl"/>
        </w:rPr>
        <w:t>Presupuesto no básico del trienio 2016-2018 (A</w:t>
      </w:r>
      <w:r w:rsidR="00300D82" w:rsidRPr="00E36909">
        <w:rPr>
          <w:rFonts w:ascii="Calibri" w:hAnsi="Calibri" w:cs="Calibri"/>
          <w:noProof/>
          <w:sz w:val="22"/>
          <w:szCs w:val="22"/>
          <w:lang w:val="es-ES_tradnl"/>
        </w:rPr>
        <w:t>nexo III de la Resolución X</w:t>
      </w:r>
      <w:r w:rsidR="00E36909" w:rsidRPr="00E36909">
        <w:rPr>
          <w:rFonts w:ascii="Calibri" w:hAnsi="Calibri" w:cs="Calibri"/>
          <w:noProof/>
          <w:sz w:val="22"/>
          <w:szCs w:val="22"/>
          <w:lang w:val="es-ES_tradnl"/>
        </w:rPr>
        <w:t xml:space="preserve">I.2) </w:t>
      </w:r>
      <w:r w:rsidR="00300D82" w:rsidRPr="00E36909">
        <w:rPr>
          <w:rFonts w:ascii="Calibri" w:hAnsi="Calibri" w:cs="Calibri"/>
          <w:noProof/>
          <w:sz w:val="22"/>
          <w:szCs w:val="22"/>
          <w:lang w:val="es-ES_tradnl"/>
        </w:rPr>
        <w:tab/>
      </w:r>
      <w:r w:rsidR="00E36909" w:rsidRPr="00E36909">
        <w:rPr>
          <w:rFonts w:ascii="Calibri" w:hAnsi="Calibri" w:cs="Calibri"/>
          <w:noProof/>
          <w:sz w:val="22"/>
          <w:szCs w:val="22"/>
          <w:lang w:val="es-ES_tradnl"/>
        </w:rPr>
        <w:t>14</w:t>
      </w:r>
    </w:p>
    <w:p w14:paraId="78FAD098" w14:textId="10F9964C" w:rsidR="00297915" w:rsidRPr="00387415" w:rsidRDefault="00C500C1" w:rsidP="00235E0D">
      <w:pPr>
        <w:rPr>
          <w:rFonts w:ascii="Calibri" w:hAnsi="Calibri" w:cs="Calibri"/>
          <w:b/>
          <w:noProof/>
          <w:lang w:val="es-ES_tradnl"/>
        </w:rPr>
      </w:pPr>
      <w:r w:rsidRPr="00387415">
        <w:rPr>
          <w:rFonts w:ascii="Calibri" w:hAnsi="Calibri" w:cs="Calibri"/>
          <w:b/>
          <w:noProof/>
          <w:sz w:val="22"/>
          <w:szCs w:val="22"/>
          <w:lang w:val="es-ES_tradnl"/>
        </w:rPr>
        <w:br w:type="page"/>
      </w:r>
      <w:r w:rsidR="00235E0D" w:rsidRPr="00235E0D">
        <w:rPr>
          <w:rFonts w:ascii="Calibri" w:hAnsi="Calibri" w:cs="Calibri"/>
          <w:b/>
          <w:noProof/>
          <w:lang w:val="es-ES_tradnl"/>
        </w:rPr>
        <w:lastRenderedPageBreak/>
        <w:t>Anexo</w:t>
      </w:r>
      <w:r w:rsidR="00D2130B" w:rsidRPr="00387415">
        <w:rPr>
          <w:rFonts w:ascii="Calibri" w:hAnsi="Calibri"/>
          <w:b/>
          <w:noProof/>
          <w:lang w:val="es-ES_tradnl"/>
        </w:rPr>
        <w:t xml:space="preserve"> 1</w:t>
      </w:r>
      <w:r w:rsidR="00D2130B" w:rsidRPr="00387415">
        <w:rPr>
          <w:rFonts w:ascii="Calibri" w:hAnsi="Calibri" w:cs="Calibri"/>
          <w:b/>
          <w:noProof/>
          <w:lang w:val="es-ES_tradnl"/>
        </w:rPr>
        <w:t xml:space="preserve"> </w:t>
      </w:r>
    </w:p>
    <w:p w14:paraId="161C104A" w14:textId="2434E6E8" w:rsidR="00235E0D" w:rsidRPr="00235E0D" w:rsidRDefault="00235E0D" w:rsidP="00235E0D">
      <w:pPr>
        <w:tabs>
          <w:tab w:val="left" w:pos="8760"/>
        </w:tabs>
        <w:rPr>
          <w:rFonts w:ascii="Calibri" w:hAnsi="Calibri" w:cs="Calibri"/>
          <w:noProof/>
          <w:sz w:val="22"/>
          <w:szCs w:val="22"/>
          <w:lang w:val="es-ES_tradnl"/>
        </w:rPr>
      </w:pPr>
      <w:r w:rsidRPr="00235E0D">
        <w:rPr>
          <w:rFonts w:ascii="Calibri" w:hAnsi="Calibri" w:cs="Calibri"/>
          <w:b/>
          <w:noProof/>
          <w:lang w:val="es-ES_tradnl"/>
        </w:rPr>
        <w:t xml:space="preserve">Estados financieros preliminares a 31 de diciembre de 2016 (preparados según </w:t>
      </w:r>
      <w:r w:rsidR="00F63BDB">
        <w:rPr>
          <w:rFonts w:ascii="Calibri" w:hAnsi="Calibri" w:cs="Calibri"/>
          <w:b/>
          <w:noProof/>
          <w:lang w:val="es-ES_tradnl"/>
        </w:rPr>
        <w:t>el</w:t>
      </w:r>
      <w:r w:rsidRPr="00235E0D">
        <w:rPr>
          <w:rFonts w:ascii="Calibri" w:hAnsi="Calibri" w:cs="Calibri"/>
          <w:b/>
          <w:noProof/>
          <w:lang w:val="es-ES_tradnl"/>
        </w:rPr>
        <w:t xml:space="preserve">                           formato de presentación de estados financieros aplicable en Suiza) </w:t>
      </w:r>
      <w:r>
        <w:rPr>
          <w:rFonts w:ascii="Calibri" w:hAnsi="Calibri" w:cs="Calibri"/>
          <w:b/>
          <w:noProof/>
          <w:lang w:val="es-ES_tradnl"/>
        </w:rPr>
        <w:t>(con posibles errores por redonde</w:t>
      </w:r>
      <w:r w:rsidR="0064167D">
        <w:rPr>
          <w:rFonts w:ascii="Calibri" w:hAnsi="Calibri" w:cs="Calibri"/>
          <w:b/>
          <w:noProof/>
          <w:lang w:val="es-ES_tradnl"/>
        </w:rPr>
        <w:t>o)</w:t>
      </w:r>
    </w:p>
    <w:p w14:paraId="1F855796" w14:textId="77777777" w:rsidR="00D67AA9" w:rsidRPr="00387415" w:rsidRDefault="00D67AA9" w:rsidP="00235E0D">
      <w:pPr>
        <w:rPr>
          <w:rFonts w:ascii="Calibri" w:hAnsi="Calibri" w:cs="Calibri"/>
          <w:noProof/>
          <w:lang w:val="es-ES_tradnl"/>
        </w:rPr>
      </w:pPr>
    </w:p>
    <w:p w14:paraId="7B2B6391" w14:textId="71248B3A" w:rsidR="000222F9" w:rsidRDefault="000222F9">
      <w:r w:rsidRPr="000222F9">
        <w:drawing>
          <wp:inline distT="0" distB="0" distL="0" distR="0" wp14:anchorId="0754E534" wp14:editId="2A63D408">
            <wp:extent cx="5298999" cy="761783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9170" cy="7618080"/>
                    </a:xfrm>
                    <a:prstGeom prst="rect">
                      <a:avLst/>
                    </a:prstGeom>
                    <a:noFill/>
                    <a:ln>
                      <a:noFill/>
                    </a:ln>
                  </pic:spPr>
                </pic:pic>
              </a:graphicData>
            </a:graphic>
          </wp:inline>
        </w:drawing>
      </w:r>
    </w:p>
    <w:p w14:paraId="168E7C07" w14:textId="77777777" w:rsidR="000222F9" w:rsidRDefault="000222F9">
      <w:r>
        <w:br w:type="page"/>
      </w:r>
    </w:p>
    <w:p w14:paraId="046AC28C" w14:textId="0D5D4D97" w:rsidR="001E4474" w:rsidRPr="00387415" w:rsidRDefault="000222F9">
      <w:pPr>
        <w:rPr>
          <w:rFonts w:asciiTheme="minorHAnsi" w:hAnsiTheme="minorHAnsi" w:cs="Calibri"/>
          <w:b/>
          <w:noProof/>
          <w:lang w:val="es-ES_tradnl"/>
        </w:rPr>
      </w:pPr>
      <w:r w:rsidRPr="000222F9">
        <w:lastRenderedPageBreak/>
        <w:drawing>
          <wp:inline distT="0" distB="0" distL="0" distR="0" wp14:anchorId="51963B57" wp14:editId="46DFF554">
            <wp:extent cx="6096000" cy="676043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9473" cy="6764284"/>
                    </a:xfrm>
                    <a:prstGeom prst="rect">
                      <a:avLst/>
                    </a:prstGeom>
                    <a:noFill/>
                    <a:ln>
                      <a:noFill/>
                    </a:ln>
                  </pic:spPr>
                </pic:pic>
              </a:graphicData>
            </a:graphic>
          </wp:inline>
        </w:drawing>
      </w:r>
    </w:p>
    <w:p w14:paraId="50133ECE" w14:textId="77777777" w:rsidR="000222F9" w:rsidRDefault="000222F9">
      <w:pPr>
        <w:rPr>
          <w:rFonts w:ascii="Calibri" w:hAnsi="Calibri" w:cs="Calibri"/>
          <w:b/>
          <w:noProof/>
          <w:lang w:val="es-ES_tradnl"/>
        </w:rPr>
      </w:pPr>
      <w:r>
        <w:rPr>
          <w:rFonts w:ascii="Calibri" w:hAnsi="Calibri" w:cs="Calibri"/>
          <w:b/>
          <w:noProof/>
          <w:lang w:val="es-ES_tradnl"/>
        </w:rPr>
        <w:br w:type="page"/>
      </w:r>
    </w:p>
    <w:p w14:paraId="25FC7785" w14:textId="64D4BAE8" w:rsidR="0064167D" w:rsidRDefault="0064167D" w:rsidP="00297915">
      <w:pPr>
        <w:rPr>
          <w:rFonts w:ascii="Calibri" w:hAnsi="Calibri" w:cs="Calibri"/>
          <w:b/>
          <w:noProof/>
          <w:lang w:val="es-ES_tradnl"/>
        </w:rPr>
      </w:pPr>
      <w:r>
        <w:rPr>
          <w:rFonts w:ascii="Calibri" w:hAnsi="Calibri" w:cs="Calibri"/>
          <w:b/>
          <w:noProof/>
          <w:lang w:val="es-ES_tradnl"/>
        </w:rPr>
        <w:lastRenderedPageBreak/>
        <w:t>Anexo 1, Apéndice A: Proyectos financiados por fondos restringidos, 1 de enero a 31 de diciembre de 2016 (miles de francos suizos, con posibles errores por redondeo)</w:t>
      </w:r>
    </w:p>
    <w:p w14:paraId="55DD15E0" w14:textId="14C37FFF" w:rsidR="000222F9" w:rsidRDefault="000222F9">
      <w:pPr>
        <w:rPr>
          <w:rFonts w:asciiTheme="minorHAnsi" w:hAnsiTheme="minorHAnsi" w:cs="Calibri"/>
          <w:b/>
          <w:noProof/>
          <w:lang w:val="es-ES_tradnl"/>
        </w:rPr>
      </w:pPr>
      <w:r w:rsidRPr="000222F9">
        <w:drawing>
          <wp:inline distT="0" distB="0" distL="0" distR="0" wp14:anchorId="3E8A1D12" wp14:editId="7DBE9E15">
            <wp:extent cx="5732145" cy="8208969"/>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8208969"/>
                    </a:xfrm>
                    <a:prstGeom prst="rect">
                      <a:avLst/>
                    </a:prstGeom>
                    <a:noFill/>
                    <a:ln>
                      <a:noFill/>
                    </a:ln>
                  </pic:spPr>
                </pic:pic>
              </a:graphicData>
            </a:graphic>
          </wp:inline>
        </w:drawing>
      </w:r>
    </w:p>
    <w:p w14:paraId="29E799C2" w14:textId="77777777" w:rsidR="000222F9" w:rsidRDefault="000222F9">
      <w:pPr>
        <w:rPr>
          <w:rFonts w:asciiTheme="minorHAnsi" w:hAnsiTheme="minorHAnsi" w:cs="Calibri"/>
          <w:b/>
          <w:noProof/>
          <w:lang w:val="es-ES_tradnl"/>
        </w:rPr>
      </w:pPr>
      <w:r>
        <w:rPr>
          <w:rFonts w:asciiTheme="minorHAnsi" w:hAnsiTheme="minorHAnsi" w:cs="Calibri"/>
          <w:b/>
          <w:noProof/>
          <w:lang w:val="es-ES_tradnl"/>
        </w:rPr>
        <w:br w:type="page"/>
      </w:r>
    </w:p>
    <w:p w14:paraId="06CEFC29" w14:textId="2FECC8FF" w:rsidR="00C01945" w:rsidRPr="00387415" w:rsidRDefault="00235E0D" w:rsidP="00D2130B">
      <w:pPr>
        <w:rPr>
          <w:rFonts w:asciiTheme="minorHAnsi" w:hAnsiTheme="minorHAnsi" w:cs="Calibri"/>
          <w:b/>
          <w:noProof/>
          <w:lang w:val="es-ES_tradnl"/>
        </w:rPr>
      </w:pPr>
      <w:r>
        <w:rPr>
          <w:rFonts w:asciiTheme="minorHAnsi" w:hAnsiTheme="minorHAnsi" w:cs="Calibri"/>
          <w:b/>
          <w:noProof/>
          <w:lang w:val="es-ES_tradnl"/>
        </w:rPr>
        <w:lastRenderedPageBreak/>
        <w:t>Anexo</w:t>
      </w:r>
      <w:r w:rsidR="00D2130B" w:rsidRPr="00387415">
        <w:rPr>
          <w:rFonts w:asciiTheme="minorHAnsi" w:hAnsiTheme="minorHAnsi" w:cs="Calibri"/>
          <w:b/>
          <w:noProof/>
          <w:lang w:val="es-ES_tradnl"/>
        </w:rPr>
        <w:t xml:space="preserve"> 2 </w:t>
      </w:r>
    </w:p>
    <w:p w14:paraId="69B97EAA" w14:textId="1A4D6241" w:rsidR="00235E0D" w:rsidRPr="000222F9" w:rsidRDefault="00235E0D" w:rsidP="00E91BC8">
      <w:pPr>
        <w:rPr>
          <w:rFonts w:ascii="Calibri" w:hAnsi="Calibri" w:cs="Calibri"/>
          <w:b/>
          <w:noProof/>
          <w:sz w:val="22"/>
          <w:szCs w:val="22"/>
          <w:lang w:val="es-ES_tradnl"/>
        </w:rPr>
      </w:pPr>
      <w:r w:rsidRPr="000222F9">
        <w:rPr>
          <w:rFonts w:ascii="Calibri" w:hAnsi="Calibri" w:cs="Calibri"/>
          <w:b/>
          <w:noProof/>
          <w:sz w:val="22"/>
          <w:szCs w:val="22"/>
          <w:lang w:val="es-ES_tradnl"/>
        </w:rPr>
        <w:t xml:space="preserve">Resultados del presupuesto básico preliminar de 2016, con los cambios de la 51ª reunión del Comité Permanente al presupuesto aprobado por la 12ª reunión de la COP, ingresos y gastos reales y variación respecto del presupuesto aprobado (incluye posibles errores por redondeo) </w:t>
      </w:r>
    </w:p>
    <w:p w14:paraId="0B9EF875" w14:textId="6CAE5600" w:rsidR="00E36909" w:rsidRDefault="000222F9">
      <w:pPr>
        <w:rPr>
          <w:rFonts w:ascii="Calibri" w:hAnsi="Calibri" w:cs="Calibri"/>
          <w:noProof/>
          <w:sz w:val="22"/>
          <w:szCs w:val="22"/>
          <w:lang w:val="es-ES_tradnl"/>
        </w:rPr>
      </w:pPr>
      <w:r w:rsidRPr="000222F9">
        <w:drawing>
          <wp:inline distT="0" distB="0" distL="0" distR="0" wp14:anchorId="354A71DC" wp14:editId="126686C1">
            <wp:extent cx="4730457" cy="80490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0766" cy="8049617"/>
                    </a:xfrm>
                    <a:prstGeom prst="rect">
                      <a:avLst/>
                    </a:prstGeom>
                    <a:noFill/>
                    <a:ln>
                      <a:noFill/>
                    </a:ln>
                  </pic:spPr>
                </pic:pic>
              </a:graphicData>
            </a:graphic>
          </wp:inline>
        </w:drawing>
      </w:r>
      <w:r w:rsidR="00E36909">
        <w:rPr>
          <w:rFonts w:ascii="Calibri" w:hAnsi="Calibri" w:cs="Calibri"/>
          <w:noProof/>
          <w:sz w:val="22"/>
          <w:szCs w:val="22"/>
          <w:lang w:val="es-ES_tradnl"/>
        </w:rPr>
        <w:br w:type="page"/>
      </w:r>
    </w:p>
    <w:p w14:paraId="5037980F" w14:textId="5D89D436" w:rsidR="00C01945" w:rsidRPr="00E36909" w:rsidRDefault="00235E0D" w:rsidP="002D6888">
      <w:pPr>
        <w:rPr>
          <w:rFonts w:ascii="Calibri" w:hAnsi="Calibri" w:cs="Calibri"/>
          <w:noProof/>
          <w:sz w:val="22"/>
          <w:szCs w:val="22"/>
          <w:lang w:val="es-ES_tradnl"/>
        </w:rPr>
      </w:pPr>
      <w:r>
        <w:rPr>
          <w:rFonts w:asciiTheme="minorHAnsi" w:hAnsiTheme="minorHAnsi" w:cs="Calibri"/>
          <w:b/>
          <w:noProof/>
          <w:lang w:val="es-ES_tradnl"/>
        </w:rPr>
        <w:lastRenderedPageBreak/>
        <w:t>Anexo</w:t>
      </w:r>
      <w:r w:rsidR="00C01945" w:rsidRPr="00387415">
        <w:rPr>
          <w:rFonts w:asciiTheme="minorHAnsi" w:hAnsiTheme="minorHAnsi" w:cs="Calibri"/>
          <w:b/>
          <w:noProof/>
          <w:lang w:val="es-ES_tradnl"/>
        </w:rPr>
        <w:t xml:space="preserve"> 3 </w:t>
      </w:r>
    </w:p>
    <w:p w14:paraId="1BA6FB60" w14:textId="2EE17BE3" w:rsidR="00584EE3" w:rsidRPr="00235E0D" w:rsidRDefault="00235E0D" w:rsidP="00235E0D">
      <w:pPr>
        <w:tabs>
          <w:tab w:val="left" w:pos="8640"/>
        </w:tabs>
        <w:rPr>
          <w:rFonts w:ascii="Calibri" w:hAnsi="Calibri" w:cs="Calibri"/>
          <w:noProof/>
          <w:sz w:val="22"/>
          <w:szCs w:val="22"/>
          <w:lang w:val="es-ES_tradnl"/>
        </w:rPr>
      </w:pPr>
      <w:r w:rsidRPr="00235E0D">
        <w:rPr>
          <w:rFonts w:asciiTheme="minorHAnsi" w:hAnsiTheme="minorHAnsi" w:cs="Calibri"/>
          <w:b/>
          <w:noProof/>
          <w:lang w:val="es-ES_tradnl"/>
        </w:rPr>
        <w:t>Presupuesto para 2017 aprobado por la 12ª reunión de la COP</w:t>
      </w:r>
      <w:r>
        <w:rPr>
          <w:rFonts w:asciiTheme="minorHAnsi" w:hAnsiTheme="minorHAnsi" w:cs="Calibri"/>
          <w:b/>
          <w:noProof/>
          <w:lang w:val="es-ES_tradnl"/>
        </w:rPr>
        <w:t xml:space="preserve"> (en miles de francos suizos)</w:t>
      </w:r>
      <w:r w:rsidR="00E36909" w:rsidRPr="00E36909">
        <w:rPr>
          <w:rFonts w:asciiTheme="minorHAnsi" w:hAnsiTheme="minorHAnsi" w:cs="Calibri"/>
          <w:b/>
          <w:noProof/>
          <w:lang w:val="es-ES_tradnl"/>
        </w:rPr>
        <w:t xml:space="preserve"> </w:t>
      </w:r>
      <w:r w:rsidR="00E36909" w:rsidRPr="00E36909">
        <w:drawing>
          <wp:inline distT="0" distB="0" distL="0" distR="0" wp14:anchorId="39B9F3AC" wp14:editId="5E9924CC">
            <wp:extent cx="4057656" cy="82919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5188" cy="8286902"/>
                    </a:xfrm>
                    <a:prstGeom prst="rect">
                      <a:avLst/>
                    </a:prstGeom>
                    <a:noFill/>
                    <a:ln>
                      <a:noFill/>
                    </a:ln>
                  </pic:spPr>
                </pic:pic>
              </a:graphicData>
            </a:graphic>
          </wp:inline>
        </w:drawing>
      </w:r>
      <w:r>
        <w:rPr>
          <w:rFonts w:ascii="Calibri" w:hAnsi="Calibri" w:cs="Calibri"/>
          <w:noProof/>
          <w:sz w:val="22"/>
          <w:szCs w:val="22"/>
          <w:lang w:val="es-ES_tradnl"/>
        </w:rPr>
        <w:tab/>
      </w:r>
    </w:p>
    <w:p w14:paraId="700664F8" w14:textId="7726325C" w:rsidR="00584EE3" w:rsidRPr="00387415" w:rsidRDefault="00584EE3" w:rsidP="002D6888">
      <w:pPr>
        <w:rPr>
          <w:rFonts w:asciiTheme="minorHAnsi" w:hAnsiTheme="minorHAnsi" w:cs="Calibri"/>
          <w:b/>
          <w:noProof/>
          <w:lang w:val="es-ES_tradnl"/>
        </w:rPr>
      </w:pPr>
    </w:p>
    <w:p w14:paraId="405C68CB" w14:textId="1DA0D48D" w:rsidR="00EE3D4F" w:rsidRPr="00387415" w:rsidRDefault="00235E0D" w:rsidP="00EE3D4F">
      <w:pPr>
        <w:rPr>
          <w:rFonts w:asciiTheme="minorHAnsi" w:hAnsiTheme="minorHAnsi" w:cs="Calibri"/>
          <w:b/>
          <w:noProof/>
          <w:lang w:val="es-ES_tradnl"/>
        </w:rPr>
      </w:pPr>
      <w:r>
        <w:rPr>
          <w:rFonts w:asciiTheme="minorHAnsi" w:hAnsiTheme="minorHAnsi" w:cs="Calibri"/>
          <w:b/>
          <w:noProof/>
          <w:lang w:val="es-ES_tradnl"/>
        </w:rPr>
        <w:lastRenderedPageBreak/>
        <w:t>Anexo</w:t>
      </w:r>
      <w:r w:rsidR="00EE3D4F" w:rsidRPr="00387415">
        <w:rPr>
          <w:rFonts w:asciiTheme="minorHAnsi" w:hAnsiTheme="minorHAnsi" w:cs="Calibri"/>
          <w:b/>
          <w:noProof/>
          <w:lang w:val="es-ES_tradnl"/>
        </w:rPr>
        <w:t xml:space="preserve"> 4 </w:t>
      </w:r>
    </w:p>
    <w:p w14:paraId="77B2C8E3" w14:textId="58D013BD" w:rsidR="00235E0D" w:rsidRPr="00235E0D" w:rsidRDefault="00235E0D" w:rsidP="00235E0D">
      <w:pPr>
        <w:tabs>
          <w:tab w:val="left" w:pos="8640"/>
        </w:tabs>
        <w:rPr>
          <w:rFonts w:ascii="Calibri" w:hAnsi="Calibri" w:cs="Calibri"/>
          <w:noProof/>
          <w:sz w:val="22"/>
          <w:szCs w:val="22"/>
          <w:lang w:val="es-ES_tradnl"/>
        </w:rPr>
      </w:pPr>
      <w:r w:rsidRPr="00235E0D">
        <w:rPr>
          <w:rFonts w:asciiTheme="minorHAnsi" w:hAnsiTheme="minorHAnsi" w:cs="Calibri"/>
          <w:b/>
          <w:noProof/>
          <w:lang w:val="es-ES_tradnl"/>
        </w:rPr>
        <w:t xml:space="preserve">Presupuesto para 2018 aprobado por la 12ª reunión de la </w:t>
      </w:r>
      <w:r>
        <w:rPr>
          <w:rFonts w:asciiTheme="minorHAnsi" w:hAnsiTheme="minorHAnsi" w:cs="Calibri"/>
          <w:b/>
          <w:noProof/>
          <w:lang w:val="es-ES_tradnl"/>
        </w:rPr>
        <w:t>COP (en miles de francos suizos)</w:t>
      </w:r>
    </w:p>
    <w:p w14:paraId="3D751BED" w14:textId="70FD249D" w:rsidR="00EE3D4F" w:rsidRPr="00387415" w:rsidRDefault="00E36909" w:rsidP="00EE3D4F">
      <w:pPr>
        <w:rPr>
          <w:noProof/>
          <w:lang w:val="es-ES_tradnl" w:eastAsia="en-GB"/>
        </w:rPr>
      </w:pPr>
      <w:r w:rsidRPr="00E36909">
        <w:drawing>
          <wp:inline distT="0" distB="0" distL="0" distR="0" wp14:anchorId="3A729C36" wp14:editId="59DFA326">
            <wp:extent cx="4057656" cy="82919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5188" cy="8286902"/>
                    </a:xfrm>
                    <a:prstGeom prst="rect">
                      <a:avLst/>
                    </a:prstGeom>
                    <a:noFill/>
                    <a:ln>
                      <a:noFill/>
                    </a:ln>
                  </pic:spPr>
                </pic:pic>
              </a:graphicData>
            </a:graphic>
          </wp:inline>
        </w:drawing>
      </w:r>
    </w:p>
    <w:p w14:paraId="50BD28E4" w14:textId="2F692D57" w:rsidR="00EE3D4F" w:rsidRPr="00387415" w:rsidRDefault="00EE3D4F" w:rsidP="00EE3D4F">
      <w:pPr>
        <w:rPr>
          <w:rFonts w:asciiTheme="minorHAnsi" w:hAnsiTheme="minorHAnsi" w:cs="Calibri"/>
          <w:b/>
          <w:noProof/>
          <w:lang w:val="es-ES_tradnl"/>
        </w:rPr>
      </w:pPr>
      <w:r w:rsidRPr="00387415">
        <w:rPr>
          <w:rFonts w:asciiTheme="minorHAnsi" w:hAnsiTheme="minorHAnsi" w:cs="Calibri"/>
          <w:b/>
          <w:noProof/>
          <w:lang w:val="es-ES_tradnl"/>
        </w:rPr>
        <w:br w:type="page"/>
      </w:r>
    </w:p>
    <w:p w14:paraId="03D68BD9" w14:textId="77777777" w:rsidR="00584EE3" w:rsidRPr="00387415" w:rsidRDefault="00584EE3" w:rsidP="002D6888">
      <w:pPr>
        <w:rPr>
          <w:rFonts w:asciiTheme="minorHAnsi" w:hAnsiTheme="minorHAnsi" w:cs="Calibri"/>
          <w:b/>
          <w:noProof/>
          <w:lang w:val="es-ES_tradnl"/>
        </w:rPr>
      </w:pPr>
    </w:p>
    <w:p w14:paraId="58BFAF37" w14:textId="7622E91F" w:rsidR="000069E0" w:rsidRPr="00387415" w:rsidRDefault="00235E0D" w:rsidP="002D6888">
      <w:pPr>
        <w:rPr>
          <w:rFonts w:asciiTheme="minorHAnsi" w:hAnsiTheme="minorHAnsi" w:cs="Calibri"/>
          <w:b/>
          <w:noProof/>
          <w:lang w:val="es-ES_tradnl"/>
        </w:rPr>
      </w:pPr>
      <w:r>
        <w:rPr>
          <w:rFonts w:asciiTheme="minorHAnsi" w:hAnsiTheme="minorHAnsi" w:cs="Calibri"/>
          <w:b/>
          <w:noProof/>
          <w:lang w:val="es-ES_tradnl"/>
        </w:rPr>
        <w:t>Anexo</w:t>
      </w:r>
      <w:r w:rsidR="00D67AA9" w:rsidRPr="00387415">
        <w:rPr>
          <w:rFonts w:asciiTheme="minorHAnsi" w:hAnsiTheme="minorHAnsi" w:cs="Calibri"/>
          <w:b/>
          <w:noProof/>
          <w:lang w:val="es-ES_tradnl"/>
        </w:rPr>
        <w:t xml:space="preserve"> </w:t>
      </w:r>
      <w:r w:rsidR="00EE3D4F" w:rsidRPr="00387415">
        <w:rPr>
          <w:rFonts w:asciiTheme="minorHAnsi" w:hAnsiTheme="minorHAnsi" w:cs="Calibri"/>
          <w:b/>
          <w:noProof/>
          <w:lang w:val="es-ES_tradnl"/>
        </w:rPr>
        <w:t>5</w:t>
      </w:r>
    </w:p>
    <w:p w14:paraId="58E7DF55" w14:textId="7B73E289" w:rsidR="00235E0D" w:rsidRPr="00235E0D" w:rsidRDefault="00235E0D" w:rsidP="00235E0D">
      <w:pPr>
        <w:ind w:left="567" w:hanging="567"/>
        <w:rPr>
          <w:rFonts w:ascii="Calibri" w:hAnsi="Calibri" w:cs="Calibri"/>
          <w:sz w:val="22"/>
          <w:szCs w:val="22"/>
          <w:lang w:val="es-ES_tradnl"/>
        </w:rPr>
      </w:pPr>
      <w:r w:rsidRPr="00235E0D">
        <w:rPr>
          <w:rFonts w:asciiTheme="minorHAnsi" w:hAnsiTheme="minorHAnsi"/>
          <w:b/>
          <w:bCs/>
          <w:noProof/>
          <w:lang w:val="es-ES_tradnl"/>
        </w:rPr>
        <w:t>Presupuesto no básico del trienio 2016-2018 (Anexo III de la Resolución XI.2)</w:t>
      </w:r>
      <w:r w:rsidRPr="00235E0D">
        <w:rPr>
          <w:rFonts w:ascii="Calibri" w:hAnsi="Calibri" w:cs="Calibri"/>
          <w:noProof/>
          <w:sz w:val="22"/>
          <w:szCs w:val="22"/>
          <w:lang w:val="es-ES_tradnl"/>
        </w:rPr>
        <w:tab/>
      </w:r>
      <w:r w:rsidRPr="00235E0D">
        <w:rPr>
          <w:rFonts w:ascii="Calibri" w:hAnsi="Calibri" w:cs="Calibri"/>
          <w:sz w:val="22"/>
          <w:szCs w:val="22"/>
          <w:lang w:val="es-ES_tradnl"/>
        </w:rPr>
        <w:tab/>
      </w:r>
    </w:p>
    <w:p w14:paraId="57ED20B5" w14:textId="77777777" w:rsidR="00A135F5" w:rsidRPr="00387415" w:rsidRDefault="00A135F5" w:rsidP="00A135F5">
      <w:pPr>
        <w:rPr>
          <w:noProof/>
          <w:lang w:val="es-ES_tradnl"/>
        </w:rPr>
      </w:pPr>
      <w:r w:rsidRPr="00387415">
        <w:rPr>
          <w:noProof/>
          <w:lang w:val="es-ES_tradnl"/>
        </w:rPr>
        <w:t> </w:t>
      </w:r>
    </w:p>
    <w:p w14:paraId="3F0CB23F" w14:textId="39913059" w:rsidR="00A135F5" w:rsidRPr="00387415" w:rsidRDefault="00A135F5" w:rsidP="00A135F5">
      <w:pPr>
        <w:rPr>
          <w:rFonts w:ascii="Calibri" w:eastAsia="MS PGothic" w:hAnsi="Calibri" w:cs="Calibri"/>
          <w:noProof/>
          <w:sz w:val="22"/>
          <w:szCs w:val="22"/>
          <w:lang w:val="es-ES_tradnl" w:eastAsia="ja-JP"/>
        </w:rPr>
      </w:pPr>
      <w:r w:rsidRPr="00387415">
        <w:rPr>
          <w:noProof/>
          <w:color w:val="1F497D"/>
          <w:lang w:val="es-ES_tradnl"/>
        </w:rPr>
        <w:t> </w:t>
      </w:r>
      <w:r w:rsidR="00E36909" w:rsidRPr="00E36909">
        <w:drawing>
          <wp:inline distT="0" distB="0" distL="0" distR="0" wp14:anchorId="30D38277" wp14:editId="627EE7D8">
            <wp:extent cx="4619625" cy="5344160"/>
            <wp:effectExtent l="0" t="0" r="952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9625" cy="5344160"/>
                    </a:xfrm>
                    <a:prstGeom prst="rect">
                      <a:avLst/>
                    </a:prstGeom>
                    <a:noFill/>
                    <a:ln>
                      <a:noFill/>
                    </a:ln>
                  </pic:spPr>
                </pic:pic>
              </a:graphicData>
            </a:graphic>
          </wp:inline>
        </w:drawing>
      </w:r>
    </w:p>
    <w:p w14:paraId="651EE357" w14:textId="77777777" w:rsidR="00C4435F" w:rsidRPr="00387415" w:rsidRDefault="00C4435F" w:rsidP="0044433D">
      <w:pPr>
        <w:rPr>
          <w:rFonts w:ascii="Calibri" w:hAnsi="Calibri" w:cs="Calibri"/>
          <w:b/>
          <w:noProof/>
          <w:sz w:val="26"/>
          <w:szCs w:val="26"/>
          <w:lang w:val="es-ES_tradnl"/>
        </w:rPr>
      </w:pPr>
    </w:p>
    <w:sectPr w:rsidR="00C4435F" w:rsidRPr="00387415" w:rsidSect="00C90D3C">
      <w:footerReference w:type="default" r:id="rId16"/>
      <w:pgSz w:w="11907" w:h="16840" w:code="9"/>
      <w:pgMar w:top="1440" w:right="1440" w:bottom="1440" w:left="1440"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222AC" w14:textId="77777777" w:rsidR="00140064" w:rsidRDefault="00140064">
      <w:r>
        <w:separator/>
      </w:r>
    </w:p>
  </w:endnote>
  <w:endnote w:type="continuationSeparator" w:id="0">
    <w:p w14:paraId="72E9022D" w14:textId="77777777" w:rsidR="00140064" w:rsidRDefault="00140064">
      <w:r>
        <w:continuationSeparator/>
      </w:r>
    </w:p>
  </w:endnote>
  <w:endnote w:type="continuationNotice" w:id="1">
    <w:p w14:paraId="1C6D30DE" w14:textId="77777777" w:rsidR="00140064" w:rsidRDefault="00140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358E3" w14:textId="77777777" w:rsidR="00140064" w:rsidRPr="003A25EC" w:rsidRDefault="00140064" w:rsidP="00C90D3C">
    <w:pPr>
      <w:pStyle w:val="Footer"/>
      <w:tabs>
        <w:tab w:val="clear" w:pos="8640"/>
        <w:tab w:val="right" w:pos="9000"/>
      </w:tabs>
      <w:rPr>
        <w:rFonts w:asciiTheme="minorHAnsi" w:hAnsiTheme="minorHAnsi"/>
        <w:sz w:val="20"/>
        <w:szCs w:val="20"/>
      </w:rPr>
    </w:pPr>
    <w:r w:rsidRPr="003A25EC">
      <w:rPr>
        <w:rFonts w:asciiTheme="minorHAnsi" w:hAnsiTheme="minorHAnsi"/>
        <w:sz w:val="20"/>
        <w:szCs w:val="20"/>
      </w:rPr>
      <w:t>SC</w:t>
    </w:r>
    <w:r>
      <w:rPr>
        <w:rFonts w:asciiTheme="minorHAnsi" w:hAnsiTheme="minorHAnsi"/>
        <w:sz w:val="20"/>
        <w:szCs w:val="20"/>
      </w:rPr>
      <w:t>53</w:t>
    </w:r>
    <w:r w:rsidRPr="003A25EC">
      <w:rPr>
        <w:rFonts w:asciiTheme="minorHAnsi" w:hAnsiTheme="minorHAnsi"/>
        <w:sz w:val="20"/>
        <w:szCs w:val="20"/>
      </w:rPr>
      <w:t>-</w:t>
    </w:r>
    <w:r>
      <w:rPr>
        <w:rFonts w:asciiTheme="minorHAnsi" w:hAnsiTheme="minorHAnsi"/>
        <w:sz w:val="20"/>
        <w:szCs w:val="20"/>
      </w:rPr>
      <w:t>20</w:t>
    </w:r>
    <w:r w:rsidRPr="003A25EC">
      <w:rPr>
        <w:rFonts w:asciiTheme="minorHAnsi" w:hAnsiTheme="minorHAnsi"/>
        <w:sz w:val="20"/>
        <w:szCs w:val="20"/>
      </w:rPr>
      <w:tab/>
    </w:r>
    <w:r w:rsidRPr="003A25EC">
      <w:rPr>
        <w:rFonts w:asciiTheme="minorHAnsi" w:hAnsiTheme="minorHAnsi"/>
        <w:sz w:val="20"/>
        <w:szCs w:val="20"/>
      </w:rPr>
      <w:tab/>
    </w:r>
    <w:r>
      <w:fldChar w:fldCharType="begin"/>
    </w:r>
    <w:r>
      <w:instrText xml:space="preserve"> PAGE   \* MERGEFORMAT </w:instrText>
    </w:r>
    <w:r>
      <w:fldChar w:fldCharType="separate"/>
    </w:r>
    <w:r w:rsidR="00E36909" w:rsidRPr="00E36909">
      <w:rPr>
        <w:rFonts w:asciiTheme="minorHAnsi" w:hAnsiTheme="minorHAnsi"/>
        <w:noProof/>
        <w:sz w:val="20"/>
        <w:szCs w:val="20"/>
      </w:rPr>
      <w:t>14</w:t>
    </w:r>
    <w:r>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EFC82" w14:textId="77777777" w:rsidR="00140064" w:rsidRDefault="00140064">
      <w:r>
        <w:separator/>
      </w:r>
    </w:p>
  </w:footnote>
  <w:footnote w:type="continuationSeparator" w:id="0">
    <w:p w14:paraId="0BE7D666" w14:textId="77777777" w:rsidR="00140064" w:rsidRDefault="00140064">
      <w:r>
        <w:continuationSeparator/>
      </w:r>
    </w:p>
  </w:footnote>
  <w:footnote w:type="continuationNotice" w:id="1">
    <w:p w14:paraId="46F82DBE" w14:textId="77777777" w:rsidR="00140064" w:rsidRDefault="00140064"/>
  </w:footnote>
  <w:footnote w:id="2">
    <w:p w14:paraId="0056F440" w14:textId="33B5D1D7" w:rsidR="00140064" w:rsidRPr="00E026C5" w:rsidRDefault="00140064">
      <w:pPr>
        <w:pStyle w:val="FootnoteText"/>
        <w:rPr>
          <w:rFonts w:asciiTheme="minorHAnsi" w:hAnsiTheme="minorHAnsi"/>
          <w:lang w:val="es-ES_tradnl"/>
        </w:rPr>
      </w:pPr>
      <w:r w:rsidRPr="00C30743">
        <w:rPr>
          <w:rStyle w:val="FootnoteReference"/>
          <w:rFonts w:asciiTheme="minorHAnsi" w:hAnsiTheme="minorHAnsi"/>
        </w:rPr>
        <w:footnoteRef/>
      </w:r>
      <w:r w:rsidRPr="000222F9">
        <w:rPr>
          <w:rFonts w:asciiTheme="minorHAnsi" w:hAnsiTheme="minorHAnsi"/>
          <w:lang w:val="es-ES"/>
        </w:rPr>
        <w:t xml:space="preserve"> </w:t>
      </w:r>
      <w:r w:rsidRPr="00E026C5">
        <w:rPr>
          <w:rFonts w:asciiTheme="minorHAnsi" w:hAnsiTheme="minorHAnsi"/>
          <w:lang w:val="es-ES_tradnl"/>
        </w:rPr>
        <w:t>Monto que se registró como “Transferencia total entre el presupuesto básico y los proyectos” en los estados de resultados de Ramsar auditados en 2014.</w:t>
      </w:r>
    </w:p>
  </w:footnote>
  <w:footnote w:id="3">
    <w:p w14:paraId="22E4F1A6" w14:textId="24DAEB13" w:rsidR="00140064" w:rsidRPr="000222F9" w:rsidRDefault="00140064" w:rsidP="000066BD">
      <w:pPr>
        <w:pStyle w:val="FootnoteText"/>
        <w:rPr>
          <w:rFonts w:asciiTheme="minorHAnsi" w:hAnsiTheme="minorHAnsi"/>
          <w:lang w:val="es-ES"/>
        </w:rPr>
      </w:pPr>
      <w:r w:rsidRPr="00E026C5">
        <w:rPr>
          <w:rStyle w:val="FootnoteReference"/>
          <w:rFonts w:asciiTheme="minorHAnsi" w:hAnsiTheme="minorHAnsi"/>
          <w:lang w:val="es-ES_tradnl"/>
        </w:rPr>
        <w:footnoteRef/>
      </w:r>
      <w:r w:rsidRPr="00E026C5">
        <w:rPr>
          <w:rFonts w:asciiTheme="minorHAnsi" w:hAnsiTheme="minorHAnsi"/>
          <w:lang w:val="es-ES_tradnl"/>
        </w:rPr>
        <w:t xml:space="preserve"> Monto que se registró como “Transferencia total entre el presupuesto básico y los proyectos” en los estados de resultados de Ramsar auditados en 2014.</w:t>
      </w:r>
    </w:p>
  </w:footnote>
  <w:footnote w:id="4">
    <w:p w14:paraId="44174233" w14:textId="4035B816" w:rsidR="00140064" w:rsidRPr="000222F9" w:rsidRDefault="00140064" w:rsidP="00B41EF1">
      <w:pPr>
        <w:rPr>
          <w:rFonts w:asciiTheme="minorHAnsi" w:hAnsiTheme="minorHAnsi"/>
          <w:sz w:val="20"/>
          <w:szCs w:val="20"/>
          <w:lang w:val="es-ES"/>
        </w:rPr>
      </w:pPr>
      <w:r w:rsidRPr="007220B9">
        <w:rPr>
          <w:rStyle w:val="FootnoteReference"/>
          <w:rFonts w:asciiTheme="minorHAnsi" w:hAnsiTheme="minorHAnsi"/>
        </w:rPr>
        <w:footnoteRef/>
      </w:r>
      <w:r w:rsidRPr="000222F9">
        <w:rPr>
          <w:rFonts w:asciiTheme="minorHAnsi" w:hAnsiTheme="minorHAnsi"/>
          <w:lang w:val="es-ES"/>
        </w:rPr>
        <w:t xml:space="preserve"> </w:t>
      </w:r>
      <w:r>
        <w:rPr>
          <w:rFonts w:asciiTheme="minorHAnsi" w:hAnsiTheme="minorHAnsi"/>
          <w:sz w:val="20"/>
          <w:szCs w:val="20"/>
          <w:lang w:val="es-ES_tradnl"/>
        </w:rPr>
        <w:t>Importe de las c</w:t>
      </w:r>
      <w:r w:rsidRPr="00B41EF1">
        <w:rPr>
          <w:rFonts w:asciiTheme="minorHAnsi" w:hAnsiTheme="minorHAnsi"/>
          <w:sz w:val="20"/>
          <w:szCs w:val="20"/>
          <w:lang w:val="es-ES_tradnl"/>
        </w:rPr>
        <w:t xml:space="preserve">ontribuciones voluntarias en efectivo para 2016 antes de deducir 80.000 francos suizos </w:t>
      </w:r>
      <w:r>
        <w:rPr>
          <w:rFonts w:asciiTheme="minorHAnsi" w:hAnsiTheme="minorHAnsi"/>
          <w:sz w:val="20"/>
          <w:szCs w:val="20"/>
          <w:lang w:val="es-ES_tradnl"/>
        </w:rPr>
        <w:t>de reembolso</w:t>
      </w:r>
      <w:r w:rsidRPr="00B41EF1">
        <w:rPr>
          <w:rFonts w:asciiTheme="minorHAnsi" w:hAnsiTheme="minorHAnsi"/>
          <w:sz w:val="20"/>
          <w:szCs w:val="20"/>
          <w:lang w:val="es-ES_tradnl"/>
        </w:rPr>
        <w:t xml:space="preserve"> a Uruguay </w:t>
      </w:r>
      <w:r>
        <w:rPr>
          <w:rFonts w:asciiTheme="minorHAnsi" w:hAnsiTheme="minorHAnsi"/>
          <w:sz w:val="20"/>
          <w:szCs w:val="20"/>
          <w:lang w:val="es-ES_tradnl"/>
        </w:rPr>
        <w:t xml:space="preserve">por </w:t>
      </w:r>
      <w:r w:rsidRPr="00B41EF1">
        <w:rPr>
          <w:rFonts w:asciiTheme="minorHAnsi" w:hAnsiTheme="minorHAnsi"/>
          <w:sz w:val="20"/>
          <w:szCs w:val="20"/>
          <w:lang w:val="es-ES_tradnl"/>
        </w:rPr>
        <w:t xml:space="preserve">las contribuciones </w:t>
      </w:r>
      <w:r>
        <w:rPr>
          <w:rFonts w:asciiTheme="minorHAnsi" w:hAnsiTheme="minorHAnsi"/>
          <w:sz w:val="20"/>
          <w:szCs w:val="20"/>
          <w:lang w:val="es-ES_tradnl"/>
        </w:rPr>
        <w:t xml:space="preserve">financieras </w:t>
      </w:r>
      <w:r w:rsidRPr="00B41EF1">
        <w:rPr>
          <w:rFonts w:asciiTheme="minorHAnsi" w:hAnsiTheme="minorHAnsi"/>
          <w:sz w:val="20"/>
          <w:szCs w:val="20"/>
          <w:lang w:val="es-ES_tradnl"/>
        </w:rPr>
        <w:t xml:space="preserve">del año anterior para </w:t>
      </w:r>
      <w:r>
        <w:rPr>
          <w:rFonts w:asciiTheme="minorHAnsi" w:hAnsiTheme="minorHAnsi"/>
          <w:sz w:val="20"/>
          <w:szCs w:val="20"/>
          <w:lang w:val="es-ES_tradnl"/>
        </w:rPr>
        <w:t>la 12ª reunión de la COP</w:t>
      </w:r>
      <w:r w:rsidRPr="00B41EF1">
        <w:rPr>
          <w:rFonts w:asciiTheme="minorHAnsi" w:hAnsiTheme="minorHAnsi"/>
          <w:sz w:val="20"/>
          <w:szCs w:val="20"/>
          <w:lang w:val="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F43"/>
    <w:multiLevelType w:val="hybridMultilevel"/>
    <w:tmpl w:val="09A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C6E07"/>
    <w:multiLevelType w:val="hybridMultilevel"/>
    <w:tmpl w:val="C7BAA1F2"/>
    <w:lvl w:ilvl="0" w:tplc="415E444A">
      <w:start w:val="1"/>
      <w:numFmt w:val="decimal"/>
      <w:lvlText w:val="%1."/>
      <w:lvlJc w:val="left"/>
      <w:pPr>
        <w:ind w:left="360" w:hanging="360"/>
      </w:pPr>
      <w:rPr>
        <w:b w:val="0"/>
      </w:rPr>
    </w:lvl>
    <w:lvl w:ilvl="1" w:tplc="9E70A3C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EB2435"/>
    <w:multiLevelType w:val="hybridMultilevel"/>
    <w:tmpl w:val="5F98A2A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51496"/>
    <w:multiLevelType w:val="hybridMultilevel"/>
    <w:tmpl w:val="D9B2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7C0C5B"/>
    <w:multiLevelType w:val="multilevel"/>
    <w:tmpl w:val="85B87488"/>
    <w:lvl w:ilvl="0">
      <w:start w:val="1"/>
      <w:numFmt w:val="lowerRoman"/>
      <w:lvlText w:val="%1."/>
      <w:lvlJc w:val="righ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5">
    <w:nsid w:val="0EC2646A"/>
    <w:multiLevelType w:val="hybridMultilevel"/>
    <w:tmpl w:val="E712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04516B"/>
    <w:multiLevelType w:val="hybridMultilevel"/>
    <w:tmpl w:val="562ADC98"/>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090011">
      <w:start w:val="1"/>
      <w:numFmt w:val="decimal"/>
      <w:lvlText w:val="%3)"/>
      <w:lvlJc w:val="lef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403039"/>
    <w:multiLevelType w:val="hybridMultilevel"/>
    <w:tmpl w:val="74683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3C1FAF"/>
    <w:multiLevelType w:val="hybridMultilevel"/>
    <w:tmpl w:val="756E5B5A"/>
    <w:lvl w:ilvl="0" w:tplc="716A57D2">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9">
    <w:nsid w:val="17E73D9D"/>
    <w:multiLevelType w:val="hybridMultilevel"/>
    <w:tmpl w:val="A9D82E28"/>
    <w:lvl w:ilvl="0" w:tplc="A0BA7BCC">
      <w:start w:val="1"/>
      <w:numFmt w:val="decimal"/>
      <w:lvlText w:val="%1."/>
      <w:lvlJc w:val="left"/>
      <w:pPr>
        <w:ind w:left="502" w:hanging="360"/>
      </w:pPr>
      <w:rPr>
        <w:rFonts w:hint="default"/>
        <w:strike/>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C92944E">
      <w:start w:val="2014"/>
      <w:numFmt w:val="decimal"/>
      <w:lvlText w:val="%4"/>
      <w:lvlJc w:val="left"/>
      <w:pPr>
        <w:ind w:left="2864" w:hanging="42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CA228B2"/>
    <w:multiLevelType w:val="multilevel"/>
    <w:tmpl w:val="A9D82E28"/>
    <w:lvl w:ilvl="0">
      <w:start w:val="1"/>
      <w:numFmt w:val="decimal"/>
      <w:lvlText w:val="%1."/>
      <w:lvlJc w:val="left"/>
      <w:pPr>
        <w:ind w:left="502" w:hanging="360"/>
      </w:pPr>
      <w:rPr>
        <w:rFonts w:hint="default"/>
        <w:strike/>
      </w:rPr>
    </w:lvl>
    <w:lvl w:ilvl="1">
      <w:start w:val="1"/>
      <w:numFmt w:val="lowerLetter"/>
      <w:lvlText w:val="%2."/>
      <w:lvlJc w:val="left"/>
      <w:pPr>
        <w:ind w:left="1364" w:hanging="360"/>
      </w:pPr>
    </w:lvl>
    <w:lvl w:ilvl="2">
      <w:start w:val="1"/>
      <w:numFmt w:val="lowerRoman"/>
      <w:lvlText w:val="%3."/>
      <w:lvlJc w:val="right"/>
      <w:pPr>
        <w:ind w:left="2084" w:hanging="180"/>
      </w:pPr>
    </w:lvl>
    <w:lvl w:ilvl="3">
      <w:start w:val="2014"/>
      <w:numFmt w:val="decimal"/>
      <w:lvlText w:val="%4"/>
      <w:lvlJc w:val="left"/>
      <w:pPr>
        <w:ind w:left="2864" w:hanging="420"/>
      </w:pPr>
      <w:rPr>
        <w:rFonts w:hint="default"/>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1CFC1B9F"/>
    <w:multiLevelType w:val="multilevel"/>
    <w:tmpl w:val="E4682F82"/>
    <w:lvl w:ilvl="0">
      <w:start w:val="1"/>
      <w:numFmt w:val="decimal"/>
      <w:lvlText w:val="%1."/>
      <w:lvlJc w:val="left"/>
      <w:pPr>
        <w:ind w:left="502" w:hanging="360"/>
      </w:pPr>
      <w:rPr>
        <w:rFonts w:hint="default"/>
        <w:strike/>
      </w:rPr>
    </w:lvl>
    <w:lvl w:ilvl="1">
      <w:start w:val="1"/>
      <w:numFmt w:val="lowerLetter"/>
      <w:lvlText w:val="%2."/>
      <w:lvlJc w:val="left"/>
      <w:pPr>
        <w:ind w:left="1364" w:hanging="360"/>
      </w:pPr>
    </w:lvl>
    <w:lvl w:ilvl="2">
      <w:start w:val="1"/>
      <w:numFmt w:val="lowerRoman"/>
      <w:lvlText w:val="%3."/>
      <w:lvlJc w:val="right"/>
      <w:pPr>
        <w:ind w:left="2084" w:hanging="180"/>
      </w:pPr>
    </w:lvl>
    <w:lvl w:ilvl="3">
      <w:start w:val="2014"/>
      <w:numFmt w:val="decimal"/>
      <w:lvlText w:val="%4"/>
      <w:lvlJc w:val="left"/>
      <w:pPr>
        <w:ind w:left="2864" w:hanging="420"/>
      </w:pPr>
      <w:rPr>
        <w:rFonts w:hint="default"/>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27F93D31"/>
    <w:multiLevelType w:val="hybridMultilevel"/>
    <w:tmpl w:val="EA848C6A"/>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Symbol"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Symbol"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Symbol" w:hint="default"/>
      </w:rPr>
    </w:lvl>
    <w:lvl w:ilvl="8" w:tplc="08090005" w:tentative="1">
      <w:start w:val="1"/>
      <w:numFmt w:val="bullet"/>
      <w:lvlText w:val=""/>
      <w:lvlJc w:val="left"/>
      <w:pPr>
        <w:ind w:left="6956" w:hanging="360"/>
      </w:pPr>
      <w:rPr>
        <w:rFonts w:ascii="Wingdings" w:hAnsi="Wingdings" w:hint="default"/>
      </w:rPr>
    </w:lvl>
  </w:abstractNum>
  <w:abstractNum w:abstractNumId="13">
    <w:nsid w:val="38AD0C87"/>
    <w:multiLevelType w:val="hybridMultilevel"/>
    <w:tmpl w:val="922401D2"/>
    <w:lvl w:ilvl="0" w:tplc="24588BC4">
      <w:start w:val="1"/>
      <w:numFmt w:val="bullet"/>
      <w:lvlText w:val=""/>
      <w:lvlJc w:val="left"/>
      <w:pPr>
        <w:ind w:left="720" w:hanging="360"/>
      </w:pPr>
      <w:rPr>
        <w:rFonts w:ascii="Symbol" w:hAnsi="Symbol" w:hint="default"/>
        <w:sz w:val="20"/>
      </w:rPr>
    </w:lvl>
    <w:lvl w:ilvl="1" w:tplc="04090019">
      <w:start w:val="1"/>
      <w:numFmt w:val="lowerLetter"/>
      <w:lvlText w:val="%2."/>
      <w:lvlJc w:val="left"/>
      <w:pPr>
        <w:ind w:left="1495"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E0306"/>
    <w:multiLevelType w:val="hybridMultilevel"/>
    <w:tmpl w:val="4398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A156B2"/>
    <w:multiLevelType w:val="hybridMultilevel"/>
    <w:tmpl w:val="633C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9E7EEB"/>
    <w:multiLevelType w:val="hybridMultilevel"/>
    <w:tmpl w:val="A008F084"/>
    <w:lvl w:ilvl="0" w:tplc="A0BA7BCC">
      <w:start w:val="1"/>
      <w:numFmt w:val="decimal"/>
      <w:lvlText w:val="%1."/>
      <w:lvlJc w:val="left"/>
      <w:pPr>
        <w:ind w:left="502"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F45630"/>
    <w:multiLevelType w:val="hybridMultilevel"/>
    <w:tmpl w:val="F3907C40"/>
    <w:lvl w:ilvl="0" w:tplc="7D00F69A">
      <w:start w:val="1"/>
      <w:numFmt w:val="decimal"/>
      <w:lvlText w:val="%1."/>
      <w:lvlJc w:val="left"/>
      <w:pPr>
        <w:ind w:left="502" w:hanging="360"/>
      </w:pPr>
      <w:rPr>
        <w:rFonts w:hint="default"/>
        <w:strike w:val="0"/>
        <w:dstrike w:val="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C92944E">
      <w:start w:val="2014"/>
      <w:numFmt w:val="decimal"/>
      <w:lvlText w:val="%4"/>
      <w:lvlJc w:val="left"/>
      <w:pPr>
        <w:ind w:left="2864" w:hanging="42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51C359DE"/>
    <w:multiLevelType w:val="hybridMultilevel"/>
    <w:tmpl w:val="D244FCBA"/>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Symbol"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Symbol"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Symbol" w:hint="default"/>
      </w:rPr>
    </w:lvl>
    <w:lvl w:ilvl="8" w:tplc="08090005" w:tentative="1">
      <w:start w:val="1"/>
      <w:numFmt w:val="bullet"/>
      <w:lvlText w:val=""/>
      <w:lvlJc w:val="left"/>
      <w:pPr>
        <w:ind w:left="6956" w:hanging="360"/>
      </w:pPr>
      <w:rPr>
        <w:rFonts w:ascii="Wingdings" w:hAnsi="Wingdings" w:hint="default"/>
      </w:rPr>
    </w:lvl>
  </w:abstractNum>
  <w:abstractNum w:abstractNumId="19">
    <w:nsid w:val="5617720A"/>
    <w:multiLevelType w:val="hybridMultilevel"/>
    <w:tmpl w:val="2362CE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007E6D"/>
    <w:multiLevelType w:val="hybridMultilevel"/>
    <w:tmpl w:val="03F0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21">
    <w:nsid w:val="5A4674CD"/>
    <w:multiLevelType w:val="hybridMultilevel"/>
    <w:tmpl w:val="4CB8AD9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5C9A484B"/>
    <w:multiLevelType w:val="hybridMultilevel"/>
    <w:tmpl w:val="36C8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17FD7"/>
    <w:multiLevelType w:val="hybridMultilevel"/>
    <w:tmpl w:val="3E78FA10"/>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C92944E">
      <w:start w:val="2014"/>
      <w:numFmt w:val="decimal"/>
      <w:lvlText w:val="%4"/>
      <w:lvlJc w:val="left"/>
      <w:pPr>
        <w:ind w:left="2864" w:hanging="42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nsid w:val="653319DB"/>
    <w:multiLevelType w:val="hybridMultilevel"/>
    <w:tmpl w:val="A38E067A"/>
    <w:lvl w:ilvl="0" w:tplc="AB00AD7A">
      <w:start w:val="1"/>
      <w:numFmt w:val="lowerRoman"/>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Symbol"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Symbol" w:hint="default"/>
      </w:rPr>
    </w:lvl>
    <w:lvl w:ilvl="8" w:tplc="08090005" w:tentative="1">
      <w:start w:val="1"/>
      <w:numFmt w:val="bullet"/>
      <w:lvlText w:val=""/>
      <w:lvlJc w:val="left"/>
      <w:pPr>
        <w:ind w:left="6971" w:hanging="360"/>
      </w:pPr>
      <w:rPr>
        <w:rFonts w:ascii="Wingdings" w:hAnsi="Wingdings" w:hint="default"/>
      </w:rPr>
    </w:lvl>
  </w:abstractNum>
  <w:abstractNum w:abstractNumId="25">
    <w:nsid w:val="71522428"/>
    <w:multiLevelType w:val="hybridMultilevel"/>
    <w:tmpl w:val="ABF8D57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Symbol"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Symbol" w:hint="default"/>
      </w:rPr>
    </w:lvl>
    <w:lvl w:ilvl="8" w:tplc="08090005" w:tentative="1">
      <w:start w:val="1"/>
      <w:numFmt w:val="bullet"/>
      <w:lvlText w:val=""/>
      <w:lvlJc w:val="left"/>
      <w:pPr>
        <w:ind w:left="6971" w:hanging="360"/>
      </w:pPr>
      <w:rPr>
        <w:rFonts w:ascii="Wingdings" w:hAnsi="Wingdings" w:hint="default"/>
      </w:rPr>
    </w:lvl>
  </w:abstractNum>
  <w:abstractNum w:abstractNumId="26">
    <w:nsid w:val="740A77CF"/>
    <w:multiLevelType w:val="hybridMultilevel"/>
    <w:tmpl w:val="201E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0C6D9C"/>
    <w:multiLevelType w:val="multilevel"/>
    <w:tmpl w:val="F3907C40"/>
    <w:lvl w:ilvl="0">
      <w:start w:val="1"/>
      <w:numFmt w:val="decimal"/>
      <w:lvlText w:val="%1."/>
      <w:lvlJc w:val="left"/>
      <w:pPr>
        <w:ind w:left="502" w:hanging="360"/>
      </w:pPr>
      <w:rPr>
        <w:rFonts w:hint="default"/>
        <w:strike w:val="0"/>
        <w:dstrike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2014"/>
      <w:numFmt w:val="decimal"/>
      <w:lvlText w:val="%4"/>
      <w:lvlJc w:val="left"/>
      <w:pPr>
        <w:ind w:left="2864" w:hanging="420"/>
      </w:pPr>
      <w:rPr>
        <w:rFonts w:hint="default"/>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nsid w:val="7CFD56B0"/>
    <w:multiLevelType w:val="hybridMultilevel"/>
    <w:tmpl w:val="3E128536"/>
    <w:lvl w:ilvl="0" w:tplc="2014E33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5"/>
  </w:num>
  <w:num w:numId="5">
    <w:abstractNumId w:val="26"/>
  </w:num>
  <w:num w:numId="6">
    <w:abstractNumId w:val="15"/>
  </w:num>
  <w:num w:numId="7">
    <w:abstractNumId w:val="3"/>
  </w:num>
  <w:num w:numId="8">
    <w:abstractNumId w:val="14"/>
  </w:num>
  <w:num w:numId="9">
    <w:abstractNumId w:val="1"/>
  </w:num>
  <w:num w:numId="10">
    <w:abstractNumId w:val="0"/>
  </w:num>
  <w:num w:numId="11">
    <w:abstractNumId w:val="6"/>
  </w:num>
  <w:num w:numId="12">
    <w:abstractNumId w:val="22"/>
  </w:num>
  <w:num w:numId="13">
    <w:abstractNumId w:val="2"/>
  </w:num>
  <w:num w:numId="14">
    <w:abstractNumId w:val="25"/>
  </w:num>
  <w:num w:numId="15">
    <w:abstractNumId w:val="19"/>
  </w:num>
  <w:num w:numId="16">
    <w:abstractNumId w:val="24"/>
  </w:num>
  <w:num w:numId="17">
    <w:abstractNumId w:val="28"/>
  </w:num>
  <w:num w:numId="18">
    <w:abstractNumId w:val="8"/>
  </w:num>
  <w:num w:numId="19">
    <w:abstractNumId w:val="18"/>
  </w:num>
  <w:num w:numId="20">
    <w:abstractNumId w:val="20"/>
  </w:num>
  <w:num w:numId="21">
    <w:abstractNumId w:val="23"/>
  </w:num>
  <w:num w:numId="22">
    <w:abstractNumId w:val="12"/>
  </w:num>
  <w:num w:numId="23">
    <w:abstractNumId w:val="16"/>
  </w:num>
  <w:num w:numId="24">
    <w:abstractNumId w:val="4"/>
  </w:num>
  <w:num w:numId="25">
    <w:abstractNumId w:val="11"/>
  </w:num>
  <w:num w:numId="26">
    <w:abstractNumId w:val="17"/>
  </w:num>
  <w:num w:numId="27">
    <w:abstractNumId w:val="10"/>
  </w:num>
  <w:num w:numId="28">
    <w:abstractNumId w:val="27"/>
  </w:num>
  <w:num w:numId="2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851"/>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98C"/>
    <w:rsid w:val="00002D40"/>
    <w:rsid w:val="000066BD"/>
    <w:rsid w:val="000069E0"/>
    <w:rsid w:val="0000744C"/>
    <w:rsid w:val="0001135A"/>
    <w:rsid w:val="00011670"/>
    <w:rsid w:val="00012537"/>
    <w:rsid w:val="00012828"/>
    <w:rsid w:val="0001420D"/>
    <w:rsid w:val="00015175"/>
    <w:rsid w:val="0001736C"/>
    <w:rsid w:val="00017FEC"/>
    <w:rsid w:val="000204FE"/>
    <w:rsid w:val="000211F3"/>
    <w:rsid w:val="000222F9"/>
    <w:rsid w:val="00024785"/>
    <w:rsid w:val="00026108"/>
    <w:rsid w:val="0002611D"/>
    <w:rsid w:val="000265DF"/>
    <w:rsid w:val="00027190"/>
    <w:rsid w:val="00027C3D"/>
    <w:rsid w:val="000302DD"/>
    <w:rsid w:val="000303B9"/>
    <w:rsid w:val="00030BE3"/>
    <w:rsid w:val="00031725"/>
    <w:rsid w:val="00032B16"/>
    <w:rsid w:val="000331C5"/>
    <w:rsid w:val="00033217"/>
    <w:rsid w:val="000342B7"/>
    <w:rsid w:val="00034944"/>
    <w:rsid w:val="00035841"/>
    <w:rsid w:val="00036EAE"/>
    <w:rsid w:val="00040F55"/>
    <w:rsid w:val="0004138F"/>
    <w:rsid w:val="000414C7"/>
    <w:rsid w:val="00043345"/>
    <w:rsid w:val="00043D31"/>
    <w:rsid w:val="000442FE"/>
    <w:rsid w:val="00046784"/>
    <w:rsid w:val="000470AA"/>
    <w:rsid w:val="00047647"/>
    <w:rsid w:val="00047C59"/>
    <w:rsid w:val="00051B99"/>
    <w:rsid w:val="00052279"/>
    <w:rsid w:val="000528FA"/>
    <w:rsid w:val="0005342B"/>
    <w:rsid w:val="000538AA"/>
    <w:rsid w:val="00054DA0"/>
    <w:rsid w:val="00062160"/>
    <w:rsid w:val="00062CF7"/>
    <w:rsid w:val="000633A5"/>
    <w:rsid w:val="00063B3F"/>
    <w:rsid w:val="0006464B"/>
    <w:rsid w:val="00064F37"/>
    <w:rsid w:val="000661D8"/>
    <w:rsid w:val="000674C5"/>
    <w:rsid w:val="00070241"/>
    <w:rsid w:val="000709C1"/>
    <w:rsid w:val="00072E37"/>
    <w:rsid w:val="000739BA"/>
    <w:rsid w:val="00074D35"/>
    <w:rsid w:val="000755A6"/>
    <w:rsid w:val="00075CC3"/>
    <w:rsid w:val="000763D9"/>
    <w:rsid w:val="00077664"/>
    <w:rsid w:val="00077CD3"/>
    <w:rsid w:val="000808A8"/>
    <w:rsid w:val="0008194C"/>
    <w:rsid w:val="00083D79"/>
    <w:rsid w:val="00083F16"/>
    <w:rsid w:val="0008448B"/>
    <w:rsid w:val="00085510"/>
    <w:rsid w:val="00086D09"/>
    <w:rsid w:val="000876AD"/>
    <w:rsid w:val="0009101A"/>
    <w:rsid w:val="000917F6"/>
    <w:rsid w:val="00092F1E"/>
    <w:rsid w:val="00093118"/>
    <w:rsid w:val="00093EAD"/>
    <w:rsid w:val="00095A7C"/>
    <w:rsid w:val="0009664B"/>
    <w:rsid w:val="00097E94"/>
    <w:rsid w:val="000A0818"/>
    <w:rsid w:val="000A0953"/>
    <w:rsid w:val="000A0ACE"/>
    <w:rsid w:val="000A2B7E"/>
    <w:rsid w:val="000A3DDB"/>
    <w:rsid w:val="000A582B"/>
    <w:rsid w:val="000A6114"/>
    <w:rsid w:val="000A7583"/>
    <w:rsid w:val="000B1686"/>
    <w:rsid w:val="000B212E"/>
    <w:rsid w:val="000B301B"/>
    <w:rsid w:val="000B330F"/>
    <w:rsid w:val="000B4A7F"/>
    <w:rsid w:val="000B5AC4"/>
    <w:rsid w:val="000B7A27"/>
    <w:rsid w:val="000C0271"/>
    <w:rsid w:val="000C0ED3"/>
    <w:rsid w:val="000C1043"/>
    <w:rsid w:val="000C154E"/>
    <w:rsid w:val="000C1D2A"/>
    <w:rsid w:val="000C2055"/>
    <w:rsid w:val="000C260D"/>
    <w:rsid w:val="000C2B05"/>
    <w:rsid w:val="000C43CE"/>
    <w:rsid w:val="000C488F"/>
    <w:rsid w:val="000C509C"/>
    <w:rsid w:val="000C5A16"/>
    <w:rsid w:val="000C5AD0"/>
    <w:rsid w:val="000C6701"/>
    <w:rsid w:val="000D00AA"/>
    <w:rsid w:val="000D0B0F"/>
    <w:rsid w:val="000D2D66"/>
    <w:rsid w:val="000D3F33"/>
    <w:rsid w:val="000D4298"/>
    <w:rsid w:val="000D7CF1"/>
    <w:rsid w:val="000D7D6D"/>
    <w:rsid w:val="000E0551"/>
    <w:rsid w:val="000E0C0D"/>
    <w:rsid w:val="000E650E"/>
    <w:rsid w:val="000E65CA"/>
    <w:rsid w:val="000E6D09"/>
    <w:rsid w:val="000E6D1F"/>
    <w:rsid w:val="000E7399"/>
    <w:rsid w:val="000E750C"/>
    <w:rsid w:val="000E7B24"/>
    <w:rsid w:val="000F02CD"/>
    <w:rsid w:val="000F045B"/>
    <w:rsid w:val="000F4158"/>
    <w:rsid w:val="000F608B"/>
    <w:rsid w:val="000F676C"/>
    <w:rsid w:val="000F6886"/>
    <w:rsid w:val="000F6B82"/>
    <w:rsid w:val="000F7671"/>
    <w:rsid w:val="00100E31"/>
    <w:rsid w:val="00101A5A"/>
    <w:rsid w:val="00102FC1"/>
    <w:rsid w:val="00103427"/>
    <w:rsid w:val="00106151"/>
    <w:rsid w:val="001074D5"/>
    <w:rsid w:val="00107792"/>
    <w:rsid w:val="00110D85"/>
    <w:rsid w:val="00111923"/>
    <w:rsid w:val="00112516"/>
    <w:rsid w:val="00112DF4"/>
    <w:rsid w:val="00113F9D"/>
    <w:rsid w:val="001161C4"/>
    <w:rsid w:val="00116AEA"/>
    <w:rsid w:val="00120CBE"/>
    <w:rsid w:val="0012137E"/>
    <w:rsid w:val="00121B06"/>
    <w:rsid w:val="00124EF4"/>
    <w:rsid w:val="00125A00"/>
    <w:rsid w:val="00126B45"/>
    <w:rsid w:val="00126D67"/>
    <w:rsid w:val="0012728F"/>
    <w:rsid w:val="00127C82"/>
    <w:rsid w:val="00131031"/>
    <w:rsid w:val="001331EB"/>
    <w:rsid w:val="00134002"/>
    <w:rsid w:val="00134599"/>
    <w:rsid w:val="00135B39"/>
    <w:rsid w:val="00136805"/>
    <w:rsid w:val="00137F31"/>
    <w:rsid w:val="00140064"/>
    <w:rsid w:val="001404AB"/>
    <w:rsid w:val="0014079B"/>
    <w:rsid w:val="00141490"/>
    <w:rsid w:val="00141718"/>
    <w:rsid w:val="00141C37"/>
    <w:rsid w:val="00141FAF"/>
    <w:rsid w:val="00142317"/>
    <w:rsid w:val="00143507"/>
    <w:rsid w:val="00143C6A"/>
    <w:rsid w:val="00144E0A"/>
    <w:rsid w:val="00146DBD"/>
    <w:rsid w:val="001472A8"/>
    <w:rsid w:val="00147C7D"/>
    <w:rsid w:val="0015442F"/>
    <w:rsid w:val="0015459C"/>
    <w:rsid w:val="00156778"/>
    <w:rsid w:val="00156AEC"/>
    <w:rsid w:val="00161AB9"/>
    <w:rsid w:val="00161CB8"/>
    <w:rsid w:val="00161D05"/>
    <w:rsid w:val="0016270D"/>
    <w:rsid w:val="00163532"/>
    <w:rsid w:val="00164B25"/>
    <w:rsid w:val="00165955"/>
    <w:rsid w:val="00166322"/>
    <w:rsid w:val="00167059"/>
    <w:rsid w:val="001704C0"/>
    <w:rsid w:val="0017077B"/>
    <w:rsid w:val="00171983"/>
    <w:rsid w:val="0017243B"/>
    <w:rsid w:val="00173006"/>
    <w:rsid w:val="0017328C"/>
    <w:rsid w:val="001734B2"/>
    <w:rsid w:val="00173B97"/>
    <w:rsid w:val="00174527"/>
    <w:rsid w:val="00174AFC"/>
    <w:rsid w:val="001778C4"/>
    <w:rsid w:val="001805A0"/>
    <w:rsid w:val="00181C11"/>
    <w:rsid w:val="00183630"/>
    <w:rsid w:val="00184A0A"/>
    <w:rsid w:val="00187B67"/>
    <w:rsid w:val="00190E19"/>
    <w:rsid w:val="001911A5"/>
    <w:rsid w:val="00191760"/>
    <w:rsid w:val="00192290"/>
    <w:rsid w:val="00192AE5"/>
    <w:rsid w:val="001942CF"/>
    <w:rsid w:val="00196B36"/>
    <w:rsid w:val="00197756"/>
    <w:rsid w:val="001A1B45"/>
    <w:rsid w:val="001A226C"/>
    <w:rsid w:val="001A4CEC"/>
    <w:rsid w:val="001A7075"/>
    <w:rsid w:val="001B0ECF"/>
    <w:rsid w:val="001B1A73"/>
    <w:rsid w:val="001B3677"/>
    <w:rsid w:val="001C005C"/>
    <w:rsid w:val="001C0854"/>
    <w:rsid w:val="001C0991"/>
    <w:rsid w:val="001C10A1"/>
    <w:rsid w:val="001C1B96"/>
    <w:rsid w:val="001C2B94"/>
    <w:rsid w:val="001C2EA9"/>
    <w:rsid w:val="001C3A58"/>
    <w:rsid w:val="001C5192"/>
    <w:rsid w:val="001C5504"/>
    <w:rsid w:val="001C7F6C"/>
    <w:rsid w:val="001D1B0C"/>
    <w:rsid w:val="001D48D7"/>
    <w:rsid w:val="001D6BB5"/>
    <w:rsid w:val="001D7463"/>
    <w:rsid w:val="001D7666"/>
    <w:rsid w:val="001E26CB"/>
    <w:rsid w:val="001E2B38"/>
    <w:rsid w:val="001E2EC7"/>
    <w:rsid w:val="001E4474"/>
    <w:rsid w:val="001E5DBE"/>
    <w:rsid w:val="001F0A9E"/>
    <w:rsid w:val="001F0DEF"/>
    <w:rsid w:val="001F1273"/>
    <w:rsid w:val="001F2842"/>
    <w:rsid w:val="001F3D66"/>
    <w:rsid w:val="001F40E1"/>
    <w:rsid w:val="001F63DF"/>
    <w:rsid w:val="001F6BDD"/>
    <w:rsid w:val="001F717F"/>
    <w:rsid w:val="001F7D0B"/>
    <w:rsid w:val="001F7EF9"/>
    <w:rsid w:val="00201110"/>
    <w:rsid w:val="00203D95"/>
    <w:rsid w:val="002062A4"/>
    <w:rsid w:val="00207B29"/>
    <w:rsid w:val="0021050A"/>
    <w:rsid w:val="00211897"/>
    <w:rsid w:val="00211BF6"/>
    <w:rsid w:val="002155E2"/>
    <w:rsid w:val="0021794F"/>
    <w:rsid w:val="00217B60"/>
    <w:rsid w:val="0022079A"/>
    <w:rsid w:val="00221239"/>
    <w:rsid w:val="00224108"/>
    <w:rsid w:val="0022565E"/>
    <w:rsid w:val="00226328"/>
    <w:rsid w:val="00226568"/>
    <w:rsid w:val="002268E8"/>
    <w:rsid w:val="002340A8"/>
    <w:rsid w:val="00234D98"/>
    <w:rsid w:val="00234FB8"/>
    <w:rsid w:val="002357BE"/>
    <w:rsid w:val="00235E0D"/>
    <w:rsid w:val="002372B4"/>
    <w:rsid w:val="00237712"/>
    <w:rsid w:val="00241724"/>
    <w:rsid w:val="00241F7D"/>
    <w:rsid w:val="00243763"/>
    <w:rsid w:val="0024606D"/>
    <w:rsid w:val="002464F2"/>
    <w:rsid w:val="002466F5"/>
    <w:rsid w:val="00250633"/>
    <w:rsid w:val="0025063C"/>
    <w:rsid w:val="00250796"/>
    <w:rsid w:val="0025252F"/>
    <w:rsid w:val="00253966"/>
    <w:rsid w:val="00257138"/>
    <w:rsid w:val="00263953"/>
    <w:rsid w:val="00264C44"/>
    <w:rsid w:val="0026560A"/>
    <w:rsid w:val="0026572E"/>
    <w:rsid w:val="00271D0E"/>
    <w:rsid w:val="00271DE0"/>
    <w:rsid w:val="00272633"/>
    <w:rsid w:val="00273797"/>
    <w:rsid w:val="00274133"/>
    <w:rsid w:val="00275C85"/>
    <w:rsid w:val="00276C10"/>
    <w:rsid w:val="00280101"/>
    <w:rsid w:val="00283A46"/>
    <w:rsid w:val="00284977"/>
    <w:rsid w:val="002928ED"/>
    <w:rsid w:val="00293670"/>
    <w:rsid w:val="00294CAC"/>
    <w:rsid w:val="00295095"/>
    <w:rsid w:val="00297427"/>
    <w:rsid w:val="00297915"/>
    <w:rsid w:val="002A15E6"/>
    <w:rsid w:val="002A4500"/>
    <w:rsid w:val="002A4581"/>
    <w:rsid w:val="002A50F3"/>
    <w:rsid w:val="002A6AC6"/>
    <w:rsid w:val="002A6B70"/>
    <w:rsid w:val="002B25E3"/>
    <w:rsid w:val="002B3403"/>
    <w:rsid w:val="002B491E"/>
    <w:rsid w:val="002B4BF2"/>
    <w:rsid w:val="002B5735"/>
    <w:rsid w:val="002B78A9"/>
    <w:rsid w:val="002C0090"/>
    <w:rsid w:val="002C0F8B"/>
    <w:rsid w:val="002C180A"/>
    <w:rsid w:val="002C53F9"/>
    <w:rsid w:val="002C58C3"/>
    <w:rsid w:val="002C69BF"/>
    <w:rsid w:val="002C7FA7"/>
    <w:rsid w:val="002D0871"/>
    <w:rsid w:val="002D0EA1"/>
    <w:rsid w:val="002D0F06"/>
    <w:rsid w:val="002D2D03"/>
    <w:rsid w:val="002D3049"/>
    <w:rsid w:val="002D6034"/>
    <w:rsid w:val="002D61A6"/>
    <w:rsid w:val="002D6888"/>
    <w:rsid w:val="002D76C0"/>
    <w:rsid w:val="002E152D"/>
    <w:rsid w:val="002E1B28"/>
    <w:rsid w:val="002E2919"/>
    <w:rsid w:val="002E57AE"/>
    <w:rsid w:val="002E7954"/>
    <w:rsid w:val="002F0512"/>
    <w:rsid w:val="002F208E"/>
    <w:rsid w:val="002F381C"/>
    <w:rsid w:val="002F4CBF"/>
    <w:rsid w:val="002F7D7B"/>
    <w:rsid w:val="003007B2"/>
    <w:rsid w:val="003007EE"/>
    <w:rsid w:val="00300D82"/>
    <w:rsid w:val="00300F31"/>
    <w:rsid w:val="00302314"/>
    <w:rsid w:val="00302FD9"/>
    <w:rsid w:val="00306845"/>
    <w:rsid w:val="00306DB4"/>
    <w:rsid w:val="0030798A"/>
    <w:rsid w:val="003112A8"/>
    <w:rsid w:val="00313A78"/>
    <w:rsid w:val="0031449F"/>
    <w:rsid w:val="00314B65"/>
    <w:rsid w:val="00314CBB"/>
    <w:rsid w:val="00315578"/>
    <w:rsid w:val="00315704"/>
    <w:rsid w:val="0031585B"/>
    <w:rsid w:val="00315B41"/>
    <w:rsid w:val="00320407"/>
    <w:rsid w:val="003204BB"/>
    <w:rsid w:val="00321781"/>
    <w:rsid w:val="00322084"/>
    <w:rsid w:val="00322996"/>
    <w:rsid w:val="0032644F"/>
    <w:rsid w:val="003265F8"/>
    <w:rsid w:val="00327E4E"/>
    <w:rsid w:val="0033113E"/>
    <w:rsid w:val="00331EB8"/>
    <w:rsid w:val="00332D36"/>
    <w:rsid w:val="00334CA4"/>
    <w:rsid w:val="003357A9"/>
    <w:rsid w:val="00342946"/>
    <w:rsid w:val="00342C63"/>
    <w:rsid w:val="00345053"/>
    <w:rsid w:val="003464B6"/>
    <w:rsid w:val="003505DE"/>
    <w:rsid w:val="003506A5"/>
    <w:rsid w:val="00350B90"/>
    <w:rsid w:val="00352DBD"/>
    <w:rsid w:val="00353ECB"/>
    <w:rsid w:val="0035655B"/>
    <w:rsid w:val="0036059A"/>
    <w:rsid w:val="00361FFD"/>
    <w:rsid w:val="0036661A"/>
    <w:rsid w:val="00366B57"/>
    <w:rsid w:val="0036720F"/>
    <w:rsid w:val="003709CC"/>
    <w:rsid w:val="0037146E"/>
    <w:rsid w:val="0037555D"/>
    <w:rsid w:val="0037674F"/>
    <w:rsid w:val="003777DE"/>
    <w:rsid w:val="00380039"/>
    <w:rsid w:val="003800FC"/>
    <w:rsid w:val="00380503"/>
    <w:rsid w:val="0038074E"/>
    <w:rsid w:val="00381C4B"/>
    <w:rsid w:val="00383172"/>
    <w:rsid w:val="00385176"/>
    <w:rsid w:val="00385CA2"/>
    <w:rsid w:val="003861A1"/>
    <w:rsid w:val="00386BBE"/>
    <w:rsid w:val="00387415"/>
    <w:rsid w:val="00387677"/>
    <w:rsid w:val="00390178"/>
    <w:rsid w:val="00390E5C"/>
    <w:rsid w:val="003914B6"/>
    <w:rsid w:val="003916FC"/>
    <w:rsid w:val="00392DA6"/>
    <w:rsid w:val="00394D25"/>
    <w:rsid w:val="0039578F"/>
    <w:rsid w:val="00395DD1"/>
    <w:rsid w:val="003A1651"/>
    <w:rsid w:val="003A1E0A"/>
    <w:rsid w:val="003A25EC"/>
    <w:rsid w:val="003A361B"/>
    <w:rsid w:val="003A6FAE"/>
    <w:rsid w:val="003A7F44"/>
    <w:rsid w:val="003B0786"/>
    <w:rsid w:val="003B16DE"/>
    <w:rsid w:val="003B1AEA"/>
    <w:rsid w:val="003B396A"/>
    <w:rsid w:val="003B53C9"/>
    <w:rsid w:val="003B5DEF"/>
    <w:rsid w:val="003B728A"/>
    <w:rsid w:val="003B7523"/>
    <w:rsid w:val="003C0501"/>
    <w:rsid w:val="003C13D3"/>
    <w:rsid w:val="003C1D24"/>
    <w:rsid w:val="003C349D"/>
    <w:rsid w:val="003C371B"/>
    <w:rsid w:val="003C4198"/>
    <w:rsid w:val="003C5C91"/>
    <w:rsid w:val="003C6412"/>
    <w:rsid w:val="003C680B"/>
    <w:rsid w:val="003D0DBD"/>
    <w:rsid w:val="003D1A74"/>
    <w:rsid w:val="003D30F3"/>
    <w:rsid w:val="003D402F"/>
    <w:rsid w:val="003E0E35"/>
    <w:rsid w:val="003E237D"/>
    <w:rsid w:val="003E25C0"/>
    <w:rsid w:val="003E41CB"/>
    <w:rsid w:val="003E5F44"/>
    <w:rsid w:val="003F01C9"/>
    <w:rsid w:val="003F0B30"/>
    <w:rsid w:val="003F1988"/>
    <w:rsid w:val="003F2534"/>
    <w:rsid w:val="004009E9"/>
    <w:rsid w:val="00402091"/>
    <w:rsid w:val="0040225B"/>
    <w:rsid w:val="00402683"/>
    <w:rsid w:val="0040442C"/>
    <w:rsid w:val="00404E09"/>
    <w:rsid w:val="0040703B"/>
    <w:rsid w:val="0040715E"/>
    <w:rsid w:val="00411BB1"/>
    <w:rsid w:val="00414328"/>
    <w:rsid w:val="00414F10"/>
    <w:rsid w:val="00416DF3"/>
    <w:rsid w:val="00417672"/>
    <w:rsid w:val="00417A93"/>
    <w:rsid w:val="00421DDD"/>
    <w:rsid w:val="0042642D"/>
    <w:rsid w:val="00426866"/>
    <w:rsid w:val="0042699C"/>
    <w:rsid w:val="00432445"/>
    <w:rsid w:val="004325D8"/>
    <w:rsid w:val="004340A5"/>
    <w:rsid w:val="00436190"/>
    <w:rsid w:val="0044012B"/>
    <w:rsid w:val="004413AD"/>
    <w:rsid w:val="00441CF2"/>
    <w:rsid w:val="00442B48"/>
    <w:rsid w:val="0044433D"/>
    <w:rsid w:val="00445578"/>
    <w:rsid w:val="0044625F"/>
    <w:rsid w:val="004475E8"/>
    <w:rsid w:val="00450ADD"/>
    <w:rsid w:val="00450DAC"/>
    <w:rsid w:val="00451878"/>
    <w:rsid w:val="00452FF0"/>
    <w:rsid w:val="0045519B"/>
    <w:rsid w:val="00455E06"/>
    <w:rsid w:val="00456EDA"/>
    <w:rsid w:val="004570C6"/>
    <w:rsid w:val="004574CD"/>
    <w:rsid w:val="00461047"/>
    <w:rsid w:val="0046200F"/>
    <w:rsid w:val="004620B2"/>
    <w:rsid w:val="00462F28"/>
    <w:rsid w:val="00462F63"/>
    <w:rsid w:val="004634DB"/>
    <w:rsid w:val="00464606"/>
    <w:rsid w:val="004648E3"/>
    <w:rsid w:val="00465482"/>
    <w:rsid w:val="004721ED"/>
    <w:rsid w:val="004729B9"/>
    <w:rsid w:val="004732C1"/>
    <w:rsid w:val="0047333D"/>
    <w:rsid w:val="00473B42"/>
    <w:rsid w:val="004768C5"/>
    <w:rsid w:val="00480719"/>
    <w:rsid w:val="00480F48"/>
    <w:rsid w:val="004810F2"/>
    <w:rsid w:val="00483AB6"/>
    <w:rsid w:val="004848CF"/>
    <w:rsid w:val="00485139"/>
    <w:rsid w:val="00485219"/>
    <w:rsid w:val="004868DD"/>
    <w:rsid w:val="004908A3"/>
    <w:rsid w:val="00493BD1"/>
    <w:rsid w:val="0049618E"/>
    <w:rsid w:val="004966A1"/>
    <w:rsid w:val="004979EC"/>
    <w:rsid w:val="004A21D5"/>
    <w:rsid w:val="004A531A"/>
    <w:rsid w:val="004A551A"/>
    <w:rsid w:val="004A6723"/>
    <w:rsid w:val="004A6ABB"/>
    <w:rsid w:val="004A70CD"/>
    <w:rsid w:val="004A753B"/>
    <w:rsid w:val="004B246E"/>
    <w:rsid w:val="004B328B"/>
    <w:rsid w:val="004B3903"/>
    <w:rsid w:val="004B4811"/>
    <w:rsid w:val="004B5D6F"/>
    <w:rsid w:val="004B76AD"/>
    <w:rsid w:val="004C1CA2"/>
    <w:rsid w:val="004C49E4"/>
    <w:rsid w:val="004C54AC"/>
    <w:rsid w:val="004C629F"/>
    <w:rsid w:val="004D02D0"/>
    <w:rsid w:val="004D0BB4"/>
    <w:rsid w:val="004D1AED"/>
    <w:rsid w:val="004D1EA4"/>
    <w:rsid w:val="004D335B"/>
    <w:rsid w:val="004D3472"/>
    <w:rsid w:val="004D746E"/>
    <w:rsid w:val="004E125F"/>
    <w:rsid w:val="004E1EF7"/>
    <w:rsid w:val="004E6693"/>
    <w:rsid w:val="004E7940"/>
    <w:rsid w:val="004E7ABB"/>
    <w:rsid w:val="004E7D07"/>
    <w:rsid w:val="004E7EAD"/>
    <w:rsid w:val="004F087A"/>
    <w:rsid w:val="004F0AD5"/>
    <w:rsid w:val="004F2C23"/>
    <w:rsid w:val="004F3121"/>
    <w:rsid w:val="004F3485"/>
    <w:rsid w:val="004F6CD7"/>
    <w:rsid w:val="004F70EF"/>
    <w:rsid w:val="004F7A87"/>
    <w:rsid w:val="005005AD"/>
    <w:rsid w:val="00500792"/>
    <w:rsid w:val="00501B06"/>
    <w:rsid w:val="0050578F"/>
    <w:rsid w:val="00511AED"/>
    <w:rsid w:val="0051260E"/>
    <w:rsid w:val="00512A47"/>
    <w:rsid w:val="00513515"/>
    <w:rsid w:val="00513AB1"/>
    <w:rsid w:val="00513B77"/>
    <w:rsid w:val="00515D38"/>
    <w:rsid w:val="0051641E"/>
    <w:rsid w:val="0051655D"/>
    <w:rsid w:val="00521840"/>
    <w:rsid w:val="00522DE4"/>
    <w:rsid w:val="005244A4"/>
    <w:rsid w:val="00526A47"/>
    <w:rsid w:val="00527C60"/>
    <w:rsid w:val="00527DCC"/>
    <w:rsid w:val="00532E81"/>
    <w:rsid w:val="00533D9D"/>
    <w:rsid w:val="005363BF"/>
    <w:rsid w:val="005363C2"/>
    <w:rsid w:val="00537103"/>
    <w:rsid w:val="00541A4F"/>
    <w:rsid w:val="005438A1"/>
    <w:rsid w:val="00546D2B"/>
    <w:rsid w:val="00546D30"/>
    <w:rsid w:val="00547115"/>
    <w:rsid w:val="00550BE1"/>
    <w:rsid w:val="0055409F"/>
    <w:rsid w:val="005559AB"/>
    <w:rsid w:val="00560A8F"/>
    <w:rsid w:val="005612DE"/>
    <w:rsid w:val="00561EC4"/>
    <w:rsid w:val="0056312E"/>
    <w:rsid w:val="00563486"/>
    <w:rsid w:val="00563B03"/>
    <w:rsid w:val="005650CB"/>
    <w:rsid w:val="00565391"/>
    <w:rsid w:val="0056687C"/>
    <w:rsid w:val="00566B37"/>
    <w:rsid w:val="005676AA"/>
    <w:rsid w:val="00567B3E"/>
    <w:rsid w:val="00571AE9"/>
    <w:rsid w:val="00571E47"/>
    <w:rsid w:val="0057274E"/>
    <w:rsid w:val="005761AC"/>
    <w:rsid w:val="005776A9"/>
    <w:rsid w:val="00581A1C"/>
    <w:rsid w:val="00581A67"/>
    <w:rsid w:val="0058437F"/>
    <w:rsid w:val="00584E29"/>
    <w:rsid w:val="00584EE3"/>
    <w:rsid w:val="00586919"/>
    <w:rsid w:val="00586CA2"/>
    <w:rsid w:val="005914D5"/>
    <w:rsid w:val="00592897"/>
    <w:rsid w:val="00596137"/>
    <w:rsid w:val="005975AB"/>
    <w:rsid w:val="005A0C49"/>
    <w:rsid w:val="005A1404"/>
    <w:rsid w:val="005A186A"/>
    <w:rsid w:val="005A5036"/>
    <w:rsid w:val="005A51CF"/>
    <w:rsid w:val="005A6E0C"/>
    <w:rsid w:val="005A731D"/>
    <w:rsid w:val="005A7505"/>
    <w:rsid w:val="005A7C0B"/>
    <w:rsid w:val="005A7CD7"/>
    <w:rsid w:val="005B0C30"/>
    <w:rsid w:val="005B3BED"/>
    <w:rsid w:val="005B6670"/>
    <w:rsid w:val="005B6715"/>
    <w:rsid w:val="005C0326"/>
    <w:rsid w:val="005C098C"/>
    <w:rsid w:val="005C0E05"/>
    <w:rsid w:val="005C35BE"/>
    <w:rsid w:val="005C689F"/>
    <w:rsid w:val="005D076B"/>
    <w:rsid w:val="005D0C79"/>
    <w:rsid w:val="005D2BF8"/>
    <w:rsid w:val="005D36C6"/>
    <w:rsid w:val="005D3E21"/>
    <w:rsid w:val="005D46C3"/>
    <w:rsid w:val="005D58E2"/>
    <w:rsid w:val="005D6F79"/>
    <w:rsid w:val="005D7969"/>
    <w:rsid w:val="005E3E68"/>
    <w:rsid w:val="005E4084"/>
    <w:rsid w:val="005E4491"/>
    <w:rsid w:val="005F12E7"/>
    <w:rsid w:val="005F7929"/>
    <w:rsid w:val="006001D8"/>
    <w:rsid w:val="006011D5"/>
    <w:rsid w:val="00603037"/>
    <w:rsid w:val="00603096"/>
    <w:rsid w:val="00604851"/>
    <w:rsid w:val="00604955"/>
    <w:rsid w:val="00604E00"/>
    <w:rsid w:val="00605F53"/>
    <w:rsid w:val="00610EB4"/>
    <w:rsid w:val="006115F5"/>
    <w:rsid w:val="00612D5A"/>
    <w:rsid w:val="006146A9"/>
    <w:rsid w:val="00614AEB"/>
    <w:rsid w:val="00614DB4"/>
    <w:rsid w:val="00616294"/>
    <w:rsid w:val="006177B8"/>
    <w:rsid w:val="00621364"/>
    <w:rsid w:val="00621600"/>
    <w:rsid w:val="00622897"/>
    <w:rsid w:val="00624FDE"/>
    <w:rsid w:val="00626641"/>
    <w:rsid w:val="00627B89"/>
    <w:rsid w:val="0063065A"/>
    <w:rsid w:val="0063105D"/>
    <w:rsid w:val="0063664B"/>
    <w:rsid w:val="006377DD"/>
    <w:rsid w:val="00640BA2"/>
    <w:rsid w:val="0064167D"/>
    <w:rsid w:val="006427DC"/>
    <w:rsid w:val="0064363C"/>
    <w:rsid w:val="006446C6"/>
    <w:rsid w:val="00645507"/>
    <w:rsid w:val="0064748F"/>
    <w:rsid w:val="006479AC"/>
    <w:rsid w:val="00647DF1"/>
    <w:rsid w:val="00651FEA"/>
    <w:rsid w:val="00652B6A"/>
    <w:rsid w:val="00655B39"/>
    <w:rsid w:val="006601F8"/>
    <w:rsid w:val="00660FA1"/>
    <w:rsid w:val="00662572"/>
    <w:rsid w:val="0066424E"/>
    <w:rsid w:val="0066468C"/>
    <w:rsid w:val="0066562F"/>
    <w:rsid w:val="00665E53"/>
    <w:rsid w:val="006716D9"/>
    <w:rsid w:val="00671BBC"/>
    <w:rsid w:val="00672EEF"/>
    <w:rsid w:val="00673139"/>
    <w:rsid w:val="006733A4"/>
    <w:rsid w:val="00673514"/>
    <w:rsid w:val="00673834"/>
    <w:rsid w:val="00674391"/>
    <w:rsid w:val="006757DE"/>
    <w:rsid w:val="0067694B"/>
    <w:rsid w:val="006808C9"/>
    <w:rsid w:val="0068474C"/>
    <w:rsid w:val="00684F96"/>
    <w:rsid w:val="00685128"/>
    <w:rsid w:val="00685D5C"/>
    <w:rsid w:val="00686584"/>
    <w:rsid w:val="00686BA4"/>
    <w:rsid w:val="006878BF"/>
    <w:rsid w:val="00690635"/>
    <w:rsid w:val="00691FCF"/>
    <w:rsid w:val="00695547"/>
    <w:rsid w:val="00695B85"/>
    <w:rsid w:val="006961AC"/>
    <w:rsid w:val="006967CF"/>
    <w:rsid w:val="00696DBE"/>
    <w:rsid w:val="006A215D"/>
    <w:rsid w:val="006A2460"/>
    <w:rsid w:val="006A2DCE"/>
    <w:rsid w:val="006A4196"/>
    <w:rsid w:val="006A6727"/>
    <w:rsid w:val="006A6A68"/>
    <w:rsid w:val="006A70BC"/>
    <w:rsid w:val="006B0AA2"/>
    <w:rsid w:val="006B1675"/>
    <w:rsid w:val="006B35FC"/>
    <w:rsid w:val="006B5DFC"/>
    <w:rsid w:val="006B6844"/>
    <w:rsid w:val="006B754C"/>
    <w:rsid w:val="006B7AA8"/>
    <w:rsid w:val="006B7F9F"/>
    <w:rsid w:val="006C1DD8"/>
    <w:rsid w:val="006C1DE7"/>
    <w:rsid w:val="006C2305"/>
    <w:rsid w:val="006C2598"/>
    <w:rsid w:val="006C2AF8"/>
    <w:rsid w:val="006C4DE9"/>
    <w:rsid w:val="006C58C9"/>
    <w:rsid w:val="006C706C"/>
    <w:rsid w:val="006C7F4A"/>
    <w:rsid w:val="006D0786"/>
    <w:rsid w:val="006D127C"/>
    <w:rsid w:val="006D14EE"/>
    <w:rsid w:val="006D2E52"/>
    <w:rsid w:val="006D429C"/>
    <w:rsid w:val="006D4D06"/>
    <w:rsid w:val="006D65E9"/>
    <w:rsid w:val="006D6A7B"/>
    <w:rsid w:val="006D6C5C"/>
    <w:rsid w:val="006E0CC9"/>
    <w:rsid w:val="006E1099"/>
    <w:rsid w:val="006E1FDC"/>
    <w:rsid w:val="006E3166"/>
    <w:rsid w:val="006E3D93"/>
    <w:rsid w:val="006E4E46"/>
    <w:rsid w:val="006E4FF2"/>
    <w:rsid w:val="006E70BA"/>
    <w:rsid w:val="006F1F00"/>
    <w:rsid w:val="006F2240"/>
    <w:rsid w:val="006F4F21"/>
    <w:rsid w:val="00702061"/>
    <w:rsid w:val="00704839"/>
    <w:rsid w:val="00705583"/>
    <w:rsid w:val="00705A29"/>
    <w:rsid w:val="007074F3"/>
    <w:rsid w:val="00707BD2"/>
    <w:rsid w:val="00710B9B"/>
    <w:rsid w:val="00711958"/>
    <w:rsid w:val="007125C0"/>
    <w:rsid w:val="00712FA3"/>
    <w:rsid w:val="0071330E"/>
    <w:rsid w:val="00713A27"/>
    <w:rsid w:val="00713E17"/>
    <w:rsid w:val="00715639"/>
    <w:rsid w:val="00720716"/>
    <w:rsid w:val="007220B9"/>
    <w:rsid w:val="007226D9"/>
    <w:rsid w:val="00722A4C"/>
    <w:rsid w:val="00723E3F"/>
    <w:rsid w:val="00724819"/>
    <w:rsid w:val="0072564A"/>
    <w:rsid w:val="00726981"/>
    <w:rsid w:val="0072762F"/>
    <w:rsid w:val="00727664"/>
    <w:rsid w:val="00727F14"/>
    <w:rsid w:val="00730707"/>
    <w:rsid w:val="00732641"/>
    <w:rsid w:val="00733BBF"/>
    <w:rsid w:val="007344D7"/>
    <w:rsid w:val="00734816"/>
    <w:rsid w:val="00736A6C"/>
    <w:rsid w:val="00736C0C"/>
    <w:rsid w:val="00737F87"/>
    <w:rsid w:val="00741175"/>
    <w:rsid w:val="00744BBE"/>
    <w:rsid w:val="0074590E"/>
    <w:rsid w:val="00745E7F"/>
    <w:rsid w:val="007508CF"/>
    <w:rsid w:val="007512B3"/>
    <w:rsid w:val="00752371"/>
    <w:rsid w:val="00752E21"/>
    <w:rsid w:val="00752FF3"/>
    <w:rsid w:val="00753C3E"/>
    <w:rsid w:val="00753DE0"/>
    <w:rsid w:val="007548FB"/>
    <w:rsid w:val="00755FDA"/>
    <w:rsid w:val="0075746B"/>
    <w:rsid w:val="0076149F"/>
    <w:rsid w:val="00761DCD"/>
    <w:rsid w:val="00761DF1"/>
    <w:rsid w:val="007625FF"/>
    <w:rsid w:val="007648FB"/>
    <w:rsid w:val="007705EE"/>
    <w:rsid w:val="00770A5E"/>
    <w:rsid w:val="00770D8F"/>
    <w:rsid w:val="00773F5F"/>
    <w:rsid w:val="00774036"/>
    <w:rsid w:val="0077737B"/>
    <w:rsid w:val="0077738F"/>
    <w:rsid w:val="00777E45"/>
    <w:rsid w:val="00780865"/>
    <w:rsid w:val="00782ADA"/>
    <w:rsid w:val="00782CED"/>
    <w:rsid w:val="00784A2D"/>
    <w:rsid w:val="007858FA"/>
    <w:rsid w:val="007878D1"/>
    <w:rsid w:val="00787BEC"/>
    <w:rsid w:val="00790566"/>
    <w:rsid w:val="007905FF"/>
    <w:rsid w:val="00790664"/>
    <w:rsid w:val="0079070A"/>
    <w:rsid w:val="007914B9"/>
    <w:rsid w:val="00791A68"/>
    <w:rsid w:val="007922B9"/>
    <w:rsid w:val="0079327A"/>
    <w:rsid w:val="0079386E"/>
    <w:rsid w:val="00797C03"/>
    <w:rsid w:val="007A1F3D"/>
    <w:rsid w:val="007A2CC1"/>
    <w:rsid w:val="007A37CE"/>
    <w:rsid w:val="007A46E5"/>
    <w:rsid w:val="007A486C"/>
    <w:rsid w:val="007A5332"/>
    <w:rsid w:val="007A5CA7"/>
    <w:rsid w:val="007A6914"/>
    <w:rsid w:val="007A6C6B"/>
    <w:rsid w:val="007B2D89"/>
    <w:rsid w:val="007B5882"/>
    <w:rsid w:val="007B5D0D"/>
    <w:rsid w:val="007B616C"/>
    <w:rsid w:val="007B7DCA"/>
    <w:rsid w:val="007C021E"/>
    <w:rsid w:val="007C26EC"/>
    <w:rsid w:val="007C289E"/>
    <w:rsid w:val="007C50E4"/>
    <w:rsid w:val="007C5751"/>
    <w:rsid w:val="007C5BC5"/>
    <w:rsid w:val="007D216A"/>
    <w:rsid w:val="007D3429"/>
    <w:rsid w:val="007D6396"/>
    <w:rsid w:val="007E1345"/>
    <w:rsid w:val="007E164A"/>
    <w:rsid w:val="007E1D3F"/>
    <w:rsid w:val="007E1E5E"/>
    <w:rsid w:val="007E3F00"/>
    <w:rsid w:val="007E4224"/>
    <w:rsid w:val="007E618A"/>
    <w:rsid w:val="007E629A"/>
    <w:rsid w:val="007E6B05"/>
    <w:rsid w:val="007E7884"/>
    <w:rsid w:val="007E7929"/>
    <w:rsid w:val="007F1735"/>
    <w:rsid w:val="007F2873"/>
    <w:rsid w:val="007F358E"/>
    <w:rsid w:val="007F37B6"/>
    <w:rsid w:val="007F6BFF"/>
    <w:rsid w:val="007F70CC"/>
    <w:rsid w:val="007F7CC8"/>
    <w:rsid w:val="00804D90"/>
    <w:rsid w:val="0080525E"/>
    <w:rsid w:val="00812529"/>
    <w:rsid w:val="008129DE"/>
    <w:rsid w:val="00812E6B"/>
    <w:rsid w:val="00812F67"/>
    <w:rsid w:val="00813315"/>
    <w:rsid w:val="00814B04"/>
    <w:rsid w:val="008163B6"/>
    <w:rsid w:val="008205D1"/>
    <w:rsid w:val="00820ABA"/>
    <w:rsid w:val="00820BA7"/>
    <w:rsid w:val="00821216"/>
    <w:rsid w:val="008215B2"/>
    <w:rsid w:val="0082316D"/>
    <w:rsid w:val="008236DA"/>
    <w:rsid w:val="00823843"/>
    <w:rsid w:val="00824F2C"/>
    <w:rsid w:val="0082548D"/>
    <w:rsid w:val="00825AAA"/>
    <w:rsid w:val="00827D22"/>
    <w:rsid w:val="00831616"/>
    <w:rsid w:val="00832B34"/>
    <w:rsid w:val="008333C1"/>
    <w:rsid w:val="00835970"/>
    <w:rsid w:val="008365D7"/>
    <w:rsid w:val="00836FFA"/>
    <w:rsid w:val="00840047"/>
    <w:rsid w:val="0084108C"/>
    <w:rsid w:val="00841924"/>
    <w:rsid w:val="0084197D"/>
    <w:rsid w:val="00842399"/>
    <w:rsid w:val="0084272B"/>
    <w:rsid w:val="00842F56"/>
    <w:rsid w:val="00843DCF"/>
    <w:rsid w:val="008440BE"/>
    <w:rsid w:val="008443A7"/>
    <w:rsid w:val="0085129D"/>
    <w:rsid w:val="00851AF3"/>
    <w:rsid w:val="00852AD9"/>
    <w:rsid w:val="008532A7"/>
    <w:rsid w:val="008545FC"/>
    <w:rsid w:val="0085609A"/>
    <w:rsid w:val="00856F5A"/>
    <w:rsid w:val="00856FEC"/>
    <w:rsid w:val="00860E5D"/>
    <w:rsid w:val="00861A80"/>
    <w:rsid w:val="00861AA2"/>
    <w:rsid w:val="00861AC8"/>
    <w:rsid w:val="00863A79"/>
    <w:rsid w:val="00863AEC"/>
    <w:rsid w:val="008653B5"/>
    <w:rsid w:val="0086543D"/>
    <w:rsid w:val="00865693"/>
    <w:rsid w:val="008658E5"/>
    <w:rsid w:val="00866232"/>
    <w:rsid w:val="00866F1D"/>
    <w:rsid w:val="008705D6"/>
    <w:rsid w:val="00871406"/>
    <w:rsid w:val="008721F6"/>
    <w:rsid w:val="0087272B"/>
    <w:rsid w:val="00872B75"/>
    <w:rsid w:val="00873D51"/>
    <w:rsid w:val="00874D36"/>
    <w:rsid w:val="008753CD"/>
    <w:rsid w:val="008765E9"/>
    <w:rsid w:val="0087775E"/>
    <w:rsid w:val="008824C9"/>
    <w:rsid w:val="00882818"/>
    <w:rsid w:val="00883322"/>
    <w:rsid w:val="008836B7"/>
    <w:rsid w:val="008845E9"/>
    <w:rsid w:val="00884B74"/>
    <w:rsid w:val="0088687B"/>
    <w:rsid w:val="008869EC"/>
    <w:rsid w:val="008938BF"/>
    <w:rsid w:val="00893F55"/>
    <w:rsid w:val="008944FA"/>
    <w:rsid w:val="0089471A"/>
    <w:rsid w:val="008966E0"/>
    <w:rsid w:val="008977E6"/>
    <w:rsid w:val="00897C9F"/>
    <w:rsid w:val="00897EC0"/>
    <w:rsid w:val="008A1083"/>
    <w:rsid w:val="008A1AE8"/>
    <w:rsid w:val="008A2AC9"/>
    <w:rsid w:val="008A3C22"/>
    <w:rsid w:val="008A3F44"/>
    <w:rsid w:val="008A588E"/>
    <w:rsid w:val="008A6536"/>
    <w:rsid w:val="008A75D4"/>
    <w:rsid w:val="008A77C9"/>
    <w:rsid w:val="008A77F1"/>
    <w:rsid w:val="008A7B60"/>
    <w:rsid w:val="008B0AE0"/>
    <w:rsid w:val="008B40E3"/>
    <w:rsid w:val="008B41B3"/>
    <w:rsid w:val="008B4756"/>
    <w:rsid w:val="008B560E"/>
    <w:rsid w:val="008B6013"/>
    <w:rsid w:val="008B6721"/>
    <w:rsid w:val="008C098D"/>
    <w:rsid w:val="008C1902"/>
    <w:rsid w:val="008C1BE1"/>
    <w:rsid w:val="008C27A5"/>
    <w:rsid w:val="008C2CC2"/>
    <w:rsid w:val="008C458D"/>
    <w:rsid w:val="008C5CB1"/>
    <w:rsid w:val="008C5D5F"/>
    <w:rsid w:val="008C6DF1"/>
    <w:rsid w:val="008D0141"/>
    <w:rsid w:val="008D0D3F"/>
    <w:rsid w:val="008D4703"/>
    <w:rsid w:val="008D497C"/>
    <w:rsid w:val="008D6775"/>
    <w:rsid w:val="008E0508"/>
    <w:rsid w:val="008E101B"/>
    <w:rsid w:val="008E3238"/>
    <w:rsid w:val="008E3400"/>
    <w:rsid w:val="008E47A4"/>
    <w:rsid w:val="008E4EAF"/>
    <w:rsid w:val="008E59BC"/>
    <w:rsid w:val="008E7C71"/>
    <w:rsid w:val="008F166C"/>
    <w:rsid w:val="008F27D5"/>
    <w:rsid w:val="008F296F"/>
    <w:rsid w:val="008F3880"/>
    <w:rsid w:val="008F46AE"/>
    <w:rsid w:val="008F66BD"/>
    <w:rsid w:val="00900786"/>
    <w:rsid w:val="00903910"/>
    <w:rsid w:val="009061A5"/>
    <w:rsid w:val="0090652D"/>
    <w:rsid w:val="00906BF0"/>
    <w:rsid w:val="00910474"/>
    <w:rsid w:val="009108D9"/>
    <w:rsid w:val="0091170E"/>
    <w:rsid w:val="00911718"/>
    <w:rsid w:val="00912433"/>
    <w:rsid w:val="00912CB8"/>
    <w:rsid w:val="00913CD1"/>
    <w:rsid w:val="0091433A"/>
    <w:rsid w:val="009144C0"/>
    <w:rsid w:val="00914637"/>
    <w:rsid w:val="009169C0"/>
    <w:rsid w:val="00920540"/>
    <w:rsid w:val="00922CDF"/>
    <w:rsid w:val="00923CE9"/>
    <w:rsid w:val="00924389"/>
    <w:rsid w:val="00925AB6"/>
    <w:rsid w:val="00927834"/>
    <w:rsid w:val="00930505"/>
    <w:rsid w:val="00930868"/>
    <w:rsid w:val="00931FE0"/>
    <w:rsid w:val="00933ECD"/>
    <w:rsid w:val="009342F7"/>
    <w:rsid w:val="00935361"/>
    <w:rsid w:val="0093610A"/>
    <w:rsid w:val="00937ABD"/>
    <w:rsid w:val="00937B09"/>
    <w:rsid w:val="009400D2"/>
    <w:rsid w:val="00940301"/>
    <w:rsid w:val="0094190E"/>
    <w:rsid w:val="00944692"/>
    <w:rsid w:val="00945507"/>
    <w:rsid w:val="00946EF0"/>
    <w:rsid w:val="009505ED"/>
    <w:rsid w:val="00952B18"/>
    <w:rsid w:val="00952F5B"/>
    <w:rsid w:val="0095313A"/>
    <w:rsid w:val="00953DBE"/>
    <w:rsid w:val="0095416E"/>
    <w:rsid w:val="00954F85"/>
    <w:rsid w:val="00956F92"/>
    <w:rsid w:val="0095739C"/>
    <w:rsid w:val="0095754C"/>
    <w:rsid w:val="00957A1B"/>
    <w:rsid w:val="00960B8F"/>
    <w:rsid w:val="009614DB"/>
    <w:rsid w:val="00961EDA"/>
    <w:rsid w:val="00961F4A"/>
    <w:rsid w:val="00963F4F"/>
    <w:rsid w:val="00965B70"/>
    <w:rsid w:val="00967162"/>
    <w:rsid w:val="009674D2"/>
    <w:rsid w:val="00970CD2"/>
    <w:rsid w:val="00971DEF"/>
    <w:rsid w:val="00972139"/>
    <w:rsid w:val="00972509"/>
    <w:rsid w:val="0097332E"/>
    <w:rsid w:val="00974F57"/>
    <w:rsid w:val="00975BAA"/>
    <w:rsid w:val="00976070"/>
    <w:rsid w:val="00982102"/>
    <w:rsid w:val="0098215B"/>
    <w:rsid w:val="0098314C"/>
    <w:rsid w:val="00983438"/>
    <w:rsid w:val="009837C1"/>
    <w:rsid w:val="0098442A"/>
    <w:rsid w:val="00986F51"/>
    <w:rsid w:val="00991F32"/>
    <w:rsid w:val="00992C91"/>
    <w:rsid w:val="009934E3"/>
    <w:rsid w:val="0099372C"/>
    <w:rsid w:val="009937E0"/>
    <w:rsid w:val="00996235"/>
    <w:rsid w:val="009966E8"/>
    <w:rsid w:val="00996DAB"/>
    <w:rsid w:val="00997434"/>
    <w:rsid w:val="009A2918"/>
    <w:rsid w:val="009A2B38"/>
    <w:rsid w:val="009A3502"/>
    <w:rsid w:val="009A4030"/>
    <w:rsid w:val="009A4BC2"/>
    <w:rsid w:val="009A55C0"/>
    <w:rsid w:val="009A5E78"/>
    <w:rsid w:val="009B39EF"/>
    <w:rsid w:val="009B3A10"/>
    <w:rsid w:val="009B3DFE"/>
    <w:rsid w:val="009B414E"/>
    <w:rsid w:val="009B4BEB"/>
    <w:rsid w:val="009B5DF0"/>
    <w:rsid w:val="009B6EC9"/>
    <w:rsid w:val="009C3135"/>
    <w:rsid w:val="009C3C17"/>
    <w:rsid w:val="009C3DF6"/>
    <w:rsid w:val="009C4788"/>
    <w:rsid w:val="009C5E7D"/>
    <w:rsid w:val="009C75E2"/>
    <w:rsid w:val="009C77B3"/>
    <w:rsid w:val="009C7DB0"/>
    <w:rsid w:val="009D1153"/>
    <w:rsid w:val="009D2213"/>
    <w:rsid w:val="009D28C3"/>
    <w:rsid w:val="009D2ABE"/>
    <w:rsid w:val="009D2E4D"/>
    <w:rsid w:val="009E05CE"/>
    <w:rsid w:val="009E189D"/>
    <w:rsid w:val="009E337B"/>
    <w:rsid w:val="009E33EA"/>
    <w:rsid w:val="009E3D78"/>
    <w:rsid w:val="009E4E32"/>
    <w:rsid w:val="009E7032"/>
    <w:rsid w:val="009E72F4"/>
    <w:rsid w:val="009F0C9B"/>
    <w:rsid w:val="009F0E51"/>
    <w:rsid w:val="009F0EBD"/>
    <w:rsid w:val="009F217F"/>
    <w:rsid w:val="009F38EF"/>
    <w:rsid w:val="009F39BD"/>
    <w:rsid w:val="009F4529"/>
    <w:rsid w:val="009F5AF6"/>
    <w:rsid w:val="009F7F78"/>
    <w:rsid w:val="00A008D0"/>
    <w:rsid w:val="00A0303A"/>
    <w:rsid w:val="00A03AC9"/>
    <w:rsid w:val="00A03D8D"/>
    <w:rsid w:val="00A03E54"/>
    <w:rsid w:val="00A0433B"/>
    <w:rsid w:val="00A0452E"/>
    <w:rsid w:val="00A0483E"/>
    <w:rsid w:val="00A0496A"/>
    <w:rsid w:val="00A0635E"/>
    <w:rsid w:val="00A07163"/>
    <w:rsid w:val="00A10142"/>
    <w:rsid w:val="00A11417"/>
    <w:rsid w:val="00A11B52"/>
    <w:rsid w:val="00A1250A"/>
    <w:rsid w:val="00A135F5"/>
    <w:rsid w:val="00A13804"/>
    <w:rsid w:val="00A1475C"/>
    <w:rsid w:val="00A14C8F"/>
    <w:rsid w:val="00A15D95"/>
    <w:rsid w:val="00A16E0C"/>
    <w:rsid w:val="00A173BD"/>
    <w:rsid w:val="00A1746A"/>
    <w:rsid w:val="00A20028"/>
    <w:rsid w:val="00A20784"/>
    <w:rsid w:val="00A22651"/>
    <w:rsid w:val="00A23412"/>
    <w:rsid w:val="00A236A3"/>
    <w:rsid w:val="00A23967"/>
    <w:rsid w:val="00A24C61"/>
    <w:rsid w:val="00A263BD"/>
    <w:rsid w:val="00A2680D"/>
    <w:rsid w:val="00A272BC"/>
    <w:rsid w:val="00A31897"/>
    <w:rsid w:val="00A323E6"/>
    <w:rsid w:val="00A33D0E"/>
    <w:rsid w:val="00A345E1"/>
    <w:rsid w:val="00A37739"/>
    <w:rsid w:val="00A37D74"/>
    <w:rsid w:val="00A4030B"/>
    <w:rsid w:val="00A41B98"/>
    <w:rsid w:val="00A42159"/>
    <w:rsid w:val="00A42BD2"/>
    <w:rsid w:val="00A42CAA"/>
    <w:rsid w:val="00A43173"/>
    <w:rsid w:val="00A45B73"/>
    <w:rsid w:val="00A45C42"/>
    <w:rsid w:val="00A45F81"/>
    <w:rsid w:val="00A46B32"/>
    <w:rsid w:val="00A5053F"/>
    <w:rsid w:val="00A51AE1"/>
    <w:rsid w:val="00A52060"/>
    <w:rsid w:val="00A5226D"/>
    <w:rsid w:val="00A52270"/>
    <w:rsid w:val="00A53FEF"/>
    <w:rsid w:val="00A5450D"/>
    <w:rsid w:val="00A56B73"/>
    <w:rsid w:val="00A62AD5"/>
    <w:rsid w:val="00A6394F"/>
    <w:rsid w:val="00A66CF8"/>
    <w:rsid w:val="00A7093B"/>
    <w:rsid w:val="00A71F06"/>
    <w:rsid w:val="00A727D8"/>
    <w:rsid w:val="00A732F7"/>
    <w:rsid w:val="00A7437C"/>
    <w:rsid w:val="00A74804"/>
    <w:rsid w:val="00A753A3"/>
    <w:rsid w:val="00A76597"/>
    <w:rsid w:val="00A76F3E"/>
    <w:rsid w:val="00A776FB"/>
    <w:rsid w:val="00A77C2B"/>
    <w:rsid w:val="00A802E8"/>
    <w:rsid w:val="00A80F86"/>
    <w:rsid w:val="00A81083"/>
    <w:rsid w:val="00A8357F"/>
    <w:rsid w:val="00A84835"/>
    <w:rsid w:val="00A9083B"/>
    <w:rsid w:val="00A92018"/>
    <w:rsid w:val="00A95F0F"/>
    <w:rsid w:val="00A97B44"/>
    <w:rsid w:val="00AA00C6"/>
    <w:rsid w:val="00AA0CBC"/>
    <w:rsid w:val="00AA0EBC"/>
    <w:rsid w:val="00AA0ED6"/>
    <w:rsid w:val="00AA50C0"/>
    <w:rsid w:val="00AA5903"/>
    <w:rsid w:val="00AA6FF7"/>
    <w:rsid w:val="00AA70AC"/>
    <w:rsid w:val="00AA7D4A"/>
    <w:rsid w:val="00AB2006"/>
    <w:rsid w:val="00AB5D10"/>
    <w:rsid w:val="00AB729C"/>
    <w:rsid w:val="00AC10CE"/>
    <w:rsid w:val="00AC17EE"/>
    <w:rsid w:val="00AC22D3"/>
    <w:rsid w:val="00AC369B"/>
    <w:rsid w:val="00AC435E"/>
    <w:rsid w:val="00AC4480"/>
    <w:rsid w:val="00AC4A58"/>
    <w:rsid w:val="00AC6013"/>
    <w:rsid w:val="00AC705D"/>
    <w:rsid w:val="00AC748D"/>
    <w:rsid w:val="00AD10D0"/>
    <w:rsid w:val="00AD2BF3"/>
    <w:rsid w:val="00AD308C"/>
    <w:rsid w:val="00AD347F"/>
    <w:rsid w:val="00AD485C"/>
    <w:rsid w:val="00AD4D46"/>
    <w:rsid w:val="00AD4FFF"/>
    <w:rsid w:val="00AD55D6"/>
    <w:rsid w:val="00AD6449"/>
    <w:rsid w:val="00AD7AC5"/>
    <w:rsid w:val="00AE23C1"/>
    <w:rsid w:val="00AE2DFE"/>
    <w:rsid w:val="00AE649A"/>
    <w:rsid w:val="00AE67C1"/>
    <w:rsid w:val="00AE79D5"/>
    <w:rsid w:val="00AF0C98"/>
    <w:rsid w:val="00AF3EEA"/>
    <w:rsid w:val="00AF5935"/>
    <w:rsid w:val="00AF5D4F"/>
    <w:rsid w:val="00AF6042"/>
    <w:rsid w:val="00AF6DF2"/>
    <w:rsid w:val="00AF736E"/>
    <w:rsid w:val="00B00594"/>
    <w:rsid w:val="00B007AC"/>
    <w:rsid w:val="00B0100F"/>
    <w:rsid w:val="00B0151E"/>
    <w:rsid w:val="00B03300"/>
    <w:rsid w:val="00B04E20"/>
    <w:rsid w:val="00B10B37"/>
    <w:rsid w:val="00B12A33"/>
    <w:rsid w:val="00B1402F"/>
    <w:rsid w:val="00B16047"/>
    <w:rsid w:val="00B1650F"/>
    <w:rsid w:val="00B17D4C"/>
    <w:rsid w:val="00B21B27"/>
    <w:rsid w:val="00B22A52"/>
    <w:rsid w:val="00B23554"/>
    <w:rsid w:val="00B23CDF"/>
    <w:rsid w:val="00B24009"/>
    <w:rsid w:val="00B25F33"/>
    <w:rsid w:val="00B272F1"/>
    <w:rsid w:val="00B27BE9"/>
    <w:rsid w:val="00B30D14"/>
    <w:rsid w:val="00B30DEC"/>
    <w:rsid w:val="00B31C49"/>
    <w:rsid w:val="00B332D8"/>
    <w:rsid w:val="00B34800"/>
    <w:rsid w:val="00B3518D"/>
    <w:rsid w:val="00B37ED1"/>
    <w:rsid w:val="00B40165"/>
    <w:rsid w:val="00B41EF1"/>
    <w:rsid w:val="00B41EFC"/>
    <w:rsid w:val="00B42B40"/>
    <w:rsid w:val="00B43793"/>
    <w:rsid w:val="00B43F93"/>
    <w:rsid w:val="00B45215"/>
    <w:rsid w:val="00B45E80"/>
    <w:rsid w:val="00B46537"/>
    <w:rsid w:val="00B46A26"/>
    <w:rsid w:val="00B517CD"/>
    <w:rsid w:val="00B53D7B"/>
    <w:rsid w:val="00B5419B"/>
    <w:rsid w:val="00B56C0B"/>
    <w:rsid w:val="00B57CF7"/>
    <w:rsid w:val="00B62A62"/>
    <w:rsid w:val="00B62E7F"/>
    <w:rsid w:val="00B64789"/>
    <w:rsid w:val="00B650F1"/>
    <w:rsid w:val="00B66E8B"/>
    <w:rsid w:val="00B71BA1"/>
    <w:rsid w:val="00B72E88"/>
    <w:rsid w:val="00B73EA1"/>
    <w:rsid w:val="00B74DDA"/>
    <w:rsid w:val="00B762E2"/>
    <w:rsid w:val="00B763F5"/>
    <w:rsid w:val="00B77613"/>
    <w:rsid w:val="00B81995"/>
    <w:rsid w:val="00B81CDA"/>
    <w:rsid w:val="00B81EBB"/>
    <w:rsid w:val="00B8311C"/>
    <w:rsid w:val="00B83697"/>
    <w:rsid w:val="00B85035"/>
    <w:rsid w:val="00B87575"/>
    <w:rsid w:val="00B91093"/>
    <w:rsid w:val="00B914A4"/>
    <w:rsid w:val="00B93BEE"/>
    <w:rsid w:val="00B9421B"/>
    <w:rsid w:val="00B95321"/>
    <w:rsid w:val="00B969C6"/>
    <w:rsid w:val="00B96E3F"/>
    <w:rsid w:val="00B9791E"/>
    <w:rsid w:val="00BA023A"/>
    <w:rsid w:val="00BA12CA"/>
    <w:rsid w:val="00BA4F43"/>
    <w:rsid w:val="00BA5D99"/>
    <w:rsid w:val="00BA6280"/>
    <w:rsid w:val="00BA6559"/>
    <w:rsid w:val="00BB0FB2"/>
    <w:rsid w:val="00BB361C"/>
    <w:rsid w:val="00BB37EE"/>
    <w:rsid w:val="00BB4586"/>
    <w:rsid w:val="00BC0652"/>
    <w:rsid w:val="00BC0A40"/>
    <w:rsid w:val="00BC2280"/>
    <w:rsid w:val="00BC2CF4"/>
    <w:rsid w:val="00BC405B"/>
    <w:rsid w:val="00BC4C7E"/>
    <w:rsid w:val="00BC59B6"/>
    <w:rsid w:val="00BC5BC2"/>
    <w:rsid w:val="00BC63C9"/>
    <w:rsid w:val="00BD0521"/>
    <w:rsid w:val="00BD08E0"/>
    <w:rsid w:val="00BD0E36"/>
    <w:rsid w:val="00BD25C0"/>
    <w:rsid w:val="00BD345B"/>
    <w:rsid w:val="00BD5401"/>
    <w:rsid w:val="00BD6BB2"/>
    <w:rsid w:val="00BD77D3"/>
    <w:rsid w:val="00BD7978"/>
    <w:rsid w:val="00BE14B8"/>
    <w:rsid w:val="00BE2722"/>
    <w:rsid w:val="00BE2F53"/>
    <w:rsid w:val="00BE3A6D"/>
    <w:rsid w:val="00BF074E"/>
    <w:rsid w:val="00BF2443"/>
    <w:rsid w:val="00BF2718"/>
    <w:rsid w:val="00BF345D"/>
    <w:rsid w:val="00BF3BEA"/>
    <w:rsid w:val="00BF4735"/>
    <w:rsid w:val="00BF633F"/>
    <w:rsid w:val="00BF6995"/>
    <w:rsid w:val="00BF6D9E"/>
    <w:rsid w:val="00C001A1"/>
    <w:rsid w:val="00C01945"/>
    <w:rsid w:val="00C020BA"/>
    <w:rsid w:val="00C02B99"/>
    <w:rsid w:val="00C031A9"/>
    <w:rsid w:val="00C04C0D"/>
    <w:rsid w:val="00C058D0"/>
    <w:rsid w:val="00C074D2"/>
    <w:rsid w:val="00C11ECA"/>
    <w:rsid w:val="00C12BD8"/>
    <w:rsid w:val="00C131A5"/>
    <w:rsid w:val="00C13462"/>
    <w:rsid w:val="00C135FD"/>
    <w:rsid w:val="00C13F0A"/>
    <w:rsid w:val="00C14A48"/>
    <w:rsid w:val="00C151F8"/>
    <w:rsid w:val="00C171D3"/>
    <w:rsid w:val="00C22818"/>
    <w:rsid w:val="00C22C92"/>
    <w:rsid w:val="00C22EFF"/>
    <w:rsid w:val="00C254AF"/>
    <w:rsid w:val="00C2601E"/>
    <w:rsid w:val="00C26037"/>
    <w:rsid w:val="00C2729E"/>
    <w:rsid w:val="00C2740F"/>
    <w:rsid w:val="00C27D90"/>
    <w:rsid w:val="00C300B6"/>
    <w:rsid w:val="00C30743"/>
    <w:rsid w:val="00C31ACD"/>
    <w:rsid w:val="00C31DFF"/>
    <w:rsid w:val="00C34133"/>
    <w:rsid w:val="00C3484B"/>
    <w:rsid w:val="00C34CAA"/>
    <w:rsid w:val="00C35288"/>
    <w:rsid w:val="00C3550F"/>
    <w:rsid w:val="00C37121"/>
    <w:rsid w:val="00C41ED0"/>
    <w:rsid w:val="00C42145"/>
    <w:rsid w:val="00C43945"/>
    <w:rsid w:val="00C43DF3"/>
    <w:rsid w:val="00C4435F"/>
    <w:rsid w:val="00C46F39"/>
    <w:rsid w:val="00C471F6"/>
    <w:rsid w:val="00C476D2"/>
    <w:rsid w:val="00C47AD4"/>
    <w:rsid w:val="00C47FA6"/>
    <w:rsid w:val="00C500C1"/>
    <w:rsid w:val="00C50BD3"/>
    <w:rsid w:val="00C52AD1"/>
    <w:rsid w:val="00C53323"/>
    <w:rsid w:val="00C535DB"/>
    <w:rsid w:val="00C53FB1"/>
    <w:rsid w:val="00C554AC"/>
    <w:rsid w:val="00C56872"/>
    <w:rsid w:val="00C61542"/>
    <w:rsid w:val="00C62D80"/>
    <w:rsid w:val="00C63097"/>
    <w:rsid w:val="00C6434A"/>
    <w:rsid w:val="00C65AEA"/>
    <w:rsid w:val="00C66085"/>
    <w:rsid w:val="00C664B9"/>
    <w:rsid w:val="00C669C7"/>
    <w:rsid w:val="00C70712"/>
    <w:rsid w:val="00C72DBD"/>
    <w:rsid w:val="00C75621"/>
    <w:rsid w:val="00C77CC4"/>
    <w:rsid w:val="00C80075"/>
    <w:rsid w:val="00C803AF"/>
    <w:rsid w:val="00C81294"/>
    <w:rsid w:val="00C81E24"/>
    <w:rsid w:val="00C825BA"/>
    <w:rsid w:val="00C83193"/>
    <w:rsid w:val="00C83633"/>
    <w:rsid w:val="00C83A46"/>
    <w:rsid w:val="00C86F3C"/>
    <w:rsid w:val="00C902FC"/>
    <w:rsid w:val="00C90D3C"/>
    <w:rsid w:val="00C92F43"/>
    <w:rsid w:val="00C932D1"/>
    <w:rsid w:val="00C970CD"/>
    <w:rsid w:val="00C97643"/>
    <w:rsid w:val="00C97C02"/>
    <w:rsid w:val="00CA159D"/>
    <w:rsid w:val="00CA26F6"/>
    <w:rsid w:val="00CA3BAE"/>
    <w:rsid w:val="00CA46DB"/>
    <w:rsid w:val="00CA787C"/>
    <w:rsid w:val="00CB022D"/>
    <w:rsid w:val="00CB13E8"/>
    <w:rsid w:val="00CB18C9"/>
    <w:rsid w:val="00CB2E2E"/>
    <w:rsid w:val="00CB43B8"/>
    <w:rsid w:val="00CB4643"/>
    <w:rsid w:val="00CB5F8E"/>
    <w:rsid w:val="00CB64C3"/>
    <w:rsid w:val="00CB679B"/>
    <w:rsid w:val="00CB754F"/>
    <w:rsid w:val="00CB778E"/>
    <w:rsid w:val="00CB7FFA"/>
    <w:rsid w:val="00CC1654"/>
    <w:rsid w:val="00CC2E11"/>
    <w:rsid w:val="00CC5879"/>
    <w:rsid w:val="00CC58BC"/>
    <w:rsid w:val="00CC6571"/>
    <w:rsid w:val="00CC6B60"/>
    <w:rsid w:val="00CD1518"/>
    <w:rsid w:val="00CD261D"/>
    <w:rsid w:val="00CD3B25"/>
    <w:rsid w:val="00CD428E"/>
    <w:rsid w:val="00CD5A80"/>
    <w:rsid w:val="00CE0797"/>
    <w:rsid w:val="00CE1AFB"/>
    <w:rsid w:val="00CE22C5"/>
    <w:rsid w:val="00CE26A2"/>
    <w:rsid w:val="00CE31E7"/>
    <w:rsid w:val="00CE5742"/>
    <w:rsid w:val="00CE5BFB"/>
    <w:rsid w:val="00CE69EC"/>
    <w:rsid w:val="00CF2223"/>
    <w:rsid w:val="00CF2A04"/>
    <w:rsid w:val="00CF35B0"/>
    <w:rsid w:val="00CF6C30"/>
    <w:rsid w:val="00CF75E5"/>
    <w:rsid w:val="00CF7DF1"/>
    <w:rsid w:val="00D000F4"/>
    <w:rsid w:val="00D01A42"/>
    <w:rsid w:val="00D02DAB"/>
    <w:rsid w:val="00D03C05"/>
    <w:rsid w:val="00D05ACD"/>
    <w:rsid w:val="00D06377"/>
    <w:rsid w:val="00D064B7"/>
    <w:rsid w:val="00D112F9"/>
    <w:rsid w:val="00D11E00"/>
    <w:rsid w:val="00D1335B"/>
    <w:rsid w:val="00D13AC2"/>
    <w:rsid w:val="00D15998"/>
    <w:rsid w:val="00D167EC"/>
    <w:rsid w:val="00D201D9"/>
    <w:rsid w:val="00D2130B"/>
    <w:rsid w:val="00D21716"/>
    <w:rsid w:val="00D223E4"/>
    <w:rsid w:val="00D22B7C"/>
    <w:rsid w:val="00D22F60"/>
    <w:rsid w:val="00D23386"/>
    <w:rsid w:val="00D2642D"/>
    <w:rsid w:val="00D27AE0"/>
    <w:rsid w:val="00D27FFB"/>
    <w:rsid w:val="00D30B06"/>
    <w:rsid w:val="00D31420"/>
    <w:rsid w:val="00D31D60"/>
    <w:rsid w:val="00D3248C"/>
    <w:rsid w:val="00D32A21"/>
    <w:rsid w:val="00D334A2"/>
    <w:rsid w:val="00D34195"/>
    <w:rsid w:val="00D34E29"/>
    <w:rsid w:val="00D35E7B"/>
    <w:rsid w:val="00D37698"/>
    <w:rsid w:val="00D41361"/>
    <w:rsid w:val="00D42079"/>
    <w:rsid w:val="00D43BEB"/>
    <w:rsid w:val="00D445B5"/>
    <w:rsid w:val="00D459A7"/>
    <w:rsid w:val="00D47A45"/>
    <w:rsid w:val="00D50A38"/>
    <w:rsid w:val="00D523D3"/>
    <w:rsid w:val="00D537C7"/>
    <w:rsid w:val="00D570EC"/>
    <w:rsid w:val="00D573ED"/>
    <w:rsid w:val="00D61FB2"/>
    <w:rsid w:val="00D62360"/>
    <w:rsid w:val="00D63F69"/>
    <w:rsid w:val="00D649D1"/>
    <w:rsid w:val="00D65957"/>
    <w:rsid w:val="00D66FE9"/>
    <w:rsid w:val="00D67AA9"/>
    <w:rsid w:val="00D70683"/>
    <w:rsid w:val="00D71026"/>
    <w:rsid w:val="00D727A2"/>
    <w:rsid w:val="00D72BF5"/>
    <w:rsid w:val="00D742E9"/>
    <w:rsid w:val="00D75B11"/>
    <w:rsid w:val="00D75EA4"/>
    <w:rsid w:val="00D776A7"/>
    <w:rsid w:val="00D77E07"/>
    <w:rsid w:val="00D81FB7"/>
    <w:rsid w:val="00D82697"/>
    <w:rsid w:val="00D83393"/>
    <w:rsid w:val="00D84F93"/>
    <w:rsid w:val="00D85386"/>
    <w:rsid w:val="00D857A9"/>
    <w:rsid w:val="00D86939"/>
    <w:rsid w:val="00D86C01"/>
    <w:rsid w:val="00D872CB"/>
    <w:rsid w:val="00D915C6"/>
    <w:rsid w:val="00D94A62"/>
    <w:rsid w:val="00D94AC8"/>
    <w:rsid w:val="00D95CF0"/>
    <w:rsid w:val="00D97206"/>
    <w:rsid w:val="00DA2904"/>
    <w:rsid w:val="00DA392E"/>
    <w:rsid w:val="00DA54B2"/>
    <w:rsid w:val="00DA64DA"/>
    <w:rsid w:val="00DA7CA4"/>
    <w:rsid w:val="00DB4EC1"/>
    <w:rsid w:val="00DB4FDE"/>
    <w:rsid w:val="00DB51F0"/>
    <w:rsid w:val="00DB53B7"/>
    <w:rsid w:val="00DB5A68"/>
    <w:rsid w:val="00DC03FF"/>
    <w:rsid w:val="00DC231D"/>
    <w:rsid w:val="00DC2519"/>
    <w:rsid w:val="00DC2F0C"/>
    <w:rsid w:val="00DC34BC"/>
    <w:rsid w:val="00DC3E53"/>
    <w:rsid w:val="00DC3FF4"/>
    <w:rsid w:val="00DC6168"/>
    <w:rsid w:val="00DC715A"/>
    <w:rsid w:val="00DD0308"/>
    <w:rsid w:val="00DD0A3A"/>
    <w:rsid w:val="00DD1827"/>
    <w:rsid w:val="00DD3900"/>
    <w:rsid w:val="00DD5EE3"/>
    <w:rsid w:val="00DE06B1"/>
    <w:rsid w:val="00DE084D"/>
    <w:rsid w:val="00DE09A9"/>
    <w:rsid w:val="00DE0E6F"/>
    <w:rsid w:val="00DE1715"/>
    <w:rsid w:val="00DE47AF"/>
    <w:rsid w:val="00DE563D"/>
    <w:rsid w:val="00DE6070"/>
    <w:rsid w:val="00DE69BB"/>
    <w:rsid w:val="00DF0B11"/>
    <w:rsid w:val="00DF0F90"/>
    <w:rsid w:val="00DF1B8F"/>
    <w:rsid w:val="00DF1E27"/>
    <w:rsid w:val="00DF3EA9"/>
    <w:rsid w:val="00DF3EC0"/>
    <w:rsid w:val="00DF461B"/>
    <w:rsid w:val="00DF52CE"/>
    <w:rsid w:val="00DF5C63"/>
    <w:rsid w:val="00DF6817"/>
    <w:rsid w:val="00DF68B1"/>
    <w:rsid w:val="00E01D86"/>
    <w:rsid w:val="00E026C5"/>
    <w:rsid w:val="00E02876"/>
    <w:rsid w:val="00E055A2"/>
    <w:rsid w:val="00E05E08"/>
    <w:rsid w:val="00E06300"/>
    <w:rsid w:val="00E07352"/>
    <w:rsid w:val="00E11150"/>
    <w:rsid w:val="00E11E41"/>
    <w:rsid w:val="00E1245E"/>
    <w:rsid w:val="00E15E1B"/>
    <w:rsid w:val="00E2174A"/>
    <w:rsid w:val="00E232B5"/>
    <w:rsid w:val="00E2375B"/>
    <w:rsid w:val="00E24F0D"/>
    <w:rsid w:val="00E25C25"/>
    <w:rsid w:val="00E25FC7"/>
    <w:rsid w:val="00E26446"/>
    <w:rsid w:val="00E2669A"/>
    <w:rsid w:val="00E27035"/>
    <w:rsid w:val="00E27BEB"/>
    <w:rsid w:val="00E3560F"/>
    <w:rsid w:val="00E35F5A"/>
    <w:rsid w:val="00E36334"/>
    <w:rsid w:val="00E36909"/>
    <w:rsid w:val="00E411AB"/>
    <w:rsid w:val="00E42AB8"/>
    <w:rsid w:val="00E42AD3"/>
    <w:rsid w:val="00E44873"/>
    <w:rsid w:val="00E45423"/>
    <w:rsid w:val="00E4585C"/>
    <w:rsid w:val="00E45C25"/>
    <w:rsid w:val="00E47EA8"/>
    <w:rsid w:val="00E50BEF"/>
    <w:rsid w:val="00E50F5E"/>
    <w:rsid w:val="00E5188F"/>
    <w:rsid w:val="00E55073"/>
    <w:rsid w:val="00E5571E"/>
    <w:rsid w:val="00E56D27"/>
    <w:rsid w:val="00E60657"/>
    <w:rsid w:val="00E60802"/>
    <w:rsid w:val="00E61ABE"/>
    <w:rsid w:val="00E6240C"/>
    <w:rsid w:val="00E65758"/>
    <w:rsid w:val="00E6734D"/>
    <w:rsid w:val="00E70296"/>
    <w:rsid w:val="00E71B57"/>
    <w:rsid w:val="00E71B65"/>
    <w:rsid w:val="00E71C44"/>
    <w:rsid w:val="00E72D40"/>
    <w:rsid w:val="00E74F77"/>
    <w:rsid w:val="00E753D1"/>
    <w:rsid w:val="00E75ED9"/>
    <w:rsid w:val="00E76E7B"/>
    <w:rsid w:val="00E80672"/>
    <w:rsid w:val="00E820C1"/>
    <w:rsid w:val="00E83060"/>
    <w:rsid w:val="00E86184"/>
    <w:rsid w:val="00E86C0C"/>
    <w:rsid w:val="00E87F4B"/>
    <w:rsid w:val="00E916C1"/>
    <w:rsid w:val="00E91BC8"/>
    <w:rsid w:val="00E93F49"/>
    <w:rsid w:val="00E957AA"/>
    <w:rsid w:val="00E97B02"/>
    <w:rsid w:val="00EA0531"/>
    <w:rsid w:val="00EA0538"/>
    <w:rsid w:val="00EA1AED"/>
    <w:rsid w:val="00EA33F8"/>
    <w:rsid w:val="00EA3D17"/>
    <w:rsid w:val="00EA776F"/>
    <w:rsid w:val="00EB1863"/>
    <w:rsid w:val="00EB2238"/>
    <w:rsid w:val="00EB5001"/>
    <w:rsid w:val="00EB63BB"/>
    <w:rsid w:val="00EB7CA6"/>
    <w:rsid w:val="00EC0651"/>
    <w:rsid w:val="00EC2160"/>
    <w:rsid w:val="00EC230B"/>
    <w:rsid w:val="00EC27C7"/>
    <w:rsid w:val="00EC2E04"/>
    <w:rsid w:val="00EC518F"/>
    <w:rsid w:val="00EC7E6B"/>
    <w:rsid w:val="00ED176A"/>
    <w:rsid w:val="00ED3361"/>
    <w:rsid w:val="00ED7C2C"/>
    <w:rsid w:val="00EE2653"/>
    <w:rsid w:val="00EE343C"/>
    <w:rsid w:val="00EE3D4F"/>
    <w:rsid w:val="00EE783D"/>
    <w:rsid w:val="00EF0BE0"/>
    <w:rsid w:val="00EF0FF7"/>
    <w:rsid w:val="00EF2603"/>
    <w:rsid w:val="00EF2B4D"/>
    <w:rsid w:val="00EF2E57"/>
    <w:rsid w:val="00EF32C2"/>
    <w:rsid w:val="00EF3413"/>
    <w:rsid w:val="00EF3F40"/>
    <w:rsid w:val="00EF5D92"/>
    <w:rsid w:val="00EF7136"/>
    <w:rsid w:val="00F01D3A"/>
    <w:rsid w:val="00F0491B"/>
    <w:rsid w:val="00F04FB5"/>
    <w:rsid w:val="00F05194"/>
    <w:rsid w:val="00F0720F"/>
    <w:rsid w:val="00F11042"/>
    <w:rsid w:val="00F11FE8"/>
    <w:rsid w:val="00F127C1"/>
    <w:rsid w:val="00F12815"/>
    <w:rsid w:val="00F14576"/>
    <w:rsid w:val="00F16BFC"/>
    <w:rsid w:val="00F2379B"/>
    <w:rsid w:val="00F239C2"/>
    <w:rsid w:val="00F23B0A"/>
    <w:rsid w:val="00F23D12"/>
    <w:rsid w:val="00F260E9"/>
    <w:rsid w:val="00F262D6"/>
    <w:rsid w:val="00F27C73"/>
    <w:rsid w:val="00F311C9"/>
    <w:rsid w:val="00F31A24"/>
    <w:rsid w:val="00F31AC0"/>
    <w:rsid w:val="00F326F1"/>
    <w:rsid w:val="00F3329C"/>
    <w:rsid w:val="00F33933"/>
    <w:rsid w:val="00F33DB1"/>
    <w:rsid w:val="00F352DF"/>
    <w:rsid w:val="00F3740D"/>
    <w:rsid w:val="00F377C6"/>
    <w:rsid w:val="00F40AE8"/>
    <w:rsid w:val="00F45446"/>
    <w:rsid w:val="00F45E17"/>
    <w:rsid w:val="00F4610D"/>
    <w:rsid w:val="00F46901"/>
    <w:rsid w:val="00F47F13"/>
    <w:rsid w:val="00F50605"/>
    <w:rsid w:val="00F50C8D"/>
    <w:rsid w:val="00F51672"/>
    <w:rsid w:val="00F52190"/>
    <w:rsid w:val="00F53D93"/>
    <w:rsid w:val="00F53F78"/>
    <w:rsid w:val="00F54AB0"/>
    <w:rsid w:val="00F55867"/>
    <w:rsid w:val="00F5756B"/>
    <w:rsid w:val="00F609C6"/>
    <w:rsid w:val="00F60B28"/>
    <w:rsid w:val="00F62909"/>
    <w:rsid w:val="00F63BDB"/>
    <w:rsid w:val="00F649C9"/>
    <w:rsid w:val="00F64C5B"/>
    <w:rsid w:val="00F65A34"/>
    <w:rsid w:val="00F66E62"/>
    <w:rsid w:val="00F67D6A"/>
    <w:rsid w:val="00F70141"/>
    <w:rsid w:val="00F70525"/>
    <w:rsid w:val="00F719E5"/>
    <w:rsid w:val="00F739BE"/>
    <w:rsid w:val="00F74840"/>
    <w:rsid w:val="00F75ACB"/>
    <w:rsid w:val="00F7694E"/>
    <w:rsid w:val="00F77C70"/>
    <w:rsid w:val="00F83158"/>
    <w:rsid w:val="00F83C31"/>
    <w:rsid w:val="00F852E9"/>
    <w:rsid w:val="00F87918"/>
    <w:rsid w:val="00F906AD"/>
    <w:rsid w:val="00F9381E"/>
    <w:rsid w:val="00F952A2"/>
    <w:rsid w:val="00F95EB1"/>
    <w:rsid w:val="00F96AF8"/>
    <w:rsid w:val="00F96F46"/>
    <w:rsid w:val="00F96FB9"/>
    <w:rsid w:val="00F9733B"/>
    <w:rsid w:val="00FA091E"/>
    <w:rsid w:val="00FA186B"/>
    <w:rsid w:val="00FA3B09"/>
    <w:rsid w:val="00FA3E1C"/>
    <w:rsid w:val="00FA3ECE"/>
    <w:rsid w:val="00FA4B32"/>
    <w:rsid w:val="00FA7892"/>
    <w:rsid w:val="00FA7D22"/>
    <w:rsid w:val="00FB13AF"/>
    <w:rsid w:val="00FB2905"/>
    <w:rsid w:val="00FB4DCC"/>
    <w:rsid w:val="00FB65D0"/>
    <w:rsid w:val="00FC1DF4"/>
    <w:rsid w:val="00FC3C8C"/>
    <w:rsid w:val="00FC49AA"/>
    <w:rsid w:val="00FC5118"/>
    <w:rsid w:val="00FD2FFC"/>
    <w:rsid w:val="00FD335A"/>
    <w:rsid w:val="00FD4D7F"/>
    <w:rsid w:val="00FD536F"/>
    <w:rsid w:val="00FD5D2A"/>
    <w:rsid w:val="00FE1172"/>
    <w:rsid w:val="00FE1491"/>
    <w:rsid w:val="00FE524E"/>
    <w:rsid w:val="00FE541B"/>
    <w:rsid w:val="00FF2FC7"/>
    <w:rsid w:val="00FF34DF"/>
    <w:rsid w:val="00FF3542"/>
    <w:rsid w:val="00FF67F9"/>
    <w:rsid w:val="00FF69BF"/>
    <w:rsid w:val="00FF6E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0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72564A"/>
    <w:rPr>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 w:type="paragraph" w:styleId="DocumentMap">
    <w:name w:val="Document Map"/>
    <w:basedOn w:val="Normal"/>
    <w:link w:val="DocumentMapChar"/>
    <w:rsid w:val="000E7B24"/>
    <w:rPr>
      <w:rFonts w:ascii="Lucida Grande" w:hAnsi="Lucida Grande"/>
    </w:rPr>
  </w:style>
  <w:style w:type="character" w:customStyle="1" w:styleId="DocumentMapChar">
    <w:name w:val="Document Map Char"/>
    <w:basedOn w:val="DefaultParagraphFont"/>
    <w:link w:val="DocumentMap"/>
    <w:rsid w:val="000E7B24"/>
    <w:rPr>
      <w:rFonts w:ascii="Lucida Grande" w:hAnsi="Lucida Grand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72564A"/>
    <w:rPr>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 w:type="paragraph" w:styleId="DocumentMap">
    <w:name w:val="Document Map"/>
    <w:basedOn w:val="Normal"/>
    <w:link w:val="DocumentMapChar"/>
    <w:rsid w:val="000E7B24"/>
    <w:rPr>
      <w:rFonts w:ascii="Lucida Grande" w:hAnsi="Lucida Grande"/>
    </w:rPr>
  </w:style>
  <w:style w:type="character" w:customStyle="1" w:styleId="DocumentMapChar">
    <w:name w:val="Document Map Char"/>
    <w:basedOn w:val="DefaultParagraphFont"/>
    <w:link w:val="DocumentMap"/>
    <w:rsid w:val="000E7B24"/>
    <w:rPr>
      <w:rFonts w:ascii="Lucida Grande" w:hAnsi="Lucida Grand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7593">
      <w:bodyDiv w:val="1"/>
      <w:marLeft w:val="0"/>
      <w:marRight w:val="0"/>
      <w:marTop w:val="0"/>
      <w:marBottom w:val="0"/>
      <w:divBdr>
        <w:top w:val="none" w:sz="0" w:space="0" w:color="auto"/>
        <w:left w:val="none" w:sz="0" w:space="0" w:color="auto"/>
        <w:bottom w:val="none" w:sz="0" w:space="0" w:color="auto"/>
        <w:right w:val="none" w:sz="0" w:space="0" w:color="auto"/>
      </w:divBdr>
    </w:div>
    <w:div w:id="124544497">
      <w:bodyDiv w:val="1"/>
      <w:marLeft w:val="0"/>
      <w:marRight w:val="0"/>
      <w:marTop w:val="0"/>
      <w:marBottom w:val="0"/>
      <w:divBdr>
        <w:top w:val="none" w:sz="0" w:space="0" w:color="auto"/>
        <w:left w:val="none" w:sz="0" w:space="0" w:color="auto"/>
        <w:bottom w:val="none" w:sz="0" w:space="0" w:color="auto"/>
        <w:right w:val="none" w:sz="0" w:space="0" w:color="auto"/>
      </w:divBdr>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184636885">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25918885">
      <w:bodyDiv w:val="1"/>
      <w:marLeft w:val="0"/>
      <w:marRight w:val="0"/>
      <w:marTop w:val="0"/>
      <w:marBottom w:val="0"/>
      <w:divBdr>
        <w:top w:val="none" w:sz="0" w:space="0" w:color="auto"/>
        <w:left w:val="none" w:sz="0" w:space="0" w:color="auto"/>
        <w:bottom w:val="none" w:sz="0" w:space="0" w:color="auto"/>
        <w:right w:val="none" w:sz="0" w:space="0" w:color="auto"/>
      </w:divBdr>
    </w:div>
    <w:div w:id="239681316">
      <w:bodyDiv w:val="1"/>
      <w:marLeft w:val="0"/>
      <w:marRight w:val="0"/>
      <w:marTop w:val="0"/>
      <w:marBottom w:val="0"/>
      <w:divBdr>
        <w:top w:val="none" w:sz="0" w:space="0" w:color="auto"/>
        <w:left w:val="none" w:sz="0" w:space="0" w:color="auto"/>
        <w:bottom w:val="none" w:sz="0" w:space="0" w:color="auto"/>
        <w:right w:val="none" w:sz="0" w:space="0" w:color="auto"/>
      </w:divBdr>
    </w:div>
    <w:div w:id="285239940">
      <w:bodyDiv w:val="1"/>
      <w:marLeft w:val="0"/>
      <w:marRight w:val="0"/>
      <w:marTop w:val="0"/>
      <w:marBottom w:val="0"/>
      <w:divBdr>
        <w:top w:val="none" w:sz="0" w:space="0" w:color="auto"/>
        <w:left w:val="none" w:sz="0" w:space="0" w:color="auto"/>
        <w:bottom w:val="none" w:sz="0" w:space="0" w:color="auto"/>
        <w:right w:val="none" w:sz="0" w:space="0" w:color="auto"/>
      </w:divBdr>
    </w:div>
    <w:div w:id="313679458">
      <w:bodyDiv w:val="1"/>
      <w:marLeft w:val="0"/>
      <w:marRight w:val="0"/>
      <w:marTop w:val="0"/>
      <w:marBottom w:val="0"/>
      <w:divBdr>
        <w:top w:val="none" w:sz="0" w:space="0" w:color="auto"/>
        <w:left w:val="none" w:sz="0" w:space="0" w:color="auto"/>
        <w:bottom w:val="none" w:sz="0" w:space="0" w:color="auto"/>
        <w:right w:val="none" w:sz="0" w:space="0" w:color="auto"/>
      </w:divBdr>
    </w:div>
    <w:div w:id="322392354">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86997624">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465584268">
      <w:bodyDiv w:val="1"/>
      <w:marLeft w:val="0"/>
      <w:marRight w:val="0"/>
      <w:marTop w:val="0"/>
      <w:marBottom w:val="0"/>
      <w:divBdr>
        <w:top w:val="none" w:sz="0" w:space="0" w:color="auto"/>
        <w:left w:val="none" w:sz="0" w:space="0" w:color="auto"/>
        <w:bottom w:val="none" w:sz="0" w:space="0" w:color="auto"/>
        <w:right w:val="none" w:sz="0" w:space="0" w:color="auto"/>
      </w:divBdr>
    </w:div>
    <w:div w:id="468129572">
      <w:bodyDiv w:val="1"/>
      <w:marLeft w:val="0"/>
      <w:marRight w:val="0"/>
      <w:marTop w:val="0"/>
      <w:marBottom w:val="0"/>
      <w:divBdr>
        <w:top w:val="none" w:sz="0" w:space="0" w:color="auto"/>
        <w:left w:val="none" w:sz="0" w:space="0" w:color="auto"/>
        <w:bottom w:val="none" w:sz="0" w:space="0" w:color="auto"/>
        <w:right w:val="none" w:sz="0" w:space="0" w:color="auto"/>
      </w:divBdr>
    </w:div>
    <w:div w:id="474490251">
      <w:bodyDiv w:val="1"/>
      <w:marLeft w:val="0"/>
      <w:marRight w:val="0"/>
      <w:marTop w:val="0"/>
      <w:marBottom w:val="0"/>
      <w:divBdr>
        <w:top w:val="none" w:sz="0" w:space="0" w:color="auto"/>
        <w:left w:val="none" w:sz="0" w:space="0" w:color="auto"/>
        <w:bottom w:val="none" w:sz="0" w:space="0" w:color="auto"/>
        <w:right w:val="none" w:sz="0" w:space="0" w:color="auto"/>
      </w:divBdr>
    </w:div>
    <w:div w:id="517699185">
      <w:bodyDiv w:val="1"/>
      <w:marLeft w:val="0"/>
      <w:marRight w:val="0"/>
      <w:marTop w:val="0"/>
      <w:marBottom w:val="0"/>
      <w:divBdr>
        <w:top w:val="none" w:sz="0" w:space="0" w:color="auto"/>
        <w:left w:val="none" w:sz="0" w:space="0" w:color="auto"/>
        <w:bottom w:val="none" w:sz="0" w:space="0" w:color="auto"/>
        <w:right w:val="none" w:sz="0" w:space="0" w:color="auto"/>
      </w:divBdr>
    </w:div>
    <w:div w:id="546068164">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19265530">
      <w:bodyDiv w:val="1"/>
      <w:marLeft w:val="0"/>
      <w:marRight w:val="0"/>
      <w:marTop w:val="0"/>
      <w:marBottom w:val="0"/>
      <w:divBdr>
        <w:top w:val="none" w:sz="0" w:space="0" w:color="auto"/>
        <w:left w:val="none" w:sz="0" w:space="0" w:color="auto"/>
        <w:bottom w:val="none" w:sz="0" w:space="0" w:color="auto"/>
        <w:right w:val="none" w:sz="0" w:space="0" w:color="auto"/>
      </w:divBdr>
    </w:div>
    <w:div w:id="629675086">
      <w:bodyDiv w:val="1"/>
      <w:marLeft w:val="0"/>
      <w:marRight w:val="0"/>
      <w:marTop w:val="0"/>
      <w:marBottom w:val="0"/>
      <w:divBdr>
        <w:top w:val="none" w:sz="0" w:space="0" w:color="auto"/>
        <w:left w:val="none" w:sz="0" w:space="0" w:color="auto"/>
        <w:bottom w:val="none" w:sz="0" w:space="0" w:color="auto"/>
        <w:right w:val="none" w:sz="0" w:space="0" w:color="auto"/>
      </w:divBdr>
    </w:div>
    <w:div w:id="636491542">
      <w:bodyDiv w:val="1"/>
      <w:marLeft w:val="0"/>
      <w:marRight w:val="0"/>
      <w:marTop w:val="0"/>
      <w:marBottom w:val="0"/>
      <w:divBdr>
        <w:top w:val="none" w:sz="0" w:space="0" w:color="auto"/>
        <w:left w:val="none" w:sz="0" w:space="0" w:color="auto"/>
        <w:bottom w:val="none" w:sz="0" w:space="0" w:color="auto"/>
        <w:right w:val="none" w:sz="0" w:space="0" w:color="auto"/>
      </w:divBdr>
    </w:div>
    <w:div w:id="710039118">
      <w:bodyDiv w:val="1"/>
      <w:marLeft w:val="0"/>
      <w:marRight w:val="0"/>
      <w:marTop w:val="0"/>
      <w:marBottom w:val="0"/>
      <w:divBdr>
        <w:top w:val="none" w:sz="0" w:space="0" w:color="auto"/>
        <w:left w:val="none" w:sz="0" w:space="0" w:color="auto"/>
        <w:bottom w:val="none" w:sz="0" w:space="0" w:color="auto"/>
        <w:right w:val="none" w:sz="0" w:space="0" w:color="auto"/>
      </w:divBdr>
    </w:div>
    <w:div w:id="711199332">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83697874">
      <w:bodyDiv w:val="1"/>
      <w:marLeft w:val="0"/>
      <w:marRight w:val="0"/>
      <w:marTop w:val="0"/>
      <w:marBottom w:val="0"/>
      <w:divBdr>
        <w:top w:val="none" w:sz="0" w:space="0" w:color="auto"/>
        <w:left w:val="none" w:sz="0" w:space="0" w:color="auto"/>
        <w:bottom w:val="none" w:sz="0" w:space="0" w:color="auto"/>
        <w:right w:val="none" w:sz="0" w:space="0" w:color="auto"/>
      </w:divBdr>
    </w:div>
    <w:div w:id="834341282">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15549184">
      <w:bodyDiv w:val="1"/>
      <w:marLeft w:val="0"/>
      <w:marRight w:val="0"/>
      <w:marTop w:val="0"/>
      <w:marBottom w:val="0"/>
      <w:divBdr>
        <w:top w:val="none" w:sz="0" w:space="0" w:color="auto"/>
        <w:left w:val="none" w:sz="0" w:space="0" w:color="auto"/>
        <w:bottom w:val="none" w:sz="0" w:space="0" w:color="auto"/>
        <w:right w:val="none" w:sz="0" w:space="0" w:color="auto"/>
      </w:divBdr>
    </w:div>
    <w:div w:id="927929337">
      <w:bodyDiv w:val="1"/>
      <w:marLeft w:val="0"/>
      <w:marRight w:val="0"/>
      <w:marTop w:val="0"/>
      <w:marBottom w:val="0"/>
      <w:divBdr>
        <w:top w:val="none" w:sz="0" w:space="0" w:color="auto"/>
        <w:left w:val="none" w:sz="0" w:space="0" w:color="auto"/>
        <w:bottom w:val="none" w:sz="0" w:space="0" w:color="auto"/>
        <w:right w:val="none" w:sz="0" w:space="0" w:color="auto"/>
      </w:divBdr>
    </w:div>
    <w:div w:id="936332478">
      <w:bodyDiv w:val="1"/>
      <w:marLeft w:val="0"/>
      <w:marRight w:val="0"/>
      <w:marTop w:val="0"/>
      <w:marBottom w:val="0"/>
      <w:divBdr>
        <w:top w:val="none" w:sz="0" w:space="0" w:color="auto"/>
        <w:left w:val="none" w:sz="0" w:space="0" w:color="auto"/>
        <w:bottom w:val="none" w:sz="0" w:space="0" w:color="auto"/>
        <w:right w:val="none" w:sz="0" w:space="0" w:color="auto"/>
      </w:divBdr>
    </w:div>
    <w:div w:id="986202612">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059785367">
      <w:bodyDiv w:val="1"/>
      <w:marLeft w:val="0"/>
      <w:marRight w:val="0"/>
      <w:marTop w:val="0"/>
      <w:marBottom w:val="0"/>
      <w:divBdr>
        <w:top w:val="none" w:sz="0" w:space="0" w:color="auto"/>
        <w:left w:val="none" w:sz="0" w:space="0" w:color="auto"/>
        <w:bottom w:val="none" w:sz="0" w:space="0" w:color="auto"/>
        <w:right w:val="none" w:sz="0" w:space="0" w:color="auto"/>
      </w:divBdr>
    </w:div>
    <w:div w:id="1077240984">
      <w:bodyDiv w:val="1"/>
      <w:marLeft w:val="0"/>
      <w:marRight w:val="0"/>
      <w:marTop w:val="0"/>
      <w:marBottom w:val="0"/>
      <w:divBdr>
        <w:top w:val="none" w:sz="0" w:space="0" w:color="auto"/>
        <w:left w:val="none" w:sz="0" w:space="0" w:color="auto"/>
        <w:bottom w:val="none" w:sz="0" w:space="0" w:color="auto"/>
        <w:right w:val="none" w:sz="0" w:space="0" w:color="auto"/>
      </w:divBdr>
    </w:div>
    <w:div w:id="1108700929">
      <w:bodyDiv w:val="1"/>
      <w:marLeft w:val="0"/>
      <w:marRight w:val="0"/>
      <w:marTop w:val="0"/>
      <w:marBottom w:val="0"/>
      <w:divBdr>
        <w:top w:val="none" w:sz="0" w:space="0" w:color="auto"/>
        <w:left w:val="none" w:sz="0" w:space="0" w:color="auto"/>
        <w:bottom w:val="none" w:sz="0" w:space="0" w:color="auto"/>
        <w:right w:val="none" w:sz="0" w:space="0" w:color="auto"/>
      </w:divBdr>
    </w:div>
    <w:div w:id="1110277488">
      <w:bodyDiv w:val="1"/>
      <w:marLeft w:val="0"/>
      <w:marRight w:val="0"/>
      <w:marTop w:val="0"/>
      <w:marBottom w:val="0"/>
      <w:divBdr>
        <w:top w:val="none" w:sz="0" w:space="0" w:color="auto"/>
        <w:left w:val="none" w:sz="0" w:space="0" w:color="auto"/>
        <w:bottom w:val="none" w:sz="0" w:space="0" w:color="auto"/>
        <w:right w:val="none" w:sz="0" w:space="0" w:color="auto"/>
      </w:divBdr>
    </w:div>
    <w:div w:id="1122846715">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191996066">
      <w:bodyDiv w:val="1"/>
      <w:marLeft w:val="0"/>
      <w:marRight w:val="0"/>
      <w:marTop w:val="0"/>
      <w:marBottom w:val="0"/>
      <w:divBdr>
        <w:top w:val="none" w:sz="0" w:space="0" w:color="auto"/>
        <w:left w:val="none" w:sz="0" w:space="0" w:color="auto"/>
        <w:bottom w:val="none" w:sz="0" w:space="0" w:color="auto"/>
        <w:right w:val="none" w:sz="0" w:space="0" w:color="auto"/>
      </w:divBdr>
    </w:div>
    <w:div w:id="1226839362">
      <w:bodyDiv w:val="1"/>
      <w:marLeft w:val="0"/>
      <w:marRight w:val="0"/>
      <w:marTop w:val="0"/>
      <w:marBottom w:val="0"/>
      <w:divBdr>
        <w:top w:val="none" w:sz="0" w:space="0" w:color="auto"/>
        <w:left w:val="none" w:sz="0" w:space="0" w:color="auto"/>
        <w:bottom w:val="none" w:sz="0" w:space="0" w:color="auto"/>
        <w:right w:val="none" w:sz="0" w:space="0" w:color="auto"/>
      </w:divBdr>
    </w:div>
    <w:div w:id="1233930556">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9970289">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1448744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518958272">
      <w:bodyDiv w:val="1"/>
      <w:marLeft w:val="0"/>
      <w:marRight w:val="0"/>
      <w:marTop w:val="0"/>
      <w:marBottom w:val="0"/>
      <w:divBdr>
        <w:top w:val="none" w:sz="0" w:space="0" w:color="auto"/>
        <w:left w:val="none" w:sz="0" w:space="0" w:color="auto"/>
        <w:bottom w:val="none" w:sz="0" w:space="0" w:color="auto"/>
        <w:right w:val="none" w:sz="0" w:space="0" w:color="auto"/>
      </w:divBdr>
    </w:div>
    <w:div w:id="1541237960">
      <w:bodyDiv w:val="1"/>
      <w:marLeft w:val="0"/>
      <w:marRight w:val="0"/>
      <w:marTop w:val="0"/>
      <w:marBottom w:val="0"/>
      <w:divBdr>
        <w:top w:val="none" w:sz="0" w:space="0" w:color="auto"/>
        <w:left w:val="none" w:sz="0" w:space="0" w:color="auto"/>
        <w:bottom w:val="none" w:sz="0" w:space="0" w:color="auto"/>
        <w:right w:val="none" w:sz="0" w:space="0" w:color="auto"/>
      </w:divBdr>
    </w:div>
    <w:div w:id="1565330297">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682126405">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811366120">
      <w:bodyDiv w:val="1"/>
      <w:marLeft w:val="0"/>
      <w:marRight w:val="0"/>
      <w:marTop w:val="0"/>
      <w:marBottom w:val="0"/>
      <w:divBdr>
        <w:top w:val="none" w:sz="0" w:space="0" w:color="auto"/>
        <w:left w:val="none" w:sz="0" w:space="0" w:color="auto"/>
        <w:bottom w:val="none" w:sz="0" w:space="0" w:color="auto"/>
        <w:right w:val="none" w:sz="0" w:space="0" w:color="auto"/>
      </w:divBdr>
    </w:div>
    <w:div w:id="1842697323">
      <w:bodyDiv w:val="1"/>
      <w:marLeft w:val="0"/>
      <w:marRight w:val="0"/>
      <w:marTop w:val="0"/>
      <w:marBottom w:val="0"/>
      <w:divBdr>
        <w:top w:val="none" w:sz="0" w:space="0" w:color="auto"/>
        <w:left w:val="none" w:sz="0" w:space="0" w:color="auto"/>
        <w:bottom w:val="none" w:sz="0" w:space="0" w:color="auto"/>
        <w:right w:val="none" w:sz="0" w:space="0" w:color="auto"/>
      </w:divBdr>
    </w:div>
    <w:div w:id="1842770383">
      <w:bodyDiv w:val="1"/>
      <w:marLeft w:val="0"/>
      <w:marRight w:val="0"/>
      <w:marTop w:val="0"/>
      <w:marBottom w:val="0"/>
      <w:divBdr>
        <w:top w:val="none" w:sz="0" w:space="0" w:color="auto"/>
        <w:left w:val="none" w:sz="0" w:space="0" w:color="auto"/>
        <w:bottom w:val="none" w:sz="0" w:space="0" w:color="auto"/>
        <w:right w:val="none" w:sz="0" w:space="0" w:color="auto"/>
      </w:divBdr>
    </w:div>
    <w:div w:id="1886327318">
      <w:bodyDiv w:val="1"/>
      <w:marLeft w:val="0"/>
      <w:marRight w:val="0"/>
      <w:marTop w:val="0"/>
      <w:marBottom w:val="0"/>
      <w:divBdr>
        <w:top w:val="none" w:sz="0" w:space="0" w:color="auto"/>
        <w:left w:val="none" w:sz="0" w:space="0" w:color="auto"/>
        <w:bottom w:val="none" w:sz="0" w:space="0" w:color="auto"/>
        <w:right w:val="none" w:sz="0" w:space="0" w:color="auto"/>
      </w:divBdr>
    </w:div>
    <w:div w:id="1922254725">
      <w:bodyDiv w:val="1"/>
      <w:marLeft w:val="0"/>
      <w:marRight w:val="0"/>
      <w:marTop w:val="0"/>
      <w:marBottom w:val="0"/>
      <w:divBdr>
        <w:top w:val="none" w:sz="0" w:space="0" w:color="auto"/>
        <w:left w:val="none" w:sz="0" w:space="0" w:color="auto"/>
        <w:bottom w:val="none" w:sz="0" w:space="0" w:color="auto"/>
        <w:right w:val="none" w:sz="0" w:space="0" w:color="auto"/>
      </w:divBdr>
    </w:div>
    <w:div w:id="1960720594">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9074198">
      <w:bodyDiv w:val="1"/>
      <w:marLeft w:val="0"/>
      <w:marRight w:val="0"/>
      <w:marTop w:val="0"/>
      <w:marBottom w:val="0"/>
      <w:divBdr>
        <w:top w:val="none" w:sz="0" w:space="0" w:color="auto"/>
        <w:left w:val="none" w:sz="0" w:space="0" w:color="auto"/>
        <w:bottom w:val="none" w:sz="0" w:space="0" w:color="auto"/>
        <w:right w:val="none" w:sz="0" w:space="0" w:color="auto"/>
      </w:divBdr>
    </w:div>
    <w:div w:id="2027439044">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43703356">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086220838">
      <w:bodyDiv w:val="1"/>
      <w:marLeft w:val="0"/>
      <w:marRight w:val="0"/>
      <w:marTop w:val="0"/>
      <w:marBottom w:val="0"/>
      <w:divBdr>
        <w:top w:val="none" w:sz="0" w:space="0" w:color="auto"/>
        <w:left w:val="none" w:sz="0" w:space="0" w:color="auto"/>
        <w:bottom w:val="none" w:sz="0" w:space="0" w:color="auto"/>
        <w:right w:val="none" w:sz="0" w:space="0" w:color="auto"/>
      </w:divBdr>
    </w:div>
    <w:div w:id="2093042061">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ramsar.org/cda/en/ramsar-documents-standing-40th-meeting-of-the-22812/main/ramsar/1-31-41%5e22812_4000_0__"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57E42-B870-4F08-A7E3-DA7267D7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2500</Words>
  <Characters>13053</Characters>
  <Application>Microsoft Office Word</Application>
  <DocSecurity>4</DocSecurity>
  <Lines>652</Lines>
  <Paragraphs>277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Memorandum of Understanding</vt:lpstr>
      <vt:lpstr>Memorandum of Understanding</vt:lpstr>
    </vt:vector>
  </TitlesOfParts>
  <Company>IUCN</Company>
  <LinksUpToDate>false</LinksUpToDate>
  <CharactersWithSpaces>15276</CharactersWithSpaces>
  <SharedDoc>false</SharedDoc>
  <HyperlinkBase/>
  <HLinks>
    <vt:vector size="6" baseType="variant">
      <vt:variant>
        <vt:i4>5111933</vt:i4>
      </vt:variant>
      <vt:variant>
        <vt:i4>0</vt:i4>
      </vt:variant>
      <vt:variant>
        <vt:i4>0</vt:i4>
      </vt:variant>
      <vt:variant>
        <vt:i4>5</vt:i4>
      </vt:variant>
      <vt:variant>
        <vt:lpwstr>http://www.ramsar.org/cda/en/ramsar-documents-standing-40th-meeting-of-the-22812/main/ramsar/1-31-41%5e22812_4000_0__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ELefebvre</dc:creator>
  <cp:lastModifiedBy>Ramsar\JenningsE</cp:lastModifiedBy>
  <cp:revision>2</cp:revision>
  <cp:lastPrinted>2017-03-10T15:19:00Z</cp:lastPrinted>
  <dcterms:created xsi:type="dcterms:W3CDTF">2017-03-23T13:21:00Z</dcterms:created>
  <dcterms:modified xsi:type="dcterms:W3CDTF">2017-03-23T13:21:00Z</dcterms:modified>
</cp:coreProperties>
</file>