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2E" w:rsidRPr="00F21623" w:rsidRDefault="0056312E"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FR"/>
        </w:rPr>
      </w:pPr>
      <w:bookmarkStart w:id="0" w:name="OLE_LINK1"/>
      <w:r w:rsidRPr="00F21623">
        <w:rPr>
          <w:rFonts w:ascii="Calibri" w:hAnsi="Calibri"/>
          <w:bCs/>
          <w:lang w:val="fr-FR"/>
        </w:rPr>
        <w:t xml:space="preserve">CONVENTION </w:t>
      </w:r>
      <w:r w:rsidR="00F21623" w:rsidRPr="00F21623">
        <w:rPr>
          <w:rFonts w:ascii="Calibri" w:hAnsi="Calibri"/>
          <w:bCs/>
          <w:lang w:val="fr-FR"/>
        </w:rPr>
        <w:t xml:space="preserve">SUR LES ZONES HUMIDES </w:t>
      </w:r>
      <w:r w:rsidRPr="00F21623">
        <w:rPr>
          <w:rFonts w:ascii="Calibri" w:hAnsi="Calibri"/>
          <w:bCs/>
          <w:lang w:val="fr-FR"/>
        </w:rPr>
        <w:t>(Ramsar, Iran, 1971)</w:t>
      </w:r>
    </w:p>
    <w:p w:rsidR="0056312E" w:rsidRPr="00F21623" w:rsidRDefault="00BC59B6"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FR"/>
        </w:rPr>
      </w:pPr>
      <w:r w:rsidRPr="00F21623">
        <w:rPr>
          <w:rFonts w:ascii="Calibri" w:hAnsi="Calibri"/>
          <w:bCs/>
          <w:lang w:val="fr-FR"/>
        </w:rPr>
        <w:t>5</w:t>
      </w:r>
      <w:r w:rsidR="00B0151E" w:rsidRPr="00F21623">
        <w:rPr>
          <w:rFonts w:ascii="Calibri" w:hAnsi="Calibri"/>
          <w:bCs/>
          <w:lang w:val="fr-FR"/>
        </w:rPr>
        <w:t>3</w:t>
      </w:r>
      <w:r w:rsidR="00F21623" w:rsidRPr="00F21623">
        <w:rPr>
          <w:rFonts w:ascii="Calibri" w:hAnsi="Calibri"/>
          <w:bCs/>
          <w:vertAlign w:val="superscript"/>
          <w:lang w:val="fr-FR"/>
        </w:rPr>
        <w:t xml:space="preserve">e </w:t>
      </w:r>
      <w:r w:rsidR="00F21623" w:rsidRPr="00F21623">
        <w:rPr>
          <w:rFonts w:ascii="Calibri" w:hAnsi="Calibri"/>
          <w:bCs/>
          <w:lang w:val="fr-FR"/>
        </w:rPr>
        <w:t>Réunion du Comité permanent</w:t>
      </w:r>
    </w:p>
    <w:p w:rsidR="0056312E" w:rsidRPr="00F21623" w:rsidRDefault="0056312E"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FR"/>
        </w:rPr>
      </w:pPr>
      <w:r w:rsidRPr="00F21623">
        <w:rPr>
          <w:rFonts w:ascii="Calibri" w:hAnsi="Calibri"/>
          <w:bCs/>
          <w:lang w:val="fr-FR"/>
        </w:rPr>
        <w:t xml:space="preserve">Gland, </w:t>
      </w:r>
      <w:r w:rsidR="00F21623" w:rsidRPr="00F21623">
        <w:rPr>
          <w:rFonts w:ascii="Calibri" w:hAnsi="Calibri"/>
          <w:bCs/>
          <w:lang w:val="fr-FR"/>
        </w:rPr>
        <w:t>Suisse</w:t>
      </w:r>
      <w:r w:rsidRPr="00F21623">
        <w:rPr>
          <w:rFonts w:ascii="Calibri" w:hAnsi="Calibri"/>
          <w:bCs/>
          <w:lang w:val="fr-FR"/>
        </w:rPr>
        <w:t xml:space="preserve">, </w:t>
      </w:r>
      <w:r w:rsidR="00F21623" w:rsidRPr="00F21623">
        <w:rPr>
          <w:rFonts w:ascii="Calibri" w:hAnsi="Calibri"/>
          <w:bCs/>
          <w:lang w:val="fr-FR"/>
        </w:rPr>
        <w:t>29 mai</w:t>
      </w:r>
      <w:r w:rsidR="00097E94" w:rsidRPr="00F21623">
        <w:rPr>
          <w:rFonts w:ascii="Calibri" w:hAnsi="Calibri"/>
          <w:bCs/>
          <w:lang w:val="fr-FR"/>
        </w:rPr>
        <w:t xml:space="preserve"> – </w:t>
      </w:r>
      <w:r w:rsidR="00F21623" w:rsidRPr="00F21623">
        <w:rPr>
          <w:rFonts w:ascii="Calibri" w:hAnsi="Calibri"/>
          <w:bCs/>
          <w:lang w:val="fr-FR"/>
        </w:rPr>
        <w:t>2 juin </w:t>
      </w:r>
      <w:r w:rsidR="009D28C3" w:rsidRPr="00F21623">
        <w:rPr>
          <w:rFonts w:ascii="Calibri" w:hAnsi="Calibri"/>
          <w:bCs/>
          <w:lang w:val="fr-FR"/>
        </w:rPr>
        <w:t>201</w:t>
      </w:r>
      <w:r w:rsidR="00B0151E" w:rsidRPr="00F21623">
        <w:rPr>
          <w:rFonts w:ascii="Calibri" w:hAnsi="Calibri"/>
          <w:bCs/>
          <w:lang w:val="fr-FR"/>
        </w:rPr>
        <w:t>7</w:t>
      </w:r>
    </w:p>
    <w:p w:rsidR="0056312E" w:rsidRPr="00F21623" w:rsidRDefault="0056312E" w:rsidP="0056312E">
      <w:pPr>
        <w:keepNext/>
        <w:suppressAutoHyphens/>
        <w:outlineLvl w:val="0"/>
        <w:rPr>
          <w:rFonts w:ascii="Calibri" w:hAnsi="Calibri"/>
          <w:b/>
          <w:sz w:val="22"/>
          <w:szCs w:val="22"/>
          <w:lang w:val="fr-FR"/>
        </w:rPr>
      </w:pPr>
    </w:p>
    <w:p w:rsidR="0056312E" w:rsidRPr="00F21623" w:rsidRDefault="0056312E" w:rsidP="0056312E">
      <w:pPr>
        <w:keepNext/>
        <w:suppressAutoHyphens/>
        <w:jc w:val="right"/>
        <w:outlineLvl w:val="0"/>
        <w:rPr>
          <w:rFonts w:asciiTheme="minorHAnsi" w:hAnsiTheme="minorHAnsi"/>
          <w:b/>
          <w:sz w:val="28"/>
          <w:szCs w:val="28"/>
          <w:lang w:val="fr-FR"/>
        </w:rPr>
      </w:pPr>
      <w:r w:rsidRPr="00F21623">
        <w:rPr>
          <w:rFonts w:asciiTheme="minorHAnsi" w:hAnsiTheme="minorHAnsi"/>
          <w:b/>
          <w:sz w:val="28"/>
          <w:szCs w:val="28"/>
          <w:lang w:val="fr-FR"/>
        </w:rPr>
        <w:t>SC</w:t>
      </w:r>
      <w:r w:rsidR="00E72D40" w:rsidRPr="00F21623">
        <w:rPr>
          <w:rFonts w:asciiTheme="minorHAnsi" w:hAnsiTheme="minorHAnsi"/>
          <w:b/>
          <w:sz w:val="28"/>
          <w:szCs w:val="28"/>
          <w:lang w:val="fr-FR"/>
        </w:rPr>
        <w:t>5</w:t>
      </w:r>
      <w:r w:rsidR="00B0151E" w:rsidRPr="00F21623">
        <w:rPr>
          <w:rFonts w:asciiTheme="minorHAnsi" w:hAnsiTheme="minorHAnsi"/>
          <w:b/>
          <w:sz w:val="28"/>
          <w:szCs w:val="28"/>
          <w:lang w:val="fr-FR"/>
        </w:rPr>
        <w:t>3</w:t>
      </w:r>
      <w:r w:rsidRPr="00F21623">
        <w:rPr>
          <w:rFonts w:asciiTheme="minorHAnsi" w:hAnsiTheme="minorHAnsi"/>
          <w:b/>
          <w:sz w:val="28"/>
          <w:szCs w:val="28"/>
          <w:lang w:val="fr-FR"/>
        </w:rPr>
        <w:t>-</w:t>
      </w:r>
      <w:bookmarkEnd w:id="0"/>
      <w:r w:rsidR="00F77C70" w:rsidRPr="00F21623">
        <w:rPr>
          <w:rFonts w:asciiTheme="minorHAnsi" w:hAnsiTheme="minorHAnsi"/>
          <w:b/>
          <w:sz w:val="28"/>
          <w:szCs w:val="28"/>
          <w:lang w:val="fr-FR"/>
        </w:rPr>
        <w:t>20</w:t>
      </w:r>
    </w:p>
    <w:p w:rsidR="0056312E" w:rsidRPr="00F21623" w:rsidRDefault="0056312E" w:rsidP="0056312E">
      <w:pPr>
        <w:rPr>
          <w:rFonts w:asciiTheme="minorHAnsi" w:hAnsiTheme="minorHAnsi"/>
          <w:sz w:val="28"/>
          <w:szCs w:val="28"/>
          <w:lang w:val="fr-FR"/>
        </w:rPr>
      </w:pPr>
    </w:p>
    <w:p w:rsidR="0056312E" w:rsidRPr="00F21623" w:rsidRDefault="00430DD8" w:rsidP="00CD1518">
      <w:pPr>
        <w:jc w:val="center"/>
        <w:rPr>
          <w:rFonts w:asciiTheme="minorHAnsi" w:eastAsia="Times New Roman" w:hAnsiTheme="minorHAnsi" w:cs="Calibri"/>
          <w:b/>
          <w:bCs/>
          <w:color w:val="000000"/>
          <w:sz w:val="28"/>
          <w:szCs w:val="28"/>
          <w:lang w:val="fr-FR"/>
        </w:rPr>
      </w:pPr>
      <w:hyperlink r:id="rId9" w:history="1">
        <w:r w:rsidR="00F21623">
          <w:rPr>
            <w:rFonts w:asciiTheme="minorHAnsi" w:eastAsia="Times New Roman" w:hAnsiTheme="minorHAnsi" w:cs="Calibri"/>
            <w:b/>
            <w:bCs/>
            <w:color w:val="000000"/>
            <w:sz w:val="28"/>
            <w:szCs w:val="28"/>
            <w:lang w:val="fr-FR"/>
          </w:rPr>
          <w:t>Questions financières Ramsar</w:t>
        </w:r>
        <w:r w:rsidR="00E72D40" w:rsidRPr="00F21623">
          <w:rPr>
            <w:rFonts w:asciiTheme="minorHAnsi" w:eastAsia="Times New Roman" w:hAnsiTheme="minorHAnsi" w:cs="Calibri"/>
            <w:b/>
            <w:bCs/>
            <w:color w:val="000000"/>
            <w:sz w:val="28"/>
            <w:szCs w:val="28"/>
            <w:lang w:val="fr-FR"/>
          </w:rPr>
          <w:t xml:space="preserve"> </w:t>
        </w:r>
        <w:r w:rsidR="00BC59B6" w:rsidRPr="00F21623">
          <w:rPr>
            <w:rFonts w:asciiTheme="minorHAnsi" w:eastAsia="Times New Roman" w:hAnsiTheme="minorHAnsi" w:cs="Calibri"/>
            <w:b/>
            <w:bCs/>
            <w:color w:val="000000"/>
            <w:sz w:val="28"/>
            <w:szCs w:val="28"/>
            <w:lang w:val="fr-FR"/>
          </w:rPr>
          <w:t>201</w:t>
        </w:r>
        <w:r w:rsidR="000D3F33" w:rsidRPr="00F21623">
          <w:rPr>
            <w:rFonts w:asciiTheme="minorHAnsi" w:eastAsia="Times New Roman" w:hAnsiTheme="minorHAnsi" w:cs="Calibri"/>
            <w:b/>
            <w:bCs/>
            <w:color w:val="000000"/>
            <w:sz w:val="28"/>
            <w:szCs w:val="28"/>
            <w:lang w:val="fr-FR"/>
          </w:rPr>
          <w:t>6</w:t>
        </w:r>
      </w:hyperlink>
    </w:p>
    <w:p w:rsidR="00CD1518" w:rsidRPr="00F21623" w:rsidRDefault="00CD1518" w:rsidP="0056312E">
      <w:pPr>
        <w:rPr>
          <w:rFonts w:ascii="Calibri" w:hAnsi="Calibri"/>
          <w:b/>
          <w:iCs/>
          <w:sz w:val="22"/>
          <w:szCs w:val="22"/>
          <w:highlight w:val="yellow"/>
          <w:lang w:val="fr-FR"/>
        </w:rPr>
      </w:pPr>
    </w:p>
    <w:p w:rsidR="0056312E" w:rsidRPr="00F21623" w:rsidRDefault="00794101" w:rsidP="0056312E">
      <w:pPr>
        <w:ind w:left="540" w:hanging="540"/>
        <w:rPr>
          <w:rFonts w:ascii="Calibri" w:hAnsi="Calibri"/>
          <w:sz w:val="22"/>
          <w:szCs w:val="22"/>
          <w:lang w:val="fr-FR"/>
        </w:rPr>
      </w:pPr>
      <w:r>
        <w:rPr>
          <w:rFonts w:ascii="Calibri" w:hAnsi="Calibri"/>
          <w:noProof/>
          <w:sz w:val="22"/>
          <w:szCs w:val="22"/>
          <w:lang w:val="en-GB" w:eastAsia="en-GB"/>
        </w:rPr>
        <mc:AlternateContent>
          <mc:Choice Requires="wps">
            <w:drawing>
              <wp:inline distT="0" distB="0" distL="0" distR="0">
                <wp:extent cx="5728970" cy="4119245"/>
                <wp:effectExtent l="9525" t="11430" r="5080"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119245"/>
                        </a:xfrm>
                        <a:prstGeom prst="rect">
                          <a:avLst/>
                        </a:prstGeom>
                        <a:solidFill>
                          <a:srgbClr val="FFFFFF"/>
                        </a:solidFill>
                        <a:ln w="9525">
                          <a:solidFill>
                            <a:srgbClr val="000000"/>
                          </a:solidFill>
                          <a:miter lim="800000"/>
                          <a:headEnd/>
                          <a:tailEnd/>
                        </a:ln>
                      </wps:spPr>
                      <wps:txbx>
                        <w:txbxContent>
                          <w:p w:rsidR="00430DD8" w:rsidRPr="00F21623" w:rsidRDefault="00430DD8" w:rsidP="0056312E">
                            <w:pPr>
                              <w:jc w:val="both"/>
                              <w:rPr>
                                <w:rFonts w:ascii="Calibri" w:hAnsi="Calibri"/>
                                <w:b/>
                                <w:sz w:val="22"/>
                                <w:szCs w:val="22"/>
                                <w:lang w:val="fr-FR"/>
                              </w:rPr>
                            </w:pPr>
                            <w:r w:rsidRPr="00430DD8">
                              <w:rPr>
                                <w:rFonts w:ascii="Calibri" w:hAnsi="Calibri"/>
                                <w:b/>
                                <w:sz w:val="22"/>
                                <w:szCs w:val="22"/>
                                <w:lang w:val="fr-FR"/>
                              </w:rPr>
                              <w:t xml:space="preserve"> </w:t>
                            </w:r>
                            <w:r w:rsidRPr="00F21623">
                              <w:rPr>
                                <w:rFonts w:ascii="Calibri" w:hAnsi="Calibri"/>
                                <w:b/>
                                <w:sz w:val="22"/>
                                <w:szCs w:val="22"/>
                                <w:lang w:val="fr-FR"/>
                              </w:rPr>
                              <w:t xml:space="preserve">Actions requises : </w:t>
                            </w:r>
                          </w:p>
                          <w:p w:rsidR="00430DD8" w:rsidRPr="00F21623" w:rsidRDefault="00430DD8" w:rsidP="0056312E">
                            <w:pPr>
                              <w:jc w:val="both"/>
                              <w:rPr>
                                <w:rFonts w:ascii="Calibri" w:hAnsi="Calibri"/>
                                <w:b/>
                                <w:sz w:val="22"/>
                                <w:szCs w:val="22"/>
                                <w:lang w:val="fr-FR"/>
                              </w:rPr>
                            </w:pPr>
                          </w:p>
                          <w:p w:rsidR="00430DD8" w:rsidRPr="00F21623" w:rsidRDefault="00430DD8" w:rsidP="00CD1518">
                            <w:pPr>
                              <w:pStyle w:val="ListParagraph"/>
                              <w:ind w:left="0"/>
                              <w:rPr>
                                <w:rFonts w:ascii="Calibri" w:hAnsi="Calibri"/>
                                <w:sz w:val="22"/>
                                <w:szCs w:val="22"/>
                                <w:lang w:val="fr-FR"/>
                              </w:rPr>
                            </w:pPr>
                            <w:r w:rsidRPr="00F21623">
                              <w:rPr>
                                <w:rFonts w:ascii="Calibri" w:hAnsi="Calibri"/>
                                <w:sz w:val="22"/>
                                <w:szCs w:val="22"/>
                                <w:lang w:val="fr-FR"/>
                              </w:rPr>
                              <w:t>Le Comité permanent est invité à :</w:t>
                            </w:r>
                          </w:p>
                          <w:p w:rsidR="00430DD8" w:rsidRPr="00F21623" w:rsidRDefault="00430DD8" w:rsidP="00CD1518">
                            <w:pPr>
                              <w:pStyle w:val="ListParagraph"/>
                              <w:ind w:left="0"/>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cs="Calibri"/>
                                <w:sz w:val="22"/>
                                <w:szCs w:val="22"/>
                                <w:lang w:val="fr-FR"/>
                              </w:rPr>
                              <w:t xml:space="preserve">prendre note des résultats provisoires de l’exécution du budget administratif 2016; </w:t>
                            </w:r>
                          </w:p>
                          <w:p w:rsidR="00430DD8" w:rsidRPr="00F21623" w:rsidRDefault="00430DD8" w:rsidP="000D3F33">
                            <w:pPr>
                              <w:pStyle w:val="ListParagraph"/>
                              <w:ind w:left="774"/>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cs="Calibri"/>
                                <w:sz w:val="22"/>
                                <w:szCs w:val="22"/>
                                <w:lang w:val="fr-FR"/>
                              </w:rPr>
                              <w:t>approuver les propositions relatives à l’excédent 2016 et au Fonds de réserve;</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étudier la proposition visant </w:t>
                            </w:r>
                            <w:r w:rsidRPr="00946667">
                              <w:rPr>
                                <w:rFonts w:ascii="Calibri" w:hAnsi="Calibri"/>
                                <w:sz w:val="22"/>
                                <w:szCs w:val="22"/>
                                <w:lang w:val="fr-FR"/>
                              </w:rPr>
                              <w:t xml:space="preserve">à </w:t>
                            </w:r>
                            <w:r>
                              <w:rPr>
                                <w:rFonts w:ascii="Calibri" w:hAnsi="Calibri"/>
                                <w:sz w:val="22"/>
                                <w:szCs w:val="22"/>
                                <w:lang w:val="fr-FR"/>
                              </w:rPr>
                              <w:t xml:space="preserve">créer des </w:t>
                            </w:r>
                            <w:r w:rsidRPr="00946667">
                              <w:rPr>
                                <w:rFonts w:ascii="Calibri" w:hAnsi="Calibri"/>
                                <w:sz w:val="22"/>
                                <w:szCs w:val="22"/>
                                <w:lang w:val="fr-FR"/>
                              </w:rPr>
                              <w:t>réserves affectées</w:t>
                            </w:r>
                            <w:r>
                              <w:rPr>
                                <w:rFonts w:ascii="Calibri" w:hAnsi="Calibri"/>
                                <w:sz w:val="22"/>
                                <w:szCs w:val="22"/>
                                <w:lang w:val="fr-FR"/>
                              </w:rPr>
                              <w:t xml:space="preserve"> pour y imputer </w:t>
                            </w:r>
                            <w:r w:rsidRPr="00946667">
                              <w:rPr>
                                <w:rFonts w:ascii="Calibri" w:hAnsi="Calibri"/>
                                <w:sz w:val="22"/>
                                <w:szCs w:val="22"/>
                                <w:lang w:val="fr-FR"/>
                              </w:rPr>
                              <w:t>des excédents annuels exceptionnels du budget administratif</w:t>
                            </w:r>
                            <w:r w:rsidRPr="00F21623">
                              <w:rPr>
                                <w:rFonts w:ascii="Calibri" w:hAnsi="Calibri"/>
                                <w:color w:val="000000"/>
                                <w:sz w:val="22"/>
                                <w:szCs w:val="22"/>
                                <w:lang w:val="fr-FR" w:eastAsia="en-GB"/>
                              </w:rPr>
                              <w:t>;</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prendre note du budget non administratif et des contributions volontaires pour </w:t>
                            </w:r>
                            <w:r w:rsidRPr="00F21623">
                              <w:rPr>
                                <w:rFonts w:ascii="Calibri" w:hAnsi="Calibri" w:cs="Calibri"/>
                                <w:sz w:val="22"/>
                                <w:szCs w:val="22"/>
                                <w:lang w:val="fr-FR"/>
                              </w:rPr>
                              <w:t>2017;</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prendre note du bilan provisoire 2016</w:t>
                            </w:r>
                            <w:r w:rsidRPr="00F21623">
                              <w:rPr>
                                <w:rFonts w:ascii="Calibri" w:hAnsi="Calibri"/>
                                <w:sz w:val="22"/>
                                <w:szCs w:val="22"/>
                                <w:lang w:val="fr-FR"/>
                              </w:rPr>
                              <w:t>;</w:t>
                            </w:r>
                          </w:p>
                          <w:p w:rsidR="00430DD8" w:rsidRPr="00F21623" w:rsidRDefault="00430DD8" w:rsidP="00F33933">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noter qu’il a été convenu de repousser l’audit des états financiers 2016 à juin 2017;</w:t>
                            </w:r>
                          </w:p>
                          <w:p w:rsidR="00430DD8" w:rsidRPr="00F21623" w:rsidRDefault="00430DD8" w:rsidP="00F33933">
                            <w:pPr>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étudier les états financiers provisoires au 31 décembre 2016 joints en annexe; </w:t>
                            </w:r>
                          </w:p>
                          <w:p w:rsidR="00430DD8" w:rsidRPr="00F21623" w:rsidRDefault="00430DD8" w:rsidP="009E05CE">
                            <w:pPr>
                              <w:pStyle w:val="ListParagraph"/>
                              <w:rPr>
                                <w:rFonts w:ascii="Calibri" w:hAnsi="Calibri"/>
                                <w:sz w:val="22"/>
                                <w:szCs w:val="22"/>
                                <w:lang w:val="fr-FR"/>
                              </w:rPr>
                            </w:pPr>
                          </w:p>
                          <w:p w:rsidR="00430DD8" w:rsidRPr="00F21623" w:rsidRDefault="00430DD8" w:rsidP="009E05CE">
                            <w:pPr>
                              <w:pStyle w:val="ListParagraph"/>
                              <w:numPr>
                                <w:ilvl w:val="0"/>
                                <w:numId w:val="18"/>
                              </w:numPr>
                              <w:rPr>
                                <w:rFonts w:ascii="Calibri" w:hAnsi="Calibri"/>
                                <w:sz w:val="22"/>
                                <w:szCs w:val="22"/>
                                <w:lang w:val="fr-FR"/>
                              </w:rPr>
                            </w:pPr>
                            <w:r w:rsidRPr="00F21623">
                              <w:rPr>
                                <w:rFonts w:ascii="Calibri" w:hAnsi="Calibri"/>
                                <w:sz w:val="22"/>
                                <w:szCs w:val="22"/>
                                <w:lang w:val="fr-FR"/>
                              </w:rPr>
                              <w:t>confirm</w:t>
                            </w:r>
                            <w:r>
                              <w:rPr>
                                <w:rFonts w:ascii="Calibri" w:hAnsi="Calibri"/>
                                <w:sz w:val="22"/>
                                <w:szCs w:val="22"/>
                                <w:lang w:val="fr-FR"/>
                              </w:rPr>
                              <w:t>er le budget administratif 2018 tel qu’approuvé à la COP12;</w:t>
                            </w:r>
                          </w:p>
                          <w:p w:rsidR="00430DD8" w:rsidRPr="00F21623" w:rsidRDefault="00430DD8" w:rsidP="00F0720F">
                            <w:pPr>
                              <w:rPr>
                                <w:rFonts w:ascii="Calibri" w:hAnsi="Calibri"/>
                                <w:sz w:val="22"/>
                                <w:szCs w:val="22"/>
                                <w:lang w:val="fr-FR"/>
                              </w:rPr>
                            </w:pPr>
                          </w:p>
                          <w:p w:rsidR="00430DD8" w:rsidRPr="00F21623" w:rsidRDefault="00430DD8" w:rsidP="009E05CE">
                            <w:pPr>
                              <w:pStyle w:val="ListParagraph"/>
                              <w:numPr>
                                <w:ilvl w:val="0"/>
                                <w:numId w:val="18"/>
                              </w:numPr>
                              <w:rPr>
                                <w:rFonts w:ascii="Calibri" w:hAnsi="Calibri"/>
                                <w:sz w:val="22"/>
                                <w:szCs w:val="22"/>
                                <w:lang w:val="fr-FR"/>
                              </w:rPr>
                            </w:pPr>
                            <w:r>
                              <w:rPr>
                                <w:rFonts w:ascii="Calibri" w:hAnsi="Calibri"/>
                                <w:sz w:val="22"/>
                                <w:szCs w:val="22"/>
                                <w:lang w:val="fr-FR"/>
                              </w:rPr>
                              <w:t xml:space="preserve">noter qu’un examen du solde </w:t>
                            </w:r>
                            <w:r w:rsidRPr="00A6560F">
                              <w:rPr>
                                <w:rFonts w:ascii="Calibri" w:hAnsi="Calibri"/>
                                <w:sz w:val="22"/>
                                <w:szCs w:val="22"/>
                                <w:lang w:val="fr-FR"/>
                              </w:rPr>
                              <w:t xml:space="preserve">d’anciens projets relevant du budget non administratif </w:t>
                            </w:r>
                            <w:r>
                              <w:rPr>
                                <w:rFonts w:ascii="Calibri" w:hAnsi="Calibri"/>
                                <w:sz w:val="22"/>
                                <w:szCs w:val="22"/>
                                <w:lang w:val="fr-FR"/>
                              </w:rPr>
                              <w:t>est en cours</w:t>
                            </w:r>
                            <w:r w:rsidRPr="00F21623">
                              <w:rPr>
                                <w:rFonts w:ascii="Calibri" w:hAnsi="Calibri"/>
                                <w:sz w:val="22"/>
                                <w:szCs w:val="22"/>
                                <w:lang w:val="fr-FR"/>
                              </w:rPr>
                              <w:t>.</w:t>
                            </w:r>
                          </w:p>
                          <w:p w:rsidR="00430DD8" w:rsidRPr="00F21623" w:rsidRDefault="00430DD8" w:rsidP="009C75E2">
                            <w:pPr>
                              <w:ind w:left="414"/>
                              <w:rPr>
                                <w:rFonts w:ascii="Calibri" w:hAnsi="Calibri"/>
                                <w:sz w:val="22"/>
                                <w:szCs w:val="22"/>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3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">
                <v:textbox>
                  <w:txbxContent>
                    <w:p w:rsidR="00430DD8" w:rsidRPr="00F21623" w:rsidRDefault="00430DD8" w:rsidP="0056312E">
                      <w:pPr>
                        <w:jc w:val="both"/>
                        <w:rPr>
                          <w:rFonts w:ascii="Calibri" w:hAnsi="Calibri"/>
                          <w:b/>
                          <w:sz w:val="22"/>
                          <w:szCs w:val="22"/>
                          <w:lang w:val="fr-FR"/>
                        </w:rPr>
                      </w:pPr>
                      <w:r w:rsidRPr="00430DD8">
                        <w:rPr>
                          <w:rFonts w:ascii="Calibri" w:hAnsi="Calibri"/>
                          <w:b/>
                          <w:sz w:val="22"/>
                          <w:szCs w:val="22"/>
                          <w:lang w:val="fr-FR"/>
                        </w:rPr>
                        <w:t xml:space="preserve"> </w:t>
                      </w:r>
                      <w:r w:rsidRPr="00F21623">
                        <w:rPr>
                          <w:rFonts w:ascii="Calibri" w:hAnsi="Calibri"/>
                          <w:b/>
                          <w:sz w:val="22"/>
                          <w:szCs w:val="22"/>
                          <w:lang w:val="fr-FR"/>
                        </w:rPr>
                        <w:t xml:space="preserve">Actions requises : </w:t>
                      </w:r>
                    </w:p>
                    <w:p w:rsidR="00430DD8" w:rsidRPr="00F21623" w:rsidRDefault="00430DD8" w:rsidP="0056312E">
                      <w:pPr>
                        <w:jc w:val="both"/>
                        <w:rPr>
                          <w:rFonts w:ascii="Calibri" w:hAnsi="Calibri"/>
                          <w:b/>
                          <w:sz w:val="22"/>
                          <w:szCs w:val="22"/>
                          <w:lang w:val="fr-FR"/>
                        </w:rPr>
                      </w:pPr>
                    </w:p>
                    <w:p w:rsidR="00430DD8" w:rsidRPr="00F21623" w:rsidRDefault="00430DD8" w:rsidP="00CD1518">
                      <w:pPr>
                        <w:pStyle w:val="ListParagraph"/>
                        <w:ind w:left="0"/>
                        <w:rPr>
                          <w:rFonts w:ascii="Calibri" w:hAnsi="Calibri"/>
                          <w:sz w:val="22"/>
                          <w:szCs w:val="22"/>
                          <w:lang w:val="fr-FR"/>
                        </w:rPr>
                      </w:pPr>
                      <w:r w:rsidRPr="00F21623">
                        <w:rPr>
                          <w:rFonts w:ascii="Calibri" w:hAnsi="Calibri"/>
                          <w:sz w:val="22"/>
                          <w:szCs w:val="22"/>
                          <w:lang w:val="fr-FR"/>
                        </w:rPr>
                        <w:t>Le Comité permanent est invité à :</w:t>
                      </w:r>
                    </w:p>
                    <w:p w:rsidR="00430DD8" w:rsidRPr="00F21623" w:rsidRDefault="00430DD8" w:rsidP="00CD1518">
                      <w:pPr>
                        <w:pStyle w:val="ListParagraph"/>
                        <w:ind w:left="0"/>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cs="Calibri"/>
                          <w:sz w:val="22"/>
                          <w:szCs w:val="22"/>
                          <w:lang w:val="fr-FR"/>
                        </w:rPr>
                        <w:t xml:space="preserve">prendre note des résultats provisoires de l’exécution du budget administratif 2016; </w:t>
                      </w:r>
                    </w:p>
                    <w:p w:rsidR="00430DD8" w:rsidRPr="00F21623" w:rsidRDefault="00430DD8" w:rsidP="000D3F33">
                      <w:pPr>
                        <w:pStyle w:val="ListParagraph"/>
                        <w:ind w:left="774"/>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cs="Calibri"/>
                          <w:sz w:val="22"/>
                          <w:szCs w:val="22"/>
                          <w:lang w:val="fr-FR"/>
                        </w:rPr>
                        <w:t>approuver les propositions relatives à l’excédent 2016 et au Fonds de réserve;</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étudier la proposition visant </w:t>
                      </w:r>
                      <w:r w:rsidRPr="00946667">
                        <w:rPr>
                          <w:rFonts w:ascii="Calibri" w:hAnsi="Calibri"/>
                          <w:sz w:val="22"/>
                          <w:szCs w:val="22"/>
                          <w:lang w:val="fr-FR"/>
                        </w:rPr>
                        <w:t xml:space="preserve">à </w:t>
                      </w:r>
                      <w:r>
                        <w:rPr>
                          <w:rFonts w:ascii="Calibri" w:hAnsi="Calibri"/>
                          <w:sz w:val="22"/>
                          <w:szCs w:val="22"/>
                          <w:lang w:val="fr-FR"/>
                        </w:rPr>
                        <w:t xml:space="preserve">créer des </w:t>
                      </w:r>
                      <w:r w:rsidRPr="00946667">
                        <w:rPr>
                          <w:rFonts w:ascii="Calibri" w:hAnsi="Calibri"/>
                          <w:sz w:val="22"/>
                          <w:szCs w:val="22"/>
                          <w:lang w:val="fr-FR"/>
                        </w:rPr>
                        <w:t>réserves affectées</w:t>
                      </w:r>
                      <w:r>
                        <w:rPr>
                          <w:rFonts w:ascii="Calibri" w:hAnsi="Calibri"/>
                          <w:sz w:val="22"/>
                          <w:szCs w:val="22"/>
                          <w:lang w:val="fr-FR"/>
                        </w:rPr>
                        <w:t xml:space="preserve"> pour y imputer </w:t>
                      </w:r>
                      <w:r w:rsidRPr="00946667">
                        <w:rPr>
                          <w:rFonts w:ascii="Calibri" w:hAnsi="Calibri"/>
                          <w:sz w:val="22"/>
                          <w:szCs w:val="22"/>
                          <w:lang w:val="fr-FR"/>
                        </w:rPr>
                        <w:t>des excédents annuels exceptionnels du budget administratif</w:t>
                      </w:r>
                      <w:r w:rsidRPr="00F21623">
                        <w:rPr>
                          <w:rFonts w:ascii="Calibri" w:hAnsi="Calibri"/>
                          <w:color w:val="000000"/>
                          <w:sz w:val="22"/>
                          <w:szCs w:val="22"/>
                          <w:lang w:val="fr-FR" w:eastAsia="en-GB"/>
                        </w:rPr>
                        <w:t>;</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prendre note du budget non administratif et des contributions volontaires pour </w:t>
                      </w:r>
                      <w:r w:rsidRPr="00F21623">
                        <w:rPr>
                          <w:rFonts w:ascii="Calibri" w:hAnsi="Calibri" w:cs="Calibri"/>
                          <w:sz w:val="22"/>
                          <w:szCs w:val="22"/>
                          <w:lang w:val="fr-FR"/>
                        </w:rPr>
                        <w:t>2017;</w:t>
                      </w:r>
                    </w:p>
                    <w:p w:rsidR="00430DD8" w:rsidRPr="00F21623" w:rsidRDefault="00430DD8" w:rsidP="009E05CE">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prendre note du bilan provisoire 2016</w:t>
                      </w:r>
                      <w:r w:rsidRPr="00F21623">
                        <w:rPr>
                          <w:rFonts w:ascii="Calibri" w:hAnsi="Calibri"/>
                          <w:sz w:val="22"/>
                          <w:szCs w:val="22"/>
                          <w:lang w:val="fr-FR"/>
                        </w:rPr>
                        <w:t>;</w:t>
                      </w:r>
                    </w:p>
                    <w:p w:rsidR="00430DD8" w:rsidRPr="00F21623" w:rsidRDefault="00430DD8" w:rsidP="00F33933">
                      <w:pPr>
                        <w:pStyle w:val="ListParagraph"/>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noter qu’il a été convenu de repousser l’audit des états financiers 2016 à juin 2017;</w:t>
                      </w:r>
                    </w:p>
                    <w:p w:rsidR="00430DD8" w:rsidRPr="00F21623" w:rsidRDefault="00430DD8" w:rsidP="00F33933">
                      <w:pPr>
                        <w:rPr>
                          <w:rFonts w:ascii="Calibri" w:hAnsi="Calibri"/>
                          <w:sz w:val="22"/>
                          <w:szCs w:val="22"/>
                          <w:lang w:val="fr-FR"/>
                        </w:rPr>
                      </w:pPr>
                    </w:p>
                    <w:p w:rsidR="00430DD8" w:rsidRPr="00F21623" w:rsidRDefault="00430DD8" w:rsidP="000D3F33">
                      <w:pPr>
                        <w:pStyle w:val="ListParagraph"/>
                        <w:numPr>
                          <w:ilvl w:val="0"/>
                          <w:numId w:val="18"/>
                        </w:numPr>
                        <w:rPr>
                          <w:rFonts w:ascii="Calibri" w:hAnsi="Calibri"/>
                          <w:sz w:val="22"/>
                          <w:szCs w:val="22"/>
                          <w:lang w:val="fr-FR"/>
                        </w:rPr>
                      </w:pPr>
                      <w:r>
                        <w:rPr>
                          <w:rFonts w:ascii="Calibri" w:hAnsi="Calibri"/>
                          <w:sz w:val="22"/>
                          <w:szCs w:val="22"/>
                          <w:lang w:val="fr-FR"/>
                        </w:rPr>
                        <w:t xml:space="preserve">étudier les états financiers provisoires au 31 décembre 2016 joints en annexe; </w:t>
                      </w:r>
                    </w:p>
                    <w:p w:rsidR="00430DD8" w:rsidRPr="00F21623" w:rsidRDefault="00430DD8" w:rsidP="009E05CE">
                      <w:pPr>
                        <w:pStyle w:val="ListParagraph"/>
                        <w:rPr>
                          <w:rFonts w:ascii="Calibri" w:hAnsi="Calibri"/>
                          <w:sz w:val="22"/>
                          <w:szCs w:val="22"/>
                          <w:lang w:val="fr-FR"/>
                        </w:rPr>
                      </w:pPr>
                    </w:p>
                    <w:p w:rsidR="00430DD8" w:rsidRPr="00F21623" w:rsidRDefault="00430DD8" w:rsidP="009E05CE">
                      <w:pPr>
                        <w:pStyle w:val="ListParagraph"/>
                        <w:numPr>
                          <w:ilvl w:val="0"/>
                          <w:numId w:val="18"/>
                        </w:numPr>
                        <w:rPr>
                          <w:rFonts w:ascii="Calibri" w:hAnsi="Calibri"/>
                          <w:sz w:val="22"/>
                          <w:szCs w:val="22"/>
                          <w:lang w:val="fr-FR"/>
                        </w:rPr>
                      </w:pPr>
                      <w:r w:rsidRPr="00F21623">
                        <w:rPr>
                          <w:rFonts w:ascii="Calibri" w:hAnsi="Calibri"/>
                          <w:sz w:val="22"/>
                          <w:szCs w:val="22"/>
                          <w:lang w:val="fr-FR"/>
                        </w:rPr>
                        <w:t>confirm</w:t>
                      </w:r>
                      <w:r>
                        <w:rPr>
                          <w:rFonts w:ascii="Calibri" w:hAnsi="Calibri"/>
                          <w:sz w:val="22"/>
                          <w:szCs w:val="22"/>
                          <w:lang w:val="fr-FR"/>
                        </w:rPr>
                        <w:t>er le budget administratif 2018 tel qu’approuvé à la COP12;</w:t>
                      </w:r>
                    </w:p>
                    <w:p w:rsidR="00430DD8" w:rsidRPr="00F21623" w:rsidRDefault="00430DD8" w:rsidP="00F0720F">
                      <w:pPr>
                        <w:rPr>
                          <w:rFonts w:ascii="Calibri" w:hAnsi="Calibri"/>
                          <w:sz w:val="22"/>
                          <w:szCs w:val="22"/>
                          <w:lang w:val="fr-FR"/>
                        </w:rPr>
                      </w:pPr>
                    </w:p>
                    <w:p w:rsidR="00430DD8" w:rsidRPr="00F21623" w:rsidRDefault="00430DD8" w:rsidP="009E05CE">
                      <w:pPr>
                        <w:pStyle w:val="ListParagraph"/>
                        <w:numPr>
                          <w:ilvl w:val="0"/>
                          <w:numId w:val="18"/>
                        </w:numPr>
                        <w:rPr>
                          <w:rFonts w:ascii="Calibri" w:hAnsi="Calibri"/>
                          <w:sz w:val="22"/>
                          <w:szCs w:val="22"/>
                          <w:lang w:val="fr-FR"/>
                        </w:rPr>
                      </w:pPr>
                      <w:r>
                        <w:rPr>
                          <w:rFonts w:ascii="Calibri" w:hAnsi="Calibri"/>
                          <w:sz w:val="22"/>
                          <w:szCs w:val="22"/>
                          <w:lang w:val="fr-FR"/>
                        </w:rPr>
                        <w:t xml:space="preserve">noter qu’un examen du solde </w:t>
                      </w:r>
                      <w:r w:rsidRPr="00A6560F">
                        <w:rPr>
                          <w:rFonts w:ascii="Calibri" w:hAnsi="Calibri"/>
                          <w:sz w:val="22"/>
                          <w:szCs w:val="22"/>
                          <w:lang w:val="fr-FR"/>
                        </w:rPr>
                        <w:t xml:space="preserve">d’anciens projets relevant du budget non administratif </w:t>
                      </w:r>
                      <w:r>
                        <w:rPr>
                          <w:rFonts w:ascii="Calibri" w:hAnsi="Calibri"/>
                          <w:sz w:val="22"/>
                          <w:szCs w:val="22"/>
                          <w:lang w:val="fr-FR"/>
                        </w:rPr>
                        <w:t>est en cours</w:t>
                      </w:r>
                      <w:r w:rsidRPr="00F21623">
                        <w:rPr>
                          <w:rFonts w:ascii="Calibri" w:hAnsi="Calibri"/>
                          <w:sz w:val="22"/>
                          <w:szCs w:val="22"/>
                          <w:lang w:val="fr-FR"/>
                        </w:rPr>
                        <w:t>.</w:t>
                      </w:r>
                    </w:p>
                    <w:p w:rsidR="00430DD8" w:rsidRPr="00F21623" w:rsidRDefault="00430DD8" w:rsidP="009C75E2">
                      <w:pPr>
                        <w:ind w:left="414"/>
                        <w:rPr>
                          <w:rFonts w:ascii="Calibri" w:hAnsi="Calibri"/>
                          <w:sz w:val="22"/>
                          <w:szCs w:val="22"/>
                          <w:lang w:val="fr-FR"/>
                        </w:rPr>
                      </w:pPr>
                    </w:p>
                  </w:txbxContent>
                </v:textbox>
                <w10:anchorlock/>
              </v:shape>
            </w:pict>
          </mc:Fallback>
        </mc:AlternateContent>
      </w:r>
    </w:p>
    <w:p w:rsidR="0056312E" w:rsidRPr="00F21623" w:rsidRDefault="00097E94" w:rsidP="0056312E">
      <w:pPr>
        <w:ind w:left="540" w:hanging="540"/>
        <w:rPr>
          <w:rFonts w:ascii="Calibri" w:hAnsi="Calibri"/>
          <w:sz w:val="22"/>
          <w:szCs w:val="22"/>
          <w:lang w:val="fr-FR"/>
        </w:rPr>
      </w:pPr>
      <w:r w:rsidRPr="00F21623">
        <w:rPr>
          <w:rFonts w:ascii="Calibri" w:hAnsi="Calibri"/>
          <w:sz w:val="22"/>
          <w:szCs w:val="22"/>
          <w:lang w:val="fr-FR"/>
        </w:rPr>
        <w:t xml:space="preserve"> </w:t>
      </w:r>
    </w:p>
    <w:p w:rsidR="00024785" w:rsidRPr="00F21623" w:rsidRDefault="00024785" w:rsidP="0047333D">
      <w:pPr>
        <w:rPr>
          <w:rFonts w:ascii="Calibri" w:hAnsi="Calibri"/>
          <w:sz w:val="22"/>
          <w:szCs w:val="22"/>
          <w:lang w:val="fr-FR"/>
        </w:rPr>
      </w:pPr>
    </w:p>
    <w:p w:rsidR="00CE5742" w:rsidRPr="00F21623" w:rsidRDefault="00656A80"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 xml:space="preserve">Les </w:t>
      </w:r>
      <w:r w:rsidR="00B242F3">
        <w:rPr>
          <w:rFonts w:ascii="Calibri" w:hAnsi="Calibri" w:cs="Calibri"/>
          <w:bCs/>
          <w:sz w:val="22"/>
          <w:szCs w:val="22"/>
          <w:lang w:val="fr-FR"/>
        </w:rPr>
        <w:t xml:space="preserve">états financiers </w:t>
      </w:r>
      <w:r>
        <w:rPr>
          <w:rFonts w:ascii="Calibri" w:hAnsi="Calibri" w:cs="Calibri"/>
          <w:bCs/>
          <w:sz w:val="22"/>
          <w:szCs w:val="22"/>
          <w:lang w:val="fr-FR"/>
        </w:rPr>
        <w:t xml:space="preserve">provisoires </w:t>
      </w:r>
      <w:r w:rsidR="00B242F3">
        <w:rPr>
          <w:rFonts w:ascii="Calibri" w:hAnsi="Calibri" w:cs="Calibri"/>
          <w:bCs/>
          <w:sz w:val="22"/>
          <w:szCs w:val="22"/>
          <w:lang w:val="fr-FR"/>
        </w:rPr>
        <w:t>au 31 décembre 2016 (établi</w:t>
      </w:r>
      <w:r>
        <w:rPr>
          <w:rFonts w:ascii="Calibri" w:hAnsi="Calibri" w:cs="Calibri"/>
          <w:bCs/>
          <w:sz w:val="22"/>
          <w:szCs w:val="22"/>
          <w:lang w:val="fr-FR"/>
        </w:rPr>
        <w:t>s</w:t>
      </w:r>
      <w:r w:rsidR="00B242F3">
        <w:rPr>
          <w:rFonts w:ascii="Calibri" w:hAnsi="Calibri" w:cs="Calibri"/>
          <w:bCs/>
          <w:sz w:val="22"/>
          <w:szCs w:val="22"/>
          <w:lang w:val="fr-FR"/>
        </w:rPr>
        <w:t xml:space="preserve"> selon le modèle de rapport suisse) </w:t>
      </w:r>
      <w:r w:rsidR="00FE1BD9">
        <w:rPr>
          <w:rFonts w:ascii="Calibri" w:hAnsi="Calibri" w:cs="Calibri"/>
          <w:bCs/>
          <w:sz w:val="22"/>
          <w:szCs w:val="22"/>
          <w:lang w:val="fr-FR"/>
        </w:rPr>
        <w:t>sont</w:t>
      </w:r>
      <w:r w:rsidR="00B242F3">
        <w:rPr>
          <w:rFonts w:ascii="Calibri" w:hAnsi="Calibri" w:cs="Calibri"/>
          <w:bCs/>
          <w:sz w:val="22"/>
          <w:szCs w:val="22"/>
          <w:lang w:val="fr-FR"/>
        </w:rPr>
        <w:t xml:space="preserve"> joint</w:t>
      </w:r>
      <w:r w:rsidR="00FE1BD9">
        <w:rPr>
          <w:rFonts w:ascii="Calibri" w:hAnsi="Calibri" w:cs="Calibri"/>
          <w:bCs/>
          <w:sz w:val="22"/>
          <w:szCs w:val="22"/>
          <w:lang w:val="fr-FR"/>
        </w:rPr>
        <w:t>s</w:t>
      </w:r>
      <w:r w:rsidR="00B242F3">
        <w:rPr>
          <w:rFonts w:ascii="Calibri" w:hAnsi="Calibri" w:cs="Calibri"/>
          <w:bCs/>
          <w:sz w:val="22"/>
          <w:szCs w:val="22"/>
          <w:lang w:val="fr-FR"/>
        </w:rPr>
        <w:t xml:space="preserve"> en annexe 1 au présent document</w:t>
      </w:r>
      <w:r w:rsidR="00D31D60" w:rsidRPr="00F21623">
        <w:rPr>
          <w:rFonts w:ascii="Calibri" w:hAnsi="Calibri" w:cs="Calibri"/>
          <w:bCs/>
          <w:sz w:val="22"/>
          <w:szCs w:val="22"/>
          <w:lang w:val="fr-FR"/>
        </w:rPr>
        <w:t>.</w:t>
      </w:r>
    </w:p>
    <w:p w:rsidR="00CE5742" w:rsidRPr="00F21623" w:rsidRDefault="00CE5742" w:rsidP="0047333D">
      <w:pPr>
        <w:pStyle w:val="ListParagraph"/>
        <w:ind w:left="426"/>
        <w:rPr>
          <w:rFonts w:ascii="Calibri" w:hAnsi="Calibri" w:cs="Calibri"/>
          <w:bCs/>
          <w:sz w:val="22"/>
          <w:szCs w:val="22"/>
          <w:lang w:val="fr-FR"/>
        </w:rPr>
      </w:pPr>
    </w:p>
    <w:p w:rsidR="00B242F3" w:rsidRDefault="00B242F3"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Une synthèse du budget administratif 2016 approuvé (conformément à la décision </w:t>
      </w:r>
      <w:r w:rsidRPr="00F21623">
        <w:rPr>
          <w:rFonts w:ascii="Calibri" w:hAnsi="Calibri" w:cs="Calibri"/>
          <w:bCs/>
          <w:sz w:val="22"/>
          <w:szCs w:val="22"/>
          <w:lang w:val="fr-FR"/>
        </w:rPr>
        <w:t xml:space="preserve">SC51-22 </w:t>
      </w:r>
      <w:r>
        <w:rPr>
          <w:rFonts w:ascii="Calibri" w:hAnsi="Calibri" w:cs="Calibri"/>
          <w:bCs/>
          <w:sz w:val="22"/>
          <w:szCs w:val="22"/>
          <w:lang w:val="fr-FR"/>
        </w:rPr>
        <w:t xml:space="preserve">et assorti des modifications apportées au budget approuvé à la COP12) et </w:t>
      </w:r>
      <w:r w:rsidR="00821F5A">
        <w:rPr>
          <w:rFonts w:ascii="Calibri" w:hAnsi="Calibri" w:cs="Calibri"/>
          <w:bCs/>
          <w:sz w:val="22"/>
          <w:szCs w:val="22"/>
          <w:lang w:val="fr-FR"/>
        </w:rPr>
        <w:t>du bilan provisoire</w:t>
      </w:r>
      <w:r w:rsidR="000863E6">
        <w:rPr>
          <w:rFonts w:ascii="Calibri" w:hAnsi="Calibri" w:cs="Calibri"/>
          <w:bCs/>
          <w:sz w:val="22"/>
          <w:szCs w:val="22"/>
          <w:lang w:val="fr-FR"/>
        </w:rPr>
        <w:t xml:space="preserve"> en termes de</w:t>
      </w:r>
      <w:r>
        <w:rPr>
          <w:rFonts w:ascii="Calibri" w:hAnsi="Calibri" w:cs="Calibri"/>
          <w:bCs/>
          <w:sz w:val="22"/>
          <w:szCs w:val="22"/>
          <w:lang w:val="fr-FR"/>
        </w:rPr>
        <w:t xml:space="preserve"> recettes et dépenses </w:t>
      </w:r>
      <w:r w:rsidR="000863E6">
        <w:rPr>
          <w:rFonts w:ascii="Calibri" w:hAnsi="Calibri" w:cs="Calibri"/>
          <w:bCs/>
          <w:sz w:val="22"/>
          <w:szCs w:val="22"/>
          <w:lang w:val="fr-FR"/>
        </w:rPr>
        <w:t>au 31 décembre 2016</w:t>
      </w:r>
      <w:r w:rsidR="00821F5A">
        <w:rPr>
          <w:rFonts w:ascii="Calibri" w:hAnsi="Calibri" w:cs="Calibri"/>
          <w:bCs/>
          <w:sz w:val="22"/>
          <w:szCs w:val="22"/>
          <w:lang w:val="fr-FR"/>
        </w:rPr>
        <w:t xml:space="preserve"> figure en annexe 2</w:t>
      </w:r>
      <w:r w:rsidR="000863E6">
        <w:rPr>
          <w:rFonts w:ascii="Calibri" w:hAnsi="Calibri" w:cs="Calibri"/>
          <w:bCs/>
          <w:sz w:val="22"/>
          <w:szCs w:val="22"/>
          <w:lang w:val="fr-FR"/>
        </w:rPr>
        <w:t xml:space="preserve">. </w:t>
      </w:r>
      <w:r>
        <w:rPr>
          <w:rFonts w:ascii="Calibri" w:hAnsi="Calibri" w:cs="Calibri"/>
          <w:bCs/>
          <w:sz w:val="22"/>
          <w:szCs w:val="22"/>
          <w:lang w:val="fr-FR"/>
        </w:rPr>
        <w:t>Les chiffres sont présentés selon le modèle de rapport Ramsar</w:t>
      </w:r>
      <w:r w:rsidR="00FE1BD9">
        <w:rPr>
          <w:rFonts w:ascii="Calibri" w:hAnsi="Calibri" w:cs="Calibri"/>
          <w:bCs/>
          <w:sz w:val="22"/>
          <w:szCs w:val="22"/>
          <w:lang w:val="fr-FR"/>
        </w:rPr>
        <w:t>.</w:t>
      </w:r>
    </w:p>
    <w:p w:rsidR="000E6D09" w:rsidRPr="00F21623" w:rsidRDefault="000E6D09" w:rsidP="0047333D">
      <w:pPr>
        <w:rPr>
          <w:rFonts w:ascii="Calibri" w:hAnsi="Calibri" w:cs="Calibri"/>
          <w:bCs/>
          <w:sz w:val="22"/>
          <w:szCs w:val="22"/>
          <w:lang w:val="fr-FR"/>
        </w:rPr>
      </w:pPr>
    </w:p>
    <w:p w:rsidR="000E6D09" w:rsidRPr="00F21623" w:rsidRDefault="000E6D09" w:rsidP="0047333D">
      <w:pPr>
        <w:rPr>
          <w:rFonts w:ascii="Calibri" w:hAnsi="Calibri" w:cs="Calibri"/>
          <w:bCs/>
          <w:sz w:val="22"/>
          <w:szCs w:val="22"/>
          <w:lang w:val="fr-FR"/>
        </w:rPr>
      </w:pPr>
    </w:p>
    <w:p w:rsidR="000E6D09" w:rsidRPr="00F21623" w:rsidRDefault="00821F5A" w:rsidP="0047333D">
      <w:pPr>
        <w:rPr>
          <w:rFonts w:ascii="Calibri" w:hAnsi="Calibri" w:cs="Calibri"/>
          <w:b/>
          <w:bCs/>
          <w:sz w:val="22"/>
          <w:szCs w:val="22"/>
          <w:lang w:val="fr-FR"/>
        </w:rPr>
      </w:pPr>
      <w:r>
        <w:rPr>
          <w:rFonts w:ascii="Calibri" w:hAnsi="Calibri" w:cs="Calibri"/>
          <w:b/>
          <w:bCs/>
          <w:sz w:val="22"/>
          <w:szCs w:val="22"/>
          <w:lang w:val="fr-FR"/>
        </w:rPr>
        <w:t>Contexte</w:t>
      </w:r>
    </w:p>
    <w:p w:rsidR="000E6D09" w:rsidRPr="00F21623" w:rsidRDefault="000E6D09" w:rsidP="0047333D">
      <w:pPr>
        <w:rPr>
          <w:rFonts w:ascii="Calibri" w:hAnsi="Calibri" w:cs="Calibri"/>
          <w:bCs/>
          <w:sz w:val="22"/>
          <w:szCs w:val="22"/>
          <w:lang w:val="fr-FR"/>
        </w:rPr>
      </w:pPr>
    </w:p>
    <w:p w:rsidR="000E6D09" w:rsidRPr="00F21623" w:rsidRDefault="00821F5A" w:rsidP="0047333D">
      <w:pPr>
        <w:pStyle w:val="ListParagraph"/>
        <w:numPr>
          <w:ilvl w:val="0"/>
          <w:numId w:val="26"/>
        </w:numPr>
        <w:ind w:left="426" w:hanging="426"/>
        <w:rPr>
          <w:rFonts w:ascii="Calibri" w:hAnsi="Calibri" w:cs="Calibri"/>
          <w:bCs/>
          <w:sz w:val="22"/>
          <w:szCs w:val="22"/>
          <w:lang w:val="fr-FR"/>
        </w:rPr>
      </w:pPr>
      <w:r>
        <w:rPr>
          <w:rFonts w:ascii="Calibri" w:hAnsi="Calibri"/>
          <w:sz w:val="22"/>
          <w:szCs w:val="22"/>
          <w:lang w:val="fr-FR"/>
        </w:rPr>
        <w:t>La nouvelle Secrétaire générale a recensé plusieurs sujets de préoccupation concernant la gestion des finances du Secrétariat et</w:t>
      </w:r>
      <w:r w:rsidR="009A1A89">
        <w:rPr>
          <w:rFonts w:ascii="Calibri" w:hAnsi="Calibri"/>
          <w:sz w:val="22"/>
          <w:szCs w:val="22"/>
          <w:lang w:val="fr-FR"/>
        </w:rPr>
        <w:t>, en 2016, elle</w:t>
      </w:r>
      <w:r>
        <w:rPr>
          <w:rFonts w:ascii="Calibri" w:hAnsi="Calibri"/>
          <w:sz w:val="22"/>
          <w:szCs w:val="22"/>
          <w:lang w:val="fr-FR"/>
        </w:rPr>
        <w:t xml:space="preserve"> a </w:t>
      </w:r>
      <w:r w:rsidR="009A1A89">
        <w:rPr>
          <w:rFonts w:ascii="Calibri" w:hAnsi="Calibri"/>
          <w:sz w:val="22"/>
          <w:szCs w:val="22"/>
          <w:lang w:val="fr-FR"/>
        </w:rPr>
        <w:t>remis</w:t>
      </w:r>
      <w:r>
        <w:rPr>
          <w:rFonts w:ascii="Calibri" w:hAnsi="Calibri"/>
          <w:sz w:val="22"/>
          <w:szCs w:val="22"/>
          <w:lang w:val="fr-FR"/>
        </w:rPr>
        <w:t xml:space="preserve"> un rapport au Comité exécutif Ramsar </w:t>
      </w:r>
      <w:r w:rsidR="009A1A89">
        <w:rPr>
          <w:rFonts w:ascii="Calibri" w:hAnsi="Calibri"/>
          <w:sz w:val="22"/>
          <w:szCs w:val="22"/>
          <w:lang w:val="fr-FR"/>
        </w:rPr>
        <w:t>comprenant un Plan d’action destiné à remédier à ces questions. Ce plan d’action est en cours d’exécution</w:t>
      </w:r>
      <w:r w:rsidR="00773F5F" w:rsidRPr="00F21623">
        <w:rPr>
          <w:rFonts w:ascii="Calibri" w:hAnsi="Calibri"/>
          <w:sz w:val="22"/>
          <w:szCs w:val="22"/>
          <w:lang w:val="fr-FR"/>
        </w:rPr>
        <w:t>.</w:t>
      </w:r>
    </w:p>
    <w:p w:rsidR="009C3DF6" w:rsidRPr="00F21623" w:rsidRDefault="009C3DF6" w:rsidP="0047333D">
      <w:pPr>
        <w:pStyle w:val="ListParagraph"/>
        <w:ind w:left="426"/>
        <w:rPr>
          <w:rFonts w:ascii="Calibri" w:hAnsi="Calibri" w:cs="Calibri"/>
          <w:bCs/>
          <w:sz w:val="22"/>
          <w:szCs w:val="22"/>
          <w:lang w:val="fr-FR"/>
        </w:rPr>
      </w:pPr>
    </w:p>
    <w:p w:rsidR="009C3DF6" w:rsidRPr="00F21623" w:rsidRDefault="00E2130F" w:rsidP="0047333D">
      <w:pPr>
        <w:pStyle w:val="ListParagraph"/>
        <w:numPr>
          <w:ilvl w:val="0"/>
          <w:numId w:val="26"/>
        </w:numPr>
        <w:ind w:left="426" w:hanging="426"/>
        <w:rPr>
          <w:rFonts w:ascii="Calibri" w:hAnsi="Calibri" w:cs="Calibri"/>
          <w:bCs/>
          <w:sz w:val="22"/>
          <w:szCs w:val="22"/>
          <w:lang w:val="fr-FR"/>
        </w:rPr>
      </w:pPr>
      <w:r>
        <w:rPr>
          <w:rFonts w:ascii="Calibri" w:hAnsi="Calibri"/>
          <w:sz w:val="22"/>
          <w:szCs w:val="22"/>
          <w:lang w:val="fr-FR"/>
        </w:rPr>
        <w:lastRenderedPageBreak/>
        <w:t>Le départ inattendu</w:t>
      </w:r>
      <w:r w:rsidRPr="00E2130F">
        <w:rPr>
          <w:rFonts w:ascii="Calibri" w:hAnsi="Calibri"/>
          <w:sz w:val="22"/>
          <w:szCs w:val="22"/>
          <w:lang w:val="fr-FR"/>
        </w:rPr>
        <w:t xml:space="preserve"> </w:t>
      </w:r>
      <w:r>
        <w:rPr>
          <w:rFonts w:ascii="Calibri" w:hAnsi="Calibri"/>
          <w:sz w:val="22"/>
          <w:szCs w:val="22"/>
          <w:lang w:val="fr-FR"/>
        </w:rPr>
        <w:t xml:space="preserve">du Responsable </w:t>
      </w:r>
      <w:r w:rsidR="00A17626">
        <w:rPr>
          <w:rFonts w:ascii="Calibri" w:hAnsi="Calibri"/>
          <w:sz w:val="22"/>
          <w:szCs w:val="22"/>
          <w:lang w:val="fr-FR"/>
        </w:rPr>
        <w:t>financier</w:t>
      </w:r>
      <w:r>
        <w:rPr>
          <w:rFonts w:ascii="Calibri" w:hAnsi="Calibri"/>
          <w:sz w:val="22"/>
          <w:szCs w:val="22"/>
          <w:lang w:val="fr-FR"/>
        </w:rPr>
        <w:t xml:space="preserve"> qui s’est ensuivi, le 2 novembre 2016, a laissé un vide en terme</w:t>
      </w:r>
      <w:r w:rsidR="007B7F41">
        <w:rPr>
          <w:rFonts w:ascii="Calibri" w:hAnsi="Calibri"/>
          <w:sz w:val="22"/>
          <w:szCs w:val="22"/>
          <w:lang w:val="fr-FR"/>
        </w:rPr>
        <w:t>s</w:t>
      </w:r>
      <w:r>
        <w:rPr>
          <w:rFonts w:ascii="Calibri" w:hAnsi="Calibri"/>
          <w:sz w:val="22"/>
          <w:szCs w:val="22"/>
          <w:lang w:val="fr-FR"/>
        </w:rPr>
        <w:t xml:space="preserve"> de capacités au sein du Service des finances. </w:t>
      </w:r>
      <w:r w:rsidR="007B7F41">
        <w:rPr>
          <w:rFonts w:ascii="Calibri" w:hAnsi="Calibri"/>
          <w:sz w:val="22"/>
          <w:szCs w:val="22"/>
          <w:lang w:val="fr-FR"/>
        </w:rPr>
        <w:t xml:space="preserve">Une solution provisoire a été mise en place jusqu’à l’entrée en fonctions d’un nouveau Responsable </w:t>
      </w:r>
      <w:r w:rsidR="00A17626">
        <w:rPr>
          <w:rFonts w:ascii="Calibri" w:hAnsi="Calibri"/>
          <w:sz w:val="22"/>
          <w:szCs w:val="22"/>
          <w:lang w:val="fr-FR"/>
        </w:rPr>
        <w:t>financier</w:t>
      </w:r>
      <w:r w:rsidR="007B7F41">
        <w:rPr>
          <w:rFonts w:ascii="Calibri" w:hAnsi="Calibri"/>
          <w:sz w:val="22"/>
          <w:szCs w:val="22"/>
          <w:lang w:val="fr-FR"/>
        </w:rPr>
        <w:t xml:space="preserve"> le 15 mai 2017.</w:t>
      </w:r>
    </w:p>
    <w:p w:rsidR="009C3DF6" w:rsidRPr="00F21623" w:rsidRDefault="009C3DF6" w:rsidP="0047333D">
      <w:pPr>
        <w:pStyle w:val="ListParagraph"/>
        <w:rPr>
          <w:rFonts w:ascii="Calibri" w:hAnsi="Calibri" w:cs="Calibri"/>
          <w:bCs/>
          <w:sz w:val="22"/>
          <w:szCs w:val="22"/>
          <w:lang w:val="fr-FR"/>
        </w:rPr>
      </w:pPr>
    </w:p>
    <w:p w:rsidR="009C3DF6" w:rsidRPr="00F21623" w:rsidRDefault="007B7F41" w:rsidP="0047333D">
      <w:pPr>
        <w:pStyle w:val="ListParagraph"/>
        <w:numPr>
          <w:ilvl w:val="0"/>
          <w:numId w:val="26"/>
        </w:numPr>
        <w:ind w:left="426" w:hanging="426"/>
        <w:rPr>
          <w:rFonts w:ascii="Calibri" w:hAnsi="Calibri" w:cs="Calibri"/>
          <w:bCs/>
          <w:sz w:val="22"/>
          <w:szCs w:val="22"/>
          <w:lang w:val="fr-FR"/>
        </w:rPr>
      </w:pPr>
      <w:r>
        <w:rPr>
          <w:rFonts w:ascii="Calibri" w:hAnsi="Calibri"/>
          <w:sz w:val="22"/>
          <w:szCs w:val="22"/>
          <w:lang w:val="fr-FR"/>
        </w:rPr>
        <w:t>Compte tenu de cette situation exceptionnelle et des ajustements en cours pour remédier aux problèmes mis au jour, le Secré</w:t>
      </w:r>
      <w:r w:rsidR="009C3DF6" w:rsidRPr="00F21623">
        <w:rPr>
          <w:rFonts w:ascii="Calibri" w:hAnsi="Calibri"/>
          <w:sz w:val="22"/>
          <w:szCs w:val="22"/>
          <w:lang w:val="fr-FR"/>
        </w:rPr>
        <w:t xml:space="preserve">tariat </w:t>
      </w:r>
      <w:r w:rsidR="00BD1126">
        <w:rPr>
          <w:rFonts w:ascii="Calibri" w:hAnsi="Calibri"/>
          <w:sz w:val="22"/>
          <w:szCs w:val="22"/>
          <w:lang w:val="fr-FR"/>
        </w:rPr>
        <w:t xml:space="preserve">a préféré présenter des chiffres provisoires plutôt que définitifs dans le présent </w:t>
      </w:r>
      <w:r w:rsidR="009C3DF6" w:rsidRPr="00F21623">
        <w:rPr>
          <w:rFonts w:ascii="Calibri" w:hAnsi="Calibri"/>
          <w:sz w:val="22"/>
          <w:szCs w:val="22"/>
          <w:lang w:val="fr-FR"/>
        </w:rPr>
        <w:t>document.</w:t>
      </w:r>
      <w:r w:rsidR="0038074E" w:rsidRPr="00F21623">
        <w:rPr>
          <w:rFonts w:ascii="Calibri" w:hAnsi="Calibri"/>
          <w:sz w:val="22"/>
          <w:szCs w:val="22"/>
          <w:lang w:val="fr-FR"/>
        </w:rPr>
        <w:t xml:space="preserve"> </w:t>
      </w:r>
      <w:r w:rsidR="00BD1126">
        <w:rPr>
          <w:rFonts w:ascii="Calibri" w:hAnsi="Calibri"/>
          <w:sz w:val="22"/>
          <w:szCs w:val="22"/>
          <w:lang w:val="fr-FR"/>
        </w:rPr>
        <w:t>Cette d</w:t>
      </w:r>
      <w:r w:rsidR="00FE1BD9">
        <w:rPr>
          <w:rFonts w:ascii="Calibri" w:hAnsi="Calibri"/>
          <w:sz w:val="22"/>
          <w:szCs w:val="22"/>
          <w:lang w:val="fr-FR"/>
        </w:rPr>
        <w:t>écision a été approuvée par le S</w:t>
      </w:r>
      <w:r w:rsidR="00BD1126">
        <w:rPr>
          <w:rFonts w:ascii="Calibri" w:hAnsi="Calibri"/>
          <w:sz w:val="22"/>
          <w:szCs w:val="22"/>
          <w:lang w:val="fr-FR"/>
        </w:rPr>
        <w:t xml:space="preserve">ous-groupe </w:t>
      </w:r>
      <w:r w:rsidR="00A82937">
        <w:rPr>
          <w:rFonts w:ascii="Calibri" w:hAnsi="Calibri"/>
          <w:sz w:val="22"/>
          <w:szCs w:val="22"/>
          <w:lang w:val="fr-FR"/>
        </w:rPr>
        <w:t>des</w:t>
      </w:r>
      <w:r w:rsidR="00BD1126">
        <w:rPr>
          <w:rFonts w:ascii="Calibri" w:hAnsi="Calibri"/>
          <w:sz w:val="22"/>
          <w:szCs w:val="22"/>
          <w:lang w:val="fr-FR"/>
        </w:rPr>
        <w:t xml:space="preserve"> finances le 2 mars 2017.</w:t>
      </w:r>
    </w:p>
    <w:p w:rsidR="00515D38" w:rsidRPr="00F21623" w:rsidRDefault="00515D38" w:rsidP="0047333D">
      <w:pPr>
        <w:ind w:left="540" w:hanging="540"/>
        <w:rPr>
          <w:rFonts w:ascii="Calibri" w:hAnsi="Calibri" w:cs="Calibri"/>
          <w:b/>
          <w:bCs/>
          <w:sz w:val="22"/>
          <w:szCs w:val="22"/>
          <w:lang w:val="fr-FR"/>
        </w:rPr>
      </w:pPr>
    </w:p>
    <w:p w:rsidR="00B0151E" w:rsidRPr="00F21623" w:rsidRDefault="00B0151E" w:rsidP="0047333D">
      <w:pPr>
        <w:ind w:left="540" w:hanging="540"/>
        <w:rPr>
          <w:rFonts w:ascii="Calibri" w:hAnsi="Calibri" w:cs="Calibri"/>
          <w:b/>
          <w:bCs/>
          <w:sz w:val="22"/>
          <w:szCs w:val="22"/>
          <w:lang w:val="fr-FR"/>
        </w:rPr>
      </w:pPr>
    </w:p>
    <w:p w:rsidR="002464F2" w:rsidRPr="00F21623" w:rsidRDefault="006C3673" w:rsidP="0047333D">
      <w:pPr>
        <w:rPr>
          <w:rFonts w:ascii="Calibri" w:hAnsi="Calibri" w:cs="Calibri"/>
          <w:bCs/>
          <w:sz w:val="22"/>
          <w:szCs w:val="22"/>
          <w:lang w:val="fr-FR"/>
        </w:rPr>
      </w:pPr>
      <w:r>
        <w:rPr>
          <w:rFonts w:ascii="Calibri" w:hAnsi="Calibri" w:cs="Calibri"/>
          <w:b/>
          <w:bCs/>
          <w:sz w:val="22"/>
          <w:szCs w:val="22"/>
          <w:lang w:val="fr-FR"/>
        </w:rPr>
        <w:t>Résultats </w:t>
      </w:r>
      <w:r w:rsidR="00E50BEF" w:rsidRPr="00F21623">
        <w:rPr>
          <w:rFonts w:ascii="Calibri" w:hAnsi="Calibri" w:cs="Calibri"/>
          <w:b/>
          <w:bCs/>
          <w:sz w:val="22"/>
          <w:szCs w:val="22"/>
          <w:lang w:val="fr-FR"/>
        </w:rPr>
        <w:t>201</w:t>
      </w:r>
      <w:r w:rsidR="008C5CB1" w:rsidRPr="00F21623">
        <w:rPr>
          <w:rFonts w:ascii="Calibri" w:hAnsi="Calibri" w:cs="Calibri"/>
          <w:b/>
          <w:bCs/>
          <w:sz w:val="22"/>
          <w:szCs w:val="22"/>
          <w:lang w:val="fr-FR"/>
        </w:rPr>
        <w:t>6</w:t>
      </w:r>
      <w:r>
        <w:rPr>
          <w:rFonts w:ascii="Calibri" w:hAnsi="Calibri" w:cs="Calibri"/>
          <w:b/>
          <w:bCs/>
          <w:sz w:val="22"/>
          <w:szCs w:val="22"/>
          <w:lang w:val="fr-FR"/>
        </w:rPr>
        <w:t xml:space="preserve"> </w:t>
      </w:r>
      <w:r w:rsidR="00752371" w:rsidRPr="00F21623">
        <w:rPr>
          <w:rFonts w:ascii="Calibri" w:hAnsi="Calibri" w:cs="Calibri"/>
          <w:b/>
          <w:bCs/>
          <w:sz w:val="22"/>
          <w:szCs w:val="22"/>
          <w:lang w:val="fr-FR"/>
        </w:rPr>
        <w:t>–</w:t>
      </w:r>
      <w:r>
        <w:rPr>
          <w:rFonts w:ascii="Calibri" w:hAnsi="Calibri" w:cs="Calibri"/>
          <w:b/>
          <w:bCs/>
          <w:sz w:val="22"/>
          <w:szCs w:val="22"/>
          <w:lang w:val="fr-FR"/>
        </w:rPr>
        <w:t xml:space="preserve"> B</w:t>
      </w:r>
      <w:r w:rsidR="00C171D3" w:rsidRPr="00F21623">
        <w:rPr>
          <w:rFonts w:ascii="Calibri" w:hAnsi="Calibri" w:cs="Calibri"/>
          <w:b/>
          <w:bCs/>
          <w:sz w:val="22"/>
          <w:szCs w:val="22"/>
          <w:lang w:val="fr-FR"/>
        </w:rPr>
        <w:t>udget</w:t>
      </w:r>
      <w:r>
        <w:rPr>
          <w:rFonts w:ascii="Calibri" w:hAnsi="Calibri" w:cs="Calibri"/>
          <w:b/>
          <w:bCs/>
          <w:sz w:val="22"/>
          <w:szCs w:val="22"/>
          <w:lang w:val="fr-FR"/>
        </w:rPr>
        <w:t xml:space="preserve"> administratif</w:t>
      </w:r>
    </w:p>
    <w:p w:rsidR="002464F2" w:rsidRPr="00F21623" w:rsidRDefault="002464F2" w:rsidP="0047333D">
      <w:pPr>
        <w:pStyle w:val="ListParagraph"/>
        <w:ind w:left="426" w:hanging="426"/>
        <w:rPr>
          <w:rFonts w:ascii="Calibri" w:hAnsi="Calibri" w:cs="Calibri"/>
          <w:bCs/>
          <w:sz w:val="22"/>
          <w:szCs w:val="22"/>
          <w:lang w:val="fr-FR"/>
        </w:rPr>
      </w:pPr>
    </w:p>
    <w:p w:rsidR="00161CB8" w:rsidRPr="00F21623" w:rsidRDefault="006C3673"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La synthèse du budget administratif provisoire 2016 figure en annexe 2 au présent document. Elle présente le budget approuvé, les dépenses et recettes réelles et l’écart entre les deux</w:t>
      </w:r>
      <w:r w:rsidR="00BD0521" w:rsidRPr="00F21623">
        <w:rPr>
          <w:rFonts w:ascii="Calibri" w:hAnsi="Calibri" w:cs="Calibri"/>
          <w:bCs/>
          <w:sz w:val="22"/>
          <w:szCs w:val="22"/>
          <w:lang w:val="fr-FR"/>
        </w:rPr>
        <w:t xml:space="preserve">. </w:t>
      </w:r>
    </w:p>
    <w:p w:rsidR="00161CB8" w:rsidRPr="00F21623" w:rsidRDefault="00161CB8" w:rsidP="0047333D">
      <w:pPr>
        <w:pStyle w:val="ListParagraph"/>
        <w:rPr>
          <w:rFonts w:ascii="Calibri" w:hAnsi="Calibri" w:cs="Calibri"/>
          <w:bCs/>
          <w:sz w:val="22"/>
          <w:szCs w:val="22"/>
          <w:lang w:val="fr-FR"/>
        </w:rPr>
      </w:pPr>
    </w:p>
    <w:p w:rsidR="00161CB8" w:rsidRPr="00F21623" w:rsidRDefault="006C3673"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À la fin de l’exercice </w:t>
      </w:r>
      <w:r w:rsidR="00ED7C2C" w:rsidRPr="00F21623">
        <w:rPr>
          <w:rFonts w:ascii="Calibri" w:hAnsi="Calibri" w:cs="Calibri"/>
          <w:bCs/>
          <w:sz w:val="22"/>
          <w:szCs w:val="22"/>
          <w:lang w:val="fr-FR"/>
        </w:rPr>
        <w:t xml:space="preserve">2016, </w:t>
      </w:r>
      <w:r>
        <w:rPr>
          <w:rFonts w:ascii="Calibri" w:hAnsi="Calibri" w:cs="Calibri"/>
          <w:bCs/>
          <w:sz w:val="22"/>
          <w:szCs w:val="22"/>
          <w:lang w:val="fr-FR"/>
        </w:rPr>
        <w:t>le budget administratif provisoire présentait un excédent de</w:t>
      </w:r>
      <w:r w:rsidR="00161CB8" w:rsidRPr="00F21623">
        <w:rPr>
          <w:rFonts w:ascii="Calibri" w:hAnsi="Calibri" w:cs="Calibri"/>
          <w:bCs/>
          <w:sz w:val="22"/>
          <w:szCs w:val="22"/>
          <w:lang w:val="fr-FR"/>
        </w:rPr>
        <w:t xml:space="preserve"> </w:t>
      </w:r>
      <w:r w:rsidR="008C5CB1" w:rsidRPr="00F21623">
        <w:rPr>
          <w:rFonts w:ascii="Calibri" w:hAnsi="Calibri" w:cs="Calibri"/>
          <w:bCs/>
          <w:sz w:val="22"/>
          <w:szCs w:val="22"/>
          <w:lang w:val="fr-FR"/>
        </w:rPr>
        <w:t>3</w:t>
      </w:r>
      <w:r>
        <w:rPr>
          <w:rFonts w:ascii="Calibri" w:hAnsi="Calibri" w:cs="Calibri"/>
          <w:bCs/>
          <w:sz w:val="22"/>
          <w:szCs w:val="22"/>
          <w:lang w:val="fr-FR"/>
        </w:rPr>
        <w:t>38 </w:t>
      </w:r>
      <w:r w:rsidR="00161CB8" w:rsidRPr="00F21623">
        <w:rPr>
          <w:rFonts w:ascii="Calibri" w:hAnsi="Calibri" w:cs="Calibri"/>
          <w:bCs/>
          <w:sz w:val="22"/>
          <w:szCs w:val="22"/>
          <w:lang w:val="fr-FR"/>
        </w:rPr>
        <w:t>000</w:t>
      </w:r>
      <w:r>
        <w:rPr>
          <w:rFonts w:ascii="Calibri" w:hAnsi="Calibri" w:cs="Calibri"/>
          <w:bCs/>
          <w:sz w:val="22"/>
          <w:szCs w:val="22"/>
          <w:lang w:val="fr-FR"/>
        </w:rPr>
        <w:t> CHF</w:t>
      </w:r>
      <w:r w:rsidR="00161CB8" w:rsidRPr="00F21623">
        <w:rPr>
          <w:rFonts w:ascii="Calibri" w:hAnsi="Calibri" w:cs="Calibri"/>
          <w:bCs/>
          <w:sz w:val="22"/>
          <w:szCs w:val="22"/>
          <w:lang w:val="fr-FR"/>
        </w:rPr>
        <w:t xml:space="preserve">. </w:t>
      </w:r>
      <w:r>
        <w:rPr>
          <w:rFonts w:ascii="Calibri" w:hAnsi="Calibri" w:cs="Calibri"/>
          <w:bCs/>
          <w:sz w:val="22"/>
          <w:szCs w:val="22"/>
          <w:lang w:val="fr-FR"/>
        </w:rPr>
        <w:t>Le t</w:t>
      </w:r>
      <w:r w:rsidR="00A15D95" w:rsidRPr="00F21623">
        <w:rPr>
          <w:rFonts w:ascii="Calibri" w:hAnsi="Calibri" w:cs="Calibri"/>
          <w:bCs/>
          <w:sz w:val="22"/>
          <w:szCs w:val="22"/>
          <w:lang w:val="fr-FR"/>
        </w:rPr>
        <w:t>able</w:t>
      </w:r>
      <w:r>
        <w:rPr>
          <w:rFonts w:ascii="Calibri" w:hAnsi="Calibri" w:cs="Calibri"/>
          <w:bCs/>
          <w:sz w:val="22"/>
          <w:szCs w:val="22"/>
          <w:lang w:val="fr-FR"/>
        </w:rPr>
        <w:t>au </w:t>
      </w:r>
      <w:r w:rsidR="00A15D95" w:rsidRPr="00F21623">
        <w:rPr>
          <w:rFonts w:ascii="Calibri" w:hAnsi="Calibri" w:cs="Calibri"/>
          <w:bCs/>
          <w:sz w:val="22"/>
          <w:szCs w:val="22"/>
          <w:lang w:val="fr-FR"/>
        </w:rPr>
        <w:t>1</w:t>
      </w:r>
      <w:r w:rsidR="00161CB8" w:rsidRPr="00F21623">
        <w:rPr>
          <w:rFonts w:ascii="Calibri" w:hAnsi="Calibri" w:cs="Calibri"/>
          <w:bCs/>
          <w:sz w:val="22"/>
          <w:szCs w:val="22"/>
          <w:lang w:val="fr-FR"/>
        </w:rPr>
        <w:t xml:space="preserve"> </w:t>
      </w:r>
      <w:r>
        <w:rPr>
          <w:rFonts w:ascii="Calibri" w:hAnsi="Calibri" w:cs="Calibri"/>
          <w:bCs/>
          <w:sz w:val="22"/>
          <w:szCs w:val="22"/>
          <w:lang w:val="fr-FR"/>
        </w:rPr>
        <w:t>ci-dessous en dresse la synthèse</w:t>
      </w:r>
      <w:r w:rsidR="00161CB8" w:rsidRPr="00F21623">
        <w:rPr>
          <w:rFonts w:ascii="Calibri" w:hAnsi="Calibri" w:cs="Calibri"/>
          <w:bCs/>
          <w:sz w:val="22"/>
          <w:szCs w:val="22"/>
          <w:lang w:val="fr-FR"/>
        </w:rPr>
        <w:t xml:space="preserve">. </w:t>
      </w:r>
    </w:p>
    <w:p w:rsidR="00161CB8" w:rsidRPr="00F21623" w:rsidRDefault="00161CB8" w:rsidP="0047333D">
      <w:pPr>
        <w:pStyle w:val="ListParagraph"/>
        <w:ind w:left="426"/>
        <w:rPr>
          <w:rFonts w:ascii="Calibri" w:hAnsi="Calibri" w:cs="Calibri"/>
          <w:bCs/>
          <w:sz w:val="22"/>
          <w:szCs w:val="22"/>
          <w:lang w:val="fr-FR"/>
        </w:rPr>
      </w:pPr>
    </w:p>
    <w:p w:rsidR="00161CB8" w:rsidRPr="00F21623" w:rsidRDefault="00A15D95" w:rsidP="0047333D">
      <w:pPr>
        <w:rPr>
          <w:rFonts w:ascii="Calibri" w:hAnsi="Calibri" w:cs="Calibri"/>
          <w:i/>
          <w:sz w:val="22"/>
          <w:szCs w:val="22"/>
          <w:lang w:val="fr-FR"/>
        </w:rPr>
      </w:pPr>
      <w:r w:rsidRPr="00F21623">
        <w:rPr>
          <w:rFonts w:ascii="Calibri" w:hAnsi="Calibri" w:cs="Calibri"/>
          <w:bCs/>
          <w:i/>
          <w:sz w:val="22"/>
          <w:szCs w:val="22"/>
          <w:lang w:val="fr-FR"/>
        </w:rPr>
        <w:t>Table</w:t>
      </w:r>
      <w:r w:rsidR="006C3673">
        <w:rPr>
          <w:rFonts w:ascii="Calibri" w:hAnsi="Calibri" w:cs="Calibri"/>
          <w:bCs/>
          <w:i/>
          <w:sz w:val="22"/>
          <w:szCs w:val="22"/>
          <w:lang w:val="fr-FR"/>
        </w:rPr>
        <w:t>au</w:t>
      </w:r>
      <w:r w:rsidRPr="00F21623">
        <w:rPr>
          <w:rFonts w:ascii="Calibri" w:hAnsi="Calibri" w:cs="Calibri"/>
          <w:bCs/>
          <w:i/>
          <w:sz w:val="22"/>
          <w:szCs w:val="22"/>
          <w:lang w:val="fr-FR"/>
        </w:rPr>
        <w:t xml:space="preserve"> 1</w:t>
      </w:r>
      <w:r w:rsidR="006C3673">
        <w:rPr>
          <w:rFonts w:ascii="Calibri" w:hAnsi="Calibri" w:cs="Calibri"/>
          <w:bCs/>
          <w:i/>
          <w:sz w:val="22"/>
          <w:szCs w:val="22"/>
          <w:lang w:val="fr-FR"/>
        </w:rPr>
        <w:t> </w:t>
      </w:r>
      <w:r w:rsidR="00161CB8" w:rsidRPr="00F21623">
        <w:rPr>
          <w:rFonts w:ascii="Calibri" w:hAnsi="Calibri" w:cs="Calibri"/>
          <w:bCs/>
          <w:i/>
          <w:sz w:val="22"/>
          <w:szCs w:val="22"/>
          <w:lang w:val="fr-FR"/>
        </w:rPr>
        <w:t xml:space="preserve">: </w:t>
      </w:r>
      <w:r w:rsidR="000A4BE7">
        <w:rPr>
          <w:rFonts w:ascii="Calibri" w:hAnsi="Calibri" w:cs="Calibri"/>
          <w:bCs/>
          <w:i/>
          <w:sz w:val="22"/>
          <w:szCs w:val="22"/>
          <w:lang w:val="fr-FR"/>
        </w:rPr>
        <w:t xml:space="preserve">Synthèse de l’excédent du budget administratif provisoire </w:t>
      </w:r>
      <w:r w:rsidR="00A1746A" w:rsidRPr="00F21623">
        <w:rPr>
          <w:rFonts w:ascii="Calibri" w:hAnsi="Calibri" w:cs="Calibri"/>
          <w:bCs/>
          <w:i/>
          <w:sz w:val="22"/>
          <w:szCs w:val="22"/>
          <w:lang w:val="fr-FR"/>
        </w:rPr>
        <w:t xml:space="preserve">2016 </w:t>
      </w:r>
      <w:r w:rsidR="00161CB8" w:rsidRPr="00F21623">
        <w:rPr>
          <w:rFonts w:ascii="Calibri" w:hAnsi="Calibri" w:cs="Calibri"/>
          <w:i/>
          <w:sz w:val="22"/>
          <w:szCs w:val="22"/>
          <w:lang w:val="fr-FR"/>
        </w:rPr>
        <w:t>(</w:t>
      </w:r>
      <w:r w:rsidR="006C3673">
        <w:rPr>
          <w:rFonts w:ascii="Calibri" w:hAnsi="Calibri" w:cs="Calibri"/>
          <w:i/>
          <w:sz w:val="22"/>
          <w:szCs w:val="22"/>
          <w:lang w:val="fr-FR"/>
        </w:rPr>
        <w:t>en milliers de CHF, erreurs possibles d’arrondis comprises</w:t>
      </w:r>
      <w:r w:rsidR="00161CB8" w:rsidRPr="00F21623">
        <w:rPr>
          <w:rFonts w:ascii="Calibri" w:hAnsi="Calibri" w:cs="Calibri"/>
          <w:i/>
          <w:sz w:val="22"/>
          <w:szCs w:val="22"/>
          <w:lang w:val="fr-FR"/>
        </w:rPr>
        <w:t>)</w:t>
      </w:r>
    </w:p>
    <w:p w:rsidR="00F906AD" w:rsidRPr="00F21623" w:rsidRDefault="00F906AD" w:rsidP="0047333D">
      <w:pPr>
        <w:rPr>
          <w:rFonts w:ascii="Calibri" w:hAnsi="Calibri" w:cs="Calibri"/>
          <w:b/>
          <w:bCs/>
          <w:sz w:val="22"/>
          <w:szCs w:val="22"/>
          <w:lang w:val="fr-FR"/>
        </w:rPr>
      </w:pPr>
    </w:p>
    <w:tbl>
      <w:tblPr>
        <w:tblW w:w="9125" w:type="dxa"/>
        <w:tblInd w:w="103" w:type="dxa"/>
        <w:tblLook w:val="04A0" w:firstRow="1" w:lastRow="0" w:firstColumn="1" w:lastColumn="0" w:noHBand="0" w:noVBand="1"/>
      </w:tblPr>
      <w:tblGrid>
        <w:gridCol w:w="3407"/>
        <w:gridCol w:w="684"/>
        <w:gridCol w:w="960"/>
        <w:gridCol w:w="4074"/>
      </w:tblGrid>
      <w:tr w:rsidR="00161CB8" w:rsidRPr="00F21623" w:rsidTr="00A43173">
        <w:trPr>
          <w:trHeight w:val="288"/>
        </w:trPr>
        <w:tc>
          <w:tcPr>
            <w:tcW w:w="3407" w:type="dxa"/>
            <w:tcBorders>
              <w:top w:val="single" w:sz="4" w:space="0" w:color="auto"/>
              <w:left w:val="single" w:sz="4" w:space="0" w:color="auto"/>
              <w:bottom w:val="nil"/>
              <w:right w:val="single" w:sz="4" w:space="0" w:color="auto"/>
            </w:tcBorders>
            <w:shd w:val="clear" w:color="auto" w:fill="C6D9F1" w:themeFill="text2" w:themeFillTint="33"/>
            <w:noWrap/>
            <w:vAlign w:val="bottom"/>
          </w:tcPr>
          <w:p w:rsidR="00161CB8" w:rsidRPr="00F21623" w:rsidRDefault="00161CB8"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Centre</w:t>
            </w:r>
            <w:r w:rsidR="00C4709B">
              <w:rPr>
                <w:rFonts w:ascii="Calibri" w:eastAsia="Times New Roman" w:hAnsi="Calibri"/>
                <w:b/>
                <w:bCs/>
                <w:color w:val="000000"/>
                <w:sz w:val="22"/>
                <w:szCs w:val="22"/>
                <w:lang w:val="fr-FR" w:eastAsia="en-GB"/>
              </w:rPr>
              <w:t xml:space="preserve"> de coûts</w:t>
            </w:r>
          </w:p>
        </w:tc>
        <w:tc>
          <w:tcPr>
            <w:tcW w:w="684" w:type="dxa"/>
            <w:tcBorders>
              <w:top w:val="single" w:sz="4" w:space="0" w:color="auto"/>
              <w:left w:val="nil"/>
              <w:bottom w:val="nil"/>
              <w:right w:val="nil"/>
            </w:tcBorders>
            <w:shd w:val="clear" w:color="auto" w:fill="C6D9F1" w:themeFill="text2" w:themeFillTint="33"/>
            <w:noWrap/>
            <w:vAlign w:val="bottom"/>
          </w:tcPr>
          <w:p w:rsidR="00161CB8" w:rsidRPr="00F21623" w:rsidRDefault="00161CB8" w:rsidP="0047333D">
            <w:pPr>
              <w:jc w:val="cente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 </w:t>
            </w:r>
          </w:p>
        </w:tc>
        <w:tc>
          <w:tcPr>
            <w:tcW w:w="960" w:type="dxa"/>
            <w:tcBorders>
              <w:top w:val="single" w:sz="4" w:space="0" w:color="auto"/>
              <w:left w:val="nil"/>
              <w:bottom w:val="nil"/>
              <w:right w:val="single" w:sz="4" w:space="0" w:color="auto"/>
            </w:tcBorders>
            <w:shd w:val="clear" w:color="auto" w:fill="C6D9F1" w:themeFill="text2" w:themeFillTint="33"/>
            <w:noWrap/>
            <w:vAlign w:val="bottom"/>
          </w:tcPr>
          <w:p w:rsidR="00161CB8" w:rsidRPr="00F21623" w:rsidRDefault="00161CB8" w:rsidP="0047333D">
            <w:pPr>
              <w:jc w:val="cente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 </w:t>
            </w:r>
          </w:p>
        </w:tc>
        <w:tc>
          <w:tcPr>
            <w:tcW w:w="4074" w:type="dxa"/>
            <w:tcBorders>
              <w:top w:val="single" w:sz="4" w:space="0" w:color="auto"/>
              <w:left w:val="nil"/>
              <w:bottom w:val="nil"/>
              <w:right w:val="single" w:sz="4" w:space="0" w:color="auto"/>
            </w:tcBorders>
            <w:shd w:val="clear" w:color="auto" w:fill="C6D9F1" w:themeFill="text2" w:themeFillTint="33"/>
            <w:noWrap/>
            <w:vAlign w:val="bottom"/>
          </w:tcPr>
          <w:p w:rsidR="00161CB8" w:rsidRPr="00F21623" w:rsidRDefault="00161CB8"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Comment</w:t>
            </w:r>
            <w:r w:rsidR="00C4709B">
              <w:rPr>
                <w:rFonts w:ascii="Calibri" w:eastAsia="Times New Roman" w:hAnsi="Calibri"/>
                <w:b/>
                <w:bCs/>
                <w:color w:val="000000"/>
                <w:sz w:val="22"/>
                <w:szCs w:val="22"/>
                <w:lang w:val="fr-FR" w:eastAsia="en-GB"/>
              </w:rPr>
              <w:t>aire</w:t>
            </w:r>
            <w:r w:rsidR="006C706C" w:rsidRPr="00F21623">
              <w:rPr>
                <w:rFonts w:ascii="Calibri" w:eastAsia="Times New Roman" w:hAnsi="Calibri"/>
                <w:b/>
                <w:bCs/>
                <w:color w:val="000000"/>
                <w:sz w:val="22"/>
                <w:szCs w:val="22"/>
                <w:lang w:val="fr-FR" w:eastAsia="en-GB"/>
              </w:rPr>
              <w:t>s</w:t>
            </w:r>
          </w:p>
        </w:tc>
      </w:tr>
      <w:tr w:rsidR="00161CB8" w:rsidRPr="00430DD8"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C4709B"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Recettes</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161CB8"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w:t>
            </w:r>
            <w:r w:rsidR="00A1746A" w:rsidRPr="00F21623">
              <w:rPr>
                <w:rFonts w:ascii="Calibri" w:eastAsia="Times New Roman" w:hAnsi="Calibri"/>
                <w:color w:val="000000"/>
                <w:sz w:val="22"/>
                <w:szCs w:val="22"/>
                <w:lang w:val="fr-FR" w:eastAsia="en-GB"/>
              </w:rPr>
              <w:t>30</w:t>
            </w:r>
            <w:r w:rsidRPr="00F21623">
              <w:rPr>
                <w:rFonts w:ascii="Calibri" w:eastAsia="Times New Roman" w:hAnsi="Calibri"/>
                <w:color w:val="000000"/>
                <w:sz w:val="22"/>
                <w:szCs w:val="22"/>
                <w:lang w:val="fr-FR" w:eastAsia="en-GB"/>
              </w:rPr>
              <w:t>)</w:t>
            </w:r>
          </w:p>
        </w:tc>
        <w:tc>
          <w:tcPr>
            <w:tcW w:w="4074" w:type="dxa"/>
            <w:tcBorders>
              <w:top w:val="nil"/>
              <w:left w:val="nil"/>
              <w:bottom w:val="nil"/>
              <w:right w:val="single" w:sz="4" w:space="0" w:color="auto"/>
            </w:tcBorders>
            <w:shd w:val="clear" w:color="auto" w:fill="auto"/>
            <w:noWrap/>
            <w:vAlign w:val="bottom"/>
          </w:tcPr>
          <w:p w:rsidR="00161CB8" w:rsidRPr="00F21623" w:rsidRDefault="00F82B50" w:rsidP="005F79B4">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Impôts</w:t>
            </w:r>
            <w:r w:rsidR="005F79B4">
              <w:rPr>
                <w:rFonts w:ascii="Calibri" w:eastAsia="Times New Roman" w:hAnsi="Calibri"/>
                <w:color w:val="000000"/>
                <w:sz w:val="22"/>
                <w:szCs w:val="22"/>
                <w:lang w:val="fr-FR" w:eastAsia="en-GB"/>
              </w:rPr>
              <w:t xml:space="preserve"> </w:t>
            </w:r>
            <w:r w:rsidR="004D5355">
              <w:rPr>
                <w:rFonts w:ascii="Calibri" w:eastAsia="Times New Roman" w:hAnsi="Calibri"/>
                <w:color w:val="000000"/>
                <w:sz w:val="22"/>
                <w:szCs w:val="22"/>
                <w:lang w:val="fr-FR" w:eastAsia="en-GB"/>
              </w:rPr>
              <w:t>(</w:t>
            </w:r>
            <w:r w:rsidR="005F79B4">
              <w:rPr>
                <w:rFonts w:ascii="Calibri" w:eastAsia="Times New Roman" w:hAnsi="Calibri"/>
                <w:color w:val="000000"/>
                <w:sz w:val="22"/>
                <w:szCs w:val="22"/>
                <w:lang w:val="fr-FR" w:eastAsia="en-GB"/>
              </w:rPr>
              <w:t>53</w:t>
            </w:r>
            <w:r w:rsidR="005D6F79" w:rsidRPr="00F21623">
              <w:rPr>
                <w:rFonts w:ascii="Calibri" w:eastAsia="Times New Roman" w:hAnsi="Calibri"/>
                <w:color w:val="000000"/>
                <w:sz w:val="22"/>
                <w:szCs w:val="22"/>
                <w:lang w:val="fr-FR" w:eastAsia="en-GB"/>
              </w:rPr>
              <w:t>k</w:t>
            </w:r>
            <w:r w:rsidR="004D5355">
              <w:rPr>
                <w:rFonts w:ascii="Calibri" w:eastAsia="Times New Roman" w:hAnsi="Calibri"/>
                <w:color w:val="000000"/>
                <w:sz w:val="22"/>
                <w:szCs w:val="22"/>
                <w:lang w:val="fr-FR" w:eastAsia="en-GB"/>
              </w:rPr>
              <w:t>)</w:t>
            </w:r>
            <w:r w:rsidR="007E7929" w:rsidRPr="00F21623">
              <w:rPr>
                <w:rFonts w:ascii="Calibri" w:eastAsia="Times New Roman" w:hAnsi="Calibri"/>
                <w:color w:val="000000"/>
                <w:sz w:val="22"/>
                <w:szCs w:val="22"/>
                <w:lang w:val="fr-FR" w:eastAsia="en-GB"/>
              </w:rPr>
              <w:t xml:space="preserve">, </w:t>
            </w:r>
            <w:r w:rsidR="005F79B4">
              <w:rPr>
                <w:rFonts w:ascii="Calibri" w:eastAsia="Times New Roman" w:hAnsi="Calibri"/>
                <w:color w:val="000000"/>
                <w:sz w:val="22"/>
                <w:szCs w:val="22"/>
                <w:lang w:val="fr-FR" w:eastAsia="en-GB"/>
              </w:rPr>
              <w:t>Revenus d’intérêts</w:t>
            </w:r>
            <w:r w:rsidR="00A1746A" w:rsidRPr="00F21623">
              <w:rPr>
                <w:rFonts w:ascii="Calibri" w:eastAsia="Times New Roman" w:hAnsi="Calibri"/>
                <w:color w:val="000000"/>
                <w:sz w:val="22"/>
                <w:szCs w:val="22"/>
                <w:lang w:val="fr-FR" w:eastAsia="en-GB"/>
              </w:rPr>
              <w:t xml:space="preserve"> 23k</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C4709B"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Cadres supérieurs</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8C5CB1"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73</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Sala</w:t>
            </w:r>
            <w:r w:rsidR="005F79B4">
              <w:rPr>
                <w:rFonts w:ascii="Calibri" w:eastAsia="Times New Roman" w:hAnsi="Calibri"/>
                <w:color w:val="000000"/>
                <w:sz w:val="22"/>
                <w:szCs w:val="22"/>
                <w:lang w:val="fr-FR" w:eastAsia="en-GB"/>
              </w:rPr>
              <w:t>ires et charges sociales</w:t>
            </w:r>
          </w:p>
        </w:tc>
      </w:tr>
      <w:tr w:rsidR="008C5CB1"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8C5CB1" w:rsidRPr="00F21623" w:rsidRDefault="008C5CB1"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Coo</w:t>
            </w:r>
            <w:r w:rsidR="00C4709B">
              <w:rPr>
                <w:rFonts w:ascii="Calibri" w:eastAsia="Times New Roman" w:hAnsi="Calibri"/>
                <w:color w:val="000000"/>
                <w:sz w:val="22"/>
                <w:szCs w:val="22"/>
                <w:lang w:val="fr-FR" w:eastAsia="en-GB"/>
              </w:rPr>
              <w:t>rdinateu</w:t>
            </w:r>
            <w:r w:rsidRPr="00F21623">
              <w:rPr>
                <w:rFonts w:ascii="Calibri" w:eastAsia="Times New Roman" w:hAnsi="Calibri"/>
                <w:color w:val="000000"/>
                <w:sz w:val="22"/>
                <w:szCs w:val="22"/>
                <w:lang w:val="fr-FR" w:eastAsia="en-GB"/>
              </w:rPr>
              <w:t>r</w:t>
            </w:r>
            <w:r w:rsidR="00C4709B">
              <w:rPr>
                <w:rFonts w:ascii="Calibri" w:eastAsia="Times New Roman" w:hAnsi="Calibri"/>
                <w:color w:val="000000"/>
                <w:sz w:val="22"/>
                <w:szCs w:val="22"/>
                <w:lang w:val="fr-FR" w:eastAsia="en-GB"/>
              </w:rPr>
              <w:t xml:space="preserve"> des partenariats</w:t>
            </w:r>
          </w:p>
        </w:tc>
        <w:tc>
          <w:tcPr>
            <w:tcW w:w="684" w:type="dxa"/>
            <w:tcBorders>
              <w:top w:val="nil"/>
              <w:left w:val="nil"/>
              <w:bottom w:val="nil"/>
              <w:right w:val="nil"/>
            </w:tcBorders>
            <w:shd w:val="clear" w:color="auto" w:fill="auto"/>
            <w:noWrap/>
            <w:vAlign w:val="bottom"/>
          </w:tcPr>
          <w:p w:rsidR="008C5CB1" w:rsidRPr="00F21623" w:rsidRDefault="008C5CB1" w:rsidP="0047333D">
            <w:pPr>
              <w:rPr>
                <w:rFonts w:ascii="Calibri" w:eastAsia="Times New Roman" w:hAnsi="Calibri"/>
                <w:color w:val="000000"/>
                <w:sz w:val="22"/>
                <w:szCs w:val="22"/>
                <w:lang w:val="fr-FR" w:eastAsia="en-GB"/>
              </w:rPr>
            </w:pPr>
          </w:p>
        </w:tc>
        <w:tc>
          <w:tcPr>
            <w:tcW w:w="960" w:type="dxa"/>
            <w:tcBorders>
              <w:top w:val="nil"/>
              <w:left w:val="nil"/>
              <w:bottom w:val="nil"/>
              <w:right w:val="single" w:sz="4" w:space="0" w:color="auto"/>
            </w:tcBorders>
            <w:shd w:val="clear" w:color="auto" w:fill="auto"/>
            <w:noWrap/>
            <w:vAlign w:val="bottom"/>
          </w:tcPr>
          <w:p w:rsidR="008C5CB1" w:rsidRPr="00F21623" w:rsidRDefault="008C5CB1"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64</w:t>
            </w:r>
          </w:p>
        </w:tc>
        <w:tc>
          <w:tcPr>
            <w:tcW w:w="4074" w:type="dxa"/>
            <w:tcBorders>
              <w:top w:val="nil"/>
              <w:left w:val="nil"/>
              <w:bottom w:val="nil"/>
              <w:right w:val="single" w:sz="4" w:space="0" w:color="auto"/>
            </w:tcBorders>
            <w:shd w:val="clear" w:color="auto" w:fill="auto"/>
            <w:noWrap/>
            <w:vAlign w:val="bottom"/>
          </w:tcPr>
          <w:p w:rsidR="008C5CB1" w:rsidRPr="00F21623" w:rsidRDefault="00F82B50"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Salaires et charges sociales</w:t>
            </w:r>
          </w:p>
        </w:tc>
      </w:tr>
      <w:tr w:rsidR="00161CB8" w:rsidRPr="00430DD8"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Default="00C4709B"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Appui et conseil aux régions</w:t>
            </w:r>
          </w:p>
          <w:p w:rsidR="00CC4B49" w:rsidRPr="00F21623" w:rsidRDefault="00CC4B49" w:rsidP="0047333D">
            <w:pPr>
              <w:rPr>
                <w:rFonts w:ascii="Calibri" w:eastAsia="Times New Roman" w:hAnsi="Calibri"/>
                <w:color w:val="000000"/>
                <w:sz w:val="22"/>
                <w:szCs w:val="22"/>
                <w:lang w:val="fr-FR" w:eastAsia="en-GB"/>
              </w:rPr>
            </w:pP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p>
        </w:tc>
        <w:tc>
          <w:tcPr>
            <w:tcW w:w="960" w:type="dxa"/>
            <w:tcBorders>
              <w:top w:val="nil"/>
              <w:left w:val="nil"/>
              <w:bottom w:val="nil"/>
              <w:right w:val="single" w:sz="4" w:space="0" w:color="auto"/>
            </w:tcBorders>
            <w:shd w:val="clear" w:color="auto" w:fill="auto"/>
            <w:noWrap/>
            <w:vAlign w:val="bottom"/>
          </w:tcPr>
          <w:p w:rsidR="00161CB8" w:rsidRDefault="008C5CB1"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81</w:t>
            </w:r>
          </w:p>
          <w:p w:rsidR="00CC4B49" w:rsidRPr="00F21623" w:rsidRDefault="00CC4B49" w:rsidP="0047333D">
            <w:pPr>
              <w:jc w:val="right"/>
              <w:rPr>
                <w:rFonts w:ascii="Calibri" w:eastAsia="Times New Roman" w:hAnsi="Calibri"/>
                <w:color w:val="000000"/>
                <w:sz w:val="22"/>
                <w:szCs w:val="22"/>
                <w:lang w:val="fr-FR" w:eastAsia="en-GB"/>
              </w:rPr>
            </w:pPr>
          </w:p>
        </w:tc>
        <w:tc>
          <w:tcPr>
            <w:tcW w:w="4074" w:type="dxa"/>
            <w:tcBorders>
              <w:top w:val="nil"/>
              <w:left w:val="nil"/>
              <w:bottom w:val="nil"/>
              <w:right w:val="single" w:sz="4" w:space="0" w:color="auto"/>
            </w:tcBorders>
            <w:shd w:val="clear" w:color="auto" w:fill="auto"/>
            <w:noWrap/>
            <w:vAlign w:val="bottom"/>
          </w:tcPr>
          <w:p w:rsidR="00161CB8" w:rsidRPr="00F21623" w:rsidRDefault="00F82B50" w:rsidP="005F79B4">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Salaires et charges sociales</w:t>
            </w:r>
            <w:r w:rsidR="005D6F79" w:rsidRPr="00F21623">
              <w:rPr>
                <w:rFonts w:ascii="Calibri" w:eastAsia="Times New Roman" w:hAnsi="Calibri"/>
                <w:color w:val="000000"/>
                <w:sz w:val="22"/>
                <w:szCs w:val="22"/>
                <w:lang w:val="fr-FR" w:eastAsia="en-GB"/>
              </w:rPr>
              <w:t xml:space="preserve"> </w:t>
            </w:r>
            <w:r w:rsidR="00161CB8" w:rsidRPr="00F21623">
              <w:rPr>
                <w:rFonts w:ascii="Calibri" w:eastAsia="Times New Roman" w:hAnsi="Calibri"/>
                <w:color w:val="000000"/>
                <w:sz w:val="22"/>
                <w:szCs w:val="22"/>
                <w:lang w:val="fr-FR" w:eastAsia="en-GB"/>
              </w:rPr>
              <w:t>6</w:t>
            </w:r>
            <w:r w:rsidR="005D6F79" w:rsidRPr="00F21623">
              <w:rPr>
                <w:rFonts w:ascii="Calibri" w:eastAsia="Times New Roman" w:hAnsi="Calibri"/>
                <w:color w:val="000000"/>
                <w:sz w:val="22"/>
                <w:szCs w:val="22"/>
                <w:lang w:val="fr-FR" w:eastAsia="en-GB"/>
              </w:rPr>
              <w:t>1</w:t>
            </w:r>
            <w:r w:rsidR="00161CB8" w:rsidRPr="00F21623">
              <w:rPr>
                <w:rFonts w:ascii="Calibri" w:eastAsia="Times New Roman" w:hAnsi="Calibri"/>
                <w:color w:val="000000"/>
                <w:sz w:val="22"/>
                <w:szCs w:val="22"/>
                <w:lang w:val="fr-FR" w:eastAsia="en-GB"/>
              </w:rPr>
              <w:t xml:space="preserve">k, </w:t>
            </w:r>
            <w:r w:rsidR="005F79B4">
              <w:rPr>
                <w:rFonts w:ascii="Calibri" w:eastAsia="Times New Roman" w:hAnsi="Calibri"/>
                <w:color w:val="000000"/>
                <w:sz w:val="22"/>
                <w:szCs w:val="22"/>
                <w:lang w:val="fr-FR" w:eastAsia="en-GB"/>
              </w:rPr>
              <w:t>Déplacements</w:t>
            </w:r>
            <w:r w:rsidR="005D6F79" w:rsidRPr="00F21623">
              <w:rPr>
                <w:rFonts w:ascii="Calibri" w:eastAsia="Times New Roman" w:hAnsi="Calibri"/>
                <w:color w:val="000000"/>
                <w:sz w:val="22"/>
                <w:szCs w:val="22"/>
                <w:lang w:val="fr-FR" w:eastAsia="en-GB"/>
              </w:rPr>
              <w:t xml:space="preserve"> 20</w:t>
            </w:r>
            <w:r w:rsidR="00161CB8" w:rsidRPr="00F21623">
              <w:rPr>
                <w:rFonts w:ascii="Calibri" w:eastAsia="Times New Roman" w:hAnsi="Calibri"/>
                <w:color w:val="000000"/>
                <w:sz w:val="22"/>
                <w:szCs w:val="22"/>
                <w:lang w:val="fr-FR" w:eastAsia="en-GB"/>
              </w:rPr>
              <w:t>k</w:t>
            </w:r>
          </w:p>
        </w:tc>
      </w:tr>
      <w:tr w:rsidR="005D6F79" w:rsidRPr="00430DD8"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5D6F79" w:rsidRPr="00F21623" w:rsidRDefault="00CC4B49"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Communication</w:t>
            </w:r>
          </w:p>
        </w:tc>
        <w:tc>
          <w:tcPr>
            <w:tcW w:w="684" w:type="dxa"/>
            <w:tcBorders>
              <w:top w:val="nil"/>
              <w:left w:val="nil"/>
              <w:bottom w:val="nil"/>
              <w:right w:val="nil"/>
            </w:tcBorders>
            <w:shd w:val="clear" w:color="auto" w:fill="auto"/>
            <w:noWrap/>
            <w:vAlign w:val="bottom"/>
          </w:tcPr>
          <w:p w:rsidR="005D6F79" w:rsidRPr="00F21623" w:rsidRDefault="005D6F79" w:rsidP="0047333D">
            <w:pPr>
              <w:rPr>
                <w:rFonts w:ascii="Calibri" w:eastAsia="Times New Roman" w:hAnsi="Calibri"/>
                <w:color w:val="000000"/>
                <w:sz w:val="22"/>
                <w:szCs w:val="22"/>
                <w:lang w:val="fr-FR" w:eastAsia="en-GB"/>
              </w:rPr>
            </w:pPr>
          </w:p>
        </w:tc>
        <w:tc>
          <w:tcPr>
            <w:tcW w:w="960" w:type="dxa"/>
            <w:tcBorders>
              <w:top w:val="nil"/>
              <w:left w:val="nil"/>
              <w:bottom w:val="nil"/>
              <w:right w:val="single" w:sz="4" w:space="0" w:color="auto"/>
            </w:tcBorders>
            <w:shd w:val="clear" w:color="auto" w:fill="auto"/>
            <w:noWrap/>
            <w:vAlign w:val="bottom"/>
          </w:tcPr>
          <w:p w:rsidR="005D6F79" w:rsidRPr="00F21623" w:rsidRDefault="005D6F79"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104</w:t>
            </w:r>
          </w:p>
        </w:tc>
        <w:tc>
          <w:tcPr>
            <w:tcW w:w="4074" w:type="dxa"/>
            <w:tcBorders>
              <w:top w:val="nil"/>
              <w:left w:val="nil"/>
              <w:bottom w:val="nil"/>
              <w:right w:val="single" w:sz="4" w:space="0" w:color="auto"/>
            </w:tcBorders>
            <w:shd w:val="clear" w:color="auto" w:fill="auto"/>
            <w:noWrap/>
            <w:vAlign w:val="bottom"/>
          </w:tcPr>
          <w:p w:rsidR="005D6F79" w:rsidRPr="00F21623" w:rsidRDefault="00F82B50"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Salaires et charges sociales</w:t>
            </w:r>
            <w:r w:rsidR="005D6F79" w:rsidRPr="00F21623">
              <w:rPr>
                <w:rFonts w:ascii="Calibri" w:eastAsia="Times New Roman" w:hAnsi="Calibri"/>
                <w:color w:val="000000"/>
                <w:sz w:val="22"/>
                <w:szCs w:val="22"/>
                <w:lang w:val="fr-FR" w:eastAsia="en-GB"/>
              </w:rPr>
              <w:t xml:space="preserve"> 86k</w:t>
            </w:r>
          </w:p>
        </w:tc>
      </w:tr>
      <w:tr w:rsidR="00161CB8" w:rsidRPr="00430DD8"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Admin</w:t>
            </w:r>
            <w:r w:rsidR="00106151" w:rsidRPr="00F21623">
              <w:rPr>
                <w:rFonts w:ascii="Calibri" w:eastAsia="Times New Roman" w:hAnsi="Calibri"/>
                <w:color w:val="000000"/>
                <w:sz w:val="22"/>
                <w:szCs w:val="22"/>
                <w:lang w:val="fr-FR" w:eastAsia="en-GB"/>
              </w:rPr>
              <w:t>istration</w:t>
            </w:r>
          </w:p>
          <w:p w:rsidR="00CC4B49" w:rsidRPr="00F21623" w:rsidRDefault="00CC4B49" w:rsidP="0047333D">
            <w:pPr>
              <w:rPr>
                <w:rFonts w:ascii="Calibri" w:eastAsia="Times New Roman" w:hAnsi="Calibri"/>
                <w:color w:val="000000"/>
                <w:sz w:val="22"/>
                <w:szCs w:val="22"/>
                <w:lang w:val="fr-FR" w:eastAsia="en-GB"/>
              </w:rPr>
            </w:pPr>
          </w:p>
        </w:tc>
        <w:tc>
          <w:tcPr>
            <w:tcW w:w="684" w:type="dxa"/>
            <w:tcBorders>
              <w:top w:val="nil"/>
              <w:left w:val="nil"/>
              <w:bottom w:val="nil"/>
              <w:right w:val="nil"/>
            </w:tcBorders>
            <w:shd w:val="clear" w:color="auto" w:fill="auto"/>
            <w:noWrap/>
            <w:vAlign w:val="bottom"/>
          </w:tcPr>
          <w:p w:rsidR="00161CB8" w:rsidRDefault="00161CB8" w:rsidP="0047333D">
            <w:pPr>
              <w:rPr>
                <w:rFonts w:ascii="Calibri" w:eastAsia="Times New Roman" w:hAnsi="Calibri"/>
                <w:color w:val="000000"/>
                <w:sz w:val="22"/>
                <w:szCs w:val="22"/>
                <w:lang w:val="fr-FR" w:eastAsia="en-GB"/>
              </w:rPr>
            </w:pPr>
          </w:p>
          <w:p w:rsidR="00CC4B49" w:rsidRPr="00F21623" w:rsidRDefault="00CC4B49" w:rsidP="0047333D">
            <w:pPr>
              <w:rPr>
                <w:rFonts w:ascii="Calibri" w:eastAsia="Times New Roman" w:hAnsi="Calibri"/>
                <w:color w:val="000000"/>
                <w:sz w:val="22"/>
                <w:szCs w:val="22"/>
                <w:lang w:val="fr-FR" w:eastAsia="en-GB"/>
              </w:rPr>
            </w:pPr>
          </w:p>
        </w:tc>
        <w:tc>
          <w:tcPr>
            <w:tcW w:w="960" w:type="dxa"/>
            <w:tcBorders>
              <w:top w:val="nil"/>
              <w:left w:val="nil"/>
              <w:bottom w:val="nil"/>
              <w:right w:val="single" w:sz="4" w:space="0" w:color="auto"/>
            </w:tcBorders>
            <w:shd w:val="clear" w:color="auto" w:fill="auto"/>
            <w:noWrap/>
            <w:vAlign w:val="bottom"/>
          </w:tcPr>
          <w:p w:rsidR="00161CB8" w:rsidRDefault="005D6F79" w:rsidP="00CC4B49">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1</w:t>
            </w:r>
            <w:r w:rsidR="00161CB8" w:rsidRPr="00F21623">
              <w:rPr>
                <w:rFonts w:ascii="Calibri" w:eastAsia="Times New Roman" w:hAnsi="Calibri"/>
                <w:color w:val="000000"/>
                <w:sz w:val="22"/>
                <w:szCs w:val="22"/>
                <w:lang w:val="fr-FR" w:eastAsia="en-GB"/>
              </w:rPr>
              <w:t>4</w:t>
            </w:r>
            <w:r w:rsidRPr="00F21623">
              <w:rPr>
                <w:rFonts w:ascii="Calibri" w:eastAsia="Times New Roman" w:hAnsi="Calibri"/>
                <w:color w:val="000000"/>
                <w:sz w:val="22"/>
                <w:szCs w:val="22"/>
                <w:lang w:val="fr-FR" w:eastAsia="en-GB"/>
              </w:rPr>
              <w:t>1</w:t>
            </w:r>
          </w:p>
          <w:p w:rsidR="00CC4B49" w:rsidRPr="00F21623" w:rsidRDefault="00CC4B49" w:rsidP="00CC4B49">
            <w:pPr>
              <w:rPr>
                <w:rFonts w:ascii="Calibri" w:eastAsia="Times New Roman" w:hAnsi="Calibri"/>
                <w:color w:val="000000"/>
                <w:sz w:val="22"/>
                <w:szCs w:val="22"/>
                <w:lang w:val="fr-FR" w:eastAsia="en-GB"/>
              </w:rPr>
            </w:pPr>
          </w:p>
        </w:tc>
        <w:tc>
          <w:tcPr>
            <w:tcW w:w="4074" w:type="dxa"/>
            <w:tcBorders>
              <w:top w:val="nil"/>
              <w:left w:val="nil"/>
              <w:bottom w:val="nil"/>
              <w:right w:val="single" w:sz="4" w:space="0" w:color="auto"/>
            </w:tcBorders>
            <w:shd w:val="clear" w:color="auto" w:fill="auto"/>
            <w:noWrap/>
            <w:vAlign w:val="bottom"/>
          </w:tcPr>
          <w:p w:rsidR="00161CB8" w:rsidRPr="00F21623" w:rsidRDefault="00F82B50" w:rsidP="005F79B4">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Salaires et charges sociales</w:t>
            </w:r>
            <w:r w:rsidR="005D6F79" w:rsidRPr="00F21623">
              <w:rPr>
                <w:rFonts w:ascii="Calibri" w:eastAsia="Times New Roman" w:hAnsi="Calibri"/>
                <w:color w:val="000000"/>
                <w:sz w:val="22"/>
                <w:szCs w:val="22"/>
                <w:lang w:val="fr-FR" w:eastAsia="en-GB"/>
              </w:rPr>
              <w:t xml:space="preserve"> 85k, </w:t>
            </w:r>
            <w:r w:rsidR="005F79B4">
              <w:rPr>
                <w:rFonts w:ascii="Calibri" w:eastAsia="Times New Roman" w:hAnsi="Calibri"/>
                <w:color w:val="000000"/>
                <w:sz w:val="22"/>
                <w:szCs w:val="22"/>
                <w:lang w:val="fr-FR" w:eastAsia="en-GB"/>
              </w:rPr>
              <w:t>Recrutement et indemnités de départ</w:t>
            </w:r>
            <w:r w:rsidR="005D6F79" w:rsidRPr="00F21623">
              <w:rPr>
                <w:rFonts w:ascii="Calibri" w:eastAsia="Times New Roman" w:hAnsi="Calibri"/>
                <w:color w:val="000000"/>
                <w:sz w:val="22"/>
                <w:szCs w:val="22"/>
                <w:lang w:val="fr-FR" w:eastAsia="en-GB"/>
              </w:rPr>
              <w:t xml:space="preserve"> </w:t>
            </w:r>
            <w:r w:rsidR="00CC4B49" w:rsidRPr="00F21623">
              <w:rPr>
                <w:rFonts w:ascii="Calibri" w:eastAsia="Times New Roman" w:hAnsi="Calibri"/>
                <w:color w:val="000000"/>
                <w:sz w:val="22"/>
                <w:szCs w:val="22"/>
                <w:lang w:val="fr-FR" w:eastAsia="en-GB"/>
              </w:rPr>
              <w:t>48k</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C4709B"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Autres</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single" w:sz="4" w:space="0" w:color="auto"/>
              <w:right w:val="single" w:sz="4" w:space="0" w:color="auto"/>
            </w:tcBorders>
            <w:shd w:val="clear" w:color="auto" w:fill="auto"/>
            <w:noWrap/>
            <w:vAlign w:val="bottom"/>
          </w:tcPr>
          <w:p w:rsidR="00161CB8" w:rsidRPr="00F21623" w:rsidRDefault="00A1746A"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21</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C4709B" w:rsidP="0047333D">
            <w:pPr>
              <w:rPr>
                <w:rFonts w:ascii="Calibri" w:eastAsia="Times New Roman" w:hAnsi="Calibri"/>
                <w:b/>
                <w:bCs/>
                <w:i/>
                <w:iCs/>
                <w:color w:val="000000"/>
                <w:sz w:val="22"/>
                <w:szCs w:val="22"/>
                <w:lang w:val="fr-FR" w:eastAsia="en-GB"/>
              </w:rPr>
            </w:pPr>
            <w:r>
              <w:rPr>
                <w:rFonts w:ascii="Calibri" w:eastAsia="Times New Roman" w:hAnsi="Calibri"/>
                <w:b/>
                <w:bCs/>
                <w:i/>
                <w:iCs/>
                <w:color w:val="000000"/>
                <w:sz w:val="22"/>
                <w:szCs w:val="22"/>
                <w:lang w:val="fr-FR" w:eastAsia="en-GB"/>
              </w:rPr>
              <w:t>Sous-t</w:t>
            </w:r>
            <w:r w:rsidR="00161CB8" w:rsidRPr="00F21623">
              <w:rPr>
                <w:rFonts w:ascii="Calibri" w:eastAsia="Times New Roman" w:hAnsi="Calibri"/>
                <w:b/>
                <w:bCs/>
                <w:i/>
                <w:iCs/>
                <w:color w:val="000000"/>
                <w:sz w:val="22"/>
                <w:szCs w:val="22"/>
                <w:lang w:val="fr-FR" w:eastAsia="en-GB"/>
              </w:rPr>
              <w:t>otal</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b/>
                <w:bCs/>
                <w:i/>
                <w:iCs/>
                <w:color w:val="000000"/>
                <w:sz w:val="22"/>
                <w:szCs w:val="22"/>
                <w:lang w:val="fr-FR" w:eastAsia="en-GB"/>
              </w:rPr>
            </w:pPr>
            <w:r w:rsidRPr="00F21623">
              <w:rPr>
                <w:rFonts w:ascii="Calibri" w:eastAsia="Times New Roman" w:hAnsi="Calibri"/>
                <w:b/>
                <w:bCs/>
                <w:i/>
                <w:iCs/>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5D6F79" w:rsidP="0047333D">
            <w:pPr>
              <w:jc w:val="right"/>
              <w:rPr>
                <w:rFonts w:ascii="Calibri" w:eastAsia="Times New Roman" w:hAnsi="Calibri"/>
                <w:b/>
                <w:bCs/>
                <w:i/>
                <w:iCs/>
                <w:color w:val="000000"/>
                <w:sz w:val="22"/>
                <w:szCs w:val="22"/>
                <w:lang w:val="fr-FR" w:eastAsia="en-GB"/>
              </w:rPr>
            </w:pPr>
            <w:r w:rsidRPr="00F21623">
              <w:rPr>
                <w:rFonts w:ascii="Calibri" w:eastAsia="Times New Roman" w:hAnsi="Calibri"/>
                <w:b/>
                <w:bCs/>
                <w:i/>
                <w:iCs/>
                <w:color w:val="000000"/>
                <w:sz w:val="22"/>
                <w:szCs w:val="22"/>
                <w:lang w:val="fr-FR" w:eastAsia="en-GB"/>
              </w:rPr>
              <w:t>454</w:t>
            </w:r>
          </w:p>
        </w:tc>
        <w:tc>
          <w:tcPr>
            <w:tcW w:w="4074" w:type="dxa"/>
            <w:tcBorders>
              <w:top w:val="nil"/>
              <w:left w:val="nil"/>
              <w:bottom w:val="nil"/>
              <w:right w:val="single" w:sz="4" w:space="0" w:color="auto"/>
            </w:tcBorders>
            <w:shd w:val="clear" w:color="auto" w:fill="auto"/>
            <w:noWrap/>
            <w:vAlign w:val="bottom"/>
          </w:tcPr>
          <w:p w:rsidR="00161CB8" w:rsidRPr="00F21623" w:rsidRDefault="005F79B4" w:rsidP="005F79B4">
            <w:pPr>
              <w:rPr>
                <w:rFonts w:ascii="Calibri" w:eastAsia="Times New Roman" w:hAnsi="Calibri"/>
                <w:i/>
                <w:iCs/>
                <w:color w:val="000000"/>
                <w:sz w:val="22"/>
                <w:szCs w:val="22"/>
                <w:lang w:val="fr-FR" w:eastAsia="en-GB"/>
              </w:rPr>
            </w:pPr>
            <w:r>
              <w:rPr>
                <w:rFonts w:ascii="Calibri" w:eastAsia="Times New Roman" w:hAnsi="Calibri"/>
                <w:i/>
                <w:iCs/>
                <w:color w:val="000000"/>
                <w:sz w:val="22"/>
                <w:szCs w:val="22"/>
                <w:lang w:val="fr-FR" w:eastAsia="en-GB"/>
              </w:rPr>
              <w:t xml:space="preserve">Excédent avant </w:t>
            </w:r>
            <w:r w:rsidR="00161CB8" w:rsidRPr="00F21623">
              <w:rPr>
                <w:rFonts w:ascii="Calibri" w:eastAsia="Times New Roman" w:hAnsi="Calibri"/>
                <w:i/>
                <w:iCs/>
                <w:color w:val="000000"/>
                <w:sz w:val="22"/>
                <w:szCs w:val="22"/>
                <w:lang w:val="fr-FR" w:eastAsia="en-GB"/>
              </w:rPr>
              <w:t>provisions</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5F79B4" w:rsidP="0047333D">
            <w:pPr>
              <w:rPr>
                <w:rFonts w:ascii="Calibri" w:eastAsia="Times New Roman" w:hAnsi="Calibri"/>
                <w:b/>
                <w:bCs/>
                <w:color w:val="000000"/>
                <w:sz w:val="22"/>
                <w:szCs w:val="22"/>
                <w:lang w:val="fr-FR" w:eastAsia="en-GB"/>
              </w:rPr>
            </w:pPr>
            <w:r>
              <w:rPr>
                <w:rFonts w:ascii="Calibri" w:eastAsia="Times New Roman" w:hAnsi="Calibri"/>
                <w:b/>
                <w:bCs/>
                <w:color w:val="000000"/>
                <w:sz w:val="22"/>
                <w:szCs w:val="22"/>
                <w:lang w:val="fr-FR" w:eastAsia="en-GB"/>
              </w:rPr>
              <w:t>Divers</w:t>
            </w:r>
            <w:r w:rsidR="00161CB8" w:rsidRPr="00F21623">
              <w:rPr>
                <w:rFonts w:ascii="Calibri" w:eastAsia="Times New Roman" w:hAnsi="Calibri"/>
                <w:b/>
                <w:bCs/>
                <w:color w:val="000000"/>
                <w:sz w:val="22"/>
                <w:szCs w:val="22"/>
                <w:lang w:val="fr-FR" w:eastAsia="en-GB"/>
              </w:rPr>
              <w:t>, Provisions</w:t>
            </w:r>
            <w:r w:rsidR="00CC4B49">
              <w:rPr>
                <w:rFonts w:ascii="Calibri" w:eastAsia="Times New Roman" w:hAnsi="Calibri"/>
                <w:b/>
                <w:bCs/>
                <w:color w:val="000000"/>
                <w:sz w:val="22"/>
                <w:szCs w:val="22"/>
                <w:lang w:val="fr-FR" w:eastAsia="en-GB"/>
              </w:rPr>
              <w:t xml:space="preserve"> et autres</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097E94" w:rsidP="005F79B4">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xml:space="preserve"> </w:t>
            </w:r>
            <w:r w:rsidR="005F79B4">
              <w:rPr>
                <w:rFonts w:ascii="Calibri" w:eastAsia="Times New Roman" w:hAnsi="Calibri"/>
                <w:color w:val="000000"/>
                <w:sz w:val="22"/>
                <w:szCs w:val="22"/>
                <w:lang w:val="fr-FR" w:eastAsia="en-GB"/>
              </w:rPr>
              <w:t>Charges à payer</w:t>
            </w:r>
          </w:p>
        </w:tc>
        <w:tc>
          <w:tcPr>
            <w:tcW w:w="684" w:type="dxa"/>
            <w:tcBorders>
              <w:top w:val="nil"/>
              <w:left w:val="nil"/>
              <w:bottom w:val="nil"/>
              <w:right w:val="nil"/>
            </w:tcBorders>
            <w:shd w:val="clear" w:color="auto" w:fill="auto"/>
            <w:noWrap/>
            <w:vAlign w:val="bottom"/>
          </w:tcPr>
          <w:p w:rsidR="00161CB8" w:rsidRPr="00F21623" w:rsidRDefault="00161CB8"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w:t>
            </w:r>
            <w:r w:rsidR="005D6F79" w:rsidRPr="00F21623">
              <w:rPr>
                <w:rFonts w:ascii="Calibri" w:eastAsia="Times New Roman" w:hAnsi="Calibri"/>
                <w:color w:val="000000"/>
                <w:sz w:val="22"/>
                <w:szCs w:val="22"/>
                <w:lang w:val="fr-FR" w:eastAsia="en-GB"/>
              </w:rPr>
              <w:t>169</w:t>
            </w:r>
            <w:r w:rsidRPr="00F21623">
              <w:rPr>
                <w:rFonts w:ascii="Calibri" w:eastAsia="Times New Roman" w:hAnsi="Calibri"/>
                <w:color w:val="000000"/>
                <w:sz w:val="22"/>
                <w:szCs w:val="22"/>
                <w:lang w:val="fr-FR" w:eastAsia="en-GB"/>
              </w:rPr>
              <w:t>)</w:t>
            </w:r>
          </w:p>
        </w:tc>
        <w:tc>
          <w:tcPr>
            <w:tcW w:w="960"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097E94" w:rsidP="005F79B4">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xml:space="preserve"> </w:t>
            </w:r>
            <w:r w:rsidR="00A1746A" w:rsidRPr="00F21623">
              <w:rPr>
                <w:rFonts w:ascii="Calibri" w:eastAsia="Times New Roman" w:hAnsi="Calibri"/>
                <w:color w:val="000000"/>
                <w:sz w:val="22"/>
                <w:szCs w:val="22"/>
                <w:lang w:val="fr-FR" w:eastAsia="en-GB"/>
              </w:rPr>
              <w:t xml:space="preserve">Provisions </w:t>
            </w:r>
            <w:r w:rsidR="005F79B4">
              <w:rPr>
                <w:rFonts w:ascii="Calibri" w:eastAsia="Times New Roman" w:hAnsi="Calibri"/>
                <w:color w:val="000000"/>
                <w:sz w:val="22"/>
                <w:szCs w:val="22"/>
                <w:lang w:val="fr-FR" w:eastAsia="en-GB"/>
              </w:rPr>
              <w:t>et pertes de change</w:t>
            </w:r>
          </w:p>
        </w:tc>
        <w:tc>
          <w:tcPr>
            <w:tcW w:w="684" w:type="dxa"/>
            <w:tcBorders>
              <w:top w:val="nil"/>
              <w:left w:val="nil"/>
              <w:right w:val="nil"/>
            </w:tcBorders>
            <w:shd w:val="clear" w:color="auto" w:fill="auto"/>
            <w:noWrap/>
            <w:vAlign w:val="bottom"/>
          </w:tcPr>
          <w:p w:rsidR="00161CB8" w:rsidRPr="00F21623" w:rsidRDefault="00A1746A"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xml:space="preserve">24 </w:t>
            </w:r>
          </w:p>
        </w:tc>
        <w:tc>
          <w:tcPr>
            <w:tcW w:w="960" w:type="dxa"/>
            <w:tcBorders>
              <w:top w:val="nil"/>
              <w:left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097E94" w:rsidP="005F79B4">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xml:space="preserve"> </w:t>
            </w:r>
            <w:r w:rsidR="00A1746A" w:rsidRPr="00F21623">
              <w:rPr>
                <w:rFonts w:ascii="Calibri" w:eastAsia="Times New Roman" w:hAnsi="Calibri"/>
                <w:color w:val="000000"/>
                <w:sz w:val="22"/>
                <w:szCs w:val="22"/>
                <w:lang w:val="fr-FR" w:eastAsia="en-GB"/>
              </w:rPr>
              <w:t>Services</w:t>
            </w:r>
            <w:r w:rsidR="005F79B4">
              <w:rPr>
                <w:rFonts w:ascii="Calibri" w:eastAsia="Times New Roman" w:hAnsi="Calibri"/>
                <w:color w:val="000000"/>
                <w:sz w:val="22"/>
                <w:szCs w:val="22"/>
                <w:lang w:val="fr-FR" w:eastAsia="en-GB"/>
              </w:rPr>
              <w:t xml:space="preserve"> juridiques et professionnels</w:t>
            </w:r>
          </w:p>
        </w:tc>
        <w:tc>
          <w:tcPr>
            <w:tcW w:w="684" w:type="dxa"/>
            <w:tcBorders>
              <w:left w:val="nil"/>
              <w:bottom w:val="single" w:sz="4" w:space="0" w:color="auto"/>
              <w:right w:val="nil"/>
            </w:tcBorders>
            <w:shd w:val="clear" w:color="auto" w:fill="auto"/>
            <w:noWrap/>
            <w:vAlign w:val="bottom"/>
          </w:tcPr>
          <w:p w:rsidR="00161CB8" w:rsidRPr="00F21623" w:rsidRDefault="00A1746A"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29</w:t>
            </w:r>
          </w:p>
        </w:tc>
        <w:tc>
          <w:tcPr>
            <w:tcW w:w="960" w:type="dxa"/>
            <w:tcBorders>
              <w:left w:val="nil"/>
              <w:bottom w:val="single" w:sz="4" w:space="0" w:color="auto"/>
              <w:right w:val="single" w:sz="4" w:space="0" w:color="auto"/>
            </w:tcBorders>
            <w:shd w:val="clear" w:color="auto" w:fill="auto"/>
            <w:noWrap/>
            <w:vAlign w:val="bottom"/>
          </w:tcPr>
          <w:p w:rsidR="00161CB8" w:rsidRPr="00F21623" w:rsidRDefault="00161CB8" w:rsidP="0047333D">
            <w:pPr>
              <w:jc w:val="right"/>
              <w:rPr>
                <w:rFonts w:ascii="Calibri" w:eastAsia="Times New Roman" w:hAnsi="Calibri"/>
                <w:color w:val="000000"/>
                <w:sz w:val="22"/>
                <w:szCs w:val="22"/>
                <w:lang w:val="fr-FR" w:eastAsia="en-GB"/>
              </w:rPr>
            </w:pP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r w:rsidR="00161CB8" w:rsidRPr="00F21623"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r w:rsidR="00C4709B">
              <w:rPr>
                <w:rFonts w:ascii="Calibri" w:eastAsia="Times New Roman" w:hAnsi="Calibri"/>
                <w:b/>
                <w:bCs/>
                <w:i/>
                <w:iCs/>
                <w:color w:val="000000"/>
                <w:sz w:val="22"/>
                <w:szCs w:val="22"/>
                <w:lang w:val="fr-FR" w:eastAsia="en-GB"/>
              </w:rPr>
              <w:t>Sous-</w:t>
            </w:r>
            <w:r w:rsidRPr="00F21623">
              <w:rPr>
                <w:rFonts w:ascii="Calibri" w:eastAsia="Times New Roman" w:hAnsi="Calibri"/>
                <w:b/>
                <w:bCs/>
                <w:i/>
                <w:iCs/>
                <w:color w:val="000000"/>
                <w:sz w:val="22"/>
                <w:szCs w:val="22"/>
                <w:lang w:val="fr-FR" w:eastAsia="en-GB"/>
              </w:rPr>
              <w:t>total</w:t>
            </w:r>
          </w:p>
        </w:tc>
        <w:tc>
          <w:tcPr>
            <w:tcW w:w="684" w:type="dxa"/>
            <w:tcBorders>
              <w:top w:val="nil"/>
              <w:left w:val="nil"/>
              <w:bottom w:val="nil"/>
              <w:right w:val="nil"/>
            </w:tcBorders>
            <w:shd w:val="clear" w:color="auto" w:fill="auto"/>
            <w:noWrap/>
            <w:vAlign w:val="bottom"/>
          </w:tcPr>
          <w:p w:rsidR="00161CB8" w:rsidRPr="00F21623" w:rsidRDefault="00161CB8"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tcPr>
          <w:p w:rsidR="00161CB8" w:rsidRPr="00F21623" w:rsidRDefault="00161CB8" w:rsidP="0047333D">
            <w:pPr>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r w:rsidR="00A1746A" w:rsidRPr="00F21623">
              <w:rPr>
                <w:rFonts w:ascii="Calibri" w:eastAsia="Times New Roman" w:hAnsi="Calibri"/>
                <w:color w:val="000000"/>
                <w:sz w:val="22"/>
                <w:szCs w:val="22"/>
                <w:lang w:val="fr-FR" w:eastAsia="en-GB"/>
              </w:rPr>
              <w:t>116</w:t>
            </w:r>
            <w:r w:rsidRPr="00F21623">
              <w:rPr>
                <w:rFonts w:ascii="Calibri" w:eastAsia="Times New Roman" w:hAnsi="Calibri"/>
                <w:color w:val="000000"/>
                <w:sz w:val="22"/>
                <w:szCs w:val="22"/>
                <w:lang w:val="fr-FR" w:eastAsia="en-GB"/>
              </w:rPr>
              <w:t>)</w:t>
            </w:r>
          </w:p>
        </w:tc>
        <w:tc>
          <w:tcPr>
            <w:tcW w:w="4074" w:type="dxa"/>
            <w:tcBorders>
              <w:top w:val="nil"/>
              <w:left w:val="nil"/>
              <w:bottom w:val="nil"/>
              <w:right w:val="single" w:sz="4" w:space="0" w:color="auto"/>
            </w:tcBorders>
            <w:shd w:val="clear" w:color="auto" w:fill="auto"/>
            <w:noWrap/>
            <w:vAlign w:val="bottom"/>
          </w:tcPr>
          <w:p w:rsidR="00161CB8" w:rsidRPr="00F21623" w:rsidRDefault="00161CB8" w:rsidP="00C4709B">
            <w:pPr>
              <w:rPr>
                <w:rFonts w:ascii="Calibri" w:eastAsia="Times New Roman" w:hAnsi="Calibri"/>
                <w:i/>
                <w:color w:val="000000"/>
                <w:sz w:val="22"/>
                <w:szCs w:val="22"/>
                <w:lang w:val="fr-FR" w:eastAsia="en-GB"/>
              </w:rPr>
            </w:pPr>
            <w:r w:rsidRPr="00F21623">
              <w:rPr>
                <w:rFonts w:ascii="Calibri" w:eastAsia="Times New Roman" w:hAnsi="Calibri"/>
                <w:color w:val="000000"/>
                <w:sz w:val="22"/>
                <w:szCs w:val="22"/>
                <w:lang w:val="fr-FR" w:eastAsia="en-GB"/>
              </w:rPr>
              <w:t> </w:t>
            </w:r>
            <w:r w:rsidRPr="00F21623">
              <w:rPr>
                <w:rFonts w:ascii="Calibri" w:eastAsia="Times New Roman" w:hAnsi="Calibri"/>
                <w:i/>
                <w:color w:val="000000"/>
                <w:sz w:val="22"/>
                <w:szCs w:val="22"/>
                <w:lang w:val="fr-FR" w:eastAsia="en-GB"/>
              </w:rPr>
              <w:t xml:space="preserve">Provisions </w:t>
            </w:r>
            <w:r w:rsidR="00C4709B">
              <w:rPr>
                <w:rFonts w:ascii="Calibri" w:eastAsia="Times New Roman" w:hAnsi="Calibri"/>
                <w:i/>
                <w:color w:val="000000"/>
                <w:sz w:val="22"/>
                <w:szCs w:val="22"/>
                <w:lang w:val="fr-FR" w:eastAsia="en-GB"/>
              </w:rPr>
              <w:t>et autres</w:t>
            </w:r>
          </w:p>
        </w:tc>
      </w:tr>
      <w:tr w:rsidR="00161CB8" w:rsidRPr="00F21623" w:rsidTr="00A43173">
        <w:trPr>
          <w:trHeight w:val="288"/>
        </w:trPr>
        <w:tc>
          <w:tcPr>
            <w:tcW w:w="3407" w:type="dxa"/>
            <w:tcBorders>
              <w:top w:val="nil"/>
              <w:left w:val="single" w:sz="4" w:space="0" w:color="auto"/>
              <w:bottom w:val="single" w:sz="4" w:space="0" w:color="auto"/>
              <w:right w:val="single" w:sz="4" w:space="0" w:color="auto"/>
            </w:tcBorders>
            <w:shd w:val="clear" w:color="auto" w:fill="C6D9F1" w:themeFill="text2" w:themeFillTint="33"/>
            <w:noWrap/>
            <w:vAlign w:val="bottom"/>
          </w:tcPr>
          <w:p w:rsidR="00161CB8" w:rsidRPr="00F21623" w:rsidRDefault="00161CB8"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Total</w:t>
            </w:r>
          </w:p>
        </w:tc>
        <w:tc>
          <w:tcPr>
            <w:tcW w:w="684" w:type="dxa"/>
            <w:tcBorders>
              <w:top w:val="nil"/>
              <w:left w:val="nil"/>
              <w:bottom w:val="single" w:sz="4" w:space="0" w:color="auto"/>
              <w:right w:val="nil"/>
            </w:tcBorders>
            <w:shd w:val="clear" w:color="auto" w:fill="C6D9F1" w:themeFill="text2" w:themeFillTint="33"/>
            <w:noWrap/>
            <w:vAlign w:val="bottom"/>
          </w:tcPr>
          <w:p w:rsidR="00161CB8" w:rsidRPr="00F21623" w:rsidRDefault="00161CB8"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 </w:t>
            </w:r>
          </w:p>
        </w:tc>
        <w:tc>
          <w:tcPr>
            <w:tcW w:w="960" w:type="dxa"/>
            <w:tcBorders>
              <w:top w:val="nil"/>
              <w:left w:val="nil"/>
              <w:bottom w:val="single" w:sz="4" w:space="0" w:color="auto"/>
              <w:right w:val="single" w:sz="4" w:space="0" w:color="auto"/>
            </w:tcBorders>
            <w:shd w:val="clear" w:color="auto" w:fill="C6D9F1" w:themeFill="text2" w:themeFillTint="33"/>
            <w:noWrap/>
            <w:vAlign w:val="bottom"/>
          </w:tcPr>
          <w:p w:rsidR="00161CB8" w:rsidRPr="00F21623" w:rsidRDefault="00A1746A" w:rsidP="0047333D">
            <w:pPr>
              <w:jc w:val="right"/>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338</w:t>
            </w:r>
          </w:p>
        </w:tc>
        <w:tc>
          <w:tcPr>
            <w:tcW w:w="4074" w:type="dxa"/>
            <w:tcBorders>
              <w:top w:val="nil"/>
              <w:left w:val="nil"/>
              <w:bottom w:val="single" w:sz="4" w:space="0" w:color="auto"/>
              <w:right w:val="single" w:sz="4" w:space="0" w:color="auto"/>
            </w:tcBorders>
            <w:shd w:val="clear" w:color="auto" w:fill="C6D9F1" w:themeFill="text2" w:themeFillTint="33"/>
            <w:noWrap/>
            <w:vAlign w:val="bottom"/>
          </w:tcPr>
          <w:p w:rsidR="00161CB8" w:rsidRPr="00F21623" w:rsidRDefault="00C4709B" w:rsidP="0047333D">
            <w:pPr>
              <w:rPr>
                <w:rFonts w:ascii="Calibri" w:eastAsia="Times New Roman" w:hAnsi="Calibri"/>
                <w:i/>
                <w:iCs/>
                <w:color w:val="000000"/>
                <w:sz w:val="22"/>
                <w:szCs w:val="22"/>
                <w:lang w:val="fr-FR" w:eastAsia="en-GB"/>
              </w:rPr>
            </w:pPr>
            <w:r>
              <w:rPr>
                <w:rFonts w:ascii="Calibri" w:eastAsia="Times New Roman" w:hAnsi="Calibri"/>
                <w:i/>
                <w:iCs/>
                <w:color w:val="000000"/>
                <w:sz w:val="22"/>
                <w:szCs w:val="22"/>
                <w:lang w:val="fr-FR" w:eastAsia="en-GB"/>
              </w:rPr>
              <w:t>Excédent global</w:t>
            </w:r>
          </w:p>
        </w:tc>
      </w:tr>
    </w:tbl>
    <w:p w:rsidR="00161CB8" w:rsidRPr="00F21623" w:rsidRDefault="00161CB8" w:rsidP="0047333D">
      <w:pPr>
        <w:pStyle w:val="ListParagraph"/>
        <w:rPr>
          <w:rFonts w:ascii="Calibri" w:hAnsi="Calibri" w:cs="Calibri"/>
          <w:bCs/>
          <w:sz w:val="22"/>
          <w:szCs w:val="22"/>
          <w:lang w:val="fr-FR"/>
        </w:rPr>
      </w:pPr>
    </w:p>
    <w:p w:rsidR="00161CB8" w:rsidRPr="00F21623" w:rsidRDefault="00161CB8" w:rsidP="0047333D">
      <w:pPr>
        <w:pStyle w:val="ListParagraph"/>
        <w:rPr>
          <w:rFonts w:ascii="Calibri" w:hAnsi="Calibri" w:cs="Calibri"/>
          <w:bCs/>
          <w:sz w:val="22"/>
          <w:szCs w:val="22"/>
          <w:lang w:val="fr-FR"/>
        </w:rPr>
      </w:pPr>
    </w:p>
    <w:p w:rsidR="002464F2" w:rsidRPr="00F21623" w:rsidRDefault="00C4709B" w:rsidP="0047333D">
      <w:pPr>
        <w:pStyle w:val="ListParagraph"/>
        <w:numPr>
          <w:ilvl w:val="0"/>
          <w:numId w:val="26"/>
        </w:numPr>
        <w:ind w:left="426" w:hanging="426"/>
        <w:rPr>
          <w:rFonts w:ascii="Calibri" w:hAnsi="Calibri" w:cs="Calibri"/>
          <w:bCs/>
          <w:sz w:val="22"/>
          <w:szCs w:val="22"/>
          <w:lang w:val="fr-FR"/>
        </w:rPr>
      </w:pPr>
      <w:r w:rsidRPr="00C4709B">
        <w:rPr>
          <w:rFonts w:ascii="Calibri" w:hAnsi="Calibri" w:cs="Calibri"/>
          <w:bCs/>
          <w:sz w:val="22"/>
          <w:szCs w:val="22"/>
          <w:lang w:val="fr-FR"/>
        </w:rPr>
        <w:t>Les points suivants sont mis en avant à l’attention du Comité permanent :</w:t>
      </w:r>
    </w:p>
    <w:p w:rsidR="002464F2" w:rsidRPr="00F21623" w:rsidRDefault="002464F2" w:rsidP="0047333D">
      <w:pPr>
        <w:pStyle w:val="ListParagraph"/>
        <w:rPr>
          <w:rFonts w:ascii="Calibri" w:hAnsi="Calibri" w:cs="Calibri"/>
          <w:bCs/>
          <w:sz w:val="22"/>
          <w:szCs w:val="22"/>
          <w:lang w:val="fr-FR"/>
        </w:rPr>
      </w:pPr>
    </w:p>
    <w:p w:rsidR="00E70296" w:rsidRPr="00F21623" w:rsidRDefault="004D5355" w:rsidP="0047333D">
      <w:pPr>
        <w:pStyle w:val="ListParagraph"/>
        <w:numPr>
          <w:ilvl w:val="1"/>
          <w:numId w:val="26"/>
        </w:numPr>
        <w:ind w:left="851" w:hanging="425"/>
        <w:rPr>
          <w:rFonts w:ascii="Calibri" w:hAnsi="Calibri" w:cs="Calibri"/>
          <w:bCs/>
          <w:sz w:val="22"/>
          <w:szCs w:val="22"/>
          <w:lang w:val="fr-FR"/>
        </w:rPr>
      </w:pPr>
      <w:r w:rsidRPr="004D5355">
        <w:rPr>
          <w:rFonts w:ascii="Calibri" w:hAnsi="Calibri" w:cs="Calibri"/>
          <w:bCs/>
          <w:sz w:val="22"/>
          <w:szCs w:val="22"/>
          <w:lang w:val="fr-FR"/>
        </w:rPr>
        <w:t xml:space="preserve">Les recettes ont été globalement conformes aux prévisions, à l’exception </w:t>
      </w:r>
      <w:r>
        <w:rPr>
          <w:rFonts w:ascii="Calibri" w:hAnsi="Calibri" w:cs="Calibri"/>
          <w:bCs/>
          <w:sz w:val="22"/>
          <w:szCs w:val="22"/>
          <w:lang w:val="fr-FR"/>
        </w:rPr>
        <w:t xml:space="preserve">des impôts, </w:t>
      </w:r>
      <w:r w:rsidR="005E69A3">
        <w:rPr>
          <w:rFonts w:ascii="Calibri" w:hAnsi="Calibri" w:cs="Calibri"/>
          <w:bCs/>
          <w:sz w:val="22"/>
          <w:szCs w:val="22"/>
          <w:lang w:val="fr-FR"/>
        </w:rPr>
        <w:t>inférieurs de</w:t>
      </w:r>
      <w:r>
        <w:rPr>
          <w:rFonts w:ascii="Calibri" w:hAnsi="Calibri" w:cs="Calibri"/>
          <w:bCs/>
          <w:sz w:val="22"/>
          <w:szCs w:val="22"/>
          <w:lang w:val="fr-FR"/>
        </w:rPr>
        <w:t xml:space="preserve"> 53 000 CHF </w:t>
      </w:r>
      <w:r w:rsidR="005E69A3">
        <w:rPr>
          <w:rFonts w:ascii="Calibri" w:hAnsi="Calibri" w:cs="Calibri"/>
          <w:bCs/>
          <w:sz w:val="22"/>
          <w:szCs w:val="22"/>
          <w:lang w:val="fr-FR"/>
        </w:rPr>
        <w:t xml:space="preserve">aux prévisions </w:t>
      </w:r>
      <w:r>
        <w:rPr>
          <w:rFonts w:ascii="Calibri" w:hAnsi="Calibri" w:cs="Calibri"/>
          <w:bCs/>
          <w:sz w:val="22"/>
          <w:szCs w:val="22"/>
          <w:lang w:val="fr-FR"/>
        </w:rPr>
        <w:t>et compensés en partie seulement par une hausse des revenus d’intérêts de 23 </w:t>
      </w:r>
      <w:r w:rsidR="00B9791E" w:rsidRPr="00F21623">
        <w:rPr>
          <w:rFonts w:ascii="Calibri" w:hAnsi="Calibri" w:cs="Calibri"/>
          <w:bCs/>
          <w:sz w:val="22"/>
          <w:szCs w:val="22"/>
          <w:lang w:val="fr-FR"/>
        </w:rPr>
        <w:t>000</w:t>
      </w:r>
      <w:r>
        <w:rPr>
          <w:rFonts w:ascii="Calibri" w:hAnsi="Calibri" w:cs="Calibri"/>
          <w:bCs/>
          <w:sz w:val="22"/>
          <w:szCs w:val="22"/>
          <w:lang w:val="fr-FR"/>
        </w:rPr>
        <w:t> CHF</w:t>
      </w:r>
      <w:r w:rsidR="00E70296" w:rsidRPr="00F21623">
        <w:rPr>
          <w:rFonts w:ascii="Calibri" w:hAnsi="Calibri" w:cs="Calibri"/>
          <w:bCs/>
          <w:sz w:val="22"/>
          <w:szCs w:val="22"/>
          <w:lang w:val="fr-FR"/>
        </w:rPr>
        <w:t>.</w:t>
      </w:r>
      <w:r w:rsidR="00E72D40" w:rsidRPr="00F21623">
        <w:rPr>
          <w:rFonts w:ascii="Calibri" w:hAnsi="Calibri" w:cs="Calibri"/>
          <w:bCs/>
          <w:sz w:val="22"/>
          <w:szCs w:val="22"/>
          <w:lang w:val="fr-FR"/>
        </w:rPr>
        <w:t xml:space="preserve"> </w:t>
      </w:r>
      <w:r w:rsidR="005E69A3">
        <w:rPr>
          <w:rFonts w:ascii="Calibri" w:hAnsi="Calibri" w:cs="Calibri"/>
          <w:bCs/>
          <w:sz w:val="22"/>
          <w:szCs w:val="22"/>
          <w:lang w:val="fr-FR"/>
        </w:rPr>
        <w:t>La réduction de la charge fiscale</w:t>
      </w:r>
      <w:r w:rsidR="00CD431A">
        <w:rPr>
          <w:rFonts w:ascii="Calibri" w:hAnsi="Calibri" w:cs="Calibri"/>
          <w:bCs/>
          <w:sz w:val="22"/>
          <w:szCs w:val="22"/>
          <w:lang w:val="fr-FR"/>
        </w:rPr>
        <w:t xml:space="preserve"> s’explique par </w:t>
      </w:r>
      <w:r w:rsidR="005E69A3">
        <w:rPr>
          <w:rFonts w:ascii="Calibri" w:hAnsi="Calibri" w:cs="Calibri"/>
          <w:bCs/>
          <w:sz w:val="22"/>
          <w:szCs w:val="22"/>
          <w:lang w:val="fr-FR"/>
        </w:rPr>
        <w:t>l’existence de postes non occupés</w:t>
      </w:r>
      <w:r w:rsidR="00CD431A">
        <w:rPr>
          <w:rFonts w:ascii="Calibri" w:hAnsi="Calibri" w:cs="Calibri"/>
          <w:bCs/>
          <w:sz w:val="22"/>
          <w:szCs w:val="22"/>
          <w:lang w:val="fr-FR"/>
        </w:rPr>
        <w:t xml:space="preserve"> pendant l’exercice</w:t>
      </w:r>
      <w:r w:rsidR="001762E9">
        <w:rPr>
          <w:rFonts w:ascii="Calibri" w:hAnsi="Calibri" w:cs="Calibri"/>
          <w:bCs/>
          <w:sz w:val="22"/>
          <w:szCs w:val="22"/>
          <w:lang w:val="fr-FR"/>
        </w:rPr>
        <w:t>.</w:t>
      </w:r>
    </w:p>
    <w:p w:rsidR="002464F2" w:rsidRPr="00F21623" w:rsidRDefault="009C5E7D" w:rsidP="0047333D">
      <w:pPr>
        <w:pStyle w:val="ListParagraph"/>
        <w:ind w:left="851" w:hanging="425"/>
        <w:rPr>
          <w:rFonts w:ascii="Calibri" w:hAnsi="Calibri" w:cs="Calibri"/>
          <w:bCs/>
          <w:sz w:val="22"/>
          <w:szCs w:val="22"/>
          <w:lang w:val="fr-FR"/>
        </w:rPr>
      </w:pPr>
      <w:r w:rsidRPr="00F21623">
        <w:rPr>
          <w:rFonts w:ascii="Calibri" w:hAnsi="Calibri" w:cs="Calibri"/>
          <w:bCs/>
          <w:sz w:val="22"/>
          <w:szCs w:val="22"/>
          <w:lang w:val="fr-FR"/>
        </w:rPr>
        <w:t xml:space="preserve"> </w:t>
      </w:r>
    </w:p>
    <w:p w:rsidR="00B9791E" w:rsidRPr="00F21623" w:rsidRDefault="001762E9" w:rsidP="0047333D">
      <w:pPr>
        <w:pStyle w:val="ListParagraph"/>
        <w:numPr>
          <w:ilvl w:val="1"/>
          <w:numId w:val="26"/>
        </w:numPr>
        <w:ind w:left="851" w:hanging="425"/>
        <w:rPr>
          <w:rFonts w:ascii="Calibri" w:hAnsi="Calibri" w:cs="Calibri"/>
          <w:bCs/>
          <w:sz w:val="22"/>
          <w:szCs w:val="22"/>
          <w:lang w:val="fr-FR"/>
        </w:rPr>
      </w:pPr>
      <w:r>
        <w:rPr>
          <w:rFonts w:ascii="Calibri" w:hAnsi="Calibri" w:cs="Calibri"/>
          <w:bCs/>
          <w:sz w:val="22"/>
          <w:szCs w:val="22"/>
          <w:lang w:val="fr-FR"/>
        </w:rPr>
        <w:lastRenderedPageBreak/>
        <w:t xml:space="preserve">Les coûts salariaux globaux ont été de 377 000 CHF inférieurs aux prévisions </w:t>
      </w:r>
      <w:r w:rsidR="00C63097" w:rsidRPr="00F21623">
        <w:rPr>
          <w:rFonts w:ascii="Calibri" w:hAnsi="Calibri" w:cs="Calibri"/>
          <w:bCs/>
          <w:sz w:val="22"/>
          <w:szCs w:val="22"/>
          <w:lang w:val="fr-FR"/>
        </w:rPr>
        <w:t>(</w:t>
      </w:r>
      <w:r>
        <w:rPr>
          <w:rFonts w:ascii="Calibri" w:hAnsi="Calibri" w:cs="Calibri"/>
          <w:bCs/>
          <w:sz w:val="22"/>
          <w:szCs w:val="22"/>
          <w:lang w:val="fr-FR"/>
        </w:rPr>
        <w:t xml:space="preserve">soit </w:t>
      </w:r>
      <w:r w:rsidR="00B9791E" w:rsidRPr="00F21623">
        <w:rPr>
          <w:rFonts w:ascii="Calibri" w:hAnsi="Calibri" w:cs="Calibri"/>
          <w:bCs/>
          <w:sz w:val="22"/>
          <w:szCs w:val="22"/>
          <w:lang w:val="fr-FR"/>
        </w:rPr>
        <w:t>12</w:t>
      </w:r>
      <w:r w:rsidR="007E3F00" w:rsidRPr="00F21623">
        <w:rPr>
          <w:rFonts w:ascii="Calibri" w:hAnsi="Calibri" w:cs="Calibri"/>
          <w:bCs/>
          <w:sz w:val="22"/>
          <w:szCs w:val="22"/>
          <w:lang w:val="fr-FR"/>
        </w:rPr>
        <w:t>%</w:t>
      </w:r>
      <w:r>
        <w:rPr>
          <w:rFonts w:ascii="Calibri" w:hAnsi="Calibri" w:cs="Calibri"/>
          <w:bCs/>
          <w:sz w:val="22"/>
          <w:szCs w:val="22"/>
          <w:lang w:val="fr-FR"/>
        </w:rPr>
        <w:t xml:space="preserve">). Cette situation s’explique par </w:t>
      </w:r>
      <w:r w:rsidR="0018433B">
        <w:rPr>
          <w:rFonts w:ascii="Calibri" w:hAnsi="Calibri" w:cs="Calibri"/>
          <w:bCs/>
          <w:sz w:val="22"/>
          <w:szCs w:val="22"/>
          <w:lang w:val="fr-FR"/>
        </w:rPr>
        <w:t>plusieurs</w:t>
      </w:r>
      <w:r w:rsidR="0028163C">
        <w:rPr>
          <w:rFonts w:ascii="Calibri" w:hAnsi="Calibri" w:cs="Calibri"/>
          <w:bCs/>
          <w:sz w:val="22"/>
          <w:szCs w:val="22"/>
          <w:lang w:val="fr-FR"/>
        </w:rPr>
        <w:t xml:space="preserve"> postes </w:t>
      </w:r>
      <w:r w:rsidR="0018433B">
        <w:rPr>
          <w:rFonts w:ascii="Calibri" w:hAnsi="Calibri" w:cs="Calibri"/>
          <w:bCs/>
          <w:sz w:val="22"/>
          <w:szCs w:val="22"/>
          <w:lang w:val="fr-FR"/>
        </w:rPr>
        <w:t xml:space="preserve">laissés </w:t>
      </w:r>
      <w:r w:rsidR="0028163C">
        <w:rPr>
          <w:rFonts w:ascii="Calibri" w:hAnsi="Calibri" w:cs="Calibri"/>
          <w:bCs/>
          <w:sz w:val="22"/>
          <w:szCs w:val="22"/>
          <w:lang w:val="fr-FR"/>
        </w:rPr>
        <w:t>vacants</w:t>
      </w:r>
      <w:r w:rsidR="00EC654F">
        <w:rPr>
          <w:rFonts w:ascii="Calibri" w:hAnsi="Calibri" w:cs="Calibri"/>
          <w:bCs/>
          <w:sz w:val="22"/>
          <w:szCs w:val="22"/>
          <w:lang w:val="fr-FR"/>
        </w:rPr>
        <w:t xml:space="preserve"> pendant l’exercice</w:t>
      </w:r>
      <w:r w:rsidR="0028163C">
        <w:rPr>
          <w:rFonts w:ascii="Calibri" w:hAnsi="Calibri" w:cs="Calibri"/>
          <w:bCs/>
          <w:sz w:val="22"/>
          <w:szCs w:val="22"/>
          <w:lang w:val="fr-FR"/>
        </w:rPr>
        <w:t xml:space="preserve"> </w:t>
      </w:r>
      <w:r w:rsidR="0018433B">
        <w:rPr>
          <w:rFonts w:ascii="Calibri" w:hAnsi="Calibri" w:cs="Calibri"/>
          <w:bCs/>
          <w:sz w:val="22"/>
          <w:szCs w:val="22"/>
          <w:lang w:val="fr-FR"/>
        </w:rPr>
        <w:t xml:space="preserve">(Secrétaire général, Responsable des partenariats, Responsable de la communication et </w:t>
      </w:r>
      <w:r w:rsidR="00A17626">
        <w:rPr>
          <w:rFonts w:ascii="Calibri" w:hAnsi="Calibri" w:cs="Calibri"/>
          <w:bCs/>
          <w:sz w:val="22"/>
          <w:szCs w:val="22"/>
          <w:lang w:val="fr-FR"/>
        </w:rPr>
        <w:t>Responsable financier</w:t>
      </w:r>
      <w:r w:rsidR="0018433B">
        <w:rPr>
          <w:rFonts w:ascii="Calibri" w:hAnsi="Calibri" w:cs="Calibri"/>
          <w:bCs/>
          <w:sz w:val="22"/>
          <w:szCs w:val="22"/>
          <w:lang w:val="fr-FR"/>
        </w:rPr>
        <w:t xml:space="preserve">). </w:t>
      </w:r>
    </w:p>
    <w:p w:rsidR="007E3F00" w:rsidRPr="00F21623" w:rsidRDefault="007E3F00" w:rsidP="0047333D">
      <w:pPr>
        <w:pStyle w:val="ListParagraph"/>
        <w:rPr>
          <w:rFonts w:ascii="Calibri" w:hAnsi="Calibri" w:cs="Calibri"/>
          <w:bCs/>
          <w:sz w:val="22"/>
          <w:szCs w:val="22"/>
          <w:lang w:val="fr-FR"/>
        </w:rPr>
      </w:pPr>
    </w:p>
    <w:p w:rsidR="002464F2" w:rsidRPr="00F21623" w:rsidRDefault="0018433B" w:rsidP="0047333D">
      <w:pPr>
        <w:pStyle w:val="ListParagraph"/>
        <w:numPr>
          <w:ilvl w:val="1"/>
          <w:numId w:val="26"/>
        </w:numPr>
        <w:ind w:left="851" w:hanging="425"/>
        <w:rPr>
          <w:rFonts w:ascii="Calibri" w:hAnsi="Calibri" w:cs="Calibri"/>
          <w:bCs/>
          <w:sz w:val="22"/>
          <w:szCs w:val="22"/>
          <w:lang w:val="fr-FR"/>
        </w:rPr>
      </w:pPr>
      <w:r w:rsidRPr="00E03828">
        <w:rPr>
          <w:rFonts w:ascii="Calibri" w:hAnsi="Calibri" w:cs="Calibri"/>
          <w:bCs/>
          <w:sz w:val="22"/>
          <w:szCs w:val="22"/>
          <w:lang w:val="fr-FR"/>
        </w:rPr>
        <w:t xml:space="preserve">Aucune revalorisation liée à la hausse du coût de la vie imposée par l’UICN </w:t>
      </w:r>
      <w:r>
        <w:rPr>
          <w:rFonts w:ascii="Calibri" w:hAnsi="Calibri" w:cs="Calibri"/>
          <w:bCs/>
          <w:sz w:val="22"/>
          <w:szCs w:val="22"/>
          <w:lang w:val="fr-FR"/>
        </w:rPr>
        <w:t xml:space="preserve">n’est intervenue depuis </w:t>
      </w:r>
      <w:r w:rsidR="005D0C79" w:rsidRPr="00F21623">
        <w:rPr>
          <w:rFonts w:ascii="Calibri" w:hAnsi="Calibri" w:cs="Calibri"/>
          <w:bCs/>
          <w:sz w:val="22"/>
          <w:szCs w:val="22"/>
          <w:lang w:val="fr-FR"/>
        </w:rPr>
        <w:t>2011.</w:t>
      </w:r>
    </w:p>
    <w:p w:rsidR="000066BD" w:rsidRPr="00F21623" w:rsidRDefault="000066BD" w:rsidP="0047333D">
      <w:pPr>
        <w:pStyle w:val="ListParagraph"/>
        <w:rPr>
          <w:rFonts w:ascii="Calibri" w:hAnsi="Calibri" w:cs="Calibri"/>
          <w:bCs/>
          <w:sz w:val="22"/>
          <w:szCs w:val="22"/>
          <w:lang w:val="fr-FR"/>
        </w:rPr>
      </w:pPr>
    </w:p>
    <w:p w:rsidR="000066BD" w:rsidRPr="00F21623" w:rsidRDefault="0018433B" w:rsidP="0047333D">
      <w:pPr>
        <w:pStyle w:val="ListParagraph"/>
        <w:numPr>
          <w:ilvl w:val="1"/>
          <w:numId w:val="26"/>
        </w:numPr>
        <w:ind w:left="851" w:hanging="425"/>
        <w:rPr>
          <w:rFonts w:ascii="Calibri" w:hAnsi="Calibri" w:cs="Calibri"/>
          <w:bCs/>
          <w:sz w:val="22"/>
          <w:szCs w:val="22"/>
          <w:lang w:val="fr-FR"/>
        </w:rPr>
      </w:pPr>
      <w:r>
        <w:rPr>
          <w:rFonts w:ascii="Calibri" w:hAnsi="Calibri"/>
          <w:bCs/>
          <w:color w:val="000000"/>
          <w:sz w:val="22"/>
          <w:szCs w:val="22"/>
          <w:lang w:val="fr-FR" w:eastAsia="en-GB"/>
        </w:rPr>
        <w:t>Les dépenses sous le poste « Divers, Provisions</w:t>
      </w:r>
      <w:r w:rsidR="00EC654F">
        <w:rPr>
          <w:rFonts w:ascii="Calibri" w:hAnsi="Calibri"/>
          <w:bCs/>
          <w:color w:val="000000"/>
          <w:sz w:val="22"/>
          <w:szCs w:val="22"/>
          <w:lang w:val="fr-FR" w:eastAsia="en-GB"/>
        </w:rPr>
        <w:t xml:space="preserve"> eu autres</w:t>
      </w:r>
      <w:r>
        <w:rPr>
          <w:rFonts w:ascii="Calibri" w:hAnsi="Calibri"/>
          <w:bCs/>
          <w:color w:val="000000"/>
          <w:sz w:val="22"/>
          <w:szCs w:val="22"/>
          <w:lang w:val="fr-FR" w:eastAsia="en-GB"/>
        </w:rPr>
        <w:t xml:space="preserve"> » ont été supérieures aux prévisions, en raison essentiellement </w:t>
      </w:r>
      <w:r w:rsidR="00F4009C">
        <w:rPr>
          <w:rFonts w:ascii="Calibri" w:hAnsi="Calibri"/>
          <w:bCs/>
          <w:color w:val="000000"/>
          <w:sz w:val="22"/>
          <w:szCs w:val="22"/>
          <w:lang w:val="fr-FR" w:eastAsia="en-GB"/>
        </w:rPr>
        <w:t>de régularisations d’un montant de 169 </w:t>
      </w:r>
      <w:r w:rsidR="00C65AEA" w:rsidRPr="00F21623">
        <w:rPr>
          <w:rFonts w:ascii="Calibri" w:hAnsi="Calibri"/>
          <w:bCs/>
          <w:color w:val="000000"/>
          <w:sz w:val="22"/>
          <w:szCs w:val="22"/>
          <w:lang w:val="fr-FR" w:eastAsia="en-GB"/>
        </w:rPr>
        <w:t>000</w:t>
      </w:r>
      <w:r w:rsidR="00F4009C">
        <w:rPr>
          <w:rFonts w:ascii="Calibri" w:hAnsi="Calibri"/>
          <w:bCs/>
          <w:color w:val="000000"/>
          <w:sz w:val="22"/>
          <w:szCs w:val="22"/>
          <w:lang w:val="fr-FR" w:eastAsia="en-GB"/>
        </w:rPr>
        <w:t> CHF</w:t>
      </w:r>
      <w:r w:rsidR="00EC654F" w:rsidRPr="00EC654F">
        <w:rPr>
          <w:rFonts w:ascii="Calibri" w:hAnsi="Calibri"/>
          <w:bCs/>
          <w:color w:val="000000"/>
          <w:sz w:val="22"/>
          <w:szCs w:val="22"/>
          <w:lang w:val="fr-FR" w:eastAsia="en-GB"/>
        </w:rPr>
        <w:t xml:space="preserve"> </w:t>
      </w:r>
      <w:r w:rsidR="00EC654F">
        <w:rPr>
          <w:rFonts w:ascii="Calibri" w:hAnsi="Calibri"/>
          <w:bCs/>
          <w:color w:val="000000"/>
          <w:sz w:val="22"/>
          <w:szCs w:val="22"/>
          <w:lang w:val="fr-FR" w:eastAsia="en-GB"/>
        </w:rPr>
        <w:t>(chiffres provisoires)</w:t>
      </w:r>
      <w:r w:rsidR="00C65AEA" w:rsidRPr="00F21623">
        <w:rPr>
          <w:rFonts w:ascii="Calibri" w:hAnsi="Calibri"/>
          <w:bCs/>
          <w:color w:val="000000"/>
          <w:sz w:val="22"/>
          <w:szCs w:val="22"/>
          <w:lang w:val="fr-FR" w:eastAsia="en-GB"/>
        </w:rPr>
        <w:t xml:space="preserve">. </w:t>
      </w:r>
      <w:r w:rsidR="00F4009C">
        <w:rPr>
          <w:rFonts w:ascii="Calibri" w:hAnsi="Calibri"/>
          <w:bCs/>
          <w:color w:val="000000"/>
          <w:sz w:val="22"/>
          <w:szCs w:val="22"/>
          <w:lang w:val="fr-FR" w:eastAsia="en-GB"/>
        </w:rPr>
        <w:t>Ces charges à payer font actuellem</w:t>
      </w:r>
      <w:r w:rsidR="00EC654F">
        <w:rPr>
          <w:rFonts w:ascii="Calibri" w:hAnsi="Calibri"/>
          <w:bCs/>
          <w:color w:val="000000"/>
          <w:sz w:val="22"/>
          <w:szCs w:val="22"/>
          <w:lang w:val="fr-FR" w:eastAsia="en-GB"/>
        </w:rPr>
        <w:t xml:space="preserve">ent l’objet d’un rapprochement </w:t>
      </w:r>
      <w:r w:rsidR="00F4009C">
        <w:rPr>
          <w:rFonts w:ascii="Calibri" w:hAnsi="Calibri"/>
          <w:bCs/>
          <w:color w:val="000000"/>
          <w:sz w:val="22"/>
          <w:szCs w:val="22"/>
          <w:lang w:val="fr-FR" w:eastAsia="en-GB"/>
        </w:rPr>
        <w:t>visant à établir à quel poste budgétaire les imputer et à en confirmer le montant total.</w:t>
      </w:r>
    </w:p>
    <w:p w:rsidR="002464F2" w:rsidRPr="00F21623" w:rsidRDefault="002464F2" w:rsidP="0047333D">
      <w:pPr>
        <w:pStyle w:val="ListParagraph"/>
        <w:ind w:left="851" w:hanging="425"/>
        <w:rPr>
          <w:rFonts w:ascii="Calibri" w:hAnsi="Calibri" w:cs="Calibri"/>
          <w:bCs/>
          <w:sz w:val="22"/>
          <w:szCs w:val="22"/>
          <w:lang w:val="fr-FR"/>
        </w:rPr>
      </w:pPr>
    </w:p>
    <w:p w:rsidR="00A15D95" w:rsidRPr="00F21623" w:rsidRDefault="00A6330A" w:rsidP="0047333D">
      <w:pPr>
        <w:pStyle w:val="ListParagraph"/>
        <w:numPr>
          <w:ilvl w:val="1"/>
          <w:numId w:val="26"/>
        </w:numPr>
        <w:ind w:left="851" w:hanging="425"/>
        <w:rPr>
          <w:rFonts w:ascii="Calibri" w:hAnsi="Calibri" w:cs="Calibri"/>
          <w:bCs/>
          <w:sz w:val="22"/>
          <w:szCs w:val="22"/>
          <w:lang w:val="fr-FR"/>
        </w:rPr>
      </w:pPr>
      <w:r>
        <w:rPr>
          <w:rFonts w:ascii="Calibri" w:hAnsi="Calibri" w:cs="Calibri"/>
          <w:bCs/>
          <w:sz w:val="22"/>
          <w:szCs w:val="22"/>
          <w:lang w:val="fr-FR"/>
        </w:rPr>
        <w:t xml:space="preserve">Des sommes d’un montant total de </w:t>
      </w:r>
      <w:r w:rsidR="001D150C">
        <w:rPr>
          <w:rFonts w:ascii="Calibri" w:hAnsi="Calibri" w:cs="Calibri"/>
          <w:bCs/>
          <w:sz w:val="22"/>
          <w:szCs w:val="22"/>
          <w:lang w:val="fr-FR"/>
        </w:rPr>
        <w:t>277 000 CHF ont été transféré</w:t>
      </w:r>
      <w:r>
        <w:rPr>
          <w:rFonts w:ascii="Calibri" w:hAnsi="Calibri" w:cs="Calibri"/>
          <w:bCs/>
          <w:sz w:val="22"/>
          <w:szCs w:val="22"/>
          <w:lang w:val="fr-FR"/>
        </w:rPr>
        <w:t>e</w:t>
      </w:r>
      <w:r w:rsidR="001D150C">
        <w:rPr>
          <w:rFonts w:ascii="Calibri" w:hAnsi="Calibri" w:cs="Calibri"/>
          <w:bCs/>
          <w:sz w:val="22"/>
          <w:szCs w:val="22"/>
          <w:lang w:val="fr-FR"/>
        </w:rPr>
        <w:t xml:space="preserve">s du budget administratif vers des projets hors budget administratif en lien avec les Initiatives régionales Ramsar, le </w:t>
      </w:r>
      <w:r>
        <w:rPr>
          <w:rFonts w:ascii="Calibri" w:hAnsi="Calibri" w:cs="Calibri"/>
          <w:bCs/>
          <w:sz w:val="22"/>
          <w:szCs w:val="22"/>
          <w:lang w:val="fr-FR"/>
        </w:rPr>
        <w:t xml:space="preserve">SISR, </w:t>
      </w:r>
      <w:r w:rsidR="001D150C">
        <w:rPr>
          <w:rFonts w:ascii="Calibri" w:hAnsi="Calibri" w:cs="Calibri"/>
          <w:bCs/>
          <w:sz w:val="22"/>
          <w:szCs w:val="22"/>
          <w:lang w:val="fr-FR"/>
        </w:rPr>
        <w:t>l</w:t>
      </w:r>
      <w:r>
        <w:rPr>
          <w:rFonts w:ascii="Calibri" w:hAnsi="Calibri" w:cs="Calibri"/>
          <w:bCs/>
          <w:sz w:val="22"/>
          <w:szCs w:val="22"/>
          <w:lang w:val="fr-FR"/>
        </w:rPr>
        <w:t xml:space="preserve">a refonte du site web et la mise en œuvre du Plan de travail du GEST. Ces transferts ont été réalisés au cours des derniers exercices sans faire l’objet de rapports précis. La Secrétaire générale a fait part de la nécessité de revoir cette pratique dans </w:t>
      </w:r>
      <w:r w:rsidR="00AA7439">
        <w:rPr>
          <w:rFonts w:ascii="Calibri" w:hAnsi="Calibri" w:cs="Calibri"/>
          <w:bCs/>
          <w:sz w:val="22"/>
          <w:szCs w:val="22"/>
          <w:lang w:val="fr-FR"/>
        </w:rPr>
        <w:t>le rapport d’octobre 2016 qu’elle a remis au Comité exécutif</w:t>
      </w:r>
      <w:r w:rsidR="00A15D95" w:rsidRPr="00F21623">
        <w:rPr>
          <w:rFonts w:ascii="Calibri" w:hAnsi="Calibri"/>
          <w:color w:val="000000"/>
          <w:sz w:val="22"/>
          <w:szCs w:val="22"/>
          <w:lang w:val="fr-FR" w:eastAsia="en-GB"/>
        </w:rPr>
        <w:t xml:space="preserve">. </w:t>
      </w:r>
      <w:r w:rsidR="007268FB">
        <w:rPr>
          <w:rFonts w:ascii="Calibri" w:hAnsi="Calibri"/>
          <w:color w:val="000000"/>
          <w:sz w:val="22"/>
          <w:szCs w:val="22"/>
          <w:lang w:val="fr-FR" w:eastAsia="en-GB"/>
        </w:rPr>
        <w:t>Le montant total des imputations pour les exercices 2014 et 2014 figure sous la rubrique « Transferts budg</w:t>
      </w:r>
      <w:r w:rsidR="00EC654F">
        <w:rPr>
          <w:rFonts w:ascii="Calibri" w:hAnsi="Calibri"/>
          <w:color w:val="000000"/>
          <w:sz w:val="22"/>
          <w:szCs w:val="22"/>
          <w:lang w:val="fr-FR" w:eastAsia="en-GB"/>
        </w:rPr>
        <w:t>et administratif/projets » des é</w:t>
      </w:r>
      <w:r w:rsidR="007268FB">
        <w:rPr>
          <w:rFonts w:ascii="Calibri" w:hAnsi="Calibri"/>
          <w:color w:val="000000"/>
          <w:sz w:val="22"/>
          <w:szCs w:val="22"/>
          <w:lang w:val="fr-FR" w:eastAsia="en-GB"/>
        </w:rPr>
        <w:t>tats financiers vérifiés. Le tableau 2 présente une synthèse des sommes prélevées sur le budget administratif et imputées à des projets hors budget administratif de 2014 à 2016</w:t>
      </w:r>
      <w:r w:rsidR="00A15D95" w:rsidRPr="00F21623">
        <w:rPr>
          <w:rFonts w:ascii="Calibri" w:hAnsi="Calibri"/>
          <w:color w:val="000000"/>
          <w:sz w:val="22"/>
          <w:szCs w:val="22"/>
          <w:lang w:val="fr-FR" w:eastAsia="en-GB"/>
        </w:rPr>
        <w:t>.</w:t>
      </w:r>
      <w:r w:rsidR="007268FB">
        <w:rPr>
          <w:rFonts w:ascii="Calibri" w:hAnsi="Calibri"/>
          <w:color w:val="000000"/>
          <w:sz w:val="22"/>
          <w:szCs w:val="22"/>
          <w:lang w:val="fr-FR" w:eastAsia="en-GB"/>
        </w:rPr>
        <w:t xml:space="preserve"> Une nouvelle approche est proposée </w:t>
      </w:r>
      <w:r w:rsidR="00EC654F">
        <w:rPr>
          <w:rFonts w:ascii="Calibri" w:hAnsi="Calibri"/>
          <w:color w:val="000000"/>
          <w:sz w:val="22"/>
          <w:szCs w:val="22"/>
          <w:lang w:val="fr-FR" w:eastAsia="en-GB"/>
        </w:rPr>
        <w:t xml:space="preserve">en la matière </w:t>
      </w:r>
      <w:r w:rsidR="000723C7">
        <w:rPr>
          <w:rFonts w:ascii="Calibri" w:hAnsi="Calibri"/>
          <w:color w:val="000000"/>
          <w:sz w:val="22"/>
          <w:szCs w:val="22"/>
          <w:lang w:val="fr-FR" w:eastAsia="en-GB"/>
        </w:rPr>
        <w:t>au paragraphe 12 ci-dessous</w:t>
      </w:r>
      <w:r w:rsidR="00F906AD" w:rsidRPr="00F21623">
        <w:rPr>
          <w:rFonts w:ascii="Calibri" w:hAnsi="Calibri"/>
          <w:color w:val="000000"/>
          <w:sz w:val="22"/>
          <w:szCs w:val="22"/>
          <w:lang w:val="fr-FR" w:eastAsia="en-GB"/>
        </w:rPr>
        <w:t>.</w:t>
      </w:r>
    </w:p>
    <w:p w:rsidR="002464F2" w:rsidRPr="00F21623" w:rsidRDefault="002464F2" w:rsidP="0047333D">
      <w:pPr>
        <w:rPr>
          <w:rFonts w:ascii="Calibri" w:hAnsi="Calibri" w:cs="Calibri"/>
          <w:bCs/>
          <w:sz w:val="22"/>
          <w:szCs w:val="22"/>
          <w:lang w:val="fr-FR"/>
        </w:rPr>
      </w:pPr>
    </w:p>
    <w:p w:rsidR="007E7929" w:rsidRPr="00F21623" w:rsidRDefault="007E7929" w:rsidP="0047333D">
      <w:pPr>
        <w:rPr>
          <w:rFonts w:ascii="Calibri" w:hAnsi="Calibri" w:cs="Calibri"/>
          <w:i/>
          <w:sz w:val="22"/>
          <w:szCs w:val="22"/>
          <w:lang w:val="fr-FR"/>
        </w:rPr>
      </w:pPr>
    </w:p>
    <w:p w:rsidR="00797C03" w:rsidRPr="00F21623" w:rsidRDefault="00797C03" w:rsidP="0047333D">
      <w:pPr>
        <w:rPr>
          <w:rFonts w:ascii="Calibri" w:hAnsi="Calibri" w:cs="Calibri"/>
          <w:i/>
          <w:sz w:val="22"/>
          <w:szCs w:val="22"/>
          <w:lang w:val="fr-FR"/>
        </w:rPr>
      </w:pPr>
      <w:r w:rsidRPr="00F21623">
        <w:rPr>
          <w:rFonts w:ascii="Calibri" w:hAnsi="Calibri" w:cs="Calibri"/>
          <w:i/>
          <w:sz w:val="22"/>
          <w:szCs w:val="22"/>
          <w:lang w:val="fr-FR"/>
        </w:rPr>
        <w:t>Table</w:t>
      </w:r>
      <w:r w:rsidR="000A4BE7">
        <w:rPr>
          <w:rFonts w:ascii="Calibri" w:hAnsi="Calibri" w:cs="Calibri"/>
          <w:i/>
          <w:sz w:val="22"/>
          <w:szCs w:val="22"/>
          <w:lang w:val="fr-FR"/>
        </w:rPr>
        <w:t>au </w:t>
      </w:r>
      <w:r w:rsidRPr="00F21623">
        <w:rPr>
          <w:rFonts w:ascii="Calibri" w:hAnsi="Calibri" w:cs="Calibri"/>
          <w:i/>
          <w:sz w:val="22"/>
          <w:szCs w:val="22"/>
          <w:lang w:val="fr-FR"/>
        </w:rPr>
        <w:t>2</w:t>
      </w:r>
      <w:r w:rsidR="000A4BE7">
        <w:rPr>
          <w:rFonts w:ascii="Calibri" w:hAnsi="Calibri" w:cs="Calibri"/>
          <w:i/>
          <w:sz w:val="22"/>
          <w:szCs w:val="22"/>
          <w:lang w:val="fr-FR"/>
        </w:rPr>
        <w:t> </w:t>
      </w:r>
      <w:r w:rsidRPr="00F21623">
        <w:rPr>
          <w:rFonts w:ascii="Calibri" w:hAnsi="Calibri" w:cs="Calibri"/>
          <w:i/>
          <w:sz w:val="22"/>
          <w:szCs w:val="22"/>
          <w:lang w:val="fr-FR"/>
        </w:rPr>
        <w:t xml:space="preserve">: </w:t>
      </w:r>
      <w:r w:rsidR="000723C7">
        <w:rPr>
          <w:rFonts w:ascii="Calibri" w:hAnsi="Calibri" w:cs="Calibri"/>
          <w:i/>
          <w:sz w:val="22"/>
          <w:szCs w:val="22"/>
          <w:lang w:val="fr-FR"/>
        </w:rPr>
        <w:t xml:space="preserve">Sommes prélevées sur le budget administratif et affectées à des projets hors budget administratif </w:t>
      </w:r>
      <w:r w:rsidR="000723C7">
        <w:rPr>
          <w:rFonts w:ascii="Calibri" w:hAnsi="Calibri"/>
          <w:i/>
          <w:sz w:val="22"/>
          <w:szCs w:val="22"/>
          <w:lang w:val="fr-FR"/>
        </w:rPr>
        <w:t>de</w:t>
      </w:r>
      <w:r w:rsidR="00861AC8" w:rsidRPr="00F21623">
        <w:rPr>
          <w:rFonts w:ascii="Calibri" w:hAnsi="Calibri"/>
          <w:i/>
          <w:sz w:val="22"/>
          <w:szCs w:val="22"/>
          <w:lang w:val="fr-FR"/>
        </w:rPr>
        <w:t xml:space="preserve"> </w:t>
      </w:r>
      <w:r w:rsidR="00C3484B" w:rsidRPr="00F21623">
        <w:rPr>
          <w:rFonts w:ascii="Calibri" w:hAnsi="Calibri"/>
          <w:i/>
          <w:sz w:val="22"/>
          <w:szCs w:val="22"/>
          <w:lang w:val="fr-FR"/>
        </w:rPr>
        <w:t>2014</w:t>
      </w:r>
      <w:r w:rsidR="000723C7">
        <w:rPr>
          <w:rFonts w:ascii="Calibri" w:hAnsi="Calibri"/>
          <w:i/>
          <w:sz w:val="22"/>
          <w:szCs w:val="22"/>
          <w:lang w:val="fr-FR"/>
        </w:rPr>
        <w:t xml:space="preserve"> à </w:t>
      </w:r>
      <w:r w:rsidR="00C3484B" w:rsidRPr="00F21623">
        <w:rPr>
          <w:rFonts w:ascii="Calibri" w:hAnsi="Calibri"/>
          <w:i/>
          <w:sz w:val="22"/>
          <w:szCs w:val="22"/>
          <w:lang w:val="fr-FR"/>
        </w:rPr>
        <w:t xml:space="preserve">2016 </w:t>
      </w:r>
      <w:r w:rsidR="006C3673" w:rsidRPr="00F21623">
        <w:rPr>
          <w:rFonts w:ascii="Calibri" w:hAnsi="Calibri" w:cs="Calibri"/>
          <w:i/>
          <w:sz w:val="22"/>
          <w:szCs w:val="22"/>
          <w:lang w:val="fr-FR"/>
        </w:rPr>
        <w:t>(</w:t>
      </w:r>
      <w:r w:rsidR="006C3673">
        <w:rPr>
          <w:rFonts w:ascii="Calibri" w:hAnsi="Calibri" w:cs="Calibri"/>
          <w:i/>
          <w:sz w:val="22"/>
          <w:szCs w:val="22"/>
          <w:lang w:val="fr-FR"/>
        </w:rPr>
        <w:t>en milliers de CHF, erreurs possibles d’arrondis comprises</w:t>
      </w:r>
      <w:r w:rsidR="006C3673" w:rsidRPr="00F21623">
        <w:rPr>
          <w:rFonts w:ascii="Calibri" w:hAnsi="Calibri" w:cs="Calibri"/>
          <w:i/>
          <w:sz w:val="22"/>
          <w:szCs w:val="22"/>
          <w:lang w:val="fr-FR"/>
        </w:rPr>
        <w:t>)</w:t>
      </w:r>
    </w:p>
    <w:p w:rsidR="00F906AD" w:rsidRPr="00F21623" w:rsidRDefault="00F906AD" w:rsidP="0047333D">
      <w:pPr>
        <w:rPr>
          <w:rFonts w:ascii="Calibri" w:hAnsi="Calibri"/>
          <w:b/>
          <w:sz w:val="22"/>
          <w:szCs w:val="22"/>
          <w:lang w:val="fr-FR"/>
        </w:rPr>
      </w:pPr>
    </w:p>
    <w:tbl>
      <w:tblPr>
        <w:tblW w:w="6961" w:type="dxa"/>
        <w:tblInd w:w="93" w:type="dxa"/>
        <w:tblLayout w:type="fixed"/>
        <w:tblLook w:val="04A0" w:firstRow="1" w:lastRow="0" w:firstColumn="1" w:lastColumn="0" w:noHBand="0" w:noVBand="1"/>
      </w:tblPr>
      <w:tblGrid>
        <w:gridCol w:w="3276"/>
        <w:gridCol w:w="1275"/>
        <w:gridCol w:w="1134"/>
        <w:gridCol w:w="1276"/>
      </w:tblGrid>
      <w:tr w:rsidR="009A4030" w:rsidRPr="00F21623" w:rsidTr="00513AB1">
        <w:trPr>
          <w:trHeight w:val="288"/>
        </w:trPr>
        <w:tc>
          <w:tcPr>
            <w:tcW w:w="3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9A4030" w:rsidRPr="00F21623" w:rsidRDefault="009A4030"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Description</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rsidR="009A4030" w:rsidRPr="00F21623" w:rsidRDefault="009A4030" w:rsidP="0047333D">
            <w:pPr>
              <w:jc w:val="center"/>
              <w:rPr>
                <w:rFonts w:ascii="Calibri" w:hAnsi="Calibri"/>
                <w:b/>
                <w:color w:val="000000"/>
                <w:sz w:val="22"/>
                <w:szCs w:val="22"/>
                <w:lang w:val="fr-FR"/>
              </w:rPr>
            </w:pPr>
            <w:r w:rsidRPr="00F21623">
              <w:rPr>
                <w:rFonts w:ascii="Calibri" w:eastAsia="Times New Roman" w:hAnsi="Calibri"/>
                <w:b/>
                <w:bCs/>
                <w:color w:val="000000"/>
                <w:sz w:val="22"/>
                <w:szCs w:val="22"/>
                <w:lang w:val="fr-FR" w:eastAsia="en-GB"/>
              </w:rPr>
              <w:t> 2014</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A4030" w:rsidRPr="00F21623" w:rsidRDefault="009A4030" w:rsidP="0047333D">
            <w:pPr>
              <w:jc w:val="cente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2015 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A4030" w:rsidRPr="00F21623" w:rsidRDefault="009A4030" w:rsidP="0047333D">
            <w:pPr>
              <w:jc w:val="cente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 2016</w:t>
            </w:r>
          </w:p>
        </w:tc>
      </w:tr>
      <w:tr w:rsidR="009A4030" w:rsidRPr="00F21623">
        <w:trPr>
          <w:trHeight w:val="288"/>
        </w:trPr>
        <w:tc>
          <w:tcPr>
            <w:tcW w:w="3276" w:type="dxa"/>
            <w:tcBorders>
              <w:top w:val="nil"/>
              <w:left w:val="single" w:sz="4" w:space="0" w:color="auto"/>
              <w:bottom w:val="nil"/>
              <w:right w:val="nil"/>
            </w:tcBorders>
            <w:shd w:val="clear" w:color="auto" w:fill="auto"/>
            <w:noWrap/>
            <w:vAlign w:val="bottom"/>
          </w:tcPr>
          <w:p w:rsidR="009A4030" w:rsidRPr="00F21623" w:rsidRDefault="009A4030"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Initiatives</w:t>
            </w:r>
            <w:r w:rsidR="00C4709B">
              <w:rPr>
                <w:rFonts w:ascii="Calibri" w:eastAsia="Times New Roman" w:hAnsi="Calibri"/>
                <w:color w:val="000000"/>
                <w:sz w:val="22"/>
                <w:szCs w:val="22"/>
                <w:lang w:val="fr-FR" w:eastAsia="en-GB"/>
              </w:rPr>
              <w:t xml:space="preserve"> régionales</w:t>
            </w:r>
          </w:p>
        </w:tc>
        <w:tc>
          <w:tcPr>
            <w:tcW w:w="1275" w:type="dxa"/>
            <w:tcBorders>
              <w:top w:val="nil"/>
              <w:left w:val="single" w:sz="4" w:space="0" w:color="auto"/>
              <w:bottom w:val="nil"/>
              <w:right w:val="single" w:sz="4" w:space="0" w:color="auto"/>
            </w:tcBorders>
            <w:shd w:val="clear" w:color="auto" w:fill="auto"/>
            <w:noWrap/>
            <w:vAlign w:val="bottom"/>
          </w:tcPr>
          <w:p w:rsidR="009A4030" w:rsidRPr="00F21623" w:rsidRDefault="009A4030" w:rsidP="0047333D">
            <w:pPr>
              <w:ind w:right="175"/>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120</w:t>
            </w:r>
          </w:p>
        </w:tc>
        <w:tc>
          <w:tcPr>
            <w:tcW w:w="1134"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107</w:t>
            </w:r>
          </w:p>
        </w:tc>
        <w:tc>
          <w:tcPr>
            <w:tcW w:w="1276"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120</w:t>
            </w:r>
          </w:p>
        </w:tc>
      </w:tr>
      <w:tr w:rsidR="009A4030" w:rsidRPr="00F21623">
        <w:trPr>
          <w:trHeight w:val="288"/>
        </w:trPr>
        <w:tc>
          <w:tcPr>
            <w:tcW w:w="3276" w:type="dxa"/>
            <w:tcBorders>
              <w:top w:val="nil"/>
              <w:left w:val="single" w:sz="4" w:space="0" w:color="auto"/>
              <w:bottom w:val="nil"/>
              <w:right w:val="nil"/>
            </w:tcBorders>
            <w:shd w:val="clear" w:color="auto" w:fill="auto"/>
            <w:noWrap/>
            <w:vAlign w:val="bottom"/>
          </w:tcPr>
          <w:p w:rsidR="009A4030" w:rsidRPr="00F21623" w:rsidRDefault="000723C7"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Refonte du SISR</w:t>
            </w:r>
          </w:p>
        </w:tc>
        <w:tc>
          <w:tcPr>
            <w:tcW w:w="1275" w:type="dxa"/>
            <w:tcBorders>
              <w:top w:val="nil"/>
              <w:left w:val="single" w:sz="4" w:space="0" w:color="auto"/>
              <w:bottom w:val="nil"/>
              <w:right w:val="single" w:sz="4" w:space="0" w:color="auto"/>
            </w:tcBorders>
            <w:shd w:val="clear" w:color="auto" w:fill="auto"/>
            <w:noWrap/>
            <w:vAlign w:val="bottom"/>
          </w:tcPr>
          <w:p w:rsidR="009A4030" w:rsidRPr="00F21623" w:rsidRDefault="009A4030" w:rsidP="0047333D">
            <w:pPr>
              <w:ind w:right="175"/>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90</w:t>
            </w:r>
          </w:p>
        </w:tc>
        <w:tc>
          <w:tcPr>
            <w:tcW w:w="1134"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80</w:t>
            </w:r>
          </w:p>
        </w:tc>
        <w:tc>
          <w:tcPr>
            <w:tcW w:w="1276"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47</w:t>
            </w:r>
          </w:p>
        </w:tc>
      </w:tr>
      <w:tr w:rsidR="009A4030" w:rsidRPr="00F21623">
        <w:trPr>
          <w:trHeight w:val="288"/>
        </w:trPr>
        <w:tc>
          <w:tcPr>
            <w:tcW w:w="3276" w:type="dxa"/>
            <w:tcBorders>
              <w:top w:val="nil"/>
              <w:left w:val="single" w:sz="4" w:space="0" w:color="auto"/>
              <w:bottom w:val="nil"/>
              <w:right w:val="nil"/>
            </w:tcBorders>
            <w:shd w:val="clear" w:color="auto" w:fill="auto"/>
            <w:noWrap/>
            <w:vAlign w:val="bottom"/>
          </w:tcPr>
          <w:p w:rsidR="009A4030" w:rsidRPr="00F21623" w:rsidRDefault="000723C7"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Refonte du site web</w:t>
            </w:r>
          </w:p>
        </w:tc>
        <w:tc>
          <w:tcPr>
            <w:tcW w:w="1275" w:type="dxa"/>
            <w:tcBorders>
              <w:top w:val="nil"/>
              <w:left w:val="single" w:sz="4" w:space="0" w:color="auto"/>
              <w:bottom w:val="nil"/>
              <w:right w:val="single" w:sz="4" w:space="0" w:color="auto"/>
            </w:tcBorders>
            <w:shd w:val="clear" w:color="auto" w:fill="auto"/>
            <w:noWrap/>
            <w:vAlign w:val="bottom"/>
          </w:tcPr>
          <w:p w:rsidR="009A4030" w:rsidRPr="00F21623" w:rsidRDefault="009A4030" w:rsidP="0047333D">
            <w:pPr>
              <w:ind w:right="175"/>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30</w:t>
            </w:r>
          </w:p>
        </w:tc>
        <w:tc>
          <w:tcPr>
            <w:tcW w:w="1134"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60</w:t>
            </w:r>
          </w:p>
        </w:tc>
        <w:tc>
          <w:tcPr>
            <w:tcW w:w="1276"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70</w:t>
            </w:r>
          </w:p>
        </w:tc>
      </w:tr>
      <w:tr w:rsidR="009A4030" w:rsidRPr="00F21623">
        <w:trPr>
          <w:trHeight w:val="288"/>
        </w:trPr>
        <w:tc>
          <w:tcPr>
            <w:tcW w:w="3276" w:type="dxa"/>
            <w:tcBorders>
              <w:top w:val="nil"/>
              <w:left w:val="single" w:sz="4" w:space="0" w:color="auto"/>
              <w:bottom w:val="nil"/>
              <w:right w:val="nil"/>
            </w:tcBorders>
            <w:shd w:val="clear" w:color="auto" w:fill="auto"/>
            <w:noWrap/>
            <w:vAlign w:val="bottom"/>
          </w:tcPr>
          <w:p w:rsidR="009A4030" w:rsidRPr="00F21623" w:rsidRDefault="000723C7" w:rsidP="000723C7">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 xml:space="preserve">Mise en œuvre du </w:t>
            </w:r>
            <w:r>
              <w:rPr>
                <w:rFonts w:ascii="Calibri" w:hAnsi="Calibri" w:cs="Calibri"/>
                <w:bCs/>
                <w:sz w:val="22"/>
                <w:szCs w:val="22"/>
                <w:lang w:val="fr-FR"/>
              </w:rPr>
              <w:t>Plan de travail du GEST</w:t>
            </w:r>
          </w:p>
        </w:tc>
        <w:tc>
          <w:tcPr>
            <w:tcW w:w="1275" w:type="dxa"/>
            <w:tcBorders>
              <w:top w:val="nil"/>
              <w:left w:val="single" w:sz="4" w:space="0" w:color="auto"/>
              <w:bottom w:val="nil"/>
              <w:right w:val="single" w:sz="4" w:space="0" w:color="auto"/>
            </w:tcBorders>
            <w:shd w:val="clear" w:color="auto" w:fill="auto"/>
            <w:noWrap/>
            <w:vAlign w:val="bottom"/>
          </w:tcPr>
          <w:p w:rsidR="009A4030" w:rsidRPr="00F21623" w:rsidRDefault="009A4030" w:rsidP="0047333D">
            <w:pPr>
              <w:ind w:right="175"/>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30</w:t>
            </w:r>
          </w:p>
        </w:tc>
        <w:tc>
          <w:tcPr>
            <w:tcW w:w="1134"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40</w:t>
            </w:r>
          </w:p>
        </w:tc>
        <w:tc>
          <w:tcPr>
            <w:tcW w:w="1276" w:type="dxa"/>
            <w:tcBorders>
              <w:top w:val="nil"/>
              <w:left w:val="nil"/>
              <w:bottom w:val="nil"/>
              <w:right w:val="single" w:sz="4" w:space="0" w:color="auto"/>
            </w:tcBorders>
            <w:shd w:val="clear" w:color="auto" w:fill="auto"/>
            <w:noWrap/>
            <w:vAlign w:val="bottom"/>
          </w:tcPr>
          <w:p w:rsidR="009A4030" w:rsidRPr="00F21623" w:rsidRDefault="009A4030" w:rsidP="0047333D">
            <w:pPr>
              <w:ind w:right="176"/>
              <w:jc w:val="right"/>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40</w:t>
            </w:r>
          </w:p>
        </w:tc>
      </w:tr>
      <w:tr w:rsidR="009A4030" w:rsidRPr="00F21623">
        <w:trPr>
          <w:trHeight w:val="300"/>
        </w:trPr>
        <w:tc>
          <w:tcPr>
            <w:tcW w:w="3276" w:type="dxa"/>
            <w:tcBorders>
              <w:top w:val="nil"/>
              <w:left w:val="single" w:sz="4" w:space="0" w:color="auto"/>
              <w:bottom w:val="single" w:sz="4" w:space="0" w:color="auto"/>
              <w:right w:val="nil"/>
            </w:tcBorders>
            <w:shd w:val="clear" w:color="auto" w:fill="auto"/>
            <w:noWrap/>
            <w:vAlign w:val="bottom"/>
          </w:tcPr>
          <w:p w:rsidR="009A4030" w:rsidRPr="00F21623" w:rsidRDefault="009A4030"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Total</w:t>
            </w:r>
          </w:p>
        </w:tc>
        <w:tc>
          <w:tcPr>
            <w:tcW w:w="1275" w:type="dxa"/>
            <w:tcBorders>
              <w:top w:val="single" w:sz="4" w:space="0" w:color="auto"/>
              <w:left w:val="single" w:sz="4" w:space="0" w:color="auto"/>
              <w:bottom w:val="double" w:sz="6" w:space="0" w:color="auto"/>
              <w:right w:val="single" w:sz="4" w:space="0" w:color="auto"/>
            </w:tcBorders>
            <w:shd w:val="clear" w:color="000000" w:fill="D9D9D9"/>
            <w:noWrap/>
            <w:vAlign w:val="bottom"/>
          </w:tcPr>
          <w:p w:rsidR="009A4030" w:rsidRPr="00F21623" w:rsidRDefault="009A4030" w:rsidP="0047333D">
            <w:pPr>
              <w:ind w:right="175"/>
              <w:jc w:val="right"/>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270</w:t>
            </w:r>
            <w:r w:rsidRPr="00F21623">
              <w:rPr>
                <w:rStyle w:val="FootnoteReference"/>
                <w:rFonts w:ascii="Calibri" w:eastAsia="Times New Roman" w:hAnsi="Calibri"/>
                <w:b/>
                <w:bCs/>
                <w:color w:val="000000"/>
                <w:sz w:val="22"/>
                <w:szCs w:val="22"/>
                <w:lang w:val="fr-FR" w:eastAsia="en-GB"/>
              </w:rPr>
              <w:footnoteReference w:id="2"/>
            </w:r>
          </w:p>
        </w:tc>
        <w:tc>
          <w:tcPr>
            <w:tcW w:w="1134" w:type="dxa"/>
            <w:tcBorders>
              <w:top w:val="single" w:sz="4" w:space="0" w:color="auto"/>
              <w:left w:val="nil"/>
              <w:bottom w:val="double" w:sz="6" w:space="0" w:color="auto"/>
              <w:right w:val="single" w:sz="4" w:space="0" w:color="auto"/>
            </w:tcBorders>
            <w:shd w:val="clear" w:color="000000" w:fill="D9D9D9"/>
            <w:noWrap/>
            <w:vAlign w:val="bottom"/>
          </w:tcPr>
          <w:p w:rsidR="009A4030" w:rsidRPr="00F21623" w:rsidRDefault="009A4030" w:rsidP="0047333D">
            <w:pPr>
              <w:ind w:right="176"/>
              <w:jc w:val="right"/>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287</w:t>
            </w:r>
            <w:r w:rsidRPr="00F21623">
              <w:rPr>
                <w:rStyle w:val="FootnoteReference"/>
                <w:rFonts w:ascii="Calibri" w:eastAsia="Times New Roman" w:hAnsi="Calibri"/>
                <w:b/>
                <w:bCs/>
                <w:color w:val="000000"/>
                <w:sz w:val="22"/>
                <w:szCs w:val="22"/>
                <w:lang w:val="fr-FR" w:eastAsia="en-GB"/>
              </w:rPr>
              <w:footnoteReference w:id="3"/>
            </w:r>
          </w:p>
        </w:tc>
        <w:tc>
          <w:tcPr>
            <w:tcW w:w="1276" w:type="dxa"/>
            <w:tcBorders>
              <w:top w:val="single" w:sz="4" w:space="0" w:color="auto"/>
              <w:left w:val="nil"/>
              <w:bottom w:val="double" w:sz="6" w:space="0" w:color="auto"/>
              <w:right w:val="single" w:sz="4" w:space="0" w:color="auto"/>
            </w:tcBorders>
            <w:shd w:val="clear" w:color="000000" w:fill="D9D9D9"/>
            <w:noWrap/>
            <w:vAlign w:val="bottom"/>
          </w:tcPr>
          <w:p w:rsidR="009A4030" w:rsidRPr="00F21623" w:rsidRDefault="009A4030" w:rsidP="0047333D">
            <w:pPr>
              <w:ind w:right="176"/>
              <w:jc w:val="right"/>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277</w:t>
            </w:r>
          </w:p>
        </w:tc>
      </w:tr>
    </w:tbl>
    <w:p w:rsidR="00797C03" w:rsidRPr="00F21623" w:rsidRDefault="00797C03" w:rsidP="0047333D">
      <w:pPr>
        <w:pStyle w:val="ListParagraph"/>
        <w:ind w:left="851" w:hanging="425"/>
        <w:rPr>
          <w:rFonts w:ascii="Calibri" w:hAnsi="Calibri" w:cs="Calibri"/>
          <w:bCs/>
          <w:sz w:val="22"/>
          <w:szCs w:val="22"/>
          <w:lang w:val="fr-FR"/>
        </w:rPr>
      </w:pPr>
    </w:p>
    <w:p w:rsidR="00C63097" w:rsidRPr="00F21623" w:rsidRDefault="00C63097" w:rsidP="0047333D">
      <w:pPr>
        <w:rPr>
          <w:rFonts w:ascii="Calibri" w:hAnsi="Calibri" w:cs="Calibri"/>
          <w:bCs/>
          <w:sz w:val="22"/>
          <w:szCs w:val="22"/>
          <w:lang w:val="fr-FR"/>
        </w:rPr>
      </w:pPr>
    </w:p>
    <w:p w:rsidR="00BF2443" w:rsidRPr="00F21623" w:rsidRDefault="00B763F5" w:rsidP="0047333D">
      <w:pPr>
        <w:rPr>
          <w:rFonts w:ascii="Calibri" w:hAnsi="Calibri" w:cs="Calibri"/>
          <w:b/>
          <w:bCs/>
          <w:sz w:val="22"/>
          <w:szCs w:val="22"/>
          <w:lang w:val="fr-FR"/>
        </w:rPr>
      </w:pPr>
      <w:r w:rsidRPr="00F21623">
        <w:rPr>
          <w:rFonts w:ascii="Calibri" w:hAnsi="Calibri" w:cs="Calibri"/>
          <w:b/>
          <w:bCs/>
          <w:sz w:val="22"/>
          <w:szCs w:val="22"/>
          <w:lang w:val="fr-FR"/>
        </w:rPr>
        <w:t>Propos</w:t>
      </w:r>
      <w:r w:rsidR="00402382">
        <w:rPr>
          <w:rFonts w:ascii="Calibri" w:hAnsi="Calibri" w:cs="Calibri"/>
          <w:b/>
          <w:bCs/>
          <w:sz w:val="22"/>
          <w:szCs w:val="22"/>
          <w:lang w:val="fr-FR"/>
        </w:rPr>
        <w:t>ition concernant l’excédent 2016 et le fonds de réserve</w:t>
      </w:r>
    </w:p>
    <w:p w:rsidR="00BF2443" w:rsidRPr="00F21623" w:rsidRDefault="00BF2443" w:rsidP="0047333D">
      <w:pPr>
        <w:pStyle w:val="ListParagraph"/>
        <w:rPr>
          <w:rFonts w:ascii="Calibri" w:hAnsi="Calibri" w:cs="Calibri"/>
          <w:bCs/>
          <w:sz w:val="22"/>
          <w:szCs w:val="22"/>
          <w:highlight w:val="yellow"/>
          <w:lang w:val="fr-FR"/>
        </w:rPr>
      </w:pPr>
    </w:p>
    <w:p w:rsidR="00B763F5" w:rsidRPr="00F21623" w:rsidRDefault="00832D36"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À sa 51</w:t>
      </w:r>
      <w:r w:rsidRPr="00832D36">
        <w:rPr>
          <w:rFonts w:ascii="Calibri" w:hAnsi="Calibri" w:cs="Calibri"/>
          <w:bCs/>
          <w:sz w:val="22"/>
          <w:szCs w:val="22"/>
          <w:vertAlign w:val="superscript"/>
          <w:lang w:val="fr-FR"/>
        </w:rPr>
        <w:t>e</w:t>
      </w:r>
      <w:r>
        <w:rPr>
          <w:rFonts w:ascii="Calibri" w:hAnsi="Calibri" w:cs="Calibri"/>
          <w:bCs/>
          <w:sz w:val="22"/>
          <w:szCs w:val="22"/>
          <w:lang w:val="fr-FR"/>
        </w:rPr>
        <w:t xml:space="preserve"> Réunion </w:t>
      </w:r>
      <w:r w:rsidR="00C62D80" w:rsidRPr="00F21623">
        <w:rPr>
          <w:rFonts w:ascii="Calibri" w:hAnsi="Calibri" w:cs="Calibri"/>
          <w:bCs/>
          <w:sz w:val="22"/>
          <w:szCs w:val="22"/>
          <w:lang w:val="fr-FR"/>
        </w:rPr>
        <w:t>(</w:t>
      </w:r>
      <w:r w:rsidR="00F906AD" w:rsidRPr="00F21623">
        <w:rPr>
          <w:rFonts w:ascii="Calibri" w:hAnsi="Calibri" w:cs="Calibri"/>
          <w:bCs/>
          <w:sz w:val="22"/>
          <w:szCs w:val="22"/>
          <w:lang w:val="fr-FR"/>
        </w:rPr>
        <w:t>SC51</w:t>
      </w:r>
      <w:r w:rsidR="00C90D3C" w:rsidRPr="00F21623">
        <w:rPr>
          <w:rFonts w:ascii="Calibri" w:hAnsi="Calibri" w:cs="Calibri"/>
          <w:bCs/>
          <w:sz w:val="22"/>
          <w:szCs w:val="22"/>
          <w:lang w:val="fr-FR"/>
        </w:rPr>
        <w:t xml:space="preserve">, </w:t>
      </w:r>
      <w:r w:rsidR="00095A7C" w:rsidRPr="00F21623">
        <w:rPr>
          <w:rFonts w:ascii="Calibri" w:hAnsi="Calibri" w:cs="Calibri"/>
          <w:bCs/>
          <w:sz w:val="22"/>
          <w:szCs w:val="22"/>
          <w:lang w:val="fr-FR"/>
        </w:rPr>
        <w:t>2015)</w:t>
      </w:r>
      <w:r w:rsidR="006E4E46" w:rsidRPr="00F21623">
        <w:rPr>
          <w:rFonts w:ascii="Calibri" w:hAnsi="Calibri" w:cs="Calibri"/>
          <w:bCs/>
          <w:sz w:val="22"/>
          <w:szCs w:val="22"/>
          <w:lang w:val="fr-FR"/>
        </w:rPr>
        <w:t>,</w:t>
      </w:r>
      <w:r w:rsidR="00095A7C" w:rsidRPr="00F21623">
        <w:rPr>
          <w:rFonts w:ascii="Calibri" w:hAnsi="Calibri" w:cs="Calibri"/>
          <w:bCs/>
          <w:sz w:val="22"/>
          <w:szCs w:val="22"/>
          <w:lang w:val="fr-FR"/>
        </w:rPr>
        <w:t xml:space="preserve"> </w:t>
      </w:r>
      <w:r>
        <w:rPr>
          <w:rFonts w:ascii="Calibri" w:hAnsi="Calibri" w:cs="Calibri"/>
          <w:bCs/>
          <w:sz w:val="22"/>
          <w:szCs w:val="22"/>
          <w:lang w:val="fr-FR"/>
        </w:rPr>
        <w:t>le Comité permanent a convenu dans la décision </w:t>
      </w:r>
      <w:r w:rsidR="00C803AF" w:rsidRPr="00F21623">
        <w:rPr>
          <w:rFonts w:ascii="Calibri" w:hAnsi="Calibri" w:cs="Calibri"/>
          <w:bCs/>
          <w:sz w:val="22"/>
          <w:szCs w:val="22"/>
          <w:lang w:val="fr-FR"/>
        </w:rPr>
        <w:t>SC51-22</w:t>
      </w:r>
      <w:r>
        <w:rPr>
          <w:rFonts w:ascii="Calibri" w:hAnsi="Calibri" w:cs="Calibri"/>
          <w:bCs/>
          <w:sz w:val="22"/>
          <w:szCs w:val="22"/>
          <w:lang w:val="fr-FR"/>
        </w:rPr>
        <w:t xml:space="preserve"> d’affecter 278 </w:t>
      </w:r>
      <w:r w:rsidR="00770D8F" w:rsidRPr="00F21623">
        <w:rPr>
          <w:rFonts w:ascii="Calibri" w:hAnsi="Calibri" w:cs="Calibri"/>
          <w:bCs/>
          <w:sz w:val="22"/>
          <w:szCs w:val="22"/>
          <w:lang w:val="fr-FR"/>
        </w:rPr>
        <w:t>000</w:t>
      </w:r>
      <w:r>
        <w:rPr>
          <w:rFonts w:ascii="Calibri" w:hAnsi="Calibri" w:cs="Calibri"/>
          <w:bCs/>
          <w:sz w:val="22"/>
          <w:szCs w:val="22"/>
          <w:lang w:val="fr-FR"/>
        </w:rPr>
        <w:t xml:space="preserve"> CHF au poste budgétaire K </w:t>
      </w:r>
      <w:r w:rsidR="00EC654F">
        <w:rPr>
          <w:rFonts w:ascii="Calibri" w:hAnsi="Calibri" w:cs="Calibri"/>
          <w:bCs/>
          <w:sz w:val="22"/>
          <w:szCs w:val="22"/>
          <w:lang w:val="fr-FR"/>
        </w:rPr>
        <w:t xml:space="preserve">du budget 2016 </w:t>
      </w:r>
      <w:r>
        <w:rPr>
          <w:rFonts w:ascii="Calibri" w:hAnsi="Calibri" w:cs="Calibri"/>
          <w:bCs/>
          <w:sz w:val="22"/>
          <w:szCs w:val="22"/>
          <w:lang w:val="fr-FR"/>
        </w:rPr>
        <w:t>correspondant aux provisions pour le fonds de réserve. Une fois cette somme mise de côté, l’excédent global provisoire s’élevait à la fin de l’exercice 2016 à 338 </w:t>
      </w:r>
      <w:r w:rsidR="00B763F5" w:rsidRPr="00F21623">
        <w:rPr>
          <w:rFonts w:ascii="Calibri" w:hAnsi="Calibri" w:cs="Calibri"/>
          <w:bCs/>
          <w:sz w:val="22"/>
          <w:szCs w:val="22"/>
          <w:lang w:val="fr-FR"/>
        </w:rPr>
        <w:t>000</w:t>
      </w:r>
      <w:r>
        <w:rPr>
          <w:rFonts w:ascii="Calibri" w:hAnsi="Calibri" w:cs="Calibri"/>
          <w:bCs/>
          <w:sz w:val="22"/>
          <w:szCs w:val="22"/>
          <w:lang w:val="fr-FR"/>
        </w:rPr>
        <w:t> CHF</w:t>
      </w:r>
      <w:r w:rsidR="00B763F5" w:rsidRPr="00F21623">
        <w:rPr>
          <w:rFonts w:ascii="Calibri" w:hAnsi="Calibri" w:cs="Calibri"/>
          <w:bCs/>
          <w:sz w:val="22"/>
          <w:szCs w:val="22"/>
          <w:lang w:val="fr-FR"/>
        </w:rPr>
        <w:t xml:space="preserve">. </w:t>
      </w:r>
    </w:p>
    <w:p w:rsidR="00B763F5" w:rsidRPr="00F21623" w:rsidRDefault="00B763F5" w:rsidP="0047333D">
      <w:pPr>
        <w:pStyle w:val="ListParagraph"/>
        <w:ind w:left="426"/>
        <w:rPr>
          <w:rFonts w:ascii="Calibri" w:hAnsi="Calibri" w:cs="Calibri"/>
          <w:bCs/>
          <w:sz w:val="22"/>
          <w:szCs w:val="22"/>
          <w:lang w:val="fr-FR"/>
        </w:rPr>
      </w:pPr>
    </w:p>
    <w:p w:rsidR="005363BF" w:rsidRPr="00F21623" w:rsidRDefault="00832D36"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lastRenderedPageBreak/>
        <w:t>Le Secré</w:t>
      </w:r>
      <w:r w:rsidR="00C803AF" w:rsidRPr="00F21623">
        <w:rPr>
          <w:rFonts w:ascii="Calibri" w:hAnsi="Calibri" w:cs="Calibri"/>
          <w:bCs/>
          <w:sz w:val="22"/>
          <w:szCs w:val="22"/>
          <w:lang w:val="fr-FR"/>
        </w:rPr>
        <w:t>tariat</w:t>
      </w:r>
      <w:r w:rsidR="00B763F5" w:rsidRPr="00F21623">
        <w:rPr>
          <w:rFonts w:ascii="Calibri" w:hAnsi="Calibri" w:cs="Calibri"/>
          <w:bCs/>
          <w:sz w:val="22"/>
          <w:szCs w:val="22"/>
          <w:lang w:val="fr-FR"/>
        </w:rPr>
        <w:t xml:space="preserve"> </w:t>
      </w:r>
      <w:r w:rsidR="00856FEC" w:rsidRPr="00F21623">
        <w:rPr>
          <w:rFonts w:ascii="Calibri" w:hAnsi="Calibri" w:cs="Calibri"/>
          <w:bCs/>
          <w:sz w:val="22"/>
          <w:szCs w:val="22"/>
          <w:lang w:val="fr-FR"/>
        </w:rPr>
        <w:t>propose</w:t>
      </w:r>
      <w:r>
        <w:rPr>
          <w:rFonts w:ascii="Calibri" w:hAnsi="Calibri" w:cs="Calibri"/>
          <w:bCs/>
          <w:sz w:val="22"/>
          <w:szCs w:val="22"/>
          <w:lang w:val="fr-FR"/>
        </w:rPr>
        <w:t xml:space="preserve"> </w:t>
      </w:r>
      <w:r w:rsidR="000F722C">
        <w:rPr>
          <w:rFonts w:ascii="Calibri" w:hAnsi="Calibri" w:cs="Calibri"/>
          <w:bCs/>
          <w:sz w:val="22"/>
          <w:szCs w:val="22"/>
          <w:lang w:val="fr-FR"/>
        </w:rPr>
        <w:t>de prélever 112 000 CHF sur l’excédent 2016 pour l’affecter au fonds de réserve et</w:t>
      </w:r>
      <w:r w:rsidR="00C54F82">
        <w:rPr>
          <w:rFonts w:ascii="Calibri" w:hAnsi="Calibri" w:cs="Calibri"/>
          <w:bCs/>
          <w:sz w:val="22"/>
          <w:szCs w:val="22"/>
          <w:lang w:val="fr-FR"/>
        </w:rPr>
        <w:t>, ainsi,</w:t>
      </w:r>
      <w:r w:rsidR="000F722C">
        <w:rPr>
          <w:rFonts w:ascii="Calibri" w:hAnsi="Calibri" w:cs="Calibri"/>
          <w:bCs/>
          <w:sz w:val="22"/>
          <w:szCs w:val="22"/>
          <w:lang w:val="fr-FR"/>
        </w:rPr>
        <w:t xml:space="preserve"> porter le niveau de ce dernier au maximum de 15% du budget administratif annuel prévu par la résolution </w:t>
      </w:r>
      <w:r w:rsidR="000F722C" w:rsidRPr="00F21623">
        <w:rPr>
          <w:rFonts w:ascii="Calibri" w:hAnsi="Calibri" w:cs="Calibri"/>
          <w:bCs/>
          <w:sz w:val="22"/>
          <w:szCs w:val="22"/>
          <w:lang w:val="fr-FR"/>
        </w:rPr>
        <w:t>XII.1</w:t>
      </w:r>
      <w:r w:rsidR="000F722C">
        <w:rPr>
          <w:rFonts w:ascii="Calibri" w:hAnsi="Calibri" w:cs="Calibri"/>
          <w:bCs/>
          <w:sz w:val="22"/>
          <w:szCs w:val="22"/>
          <w:lang w:val="fr-FR"/>
        </w:rPr>
        <w:t>.</w:t>
      </w:r>
    </w:p>
    <w:p w:rsidR="005363BF" w:rsidRPr="00F21623" w:rsidRDefault="005363BF" w:rsidP="0047333D">
      <w:pPr>
        <w:pStyle w:val="ListParagraph"/>
        <w:rPr>
          <w:rFonts w:ascii="Calibri" w:hAnsi="Calibri" w:cs="Calibri"/>
          <w:bCs/>
          <w:sz w:val="22"/>
          <w:szCs w:val="22"/>
          <w:lang w:val="fr-FR"/>
        </w:rPr>
      </w:pPr>
    </w:p>
    <w:p w:rsidR="003861A1" w:rsidRPr="00F21623" w:rsidRDefault="000F722C"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Le Secré</w:t>
      </w:r>
      <w:r w:rsidR="005363BF" w:rsidRPr="00F21623">
        <w:rPr>
          <w:rFonts w:ascii="Calibri" w:hAnsi="Calibri" w:cs="Calibri"/>
          <w:bCs/>
          <w:sz w:val="22"/>
          <w:szCs w:val="22"/>
          <w:lang w:val="fr-FR"/>
        </w:rPr>
        <w:t>tar</w:t>
      </w:r>
      <w:r w:rsidR="00C803AF" w:rsidRPr="00F21623">
        <w:rPr>
          <w:rFonts w:ascii="Calibri" w:hAnsi="Calibri" w:cs="Calibri"/>
          <w:bCs/>
          <w:sz w:val="22"/>
          <w:szCs w:val="22"/>
          <w:lang w:val="fr-FR"/>
        </w:rPr>
        <w:t>iat</w:t>
      </w:r>
      <w:r w:rsidR="001F63DF" w:rsidRPr="00F21623">
        <w:rPr>
          <w:rFonts w:ascii="Calibri" w:hAnsi="Calibri" w:cs="Calibri"/>
          <w:bCs/>
          <w:sz w:val="22"/>
          <w:szCs w:val="22"/>
          <w:lang w:val="fr-FR"/>
        </w:rPr>
        <w:t xml:space="preserve"> </w:t>
      </w:r>
      <w:r w:rsidR="005363BF" w:rsidRPr="00F21623">
        <w:rPr>
          <w:rFonts w:ascii="Calibri" w:hAnsi="Calibri" w:cs="Calibri"/>
          <w:bCs/>
          <w:sz w:val="22"/>
          <w:szCs w:val="22"/>
          <w:lang w:val="fr-FR"/>
        </w:rPr>
        <w:t>propose</w:t>
      </w:r>
      <w:r>
        <w:rPr>
          <w:rFonts w:ascii="Calibri" w:hAnsi="Calibri" w:cs="Calibri"/>
          <w:bCs/>
          <w:sz w:val="22"/>
          <w:szCs w:val="22"/>
          <w:lang w:val="fr-FR"/>
        </w:rPr>
        <w:t xml:space="preserve"> également de </w:t>
      </w:r>
      <w:r w:rsidR="00B0363C">
        <w:rPr>
          <w:rFonts w:ascii="Calibri" w:hAnsi="Calibri" w:cs="Calibri"/>
          <w:bCs/>
          <w:sz w:val="22"/>
          <w:szCs w:val="22"/>
          <w:lang w:val="fr-FR"/>
        </w:rPr>
        <w:t xml:space="preserve">créer une réserve affectée à laquelle serait imputé le solde de l’excédent 2016 (226 000 CHF); il élabore actuellement des propositions </w:t>
      </w:r>
      <w:r w:rsidR="00A13EFC">
        <w:rPr>
          <w:rFonts w:ascii="Calibri" w:hAnsi="Calibri" w:cs="Calibri"/>
          <w:bCs/>
          <w:sz w:val="22"/>
          <w:szCs w:val="22"/>
          <w:lang w:val="fr-FR"/>
        </w:rPr>
        <w:t>pour l’</w:t>
      </w:r>
      <w:r w:rsidR="00B0363C">
        <w:rPr>
          <w:rFonts w:ascii="Calibri" w:hAnsi="Calibri" w:cs="Calibri"/>
          <w:bCs/>
          <w:sz w:val="22"/>
          <w:szCs w:val="22"/>
          <w:lang w:val="fr-FR"/>
        </w:rPr>
        <w:t>a</w:t>
      </w:r>
      <w:r w:rsidR="00A13EFC">
        <w:rPr>
          <w:rFonts w:ascii="Calibri" w:hAnsi="Calibri" w:cs="Calibri"/>
          <w:bCs/>
          <w:sz w:val="22"/>
          <w:szCs w:val="22"/>
          <w:lang w:val="fr-FR"/>
        </w:rPr>
        <w:t>ffectation de</w:t>
      </w:r>
      <w:r w:rsidR="005D24A3">
        <w:rPr>
          <w:rFonts w:ascii="Calibri" w:hAnsi="Calibri" w:cs="Calibri"/>
          <w:bCs/>
          <w:sz w:val="22"/>
          <w:szCs w:val="22"/>
          <w:lang w:val="fr-FR"/>
        </w:rPr>
        <w:t xml:space="preserve"> cet excédent provisoire</w:t>
      </w:r>
      <w:r w:rsidR="00D570EC" w:rsidRPr="00F21623">
        <w:rPr>
          <w:rFonts w:ascii="Calibri" w:hAnsi="Calibri"/>
          <w:sz w:val="22"/>
          <w:szCs w:val="22"/>
          <w:lang w:val="fr-FR"/>
        </w:rPr>
        <w:t>.</w:t>
      </w:r>
      <w:r w:rsidR="005D24A3">
        <w:rPr>
          <w:rFonts w:ascii="Calibri" w:hAnsi="Calibri"/>
          <w:sz w:val="22"/>
          <w:szCs w:val="22"/>
          <w:lang w:val="fr-FR"/>
        </w:rPr>
        <w:t xml:space="preserve"> Cette somme sera </w:t>
      </w:r>
      <w:r w:rsidR="001E3C23">
        <w:rPr>
          <w:rFonts w:ascii="Calibri" w:hAnsi="Calibri"/>
          <w:sz w:val="22"/>
          <w:szCs w:val="22"/>
          <w:lang w:val="fr-FR"/>
        </w:rPr>
        <w:t>consacrée</w:t>
      </w:r>
      <w:r w:rsidR="005D24A3">
        <w:rPr>
          <w:rFonts w:ascii="Calibri" w:hAnsi="Calibri"/>
          <w:sz w:val="22"/>
          <w:szCs w:val="22"/>
          <w:lang w:val="fr-FR"/>
        </w:rPr>
        <w:t xml:space="preserve"> à différentes a</w:t>
      </w:r>
      <w:r w:rsidR="00A13EFC">
        <w:rPr>
          <w:rFonts w:ascii="Calibri" w:hAnsi="Calibri"/>
          <w:sz w:val="22"/>
          <w:szCs w:val="22"/>
          <w:lang w:val="fr-FR"/>
        </w:rPr>
        <w:t xml:space="preserve">ctivités telles que la création de nouveaux postes </w:t>
      </w:r>
      <w:r w:rsidR="005D24A3">
        <w:rPr>
          <w:rFonts w:ascii="Calibri" w:hAnsi="Calibri"/>
          <w:sz w:val="22"/>
          <w:szCs w:val="22"/>
          <w:lang w:val="fr-FR"/>
        </w:rPr>
        <w:t xml:space="preserve">après approbation par le Comité exécutif (notamment le recrutement d’un Assistant comptable à temps partiel, qui fait actuellement l’objet de discussions avec l’UICN, </w:t>
      </w:r>
      <w:r w:rsidR="001E3C23">
        <w:rPr>
          <w:rFonts w:ascii="Calibri" w:hAnsi="Calibri"/>
          <w:sz w:val="22"/>
          <w:szCs w:val="22"/>
          <w:lang w:val="fr-FR"/>
        </w:rPr>
        <w:t xml:space="preserve">et celui d’un Conseiller juridique sur les questions relatives à la Convention dans le cadre d’un contrat de services), </w:t>
      </w:r>
      <w:r w:rsidR="00A13EFC">
        <w:rPr>
          <w:rFonts w:ascii="Calibri" w:hAnsi="Calibri"/>
          <w:sz w:val="22"/>
          <w:szCs w:val="22"/>
          <w:lang w:val="fr-FR"/>
        </w:rPr>
        <w:t>la dotation en personnel et le renforcement des capacités et des compétences afin d’assurer le bon fonctionnement du Secrétariat.  Ces propositions seront présentées à la 53</w:t>
      </w:r>
      <w:r w:rsidR="00A13EFC" w:rsidRPr="00A13EFC">
        <w:rPr>
          <w:rFonts w:ascii="Calibri" w:hAnsi="Calibri"/>
          <w:sz w:val="22"/>
          <w:szCs w:val="22"/>
          <w:vertAlign w:val="superscript"/>
          <w:lang w:val="fr-FR"/>
        </w:rPr>
        <w:t>e</w:t>
      </w:r>
      <w:r w:rsidR="00A13EFC">
        <w:rPr>
          <w:rFonts w:ascii="Calibri" w:hAnsi="Calibri"/>
          <w:sz w:val="22"/>
          <w:szCs w:val="22"/>
          <w:lang w:val="fr-FR"/>
        </w:rPr>
        <w:t xml:space="preserve"> Réunion du Comité permanent.</w:t>
      </w:r>
      <w:r w:rsidR="0047333D" w:rsidRPr="00F21623">
        <w:rPr>
          <w:rFonts w:ascii="Calibri" w:hAnsi="Calibri"/>
          <w:sz w:val="22"/>
          <w:szCs w:val="22"/>
          <w:lang w:val="fr-FR"/>
        </w:rPr>
        <w:t xml:space="preserve"> </w:t>
      </w:r>
    </w:p>
    <w:p w:rsidR="003861A1" w:rsidRPr="00F21623" w:rsidRDefault="003861A1" w:rsidP="0047333D">
      <w:pPr>
        <w:rPr>
          <w:rFonts w:ascii="Calibri" w:hAnsi="Calibri" w:cs="Calibri"/>
          <w:bCs/>
          <w:sz w:val="22"/>
          <w:szCs w:val="22"/>
          <w:lang w:val="fr-FR"/>
        </w:rPr>
      </w:pPr>
    </w:p>
    <w:p w:rsidR="007220B9" w:rsidRPr="00F21623" w:rsidRDefault="007220B9" w:rsidP="0047333D">
      <w:pPr>
        <w:rPr>
          <w:rFonts w:ascii="Calibri" w:hAnsi="Calibri" w:cs="Calibri"/>
          <w:bCs/>
          <w:sz w:val="22"/>
          <w:szCs w:val="22"/>
          <w:lang w:val="fr-FR"/>
        </w:rPr>
      </w:pPr>
    </w:p>
    <w:p w:rsidR="003861A1" w:rsidRPr="00F21623" w:rsidRDefault="007510D4" w:rsidP="0047333D">
      <w:pPr>
        <w:rPr>
          <w:rFonts w:ascii="Calibri" w:hAnsi="Calibri" w:cs="Calibri"/>
          <w:b/>
          <w:bCs/>
          <w:sz w:val="22"/>
          <w:szCs w:val="22"/>
          <w:lang w:val="fr-FR"/>
        </w:rPr>
      </w:pPr>
      <w:r>
        <w:rPr>
          <w:rFonts w:ascii="Calibri" w:hAnsi="Calibri" w:cs="Calibri"/>
          <w:b/>
          <w:bCs/>
          <w:sz w:val="22"/>
          <w:szCs w:val="22"/>
          <w:lang w:val="fr-FR"/>
        </w:rPr>
        <w:t xml:space="preserve">Proposition </w:t>
      </w:r>
      <w:r w:rsidR="00946667">
        <w:rPr>
          <w:rFonts w:ascii="Calibri" w:hAnsi="Calibri" w:cs="Calibri"/>
          <w:b/>
          <w:bCs/>
          <w:sz w:val="22"/>
          <w:szCs w:val="22"/>
          <w:lang w:val="fr-FR"/>
        </w:rPr>
        <w:t>consistant, dès 2017, à créer des réserves affectées pour y imputer des excédents annuels exceptionnels du budget administratif</w:t>
      </w:r>
    </w:p>
    <w:p w:rsidR="003861A1" w:rsidRPr="00F21623" w:rsidRDefault="003861A1" w:rsidP="0047333D">
      <w:pPr>
        <w:rPr>
          <w:rFonts w:ascii="Calibri" w:hAnsi="Calibri" w:cs="Calibri"/>
          <w:bCs/>
          <w:sz w:val="22"/>
          <w:szCs w:val="22"/>
          <w:lang w:val="fr-FR"/>
        </w:rPr>
      </w:pPr>
    </w:p>
    <w:p w:rsidR="003861A1" w:rsidRPr="00F21623" w:rsidRDefault="0012727F" w:rsidP="0047333D">
      <w:pPr>
        <w:pStyle w:val="ListParagraph"/>
        <w:numPr>
          <w:ilvl w:val="0"/>
          <w:numId w:val="26"/>
        </w:numPr>
        <w:ind w:left="426" w:hanging="426"/>
        <w:rPr>
          <w:rFonts w:ascii="Calibri" w:hAnsi="Calibri" w:cs="Calibri"/>
          <w:bCs/>
          <w:sz w:val="22"/>
          <w:szCs w:val="22"/>
          <w:lang w:val="fr-FR"/>
        </w:rPr>
      </w:pPr>
      <w:r>
        <w:rPr>
          <w:rFonts w:ascii="Calibri" w:hAnsi="Calibri" w:cs="Calibri"/>
          <w:bCs/>
          <w:sz w:val="22"/>
          <w:szCs w:val="22"/>
          <w:lang w:val="fr-FR"/>
        </w:rPr>
        <w:t>Le Secré</w:t>
      </w:r>
      <w:r w:rsidR="003861A1" w:rsidRPr="00F21623">
        <w:rPr>
          <w:rFonts w:ascii="Calibri" w:hAnsi="Calibri" w:cs="Calibri"/>
          <w:bCs/>
          <w:sz w:val="22"/>
          <w:szCs w:val="22"/>
          <w:lang w:val="fr-FR"/>
        </w:rPr>
        <w:t>tariat propose</w:t>
      </w:r>
      <w:r>
        <w:rPr>
          <w:rFonts w:ascii="Calibri" w:hAnsi="Calibri" w:cs="Calibri"/>
          <w:bCs/>
          <w:sz w:val="22"/>
          <w:szCs w:val="22"/>
          <w:lang w:val="fr-FR"/>
        </w:rPr>
        <w:t xml:space="preserve"> de mettre fin à la pratique consistant à allouer des fonds du budget administratif à des projets hors budget administratif afin de faire preuve d’une plus grande efficacité dans l’exécution du budget et de mettre en place un mécanisme clair et transparent dans le cadre de situations exceptionnelles </w:t>
      </w:r>
      <w:r w:rsidR="007510D4">
        <w:rPr>
          <w:rFonts w:ascii="Calibri" w:hAnsi="Calibri" w:cs="Calibri"/>
          <w:bCs/>
          <w:sz w:val="22"/>
          <w:szCs w:val="22"/>
          <w:lang w:val="fr-FR"/>
        </w:rPr>
        <w:t>exigeant que des excéd</w:t>
      </w:r>
      <w:r w:rsidR="00C54F82">
        <w:rPr>
          <w:rFonts w:ascii="Calibri" w:hAnsi="Calibri" w:cs="Calibri"/>
          <w:bCs/>
          <w:sz w:val="22"/>
          <w:szCs w:val="22"/>
          <w:lang w:val="fr-FR"/>
        </w:rPr>
        <w:t>ents budgétaires soient utilisé</w:t>
      </w:r>
      <w:r w:rsidR="007510D4">
        <w:rPr>
          <w:rFonts w:ascii="Calibri" w:hAnsi="Calibri" w:cs="Calibri"/>
          <w:bCs/>
          <w:sz w:val="22"/>
          <w:szCs w:val="22"/>
          <w:lang w:val="fr-FR"/>
        </w:rPr>
        <w:t>s à des fins précises en fin d’exercice</w:t>
      </w:r>
      <w:r w:rsidR="00C932D1" w:rsidRPr="00F21623">
        <w:rPr>
          <w:rFonts w:ascii="Calibri" w:hAnsi="Calibri" w:cs="Calibri"/>
          <w:bCs/>
          <w:sz w:val="22"/>
          <w:szCs w:val="22"/>
          <w:lang w:val="fr-FR"/>
        </w:rPr>
        <w:t>.</w:t>
      </w:r>
      <w:r w:rsidR="00F31AC0" w:rsidRPr="00F21623">
        <w:rPr>
          <w:rFonts w:ascii="Calibri" w:hAnsi="Calibri" w:cs="Calibri"/>
          <w:bCs/>
          <w:sz w:val="22"/>
          <w:szCs w:val="22"/>
          <w:lang w:val="fr-FR"/>
        </w:rPr>
        <w:t xml:space="preserve"> </w:t>
      </w:r>
      <w:r w:rsidR="007510D4">
        <w:rPr>
          <w:rFonts w:ascii="Calibri" w:hAnsi="Calibri" w:cs="Calibri"/>
          <w:bCs/>
          <w:sz w:val="22"/>
          <w:szCs w:val="22"/>
          <w:lang w:val="fr-FR"/>
        </w:rPr>
        <w:t>L’UICN à mis un terme à la pratique consistant à affecter des fonds du budget administratif à des projets relevant du budget non administratif et elle impute désormais les excédents budgétaires à des réserves affectées. Le Secré</w:t>
      </w:r>
      <w:r w:rsidR="00F31AC0" w:rsidRPr="00F21623">
        <w:rPr>
          <w:rFonts w:ascii="Calibri" w:hAnsi="Calibri" w:cs="Calibri"/>
          <w:bCs/>
          <w:sz w:val="22"/>
          <w:szCs w:val="22"/>
          <w:lang w:val="fr-FR"/>
        </w:rPr>
        <w:t xml:space="preserve">tariat </w:t>
      </w:r>
      <w:r w:rsidR="007510D4">
        <w:rPr>
          <w:rFonts w:ascii="Calibri" w:hAnsi="Calibri" w:cs="Calibri"/>
          <w:bCs/>
          <w:sz w:val="22"/>
          <w:szCs w:val="22"/>
          <w:lang w:val="fr-FR"/>
        </w:rPr>
        <w:t xml:space="preserve">procède par ailleurs à un examen des pratiques adoptées par d’autres Conventions en matière d’excédents liés au budget administratif et fournira de plus amples informations à ce sujet à la  </w:t>
      </w:r>
      <w:r w:rsidR="007510D4">
        <w:rPr>
          <w:rFonts w:ascii="Calibri" w:hAnsi="Calibri"/>
          <w:sz w:val="22"/>
          <w:szCs w:val="22"/>
          <w:lang w:val="fr-FR"/>
        </w:rPr>
        <w:t>53</w:t>
      </w:r>
      <w:r w:rsidR="007510D4" w:rsidRPr="00A13EFC">
        <w:rPr>
          <w:rFonts w:ascii="Calibri" w:hAnsi="Calibri"/>
          <w:sz w:val="22"/>
          <w:szCs w:val="22"/>
          <w:vertAlign w:val="superscript"/>
          <w:lang w:val="fr-FR"/>
        </w:rPr>
        <w:t>e</w:t>
      </w:r>
      <w:r w:rsidR="007510D4">
        <w:rPr>
          <w:rFonts w:ascii="Calibri" w:hAnsi="Calibri"/>
          <w:sz w:val="22"/>
          <w:szCs w:val="22"/>
          <w:lang w:val="fr-FR"/>
        </w:rPr>
        <w:t xml:space="preserve"> Réunion du Comité permanent</w:t>
      </w:r>
      <w:r w:rsidR="00280101" w:rsidRPr="00F21623">
        <w:rPr>
          <w:rFonts w:ascii="Calibri" w:hAnsi="Calibri" w:cs="Calibri"/>
          <w:bCs/>
          <w:sz w:val="22"/>
          <w:szCs w:val="22"/>
          <w:lang w:val="fr-FR"/>
        </w:rPr>
        <w:t>.</w:t>
      </w:r>
    </w:p>
    <w:p w:rsidR="00D77E07" w:rsidRPr="00F21623" w:rsidRDefault="00D77E07" w:rsidP="0047333D">
      <w:pPr>
        <w:rPr>
          <w:rFonts w:ascii="Calibri" w:hAnsi="Calibri" w:cs="Calibri"/>
          <w:bCs/>
          <w:sz w:val="22"/>
          <w:szCs w:val="22"/>
          <w:lang w:val="fr-FR"/>
        </w:rPr>
      </w:pPr>
    </w:p>
    <w:p w:rsidR="00D77E07" w:rsidRPr="00F21623" w:rsidRDefault="00D77E07" w:rsidP="0047333D">
      <w:pPr>
        <w:rPr>
          <w:rFonts w:ascii="Calibri" w:hAnsi="Calibri" w:cs="Calibri"/>
          <w:bCs/>
          <w:sz w:val="22"/>
          <w:szCs w:val="22"/>
          <w:lang w:val="fr-FR"/>
        </w:rPr>
      </w:pPr>
    </w:p>
    <w:p w:rsidR="00D22F60" w:rsidRPr="00F21623" w:rsidRDefault="00C4709B" w:rsidP="0047333D">
      <w:pPr>
        <w:keepNext/>
        <w:rPr>
          <w:rFonts w:ascii="Calibri" w:hAnsi="Calibri" w:cs="Calibri"/>
          <w:b/>
          <w:bCs/>
          <w:sz w:val="22"/>
          <w:szCs w:val="22"/>
          <w:lang w:val="fr-FR"/>
        </w:rPr>
      </w:pPr>
      <w:r>
        <w:rPr>
          <w:rFonts w:ascii="Calibri" w:hAnsi="Calibri" w:cs="Calibri"/>
          <w:b/>
          <w:sz w:val="22"/>
          <w:szCs w:val="22"/>
          <w:lang w:val="fr-FR"/>
        </w:rPr>
        <w:t xml:space="preserve">Résultats </w:t>
      </w:r>
      <w:r w:rsidR="00C3484B" w:rsidRPr="00F21623">
        <w:rPr>
          <w:rFonts w:ascii="Calibri" w:hAnsi="Calibri" w:cs="Calibri"/>
          <w:b/>
          <w:sz w:val="22"/>
          <w:szCs w:val="22"/>
          <w:lang w:val="fr-FR"/>
        </w:rPr>
        <w:t>2016</w:t>
      </w:r>
      <w:r>
        <w:rPr>
          <w:rFonts w:ascii="Calibri" w:hAnsi="Calibri" w:cs="Calibri"/>
          <w:b/>
          <w:sz w:val="22"/>
          <w:szCs w:val="22"/>
          <w:lang w:val="fr-FR"/>
        </w:rPr>
        <w:t> </w:t>
      </w:r>
      <w:r w:rsidR="00D22F60" w:rsidRPr="00F21623">
        <w:rPr>
          <w:rFonts w:ascii="Calibri" w:hAnsi="Calibri" w:cs="Calibri"/>
          <w:b/>
          <w:sz w:val="22"/>
          <w:szCs w:val="22"/>
          <w:lang w:val="fr-FR"/>
        </w:rPr>
        <w:t>: budget</w:t>
      </w:r>
      <w:r w:rsidR="00A236A3" w:rsidRPr="00F21623">
        <w:rPr>
          <w:rFonts w:ascii="Calibri" w:hAnsi="Calibri" w:cs="Calibri"/>
          <w:b/>
          <w:sz w:val="22"/>
          <w:szCs w:val="22"/>
          <w:lang w:val="fr-FR"/>
        </w:rPr>
        <w:t xml:space="preserve"> </w:t>
      </w:r>
      <w:r>
        <w:rPr>
          <w:rFonts w:ascii="Calibri" w:hAnsi="Calibri" w:cs="Calibri"/>
          <w:b/>
          <w:sz w:val="22"/>
          <w:szCs w:val="22"/>
          <w:lang w:val="fr-FR"/>
        </w:rPr>
        <w:t xml:space="preserve">non administratif et </w:t>
      </w:r>
      <w:r w:rsidR="00A236A3" w:rsidRPr="00F21623">
        <w:rPr>
          <w:rFonts w:ascii="Calibri" w:hAnsi="Calibri" w:cs="Calibri"/>
          <w:b/>
          <w:sz w:val="22"/>
          <w:szCs w:val="22"/>
          <w:lang w:val="fr-FR"/>
        </w:rPr>
        <w:t>contributions</w:t>
      </w:r>
      <w:r>
        <w:rPr>
          <w:rFonts w:ascii="Calibri" w:hAnsi="Calibri" w:cs="Calibri"/>
          <w:b/>
          <w:sz w:val="22"/>
          <w:szCs w:val="22"/>
          <w:lang w:val="fr-FR"/>
        </w:rPr>
        <w:t xml:space="preserve"> volontaires</w:t>
      </w:r>
    </w:p>
    <w:p w:rsidR="000E650E" w:rsidRPr="00F21623" w:rsidRDefault="000E650E" w:rsidP="0047333D">
      <w:pPr>
        <w:keepNext/>
        <w:ind w:left="426"/>
        <w:rPr>
          <w:rFonts w:ascii="Calibri" w:hAnsi="Calibri"/>
          <w:sz w:val="22"/>
          <w:szCs w:val="22"/>
          <w:lang w:val="fr-FR"/>
        </w:rPr>
      </w:pPr>
    </w:p>
    <w:p w:rsidR="000876AD" w:rsidRPr="007D5C0B" w:rsidRDefault="007D5C0B" w:rsidP="007D5C0B">
      <w:pPr>
        <w:numPr>
          <w:ilvl w:val="0"/>
          <w:numId w:val="26"/>
        </w:numPr>
        <w:ind w:left="426" w:hanging="426"/>
        <w:rPr>
          <w:rFonts w:ascii="Calibri" w:hAnsi="Calibri"/>
          <w:sz w:val="22"/>
          <w:szCs w:val="22"/>
          <w:lang w:val="fr-FR"/>
        </w:rPr>
      </w:pPr>
      <w:r>
        <w:rPr>
          <w:rFonts w:ascii="Calibri" w:hAnsi="Calibri"/>
          <w:sz w:val="22"/>
          <w:lang w:val="fr-FR"/>
        </w:rPr>
        <w:t>En 2016, l</w:t>
      </w:r>
      <w:r w:rsidRPr="00E03828">
        <w:rPr>
          <w:rFonts w:ascii="Calibri" w:hAnsi="Calibri"/>
          <w:sz w:val="22"/>
          <w:lang w:val="fr-FR"/>
        </w:rPr>
        <w:t xml:space="preserve">es États-Unis d’Amérique ont versé </w:t>
      </w:r>
      <w:r>
        <w:rPr>
          <w:rFonts w:ascii="Calibri" w:hAnsi="Calibri"/>
          <w:sz w:val="22"/>
          <w:lang w:val="fr-FR"/>
        </w:rPr>
        <w:t>des</w:t>
      </w:r>
      <w:r w:rsidRPr="00E03828">
        <w:rPr>
          <w:rFonts w:ascii="Calibri" w:hAnsi="Calibri"/>
          <w:sz w:val="22"/>
          <w:lang w:val="fr-FR"/>
        </w:rPr>
        <w:t xml:space="preserve"> contribution</w:t>
      </w:r>
      <w:r>
        <w:rPr>
          <w:rFonts w:ascii="Calibri" w:hAnsi="Calibri"/>
          <w:sz w:val="22"/>
          <w:lang w:val="fr-FR"/>
        </w:rPr>
        <w:t>s</w:t>
      </w:r>
      <w:r w:rsidRPr="00E03828">
        <w:rPr>
          <w:rFonts w:ascii="Calibri" w:hAnsi="Calibri"/>
          <w:sz w:val="22"/>
          <w:lang w:val="fr-FR"/>
        </w:rPr>
        <w:t xml:space="preserve"> volontaire</w:t>
      </w:r>
      <w:r>
        <w:rPr>
          <w:rFonts w:ascii="Calibri" w:hAnsi="Calibri"/>
          <w:sz w:val="22"/>
          <w:lang w:val="fr-FR"/>
        </w:rPr>
        <w:t>s d’un monta</w:t>
      </w:r>
      <w:r w:rsidR="00C54F82">
        <w:rPr>
          <w:rFonts w:ascii="Calibri" w:hAnsi="Calibri"/>
          <w:sz w:val="22"/>
          <w:lang w:val="fr-FR"/>
        </w:rPr>
        <w:t>nt</w:t>
      </w:r>
      <w:r>
        <w:rPr>
          <w:rFonts w:ascii="Calibri" w:hAnsi="Calibri"/>
          <w:sz w:val="22"/>
          <w:lang w:val="fr-FR"/>
        </w:rPr>
        <w:t xml:space="preserve"> total</w:t>
      </w:r>
      <w:r w:rsidRPr="00E03828">
        <w:rPr>
          <w:rFonts w:ascii="Calibri" w:hAnsi="Calibri"/>
          <w:sz w:val="22"/>
          <w:lang w:val="fr-FR"/>
        </w:rPr>
        <w:t xml:space="preserve"> de </w:t>
      </w:r>
      <w:r>
        <w:rPr>
          <w:rFonts w:ascii="Calibri" w:hAnsi="Calibri"/>
          <w:sz w:val="22"/>
          <w:szCs w:val="22"/>
          <w:lang w:val="fr-FR"/>
        </w:rPr>
        <w:t>1 142 </w:t>
      </w:r>
      <w:r w:rsidRPr="00F21623">
        <w:rPr>
          <w:rFonts w:ascii="Calibri" w:hAnsi="Calibri"/>
          <w:sz w:val="22"/>
          <w:szCs w:val="22"/>
          <w:lang w:val="fr-FR"/>
        </w:rPr>
        <w:t>233</w:t>
      </w:r>
      <w:r>
        <w:rPr>
          <w:rFonts w:ascii="Calibri" w:hAnsi="Calibri"/>
          <w:sz w:val="22"/>
          <w:szCs w:val="22"/>
          <w:lang w:val="fr-FR"/>
        </w:rPr>
        <w:t> CHF (1 150 </w:t>
      </w:r>
      <w:r w:rsidRPr="00F21623">
        <w:rPr>
          <w:rFonts w:ascii="Calibri" w:hAnsi="Calibri"/>
          <w:sz w:val="22"/>
          <w:szCs w:val="22"/>
          <w:lang w:val="fr-FR"/>
        </w:rPr>
        <w:t>000</w:t>
      </w:r>
      <w:r>
        <w:rPr>
          <w:rFonts w:ascii="Calibri" w:hAnsi="Calibri"/>
          <w:sz w:val="22"/>
          <w:szCs w:val="22"/>
          <w:lang w:val="fr-FR"/>
        </w:rPr>
        <w:t> USD</w:t>
      </w:r>
      <w:r w:rsidRPr="00F21623">
        <w:rPr>
          <w:rFonts w:ascii="Calibri" w:hAnsi="Calibri"/>
          <w:sz w:val="22"/>
          <w:szCs w:val="22"/>
          <w:lang w:val="fr-FR"/>
        </w:rPr>
        <w:t>)</w:t>
      </w:r>
      <w:r w:rsidRPr="00E03828">
        <w:rPr>
          <w:rFonts w:ascii="Calibri" w:hAnsi="Calibri"/>
          <w:sz w:val="22"/>
          <w:lang w:val="fr-FR"/>
        </w:rPr>
        <w:t xml:space="preserve">. La somme de </w:t>
      </w:r>
      <w:r>
        <w:rPr>
          <w:rFonts w:ascii="Calibri" w:hAnsi="Calibri"/>
          <w:sz w:val="22"/>
          <w:szCs w:val="22"/>
          <w:lang w:val="fr-FR"/>
        </w:rPr>
        <w:t xml:space="preserve">1 065 </w:t>
      </w:r>
      <w:r w:rsidRPr="00F21623">
        <w:rPr>
          <w:rFonts w:ascii="Calibri" w:hAnsi="Calibri"/>
          <w:sz w:val="22"/>
          <w:szCs w:val="22"/>
          <w:lang w:val="fr-FR"/>
        </w:rPr>
        <w:t xml:space="preserve">799 </w:t>
      </w:r>
      <w:r w:rsidRPr="00E03828">
        <w:rPr>
          <w:rFonts w:ascii="Calibri" w:hAnsi="Calibri"/>
          <w:sz w:val="22"/>
          <w:lang w:val="fr-FR"/>
        </w:rPr>
        <w:t xml:space="preserve">CHF a été imputée au budget administratif du Secrétariat et la somme de </w:t>
      </w:r>
      <w:r>
        <w:rPr>
          <w:rFonts w:ascii="Calibri" w:hAnsi="Calibri"/>
          <w:sz w:val="22"/>
          <w:szCs w:val="22"/>
          <w:lang w:val="fr-FR"/>
        </w:rPr>
        <w:t>76 </w:t>
      </w:r>
      <w:r w:rsidRPr="00F21623">
        <w:rPr>
          <w:rFonts w:ascii="Calibri" w:hAnsi="Calibri"/>
          <w:sz w:val="22"/>
          <w:szCs w:val="22"/>
          <w:lang w:val="fr-FR"/>
        </w:rPr>
        <w:t>434</w:t>
      </w:r>
      <w:r>
        <w:rPr>
          <w:rFonts w:ascii="Calibri" w:hAnsi="Calibri"/>
          <w:sz w:val="22"/>
          <w:szCs w:val="22"/>
          <w:lang w:val="fr-FR"/>
        </w:rPr>
        <w:t> </w:t>
      </w:r>
      <w:r w:rsidRPr="00E03828">
        <w:rPr>
          <w:rFonts w:ascii="Calibri" w:hAnsi="Calibri"/>
          <w:sz w:val="22"/>
          <w:lang w:val="fr-FR"/>
        </w:rPr>
        <w:t>CHF a été affectée à des projets hors budget administratif par le biais du Fonds Wetlands for the Future</w:t>
      </w:r>
      <w:r w:rsidR="000876AD" w:rsidRPr="007D5C0B">
        <w:rPr>
          <w:rFonts w:ascii="Calibri" w:hAnsi="Calibri"/>
          <w:sz w:val="22"/>
          <w:szCs w:val="22"/>
          <w:lang w:val="fr-FR"/>
        </w:rPr>
        <w:t>.</w:t>
      </w:r>
    </w:p>
    <w:p w:rsidR="000808A8" w:rsidRPr="00F21623" w:rsidRDefault="000808A8" w:rsidP="0047333D">
      <w:pPr>
        <w:ind w:left="426"/>
        <w:rPr>
          <w:rFonts w:ascii="Calibri" w:hAnsi="Calibri"/>
          <w:sz w:val="22"/>
          <w:szCs w:val="22"/>
          <w:lang w:val="fr-FR"/>
        </w:rPr>
      </w:pPr>
    </w:p>
    <w:p w:rsidR="000808A8" w:rsidRPr="00F21623" w:rsidRDefault="00D318CC" w:rsidP="0047333D">
      <w:pPr>
        <w:numPr>
          <w:ilvl w:val="0"/>
          <w:numId w:val="26"/>
        </w:numPr>
        <w:ind w:left="426" w:hanging="426"/>
        <w:rPr>
          <w:rFonts w:ascii="Calibri" w:hAnsi="Calibri"/>
          <w:sz w:val="22"/>
          <w:szCs w:val="22"/>
          <w:lang w:val="fr-FR"/>
        </w:rPr>
      </w:pPr>
      <w:r>
        <w:rPr>
          <w:rFonts w:ascii="Calibri" w:hAnsi="Calibri"/>
          <w:sz w:val="22"/>
          <w:szCs w:val="22"/>
          <w:lang w:val="fr-FR"/>
        </w:rPr>
        <w:t>Toujours en 2016, d’autres contributions volontaires d’un montant de 13 000 CHF ont été versées par des Parties contractantes de la région Afrique en lien avec l’exercice 2016 et des exercices antérieurs. Le paragraphe 23 de la ré</w:t>
      </w:r>
      <w:r>
        <w:rPr>
          <w:rFonts w:ascii="Calibri" w:hAnsi="Calibri" w:cs="Calibri"/>
          <w:sz w:val="22"/>
          <w:szCs w:val="22"/>
          <w:lang w:val="fr-FR"/>
        </w:rPr>
        <w:t xml:space="preserve">solution X.2 stipule que ces </w:t>
      </w:r>
      <w:r w:rsidR="000808A8" w:rsidRPr="00F21623">
        <w:rPr>
          <w:rFonts w:ascii="Calibri" w:hAnsi="Calibri" w:cs="Calibri"/>
          <w:sz w:val="22"/>
          <w:szCs w:val="22"/>
          <w:lang w:val="fr-FR"/>
        </w:rPr>
        <w:t>contributions</w:t>
      </w:r>
      <w:r>
        <w:rPr>
          <w:rFonts w:ascii="Calibri" w:hAnsi="Calibri" w:cs="Calibri"/>
          <w:sz w:val="22"/>
          <w:szCs w:val="22"/>
          <w:lang w:val="fr-FR"/>
        </w:rPr>
        <w:t xml:space="preserve"> devront </w:t>
      </w:r>
      <w:r w:rsidRPr="00D318CC">
        <w:rPr>
          <w:rFonts w:ascii="Calibri" w:hAnsi="Calibri" w:cs="Calibri"/>
          <w:sz w:val="22"/>
          <w:szCs w:val="22"/>
          <w:lang w:val="fr-FR"/>
        </w:rPr>
        <w:t>être spécifiquement attribuées aux Initiatives régionales africaines</w:t>
      </w:r>
      <w:r w:rsidR="000808A8" w:rsidRPr="00F21623">
        <w:rPr>
          <w:rFonts w:ascii="Calibri" w:hAnsi="Calibri"/>
          <w:sz w:val="22"/>
          <w:szCs w:val="22"/>
          <w:lang w:val="fr-FR"/>
        </w:rPr>
        <w:t>.</w:t>
      </w:r>
    </w:p>
    <w:p w:rsidR="000876AD" w:rsidRPr="00F21623" w:rsidRDefault="000876AD" w:rsidP="0047333D">
      <w:pPr>
        <w:ind w:left="540"/>
        <w:rPr>
          <w:rFonts w:ascii="Calibri" w:hAnsi="Calibri"/>
          <w:sz w:val="22"/>
          <w:szCs w:val="22"/>
          <w:lang w:val="fr-FR"/>
        </w:rPr>
      </w:pPr>
    </w:p>
    <w:p w:rsidR="0084272B" w:rsidRPr="00F21623" w:rsidRDefault="008D7656" w:rsidP="0047333D">
      <w:pPr>
        <w:numPr>
          <w:ilvl w:val="0"/>
          <w:numId w:val="26"/>
        </w:numPr>
        <w:ind w:left="426" w:hanging="426"/>
        <w:rPr>
          <w:rFonts w:ascii="Calibri" w:hAnsi="Calibri"/>
          <w:sz w:val="22"/>
          <w:szCs w:val="22"/>
          <w:lang w:val="fr-FR"/>
        </w:rPr>
      </w:pPr>
      <w:r>
        <w:rPr>
          <w:rFonts w:ascii="Calibri" w:hAnsi="Calibri"/>
          <w:sz w:val="22"/>
          <w:szCs w:val="22"/>
          <w:lang w:val="fr-FR"/>
        </w:rPr>
        <w:t xml:space="preserve">D’autres contributions volontaires hors budget administratif d’un montant de </w:t>
      </w:r>
      <w:r w:rsidRPr="00C54F82">
        <w:rPr>
          <w:rFonts w:ascii="Calibri" w:hAnsi="Calibri"/>
          <w:sz w:val="22"/>
          <w:szCs w:val="22"/>
          <w:lang w:val="fr-FR"/>
        </w:rPr>
        <w:t>703 000 CHF</w:t>
      </w:r>
      <w:r>
        <w:rPr>
          <w:rFonts w:ascii="Calibri" w:hAnsi="Calibri"/>
          <w:sz w:val="22"/>
          <w:szCs w:val="22"/>
          <w:lang w:val="fr-FR"/>
        </w:rPr>
        <w:t xml:space="preserve"> ont également été perçues en 2016. Elles sont présentées dans le tableau 3 ci-dessous.</w:t>
      </w:r>
    </w:p>
    <w:p w:rsidR="0084272B" w:rsidRDefault="0084272B" w:rsidP="0047333D">
      <w:pPr>
        <w:pStyle w:val="ListParagraph"/>
        <w:rPr>
          <w:rFonts w:ascii="Calibri" w:hAnsi="Calibri"/>
          <w:sz w:val="22"/>
          <w:szCs w:val="22"/>
          <w:lang w:val="fr-FR"/>
        </w:rPr>
      </w:pPr>
    </w:p>
    <w:p w:rsidR="00C54F82" w:rsidRDefault="00C54F82" w:rsidP="0047333D">
      <w:pPr>
        <w:pStyle w:val="ListParagraph"/>
        <w:rPr>
          <w:rFonts w:ascii="Calibri" w:hAnsi="Calibri"/>
          <w:sz w:val="22"/>
          <w:szCs w:val="22"/>
          <w:lang w:val="fr-FR"/>
        </w:rPr>
      </w:pPr>
    </w:p>
    <w:p w:rsidR="00C54F82" w:rsidRDefault="00C54F82" w:rsidP="0047333D">
      <w:pPr>
        <w:pStyle w:val="ListParagraph"/>
        <w:rPr>
          <w:rFonts w:ascii="Calibri" w:hAnsi="Calibri"/>
          <w:sz w:val="22"/>
          <w:szCs w:val="22"/>
          <w:lang w:val="fr-FR"/>
        </w:rPr>
      </w:pPr>
    </w:p>
    <w:p w:rsidR="00C54F82" w:rsidRPr="00F21623" w:rsidRDefault="00C54F82" w:rsidP="0047333D">
      <w:pPr>
        <w:pStyle w:val="ListParagraph"/>
        <w:rPr>
          <w:rFonts w:ascii="Calibri" w:hAnsi="Calibri"/>
          <w:sz w:val="22"/>
          <w:szCs w:val="22"/>
          <w:lang w:val="fr-FR"/>
        </w:rPr>
      </w:pPr>
    </w:p>
    <w:p w:rsidR="00F9733B" w:rsidRPr="00F21623" w:rsidRDefault="00F9733B" w:rsidP="0047333D">
      <w:pPr>
        <w:keepNext/>
        <w:rPr>
          <w:rFonts w:ascii="Calibri" w:hAnsi="Calibri"/>
          <w:i/>
          <w:sz w:val="22"/>
          <w:szCs w:val="22"/>
          <w:lang w:val="fr-FR"/>
        </w:rPr>
      </w:pPr>
      <w:r w:rsidRPr="00F21623">
        <w:rPr>
          <w:rFonts w:ascii="Calibri" w:hAnsi="Calibri"/>
          <w:i/>
          <w:sz w:val="22"/>
          <w:szCs w:val="22"/>
          <w:lang w:val="fr-FR"/>
        </w:rPr>
        <w:lastRenderedPageBreak/>
        <w:t>Table</w:t>
      </w:r>
      <w:r w:rsidR="008D7656">
        <w:rPr>
          <w:rFonts w:ascii="Calibri" w:hAnsi="Calibri"/>
          <w:i/>
          <w:sz w:val="22"/>
          <w:szCs w:val="22"/>
          <w:lang w:val="fr-FR"/>
        </w:rPr>
        <w:t>au </w:t>
      </w:r>
      <w:r w:rsidR="00274133" w:rsidRPr="00F21623">
        <w:rPr>
          <w:rFonts w:ascii="Calibri" w:hAnsi="Calibri"/>
          <w:i/>
          <w:sz w:val="22"/>
          <w:szCs w:val="22"/>
          <w:lang w:val="fr-FR"/>
        </w:rPr>
        <w:t>3</w:t>
      </w:r>
      <w:r w:rsidR="008D7656">
        <w:rPr>
          <w:rFonts w:ascii="Calibri" w:hAnsi="Calibri"/>
          <w:i/>
          <w:sz w:val="22"/>
          <w:szCs w:val="22"/>
          <w:lang w:val="fr-FR"/>
        </w:rPr>
        <w:t> </w:t>
      </w:r>
      <w:r w:rsidRPr="00F21623">
        <w:rPr>
          <w:rFonts w:ascii="Calibri" w:hAnsi="Calibri"/>
          <w:i/>
          <w:sz w:val="22"/>
          <w:szCs w:val="22"/>
          <w:lang w:val="fr-FR"/>
        </w:rPr>
        <w:t xml:space="preserve">: </w:t>
      </w:r>
      <w:r w:rsidR="00C54F82">
        <w:rPr>
          <w:rFonts w:ascii="Calibri" w:hAnsi="Calibri"/>
          <w:i/>
          <w:sz w:val="22"/>
          <w:szCs w:val="22"/>
          <w:lang w:val="fr-FR"/>
        </w:rPr>
        <w:t>Autres c</w:t>
      </w:r>
      <w:r w:rsidR="008D7656" w:rsidRPr="008D7656">
        <w:rPr>
          <w:rFonts w:ascii="Calibri" w:hAnsi="Calibri"/>
          <w:i/>
          <w:sz w:val="22"/>
          <w:szCs w:val="22"/>
          <w:lang w:val="fr-FR"/>
        </w:rPr>
        <w:t>ontributions volontaires hors budget administratif</w:t>
      </w:r>
      <w:r w:rsidR="008D7656">
        <w:rPr>
          <w:rFonts w:ascii="Calibri" w:hAnsi="Calibri"/>
          <w:i/>
          <w:sz w:val="22"/>
          <w:szCs w:val="22"/>
          <w:lang w:val="fr-FR"/>
        </w:rPr>
        <w:t xml:space="preserve"> perçues en 2016 </w:t>
      </w:r>
      <w:r w:rsidR="006C3673" w:rsidRPr="00F21623">
        <w:rPr>
          <w:rFonts w:ascii="Calibri" w:hAnsi="Calibri" w:cs="Calibri"/>
          <w:i/>
          <w:sz w:val="22"/>
          <w:szCs w:val="22"/>
          <w:lang w:val="fr-FR"/>
        </w:rPr>
        <w:t>(</w:t>
      </w:r>
      <w:r w:rsidR="006C3673">
        <w:rPr>
          <w:rFonts w:ascii="Calibri" w:hAnsi="Calibri" w:cs="Calibri"/>
          <w:i/>
          <w:sz w:val="22"/>
          <w:szCs w:val="22"/>
          <w:lang w:val="fr-FR"/>
        </w:rPr>
        <w:t>en milliers de CHF, erreurs possibles d’arrondis comprises</w:t>
      </w:r>
      <w:r w:rsidR="006C3673" w:rsidRPr="00F21623">
        <w:rPr>
          <w:rFonts w:ascii="Calibri" w:hAnsi="Calibri" w:cs="Calibri"/>
          <w:i/>
          <w:sz w:val="22"/>
          <w:szCs w:val="22"/>
          <w:lang w:val="fr-FR"/>
        </w:rPr>
        <w:t>)</w:t>
      </w:r>
    </w:p>
    <w:p w:rsidR="00F9733B" w:rsidRPr="00F21623" w:rsidRDefault="00F9733B" w:rsidP="0047333D">
      <w:pPr>
        <w:keepNext/>
        <w:rPr>
          <w:rFonts w:ascii="Calibri" w:hAnsi="Calibri"/>
          <w:b/>
          <w:sz w:val="22"/>
          <w:szCs w:val="22"/>
          <w:lang w:val="fr-FR"/>
        </w:rPr>
      </w:pPr>
    </w:p>
    <w:tbl>
      <w:tblPr>
        <w:tblW w:w="8885" w:type="dxa"/>
        <w:tblInd w:w="103" w:type="dxa"/>
        <w:tblLook w:val="04A0" w:firstRow="1" w:lastRow="0" w:firstColumn="1" w:lastColumn="0" w:noHBand="0" w:noVBand="1"/>
      </w:tblPr>
      <w:tblGrid>
        <w:gridCol w:w="2699"/>
        <w:gridCol w:w="1842"/>
        <w:gridCol w:w="4344"/>
      </w:tblGrid>
      <w:tr w:rsidR="00F9733B" w:rsidRPr="00F21623">
        <w:trPr>
          <w:trHeight w:val="293"/>
        </w:trPr>
        <w:tc>
          <w:tcPr>
            <w:tcW w:w="2699"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F9733B" w:rsidRPr="00F21623" w:rsidRDefault="00C4709B" w:rsidP="0047333D">
            <w:pPr>
              <w:rPr>
                <w:rFonts w:ascii="Calibri" w:eastAsia="Times New Roman" w:hAnsi="Calibri"/>
                <w:b/>
                <w:bCs/>
                <w:color w:val="000000"/>
                <w:sz w:val="22"/>
                <w:szCs w:val="22"/>
                <w:lang w:val="fr-FR" w:eastAsia="en-GB"/>
              </w:rPr>
            </w:pPr>
            <w:r>
              <w:rPr>
                <w:rFonts w:ascii="Calibri" w:eastAsia="Times New Roman" w:hAnsi="Calibri"/>
                <w:b/>
                <w:bCs/>
                <w:color w:val="000000"/>
                <w:sz w:val="22"/>
                <w:szCs w:val="22"/>
                <w:lang w:val="fr-FR" w:eastAsia="en-GB"/>
              </w:rPr>
              <w:t>Donateu</w:t>
            </w:r>
            <w:r w:rsidR="00F9733B" w:rsidRPr="00F21623">
              <w:rPr>
                <w:rFonts w:ascii="Calibri" w:eastAsia="Times New Roman" w:hAnsi="Calibri"/>
                <w:b/>
                <w:bCs/>
                <w:color w:val="000000"/>
                <w:sz w:val="22"/>
                <w:szCs w:val="22"/>
                <w:lang w:val="fr-FR" w:eastAsia="en-GB"/>
              </w:rPr>
              <w:t>r</w:t>
            </w:r>
          </w:p>
        </w:tc>
        <w:tc>
          <w:tcPr>
            <w:tcW w:w="1842" w:type="dxa"/>
            <w:tcBorders>
              <w:top w:val="single" w:sz="4" w:space="0" w:color="auto"/>
              <w:left w:val="nil"/>
              <w:bottom w:val="single" w:sz="4" w:space="0" w:color="auto"/>
              <w:right w:val="single" w:sz="4" w:space="0" w:color="auto"/>
            </w:tcBorders>
            <w:shd w:val="clear" w:color="000000" w:fill="C5D9F1"/>
            <w:noWrap/>
            <w:vAlign w:val="bottom"/>
          </w:tcPr>
          <w:p w:rsidR="00F9733B" w:rsidRPr="00F21623" w:rsidRDefault="00C4709B" w:rsidP="0047333D">
            <w:pPr>
              <w:jc w:val="center"/>
              <w:rPr>
                <w:rFonts w:ascii="Calibri" w:eastAsia="Times New Roman" w:hAnsi="Calibri"/>
                <w:b/>
                <w:bCs/>
                <w:color w:val="000000"/>
                <w:sz w:val="22"/>
                <w:szCs w:val="22"/>
                <w:lang w:val="fr-FR" w:eastAsia="en-GB"/>
              </w:rPr>
            </w:pPr>
            <w:r>
              <w:rPr>
                <w:rFonts w:ascii="Calibri" w:eastAsia="Times New Roman" w:hAnsi="Calibri"/>
                <w:b/>
                <w:bCs/>
                <w:color w:val="000000"/>
                <w:sz w:val="22"/>
                <w:szCs w:val="22"/>
                <w:lang w:val="fr-FR" w:eastAsia="en-GB"/>
              </w:rPr>
              <w:t>Montant</w:t>
            </w:r>
          </w:p>
        </w:tc>
        <w:tc>
          <w:tcPr>
            <w:tcW w:w="4344" w:type="dxa"/>
            <w:tcBorders>
              <w:top w:val="single" w:sz="4" w:space="0" w:color="auto"/>
              <w:left w:val="nil"/>
              <w:bottom w:val="single" w:sz="4" w:space="0" w:color="auto"/>
              <w:right w:val="single" w:sz="4" w:space="0" w:color="auto"/>
            </w:tcBorders>
            <w:shd w:val="clear" w:color="000000" w:fill="C5D9F1"/>
            <w:noWrap/>
            <w:vAlign w:val="bottom"/>
          </w:tcPr>
          <w:p w:rsidR="00F9733B" w:rsidRPr="00F21623" w:rsidRDefault="00F9733B" w:rsidP="0047333D">
            <w:pPr>
              <w:jc w:val="cente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C</w:t>
            </w:r>
            <w:r w:rsidR="00243763" w:rsidRPr="00F21623">
              <w:rPr>
                <w:rFonts w:ascii="Calibri" w:eastAsia="Times New Roman" w:hAnsi="Calibri"/>
                <w:b/>
                <w:bCs/>
                <w:color w:val="000000"/>
                <w:sz w:val="22"/>
                <w:szCs w:val="22"/>
                <w:lang w:val="fr-FR" w:eastAsia="en-GB"/>
              </w:rPr>
              <w:t>omment</w:t>
            </w:r>
            <w:r w:rsidR="00C4709B">
              <w:rPr>
                <w:rFonts w:ascii="Calibri" w:eastAsia="Times New Roman" w:hAnsi="Calibri"/>
                <w:b/>
                <w:bCs/>
                <w:color w:val="000000"/>
                <w:sz w:val="22"/>
                <w:szCs w:val="22"/>
                <w:lang w:val="fr-FR" w:eastAsia="en-GB"/>
              </w:rPr>
              <w:t>aire</w:t>
            </w:r>
            <w:r w:rsidR="00243763" w:rsidRPr="00F21623">
              <w:rPr>
                <w:rFonts w:ascii="Calibri" w:eastAsia="Times New Roman" w:hAnsi="Calibri"/>
                <w:b/>
                <w:bCs/>
                <w:color w:val="000000"/>
                <w:sz w:val="22"/>
                <w:szCs w:val="22"/>
                <w:lang w:val="fr-FR" w:eastAsia="en-GB"/>
              </w:rPr>
              <w:t>s</w:t>
            </w: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996235"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Danon</w:t>
            </w:r>
            <w:r w:rsidR="003D30F3" w:rsidRPr="00F21623">
              <w:rPr>
                <w:rFonts w:ascii="Calibri" w:eastAsia="Times New Roman" w:hAnsi="Calibri"/>
                <w:color w:val="000000"/>
                <w:sz w:val="22"/>
                <w:szCs w:val="22"/>
                <w:lang w:val="fr-FR" w:eastAsia="en-GB"/>
              </w:rPr>
              <w:t>e</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271</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C4709B" w:rsidP="008D7656">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Suisse</w:t>
            </w:r>
            <w:r w:rsidR="00243763" w:rsidRPr="00F21623">
              <w:rPr>
                <w:rFonts w:ascii="Calibri" w:eastAsia="Times New Roman" w:hAnsi="Calibri"/>
                <w:color w:val="000000"/>
                <w:sz w:val="22"/>
                <w:szCs w:val="22"/>
                <w:lang w:val="fr-FR" w:eastAsia="en-GB"/>
              </w:rPr>
              <w:t xml:space="preserve"> (</w:t>
            </w:r>
            <w:r w:rsidR="008D7656">
              <w:rPr>
                <w:rFonts w:ascii="Calibri" w:eastAsia="Times New Roman" w:hAnsi="Calibri"/>
                <w:color w:val="000000"/>
                <w:sz w:val="22"/>
                <w:szCs w:val="22"/>
                <w:lang w:val="fr-FR" w:eastAsia="en-GB"/>
              </w:rPr>
              <w:t>OFEV</w:t>
            </w:r>
            <w:r w:rsidR="00243763" w:rsidRPr="00F21623">
              <w:rPr>
                <w:rFonts w:ascii="Calibri" w:eastAsia="Times New Roman" w:hAnsi="Calibri"/>
                <w:color w:val="000000"/>
                <w:sz w:val="22"/>
                <w:szCs w:val="22"/>
                <w:lang w:val="fr-FR" w:eastAsia="en-GB"/>
              </w:rPr>
              <w:t>)</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120</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BA4F43"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MAVA</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124</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C4709B"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Japo</w:t>
            </w:r>
            <w:r w:rsidR="00BA4F43" w:rsidRPr="00F21623">
              <w:rPr>
                <w:rFonts w:ascii="Calibri" w:eastAsia="Times New Roman" w:hAnsi="Calibri"/>
                <w:color w:val="000000"/>
                <w:sz w:val="22"/>
                <w:szCs w:val="22"/>
                <w:lang w:val="fr-FR" w:eastAsia="en-GB"/>
              </w:rPr>
              <w:t>n</w:t>
            </w:r>
            <w:r w:rsidR="00243763" w:rsidRPr="00F21623">
              <w:rPr>
                <w:rFonts w:ascii="Calibri" w:eastAsia="Times New Roman" w:hAnsi="Calibri"/>
                <w:color w:val="000000"/>
                <w:sz w:val="22"/>
                <w:szCs w:val="22"/>
                <w:lang w:val="fr-FR" w:eastAsia="en-GB"/>
              </w:rPr>
              <w:t xml:space="preserve"> (NEF)</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92</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430DD8">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3D30F3"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Canada</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2</w:t>
            </w:r>
            <w:r w:rsidR="003D30F3" w:rsidRPr="00F21623">
              <w:rPr>
                <w:rFonts w:ascii="Calibri" w:eastAsia="Times New Roman" w:hAnsi="Calibri"/>
                <w:sz w:val="22"/>
                <w:szCs w:val="22"/>
                <w:lang w:val="fr-FR" w:eastAsia="en-GB"/>
              </w:rPr>
              <w:t>8</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9F2353" w:rsidP="009F2353">
            <w:pPr>
              <w:jc w:val="cente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 xml:space="preserve">Appui aux délégués à la </w:t>
            </w:r>
            <w:r w:rsidR="00243763" w:rsidRPr="00F21623">
              <w:rPr>
                <w:rFonts w:ascii="Calibri" w:eastAsia="Times New Roman" w:hAnsi="Calibri"/>
                <w:color w:val="000000"/>
                <w:sz w:val="22"/>
                <w:szCs w:val="22"/>
                <w:lang w:val="fr-FR" w:eastAsia="en-GB"/>
              </w:rPr>
              <w:t>COP12</w:t>
            </w: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243763"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Nor</w:t>
            </w:r>
            <w:r w:rsidR="00C4709B">
              <w:rPr>
                <w:rFonts w:ascii="Calibri" w:eastAsia="Times New Roman" w:hAnsi="Calibri"/>
                <w:color w:val="000000"/>
                <w:sz w:val="22"/>
                <w:szCs w:val="22"/>
                <w:lang w:val="fr-FR" w:eastAsia="en-GB"/>
              </w:rPr>
              <w:t>vège</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243763"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36</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996235"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WWF</w:t>
            </w:r>
            <w:r w:rsidR="000D3F33" w:rsidRPr="00F21623">
              <w:rPr>
                <w:rFonts w:ascii="Calibri" w:eastAsia="Times New Roman" w:hAnsi="Calibri"/>
                <w:color w:val="000000"/>
                <w:sz w:val="22"/>
                <w:szCs w:val="22"/>
                <w:lang w:val="fr-FR" w:eastAsia="en-GB"/>
              </w:rPr>
              <w:t xml:space="preserve"> International</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22</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996235"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Hans Seidel Foundation</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996235"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5</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rsidR="00F9733B" w:rsidRPr="00F21623" w:rsidRDefault="009F2353" w:rsidP="0047333D">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Autres</w:t>
            </w:r>
          </w:p>
        </w:tc>
        <w:tc>
          <w:tcPr>
            <w:tcW w:w="1842" w:type="dxa"/>
            <w:tcBorders>
              <w:top w:val="nil"/>
              <w:left w:val="nil"/>
              <w:bottom w:val="single" w:sz="4" w:space="0" w:color="auto"/>
              <w:right w:val="single" w:sz="4" w:space="0" w:color="auto"/>
            </w:tcBorders>
            <w:shd w:val="clear" w:color="000000" w:fill="C5D9F1"/>
            <w:noWrap/>
            <w:vAlign w:val="bottom"/>
          </w:tcPr>
          <w:p w:rsidR="00F9733B" w:rsidRPr="00F21623" w:rsidRDefault="000D3F33" w:rsidP="0047333D">
            <w:pPr>
              <w:ind w:right="396"/>
              <w:jc w:val="right"/>
              <w:rPr>
                <w:rFonts w:ascii="Calibri" w:eastAsia="Times New Roman" w:hAnsi="Calibri"/>
                <w:sz w:val="22"/>
                <w:szCs w:val="22"/>
                <w:lang w:val="fr-FR" w:eastAsia="en-GB"/>
              </w:rPr>
            </w:pPr>
            <w:r w:rsidRPr="00F21623">
              <w:rPr>
                <w:rFonts w:ascii="Calibri" w:eastAsia="Times New Roman" w:hAnsi="Calibri"/>
                <w:sz w:val="22"/>
                <w:szCs w:val="22"/>
                <w:lang w:val="fr-FR" w:eastAsia="en-GB"/>
              </w:rPr>
              <w:t>5</w:t>
            </w:r>
            <w:r w:rsidR="00F9733B" w:rsidRPr="00F21623">
              <w:rPr>
                <w:rFonts w:ascii="Calibri" w:eastAsia="Times New Roman" w:hAnsi="Calibri"/>
                <w:sz w:val="22"/>
                <w:szCs w:val="22"/>
                <w:lang w:val="fr-FR"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rsidR="00F9733B" w:rsidRPr="00F21623" w:rsidRDefault="00F9733B" w:rsidP="0047333D">
            <w:pPr>
              <w:jc w:val="center"/>
              <w:rPr>
                <w:rFonts w:ascii="Calibri" w:eastAsia="Times New Roman" w:hAnsi="Calibri"/>
                <w:color w:val="000000"/>
                <w:sz w:val="22"/>
                <w:szCs w:val="22"/>
                <w:lang w:val="fr-FR" w:eastAsia="en-GB"/>
              </w:rPr>
            </w:pPr>
          </w:p>
        </w:tc>
      </w:tr>
      <w:tr w:rsidR="00F9733B" w:rsidRPr="00F21623">
        <w:trPr>
          <w:trHeight w:val="293"/>
        </w:trPr>
        <w:tc>
          <w:tcPr>
            <w:tcW w:w="2699" w:type="dxa"/>
            <w:tcBorders>
              <w:top w:val="single" w:sz="4" w:space="0" w:color="auto"/>
              <w:left w:val="single" w:sz="4" w:space="0" w:color="auto"/>
              <w:bottom w:val="single" w:sz="4" w:space="0" w:color="auto"/>
              <w:right w:val="nil"/>
            </w:tcBorders>
            <w:shd w:val="clear" w:color="000000" w:fill="8DB4E2"/>
            <w:noWrap/>
            <w:vAlign w:val="bottom"/>
          </w:tcPr>
          <w:p w:rsidR="00F9733B" w:rsidRPr="00F21623" w:rsidRDefault="00F9733B" w:rsidP="0047333D">
            <w:pPr>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Total</w:t>
            </w:r>
          </w:p>
        </w:tc>
        <w:tc>
          <w:tcPr>
            <w:tcW w:w="1842" w:type="dxa"/>
            <w:tcBorders>
              <w:top w:val="nil"/>
              <w:left w:val="nil"/>
              <w:bottom w:val="single" w:sz="4" w:space="0" w:color="auto"/>
              <w:right w:val="single" w:sz="4" w:space="0" w:color="auto"/>
            </w:tcBorders>
            <w:shd w:val="clear" w:color="000000" w:fill="D9D9D9"/>
            <w:noWrap/>
            <w:vAlign w:val="bottom"/>
          </w:tcPr>
          <w:p w:rsidR="00F9733B" w:rsidRPr="00F21623" w:rsidRDefault="000C260D" w:rsidP="0047333D">
            <w:pPr>
              <w:ind w:right="396"/>
              <w:jc w:val="right"/>
              <w:rPr>
                <w:rFonts w:ascii="Calibri" w:eastAsia="Times New Roman" w:hAnsi="Calibri"/>
                <w:b/>
                <w:bCs/>
                <w:color w:val="000000"/>
                <w:sz w:val="22"/>
                <w:szCs w:val="22"/>
                <w:lang w:val="fr-FR" w:eastAsia="en-GB"/>
              </w:rPr>
            </w:pPr>
            <w:r w:rsidRPr="00F21623">
              <w:rPr>
                <w:rFonts w:ascii="Calibri" w:eastAsia="Times New Roman" w:hAnsi="Calibri"/>
                <w:b/>
                <w:bCs/>
                <w:color w:val="000000"/>
                <w:sz w:val="22"/>
                <w:szCs w:val="22"/>
                <w:lang w:val="fr-FR" w:eastAsia="en-GB"/>
              </w:rPr>
              <w:t>703</w:t>
            </w:r>
            <w:r w:rsidR="00E74F77" w:rsidRPr="00F21623">
              <w:rPr>
                <w:rStyle w:val="FootnoteReference"/>
                <w:rFonts w:ascii="Calibri" w:eastAsia="Times New Roman" w:hAnsi="Calibri"/>
                <w:b/>
                <w:bCs/>
                <w:color w:val="000000"/>
                <w:sz w:val="22"/>
                <w:szCs w:val="22"/>
                <w:lang w:val="fr-FR" w:eastAsia="en-GB"/>
              </w:rPr>
              <w:footnoteReference w:id="4"/>
            </w:r>
            <w:r w:rsidR="00F9733B" w:rsidRPr="00F21623">
              <w:rPr>
                <w:rFonts w:ascii="Calibri" w:eastAsia="Times New Roman" w:hAnsi="Calibri"/>
                <w:b/>
                <w:bCs/>
                <w:color w:val="000000"/>
                <w:sz w:val="22"/>
                <w:szCs w:val="22"/>
                <w:lang w:val="fr-FR" w:eastAsia="en-GB"/>
              </w:rPr>
              <w:t xml:space="preserve"> </w:t>
            </w:r>
          </w:p>
        </w:tc>
        <w:tc>
          <w:tcPr>
            <w:tcW w:w="4344" w:type="dxa"/>
            <w:tcBorders>
              <w:top w:val="nil"/>
              <w:left w:val="nil"/>
              <w:bottom w:val="nil"/>
              <w:right w:val="nil"/>
            </w:tcBorders>
            <w:shd w:val="clear" w:color="000000" w:fill="FFFFFF"/>
            <w:noWrap/>
            <w:vAlign w:val="bottom"/>
          </w:tcPr>
          <w:p w:rsidR="00F9733B" w:rsidRPr="00F21623" w:rsidRDefault="00F9733B" w:rsidP="0047333D">
            <w:pPr>
              <w:rPr>
                <w:rFonts w:ascii="Calibri" w:eastAsia="Times New Roman" w:hAnsi="Calibri"/>
                <w:color w:val="000000"/>
                <w:sz w:val="22"/>
                <w:szCs w:val="22"/>
                <w:lang w:val="fr-FR" w:eastAsia="en-GB"/>
              </w:rPr>
            </w:pPr>
            <w:r w:rsidRPr="00F21623">
              <w:rPr>
                <w:rFonts w:ascii="Calibri" w:eastAsia="Times New Roman" w:hAnsi="Calibri"/>
                <w:color w:val="000000"/>
                <w:sz w:val="22"/>
                <w:szCs w:val="22"/>
                <w:lang w:val="fr-FR" w:eastAsia="en-GB"/>
              </w:rPr>
              <w:t> </w:t>
            </w:r>
          </w:p>
        </w:tc>
      </w:tr>
    </w:tbl>
    <w:p w:rsidR="00F9733B" w:rsidRPr="00F21623" w:rsidRDefault="00F9733B" w:rsidP="0047333D">
      <w:pPr>
        <w:rPr>
          <w:rFonts w:ascii="Calibri" w:hAnsi="Calibri"/>
          <w:sz w:val="22"/>
          <w:szCs w:val="22"/>
          <w:lang w:val="fr-FR"/>
        </w:rPr>
      </w:pPr>
    </w:p>
    <w:p w:rsidR="00D62360" w:rsidRPr="00F21623" w:rsidRDefault="00D62360" w:rsidP="0047333D">
      <w:pPr>
        <w:rPr>
          <w:rFonts w:ascii="Calibri" w:hAnsi="Calibri"/>
          <w:sz w:val="22"/>
          <w:szCs w:val="22"/>
          <w:lang w:val="fr-FR"/>
        </w:rPr>
      </w:pPr>
    </w:p>
    <w:p w:rsidR="00D62360" w:rsidRPr="00F21623" w:rsidRDefault="003D5EC0" w:rsidP="0047333D">
      <w:pPr>
        <w:numPr>
          <w:ilvl w:val="0"/>
          <w:numId w:val="26"/>
        </w:numPr>
        <w:ind w:left="426" w:hanging="426"/>
        <w:rPr>
          <w:rFonts w:ascii="Calibri" w:hAnsi="Calibri"/>
          <w:sz w:val="22"/>
          <w:szCs w:val="22"/>
          <w:lang w:val="fr-FR"/>
        </w:rPr>
      </w:pPr>
      <w:r>
        <w:rPr>
          <w:rFonts w:ascii="Calibri" w:hAnsi="Calibri"/>
          <w:sz w:val="22"/>
          <w:szCs w:val="22"/>
          <w:lang w:val="fr-FR"/>
        </w:rPr>
        <w:t>En outre</w:t>
      </w:r>
      <w:r w:rsidR="00D62360" w:rsidRPr="00F21623">
        <w:rPr>
          <w:rFonts w:ascii="Calibri" w:hAnsi="Calibri"/>
          <w:sz w:val="22"/>
          <w:szCs w:val="22"/>
          <w:lang w:val="fr-FR"/>
        </w:rPr>
        <w:t xml:space="preserve">, Star Alliance </w:t>
      </w:r>
      <w:r>
        <w:rPr>
          <w:rFonts w:ascii="Calibri" w:hAnsi="Calibri"/>
          <w:sz w:val="22"/>
          <w:szCs w:val="22"/>
          <w:lang w:val="fr-FR"/>
        </w:rPr>
        <w:t>a offert des billets d’avion d’une valeur totale de 19 000 CHF (18 000 EUR</w:t>
      </w:r>
      <w:r w:rsidR="00D62360" w:rsidRPr="00F21623">
        <w:rPr>
          <w:rFonts w:ascii="Calibri" w:hAnsi="Calibri"/>
          <w:sz w:val="22"/>
          <w:szCs w:val="22"/>
          <w:lang w:val="fr-FR"/>
        </w:rPr>
        <w:t>).</w:t>
      </w:r>
    </w:p>
    <w:p w:rsidR="007220B9" w:rsidRPr="00F21623" w:rsidRDefault="007220B9" w:rsidP="0047333D">
      <w:pPr>
        <w:ind w:left="426"/>
        <w:rPr>
          <w:rFonts w:ascii="Calibri" w:hAnsi="Calibri"/>
          <w:sz w:val="22"/>
          <w:szCs w:val="22"/>
          <w:lang w:val="fr-FR"/>
        </w:rPr>
      </w:pPr>
    </w:p>
    <w:p w:rsidR="00827D22" w:rsidRDefault="00F95E76" w:rsidP="0047333D">
      <w:pPr>
        <w:numPr>
          <w:ilvl w:val="0"/>
          <w:numId w:val="26"/>
        </w:numPr>
        <w:ind w:left="426" w:hanging="426"/>
        <w:rPr>
          <w:rFonts w:ascii="Calibri" w:hAnsi="Calibri"/>
          <w:sz w:val="22"/>
          <w:szCs w:val="22"/>
          <w:lang w:val="fr-FR"/>
        </w:rPr>
      </w:pPr>
      <w:r>
        <w:rPr>
          <w:rFonts w:ascii="Calibri" w:hAnsi="Calibri"/>
          <w:sz w:val="22"/>
          <w:szCs w:val="22"/>
          <w:lang w:val="fr-FR"/>
        </w:rPr>
        <w:t>Le Secré</w:t>
      </w:r>
      <w:r w:rsidR="00827D22" w:rsidRPr="00F21623">
        <w:rPr>
          <w:rFonts w:ascii="Calibri" w:hAnsi="Calibri"/>
          <w:sz w:val="22"/>
          <w:szCs w:val="22"/>
          <w:lang w:val="fr-FR"/>
        </w:rPr>
        <w:t>tariat</w:t>
      </w:r>
      <w:r>
        <w:rPr>
          <w:rFonts w:ascii="Calibri" w:hAnsi="Calibri"/>
          <w:sz w:val="22"/>
          <w:szCs w:val="22"/>
          <w:lang w:val="fr-FR"/>
        </w:rPr>
        <w:t xml:space="preserve"> tient à adresser ses sincères remerciements aux Parties contractantes et aux donateurs pour les contributions volontaires versées en faveur d’activités hors budget administratif de la</w:t>
      </w:r>
      <w:r w:rsidR="00827D22" w:rsidRPr="00F21623">
        <w:rPr>
          <w:rFonts w:ascii="Calibri" w:hAnsi="Calibri"/>
          <w:sz w:val="22"/>
          <w:szCs w:val="22"/>
          <w:lang w:val="fr-FR"/>
        </w:rPr>
        <w:t xml:space="preserve"> Convention</w:t>
      </w:r>
      <w:r w:rsidR="00280101" w:rsidRPr="00F21623">
        <w:rPr>
          <w:rFonts w:ascii="Calibri" w:hAnsi="Calibri"/>
          <w:sz w:val="22"/>
          <w:szCs w:val="22"/>
          <w:lang w:val="fr-FR"/>
        </w:rPr>
        <w:t>.</w:t>
      </w:r>
    </w:p>
    <w:p w:rsidR="00C54F82" w:rsidRDefault="00C54F82" w:rsidP="00C54F82">
      <w:pPr>
        <w:pStyle w:val="ListParagraph"/>
        <w:rPr>
          <w:rFonts w:ascii="Calibri" w:hAnsi="Calibri"/>
          <w:sz w:val="22"/>
          <w:szCs w:val="22"/>
          <w:lang w:val="fr-FR"/>
        </w:rPr>
      </w:pPr>
    </w:p>
    <w:p w:rsidR="000917F6" w:rsidRPr="00C54F82" w:rsidRDefault="00F17147" w:rsidP="00C54F82">
      <w:pPr>
        <w:numPr>
          <w:ilvl w:val="0"/>
          <w:numId w:val="26"/>
        </w:numPr>
        <w:ind w:left="426" w:hanging="426"/>
        <w:rPr>
          <w:rFonts w:ascii="Calibri" w:hAnsi="Calibri"/>
          <w:sz w:val="22"/>
          <w:szCs w:val="22"/>
          <w:lang w:val="fr-FR"/>
        </w:rPr>
      </w:pPr>
      <w:r w:rsidRPr="00C54F82">
        <w:rPr>
          <w:rFonts w:ascii="Calibri" w:hAnsi="Calibri" w:cs="Calibri"/>
          <w:bCs/>
          <w:sz w:val="22"/>
          <w:szCs w:val="22"/>
          <w:lang w:val="fr-FR"/>
        </w:rPr>
        <w:t xml:space="preserve">Le budget approuvé à la COP12 tablait pour la période triennale sur des contributions volontaires relevant du budget non administratif d’un montant de 4,2 millions de CHF destinées à financer les activités prioritaires pour la période 2016-2018 (voir annexe 5). </w:t>
      </w:r>
      <w:r w:rsidR="00C4521B" w:rsidRPr="00C54F82">
        <w:rPr>
          <w:rFonts w:ascii="Calibri" w:hAnsi="Calibri" w:cs="Calibri"/>
          <w:bCs/>
          <w:sz w:val="22"/>
          <w:szCs w:val="22"/>
          <w:lang w:val="fr-FR"/>
        </w:rPr>
        <w:t xml:space="preserve">Il convient de noter que l’ancien poste de Responsable des partenariats n’a pas été pourvu en 2016 et qu’un nouveau poste de Responsable de la mobilisation des ressources et </w:t>
      </w:r>
      <w:r w:rsidR="00C2391E" w:rsidRPr="00C54F82">
        <w:rPr>
          <w:rFonts w:ascii="Calibri" w:hAnsi="Calibri" w:cs="Calibri"/>
          <w:bCs/>
          <w:sz w:val="22"/>
          <w:szCs w:val="22"/>
          <w:lang w:val="fr-FR"/>
        </w:rPr>
        <w:t xml:space="preserve">de la sensibilisation est en cours de création. </w:t>
      </w:r>
    </w:p>
    <w:p w:rsidR="00430DD8" w:rsidRDefault="00430DD8" w:rsidP="00430DD8">
      <w:pPr>
        <w:rPr>
          <w:rFonts w:ascii="Calibri" w:hAnsi="Calibri"/>
          <w:b/>
          <w:sz w:val="22"/>
          <w:szCs w:val="22"/>
          <w:lang w:val="fr-FR"/>
        </w:rPr>
      </w:pPr>
    </w:p>
    <w:p w:rsidR="00430DD8" w:rsidRPr="00F21623" w:rsidRDefault="00430DD8" w:rsidP="00430DD8">
      <w:pPr>
        <w:rPr>
          <w:rFonts w:ascii="Calibri" w:hAnsi="Calibri"/>
          <w:b/>
          <w:sz w:val="22"/>
          <w:szCs w:val="22"/>
          <w:lang w:val="fr-FR"/>
        </w:rPr>
      </w:pPr>
    </w:p>
    <w:p w:rsidR="00D22F60" w:rsidRPr="00F21623" w:rsidRDefault="00C4709B" w:rsidP="0047333D">
      <w:pPr>
        <w:keepNext/>
        <w:rPr>
          <w:rFonts w:ascii="Calibri" w:hAnsi="Calibri"/>
          <w:b/>
          <w:sz w:val="22"/>
          <w:szCs w:val="22"/>
          <w:lang w:val="fr-FR"/>
        </w:rPr>
      </w:pPr>
      <w:r>
        <w:rPr>
          <w:rFonts w:ascii="Calibri" w:hAnsi="Calibri"/>
          <w:b/>
          <w:sz w:val="22"/>
          <w:szCs w:val="22"/>
          <w:lang w:val="fr-FR"/>
        </w:rPr>
        <w:t xml:space="preserve">Bilan </w:t>
      </w:r>
      <w:r w:rsidR="000E650E" w:rsidRPr="00F21623">
        <w:rPr>
          <w:rFonts w:ascii="Calibri" w:hAnsi="Calibri"/>
          <w:b/>
          <w:sz w:val="22"/>
          <w:szCs w:val="22"/>
          <w:lang w:val="fr-FR"/>
        </w:rPr>
        <w:t>201</w:t>
      </w:r>
      <w:r w:rsidR="00C3484B" w:rsidRPr="00F21623">
        <w:rPr>
          <w:rFonts w:ascii="Calibri" w:hAnsi="Calibri"/>
          <w:b/>
          <w:sz w:val="22"/>
          <w:szCs w:val="22"/>
          <w:lang w:val="fr-FR"/>
        </w:rPr>
        <w:t>6</w:t>
      </w:r>
    </w:p>
    <w:p w:rsidR="000E650E" w:rsidRPr="00F21623" w:rsidRDefault="000E650E" w:rsidP="0047333D">
      <w:pPr>
        <w:keepNext/>
        <w:ind w:left="426" w:hanging="426"/>
        <w:rPr>
          <w:rFonts w:ascii="Calibri" w:hAnsi="Calibri"/>
          <w:sz w:val="22"/>
          <w:szCs w:val="22"/>
          <w:lang w:val="fr-FR"/>
        </w:rPr>
      </w:pPr>
    </w:p>
    <w:p w:rsidR="008B4756" w:rsidRPr="00F21623" w:rsidRDefault="000921DD" w:rsidP="0047333D">
      <w:pPr>
        <w:numPr>
          <w:ilvl w:val="0"/>
          <w:numId w:val="26"/>
        </w:numPr>
        <w:ind w:left="426" w:hanging="426"/>
        <w:rPr>
          <w:rFonts w:ascii="Calibri" w:hAnsi="Calibri"/>
          <w:sz w:val="22"/>
          <w:szCs w:val="22"/>
          <w:lang w:val="fr-FR"/>
        </w:rPr>
      </w:pPr>
      <w:r w:rsidRPr="00E03828">
        <w:rPr>
          <w:rFonts w:ascii="Calibri" w:hAnsi="Calibri" w:cs="Calibri"/>
          <w:bCs/>
          <w:sz w:val="22"/>
          <w:szCs w:val="22"/>
          <w:lang w:val="fr-FR"/>
        </w:rPr>
        <w:t>Le bilan présenté à l’annexe 1 a été établi au 31 décembre 201</w:t>
      </w:r>
      <w:r>
        <w:rPr>
          <w:rFonts w:ascii="Calibri" w:hAnsi="Calibri" w:cs="Calibri"/>
          <w:bCs/>
          <w:sz w:val="22"/>
          <w:szCs w:val="22"/>
          <w:lang w:val="fr-FR"/>
        </w:rPr>
        <w:t>6</w:t>
      </w:r>
      <w:r w:rsidR="000F045B" w:rsidRPr="00F21623">
        <w:rPr>
          <w:rFonts w:ascii="Calibri" w:hAnsi="Calibri"/>
          <w:sz w:val="22"/>
          <w:szCs w:val="22"/>
          <w:lang w:val="fr-FR"/>
        </w:rPr>
        <w:t xml:space="preserve">. </w:t>
      </w:r>
      <w:r w:rsidRPr="00E03828">
        <w:rPr>
          <w:rFonts w:ascii="Calibri" w:hAnsi="Calibri" w:cs="Calibri"/>
          <w:bCs/>
          <w:sz w:val="22"/>
          <w:szCs w:val="22"/>
          <w:lang w:val="fr-FR"/>
        </w:rPr>
        <w:t>Le Secrétariat affichait un solde de trésorerie de 4</w:t>
      </w:r>
      <w:r>
        <w:rPr>
          <w:rFonts w:ascii="Calibri" w:hAnsi="Calibri" w:cs="Calibri"/>
          <w:bCs/>
          <w:sz w:val="22"/>
          <w:szCs w:val="22"/>
          <w:lang w:val="fr-FR"/>
        </w:rPr>
        <w:t> 569 000</w:t>
      </w:r>
      <w:r w:rsidRPr="00E03828">
        <w:rPr>
          <w:rFonts w:ascii="Calibri" w:hAnsi="Calibri" w:cs="Calibri"/>
          <w:bCs/>
          <w:sz w:val="22"/>
          <w:szCs w:val="22"/>
          <w:lang w:val="fr-FR"/>
        </w:rPr>
        <w:t xml:space="preserve"> CHF ventilé </w:t>
      </w:r>
      <w:r>
        <w:rPr>
          <w:rFonts w:ascii="Calibri" w:hAnsi="Calibri" w:cs="Calibri"/>
          <w:bCs/>
          <w:sz w:val="22"/>
          <w:szCs w:val="22"/>
          <w:lang w:val="fr-FR"/>
        </w:rPr>
        <w:t>dans les</w:t>
      </w:r>
      <w:r w:rsidRPr="00E03828">
        <w:rPr>
          <w:rFonts w:ascii="Calibri" w:hAnsi="Calibri" w:cs="Calibri"/>
          <w:bCs/>
          <w:sz w:val="22"/>
          <w:szCs w:val="22"/>
          <w:lang w:val="fr-FR"/>
        </w:rPr>
        <w:t xml:space="preserve"> devises suivante</w:t>
      </w:r>
      <w:r>
        <w:rPr>
          <w:rFonts w:ascii="Calibri" w:hAnsi="Calibri" w:cs="Calibri"/>
          <w:bCs/>
          <w:sz w:val="22"/>
          <w:szCs w:val="22"/>
          <w:lang w:val="fr-FR"/>
        </w:rPr>
        <w:t>s</w:t>
      </w:r>
      <w:r w:rsidRPr="00E03828">
        <w:rPr>
          <w:rFonts w:ascii="Calibri" w:hAnsi="Calibri" w:cs="Calibri"/>
          <w:bCs/>
          <w:sz w:val="22"/>
          <w:szCs w:val="22"/>
          <w:lang w:val="fr-FR"/>
        </w:rPr>
        <w:t xml:space="preserve"> : </w:t>
      </w:r>
      <w:r w:rsidR="008B4756" w:rsidRPr="00F21623">
        <w:rPr>
          <w:rFonts w:ascii="Calibri" w:hAnsi="Calibri"/>
          <w:sz w:val="22"/>
          <w:szCs w:val="22"/>
          <w:lang w:val="fr-FR"/>
        </w:rPr>
        <w:t xml:space="preserve">48% </w:t>
      </w:r>
      <w:r>
        <w:rPr>
          <w:rFonts w:ascii="Calibri" w:hAnsi="Calibri"/>
          <w:sz w:val="22"/>
          <w:szCs w:val="22"/>
          <w:lang w:val="fr-FR"/>
        </w:rPr>
        <w:t>en francs suisses, 24% en dollars des États-Unis d’Amérique, 17% en euros et 11% en couronnes norvégiennes</w:t>
      </w:r>
      <w:r w:rsidR="008B4756" w:rsidRPr="00F21623">
        <w:rPr>
          <w:rFonts w:ascii="Calibri" w:hAnsi="Calibri"/>
          <w:sz w:val="22"/>
          <w:szCs w:val="22"/>
          <w:lang w:val="fr-FR"/>
        </w:rPr>
        <w:t>.</w:t>
      </w:r>
    </w:p>
    <w:p w:rsidR="00314CBB" w:rsidRPr="00F21623" w:rsidRDefault="008B4756" w:rsidP="0047333D">
      <w:pPr>
        <w:ind w:left="426"/>
        <w:rPr>
          <w:rFonts w:ascii="Calibri" w:hAnsi="Calibri"/>
          <w:sz w:val="22"/>
          <w:szCs w:val="22"/>
          <w:lang w:val="fr-FR"/>
        </w:rPr>
      </w:pPr>
      <w:r w:rsidRPr="00F21623">
        <w:rPr>
          <w:rFonts w:ascii="Calibri" w:hAnsi="Calibri"/>
          <w:sz w:val="22"/>
          <w:szCs w:val="22"/>
          <w:lang w:val="fr-FR"/>
        </w:rPr>
        <w:t xml:space="preserve"> </w:t>
      </w:r>
    </w:p>
    <w:p w:rsidR="004B76AD" w:rsidRPr="00F21623" w:rsidRDefault="00E62A95" w:rsidP="0047333D">
      <w:pPr>
        <w:numPr>
          <w:ilvl w:val="0"/>
          <w:numId w:val="26"/>
        </w:numPr>
        <w:ind w:left="426" w:hanging="426"/>
        <w:rPr>
          <w:rFonts w:ascii="Calibri" w:hAnsi="Calibri"/>
          <w:sz w:val="22"/>
          <w:szCs w:val="22"/>
          <w:lang w:val="fr-FR"/>
        </w:rPr>
      </w:pPr>
      <w:r w:rsidRPr="00E03828">
        <w:rPr>
          <w:rFonts w:ascii="Calibri" w:hAnsi="Calibri" w:cs="Calibri"/>
          <w:bCs/>
          <w:sz w:val="22"/>
          <w:szCs w:val="22"/>
          <w:lang w:val="fr-FR"/>
        </w:rPr>
        <w:t>Une fois réunis, le</w:t>
      </w:r>
      <w:r>
        <w:rPr>
          <w:rFonts w:ascii="Calibri" w:hAnsi="Calibri" w:cs="Calibri"/>
          <w:bCs/>
          <w:sz w:val="22"/>
          <w:szCs w:val="22"/>
          <w:lang w:val="fr-FR"/>
        </w:rPr>
        <w:t>s</w:t>
      </w:r>
      <w:r w:rsidRPr="00E03828">
        <w:rPr>
          <w:rFonts w:ascii="Calibri" w:hAnsi="Calibri" w:cs="Calibri"/>
          <w:bCs/>
          <w:sz w:val="22"/>
          <w:szCs w:val="22"/>
          <w:lang w:val="fr-FR"/>
        </w:rPr>
        <w:t xml:space="preserve"> </w:t>
      </w:r>
      <w:r>
        <w:rPr>
          <w:rFonts w:ascii="Calibri" w:hAnsi="Calibri" w:cs="Calibri"/>
          <w:bCs/>
          <w:sz w:val="22"/>
          <w:szCs w:val="22"/>
          <w:lang w:val="fr-FR"/>
        </w:rPr>
        <w:t>contributions en espèces</w:t>
      </w:r>
      <w:r w:rsidRPr="00E03828">
        <w:rPr>
          <w:rFonts w:ascii="Calibri" w:hAnsi="Calibri" w:cs="Calibri"/>
          <w:bCs/>
          <w:sz w:val="22"/>
          <w:szCs w:val="22"/>
          <w:lang w:val="fr-FR"/>
        </w:rPr>
        <w:t xml:space="preserve"> et les comptes à recevoir étaient d’un montant suffisant pour couvrir l’ensemble des obligations du Sec</w:t>
      </w:r>
      <w:r>
        <w:rPr>
          <w:rFonts w:ascii="Calibri" w:hAnsi="Calibri" w:cs="Calibri"/>
          <w:bCs/>
          <w:sz w:val="22"/>
          <w:szCs w:val="22"/>
          <w:lang w:val="fr-FR"/>
        </w:rPr>
        <w:t xml:space="preserve">rétariat à la fin de l’exercice </w:t>
      </w:r>
      <w:r w:rsidR="008B4756" w:rsidRPr="00F21623">
        <w:rPr>
          <w:rFonts w:ascii="Calibri" w:hAnsi="Calibri"/>
          <w:sz w:val="22"/>
          <w:szCs w:val="22"/>
          <w:lang w:val="fr-FR"/>
        </w:rPr>
        <w:t>2016</w:t>
      </w:r>
      <w:r w:rsidR="00A727D8" w:rsidRPr="00F21623">
        <w:rPr>
          <w:rFonts w:ascii="Calibri" w:hAnsi="Calibri"/>
          <w:sz w:val="22"/>
          <w:szCs w:val="22"/>
          <w:lang w:val="fr-FR"/>
        </w:rPr>
        <w:t xml:space="preserve">. </w:t>
      </w:r>
    </w:p>
    <w:p w:rsidR="004B76AD" w:rsidRPr="00F21623" w:rsidRDefault="004B76AD" w:rsidP="0047333D">
      <w:pPr>
        <w:rPr>
          <w:rFonts w:ascii="Calibri" w:hAnsi="Calibri"/>
          <w:sz w:val="22"/>
          <w:szCs w:val="22"/>
          <w:lang w:val="fr-FR"/>
        </w:rPr>
      </w:pPr>
    </w:p>
    <w:p w:rsidR="00A8357F" w:rsidRPr="00F21623" w:rsidRDefault="00A82937" w:rsidP="0047333D">
      <w:pPr>
        <w:numPr>
          <w:ilvl w:val="0"/>
          <w:numId w:val="26"/>
        </w:numPr>
        <w:ind w:left="426" w:hanging="426"/>
        <w:rPr>
          <w:rFonts w:ascii="Calibri" w:hAnsi="Calibri"/>
          <w:sz w:val="22"/>
          <w:szCs w:val="22"/>
          <w:lang w:val="fr-FR"/>
        </w:rPr>
      </w:pPr>
      <w:r>
        <w:rPr>
          <w:rFonts w:ascii="Calibri" w:hAnsi="Calibri"/>
          <w:sz w:val="22"/>
          <w:szCs w:val="22"/>
          <w:lang w:val="fr-FR"/>
        </w:rPr>
        <w:t>En 2016, l</w:t>
      </w:r>
      <w:r w:rsidR="00E62A95">
        <w:rPr>
          <w:rFonts w:ascii="Calibri" w:hAnsi="Calibri"/>
          <w:sz w:val="22"/>
          <w:szCs w:val="22"/>
          <w:lang w:val="fr-FR"/>
        </w:rPr>
        <w:t>e niveau des arriérés de contributions à verser par les Parties contractantes a diminué</w:t>
      </w:r>
      <w:r w:rsidR="008B4756" w:rsidRPr="00F21623">
        <w:rPr>
          <w:rFonts w:ascii="Calibri" w:hAnsi="Calibri"/>
          <w:sz w:val="22"/>
          <w:szCs w:val="22"/>
          <w:lang w:val="fr-FR"/>
        </w:rPr>
        <w:t>.</w:t>
      </w:r>
      <w:r w:rsidR="00E62A95">
        <w:rPr>
          <w:rFonts w:ascii="Calibri" w:hAnsi="Calibri"/>
          <w:sz w:val="22"/>
          <w:szCs w:val="22"/>
          <w:lang w:val="fr-FR"/>
        </w:rPr>
        <w:t xml:space="preserve"> </w:t>
      </w:r>
      <w:r w:rsidR="00E62A95" w:rsidRPr="00E03828">
        <w:rPr>
          <w:rFonts w:ascii="Calibri" w:hAnsi="Calibri"/>
          <w:sz w:val="22"/>
          <w:lang w:val="fr-FR"/>
        </w:rPr>
        <w:t>Pour de plus amples informations</w:t>
      </w:r>
      <w:r w:rsidR="00E62A95">
        <w:rPr>
          <w:rFonts w:ascii="Calibri" w:hAnsi="Calibri"/>
          <w:sz w:val="22"/>
          <w:lang w:val="fr-FR"/>
        </w:rPr>
        <w:t xml:space="preserve"> à ce sujet, consulter le </w:t>
      </w:r>
      <w:r w:rsidR="00E62A95">
        <w:rPr>
          <w:rFonts w:ascii="Calibri" w:hAnsi="Calibri" w:cs="Calibri"/>
          <w:sz w:val="22"/>
          <w:szCs w:val="22"/>
          <w:lang w:val="fr-FR"/>
        </w:rPr>
        <w:t>d</w:t>
      </w:r>
      <w:r w:rsidR="004B246E" w:rsidRPr="00F21623">
        <w:rPr>
          <w:rFonts w:ascii="Calibri" w:hAnsi="Calibri" w:cs="Calibri"/>
          <w:sz w:val="22"/>
          <w:szCs w:val="22"/>
          <w:lang w:val="fr-FR"/>
        </w:rPr>
        <w:t>ocument</w:t>
      </w:r>
      <w:r w:rsidR="00E62A95">
        <w:rPr>
          <w:rFonts w:ascii="Calibri" w:hAnsi="Calibri"/>
          <w:sz w:val="22"/>
          <w:szCs w:val="22"/>
          <w:lang w:val="fr-FR"/>
        </w:rPr>
        <w:t> </w:t>
      </w:r>
      <w:r w:rsidR="00A8357F" w:rsidRPr="00F21623">
        <w:rPr>
          <w:rFonts w:ascii="Calibri" w:hAnsi="Calibri"/>
          <w:sz w:val="22"/>
          <w:szCs w:val="22"/>
          <w:lang w:val="fr-FR"/>
        </w:rPr>
        <w:t>SC</w:t>
      </w:r>
      <w:r w:rsidR="00F9733B" w:rsidRPr="00F21623">
        <w:rPr>
          <w:rFonts w:ascii="Calibri" w:hAnsi="Calibri"/>
          <w:sz w:val="22"/>
          <w:szCs w:val="22"/>
          <w:lang w:val="fr-FR"/>
        </w:rPr>
        <w:t>53</w:t>
      </w:r>
      <w:r w:rsidR="00A8357F" w:rsidRPr="00F21623">
        <w:rPr>
          <w:rFonts w:ascii="Calibri" w:hAnsi="Calibri"/>
          <w:sz w:val="22"/>
          <w:szCs w:val="22"/>
          <w:lang w:val="fr-FR"/>
        </w:rPr>
        <w:t>-</w:t>
      </w:r>
      <w:r w:rsidR="00A45C42" w:rsidRPr="00F21623">
        <w:rPr>
          <w:rFonts w:ascii="Calibri" w:hAnsi="Calibri"/>
          <w:sz w:val="22"/>
          <w:szCs w:val="22"/>
          <w:lang w:val="fr-FR"/>
        </w:rPr>
        <w:t>21</w:t>
      </w:r>
      <w:r w:rsidR="00A8357F" w:rsidRPr="00F21623">
        <w:rPr>
          <w:rFonts w:ascii="Calibri" w:hAnsi="Calibri"/>
          <w:sz w:val="22"/>
          <w:szCs w:val="22"/>
          <w:lang w:val="fr-FR"/>
        </w:rPr>
        <w:t>.</w:t>
      </w:r>
    </w:p>
    <w:p w:rsidR="00334CA4" w:rsidRPr="00F21623" w:rsidRDefault="00334CA4" w:rsidP="0047333D">
      <w:pPr>
        <w:rPr>
          <w:rFonts w:ascii="Calibri" w:hAnsi="Calibri"/>
          <w:sz w:val="22"/>
          <w:szCs w:val="22"/>
          <w:lang w:val="fr-FR"/>
        </w:rPr>
      </w:pPr>
    </w:p>
    <w:p w:rsidR="00334CA4" w:rsidRPr="00F21623" w:rsidRDefault="00334CA4" w:rsidP="0047333D">
      <w:pPr>
        <w:rPr>
          <w:rFonts w:ascii="Calibri" w:hAnsi="Calibri"/>
          <w:sz w:val="22"/>
          <w:szCs w:val="22"/>
          <w:lang w:val="fr-FR"/>
        </w:rPr>
      </w:pPr>
    </w:p>
    <w:p w:rsidR="00430DD8" w:rsidRDefault="00430DD8">
      <w:pPr>
        <w:rPr>
          <w:rFonts w:ascii="Calibri" w:hAnsi="Calibri"/>
          <w:b/>
          <w:sz w:val="22"/>
          <w:szCs w:val="22"/>
          <w:lang w:val="fr-FR"/>
        </w:rPr>
      </w:pPr>
      <w:r>
        <w:rPr>
          <w:rFonts w:ascii="Calibri" w:hAnsi="Calibri"/>
          <w:b/>
          <w:sz w:val="22"/>
          <w:szCs w:val="22"/>
          <w:lang w:val="fr-FR"/>
        </w:rPr>
        <w:br w:type="page"/>
      </w:r>
    </w:p>
    <w:p w:rsidR="00334CA4" w:rsidRPr="00F21623" w:rsidRDefault="002E0D50" w:rsidP="0047333D">
      <w:pPr>
        <w:rPr>
          <w:rFonts w:ascii="Calibri" w:hAnsi="Calibri"/>
          <w:b/>
          <w:sz w:val="22"/>
          <w:szCs w:val="22"/>
          <w:lang w:val="fr-FR"/>
        </w:rPr>
      </w:pPr>
      <w:r>
        <w:rPr>
          <w:rFonts w:ascii="Calibri" w:hAnsi="Calibri"/>
          <w:b/>
          <w:sz w:val="22"/>
          <w:szCs w:val="22"/>
          <w:lang w:val="fr-FR"/>
        </w:rPr>
        <w:lastRenderedPageBreak/>
        <w:t>Report de l’audit des états financiers 2016</w:t>
      </w:r>
    </w:p>
    <w:p w:rsidR="00334CA4" w:rsidRPr="00F21623" w:rsidRDefault="00334CA4" w:rsidP="0047333D">
      <w:pPr>
        <w:rPr>
          <w:rFonts w:ascii="Calibri" w:hAnsi="Calibri"/>
          <w:sz w:val="22"/>
          <w:szCs w:val="22"/>
          <w:lang w:val="fr-FR"/>
        </w:rPr>
      </w:pPr>
    </w:p>
    <w:p w:rsidR="00334CA4" w:rsidRPr="00F21623" w:rsidRDefault="002E0D50" w:rsidP="0047333D">
      <w:pPr>
        <w:numPr>
          <w:ilvl w:val="0"/>
          <w:numId w:val="26"/>
        </w:numPr>
        <w:ind w:left="426" w:hanging="426"/>
        <w:rPr>
          <w:rFonts w:ascii="Calibri" w:hAnsi="Calibri"/>
          <w:sz w:val="22"/>
          <w:szCs w:val="22"/>
          <w:lang w:val="fr-FR"/>
        </w:rPr>
      </w:pPr>
      <w:r>
        <w:rPr>
          <w:rFonts w:ascii="Calibri" w:hAnsi="Calibri"/>
          <w:sz w:val="22"/>
          <w:szCs w:val="22"/>
          <w:lang w:val="fr-FR"/>
        </w:rPr>
        <w:t>Le</w:t>
      </w:r>
      <w:r w:rsidR="00334CA4" w:rsidRPr="00F21623">
        <w:rPr>
          <w:rFonts w:ascii="Calibri" w:hAnsi="Calibri"/>
          <w:sz w:val="22"/>
          <w:szCs w:val="22"/>
          <w:lang w:val="fr-FR"/>
        </w:rPr>
        <w:t xml:space="preserve"> </w:t>
      </w:r>
      <w:r w:rsidR="00C86F3C" w:rsidRPr="00F21623">
        <w:rPr>
          <w:rFonts w:ascii="Calibri" w:hAnsi="Calibri"/>
          <w:sz w:val="22"/>
          <w:szCs w:val="22"/>
          <w:lang w:val="fr-FR"/>
        </w:rPr>
        <w:t>2</w:t>
      </w:r>
      <w:r>
        <w:rPr>
          <w:rFonts w:ascii="Calibri" w:hAnsi="Calibri"/>
          <w:sz w:val="22"/>
          <w:szCs w:val="22"/>
          <w:lang w:val="fr-FR"/>
        </w:rPr>
        <w:t> mars </w:t>
      </w:r>
      <w:r w:rsidR="00334CA4" w:rsidRPr="00F21623">
        <w:rPr>
          <w:rFonts w:ascii="Calibri" w:hAnsi="Calibri"/>
          <w:sz w:val="22"/>
          <w:szCs w:val="22"/>
          <w:lang w:val="fr-FR"/>
        </w:rPr>
        <w:t>2017</w:t>
      </w:r>
      <w:r w:rsidR="00A82937">
        <w:rPr>
          <w:rFonts w:ascii="Calibri" w:hAnsi="Calibri"/>
          <w:sz w:val="22"/>
          <w:szCs w:val="22"/>
          <w:lang w:val="fr-FR"/>
        </w:rPr>
        <w:t>, le S</w:t>
      </w:r>
      <w:r>
        <w:rPr>
          <w:rFonts w:ascii="Calibri" w:hAnsi="Calibri"/>
          <w:sz w:val="22"/>
          <w:szCs w:val="22"/>
          <w:lang w:val="fr-FR"/>
        </w:rPr>
        <w:t xml:space="preserve">ous-groupe </w:t>
      </w:r>
      <w:r w:rsidR="00A82937">
        <w:rPr>
          <w:rFonts w:ascii="Calibri" w:hAnsi="Calibri"/>
          <w:sz w:val="22"/>
          <w:szCs w:val="22"/>
          <w:lang w:val="fr-FR"/>
        </w:rPr>
        <w:t>des</w:t>
      </w:r>
      <w:r>
        <w:rPr>
          <w:rFonts w:ascii="Calibri" w:hAnsi="Calibri"/>
          <w:sz w:val="22"/>
          <w:szCs w:val="22"/>
          <w:lang w:val="fr-FR"/>
        </w:rPr>
        <w:t xml:space="preserve"> finances a accepté la proposition de la Secrétaire générale</w:t>
      </w:r>
      <w:r w:rsidR="00A82937">
        <w:rPr>
          <w:rFonts w:ascii="Calibri" w:hAnsi="Calibri"/>
          <w:sz w:val="22"/>
          <w:szCs w:val="22"/>
          <w:lang w:val="fr-FR"/>
        </w:rPr>
        <w:t xml:space="preserve"> visant à reporter l’audit des é</w:t>
      </w:r>
      <w:r>
        <w:rPr>
          <w:rFonts w:ascii="Calibri" w:hAnsi="Calibri"/>
          <w:sz w:val="22"/>
          <w:szCs w:val="22"/>
          <w:lang w:val="fr-FR"/>
        </w:rPr>
        <w:t>tats financiers 2016 à juin 2017 et à présenter des chiffres provisoires à la 53</w:t>
      </w:r>
      <w:r w:rsidRPr="002E0D50">
        <w:rPr>
          <w:rFonts w:ascii="Calibri" w:hAnsi="Calibri"/>
          <w:sz w:val="22"/>
          <w:szCs w:val="22"/>
          <w:vertAlign w:val="superscript"/>
          <w:lang w:val="fr-FR"/>
        </w:rPr>
        <w:t>e</w:t>
      </w:r>
      <w:r>
        <w:rPr>
          <w:rFonts w:ascii="Calibri" w:hAnsi="Calibri"/>
          <w:sz w:val="22"/>
          <w:szCs w:val="22"/>
          <w:lang w:val="fr-FR"/>
        </w:rPr>
        <w:t xml:space="preserve"> Réunion du Comité permanent pour les raisons suivantes </w:t>
      </w:r>
      <w:r w:rsidR="00334CA4" w:rsidRPr="00F21623">
        <w:rPr>
          <w:rFonts w:ascii="Calibri" w:hAnsi="Calibri"/>
          <w:sz w:val="22"/>
          <w:szCs w:val="22"/>
          <w:lang w:val="fr-FR"/>
        </w:rPr>
        <w:t>:</w:t>
      </w:r>
    </w:p>
    <w:p w:rsidR="00334CA4" w:rsidRPr="00F21623" w:rsidRDefault="003C0501" w:rsidP="00C90D3C">
      <w:pPr>
        <w:numPr>
          <w:ilvl w:val="0"/>
          <w:numId w:val="21"/>
        </w:numPr>
        <w:ind w:left="850" w:hanging="425"/>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t</w:t>
      </w:r>
      <w:r w:rsidR="00A17626">
        <w:rPr>
          <w:rFonts w:ascii="Calibri" w:eastAsia="Times New Roman" w:hAnsi="Calibri" w:cs="Arial"/>
          <w:sz w:val="22"/>
          <w:szCs w:val="22"/>
          <w:lang w:val="fr-FR" w:eastAsia="en-GB"/>
        </w:rPr>
        <w:t>enir compte des problèmes soulevés dans la Lettre de recommandations de PwC et y remédier</w:t>
      </w:r>
      <w:r w:rsidRPr="00F21623">
        <w:rPr>
          <w:rFonts w:ascii="Calibri" w:eastAsia="Times New Roman" w:hAnsi="Calibri" w:cs="Arial"/>
          <w:sz w:val="22"/>
          <w:szCs w:val="22"/>
          <w:lang w:val="fr-FR" w:eastAsia="en-GB"/>
        </w:rPr>
        <w:t>;</w:t>
      </w:r>
    </w:p>
    <w:p w:rsidR="00334CA4" w:rsidRPr="00F21623" w:rsidRDefault="00A17626" w:rsidP="00C90D3C">
      <w:pPr>
        <w:numPr>
          <w:ilvl w:val="0"/>
          <w:numId w:val="21"/>
        </w:numPr>
        <w:ind w:left="850" w:hanging="425"/>
        <w:rPr>
          <w:rFonts w:ascii="Calibri" w:eastAsia="Times New Roman" w:hAnsi="Calibri" w:cs="Arial"/>
          <w:sz w:val="22"/>
          <w:szCs w:val="22"/>
          <w:lang w:val="fr-FR" w:eastAsia="en-GB"/>
        </w:rPr>
      </w:pPr>
      <w:r>
        <w:rPr>
          <w:rFonts w:ascii="Calibri" w:eastAsia="Times New Roman" w:hAnsi="Calibri" w:cs="Arial"/>
          <w:sz w:val="22"/>
          <w:szCs w:val="22"/>
          <w:lang w:val="fr-FR" w:eastAsia="en-GB"/>
        </w:rPr>
        <w:t>combler le retard accumulé suite au départ du Responsable financier;</w:t>
      </w:r>
    </w:p>
    <w:p w:rsidR="00334CA4" w:rsidRPr="00F21623" w:rsidRDefault="000C2F5E" w:rsidP="00C90D3C">
      <w:pPr>
        <w:numPr>
          <w:ilvl w:val="0"/>
          <w:numId w:val="21"/>
        </w:numPr>
        <w:ind w:left="850" w:hanging="425"/>
        <w:rPr>
          <w:rFonts w:ascii="Calibri" w:eastAsia="Times New Roman" w:hAnsi="Calibri" w:cs="Arial"/>
          <w:sz w:val="22"/>
          <w:szCs w:val="22"/>
          <w:lang w:val="fr-FR" w:eastAsia="en-GB"/>
        </w:rPr>
      </w:pPr>
      <w:r>
        <w:rPr>
          <w:rFonts w:ascii="Calibri" w:eastAsia="Times New Roman" w:hAnsi="Calibri" w:cs="Arial"/>
          <w:sz w:val="22"/>
          <w:szCs w:val="22"/>
          <w:lang w:val="fr-FR" w:eastAsia="en-GB"/>
        </w:rPr>
        <w:t>achever la remise en ordre des comptes comme indiqué dans le Plan d’action et la mise à jour communiqués au Comité exécutif;</w:t>
      </w:r>
    </w:p>
    <w:p w:rsidR="00334CA4" w:rsidRPr="00F21623" w:rsidRDefault="00A82937" w:rsidP="00C90D3C">
      <w:pPr>
        <w:numPr>
          <w:ilvl w:val="0"/>
          <w:numId w:val="21"/>
        </w:numPr>
        <w:ind w:left="850" w:hanging="425"/>
        <w:rPr>
          <w:rFonts w:ascii="Calibri" w:eastAsia="Times New Roman" w:hAnsi="Calibri" w:cs="Arial"/>
          <w:sz w:val="22"/>
          <w:szCs w:val="22"/>
          <w:lang w:val="fr-FR" w:eastAsia="en-GB"/>
        </w:rPr>
      </w:pPr>
      <w:r>
        <w:rPr>
          <w:rFonts w:ascii="Calibri" w:eastAsia="Times New Roman" w:hAnsi="Calibri" w:cs="Arial"/>
          <w:sz w:val="22"/>
          <w:szCs w:val="22"/>
          <w:lang w:val="fr-FR" w:eastAsia="en-GB"/>
        </w:rPr>
        <w:t>permettre au nou</w:t>
      </w:r>
      <w:r w:rsidR="000C2F5E">
        <w:rPr>
          <w:rFonts w:ascii="Calibri" w:eastAsia="Times New Roman" w:hAnsi="Calibri" w:cs="Arial"/>
          <w:sz w:val="22"/>
          <w:szCs w:val="22"/>
          <w:lang w:val="fr-FR" w:eastAsia="en-GB"/>
        </w:rPr>
        <w:t>veau Responsable financier de participer à l’audit (un candidat a été retenu et prendra ses fonctions le 15 mai 2017).</w:t>
      </w:r>
    </w:p>
    <w:p w:rsidR="003204BB" w:rsidRPr="00F21623" w:rsidRDefault="003204BB" w:rsidP="0047333D">
      <w:pPr>
        <w:ind w:left="426"/>
        <w:rPr>
          <w:rFonts w:ascii="Calibri" w:hAnsi="Calibri"/>
          <w:sz w:val="22"/>
          <w:szCs w:val="22"/>
          <w:lang w:val="fr-FR"/>
        </w:rPr>
      </w:pPr>
    </w:p>
    <w:p w:rsidR="009E05CE" w:rsidRPr="00F21623" w:rsidRDefault="000C2F5E" w:rsidP="0047333D">
      <w:pPr>
        <w:numPr>
          <w:ilvl w:val="0"/>
          <w:numId w:val="26"/>
        </w:numPr>
        <w:ind w:left="426" w:hanging="426"/>
        <w:rPr>
          <w:rFonts w:ascii="Calibri" w:hAnsi="Calibri"/>
          <w:sz w:val="22"/>
          <w:szCs w:val="22"/>
          <w:lang w:val="fr-FR"/>
        </w:rPr>
      </w:pPr>
      <w:r>
        <w:rPr>
          <w:rFonts w:ascii="Calibri" w:hAnsi="Calibri"/>
          <w:sz w:val="22"/>
          <w:szCs w:val="22"/>
          <w:lang w:val="fr-FR"/>
        </w:rPr>
        <w:t>Le cabinet d’audit</w:t>
      </w:r>
      <w:r w:rsidR="00DC2519" w:rsidRPr="00F21623">
        <w:rPr>
          <w:rFonts w:ascii="Calibri" w:hAnsi="Calibri"/>
          <w:sz w:val="22"/>
          <w:szCs w:val="22"/>
          <w:lang w:val="fr-FR"/>
        </w:rPr>
        <w:t xml:space="preserve"> PwC </w:t>
      </w:r>
      <w:r>
        <w:rPr>
          <w:rFonts w:ascii="Calibri" w:hAnsi="Calibri"/>
          <w:sz w:val="22"/>
          <w:szCs w:val="22"/>
          <w:lang w:val="fr-FR"/>
        </w:rPr>
        <w:t xml:space="preserve">a indiqué </w:t>
      </w:r>
      <w:r w:rsidR="003572B0">
        <w:rPr>
          <w:rFonts w:ascii="Calibri" w:hAnsi="Calibri"/>
          <w:sz w:val="22"/>
          <w:szCs w:val="22"/>
          <w:lang w:val="fr-FR"/>
        </w:rPr>
        <w:t xml:space="preserve">qu’il était judicieux de reporter l’audit et de laisser au Secrétariat Ramsar le temps de se préparer plutôt que de voir se reproduire les retards dans les préparatifs et de devoir </w:t>
      </w:r>
      <w:r w:rsidR="00A82937">
        <w:rPr>
          <w:rFonts w:ascii="Calibri" w:hAnsi="Calibri"/>
          <w:sz w:val="22"/>
          <w:szCs w:val="22"/>
          <w:lang w:val="fr-FR"/>
        </w:rPr>
        <w:t>apporter des modifications aux é</w:t>
      </w:r>
      <w:r w:rsidR="003572B0">
        <w:rPr>
          <w:rFonts w:ascii="Calibri" w:hAnsi="Calibri"/>
          <w:sz w:val="22"/>
          <w:szCs w:val="22"/>
          <w:lang w:val="fr-FR"/>
        </w:rPr>
        <w:t>tats financiers</w:t>
      </w:r>
      <w:r w:rsidR="00A82937">
        <w:rPr>
          <w:rFonts w:ascii="Calibri" w:hAnsi="Calibri"/>
          <w:sz w:val="22"/>
          <w:szCs w:val="22"/>
          <w:lang w:val="fr-FR"/>
        </w:rPr>
        <w:t>,</w:t>
      </w:r>
      <w:r w:rsidR="003572B0">
        <w:rPr>
          <w:rFonts w:ascii="Calibri" w:hAnsi="Calibri"/>
          <w:sz w:val="22"/>
          <w:szCs w:val="22"/>
          <w:lang w:val="fr-FR"/>
        </w:rPr>
        <w:t xml:space="preserve"> comme ce fut le cas durant l’audit de 2015.</w:t>
      </w:r>
    </w:p>
    <w:p w:rsidR="00F31AC0" w:rsidRPr="00F21623" w:rsidRDefault="00F31AC0" w:rsidP="0047333D">
      <w:pPr>
        <w:rPr>
          <w:rFonts w:ascii="Calibri" w:hAnsi="Calibri"/>
          <w:sz w:val="22"/>
          <w:szCs w:val="22"/>
          <w:lang w:val="fr-FR"/>
        </w:rPr>
      </w:pPr>
    </w:p>
    <w:p w:rsidR="0047333D" w:rsidRPr="00F21623" w:rsidRDefault="0047333D" w:rsidP="0047333D">
      <w:pPr>
        <w:rPr>
          <w:rFonts w:ascii="Calibri" w:hAnsi="Calibri"/>
          <w:sz w:val="22"/>
          <w:szCs w:val="22"/>
          <w:lang w:val="fr-FR"/>
        </w:rPr>
      </w:pPr>
    </w:p>
    <w:p w:rsidR="009E05CE" w:rsidRPr="00F21623" w:rsidRDefault="00C4709B" w:rsidP="0047333D">
      <w:pPr>
        <w:keepNext/>
        <w:rPr>
          <w:rFonts w:ascii="Calibri" w:hAnsi="Calibri" w:cs="Calibri"/>
          <w:b/>
          <w:bCs/>
          <w:sz w:val="22"/>
          <w:szCs w:val="22"/>
          <w:lang w:val="fr-FR"/>
        </w:rPr>
      </w:pPr>
      <w:r>
        <w:rPr>
          <w:rFonts w:ascii="Calibri" w:hAnsi="Calibri" w:cs="Calibri"/>
          <w:b/>
          <w:bCs/>
          <w:sz w:val="22"/>
          <w:szCs w:val="22"/>
          <w:lang w:val="fr-FR"/>
        </w:rPr>
        <w:t>B</w:t>
      </w:r>
      <w:r w:rsidR="009E05CE" w:rsidRPr="00F21623">
        <w:rPr>
          <w:rFonts w:ascii="Calibri" w:hAnsi="Calibri" w:cs="Calibri"/>
          <w:b/>
          <w:bCs/>
          <w:sz w:val="22"/>
          <w:szCs w:val="22"/>
          <w:lang w:val="fr-FR"/>
        </w:rPr>
        <w:t>udget</w:t>
      </w:r>
      <w:r>
        <w:rPr>
          <w:rFonts w:ascii="Calibri" w:hAnsi="Calibri" w:cs="Calibri"/>
          <w:b/>
          <w:bCs/>
          <w:sz w:val="22"/>
          <w:szCs w:val="22"/>
          <w:lang w:val="fr-FR"/>
        </w:rPr>
        <w:t xml:space="preserve"> administratif pour</w:t>
      </w:r>
      <w:r w:rsidR="000F6886" w:rsidRPr="00F21623">
        <w:rPr>
          <w:rFonts w:ascii="Calibri" w:hAnsi="Calibri" w:cs="Calibri"/>
          <w:b/>
          <w:bCs/>
          <w:sz w:val="22"/>
          <w:szCs w:val="22"/>
          <w:lang w:val="fr-FR"/>
        </w:rPr>
        <w:t xml:space="preserve"> 2017</w:t>
      </w:r>
    </w:p>
    <w:p w:rsidR="009E05CE" w:rsidRPr="00F21623" w:rsidRDefault="009E05CE" w:rsidP="0047333D">
      <w:pPr>
        <w:keepNext/>
        <w:rPr>
          <w:rFonts w:ascii="Calibri" w:hAnsi="Calibri"/>
          <w:sz w:val="22"/>
          <w:szCs w:val="22"/>
          <w:lang w:val="fr-FR"/>
        </w:rPr>
      </w:pPr>
    </w:p>
    <w:p w:rsidR="009E05CE" w:rsidRPr="00F21623" w:rsidRDefault="003572B0" w:rsidP="0047333D">
      <w:pPr>
        <w:numPr>
          <w:ilvl w:val="0"/>
          <w:numId w:val="26"/>
        </w:numPr>
        <w:ind w:left="426" w:hanging="426"/>
        <w:rPr>
          <w:rFonts w:ascii="Calibri" w:hAnsi="Calibri"/>
          <w:sz w:val="22"/>
          <w:szCs w:val="22"/>
          <w:lang w:val="fr-FR"/>
        </w:rPr>
      </w:pPr>
      <w:r>
        <w:rPr>
          <w:rFonts w:ascii="Calibri" w:hAnsi="Calibri" w:cs="Calibri"/>
          <w:bCs/>
          <w:sz w:val="22"/>
          <w:szCs w:val="22"/>
          <w:lang w:val="fr-FR"/>
        </w:rPr>
        <w:t xml:space="preserve">Le budget administratif 2017 tel qu’approuvé par la COP12 </w:t>
      </w:r>
      <w:r w:rsidR="001D3E52">
        <w:rPr>
          <w:rFonts w:ascii="Calibri" w:hAnsi="Calibri" w:cs="Calibri"/>
          <w:bCs/>
          <w:sz w:val="22"/>
          <w:szCs w:val="22"/>
          <w:lang w:val="fr-FR"/>
        </w:rPr>
        <w:t>et confirmé par la décision </w:t>
      </w:r>
      <w:r w:rsidR="001D3E52" w:rsidRPr="00F21623">
        <w:rPr>
          <w:rFonts w:ascii="Calibri" w:hAnsi="Calibri" w:cs="Calibri"/>
          <w:bCs/>
          <w:sz w:val="22"/>
          <w:szCs w:val="22"/>
          <w:lang w:val="fr-FR"/>
        </w:rPr>
        <w:t>SC52-30</w:t>
      </w:r>
      <w:r w:rsidR="001D3E52">
        <w:rPr>
          <w:rFonts w:ascii="Calibri" w:hAnsi="Calibri" w:cs="Calibri"/>
          <w:bCs/>
          <w:sz w:val="22"/>
          <w:szCs w:val="22"/>
          <w:lang w:val="fr-FR"/>
        </w:rPr>
        <w:t xml:space="preserve"> </w:t>
      </w:r>
      <w:r>
        <w:rPr>
          <w:rFonts w:ascii="Calibri" w:hAnsi="Calibri" w:cs="Calibri"/>
          <w:bCs/>
          <w:sz w:val="22"/>
          <w:szCs w:val="22"/>
          <w:lang w:val="fr-FR"/>
        </w:rPr>
        <w:t>figure en annexe 3 au présent document</w:t>
      </w:r>
      <w:r w:rsidR="0093610A" w:rsidRPr="00F21623">
        <w:rPr>
          <w:rFonts w:ascii="Calibri" w:hAnsi="Calibri" w:cs="Calibri"/>
          <w:bCs/>
          <w:sz w:val="22"/>
          <w:szCs w:val="22"/>
          <w:lang w:val="fr-FR"/>
        </w:rPr>
        <w:t>.</w:t>
      </w:r>
    </w:p>
    <w:p w:rsidR="0093610A" w:rsidRPr="00F21623" w:rsidRDefault="0093610A" w:rsidP="0047333D">
      <w:pPr>
        <w:ind w:left="426"/>
        <w:rPr>
          <w:rFonts w:ascii="Calibri" w:hAnsi="Calibri"/>
          <w:sz w:val="22"/>
          <w:szCs w:val="22"/>
          <w:lang w:val="fr-FR"/>
        </w:rPr>
      </w:pPr>
    </w:p>
    <w:p w:rsidR="0093610A" w:rsidRPr="00F21623" w:rsidRDefault="001D3E52" w:rsidP="0047333D">
      <w:pPr>
        <w:numPr>
          <w:ilvl w:val="0"/>
          <w:numId w:val="26"/>
        </w:numPr>
        <w:ind w:left="426" w:hanging="426"/>
        <w:rPr>
          <w:rFonts w:ascii="Calibri" w:hAnsi="Calibri"/>
          <w:sz w:val="22"/>
          <w:szCs w:val="22"/>
          <w:lang w:val="fr-FR"/>
        </w:rPr>
      </w:pPr>
      <w:r>
        <w:rPr>
          <w:rFonts w:ascii="Calibri" w:hAnsi="Calibri" w:cs="Calibri"/>
          <w:bCs/>
          <w:sz w:val="22"/>
          <w:szCs w:val="22"/>
          <w:lang w:val="fr-FR"/>
        </w:rPr>
        <w:t xml:space="preserve">La Secrétaire générale ne propose aucun changement majeur à apporter au budget administratif 2017. Elle pourra cependant procéder à des ajustements pour permettre au Secrétariat d’exécuter au mieux le Plan d’action révisé et de répondre aux demandes des Parties contractantes (par exemple au moyen d’ajustements des frais de déplacement </w:t>
      </w:r>
      <w:r w:rsidR="00121BF0">
        <w:rPr>
          <w:rFonts w:ascii="Calibri" w:hAnsi="Calibri" w:cs="Calibri"/>
          <w:bCs/>
          <w:sz w:val="22"/>
          <w:szCs w:val="22"/>
          <w:lang w:val="fr-FR"/>
        </w:rPr>
        <w:t>d’un service à l’autre).</w:t>
      </w:r>
    </w:p>
    <w:p w:rsidR="00EE3D4F" w:rsidRPr="00F21623" w:rsidRDefault="00EE3D4F" w:rsidP="0047333D">
      <w:pPr>
        <w:rPr>
          <w:rFonts w:ascii="Calibri" w:hAnsi="Calibri"/>
          <w:sz w:val="22"/>
          <w:szCs w:val="22"/>
          <w:lang w:val="fr-FR"/>
        </w:rPr>
      </w:pPr>
    </w:p>
    <w:p w:rsidR="000F6886" w:rsidRPr="00F21623" w:rsidRDefault="000F6886" w:rsidP="0047333D">
      <w:pPr>
        <w:rPr>
          <w:rFonts w:ascii="Calibri" w:hAnsi="Calibri"/>
          <w:sz w:val="22"/>
          <w:szCs w:val="22"/>
          <w:lang w:val="fr-FR"/>
        </w:rPr>
      </w:pPr>
    </w:p>
    <w:p w:rsidR="000F6886" w:rsidRPr="00F21623" w:rsidRDefault="009F5AF6" w:rsidP="0047333D">
      <w:pPr>
        <w:rPr>
          <w:rFonts w:ascii="Calibri" w:hAnsi="Calibri"/>
          <w:b/>
          <w:sz w:val="22"/>
          <w:szCs w:val="22"/>
          <w:lang w:val="fr-FR"/>
        </w:rPr>
      </w:pPr>
      <w:r w:rsidRPr="00F21623">
        <w:rPr>
          <w:rFonts w:ascii="Calibri" w:hAnsi="Calibri"/>
          <w:b/>
          <w:sz w:val="22"/>
          <w:szCs w:val="22"/>
          <w:lang w:val="fr-FR"/>
        </w:rPr>
        <w:t xml:space="preserve">Confirmation </w:t>
      </w:r>
      <w:r w:rsidR="00C4709B">
        <w:rPr>
          <w:rFonts w:ascii="Calibri" w:hAnsi="Calibri"/>
          <w:b/>
          <w:sz w:val="22"/>
          <w:szCs w:val="22"/>
          <w:lang w:val="fr-FR"/>
        </w:rPr>
        <w:t>du</w:t>
      </w:r>
      <w:r w:rsidR="000F6886" w:rsidRPr="00F21623">
        <w:rPr>
          <w:rFonts w:ascii="Calibri" w:hAnsi="Calibri"/>
          <w:b/>
          <w:sz w:val="22"/>
          <w:szCs w:val="22"/>
          <w:lang w:val="fr-FR"/>
        </w:rPr>
        <w:t xml:space="preserve"> budget</w:t>
      </w:r>
      <w:r w:rsidR="00C4709B">
        <w:rPr>
          <w:rFonts w:ascii="Calibri" w:hAnsi="Calibri"/>
          <w:b/>
          <w:sz w:val="22"/>
          <w:szCs w:val="22"/>
          <w:lang w:val="fr-FR"/>
        </w:rPr>
        <w:t xml:space="preserve"> administratif 2018</w:t>
      </w:r>
    </w:p>
    <w:p w:rsidR="000F6886" w:rsidRPr="00F21623" w:rsidRDefault="000F6886" w:rsidP="0047333D">
      <w:pPr>
        <w:rPr>
          <w:rFonts w:ascii="Calibri" w:hAnsi="Calibri"/>
          <w:sz w:val="22"/>
          <w:szCs w:val="22"/>
          <w:lang w:val="fr-FR"/>
        </w:rPr>
      </w:pPr>
    </w:p>
    <w:p w:rsidR="000F6886" w:rsidRPr="00F21623" w:rsidRDefault="00804508" w:rsidP="00EA33F8">
      <w:pPr>
        <w:pStyle w:val="ListParagraph"/>
        <w:numPr>
          <w:ilvl w:val="0"/>
          <w:numId w:val="26"/>
        </w:numPr>
        <w:rPr>
          <w:rFonts w:ascii="Calibri" w:hAnsi="Calibri"/>
          <w:sz w:val="22"/>
          <w:szCs w:val="22"/>
          <w:lang w:val="fr-FR"/>
        </w:rPr>
      </w:pPr>
      <w:r>
        <w:rPr>
          <w:rFonts w:ascii="Calibri" w:hAnsi="Calibri"/>
          <w:sz w:val="22"/>
          <w:szCs w:val="22"/>
          <w:lang w:val="fr-FR"/>
        </w:rPr>
        <w:t>Comme indiqué dans le d</w:t>
      </w:r>
      <w:r w:rsidR="00EA33F8" w:rsidRPr="00F21623">
        <w:rPr>
          <w:rFonts w:ascii="Calibri" w:hAnsi="Calibri"/>
          <w:sz w:val="22"/>
          <w:szCs w:val="22"/>
          <w:lang w:val="fr-FR"/>
        </w:rPr>
        <w:t xml:space="preserve">ocument SC53-21 </w:t>
      </w:r>
      <w:r w:rsidRPr="00804508">
        <w:rPr>
          <w:rFonts w:ascii="Calibri" w:hAnsi="Calibri"/>
          <w:i/>
          <w:sz w:val="22"/>
          <w:szCs w:val="22"/>
          <w:lang w:val="fr-FR"/>
        </w:rPr>
        <w:t>Mise à jour sur les contributions annuelles impayées</w:t>
      </w:r>
      <w:r>
        <w:rPr>
          <w:rFonts w:ascii="Calibri" w:hAnsi="Calibri"/>
          <w:sz w:val="22"/>
          <w:szCs w:val="22"/>
          <w:lang w:val="fr-FR"/>
        </w:rPr>
        <w:t>, la situation financière du Secré</w:t>
      </w:r>
      <w:r w:rsidR="00EA33F8" w:rsidRPr="00F21623">
        <w:rPr>
          <w:rFonts w:ascii="Calibri" w:hAnsi="Calibri"/>
          <w:sz w:val="22"/>
          <w:szCs w:val="22"/>
          <w:lang w:val="fr-FR"/>
        </w:rPr>
        <w:t>tariat</w:t>
      </w:r>
      <w:r>
        <w:rPr>
          <w:rFonts w:ascii="Calibri" w:hAnsi="Calibri"/>
          <w:sz w:val="22"/>
          <w:szCs w:val="22"/>
          <w:lang w:val="fr-FR"/>
        </w:rPr>
        <w:t xml:space="preserve"> ne nécessite plus </w:t>
      </w:r>
      <w:r w:rsidRPr="006C1B01">
        <w:rPr>
          <w:rFonts w:ascii="Calibri" w:hAnsi="Calibri" w:cs="Calibri"/>
          <w:sz w:val="22"/>
          <w:szCs w:val="22"/>
          <w:lang w:val="fr-CA"/>
        </w:rPr>
        <w:t>l’adoption d’un budget d’austérité</w:t>
      </w:r>
      <w:r>
        <w:rPr>
          <w:rFonts w:ascii="Calibri" w:hAnsi="Calibri" w:cs="Calibri"/>
          <w:sz w:val="22"/>
          <w:szCs w:val="22"/>
          <w:lang w:val="fr-CA"/>
        </w:rPr>
        <w:t xml:space="preserve"> pour 2018. Le Comité exécutif a donc convenu le 23 février 2017 de maintenir le budget 2018 approuvé à la </w:t>
      </w:r>
      <w:r w:rsidR="00EA33F8" w:rsidRPr="00F21623">
        <w:rPr>
          <w:rFonts w:ascii="Calibri" w:hAnsi="Calibri"/>
          <w:sz w:val="22"/>
          <w:szCs w:val="22"/>
          <w:lang w:val="fr-FR"/>
        </w:rPr>
        <w:t xml:space="preserve">COP12. </w:t>
      </w:r>
      <w:r>
        <w:rPr>
          <w:rFonts w:ascii="Calibri" w:hAnsi="Calibri"/>
          <w:sz w:val="22"/>
          <w:szCs w:val="22"/>
          <w:lang w:val="fr-FR"/>
        </w:rPr>
        <w:t>Le Comité permanent est invité à confirmer le budget 2018 tel qu’approuvé à la COP12 et joint en annexe 4.</w:t>
      </w:r>
    </w:p>
    <w:p w:rsidR="000F6886" w:rsidRPr="00F21623" w:rsidRDefault="000F6886" w:rsidP="0047333D">
      <w:pPr>
        <w:rPr>
          <w:rFonts w:ascii="Calibri" w:hAnsi="Calibri"/>
          <w:sz w:val="22"/>
          <w:szCs w:val="22"/>
          <w:lang w:val="fr-FR"/>
        </w:rPr>
      </w:pPr>
    </w:p>
    <w:p w:rsidR="00F31AC0" w:rsidRPr="00F21623" w:rsidRDefault="00F31AC0" w:rsidP="0047333D">
      <w:pPr>
        <w:rPr>
          <w:rFonts w:ascii="Calibri" w:hAnsi="Calibri"/>
          <w:sz w:val="22"/>
          <w:szCs w:val="22"/>
          <w:lang w:val="fr-FR"/>
        </w:rPr>
      </w:pPr>
    </w:p>
    <w:p w:rsidR="00F31AC0" w:rsidRPr="00F21623" w:rsidRDefault="00E835B8" w:rsidP="0047333D">
      <w:pPr>
        <w:rPr>
          <w:rFonts w:ascii="Calibri" w:hAnsi="Calibri"/>
          <w:b/>
          <w:sz w:val="22"/>
          <w:szCs w:val="22"/>
          <w:lang w:val="fr-FR"/>
        </w:rPr>
      </w:pPr>
      <w:r>
        <w:rPr>
          <w:rFonts w:ascii="Calibri" w:hAnsi="Calibri"/>
          <w:b/>
          <w:sz w:val="22"/>
          <w:szCs w:val="22"/>
          <w:lang w:val="fr-FR"/>
        </w:rPr>
        <w:t xml:space="preserve">Examen </w:t>
      </w:r>
      <w:r w:rsidR="00A82937">
        <w:rPr>
          <w:rFonts w:ascii="Calibri" w:hAnsi="Calibri"/>
          <w:b/>
          <w:sz w:val="22"/>
          <w:szCs w:val="22"/>
          <w:lang w:val="fr-FR"/>
        </w:rPr>
        <w:t xml:space="preserve">du solde </w:t>
      </w:r>
      <w:r>
        <w:rPr>
          <w:rFonts w:ascii="Calibri" w:hAnsi="Calibri"/>
          <w:b/>
          <w:sz w:val="22"/>
          <w:szCs w:val="22"/>
          <w:lang w:val="fr-FR"/>
        </w:rPr>
        <w:t>d’anciens projets relevant du budget non administratif</w:t>
      </w:r>
    </w:p>
    <w:p w:rsidR="00F31AC0" w:rsidRPr="00F21623" w:rsidRDefault="00F31AC0" w:rsidP="0047333D">
      <w:pPr>
        <w:rPr>
          <w:rFonts w:ascii="Calibri" w:hAnsi="Calibri"/>
          <w:sz w:val="22"/>
          <w:szCs w:val="22"/>
          <w:lang w:val="fr-FR"/>
        </w:rPr>
      </w:pPr>
    </w:p>
    <w:p w:rsidR="009E05CE" w:rsidRPr="00F21623" w:rsidRDefault="00804508" w:rsidP="0047333D">
      <w:pPr>
        <w:pStyle w:val="ListParagraph"/>
        <w:numPr>
          <w:ilvl w:val="0"/>
          <w:numId w:val="26"/>
        </w:numPr>
        <w:rPr>
          <w:rFonts w:ascii="Calibri" w:hAnsi="Calibri" w:cs="Calibri"/>
          <w:bCs/>
          <w:sz w:val="22"/>
          <w:szCs w:val="22"/>
          <w:lang w:val="fr-FR"/>
        </w:rPr>
      </w:pPr>
      <w:r>
        <w:rPr>
          <w:rFonts w:ascii="Calibri" w:hAnsi="Calibri"/>
          <w:sz w:val="22"/>
          <w:szCs w:val="22"/>
          <w:lang w:val="fr-FR"/>
        </w:rPr>
        <w:t>Le Secré</w:t>
      </w:r>
      <w:r w:rsidR="00F31AC0" w:rsidRPr="00F21623">
        <w:rPr>
          <w:rFonts w:ascii="Calibri" w:hAnsi="Calibri"/>
          <w:sz w:val="22"/>
          <w:szCs w:val="22"/>
          <w:lang w:val="fr-FR"/>
        </w:rPr>
        <w:t xml:space="preserve">tariat </w:t>
      </w:r>
      <w:r w:rsidR="00E835B8">
        <w:rPr>
          <w:rFonts w:ascii="Calibri" w:hAnsi="Calibri"/>
          <w:sz w:val="22"/>
          <w:szCs w:val="22"/>
          <w:lang w:val="fr-FR"/>
        </w:rPr>
        <w:t>procède actuellement à un examen du solde d’anciens projets relevant du budget non administratif. Cette question a été soulevée par la Secrétaire générale dans le rapport remis en octobre 2016 au Comité exécutif. Le</w:t>
      </w:r>
      <w:r w:rsidR="004325D8" w:rsidRPr="00F21623">
        <w:rPr>
          <w:rFonts w:ascii="Calibri" w:hAnsi="Calibri"/>
          <w:sz w:val="22"/>
          <w:szCs w:val="22"/>
          <w:lang w:val="fr-FR"/>
        </w:rPr>
        <w:t xml:space="preserve"> 23</w:t>
      </w:r>
      <w:r w:rsidR="00E835B8">
        <w:rPr>
          <w:rFonts w:ascii="Calibri" w:hAnsi="Calibri"/>
          <w:sz w:val="22"/>
          <w:szCs w:val="22"/>
          <w:lang w:val="fr-FR"/>
        </w:rPr>
        <w:t xml:space="preserve"> févier 2017, le Comité exécutif a accepté que l’examen </w:t>
      </w:r>
      <w:r w:rsidR="00BC205F">
        <w:rPr>
          <w:rFonts w:ascii="Calibri" w:hAnsi="Calibri"/>
          <w:sz w:val="22"/>
          <w:szCs w:val="22"/>
          <w:lang w:val="fr-FR"/>
        </w:rPr>
        <w:t>ne remonte qu’aux dix derniers exercices</w:t>
      </w:r>
      <w:r w:rsidR="00F31AC0" w:rsidRPr="00F21623">
        <w:rPr>
          <w:rFonts w:ascii="Calibri" w:hAnsi="Calibri"/>
          <w:sz w:val="22"/>
          <w:szCs w:val="22"/>
          <w:lang w:val="fr-FR"/>
        </w:rPr>
        <w:t xml:space="preserve">. </w:t>
      </w:r>
      <w:r w:rsidR="00E835B8">
        <w:rPr>
          <w:rFonts w:ascii="Calibri" w:hAnsi="Calibri"/>
          <w:sz w:val="22"/>
          <w:szCs w:val="22"/>
          <w:lang w:val="fr-FR"/>
        </w:rPr>
        <w:t>L’état d’avancement de cet examen et ses conclusions seront présentés à la 53</w:t>
      </w:r>
      <w:r w:rsidR="00E835B8" w:rsidRPr="00E835B8">
        <w:rPr>
          <w:rFonts w:ascii="Calibri" w:hAnsi="Calibri"/>
          <w:sz w:val="22"/>
          <w:szCs w:val="22"/>
          <w:vertAlign w:val="superscript"/>
          <w:lang w:val="fr-FR"/>
        </w:rPr>
        <w:t>e</w:t>
      </w:r>
      <w:r w:rsidR="00E835B8">
        <w:rPr>
          <w:rFonts w:ascii="Calibri" w:hAnsi="Calibri"/>
          <w:sz w:val="22"/>
          <w:szCs w:val="22"/>
          <w:lang w:val="fr-FR"/>
        </w:rPr>
        <w:t xml:space="preserve"> Réunion du Comité permanent.</w:t>
      </w:r>
    </w:p>
    <w:p w:rsidR="00EA33F8" w:rsidRPr="00F21623" w:rsidRDefault="00EA33F8" w:rsidP="00EA33F8">
      <w:pPr>
        <w:pStyle w:val="ListParagraph"/>
        <w:ind w:left="502"/>
        <w:rPr>
          <w:rFonts w:ascii="Calibri" w:hAnsi="Calibri" w:cs="Calibri"/>
          <w:bCs/>
          <w:sz w:val="22"/>
          <w:szCs w:val="22"/>
          <w:lang w:val="fr-FR"/>
        </w:rPr>
      </w:pPr>
    </w:p>
    <w:p w:rsidR="00EA33F8" w:rsidRPr="00F21623" w:rsidRDefault="006E28DE" w:rsidP="00EA33F8">
      <w:pPr>
        <w:pStyle w:val="ListParagraph"/>
        <w:numPr>
          <w:ilvl w:val="0"/>
          <w:numId w:val="26"/>
        </w:numPr>
        <w:rPr>
          <w:rFonts w:ascii="Calibri" w:hAnsi="Calibri" w:cs="Calibri"/>
          <w:bCs/>
          <w:sz w:val="22"/>
          <w:szCs w:val="22"/>
          <w:lang w:val="fr-FR"/>
        </w:rPr>
      </w:pPr>
      <w:r>
        <w:rPr>
          <w:rFonts w:ascii="Calibri" w:hAnsi="Calibri" w:cs="Calibri"/>
          <w:bCs/>
          <w:sz w:val="22"/>
          <w:szCs w:val="22"/>
          <w:lang w:val="fr-FR"/>
        </w:rPr>
        <w:t xml:space="preserve">L’un des volets majeurs de cet examen a trait au solde non négligeable d’anciens projets clôturés </w:t>
      </w:r>
      <w:r w:rsidR="006A3458">
        <w:rPr>
          <w:rFonts w:ascii="Calibri" w:hAnsi="Calibri" w:cs="Calibri"/>
          <w:bCs/>
          <w:sz w:val="22"/>
          <w:szCs w:val="22"/>
          <w:lang w:val="fr-FR"/>
        </w:rPr>
        <w:t>imputé</w:t>
      </w:r>
      <w:r>
        <w:rPr>
          <w:rFonts w:ascii="Calibri" w:hAnsi="Calibri" w:cs="Calibri"/>
          <w:bCs/>
          <w:sz w:val="22"/>
          <w:szCs w:val="22"/>
          <w:lang w:val="fr-FR"/>
        </w:rPr>
        <w:t xml:space="preserve"> au poste « Administration » du budget non administratif affecté à des projets.  </w:t>
      </w:r>
      <w:r w:rsidR="006A3458">
        <w:rPr>
          <w:rFonts w:ascii="Calibri" w:hAnsi="Calibri" w:cs="Calibri"/>
          <w:bCs/>
          <w:sz w:val="22"/>
          <w:szCs w:val="22"/>
          <w:lang w:val="fr-FR"/>
        </w:rPr>
        <w:t xml:space="preserve">Ce solde fait actuellement l’objet d’un examen et est ventilé en différents groupes de sorte que </w:t>
      </w:r>
      <w:r w:rsidR="006A3458">
        <w:rPr>
          <w:rFonts w:ascii="Calibri" w:hAnsi="Calibri" w:cs="Calibri"/>
          <w:bCs/>
          <w:sz w:val="22"/>
          <w:szCs w:val="22"/>
          <w:lang w:val="fr-FR"/>
        </w:rPr>
        <w:lastRenderedPageBreak/>
        <w:t>des décisions puissent être prises en ce qui concerne le montant des fonds qu’il conviendrait de signaler aux donateurs, lesquels pourront alors donner des instructions sur leur utilisation, et en ce qui concerne les fonds restants qui pourront être mis à profit avec l’accord du Comité exécutif ou du Comité permanent, selon qu’il conviendra.</w:t>
      </w:r>
      <w:r w:rsidR="00A6560F">
        <w:rPr>
          <w:rFonts w:ascii="Calibri" w:hAnsi="Calibri" w:cs="Calibri"/>
          <w:bCs/>
          <w:sz w:val="22"/>
          <w:szCs w:val="22"/>
          <w:lang w:val="fr-FR"/>
        </w:rPr>
        <w:t xml:space="preserve"> Une mise à jour à ce sujet sera présentée</w:t>
      </w:r>
      <w:r w:rsidR="006A3458">
        <w:rPr>
          <w:rFonts w:ascii="Calibri" w:hAnsi="Calibri" w:cs="Calibri"/>
          <w:bCs/>
          <w:sz w:val="22"/>
          <w:szCs w:val="22"/>
          <w:lang w:val="fr-FR"/>
        </w:rPr>
        <w:t xml:space="preserve"> </w:t>
      </w:r>
      <w:r w:rsidR="006A3458">
        <w:rPr>
          <w:rFonts w:ascii="Calibri" w:hAnsi="Calibri"/>
          <w:sz w:val="22"/>
          <w:szCs w:val="22"/>
          <w:lang w:val="fr-FR"/>
        </w:rPr>
        <w:t>à la 53</w:t>
      </w:r>
      <w:r w:rsidR="006A3458" w:rsidRPr="00E835B8">
        <w:rPr>
          <w:rFonts w:ascii="Calibri" w:hAnsi="Calibri"/>
          <w:sz w:val="22"/>
          <w:szCs w:val="22"/>
          <w:vertAlign w:val="superscript"/>
          <w:lang w:val="fr-FR"/>
        </w:rPr>
        <w:t>e</w:t>
      </w:r>
      <w:r w:rsidR="006A3458">
        <w:rPr>
          <w:rFonts w:ascii="Calibri" w:hAnsi="Calibri"/>
          <w:sz w:val="22"/>
          <w:szCs w:val="22"/>
          <w:lang w:val="fr-FR"/>
        </w:rPr>
        <w:t xml:space="preserve"> Réunion du Comité permanent</w:t>
      </w:r>
      <w:r w:rsidR="00A6560F">
        <w:rPr>
          <w:rFonts w:ascii="Calibri" w:hAnsi="Calibri" w:cs="Calibri"/>
          <w:bCs/>
          <w:sz w:val="22"/>
          <w:szCs w:val="22"/>
          <w:lang w:val="fr-FR"/>
        </w:rPr>
        <w:t>.</w:t>
      </w:r>
    </w:p>
    <w:p w:rsidR="00F31AC0" w:rsidRPr="00F21623" w:rsidRDefault="00F31AC0" w:rsidP="0047333D">
      <w:pPr>
        <w:rPr>
          <w:rFonts w:ascii="Calibri" w:hAnsi="Calibri" w:cs="Calibri"/>
          <w:bCs/>
          <w:sz w:val="22"/>
          <w:szCs w:val="22"/>
          <w:lang w:val="fr-FR"/>
        </w:rPr>
      </w:pPr>
    </w:p>
    <w:p w:rsidR="00F31AC0" w:rsidRPr="00F21623" w:rsidRDefault="00F31AC0" w:rsidP="0047333D">
      <w:pPr>
        <w:rPr>
          <w:rFonts w:ascii="Calibri" w:hAnsi="Calibri" w:cs="Calibri"/>
          <w:bCs/>
          <w:sz w:val="22"/>
          <w:szCs w:val="22"/>
          <w:lang w:val="fr-FR"/>
        </w:rPr>
      </w:pPr>
    </w:p>
    <w:p w:rsidR="0044433D" w:rsidRPr="00794101" w:rsidRDefault="0044433D" w:rsidP="0047333D">
      <w:pPr>
        <w:ind w:left="567" w:hanging="567"/>
        <w:rPr>
          <w:rFonts w:ascii="Calibri" w:hAnsi="Calibri" w:cs="Calibri"/>
          <w:b/>
          <w:sz w:val="22"/>
          <w:szCs w:val="22"/>
          <w:lang w:val="fr-FR"/>
        </w:rPr>
      </w:pPr>
      <w:r w:rsidRPr="00794101">
        <w:rPr>
          <w:rFonts w:ascii="Calibri" w:hAnsi="Calibri" w:cs="Calibri"/>
          <w:b/>
          <w:sz w:val="22"/>
          <w:szCs w:val="22"/>
          <w:lang w:val="fr-FR"/>
        </w:rPr>
        <w:t>Annexes</w:t>
      </w:r>
    </w:p>
    <w:p w:rsidR="008532A7" w:rsidRPr="00794101" w:rsidRDefault="008532A7" w:rsidP="0047333D">
      <w:pPr>
        <w:ind w:left="567" w:hanging="567"/>
        <w:rPr>
          <w:rFonts w:ascii="Calibri" w:hAnsi="Calibri" w:cs="Calibri"/>
          <w:b/>
          <w:sz w:val="22"/>
          <w:szCs w:val="22"/>
          <w:lang w:val="fr-FR"/>
        </w:rPr>
      </w:pPr>
    </w:p>
    <w:p w:rsidR="008532A7" w:rsidRPr="00794101" w:rsidRDefault="00F7583C" w:rsidP="001E4474">
      <w:pPr>
        <w:pStyle w:val="ListParagraph"/>
        <w:numPr>
          <w:ilvl w:val="0"/>
          <w:numId w:val="3"/>
        </w:numPr>
        <w:tabs>
          <w:tab w:val="left" w:pos="8760"/>
        </w:tabs>
        <w:ind w:left="426" w:hanging="426"/>
        <w:rPr>
          <w:rFonts w:ascii="Calibri" w:hAnsi="Calibri" w:cs="Calibri"/>
          <w:sz w:val="22"/>
          <w:szCs w:val="22"/>
          <w:lang w:val="fr-FR"/>
        </w:rPr>
      </w:pPr>
      <w:r w:rsidRPr="00794101">
        <w:rPr>
          <w:rFonts w:ascii="Calibri" w:hAnsi="Calibri" w:cs="Calibri"/>
          <w:sz w:val="22"/>
          <w:szCs w:val="22"/>
          <w:lang w:val="fr-FR"/>
        </w:rPr>
        <w:t xml:space="preserve">États financiers provisoires au 31 décembre 2016 </w:t>
      </w:r>
      <w:r w:rsidR="00C01945" w:rsidRPr="00794101">
        <w:rPr>
          <w:rFonts w:ascii="Calibri" w:hAnsi="Calibri" w:cs="Calibri"/>
          <w:sz w:val="22"/>
          <w:szCs w:val="22"/>
          <w:lang w:val="fr-FR"/>
        </w:rPr>
        <w:t>(</w:t>
      </w:r>
      <w:r w:rsidR="000A4BE7" w:rsidRPr="00794101">
        <w:rPr>
          <w:rFonts w:ascii="Calibri" w:hAnsi="Calibri" w:cs="Calibri"/>
          <w:bCs/>
          <w:sz w:val="22"/>
          <w:szCs w:val="22"/>
          <w:lang w:val="fr-FR"/>
        </w:rPr>
        <w:t>établi</w:t>
      </w:r>
      <w:r w:rsidRPr="00794101">
        <w:rPr>
          <w:rFonts w:ascii="Calibri" w:hAnsi="Calibri" w:cs="Calibri"/>
          <w:bCs/>
          <w:sz w:val="22"/>
          <w:szCs w:val="22"/>
          <w:lang w:val="fr-FR"/>
        </w:rPr>
        <w:t>s</w:t>
      </w:r>
      <w:r w:rsidR="000A4BE7" w:rsidRPr="00794101">
        <w:rPr>
          <w:rFonts w:ascii="Calibri" w:hAnsi="Calibri" w:cs="Calibri"/>
          <w:bCs/>
          <w:sz w:val="22"/>
          <w:szCs w:val="22"/>
          <w:lang w:val="fr-FR"/>
        </w:rPr>
        <w:t xml:space="preserve"> selon le modèle de rapport suisse</w:t>
      </w:r>
      <w:r w:rsidR="00F9733B" w:rsidRPr="00794101">
        <w:rPr>
          <w:rFonts w:ascii="Calibri" w:hAnsi="Calibri" w:cs="Calibri"/>
          <w:sz w:val="22"/>
          <w:szCs w:val="22"/>
          <w:lang w:val="fr-FR"/>
        </w:rPr>
        <w:t>)</w:t>
      </w:r>
      <w:r w:rsidR="00F9733B" w:rsidRPr="00794101">
        <w:rPr>
          <w:rFonts w:ascii="Calibri" w:hAnsi="Calibri" w:cs="Calibri"/>
          <w:sz w:val="22"/>
          <w:szCs w:val="22"/>
          <w:lang w:val="fr-FR"/>
        </w:rPr>
        <w:tab/>
      </w:r>
      <w:r w:rsidR="00431764" w:rsidRPr="00794101">
        <w:rPr>
          <w:rFonts w:ascii="Calibri" w:hAnsi="Calibri" w:cs="Calibri"/>
          <w:sz w:val="22"/>
          <w:szCs w:val="22"/>
          <w:lang w:val="fr-FR"/>
        </w:rPr>
        <w:t>8</w:t>
      </w:r>
    </w:p>
    <w:p w:rsidR="00B96A2F" w:rsidRPr="00794101" w:rsidRDefault="00780CEE" w:rsidP="001E4474">
      <w:pPr>
        <w:pStyle w:val="ListParagraph"/>
        <w:numPr>
          <w:ilvl w:val="0"/>
          <w:numId w:val="3"/>
        </w:numPr>
        <w:tabs>
          <w:tab w:val="left" w:pos="8640"/>
        </w:tabs>
        <w:ind w:left="426" w:hanging="426"/>
        <w:rPr>
          <w:rFonts w:ascii="Calibri" w:hAnsi="Calibri" w:cs="Calibri"/>
          <w:sz w:val="22"/>
          <w:szCs w:val="22"/>
          <w:lang w:val="fr-FR"/>
        </w:rPr>
      </w:pPr>
      <w:r w:rsidRPr="00794101">
        <w:rPr>
          <w:rFonts w:ascii="Calibri" w:hAnsi="Calibri" w:cs="Calibri"/>
          <w:sz w:val="22"/>
          <w:szCs w:val="22"/>
          <w:lang w:val="fr-FR"/>
        </w:rPr>
        <w:t>B</w:t>
      </w:r>
      <w:r w:rsidR="00F7583C" w:rsidRPr="00794101">
        <w:rPr>
          <w:rFonts w:ascii="Calibri" w:hAnsi="Calibri" w:cs="Calibri"/>
          <w:sz w:val="22"/>
          <w:szCs w:val="22"/>
          <w:lang w:val="fr-FR"/>
        </w:rPr>
        <w:t>udget administratif 2016</w:t>
      </w:r>
      <w:r w:rsidRPr="00794101">
        <w:rPr>
          <w:rFonts w:ascii="Calibri" w:hAnsi="Calibri" w:cs="Calibri"/>
          <w:sz w:val="22"/>
          <w:szCs w:val="22"/>
          <w:lang w:val="fr-FR"/>
        </w:rPr>
        <w:t xml:space="preserve"> – Résultats provisoires</w:t>
      </w:r>
      <w:r w:rsidR="00F7583C" w:rsidRPr="00794101">
        <w:rPr>
          <w:rFonts w:ascii="Calibri" w:hAnsi="Calibri" w:cs="Calibri"/>
          <w:sz w:val="22"/>
          <w:szCs w:val="22"/>
          <w:lang w:val="fr-FR"/>
        </w:rPr>
        <w:t xml:space="preserve"> </w:t>
      </w:r>
      <w:r w:rsidR="00B96A2F" w:rsidRPr="00794101">
        <w:rPr>
          <w:rFonts w:ascii="Calibri" w:hAnsi="Calibri" w:cs="Calibri"/>
          <w:bCs/>
          <w:sz w:val="22"/>
          <w:szCs w:val="22"/>
          <w:lang w:val="fr-FR"/>
        </w:rPr>
        <w:t>assortis des modifications apportées lors</w:t>
      </w:r>
    </w:p>
    <w:p w:rsidR="00BC205F" w:rsidRPr="00794101" w:rsidRDefault="00B96A2F" w:rsidP="00B96A2F">
      <w:pPr>
        <w:pStyle w:val="ListParagraph"/>
        <w:tabs>
          <w:tab w:val="left" w:pos="8640"/>
        </w:tabs>
        <w:ind w:left="426"/>
        <w:rPr>
          <w:rFonts w:ascii="Calibri" w:hAnsi="Calibri" w:cs="Calibri"/>
          <w:bCs/>
          <w:sz w:val="22"/>
          <w:szCs w:val="22"/>
          <w:lang w:val="fr-FR"/>
        </w:rPr>
      </w:pPr>
      <w:r w:rsidRPr="00794101">
        <w:rPr>
          <w:rFonts w:ascii="Calibri" w:hAnsi="Calibri" w:cs="Calibri"/>
          <w:bCs/>
          <w:sz w:val="22"/>
          <w:szCs w:val="22"/>
          <w:lang w:val="fr-FR"/>
        </w:rPr>
        <w:t>de la 51</w:t>
      </w:r>
      <w:r w:rsidRPr="00794101">
        <w:rPr>
          <w:rFonts w:ascii="Calibri" w:hAnsi="Calibri" w:cs="Calibri"/>
          <w:bCs/>
          <w:sz w:val="22"/>
          <w:szCs w:val="22"/>
          <w:vertAlign w:val="superscript"/>
          <w:lang w:val="fr-FR"/>
        </w:rPr>
        <w:t>e</w:t>
      </w:r>
      <w:r w:rsidRPr="00794101">
        <w:rPr>
          <w:rFonts w:ascii="Calibri" w:hAnsi="Calibri" w:cs="Calibri"/>
          <w:bCs/>
          <w:sz w:val="22"/>
          <w:szCs w:val="22"/>
          <w:lang w:val="fr-FR"/>
        </w:rPr>
        <w:t xml:space="preserve"> Réunion du Comité permanent au budget approuvé par la COP12</w:t>
      </w:r>
      <w:r w:rsidR="00D21116" w:rsidRPr="00794101">
        <w:rPr>
          <w:rFonts w:ascii="Calibri" w:hAnsi="Calibri" w:cs="Calibri"/>
          <w:bCs/>
          <w:sz w:val="22"/>
          <w:szCs w:val="22"/>
          <w:lang w:val="fr-FR"/>
        </w:rPr>
        <w:t xml:space="preserve">, </w:t>
      </w:r>
      <w:r w:rsidR="00BC205F" w:rsidRPr="00794101">
        <w:rPr>
          <w:rFonts w:ascii="Calibri" w:hAnsi="Calibri" w:cs="Calibri"/>
          <w:bCs/>
          <w:sz w:val="22"/>
          <w:szCs w:val="22"/>
          <w:lang w:val="fr-FR"/>
        </w:rPr>
        <w:t>dépenses réelles</w:t>
      </w:r>
    </w:p>
    <w:p w:rsidR="008532A7" w:rsidRPr="00794101" w:rsidRDefault="00F7583C" w:rsidP="00B96A2F">
      <w:pPr>
        <w:pStyle w:val="ListParagraph"/>
        <w:tabs>
          <w:tab w:val="left" w:pos="8640"/>
        </w:tabs>
        <w:ind w:left="426"/>
        <w:rPr>
          <w:rFonts w:ascii="Calibri" w:hAnsi="Calibri" w:cs="Calibri"/>
          <w:sz w:val="22"/>
          <w:szCs w:val="22"/>
          <w:lang w:val="fr-FR"/>
        </w:rPr>
      </w:pPr>
      <w:r w:rsidRPr="00794101">
        <w:rPr>
          <w:rFonts w:ascii="Calibri" w:hAnsi="Calibri" w:cs="Calibri"/>
          <w:bCs/>
          <w:sz w:val="22"/>
          <w:szCs w:val="22"/>
          <w:lang w:val="fr-FR"/>
        </w:rPr>
        <w:t xml:space="preserve">et écart </w:t>
      </w:r>
      <w:r w:rsidR="00D21116" w:rsidRPr="00794101">
        <w:rPr>
          <w:rFonts w:ascii="Calibri" w:hAnsi="Calibri" w:cs="Calibri"/>
          <w:bCs/>
          <w:sz w:val="22"/>
          <w:szCs w:val="22"/>
          <w:lang w:val="fr-FR"/>
        </w:rPr>
        <w:t>par rapport au budget approuvé</w:t>
      </w:r>
      <w:r w:rsidR="00B64789" w:rsidRPr="00794101">
        <w:rPr>
          <w:rFonts w:ascii="Calibri" w:hAnsi="Calibri" w:cs="Calibri"/>
          <w:sz w:val="22"/>
          <w:szCs w:val="22"/>
          <w:lang w:val="fr-FR"/>
        </w:rPr>
        <w:tab/>
      </w:r>
      <w:r w:rsidR="001E4474" w:rsidRPr="00794101">
        <w:rPr>
          <w:rFonts w:ascii="Calibri" w:hAnsi="Calibri" w:cs="Calibri"/>
          <w:sz w:val="22"/>
          <w:szCs w:val="22"/>
          <w:lang w:val="fr-FR"/>
        </w:rPr>
        <w:t>1</w:t>
      </w:r>
      <w:r w:rsidR="00794101" w:rsidRPr="00794101">
        <w:rPr>
          <w:rFonts w:ascii="Calibri" w:hAnsi="Calibri" w:cs="Calibri"/>
          <w:sz w:val="22"/>
          <w:szCs w:val="22"/>
          <w:lang w:val="fr-FR"/>
        </w:rPr>
        <w:t>1</w:t>
      </w:r>
    </w:p>
    <w:p w:rsidR="00584EE3" w:rsidRPr="00794101" w:rsidRDefault="00D21116" w:rsidP="001E4474">
      <w:pPr>
        <w:pStyle w:val="ListParagraph"/>
        <w:numPr>
          <w:ilvl w:val="0"/>
          <w:numId w:val="3"/>
        </w:numPr>
        <w:tabs>
          <w:tab w:val="left" w:pos="8640"/>
        </w:tabs>
        <w:ind w:left="426" w:hanging="426"/>
        <w:rPr>
          <w:rFonts w:ascii="Calibri" w:hAnsi="Calibri" w:cs="Calibri"/>
          <w:sz w:val="22"/>
          <w:szCs w:val="22"/>
          <w:lang w:val="fr-FR"/>
        </w:rPr>
      </w:pPr>
      <w:r w:rsidRPr="00794101">
        <w:rPr>
          <w:rFonts w:ascii="Calibri" w:hAnsi="Calibri" w:cs="Calibri"/>
          <w:sz w:val="22"/>
          <w:szCs w:val="22"/>
          <w:lang w:val="fr-FR"/>
        </w:rPr>
        <w:t>Budget 2017 approuvé à la COP12</w:t>
      </w:r>
      <w:r w:rsidR="00B64789" w:rsidRPr="00794101">
        <w:rPr>
          <w:rFonts w:ascii="Calibri" w:hAnsi="Calibri" w:cs="Calibri"/>
          <w:sz w:val="22"/>
          <w:szCs w:val="22"/>
          <w:lang w:val="fr-FR"/>
        </w:rPr>
        <w:tab/>
        <w:t>1</w:t>
      </w:r>
      <w:r w:rsidR="00794101" w:rsidRPr="00794101">
        <w:rPr>
          <w:rFonts w:ascii="Calibri" w:hAnsi="Calibri" w:cs="Calibri"/>
          <w:sz w:val="22"/>
          <w:szCs w:val="22"/>
          <w:lang w:val="fr-FR"/>
        </w:rPr>
        <w:t>2</w:t>
      </w:r>
    </w:p>
    <w:p w:rsidR="009F5AF6" w:rsidRPr="00794101" w:rsidRDefault="00D21116" w:rsidP="001E4474">
      <w:pPr>
        <w:pStyle w:val="ListParagraph"/>
        <w:numPr>
          <w:ilvl w:val="0"/>
          <w:numId w:val="3"/>
        </w:numPr>
        <w:tabs>
          <w:tab w:val="left" w:pos="8640"/>
        </w:tabs>
        <w:ind w:left="426" w:hanging="426"/>
        <w:rPr>
          <w:rFonts w:ascii="Calibri" w:hAnsi="Calibri" w:cs="Calibri"/>
          <w:sz w:val="22"/>
          <w:szCs w:val="22"/>
          <w:lang w:val="fr-FR"/>
        </w:rPr>
      </w:pPr>
      <w:r w:rsidRPr="00794101">
        <w:rPr>
          <w:rFonts w:ascii="Calibri" w:hAnsi="Calibri" w:cs="Calibri"/>
          <w:sz w:val="22"/>
          <w:szCs w:val="22"/>
          <w:lang w:val="fr-FR"/>
        </w:rPr>
        <w:t>Budget 2018 approuvé à la COP12</w:t>
      </w:r>
      <w:r w:rsidR="001E4474" w:rsidRPr="00794101">
        <w:rPr>
          <w:rFonts w:ascii="Calibri" w:hAnsi="Calibri" w:cs="Calibri"/>
          <w:sz w:val="22"/>
          <w:szCs w:val="22"/>
          <w:lang w:val="fr-FR"/>
        </w:rPr>
        <w:tab/>
      </w:r>
      <w:r w:rsidR="009F5AF6" w:rsidRPr="00794101">
        <w:rPr>
          <w:rFonts w:ascii="Calibri" w:hAnsi="Calibri" w:cs="Calibri"/>
          <w:sz w:val="22"/>
          <w:szCs w:val="22"/>
          <w:lang w:val="fr-FR"/>
        </w:rPr>
        <w:t>1</w:t>
      </w:r>
      <w:r w:rsidR="00794101" w:rsidRPr="00794101">
        <w:rPr>
          <w:rFonts w:ascii="Calibri" w:hAnsi="Calibri" w:cs="Calibri"/>
          <w:sz w:val="22"/>
          <w:szCs w:val="22"/>
          <w:lang w:val="fr-FR"/>
        </w:rPr>
        <w:t>3</w:t>
      </w:r>
    </w:p>
    <w:p w:rsidR="00B96A2F" w:rsidRPr="00794101" w:rsidRDefault="00D21116" w:rsidP="00386D73">
      <w:pPr>
        <w:pStyle w:val="ListParagraph"/>
        <w:numPr>
          <w:ilvl w:val="0"/>
          <w:numId w:val="3"/>
        </w:numPr>
        <w:tabs>
          <w:tab w:val="left" w:pos="8640"/>
        </w:tabs>
        <w:ind w:left="426" w:hanging="426"/>
        <w:rPr>
          <w:rFonts w:ascii="Calibri" w:hAnsi="Calibri" w:cs="Calibri"/>
          <w:sz w:val="22"/>
          <w:szCs w:val="22"/>
          <w:lang w:val="fr-FR"/>
        </w:rPr>
      </w:pPr>
      <w:r w:rsidRPr="00794101">
        <w:rPr>
          <w:rFonts w:ascii="Calibri" w:hAnsi="Calibri" w:cs="Calibri"/>
          <w:sz w:val="22"/>
          <w:szCs w:val="22"/>
          <w:lang w:val="fr-FR"/>
        </w:rPr>
        <w:t xml:space="preserve">Budget non administratif pour la période triennale </w:t>
      </w:r>
      <w:r w:rsidR="00D67AA9" w:rsidRPr="00794101">
        <w:rPr>
          <w:rFonts w:ascii="Calibri" w:hAnsi="Calibri" w:cs="Calibri"/>
          <w:sz w:val="22"/>
          <w:szCs w:val="22"/>
          <w:lang w:val="fr-FR"/>
        </w:rPr>
        <w:t>201</w:t>
      </w:r>
      <w:r w:rsidR="00F9733B" w:rsidRPr="00794101">
        <w:rPr>
          <w:rFonts w:ascii="Calibri" w:hAnsi="Calibri" w:cs="Calibri"/>
          <w:sz w:val="22"/>
          <w:szCs w:val="22"/>
          <w:lang w:val="fr-FR"/>
        </w:rPr>
        <w:t>6</w:t>
      </w:r>
      <w:r w:rsidR="00D67AA9" w:rsidRPr="00794101">
        <w:rPr>
          <w:rFonts w:ascii="Calibri" w:hAnsi="Calibri" w:cs="Calibri"/>
          <w:sz w:val="22"/>
          <w:szCs w:val="22"/>
          <w:lang w:val="fr-FR"/>
        </w:rPr>
        <w:t>-201</w:t>
      </w:r>
      <w:r w:rsidR="00F9733B" w:rsidRPr="00794101">
        <w:rPr>
          <w:rFonts w:ascii="Calibri" w:hAnsi="Calibri" w:cs="Calibri"/>
          <w:sz w:val="22"/>
          <w:szCs w:val="22"/>
          <w:lang w:val="fr-FR"/>
        </w:rPr>
        <w:t>8</w:t>
      </w:r>
      <w:r w:rsidR="00D67AA9" w:rsidRPr="00794101">
        <w:rPr>
          <w:rFonts w:ascii="Calibri" w:hAnsi="Calibri" w:cs="Calibri"/>
          <w:sz w:val="22"/>
          <w:szCs w:val="22"/>
          <w:lang w:val="fr-FR"/>
        </w:rPr>
        <w:t xml:space="preserve"> </w:t>
      </w:r>
      <w:r w:rsidRPr="00794101">
        <w:rPr>
          <w:rFonts w:ascii="Calibri" w:hAnsi="Calibri" w:cs="Calibri"/>
          <w:sz w:val="22"/>
          <w:szCs w:val="22"/>
          <w:lang w:val="fr-FR"/>
        </w:rPr>
        <w:t>(a</w:t>
      </w:r>
      <w:r w:rsidR="00D67AA9" w:rsidRPr="00794101">
        <w:rPr>
          <w:rFonts w:ascii="Calibri" w:hAnsi="Calibri" w:cs="Calibri"/>
          <w:sz w:val="22"/>
          <w:szCs w:val="22"/>
          <w:lang w:val="fr-FR"/>
        </w:rPr>
        <w:t>nnex</w:t>
      </w:r>
      <w:r w:rsidRPr="00794101">
        <w:rPr>
          <w:rFonts w:ascii="Calibri" w:hAnsi="Calibri" w:cs="Calibri"/>
          <w:sz w:val="22"/>
          <w:szCs w:val="22"/>
          <w:lang w:val="fr-FR"/>
        </w:rPr>
        <w:t>e</w:t>
      </w:r>
      <w:r w:rsidR="00D67AA9" w:rsidRPr="00794101">
        <w:rPr>
          <w:rFonts w:ascii="Calibri" w:hAnsi="Calibri" w:cs="Calibri"/>
          <w:sz w:val="22"/>
          <w:szCs w:val="22"/>
          <w:lang w:val="fr-FR"/>
        </w:rPr>
        <w:t xml:space="preserve"> </w:t>
      </w:r>
      <w:r w:rsidR="00F9733B" w:rsidRPr="00794101">
        <w:rPr>
          <w:rFonts w:ascii="Calibri" w:hAnsi="Calibri" w:cs="Calibri"/>
          <w:sz w:val="22"/>
          <w:szCs w:val="22"/>
          <w:lang w:val="fr-FR"/>
        </w:rPr>
        <w:t>3</w:t>
      </w:r>
      <w:r w:rsidR="00B96A2F" w:rsidRPr="00794101">
        <w:rPr>
          <w:rFonts w:ascii="Calibri" w:hAnsi="Calibri" w:cs="Calibri"/>
          <w:sz w:val="22"/>
          <w:szCs w:val="22"/>
          <w:lang w:val="fr-FR"/>
        </w:rPr>
        <w:t xml:space="preserve"> de la</w:t>
      </w:r>
    </w:p>
    <w:p w:rsidR="00D67AA9" w:rsidRPr="00386D73" w:rsidRDefault="00D21116" w:rsidP="00B96A2F">
      <w:pPr>
        <w:pStyle w:val="ListParagraph"/>
        <w:tabs>
          <w:tab w:val="left" w:pos="8640"/>
        </w:tabs>
        <w:ind w:left="426"/>
        <w:rPr>
          <w:rFonts w:ascii="Calibri" w:hAnsi="Calibri" w:cs="Calibri"/>
          <w:sz w:val="22"/>
          <w:szCs w:val="22"/>
          <w:lang w:val="fr-FR"/>
        </w:rPr>
      </w:pPr>
      <w:r w:rsidRPr="00794101">
        <w:rPr>
          <w:rFonts w:ascii="Calibri" w:hAnsi="Calibri" w:cs="Calibri"/>
          <w:sz w:val="22"/>
          <w:szCs w:val="22"/>
          <w:lang w:val="fr-FR"/>
        </w:rPr>
        <w:t>ré</w:t>
      </w:r>
      <w:r w:rsidR="00386D73" w:rsidRPr="00794101">
        <w:rPr>
          <w:rFonts w:ascii="Calibri" w:hAnsi="Calibri" w:cs="Calibri"/>
          <w:sz w:val="22"/>
          <w:szCs w:val="22"/>
          <w:lang w:val="fr-FR"/>
        </w:rPr>
        <w:t>solution </w:t>
      </w:r>
      <w:r w:rsidR="00D67AA9" w:rsidRPr="00794101">
        <w:rPr>
          <w:rFonts w:ascii="Calibri" w:hAnsi="Calibri" w:cs="Calibri"/>
          <w:sz w:val="22"/>
          <w:szCs w:val="22"/>
          <w:lang w:val="fr-FR"/>
        </w:rPr>
        <w:t>XI</w:t>
      </w:r>
      <w:r w:rsidR="00F9733B" w:rsidRPr="00794101">
        <w:rPr>
          <w:rFonts w:ascii="Calibri" w:hAnsi="Calibri" w:cs="Calibri"/>
          <w:sz w:val="22"/>
          <w:szCs w:val="22"/>
          <w:lang w:val="fr-FR"/>
        </w:rPr>
        <w:t>I</w:t>
      </w:r>
      <w:r w:rsidR="00D67AA9" w:rsidRPr="00794101">
        <w:rPr>
          <w:rFonts w:ascii="Calibri" w:hAnsi="Calibri" w:cs="Calibri"/>
          <w:sz w:val="22"/>
          <w:szCs w:val="22"/>
          <w:lang w:val="fr-FR"/>
        </w:rPr>
        <w:t>.</w:t>
      </w:r>
      <w:r w:rsidR="00F9733B" w:rsidRPr="00794101">
        <w:rPr>
          <w:rFonts w:ascii="Calibri" w:hAnsi="Calibri" w:cs="Calibri"/>
          <w:sz w:val="22"/>
          <w:szCs w:val="22"/>
          <w:lang w:val="fr-FR"/>
        </w:rPr>
        <w:t>1</w:t>
      </w:r>
      <w:r w:rsidR="00D67AA9" w:rsidRPr="00794101">
        <w:rPr>
          <w:rFonts w:ascii="Calibri" w:hAnsi="Calibri" w:cs="Calibri"/>
          <w:sz w:val="22"/>
          <w:szCs w:val="22"/>
          <w:lang w:val="fr-FR"/>
        </w:rPr>
        <w:t>)</w:t>
      </w:r>
      <w:r w:rsidR="001E4474" w:rsidRPr="00794101">
        <w:rPr>
          <w:rFonts w:ascii="Calibri" w:hAnsi="Calibri" w:cs="Calibri"/>
          <w:sz w:val="22"/>
          <w:szCs w:val="22"/>
          <w:lang w:val="fr-FR"/>
        </w:rPr>
        <w:tab/>
      </w:r>
      <w:r w:rsidR="009F5AF6" w:rsidRPr="00794101">
        <w:rPr>
          <w:rFonts w:ascii="Calibri" w:hAnsi="Calibri" w:cs="Calibri"/>
          <w:sz w:val="22"/>
          <w:szCs w:val="22"/>
          <w:lang w:val="fr-FR"/>
        </w:rPr>
        <w:t>1</w:t>
      </w:r>
      <w:r w:rsidR="00794101" w:rsidRPr="00794101">
        <w:rPr>
          <w:rFonts w:ascii="Calibri" w:hAnsi="Calibri" w:cs="Calibri"/>
          <w:sz w:val="22"/>
          <w:szCs w:val="22"/>
          <w:lang w:val="fr-FR"/>
        </w:rPr>
        <w:t>4</w:t>
      </w:r>
    </w:p>
    <w:p w:rsidR="00297915" w:rsidRPr="00F21623" w:rsidRDefault="00C500C1" w:rsidP="00D67AA9">
      <w:pPr>
        <w:ind w:left="567" w:hanging="567"/>
        <w:rPr>
          <w:rFonts w:ascii="Calibri" w:hAnsi="Calibri" w:cs="Calibri"/>
          <w:b/>
          <w:lang w:val="fr-FR"/>
        </w:rPr>
      </w:pPr>
      <w:bookmarkStart w:id="1" w:name="_GoBack"/>
      <w:bookmarkEnd w:id="1"/>
      <w:r w:rsidRPr="00F21623">
        <w:rPr>
          <w:rFonts w:ascii="Calibri" w:hAnsi="Calibri" w:cs="Calibri"/>
          <w:b/>
          <w:sz w:val="22"/>
          <w:szCs w:val="22"/>
          <w:lang w:val="fr-FR"/>
        </w:rPr>
        <w:br w:type="page"/>
      </w:r>
      <w:r w:rsidR="00D2130B" w:rsidRPr="00F21623">
        <w:rPr>
          <w:rFonts w:ascii="Calibri" w:hAnsi="Calibri"/>
          <w:b/>
          <w:lang w:val="fr-FR"/>
        </w:rPr>
        <w:lastRenderedPageBreak/>
        <w:t>Annex</w:t>
      </w:r>
      <w:r w:rsidR="000A4BE7">
        <w:rPr>
          <w:rFonts w:ascii="Calibri" w:hAnsi="Calibri"/>
          <w:b/>
          <w:lang w:val="fr-FR"/>
        </w:rPr>
        <w:t>e</w:t>
      </w:r>
      <w:r w:rsidR="00D2130B" w:rsidRPr="00F21623">
        <w:rPr>
          <w:rFonts w:ascii="Calibri" w:hAnsi="Calibri"/>
          <w:b/>
          <w:lang w:val="fr-FR"/>
        </w:rPr>
        <w:t xml:space="preserve"> 1</w:t>
      </w:r>
      <w:r w:rsidR="00D2130B" w:rsidRPr="00F21623">
        <w:rPr>
          <w:rFonts w:ascii="Calibri" w:hAnsi="Calibri" w:cs="Calibri"/>
          <w:b/>
          <w:lang w:val="fr-FR"/>
        </w:rPr>
        <w:t xml:space="preserve"> </w:t>
      </w:r>
    </w:p>
    <w:p w:rsidR="00D67AA9" w:rsidRPr="00F21623" w:rsidRDefault="00A55758" w:rsidP="00E91BC8">
      <w:pPr>
        <w:rPr>
          <w:rFonts w:ascii="Calibri" w:hAnsi="Calibri" w:cs="Calibri"/>
          <w:lang w:val="fr-FR"/>
        </w:rPr>
      </w:pPr>
      <w:r>
        <w:rPr>
          <w:rFonts w:ascii="Calibri" w:hAnsi="Calibri" w:cs="Calibri"/>
          <w:b/>
          <w:lang w:val="fr-FR"/>
        </w:rPr>
        <w:t>États financiers provisoires au 31 décembre</w:t>
      </w:r>
      <w:r w:rsidR="00D67AA9" w:rsidRPr="00F21623">
        <w:rPr>
          <w:rFonts w:ascii="Calibri" w:hAnsi="Calibri" w:cs="Calibri"/>
          <w:b/>
          <w:lang w:val="fr-FR"/>
        </w:rPr>
        <w:t xml:space="preserve"> 201</w:t>
      </w:r>
      <w:r w:rsidR="00A1475C" w:rsidRPr="00F21623">
        <w:rPr>
          <w:rFonts w:ascii="Calibri" w:hAnsi="Calibri" w:cs="Calibri"/>
          <w:b/>
          <w:lang w:val="fr-FR"/>
        </w:rPr>
        <w:t>6</w:t>
      </w:r>
      <w:r w:rsidR="00D67AA9" w:rsidRPr="00F21623">
        <w:rPr>
          <w:rFonts w:ascii="Calibri" w:hAnsi="Calibri" w:cs="Calibri"/>
          <w:b/>
          <w:lang w:val="fr-FR"/>
        </w:rPr>
        <w:t xml:space="preserve"> (</w:t>
      </w:r>
      <w:r w:rsidR="000A4BE7" w:rsidRPr="000A4BE7">
        <w:rPr>
          <w:rFonts w:ascii="Calibri" w:hAnsi="Calibri" w:cs="Calibri"/>
          <w:b/>
          <w:bCs/>
          <w:lang w:val="fr-FR"/>
        </w:rPr>
        <w:t>établi</w:t>
      </w:r>
      <w:r>
        <w:rPr>
          <w:rFonts w:ascii="Calibri" w:hAnsi="Calibri" w:cs="Calibri"/>
          <w:b/>
          <w:bCs/>
          <w:lang w:val="fr-FR"/>
        </w:rPr>
        <w:t>s</w:t>
      </w:r>
      <w:r w:rsidR="000A4BE7" w:rsidRPr="000A4BE7">
        <w:rPr>
          <w:rFonts w:ascii="Calibri" w:hAnsi="Calibri" w:cs="Calibri"/>
          <w:b/>
          <w:bCs/>
          <w:lang w:val="fr-FR"/>
        </w:rPr>
        <w:t xml:space="preserve"> selon le modèle de rapport suisse</w:t>
      </w:r>
      <w:r w:rsidR="00D67AA9" w:rsidRPr="00F21623">
        <w:rPr>
          <w:rFonts w:ascii="Calibri" w:hAnsi="Calibri" w:cs="Calibri"/>
          <w:b/>
          <w:lang w:val="fr-FR"/>
        </w:rPr>
        <w:t>)</w:t>
      </w:r>
      <w:r w:rsidR="00A6394F" w:rsidRPr="00F21623">
        <w:rPr>
          <w:rFonts w:ascii="Calibri" w:hAnsi="Calibri" w:cs="Calibri"/>
          <w:b/>
          <w:lang w:val="fr-FR"/>
        </w:rPr>
        <w:t xml:space="preserve"> </w:t>
      </w:r>
      <w:r w:rsidR="00A6394F" w:rsidRPr="00BC205F">
        <w:rPr>
          <w:rFonts w:ascii="Calibri" w:hAnsi="Calibri" w:cs="Calibri"/>
          <w:b/>
          <w:lang w:val="fr-FR"/>
        </w:rPr>
        <w:t>(</w:t>
      </w:r>
      <w:r w:rsidR="006C3673" w:rsidRPr="00BC205F">
        <w:rPr>
          <w:rFonts w:ascii="Calibri" w:hAnsi="Calibri" w:cs="Calibri"/>
          <w:b/>
          <w:lang w:val="fr-FR"/>
        </w:rPr>
        <w:t>erreurs possibles d’arrondis comprises)</w:t>
      </w:r>
    </w:p>
    <w:p w:rsidR="00D67AA9" w:rsidRPr="00F21623" w:rsidRDefault="00D67AA9" w:rsidP="00D67AA9">
      <w:pPr>
        <w:ind w:left="567" w:hanging="567"/>
        <w:rPr>
          <w:rFonts w:ascii="Calibri" w:hAnsi="Calibri" w:cs="Calibri"/>
          <w:lang w:val="fr-FR"/>
        </w:rPr>
      </w:pPr>
    </w:p>
    <w:tbl>
      <w:tblPr>
        <w:tblW w:w="9062" w:type="dxa"/>
        <w:tblInd w:w="108" w:type="dxa"/>
        <w:tblLook w:val="04A0" w:firstRow="1" w:lastRow="0" w:firstColumn="1" w:lastColumn="0" w:noHBand="0" w:noVBand="1"/>
      </w:tblPr>
      <w:tblGrid>
        <w:gridCol w:w="4708"/>
        <w:gridCol w:w="1128"/>
        <w:gridCol w:w="1196"/>
        <w:gridCol w:w="278"/>
        <w:gridCol w:w="278"/>
        <w:gridCol w:w="1196"/>
        <w:gridCol w:w="278"/>
      </w:tblGrid>
      <w:tr w:rsidR="00A1475C" w:rsidRPr="00F21623" w:rsidTr="00A55758">
        <w:trPr>
          <w:trHeight w:val="330"/>
        </w:trPr>
        <w:tc>
          <w:tcPr>
            <w:tcW w:w="5836" w:type="dxa"/>
            <w:gridSpan w:val="2"/>
            <w:tcBorders>
              <w:top w:val="nil"/>
              <w:left w:val="nil"/>
              <w:bottom w:val="nil"/>
              <w:right w:val="nil"/>
            </w:tcBorders>
            <w:shd w:val="clear" w:color="000000" w:fill="FFFFFF"/>
            <w:noWrap/>
            <w:vAlign w:val="center"/>
          </w:tcPr>
          <w:p w:rsidR="00A1475C" w:rsidRPr="00F21623" w:rsidRDefault="004E0046" w:rsidP="00A1475C">
            <w:pPr>
              <w:rPr>
                <w:rFonts w:ascii="Calibri" w:eastAsia="Times New Roman" w:hAnsi="Calibri" w:cs="Arial"/>
                <w:b/>
                <w:bCs/>
                <w:sz w:val="22"/>
                <w:szCs w:val="22"/>
                <w:lang w:val="fr-FR" w:eastAsia="en-GB"/>
              </w:rPr>
            </w:pPr>
            <w:bookmarkStart w:id="2" w:name="RANGE!E15:M51"/>
            <w:r>
              <w:rPr>
                <w:rFonts w:ascii="Calibri" w:eastAsia="Times New Roman" w:hAnsi="Calibri" w:cs="Arial"/>
                <w:b/>
                <w:bCs/>
                <w:sz w:val="22"/>
                <w:szCs w:val="22"/>
                <w:lang w:val="fr-FR" w:eastAsia="en-GB"/>
              </w:rPr>
              <w:t>BILAN AU 31 DÉCEMB</w:t>
            </w:r>
            <w:r w:rsidR="00A1475C" w:rsidRPr="00F21623">
              <w:rPr>
                <w:rFonts w:ascii="Calibri" w:eastAsia="Times New Roman" w:hAnsi="Calibri" w:cs="Arial"/>
                <w:b/>
                <w:bCs/>
                <w:sz w:val="22"/>
                <w:szCs w:val="22"/>
                <w:lang w:val="fr-FR" w:eastAsia="en-GB"/>
              </w:rPr>
              <w:t>R</w:t>
            </w:r>
            <w:bookmarkEnd w:id="2"/>
            <w:r>
              <w:rPr>
                <w:rFonts w:ascii="Calibri" w:eastAsia="Times New Roman" w:hAnsi="Calibri" w:cs="Arial"/>
                <w:b/>
                <w:bCs/>
                <w:sz w:val="22"/>
                <w:szCs w:val="22"/>
                <w:lang w:val="fr-FR" w:eastAsia="en-GB"/>
              </w:rPr>
              <w:t>E</w:t>
            </w:r>
            <w:r w:rsidR="00BE4DD6">
              <w:rPr>
                <w:rFonts w:ascii="Calibri" w:eastAsia="Times New Roman" w:hAnsi="Calibri" w:cs="Arial"/>
                <w:b/>
                <w:bCs/>
                <w:sz w:val="22"/>
                <w:szCs w:val="22"/>
                <w:lang w:val="fr-FR" w:eastAsia="en-GB"/>
              </w:rPr>
              <w:t xml:space="preserve"> 2016</w:t>
            </w:r>
          </w:p>
        </w:tc>
        <w:tc>
          <w:tcPr>
            <w:tcW w:w="1196" w:type="dxa"/>
            <w:tcBorders>
              <w:top w:val="nil"/>
              <w:left w:val="nil"/>
              <w:bottom w:val="nil"/>
              <w:right w:val="nil"/>
            </w:tcBorders>
            <w:shd w:val="clear" w:color="000000" w:fill="FFFFFF"/>
            <w:noWrap/>
            <w:vAlign w:val="center"/>
          </w:tcPr>
          <w:p w:rsidR="00A1475C" w:rsidRPr="00F21623" w:rsidRDefault="00A1475C"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FFFFFF"/>
            <w:noWrap/>
            <w:vAlign w:val="center"/>
          </w:tcPr>
          <w:p w:rsidR="00A1475C" w:rsidRPr="00F21623" w:rsidRDefault="00A1475C"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FFFFFF"/>
            <w:noWrap/>
            <w:vAlign w:val="center"/>
          </w:tcPr>
          <w:p w:rsidR="00A1475C" w:rsidRPr="00F21623" w:rsidRDefault="00A1475C"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0"/>
                <w:szCs w:val="20"/>
                <w:lang w:val="fr-FR" w:eastAsia="en-GB"/>
              </w:rPr>
            </w:pPr>
            <w:r w:rsidRPr="00F21623">
              <w:rPr>
                <w:rFonts w:ascii="Calibri" w:eastAsia="Times New Roman" w:hAnsi="Calibri" w:cs="Arial"/>
                <w:sz w:val="20"/>
                <w:szCs w:val="20"/>
                <w:lang w:val="fr-FR" w:eastAsia="en-GB"/>
              </w:rPr>
              <w:t> </w:t>
            </w:r>
          </w:p>
        </w:tc>
        <w:tc>
          <w:tcPr>
            <w:tcW w:w="278"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0"/>
                <w:szCs w:val="20"/>
                <w:lang w:val="fr-FR" w:eastAsia="en-GB"/>
              </w:rPr>
            </w:pPr>
            <w:r w:rsidRPr="00F21623">
              <w:rPr>
                <w:rFonts w:ascii="Calibri" w:eastAsia="Times New Roman" w:hAnsi="Calibri" w:cs="Arial"/>
                <w:sz w:val="20"/>
                <w:szCs w:val="20"/>
                <w:lang w:val="fr-FR" w:eastAsia="en-GB"/>
              </w:rPr>
              <w:t> </w:t>
            </w:r>
          </w:p>
        </w:tc>
      </w:tr>
      <w:tr w:rsidR="00A1475C" w:rsidRPr="00F21623" w:rsidTr="00A55758">
        <w:trPr>
          <w:trHeight w:val="615"/>
        </w:trPr>
        <w:tc>
          <w:tcPr>
            <w:tcW w:w="4708" w:type="dxa"/>
            <w:tcBorders>
              <w:top w:val="nil"/>
              <w:left w:val="nil"/>
              <w:bottom w:val="single" w:sz="8" w:space="0" w:color="auto"/>
              <w:right w:val="nil"/>
            </w:tcBorders>
            <w:shd w:val="clear" w:color="000000" w:fill="FFFFFF"/>
            <w:noWrap/>
            <w:vAlign w:val="bottom"/>
          </w:tcPr>
          <w:p w:rsidR="00A1475C" w:rsidRPr="00F21623" w:rsidRDefault="004E0046" w:rsidP="004E0046">
            <w:pPr>
              <w:rPr>
                <w:rFonts w:ascii="Calibri" w:eastAsia="Times New Roman" w:hAnsi="Calibri" w:cs="Arial"/>
                <w:i/>
                <w:iCs/>
                <w:sz w:val="20"/>
                <w:szCs w:val="20"/>
                <w:lang w:val="fr-FR" w:eastAsia="en-GB"/>
              </w:rPr>
            </w:pPr>
            <w:r>
              <w:rPr>
                <w:rFonts w:ascii="Calibri" w:eastAsia="Times New Roman" w:hAnsi="Calibri" w:cs="Arial"/>
                <w:i/>
                <w:iCs/>
                <w:sz w:val="20"/>
                <w:szCs w:val="20"/>
                <w:lang w:val="fr-FR" w:eastAsia="en-GB"/>
              </w:rPr>
              <w:t>En milliers de f</w:t>
            </w:r>
            <w:r w:rsidR="00A1475C" w:rsidRPr="00F21623">
              <w:rPr>
                <w:rFonts w:ascii="Calibri" w:eastAsia="Times New Roman" w:hAnsi="Calibri" w:cs="Arial"/>
                <w:i/>
                <w:iCs/>
                <w:sz w:val="20"/>
                <w:szCs w:val="20"/>
                <w:lang w:val="fr-FR" w:eastAsia="en-GB"/>
              </w:rPr>
              <w:t xml:space="preserve">rancs </w:t>
            </w:r>
            <w:r>
              <w:rPr>
                <w:rFonts w:ascii="Calibri" w:eastAsia="Times New Roman" w:hAnsi="Calibri" w:cs="Arial"/>
                <w:i/>
                <w:iCs/>
                <w:sz w:val="20"/>
                <w:szCs w:val="20"/>
                <w:lang w:val="fr-FR" w:eastAsia="en-GB"/>
              </w:rPr>
              <w:t>suisses</w:t>
            </w:r>
          </w:p>
        </w:tc>
        <w:tc>
          <w:tcPr>
            <w:tcW w:w="1128" w:type="dxa"/>
            <w:tcBorders>
              <w:top w:val="nil"/>
              <w:left w:val="nil"/>
              <w:bottom w:val="single" w:sz="8" w:space="0" w:color="auto"/>
              <w:right w:val="nil"/>
            </w:tcBorders>
            <w:shd w:val="clear" w:color="000000" w:fill="FFFFFF"/>
            <w:noWrap/>
            <w:vAlign w:val="center"/>
          </w:tcPr>
          <w:p w:rsidR="00A1475C" w:rsidRPr="00F21623" w:rsidRDefault="00A1475C" w:rsidP="00A1475C">
            <w:pPr>
              <w:jc w:val="cente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 Notes </w:t>
            </w:r>
          </w:p>
        </w:tc>
        <w:tc>
          <w:tcPr>
            <w:tcW w:w="1474" w:type="dxa"/>
            <w:gridSpan w:val="2"/>
            <w:tcBorders>
              <w:top w:val="nil"/>
              <w:left w:val="nil"/>
              <w:bottom w:val="single" w:sz="8" w:space="0" w:color="auto"/>
              <w:right w:val="nil"/>
            </w:tcBorders>
            <w:shd w:val="clear" w:color="000000" w:fill="8DB4E2"/>
            <w:vAlign w:val="bottom"/>
          </w:tcPr>
          <w:p w:rsidR="00A1475C" w:rsidRPr="00F21623" w:rsidRDefault="00A1475C" w:rsidP="00B95734">
            <w:pPr>
              <w:jc w:val="cente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 2016 </w:t>
            </w:r>
            <w:r w:rsidR="00B95734">
              <w:rPr>
                <w:rFonts w:ascii="Calibri" w:eastAsia="Times New Roman" w:hAnsi="Calibri" w:cs="Arial"/>
                <w:b/>
                <w:bCs/>
                <w:sz w:val="22"/>
                <w:szCs w:val="22"/>
                <w:lang w:val="fr-FR" w:eastAsia="en-GB"/>
              </w:rPr>
              <w:t>(Chiffres provisoires)</w:t>
            </w:r>
          </w:p>
        </w:tc>
        <w:tc>
          <w:tcPr>
            <w:tcW w:w="278" w:type="dxa"/>
            <w:tcBorders>
              <w:top w:val="nil"/>
              <w:left w:val="nil"/>
              <w:bottom w:val="single" w:sz="8" w:space="0" w:color="auto"/>
              <w:right w:val="nil"/>
            </w:tcBorders>
            <w:shd w:val="clear" w:color="000000" w:fill="D9D9D9"/>
            <w:noWrap/>
            <w:vAlign w:val="center"/>
          </w:tcPr>
          <w:p w:rsidR="00A1475C" w:rsidRPr="00F21623" w:rsidRDefault="00A1475C" w:rsidP="00A1475C">
            <w:pPr>
              <w:rPr>
                <w:rFonts w:ascii="Calibri" w:eastAsia="Times New Roman" w:hAnsi="Calibri" w:cs="Arial"/>
                <w:sz w:val="20"/>
                <w:szCs w:val="20"/>
                <w:lang w:val="fr-FR" w:eastAsia="en-GB"/>
              </w:rPr>
            </w:pPr>
            <w:r w:rsidRPr="00F21623">
              <w:rPr>
                <w:rFonts w:ascii="Calibri" w:eastAsia="Times New Roman" w:hAnsi="Calibri" w:cs="Arial"/>
                <w:sz w:val="20"/>
                <w:szCs w:val="20"/>
                <w:lang w:val="fr-FR" w:eastAsia="en-GB"/>
              </w:rPr>
              <w:t> </w:t>
            </w:r>
          </w:p>
        </w:tc>
        <w:tc>
          <w:tcPr>
            <w:tcW w:w="1474" w:type="dxa"/>
            <w:gridSpan w:val="2"/>
            <w:tcBorders>
              <w:top w:val="nil"/>
              <w:left w:val="nil"/>
              <w:bottom w:val="single" w:sz="8" w:space="0" w:color="auto"/>
              <w:right w:val="nil"/>
            </w:tcBorders>
            <w:shd w:val="clear" w:color="000000" w:fill="D8E4BC"/>
            <w:noWrap/>
            <w:vAlign w:val="center"/>
          </w:tcPr>
          <w:p w:rsidR="00A1475C" w:rsidRPr="00F21623" w:rsidRDefault="00A1475C" w:rsidP="00A1475C">
            <w:pPr>
              <w:jc w:val="cente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 2015 </w:t>
            </w:r>
          </w:p>
        </w:tc>
      </w:tr>
      <w:tr w:rsidR="00A1475C" w:rsidRPr="00F21623" w:rsidTr="00A55758">
        <w:trPr>
          <w:trHeight w:val="330"/>
        </w:trPr>
        <w:tc>
          <w:tcPr>
            <w:tcW w:w="4708" w:type="dxa"/>
            <w:tcBorders>
              <w:top w:val="nil"/>
              <w:left w:val="nil"/>
              <w:bottom w:val="nil"/>
              <w:right w:val="nil"/>
            </w:tcBorders>
            <w:shd w:val="clear" w:color="000000" w:fill="FFFFFF"/>
            <w:vAlign w:val="bottom"/>
          </w:tcPr>
          <w:p w:rsidR="00A1475C" w:rsidRPr="00F21623" w:rsidRDefault="00A55758" w:rsidP="00A1475C">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ACTIFS</w:t>
            </w:r>
          </w:p>
        </w:tc>
        <w:tc>
          <w:tcPr>
            <w:tcW w:w="1128" w:type="dxa"/>
            <w:tcBorders>
              <w:top w:val="nil"/>
              <w:left w:val="nil"/>
              <w:bottom w:val="nil"/>
              <w:right w:val="nil"/>
            </w:tcBorders>
            <w:shd w:val="clear" w:color="000000" w:fill="FFFFFF"/>
            <w:noWrap/>
            <w:vAlign w:val="bottom"/>
          </w:tcPr>
          <w:p w:rsidR="00A1475C" w:rsidRPr="00F21623" w:rsidRDefault="00A1475C"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1475C" w:rsidRPr="00F21623" w:rsidTr="00A55758">
        <w:trPr>
          <w:trHeight w:val="330"/>
        </w:trPr>
        <w:tc>
          <w:tcPr>
            <w:tcW w:w="4708" w:type="dxa"/>
            <w:tcBorders>
              <w:top w:val="nil"/>
              <w:left w:val="nil"/>
              <w:bottom w:val="nil"/>
              <w:right w:val="nil"/>
            </w:tcBorders>
            <w:shd w:val="clear" w:color="000000" w:fill="FFFFFF"/>
            <w:vAlign w:val="bottom"/>
          </w:tcPr>
          <w:p w:rsidR="00A1475C" w:rsidRPr="00F21623" w:rsidRDefault="00A55758" w:rsidP="00A1475C">
            <w:pPr>
              <w:rPr>
                <w:rFonts w:ascii="Calibri" w:eastAsia="Times New Roman" w:hAnsi="Calibri" w:cs="Arial"/>
                <w:b/>
                <w:bCs/>
                <w:sz w:val="22"/>
                <w:szCs w:val="22"/>
                <w:lang w:val="fr-FR" w:eastAsia="en-GB"/>
              </w:rPr>
            </w:pPr>
            <w:r w:rsidRPr="00A55758">
              <w:rPr>
                <w:rFonts w:ascii="Calibri" w:eastAsia="Times New Roman" w:hAnsi="Calibri" w:cs="Arial"/>
                <w:b/>
                <w:bCs/>
                <w:sz w:val="22"/>
                <w:szCs w:val="22"/>
                <w:lang w:val="fr-FR" w:eastAsia="en-GB"/>
              </w:rPr>
              <w:t>Actifs à court terme</w:t>
            </w:r>
          </w:p>
        </w:tc>
        <w:tc>
          <w:tcPr>
            <w:tcW w:w="1128" w:type="dxa"/>
            <w:tcBorders>
              <w:top w:val="nil"/>
              <w:left w:val="nil"/>
              <w:bottom w:val="nil"/>
              <w:right w:val="nil"/>
            </w:tcBorders>
            <w:shd w:val="clear" w:color="000000" w:fill="FFFFFF"/>
            <w:noWrap/>
            <w:vAlign w:val="bottom"/>
          </w:tcPr>
          <w:p w:rsidR="00A1475C" w:rsidRPr="00F21623" w:rsidRDefault="00A1475C"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1475C" w:rsidRPr="00F21623" w:rsidRDefault="00A1475C"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A55758" w:rsidRDefault="00A55758" w:rsidP="00F82B50">
            <w:pPr>
              <w:rPr>
                <w:rFonts w:asciiTheme="minorHAnsi" w:eastAsia="Times New Roman" w:hAnsiTheme="minorHAnsi" w:cs="Arial"/>
                <w:sz w:val="22"/>
                <w:szCs w:val="22"/>
                <w:lang w:val="fr-FR" w:eastAsia="en-GB"/>
              </w:rPr>
            </w:pPr>
            <w:r w:rsidRPr="00A55758">
              <w:rPr>
                <w:rFonts w:asciiTheme="minorHAnsi" w:eastAsia="Times New Roman" w:hAnsiTheme="minorHAnsi" w:cs="Arial"/>
                <w:sz w:val="22"/>
                <w:szCs w:val="22"/>
                <w:lang w:val="fr-FR" w:eastAsia="en-GB"/>
              </w:rPr>
              <w:t>Liquidités et dépôts bancaires à court terme</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Pr>
                <w:rFonts w:ascii="Calibri" w:eastAsia="Times New Roman" w:hAnsi="Calibri" w:cs="Arial"/>
                <w:sz w:val="22"/>
                <w:szCs w:val="22"/>
                <w:lang w:val="fr-FR" w:eastAsia="en-GB"/>
              </w:rPr>
              <w:t>4</w:t>
            </w:r>
            <w:r w:rsidR="00BC205F">
              <w:rPr>
                <w:rFonts w:ascii="Calibri" w:eastAsia="Times New Roman" w:hAnsi="Calibri" w:cs="Arial"/>
                <w:sz w:val="22"/>
                <w:szCs w:val="22"/>
                <w:lang w:val="fr-FR" w:eastAsia="en-GB"/>
              </w:rPr>
              <w:t> </w:t>
            </w:r>
            <w:r w:rsidRPr="00F21623">
              <w:rPr>
                <w:rFonts w:ascii="Calibri" w:eastAsia="Times New Roman" w:hAnsi="Calibri" w:cs="Arial"/>
                <w:sz w:val="22"/>
                <w:szCs w:val="22"/>
                <w:lang w:val="fr-FR" w:eastAsia="en-GB"/>
              </w:rPr>
              <w:t>569</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Pr>
                <w:rFonts w:ascii="Calibri" w:eastAsia="Times New Roman" w:hAnsi="Calibri" w:cs="Arial"/>
                <w:sz w:val="22"/>
                <w:szCs w:val="22"/>
                <w:lang w:val="fr-FR" w:eastAsia="en-GB"/>
              </w:rPr>
              <w:t>4</w:t>
            </w:r>
            <w:r w:rsidR="00BC205F">
              <w:rPr>
                <w:rFonts w:ascii="Calibri" w:eastAsia="Times New Roman" w:hAnsi="Calibri" w:cs="Arial"/>
                <w:sz w:val="22"/>
                <w:szCs w:val="22"/>
                <w:lang w:val="fr-FR" w:eastAsia="en-GB"/>
              </w:rPr>
              <w:t> </w:t>
            </w:r>
            <w:r w:rsidRPr="00F21623">
              <w:rPr>
                <w:rFonts w:ascii="Calibri" w:eastAsia="Times New Roman" w:hAnsi="Calibri" w:cs="Arial"/>
                <w:sz w:val="22"/>
                <w:szCs w:val="22"/>
                <w:lang w:val="fr-FR" w:eastAsia="en-GB"/>
              </w:rPr>
              <w:t>652</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A55758">
              <w:rPr>
                <w:rFonts w:ascii="Calibri" w:eastAsia="Times New Roman" w:hAnsi="Calibri" w:cs="Arial"/>
                <w:sz w:val="22"/>
                <w:szCs w:val="22"/>
                <w:lang w:val="fr-FR" w:eastAsia="en-GB"/>
              </w:rPr>
              <w:t>Comptes à recevoir de Parties contractantes (montant net)</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6</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620</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658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Pr>
                <w:rFonts w:ascii="Calibri" w:eastAsia="Times New Roman" w:hAnsi="Calibri" w:cs="Arial"/>
                <w:sz w:val="22"/>
                <w:szCs w:val="22"/>
                <w:lang w:val="fr-FR" w:eastAsia="en-GB"/>
              </w:rPr>
              <w:t xml:space="preserve"> Autres comptes à recevoir</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7</w:t>
            </w:r>
          </w:p>
        </w:tc>
        <w:tc>
          <w:tcPr>
            <w:tcW w:w="1196" w:type="dxa"/>
            <w:tcBorders>
              <w:top w:val="nil"/>
              <w:left w:val="nil"/>
              <w:bottom w:val="single" w:sz="4" w:space="0" w:color="auto"/>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131</w:t>
            </w:r>
          </w:p>
        </w:tc>
        <w:tc>
          <w:tcPr>
            <w:tcW w:w="278" w:type="dxa"/>
            <w:tcBorders>
              <w:top w:val="nil"/>
              <w:left w:val="nil"/>
              <w:bottom w:val="single" w:sz="4" w:space="0" w:color="auto"/>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single" w:sz="4" w:space="0" w:color="auto"/>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88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A55758">
              <w:rPr>
                <w:rFonts w:ascii="Calibri" w:eastAsia="Times New Roman" w:hAnsi="Calibri" w:cs="Arial"/>
                <w:b/>
                <w:bCs/>
                <w:sz w:val="22"/>
                <w:szCs w:val="22"/>
                <w:lang w:val="fr-FR" w:eastAsia="en-GB"/>
              </w:rPr>
              <w:t>Total des actifs à court terme</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320</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398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431764">
        <w:trPr>
          <w:trHeight w:val="143"/>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Immobilisations</w:t>
            </w:r>
            <w:r w:rsidRPr="00F21623">
              <w:rPr>
                <w:rFonts w:ascii="Calibri" w:eastAsia="Times New Roman" w:hAnsi="Calibri" w:cs="Arial"/>
                <w:b/>
                <w:bCs/>
                <w:sz w:val="22"/>
                <w:szCs w:val="22"/>
                <w:lang w:val="fr-FR" w:eastAsia="en-GB"/>
              </w:rPr>
              <w:t xml:space="preserve"> (</w:t>
            </w:r>
            <w:r>
              <w:rPr>
                <w:rFonts w:ascii="Calibri" w:eastAsia="Times New Roman" w:hAnsi="Calibri" w:cs="Arial"/>
                <w:b/>
                <w:bCs/>
                <w:sz w:val="22"/>
                <w:szCs w:val="22"/>
                <w:lang w:val="fr-FR" w:eastAsia="en-GB"/>
              </w:rPr>
              <w:t xml:space="preserve">montant </w:t>
            </w:r>
            <w:r w:rsidRPr="00F21623">
              <w:rPr>
                <w:rFonts w:ascii="Calibri" w:eastAsia="Times New Roman" w:hAnsi="Calibri" w:cs="Arial"/>
                <w:b/>
                <w:bCs/>
                <w:sz w:val="22"/>
                <w:szCs w:val="22"/>
                <w:lang w:val="fr-FR" w:eastAsia="en-GB"/>
              </w:rPr>
              <w:t>net)</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A55758">
              <w:rPr>
                <w:rFonts w:ascii="Calibri" w:eastAsia="Times New Roman" w:hAnsi="Calibri" w:cs="Arial"/>
                <w:sz w:val="22"/>
                <w:szCs w:val="22"/>
                <w:lang w:val="fr-FR" w:eastAsia="en-GB"/>
              </w:rPr>
              <w:t>Mobilier de bureau et matériel informatique au prix coûtant</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84</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82</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A55758">
              <w:rPr>
                <w:rFonts w:ascii="Calibri" w:eastAsia="Times New Roman" w:hAnsi="Calibri" w:cs="Arial"/>
                <w:sz w:val="22"/>
                <w:szCs w:val="22"/>
                <w:lang w:val="fr-FR" w:eastAsia="en-GB"/>
              </w:rPr>
              <w:t>Déduction de l’amortissement cumulé</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9</w:t>
            </w:r>
          </w:p>
        </w:tc>
        <w:tc>
          <w:tcPr>
            <w:tcW w:w="1196" w:type="dxa"/>
            <w:tcBorders>
              <w:top w:val="nil"/>
              <w:left w:val="nil"/>
              <w:bottom w:val="single" w:sz="4" w:space="0" w:color="auto"/>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(63)</w:t>
            </w:r>
          </w:p>
        </w:tc>
        <w:tc>
          <w:tcPr>
            <w:tcW w:w="278" w:type="dxa"/>
            <w:tcBorders>
              <w:top w:val="nil"/>
              <w:left w:val="nil"/>
              <w:bottom w:val="single" w:sz="4" w:space="0" w:color="auto"/>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single" w:sz="4" w:space="0" w:color="auto"/>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(48)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xml:space="preserve"> des immobilisations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21</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34</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480"/>
        </w:trPr>
        <w:tc>
          <w:tcPr>
            <w:tcW w:w="4708" w:type="dxa"/>
            <w:tcBorders>
              <w:top w:val="nil"/>
              <w:left w:val="nil"/>
              <w:bottom w:val="nil"/>
              <w:right w:val="nil"/>
            </w:tcBorders>
            <w:shd w:val="clear" w:color="000000" w:fill="FFFFFF"/>
            <w:vAlign w:val="center"/>
          </w:tcPr>
          <w:p w:rsidR="00A55758" w:rsidRPr="00F21623" w:rsidRDefault="00A55758" w:rsidP="00A55758">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DES ACTIFS</w:t>
            </w:r>
          </w:p>
        </w:tc>
        <w:tc>
          <w:tcPr>
            <w:tcW w:w="1128" w:type="dxa"/>
            <w:tcBorders>
              <w:top w:val="nil"/>
              <w:left w:val="nil"/>
              <w:bottom w:val="nil"/>
              <w:right w:val="nil"/>
            </w:tcBorders>
            <w:shd w:val="clear" w:color="000000" w:fill="FFFFFF"/>
            <w:noWrap/>
            <w:vAlign w:val="center"/>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single" w:sz="4" w:space="0" w:color="auto"/>
              <w:left w:val="nil"/>
              <w:bottom w:val="single" w:sz="4" w:space="0" w:color="auto"/>
              <w:right w:val="nil"/>
            </w:tcBorders>
            <w:shd w:val="clear" w:color="000000" w:fill="FFFFFF"/>
            <w:noWrap/>
            <w:vAlign w:val="center"/>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341</w:t>
            </w:r>
          </w:p>
        </w:tc>
        <w:tc>
          <w:tcPr>
            <w:tcW w:w="278" w:type="dxa"/>
            <w:tcBorders>
              <w:top w:val="single" w:sz="4" w:space="0" w:color="auto"/>
              <w:left w:val="nil"/>
              <w:bottom w:val="single" w:sz="4" w:space="0" w:color="auto"/>
              <w:right w:val="nil"/>
            </w:tcBorders>
            <w:shd w:val="clear" w:color="000000" w:fill="FFFFFF"/>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single" w:sz="4" w:space="0" w:color="auto"/>
              <w:left w:val="nil"/>
              <w:bottom w:val="single" w:sz="4" w:space="0" w:color="auto"/>
              <w:right w:val="nil"/>
            </w:tcBorders>
            <w:shd w:val="clear" w:color="000000" w:fill="D9D9D9"/>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single" w:sz="4" w:space="0" w:color="auto"/>
              <w:left w:val="nil"/>
              <w:bottom w:val="single" w:sz="4" w:space="0" w:color="auto"/>
              <w:right w:val="nil"/>
            </w:tcBorders>
            <w:shd w:val="clear" w:color="000000" w:fill="FFFFFF"/>
            <w:noWrap/>
            <w:vAlign w:val="center"/>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432</w:t>
            </w:r>
          </w:p>
        </w:tc>
        <w:tc>
          <w:tcPr>
            <w:tcW w:w="278" w:type="dxa"/>
            <w:tcBorders>
              <w:top w:val="nil"/>
              <w:left w:val="nil"/>
              <w:bottom w:val="nil"/>
              <w:right w:val="nil"/>
            </w:tcBorders>
            <w:shd w:val="clear" w:color="000000" w:fill="FFFFFF"/>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430DD8"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A55758">
              <w:rPr>
                <w:rFonts w:ascii="Calibri" w:eastAsia="Times New Roman" w:hAnsi="Calibri" w:cs="Arial"/>
                <w:b/>
                <w:bCs/>
                <w:sz w:val="22"/>
                <w:szCs w:val="22"/>
                <w:lang w:val="fr-FR" w:eastAsia="en-GB"/>
              </w:rPr>
              <w:t>PASSIF ET SOLDES DE FONDS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A55758">
              <w:rPr>
                <w:rFonts w:ascii="Calibri" w:eastAsia="Times New Roman" w:hAnsi="Calibri" w:cs="Arial"/>
                <w:b/>
                <w:bCs/>
                <w:sz w:val="22"/>
                <w:szCs w:val="22"/>
                <w:lang w:val="fr-FR" w:eastAsia="en-GB"/>
              </w:rPr>
              <w:t>Passif à court terme</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sidRPr="00A55758">
              <w:rPr>
                <w:rFonts w:ascii="Calibri" w:eastAsia="Times New Roman" w:hAnsi="Calibri" w:cs="Arial"/>
                <w:sz w:val="22"/>
                <w:szCs w:val="22"/>
                <w:lang w:val="fr-FR" w:eastAsia="en-GB"/>
              </w:rPr>
              <w:t>Somme due à l’UICN</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264</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775</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Autres comptes à payer</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8</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753</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630</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Charges à payer</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435</w:t>
            </w:r>
          </w:p>
        </w:tc>
        <w:tc>
          <w:tcPr>
            <w:tcW w:w="278" w:type="dxa"/>
            <w:tcBorders>
              <w:top w:val="nil"/>
              <w:left w:val="nil"/>
              <w:bottom w:val="single" w:sz="4" w:space="0" w:color="auto"/>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single" w:sz="4" w:space="0" w:color="auto"/>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293</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du passif à court terme</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1</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453</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1</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698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Provisions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Rapatriement de personnel</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5</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124</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124</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Congés</w:t>
            </w:r>
            <w:r w:rsidRPr="00F21623">
              <w:rPr>
                <w:rFonts w:ascii="Calibri" w:eastAsia="Times New Roman" w:hAnsi="Calibri" w:cs="Arial"/>
                <w:sz w:val="22"/>
                <w:szCs w:val="22"/>
                <w:lang w:val="fr-FR" w:eastAsia="en-GB"/>
              </w:rPr>
              <w:t xml:space="preserve">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5</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100</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165</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Résiliations de contrats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5</w:t>
            </w:r>
          </w:p>
        </w:tc>
        <w:tc>
          <w:tcPr>
            <w:tcW w:w="1196" w:type="dxa"/>
            <w:tcBorders>
              <w:top w:val="nil"/>
              <w:left w:val="nil"/>
              <w:bottom w:val="single" w:sz="4" w:space="0" w:color="auto"/>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89</w:t>
            </w:r>
          </w:p>
        </w:tc>
        <w:tc>
          <w:tcPr>
            <w:tcW w:w="278" w:type="dxa"/>
            <w:tcBorders>
              <w:top w:val="nil"/>
              <w:left w:val="nil"/>
              <w:bottom w:val="single" w:sz="4" w:space="0" w:color="auto"/>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single" w:sz="4" w:space="0" w:color="auto"/>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227</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xml:space="preserve">des </w:t>
            </w:r>
            <w:r w:rsidRPr="00F21623">
              <w:rPr>
                <w:rFonts w:ascii="Calibri" w:eastAsia="Times New Roman" w:hAnsi="Calibri" w:cs="Arial"/>
                <w:b/>
                <w:bCs/>
                <w:sz w:val="22"/>
                <w:szCs w:val="22"/>
                <w:lang w:val="fr-FR" w:eastAsia="en-GB"/>
              </w:rPr>
              <w:t>provisions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313</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516</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b/>
                <w:bCs/>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Fo</w:t>
            </w:r>
            <w:r w:rsidRPr="00F21623">
              <w:rPr>
                <w:rFonts w:ascii="Calibri" w:eastAsia="Times New Roman" w:hAnsi="Calibri" w:cs="Arial"/>
                <w:b/>
                <w:bCs/>
                <w:sz w:val="22"/>
                <w:szCs w:val="22"/>
                <w:lang w:val="fr-FR" w:eastAsia="en-GB"/>
              </w:rPr>
              <w:t>nd</w:t>
            </w:r>
            <w:r>
              <w:rPr>
                <w:rFonts w:ascii="Calibri" w:eastAsia="Times New Roman" w:hAnsi="Calibri" w:cs="Arial"/>
                <w:b/>
                <w:bCs/>
                <w:sz w:val="22"/>
                <w:szCs w:val="22"/>
                <w:lang w:val="fr-FR" w:eastAsia="en-GB"/>
              </w:rPr>
              <w:t>s et ré</w:t>
            </w:r>
            <w:r w:rsidRPr="00F21623">
              <w:rPr>
                <w:rFonts w:ascii="Calibri" w:eastAsia="Times New Roman" w:hAnsi="Calibri" w:cs="Arial"/>
                <w:b/>
                <w:bCs/>
                <w:sz w:val="22"/>
                <w:szCs w:val="22"/>
                <w:lang w:val="fr-FR" w:eastAsia="en-GB"/>
              </w:rPr>
              <w:t>serves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auto" w:fill="auto"/>
            <w:noWrap/>
            <w:vAlign w:val="bottom"/>
          </w:tcPr>
          <w:p w:rsidR="00A55758" w:rsidRPr="00F21623" w:rsidRDefault="00A55758" w:rsidP="00A1475C">
            <w:pPr>
              <w:rPr>
                <w:rFonts w:ascii="Calibri" w:eastAsia="Times New Roman" w:hAnsi="Calibri" w:cs="Arial"/>
                <w:sz w:val="22"/>
                <w:szCs w:val="22"/>
                <w:lang w:val="fr-FR" w:eastAsia="en-GB"/>
              </w:rPr>
            </w:pP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Fonds de réserve non affectés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11</w:t>
            </w:r>
          </w:p>
        </w:tc>
        <w:tc>
          <w:tcPr>
            <w:tcW w:w="1196" w:type="dxa"/>
            <w:tcBorders>
              <w:top w:val="nil"/>
              <w:left w:val="nil"/>
              <w:bottom w:val="nil"/>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988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372</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0"/>
        </w:trPr>
        <w:tc>
          <w:tcPr>
            <w:tcW w:w="4708" w:type="dxa"/>
            <w:tcBorders>
              <w:top w:val="nil"/>
              <w:left w:val="nil"/>
              <w:bottom w:val="nil"/>
              <w:right w:val="nil"/>
            </w:tcBorders>
            <w:shd w:val="clear" w:color="000000" w:fill="FFFFFF"/>
            <w:vAlign w:val="bottom"/>
          </w:tcPr>
          <w:p w:rsidR="00A55758" w:rsidRPr="00F21623" w:rsidRDefault="00A55758" w:rsidP="00A55758">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Fonds affectés à des projets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12</w:t>
            </w:r>
          </w:p>
        </w:tc>
        <w:tc>
          <w:tcPr>
            <w:tcW w:w="1196" w:type="dxa"/>
            <w:tcBorders>
              <w:top w:val="nil"/>
              <w:left w:val="nil"/>
              <w:bottom w:val="single" w:sz="4" w:space="0" w:color="auto"/>
              <w:right w:val="nil"/>
            </w:tcBorders>
            <w:shd w:val="clear" w:color="auto" w:fill="auto"/>
            <w:noWrap/>
            <w:vAlign w:val="bottom"/>
          </w:tcPr>
          <w:p w:rsidR="00A55758" w:rsidRPr="00F21623" w:rsidRDefault="00A55758" w:rsidP="00A1475C">
            <w:pPr>
              <w:jc w:val="right"/>
              <w:rPr>
                <w:rFonts w:ascii="Calibri" w:eastAsia="Times New Roman" w:hAnsi="Calibri" w:cs="Arial"/>
                <w:sz w:val="22"/>
                <w:szCs w:val="22"/>
                <w:lang w:val="fr-FR" w:eastAsia="en-GB"/>
              </w:rPr>
            </w:pPr>
            <w:r>
              <w:rPr>
                <w:rFonts w:ascii="Calibri" w:eastAsia="Times New Roman" w:hAnsi="Calibri" w:cs="Arial"/>
                <w:sz w:val="22"/>
                <w:szCs w:val="22"/>
                <w:lang w:val="fr-FR" w:eastAsia="en-GB"/>
              </w:rPr>
              <w:t>2</w:t>
            </w:r>
            <w:r w:rsidR="00BC205F">
              <w:rPr>
                <w:rFonts w:ascii="Calibri" w:eastAsia="Times New Roman" w:hAnsi="Calibri" w:cs="Arial"/>
                <w:sz w:val="22"/>
                <w:szCs w:val="22"/>
                <w:lang w:val="fr-FR" w:eastAsia="en-GB"/>
              </w:rPr>
              <w:t> </w:t>
            </w:r>
            <w:r w:rsidRPr="00F21623">
              <w:rPr>
                <w:rFonts w:ascii="Calibri" w:eastAsia="Times New Roman" w:hAnsi="Calibri" w:cs="Arial"/>
                <w:sz w:val="22"/>
                <w:szCs w:val="22"/>
                <w:lang w:val="fr-FR" w:eastAsia="en-GB"/>
              </w:rPr>
              <w:t>587</w:t>
            </w:r>
          </w:p>
        </w:tc>
        <w:tc>
          <w:tcPr>
            <w:tcW w:w="278" w:type="dxa"/>
            <w:tcBorders>
              <w:top w:val="nil"/>
              <w:left w:val="nil"/>
              <w:bottom w:val="single" w:sz="4" w:space="0" w:color="auto"/>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278" w:type="dxa"/>
            <w:tcBorders>
              <w:top w:val="nil"/>
              <w:left w:val="nil"/>
              <w:bottom w:val="single" w:sz="4" w:space="0" w:color="auto"/>
              <w:right w:val="nil"/>
            </w:tcBorders>
            <w:shd w:val="clear" w:color="000000" w:fill="D9D9D9"/>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single" w:sz="4" w:space="0" w:color="auto"/>
              <w:right w:val="nil"/>
            </w:tcBorders>
            <w:shd w:val="clear" w:color="000000" w:fill="FFFFFF"/>
            <w:noWrap/>
            <w:vAlign w:val="bottom"/>
          </w:tcPr>
          <w:p w:rsidR="00A55758" w:rsidRPr="00F21623" w:rsidRDefault="00A55758" w:rsidP="00A1475C">
            <w:pPr>
              <w:jc w:val="right"/>
              <w:rPr>
                <w:rFonts w:ascii="Calibri" w:eastAsia="Times New Roman" w:hAnsi="Calibri" w:cs="Arial"/>
                <w:sz w:val="22"/>
                <w:szCs w:val="22"/>
                <w:lang w:val="fr-FR" w:eastAsia="en-GB"/>
              </w:rPr>
            </w:pPr>
            <w:r>
              <w:rPr>
                <w:rFonts w:ascii="Calibri" w:eastAsia="Times New Roman" w:hAnsi="Calibri" w:cs="Arial"/>
                <w:sz w:val="22"/>
                <w:szCs w:val="22"/>
                <w:lang w:val="fr-FR" w:eastAsia="en-GB"/>
              </w:rPr>
              <w:t>2</w:t>
            </w:r>
            <w:r w:rsidR="00BC205F">
              <w:rPr>
                <w:rFonts w:ascii="Calibri" w:eastAsia="Times New Roman" w:hAnsi="Calibri" w:cs="Arial"/>
                <w:sz w:val="22"/>
                <w:szCs w:val="22"/>
                <w:lang w:val="fr-FR" w:eastAsia="en-GB"/>
              </w:rPr>
              <w:t> </w:t>
            </w:r>
            <w:r w:rsidRPr="00F21623">
              <w:rPr>
                <w:rFonts w:ascii="Calibri" w:eastAsia="Times New Roman" w:hAnsi="Calibri" w:cs="Arial"/>
                <w:sz w:val="22"/>
                <w:szCs w:val="22"/>
                <w:lang w:val="fr-FR" w:eastAsia="en-GB"/>
              </w:rPr>
              <w:t>846</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r>
      <w:tr w:rsidR="00A55758" w:rsidRPr="00F21623" w:rsidTr="00A55758">
        <w:trPr>
          <w:trHeight w:val="338"/>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des fonds et ré</w:t>
            </w:r>
            <w:r w:rsidRPr="00F21623">
              <w:rPr>
                <w:rFonts w:ascii="Calibri" w:eastAsia="Times New Roman" w:hAnsi="Calibri" w:cs="Arial"/>
                <w:b/>
                <w:bCs/>
                <w:sz w:val="22"/>
                <w:szCs w:val="22"/>
                <w:lang w:val="fr-FR" w:eastAsia="en-GB"/>
              </w:rPr>
              <w:t>serves</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3</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575</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3</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218</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300"/>
        </w:trPr>
        <w:tc>
          <w:tcPr>
            <w:tcW w:w="4708" w:type="dxa"/>
            <w:tcBorders>
              <w:top w:val="nil"/>
              <w:left w:val="nil"/>
              <w:bottom w:val="nil"/>
              <w:right w:val="nil"/>
            </w:tcBorders>
            <w:shd w:val="clear" w:color="000000" w:fill="FFFFFF"/>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28" w:type="dxa"/>
            <w:tcBorders>
              <w:top w:val="nil"/>
              <w:left w:val="nil"/>
              <w:bottom w:val="nil"/>
              <w:right w:val="nil"/>
            </w:tcBorders>
            <w:shd w:val="clear" w:color="000000" w:fill="FFFFFF"/>
            <w:noWrap/>
            <w:vAlign w:val="bottom"/>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D9D9D9"/>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nil"/>
              <w:left w:val="nil"/>
              <w:bottom w:val="nil"/>
              <w:right w:val="nil"/>
            </w:tcBorders>
            <w:shd w:val="clear" w:color="000000" w:fill="FFFFFF"/>
            <w:noWrap/>
            <w:vAlign w:val="bottom"/>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r w:rsidR="00A55758" w:rsidRPr="00F21623" w:rsidTr="00A55758">
        <w:trPr>
          <w:trHeight w:val="458"/>
        </w:trPr>
        <w:tc>
          <w:tcPr>
            <w:tcW w:w="4708" w:type="dxa"/>
            <w:tcBorders>
              <w:top w:val="nil"/>
              <w:left w:val="nil"/>
              <w:bottom w:val="nil"/>
              <w:right w:val="nil"/>
            </w:tcBorders>
            <w:shd w:val="clear" w:color="000000" w:fill="FFFFFF"/>
            <w:vAlign w:val="center"/>
          </w:tcPr>
          <w:p w:rsidR="00A55758" w:rsidRPr="00F21623" w:rsidRDefault="00A55758" w:rsidP="00A55758">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xml:space="preserve">DU PASSIF ET DES SOLDES DE FONDS </w:t>
            </w:r>
          </w:p>
        </w:tc>
        <w:tc>
          <w:tcPr>
            <w:tcW w:w="1128" w:type="dxa"/>
            <w:tcBorders>
              <w:top w:val="nil"/>
              <w:left w:val="nil"/>
              <w:bottom w:val="nil"/>
              <w:right w:val="nil"/>
            </w:tcBorders>
            <w:shd w:val="clear" w:color="000000" w:fill="FFFFFF"/>
            <w:noWrap/>
            <w:vAlign w:val="center"/>
          </w:tcPr>
          <w:p w:rsidR="00A55758" w:rsidRPr="00F21623" w:rsidRDefault="00A55758" w:rsidP="00A1475C">
            <w:pPr>
              <w:jc w:val="center"/>
              <w:rPr>
                <w:rFonts w:ascii="Calibri" w:eastAsia="Times New Roman" w:hAnsi="Calibri" w:cs="Arial"/>
                <w:sz w:val="22"/>
                <w:szCs w:val="22"/>
                <w:lang w:val="fr-FR" w:eastAsia="en-GB"/>
              </w:rPr>
            </w:pPr>
            <w:r w:rsidRPr="00F21623">
              <w:rPr>
                <w:rFonts w:ascii="Calibri" w:eastAsia="Times New Roman" w:hAnsi="Calibri" w:cs="Arial"/>
                <w:sz w:val="22"/>
                <w:szCs w:val="22"/>
                <w:lang w:val="fr-FR" w:eastAsia="en-GB"/>
              </w:rPr>
              <w:t> </w:t>
            </w:r>
          </w:p>
        </w:tc>
        <w:tc>
          <w:tcPr>
            <w:tcW w:w="1196" w:type="dxa"/>
            <w:tcBorders>
              <w:top w:val="single" w:sz="4" w:space="0" w:color="auto"/>
              <w:left w:val="nil"/>
              <w:bottom w:val="single" w:sz="4" w:space="0" w:color="auto"/>
              <w:right w:val="nil"/>
            </w:tcBorders>
            <w:shd w:val="clear" w:color="000000" w:fill="C5D9F1"/>
            <w:noWrap/>
            <w:vAlign w:val="center"/>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341</w:t>
            </w:r>
          </w:p>
        </w:tc>
        <w:tc>
          <w:tcPr>
            <w:tcW w:w="278" w:type="dxa"/>
            <w:tcBorders>
              <w:top w:val="single" w:sz="4" w:space="0" w:color="auto"/>
              <w:left w:val="nil"/>
              <w:bottom w:val="single" w:sz="4" w:space="0" w:color="auto"/>
              <w:right w:val="nil"/>
            </w:tcBorders>
            <w:shd w:val="clear" w:color="000000" w:fill="C5D9F1"/>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278" w:type="dxa"/>
            <w:tcBorders>
              <w:top w:val="single" w:sz="4" w:space="0" w:color="auto"/>
              <w:left w:val="nil"/>
              <w:bottom w:val="single" w:sz="4" w:space="0" w:color="auto"/>
              <w:right w:val="nil"/>
            </w:tcBorders>
            <w:shd w:val="clear" w:color="000000" w:fill="D9D9D9"/>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c>
          <w:tcPr>
            <w:tcW w:w="1196" w:type="dxa"/>
            <w:tcBorders>
              <w:top w:val="single" w:sz="4" w:space="0" w:color="auto"/>
              <w:left w:val="nil"/>
              <w:bottom w:val="single" w:sz="4" w:space="0" w:color="auto"/>
              <w:right w:val="nil"/>
            </w:tcBorders>
            <w:shd w:val="clear" w:color="000000" w:fill="EBF1DE"/>
            <w:noWrap/>
            <w:vAlign w:val="center"/>
          </w:tcPr>
          <w:p w:rsidR="00A55758" w:rsidRPr="00F21623" w:rsidRDefault="00A55758" w:rsidP="00A1475C">
            <w:pPr>
              <w:jc w:val="right"/>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5</w:t>
            </w:r>
            <w:r w:rsidR="00BC205F">
              <w:rPr>
                <w:rFonts w:ascii="Calibri" w:eastAsia="Times New Roman" w:hAnsi="Calibri" w:cs="Arial"/>
                <w:b/>
                <w:bCs/>
                <w:sz w:val="22"/>
                <w:szCs w:val="22"/>
                <w:lang w:val="fr-FR" w:eastAsia="en-GB"/>
              </w:rPr>
              <w:t> </w:t>
            </w:r>
            <w:r w:rsidRPr="00F21623">
              <w:rPr>
                <w:rFonts w:ascii="Calibri" w:eastAsia="Times New Roman" w:hAnsi="Calibri" w:cs="Arial"/>
                <w:b/>
                <w:bCs/>
                <w:sz w:val="22"/>
                <w:szCs w:val="22"/>
                <w:lang w:val="fr-FR" w:eastAsia="en-GB"/>
              </w:rPr>
              <w:t>432</w:t>
            </w:r>
          </w:p>
        </w:tc>
        <w:tc>
          <w:tcPr>
            <w:tcW w:w="278" w:type="dxa"/>
            <w:tcBorders>
              <w:top w:val="single" w:sz="4" w:space="0" w:color="auto"/>
              <w:left w:val="nil"/>
              <w:bottom w:val="single" w:sz="4" w:space="0" w:color="auto"/>
              <w:right w:val="nil"/>
            </w:tcBorders>
            <w:shd w:val="clear" w:color="000000" w:fill="EBF1DE"/>
            <w:noWrap/>
            <w:vAlign w:val="center"/>
          </w:tcPr>
          <w:p w:rsidR="00A55758" w:rsidRPr="00F21623" w:rsidRDefault="00A55758" w:rsidP="00A1475C">
            <w:pPr>
              <w:rPr>
                <w:rFonts w:ascii="Calibri" w:eastAsia="Times New Roman" w:hAnsi="Calibri" w:cs="Arial"/>
                <w:b/>
                <w:bCs/>
                <w:sz w:val="22"/>
                <w:szCs w:val="22"/>
                <w:lang w:val="fr-FR" w:eastAsia="en-GB"/>
              </w:rPr>
            </w:pPr>
            <w:r w:rsidRPr="00F21623">
              <w:rPr>
                <w:rFonts w:ascii="Calibri" w:eastAsia="Times New Roman" w:hAnsi="Calibri" w:cs="Arial"/>
                <w:b/>
                <w:bCs/>
                <w:sz w:val="22"/>
                <w:szCs w:val="22"/>
                <w:lang w:val="fr-FR" w:eastAsia="en-GB"/>
              </w:rPr>
              <w:t> </w:t>
            </w:r>
          </w:p>
        </w:tc>
      </w:tr>
    </w:tbl>
    <w:p w:rsidR="001E4474" w:rsidRPr="00F21623" w:rsidRDefault="001E4474">
      <w:pPr>
        <w:rPr>
          <w:rFonts w:asciiTheme="minorHAnsi" w:hAnsiTheme="minorHAnsi" w:cs="Calibri"/>
          <w:b/>
          <w:lang w:val="fr-FR"/>
        </w:rPr>
      </w:pPr>
    </w:p>
    <w:p w:rsidR="008505B8" w:rsidRDefault="008505B8" w:rsidP="00297915">
      <w:pPr>
        <w:rPr>
          <w:rFonts w:ascii="Calibri" w:hAnsi="Calibri" w:cs="Calibri"/>
          <w:b/>
          <w:lang w:val="fr-FR"/>
        </w:rPr>
      </w:pPr>
    </w:p>
    <w:p w:rsidR="008505B8" w:rsidRDefault="008505B8">
      <w:pPr>
        <w:rPr>
          <w:rFonts w:ascii="Calibri" w:hAnsi="Calibri" w:cs="Calibri"/>
          <w:b/>
          <w:lang w:val="fr-FR"/>
        </w:rPr>
      </w:pPr>
      <w:r w:rsidRPr="008505B8">
        <w:drawing>
          <wp:inline distT="0" distB="0" distL="0" distR="0" wp14:anchorId="4B6FB64A" wp14:editId="17B0FF24">
            <wp:extent cx="5732145" cy="75184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7518473"/>
                    </a:xfrm>
                    <a:prstGeom prst="rect">
                      <a:avLst/>
                    </a:prstGeom>
                    <a:noFill/>
                    <a:ln>
                      <a:noFill/>
                    </a:ln>
                  </pic:spPr>
                </pic:pic>
              </a:graphicData>
            </a:graphic>
          </wp:inline>
        </w:drawing>
      </w:r>
      <w:r>
        <w:rPr>
          <w:rFonts w:ascii="Calibri" w:hAnsi="Calibri" w:cs="Calibri"/>
          <w:b/>
          <w:lang w:val="fr-FR"/>
        </w:rPr>
        <w:br w:type="page"/>
      </w:r>
    </w:p>
    <w:p w:rsidR="008505B8" w:rsidRDefault="00820BA7">
      <w:pPr>
        <w:rPr>
          <w:rFonts w:asciiTheme="minorHAnsi" w:hAnsiTheme="minorHAnsi" w:cs="Calibri"/>
          <w:b/>
          <w:lang w:val="fr-FR"/>
        </w:rPr>
      </w:pPr>
      <w:r w:rsidRPr="00F21623">
        <w:rPr>
          <w:rFonts w:ascii="Calibri" w:hAnsi="Calibri" w:cs="Calibri"/>
          <w:b/>
          <w:lang w:val="fr-FR"/>
        </w:rPr>
        <w:lastRenderedPageBreak/>
        <w:t>Annex</w:t>
      </w:r>
      <w:r w:rsidR="004E0046">
        <w:rPr>
          <w:rFonts w:ascii="Calibri" w:hAnsi="Calibri" w:cs="Calibri"/>
          <w:b/>
          <w:lang w:val="fr-FR"/>
        </w:rPr>
        <w:t>e</w:t>
      </w:r>
      <w:r w:rsidR="00B95734">
        <w:rPr>
          <w:rFonts w:ascii="Calibri" w:hAnsi="Calibri" w:cs="Calibri"/>
          <w:b/>
          <w:lang w:val="fr-FR"/>
        </w:rPr>
        <w:t xml:space="preserve"> 1, appendice A</w:t>
      </w:r>
      <w:r w:rsidR="007D6F8D">
        <w:rPr>
          <w:rFonts w:ascii="Calibri" w:hAnsi="Calibri" w:cs="Calibri"/>
          <w:b/>
          <w:lang w:val="fr-FR"/>
        </w:rPr>
        <w:t> </w:t>
      </w:r>
      <w:r w:rsidR="00B95734">
        <w:rPr>
          <w:rFonts w:ascii="Calibri" w:hAnsi="Calibri" w:cs="Calibri"/>
          <w:b/>
          <w:lang w:val="fr-FR"/>
        </w:rPr>
        <w:t>: Proje</w:t>
      </w:r>
      <w:r w:rsidRPr="00F21623">
        <w:rPr>
          <w:rFonts w:ascii="Calibri" w:hAnsi="Calibri" w:cs="Calibri"/>
          <w:b/>
          <w:lang w:val="fr-FR"/>
        </w:rPr>
        <w:t xml:space="preserve">ts </w:t>
      </w:r>
      <w:r w:rsidR="00B95734">
        <w:rPr>
          <w:rFonts w:ascii="Calibri" w:hAnsi="Calibri" w:cs="Calibri"/>
          <w:b/>
          <w:lang w:val="fr-FR"/>
        </w:rPr>
        <w:t xml:space="preserve">financés à partir de </w:t>
      </w:r>
      <w:r w:rsidR="00780CEE">
        <w:rPr>
          <w:rFonts w:ascii="Calibri" w:hAnsi="Calibri" w:cs="Calibri"/>
          <w:b/>
          <w:lang w:val="fr-FR"/>
        </w:rPr>
        <w:t>fonds affectés, du 1</w:t>
      </w:r>
      <w:r w:rsidR="00780CEE" w:rsidRPr="00780CEE">
        <w:rPr>
          <w:rFonts w:ascii="Calibri" w:hAnsi="Calibri" w:cs="Calibri"/>
          <w:b/>
          <w:vertAlign w:val="superscript"/>
          <w:lang w:val="fr-FR"/>
        </w:rPr>
        <w:t>er</w:t>
      </w:r>
      <w:r w:rsidR="00780CEE">
        <w:rPr>
          <w:rFonts w:ascii="Calibri" w:hAnsi="Calibri" w:cs="Calibri"/>
          <w:b/>
          <w:lang w:val="fr-FR"/>
        </w:rPr>
        <w:t xml:space="preserve"> janvier au 31 décembre 2016 </w:t>
      </w:r>
      <w:r w:rsidR="000A4BE7" w:rsidRPr="000A4BE7">
        <w:rPr>
          <w:rFonts w:ascii="Calibri" w:hAnsi="Calibri" w:cs="Calibri"/>
          <w:b/>
          <w:i/>
          <w:lang w:val="fr-FR"/>
        </w:rPr>
        <w:t>(en milliers de CHF, erreurs possibles d’arrondis comprises)</w:t>
      </w:r>
      <w:r w:rsidR="008505B8" w:rsidRPr="008505B8">
        <w:drawing>
          <wp:inline distT="0" distB="0" distL="0" distR="0" wp14:anchorId="5B0BAF79" wp14:editId="6A57AB44">
            <wp:extent cx="5420673" cy="8429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67" cy="8433193"/>
                    </a:xfrm>
                    <a:prstGeom prst="rect">
                      <a:avLst/>
                    </a:prstGeom>
                    <a:noFill/>
                    <a:ln>
                      <a:noFill/>
                    </a:ln>
                  </pic:spPr>
                </pic:pic>
              </a:graphicData>
            </a:graphic>
          </wp:inline>
        </w:drawing>
      </w:r>
    </w:p>
    <w:p w:rsidR="00C01945" w:rsidRPr="00F21623" w:rsidRDefault="00D2130B" w:rsidP="00D2130B">
      <w:pPr>
        <w:rPr>
          <w:rFonts w:asciiTheme="minorHAnsi" w:hAnsiTheme="minorHAnsi" w:cs="Calibri"/>
          <w:b/>
          <w:lang w:val="fr-FR"/>
        </w:rPr>
      </w:pPr>
      <w:r w:rsidRPr="00F21623">
        <w:rPr>
          <w:rFonts w:asciiTheme="minorHAnsi" w:hAnsiTheme="minorHAnsi" w:cs="Calibri"/>
          <w:b/>
          <w:lang w:val="fr-FR"/>
        </w:rPr>
        <w:lastRenderedPageBreak/>
        <w:t>Annex</w:t>
      </w:r>
      <w:r w:rsidR="004E0046">
        <w:rPr>
          <w:rFonts w:asciiTheme="minorHAnsi" w:hAnsiTheme="minorHAnsi" w:cs="Calibri"/>
          <w:b/>
          <w:lang w:val="fr-FR"/>
        </w:rPr>
        <w:t>e</w:t>
      </w:r>
      <w:r w:rsidRPr="00F21623">
        <w:rPr>
          <w:rFonts w:asciiTheme="minorHAnsi" w:hAnsiTheme="minorHAnsi" w:cs="Calibri"/>
          <w:b/>
          <w:lang w:val="fr-FR"/>
        </w:rPr>
        <w:t xml:space="preserve"> 2 </w:t>
      </w:r>
    </w:p>
    <w:p w:rsidR="00D2130B" w:rsidRDefault="00780CEE" w:rsidP="00E91BC8">
      <w:pPr>
        <w:rPr>
          <w:rFonts w:ascii="Calibri" w:hAnsi="Calibri" w:cs="Calibri"/>
          <w:b/>
          <w:lang w:val="fr-FR"/>
        </w:rPr>
      </w:pPr>
      <w:r>
        <w:rPr>
          <w:rFonts w:ascii="Calibri" w:hAnsi="Calibri" w:cs="Calibri"/>
          <w:b/>
          <w:lang w:val="fr-FR"/>
        </w:rPr>
        <w:t xml:space="preserve">Résultats provisoires - Budget administratif 2016, assortis des </w:t>
      </w:r>
      <w:r w:rsidRPr="00780CEE">
        <w:rPr>
          <w:rFonts w:ascii="Calibri" w:hAnsi="Calibri" w:cs="Calibri"/>
          <w:b/>
          <w:bCs/>
          <w:lang w:val="fr-FR"/>
        </w:rPr>
        <w:t xml:space="preserve">modifications apportées </w:t>
      </w:r>
      <w:r w:rsidR="00B96A2F" w:rsidRPr="00780CEE">
        <w:rPr>
          <w:rFonts w:ascii="Calibri" w:hAnsi="Calibri" w:cs="Calibri"/>
          <w:b/>
          <w:bCs/>
          <w:lang w:val="fr-FR"/>
        </w:rPr>
        <w:t>lors de la 51</w:t>
      </w:r>
      <w:r w:rsidR="00B96A2F" w:rsidRPr="00780CEE">
        <w:rPr>
          <w:rFonts w:ascii="Calibri" w:hAnsi="Calibri" w:cs="Calibri"/>
          <w:b/>
          <w:bCs/>
          <w:vertAlign w:val="superscript"/>
          <w:lang w:val="fr-FR"/>
        </w:rPr>
        <w:t>e</w:t>
      </w:r>
      <w:r w:rsidR="00B96A2F" w:rsidRPr="00780CEE">
        <w:rPr>
          <w:rFonts w:ascii="Calibri" w:hAnsi="Calibri" w:cs="Calibri"/>
          <w:b/>
          <w:bCs/>
          <w:lang w:val="fr-FR"/>
        </w:rPr>
        <w:t xml:space="preserve"> Réunion du Comité permanent </w:t>
      </w:r>
      <w:r w:rsidRPr="00780CEE">
        <w:rPr>
          <w:rFonts w:ascii="Calibri" w:hAnsi="Calibri" w:cs="Calibri"/>
          <w:b/>
          <w:bCs/>
          <w:lang w:val="fr-FR"/>
        </w:rPr>
        <w:t>au budget approuvé par la COP12, dépenses réelles et écart par rapport au budget approuvé</w:t>
      </w:r>
      <w:r>
        <w:rPr>
          <w:rFonts w:ascii="Calibri" w:hAnsi="Calibri" w:cs="Calibri"/>
          <w:b/>
          <w:lang w:val="fr-FR"/>
        </w:rPr>
        <w:t xml:space="preserve"> </w:t>
      </w:r>
      <w:r w:rsidR="00685D5C" w:rsidRPr="00F21623">
        <w:rPr>
          <w:rFonts w:ascii="Calibri" w:hAnsi="Calibri" w:cs="Calibri"/>
          <w:b/>
          <w:lang w:val="fr-FR"/>
        </w:rPr>
        <w:t>(</w:t>
      </w:r>
      <w:r w:rsidR="000A4BE7" w:rsidRPr="000A4BE7">
        <w:rPr>
          <w:rFonts w:ascii="Calibri" w:hAnsi="Calibri" w:cs="Calibri"/>
          <w:b/>
          <w:i/>
          <w:lang w:val="fr-FR"/>
        </w:rPr>
        <w:t>erreurs possibles d’arrondis comprises</w:t>
      </w:r>
      <w:r w:rsidR="00685D5C" w:rsidRPr="00F21623">
        <w:rPr>
          <w:rFonts w:ascii="Calibri" w:hAnsi="Calibri" w:cs="Calibri"/>
          <w:b/>
          <w:lang w:val="fr-FR"/>
        </w:rPr>
        <w:t>)</w:t>
      </w:r>
    </w:p>
    <w:p w:rsidR="008505B8" w:rsidRDefault="00F556B5">
      <w:pPr>
        <w:rPr>
          <w:rFonts w:asciiTheme="minorHAnsi" w:hAnsiTheme="minorHAnsi" w:cs="Calibri"/>
          <w:b/>
          <w:lang w:val="fr-FR"/>
        </w:rPr>
      </w:pPr>
      <w:r w:rsidRPr="00F556B5">
        <w:drawing>
          <wp:inline distT="0" distB="0" distL="0" distR="0" wp14:anchorId="265A4BFF" wp14:editId="71223313">
            <wp:extent cx="4591496" cy="7941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896" cy="7940586"/>
                    </a:xfrm>
                    <a:prstGeom prst="rect">
                      <a:avLst/>
                    </a:prstGeom>
                    <a:noFill/>
                    <a:ln>
                      <a:noFill/>
                    </a:ln>
                  </pic:spPr>
                </pic:pic>
              </a:graphicData>
            </a:graphic>
          </wp:inline>
        </w:drawing>
      </w:r>
      <w:r w:rsidR="008505B8">
        <w:rPr>
          <w:rFonts w:asciiTheme="minorHAnsi" w:hAnsiTheme="minorHAnsi" w:cs="Calibri"/>
          <w:b/>
          <w:lang w:val="fr-FR"/>
        </w:rPr>
        <w:br w:type="page"/>
      </w:r>
    </w:p>
    <w:p w:rsidR="00C01945" w:rsidRPr="00F21623" w:rsidRDefault="00C01945" w:rsidP="002D6888">
      <w:pPr>
        <w:rPr>
          <w:rFonts w:asciiTheme="minorHAnsi" w:hAnsiTheme="minorHAnsi" w:cs="Calibri"/>
          <w:b/>
          <w:lang w:val="fr-FR"/>
        </w:rPr>
      </w:pPr>
      <w:r w:rsidRPr="00F21623">
        <w:rPr>
          <w:rFonts w:asciiTheme="minorHAnsi" w:hAnsiTheme="minorHAnsi" w:cs="Calibri"/>
          <w:b/>
          <w:lang w:val="fr-FR"/>
        </w:rPr>
        <w:lastRenderedPageBreak/>
        <w:t>Annex</w:t>
      </w:r>
      <w:r w:rsidR="004E0046">
        <w:rPr>
          <w:rFonts w:asciiTheme="minorHAnsi" w:hAnsiTheme="minorHAnsi" w:cs="Calibri"/>
          <w:b/>
          <w:lang w:val="fr-FR"/>
        </w:rPr>
        <w:t>e</w:t>
      </w:r>
      <w:r w:rsidRPr="00F21623">
        <w:rPr>
          <w:rFonts w:asciiTheme="minorHAnsi" w:hAnsiTheme="minorHAnsi" w:cs="Calibri"/>
          <w:b/>
          <w:lang w:val="fr-FR"/>
        </w:rPr>
        <w:t xml:space="preserve"> 3 </w:t>
      </w:r>
    </w:p>
    <w:p w:rsidR="00584EE3" w:rsidRPr="00F21623" w:rsidRDefault="00B96A2F" w:rsidP="002D6888">
      <w:pPr>
        <w:rPr>
          <w:rFonts w:asciiTheme="minorHAnsi" w:hAnsiTheme="minorHAnsi" w:cs="Calibri"/>
          <w:b/>
          <w:lang w:val="fr-FR"/>
        </w:rPr>
      </w:pPr>
      <w:r>
        <w:rPr>
          <w:rFonts w:asciiTheme="minorHAnsi" w:hAnsiTheme="minorHAnsi" w:cs="Calibri"/>
          <w:b/>
          <w:lang w:val="fr-FR"/>
        </w:rPr>
        <w:t>Budget 2017 approuvé par la COP</w:t>
      </w:r>
      <w:r w:rsidR="00C30743" w:rsidRPr="00F21623">
        <w:rPr>
          <w:rFonts w:asciiTheme="minorHAnsi" w:hAnsiTheme="minorHAnsi" w:cs="Calibri"/>
          <w:b/>
          <w:lang w:val="fr-FR"/>
        </w:rPr>
        <w:t>12</w:t>
      </w:r>
      <w:r>
        <w:rPr>
          <w:rFonts w:asciiTheme="minorHAnsi" w:hAnsiTheme="minorHAnsi" w:cs="Calibri"/>
          <w:b/>
          <w:lang w:val="fr-FR"/>
        </w:rPr>
        <w:t xml:space="preserve"> (en milliers de francs suisses)</w:t>
      </w:r>
    </w:p>
    <w:p w:rsidR="008505B8" w:rsidRDefault="008505B8">
      <w:pPr>
        <w:rPr>
          <w:rFonts w:asciiTheme="minorHAnsi" w:hAnsiTheme="minorHAnsi" w:cs="Calibri"/>
          <w:b/>
          <w:lang w:val="fr-FR"/>
        </w:rPr>
      </w:pPr>
      <w:r w:rsidRPr="008505B8">
        <w:drawing>
          <wp:inline distT="0" distB="0" distL="0" distR="0">
            <wp:extent cx="3886200" cy="8446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544" cy="8454125"/>
                    </a:xfrm>
                    <a:prstGeom prst="rect">
                      <a:avLst/>
                    </a:prstGeom>
                    <a:noFill/>
                    <a:ln>
                      <a:noFill/>
                    </a:ln>
                  </pic:spPr>
                </pic:pic>
              </a:graphicData>
            </a:graphic>
          </wp:inline>
        </w:drawing>
      </w:r>
      <w:r>
        <w:rPr>
          <w:rFonts w:asciiTheme="minorHAnsi" w:hAnsiTheme="minorHAnsi" w:cs="Calibri"/>
          <w:b/>
          <w:lang w:val="fr-FR"/>
        </w:rPr>
        <w:br w:type="page"/>
      </w:r>
    </w:p>
    <w:p w:rsidR="00EE3D4F" w:rsidRPr="00F21623" w:rsidRDefault="00EE3D4F" w:rsidP="00EE3D4F">
      <w:pPr>
        <w:rPr>
          <w:rFonts w:asciiTheme="minorHAnsi" w:hAnsiTheme="minorHAnsi" w:cs="Calibri"/>
          <w:b/>
          <w:lang w:val="fr-FR"/>
        </w:rPr>
      </w:pPr>
      <w:r w:rsidRPr="00F21623">
        <w:rPr>
          <w:rFonts w:asciiTheme="minorHAnsi" w:hAnsiTheme="minorHAnsi" w:cs="Calibri"/>
          <w:b/>
          <w:lang w:val="fr-FR"/>
        </w:rPr>
        <w:lastRenderedPageBreak/>
        <w:t>Annex</w:t>
      </w:r>
      <w:r w:rsidR="004E0046">
        <w:rPr>
          <w:rFonts w:asciiTheme="minorHAnsi" w:hAnsiTheme="minorHAnsi" w:cs="Calibri"/>
          <w:b/>
          <w:lang w:val="fr-FR"/>
        </w:rPr>
        <w:t>e</w:t>
      </w:r>
      <w:r w:rsidRPr="00F21623">
        <w:rPr>
          <w:rFonts w:asciiTheme="minorHAnsi" w:hAnsiTheme="minorHAnsi" w:cs="Calibri"/>
          <w:b/>
          <w:lang w:val="fr-FR"/>
        </w:rPr>
        <w:t xml:space="preserve"> 4 </w:t>
      </w:r>
    </w:p>
    <w:p w:rsidR="00EE3D4F" w:rsidRPr="00B96A2F" w:rsidRDefault="00B96A2F" w:rsidP="00EE3D4F">
      <w:pPr>
        <w:rPr>
          <w:rFonts w:asciiTheme="minorHAnsi" w:hAnsiTheme="minorHAnsi" w:cs="Calibri"/>
          <w:b/>
          <w:lang w:val="fr-FR"/>
        </w:rPr>
      </w:pPr>
      <w:r>
        <w:rPr>
          <w:rFonts w:asciiTheme="minorHAnsi" w:hAnsiTheme="minorHAnsi" w:cs="Calibri"/>
          <w:b/>
          <w:lang w:val="fr-FR"/>
        </w:rPr>
        <w:t>Budget 2018 approuvé par la COP</w:t>
      </w:r>
      <w:r w:rsidRPr="00F21623">
        <w:rPr>
          <w:rFonts w:asciiTheme="minorHAnsi" w:hAnsiTheme="minorHAnsi" w:cs="Calibri"/>
          <w:b/>
          <w:lang w:val="fr-FR"/>
        </w:rPr>
        <w:t>12</w:t>
      </w:r>
      <w:r>
        <w:rPr>
          <w:rFonts w:asciiTheme="minorHAnsi" w:hAnsiTheme="minorHAnsi" w:cs="Calibri"/>
          <w:b/>
          <w:lang w:val="fr-FR"/>
        </w:rPr>
        <w:t xml:space="preserve"> (en milliers de francs suisses)</w:t>
      </w:r>
    </w:p>
    <w:p w:rsidR="00EE3D4F" w:rsidRPr="00F21623" w:rsidRDefault="00794101" w:rsidP="00EE3D4F">
      <w:pPr>
        <w:rPr>
          <w:rFonts w:asciiTheme="minorHAnsi" w:hAnsiTheme="minorHAnsi" w:cs="Calibri"/>
          <w:b/>
          <w:lang w:val="fr-FR"/>
        </w:rPr>
      </w:pPr>
      <w:r w:rsidRPr="008505B8">
        <w:drawing>
          <wp:inline distT="0" distB="0" distL="0" distR="0" wp14:anchorId="5CC9D02D" wp14:editId="45442B42">
            <wp:extent cx="3886200" cy="84468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544" cy="8454125"/>
                    </a:xfrm>
                    <a:prstGeom prst="rect">
                      <a:avLst/>
                    </a:prstGeom>
                    <a:noFill/>
                    <a:ln>
                      <a:noFill/>
                    </a:ln>
                  </pic:spPr>
                </pic:pic>
              </a:graphicData>
            </a:graphic>
          </wp:inline>
        </w:drawing>
      </w:r>
      <w:r w:rsidR="00EE3D4F" w:rsidRPr="00F21623">
        <w:rPr>
          <w:rFonts w:asciiTheme="minorHAnsi" w:hAnsiTheme="minorHAnsi" w:cs="Calibri"/>
          <w:b/>
          <w:lang w:val="fr-FR"/>
        </w:rPr>
        <w:br w:type="page"/>
      </w:r>
    </w:p>
    <w:p w:rsidR="000069E0" w:rsidRPr="00F21623" w:rsidRDefault="00D67AA9" w:rsidP="002D6888">
      <w:pPr>
        <w:rPr>
          <w:rFonts w:asciiTheme="minorHAnsi" w:hAnsiTheme="minorHAnsi" w:cs="Calibri"/>
          <w:b/>
          <w:lang w:val="fr-FR"/>
        </w:rPr>
      </w:pPr>
      <w:r w:rsidRPr="00F21623">
        <w:rPr>
          <w:rFonts w:asciiTheme="minorHAnsi" w:hAnsiTheme="minorHAnsi" w:cs="Calibri"/>
          <w:b/>
          <w:lang w:val="fr-FR"/>
        </w:rPr>
        <w:lastRenderedPageBreak/>
        <w:t>Annex</w:t>
      </w:r>
      <w:r w:rsidR="004E0046">
        <w:rPr>
          <w:rFonts w:asciiTheme="minorHAnsi" w:hAnsiTheme="minorHAnsi" w:cs="Calibri"/>
          <w:b/>
          <w:lang w:val="fr-FR"/>
        </w:rPr>
        <w:t>e</w:t>
      </w:r>
      <w:r w:rsidRPr="00F21623">
        <w:rPr>
          <w:rFonts w:asciiTheme="minorHAnsi" w:hAnsiTheme="minorHAnsi" w:cs="Calibri"/>
          <w:b/>
          <w:lang w:val="fr-FR"/>
        </w:rPr>
        <w:t xml:space="preserve"> </w:t>
      </w:r>
      <w:r w:rsidR="00EE3D4F" w:rsidRPr="00F21623">
        <w:rPr>
          <w:rFonts w:asciiTheme="minorHAnsi" w:hAnsiTheme="minorHAnsi" w:cs="Calibri"/>
          <w:b/>
          <w:lang w:val="fr-FR"/>
        </w:rPr>
        <w:t>5</w:t>
      </w:r>
    </w:p>
    <w:p w:rsidR="00A135F5" w:rsidRPr="00F21623" w:rsidRDefault="00BE32C3" w:rsidP="00E91BC8">
      <w:pPr>
        <w:ind w:left="567" w:hanging="567"/>
        <w:rPr>
          <w:rFonts w:asciiTheme="minorHAnsi" w:hAnsiTheme="minorHAnsi"/>
          <w:b/>
          <w:lang w:val="fr-FR"/>
        </w:rPr>
      </w:pPr>
      <w:r>
        <w:rPr>
          <w:rFonts w:asciiTheme="minorHAnsi" w:hAnsiTheme="minorHAnsi"/>
          <w:b/>
          <w:bCs/>
          <w:lang w:val="fr-FR"/>
        </w:rPr>
        <w:t>D</w:t>
      </w:r>
      <w:r w:rsidRPr="00BE32C3">
        <w:rPr>
          <w:rFonts w:asciiTheme="minorHAnsi" w:hAnsiTheme="minorHAnsi"/>
          <w:b/>
          <w:bCs/>
          <w:lang w:val="fr-FR"/>
        </w:rPr>
        <w:t>épenses inscrites a</w:t>
      </w:r>
      <w:r>
        <w:rPr>
          <w:rFonts w:asciiTheme="minorHAnsi" w:hAnsiTheme="minorHAnsi"/>
          <w:b/>
          <w:bCs/>
          <w:lang w:val="fr-FR"/>
        </w:rPr>
        <w:t>u budget non administratif 2016</w:t>
      </w:r>
      <w:r w:rsidR="00A135F5" w:rsidRPr="00F21623">
        <w:rPr>
          <w:rFonts w:asciiTheme="minorHAnsi" w:hAnsiTheme="minorHAnsi"/>
          <w:b/>
          <w:bCs/>
          <w:lang w:val="fr-FR"/>
        </w:rPr>
        <w:t>-201</w:t>
      </w:r>
      <w:r w:rsidR="00546D30" w:rsidRPr="00F21623">
        <w:rPr>
          <w:rFonts w:asciiTheme="minorHAnsi" w:hAnsiTheme="minorHAnsi"/>
          <w:b/>
          <w:bCs/>
          <w:lang w:val="fr-FR"/>
        </w:rPr>
        <w:t>8</w:t>
      </w:r>
      <w:r w:rsidR="00A135F5" w:rsidRPr="00F21623">
        <w:rPr>
          <w:rFonts w:asciiTheme="minorHAnsi" w:hAnsiTheme="minorHAnsi"/>
          <w:b/>
          <w:bCs/>
          <w:lang w:val="fr-FR"/>
        </w:rPr>
        <w:t xml:space="preserve"> </w:t>
      </w:r>
      <w:r w:rsidR="00102FC1" w:rsidRPr="00F21623">
        <w:rPr>
          <w:rFonts w:asciiTheme="minorHAnsi" w:hAnsiTheme="minorHAnsi"/>
          <w:b/>
          <w:bCs/>
          <w:lang w:val="fr-FR"/>
        </w:rPr>
        <w:t>(</w:t>
      </w:r>
      <w:r>
        <w:rPr>
          <w:rFonts w:asciiTheme="minorHAnsi" w:hAnsiTheme="minorHAnsi"/>
          <w:b/>
          <w:bCs/>
          <w:lang w:val="fr-FR"/>
        </w:rPr>
        <w:t>a</w:t>
      </w:r>
      <w:r w:rsidR="00546D30" w:rsidRPr="00F21623">
        <w:rPr>
          <w:rFonts w:asciiTheme="minorHAnsi" w:hAnsiTheme="minorHAnsi"/>
          <w:b/>
          <w:bCs/>
          <w:lang w:val="fr-FR"/>
        </w:rPr>
        <w:t>nnex</w:t>
      </w:r>
      <w:r w:rsidR="00B96A2F">
        <w:rPr>
          <w:rFonts w:asciiTheme="minorHAnsi" w:hAnsiTheme="minorHAnsi"/>
          <w:b/>
          <w:bCs/>
          <w:lang w:val="fr-FR"/>
        </w:rPr>
        <w:t>e 3 à la résolution </w:t>
      </w:r>
      <w:r w:rsidR="00546D30" w:rsidRPr="00F21623">
        <w:rPr>
          <w:rFonts w:asciiTheme="minorHAnsi" w:hAnsiTheme="minorHAnsi"/>
          <w:b/>
          <w:bCs/>
          <w:lang w:val="fr-FR"/>
        </w:rPr>
        <w:t>XII.1</w:t>
      </w:r>
      <w:r w:rsidR="00297915" w:rsidRPr="00F21623">
        <w:rPr>
          <w:rFonts w:asciiTheme="minorHAnsi" w:hAnsiTheme="minorHAnsi"/>
          <w:b/>
          <w:bCs/>
          <w:lang w:val="fr-FR"/>
        </w:rPr>
        <w:t>)</w:t>
      </w:r>
    </w:p>
    <w:p w:rsidR="00A135F5" w:rsidRDefault="00A135F5" w:rsidP="00A135F5">
      <w:pPr>
        <w:rPr>
          <w:lang w:val="fr-FR"/>
        </w:rPr>
      </w:pPr>
      <w:r w:rsidRPr="00F21623">
        <w:rPr>
          <w:lang w:val="fr-FR"/>
        </w:rPr>
        <w:t> </w:t>
      </w:r>
    </w:p>
    <w:p w:rsidR="005948C8" w:rsidRPr="00F21623" w:rsidRDefault="008505B8" w:rsidP="00A135F5">
      <w:pPr>
        <w:rPr>
          <w:lang w:val="fr-FR"/>
        </w:rPr>
      </w:pPr>
      <w:r>
        <w:rPr>
          <w:rFonts w:ascii="Calibri" w:hAnsi="Calibri" w:cs="Calibri"/>
          <w:b/>
          <w:noProof/>
          <w:sz w:val="26"/>
          <w:szCs w:val="26"/>
          <w:lang w:val="en-GB" w:eastAsia="en-GB"/>
        </w:rPr>
        <w:drawing>
          <wp:inline distT="0" distB="0" distL="0" distR="0" wp14:anchorId="50D913EE" wp14:editId="32DE7F75">
            <wp:extent cx="5447665" cy="5295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665" cy="5295265"/>
                    </a:xfrm>
                    <a:prstGeom prst="rect">
                      <a:avLst/>
                    </a:prstGeom>
                    <a:noFill/>
                  </pic:spPr>
                </pic:pic>
              </a:graphicData>
            </a:graphic>
          </wp:inline>
        </w:drawing>
      </w:r>
    </w:p>
    <w:p w:rsidR="00A135F5" w:rsidRPr="00F21623" w:rsidRDefault="00A135F5" w:rsidP="00A135F5">
      <w:pPr>
        <w:rPr>
          <w:rFonts w:ascii="Calibri" w:eastAsia="MS PGothic" w:hAnsi="Calibri" w:cs="Calibri"/>
          <w:sz w:val="22"/>
          <w:szCs w:val="22"/>
          <w:lang w:val="fr-FR" w:eastAsia="ja-JP"/>
        </w:rPr>
      </w:pPr>
      <w:r w:rsidRPr="00F21623">
        <w:rPr>
          <w:color w:val="1F497D"/>
          <w:lang w:val="fr-FR"/>
        </w:rPr>
        <w:t> </w:t>
      </w:r>
    </w:p>
    <w:p w:rsidR="00C4435F" w:rsidRPr="00F21623" w:rsidRDefault="00C4435F" w:rsidP="0044433D">
      <w:pPr>
        <w:rPr>
          <w:rFonts w:ascii="Calibri" w:hAnsi="Calibri" w:cs="Calibri"/>
          <w:b/>
          <w:sz w:val="26"/>
          <w:szCs w:val="26"/>
          <w:lang w:val="fr-FR"/>
        </w:rPr>
      </w:pPr>
    </w:p>
    <w:sectPr w:rsidR="00C4435F" w:rsidRPr="00F21623" w:rsidSect="00C90D3C">
      <w:footerReference w:type="default" r:id="rId15"/>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D8" w:rsidRDefault="00430DD8">
      <w:r>
        <w:separator/>
      </w:r>
    </w:p>
  </w:endnote>
  <w:endnote w:type="continuationSeparator" w:id="0">
    <w:p w:rsidR="00430DD8" w:rsidRDefault="00430DD8">
      <w:r>
        <w:continuationSeparator/>
      </w:r>
    </w:p>
  </w:endnote>
  <w:endnote w:type="continuationNotice" w:id="1">
    <w:p w:rsidR="00430DD8" w:rsidRDefault="0043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DD8" w:rsidRPr="003A25EC" w:rsidRDefault="00430DD8" w:rsidP="00C90D3C">
    <w:pPr>
      <w:pStyle w:val="Footer"/>
      <w:tabs>
        <w:tab w:val="clear" w:pos="8640"/>
        <w:tab w:val="right" w:pos="9000"/>
      </w:tabs>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53</w:t>
    </w:r>
    <w:r w:rsidRPr="003A25EC">
      <w:rPr>
        <w:rFonts w:asciiTheme="minorHAnsi" w:hAnsiTheme="minorHAnsi"/>
        <w:sz w:val="20"/>
        <w:szCs w:val="20"/>
      </w:rPr>
      <w:t>-</w:t>
    </w:r>
    <w:r>
      <w:rPr>
        <w:rFonts w:asciiTheme="minorHAnsi" w:hAnsiTheme="minorHAnsi"/>
        <w:sz w:val="20"/>
        <w:szCs w:val="20"/>
      </w:rPr>
      <w:t>20</w:t>
    </w:r>
    <w:r w:rsidRPr="003A25EC">
      <w:rPr>
        <w:rFonts w:asciiTheme="minorHAnsi" w:hAnsiTheme="minorHAnsi"/>
        <w:sz w:val="20"/>
        <w:szCs w:val="20"/>
      </w:rPr>
      <w:tab/>
    </w:r>
    <w:r w:rsidRPr="003A25EC">
      <w:rPr>
        <w:rFonts w:asciiTheme="minorHAnsi" w:hAnsiTheme="minorHAnsi"/>
        <w:sz w:val="20"/>
        <w:szCs w:val="20"/>
      </w:rPr>
      <w:tab/>
    </w:r>
    <w:r>
      <w:fldChar w:fldCharType="begin"/>
    </w:r>
    <w:r>
      <w:instrText xml:space="preserve"> PAGE   \* MERGEFORMAT </w:instrText>
    </w:r>
    <w:r>
      <w:fldChar w:fldCharType="separate"/>
    </w:r>
    <w:r w:rsidR="00794101" w:rsidRPr="00794101">
      <w:rPr>
        <w:rFonts w:asciiTheme="minorHAnsi" w:hAnsiTheme="minorHAnsi"/>
        <w:noProof/>
        <w:sz w:val="20"/>
        <w:szCs w:val="20"/>
      </w:rPr>
      <w:t>14</w:t>
    </w:r>
    <w:r>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D8" w:rsidRDefault="00430DD8">
      <w:r>
        <w:separator/>
      </w:r>
    </w:p>
  </w:footnote>
  <w:footnote w:type="continuationSeparator" w:id="0">
    <w:p w:rsidR="00430DD8" w:rsidRDefault="00430DD8">
      <w:r>
        <w:continuationSeparator/>
      </w:r>
    </w:p>
  </w:footnote>
  <w:footnote w:type="continuationNotice" w:id="1">
    <w:p w:rsidR="00430DD8" w:rsidRDefault="00430DD8"/>
  </w:footnote>
  <w:footnote w:id="2">
    <w:p w:rsidR="00430DD8" w:rsidRPr="000723C7" w:rsidRDefault="00430DD8">
      <w:pPr>
        <w:pStyle w:val="FootnoteText"/>
        <w:rPr>
          <w:rFonts w:asciiTheme="minorHAnsi" w:hAnsiTheme="minorHAnsi"/>
          <w:lang w:val="fr-FR"/>
        </w:rPr>
      </w:pPr>
      <w:r w:rsidRPr="000723C7">
        <w:rPr>
          <w:rStyle w:val="FootnoteReference"/>
          <w:rFonts w:asciiTheme="minorHAnsi" w:hAnsiTheme="minorHAnsi"/>
          <w:lang w:val="fr-FR"/>
        </w:rPr>
        <w:footnoteRef/>
      </w:r>
      <w:r w:rsidRPr="000723C7">
        <w:rPr>
          <w:rFonts w:asciiTheme="minorHAnsi" w:hAnsiTheme="minorHAnsi"/>
          <w:lang w:val="fr-FR"/>
        </w:rPr>
        <w:t xml:space="preserve"> Somme indiquée sous la rubrique</w:t>
      </w:r>
      <w:r>
        <w:rPr>
          <w:rFonts w:asciiTheme="minorHAnsi" w:hAnsiTheme="minorHAnsi"/>
          <w:lang w:val="fr-FR"/>
        </w:rPr>
        <w:t xml:space="preserve"> « Total des transferts budget administratif/projets » des états financiers Ramsar 2014 vérifiés. </w:t>
      </w:r>
    </w:p>
  </w:footnote>
  <w:footnote w:id="3">
    <w:p w:rsidR="00430DD8" w:rsidRPr="000723C7" w:rsidRDefault="00430DD8" w:rsidP="000066BD">
      <w:pPr>
        <w:pStyle w:val="FootnoteText"/>
        <w:rPr>
          <w:rFonts w:asciiTheme="minorHAnsi" w:hAnsiTheme="minorHAnsi"/>
          <w:lang w:val="fr-FR"/>
        </w:rPr>
      </w:pPr>
      <w:r w:rsidRPr="000723C7">
        <w:rPr>
          <w:rStyle w:val="FootnoteReference"/>
          <w:rFonts w:asciiTheme="minorHAnsi" w:hAnsiTheme="minorHAnsi"/>
          <w:lang w:val="fr-FR"/>
        </w:rPr>
        <w:footnoteRef/>
      </w:r>
      <w:r w:rsidRPr="000723C7">
        <w:rPr>
          <w:rFonts w:asciiTheme="minorHAnsi" w:hAnsiTheme="minorHAnsi"/>
          <w:lang w:val="fr-FR"/>
        </w:rPr>
        <w:t xml:space="preserve"> Somme indiquée sous la rubrique</w:t>
      </w:r>
      <w:r>
        <w:rPr>
          <w:rFonts w:asciiTheme="minorHAnsi" w:hAnsiTheme="minorHAnsi"/>
          <w:lang w:val="fr-FR"/>
        </w:rPr>
        <w:t xml:space="preserve"> « Total des transferts budget administratif/projets » des états financiers Ramsar 2015 vérifiés.</w:t>
      </w:r>
    </w:p>
  </w:footnote>
  <w:footnote w:id="4">
    <w:p w:rsidR="00430DD8" w:rsidRPr="00C2391E" w:rsidRDefault="00430DD8" w:rsidP="00E74F77">
      <w:pPr>
        <w:pStyle w:val="FootnoteText"/>
        <w:rPr>
          <w:rFonts w:asciiTheme="minorHAnsi" w:hAnsiTheme="minorHAnsi"/>
          <w:lang w:val="fr-FR"/>
        </w:rPr>
      </w:pPr>
      <w:r w:rsidRPr="00C2391E">
        <w:rPr>
          <w:rStyle w:val="FootnoteReference"/>
          <w:rFonts w:asciiTheme="minorHAnsi" w:hAnsiTheme="minorHAnsi"/>
          <w:lang w:val="fr-FR"/>
        </w:rPr>
        <w:footnoteRef/>
      </w:r>
      <w:r w:rsidRPr="00C2391E">
        <w:rPr>
          <w:rFonts w:asciiTheme="minorHAnsi" w:hAnsiTheme="minorHAnsi"/>
          <w:lang w:val="fr-FR"/>
        </w:rPr>
        <w:t xml:space="preserve"> Montant des </w:t>
      </w:r>
      <w:r>
        <w:rPr>
          <w:rFonts w:asciiTheme="minorHAnsi" w:hAnsiTheme="minorHAnsi"/>
          <w:lang w:val="fr-FR"/>
        </w:rPr>
        <w:t>contributions volontaires en espèces pour l’exercice 2016 avant déduction de 80 000 CHF remboursés à l’Uruguay au titre de contributions versées sur l’exercice 2015 pour financer la COP12</w:t>
      </w:r>
      <w:r w:rsidRPr="00C2391E">
        <w:rPr>
          <w:rFonts w:asciiTheme="minorHAnsi" w:hAnsiTheme="minorHAnsi"/>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C0C5B"/>
    <w:multiLevelType w:val="multilevel"/>
    <w:tmpl w:val="85B87488"/>
    <w:lvl w:ilvl="0">
      <w:start w:val="1"/>
      <w:numFmt w:val="lowerRoman"/>
      <w:lvlText w:val="%1."/>
      <w:lvlJc w:val="righ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C1FAF"/>
    <w:multiLevelType w:val="hybridMultilevel"/>
    <w:tmpl w:val="85B87488"/>
    <w:lvl w:ilvl="0" w:tplc="0809001B">
      <w:start w:val="1"/>
      <w:numFmt w:val="lowerRoman"/>
      <w:lvlText w:val="%1."/>
      <w:lvlJc w:val="righ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nsid w:val="17E73D9D"/>
    <w:multiLevelType w:val="hybridMultilevel"/>
    <w:tmpl w:val="A9D82E28"/>
    <w:lvl w:ilvl="0" w:tplc="A0BA7BCC">
      <w:start w:val="1"/>
      <w:numFmt w:val="decimal"/>
      <w:lvlText w:val="%1."/>
      <w:lvlJc w:val="left"/>
      <w:pPr>
        <w:ind w:left="502" w:hanging="360"/>
      </w:pPr>
      <w:rPr>
        <w:rFonts w:hint="default"/>
        <w:strike/>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CA228B2"/>
    <w:multiLevelType w:val="multilevel"/>
    <w:tmpl w:val="A9D82E28"/>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1CFC1B9F"/>
    <w:multiLevelType w:val="multilevel"/>
    <w:tmpl w:val="E4682F82"/>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7F93D31"/>
    <w:multiLevelType w:val="hybridMultilevel"/>
    <w:tmpl w:val="EA848C6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3">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9E7EEB"/>
    <w:multiLevelType w:val="hybridMultilevel"/>
    <w:tmpl w:val="A008F084"/>
    <w:lvl w:ilvl="0" w:tplc="A0BA7BCC">
      <w:start w:val="1"/>
      <w:numFmt w:val="decimal"/>
      <w:lvlText w:val="%1."/>
      <w:lvlJc w:val="left"/>
      <w:pPr>
        <w:ind w:left="502"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F45630"/>
    <w:multiLevelType w:val="hybridMultilevel"/>
    <w:tmpl w:val="F3907C40"/>
    <w:lvl w:ilvl="0" w:tplc="7D00F69A">
      <w:start w:val="1"/>
      <w:numFmt w:val="decimal"/>
      <w:lvlText w:val="%1."/>
      <w:lvlJc w:val="left"/>
      <w:pPr>
        <w:ind w:left="502" w:hanging="360"/>
      </w:pPr>
      <w:rPr>
        <w:rFonts w:hint="default"/>
        <w:strike w:val="0"/>
        <w:dstrike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51C359DE"/>
    <w:multiLevelType w:val="hybridMultilevel"/>
    <w:tmpl w:val="D244FCB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9">
    <w:nsid w:val="5617720A"/>
    <w:multiLevelType w:val="hybridMultilevel"/>
    <w:tmpl w:val="2362C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07E6D"/>
    <w:multiLevelType w:val="hybridMultilevel"/>
    <w:tmpl w:val="03F0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1">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17FD7"/>
    <w:multiLevelType w:val="hybridMultilevel"/>
    <w:tmpl w:val="3E78FA1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653319DB"/>
    <w:multiLevelType w:val="hybridMultilevel"/>
    <w:tmpl w:val="A38E067A"/>
    <w:lvl w:ilvl="0" w:tplc="AB00AD7A">
      <w:start w:val="1"/>
      <w:numFmt w:val="lowerRoman"/>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4">
    <w:nsid w:val="71522428"/>
    <w:multiLevelType w:val="hybridMultilevel"/>
    <w:tmpl w:val="ABF8D5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0C6D9C"/>
    <w:multiLevelType w:val="multilevel"/>
    <w:tmpl w:val="F3907C40"/>
    <w:lvl w:ilvl="0">
      <w:start w:val="1"/>
      <w:numFmt w:val="decimal"/>
      <w:lvlText w:val="%1."/>
      <w:lvlJc w:val="left"/>
      <w:pPr>
        <w:ind w:left="502" w:hanging="360"/>
      </w:pPr>
      <w:rPr>
        <w:rFonts w:hint="default"/>
        <w:strike w:val="0"/>
        <w:dstrike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7CFD56B0"/>
    <w:multiLevelType w:val="hybridMultilevel"/>
    <w:tmpl w:val="3E128536"/>
    <w:lvl w:ilvl="0" w:tplc="2014E33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5"/>
  </w:num>
  <w:num w:numId="5">
    <w:abstractNumId w:val="25"/>
  </w:num>
  <w:num w:numId="6">
    <w:abstractNumId w:val="15"/>
  </w:num>
  <w:num w:numId="7">
    <w:abstractNumId w:val="3"/>
  </w:num>
  <w:num w:numId="8">
    <w:abstractNumId w:val="14"/>
  </w:num>
  <w:num w:numId="9">
    <w:abstractNumId w:val="1"/>
  </w:num>
  <w:num w:numId="10">
    <w:abstractNumId w:val="0"/>
  </w:num>
  <w:num w:numId="11">
    <w:abstractNumId w:val="6"/>
  </w:num>
  <w:num w:numId="12">
    <w:abstractNumId w:val="21"/>
  </w:num>
  <w:num w:numId="13">
    <w:abstractNumId w:val="2"/>
  </w:num>
  <w:num w:numId="14">
    <w:abstractNumId w:val="24"/>
  </w:num>
  <w:num w:numId="15">
    <w:abstractNumId w:val="19"/>
  </w:num>
  <w:num w:numId="16">
    <w:abstractNumId w:val="23"/>
  </w:num>
  <w:num w:numId="17">
    <w:abstractNumId w:val="27"/>
  </w:num>
  <w:num w:numId="18">
    <w:abstractNumId w:val="8"/>
  </w:num>
  <w:num w:numId="19">
    <w:abstractNumId w:val="18"/>
  </w:num>
  <w:num w:numId="20">
    <w:abstractNumId w:val="20"/>
  </w:num>
  <w:num w:numId="21">
    <w:abstractNumId w:val="22"/>
  </w:num>
  <w:num w:numId="22">
    <w:abstractNumId w:val="12"/>
  </w:num>
  <w:num w:numId="23">
    <w:abstractNumId w:val="16"/>
  </w:num>
  <w:num w:numId="24">
    <w:abstractNumId w:val="4"/>
  </w:num>
  <w:num w:numId="25">
    <w:abstractNumId w:val="11"/>
  </w:num>
  <w:num w:numId="26">
    <w:abstractNumId w:val="17"/>
  </w:num>
  <w:num w:numId="27">
    <w:abstractNumId w:val="10"/>
  </w:num>
  <w:num w:numId="2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2D40"/>
    <w:rsid w:val="000066BD"/>
    <w:rsid w:val="000069E0"/>
    <w:rsid w:val="0000744C"/>
    <w:rsid w:val="0001135A"/>
    <w:rsid w:val="00011670"/>
    <w:rsid w:val="00012537"/>
    <w:rsid w:val="00012828"/>
    <w:rsid w:val="0001420D"/>
    <w:rsid w:val="00015175"/>
    <w:rsid w:val="0001736C"/>
    <w:rsid w:val="00017FEC"/>
    <w:rsid w:val="000204FE"/>
    <w:rsid w:val="000211F3"/>
    <w:rsid w:val="00024785"/>
    <w:rsid w:val="00026108"/>
    <w:rsid w:val="0002611D"/>
    <w:rsid w:val="000265DF"/>
    <w:rsid w:val="00027190"/>
    <w:rsid w:val="00027C3D"/>
    <w:rsid w:val="000302DD"/>
    <w:rsid w:val="000303B9"/>
    <w:rsid w:val="00030BE3"/>
    <w:rsid w:val="00031725"/>
    <w:rsid w:val="00032B16"/>
    <w:rsid w:val="000331C5"/>
    <w:rsid w:val="00033217"/>
    <w:rsid w:val="000342B7"/>
    <w:rsid w:val="00034944"/>
    <w:rsid w:val="00036EAE"/>
    <w:rsid w:val="00040067"/>
    <w:rsid w:val="00040F55"/>
    <w:rsid w:val="0004138F"/>
    <w:rsid w:val="000414C7"/>
    <w:rsid w:val="00043345"/>
    <w:rsid w:val="00043D31"/>
    <w:rsid w:val="000442FE"/>
    <w:rsid w:val="00046784"/>
    <w:rsid w:val="000470AA"/>
    <w:rsid w:val="00047647"/>
    <w:rsid w:val="00047C59"/>
    <w:rsid w:val="00051B99"/>
    <w:rsid w:val="00052279"/>
    <w:rsid w:val="000528FA"/>
    <w:rsid w:val="000538AA"/>
    <w:rsid w:val="00054DA0"/>
    <w:rsid w:val="00062160"/>
    <w:rsid w:val="000633A5"/>
    <w:rsid w:val="00063B3F"/>
    <w:rsid w:val="00064F37"/>
    <w:rsid w:val="000661D8"/>
    <w:rsid w:val="000674C5"/>
    <w:rsid w:val="00070241"/>
    <w:rsid w:val="000709C1"/>
    <w:rsid w:val="000723C7"/>
    <w:rsid w:val="00072E37"/>
    <w:rsid w:val="000739BA"/>
    <w:rsid w:val="00074D35"/>
    <w:rsid w:val="000755A6"/>
    <w:rsid w:val="00075CC3"/>
    <w:rsid w:val="000763D9"/>
    <w:rsid w:val="00077664"/>
    <w:rsid w:val="00077CD3"/>
    <w:rsid w:val="000808A8"/>
    <w:rsid w:val="00083D79"/>
    <w:rsid w:val="00083F16"/>
    <w:rsid w:val="0008448B"/>
    <w:rsid w:val="000863E6"/>
    <w:rsid w:val="00086D09"/>
    <w:rsid w:val="000876AD"/>
    <w:rsid w:val="0009101A"/>
    <w:rsid w:val="000917F6"/>
    <w:rsid w:val="000921DD"/>
    <w:rsid w:val="00092F1E"/>
    <w:rsid w:val="00093118"/>
    <w:rsid w:val="00093EAD"/>
    <w:rsid w:val="00095A7C"/>
    <w:rsid w:val="0009664B"/>
    <w:rsid w:val="00097E94"/>
    <w:rsid w:val="000A0818"/>
    <w:rsid w:val="000A0953"/>
    <w:rsid w:val="000A0ACE"/>
    <w:rsid w:val="000A2B7E"/>
    <w:rsid w:val="000A3DDB"/>
    <w:rsid w:val="000A4BE7"/>
    <w:rsid w:val="000A582B"/>
    <w:rsid w:val="000A6114"/>
    <w:rsid w:val="000A7583"/>
    <w:rsid w:val="000B1686"/>
    <w:rsid w:val="000B301B"/>
    <w:rsid w:val="000B330F"/>
    <w:rsid w:val="000B4A7F"/>
    <w:rsid w:val="000B5AC4"/>
    <w:rsid w:val="000B7A27"/>
    <w:rsid w:val="000C0271"/>
    <w:rsid w:val="000C0ED3"/>
    <w:rsid w:val="000C1043"/>
    <w:rsid w:val="000C154E"/>
    <w:rsid w:val="000C1D2A"/>
    <w:rsid w:val="000C2055"/>
    <w:rsid w:val="000C260D"/>
    <w:rsid w:val="000C2B05"/>
    <w:rsid w:val="000C2F5E"/>
    <w:rsid w:val="000C43E5"/>
    <w:rsid w:val="000C488F"/>
    <w:rsid w:val="000C5AD0"/>
    <w:rsid w:val="000C6701"/>
    <w:rsid w:val="000D00AA"/>
    <w:rsid w:val="000D0B0F"/>
    <w:rsid w:val="000D2D66"/>
    <w:rsid w:val="000D3F33"/>
    <w:rsid w:val="000D7CF1"/>
    <w:rsid w:val="000D7D6D"/>
    <w:rsid w:val="000E0551"/>
    <w:rsid w:val="000E0C0D"/>
    <w:rsid w:val="000E650E"/>
    <w:rsid w:val="000E65CA"/>
    <w:rsid w:val="000E6D09"/>
    <w:rsid w:val="000E6D1F"/>
    <w:rsid w:val="000E7399"/>
    <w:rsid w:val="000E750C"/>
    <w:rsid w:val="000F02CD"/>
    <w:rsid w:val="000F045B"/>
    <w:rsid w:val="000F4158"/>
    <w:rsid w:val="000F608B"/>
    <w:rsid w:val="000F676C"/>
    <w:rsid w:val="000F6886"/>
    <w:rsid w:val="000F6B82"/>
    <w:rsid w:val="000F722C"/>
    <w:rsid w:val="000F7671"/>
    <w:rsid w:val="00100E31"/>
    <w:rsid w:val="00101A5A"/>
    <w:rsid w:val="00102FC1"/>
    <w:rsid w:val="00106151"/>
    <w:rsid w:val="001074D5"/>
    <w:rsid w:val="00107792"/>
    <w:rsid w:val="00110D85"/>
    <w:rsid w:val="00111923"/>
    <w:rsid w:val="00112516"/>
    <w:rsid w:val="00112DF4"/>
    <w:rsid w:val="00113F9D"/>
    <w:rsid w:val="001161C4"/>
    <w:rsid w:val="00116AEA"/>
    <w:rsid w:val="00120CBE"/>
    <w:rsid w:val="0012137E"/>
    <w:rsid w:val="00121B06"/>
    <w:rsid w:val="00121BF0"/>
    <w:rsid w:val="00124EF4"/>
    <w:rsid w:val="00125A00"/>
    <w:rsid w:val="00126B45"/>
    <w:rsid w:val="00126D67"/>
    <w:rsid w:val="0012727F"/>
    <w:rsid w:val="0012728F"/>
    <w:rsid w:val="00127C82"/>
    <w:rsid w:val="00131031"/>
    <w:rsid w:val="001331EB"/>
    <w:rsid w:val="00134002"/>
    <w:rsid w:val="00134599"/>
    <w:rsid w:val="00135B39"/>
    <w:rsid w:val="00136805"/>
    <w:rsid w:val="00137F31"/>
    <w:rsid w:val="0014079B"/>
    <w:rsid w:val="00141490"/>
    <w:rsid w:val="00141718"/>
    <w:rsid w:val="00141C37"/>
    <w:rsid w:val="00141FAF"/>
    <w:rsid w:val="00142317"/>
    <w:rsid w:val="00143507"/>
    <w:rsid w:val="00143C6A"/>
    <w:rsid w:val="00144E0A"/>
    <w:rsid w:val="00146DBD"/>
    <w:rsid w:val="001472A8"/>
    <w:rsid w:val="00147C7D"/>
    <w:rsid w:val="0015329D"/>
    <w:rsid w:val="0015459C"/>
    <w:rsid w:val="00156778"/>
    <w:rsid w:val="00156AEC"/>
    <w:rsid w:val="00161AB9"/>
    <w:rsid w:val="00161CB8"/>
    <w:rsid w:val="00161D05"/>
    <w:rsid w:val="0016270D"/>
    <w:rsid w:val="00163532"/>
    <w:rsid w:val="00164B25"/>
    <w:rsid w:val="00165955"/>
    <w:rsid w:val="00166322"/>
    <w:rsid w:val="00167059"/>
    <w:rsid w:val="001704C0"/>
    <w:rsid w:val="0017077B"/>
    <w:rsid w:val="00171983"/>
    <w:rsid w:val="0017243B"/>
    <w:rsid w:val="00173006"/>
    <w:rsid w:val="0017328C"/>
    <w:rsid w:val="001734B2"/>
    <w:rsid w:val="00173B97"/>
    <w:rsid w:val="00174527"/>
    <w:rsid w:val="00174AFC"/>
    <w:rsid w:val="001762E9"/>
    <w:rsid w:val="001778C4"/>
    <w:rsid w:val="001805A0"/>
    <w:rsid w:val="00181C11"/>
    <w:rsid w:val="00183630"/>
    <w:rsid w:val="0018433B"/>
    <w:rsid w:val="00184A0A"/>
    <w:rsid w:val="00187B67"/>
    <w:rsid w:val="00190E19"/>
    <w:rsid w:val="001911A5"/>
    <w:rsid w:val="00191760"/>
    <w:rsid w:val="00192290"/>
    <w:rsid w:val="00192AE5"/>
    <w:rsid w:val="001942CF"/>
    <w:rsid w:val="00196B36"/>
    <w:rsid w:val="00197756"/>
    <w:rsid w:val="001A1B45"/>
    <w:rsid w:val="001A226C"/>
    <w:rsid w:val="001A4CEC"/>
    <w:rsid w:val="001A7075"/>
    <w:rsid w:val="001B0ECF"/>
    <w:rsid w:val="001B1A73"/>
    <w:rsid w:val="001B3677"/>
    <w:rsid w:val="001C005C"/>
    <w:rsid w:val="001C0854"/>
    <w:rsid w:val="001C10A1"/>
    <w:rsid w:val="001C1B96"/>
    <w:rsid w:val="001C2B94"/>
    <w:rsid w:val="001C2EA9"/>
    <w:rsid w:val="001C3A58"/>
    <w:rsid w:val="001C5192"/>
    <w:rsid w:val="001C5504"/>
    <w:rsid w:val="001C7F6C"/>
    <w:rsid w:val="001D150C"/>
    <w:rsid w:val="001D1B0C"/>
    <w:rsid w:val="001D3E52"/>
    <w:rsid w:val="001D48D7"/>
    <w:rsid w:val="001D6BB5"/>
    <w:rsid w:val="001D7463"/>
    <w:rsid w:val="001D7666"/>
    <w:rsid w:val="001E26CB"/>
    <w:rsid w:val="001E2B38"/>
    <w:rsid w:val="001E2EC7"/>
    <w:rsid w:val="001E3C23"/>
    <w:rsid w:val="001E4474"/>
    <w:rsid w:val="001E5DBE"/>
    <w:rsid w:val="001F0A9E"/>
    <w:rsid w:val="001F0DEF"/>
    <w:rsid w:val="001F1273"/>
    <w:rsid w:val="001F2842"/>
    <w:rsid w:val="001F3D66"/>
    <w:rsid w:val="001F40E1"/>
    <w:rsid w:val="001F63DF"/>
    <w:rsid w:val="001F6BDD"/>
    <w:rsid w:val="001F717F"/>
    <w:rsid w:val="001F7D0B"/>
    <w:rsid w:val="001F7EF9"/>
    <w:rsid w:val="00201110"/>
    <w:rsid w:val="00203D95"/>
    <w:rsid w:val="00207B29"/>
    <w:rsid w:val="0021050A"/>
    <w:rsid w:val="00211897"/>
    <w:rsid w:val="00211BF6"/>
    <w:rsid w:val="002155E2"/>
    <w:rsid w:val="0021794F"/>
    <w:rsid w:val="00217B60"/>
    <w:rsid w:val="0022079A"/>
    <w:rsid w:val="00221239"/>
    <w:rsid w:val="00224108"/>
    <w:rsid w:val="0022565E"/>
    <w:rsid w:val="00226328"/>
    <w:rsid w:val="00226568"/>
    <w:rsid w:val="002268E8"/>
    <w:rsid w:val="002340A8"/>
    <w:rsid w:val="00234D98"/>
    <w:rsid w:val="002372B4"/>
    <w:rsid w:val="00237712"/>
    <w:rsid w:val="00241724"/>
    <w:rsid w:val="00241F7D"/>
    <w:rsid w:val="00243763"/>
    <w:rsid w:val="0024606D"/>
    <w:rsid w:val="002464F2"/>
    <w:rsid w:val="002466F5"/>
    <w:rsid w:val="00250633"/>
    <w:rsid w:val="0025063C"/>
    <w:rsid w:val="00250796"/>
    <w:rsid w:val="0025252F"/>
    <w:rsid w:val="00253966"/>
    <w:rsid w:val="00257138"/>
    <w:rsid w:val="00263953"/>
    <w:rsid w:val="00264C44"/>
    <w:rsid w:val="0026560A"/>
    <w:rsid w:val="0026572E"/>
    <w:rsid w:val="00270CC9"/>
    <w:rsid w:val="00271D0E"/>
    <w:rsid w:val="00271DE0"/>
    <w:rsid w:val="00272633"/>
    <w:rsid w:val="00273797"/>
    <w:rsid w:val="00274133"/>
    <w:rsid w:val="00275C85"/>
    <w:rsid w:val="00276C10"/>
    <w:rsid w:val="00280101"/>
    <w:rsid w:val="0028163C"/>
    <w:rsid w:val="00283A46"/>
    <w:rsid w:val="00284977"/>
    <w:rsid w:val="002928ED"/>
    <w:rsid w:val="00293670"/>
    <w:rsid w:val="00294CAC"/>
    <w:rsid w:val="00295095"/>
    <w:rsid w:val="00297427"/>
    <w:rsid w:val="00297915"/>
    <w:rsid w:val="002A4500"/>
    <w:rsid w:val="002A4581"/>
    <w:rsid w:val="002A50F3"/>
    <w:rsid w:val="002A6AC6"/>
    <w:rsid w:val="002A6B70"/>
    <w:rsid w:val="002B25E3"/>
    <w:rsid w:val="002B3403"/>
    <w:rsid w:val="002B491E"/>
    <w:rsid w:val="002B4BF2"/>
    <w:rsid w:val="002B5735"/>
    <w:rsid w:val="002B78A9"/>
    <w:rsid w:val="002C0090"/>
    <w:rsid w:val="002C0F8B"/>
    <w:rsid w:val="002C180A"/>
    <w:rsid w:val="002C53F9"/>
    <w:rsid w:val="002C58C3"/>
    <w:rsid w:val="002C69BF"/>
    <w:rsid w:val="002C7FA7"/>
    <w:rsid w:val="002D0871"/>
    <w:rsid w:val="002D0EA1"/>
    <w:rsid w:val="002D0F06"/>
    <w:rsid w:val="002D3049"/>
    <w:rsid w:val="002D6034"/>
    <w:rsid w:val="002D61A6"/>
    <w:rsid w:val="002D6888"/>
    <w:rsid w:val="002D76C0"/>
    <w:rsid w:val="002E0D50"/>
    <w:rsid w:val="002E152D"/>
    <w:rsid w:val="002E1B28"/>
    <w:rsid w:val="002E2919"/>
    <w:rsid w:val="002E57AE"/>
    <w:rsid w:val="002E7954"/>
    <w:rsid w:val="002F0512"/>
    <w:rsid w:val="002F208E"/>
    <w:rsid w:val="002F381C"/>
    <w:rsid w:val="002F7D7B"/>
    <w:rsid w:val="003007B2"/>
    <w:rsid w:val="003007EE"/>
    <w:rsid w:val="00300F31"/>
    <w:rsid w:val="00302314"/>
    <w:rsid w:val="00302FD9"/>
    <w:rsid w:val="00306845"/>
    <w:rsid w:val="00306DB4"/>
    <w:rsid w:val="0030798A"/>
    <w:rsid w:val="003112A8"/>
    <w:rsid w:val="00313A78"/>
    <w:rsid w:val="00314B65"/>
    <w:rsid w:val="00314CBB"/>
    <w:rsid w:val="00315578"/>
    <w:rsid w:val="00315704"/>
    <w:rsid w:val="0031585B"/>
    <w:rsid w:val="00315B41"/>
    <w:rsid w:val="00320407"/>
    <w:rsid w:val="003204BB"/>
    <w:rsid w:val="00321781"/>
    <w:rsid w:val="00322084"/>
    <w:rsid w:val="00322996"/>
    <w:rsid w:val="0032644F"/>
    <w:rsid w:val="00327E4E"/>
    <w:rsid w:val="0033113E"/>
    <w:rsid w:val="00331EB8"/>
    <w:rsid w:val="00332D36"/>
    <w:rsid w:val="00334CA4"/>
    <w:rsid w:val="003357A9"/>
    <w:rsid w:val="00342946"/>
    <w:rsid w:val="00342C63"/>
    <w:rsid w:val="00345053"/>
    <w:rsid w:val="003464B6"/>
    <w:rsid w:val="003505DE"/>
    <w:rsid w:val="00350B90"/>
    <w:rsid w:val="00352DBD"/>
    <w:rsid w:val="00353ECB"/>
    <w:rsid w:val="0035655B"/>
    <w:rsid w:val="003572B0"/>
    <w:rsid w:val="0036059A"/>
    <w:rsid w:val="00361FFD"/>
    <w:rsid w:val="0036661A"/>
    <w:rsid w:val="00366B57"/>
    <w:rsid w:val="0036720F"/>
    <w:rsid w:val="003709CC"/>
    <w:rsid w:val="0037146E"/>
    <w:rsid w:val="0037555D"/>
    <w:rsid w:val="0037674F"/>
    <w:rsid w:val="003777DE"/>
    <w:rsid w:val="00380039"/>
    <w:rsid w:val="003800FC"/>
    <w:rsid w:val="00380503"/>
    <w:rsid w:val="0038074E"/>
    <w:rsid w:val="00381C4B"/>
    <w:rsid w:val="00383172"/>
    <w:rsid w:val="00385CA2"/>
    <w:rsid w:val="003861A1"/>
    <w:rsid w:val="00386BBE"/>
    <w:rsid w:val="00386D73"/>
    <w:rsid w:val="00387677"/>
    <w:rsid w:val="00390178"/>
    <w:rsid w:val="00390E5C"/>
    <w:rsid w:val="003914B6"/>
    <w:rsid w:val="003916FC"/>
    <w:rsid w:val="00392DA6"/>
    <w:rsid w:val="00394D25"/>
    <w:rsid w:val="0039578F"/>
    <w:rsid w:val="00395DD1"/>
    <w:rsid w:val="003A1651"/>
    <w:rsid w:val="003A1E0A"/>
    <w:rsid w:val="003A25EC"/>
    <w:rsid w:val="003A361B"/>
    <w:rsid w:val="003A6FAE"/>
    <w:rsid w:val="003A7F44"/>
    <w:rsid w:val="003B0786"/>
    <w:rsid w:val="003B16DE"/>
    <w:rsid w:val="003B1AEA"/>
    <w:rsid w:val="003B396A"/>
    <w:rsid w:val="003B53C9"/>
    <w:rsid w:val="003B5DEF"/>
    <w:rsid w:val="003B728A"/>
    <w:rsid w:val="003B7523"/>
    <w:rsid w:val="003C0501"/>
    <w:rsid w:val="003C13D3"/>
    <w:rsid w:val="003C1D24"/>
    <w:rsid w:val="003C349D"/>
    <w:rsid w:val="003C371B"/>
    <w:rsid w:val="003C4198"/>
    <w:rsid w:val="003C6412"/>
    <w:rsid w:val="003C680B"/>
    <w:rsid w:val="003D0DBD"/>
    <w:rsid w:val="003D1A74"/>
    <w:rsid w:val="003D30F3"/>
    <w:rsid w:val="003D402F"/>
    <w:rsid w:val="003D5EC0"/>
    <w:rsid w:val="003E0E35"/>
    <w:rsid w:val="003E237D"/>
    <w:rsid w:val="003E25C0"/>
    <w:rsid w:val="003E41CB"/>
    <w:rsid w:val="003F01C9"/>
    <w:rsid w:val="003F0B30"/>
    <w:rsid w:val="003F1988"/>
    <w:rsid w:val="003F2534"/>
    <w:rsid w:val="004009E9"/>
    <w:rsid w:val="00402091"/>
    <w:rsid w:val="0040225B"/>
    <w:rsid w:val="00402382"/>
    <w:rsid w:val="0040442C"/>
    <w:rsid w:val="00404E09"/>
    <w:rsid w:val="0040703B"/>
    <w:rsid w:val="0040715E"/>
    <w:rsid w:val="00411BB1"/>
    <w:rsid w:val="00414328"/>
    <w:rsid w:val="00414F10"/>
    <w:rsid w:val="00416DF3"/>
    <w:rsid w:val="00417672"/>
    <w:rsid w:val="00417A93"/>
    <w:rsid w:val="00421DDD"/>
    <w:rsid w:val="0042642D"/>
    <w:rsid w:val="00426866"/>
    <w:rsid w:val="00430DD8"/>
    <w:rsid w:val="00431764"/>
    <w:rsid w:val="00432445"/>
    <w:rsid w:val="004325D8"/>
    <w:rsid w:val="004340A5"/>
    <w:rsid w:val="00436190"/>
    <w:rsid w:val="0044012B"/>
    <w:rsid w:val="004413AD"/>
    <w:rsid w:val="00441CF2"/>
    <w:rsid w:val="00442B48"/>
    <w:rsid w:val="0044433D"/>
    <w:rsid w:val="00445578"/>
    <w:rsid w:val="0044625F"/>
    <w:rsid w:val="004475E8"/>
    <w:rsid w:val="00450ADD"/>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5482"/>
    <w:rsid w:val="004721ED"/>
    <w:rsid w:val="004729B9"/>
    <w:rsid w:val="004732C1"/>
    <w:rsid w:val="0047333D"/>
    <w:rsid w:val="00473B42"/>
    <w:rsid w:val="004768C5"/>
    <w:rsid w:val="00480719"/>
    <w:rsid w:val="00480F48"/>
    <w:rsid w:val="004810F2"/>
    <w:rsid w:val="00483AB6"/>
    <w:rsid w:val="004848CF"/>
    <w:rsid w:val="00485139"/>
    <w:rsid w:val="00485219"/>
    <w:rsid w:val="004868DD"/>
    <w:rsid w:val="004908A3"/>
    <w:rsid w:val="00493BD1"/>
    <w:rsid w:val="0049618E"/>
    <w:rsid w:val="004966A1"/>
    <w:rsid w:val="004979EC"/>
    <w:rsid w:val="004A531A"/>
    <w:rsid w:val="004A551A"/>
    <w:rsid w:val="004A6723"/>
    <w:rsid w:val="004A6ABB"/>
    <w:rsid w:val="004A70CD"/>
    <w:rsid w:val="004A753B"/>
    <w:rsid w:val="004B246E"/>
    <w:rsid w:val="004B328B"/>
    <w:rsid w:val="004B3903"/>
    <w:rsid w:val="004B4811"/>
    <w:rsid w:val="004B5D6F"/>
    <w:rsid w:val="004B76AD"/>
    <w:rsid w:val="004C1CA2"/>
    <w:rsid w:val="004C54AC"/>
    <w:rsid w:val="004C629F"/>
    <w:rsid w:val="004D02D0"/>
    <w:rsid w:val="004D0BB4"/>
    <w:rsid w:val="004D1AED"/>
    <w:rsid w:val="004D1EA4"/>
    <w:rsid w:val="004D335B"/>
    <w:rsid w:val="004D3472"/>
    <w:rsid w:val="004D5355"/>
    <w:rsid w:val="004D746E"/>
    <w:rsid w:val="004E0046"/>
    <w:rsid w:val="004E125F"/>
    <w:rsid w:val="004E1EF7"/>
    <w:rsid w:val="004E6693"/>
    <w:rsid w:val="004E7940"/>
    <w:rsid w:val="004E7ABB"/>
    <w:rsid w:val="004E7D07"/>
    <w:rsid w:val="004E7EAD"/>
    <w:rsid w:val="004F087A"/>
    <w:rsid w:val="004F0AD5"/>
    <w:rsid w:val="004F2C23"/>
    <w:rsid w:val="004F3121"/>
    <w:rsid w:val="004F3485"/>
    <w:rsid w:val="004F6CD7"/>
    <w:rsid w:val="004F70EF"/>
    <w:rsid w:val="004F7A87"/>
    <w:rsid w:val="00500792"/>
    <w:rsid w:val="00501B06"/>
    <w:rsid w:val="0050578F"/>
    <w:rsid w:val="00511AED"/>
    <w:rsid w:val="0051260E"/>
    <w:rsid w:val="00512A47"/>
    <w:rsid w:val="00513515"/>
    <w:rsid w:val="00513AB1"/>
    <w:rsid w:val="00513B77"/>
    <w:rsid w:val="00515D38"/>
    <w:rsid w:val="0051641E"/>
    <w:rsid w:val="0051655D"/>
    <w:rsid w:val="00521840"/>
    <w:rsid w:val="005244A4"/>
    <w:rsid w:val="00526A47"/>
    <w:rsid w:val="00527C60"/>
    <w:rsid w:val="00527DCC"/>
    <w:rsid w:val="00532E81"/>
    <w:rsid w:val="00533D9D"/>
    <w:rsid w:val="005363BF"/>
    <w:rsid w:val="005363C2"/>
    <w:rsid w:val="00537103"/>
    <w:rsid w:val="00541A4F"/>
    <w:rsid w:val="005438A1"/>
    <w:rsid w:val="00546D2B"/>
    <w:rsid w:val="00546D30"/>
    <w:rsid w:val="00547115"/>
    <w:rsid w:val="00550BE1"/>
    <w:rsid w:val="0055409F"/>
    <w:rsid w:val="005559AB"/>
    <w:rsid w:val="00560A8F"/>
    <w:rsid w:val="00561EC4"/>
    <w:rsid w:val="0056312E"/>
    <w:rsid w:val="00563486"/>
    <w:rsid w:val="00563B03"/>
    <w:rsid w:val="005650CB"/>
    <w:rsid w:val="00565391"/>
    <w:rsid w:val="0056687C"/>
    <w:rsid w:val="00566B37"/>
    <w:rsid w:val="005676AA"/>
    <w:rsid w:val="00567B3E"/>
    <w:rsid w:val="00571AE9"/>
    <w:rsid w:val="00571E47"/>
    <w:rsid w:val="0057274E"/>
    <w:rsid w:val="005761AC"/>
    <w:rsid w:val="005776A9"/>
    <w:rsid w:val="00581A1C"/>
    <w:rsid w:val="00581A67"/>
    <w:rsid w:val="0058437F"/>
    <w:rsid w:val="00584E29"/>
    <w:rsid w:val="00584EE3"/>
    <w:rsid w:val="00586919"/>
    <w:rsid w:val="00592897"/>
    <w:rsid w:val="005948C8"/>
    <w:rsid w:val="00596137"/>
    <w:rsid w:val="005975AB"/>
    <w:rsid w:val="005A0C49"/>
    <w:rsid w:val="005A1404"/>
    <w:rsid w:val="005A5036"/>
    <w:rsid w:val="005A51CF"/>
    <w:rsid w:val="005A6E0C"/>
    <w:rsid w:val="005A731D"/>
    <w:rsid w:val="005A7505"/>
    <w:rsid w:val="005A7CD7"/>
    <w:rsid w:val="005B0C30"/>
    <w:rsid w:val="005B3BED"/>
    <w:rsid w:val="005B6670"/>
    <w:rsid w:val="005B6715"/>
    <w:rsid w:val="005C0326"/>
    <w:rsid w:val="005C098C"/>
    <w:rsid w:val="005C0E05"/>
    <w:rsid w:val="005C35BE"/>
    <w:rsid w:val="005C689F"/>
    <w:rsid w:val="005D076B"/>
    <w:rsid w:val="005D0C79"/>
    <w:rsid w:val="005D24A3"/>
    <w:rsid w:val="005D2BF8"/>
    <w:rsid w:val="005D36C6"/>
    <w:rsid w:val="005D3E21"/>
    <w:rsid w:val="005D46C3"/>
    <w:rsid w:val="005D58E2"/>
    <w:rsid w:val="005D6F79"/>
    <w:rsid w:val="005D7969"/>
    <w:rsid w:val="005E3E68"/>
    <w:rsid w:val="005E4084"/>
    <w:rsid w:val="005E4491"/>
    <w:rsid w:val="005E69A3"/>
    <w:rsid w:val="005F12E7"/>
    <w:rsid w:val="005F7929"/>
    <w:rsid w:val="005F79B4"/>
    <w:rsid w:val="006001D8"/>
    <w:rsid w:val="006011D5"/>
    <w:rsid w:val="00603037"/>
    <w:rsid w:val="00603096"/>
    <w:rsid w:val="00604851"/>
    <w:rsid w:val="00604955"/>
    <w:rsid w:val="00604E00"/>
    <w:rsid w:val="00605F53"/>
    <w:rsid w:val="00610EB4"/>
    <w:rsid w:val="006115F5"/>
    <w:rsid w:val="00612D5A"/>
    <w:rsid w:val="006146A9"/>
    <w:rsid w:val="00614AEB"/>
    <w:rsid w:val="00614DB4"/>
    <w:rsid w:val="00616294"/>
    <w:rsid w:val="006177B8"/>
    <w:rsid w:val="00621364"/>
    <w:rsid w:val="00621600"/>
    <w:rsid w:val="00622897"/>
    <w:rsid w:val="00624FDE"/>
    <w:rsid w:val="00626641"/>
    <w:rsid w:val="00627B89"/>
    <w:rsid w:val="0063065A"/>
    <w:rsid w:val="0063105D"/>
    <w:rsid w:val="0063664B"/>
    <w:rsid w:val="006377DD"/>
    <w:rsid w:val="00640BA2"/>
    <w:rsid w:val="006427DC"/>
    <w:rsid w:val="0064363C"/>
    <w:rsid w:val="006446C6"/>
    <w:rsid w:val="00645507"/>
    <w:rsid w:val="0064748F"/>
    <w:rsid w:val="006479AC"/>
    <w:rsid w:val="00647DF1"/>
    <w:rsid w:val="00651FEA"/>
    <w:rsid w:val="00652B6A"/>
    <w:rsid w:val="00655B39"/>
    <w:rsid w:val="00656A80"/>
    <w:rsid w:val="006601F8"/>
    <w:rsid w:val="0066424E"/>
    <w:rsid w:val="0066468C"/>
    <w:rsid w:val="0066562F"/>
    <w:rsid w:val="006716D9"/>
    <w:rsid w:val="00671BBC"/>
    <w:rsid w:val="00672EEF"/>
    <w:rsid w:val="00673139"/>
    <w:rsid w:val="006733A4"/>
    <w:rsid w:val="00673514"/>
    <w:rsid w:val="00673834"/>
    <w:rsid w:val="00674391"/>
    <w:rsid w:val="006757DE"/>
    <w:rsid w:val="0067694B"/>
    <w:rsid w:val="006808C9"/>
    <w:rsid w:val="0068474C"/>
    <w:rsid w:val="00684F96"/>
    <w:rsid w:val="00685128"/>
    <w:rsid w:val="00685D5C"/>
    <w:rsid w:val="00686584"/>
    <w:rsid w:val="00686BA4"/>
    <w:rsid w:val="006878BF"/>
    <w:rsid w:val="00690635"/>
    <w:rsid w:val="0069194C"/>
    <w:rsid w:val="00691FCF"/>
    <w:rsid w:val="00695547"/>
    <w:rsid w:val="00695B85"/>
    <w:rsid w:val="006961AC"/>
    <w:rsid w:val="006967CF"/>
    <w:rsid w:val="00696DBE"/>
    <w:rsid w:val="006A215D"/>
    <w:rsid w:val="006A2460"/>
    <w:rsid w:val="006A2DCE"/>
    <w:rsid w:val="006A3458"/>
    <w:rsid w:val="006A4196"/>
    <w:rsid w:val="006A6083"/>
    <w:rsid w:val="006A6727"/>
    <w:rsid w:val="006A6A68"/>
    <w:rsid w:val="006A70BC"/>
    <w:rsid w:val="006B0AA2"/>
    <w:rsid w:val="006B35FC"/>
    <w:rsid w:val="006B5DFC"/>
    <w:rsid w:val="006B6844"/>
    <w:rsid w:val="006B754C"/>
    <w:rsid w:val="006B7AA8"/>
    <w:rsid w:val="006B7F9F"/>
    <w:rsid w:val="006C1DD8"/>
    <w:rsid w:val="006C1DE7"/>
    <w:rsid w:val="006C2305"/>
    <w:rsid w:val="006C2598"/>
    <w:rsid w:val="006C2AF8"/>
    <w:rsid w:val="006C3673"/>
    <w:rsid w:val="006C4DE9"/>
    <w:rsid w:val="006C58C9"/>
    <w:rsid w:val="006C706C"/>
    <w:rsid w:val="006C7F4A"/>
    <w:rsid w:val="006D0786"/>
    <w:rsid w:val="006D127C"/>
    <w:rsid w:val="006D14EE"/>
    <w:rsid w:val="006D2E52"/>
    <w:rsid w:val="006D429C"/>
    <w:rsid w:val="006D4D06"/>
    <w:rsid w:val="006D65E9"/>
    <w:rsid w:val="006D6C5C"/>
    <w:rsid w:val="006E1099"/>
    <w:rsid w:val="006E1FDC"/>
    <w:rsid w:val="006E28DE"/>
    <w:rsid w:val="006E3166"/>
    <w:rsid w:val="006E3D93"/>
    <w:rsid w:val="006E4E46"/>
    <w:rsid w:val="006E4FF2"/>
    <w:rsid w:val="006F1F00"/>
    <w:rsid w:val="006F2240"/>
    <w:rsid w:val="006F4F21"/>
    <w:rsid w:val="00702061"/>
    <w:rsid w:val="00704839"/>
    <w:rsid w:val="00705583"/>
    <w:rsid w:val="00705A29"/>
    <w:rsid w:val="007074F3"/>
    <w:rsid w:val="00707BD2"/>
    <w:rsid w:val="00710B9B"/>
    <w:rsid w:val="00711958"/>
    <w:rsid w:val="007125C0"/>
    <w:rsid w:val="00712FA3"/>
    <w:rsid w:val="0071330E"/>
    <w:rsid w:val="00713A27"/>
    <w:rsid w:val="00713E17"/>
    <w:rsid w:val="00715639"/>
    <w:rsid w:val="00720716"/>
    <w:rsid w:val="007220B9"/>
    <w:rsid w:val="00722A4C"/>
    <w:rsid w:val="00723E3F"/>
    <w:rsid w:val="00724819"/>
    <w:rsid w:val="0072564A"/>
    <w:rsid w:val="007268FB"/>
    <w:rsid w:val="00726981"/>
    <w:rsid w:val="0072762F"/>
    <w:rsid w:val="00727664"/>
    <w:rsid w:val="00727F14"/>
    <w:rsid w:val="00732641"/>
    <w:rsid w:val="00733BBF"/>
    <w:rsid w:val="007344D7"/>
    <w:rsid w:val="00734816"/>
    <w:rsid w:val="00736A6C"/>
    <w:rsid w:val="00736C0C"/>
    <w:rsid w:val="00737F87"/>
    <w:rsid w:val="00741175"/>
    <w:rsid w:val="00744BBE"/>
    <w:rsid w:val="0074590E"/>
    <w:rsid w:val="00745E7F"/>
    <w:rsid w:val="007508CF"/>
    <w:rsid w:val="007510D4"/>
    <w:rsid w:val="007512B3"/>
    <w:rsid w:val="00752371"/>
    <w:rsid w:val="00752E21"/>
    <w:rsid w:val="00752FF3"/>
    <w:rsid w:val="00753C3E"/>
    <w:rsid w:val="00753DE0"/>
    <w:rsid w:val="007548FB"/>
    <w:rsid w:val="00755FDA"/>
    <w:rsid w:val="0075746B"/>
    <w:rsid w:val="0076149F"/>
    <w:rsid w:val="00761DCD"/>
    <w:rsid w:val="00761DF1"/>
    <w:rsid w:val="007625FF"/>
    <w:rsid w:val="00767A0B"/>
    <w:rsid w:val="007705EE"/>
    <w:rsid w:val="00770A5E"/>
    <w:rsid w:val="00770D8F"/>
    <w:rsid w:val="00773F5F"/>
    <w:rsid w:val="00774036"/>
    <w:rsid w:val="0077737B"/>
    <w:rsid w:val="0077738F"/>
    <w:rsid w:val="00777E45"/>
    <w:rsid w:val="00780865"/>
    <w:rsid w:val="00780CEE"/>
    <w:rsid w:val="00782ADA"/>
    <w:rsid w:val="00782CED"/>
    <w:rsid w:val="00784A2D"/>
    <w:rsid w:val="007858FA"/>
    <w:rsid w:val="007878D1"/>
    <w:rsid w:val="00787BEC"/>
    <w:rsid w:val="00790566"/>
    <w:rsid w:val="007905FF"/>
    <w:rsid w:val="00790664"/>
    <w:rsid w:val="0079070A"/>
    <w:rsid w:val="007914B9"/>
    <w:rsid w:val="00791A68"/>
    <w:rsid w:val="007922B9"/>
    <w:rsid w:val="0079327A"/>
    <w:rsid w:val="0079386E"/>
    <w:rsid w:val="00794101"/>
    <w:rsid w:val="00797C03"/>
    <w:rsid w:val="007A1F3D"/>
    <w:rsid w:val="007A2CC1"/>
    <w:rsid w:val="007A37CE"/>
    <w:rsid w:val="007A46E5"/>
    <w:rsid w:val="007A486C"/>
    <w:rsid w:val="007A5332"/>
    <w:rsid w:val="007A6914"/>
    <w:rsid w:val="007A6C6B"/>
    <w:rsid w:val="007B2D89"/>
    <w:rsid w:val="007B5882"/>
    <w:rsid w:val="007B5D0D"/>
    <w:rsid w:val="007B616C"/>
    <w:rsid w:val="007B7DCA"/>
    <w:rsid w:val="007B7F41"/>
    <w:rsid w:val="007C021E"/>
    <w:rsid w:val="007C26EC"/>
    <w:rsid w:val="007C289E"/>
    <w:rsid w:val="007C50E4"/>
    <w:rsid w:val="007C5751"/>
    <w:rsid w:val="007C5BC5"/>
    <w:rsid w:val="007D216A"/>
    <w:rsid w:val="007D3429"/>
    <w:rsid w:val="007D5C0B"/>
    <w:rsid w:val="007D6396"/>
    <w:rsid w:val="007D6F8D"/>
    <w:rsid w:val="007E1345"/>
    <w:rsid w:val="007E1D3F"/>
    <w:rsid w:val="007E1E5E"/>
    <w:rsid w:val="007E3F00"/>
    <w:rsid w:val="007E4224"/>
    <w:rsid w:val="007E618A"/>
    <w:rsid w:val="007E629A"/>
    <w:rsid w:val="007E6B05"/>
    <w:rsid w:val="007E7884"/>
    <w:rsid w:val="007E7929"/>
    <w:rsid w:val="007F1735"/>
    <w:rsid w:val="007F2873"/>
    <w:rsid w:val="007F358E"/>
    <w:rsid w:val="007F37B6"/>
    <w:rsid w:val="007F6BFF"/>
    <w:rsid w:val="007F70CC"/>
    <w:rsid w:val="007F7CC8"/>
    <w:rsid w:val="00804508"/>
    <w:rsid w:val="00804D90"/>
    <w:rsid w:val="0080525E"/>
    <w:rsid w:val="00812529"/>
    <w:rsid w:val="008129DE"/>
    <w:rsid w:val="00812E6B"/>
    <w:rsid w:val="00812F67"/>
    <w:rsid w:val="00813315"/>
    <w:rsid w:val="00814B04"/>
    <w:rsid w:val="008163B6"/>
    <w:rsid w:val="008205D1"/>
    <w:rsid w:val="00820ABA"/>
    <w:rsid w:val="00820BA7"/>
    <w:rsid w:val="00821216"/>
    <w:rsid w:val="008215B2"/>
    <w:rsid w:val="00821F5A"/>
    <w:rsid w:val="0082316D"/>
    <w:rsid w:val="008236DA"/>
    <w:rsid w:val="00824F2C"/>
    <w:rsid w:val="0082548D"/>
    <w:rsid w:val="00825AAA"/>
    <w:rsid w:val="00827D22"/>
    <w:rsid w:val="00831616"/>
    <w:rsid w:val="00832B34"/>
    <w:rsid w:val="00832D36"/>
    <w:rsid w:val="008333C1"/>
    <w:rsid w:val="00835970"/>
    <w:rsid w:val="008365D7"/>
    <w:rsid w:val="00836FFA"/>
    <w:rsid w:val="00840047"/>
    <w:rsid w:val="0084108C"/>
    <w:rsid w:val="0084197D"/>
    <w:rsid w:val="00842399"/>
    <w:rsid w:val="0084272B"/>
    <w:rsid w:val="00842F56"/>
    <w:rsid w:val="00843DCF"/>
    <w:rsid w:val="008440BE"/>
    <w:rsid w:val="008443A7"/>
    <w:rsid w:val="008505B8"/>
    <w:rsid w:val="0085129D"/>
    <w:rsid w:val="00851AF3"/>
    <w:rsid w:val="00852AD9"/>
    <w:rsid w:val="008532A7"/>
    <w:rsid w:val="008545FC"/>
    <w:rsid w:val="0085609A"/>
    <w:rsid w:val="00856F5A"/>
    <w:rsid w:val="00856FEC"/>
    <w:rsid w:val="00860E5D"/>
    <w:rsid w:val="00861A80"/>
    <w:rsid w:val="00861AA2"/>
    <w:rsid w:val="00861AC8"/>
    <w:rsid w:val="00863A79"/>
    <w:rsid w:val="00863AEC"/>
    <w:rsid w:val="008653B5"/>
    <w:rsid w:val="0086543D"/>
    <w:rsid w:val="00865693"/>
    <w:rsid w:val="008658E5"/>
    <w:rsid w:val="00866232"/>
    <w:rsid w:val="00866F1D"/>
    <w:rsid w:val="008705D6"/>
    <w:rsid w:val="008721F6"/>
    <w:rsid w:val="0087272B"/>
    <w:rsid w:val="00872B75"/>
    <w:rsid w:val="00873D51"/>
    <w:rsid w:val="00874D36"/>
    <w:rsid w:val="008753CD"/>
    <w:rsid w:val="008765E9"/>
    <w:rsid w:val="0087775E"/>
    <w:rsid w:val="008824C9"/>
    <w:rsid w:val="00883322"/>
    <w:rsid w:val="008836B7"/>
    <w:rsid w:val="008845E9"/>
    <w:rsid w:val="00884B74"/>
    <w:rsid w:val="0088687B"/>
    <w:rsid w:val="008869EC"/>
    <w:rsid w:val="008938BF"/>
    <w:rsid w:val="00893F55"/>
    <w:rsid w:val="008944FA"/>
    <w:rsid w:val="0089471A"/>
    <w:rsid w:val="008966E0"/>
    <w:rsid w:val="008977E6"/>
    <w:rsid w:val="00897C9F"/>
    <w:rsid w:val="00897EC0"/>
    <w:rsid w:val="008A1AE8"/>
    <w:rsid w:val="008A2AC9"/>
    <w:rsid w:val="008A3C22"/>
    <w:rsid w:val="008A3F44"/>
    <w:rsid w:val="008A6536"/>
    <w:rsid w:val="008A75D4"/>
    <w:rsid w:val="008A77C9"/>
    <w:rsid w:val="008A77F1"/>
    <w:rsid w:val="008A7B60"/>
    <w:rsid w:val="008B0AE0"/>
    <w:rsid w:val="008B40E3"/>
    <w:rsid w:val="008B41B3"/>
    <w:rsid w:val="008B4756"/>
    <w:rsid w:val="008B560E"/>
    <w:rsid w:val="008B6013"/>
    <w:rsid w:val="008B6721"/>
    <w:rsid w:val="008C098D"/>
    <w:rsid w:val="008C1902"/>
    <w:rsid w:val="008C1BE1"/>
    <w:rsid w:val="008C27A5"/>
    <w:rsid w:val="008C458D"/>
    <w:rsid w:val="008C5CB1"/>
    <w:rsid w:val="008C5D5F"/>
    <w:rsid w:val="008C6DF1"/>
    <w:rsid w:val="008D0141"/>
    <w:rsid w:val="008D4703"/>
    <w:rsid w:val="008D497C"/>
    <w:rsid w:val="008D6775"/>
    <w:rsid w:val="008D7656"/>
    <w:rsid w:val="008E0508"/>
    <w:rsid w:val="008E101B"/>
    <w:rsid w:val="008E3238"/>
    <w:rsid w:val="008E3400"/>
    <w:rsid w:val="008E47A4"/>
    <w:rsid w:val="008E4EAF"/>
    <w:rsid w:val="008E59BC"/>
    <w:rsid w:val="008E7C71"/>
    <w:rsid w:val="008F166C"/>
    <w:rsid w:val="008F27D5"/>
    <w:rsid w:val="008F296F"/>
    <w:rsid w:val="008F3880"/>
    <w:rsid w:val="008F46AE"/>
    <w:rsid w:val="008F66BD"/>
    <w:rsid w:val="00900786"/>
    <w:rsid w:val="00903910"/>
    <w:rsid w:val="009061A5"/>
    <w:rsid w:val="0090652D"/>
    <w:rsid w:val="00906BF0"/>
    <w:rsid w:val="00910474"/>
    <w:rsid w:val="009108D9"/>
    <w:rsid w:val="0091170E"/>
    <w:rsid w:val="00911718"/>
    <w:rsid w:val="00912433"/>
    <w:rsid w:val="00912CB8"/>
    <w:rsid w:val="00913CD1"/>
    <w:rsid w:val="0091433A"/>
    <w:rsid w:val="009144C0"/>
    <w:rsid w:val="00914637"/>
    <w:rsid w:val="009169C0"/>
    <w:rsid w:val="00920540"/>
    <w:rsid w:val="00922CDF"/>
    <w:rsid w:val="00923CE9"/>
    <w:rsid w:val="00924389"/>
    <w:rsid w:val="00925AB6"/>
    <w:rsid w:val="00927834"/>
    <w:rsid w:val="00930505"/>
    <w:rsid w:val="00931FE0"/>
    <w:rsid w:val="00933ECD"/>
    <w:rsid w:val="009342F7"/>
    <w:rsid w:val="00935361"/>
    <w:rsid w:val="0093610A"/>
    <w:rsid w:val="00937ABD"/>
    <w:rsid w:val="009400D2"/>
    <w:rsid w:val="0094190E"/>
    <w:rsid w:val="00944692"/>
    <w:rsid w:val="00945507"/>
    <w:rsid w:val="00946667"/>
    <w:rsid w:val="00946EF0"/>
    <w:rsid w:val="00950887"/>
    <w:rsid w:val="00952B18"/>
    <w:rsid w:val="00952F5B"/>
    <w:rsid w:val="0095313A"/>
    <w:rsid w:val="00953DBE"/>
    <w:rsid w:val="0095416E"/>
    <w:rsid w:val="00954F85"/>
    <w:rsid w:val="0095739C"/>
    <w:rsid w:val="0095754C"/>
    <w:rsid w:val="00957A1B"/>
    <w:rsid w:val="00960B8F"/>
    <w:rsid w:val="009614DB"/>
    <w:rsid w:val="00961EDA"/>
    <w:rsid w:val="00961F4A"/>
    <w:rsid w:val="00963F4F"/>
    <w:rsid w:val="00965B70"/>
    <w:rsid w:val="00967162"/>
    <w:rsid w:val="009674D2"/>
    <w:rsid w:val="00970CD2"/>
    <w:rsid w:val="00971DEF"/>
    <w:rsid w:val="00972139"/>
    <w:rsid w:val="00972509"/>
    <w:rsid w:val="0097332E"/>
    <w:rsid w:val="00974F57"/>
    <w:rsid w:val="00975BAA"/>
    <w:rsid w:val="00976070"/>
    <w:rsid w:val="00982102"/>
    <w:rsid w:val="0098215B"/>
    <w:rsid w:val="0098314C"/>
    <w:rsid w:val="00983438"/>
    <w:rsid w:val="009837C1"/>
    <w:rsid w:val="0098442A"/>
    <w:rsid w:val="00986F51"/>
    <w:rsid w:val="00991F32"/>
    <w:rsid w:val="00992C91"/>
    <w:rsid w:val="009934E3"/>
    <w:rsid w:val="0099372C"/>
    <w:rsid w:val="009937E0"/>
    <w:rsid w:val="00996235"/>
    <w:rsid w:val="009966E8"/>
    <w:rsid w:val="00996DAB"/>
    <w:rsid w:val="00997434"/>
    <w:rsid w:val="009A1A89"/>
    <w:rsid w:val="009A2918"/>
    <w:rsid w:val="009A2B38"/>
    <w:rsid w:val="009A3502"/>
    <w:rsid w:val="009A4030"/>
    <w:rsid w:val="009A4BC2"/>
    <w:rsid w:val="009A55C0"/>
    <w:rsid w:val="009A5E78"/>
    <w:rsid w:val="009B39EF"/>
    <w:rsid w:val="009B3A10"/>
    <w:rsid w:val="009B3DFE"/>
    <w:rsid w:val="009B4BEB"/>
    <w:rsid w:val="009B5DF0"/>
    <w:rsid w:val="009B6EC9"/>
    <w:rsid w:val="009C3135"/>
    <w:rsid w:val="009C3C17"/>
    <w:rsid w:val="009C3DF6"/>
    <w:rsid w:val="009C4788"/>
    <w:rsid w:val="009C5E7D"/>
    <w:rsid w:val="009C75E2"/>
    <w:rsid w:val="009C77B3"/>
    <w:rsid w:val="009C7DB0"/>
    <w:rsid w:val="009D1153"/>
    <w:rsid w:val="009D2213"/>
    <w:rsid w:val="009D28C3"/>
    <w:rsid w:val="009D2ABE"/>
    <w:rsid w:val="009D2E4D"/>
    <w:rsid w:val="009E05CE"/>
    <w:rsid w:val="009E189D"/>
    <w:rsid w:val="009E337B"/>
    <w:rsid w:val="009E3D78"/>
    <w:rsid w:val="009E4E32"/>
    <w:rsid w:val="009E7032"/>
    <w:rsid w:val="009E72F4"/>
    <w:rsid w:val="009F0C9B"/>
    <w:rsid w:val="009F0E51"/>
    <w:rsid w:val="009F0EBD"/>
    <w:rsid w:val="009F217F"/>
    <w:rsid w:val="009F2353"/>
    <w:rsid w:val="009F38EF"/>
    <w:rsid w:val="009F39BD"/>
    <w:rsid w:val="009F4529"/>
    <w:rsid w:val="009F5AF6"/>
    <w:rsid w:val="009F7F78"/>
    <w:rsid w:val="00A008D0"/>
    <w:rsid w:val="00A0303A"/>
    <w:rsid w:val="00A03AC9"/>
    <w:rsid w:val="00A03D8D"/>
    <w:rsid w:val="00A03E54"/>
    <w:rsid w:val="00A0433B"/>
    <w:rsid w:val="00A0452E"/>
    <w:rsid w:val="00A0483E"/>
    <w:rsid w:val="00A0496A"/>
    <w:rsid w:val="00A0635E"/>
    <w:rsid w:val="00A07163"/>
    <w:rsid w:val="00A10142"/>
    <w:rsid w:val="00A11417"/>
    <w:rsid w:val="00A11B52"/>
    <w:rsid w:val="00A1250A"/>
    <w:rsid w:val="00A135F5"/>
    <w:rsid w:val="00A13804"/>
    <w:rsid w:val="00A13B75"/>
    <w:rsid w:val="00A13EFC"/>
    <w:rsid w:val="00A1475C"/>
    <w:rsid w:val="00A14C8F"/>
    <w:rsid w:val="00A15D95"/>
    <w:rsid w:val="00A16E0C"/>
    <w:rsid w:val="00A173BD"/>
    <w:rsid w:val="00A1746A"/>
    <w:rsid w:val="00A17626"/>
    <w:rsid w:val="00A20028"/>
    <w:rsid w:val="00A20784"/>
    <w:rsid w:val="00A22651"/>
    <w:rsid w:val="00A23412"/>
    <w:rsid w:val="00A236A3"/>
    <w:rsid w:val="00A23967"/>
    <w:rsid w:val="00A24C61"/>
    <w:rsid w:val="00A263BD"/>
    <w:rsid w:val="00A2680D"/>
    <w:rsid w:val="00A272BC"/>
    <w:rsid w:val="00A31897"/>
    <w:rsid w:val="00A323E6"/>
    <w:rsid w:val="00A33D0E"/>
    <w:rsid w:val="00A345E1"/>
    <w:rsid w:val="00A37739"/>
    <w:rsid w:val="00A37D74"/>
    <w:rsid w:val="00A4030B"/>
    <w:rsid w:val="00A41B98"/>
    <w:rsid w:val="00A42159"/>
    <w:rsid w:val="00A42BD2"/>
    <w:rsid w:val="00A42CAA"/>
    <w:rsid w:val="00A43173"/>
    <w:rsid w:val="00A45B73"/>
    <w:rsid w:val="00A45C42"/>
    <w:rsid w:val="00A46B32"/>
    <w:rsid w:val="00A5053F"/>
    <w:rsid w:val="00A52060"/>
    <w:rsid w:val="00A5226D"/>
    <w:rsid w:val="00A52270"/>
    <w:rsid w:val="00A53FEF"/>
    <w:rsid w:val="00A5450D"/>
    <w:rsid w:val="00A55758"/>
    <w:rsid w:val="00A56B73"/>
    <w:rsid w:val="00A62AD5"/>
    <w:rsid w:val="00A6330A"/>
    <w:rsid w:val="00A6394F"/>
    <w:rsid w:val="00A6560F"/>
    <w:rsid w:val="00A66CF8"/>
    <w:rsid w:val="00A7093B"/>
    <w:rsid w:val="00A71F06"/>
    <w:rsid w:val="00A727D8"/>
    <w:rsid w:val="00A732F7"/>
    <w:rsid w:val="00A7437C"/>
    <w:rsid w:val="00A74804"/>
    <w:rsid w:val="00A753A3"/>
    <w:rsid w:val="00A76597"/>
    <w:rsid w:val="00A76F3E"/>
    <w:rsid w:val="00A776FB"/>
    <w:rsid w:val="00A77C2B"/>
    <w:rsid w:val="00A80F86"/>
    <w:rsid w:val="00A81083"/>
    <w:rsid w:val="00A82937"/>
    <w:rsid w:val="00A8357F"/>
    <w:rsid w:val="00A84835"/>
    <w:rsid w:val="00A9083B"/>
    <w:rsid w:val="00A92018"/>
    <w:rsid w:val="00A95F0F"/>
    <w:rsid w:val="00A97B44"/>
    <w:rsid w:val="00AA00C6"/>
    <w:rsid w:val="00AA0CBC"/>
    <w:rsid w:val="00AA0EBC"/>
    <w:rsid w:val="00AA0ED6"/>
    <w:rsid w:val="00AA50C0"/>
    <w:rsid w:val="00AA6FF7"/>
    <w:rsid w:val="00AA70AC"/>
    <w:rsid w:val="00AA7439"/>
    <w:rsid w:val="00AA7D4A"/>
    <w:rsid w:val="00AB2006"/>
    <w:rsid w:val="00AB5D10"/>
    <w:rsid w:val="00AB729C"/>
    <w:rsid w:val="00AC10CE"/>
    <w:rsid w:val="00AC17EE"/>
    <w:rsid w:val="00AC22D3"/>
    <w:rsid w:val="00AC369B"/>
    <w:rsid w:val="00AC435E"/>
    <w:rsid w:val="00AC4480"/>
    <w:rsid w:val="00AC4A58"/>
    <w:rsid w:val="00AC6013"/>
    <w:rsid w:val="00AC705D"/>
    <w:rsid w:val="00AD10D0"/>
    <w:rsid w:val="00AD2BF3"/>
    <w:rsid w:val="00AD308C"/>
    <w:rsid w:val="00AD485C"/>
    <w:rsid w:val="00AD4D46"/>
    <w:rsid w:val="00AD4FFF"/>
    <w:rsid w:val="00AD55D6"/>
    <w:rsid w:val="00AD6449"/>
    <w:rsid w:val="00AD7AC5"/>
    <w:rsid w:val="00AE2DFE"/>
    <w:rsid w:val="00AE649A"/>
    <w:rsid w:val="00AE67C1"/>
    <w:rsid w:val="00AE79D5"/>
    <w:rsid w:val="00AF0C98"/>
    <w:rsid w:val="00AF3EEA"/>
    <w:rsid w:val="00AF5935"/>
    <w:rsid w:val="00AF6042"/>
    <w:rsid w:val="00AF6DF2"/>
    <w:rsid w:val="00AF736E"/>
    <w:rsid w:val="00B00594"/>
    <w:rsid w:val="00B007AC"/>
    <w:rsid w:val="00B0100F"/>
    <w:rsid w:val="00B0151E"/>
    <w:rsid w:val="00B03300"/>
    <w:rsid w:val="00B0363C"/>
    <w:rsid w:val="00B04E20"/>
    <w:rsid w:val="00B12A33"/>
    <w:rsid w:val="00B1402F"/>
    <w:rsid w:val="00B16047"/>
    <w:rsid w:val="00B1650F"/>
    <w:rsid w:val="00B17D4C"/>
    <w:rsid w:val="00B21B27"/>
    <w:rsid w:val="00B22A52"/>
    <w:rsid w:val="00B23554"/>
    <w:rsid w:val="00B23CDF"/>
    <w:rsid w:val="00B24009"/>
    <w:rsid w:val="00B242F3"/>
    <w:rsid w:val="00B25F33"/>
    <w:rsid w:val="00B272F1"/>
    <w:rsid w:val="00B27BE9"/>
    <w:rsid w:val="00B30D14"/>
    <w:rsid w:val="00B30DEC"/>
    <w:rsid w:val="00B31C49"/>
    <w:rsid w:val="00B332D8"/>
    <w:rsid w:val="00B34800"/>
    <w:rsid w:val="00B3518D"/>
    <w:rsid w:val="00B37ED1"/>
    <w:rsid w:val="00B40165"/>
    <w:rsid w:val="00B41EFC"/>
    <w:rsid w:val="00B42B40"/>
    <w:rsid w:val="00B43793"/>
    <w:rsid w:val="00B43F93"/>
    <w:rsid w:val="00B45215"/>
    <w:rsid w:val="00B45E80"/>
    <w:rsid w:val="00B46537"/>
    <w:rsid w:val="00B46A26"/>
    <w:rsid w:val="00B517CD"/>
    <w:rsid w:val="00B53D7B"/>
    <w:rsid w:val="00B5419B"/>
    <w:rsid w:val="00B56C0B"/>
    <w:rsid w:val="00B62A62"/>
    <w:rsid w:val="00B62E7F"/>
    <w:rsid w:val="00B64789"/>
    <w:rsid w:val="00B650F1"/>
    <w:rsid w:val="00B66E8B"/>
    <w:rsid w:val="00B71BA1"/>
    <w:rsid w:val="00B72E88"/>
    <w:rsid w:val="00B73EA1"/>
    <w:rsid w:val="00B74DDA"/>
    <w:rsid w:val="00B762E2"/>
    <w:rsid w:val="00B763F5"/>
    <w:rsid w:val="00B77613"/>
    <w:rsid w:val="00B81995"/>
    <w:rsid w:val="00B81CDA"/>
    <w:rsid w:val="00B81EBB"/>
    <w:rsid w:val="00B83697"/>
    <w:rsid w:val="00B85035"/>
    <w:rsid w:val="00B87575"/>
    <w:rsid w:val="00B91093"/>
    <w:rsid w:val="00B914A4"/>
    <w:rsid w:val="00B93BEE"/>
    <w:rsid w:val="00B9421B"/>
    <w:rsid w:val="00B95321"/>
    <w:rsid w:val="00B95734"/>
    <w:rsid w:val="00B969C6"/>
    <w:rsid w:val="00B96A2F"/>
    <w:rsid w:val="00B96E3F"/>
    <w:rsid w:val="00B9791E"/>
    <w:rsid w:val="00BA023A"/>
    <w:rsid w:val="00BA12CA"/>
    <w:rsid w:val="00BA4F43"/>
    <w:rsid w:val="00BA5D99"/>
    <w:rsid w:val="00BA6559"/>
    <w:rsid w:val="00BB0FB2"/>
    <w:rsid w:val="00BB361C"/>
    <w:rsid w:val="00BB37EE"/>
    <w:rsid w:val="00BB4586"/>
    <w:rsid w:val="00BC0652"/>
    <w:rsid w:val="00BC0A40"/>
    <w:rsid w:val="00BC205F"/>
    <w:rsid w:val="00BC2CF4"/>
    <w:rsid w:val="00BC405B"/>
    <w:rsid w:val="00BC59B6"/>
    <w:rsid w:val="00BC5BC2"/>
    <w:rsid w:val="00BC63C9"/>
    <w:rsid w:val="00BD0521"/>
    <w:rsid w:val="00BD08E0"/>
    <w:rsid w:val="00BD1126"/>
    <w:rsid w:val="00BD25C0"/>
    <w:rsid w:val="00BD345B"/>
    <w:rsid w:val="00BD5401"/>
    <w:rsid w:val="00BD6BB2"/>
    <w:rsid w:val="00BD7978"/>
    <w:rsid w:val="00BE2722"/>
    <w:rsid w:val="00BE2F53"/>
    <w:rsid w:val="00BE32C3"/>
    <w:rsid w:val="00BE3A6D"/>
    <w:rsid w:val="00BE4DD6"/>
    <w:rsid w:val="00BF074E"/>
    <w:rsid w:val="00BF2443"/>
    <w:rsid w:val="00BF2718"/>
    <w:rsid w:val="00BF345D"/>
    <w:rsid w:val="00BF3BEA"/>
    <w:rsid w:val="00BF4735"/>
    <w:rsid w:val="00BF633F"/>
    <w:rsid w:val="00BF6995"/>
    <w:rsid w:val="00BF6D9E"/>
    <w:rsid w:val="00C001A1"/>
    <w:rsid w:val="00C01945"/>
    <w:rsid w:val="00C020BA"/>
    <w:rsid w:val="00C02B99"/>
    <w:rsid w:val="00C031A9"/>
    <w:rsid w:val="00C04C0D"/>
    <w:rsid w:val="00C058D0"/>
    <w:rsid w:val="00C074D2"/>
    <w:rsid w:val="00C11ECA"/>
    <w:rsid w:val="00C12BD8"/>
    <w:rsid w:val="00C131A5"/>
    <w:rsid w:val="00C13462"/>
    <w:rsid w:val="00C135FD"/>
    <w:rsid w:val="00C13F0A"/>
    <w:rsid w:val="00C14A48"/>
    <w:rsid w:val="00C151F8"/>
    <w:rsid w:val="00C171D3"/>
    <w:rsid w:val="00C22818"/>
    <w:rsid w:val="00C22C92"/>
    <w:rsid w:val="00C22EFF"/>
    <w:rsid w:val="00C2391E"/>
    <w:rsid w:val="00C254AF"/>
    <w:rsid w:val="00C2601E"/>
    <w:rsid w:val="00C26037"/>
    <w:rsid w:val="00C2729E"/>
    <w:rsid w:val="00C2740F"/>
    <w:rsid w:val="00C27D90"/>
    <w:rsid w:val="00C300B6"/>
    <w:rsid w:val="00C30743"/>
    <w:rsid w:val="00C31ACD"/>
    <w:rsid w:val="00C31DFF"/>
    <w:rsid w:val="00C34133"/>
    <w:rsid w:val="00C3484B"/>
    <w:rsid w:val="00C34CAA"/>
    <w:rsid w:val="00C35288"/>
    <w:rsid w:val="00C3550F"/>
    <w:rsid w:val="00C41ED0"/>
    <w:rsid w:val="00C42145"/>
    <w:rsid w:val="00C43945"/>
    <w:rsid w:val="00C43DF3"/>
    <w:rsid w:val="00C4435F"/>
    <w:rsid w:val="00C4521B"/>
    <w:rsid w:val="00C46F39"/>
    <w:rsid w:val="00C4709B"/>
    <w:rsid w:val="00C471F6"/>
    <w:rsid w:val="00C476D2"/>
    <w:rsid w:val="00C47AD4"/>
    <w:rsid w:val="00C47FA6"/>
    <w:rsid w:val="00C500C1"/>
    <w:rsid w:val="00C50BD3"/>
    <w:rsid w:val="00C52AD1"/>
    <w:rsid w:val="00C53323"/>
    <w:rsid w:val="00C535DB"/>
    <w:rsid w:val="00C53FB1"/>
    <w:rsid w:val="00C54F82"/>
    <w:rsid w:val="00C554AC"/>
    <w:rsid w:val="00C56872"/>
    <w:rsid w:val="00C61542"/>
    <w:rsid w:val="00C62D80"/>
    <w:rsid w:val="00C63097"/>
    <w:rsid w:val="00C6434A"/>
    <w:rsid w:val="00C65AEA"/>
    <w:rsid w:val="00C66085"/>
    <w:rsid w:val="00C664B9"/>
    <w:rsid w:val="00C669C7"/>
    <w:rsid w:val="00C70712"/>
    <w:rsid w:val="00C72DBD"/>
    <w:rsid w:val="00C75621"/>
    <w:rsid w:val="00C77CC4"/>
    <w:rsid w:val="00C80075"/>
    <w:rsid w:val="00C803AF"/>
    <w:rsid w:val="00C81294"/>
    <w:rsid w:val="00C81E24"/>
    <w:rsid w:val="00C825BA"/>
    <w:rsid w:val="00C83193"/>
    <w:rsid w:val="00C83633"/>
    <w:rsid w:val="00C86F3C"/>
    <w:rsid w:val="00C902FC"/>
    <w:rsid w:val="00C90D3C"/>
    <w:rsid w:val="00C92F43"/>
    <w:rsid w:val="00C932D1"/>
    <w:rsid w:val="00C970CD"/>
    <w:rsid w:val="00C97643"/>
    <w:rsid w:val="00C97C02"/>
    <w:rsid w:val="00CA159D"/>
    <w:rsid w:val="00CA26F6"/>
    <w:rsid w:val="00CA3BAE"/>
    <w:rsid w:val="00CA46DB"/>
    <w:rsid w:val="00CA787C"/>
    <w:rsid w:val="00CB022D"/>
    <w:rsid w:val="00CB13E8"/>
    <w:rsid w:val="00CB18C9"/>
    <w:rsid w:val="00CB2E2E"/>
    <w:rsid w:val="00CB43B8"/>
    <w:rsid w:val="00CB4643"/>
    <w:rsid w:val="00CB5F8E"/>
    <w:rsid w:val="00CB64C3"/>
    <w:rsid w:val="00CB679B"/>
    <w:rsid w:val="00CB754F"/>
    <w:rsid w:val="00CB778E"/>
    <w:rsid w:val="00CB7FFA"/>
    <w:rsid w:val="00CC2E11"/>
    <w:rsid w:val="00CC4B49"/>
    <w:rsid w:val="00CC5879"/>
    <w:rsid w:val="00CC58BC"/>
    <w:rsid w:val="00CC6571"/>
    <w:rsid w:val="00CC6B60"/>
    <w:rsid w:val="00CD1518"/>
    <w:rsid w:val="00CD261D"/>
    <w:rsid w:val="00CD3B25"/>
    <w:rsid w:val="00CD428E"/>
    <w:rsid w:val="00CD431A"/>
    <w:rsid w:val="00CD5A80"/>
    <w:rsid w:val="00CE0797"/>
    <w:rsid w:val="00CE1AFB"/>
    <w:rsid w:val="00CE22C5"/>
    <w:rsid w:val="00CE26A2"/>
    <w:rsid w:val="00CE31E7"/>
    <w:rsid w:val="00CE5742"/>
    <w:rsid w:val="00CE69EC"/>
    <w:rsid w:val="00CF2223"/>
    <w:rsid w:val="00CF2A04"/>
    <w:rsid w:val="00CF35B0"/>
    <w:rsid w:val="00CF6C30"/>
    <w:rsid w:val="00CF75E5"/>
    <w:rsid w:val="00CF7DF1"/>
    <w:rsid w:val="00D000F4"/>
    <w:rsid w:val="00D01A42"/>
    <w:rsid w:val="00D02DAB"/>
    <w:rsid w:val="00D03C05"/>
    <w:rsid w:val="00D05ACD"/>
    <w:rsid w:val="00D06377"/>
    <w:rsid w:val="00D064B7"/>
    <w:rsid w:val="00D112F9"/>
    <w:rsid w:val="00D11E00"/>
    <w:rsid w:val="00D1335B"/>
    <w:rsid w:val="00D13AC2"/>
    <w:rsid w:val="00D15998"/>
    <w:rsid w:val="00D167EC"/>
    <w:rsid w:val="00D201D9"/>
    <w:rsid w:val="00D21116"/>
    <w:rsid w:val="00D2130B"/>
    <w:rsid w:val="00D21716"/>
    <w:rsid w:val="00D223E4"/>
    <w:rsid w:val="00D22B7C"/>
    <w:rsid w:val="00D22F60"/>
    <w:rsid w:val="00D23386"/>
    <w:rsid w:val="00D2642D"/>
    <w:rsid w:val="00D27AE0"/>
    <w:rsid w:val="00D27FFB"/>
    <w:rsid w:val="00D318CC"/>
    <w:rsid w:val="00D31D60"/>
    <w:rsid w:val="00D3248C"/>
    <w:rsid w:val="00D32A21"/>
    <w:rsid w:val="00D334A2"/>
    <w:rsid w:val="00D34195"/>
    <w:rsid w:val="00D34E29"/>
    <w:rsid w:val="00D35E7B"/>
    <w:rsid w:val="00D37698"/>
    <w:rsid w:val="00D41361"/>
    <w:rsid w:val="00D42079"/>
    <w:rsid w:val="00D43BEB"/>
    <w:rsid w:val="00D445B5"/>
    <w:rsid w:val="00D459A7"/>
    <w:rsid w:val="00D47A45"/>
    <w:rsid w:val="00D50A38"/>
    <w:rsid w:val="00D523D3"/>
    <w:rsid w:val="00D537C7"/>
    <w:rsid w:val="00D570EC"/>
    <w:rsid w:val="00D573ED"/>
    <w:rsid w:val="00D61FB2"/>
    <w:rsid w:val="00D62360"/>
    <w:rsid w:val="00D63F69"/>
    <w:rsid w:val="00D649D1"/>
    <w:rsid w:val="00D65957"/>
    <w:rsid w:val="00D66FE9"/>
    <w:rsid w:val="00D67AA9"/>
    <w:rsid w:val="00D70683"/>
    <w:rsid w:val="00D71026"/>
    <w:rsid w:val="00D727A2"/>
    <w:rsid w:val="00D72BF5"/>
    <w:rsid w:val="00D742E9"/>
    <w:rsid w:val="00D75B11"/>
    <w:rsid w:val="00D75EA4"/>
    <w:rsid w:val="00D776A7"/>
    <w:rsid w:val="00D77E07"/>
    <w:rsid w:val="00D81FB7"/>
    <w:rsid w:val="00D82697"/>
    <w:rsid w:val="00D83393"/>
    <w:rsid w:val="00D84F93"/>
    <w:rsid w:val="00D85386"/>
    <w:rsid w:val="00D857A9"/>
    <w:rsid w:val="00D86939"/>
    <w:rsid w:val="00D872CB"/>
    <w:rsid w:val="00D915C6"/>
    <w:rsid w:val="00D94A62"/>
    <w:rsid w:val="00D94AC8"/>
    <w:rsid w:val="00D95CF0"/>
    <w:rsid w:val="00D97206"/>
    <w:rsid w:val="00DA392E"/>
    <w:rsid w:val="00DA54B2"/>
    <w:rsid w:val="00DA64DA"/>
    <w:rsid w:val="00DA7CA4"/>
    <w:rsid w:val="00DB4EC1"/>
    <w:rsid w:val="00DB4FDE"/>
    <w:rsid w:val="00DB51F0"/>
    <w:rsid w:val="00DB53B7"/>
    <w:rsid w:val="00DB5A68"/>
    <w:rsid w:val="00DC03FF"/>
    <w:rsid w:val="00DC231D"/>
    <w:rsid w:val="00DC2519"/>
    <w:rsid w:val="00DC2F0C"/>
    <w:rsid w:val="00DC3E53"/>
    <w:rsid w:val="00DC3FF4"/>
    <w:rsid w:val="00DC6168"/>
    <w:rsid w:val="00DC715A"/>
    <w:rsid w:val="00DD0308"/>
    <w:rsid w:val="00DD0A3A"/>
    <w:rsid w:val="00DD1827"/>
    <w:rsid w:val="00DD3900"/>
    <w:rsid w:val="00DD5EE3"/>
    <w:rsid w:val="00DE06B1"/>
    <w:rsid w:val="00DE084D"/>
    <w:rsid w:val="00DE09A9"/>
    <w:rsid w:val="00DE0E6F"/>
    <w:rsid w:val="00DE1715"/>
    <w:rsid w:val="00DE47AF"/>
    <w:rsid w:val="00DE563D"/>
    <w:rsid w:val="00DE6070"/>
    <w:rsid w:val="00DE69BB"/>
    <w:rsid w:val="00DF0B11"/>
    <w:rsid w:val="00DF0F90"/>
    <w:rsid w:val="00DF1B8F"/>
    <w:rsid w:val="00DF3EA9"/>
    <w:rsid w:val="00DF3EC0"/>
    <w:rsid w:val="00DF461B"/>
    <w:rsid w:val="00DF52CE"/>
    <w:rsid w:val="00DF5C63"/>
    <w:rsid w:val="00DF6817"/>
    <w:rsid w:val="00DF68B1"/>
    <w:rsid w:val="00E01D86"/>
    <w:rsid w:val="00E02876"/>
    <w:rsid w:val="00E055A2"/>
    <w:rsid w:val="00E05E08"/>
    <w:rsid w:val="00E07352"/>
    <w:rsid w:val="00E11150"/>
    <w:rsid w:val="00E11E41"/>
    <w:rsid w:val="00E1245E"/>
    <w:rsid w:val="00E15E1B"/>
    <w:rsid w:val="00E2130F"/>
    <w:rsid w:val="00E2174A"/>
    <w:rsid w:val="00E2375B"/>
    <w:rsid w:val="00E24F0D"/>
    <w:rsid w:val="00E25C25"/>
    <w:rsid w:val="00E25FC7"/>
    <w:rsid w:val="00E26446"/>
    <w:rsid w:val="00E27035"/>
    <w:rsid w:val="00E27BEB"/>
    <w:rsid w:val="00E3560F"/>
    <w:rsid w:val="00E35F5A"/>
    <w:rsid w:val="00E36334"/>
    <w:rsid w:val="00E411AB"/>
    <w:rsid w:val="00E4231D"/>
    <w:rsid w:val="00E42AB8"/>
    <w:rsid w:val="00E42AD3"/>
    <w:rsid w:val="00E44873"/>
    <w:rsid w:val="00E45423"/>
    <w:rsid w:val="00E4585C"/>
    <w:rsid w:val="00E45C25"/>
    <w:rsid w:val="00E47EA8"/>
    <w:rsid w:val="00E50BEF"/>
    <w:rsid w:val="00E50F5E"/>
    <w:rsid w:val="00E5188F"/>
    <w:rsid w:val="00E55073"/>
    <w:rsid w:val="00E5571E"/>
    <w:rsid w:val="00E56D27"/>
    <w:rsid w:val="00E60657"/>
    <w:rsid w:val="00E61ABE"/>
    <w:rsid w:val="00E6240C"/>
    <w:rsid w:val="00E62A95"/>
    <w:rsid w:val="00E65758"/>
    <w:rsid w:val="00E70296"/>
    <w:rsid w:val="00E71B57"/>
    <w:rsid w:val="00E71B65"/>
    <w:rsid w:val="00E71C44"/>
    <w:rsid w:val="00E72D40"/>
    <w:rsid w:val="00E74F77"/>
    <w:rsid w:val="00E753D1"/>
    <w:rsid w:val="00E75ED9"/>
    <w:rsid w:val="00E76E7B"/>
    <w:rsid w:val="00E80672"/>
    <w:rsid w:val="00E820C1"/>
    <w:rsid w:val="00E83060"/>
    <w:rsid w:val="00E835B8"/>
    <w:rsid w:val="00E86184"/>
    <w:rsid w:val="00E86C0C"/>
    <w:rsid w:val="00E87F4B"/>
    <w:rsid w:val="00E916C1"/>
    <w:rsid w:val="00E91BC8"/>
    <w:rsid w:val="00E93F49"/>
    <w:rsid w:val="00E957AA"/>
    <w:rsid w:val="00E97B02"/>
    <w:rsid w:val="00EA0531"/>
    <w:rsid w:val="00EA0538"/>
    <w:rsid w:val="00EA161D"/>
    <w:rsid w:val="00EA1AED"/>
    <w:rsid w:val="00EA33F8"/>
    <w:rsid w:val="00EA3D17"/>
    <w:rsid w:val="00EA776F"/>
    <w:rsid w:val="00EB1863"/>
    <w:rsid w:val="00EB2238"/>
    <w:rsid w:val="00EB5001"/>
    <w:rsid w:val="00EB63BB"/>
    <w:rsid w:val="00EB7CA6"/>
    <w:rsid w:val="00EC0651"/>
    <w:rsid w:val="00EC2160"/>
    <w:rsid w:val="00EC230B"/>
    <w:rsid w:val="00EC27C7"/>
    <w:rsid w:val="00EC2E04"/>
    <w:rsid w:val="00EC654F"/>
    <w:rsid w:val="00EC7E6B"/>
    <w:rsid w:val="00ED176A"/>
    <w:rsid w:val="00ED3361"/>
    <w:rsid w:val="00ED7C2C"/>
    <w:rsid w:val="00EE2653"/>
    <w:rsid w:val="00EE343C"/>
    <w:rsid w:val="00EE3D4F"/>
    <w:rsid w:val="00EE783D"/>
    <w:rsid w:val="00EF0BE0"/>
    <w:rsid w:val="00EF0FF7"/>
    <w:rsid w:val="00EF2603"/>
    <w:rsid w:val="00EF2B4D"/>
    <w:rsid w:val="00EF32C2"/>
    <w:rsid w:val="00EF3F40"/>
    <w:rsid w:val="00EF5D92"/>
    <w:rsid w:val="00EF7136"/>
    <w:rsid w:val="00F01D3A"/>
    <w:rsid w:val="00F04FB5"/>
    <w:rsid w:val="00F05194"/>
    <w:rsid w:val="00F0720F"/>
    <w:rsid w:val="00F11FE8"/>
    <w:rsid w:val="00F127C1"/>
    <w:rsid w:val="00F12815"/>
    <w:rsid w:val="00F14576"/>
    <w:rsid w:val="00F16BFC"/>
    <w:rsid w:val="00F17147"/>
    <w:rsid w:val="00F21623"/>
    <w:rsid w:val="00F2379B"/>
    <w:rsid w:val="00F239C2"/>
    <w:rsid w:val="00F23B0A"/>
    <w:rsid w:val="00F23D12"/>
    <w:rsid w:val="00F260E9"/>
    <w:rsid w:val="00F262D6"/>
    <w:rsid w:val="00F27C73"/>
    <w:rsid w:val="00F311C9"/>
    <w:rsid w:val="00F31A24"/>
    <w:rsid w:val="00F31AC0"/>
    <w:rsid w:val="00F326F1"/>
    <w:rsid w:val="00F33933"/>
    <w:rsid w:val="00F33DB1"/>
    <w:rsid w:val="00F352DF"/>
    <w:rsid w:val="00F3740D"/>
    <w:rsid w:val="00F377C6"/>
    <w:rsid w:val="00F4009C"/>
    <w:rsid w:val="00F40AE8"/>
    <w:rsid w:val="00F45446"/>
    <w:rsid w:val="00F45E17"/>
    <w:rsid w:val="00F4610D"/>
    <w:rsid w:val="00F46901"/>
    <w:rsid w:val="00F47F13"/>
    <w:rsid w:val="00F50605"/>
    <w:rsid w:val="00F51672"/>
    <w:rsid w:val="00F52190"/>
    <w:rsid w:val="00F53D93"/>
    <w:rsid w:val="00F53F78"/>
    <w:rsid w:val="00F54AB0"/>
    <w:rsid w:val="00F556B5"/>
    <w:rsid w:val="00F55867"/>
    <w:rsid w:val="00F5756B"/>
    <w:rsid w:val="00F60B28"/>
    <w:rsid w:val="00F62909"/>
    <w:rsid w:val="00F649C9"/>
    <w:rsid w:val="00F64C5B"/>
    <w:rsid w:val="00F66E62"/>
    <w:rsid w:val="00F67D6A"/>
    <w:rsid w:val="00F70141"/>
    <w:rsid w:val="00F70525"/>
    <w:rsid w:val="00F719E5"/>
    <w:rsid w:val="00F739BE"/>
    <w:rsid w:val="00F74840"/>
    <w:rsid w:val="00F7583C"/>
    <w:rsid w:val="00F75ACB"/>
    <w:rsid w:val="00F7694E"/>
    <w:rsid w:val="00F77C70"/>
    <w:rsid w:val="00F82B50"/>
    <w:rsid w:val="00F83158"/>
    <w:rsid w:val="00F83C31"/>
    <w:rsid w:val="00F852E9"/>
    <w:rsid w:val="00F87918"/>
    <w:rsid w:val="00F906AD"/>
    <w:rsid w:val="00F9381E"/>
    <w:rsid w:val="00F952A2"/>
    <w:rsid w:val="00F95E76"/>
    <w:rsid w:val="00F95EB1"/>
    <w:rsid w:val="00F96AF8"/>
    <w:rsid w:val="00F96F46"/>
    <w:rsid w:val="00F96FB9"/>
    <w:rsid w:val="00F9733B"/>
    <w:rsid w:val="00FA091E"/>
    <w:rsid w:val="00FA186B"/>
    <w:rsid w:val="00FA3B09"/>
    <w:rsid w:val="00FA3E1C"/>
    <w:rsid w:val="00FA3ECE"/>
    <w:rsid w:val="00FA4B32"/>
    <w:rsid w:val="00FA7892"/>
    <w:rsid w:val="00FA7D22"/>
    <w:rsid w:val="00FB13AF"/>
    <w:rsid w:val="00FB2905"/>
    <w:rsid w:val="00FB4DCC"/>
    <w:rsid w:val="00FB65D0"/>
    <w:rsid w:val="00FC1DF4"/>
    <w:rsid w:val="00FC3C8C"/>
    <w:rsid w:val="00FC49AA"/>
    <w:rsid w:val="00FC5118"/>
    <w:rsid w:val="00FD2FFC"/>
    <w:rsid w:val="00FD335A"/>
    <w:rsid w:val="00FD4D7F"/>
    <w:rsid w:val="00FD536F"/>
    <w:rsid w:val="00FD5D2A"/>
    <w:rsid w:val="00FE1172"/>
    <w:rsid w:val="00FE1BD9"/>
    <w:rsid w:val="00FE524E"/>
    <w:rsid w:val="00FE541B"/>
    <w:rsid w:val="00FF2FC7"/>
    <w:rsid w:val="00FF34DF"/>
    <w:rsid w:val="00FF67F9"/>
    <w:rsid w:val="00FF69BF"/>
    <w:rsid w:val="00FF6E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61433691">
      <w:bodyDiv w:val="1"/>
      <w:marLeft w:val="0"/>
      <w:marRight w:val="0"/>
      <w:marTop w:val="0"/>
      <w:marBottom w:val="0"/>
      <w:divBdr>
        <w:top w:val="none" w:sz="0" w:space="0" w:color="auto"/>
        <w:left w:val="none" w:sz="0" w:space="0" w:color="auto"/>
        <w:bottom w:val="none" w:sz="0" w:space="0" w:color="auto"/>
        <w:right w:val="none" w:sz="0" w:space="0" w:color="auto"/>
      </w:divBdr>
      <w:divsChild>
        <w:div w:id="334386321">
          <w:marLeft w:val="0"/>
          <w:marRight w:val="0"/>
          <w:marTop w:val="0"/>
          <w:marBottom w:val="0"/>
          <w:divBdr>
            <w:top w:val="none" w:sz="0" w:space="0" w:color="auto"/>
            <w:left w:val="none" w:sz="0" w:space="0" w:color="auto"/>
            <w:bottom w:val="none" w:sz="0" w:space="0" w:color="auto"/>
            <w:right w:val="none" w:sz="0" w:space="0" w:color="auto"/>
          </w:divBdr>
        </w:div>
        <w:div w:id="1685866522">
          <w:marLeft w:val="0"/>
          <w:marRight w:val="0"/>
          <w:marTop w:val="0"/>
          <w:marBottom w:val="0"/>
          <w:divBdr>
            <w:top w:val="none" w:sz="0" w:space="0" w:color="auto"/>
            <w:left w:val="none" w:sz="0" w:space="0" w:color="auto"/>
            <w:bottom w:val="none" w:sz="0" w:space="0" w:color="auto"/>
            <w:right w:val="none" w:sz="0" w:space="0" w:color="auto"/>
          </w:divBdr>
        </w:div>
        <w:div w:id="542448025">
          <w:marLeft w:val="0"/>
          <w:marRight w:val="0"/>
          <w:marTop w:val="0"/>
          <w:marBottom w:val="0"/>
          <w:divBdr>
            <w:top w:val="none" w:sz="0" w:space="0" w:color="auto"/>
            <w:left w:val="none" w:sz="0" w:space="0" w:color="auto"/>
            <w:bottom w:val="none" w:sz="0" w:space="0" w:color="auto"/>
            <w:right w:val="none" w:sz="0" w:space="0" w:color="auto"/>
          </w:divBdr>
        </w:div>
        <w:div w:id="370544433">
          <w:marLeft w:val="0"/>
          <w:marRight w:val="0"/>
          <w:marTop w:val="0"/>
          <w:marBottom w:val="0"/>
          <w:divBdr>
            <w:top w:val="none" w:sz="0" w:space="0" w:color="auto"/>
            <w:left w:val="none" w:sz="0" w:space="0" w:color="auto"/>
            <w:bottom w:val="none" w:sz="0" w:space="0" w:color="auto"/>
            <w:right w:val="none" w:sz="0" w:space="0" w:color="auto"/>
          </w:divBdr>
        </w:div>
        <w:div w:id="1364136071">
          <w:marLeft w:val="0"/>
          <w:marRight w:val="0"/>
          <w:marTop w:val="0"/>
          <w:marBottom w:val="0"/>
          <w:divBdr>
            <w:top w:val="none" w:sz="0" w:space="0" w:color="auto"/>
            <w:left w:val="none" w:sz="0" w:space="0" w:color="auto"/>
            <w:bottom w:val="none" w:sz="0" w:space="0" w:color="auto"/>
            <w:right w:val="none" w:sz="0" w:space="0" w:color="auto"/>
          </w:divBdr>
        </w:div>
      </w:divsChild>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13679458">
      <w:bodyDiv w:val="1"/>
      <w:marLeft w:val="0"/>
      <w:marRight w:val="0"/>
      <w:marTop w:val="0"/>
      <w:marBottom w:val="0"/>
      <w:divBdr>
        <w:top w:val="none" w:sz="0" w:space="0" w:color="auto"/>
        <w:left w:val="none" w:sz="0" w:space="0" w:color="auto"/>
        <w:bottom w:val="none" w:sz="0" w:space="0" w:color="auto"/>
        <w:right w:val="none" w:sz="0" w:space="0" w:color="auto"/>
      </w:divBdr>
    </w:div>
    <w:div w:id="322392354">
      <w:bodyDiv w:val="1"/>
      <w:marLeft w:val="0"/>
      <w:marRight w:val="0"/>
      <w:marTop w:val="0"/>
      <w:marBottom w:val="0"/>
      <w:divBdr>
        <w:top w:val="none" w:sz="0" w:space="0" w:color="auto"/>
        <w:left w:val="none" w:sz="0" w:space="0" w:color="auto"/>
        <w:bottom w:val="none" w:sz="0" w:space="0" w:color="auto"/>
        <w:right w:val="none" w:sz="0" w:space="0" w:color="auto"/>
      </w:divBdr>
    </w:div>
    <w:div w:id="330179833">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474490251">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636491542">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15549184">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5574563">
      <w:bodyDiv w:val="1"/>
      <w:marLeft w:val="0"/>
      <w:marRight w:val="0"/>
      <w:marTop w:val="0"/>
      <w:marBottom w:val="0"/>
      <w:divBdr>
        <w:top w:val="none" w:sz="0" w:space="0" w:color="auto"/>
        <w:left w:val="none" w:sz="0" w:space="0" w:color="auto"/>
        <w:bottom w:val="none" w:sz="0" w:space="0" w:color="auto"/>
        <w:right w:val="none" w:sz="0" w:space="0" w:color="auto"/>
      </w:divBdr>
    </w:div>
    <w:div w:id="1059785367">
      <w:bodyDiv w:val="1"/>
      <w:marLeft w:val="0"/>
      <w:marRight w:val="0"/>
      <w:marTop w:val="0"/>
      <w:marBottom w:val="0"/>
      <w:divBdr>
        <w:top w:val="none" w:sz="0" w:space="0" w:color="auto"/>
        <w:left w:val="none" w:sz="0" w:space="0" w:color="auto"/>
        <w:bottom w:val="none" w:sz="0" w:space="0" w:color="auto"/>
        <w:right w:val="none" w:sz="0" w:space="0" w:color="auto"/>
      </w:divBdr>
    </w:div>
    <w:div w:id="107724098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33930556">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1448744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18958272">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18895231">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amsar.org/cda/en/ramsar-documents-standing-40th-meeting-of-the-22812/main/ramsar/1-31-41%5e22812_4000_0__"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2086-DFD1-44B3-84D6-990C0B7E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2470</Words>
  <Characters>14083</Characters>
  <Application>Microsoft Office Word</Application>
  <DocSecurity>4</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Memorandum of Understanding</vt:lpstr>
      <vt:lpstr>Memorandum of Understanding</vt:lpstr>
    </vt:vector>
  </TitlesOfParts>
  <Company>IUCN</Company>
  <LinksUpToDate>false</LinksUpToDate>
  <CharactersWithSpaces>16520</CharactersWithSpaces>
  <SharedDoc>false</SharedDoc>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2</cp:revision>
  <cp:lastPrinted>2017-03-22T11:26:00Z</cp:lastPrinted>
  <dcterms:created xsi:type="dcterms:W3CDTF">2017-03-23T13:02:00Z</dcterms:created>
  <dcterms:modified xsi:type="dcterms:W3CDTF">2017-03-23T13:02:00Z</dcterms:modified>
</cp:coreProperties>
</file>