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2E" w:rsidRPr="007A7D9E" w:rsidRDefault="0056312E"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bookmarkStart w:id="0" w:name="OLE_LINK1"/>
      <w:r w:rsidRPr="007A7D9E">
        <w:rPr>
          <w:rFonts w:ascii="Calibri" w:hAnsi="Calibri"/>
          <w:bCs/>
        </w:rPr>
        <w:t>CONVENTION ON WETLANDS (Ramsar, Iran, 1971)</w:t>
      </w:r>
    </w:p>
    <w:p w:rsidR="0056312E" w:rsidRPr="007A7D9E" w:rsidRDefault="00BC59B6"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r>
        <w:rPr>
          <w:rFonts w:ascii="Calibri" w:hAnsi="Calibri"/>
          <w:bCs/>
        </w:rPr>
        <w:t>5</w:t>
      </w:r>
      <w:r w:rsidR="00B0151E">
        <w:rPr>
          <w:rFonts w:ascii="Calibri" w:hAnsi="Calibri"/>
          <w:bCs/>
        </w:rPr>
        <w:t>3</w:t>
      </w:r>
      <w:r w:rsidR="00B0151E">
        <w:rPr>
          <w:rFonts w:ascii="Calibri" w:hAnsi="Calibri"/>
          <w:bCs/>
          <w:vertAlign w:val="superscript"/>
        </w:rPr>
        <w:t>rd</w:t>
      </w:r>
      <w:r>
        <w:rPr>
          <w:rFonts w:ascii="Calibri" w:hAnsi="Calibri"/>
          <w:bCs/>
        </w:rPr>
        <w:t xml:space="preserve"> </w:t>
      </w:r>
      <w:r w:rsidR="0056312E" w:rsidRPr="007A7D9E">
        <w:rPr>
          <w:rFonts w:ascii="Calibri" w:hAnsi="Calibri"/>
          <w:bCs/>
        </w:rPr>
        <w:t>Meeting of the Standing Committee</w:t>
      </w:r>
    </w:p>
    <w:p w:rsidR="0056312E" w:rsidRPr="007A7D9E" w:rsidRDefault="0056312E"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r w:rsidRPr="007A7D9E">
        <w:rPr>
          <w:rFonts w:ascii="Calibri" w:hAnsi="Calibri"/>
          <w:bCs/>
        </w:rPr>
        <w:t xml:space="preserve">Gland, Switzerland, </w:t>
      </w:r>
      <w:r w:rsidR="00097E94">
        <w:rPr>
          <w:rFonts w:ascii="Calibri" w:hAnsi="Calibri"/>
          <w:bCs/>
        </w:rPr>
        <w:t xml:space="preserve">29 </w:t>
      </w:r>
      <w:r w:rsidR="00B0151E">
        <w:rPr>
          <w:rFonts w:ascii="Calibri" w:hAnsi="Calibri"/>
          <w:bCs/>
        </w:rPr>
        <w:t>May</w:t>
      </w:r>
      <w:r w:rsidR="00097E94">
        <w:rPr>
          <w:rFonts w:ascii="Calibri" w:hAnsi="Calibri"/>
          <w:bCs/>
        </w:rPr>
        <w:t xml:space="preserve"> – </w:t>
      </w:r>
      <w:r w:rsidR="00B0151E">
        <w:rPr>
          <w:rFonts w:ascii="Calibri" w:hAnsi="Calibri"/>
          <w:bCs/>
        </w:rPr>
        <w:t>2 June</w:t>
      </w:r>
      <w:r w:rsidR="002C69BF">
        <w:rPr>
          <w:rFonts w:ascii="Calibri" w:hAnsi="Calibri"/>
          <w:bCs/>
        </w:rPr>
        <w:t xml:space="preserve"> </w:t>
      </w:r>
      <w:r w:rsidR="009D28C3">
        <w:rPr>
          <w:rFonts w:ascii="Calibri" w:hAnsi="Calibri"/>
          <w:bCs/>
        </w:rPr>
        <w:t>201</w:t>
      </w:r>
      <w:r w:rsidR="00B0151E">
        <w:rPr>
          <w:rFonts w:ascii="Calibri" w:hAnsi="Calibri"/>
          <w:bCs/>
        </w:rPr>
        <w:t>7</w:t>
      </w:r>
    </w:p>
    <w:p w:rsidR="0056312E" w:rsidRPr="007A7D9E" w:rsidRDefault="0056312E" w:rsidP="0056312E">
      <w:pPr>
        <w:keepNext/>
        <w:suppressAutoHyphens/>
        <w:outlineLvl w:val="0"/>
        <w:rPr>
          <w:rFonts w:ascii="Calibri" w:hAnsi="Calibri"/>
          <w:b/>
          <w:sz w:val="22"/>
          <w:szCs w:val="22"/>
        </w:rPr>
      </w:pPr>
    </w:p>
    <w:p w:rsidR="0056312E" w:rsidRPr="00640BA2" w:rsidRDefault="0056312E" w:rsidP="0056312E">
      <w:pPr>
        <w:keepNext/>
        <w:suppressAutoHyphens/>
        <w:jc w:val="right"/>
        <w:outlineLvl w:val="0"/>
        <w:rPr>
          <w:rFonts w:asciiTheme="minorHAnsi" w:hAnsiTheme="minorHAnsi"/>
          <w:b/>
          <w:sz w:val="28"/>
          <w:szCs w:val="28"/>
        </w:rPr>
      </w:pPr>
      <w:r w:rsidRPr="00640BA2">
        <w:rPr>
          <w:rFonts w:asciiTheme="minorHAnsi" w:hAnsiTheme="minorHAnsi"/>
          <w:b/>
          <w:sz w:val="28"/>
          <w:szCs w:val="28"/>
        </w:rPr>
        <w:t>SC</w:t>
      </w:r>
      <w:r w:rsidR="00E72D40">
        <w:rPr>
          <w:rFonts w:asciiTheme="minorHAnsi" w:hAnsiTheme="minorHAnsi"/>
          <w:b/>
          <w:sz w:val="28"/>
          <w:szCs w:val="28"/>
        </w:rPr>
        <w:t>5</w:t>
      </w:r>
      <w:r w:rsidR="00B0151E">
        <w:rPr>
          <w:rFonts w:asciiTheme="minorHAnsi" w:hAnsiTheme="minorHAnsi"/>
          <w:b/>
          <w:sz w:val="28"/>
          <w:szCs w:val="28"/>
        </w:rPr>
        <w:t>3</w:t>
      </w:r>
      <w:r w:rsidRPr="00640BA2">
        <w:rPr>
          <w:rFonts w:asciiTheme="minorHAnsi" w:hAnsiTheme="minorHAnsi"/>
          <w:b/>
          <w:sz w:val="28"/>
          <w:szCs w:val="28"/>
        </w:rPr>
        <w:t>-</w:t>
      </w:r>
      <w:bookmarkEnd w:id="0"/>
      <w:r w:rsidR="00F77C70">
        <w:rPr>
          <w:rFonts w:asciiTheme="minorHAnsi" w:hAnsiTheme="minorHAnsi"/>
          <w:b/>
          <w:sz w:val="28"/>
          <w:szCs w:val="28"/>
        </w:rPr>
        <w:t>20</w:t>
      </w:r>
    </w:p>
    <w:p w:rsidR="0056312E" w:rsidRPr="00640BA2" w:rsidRDefault="0056312E" w:rsidP="0056312E">
      <w:pPr>
        <w:rPr>
          <w:rFonts w:asciiTheme="minorHAnsi" w:hAnsiTheme="minorHAnsi"/>
          <w:sz w:val="28"/>
          <w:szCs w:val="28"/>
        </w:rPr>
      </w:pPr>
    </w:p>
    <w:p w:rsidR="0056312E" w:rsidRPr="00640BA2" w:rsidRDefault="001728D6" w:rsidP="00CD1518">
      <w:pPr>
        <w:jc w:val="center"/>
        <w:rPr>
          <w:rFonts w:asciiTheme="minorHAnsi" w:eastAsia="Times New Roman" w:hAnsiTheme="minorHAnsi" w:cs="Calibri"/>
          <w:b/>
          <w:bCs/>
          <w:color w:val="000000"/>
          <w:sz w:val="28"/>
          <w:szCs w:val="28"/>
        </w:rPr>
      </w:pPr>
      <w:hyperlink r:id="rId9" w:history="1">
        <w:r w:rsidR="0056312E" w:rsidRPr="00640BA2">
          <w:rPr>
            <w:rFonts w:asciiTheme="minorHAnsi" w:eastAsia="Times New Roman" w:hAnsiTheme="minorHAnsi" w:cs="Calibri"/>
            <w:b/>
            <w:bCs/>
            <w:color w:val="000000"/>
            <w:sz w:val="28"/>
            <w:szCs w:val="28"/>
          </w:rPr>
          <w:t xml:space="preserve">Ramsar </w:t>
        </w:r>
        <w:r w:rsidR="00B650F1" w:rsidRPr="00640BA2">
          <w:rPr>
            <w:rFonts w:asciiTheme="minorHAnsi" w:eastAsia="Times New Roman" w:hAnsiTheme="minorHAnsi" w:cs="Calibri"/>
            <w:b/>
            <w:bCs/>
            <w:color w:val="000000"/>
            <w:sz w:val="28"/>
            <w:szCs w:val="28"/>
          </w:rPr>
          <w:t>f</w:t>
        </w:r>
        <w:r w:rsidR="0056312E" w:rsidRPr="00640BA2">
          <w:rPr>
            <w:rFonts w:asciiTheme="minorHAnsi" w:eastAsia="Times New Roman" w:hAnsiTheme="minorHAnsi" w:cs="Calibri"/>
            <w:b/>
            <w:bCs/>
            <w:color w:val="000000"/>
            <w:sz w:val="28"/>
            <w:szCs w:val="28"/>
          </w:rPr>
          <w:t xml:space="preserve">inancial </w:t>
        </w:r>
        <w:r w:rsidR="00B650F1" w:rsidRPr="00640BA2">
          <w:rPr>
            <w:rFonts w:asciiTheme="minorHAnsi" w:eastAsia="Times New Roman" w:hAnsiTheme="minorHAnsi" w:cs="Calibri"/>
            <w:b/>
            <w:bCs/>
            <w:color w:val="000000"/>
            <w:sz w:val="28"/>
            <w:szCs w:val="28"/>
          </w:rPr>
          <w:t>m</w:t>
        </w:r>
        <w:r w:rsidR="00E72D40">
          <w:rPr>
            <w:rFonts w:asciiTheme="minorHAnsi" w:eastAsia="Times New Roman" w:hAnsiTheme="minorHAnsi" w:cs="Calibri"/>
            <w:b/>
            <w:bCs/>
            <w:color w:val="000000"/>
            <w:sz w:val="28"/>
            <w:szCs w:val="28"/>
          </w:rPr>
          <w:t xml:space="preserve">atters </w:t>
        </w:r>
        <w:r w:rsidR="00BC59B6">
          <w:rPr>
            <w:rFonts w:asciiTheme="minorHAnsi" w:eastAsia="Times New Roman" w:hAnsiTheme="minorHAnsi" w:cs="Calibri"/>
            <w:b/>
            <w:bCs/>
            <w:color w:val="000000"/>
            <w:sz w:val="28"/>
            <w:szCs w:val="28"/>
          </w:rPr>
          <w:t>201</w:t>
        </w:r>
        <w:r w:rsidR="000D3F33">
          <w:rPr>
            <w:rFonts w:asciiTheme="minorHAnsi" w:eastAsia="Times New Roman" w:hAnsiTheme="minorHAnsi" w:cs="Calibri"/>
            <w:b/>
            <w:bCs/>
            <w:color w:val="000000"/>
            <w:sz w:val="28"/>
            <w:szCs w:val="28"/>
          </w:rPr>
          <w:t>6</w:t>
        </w:r>
      </w:hyperlink>
    </w:p>
    <w:p w:rsidR="00CD1518" w:rsidRPr="007A7D9E" w:rsidRDefault="00CD1518" w:rsidP="0056312E">
      <w:pPr>
        <w:rPr>
          <w:rFonts w:ascii="Calibri" w:hAnsi="Calibri"/>
          <w:b/>
          <w:iCs/>
          <w:sz w:val="22"/>
          <w:szCs w:val="22"/>
          <w:highlight w:val="yellow"/>
        </w:rPr>
      </w:pPr>
    </w:p>
    <w:p w:rsidR="0056312E" w:rsidRDefault="00737F87" w:rsidP="0056312E">
      <w:pPr>
        <w:ind w:left="540" w:hanging="540"/>
        <w:rPr>
          <w:rFonts w:ascii="Calibri" w:hAnsi="Calibri"/>
          <w:sz w:val="22"/>
          <w:szCs w:val="22"/>
        </w:rPr>
      </w:pPr>
      <w:r>
        <w:rPr>
          <w:rFonts w:ascii="Calibri" w:hAnsi="Calibri"/>
          <w:noProof/>
          <w:sz w:val="22"/>
          <w:szCs w:val="22"/>
          <w:lang w:val="en-GB" w:eastAsia="en-GB"/>
        </w:rPr>
        <mc:AlternateContent>
          <mc:Choice Requires="wps">
            <w:drawing>
              <wp:inline distT="0" distB="0" distL="0" distR="0">
                <wp:extent cx="5728970" cy="4119279"/>
                <wp:effectExtent l="0" t="0" r="2413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119279"/>
                        </a:xfrm>
                        <a:prstGeom prst="rect">
                          <a:avLst/>
                        </a:prstGeom>
                        <a:solidFill>
                          <a:srgbClr val="FFFFFF"/>
                        </a:solidFill>
                        <a:ln w="9525">
                          <a:solidFill>
                            <a:srgbClr val="000000"/>
                          </a:solidFill>
                          <a:miter lim="800000"/>
                          <a:headEnd/>
                          <a:tailEnd/>
                        </a:ln>
                      </wps:spPr>
                      <wps:txbx>
                        <w:txbxContent>
                          <w:p w:rsidR="00A43173" w:rsidRDefault="00A43173" w:rsidP="0056312E">
                            <w:pPr>
                              <w:jc w:val="both"/>
                              <w:rPr>
                                <w:rFonts w:ascii="Calibri" w:hAnsi="Calibri"/>
                                <w:b/>
                                <w:sz w:val="22"/>
                                <w:szCs w:val="22"/>
                              </w:rPr>
                            </w:pPr>
                            <w:r>
                              <w:rPr>
                                <w:rFonts w:ascii="Calibri" w:hAnsi="Calibri"/>
                                <w:b/>
                                <w:sz w:val="22"/>
                                <w:szCs w:val="22"/>
                              </w:rPr>
                              <w:t xml:space="preserve"> </w:t>
                            </w:r>
                            <w:r w:rsidRPr="009E05CE">
                              <w:rPr>
                                <w:rFonts w:ascii="Calibri" w:hAnsi="Calibri"/>
                                <w:b/>
                                <w:sz w:val="22"/>
                                <w:szCs w:val="22"/>
                              </w:rPr>
                              <w:t>Actions requested</w:t>
                            </w:r>
                            <w:r w:rsidRPr="00C4435F">
                              <w:rPr>
                                <w:rFonts w:ascii="Calibri" w:hAnsi="Calibri"/>
                                <w:b/>
                                <w:sz w:val="22"/>
                                <w:szCs w:val="22"/>
                              </w:rPr>
                              <w:t xml:space="preserve">: </w:t>
                            </w:r>
                          </w:p>
                          <w:p w:rsidR="00A43173" w:rsidRPr="00C4435F" w:rsidRDefault="00A43173" w:rsidP="0056312E">
                            <w:pPr>
                              <w:jc w:val="both"/>
                              <w:rPr>
                                <w:rFonts w:ascii="Calibri" w:hAnsi="Calibri"/>
                                <w:b/>
                                <w:sz w:val="22"/>
                                <w:szCs w:val="22"/>
                              </w:rPr>
                            </w:pPr>
                          </w:p>
                          <w:p w:rsidR="00A43173" w:rsidRDefault="00A43173" w:rsidP="00CD1518">
                            <w:pPr>
                              <w:pStyle w:val="ListParagraph"/>
                              <w:ind w:left="0"/>
                              <w:rPr>
                                <w:rFonts w:ascii="Calibri" w:hAnsi="Calibri"/>
                                <w:sz w:val="22"/>
                                <w:szCs w:val="22"/>
                              </w:rPr>
                            </w:pPr>
                            <w:r>
                              <w:rPr>
                                <w:rFonts w:ascii="Calibri" w:hAnsi="Calibri"/>
                                <w:sz w:val="22"/>
                                <w:szCs w:val="22"/>
                              </w:rPr>
                              <w:t xml:space="preserve">The </w:t>
                            </w:r>
                            <w:r w:rsidRPr="00C4435F">
                              <w:rPr>
                                <w:rFonts w:ascii="Calibri" w:hAnsi="Calibri"/>
                                <w:sz w:val="22"/>
                                <w:szCs w:val="22"/>
                              </w:rPr>
                              <w:t>Standing Committee is invited to</w:t>
                            </w:r>
                            <w:r>
                              <w:rPr>
                                <w:rFonts w:ascii="Calibri" w:hAnsi="Calibri"/>
                                <w:sz w:val="22"/>
                                <w:szCs w:val="22"/>
                              </w:rPr>
                              <w:t>:</w:t>
                            </w:r>
                          </w:p>
                          <w:p w:rsidR="00A43173" w:rsidRDefault="00A43173" w:rsidP="00CD1518">
                            <w:pPr>
                              <w:pStyle w:val="ListParagraph"/>
                              <w:ind w:left="0"/>
                              <w:rPr>
                                <w:rFonts w:ascii="Calibri" w:hAnsi="Calibri"/>
                                <w:sz w:val="22"/>
                                <w:szCs w:val="22"/>
                              </w:rPr>
                            </w:pPr>
                          </w:p>
                          <w:p w:rsidR="00A43173" w:rsidRPr="000D3F33" w:rsidRDefault="00A43173" w:rsidP="000D3F33">
                            <w:pPr>
                              <w:pStyle w:val="ListParagraph"/>
                              <w:numPr>
                                <w:ilvl w:val="0"/>
                                <w:numId w:val="18"/>
                              </w:numPr>
                              <w:rPr>
                                <w:rFonts w:ascii="Calibri" w:hAnsi="Calibri"/>
                                <w:sz w:val="22"/>
                                <w:szCs w:val="22"/>
                              </w:rPr>
                            </w:pPr>
                            <w:r>
                              <w:rPr>
                                <w:rFonts w:ascii="Calibri" w:hAnsi="Calibri" w:cs="Calibri"/>
                                <w:sz w:val="22"/>
                                <w:szCs w:val="22"/>
                              </w:rPr>
                              <w:t>n</w:t>
                            </w:r>
                            <w:r w:rsidRPr="00C4435F">
                              <w:rPr>
                                <w:rFonts w:ascii="Calibri" w:hAnsi="Calibri" w:cs="Calibri"/>
                                <w:sz w:val="22"/>
                                <w:szCs w:val="22"/>
                              </w:rPr>
                              <w:t xml:space="preserve">ote the </w:t>
                            </w:r>
                            <w:r>
                              <w:rPr>
                                <w:rFonts w:ascii="Calibri" w:hAnsi="Calibri" w:cs="Calibri"/>
                                <w:sz w:val="22"/>
                                <w:szCs w:val="22"/>
                              </w:rPr>
                              <w:t>preliminary core budget results for 2016;</w:t>
                            </w:r>
                          </w:p>
                          <w:p w:rsidR="00A43173" w:rsidRPr="000D3F33" w:rsidRDefault="00A43173" w:rsidP="000D3F33">
                            <w:pPr>
                              <w:pStyle w:val="ListParagraph"/>
                              <w:ind w:left="774"/>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cs="Calibri"/>
                                <w:sz w:val="22"/>
                                <w:szCs w:val="22"/>
                              </w:rPr>
                              <w:t xml:space="preserve">approve the </w:t>
                            </w:r>
                            <w:r w:rsidRPr="009E05CE">
                              <w:rPr>
                                <w:rFonts w:ascii="Calibri" w:hAnsi="Calibri" w:cs="Calibri"/>
                                <w:bCs/>
                                <w:sz w:val="22"/>
                                <w:szCs w:val="22"/>
                              </w:rPr>
                              <w:t>proposal</w:t>
                            </w:r>
                            <w:r>
                              <w:rPr>
                                <w:rFonts w:ascii="Calibri" w:hAnsi="Calibri" w:cs="Calibri"/>
                                <w:bCs/>
                                <w:sz w:val="22"/>
                                <w:szCs w:val="22"/>
                              </w:rPr>
                              <w:t>s</w:t>
                            </w:r>
                            <w:r w:rsidRPr="009E05CE">
                              <w:rPr>
                                <w:rFonts w:ascii="Calibri" w:hAnsi="Calibri" w:cs="Calibri"/>
                                <w:bCs/>
                                <w:sz w:val="22"/>
                                <w:szCs w:val="22"/>
                              </w:rPr>
                              <w:t xml:space="preserve"> for the </w:t>
                            </w:r>
                            <w:r w:rsidRPr="009E05CE">
                              <w:rPr>
                                <w:rFonts w:ascii="Calibri" w:hAnsi="Calibri"/>
                                <w:sz w:val="22"/>
                              </w:rPr>
                              <w:t xml:space="preserve">2016 surplus </w:t>
                            </w:r>
                            <w:r w:rsidRPr="009E05CE">
                              <w:rPr>
                                <w:rFonts w:ascii="Calibri" w:hAnsi="Calibri" w:cs="Calibri"/>
                                <w:bCs/>
                                <w:sz w:val="22"/>
                                <w:szCs w:val="22"/>
                              </w:rPr>
                              <w:t>and reserve fund</w:t>
                            </w:r>
                            <w:r>
                              <w:rPr>
                                <w:rFonts w:ascii="Calibri" w:hAnsi="Calibri" w:cs="Calibri"/>
                                <w:sz w:val="22"/>
                                <w:szCs w:val="22"/>
                              </w:rPr>
                              <w:t>;</w:t>
                            </w:r>
                          </w:p>
                          <w:p w:rsidR="00A43173" w:rsidRPr="009E05CE" w:rsidRDefault="00A43173" w:rsidP="009E05CE">
                            <w:pPr>
                              <w:pStyle w:val="ListParagraph"/>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sz w:val="22"/>
                                <w:szCs w:val="22"/>
                              </w:rPr>
                              <w:t>consider th</w:t>
                            </w:r>
                            <w:r w:rsidRPr="009E05CE">
                              <w:rPr>
                                <w:rFonts w:ascii="Calibri" w:hAnsi="Calibri"/>
                                <w:sz w:val="22"/>
                                <w:szCs w:val="22"/>
                              </w:rPr>
                              <w:t xml:space="preserve">e </w:t>
                            </w:r>
                            <w:r w:rsidRPr="009E05CE">
                              <w:rPr>
                                <w:rFonts w:ascii="Calibri" w:hAnsi="Calibri" w:cs="Calibri"/>
                                <w:bCs/>
                                <w:sz w:val="22"/>
                                <w:szCs w:val="22"/>
                              </w:rPr>
                              <w:t xml:space="preserve">proposal </w:t>
                            </w:r>
                            <w:r w:rsidRPr="003861A1">
                              <w:rPr>
                                <w:rFonts w:ascii="Calibri" w:hAnsi="Calibri" w:cs="Calibri"/>
                                <w:bCs/>
                                <w:sz w:val="22"/>
                                <w:szCs w:val="22"/>
                              </w:rPr>
                              <w:t xml:space="preserve">to </w:t>
                            </w:r>
                            <w:r>
                              <w:rPr>
                                <w:rFonts w:ascii="Calibri" w:hAnsi="Calibri" w:cs="Calibri"/>
                                <w:bCs/>
                                <w:sz w:val="22"/>
                                <w:szCs w:val="22"/>
                              </w:rPr>
                              <w:t>start the use of designated reserves for</w:t>
                            </w:r>
                            <w:r w:rsidRPr="00EA33F8">
                              <w:rPr>
                                <w:rFonts w:asciiTheme="minorHAnsi" w:hAnsiTheme="minorHAnsi" w:cs="Calibri"/>
                                <w:bCs/>
                                <w:sz w:val="22"/>
                                <w:szCs w:val="22"/>
                              </w:rPr>
                              <w:t xml:space="preserve"> </w:t>
                            </w:r>
                            <w:r w:rsidRPr="00EA33F8">
                              <w:rPr>
                                <w:rFonts w:asciiTheme="minorHAnsi" w:hAnsiTheme="minorHAnsi"/>
                                <w:sz w:val="22"/>
                                <w:szCs w:val="22"/>
                              </w:rPr>
                              <w:t>exceptional</w:t>
                            </w:r>
                            <w:r>
                              <w:rPr>
                                <w:rFonts w:ascii="Calibri" w:hAnsi="Calibri" w:cs="Calibri"/>
                                <w:bCs/>
                                <w:sz w:val="22"/>
                                <w:szCs w:val="22"/>
                              </w:rPr>
                              <w:t xml:space="preserve"> annual core budget surpluses</w:t>
                            </w:r>
                            <w:r>
                              <w:rPr>
                                <w:rFonts w:ascii="Calibri" w:hAnsi="Calibri"/>
                                <w:color w:val="000000"/>
                                <w:sz w:val="22"/>
                                <w:szCs w:val="22"/>
                                <w:lang w:eastAsia="en-GB"/>
                              </w:rPr>
                              <w:t>;</w:t>
                            </w:r>
                          </w:p>
                          <w:p w:rsidR="00A43173" w:rsidRPr="009E05CE" w:rsidRDefault="00A43173" w:rsidP="009E05CE">
                            <w:pPr>
                              <w:pStyle w:val="ListParagraph"/>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sz w:val="22"/>
                                <w:szCs w:val="22"/>
                              </w:rPr>
                              <w:t>note t</w:t>
                            </w:r>
                            <w:r w:rsidRPr="009E05CE">
                              <w:rPr>
                                <w:rFonts w:ascii="Calibri" w:hAnsi="Calibri"/>
                                <w:sz w:val="22"/>
                                <w:szCs w:val="22"/>
                              </w:rPr>
                              <w:t xml:space="preserve">he </w:t>
                            </w:r>
                            <w:r w:rsidRPr="009E05CE">
                              <w:rPr>
                                <w:rFonts w:ascii="Calibri" w:hAnsi="Calibri" w:cs="Calibri"/>
                                <w:sz w:val="22"/>
                                <w:szCs w:val="22"/>
                              </w:rPr>
                              <w:t>non-core budget and voluntary contributions</w:t>
                            </w:r>
                            <w:r>
                              <w:rPr>
                                <w:rFonts w:ascii="Calibri" w:hAnsi="Calibri" w:cs="Calibri"/>
                                <w:sz w:val="22"/>
                                <w:szCs w:val="22"/>
                              </w:rPr>
                              <w:t xml:space="preserve"> for 2017;</w:t>
                            </w:r>
                          </w:p>
                          <w:p w:rsidR="00A43173" w:rsidRPr="009E05CE" w:rsidRDefault="00A43173" w:rsidP="009E05CE">
                            <w:pPr>
                              <w:pStyle w:val="ListParagraph"/>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r>
                              <w:rPr>
                                <w:rFonts w:ascii="Calibri" w:hAnsi="Calibri"/>
                                <w:sz w:val="22"/>
                                <w:szCs w:val="22"/>
                              </w:rPr>
                              <w:t>note the preliminary 2016 balance sheet;</w:t>
                            </w:r>
                          </w:p>
                          <w:p w:rsidR="00A43173" w:rsidRPr="00F33933" w:rsidRDefault="00A43173" w:rsidP="00F33933">
                            <w:pPr>
                              <w:pStyle w:val="ListParagraph"/>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bookmarkStart w:id="1" w:name="_GoBack"/>
                            <w:bookmarkEnd w:id="1"/>
                            <w:r>
                              <w:rPr>
                                <w:rFonts w:ascii="Calibri" w:hAnsi="Calibri"/>
                                <w:sz w:val="22"/>
                                <w:szCs w:val="22"/>
                              </w:rPr>
                              <w:t>note the agreement to delay the 2016 Financial Statement audit until June 2017;</w:t>
                            </w:r>
                          </w:p>
                          <w:p w:rsidR="00A43173" w:rsidRPr="00F33933" w:rsidRDefault="00A43173" w:rsidP="00F33933">
                            <w:pPr>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r>
                              <w:rPr>
                                <w:rFonts w:ascii="Calibri" w:hAnsi="Calibri"/>
                                <w:sz w:val="22"/>
                                <w:szCs w:val="22"/>
                              </w:rPr>
                              <w:t>r</w:t>
                            </w:r>
                            <w:r w:rsidRPr="009E05CE">
                              <w:rPr>
                                <w:rFonts w:ascii="Calibri" w:hAnsi="Calibri"/>
                                <w:sz w:val="22"/>
                                <w:szCs w:val="22"/>
                              </w:rPr>
                              <w:t>eview the attached 201</w:t>
                            </w:r>
                            <w:r>
                              <w:rPr>
                                <w:rFonts w:ascii="Calibri" w:hAnsi="Calibri"/>
                                <w:sz w:val="22"/>
                                <w:szCs w:val="22"/>
                              </w:rPr>
                              <w:t>6</w:t>
                            </w:r>
                            <w:r w:rsidRPr="009E05CE">
                              <w:rPr>
                                <w:rFonts w:ascii="Calibri" w:hAnsi="Calibri"/>
                                <w:sz w:val="22"/>
                                <w:szCs w:val="22"/>
                              </w:rPr>
                              <w:t xml:space="preserve"> draft financial statements as of 31 December 201</w:t>
                            </w:r>
                            <w:r>
                              <w:rPr>
                                <w:rFonts w:ascii="Calibri" w:hAnsi="Calibri"/>
                                <w:sz w:val="22"/>
                                <w:szCs w:val="22"/>
                              </w:rPr>
                              <w:t>6;</w:t>
                            </w:r>
                          </w:p>
                          <w:p w:rsidR="00A43173" w:rsidRPr="009E05CE" w:rsidRDefault="00A43173" w:rsidP="009E05CE">
                            <w:pPr>
                              <w:pStyle w:val="ListParagraph"/>
                              <w:rPr>
                                <w:rFonts w:ascii="Calibri" w:hAnsi="Calibri"/>
                                <w:sz w:val="22"/>
                                <w:szCs w:val="22"/>
                              </w:rPr>
                            </w:pPr>
                          </w:p>
                          <w:p w:rsidR="00A43173" w:rsidRDefault="00A43173" w:rsidP="009E05CE">
                            <w:pPr>
                              <w:pStyle w:val="ListParagraph"/>
                              <w:numPr>
                                <w:ilvl w:val="0"/>
                                <w:numId w:val="18"/>
                              </w:numPr>
                              <w:rPr>
                                <w:rFonts w:ascii="Calibri" w:hAnsi="Calibri"/>
                                <w:sz w:val="22"/>
                                <w:szCs w:val="22"/>
                              </w:rPr>
                            </w:pPr>
                            <w:r>
                              <w:rPr>
                                <w:rFonts w:ascii="Calibri" w:hAnsi="Calibri"/>
                                <w:sz w:val="22"/>
                                <w:szCs w:val="22"/>
                              </w:rPr>
                              <w:t>confirm the 2018 core budget as approved at COP12; and</w:t>
                            </w:r>
                          </w:p>
                          <w:p w:rsidR="00A43173" w:rsidRPr="00F0720F" w:rsidRDefault="00A43173" w:rsidP="00F0720F">
                            <w:pPr>
                              <w:rPr>
                                <w:rFonts w:ascii="Calibri" w:hAnsi="Calibri"/>
                                <w:sz w:val="22"/>
                                <w:szCs w:val="22"/>
                              </w:rPr>
                            </w:pPr>
                          </w:p>
                          <w:p w:rsidR="00A43173" w:rsidRDefault="00A43173" w:rsidP="009E05CE">
                            <w:pPr>
                              <w:pStyle w:val="ListParagraph"/>
                              <w:numPr>
                                <w:ilvl w:val="0"/>
                                <w:numId w:val="18"/>
                              </w:numPr>
                              <w:rPr>
                                <w:rFonts w:ascii="Calibri" w:hAnsi="Calibri"/>
                                <w:sz w:val="22"/>
                                <w:szCs w:val="22"/>
                              </w:rPr>
                            </w:pPr>
                            <w:r>
                              <w:rPr>
                                <w:rFonts w:ascii="Calibri" w:hAnsi="Calibri"/>
                                <w:sz w:val="22"/>
                                <w:szCs w:val="22"/>
                              </w:rPr>
                              <w:t>note that a review of old non-core balances from</w:t>
                            </w:r>
                            <w:r>
                              <w:rPr>
                                <w:rFonts w:ascii="Calibri" w:hAnsi="Calibri"/>
                                <w:strike/>
                                <w:sz w:val="22"/>
                                <w:szCs w:val="22"/>
                              </w:rPr>
                              <w:t xml:space="preserve"> </w:t>
                            </w:r>
                            <w:r>
                              <w:rPr>
                                <w:rFonts w:ascii="Calibri" w:hAnsi="Calibri"/>
                                <w:sz w:val="22"/>
                                <w:szCs w:val="22"/>
                              </w:rPr>
                              <w:t>projects is underway.</w:t>
                            </w:r>
                          </w:p>
                          <w:p w:rsidR="00A43173" w:rsidRPr="009C75E2" w:rsidRDefault="00A43173" w:rsidP="009C75E2">
                            <w:pPr>
                              <w:ind w:left="414"/>
                              <w:rPr>
                                <w:rFonts w:ascii="Calibri" w:hAnsi="Calibri"/>
                                <w:sz w:val="22"/>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3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">
                <v:textbox>
                  <w:txbxContent>
                    <w:p w:rsidR="00A43173" w:rsidRDefault="00A43173" w:rsidP="0056312E">
                      <w:pPr>
                        <w:jc w:val="both"/>
                        <w:rPr>
                          <w:rFonts w:ascii="Calibri" w:hAnsi="Calibri"/>
                          <w:b/>
                          <w:sz w:val="22"/>
                          <w:szCs w:val="22"/>
                        </w:rPr>
                      </w:pPr>
                      <w:r>
                        <w:rPr>
                          <w:rFonts w:ascii="Calibri" w:hAnsi="Calibri"/>
                          <w:b/>
                          <w:sz w:val="22"/>
                          <w:szCs w:val="22"/>
                        </w:rPr>
                        <w:t xml:space="preserve"> </w:t>
                      </w:r>
                      <w:r w:rsidRPr="009E05CE">
                        <w:rPr>
                          <w:rFonts w:ascii="Calibri" w:hAnsi="Calibri"/>
                          <w:b/>
                          <w:sz w:val="22"/>
                          <w:szCs w:val="22"/>
                        </w:rPr>
                        <w:t>Actions requested</w:t>
                      </w:r>
                      <w:r w:rsidRPr="00C4435F">
                        <w:rPr>
                          <w:rFonts w:ascii="Calibri" w:hAnsi="Calibri"/>
                          <w:b/>
                          <w:sz w:val="22"/>
                          <w:szCs w:val="22"/>
                        </w:rPr>
                        <w:t xml:space="preserve">: </w:t>
                      </w:r>
                    </w:p>
                    <w:p w:rsidR="00A43173" w:rsidRPr="00C4435F" w:rsidRDefault="00A43173" w:rsidP="0056312E">
                      <w:pPr>
                        <w:jc w:val="both"/>
                        <w:rPr>
                          <w:rFonts w:ascii="Calibri" w:hAnsi="Calibri"/>
                          <w:b/>
                          <w:sz w:val="22"/>
                          <w:szCs w:val="22"/>
                        </w:rPr>
                      </w:pPr>
                    </w:p>
                    <w:p w:rsidR="00A43173" w:rsidRDefault="00A43173" w:rsidP="00CD1518">
                      <w:pPr>
                        <w:pStyle w:val="ListParagraph"/>
                        <w:ind w:left="0"/>
                        <w:rPr>
                          <w:rFonts w:ascii="Calibri" w:hAnsi="Calibri"/>
                          <w:sz w:val="22"/>
                          <w:szCs w:val="22"/>
                        </w:rPr>
                      </w:pPr>
                      <w:r>
                        <w:rPr>
                          <w:rFonts w:ascii="Calibri" w:hAnsi="Calibri"/>
                          <w:sz w:val="22"/>
                          <w:szCs w:val="22"/>
                        </w:rPr>
                        <w:t xml:space="preserve">The </w:t>
                      </w:r>
                      <w:r w:rsidRPr="00C4435F">
                        <w:rPr>
                          <w:rFonts w:ascii="Calibri" w:hAnsi="Calibri"/>
                          <w:sz w:val="22"/>
                          <w:szCs w:val="22"/>
                        </w:rPr>
                        <w:t>Standing Committee is invited to</w:t>
                      </w:r>
                      <w:r>
                        <w:rPr>
                          <w:rFonts w:ascii="Calibri" w:hAnsi="Calibri"/>
                          <w:sz w:val="22"/>
                          <w:szCs w:val="22"/>
                        </w:rPr>
                        <w:t>:</w:t>
                      </w:r>
                    </w:p>
                    <w:p w:rsidR="00A43173" w:rsidRDefault="00A43173" w:rsidP="00CD1518">
                      <w:pPr>
                        <w:pStyle w:val="ListParagraph"/>
                        <w:ind w:left="0"/>
                        <w:rPr>
                          <w:rFonts w:ascii="Calibri" w:hAnsi="Calibri"/>
                          <w:sz w:val="22"/>
                          <w:szCs w:val="22"/>
                        </w:rPr>
                      </w:pPr>
                    </w:p>
                    <w:p w:rsidR="00A43173" w:rsidRPr="000D3F33" w:rsidRDefault="00A43173" w:rsidP="000D3F33">
                      <w:pPr>
                        <w:pStyle w:val="ListParagraph"/>
                        <w:numPr>
                          <w:ilvl w:val="0"/>
                          <w:numId w:val="18"/>
                        </w:numPr>
                        <w:rPr>
                          <w:rFonts w:ascii="Calibri" w:hAnsi="Calibri"/>
                          <w:sz w:val="22"/>
                          <w:szCs w:val="22"/>
                        </w:rPr>
                      </w:pPr>
                      <w:r>
                        <w:rPr>
                          <w:rFonts w:ascii="Calibri" w:hAnsi="Calibri" w:cs="Calibri"/>
                          <w:sz w:val="22"/>
                          <w:szCs w:val="22"/>
                        </w:rPr>
                        <w:t>n</w:t>
                      </w:r>
                      <w:r w:rsidRPr="00C4435F">
                        <w:rPr>
                          <w:rFonts w:ascii="Calibri" w:hAnsi="Calibri" w:cs="Calibri"/>
                          <w:sz w:val="22"/>
                          <w:szCs w:val="22"/>
                        </w:rPr>
                        <w:t xml:space="preserve">ote the </w:t>
                      </w:r>
                      <w:r>
                        <w:rPr>
                          <w:rFonts w:ascii="Calibri" w:hAnsi="Calibri" w:cs="Calibri"/>
                          <w:sz w:val="22"/>
                          <w:szCs w:val="22"/>
                        </w:rPr>
                        <w:t>preliminary core budget results for 2016;</w:t>
                      </w:r>
                    </w:p>
                    <w:p w:rsidR="00A43173" w:rsidRPr="000D3F33" w:rsidRDefault="00A43173" w:rsidP="000D3F33">
                      <w:pPr>
                        <w:pStyle w:val="ListParagraph"/>
                        <w:ind w:left="774"/>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cs="Calibri"/>
                          <w:sz w:val="22"/>
                          <w:szCs w:val="22"/>
                        </w:rPr>
                        <w:t xml:space="preserve">approve the </w:t>
                      </w:r>
                      <w:r w:rsidRPr="009E05CE">
                        <w:rPr>
                          <w:rFonts w:ascii="Calibri" w:hAnsi="Calibri" w:cs="Calibri"/>
                          <w:bCs/>
                          <w:sz w:val="22"/>
                          <w:szCs w:val="22"/>
                        </w:rPr>
                        <w:t>proposal</w:t>
                      </w:r>
                      <w:r>
                        <w:rPr>
                          <w:rFonts w:ascii="Calibri" w:hAnsi="Calibri" w:cs="Calibri"/>
                          <w:bCs/>
                          <w:sz w:val="22"/>
                          <w:szCs w:val="22"/>
                        </w:rPr>
                        <w:t>s</w:t>
                      </w:r>
                      <w:r w:rsidRPr="009E05CE">
                        <w:rPr>
                          <w:rFonts w:ascii="Calibri" w:hAnsi="Calibri" w:cs="Calibri"/>
                          <w:bCs/>
                          <w:sz w:val="22"/>
                          <w:szCs w:val="22"/>
                        </w:rPr>
                        <w:t xml:space="preserve"> for the </w:t>
                      </w:r>
                      <w:r w:rsidRPr="009E05CE">
                        <w:rPr>
                          <w:rFonts w:ascii="Calibri" w:hAnsi="Calibri"/>
                          <w:sz w:val="22"/>
                        </w:rPr>
                        <w:t xml:space="preserve">2016 surplus </w:t>
                      </w:r>
                      <w:r w:rsidRPr="009E05CE">
                        <w:rPr>
                          <w:rFonts w:ascii="Calibri" w:hAnsi="Calibri" w:cs="Calibri"/>
                          <w:bCs/>
                          <w:sz w:val="22"/>
                          <w:szCs w:val="22"/>
                        </w:rPr>
                        <w:t>and reserve fund</w:t>
                      </w:r>
                      <w:r>
                        <w:rPr>
                          <w:rFonts w:ascii="Calibri" w:hAnsi="Calibri" w:cs="Calibri"/>
                          <w:sz w:val="22"/>
                          <w:szCs w:val="22"/>
                        </w:rPr>
                        <w:t>;</w:t>
                      </w:r>
                    </w:p>
                    <w:p w:rsidR="00A43173" w:rsidRPr="009E05CE" w:rsidRDefault="00A43173" w:rsidP="009E05CE">
                      <w:pPr>
                        <w:pStyle w:val="ListParagraph"/>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sz w:val="22"/>
                          <w:szCs w:val="22"/>
                        </w:rPr>
                        <w:t>consider th</w:t>
                      </w:r>
                      <w:r w:rsidRPr="009E05CE">
                        <w:rPr>
                          <w:rFonts w:ascii="Calibri" w:hAnsi="Calibri"/>
                          <w:sz w:val="22"/>
                          <w:szCs w:val="22"/>
                        </w:rPr>
                        <w:t xml:space="preserve">e </w:t>
                      </w:r>
                      <w:r w:rsidRPr="009E05CE">
                        <w:rPr>
                          <w:rFonts w:ascii="Calibri" w:hAnsi="Calibri" w:cs="Calibri"/>
                          <w:bCs/>
                          <w:sz w:val="22"/>
                          <w:szCs w:val="22"/>
                        </w:rPr>
                        <w:t xml:space="preserve">proposal </w:t>
                      </w:r>
                      <w:r w:rsidRPr="003861A1">
                        <w:rPr>
                          <w:rFonts w:ascii="Calibri" w:hAnsi="Calibri" w:cs="Calibri"/>
                          <w:bCs/>
                          <w:sz w:val="22"/>
                          <w:szCs w:val="22"/>
                        </w:rPr>
                        <w:t xml:space="preserve">to </w:t>
                      </w:r>
                      <w:r>
                        <w:rPr>
                          <w:rFonts w:ascii="Calibri" w:hAnsi="Calibri" w:cs="Calibri"/>
                          <w:bCs/>
                          <w:sz w:val="22"/>
                          <w:szCs w:val="22"/>
                        </w:rPr>
                        <w:t>start the use of designated reserves for</w:t>
                      </w:r>
                      <w:r w:rsidRPr="00EA33F8">
                        <w:rPr>
                          <w:rFonts w:asciiTheme="minorHAnsi" w:hAnsiTheme="minorHAnsi" w:cs="Calibri"/>
                          <w:bCs/>
                          <w:sz w:val="22"/>
                          <w:szCs w:val="22"/>
                        </w:rPr>
                        <w:t xml:space="preserve"> </w:t>
                      </w:r>
                      <w:r w:rsidRPr="00EA33F8">
                        <w:rPr>
                          <w:rFonts w:asciiTheme="minorHAnsi" w:hAnsiTheme="minorHAnsi"/>
                          <w:sz w:val="22"/>
                          <w:szCs w:val="22"/>
                        </w:rPr>
                        <w:t>exceptional</w:t>
                      </w:r>
                      <w:r>
                        <w:rPr>
                          <w:rFonts w:ascii="Calibri" w:hAnsi="Calibri" w:cs="Calibri"/>
                          <w:bCs/>
                          <w:sz w:val="22"/>
                          <w:szCs w:val="22"/>
                        </w:rPr>
                        <w:t xml:space="preserve"> annual core budget surpluses</w:t>
                      </w:r>
                      <w:r>
                        <w:rPr>
                          <w:rFonts w:ascii="Calibri" w:hAnsi="Calibri"/>
                          <w:color w:val="000000"/>
                          <w:sz w:val="22"/>
                          <w:szCs w:val="22"/>
                          <w:lang w:eastAsia="en-GB"/>
                        </w:rPr>
                        <w:t>;</w:t>
                      </w:r>
                    </w:p>
                    <w:p w:rsidR="00A43173" w:rsidRPr="009E05CE" w:rsidRDefault="00A43173" w:rsidP="009E05CE">
                      <w:pPr>
                        <w:pStyle w:val="ListParagraph"/>
                        <w:rPr>
                          <w:rFonts w:ascii="Calibri" w:hAnsi="Calibri"/>
                          <w:sz w:val="22"/>
                          <w:szCs w:val="22"/>
                        </w:rPr>
                      </w:pPr>
                    </w:p>
                    <w:p w:rsidR="00A43173" w:rsidRPr="009E05CE" w:rsidRDefault="00A43173" w:rsidP="000D3F33">
                      <w:pPr>
                        <w:pStyle w:val="ListParagraph"/>
                        <w:numPr>
                          <w:ilvl w:val="0"/>
                          <w:numId w:val="18"/>
                        </w:numPr>
                        <w:rPr>
                          <w:rFonts w:ascii="Calibri" w:hAnsi="Calibri"/>
                          <w:sz w:val="22"/>
                          <w:szCs w:val="22"/>
                        </w:rPr>
                      </w:pPr>
                      <w:r>
                        <w:rPr>
                          <w:rFonts w:ascii="Calibri" w:hAnsi="Calibri"/>
                          <w:sz w:val="22"/>
                          <w:szCs w:val="22"/>
                        </w:rPr>
                        <w:t>note t</w:t>
                      </w:r>
                      <w:r w:rsidRPr="009E05CE">
                        <w:rPr>
                          <w:rFonts w:ascii="Calibri" w:hAnsi="Calibri"/>
                          <w:sz w:val="22"/>
                          <w:szCs w:val="22"/>
                        </w:rPr>
                        <w:t xml:space="preserve">he </w:t>
                      </w:r>
                      <w:r w:rsidRPr="009E05CE">
                        <w:rPr>
                          <w:rFonts w:ascii="Calibri" w:hAnsi="Calibri" w:cs="Calibri"/>
                          <w:sz w:val="22"/>
                          <w:szCs w:val="22"/>
                        </w:rPr>
                        <w:t>non-core budget and voluntary contributions</w:t>
                      </w:r>
                      <w:r>
                        <w:rPr>
                          <w:rFonts w:ascii="Calibri" w:hAnsi="Calibri" w:cs="Calibri"/>
                          <w:sz w:val="22"/>
                          <w:szCs w:val="22"/>
                        </w:rPr>
                        <w:t xml:space="preserve"> for 2017;</w:t>
                      </w:r>
                    </w:p>
                    <w:p w:rsidR="00A43173" w:rsidRPr="009E05CE" w:rsidRDefault="00A43173" w:rsidP="009E05CE">
                      <w:pPr>
                        <w:pStyle w:val="ListParagraph"/>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r>
                        <w:rPr>
                          <w:rFonts w:ascii="Calibri" w:hAnsi="Calibri"/>
                          <w:sz w:val="22"/>
                          <w:szCs w:val="22"/>
                        </w:rPr>
                        <w:t>note the preliminary 2016 balance sheet;</w:t>
                      </w:r>
                    </w:p>
                    <w:p w:rsidR="00A43173" w:rsidRPr="00F33933" w:rsidRDefault="00A43173" w:rsidP="00F33933">
                      <w:pPr>
                        <w:pStyle w:val="ListParagraph"/>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bookmarkStart w:id="2" w:name="_GoBack"/>
                      <w:bookmarkEnd w:id="2"/>
                      <w:r>
                        <w:rPr>
                          <w:rFonts w:ascii="Calibri" w:hAnsi="Calibri"/>
                          <w:sz w:val="22"/>
                          <w:szCs w:val="22"/>
                        </w:rPr>
                        <w:t>note the agreement to delay the 2016 Financial Statement audit until June 2017;</w:t>
                      </w:r>
                    </w:p>
                    <w:p w:rsidR="00A43173" w:rsidRPr="00F33933" w:rsidRDefault="00A43173" w:rsidP="00F33933">
                      <w:pPr>
                        <w:rPr>
                          <w:rFonts w:ascii="Calibri" w:hAnsi="Calibri"/>
                          <w:sz w:val="22"/>
                          <w:szCs w:val="22"/>
                        </w:rPr>
                      </w:pPr>
                    </w:p>
                    <w:p w:rsidR="00A43173" w:rsidRDefault="00A43173" w:rsidP="000D3F33">
                      <w:pPr>
                        <w:pStyle w:val="ListParagraph"/>
                        <w:numPr>
                          <w:ilvl w:val="0"/>
                          <w:numId w:val="18"/>
                        </w:numPr>
                        <w:rPr>
                          <w:rFonts w:ascii="Calibri" w:hAnsi="Calibri"/>
                          <w:sz w:val="22"/>
                          <w:szCs w:val="22"/>
                        </w:rPr>
                      </w:pPr>
                      <w:r>
                        <w:rPr>
                          <w:rFonts w:ascii="Calibri" w:hAnsi="Calibri"/>
                          <w:sz w:val="22"/>
                          <w:szCs w:val="22"/>
                        </w:rPr>
                        <w:t>r</w:t>
                      </w:r>
                      <w:r w:rsidRPr="009E05CE">
                        <w:rPr>
                          <w:rFonts w:ascii="Calibri" w:hAnsi="Calibri"/>
                          <w:sz w:val="22"/>
                          <w:szCs w:val="22"/>
                        </w:rPr>
                        <w:t>eview the attached 201</w:t>
                      </w:r>
                      <w:r>
                        <w:rPr>
                          <w:rFonts w:ascii="Calibri" w:hAnsi="Calibri"/>
                          <w:sz w:val="22"/>
                          <w:szCs w:val="22"/>
                        </w:rPr>
                        <w:t>6</w:t>
                      </w:r>
                      <w:r w:rsidRPr="009E05CE">
                        <w:rPr>
                          <w:rFonts w:ascii="Calibri" w:hAnsi="Calibri"/>
                          <w:sz w:val="22"/>
                          <w:szCs w:val="22"/>
                        </w:rPr>
                        <w:t xml:space="preserve"> draft financial statements as of 31 December 201</w:t>
                      </w:r>
                      <w:r>
                        <w:rPr>
                          <w:rFonts w:ascii="Calibri" w:hAnsi="Calibri"/>
                          <w:sz w:val="22"/>
                          <w:szCs w:val="22"/>
                        </w:rPr>
                        <w:t>6;</w:t>
                      </w:r>
                    </w:p>
                    <w:p w:rsidR="00A43173" w:rsidRPr="009E05CE" w:rsidRDefault="00A43173" w:rsidP="009E05CE">
                      <w:pPr>
                        <w:pStyle w:val="ListParagraph"/>
                        <w:rPr>
                          <w:rFonts w:ascii="Calibri" w:hAnsi="Calibri"/>
                          <w:sz w:val="22"/>
                          <w:szCs w:val="22"/>
                        </w:rPr>
                      </w:pPr>
                    </w:p>
                    <w:p w:rsidR="00A43173" w:rsidRDefault="00A43173" w:rsidP="009E05CE">
                      <w:pPr>
                        <w:pStyle w:val="ListParagraph"/>
                        <w:numPr>
                          <w:ilvl w:val="0"/>
                          <w:numId w:val="18"/>
                        </w:numPr>
                        <w:rPr>
                          <w:rFonts w:ascii="Calibri" w:hAnsi="Calibri"/>
                          <w:sz w:val="22"/>
                          <w:szCs w:val="22"/>
                        </w:rPr>
                      </w:pPr>
                      <w:r>
                        <w:rPr>
                          <w:rFonts w:ascii="Calibri" w:hAnsi="Calibri"/>
                          <w:sz w:val="22"/>
                          <w:szCs w:val="22"/>
                        </w:rPr>
                        <w:t>confirm the 2018 core budget as approved at COP12; and</w:t>
                      </w:r>
                    </w:p>
                    <w:p w:rsidR="00A43173" w:rsidRPr="00F0720F" w:rsidRDefault="00A43173" w:rsidP="00F0720F">
                      <w:pPr>
                        <w:rPr>
                          <w:rFonts w:ascii="Calibri" w:hAnsi="Calibri"/>
                          <w:sz w:val="22"/>
                          <w:szCs w:val="22"/>
                        </w:rPr>
                      </w:pPr>
                    </w:p>
                    <w:p w:rsidR="00A43173" w:rsidRDefault="00A43173" w:rsidP="009E05CE">
                      <w:pPr>
                        <w:pStyle w:val="ListParagraph"/>
                        <w:numPr>
                          <w:ilvl w:val="0"/>
                          <w:numId w:val="18"/>
                        </w:numPr>
                        <w:rPr>
                          <w:rFonts w:ascii="Calibri" w:hAnsi="Calibri"/>
                          <w:sz w:val="22"/>
                          <w:szCs w:val="22"/>
                        </w:rPr>
                      </w:pPr>
                      <w:r>
                        <w:rPr>
                          <w:rFonts w:ascii="Calibri" w:hAnsi="Calibri"/>
                          <w:sz w:val="22"/>
                          <w:szCs w:val="22"/>
                        </w:rPr>
                        <w:t>note that a review of old non-core balances from</w:t>
                      </w:r>
                      <w:r>
                        <w:rPr>
                          <w:rFonts w:ascii="Calibri" w:hAnsi="Calibri"/>
                          <w:strike/>
                          <w:sz w:val="22"/>
                          <w:szCs w:val="22"/>
                        </w:rPr>
                        <w:t xml:space="preserve"> </w:t>
                      </w:r>
                      <w:r>
                        <w:rPr>
                          <w:rFonts w:ascii="Calibri" w:hAnsi="Calibri"/>
                          <w:sz w:val="22"/>
                          <w:szCs w:val="22"/>
                        </w:rPr>
                        <w:t>projects is underway.</w:t>
                      </w:r>
                    </w:p>
                    <w:p w:rsidR="00A43173" w:rsidRPr="009C75E2" w:rsidRDefault="00A43173" w:rsidP="009C75E2">
                      <w:pPr>
                        <w:ind w:left="414"/>
                        <w:rPr>
                          <w:rFonts w:ascii="Calibri" w:hAnsi="Calibri"/>
                          <w:sz w:val="22"/>
                          <w:szCs w:val="22"/>
                        </w:rPr>
                      </w:pPr>
                    </w:p>
                  </w:txbxContent>
                </v:textbox>
                <w10:anchorlock/>
              </v:shape>
            </w:pict>
          </mc:Fallback>
        </mc:AlternateContent>
      </w:r>
    </w:p>
    <w:p w:rsidR="0056312E" w:rsidRDefault="00097E94" w:rsidP="0056312E">
      <w:pPr>
        <w:ind w:left="540" w:hanging="540"/>
        <w:rPr>
          <w:rFonts w:ascii="Calibri" w:hAnsi="Calibri"/>
          <w:sz w:val="22"/>
          <w:szCs w:val="22"/>
        </w:rPr>
      </w:pPr>
      <w:r>
        <w:rPr>
          <w:rFonts w:ascii="Calibri" w:hAnsi="Calibri"/>
          <w:sz w:val="22"/>
          <w:szCs w:val="22"/>
        </w:rPr>
        <w:t xml:space="preserve"> </w:t>
      </w:r>
    </w:p>
    <w:p w:rsidR="00024785" w:rsidRPr="0047333D" w:rsidRDefault="00024785" w:rsidP="0047333D">
      <w:pPr>
        <w:rPr>
          <w:rFonts w:ascii="Calibri" w:hAnsi="Calibri"/>
          <w:sz w:val="22"/>
          <w:szCs w:val="22"/>
        </w:rPr>
      </w:pPr>
    </w:p>
    <w:p w:rsidR="00CE5742" w:rsidRPr="0047333D" w:rsidRDefault="00D31D60"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 xml:space="preserve">Attached at Annex 1 </w:t>
      </w:r>
      <w:r w:rsidR="00C63097" w:rsidRPr="0047333D">
        <w:rPr>
          <w:rFonts w:ascii="Calibri" w:hAnsi="Calibri" w:cs="Calibri"/>
          <w:bCs/>
          <w:sz w:val="22"/>
          <w:szCs w:val="22"/>
        </w:rPr>
        <w:t>are the</w:t>
      </w:r>
      <w:r w:rsidRPr="0047333D">
        <w:rPr>
          <w:rFonts w:ascii="Calibri" w:hAnsi="Calibri" w:cs="Calibri"/>
          <w:bCs/>
          <w:sz w:val="22"/>
          <w:szCs w:val="22"/>
        </w:rPr>
        <w:t xml:space="preserve"> 201</w:t>
      </w:r>
      <w:r w:rsidR="00B9791E" w:rsidRPr="0047333D">
        <w:rPr>
          <w:rFonts w:ascii="Calibri" w:hAnsi="Calibri" w:cs="Calibri"/>
          <w:bCs/>
          <w:sz w:val="22"/>
          <w:szCs w:val="22"/>
        </w:rPr>
        <w:t>6</w:t>
      </w:r>
      <w:r w:rsidRPr="0047333D">
        <w:rPr>
          <w:rFonts w:ascii="Calibri" w:hAnsi="Calibri" w:cs="Calibri"/>
          <w:bCs/>
          <w:sz w:val="22"/>
          <w:szCs w:val="22"/>
        </w:rPr>
        <w:t xml:space="preserve"> </w:t>
      </w:r>
      <w:r w:rsidR="00B9791E" w:rsidRPr="0047333D">
        <w:rPr>
          <w:rFonts w:ascii="Calibri" w:hAnsi="Calibri" w:cs="Calibri"/>
          <w:bCs/>
          <w:sz w:val="22"/>
          <w:szCs w:val="22"/>
        </w:rPr>
        <w:t xml:space="preserve">preliminary </w:t>
      </w:r>
      <w:r w:rsidRPr="0047333D">
        <w:rPr>
          <w:rFonts w:ascii="Calibri" w:hAnsi="Calibri" w:cs="Calibri"/>
          <w:bCs/>
          <w:sz w:val="22"/>
          <w:szCs w:val="22"/>
        </w:rPr>
        <w:t>financial statements (in the required Swiss reporting format) as of 31 Decem</w:t>
      </w:r>
      <w:r w:rsidR="00B9791E" w:rsidRPr="0047333D">
        <w:rPr>
          <w:rFonts w:ascii="Calibri" w:hAnsi="Calibri" w:cs="Calibri"/>
          <w:bCs/>
          <w:sz w:val="22"/>
          <w:szCs w:val="22"/>
        </w:rPr>
        <w:t>ber 2016</w:t>
      </w:r>
      <w:r w:rsidRPr="0047333D">
        <w:rPr>
          <w:rFonts w:ascii="Calibri" w:hAnsi="Calibri" w:cs="Calibri"/>
          <w:bCs/>
          <w:sz w:val="22"/>
          <w:szCs w:val="22"/>
        </w:rPr>
        <w:t>.</w:t>
      </w:r>
    </w:p>
    <w:p w:rsidR="00CE5742" w:rsidRPr="0047333D" w:rsidRDefault="00CE5742" w:rsidP="0047333D">
      <w:pPr>
        <w:pStyle w:val="ListParagraph"/>
        <w:ind w:left="426"/>
        <w:rPr>
          <w:rFonts w:ascii="Calibri" w:hAnsi="Calibri" w:cs="Calibri"/>
          <w:bCs/>
          <w:sz w:val="22"/>
          <w:szCs w:val="22"/>
        </w:rPr>
      </w:pPr>
    </w:p>
    <w:p w:rsidR="00FF69BF" w:rsidRPr="0047333D" w:rsidRDefault="00127C82"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 xml:space="preserve">Attached </w:t>
      </w:r>
      <w:r w:rsidR="00135B39" w:rsidRPr="0047333D">
        <w:rPr>
          <w:rFonts w:ascii="Calibri" w:hAnsi="Calibri" w:cs="Calibri"/>
          <w:bCs/>
          <w:sz w:val="22"/>
          <w:szCs w:val="22"/>
        </w:rPr>
        <w:t xml:space="preserve">at </w:t>
      </w:r>
      <w:r w:rsidRPr="0047333D">
        <w:rPr>
          <w:rFonts w:ascii="Calibri" w:hAnsi="Calibri" w:cs="Calibri"/>
          <w:bCs/>
          <w:sz w:val="22"/>
          <w:szCs w:val="22"/>
        </w:rPr>
        <w:t xml:space="preserve">Annex </w:t>
      </w:r>
      <w:r w:rsidR="00CE5742" w:rsidRPr="0047333D">
        <w:rPr>
          <w:rFonts w:ascii="Calibri" w:hAnsi="Calibri" w:cs="Calibri"/>
          <w:bCs/>
          <w:sz w:val="22"/>
          <w:szCs w:val="22"/>
        </w:rPr>
        <w:t>2</w:t>
      </w:r>
      <w:r w:rsidR="00E72D40" w:rsidRPr="0047333D">
        <w:rPr>
          <w:rFonts w:ascii="Calibri" w:hAnsi="Calibri" w:cs="Calibri"/>
          <w:bCs/>
          <w:sz w:val="22"/>
          <w:szCs w:val="22"/>
        </w:rPr>
        <w:t xml:space="preserve"> is a summary</w:t>
      </w:r>
      <w:r w:rsidRPr="0047333D">
        <w:rPr>
          <w:rFonts w:ascii="Calibri" w:hAnsi="Calibri" w:cs="Calibri"/>
          <w:bCs/>
          <w:sz w:val="22"/>
          <w:szCs w:val="22"/>
        </w:rPr>
        <w:t xml:space="preserve"> of </w:t>
      </w:r>
      <w:r w:rsidR="008532A7" w:rsidRPr="0047333D">
        <w:rPr>
          <w:rFonts w:ascii="Calibri" w:hAnsi="Calibri" w:cs="Calibri"/>
          <w:bCs/>
          <w:sz w:val="22"/>
          <w:szCs w:val="22"/>
        </w:rPr>
        <w:t xml:space="preserve">the </w:t>
      </w:r>
      <w:r w:rsidR="008A77C9" w:rsidRPr="0047333D">
        <w:rPr>
          <w:rFonts w:ascii="Calibri" w:hAnsi="Calibri" w:cs="Calibri"/>
          <w:bCs/>
          <w:sz w:val="22"/>
          <w:szCs w:val="22"/>
        </w:rPr>
        <w:t xml:space="preserve">approved </w:t>
      </w:r>
      <w:r w:rsidRPr="0047333D">
        <w:rPr>
          <w:rFonts w:ascii="Calibri" w:hAnsi="Calibri" w:cs="Calibri"/>
          <w:bCs/>
          <w:sz w:val="22"/>
          <w:szCs w:val="22"/>
        </w:rPr>
        <w:t>201</w:t>
      </w:r>
      <w:r w:rsidR="00B9791E" w:rsidRPr="0047333D">
        <w:rPr>
          <w:rFonts w:ascii="Calibri" w:hAnsi="Calibri" w:cs="Calibri"/>
          <w:bCs/>
          <w:sz w:val="22"/>
          <w:szCs w:val="22"/>
        </w:rPr>
        <w:t>6</w:t>
      </w:r>
      <w:r w:rsidR="00621364" w:rsidRPr="0047333D">
        <w:rPr>
          <w:rFonts w:ascii="Calibri" w:hAnsi="Calibri" w:cs="Calibri"/>
          <w:bCs/>
          <w:sz w:val="22"/>
          <w:szCs w:val="22"/>
        </w:rPr>
        <w:t xml:space="preserve"> </w:t>
      </w:r>
      <w:r w:rsidR="009C5E7D" w:rsidRPr="0047333D">
        <w:rPr>
          <w:rFonts w:ascii="Calibri" w:hAnsi="Calibri" w:cs="Calibri"/>
          <w:bCs/>
          <w:sz w:val="22"/>
          <w:szCs w:val="22"/>
        </w:rPr>
        <w:t xml:space="preserve">core </w:t>
      </w:r>
      <w:r w:rsidR="00621364" w:rsidRPr="0047333D">
        <w:rPr>
          <w:rFonts w:ascii="Calibri" w:hAnsi="Calibri" w:cs="Calibri"/>
          <w:bCs/>
          <w:sz w:val="22"/>
          <w:szCs w:val="22"/>
        </w:rPr>
        <w:t>budget</w:t>
      </w:r>
      <w:r w:rsidR="00773F5F" w:rsidRPr="0047333D">
        <w:rPr>
          <w:rFonts w:ascii="Calibri" w:hAnsi="Calibri" w:cs="Calibri"/>
          <w:bCs/>
          <w:sz w:val="22"/>
          <w:szCs w:val="22"/>
        </w:rPr>
        <w:t xml:space="preserve"> (as per decision SC51-22 with agreed changes to </w:t>
      </w:r>
      <w:r w:rsidR="00513AB1" w:rsidRPr="0047333D">
        <w:rPr>
          <w:rFonts w:ascii="Calibri" w:hAnsi="Calibri" w:cs="Calibri"/>
          <w:bCs/>
          <w:sz w:val="22"/>
          <w:szCs w:val="22"/>
        </w:rPr>
        <w:t xml:space="preserve">the </w:t>
      </w:r>
      <w:r w:rsidR="00773F5F" w:rsidRPr="0047333D">
        <w:rPr>
          <w:rFonts w:ascii="Calibri" w:hAnsi="Calibri" w:cs="Calibri"/>
          <w:bCs/>
          <w:sz w:val="22"/>
          <w:szCs w:val="22"/>
        </w:rPr>
        <w:t>COP12</w:t>
      </w:r>
      <w:r w:rsidR="00513AB1" w:rsidRPr="0047333D">
        <w:rPr>
          <w:rFonts w:ascii="Calibri" w:hAnsi="Calibri" w:cs="Calibri"/>
          <w:bCs/>
          <w:sz w:val="22"/>
          <w:szCs w:val="22"/>
        </w:rPr>
        <w:t>-</w:t>
      </w:r>
      <w:r w:rsidR="00773F5F" w:rsidRPr="0047333D">
        <w:rPr>
          <w:rFonts w:ascii="Calibri" w:hAnsi="Calibri" w:cs="Calibri"/>
          <w:bCs/>
          <w:sz w:val="22"/>
          <w:szCs w:val="22"/>
        </w:rPr>
        <w:t>approved budget)</w:t>
      </w:r>
      <w:r w:rsidR="00621364" w:rsidRPr="0047333D">
        <w:rPr>
          <w:rFonts w:ascii="Calibri" w:hAnsi="Calibri" w:cs="Calibri"/>
          <w:bCs/>
          <w:sz w:val="22"/>
          <w:szCs w:val="22"/>
        </w:rPr>
        <w:t xml:space="preserve">, </w:t>
      </w:r>
      <w:r w:rsidR="00B9791E" w:rsidRPr="0047333D">
        <w:rPr>
          <w:rFonts w:ascii="Calibri" w:hAnsi="Calibri" w:cs="Calibri"/>
          <w:bCs/>
          <w:sz w:val="22"/>
          <w:szCs w:val="22"/>
        </w:rPr>
        <w:t>preliminary</w:t>
      </w:r>
      <w:r w:rsidR="008532A7" w:rsidRPr="0047333D">
        <w:rPr>
          <w:rFonts w:ascii="Calibri" w:hAnsi="Calibri" w:cs="Calibri"/>
          <w:bCs/>
          <w:sz w:val="22"/>
          <w:szCs w:val="22"/>
        </w:rPr>
        <w:t xml:space="preserve"> income and expenditure</w:t>
      </w:r>
      <w:r w:rsidR="00621364" w:rsidRPr="0047333D">
        <w:rPr>
          <w:rFonts w:ascii="Calibri" w:hAnsi="Calibri" w:cs="Calibri"/>
          <w:bCs/>
          <w:sz w:val="22"/>
          <w:szCs w:val="22"/>
        </w:rPr>
        <w:t xml:space="preserve"> </w:t>
      </w:r>
      <w:r w:rsidR="00860E5D" w:rsidRPr="0047333D">
        <w:rPr>
          <w:rFonts w:ascii="Calibri" w:hAnsi="Calibri" w:cs="Calibri"/>
          <w:bCs/>
          <w:sz w:val="22"/>
          <w:szCs w:val="22"/>
        </w:rPr>
        <w:t xml:space="preserve">as </w:t>
      </w:r>
      <w:r w:rsidR="00621364" w:rsidRPr="0047333D">
        <w:rPr>
          <w:rFonts w:ascii="Calibri" w:hAnsi="Calibri" w:cs="Calibri"/>
          <w:bCs/>
          <w:sz w:val="22"/>
          <w:szCs w:val="22"/>
        </w:rPr>
        <w:t xml:space="preserve">at </w:t>
      </w:r>
      <w:r w:rsidR="00E72D40" w:rsidRPr="0047333D">
        <w:rPr>
          <w:rFonts w:ascii="Calibri" w:hAnsi="Calibri" w:cs="Calibri"/>
          <w:bCs/>
          <w:sz w:val="22"/>
          <w:szCs w:val="22"/>
        </w:rPr>
        <w:t>31 Dec</w:t>
      </w:r>
      <w:r w:rsidR="00024785" w:rsidRPr="0047333D">
        <w:rPr>
          <w:rFonts w:ascii="Calibri" w:hAnsi="Calibri" w:cs="Calibri"/>
          <w:bCs/>
          <w:sz w:val="22"/>
          <w:szCs w:val="22"/>
        </w:rPr>
        <w:t>ember 201</w:t>
      </w:r>
      <w:r w:rsidR="00797C03" w:rsidRPr="0047333D">
        <w:rPr>
          <w:rFonts w:ascii="Calibri" w:hAnsi="Calibri" w:cs="Calibri"/>
          <w:bCs/>
          <w:sz w:val="22"/>
          <w:szCs w:val="22"/>
        </w:rPr>
        <w:t>6</w:t>
      </w:r>
      <w:r w:rsidRPr="0047333D">
        <w:rPr>
          <w:rFonts w:ascii="Calibri" w:hAnsi="Calibri" w:cs="Calibri"/>
          <w:bCs/>
          <w:sz w:val="22"/>
          <w:szCs w:val="22"/>
        </w:rPr>
        <w:t>.</w:t>
      </w:r>
      <w:r w:rsidR="00FA3E1C" w:rsidRPr="0047333D">
        <w:rPr>
          <w:rFonts w:ascii="Calibri" w:hAnsi="Calibri" w:cs="Calibri"/>
          <w:bCs/>
          <w:sz w:val="22"/>
          <w:szCs w:val="22"/>
        </w:rPr>
        <w:t xml:space="preserve"> These are </w:t>
      </w:r>
      <w:r w:rsidR="000538AA" w:rsidRPr="0047333D">
        <w:rPr>
          <w:rFonts w:ascii="Calibri" w:hAnsi="Calibri" w:cs="Calibri"/>
          <w:bCs/>
          <w:sz w:val="22"/>
          <w:szCs w:val="22"/>
        </w:rPr>
        <w:t xml:space="preserve">presented </w:t>
      </w:r>
      <w:r w:rsidR="00FA3E1C" w:rsidRPr="0047333D">
        <w:rPr>
          <w:rFonts w:ascii="Calibri" w:hAnsi="Calibri" w:cs="Calibri"/>
          <w:bCs/>
          <w:sz w:val="22"/>
          <w:szCs w:val="22"/>
        </w:rPr>
        <w:t xml:space="preserve">in </w:t>
      </w:r>
      <w:r w:rsidR="000538AA" w:rsidRPr="0047333D">
        <w:rPr>
          <w:rFonts w:ascii="Calibri" w:hAnsi="Calibri" w:cs="Calibri"/>
          <w:bCs/>
          <w:sz w:val="22"/>
          <w:szCs w:val="22"/>
        </w:rPr>
        <w:t xml:space="preserve">the </w:t>
      </w:r>
      <w:r w:rsidR="00FA3E1C" w:rsidRPr="0047333D">
        <w:rPr>
          <w:rFonts w:ascii="Calibri" w:hAnsi="Calibri" w:cs="Calibri"/>
          <w:bCs/>
          <w:sz w:val="22"/>
          <w:szCs w:val="22"/>
        </w:rPr>
        <w:t>Ramsar reporting format.</w:t>
      </w:r>
    </w:p>
    <w:p w:rsidR="000E6D09" w:rsidRPr="0047333D" w:rsidRDefault="000E6D09" w:rsidP="0047333D">
      <w:pPr>
        <w:rPr>
          <w:rFonts w:ascii="Calibri" w:hAnsi="Calibri" w:cs="Calibri"/>
          <w:bCs/>
          <w:sz w:val="22"/>
          <w:szCs w:val="22"/>
          <w:lang w:val="en-GB"/>
        </w:rPr>
      </w:pPr>
    </w:p>
    <w:p w:rsidR="000E6D09" w:rsidRPr="0047333D" w:rsidRDefault="000E6D09" w:rsidP="0047333D">
      <w:pPr>
        <w:rPr>
          <w:rFonts w:ascii="Calibri" w:hAnsi="Calibri" w:cs="Calibri"/>
          <w:bCs/>
          <w:sz w:val="22"/>
          <w:szCs w:val="22"/>
        </w:rPr>
      </w:pPr>
    </w:p>
    <w:p w:rsidR="000E6D09" w:rsidRPr="0047333D" w:rsidRDefault="000E6D09" w:rsidP="0047333D">
      <w:pPr>
        <w:rPr>
          <w:rFonts w:ascii="Calibri" w:hAnsi="Calibri" w:cs="Calibri"/>
          <w:b/>
          <w:bCs/>
          <w:sz w:val="22"/>
          <w:szCs w:val="22"/>
        </w:rPr>
      </w:pPr>
      <w:r w:rsidRPr="0047333D">
        <w:rPr>
          <w:rFonts w:ascii="Calibri" w:hAnsi="Calibri" w:cs="Calibri"/>
          <w:b/>
          <w:bCs/>
          <w:sz w:val="22"/>
          <w:szCs w:val="22"/>
        </w:rPr>
        <w:t>Background</w:t>
      </w:r>
    </w:p>
    <w:p w:rsidR="000E6D09" w:rsidRPr="0047333D" w:rsidRDefault="000E6D09" w:rsidP="0047333D">
      <w:pPr>
        <w:rPr>
          <w:rFonts w:ascii="Calibri" w:hAnsi="Calibri" w:cs="Calibri"/>
          <w:bCs/>
          <w:sz w:val="22"/>
          <w:szCs w:val="22"/>
        </w:rPr>
      </w:pPr>
    </w:p>
    <w:p w:rsidR="000E6D09" w:rsidRPr="0047333D" w:rsidRDefault="009C3DF6" w:rsidP="0047333D">
      <w:pPr>
        <w:pStyle w:val="ListParagraph"/>
        <w:numPr>
          <w:ilvl w:val="0"/>
          <w:numId w:val="26"/>
        </w:numPr>
        <w:ind w:left="426" w:hanging="426"/>
        <w:rPr>
          <w:rFonts w:ascii="Calibri" w:hAnsi="Calibri" w:cs="Calibri"/>
          <w:bCs/>
          <w:sz w:val="22"/>
          <w:szCs w:val="22"/>
        </w:rPr>
      </w:pPr>
      <w:r w:rsidRPr="0047333D">
        <w:rPr>
          <w:rFonts w:ascii="Calibri" w:hAnsi="Calibri"/>
          <w:sz w:val="22"/>
          <w:szCs w:val="22"/>
        </w:rPr>
        <w:t xml:space="preserve">The new Secretary General </w:t>
      </w:r>
      <w:r w:rsidR="00B46A26" w:rsidRPr="0047333D">
        <w:rPr>
          <w:rFonts w:ascii="Calibri" w:hAnsi="Calibri"/>
          <w:sz w:val="22"/>
          <w:szCs w:val="22"/>
        </w:rPr>
        <w:t xml:space="preserve">has </w:t>
      </w:r>
      <w:r w:rsidRPr="0047333D">
        <w:rPr>
          <w:rFonts w:ascii="Calibri" w:hAnsi="Calibri"/>
          <w:sz w:val="22"/>
          <w:szCs w:val="22"/>
        </w:rPr>
        <w:t xml:space="preserve">identified </w:t>
      </w:r>
      <w:r w:rsidR="00773F5F" w:rsidRPr="0047333D">
        <w:rPr>
          <w:rFonts w:ascii="Calibri" w:hAnsi="Calibri"/>
          <w:sz w:val="22"/>
          <w:szCs w:val="22"/>
        </w:rPr>
        <w:t xml:space="preserve">a number of </w:t>
      </w:r>
      <w:r w:rsidRPr="0047333D">
        <w:rPr>
          <w:rFonts w:ascii="Calibri" w:hAnsi="Calibri"/>
          <w:sz w:val="22"/>
          <w:szCs w:val="22"/>
        </w:rPr>
        <w:t>issues of concern regarding the management of the Secretariat finances and submitted a report to the Executive Team in 2016</w:t>
      </w:r>
      <w:r w:rsidR="00B46A26" w:rsidRPr="0047333D">
        <w:rPr>
          <w:rFonts w:ascii="Calibri" w:hAnsi="Calibri"/>
          <w:sz w:val="22"/>
          <w:szCs w:val="22"/>
        </w:rPr>
        <w:t>,</w:t>
      </w:r>
      <w:r w:rsidRPr="0047333D">
        <w:rPr>
          <w:rFonts w:ascii="Calibri" w:hAnsi="Calibri"/>
          <w:sz w:val="22"/>
          <w:szCs w:val="22"/>
        </w:rPr>
        <w:t xml:space="preserve"> which includes an Action Plan to address the issues identified.</w:t>
      </w:r>
      <w:r w:rsidR="00773F5F" w:rsidRPr="0047333D">
        <w:rPr>
          <w:rFonts w:ascii="Calibri" w:hAnsi="Calibri"/>
          <w:sz w:val="22"/>
          <w:szCs w:val="22"/>
        </w:rPr>
        <w:t xml:space="preserve"> This Action Plan is currently being implemented.</w:t>
      </w:r>
    </w:p>
    <w:p w:rsidR="009C3DF6" w:rsidRPr="0047333D" w:rsidRDefault="009C3DF6" w:rsidP="0047333D">
      <w:pPr>
        <w:pStyle w:val="ListParagraph"/>
        <w:ind w:left="426"/>
        <w:rPr>
          <w:rFonts w:ascii="Calibri" w:hAnsi="Calibri" w:cs="Calibri"/>
          <w:bCs/>
          <w:sz w:val="22"/>
          <w:szCs w:val="22"/>
        </w:rPr>
      </w:pPr>
    </w:p>
    <w:p w:rsidR="009C3DF6" w:rsidRPr="0047333D" w:rsidRDefault="009C3DF6" w:rsidP="0047333D">
      <w:pPr>
        <w:pStyle w:val="ListParagraph"/>
        <w:numPr>
          <w:ilvl w:val="0"/>
          <w:numId w:val="26"/>
        </w:numPr>
        <w:ind w:left="426" w:hanging="426"/>
        <w:rPr>
          <w:rFonts w:ascii="Calibri" w:hAnsi="Calibri" w:cs="Calibri"/>
          <w:bCs/>
          <w:sz w:val="22"/>
          <w:szCs w:val="22"/>
        </w:rPr>
      </w:pPr>
      <w:r w:rsidRPr="0047333D">
        <w:rPr>
          <w:rFonts w:ascii="Calibri" w:hAnsi="Calibri"/>
          <w:sz w:val="22"/>
          <w:szCs w:val="22"/>
        </w:rPr>
        <w:lastRenderedPageBreak/>
        <w:t>The subsequent unexpected departure of the Finance Officer, on 2 November</w:t>
      </w:r>
      <w:r w:rsidR="00773F5F" w:rsidRPr="0047333D">
        <w:rPr>
          <w:rFonts w:ascii="Calibri" w:hAnsi="Calibri"/>
          <w:sz w:val="22"/>
          <w:szCs w:val="22"/>
        </w:rPr>
        <w:t xml:space="preserve"> 2016</w:t>
      </w:r>
      <w:r w:rsidRPr="0047333D">
        <w:rPr>
          <w:rFonts w:ascii="Calibri" w:hAnsi="Calibri"/>
          <w:sz w:val="22"/>
          <w:szCs w:val="22"/>
        </w:rPr>
        <w:t xml:space="preserve">, created a gap in capacity for the Finance </w:t>
      </w:r>
      <w:r w:rsidR="009D2E4D">
        <w:rPr>
          <w:rFonts w:ascii="Calibri" w:hAnsi="Calibri"/>
          <w:sz w:val="22"/>
          <w:szCs w:val="22"/>
        </w:rPr>
        <w:t>D</w:t>
      </w:r>
      <w:r w:rsidRPr="0047333D">
        <w:rPr>
          <w:rFonts w:ascii="Calibri" w:hAnsi="Calibri"/>
          <w:sz w:val="22"/>
          <w:szCs w:val="22"/>
        </w:rPr>
        <w:t>epartment. An interim solution is in place until the newly recruited Finance Officer starts on 15 May</w:t>
      </w:r>
      <w:r w:rsidR="00773F5F" w:rsidRPr="0047333D">
        <w:rPr>
          <w:rFonts w:ascii="Calibri" w:hAnsi="Calibri"/>
          <w:sz w:val="22"/>
          <w:szCs w:val="22"/>
        </w:rPr>
        <w:t xml:space="preserve"> 2017</w:t>
      </w:r>
      <w:r w:rsidRPr="0047333D">
        <w:rPr>
          <w:rFonts w:ascii="Calibri" w:hAnsi="Calibri"/>
          <w:sz w:val="22"/>
          <w:szCs w:val="22"/>
        </w:rPr>
        <w:t>.</w:t>
      </w:r>
    </w:p>
    <w:p w:rsidR="009C3DF6" w:rsidRPr="0047333D" w:rsidRDefault="009C3DF6" w:rsidP="0047333D">
      <w:pPr>
        <w:pStyle w:val="ListParagraph"/>
        <w:rPr>
          <w:rFonts w:ascii="Calibri" w:hAnsi="Calibri" w:cs="Calibri"/>
          <w:bCs/>
          <w:sz w:val="22"/>
          <w:szCs w:val="22"/>
        </w:rPr>
      </w:pPr>
    </w:p>
    <w:p w:rsidR="009C3DF6" w:rsidRPr="0047333D" w:rsidRDefault="00C12BD8" w:rsidP="0047333D">
      <w:pPr>
        <w:pStyle w:val="ListParagraph"/>
        <w:numPr>
          <w:ilvl w:val="0"/>
          <w:numId w:val="26"/>
        </w:numPr>
        <w:ind w:left="426" w:hanging="426"/>
        <w:rPr>
          <w:rFonts w:ascii="Calibri" w:hAnsi="Calibri" w:cs="Calibri"/>
          <w:bCs/>
          <w:sz w:val="22"/>
          <w:szCs w:val="22"/>
        </w:rPr>
      </w:pPr>
      <w:r w:rsidRPr="0047333D">
        <w:rPr>
          <w:rFonts w:ascii="Calibri" w:hAnsi="Calibri"/>
          <w:sz w:val="22"/>
          <w:szCs w:val="22"/>
        </w:rPr>
        <w:t>Owing</w:t>
      </w:r>
      <w:r w:rsidR="009C3DF6" w:rsidRPr="0047333D">
        <w:rPr>
          <w:rFonts w:ascii="Calibri" w:hAnsi="Calibri"/>
          <w:sz w:val="22"/>
          <w:szCs w:val="22"/>
        </w:rPr>
        <w:t xml:space="preserve"> </w:t>
      </w:r>
      <w:r w:rsidRPr="0047333D">
        <w:rPr>
          <w:rFonts w:ascii="Calibri" w:hAnsi="Calibri"/>
          <w:sz w:val="22"/>
          <w:szCs w:val="22"/>
        </w:rPr>
        <w:t>to these circumstances</w:t>
      </w:r>
      <w:r w:rsidR="0038074E" w:rsidRPr="0047333D">
        <w:rPr>
          <w:rFonts w:ascii="Calibri" w:hAnsi="Calibri"/>
          <w:sz w:val="22"/>
          <w:szCs w:val="22"/>
        </w:rPr>
        <w:t xml:space="preserve"> and the </w:t>
      </w:r>
      <w:r w:rsidR="009D2E4D">
        <w:rPr>
          <w:rFonts w:ascii="Calibri" w:hAnsi="Calibri"/>
          <w:sz w:val="22"/>
          <w:szCs w:val="22"/>
        </w:rPr>
        <w:t xml:space="preserve">ongoing </w:t>
      </w:r>
      <w:r w:rsidR="0038074E" w:rsidRPr="0047333D">
        <w:rPr>
          <w:rFonts w:ascii="Calibri" w:hAnsi="Calibri"/>
          <w:sz w:val="22"/>
          <w:szCs w:val="22"/>
        </w:rPr>
        <w:t>correction of issues identified</w:t>
      </w:r>
      <w:r w:rsidRPr="0047333D">
        <w:rPr>
          <w:rFonts w:ascii="Calibri" w:hAnsi="Calibri"/>
          <w:sz w:val="22"/>
          <w:szCs w:val="22"/>
        </w:rPr>
        <w:t>,</w:t>
      </w:r>
      <w:r w:rsidR="009C3DF6" w:rsidRPr="0047333D">
        <w:rPr>
          <w:rFonts w:ascii="Calibri" w:hAnsi="Calibri"/>
          <w:sz w:val="22"/>
          <w:szCs w:val="22"/>
        </w:rPr>
        <w:t xml:space="preserve"> the Secretariat has included preliminary rather than final financial figures in </w:t>
      </w:r>
      <w:r w:rsidRPr="0047333D">
        <w:rPr>
          <w:rFonts w:ascii="Calibri" w:hAnsi="Calibri"/>
          <w:sz w:val="22"/>
          <w:szCs w:val="22"/>
        </w:rPr>
        <w:t>the present</w:t>
      </w:r>
      <w:r w:rsidR="009C3DF6" w:rsidRPr="0047333D">
        <w:rPr>
          <w:rFonts w:ascii="Calibri" w:hAnsi="Calibri"/>
          <w:sz w:val="22"/>
          <w:szCs w:val="22"/>
        </w:rPr>
        <w:t xml:space="preserve"> document.</w:t>
      </w:r>
      <w:r w:rsidR="0038074E" w:rsidRPr="0047333D">
        <w:rPr>
          <w:rFonts w:ascii="Calibri" w:hAnsi="Calibri"/>
          <w:sz w:val="22"/>
          <w:szCs w:val="22"/>
        </w:rPr>
        <w:t xml:space="preserve"> This was agreed by the </w:t>
      </w:r>
      <w:r w:rsidR="0064363C" w:rsidRPr="0047333D">
        <w:rPr>
          <w:rFonts w:ascii="Calibri" w:hAnsi="Calibri"/>
          <w:sz w:val="22"/>
          <w:szCs w:val="22"/>
        </w:rPr>
        <w:t>Finance Sub-group on 2 March 2017.</w:t>
      </w:r>
    </w:p>
    <w:p w:rsidR="00515D38" w:rsidRPr="0047333D" w:rsidRDefault="00515D38" w:rsidP="0047333D">
      <w:pPr>
        <w:ind w:left="540" w:hanging="540"/>
        <w:rPr>
          <w:rFonts w:ascii="Calibri" w:hAnsi="Calibri" w:cs="Calibri"/>
          <w:b/>
          <w:bCs/>
          <w:sz w:val="22"/>
          <w:szCs w:val="22"/>
        </w:rPr>
      </w:pPr>
    </w:p>
    <w:p w:rsidR="00B0151E" w:rsidRPr="0047333D" w:rsidRDefault="00B0151E" w:rsidP="0047333D">
      <w:pPr>
        <w:ind w:left="540" w:hanging="540"/>
        <w:rPr>
          <w:rFonts w:ascii="Calibri" w:hAnsi="Calibri" w:cs="Calibri"/>
          <w:b/>
          <w:bCs/>
          <w:sz w:val="22"/>
          <w:szCs w:val="22"/>
        </w:rPr>
      </w:pPr>
    </w:p>
    <w:p w:rsidR="002464F2" w:rsidRPr="0047333D" w:rsidRDefault="00E50BEF" w:rsidP="0047333D">
      <w:pPr>
        <w:rPr>
          <w:rFonts w:ascii="Calibri" w:hAnsi="Calibri" w:cs="Calibri"/>
          <w:bCs/>
          <w:sz w:val="22"/>
          <w:szCs w:val="22"/>
          <w:lang w:val="en-GB"/>
        </w:rPr>
      </w:pPr>
      <w:r w:rsidRPr="0047333D">
        <w:rPr>
          <w:rFonts w:ascii="Calibri" w:hAnsi="Calibri" w:cs="Calibri"/>
          <w:b/>
          <w:bCs/>
          <w:sz w:val="22"/>
          <w:szCs w:val="22"/>
        </w:rPr>
        <w:t>201</w:t>
      </w:r>
      <w:r w:rsidR="008C5CB1" w:rsidRPr="0047333D">
        <w:rPr>
          <w:rFonts w:ascii="Calibri" w:hAnsi="Calibri" w:cs="Calibri"/>
          <w:b/>
          <w:bCs/>
          <w:sz w:val="22"/>
          <w:szCs w:val="22"/>
        </w:rPr>
        <w:t>6</w:t>
      </w:r>
      <w:r w:rsidRPr="0047333D">
        <w:rPr>
          <w:rFonts w:ascii="Calibri" w:hAnsi="Calibri" w:cs="Calibri"/>
          <w:b/>
          <w:bCs/>
          <w:sz w:val="22"/>
          <w:szCs w:val="22"/>
        </w:rPr>
        <w:t xml:space="preserve"> </w:t>
      </w:r>
      <w:r w:rsidR="00B650F1" w:rsidRPr="0047333D">
        <w:rPr>
          <w:rFonts w:ascii="Calibri" w:hAnsi="Calibri" w:cs="Calibri"/>
          <w:b/>
          <w:bCs/>
          <w:sz w:val="22"/>
          <w:szCs w:val="22"/>
        </w:rPr>
        <w:t>r</w:t>
      </w:r>
      <w:r w:rsidR="009966E8" w:rsidRPr="0047333D">
        <w:rPr>
          <w:rFonts w:ascii="Calibri" w:hAnsi="Calibri" w:cs="Calibri"/>
          <w:b/>
          <w:bCs/>
          <w:sz w:val="22"/>
          <w:szCs w:val="22"/>
        </w:rPr>
        <w:t>esults</w:t>
      </w:r>
      <w:r w:rsidR="00752371" w:rsidRPr="0047333D">
        <w:rPr>
          <w:rFonts w:ascii="Calibri" w:hAnsi="Calibri" w:cs="Calibri"/>
          <w:b/>
          <w:bCs/>
          <w:sz w:val="22"/>
          <w:szCs w:val="22"/>
        </w:rPr>
        <w:t xml:space="preserve"> – </w:t>
      </w:r>
      <w:r w:rsidR="00B650F1" w:rsidRPr="0047333D">
        <w:rPr>
          <w:rFonts w:ascii="Calibri" w:hAnsi="Calibri" w:cs="Calibri"/>
          <w:b/>
          <w:bCs/>
          <w:sz w:val="22"/>
          <w:szCs w:val="22"/>
        </w:rPr>
        <w:t>c</w:t>
      </w:r>
      <w:r w:rsidR="00752371" w:rsidRPr="0047333D">
        <w:rPr>
          <w:rFonts w:ascii="Calibri" w:hAnsi="Calibri" w:cs="Calibri"/>
          <w:b/>
          <w:bCs/>
          <w:sz w:val="22"/>
          <w:szCs w:val="22"/>
        </w:rPr>
        <w:t>ore</w:t>
      </w:r>
      <w:r w:rsidR="00116AEA" w:rsidRPr="0047333D">
        <w:rPr>
          <w:rFonts w:ascii="Calibri" w:hAnsi="Calibri" w:cs="Calibri"/>
          <w:b/>
          <w:bCs/>
          <w:sz w:val="22"/>
          <w:szCs w:val="22"/>
        </w:rPr>
        <w:t xml:space="preserve"> </w:t>
      </w:r>
      <w:r w:rsidR="00C171D3" w:rsidRPr="0047333D">
        <w:rPr>
          <w:rFonts w:ascii="Calibri" w:hAnsi="Calibri" w:cs="Calibri"/>
          <w:b/>
          <w:bCs/>
          <w:sz w:val="22"/>
          <w:szCs w:val="22"/>
        </w:rPr>
        <w:t>budget</w:t>
      </w:r>
    </w:p>
    <w:p w:rsidR="002464F2" w:rsidRPr="0047333D" w:rsidRDefault="002464F2" w:rsidP="0047333D">
      <w:pPr>
        <w:pStyle w:val="ListParagraph"/>
        <w:ind w:left="426" w:hanging="426"/>
        <w:rPr>
          <w:rFonts w:ascii="Calibri" w:hAnsi="Calibri" w:cs="Calibri"/>
          <w:bCs/>
          <w:sz w:val="22"/>
          <w:szCs w:val="22"/>
        </w:rPr>
      </w:pPr>
    </w:p>
    <w:p w:rsidR="00161CB8" w:rsidRPr="0047333D" w:rsidRDefault="009C5E7D"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 xml:space="preserve">The </w:t>
      </w:r>
      <w:r w:rsidR="00127C82" w:rsidRPr="0047333D">
        <w:rPr>
          <w:rFonts w:ascii="Calibri" w:hAnsi="Calibri" w:cs="Calibri"/>
          <w:bCs/>
          <w:sz w:val="22"/>
          <w:szCs w:val="22"/>
        </w:rPr>
        <w:t>201</w:t>
      </w:r>
      <w:r w:rsidR="008C5CB1" w:rsidRPr="0047333D">
        <w:rPr>
          <w:rFonts w:ascii="Calibri" w:hAnsi="Calibri" w:cs="Calibri"/>
          <w:bCs/>
          <w:sz w:val="22"/>
          <w:szCs w:val="22"/>
        </w:rPr>
        <w:t>6</w:t>
      </w:r>
      <w:r w:rsidR="00127C82" w:rsidRPr="0047333D">
        <w:rPr>
          <w:rFonts w:ascii="Calibri" w:hAnsi="Calibri" w:cs="Calibri"/>
          <w:bCs/>
          <w:sz w:val="22"/>
          <w:szCs w:val="22"/>
        </w:rPr>
        <w:t xml:space="preserve"> </w:t>
      </w:r>
      <w:r w:rsidR="008C5CB1" w:rsidRPr="0047333D">
        <w:rPr>
          <w:rFonts w:ascii="Calibri" w:hAnsi="Calibri" w:cs="Calibri"/>
          <w:bCs/>
          <w:sz w:val="22"/>
          <w:szCs w:val="22"/>
        </w:rPr>
        <w:t xml:space="preserve">preliminary </w:t>
      </w:r>
      <w:r w:rsidR="00FF69BF" w:rsidRPr="0047333D">
        <w:rPr>
          <w:rFonts w:ascii="Calibri" w:hAnsi="Calibri" w:cs="Calibri"/>
          <w:bCs/>
          <w:sz w:val="22"/>
          <w:szCs w:val="22"/>
        </w:rPr>
        <w:t xml:space="preserve">core </w:t>
      </w:r>
      <w:r w:rsidR="00824F2C" w:rsidRPr="0047333D">
        <w:rPr>
          <w:rFonts w:ascii="Calibri" w:hAnsi="Calibri" w:cs="Calibri"/>
          <w:bCs/>
          <w:sz w:val="22"/>
          <w:szCs w:val="22"/>
        </w:rPr>
        <w:t xml:space="preserve">budget summary </w:t>
      </w:r>
      <w:r w:rsidR="00A84835" w:rsidRPr="0047333D">
        <w:rPr>
          <w:rFonts w:ascii="Calibri" w:hAnsi="Calibri" w:cs="Calibri"/>
          <w:bCs/>
          <w:sz w:val="22"/>
          <w:szCs w:val="22"/>
        </w:rPr>
        <w:t xml:space="preserve">attached </w:t>
      </w:r>
      <w:r w:rsidR="00E820C1" w:rsidRPr="0047333D">
        <w:rPr>
          <w:rFonts w:ascii="Calibri" w:hAnsi="Calibri" w:cs="Calibri"/>
          <w:bCs/>
          <w:sz w:val="22"/>
          <w:szCs w:val="22"/>
        </w:rPr>
        <w:t xml:space="preserve">at </w:t>
      </w:r>
      <w:r w:rsidR="00824F2C" w:rsidRPr="0047333D">
        <w:rPr>
          <w:rFonts w:ascii="Calibri" w:hAnsi="Calibri" w:cs="Calibri"/>
          <w:bCs/>
          <w:sz w:val="22"/>
          <w:szCs w:val="22"/>
        </w:rPr>
        <w:t xml:space="preserve">Annex </w:t>
      </w:r>
      <w:r w:rsidR="008A77C9" w:rsidRPr="0047333D">
        <w:rPr>
          <w:rFonts w:ascii="Calibri" w:hAnsi="Calibri" w:cs="Calibri"/>
          <w:bCs/>
          <w:sz w:val="22"/>
          <w:szCs w:val="22"/>
        </w:rPr>
        <w:t>2</w:t>
      </w:r>
      <w:r w:rsidR="00BD0521" w:rsidRPr="0047333D">
        <w:rPr>
          <w:rFonts w:ascii="Calibri" w:hAnsi="Calibri" w:cs="Calibri"/>
          <w:bCs/>
          <w:sz w:val="22"/>
          <w:szCs w:val="22"/>
        </w:rPr>
        <w:t xml:space="preserve"> shows </w:t>
      </w:r>
      <w:r w:rsidR="006E3166" w:rsidRPr="0047333D">
        <w:rPr>
          <w:rFonts w:ascii="Calibri" w:hAnsi="Calibri" w:cs="Calibri"/>
          <w:bCs/>
          <w:sz w:val="22"/>
          <w:szCs w:val="22"/>
        </w:rPr>
        <w:t xml:space="preserve">the </w:t>
      </w:r>
      <w:r w:rsidR="00BD0521" w:rsidRPr="0047333D">
        <w:rPr>
          <w:rFonts w:ascii="Calibri" w:hAnsi="Calibri" w:cs="Calibri"/>
          <w:bCs/>
          <w:sz w:val="22"/>
          <w:szCs w:val="22"/>
        </w:rPr>
        <w:t>approved budget, actual</w:t>
      </w:r>
      <w:r w:rsidR="00C171D3" w:rsidRPr="0047333D">
        <w:rPr>
          <w:rFonts w:ascii="Calibri" w:hAnsi="Calibri" w:cs="Calibri"/>
          <w:bCs/>
          <w:sz w:val="22"/>
          <w:szCs w:val="22"/>
        </w:rPr>
        <w:t xml:space="preserve"> income and expenditure,</w:t>
      </w:r>
      <w:r w:rsidR="00E72D40" w:rsidRPr="0047333D">
        <w:rPr>
          <w:rFonts w:ascii="Calibri" w:hAnsi="Calibri" w:cs="Calibri"/>
          <w:bCs/>
          <w:sz w:val="22"/>
          <w:szCs w:val="22"/>
        </w:rPr>
        <w:t xml:space="preserve"> and </w:t>
      </w:r>
      <w:r w:rsidR="006E3166" w:rsidRPr="0047333D">
        <w:rPr>
          <w:rFonts w:ascii="Calibri" w:hAnsi="Calibri" w:cs="Calibri"/>
          <w:bCs/>
          <w:sz w:val="22"/>
          <w:szCs w:val="22"/>
        </w:rPr>
        <w:t xml:space="preserve">the </w:t>
      </w:r>
      <w:r w:rsidR="00E72D40" w:rsidRPr="0047333D">
        <w:rPr>
          <w:rFonts w:ascii="Calibri" w:hAnsi="Calibri" w:cs="Calibri"/>
          <w:bCs/>
          <w:sz w:val="22"/>
          <w:szCs w:val="22"/>
        </w:rPr>
        <w:t>variance between actuals</w:t>
      </w:r>
      <w:r w:rsidR="00BD0521" w:rsidRPr="0047333D">
        <w:rPr>
          <w:rFonts w:ascii="Calibri" w:hAnsi="Calibri" w:cs="Calibri"/>
          <w:bCs/>
          <w:sz w:val="22"/>
          <w:szCs w:val="22"/>
        </w:rPr>
        <w:t xml:space="preserve"> and budget. </w:t>
      </w:r>
    </w:p>
    <w:p w:rsidR="00161CB8" w:rsidRPr="0047333D" w:rsidRDefault="00161CB8" w:rsidP="0047333D">
      <w:pPr>
        <w:pStyle w:val="ListParagraph"/>
        <w:rPr>
          <w:rFonts w:ascii="Calibri" w:hAnsi="Calibri" w:cs="Calibri"/>
          <w:bCs/>
          <w:sz w:val="22"/>
          <w:szCs w:val="22"/>
        </w:rPr>
      </w:pPr>
    </w:p>
    <w:p w:rsidR="00161CB8" w:rsidRPr="0047333D" w:rsidRDefault="00ED7C2C"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At the end of 2016, t</w:t>
      </w:r>
      <w:r w:rsidR="00161CB8" w:rsidRPr="0047333D">
        <w:rPr>
          <w:rFonts w:ascii="Calibri" w:hAnsi="Calibri" w:cs="Calibri"/>
          <w:bCs/>
          <w:sz w:val="22"/>
          <w:szCs w:val="22"/>
        </w:rPr>
        <w:t xml:space="preserve">here was a </w:t>
      </w:r>
      <w:r w:rsidR="00E74F77" w:rsidRPr="0047333D">
        <w:rPr>
          <w:rFonts w:ascii="Calibri" w:hAnsi="Calibri" w:cs="Calibri"/>
          <w:bCs/>
          <w:sz w:val="22"/>
          <w:szCs w:val="22"/>
        </w:rPr>
        <w:t xml:space="preserve">preliminary </w:t>
      </w:r>
      <w:r w:rsidR="00161CB8" w:rsidRPr="0047333D">
        <w:rPr>
          <w:rFonts w:ascii="Calibri" w:hAnsi="Calibri" w:cs="Calibri"/>
          <w:bCs/>
          <w:sz w:val="22"/>
          <w:szCs w:val="22"/>
        </w:rPr>
        <w:t xml:space="preserve">core </w:t>
      </w:r>
      <w:r w:rsidR="00E74F77" w:rsidRPr="0047333D">
        <w:rPr>
          <w:rFonts w:ascii="Calibri" w:hAnsi="Calibri" w:cs="Calibri"/>
          <w:bCs/>
          <w:sz w:val="22"/>
          <w:szCs w:val="22"/>
        </w:rPr>
        <w:t xml:space="preserve">budget </w:t>
      </w:r>
      <w:r w:rsidR="00161CB8" w:rsidRPr="0047333D">
        <w:rPr>
          <w:rFonts w:ascii="Calibri" w:hAnsi="Calibri" w:cs="Calibri"/>
          <w:bCs/>
          <w:sz w:val="22"/>
          <w:szCs w:val="22"/>
        </w:rPr>
        <w:t xml:space="preserve">surplus of CHF </w:t>
      </w:r>
      <w:r w:rsidR="008C5CB1" w:rsidRPr="0047333D">
        <w:rPr>
          <w:rFonts w:ascii="Calibri" w:hAnsi="Calibri" w:cs="Calibri"/>
          <w:bCs/>
          <w:sz w:val="22"/>
          <w:szCs w:val="22"/>
        </w:rPr>
        <w:t>3</w:t>
      </w:r>
      <w:r w:rsidR="00161CB8" w:rsidRPr="0047333D">
        <w:rPr>
          <w:rFonts w:ascii="Calibri" w:hAnsi="Calibri" w:cs="Calibri"/>
          <w:bCs/>
          <w:sz w:val="22"/>
          <w:szCs w:val="22"/>
        </w:rPr>
        <w:t xml:space="preserve">38,000. </w:t>
      </w:r>
      <w:r w:rsidR="00A15D95" w:rsidRPr="0047333D">
        <w:rPr>
          <w:rFonts w:ascii="Calibri" w:hAnsi="Calibri" w:cs="Calibri"/>
          <w:bCs/>
          <w:sz w:val="22"/>
          <w:szCs w:val="22"/>
        </w:rPr>
        <w:t>Table 1</w:t>
      </w:r>
      <w:r w:rsidR="00161CB8" w:rsidRPr="0047333D">
        <w:rPr>
          <w:rFonts w:ascii="Calibri" w:hAnsi="Calibri" w:cs="Calibri"/>
          <w:bCs/>
          <w:sz w:val="22"/>
          <w:szCs w:val="22"/>
        </w:rPr>
        <w:t xml:space="preserve"> </w:t>
      </w:r>
      <w:r w:rsidR="00CF2A04" w:rsidRPr="0047333D">
        <w:rPr>
          <w:rFonts w:ascii="Calibri" w:hAnsi="Calibri" w:cs="Calibri"/>
          <w:bCs/>
          <w:sz w:val="22"/>
          <w:szCs w:val="22"/>
        </w:rPr>
        <w:t>below provides a summary</w:t>
      </w:r>
      <w:r w:rsidR="00161CB8" w:rsidRPr="0047333D">
        <w:rPr>
          <w:rFonts w:ascii="Calibri" w:hAnsi="Calibri" w:cs="Calibri"/>
          <w:bCs/>
          <w:sz w:val="22"/>
          <w:szCs w:val="22"/>
        </w:rPr>
        <w:t xml:space="preserve">. </w:t>
      </w:r>
    </w:p>
    <w:p w:rsidR="00161CB8" w:rsidRPr="0047333D" w:rsidRDefault="00161CB8" w:rsidP="0047333D">
      <w:pPr>
        <w:pStyle w:val="ListParagraph"/>
        <w:ind w:left="426"/>
        <w:rPr>
          <w:rFonts w:ascii="Calibri" w:hAnsi="Calibri" w:cs="Calibri"/>
          <w:bCs/>
          <w:sz w:val="22"/>
          <w:szCs w:val="22"/>
        </w:rPr>
      </w:pPr>
    </w:p>
    <w:p w:rsidR="00161CB8" w:rsidRPr="0047333D" w:rsidRDefault="00A15D95" w:rsidP="0047333D">
      <w:pPr>
        <w:rPr>
          <w:rFonts w:ascii="Calibri" w:hAnsi="Calibri" w:cs="Calibri"/>
          <w:i/>
          <w:sz w:val="22"/>
          <w:szCs w:val="22"/>
        </w:rPr>
      </w:pPr>
      <w:r w:rsidRPr="0047333D">
        <w:rPr>
          <w:rFonts w:ascii="Calibri" w:hAnsi="Calibri" w:cs="Calibri"/>
          <w:bCs/>
          <w:i/>
          <w:sz w:val="22"/>
          <w:szCs w:val="22"/>
        </w:rPr>
        <w:t>Table 1</w:t>
      </w:r>
      <w:r w:rsidR="00161CB8" w:rsidRPr="0047333D">
        <w:rPr>
          <w:rFonts w:ascii="Calibri" w:hAnsi="Calibri" w:cs="Calibri"/>
          <w:bCs/>
          <w:i/>
          <w:sz w:val="22"/>
          <w:szCs w:val="22"/>
        </w:rPr>
        <w:t xml:space="preserve">: </w:t>
      </w:r>
      <w:r w:rsidR="00A1746A" w:rsidRPr="0047333D">
        <w:rPr>
          <w:rFonts w:ascii="Calibri" w:hAnsi="Calibri" w:cs="Calibri"/>
          <w:bCs/>
          <w:i/>
          <w:sz w:val="22"/>
          <w:szCs w:val="22"/>
        </w:rPr>
        <w:t xml:space="preserve">2016 preliminary </w:t>
      </w:r>
      <w:r w:rsidR="00350B90" w:rsidRPr="0047333D">
        <w:rPr>
          <w:rFonts w:ascii="Calibri" w:hAnsi="Calibri" w:cs="Calibri"/>
          <w:bCs/>
          <w:i/>
          <w:sz w:val="22"/>
          <w:szCs w:val="22"/>
        </w:rPr>
        <w:t xml:space="preserve">core budget </w:t>
      </w:r>
      <w:r w:rsidR="008C5CB1" w:rsidRPr="0047333D">
        <w:rPr>
          <w:rFonts w:ascii="Calibri" w:hAnsi="Calibri" w:cs="Calibri"/>
          <w:bCs/>
          <w:i/>
          <w:sz w:val="22"/>
          <w:szCs w:val="22"/>
        </w:rPr>
        <w:t>surplus</w:t>
      </w:r>
      <w:r w:rsidR="00161CB8" w:rsidRPr="0047333D">
        <w:rPr>
          <w:rFonts w:ascii="Calibri" w:hAnsi="Calibri" w:cs="Calibri"/>
          <w:bCs/>
          <w:i/>
          <w:sz w:val="22"/>
          <w:szCs w:val="22"/>
        </w:rPr>
        <w:t xml:space="preserve"> summary </w:t>
      </w:r>
      <w:r w:rsidR="00161CB8" w:rsidRPr="0047333D">
        <w:rPr>
          <w:rFonts w:ascii="Calibri" w:hAnsi="Calibri" w:cs="Calibri"/>
          <w:i/>
          <w:sz w:val="22"/>
          <w:szCs w:val="22"/>
        </w:rPr>
        <w:t xml:space="preserve">(‘000 CHF, includes </w:t>
      </w:r>
      <w:r w:rsidR="00143C6A" w:rsidRPr="0047333D">
        <w:rPr>
          <w:rFonts w:ascii="Calibri" w:hAnsi="Calibri" w:cs="Calibri"/>
          <w:i/>
          <w:sz w:val="22"/>
          <w:szCs w:val="22"/>
        </w:rPr>
        <w:t xml:space="preserve">possible </w:t>
      </w:r>
      <w:r w:rsidR="00161CB8" w:rsidRPr="0047333D">
        <w:rPr>
          <w:rFonts w:ascii="Calibri" w:hAnsi="Calibri" w:cs="Calibri"/>
          <w:i/>
          <w:sz w:val="22"/>
          <w:szCs w:val="22"/>
        </w:rPr>
        <w:t xml:space="preserve">rounding </w:t>
      </w:r>
      <w:r w:rsidR="00143C6A" w:rsidRPr="0047333D">
        <w:rPr>
          <w:rFonts w:ascii="Calibri" w:hAnsi="Calibri" w:cs="Calibri"/>
          <w:i/>
          <w:sz w:val="22"/>
          <w:szCs w:val="22"/>
        </w:rPr>
        <w:t>differences</w:t>
      </w:r>
      <w:r w:rsidR="00161CB8" w:rsidRPr="0047333D">
        <w:rPr>
          <w:rFonts w:ascii="Calibri" w:hAnsi="Calibri" w:cs="Calibri"/>
          <w:i/>
          <w:sz w:val="22"/>
          <w:szCs w:val="22"/>
        </w:rPr>
        <w:t>)</w:t>
      </w:r>
    </w:p>
    <w:p w:rsidR="00F906AD" w:rsidRPr="0047333D" w:rsidRDefault="00F906AD" w:rsidP="0047333D">
      <w:pPr>
        <w:rPr>
          <w:rFonts w:ascii="Calibri" w:hAnsi="Calibri" w:cs="Calibri"/>
          <w:b/>
          <w:bCs/>
          <w:sz w:val="22"/>
          <w:szCs w:val="22"/>
        </w:rPr>
      </w:pPr>
    </w:p>
    <w:tbl>
      <w:tblPr>
        <w:tblW w:w="9125" w:type="dxa"/>
        <w:tblInd w:w="103" w:type="dxa"/>
        <w:tblLook w:val="04A0" w:firstRow="1" w:lastRow="0" w:firstColumn="1" w:lastColumn="0" w:noHBand="0" w:noVBand="1"/>
      </w:tblPr>
      <w:tblGrid>
        <w:gridCol w:w="3407"/>
        <w:gridCol w:w="684"/>
        <w:gridCol w:w="960"/>
        <w:gridCol w:w="4074"/>
      </w:tblGrid>
      <w:tr w:rsidR="00161CB8" w:rsidRPr="0047333D" w:rsidTr="00A43173">
        <w:trPr>
          <w:trHeight w:val="288"/>
        </w:trPr>
        <w:tc>
          <w:tcPr>
            <w:tcW w:w="3407" w:type="dxa"/>
            <w:tcBorders>
              <w:top w:val="single" w:sz="4" w:space="0" w:color="auto"/>
              <w:left w:val="single" w:sz="4" w:space="0" w:color="auto"/>
              <w:bottom w:val="nil"/>
              <w:right w:val="single" w:sz="4" w:space="0" w:color="auto"/>
            </w:tcBorders>
            <w:shd w:val="clear" w:color="auto" w:fill="C6D9F1" w:themeFill="text2" w:themeFillTint="33"/>
            <w:noWrap/>
            <w:vAlign w:val="bottom"/>
          </w:tcPr>
          <w:p w:rsidR="00161CB8" w:rsidRPr="0047333D" w:rsidRDefault="00161CB8"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Cost Centre</w:t>
            </w:r>
          </w:p>
        </w:tc>
        <w:tc>
          <w:tcPr>
            <w:tcW w:w="684" w:type="dxa"/>
            <w:tcBorders>
              <w:top w:val="single" w:sz="4" w:space="0" w:color="auto"/>
              <w:left w:val="nil"/>
              <w:bottom w:val="nil"/>
              <w:right w:val="nil"/>
            </w:tcBorders>
            <w:shd w:val="clear" w:color="auto" w:fill="C6D9F1" w:themeFill="text2" w:themeFillTint="33"/>
            <w:noWrap/>
            <w:vAlign w:val="bottom"/>
          </w:tcPr>
          <w:p w:rsidR="00161CB8" w:rsidRPr="0047333D" w:rsidRDefault="00161CB8"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 </w:t>
            </w:r>
          </w:p>
        </w:tc>
        <w:tc>
          <w:tcPr>
            <w:tcW w:w="960" w:type="dxa"/>
            <w:tcBorders>
              <w:top w:val="single" w:sz="4" w:space="0" w:color="auto"/>
              <w:left w:val="nil"/>
              <w:bottom w:val="nil"/>
              <w:right w:val="single" w:sz="4" w:space="0" w:color="auto"/>
            </w:tcBorders>
            <w:shd w:val="clear" w:color="auto" w:fill="C6D9F1" w:themeFill="text2" w:themeFillTint="33"/>
            <w:noWrap/>
            <w:vAlign w:val="bottom"/>
          </w:tcPr>
          <w:p w:rsidR="00161CB8" w:rsidRPr="0047333D" w:rsidRDefault="00161CB8"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 </w:t>
            </w:r>
          </w:p>
        </w:tc>
        <w:tc>
          <w:tcPr>
            <w:tcW w:w="4074" w:type="dxa"/>
            <w:tcBorders>
              <w:top w:val="single" w:sz="4" w:space="0" w:color="auto"/>
              <w:left w:val="nil"/>
              <w:bottom w:val="nil"/>
              <w:right w:val="single" w:sz="4" w:space="0" w:color="auto"/>
            </w:tcBorders>
            <w:shd w:val="clear" w:color="auto" w:fill="C6D9F1" w:themeFill="text2" w:themeFillTint="33"/>
            <w:noWrap/>
            <w:vAlign w:val="bottom"/>
          </w:tcPr>
          <w:p w:rsidR="00161CB8" w:rsidRPr="0047333D" w:rsidRDefault="00161CB8"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Comment</w:t>
            </w:r>
            <w:r w:rsidR="006C706C" w:rsidRPr="0047333D">
              <w:rPr>
                <w:rFonts w:ascii="Calibri" w:eastAsia="Times New Roman" w:hAnsi="Calibri"/>
                <w:b/>
                <w:bCs/>
                <w:color w:val="000000"/>
                <w:sz w:val="22"/>
                <w:szCs w:val="22"/>
                <w:lang w:val="en-GB" w:eastAsia="en-GB"/>
              </w:rPr>
              <w:t>s</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Income</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161CB8"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w:t>
            </w:r>
            <w:r w:rsidR="00A1746A" w:rsidRPr="0047333D">
              <w:rPr>
                <w:rFonts w:ascii="Calibri" w:eastAsia="Times New Roman" w:hAnsi="Calibri"/>
                <w:color w:val="000000"/>
                <w:sz w:val="22"/>
                <w:szCs w:val="22"/>
                <w:lang w:val="en-GB" w:eastAsia="en-GB"/>
              </w:rPr>
              <w:t>30</w:t>
            </w:r>
            <w:r w:rsidRPr="0047333D">
              <w:rPr>
                <w:rFonts w:ascii="Calibri" w:eastAsia="Times New Roman" w:hAnsi="Calibri"/>
                <w:color w:val="000000"/>
                <w:sz w:val="22"/>
                <w:szCs w:val="22"/>
                <w:lang w:val="en-GB" w:eastAsia="en-GB"/>
              </w:rPr>
              <w:t>)</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In</w:t>
            </w:r>
            <w:r w:rsidR="008C5CB1" w:rsidRPr="0047333D">
              <w:rPr>
                <w:rFonts w:ascii="Calibri" w:eastAsia="Times New Roman" w:hAnsi="Calibri"/>
                <w:color w:val="000000"/>
                <w:sz w:val="22"/>
                <w:szCs w:val="22"/>
                <w:lang w:val="en-GB" w:eastAsia="en-GB"/>
              </w:rPr>
              <w:t>come Tax (53)</w:t>
            </w:r>
            <w:r w:rsidR="005D6F79" w:rsidRPr="0047333D">
              <w:rPr>
                <w:rFonts w:ascii="Calibri" w:eastAsia="Times New Roman" w:hAnsi="Calibri"/>
                <w:color w:val="000000"/>
                <w:sz w:val="22"/>
                <w:szCs w:val="22"/>
                <w:lang w:val="en-GB" w:eastAsia="en-GB"/>
              </w:rPr>
              <w:t>k</w:t>
            </w:r>
            <w:r w:rsidR="007E7929" w:rsidRPr="0047333D">
              <w:rPr>
                <w:rFonts w:ascii="Calibri" w:eastAsia="Times New Roman" w:hAnsi="Calibri"/>
                <w:color w:val="000000"/>
                <w:sz w:val="22"/>
                <w:szCs w:val="22"/>
                <w:lang w:val="en-GB" w:eastAsia="en-GB"/>
              </w:rPr>
              <w:t>, Interest I</w:t>
            </w:r>
            <w:r w:rsidR="00A1746A" w:rsidRPr="0047333D">
              <w:rPr>
                <w:rFonts w:ascii="Calibri" w:eastAsia="Times New Roman" w:hAnsi="Calibri"/>
                <w:color w:val="000000"/>
                <w:sz w:val="22"/>
                <w:szCs w:val="22"/>
                <w:lang w:val="en-GB" w:eastAsia="en-GB"/>
              </w:rPr>
              <w:t>ncome 23k</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Senior Management</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8C5CB1"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73</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Salary and </w:t>
            </w:r>
            <w:r w:rsidR="008C5CB1" w:rsidRPr="0047333D">
              <w:rPr>
                <w:rFonts w:ascii="Calibri" w:eastAsia="Times New Roman" w:hAnsi="Calibri"/>
                <w:color w:val="000000"/>
                <w:sz w:val="22"/>
                <w:szCs w:val="22"/>
                <w:lang w:val="en-GB" w:eastAsia="en-GB"/>
              </w:rPr>
              <w:t>Benefits</w:t>
            </w:r>
          </w:p>
        </w:tc>
      </w:tr>
      <w:tr w:rsidR="008C5CB1"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8C5CB1" w:rsidRPr="0047333D" w:rsidRDefault="008C5CB1"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Partnership Coordinator</w:t>
            </w:r>
          </w:p>
        </w:tc>
        <w:tc>
          <w:tcPr>
            <w:tcW w:w="684" w:type="dxa"/>
            <w:tcBorders>
              <w:top w:val="nil"/>
              <w:left w:val="nil"/>
              <w:bottom w:val="nil"/>
              <w:right w:val="nil"/>
            </w:tcBorders>
            <w:shd w:val="clear" w:color="auto" w:fill="auto"/>
            <w:noWrap/>
            <w:vAlign w:val="bottom"/>
          </w:tcPr>
          <w:p w:rsidR="008C5CB1" w:rsidRPr="0047333D" w:rsidRDefault="008C5CB1" w:rsidP="0047333D">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8C5CB1" w:rsidRPr="0047333D" w:rsidRDefault="008C5CB1"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64</w:t>
            </w:r>
          </w:p>
        </w:tc>
        <w:tc>
          <w:tcPr>
            <w:tcW w:w="4074" w:type="dxa"/>
            <w:tcBorders>
              <w:top w:val="nil"/>
              <w:left w:val="nil"/>
              <w:bottom w:val="nil"/>
              <w:right w:val="single" w:sz="4" w:space="0" w:color="auto"/>
            </w:tcBorders>
            <w:shd w:val="clear" w:color="auto" w:fill="auto"/>
            <w:noWrap/>
            <w:vAlign w:val="bottom"/>
          </w:tcPr>
          <w:p w:rsidR="008C5CB1" w:rsidRPr="0047333D" w:rsidRDefault="008C5CB1"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Salary and Benefits</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Regional Advice and Support</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161CB8" w:rsidRPr="0047333D" w:rsidRDefault="008C5CB1"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81</w:t>
            </w:r>
          </w:p>
        </w:tc>
        <w:tc>
          <w:tcPr>
            <w:tcW w:w="4074" w:type="dxa"/>
            <w:tcBorders>
              <w:top w:val="nil"/>
              <w:left w:val="nil"/>
              <w:bottom w:val="nil"/>
              <w:right w:val="single" w:sz="4" w:space="0" w:color="auto"/>
            </w:tcBorders>
            <w:shd w:val="clear" w:color="auto" w:fill="auto"/>
            <w:noWrap/>
            <w:vAlign w:val="bottom"/>
          </w:tcPr>
          <w:p w:rsidR="00161CB8" w:rsidRPr="0047333D" w:rsidRDefault="005D6F79"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Salary and Benefits </w:t>
            </w:r>
            <w:r w:rsidR="00161CB8" w:rsidRPr="0047333D">
              <w:rPr>
                <w:rFonts w:ascii="Calibri" w:eastAsia="Times New Roman" w:hAnsi="Calibri"/>
                <w:color w:val="000000"/>
                <w:sz w:val="22"/>
                <w:szCs w:val="22"/>
                <w:lang w:val="en-GB" w:eastAsia="en-GB"/>
              </w:rPr>
              <w:t>6</w:t>
            </w:r>
            <w:r w:rsidRPr="0047333D">
              <w:rPr>
                <w:rFonts w:ascii="Calibri" w:eastAsia="Times New Roman" w:hAnsi="Calibri"/>
                <w:color w:val="000000"/>
                <w:sz w:val="22"/>
                <w:szCs w:val="22"/>
                <w:lang w:val="en-GB" w:eastAsia="en-GB"/>
              </w:rPr>
              <w:t>1</w:t>
            </w:r>
            <w:r w:rsidR="00161CB8" w:rsidRPr="0047333D">
              <w:rPr>
                <w:rFonts w:ascii="Calibri" w:eastAsia="Times New Roman" w:hAnsi="Calibri"/>
                <w:color w:val="000000"/>
                <w:sz w:val="22"/>
                <w:szCs w:val="22"/>
                <w:lang w:val="en-GB" w:eastAsia="en-GB"/>
              </w:rPr>
              <w:t>k, Trav</w:t>
            </w:r>
            <w:r w:rsidRPr="0047333D">
              <w:rPr>
                <w:rFonts w:ascii="Calibri" w:eastAsia="Times New Roman" w:hAnsi="Calibri"/>
                <w:color w:val="000000"/>
                <w:sz w:val="22"/>
                <w:szCs w:val="22"/>
                <w:lang w:val="en-GB" w:eastAsia="en-GB"/>
              </w:rPr>
              <w:t>el 20</w:t>
            </w:r>
            <w:r w:rsidR="00161CB8" w:rsidRPr="0047333D">
              <w:rPr>
                <w:rFonts w:ascii="Calibri" w:eastAsia="Times New Roman" w:hAnsi="Calibri"/>
                <w:color w:val="000000"/>
                <w:sz w:val="22"/>
                <w:szCs w:val="22"/>
                <w:lang w:val="en-GB" w:eastAsia="en-GB"/>
              </w:rPr>
              <w:t>k</w:t>
            </w:r>
          </w:p>
        </w:tc>
      </w:tr>
      <w:tr w:rsidR="005D6F79"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Communications</w:t>
            </w:r>
          </w:p>
        </w:tc>
        <w:tc>
          <w:tcPr>
            <w:tcW w:w="684" w:type="dxa"/>
            <w:tcBorders>
              <w:top w:val="nil"/>
              <w:left w:val="nil"/>
              <w:bottom w:val="nil"/>
              <w:right w:val="nil"/>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5D6F79" w:rsidRPr="0047333D" w:rsidRDefault="005D6F79"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104</w:t>
            </w:r>
          </w:p>
        </w:tc>
        <w:tc>
          <w:tcPr>
            <w:tcW w:w="4074" w:type="dxa"/>
            <w:tcBorders>
              <w:top w:val="nil"/>
              <w:left w:val="nil"/>
              <w:bottom w:val="nil"/>
              <w:right w:val="single" w:sz="4" w:space="0" w:color="auto"/>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Salary and Benefits 86k</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Admin</w:t>
            </w:r>
            <w:r w:rsidR="00106151" w:rsidRPr="0047333D">
              <w:rPr>
                <w:rFonts w:ascii="Calibri" w:eastAsia="Times New Roman" w:hAnsi="Calibri"/>
                <w:color w:val="000000"/>
                <w:sz w:val="22"/>
                <w:szCs w:val="22"/>
                <w:lang w:val="en-GB" w:eastAsia="en-GB"/>
              </w:rPr>
              <w:t>istration</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161CB8" w:rsidRPr="0047333D" w:rsidRDefault="005D6F79"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1</w:t>
            </w:r>
            <w:r w:rsidR="00161CB8" w:rsidRPr="0047333D">
              <w:rPr>
                <w:rFonts w:ascii="Calibri" w:eastAsia="Times New Roman" w:hAnsi="Calibri"/>
                <w:color w:val="000000"/>
                <w:sz w:val="22"/>
                <w:szCs w:val="22"/>
                <w:lang w:val="en-GB" w:eastAsia="en-GB"/>
              </w:rPr>
              <w:t>4</w:t>
            </w:r>
            <w:r w:rsidRPr="0047333D">
              <w:rPr>
                <w:rFonts w:ascii="Calibri" w:eastAsia="Times New Roman" w:hAnsi="Calibri"/>
                <w:color w:val="000000"/>
                <w:sz w:val="22"/>
                <w:szCs w:val="22"/>
                <w:lang w:val="en-GB" w:eastAsia="en-GB"/>
              </w:rPr>
              <w:t>1</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Salary</w:t>
            </w:r>
            <w:r w:rsidR="005D6F79" w:rsidRPr="0047333D">
              <w:rPr>
                <w:rFonts w:ascii="Calibri" w:eastAsia="Times New Roman" w:hAnsi="Calibri"/>
                <w:color w:val="000000"/>
                <w:sz w:val="22"/>
                <w:szCs w:val="22"/>
                <w:lang w:val="en-GB" w:eastAsia="en-GB"/>
              </w:rPr>
              <w:t xml:space="preserve"> and Benefits 85k, Staff hiring and </w:t>
            </w:r>
          </w:p>
        </w:tc>
      </w:tr>
      <w:tr w:rsidR="005D6F79"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p>
        </w:tc>
        <w:tc>
          <w:tcPr>
            <w:tcW w:w="684" w:type="dxa"/>
            <w:tcBorders>
              <w:top w:val="nil"/>
              <w:left w:val="nil"/>
              <w:bottom w:val="nil"/>
              <w:right w:val="nil"/>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5D6F79" w:rsidRPr="0047333D" w:rsidRDefault="005D6F79" w:rsidP="0047333D">
            <w:pPr>
              <w:jc w:val="right"/>
              <w:rPr>
                <w:rFonts w:ascii="Calibri" w:eastAsia="Times New Roman" w:hAnsi="Calibri"/>
                <w:color w:val="000000"/>
                <w:sz w:val="22"/>
                <w:szCs w:val="22"/>
                <w:lang w:val="en-GB" w:eastAsia="en-GB"/>
              </w:rPr>
            </w:pPr>
          </w:p>
        </w:tc>
        <w:tc>
          <w:tcPr>
            <w:tcW w:w="4074" w:type="dxa"/>
            <w:tcBorders>
              <w:top w:val="nil"/>
              <w:left w:val="nil"/>
              <w:bottom w:val="nil"/>
              <w:right w:val="single" w:sz="4" w:space="0" w:color="auto"/>
            </w:tcBorders>
            <w:shd w:val="clear" w:color="auto" w:fill="auto"/>
            <w:noWrap/>
            <w:vAlign w:val="bottom"/>
          </w:tcPr>
          <w:p w:rsidR="005D6F79" w:rsidRPr="0047333D" w:rsidRDefault="005D6F79"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departure costs 48k</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Other</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tcPr>
          <w:p w:rsidR="00161CB8" w:rsidRPr="0047333D" w:rsidRDefault="00A1746A"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21</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b/>
                <w:bCs/>
                <w:i/>
                <w:iCs/>
                <w:color w:val="000000"/>
                <w:sz w:val="22"/>
                <w:szCs w:val="22"/>
                <w:lang w:val="en-GB" w:eastAsia="en-GB"/>
              </w:rPr>
            </w:pPr>
            <w:r w:rsidRPr="0047333D">
              <w:rPr>
                <w:rFonts w:ascii="Calibri" w:eastAsia="Times New Roman" w:hAnsi="Calibri"/>
                <w:b/>
                <w:bCs/>
                <w:i/>
                <w:iCs/>
                <w:color w:val="000000"/>
                <w:sz w:val="22"/>
                <w:szCs w:val="22"/>
                <w:lang w:val="en-GB" w:eastAsia="en-GB"/>
              </w:rPr>
              <w:t>Subtotal</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b/>
                <w:bCs/>
                <w:i/>
                <w:iCs/>
                <w:color w:val="000000"/>
                <w:sz w:val="22"/>
                <w:szCs w:val="22"/>
                <w:lang w:val="en-GB" w:eastAsia="en-GB"/>
              </w:rPr>
            </w:pPr>
            <w:r w:rsidRPr="0047333D">
              <w:rPr>
                <w:rFonts w:ascii="Calibri" w:eastAsia="Times New Roman" w:hAnsi="Calibri"/>
                <w:b/>
                <w:bCs/>
                <w:i/>
                <w:iCs/>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5D6F79" w:rsidP="0047333D">
            <w:pPr>
              <w:jc w:val="right"/>
              <w:rPr>
                <w:rFonts w:ascii="Calibri" w:eastAsia="Times New Roman" w:hAnsi="Calibri"/>
                <w:b/>
                <w:bCs/>
                <w:i/>
                <w:iCs/>
                <w:color w:val="000000"/>
                <w:sz w:val="22"/>
                <w:szCs w:val="22"/>
                <w:lang w:val="en-GB" w:eastAsia="en-GB"/>
              </w:rPr>
            </w:pPr>
            <w:r w:rsidRPr="0047333D">
              <w:rPr>
                <w:rFonts w:ascii="Calibri" w:eastAsia="Times New Roman" w:hAnsi="Calibri"/>
                <w:b/>
                <w:bCs/>
                <w:i/>
                <w:iCs/>
                <w:color w:val="000000"/>
                <w:sz w:val="22"/>
                <w:szCs w:val="22"/>
                <w:lang w:val="en-GB" w:eastAsia="en-GB"/>
              </w:rPr>
              <w:t>454</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i/>
                <w:iCs/>
                <w:color w:val="000000"/>
                <w:sz w:val="22"/>
                <w:szCs w:val="22"/>
                <w:lang w:val="en-GB" w:eastAsia="en-GB"/>
              </w:rPr>
            </w:pPr>
            <w:r w:rsidRPr="0047333D">
              <w:rPr>
                <w:rFonts w:ascii="Calibri" w:eastAsia="Times New Roman" w:hAnsi="Calibri"/>
                <w:i/>
                <w:iCs/>
                <w:color w:val="000000"/>
                <w:sz w:val="22"/>
                <w:szCs w:val="22"/>
                <w:lang w:val="en-GB" w:eastAsia="en-GB"/>
              </w:rPr>
              <w:t>Surplus before provisions</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KMISC, Provisions</w:t>
            </w:r>
            <w:r w:rsidR="005D6F79" w:rsidRPr="0047333D">
              <w:rPr>
                <w:rFonts w:ascii="Calibri" w:eastAsia="Times New Roman" w:hAnsi="Calibri"/>
                <w:b/>
                <w:bCs/>
                <w:color w:val="000000"/>
                <w:sz w:val="22"/>
                <w:szCs w:val="22"/>
                <w:lang w:val="en-GB" w:eastAsia="en-GB"/>
              </w:rPr>
              <w:t xml:space="preserve"> and Other</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097E94"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 </w:t>
            </w:r>
            <w:r w:rsidR="005D6F79" w:rsidRPr="0047333D">
              <w:rPr>
                <w:rFonts w:ascii="Calibri" w:eastAsia="Times New Roman" w:hAnsi="Calibri"/>
                <w:color w:val="000000"/>
                <w:sz w:val="22"/>
                <w:szCs w:val="22"/>
                <w:lang w:val="en-GB" w:eastAsia="en-GB"/>
              </w:rPr>
              <w:t>Accruals</w:t>
            </w:r>
          </w:p>
        </w:tc>
        <w:tc>
          <w:tcPr>
            <w:tcW w:w="684" w:type="dxa"/>
            <w:tcBorders>
              <w:top w:val="nil"/>
              <w:left w:val="nil"/>
              <w:bottom w:val="nil"/>
              <w:right w:val="nil"/>
            </w:tcBorders>
            <w:shd w:val="clear" w:color="auto" w:fill="auto"/>
            <w:noWrap/>
            <w:vAlign w:val="bottom"/>
          </w:tcPr>
          <w:p w:rsidR="00161CB8" w:rsidRPr="0047333D" w:rsidRDefault="00161CB8"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w:t>
            </w:r>
            <w:r w:rsidR="005D6F79" w:rsidRPr="0047333D">
              <w:rPr>
                <w:rFonts w:ascii="Calibri" w:eastAsia="Times New Roman" w:hAnsi="Calibri"/>
                <w:color w:val="000000"/>
                <w:sz w:val="22"/>
                <w:szCs w:val="22"/>
                <w:lang w:val="en-GB" w:eastAsia="en-GB"/>
              </w:rPr>
              <w:t>169</w:t>
            </w:r>
            <w:r w:rsidRPr="0047333D">
              <w:rPr>
                <w:rFonts w:ascii="Calibri" w:eastAsia="Times New Roman" w:hAnsi="Calibri"/>
                <w:color w:val="000000"/>
                <w:sz w:val="22"/>
                <w:szCs w:val="22"/>
                <w:lang w:val="en-GB" w:eastAsia="en-GB"/>
              </w:rPr>
              <w:t>)</w:t>
            </w:r>
          </w:p>
        </w:tc>
        <w:tc>
          <w:tcPr>
            <w:tcW w:w="960"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097E94"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 </w:t>
            </w:r>
            <w:r w:rsidR="00A1746A" w:rsidRPr="0047333D">
              <w:rPr>
                <w:rFonts w:ascii="Calibri" w:eastAsia="Times New Roman" w:hAnsi="Calibri"/>
                <w:color w:val="000000"/>
                <w:sz w:val="22"/>
                <w:szCs w:val="22"/>
                <w:lang w:val="en-GB" w:eastAsia="en-GB"/>
              </w:rPr>
              <w:t>Provisions and exchange loss</w:t>
            </w:r>
          </w:p>
        </w:tc>
        <w:tc>
          <w:tcPr>
            <w:tcW w:w="684" w:type="dxa"/>
            <w:tcBorders>
              <w:top w:val="nil"/>
              <w:left w:val="nil"/>
              <w:right w:val="nil"/>
            </w:tcBorders>
            <w:shd w:val="clear" w:color="auto" w:fill="auto"/>
            <w:noWrap/>
            <w:vAlign w:val="bottom"/>
          </w:tcPr>
          <w:p w:rsidR="00161CB8" w:rsidRPr="0047333D" w:rsidRDefault="00A1746A"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24 </w:t>
            </w:r>
          </w:p>
        </w:tc>
        <w:tc>
          <w:tcPr>
            <w:tcW w:w="960" w:type="dxa"/>
            <w:tcBorders>
              <w:top w:val="nil"/>
              <w:left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097E94"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 </w:t>
            </w:r>
            <w:r w:rsidR="00A1746A" w:rsidRPr="0047333D">
              <w:rPr>
                <w:rFonts w:ascii="Calibri" w:eastAsia="Times New Roman" w:hAnsi="Calibri"/>
                <w:color w:val="000000"/>
                <w:sz w:val="22"/>
                <w:szCs w:val="22"/>
                <w:lang w:val="en-GB" w:eastAsia="en-GB"/>
              </w:rPr>
              <w:t>Legal and Professional Services</w:t>
            </w:r>
          </w:p>
        </w:tc>
        <w:tc>
          <w:tcPr>
            <w:tcW w:w="684" w:type="dxa"/>
            <w:tcBorders>
              <w:left w:val="nil"/>
              <w:bottom w:val="single" w:sz="4" w:space="0" w:color="auto"/>
              <w:right w:val="nil"/>
            </w:tcBorders>
            <w:shd w:val="clear" w:color="auto" w:fill="auto"/>
            <w:noWrap/>
            <w:vAlign w:val="bottom"/>
          </w:tcPr>
          <w:p w:rsidR="00161CB8" w:rsidRPr="0047333D" w:rsidRDefault="00A1746A"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29</w:t>
            </w:r>
          </w:p>
        </w:tc>
        <w:tc>
          <w:tcPr>
            <w:tcW w:w="960" w:type="dxa"/>
            <w:tcBorders>
              <w:left w:val="nil"/>
              <w:bottom w:val="single" w:sz="4" w:space="0" w:color="auto"/>
              <w:right w:val="single" w:sz="4" w:space="0" w:color="auto"/>
            </w:tcBorders>
            <w:shd w:val="clear" w:color="auto" w:fill="auto"/>
            <w:noWrap/>
            <w:vAlign w:val="bottom"/>
          </w:tcPr>
          <w:p w:rsidR="00161CB8" w:rsidRPr="0047333D" w:rsidRDefault="00161CB8" w:rsidP="0047333D">
            <w:pPr>
              <w:jc w:val="right"/>
              <w:rPr>
                <w:rFonts w:ascii="Calibri" w:eastAsia="Times New Roman" w:hAnsi="Calibri"/>
                <w:color w:val="000000"/>
                <w:sz w:val="22"/>
                <w:szCs w:val="22"/>
                <w:lang w:val="en-GB" w:eastAsia="en-GB"/>
              </w:rPr>
            </w:pP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r w:rsidR="00161CB8" w:rsidRPr="0047333D"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r w:rsidRPr="0047333D">
              <w:rPr>
                <w:rFonts w:ascii="Calibri" w:eastAsia="Times New Roman" w:hAnsi="Calibri"/>
                <w:b/>
                <w:bCs/>
                <w:i/>
                <w:iCs/>
                <w:color w:val="000000"/>
                <w:sz w:val="22"/>
                <w:szCs w:val="22"/>
                <w:lang w:val="en-GB" w:eastAsia="en-GB"/>
              </w:rPr>
              <w:t>Subtotal</w:t>
            </w:r>
          </w:p>
        </w:tc>
        <w:tc>
          <w:tcPr>
            <w:tcW w:w="684" w:type="dxa"/>
            <w:tcBorders>
              <w:top w:val="nil"/>
              <w:left w:val="nil"/>
              <w:bottom w:val="nil"/>
              <w:right w:val="nil"/>
            </w:tcBorders>
            <w:shd w:val="clear" w:color="auto" w:fill="auto"/>
            <w:noWrap/>
            <w:vAlign w:val="bottom"/>
          </w:tcPr>
          <w:p w:rsidR="00161CB8" w:rsidRPr="0047333D" w:rsidRDefault="00161CB8"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tcPr>
          <w:p w:rsidR="00161CB8" w:rsidRPr="0047333D" w:rsidRDefault="00161CB8" w:rsidP="0047333D">
            <w:pPr>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r w:rsidR="00A1746A" w:rsidRPr="0047333D">
              <w:rPr>
                <w:rFonts w:ascii="Calibri" w:eastAsia="Times New Roman" w:hAnsi="Calibri"/>
                <w:color w:val="000000"/>
                <w:sz w:val="22"/>
                <w:szCs w:val="22"/>
                <w:lang w:val="en-GB" w:eastAsia="en-GB"/>
              </w:rPr>
              <w:t>116</w:t>
            </w:r>
            <w:r w:rsidRPr="0047333D">
              <w:rPr>
                <w:rFonts w:ascii="Calibri" w:eastAsia="Times New Roman" w:hAnsi="Calibri"/>
                <w:color w:val="000000"/>
                <w:sz w:val="22"/>
                <w:szCs w:val="22"/>
                <w:lang w:val="en-GB" w:eastAsia="en-GB"/>
              </w:rPr>
              <w:t>)</w:t>
            </w:r>
          </w:p>
        </w:tc>
        <w:tc>
          <w:tcPr>
            <w:tcW w:w="4074" w:type="dxa"/>
            <w:tcBorders>
              <w:top w:val="nil"/>
              <w:left w:val="nil"/>
              <w:bottom w:val="nil"/>
              <w:right w:val="single" w:sz="4" w:space="0" w:color="auto"/>
            </w:tcBorders>
            <w:shd w:val="clear" w:color="auto" w:fill="auto"/>
            <w:noWrap/>
            <w:vAlign w:val="bottom"/>
          </w:tcPr>
          <w:p w:rsidR="00161CB8" w:rsidRPr="0047333D" w:rsidRDefault="00161CB8" w:rsidP="0047333D">
            <w:pPr>
              <w:rPr>
                <w:rFonts w:ascii="Calibri" w:eastAsia="Times New Roman" w:hAnsi="Calibri"/>
                <w:i/>
                <w:color w:val="000000"/>
                <w:sz w:val="22"/>
                <w:szCs w:val="22"/>
                <w:lang w:val="en-GB" w:eastAsia="en-GB"/>
              </w:rPr>
            </w:pPr>
            <w:r w:rsidRPr="0047333D">
              <w:rPr>
                <w:rFonts w:ascii="Calibri" w:eastAsia="Times New Roman" w:hAnsi="Calibri"/>
                <w:color w:val="000000"/>
                <w:sz w:val="22"/>
                <w:szCs w:val="22"/>
                <w:lang w:val="en-GB" w:eastAsia="en-GB"/>
              </w:rPr>
              <w:t> </w:t>
            </w:r>
            <w:r w:rsidRPr="0047333D">
              <w:rPr>
                <w:rFonts w:ascii="Calibri" w:eastAsia="Times New Roman" w:hAnsi="Calibri"/>
                <w:i/>
                <w:color w:val="000000"/>
                <w:sz w:val="22"/>
                <w:szCs w:val="22"/>
                <w:lang w:val="en-GB" w:eastAsia="en-GB"/>
              </w:rPr>
              <w:t xml:space="preserve">Provisions and </w:t>
            </w:r>
            <w:r w:rsidR="00A1746A" w:rsidRPr="0047333D">
              <w:rPr>
                <w:rFonts w:ascii="Calibri" w:eastAsia="Times New Roman" w:hAnsi="Calibri"/>
                <w:i/>
                <w:color w:val="000000"/>
                <w:sz w:val="22"/>
                <w:szCs w:val="22"/>
                <w:lang w:val="en-GB" w:eastAsia="en-GB"/>
              </w:rPr>
              <w:t>Other</w:t>
            </w:r>
          </w:p>
        </w:tc>
      </w:tr>
      <w:tr w:rsidR="00161CB8" w:rsidRPr="0047333D" w:rsidTr="00A43173">
        <w:trPr>
          <w:trHeight w:val="288"/>
        </w:trPr>
        <w:tc>
          <w:tcPr>
            <w:tcW w:w="3407" w:type="dxa"/>
            <w:tcBorders>
              <w:top w:val="nil"/>
              <w:left w:val="single" w:sz="4" w:space="0" w:color="auto"/>
              <w:bottom w:val="single" w:sz="4" w:space="0" w:color="auto"/>
              <w:right w:val="single" w:sz="4" w:space="0" w:color="auto"/>
            </w:tcBorders>
            <w:shd w:val="clear" w:color="auto" w:fill="C6D9F1" w:themeFill="text2" w:themeFillTint="33"/>
            <w:noWrap/>
            <w:vAlign w:val="bottom"/>
          </w:tcPr>
          <w:p w:rsidR="00161CB8" w:rsidRPr="0047333D" w:rsidRDefault="00161CB8"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Total</w:t>
            </w:r>
          </w:p>
        </w:tc>
        <w:tc>
          <w:tcPr>
            <w:tcW w:w="684" w:type="dxa"/>
            <w:tcBorders>
              <w:top w:val="nil"/>
              <w:left w:val="nil"/>
              <w:bottom w:val="single" w:sz="4" w:space="0" w:color="auto"/>
              <w:right w:val="nil"/>
            </w:tcBorders>
            <w:shd w:val="clear" w:color="auto" w:fill="C6D9F1" w:themeFill="text2" w:themeFillTint="33"/>
            <w:noWrap/>
            <w:vAlign w:val="bottom"/>
          </w:tcPr>
          <w:p w:rsidR="00161CB8" w:rsidRPr="0047333D" w:rsidRDefault="00161CB8"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C6D9F1" w:themeFill="text2" w:themeFillTint="33"/>
            <w:noWrap/>
            <w:vAlign w:val="bottom"/>
          </w:tcPr>
          <w:p w:rsidR="00161CB8" w:rsidRPr="0047333D" w:rsidRDefault="00A1746A" w:rsidP="0047333D">
            <w:pPr>
              <w:jc w:val="right"/>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338</w:t>
            </w:r>
          </w:p>
        </w:tc>
        <w:tc>
          <w:tcPr>
            <w:tcW w:w="4074" w:type="dxa"/>
            <w:tcBorders>
              <w:top w:val="nil"/>
              <w:left w:val="nil"/>
              <w:bottom w:val="single" w:sz="4" w:space="0" w:color="auto"/>
              <w:right w:val="single" w:sz="4" w:space="0" w:color="auto"/>
            </w:tcBorders>
            <w:shd w:val="clear" w:color="auto" w:fill="C6D9F1" w:themeFill="text2" w:themeFillTint="33"/>
            <w:noWrap/>
            <w:vAlign w:val="bottom"/>
          </w:tcPr>
          <w:p w:rsidR="00161CB8" w:rsidRPr="0047333D" w:rsidRDefault="00161CB8" w:rsidP="0047333D">
            <w:pPr>
              <w:rPr>
                <w:rFonts w:ascii="Calibri" w:eastAsia="Times New Roman" w:hAnsi="Calibri"/>
                <w:i/>
                <w:iCs/>
                <w:color w:val="000000"/>
                <w:sz w:val="22"/>
                <w:szCs w:val="22"/>
                <w:lang w:val="en-GB" w:eastAsia="en-GB"/>
              </w:rPr>
            </w:pPr>
            <w:r w:rsidRPr="0047333D">
              <w:rPr>
                <w:rFonts w:ascii="Calibri" w:eastAsia="Times New Roman" w:hAnsi="Calibri"/>
                <w:i/>
                <w:iCs/>
                <w:color w:val="000000"/>
                <w:sz w:val="22"/>
                <w:szCs w:val="22"/>
                <w:lang w:val="en-GB" w:eastAsia="en-GB"/>
              </w:rPr>
              <w:t xml:space="preserve">Overall </w:t>
            </w:r>
            <w:r w:rsidR="00A1746A" w:rsidRPr="0047333D">
              <w:rPr>
                <w:rFonts w:ascii="Calibri" w:eastAsia="Times New Roman" w:hAnsi="Calibri"/>
                <w:i/>
                <w:iCs/>
                <w:color w:val="000000"/>
                <w:sz w:val="22"/>
                <w:szCs w:val="22"/>
                <w:lang w:val="en-GB" w:eastAsia="en-GB"/>
              </w:rPr>
              <w:t>surplus</w:t>
            </w:r>
          </w:p>
        </w:tc>
      </w:tr>
    </w:tbl>
    <w:p w:rsidR="00161CB8" w:rsidRPr="0047333D" w:rsidRDefault="00161CB8" w:rsidP="0047333D">
      <w:pPr>
        <w:pStyle w:val="ListParagraph"/>
        <w:rPr>
          <w:rFonts w:ascii="Calibri" w:hAnsi="Calibri" w:cs="Calibri"/>
          <w:bCs/>
          <w:sz w:val="22"/>
          <w:szCs w:val="22"/>
        </w:rPr>
      </w:pPr>
    </w:p>
    <w:p w:rsidR="00161CB8" w:rsidRPr="0047333D" w:rsidRDefault="00161CB8" w:rsidP="0047333D">
      <w:pPr>
        <w:pStyle w:val="ListParagraph"/>
        <w:rPr>
          <w:rFonts w:ascii="Calibri" w:hAnsi="Calibri" w:cs="Calibri"/>
          <w:bCs/>
          <w:sz w:val="22"/>
          <w:szCs w:val="22"/>
        </w:rPr>
      </w:pPr>
    </w:p>
    <w:p w:rsidR="002464F2" w:rsidRPr="0047333D" w:rsidRDefault="009966E8"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The following points are highlighte</w:t>
      </w:r>
      <w:r w:rsidR="00FA3E1C" w:rsidRPr="0047333D">
        <w:rPr>
          <w:rFonts w:ascii="Calibri" w:hAnsi="Calibri" w:cs="Calibri"/>
          <w:bCs/>
          <w:sz w:val="22"/>
          <w:szCs w:val="22"/>
        </w:rPr>
        <w:t>d for the Standing Committee’s information</w:t>
      </w:r>
      <w:r w:rsidR="009D2E4D">
        <w:rPr>
          <w:rFonts w:ascii="Calibri" w:hAnsi="Calibri" w:cs="Calibri"/>
          <w:bCs/>
          <w:sz w:val="22"/>
          <w:szCs w:val="22"/>
        </w:rPr>
        <w:t>:</w:t>
      </w:r>
    </w:p>
    <w:p w:rsidR="002464F2" w:rsidRPr="0047333D" w:rsidRDefault="002464F2" w:rsidP="0047333D">
      <w:pPr>
        <w:pStyle w:val="ListParagraph"/>
        <w:rPr>
          <w:rFonts w:ascii="Calibri" w:hAnsi="Calibri" w:cs="Calibri"/>
          <w:bCs/>
          <w:sz w:val="22"/>
          <w:szCs w:val="22"/>
        </w:rPr>
      </w:pPr>
    </w:p>
    <w:p w:rsidR="00E70296" w:rsidRPr="0047333D" w:rsidRDefault="00515D38" w:rsidP="0047333D">
      <w:pPr>
        <w:pStyle w:val="ListParagraph"/>
        <w:numPr>
          <w:ilvl w:val="1"/>
          <w:numId w:val="26"/>
        </w:numPr>
        <w:ind w:left="851" w:hanging="425"/>
        <w:rPr>
          <w:rFonts w:ascii="Calibri" w:hAnsi="Calibri" w:cs="Calibri"/>
          <w:bCs/>
          <w:sz w:val="22"/>
          <w:szCs w:val="22"/>
        </w:rPr>
      </w:pPr>
      <w:r w:rsidRPr="0047333D">
        <w:rPr>
          <w:rFonts w:ascii="Calibri" w:hAnsi="Calibri" w:cs="Calibri"/>
          <w:bCs/>
          <w:sz w:val="22"/>
          <w:szCs w:val="22"/>
        </w:rPr>
        <w:t>Income was</w:t>
      </w:r>
      <w:r w:rsidR="00BD0521" w:rsidRPr="0047333D">
        <w:rPr>
          <w:rFonts w:ascii="Calibri" w:hAnsi="Calibri" w:cs="Calibri"/>
          <w:bCs/>
          <w:sz w:val="22"/>
          <w:szCs w:val="22"/>
        </w:rPr>
        <w:t xml:space="preserve"> generally as budgeted except</w:t>
      </w:r>
      <w:r w:rsidR="00E72D40" w:rsidRPr="0047333D">
        <w:rPr>
          <w:rFonts w:ascii="Calibri" w:hAnsi="Calibri" w:cs="Calibri"/>
          <w:bCs/>
          <w:sz w:val="22"/>
          <w:szCs w:val="22"/>
        </w:rPr>
        <w:t xml:space="preserve"> for</w:t>
      </w:r>
      <w:r w:rsidR="00BD0521" w:rsidRPr="0047333D">
        <w:rPr>
          <w:rFonts w:ascii="Calibri" w:hAnsi="Calibri" w:cs="Calibri"/>
          <w:bCs/>
          <w:sz w:val="22"/>
          <w:szCs w:val="22"/>
        </w:rPr>
        <w:t xml:space="preserve"> </w:t>
      </w:r>
      <w:r w:rsidR="00E70296" w:rsidRPr="0047333D">
        <w:rPr>
          <w:rFonts w:ascii="Calibri" w:hAnsi="Calibri" w:cs="Calibri"/>
          <w:bCs/>
          <w:sz w:val="22"/>
          <w:szCs w:val="22"/>
        </w:rPr>
        <w:t>in</w:t>
      </w:r>
      <w:r w:rsidR="00A1746A" w:rsidRPr="0047333D">
        <w:rPr>
          <w:rFonts w:ascii="Calibri" w:hAnsi="Calibri" w:cs="Calibri"/>
          <w:bCs/>
          <w:sz w:val="22"/>
          <w:szCs w:val="22"/>
        </w:rPr>
        <w:t>come tax</w:t>
      </w:r>
      <w:r w:rsidR="00352DBD" w:rsidRPr="0047333D">
        <w:rPr>
          <w:rFonts w:ascii="Calibri" w:hAnsi="Calibri" w:cs="Calibri"/>
          <w:bCs/>
          <w:sz w:val="22"/>
          <w:szCs w:val="22"/>
        </w:rPr>
        <w:t>,</w:t>
      </w:r>
      <w:r w:rsidR="00E72D40" w:rsidRPr="0047333D">
        <w:rPr>
          <w:rFonts w:ascii="Calibri" w:hAnsi="Calibri" w:cs="Calibri"/>
          <w:bCs/>
          <w:sz w:val="22"/>
          <w:szCs w:val="22"/>
        </w:rPr>
        <w:t xml:space="preserve"> which </w:t>
      </w:r>
      <w:r w:rsidR="00C171D3" w:rsidRPr="0047333D">
        <w:rPr>
          <w:rFonts w:ascii="Calibri" w:hAnsi="Calibri" w:cs="Calibri"/>
          <w:bCs/>
          <w:sz w:val="22"/>
          <w:szCs w:val="22"/>
        </w:rPr>
        <w:t xml:space="preserve">was </w:t>
      </w:r>
      <w:r w:rsidR="00E70296" w:rsidRPr="0047333D">
        <w:rPr>
          <w:rFonts w:ascii="Calibri" w:hAnsi="Calibri" w:cs="Calibri"/>
          <w:bCs/>
          <w:sz w:val="22"/>
          <w:szCs w:val="22"/>
        </w:rPr>
        <w:t xml:space="preserve">CHF </w:t>
      </w:r>
      <w:r w:rsidR="00A1746A" w:rsidRPr="0047333D">
        <w:rPr>
          <w:rFonts w:ascii="Calibri" w:hAnsi="Calibri" w:cs="Calibri"/>
          <w:bCs/>
          <w:sz w:val="22"/>
          <w:szCs w:val="22"/>
        </w:rPr>
        <w:t>53</w:t>
      </w:r>
      <w:r w:rsidR="00E70296" w:rsidRPr="0047333D">
        <w:rPr>
          <w:rFonts w:ascii="Calibri" w:hAnsi="Calibri" w:cs="Calibri"/>
          <w:bCs/>
          <w:sz w:val="22"/>
          <w:szCs w:val="22"/>
        </w:rPr>
        <w:t xml:space="preserve">,000 </w:t>
      </w:r>
      <w:r w:rsidR="005C689F" w:rsidRPr="0047333D">
        <w:rPr>
          <w:rFonts w:ascii="Calibri" w:hAnsi="Calibri" w:cs="Calibri"/>
          <w:bCs/>
          <w:sz w:val="22"/>
          <w:szCs w:val="22"/>
        </w:rPr>
        <w:t>under</w:t>
      </w:r>
      <w:r w:rsidR="00E70296" w:rsidRPr="0047333D">
        <w:rPr>
          <w:rFonts w:ascii="Calibri" w:hAnsi="Calibri" w:cs="Calibri"/>
          <w:bCs/>
          <w:sz w:val="22"/>
          <w:szCs w:val="22"/>
        </w:rPr>
        <w:t xml:space="preserve"> budget</w:t>
      </w:r>
      <w:r w:rsidR="00B9791E" w:rsidRPr="0047333D">
        <w:rPr>
          <w:rFonts w:ascii="Calibri" w:hAnsi="Calibri" w:cs="Calibri"/>
          <w:bCs/>
          <w:sz w:val="22"/>
          <w:szCs w:val="22"/>
        </w:rPr>
        <w:t xml:space="preserve"> and only partially offset by an increase in interest income of CHF 23,000</w:t>
      </w:r>
      <w:r w:rsidR="00E70296" w:rsidRPr="0047333D">
        <w:rPr>
          <w:rFonts w:ascii="Calibri" w:hAnsi="Calibri" w:cs="Calibri"/>
          <w:bCs/>
          <w:sz w:val="22"/>
          <w:szCs w:val="22"/>
        </w:rPr>
        <w:t>.</w:t>
      </w:r>
      <w:r w:rsidR="00E72D40" w:rsidRPr="0047333D">
        <w:rPr>
          <w:rFonts w:ascii="Calibri" w:hAnsi="Calibri" w:cs="Calibri"/>
          <w:bCs/>
          <w:sz w:val="22"/>
          <w:szCs w:val="22"/>
        </w:rPr>
        <w:t xml:space="preserve"> Th</w:t>
      </w:r>
      <w:r w:rsidR="00B9791E" w:rsidRPr="0047333D">
        <w:rPr>
          <w:rFonts w:ascii="Calibri" w:hAnsi="Calibri" w:cs="Calibri"/>
          <w:bCs/>
          <w:sz w:val="22"/>
          <w:szCs w:val="22"/>
        </w:rPr>
        <w:t>e</w:t>
      </w:r>
      <w:r w:rsidR="00E72D40" w:rsidRPr="0047333D">
        <w:rPr>
          <w:rFonts w:ascii="Calibri" w:hAnsi="Calibri" w:cs="Calibri"/>
          <w:bCs/>
          <w:sz w:val="22"/>
          <w:szCs w:val="22"/>
        </w:rPr>
        <w:t xml:space="preserve"> </w:t>
      </w:r>
      <w:r w:rsidR="00B9791E" w:rsidRPr="0047333D">
        <w:rPr>
          <w:rFonts w:ascii="Calibri" w:hAnsi="Calibri" w:cs="Calibri"/>
          <w:bCs/>
          <w:sz w:val="22"/>
          <w:szCs w:val="22"/>
        </w:rPr>
        <w:t>reduction of income tax was</w:t>
      </w:r>
      <w:r w:rsidR="00C171D3" w:rsidRPr="0047333D">
        <w:rPr>
          <w:rFonts w:ascii="Calibri" w:hAnsi="Calibri" w:cs="Calibri"/>
          <w:bCs/>
          <w:sz w:val="22"/>
          <w:szCs w:val="22"/>
        </w:rPr>
        <w:t xml:space="preserve"> </w:t>
      </w:r>
      <w:r w:rsidR="00E72D40" w:rsidRPr="0047333D">
        <w:rPr>
          <w:rFonts w:ascii="Calibri" w:hAnsi="Calibri" w:cs="Calibri"/>
          <w:bCs/>
          <w:sz w:val="22"/>
          <w:szCs w:val="22"/>
        </w:rPr>
        <w:t xml:space="preserve">due to </w:t>
      </w:r>
      <w:r w:rsidR="00B9791E" w:rsidRPr="0047333D">
        <w:rPr>
          <w:rFonts w:ascii="Calibri" w:hAnsi="Calibri" w:cs="Calibri"/>
          <w:bCs/>
          <w:sz w:val="22"/>
          <w:szCs w:val="22"/>
        </w:rPr>
        <w:t>staffing gaps during the year</w:t>
      </w:r>
      <w:r w:rsidR="00E72D40" w:rsidRPr="0047333D">
        <w:rPr>
          <w:rFonts w:ascii="Calibri" w:hAnsi="Calibri" w:cs="Calibri"/>
          <w:bCs/>
          <w:sz w:val="22"/>
          <w:szCs w:val="22"/>
        </w:rPr>
        <w:t xml:space="preserve">. </w:t>
      </w:r>
    </w:p>
    <w:p w:rsidR="002464F2" w:rsidRPr="0047333D" w:rsidRDefault="009C5E7D" w:rsidP="0047333D">
      <w:pPr>
        <w:pStyle w:val="ListParagraph"/>
        <w:ind w:left="851" w:hanging="425"/>
        <w:rPr>
          <w:rFonts w:ascii="Calibri" w:hAnsi="Calibri" w:cs="Calibri"/>
          <w:bCs/>
          <w:sz w:val="22"/>
          <w:szCs w:val="22"/>
        </w:rPr>
      </w:pPr>
      <w:r w:rsidRPr="0047333D">
        <w:rPr>
          <w:rFonts w:ascii="Calibri" w:hAnsi="Calibri" w:cs="Calibri"/>
          <w:bCs/>
          <w:sz w:val="22"/>
          <w:szCs w:val="22"/>
        </w:rPr>
        <w:t xml:space="preserve"> </w:t>
      </w:r>
    </w:p>
    <w:p w:rsidR="00B9791E" w:rsidRPr="0047333D" w:rsidRDefault="00C171D3" w:rsidP="0047333D">
      <w:pPr>
        <w:pStyle w:val="ListParagraph"/>
        <w:numPr>
          <w:ilvl w:val="1"/>
          <w:numId w:val="26"/>
        </w:numPr>
        <w:ind w:left="851" w:hanging="425"/>
        <w:rPr>
          <w:rFonts w:ascii="Calibri" w:hAnsi="Calibri" w:cs="Calibri"/>
          <w:bCs/>
          <w:sz w:val="22"/>
          <w:szCs w:val="22"/>
        </w:rPr>
      </w:pPr>
      <w:r w:rsidRPr="0047333D">
        <w:rPr>
          <w:rFonts w:ascii="Calibri" w:hAnsi="Calibri" w:cs="Calibri"/>
          <w:bCs/>
          <w:sz w:val="22"/>
          <w:szCs w:val="22"/>
        </w:rPr>
        <w:t>Overall s</w:t>
      </w:r>
      <w:r w:rsidR="005D0C79" w:rsidRPr="0047333D">
        <w:rPr>
          <w:rFonts w:ascii="Calibri" w:hAnsi="Calibri" w:cs="Calibri"/>
          <w:bCs/>
          <w:sz w:val="22"/>
          <w:szCs w:val="22"/>
        </w:rPr>
        <w:t xml:space="preserve">alary costs </w:t>
      </w:r>
      <w:r w:rsidR="007E3F00" w:rsidRPr="0047333D">
        <w:rPr>
          <w:rFonts w:ascii="Calibri" w:hAnsi="Calibri" w:cs="Calibri"/>
          <w:bCs/>
          <w:sz w:val="22"/>
          <w:szCs w:val="22"/>
        </w:rPr>
        <w:t>were</w:t>
      </w:r>
      <w:r w:rsidR="00924389" w:rsidRPr="0047333D">
        <w:rPr>
          <w:rFonts w:ascii="Calibri" w:hAnsi="Calibri" w:cs="Calibri"/>
          <w:bCs/>
          <w:sz w:val="22"/>
          <w:szCs w:val="22"/>
        </w:rPr>
        <w:t xml:space="preserve"> </w:t>
      </w:r>
      <w:r w:rsidR="0051655D" w:rsidRPr="0047333D">
        <w:rPr>
          <w:rFonts w:ascii="Calibri" w:hAnsi="Calibri" w:cs="Calibri"/>
          <w:bCs/>
          <w:sz w:val="22"/>
          <w:szCs w:val="22"/>
        </w:rPr>
        <w:t xml:space="preserve">CHF </w:t>
      </w:r>
      <w:r w:rsidR="00B9791E" w:rsidRPr="0047333D">
        <w:rPr>
          <w:rFonts w:ascii="Calibri" w:hAnsi="Calibri" w:cs="Calibri"/>
          <w:bCs/>
          <w:sz w:val="22"/>
          <w:szCs w:val="22"/>
        </w:rPr>
        <w:t>377</w:t>
      </w:r>
      <w:r w:rsidR="0051655D" w:rsidRPr="0047333D">
        <w:rPr>
          <w:rFonts w:ascii="Calibri" w:hAnsi="Calibri" w:cs="Calibri"/>
          <w:bCs/>
          <w:sz w:val="22"/>
          <w:szCs w:val="22"/>
        </w:rPr>
        <w:t>,000 under</w:t>
      </w:r>
      <w:r w:rsidR="007E3F00" w:rsidRPr="0047333D">
        <w:rPr>
          <w:rFonts w:ascii="Calibri" w:hAnsi="Calibri" w:cs="Calibri"/>
          <w:bCs/>
          <w:sz w:val="22"/>
          <w:szCs w:val="22"/>
        </w:rPr>
        <w:t xml:space="preserve"> </w:t>
      </w:r>
      <w:r w:rsidR="00C63097" w:rsidRPr="0047333D">
        <w:rPr>
          <w:rFonts w:ascii="Calibri" w:hAnsi="Calibri" w:cs="Calibri"/>
          <w:bCs/>
          <w:sz w:val="22"/>
          <w:szCs w:val="22"/>
        </w:rPr>
        <w:t>budget (</w:t>
      </w:r>
      <w:r w:rsidR="00B9791E" w:rsidRPr="0047333D">
        <w:rPr>
          <w:rFonts w:ascii="Calibri" w:hAnsi="Calibri" w:cs="Calibri"/>
          <w:bCs/>
          <w:sz w:val="22"/>
          <w:szCs w:val="22"/>
        </w:rPr>
        <w:t>12</w:t>
      </w:r>
      <w:r w:rsidR="007E3F00" w:rsidRPr="0047333D">
        <w:rPr>
          <w:rFonts w:ascii="Calibri" w:hAnsi="Calibri" w:cs="Calibri"/>
          <w:bCs/>
          <w:sz w:val="22"/>
          <w:szCs w:val="22"/>
        </w:rPr>
        <w:t xml:space="preserve">% </w:t>
      </w:r>
      <w:r w:rsidR="00051B99" w:rsidRPr="0047333D">
        <w:rPr>
          <w:rFonts w:ascii="Calibri" w:hAnsi="Calibri" w:cs="Calibri"/>
          <w:bCs/>
          <w:sz w:val="22"/>
          <w:szCs w:val="22"/>
        </w:rPr>
        <w:t xml:space="preserve">under </w:t>
      </w:r>
      <w:r w:rsidR="007E3F00" w:rsidRPr="0047333D">
        <w:rPr>
          <w:rFonts w:ascii="Calibri" w:hAnsi="Calibri" w:cs="Calibri"/>
          <w:bCs/>
          <w:sz w:val="22"/>
          <w:szCs w:val="22"/>
        </w:rPr>
        <w:t>budget).</w:t>
      </w:r>
      <w:r w:rsidR="0051655D" w:rsidRPr="0047333D">
        <w:rPr>
          <w:rFonts w:ascii="Calibri" w:hAnsi="Calibri" w:cs="Calibri"/>
          <w:bCs/>
          <w:sz w:val="22"/>
          <w:szCs w:val="22"/>
        </w:rPr>
        <w:t xml:space="preserve"> This was due to</w:t>
      </w:r>
      <w:r w:rsidR="00B9791E" w:rsidRPr="0047333D">
        <w:rPr>
          <w:rFonts w:ascii="Calibri" w:hAnsi="Calibri" w:cs="Calibri"/>
          <w:bCs/>
          <w:sz w:val="22"/>
          <w:szCs w:val="22"/>
        </w:rPr>
        <w:t xml:space="preserve"> </w:t>
      </w:r>
      <w:r w:rsidR="009D2E4D">
        <w:rPr>
          <w:rFonts w:ascii="Calibri" w:hAnsi="Calibri" w:cs="Calibri"/>
          <w:bCs/>
          <w:sz w:val="22"/>
          <w:szCs w:val="22"/>
        </w:rPr>
        <w:t xml:space="preserve">the </w:t>
      </w:r>
      <w:r w:rsidR="00B9791E" w:rsidRPr="0047333D">
        <w:rPr>
          <w:rFonts w:ascii="Calibri" w:hAnsi="Calibri" w:cs="Calibri"/>
          <w:bCs/>
          <w:sz w:val="22"/>
          <w:szCs w:val="22"/>
        </w:rPr>
        <w:t xml:space="preserve">delayed </w:t>
      </w:r>
      <w:r w:rsidR="00CE26A2" w:rsidRPr="0047333D">
        <w:rPr>
          <w:rFonts w:ascii="Calibri" w:hAnsi="Calibri" w:cs="Calibri"/>
          <w:bCs/>
          <w:sz w:val="22"/>
          <w:szCs w:val="22"/>
        </w:rPr>
        <w:t xml:space="preserve">filling </w:t>
      </w:r>
      <w:r w:rsidR="009D2E4D">
        <w:rPr>
          <w:rFonts w:ascii="Calibri" w:hAnsi="Calibri" w:cs="Calibri"/>
          <w:bCs/>
          <w:sz w:val="22"/>
          <w:szCs w:val="22"/>
        </w:rPr>
        <w:t xml:space="preserve">of </w:t>
      </w:r>
      <w:r w:rsidR="00CE26A2" w:rsidRPr="0047333D">
        <w:rPr>
          <w:rFonts w:ascii="Calibri" w:hAnsi="Calibri" w:cs="Calibri"/>
          <w:bCs/>
          <w:sz w:val="22"/>
          <w:szCs w:val="22"/>
        </w:rPr>
        <w:t>vacant</w:t>
      </w:r>
      <w:r w:rsidR="00B9791E" w:rsidRPr="0047333D">
        <w:rPr>
          <w:rFonts w:ascii="Calibri" w:hAnsi="Calibri" w:cs="Calibri"/>
          <w:bCs/>
          <w:sz w:val="22"/>
          <w:szCs w:val="22"/>
        </w:rPr>
        <w:t xml:space="preserve"> positions</w:t>
      </w:r>
      <w:r w:rsidR="00F906AD" w:rsidRPr="0047333D">
        <w:rPr>
          <w:rFonts w:ascii="Calibri" w:hAnsi="Calibri" w:cs="Calibri"/>
          <w:bCs/>
          <w:sz w:val="22"/>
          <w:szCs w:val="22"/>
        </w:rPr>
        <w:t xml:space="preserve"> (the Secretary General, Head of Partnerships, Head of Communications and Finance Officer)</w:t>
      </w:r>
      <w:r w:rsidR="00B9791E" w:rsidRPr="0047333D">
        <w:rPr>
          <w:rFonts w:ascii="Calibri" w:hAnsi="Calibri" w:cs="Calibri"/>
          <w:bCs/>
          <w:sz w:val="22"/>
          <w:szCs w:val="22"/>
        </w:rPr>
        <w:t>.</w:t>
      </w:r>
    </w:p>
    <w:p w:rsidR="007E3F00" w:rsidRPr="0047333D" w:rsidRDefault="007E3F00" w:rsidP="0047333D">
      <w:pPr>
        <w:pStyle w:val="ListParagraph"/>
        <w:rPr>
          <w:rFonts w:ascii="Calibri" w:hAnsi="Calibri" w:cs="Calibri"/>
          <w:bCs/>
          <w:sz w:val="22"/>
          <w:szCs w:val="22"/>
        </w:rPr>
      </w:pPr>
    </w:p>
    <w:p w:rsidR="002464F2" w:rsidRPr="0047333D" w:rsidRDefault="005D0C79" w:rsidP="0047333D">
      <w:pPr>
        <w:pStyle w:val="ListParagraph"/>
        <w:numPr>
          <w:ilvl w:val="1"/>
          <w:numId w:val="26"/>
        </w:numPr>
        <w:ind w:left="851" w:hanging="425"/>
        <w:rPr>
          <w:rFonts w:ascii="Calibri" w:hAnsi="Calibri" w:cs="Calibri"/>
          <w:bCs/>
          <w:sz w:val="22"/>
          <w:szCs w:val="22"/>
        </w:rPr>
      </w:pPr>
      <w:r w:rsidRPr="0047333D">
        <w:rPr>
          <w:rFonts w:ascii="Calibri" w:hAnsi="Calibri" w:cs="Calibri"/>
          <w:bCs/>
          <w:sz w:val="22"/>
          <w:szCs w:val="22"/>
        </w:rPr>
        <w:t>No IUCN</w:t>
      </w:r>
      <w:r w:rsidR="005676AA" w:rsidRPr="0047333D">
        <w:rPr>
          <w:rFonts w:ascii="Calibri" w:hAnsi="Calibri" w:cs="Calibri"/>
          <w:bCs/>
          <w:sz w:val="22"/>
          <w:szCs w:val="22"/>
        </w:rPr>
        <w:t>-</w:t>
      </w:r>
      <w:r w:rsidRPr="0047333D">
        <w:rPr>
          <w:rFonts w:ascii="Calibri" w:hAnsi="Calibri" w:cs="Calibri"/>
          <w:bCs/>
          <w:sz w:val="22"/>
          <w:szCs w:val="22"/>
        </w:rPr>
        <w:t xml:space="preserve">imposed </w:t>
      </w:r>
      <w:r w:rsidR="00135B39" w:rsidRPr="0047333D">
        <w:rPr>
          <w:rFonts w:ascii="Calibri" w:hAnsi="Calibri" w:cs="Calibri"/>
          <w:bCs/>
          <w:sz w:val="22"/>
          <w:szCs w:val="22"/>
        </w:rPr>
        <w:t>cost-of-</w:t>
      </w:r>
      <w:r w:rsidR="00B9791E" w:rsidRPr="0047333D">
        <w:rPr>
          <w:rFonts w:ascii="Calibri" w:hAnsi="Calibri" w:cs="Calibri"/>
          <w:bCs/>
          <w:sz w:val="22"/>
          <w:szCs w:val="22"/>
        </w:rPr>
        <w:t xml:space="preserve">living increases </w:t>
      </w:r>
      <w:r w:rsidR="00135B39" w:rsidRPr="0047333D">
        <w:rPr>
          <w:rFonts w:ascii="Calibri" w:hAnsi="Calibri" w:cs="Calibri"/>
          <w:bCs/>
          <w:sz w:val="22"/>
          <w:szCs w:val="22"/>
        </w:rPr>
        <w:t xml:space="preserve">have come into effect </w:t>
      </w:r>
      <w:r w:rsidRPr="0047333D">
        <w:rPr>
          <w:rFonts w:ascii="Calibri" w:hAnsi="Calibri" w:cs="Calibri"/>
          <w:bCs/>
          <w:sz w:val="22"/>
          <w:szCs w:val="22"/>
        </w:rPr>
        <w:t>since 2011.</w:t>
      </w:r>
    </w:p>
    <w:p w:rsidR="000066BD" w:rsidRPr="0047333D" w:rsidRDefault="000066BD" w:rsidP="0047333D">
      <w:pPr>
        <w:pStyle w:val="ListParagraph"/>
        <w:rPr>
          <w:rFonts w:ascii="Calibri" w:hAnsi="Calibri" w:cs="Calibri"/>
          <w:bCs/>
          <w:sz w:val="22"/>
          <w:szCs w:val="22"/>
        </w:rPr>
      </w:pPr>
    </w:p>
    <w:p w:rsidR="000066BD" w:rsidRPr="0047333D" w:rsidRDefault="000066BD" w:rsidP="0047333D">
      <w:pPr>
        <w:pStyle w:val="ListParagraph"/>
        <w:numPr>
          <w:ilvl w:val="1"/>
          <w:numId w:val="26"/>
        </w:numPr>
        <w:ind w:left="851" w:hanging="425"/>
        <w:rPr>
          <w:rFonts w:ascii="Calibri" w:hAnsi="Calibri" w:cs="Calibri"/>
          <w:bCs/>
          <w:sz w:val="22"/>
          <w:szCs w:val="22"/>
        </w:rPr>
      </w:pPr>
      <w:r w:rsidRPr="0047333D">
        <w:rPr>
          <w:rFonts w:ascii="Calibri" w:hAnsi="Calibri"/>
          <w:bCs/>
          <w:color w:val="000000"/>
          <w:sz w:val="22"/>
          <w:szCs w:val="22"/>
          <w:lang w:eastAsia="en-GB"/>
        </w:rPr>
        <w:t>K</w:t>
      </w:r>
      <w:r w:rsidR="006B0AA2" w:rsidRPr="0047333D">
        <w:rPr>
          <w:rFonts w:ascii="Calibri" w:hAnsi="Calibri"/>
          <w:bCs/>
          <w:color w:val="000000"/>
          <w:sz w:val="22"/>
          <w:szCs w:val="22"/>
          <w:lang w:eastAsia="en-GB"/>
        </w:rPr>
        <w:t>.</w:t>
      </w:r>
      <w:r w:rsidRPr="0047333D">
        <w:rPr>
          <w:rFonts w:ascii="Calibri" w:hAnsi="Calibri"/>
          <w:bCs/>
          <w:color w:val="000000"/>
          <w:sz w:val="22"/>
          <w:szCs w:val="22"/>
          <w:lang w:eastAsia="en-GB"/>
        </w:rPr>
        <w:t>MISC, Provisions and Other were over budget</w:t>
      </w:r>
      <w:r w:rsidR="00350B90" w:rsidRPr="0047333D">
        <w:rPr>
          <w:rFonts w:ascii="Calibri" w:hAnsi="Calibri"/>
          <w:bCs/>
          <w:color w:val="000000"/>
          <w:sz w:val="22"/>
          <w:szCs w:val="22"/>
          <w:lang w:eastAsia="en-GB"/>
        </w:rPr>
        <w:t>,</w:t>
      </w:r>
      <w:r w:rsidRPr="0047333D">
        <w:rPr>
          <w:rFonts w:ascii="Calibri" w:hAnsi="Calibri"/>
          <w:bCs/>
          <w:color w:val="000000"/>
          <w:sz w:val="22"/>
          <w:szCs w:val="22"/>
          <w:lang w:eastAsia="en-GB"/>
        </w:rPr>
        <w:t xml:space="preserve"> </w:t>
      </w:r>
      <w:r w:rsidR="00F906AD" w:rsidRPr="0047333D">
        <w:rPr>
          <w:rFonts w:ascii="Calibri" w:hAnsi="Calibri"/>
          <w:bCs/>
          <w:color w:val="000000"/>
          <w:sz w:val="22"/>
          <w:szCs w:val="22"/>
          <w:lang w:eastAsia="en-GB"/>
        </w:rPr>
        <w:t xml:space="preserve">mainly </w:t>
      </w:r>
      <w:r w:rsidR="00546D2B" w:rsidRPr="0047333D">
        <w:rPr>
          <w:rFonts w:ascii="Calibri" w:hAnsi="Calibri"/>
          <w:bCs/>
          <w:color w:val="000000"/>
          <w:sz w:val="22"/>
          <w:szCs w:val="22"/>
          <w:lang w:eastAsia="en-GB"/>
        </w:rPr>
        <w:t>as a result of</w:t>
      </w:r>
      <w:r w:rsidRPr="0047333D">
        <w:rPr>
          <w:rFonts w:ascii="Calibri" w:hAnsi="Calibri"/>
          <w:bCs/>
          <w:color w:val="000000"/>
          <w:sz w:val="22"/>
          <w:szCs w:val="22"/>
          <w:lang w:eastAsia="en-GB"/>
        </w:rPr>
        <w:t xml:space="preserve"> </w:t>
      </w:r>
      <w:r w:rsidR="00C65AEA" w:rsidRPr="0047333D">
        <w:rPr>
          <w:rFonts w:ascii="Calibri" w:hAnsi="Calibri"/>
          <w:bCs/>
          <w:color w:val="000000"/>
          <w:sz w:val="22"/>
          <w:szCs w:val="22"/>
          <w:lang w:eastAsia="en-GB"/>
        </w:rPr>
        <w:t>preliminary accruals of CHF</w:t>
      </w:r>
      <w:r w:rsidR="005A51CF" w:rsidRPr="0047333D">
        <w:rPr>
          <w:rFonts w:ascii="Calibri" w:hAnsi="Calibri"/>
          <w:bCs/>
          <w:color w:val="000000"/>
          <w:sz w:val="22"/>
          <w:szCs w:val="22"/>
          <w:lang w:eastAsia="en-GB"/>
        </w:rPr>
        <w:t> </w:t>
      </w:r>
      <w:r w:rsidR="00C65AEA" w:rsidRPr="0047333D">
        <w:rPr>
          <w:rFonts w:ascii="Calibri" w:hAnsi="Calibri"/>
          <w:bCs/>
          <w:color w:val="000000"/>
          <w:sz w:val="22"/>
          <w:szCs w:val="22"/>
          <w:lang w:eastAsia="en-GB"/>
        </w:rPr>
        <w:t>169,000. The</w:t>
      </w:r>
      <w:r w:rsidR="00F906AD" w:rsidRPr="0047333D">
        <w:rPr>
          <w:rFonts w:ascii="Calibri" w:hAnsi="Calibri"/>
          <w:bCs/>
          <w:color w:val="000000"/>
          <w:sz w:val="22"/>
          <w:szCs w:val="22"/>
          <w:lang w:eastAsia="en-GB"/>
        </w:rPr>
        <w:t>se</w:t>
      </w:r>
      <w:r w:rsidR="00C65AEA" w:rsidRPr="0047333D">
        <w:rPr>
          <w:rFonts w:ascii="Calibri" w:hAnsi="Calibri"/>
          <w:bCs/>
          <w:color w:val="000000"/>
          <w:sz w:val="22"/>
          <w:szCs w:val="22"/>
          <w:lang w:eastAsia="en-GB"/>
        </w:rPr>
        <w:t xml:space="preserve"> accruals are being reconciled to identify which budget lines they should be charged to and to confirm the total amount.</w:t>
      </w:r>
      <w:r w:rsidR="00097E94" w:rsidRPr="0047333D">
        <w:rPr>
          <w:rFonts w:ascii="Calibri" w:hAnsi="Calibri"/>
          <w:bCs/>
          <w:color w:val="000000"/>
          <w:sz w:val="22"/>
          <w:szCs w:val="22"/>
          <w:lang w:eastAsia="en-GB"/>
        </w:rPr>
        <w:t xml:space="preserve"> </w:t>
      </w:r>
    </w:p>
    <w:p w:rsidR="002464F2" w:rsidRPr="0047333D" w:rsidRDefault="002464F2" w:rsidP="0047333D">
      <w:pPr>
        <w:pStyle w:val="ListParagraph"/>
        <w:ind w:left="851" w:hanging="425"/>
        <w:rPr>
          <w:rFonts w:ascii="Calibri" w:hAnsi="Calibri" w:cs="Calibri"/>
          <w:bCs/>
          <w:sz w:val="22"/>
          <w:szCs w:val="22"/>
        </w:rPr>
      </w:pPr>
    </w:p>
    <w:p w:rsidR="00A15D95" w:rsidRPr="0047333D" w:rsidRDefault="00135B39" w:rsidP="0047333D">
      <w:pPr>
        <w:pStyle w:val="ListParagraph"/>
        <w:numPr>
          <w:ilvl w:val="1"/>
          <w:numId w:val="26"/>
        </w:numPr>
        <w:ind w:left="851" w:hanging="425"/>
        <w:rPr>
          <w:rFonts w:ascii="Calibri" w:hAnsi="Calibri" w:cs="Calibri"/>
          <w:bCs/>
          <w:sz w:val="22"/>
          <w:szCs w:val="22"/>
        </w:rPr>
      </w:pPr>
      <w:r w:rsidRPr="0047333D">
        <w:rPr>
          <w:rFonts w:ascii="Calibri" w:hAnsi="Calibri" w:cs="Calibri"/>
          <w:bCs/>
          <w:sz w:val="22"/>
          <w:szCs w:val="22"/>
        </w:rPr>
        <w:t xml:space="preserve">Allocations of </w:t>
      </w:r>
      <w:r w:rsidR="00C27D90" w:rsidRPr="0047333D">
        <w:rPr>
          <w:rFonts w:ascii="Calibri" w:hAnsi="Calibri" w:cs="Calibri"/>
          <w:bCs/>
          <w:sz w:val="22"/>
          <w:szCs w:val="22"/>
        </w:rPr>
        <w:t xml:space="preserve">CHF </w:t>
      </w:r>
      <w:r w:rsidR="00C65AEA" w:rsidRPr="0047333D">
        <w:rPr>
          <w:rFonts w:ascii="Calibri" w:hAnsi="Calibri" w:cs="Calibri"/>
          <w:bCs/>
          <w:sz w:val="22"/>
          <w:szCs w:val="22"/>
        </w:rPr>
        <w:t>277</w:t>
      </w:r>
      <w:r w:rsidR="00912433" w:rsidRPr="0047333D">
        <w:rPr>
          <w:rFonts w:ascii="Calibri" w:hAnsi="Calibri" w:cs="Calibri"/>
          <w:bCs/>
          <w:sz w:val="22"/>
          <w:szCs w:val="22"/>
        </w:rPr>
        <w:t>,</w:t>
      </w:r>
      <w:r w:rsidR="00C65AEA" w:rsidRPr="0047333D">
        <w:rPr>
          <w:rFonts w:ascii="Calibri" w:hAnsi="Calibri" w:cs="Calibri"/>
          <w:bCs/>
          <w:sz w:val="22"/>
          <w:szCs w:val="22"/>
        </w:rPr>
        <w:t>0</w:t>
      </w:r>
      <w:r w:rsidR="00912433" w:rsidRPr="0047333D">
        <w:rPr>
          <w:rFonts w:ascii="Calibri" w:hAnsi="Calibri" w:cs="Calibri"/>
          <w:bCs/>
          <w:sz w:val="22"/>
          <w:szCs w:val="22"/>
        </w:rPr>
        <w:t>00</w:t>
      </w:r>
      <w:r w:rsidRPr="0047333D">
        <w:rPr>
          <w:rFonts w:ascii="Calibri" w:hAnsi="Calibri" w:cs="Calibri"/>
          <w:bCs/>
          <w:sz w:val="22"/>
          <w:szCs w:val="22"/>
        </w:rPr>
        <w:t xml:space="preserve"> </w:t>
      </w:r>
      <w:r w:rsidR="00161CB8" w:rsidRPr="0047333D">
        <w:rPr>
          <w:rFonts w:ascii="Calibri" w:hAnsi="Calibri" w:cs="Calibri"/>
          <w:bCs/>
          <w:sz w:val="22"/>
          <w:szCs w:val="22"/>
        </w:rPr>
        <w:t xml:space="preserve">were made </w:t>
      </w:r>
      <w:r w:rsidR="00C65AEA" w:rsidRPr="0047333D">
        <w:rPr>
          <w:rFonts w:ascii="Calibri" w:hAnsi="Calibri" w:cs="Calibri"/>
          <w:bCs/>
          <w:sz w:val="22"/>
          <w:szCs w:val="22"/>
        </w:rPr>
        <w:t xml:space="preserve">from </w:t>
      </w:r>
      <w:r w:rsidR="00350B90" w:rsidRPr="0047333D">
        <w:rPr>
          <w:rFonts w:ascii="Calibri" w:hAnsi="Calibri" w:cs="Calibri"/>
          <w:bCs/>
          <w:sz w:val="22"/>
          <w:szCs w:val="22"/>
        </w:rPr>
        <w:t xml:space="preserve">the core budget to </w:t>
      </w:r>
      <w:r w:rsidR="00350B90" w:rsidRPr="0047333D">
        <w:rPr>
          <w:rFonts w:ascii="Calibri" w:hAnsi="Calibri"/>
          <w:color w:val="000000"/>
          <w:sz w:val="22"/>
          <w:szCs w:val="22"/>
          <w:lang w:eastAsia="en-GB"/>
        </w:rPr>
        <w:t>non-core projects related</w:t>
      </w:r>
      <w:r w:rsidR="00350B90" w:rsidRPr="0047333D">
        <w:rPr>
          <w:rFonts w:ascii="Calibri" w:hAnsi="Calibri" w:cs="Calibri"/>
          <w:bCs/>
          <w:sz w:val="22"/>
          <w:szCs w:val="22"/>
        </w:rPr>
        <w:t xml:space="preserve"> </w:t>
      </w:r>
      <w:r w:rsidR="00C65AEA" w:rsidRPr="0047333D">
        <w:rPr>
          <w:rFonts w:ascii="Calibri" w:hAnsi="Calibri" w:cs="Calibri"/>
          <w:bCs/>
          <w:sz w:val="22"/>
          <w:szCs w:val="22"/>
        </w:rPr>
        <w:t xml:space="preserve">to </w:t>
      </w:r>
      <w:r w:rsidR="007F7CC8" w:rsidRPr="0047333D">
        <w:rPr>
          <w:rFonts w:ascii="Calibri" w:hAnsi="Calibri" w:cs="Calibri"/>
          <w:bCs/>
          <w:sz w:val="22"/>
          <w:szCs w:val="22"/>
        </w:rPr>
        <w:t xml:space="preserve">Ramsar </w:t>
      </w:r>
      <w:r w:rsidR="008B6013" w:rsidRPr="0047333D">
        <w:rPr>
          <w:rFonts w:ascii="Calibri" w:hAnsi="Calibri" w:cs="Calibri"/>
          <w:bCs/>
          <w:sz w:val="22"/>
          <w:szCs w:val="22"/>
        </w:rPr>
        <w:t xml:space="preserve">Regional </w:t>
      </w:r>
      <w:r w:rsidRPr="0047333D">
        <w:rPr>
          <w:rFonts w:ascii="Calibri" w:hAnsi="Calibri" w:cs="Calibri"/>
          <w:bCs/>
          <w:sz w:val="22"/>
          <w:szCs w:val="22"/>
        </w:rPr>
        <w:t>I</w:t>
      </w:r>
      <w:r w:rsidR="008B6013" w:rsidRPr="0047333D">
        <w:rPr>
          <w:rFonts w:ascii="Calibri" w:hAnsi="Calibri" w:cs="Calibri"/>
          <w:bCs/>
          <w:sz w:val="22"/>
          <w:szCs w:val="22"/>
        </w:rPr>
        <w:t>nitiatives</w:t>
      </w:r>
      <w:r w:rsidR="00C65AEA" w:rsidRPr="0047333D">
        <w:rPr>
          <w:rFonts w:ascii="Calibri" w:hAnsi="Calibri" w:cs="Calibri"/>
          <w:bCs/>
          <w:sz w:val="22"/>
          <w:szCs w:val="22"/>
        </w:rPr>
        <w:t xml:space="preserve">, </w:t>
      </w:r>
      <w:r w:rsidR="00C65AEA" w:rsidRPr="0047333D">
        <w:rPr>
          <w:rFonts w:ascii="Calibri" w:hAnsi="Calibri"/>
          <w:color w:val="000000"/>
          <w:sz w:val="22"/>
          <w:szCs w:val="22"/>
          <w:lang w:eastAsia="en-GB"/>
        </w:rPr>
        <w:t xml:space="preserve">RSIS and </w:t>
      </w:r>
      <w:r w:rsidR="00350B90" w:rsidRPr="0047333D">
        <w:rPr>
          <w:rFonts w:ascii="Calibri" w:hAnsi="Calibri"/>
          <w:color w:val="000000"/>
          <w:sz w:val="22"/>
          <w:szCs w:val="22"/>
          <w:lang w:eastAsia="en-GB"/>
        </w:rPr>
        <w:t xml:space="preserve">website </w:t>
      </w:r>
      <w:r w:rsidR="00C65AEA" w:rsidRPr="0047333D">
        <w:rPr>
          <w:rFonts w:ascii="Calibri" w:hAnsi="Calibri"/>
          <w:color w:val="000000"/>
          <w:sz w:val="22"/>
          <w:szCs w:val="22"/>
          <w:lang w:eastAsia="en-GB"/>
        </w:rPr>
        <w:t>redevelopment, and STRP implementation. Th</w:t>
      </w:r>
      <w:r w:rsidR="0038074E" w:rsidRPr="0047333D">
        <w:rPr>
          <w:rFonts w:ascii="Calibri" w:hAnsi="Calibri"/>
          <w:color w:val="000000"/>
          <w:sz w:val="22"/>
          <w:szCs w:val="22"/>
          <w:lang w:eastAsia="en-GB"/>
        </w:rPr>
        <w:t xml:space="preserve">ese transfers have been carried out during the last years without </w:t>
      </w:r>
      <w:r w:rsidR="009F5AF6" w:rsidRPr="0047333D">
        <w:rPr>
          <w:rFonts w:ascii="Calibri" w:hAnsi="Calibri"/>
          <w:color w:val="000000"/>
          <w:sz w:val="22"/>
          <w:szCs w:val="22"/>
          <w:lang w:eastAsia="en-GB"/>
        </w:rPr>
        <w:t>clear</w:t>
      </w:r>
      <w:r w:rsidR="00EE3D4F" w:rsidRPr="0047333D">
        <w:rPr>
          <w:rFonts w:ascii="Calibri" w:hAnsi="Calibri"/>
          <w:color w:val="000000"/>
          <w:sz w:val="22"/>
          <w:szCs w:val="22"/>
          <w:lang w:eastAsia="en-GB"/>
        </w:rPr>
        <w:t xml:space="preserve"> </w:t>
      </w:r>
      <w:r w:rsidR="0038074E" w:rsidRPr="0047333D">
        <w:rPr>
          <w:rFonts w:ascii="Calibri" w:hAnsi="Calibri"/>
          <w:color w:val="000000"/>
          <w:sz w:val="22"/>
          <w:szCs w:val="22"/>
          <w:lang w:eastAsia="en-GB"/>
        </w:rPr>
        <w:t>reporting. The Secretary General included the need to review this practice in her report of October 2016 to the Executive Team</w:t>
      </w:r>
      <w:r w:rsidR="00A15D95" w:rsidRPr="0047333D">
        <w:rPr>
          <w:rFonts w:ascii="Calibri" w:hAnsi="Calibri"/>
          <w:color w:val="000000"/>
          <w:sz w:val="22"/>
          <w:szCs w:val="22"/>
          <w:lang w:eastAsia="en-GB"/>
        </w:rPr>
        <w:t xml:space="preserve">. </w:t>
      </w:r>
      <w:r w:rsidR="009F5AF6" w:rsidRPr="0047333D">
        <w:rPr>
          <w:rFonts w:ascii="Calibri" w:hAnsi="Calibri"/>
          <w:color w:val="000000"/>
          <w:sz w:val="22"/>
          <w:szCs w:val="22"/>
          <w:lang w:eastAsia="en-GB"/>
        </w:rPr>
        <w:t xml:space="preserve">The total allocations for 2014 and 2015 are included in the “Transfer between core and projects” line of the audited income statements. </w:t>
      </w:r>
      <w:r w:rsidR="00A15D95" w:rsidRPr="0047333D">
        <w:rPr>
          <w:rFonts w:ascii="Calibri" w:hAnsi="Calibri"/>
          <w:color w:val="000000"/>
          <w:sz w:val="22"/>
          <w:szCs w:val="22"/>
          <w:lang w:eastAsia="en-GB"/>
        </w:rPr>
        <w:t>Table 2 below provides a summary of allocation</w:t>
      </w:r>
      <w:r w:rsidR="00350B90" w:rsidRPr="0047333D">
        <w:rPr>
          <w:rFonts w:ascii="Calibri" w:hAnsi="Calibri"/>
          <w:color w:val="000000"/>
          <w:sz w:val="22"/>
          <w:szCs w:val="22"/>
          <w:lang w:eastAsia="en-GB"/>
        </w:rPr>
        <w:t>s</w:t>
      </w:r>
      <w:r w:rsidR="00A15D95" w:rsidRPr="0047333D">
        <w:rPr>
          <w:rFonts w:ascii="Calibri" w:hAnsi="Calibri"/>
          <w:color w:val="000000"/>
          <w:sz w:val="22"/>
          <w:szCs w:val="22"/>
          <w:lang w:eastAsia="en-GB"/>
        </w:rPr>
        <w:t xml:space="preserve"> from </w:t>
      </w:r>
      <w:r w:rsidR="00350B90" w:rsidRPr="0047333D">
        <w:rPr>
          <w:rFonts w:ascii="Calibri" w:hAnsi="Calibri"/>
          <w:color w:val="000000"/>
          <w:sz w:val="22"/>
          <w:szCs w:val="22"/>
          <w:lang w:eastAsia="en-GB"/>
        </w:rPr>
        <w:t xml:space="preserve">the </w:t>
      </w:r>
      <w:r w:rsidR="00A15D95" w:rsidRPr="0047333D">
        <w:rPr>
          <w:rFonts w:ascii="Calibri" w:hAnsi="Calibri"/>
          <w:color w:val="000000"/>
          <w:sz w:val="22"/>
          <w:szCs w:val="22"/>
          <w:lang w:eastAsia="en-GB"/>
        </w:rPr>
        <w:t xml:space="preserve">core </w:t>
      </w:r>
      <w:r w:rsidR="00350B90" w:rsidRPr="0047333D">
        <w:rPr>
          <w:rFonts w:ascii="Calibri" w:hAnsi="Calibri"/>
          <w:color w:val="000000"/>
          <w:sz w:val="22"/>
          <w:szCs w:val="22"/>
          <w:lang w:eastAsia="en-GB"/>
        </w:rPr>
        <w:t xml:space="preserve">budget from </w:t>
      </w:r>
      <w:r w:rsidR="00A15D95" w:rsidRPr="0047333D">
        <w:rPr>
          <w:rFonts w:ascii="Calibri" w:hAnsi="Calibri"/>
          <w:color w:val="000000"/>
          <w:sz w:val="22"/>
          <w:szCs w:val="22"/>
          <w:lang w:eastAsia="en-GB"/>
        </w:rPr>
        <w:t xml:space="preserve">2014 </w:t>
      </w:r>
      <w:r w:rsidR="00350B90" w:rsidRPr="0047333D">
        <w:rPr>
          <w:rFonts w:ascii="Calibri" w:hAnsi="Calibri"/>
          <w:color w:val="000000"/>
          <w:sz w:val="22"/>
          <w:szCs w:val="22"/>
          <w:lang w:eastAsia="en-GB"/>
        </w:rPr>
        <w:t xml:space="preserve">to </w:t>
      </w:r>
      <w:r w:rsidR="00A15D95" w:rsidRPr="0047333D">
        <w:rPr>
          <w:rFonts w:ascii="Calibri" w:hAnsi="Calibri"/>
          <w:color w:val="000000"/>
          <w:sz w:val="22"/>
          <w:szCs w:val="22"/>
          <w:lang w:eastAsia="en-GB"/>
        </w:rPr>
        <w:t>2016.</w:t>
      </w:r>
      <w:r w:rsidR="00F906AD" w:rsidRPr="0047333D">
        <w:rPr>
          <w:rFonts w:ascii="Calibri" w:hAnsi="Calibri"/>
          <w:color w:val="000000"/>
          <w:sz w:val="22"/>
          <w:szCs w:val="22"/>
          <w:lang w:eastAsia="en-GB"/>
        </w:rPr>
        <w:t xml:space="preserve"> </w:t>
      </w:r>
      <w:r w:rsidR="009A4030" w:rsidRPr="0047333D">
        <w:rPr>
          <w:rFonts w:ascii="Calibri" w:hAnsi="Calibri"/>
          <w:color w:val="000000"/>
          <w:sz w:val="22"/>
          <w:szCs w:val="22"/>
          <w:lang w:eastAsia="en-GB"/>
        </w:rPr>
        <w:t>A</w:t>
      </w:r>
      <w:r w:rsidR="00C932D1" w:rsidRPr="0047333D">
        <w:rPr>
          <w:rFonts w:ascii="Calibri" w:hAnsi="Calibri"/>
          <w:color w:val="000000"/>
          <w:sz w:val="22"/>
          <w:szCs w:val="22"/>
          <w:lang w:eastAsia="en-GB"/>
        </w:rPr>
        <w:t xml:space="preserve"> proposed new approach </w:t>
      </w:r>
      <w:r w:rsidR="00F906AD" w:rsidRPr="0047333D">
        <w:rPr>
          <w:rFonts w:ascii="Calibri" w:hAnsi="Calibri"/>
          <w:color w:val="000000"/>
          <w:sz w:val="22"/>
          <w:szCs w:val="22"/>
          <w:lang w:eastAsia="en-GB"/>
        </w:rPr>
        <w:t xml:space="preserve">is outlined </w:t>
      </w:r>
      <w:r w:rsidR="00350B90" w:rsidRPr="0047333D">
        <w:rPr>
          <w:rFonts w:ascii="Calibri" w:hAnsi="Calibri"/>
          <w:color w:val="000000"/>
          <w:sz w:val="22"/>
          <w:szCs w:val="22"/>
          <w:lang w:eastAsia="en-GB"/>
        </w:rPr>
        <w:t xml:space="preserve">below at paragraph </w:t>
      </w:r>
      <w:r w:rsidR="005776A9" w:rsidRPr="0047333D">
        <w:rPr>
          <w:rFonts w:ascii="Calibri" w:hAnsi="Calibri"/>
          <w:color w:val="000000"/>
          <w:sz w:val="22"/>
          <w:szCs w:val="22"/>
          <w:lang w:eastAsia="en-GB"/>
        </w:rPr>
        <w:t>1</w:t>
      </w:r>
      <w:r w:rsidR="00A45C42" w:rsidRPr="0047333D">
        <w:rPr>
          <w:rFonts w:ascii="Calibri" w:hAnsi="Calibri"/>
          <w:color w:val="000000"/>
          <w:sz w:val="22"/>
          <w:szCs w:val="22"/>
          <w:lang w:eastAsia="en-GB"/>
        </w:rPr>
        <w:t>2</w:t>
      </w:r>
      <w:r w:rsidR="00F906AD" w:rsidRPr="0047333D">
        <w:rPr>
          <w:rFonts w:ascii="Calibri" w:hAnsi="Calibri"/>
          <w:color w:val="000000"/>
          <w:sz w:val="22"/>
          <w:szCs w:val="22"/>
          <w:lang w:eastAsia="en-GB"/>
        </w:rPr>
        <w:t>.</w:t>
      </w:r>
    </w:p>
    <w:p w:rsidR="002464F2" w:rsidRPr="0047333D" w:rsidRDefault="002464F2" w:rsidP="0047333D">
      <w:pPr>
        <w:rPr>
          <w:rFonts w:ascii="Calibri" w:hAnsi="Calibri" w:cs="Calibri"/>
          <w:bCs/>
          <w:sz w:val="22"/>
          <w:szCs w:val="22"/>
        </w:rPr>
      </w:pPr>
    </w:p>
    <w:p w:rsidR="007E7929" w:rsidRPr="0047333D" w:rsidRDefault="007E7929" w:rsidP="0047333D">
      <w:pPr>
        <w:rPr>
          <w:rFonts w:ascii="Calibri" w:hAnsi="Calibri" w:cs="Calibri"/>
          <w:i/>
          <w:sz w:val="22"/>
          <w:szCs w:val="22"/>
        </w:rPr>
      </w:pPr>
    </w:p>
    <w:p w:rsidR="00797C03" w:rsidRPr="0047333D" w:rsidRDefault="00797C03" w:rsidP="0047333D">
      <w:pPr>
        <w:rPr>
          <w:rFonts w:ascii="Calibri" w:hAnsi="Calibri" w:cs="Calibri"/>
          <w:i/>
          <w:sz w:val="22"/>
          <w:szCs w:val="22"/>
        </w:rPr>
      </w:pPr>
      <w:r w:rsidRPr="0047333D">
        <w:rPr>
          <w:rFonts w:ascii="Calibri" w:hAnsi="Calibri" w:cs="Calibri"/>
          <w:i/>
          <w:sz w:val="22"/>
          <w:szCs w:val="22"/>
        </w:rPr>
        <w:t xml:space="preserve">Table 2: </w:t>
      </w:r>
      <w:r w:rsidRPr="0047333D">
        <w:rPr>
          <w:rFonts w:ascii="Calibri" w:hAnsi="Calibri"/>
          <w:i/>
          <w:sz w:val="22"/>
          <w:szCs w:val="22"/>
        </w:rPr>
        <w:t xml:space="preserve">Allocations from the </w:t>
      </w:r>
      <w:r w:rsidR="00C30743" w:rsidRPr="0047333D">
        <w:rPr>
          <w:rFonts w:ascii="Calibri" w:hAnsi="Calibri"/>
          <w:i/>
          <w:sz w:val="22"/>
          <w:szCs w:val="22"/>
        </w:rPr>
        <w:t>c</w:t>
      </w:r>
      <w:r w:rsidRPr="0047333D">
        <w:rPr>
          <w:rFonts w:ascii="Calibri" w:hAnsi="Calibri"/>
          <w:i/>
          <w:sz w:val="22"/>
          <w:szCs w:val="22"/>
        </w:rPr>
        <w:t xml:space="preserve">ore budget </w:t>
      </w:r>
      <w:r w:rsidR="00861AC8">
        <w:rPr>
          <w:rFonts w:ascii="Calibri" w:hAnsi="Calibri"/>
          <w:i/>
          <w:sz w:val="22"/>
          <w:szCs w:val="22"/>
        </w:rPr>
        <w:t xml:space="preserve">to non-core projects </w:t>
      </w:r>
      <w:r w:rsidR="00C3484B" w:rsidRPr="0047333D">
        <w:rPr>
          <w:rFonts w:ascii="Calibri" w:hAnsi="Calibri"/>
          <w:i/>
          <w:sz w:val="22"/>
          <w:szCs w:val="22"/>
        </w:rPr>
        <w:t>2014</w:t>
      </w:r>
      <w:r w:rsidR="00C30743" w:rsidRPr="0047333D">
        <w:rPr>
          <w:rFonts w:ascii="Calibri" w:hAnsi="Calibri"/>
          <w:i/>
          <w:sz w:val="22"/>
          <w:szCs w:val="22"/>
        </w:rPr>
        <w:t xml:space="preserve"> – </w:t>
      </w:r>
      <w:r w:rsidR="00C3484B" w:rsidRPr="0047333D">
        <w:rPr>
          <w:rFonts w:ascii="Calibri" w:hAnsi="Calibri"/>
          <w:i/>
          <w:sz w:val="22"/>
          <w:szCs w:val="22"/>
        </w:rPr>
        <w:t xml:space="preserve">2016 </w:t>
      </w:r>
      <w:r w:rsidRPr="0047333D">
        <w:rPr>
          <w:rFonts w:ascii="Calibri" w:hAnsi="Calibri" w:cs="Calibri"/>
          <w:i/>
          <w:sz w:val="22"/>
          <w:szCs w:val="22"/>
        </w:rPr>
        <w:t xml:space="preserve">(‘000 CHF, includes </w:t>
      </w:r>
      <w:r w:rsidR="00143C6A" w:rsidRPr="0047333D">
        <w:rPr>
          <w:rFonts w:ascii="Calibri" w:hAnsi="Calibri" w:cs="Calibri"/>
          <w:i/>
          <w:sz w:val="22"/>
          <w:szCs w:val="22"/>
        </w:rPr>
        <w:t xml:space="preserve">possible </w:t>
      </w:r>
      <w:r w:rsidRPr="0047333D">
        <w:rPr>
          <w:rFonts w:ascii="Calibri" w:hAnsi="Calibri" w:cs="Calibri"/>
          <w:i/>
          <w:sz w:val="22"/>
          <w:szCs w:val="22"/>
        </w:rPr>
        <w:t xml:space="preserve">rounding </w:t>
      </w:r>
      <w:r w:rsidR="00143C6A" w:rsidRPr="0047333D">
        <w:rPr>
          <w:rFonts w:ascii="Calibri" w:hAnsi="Calibri" w:cs="Calibri"/>
          <w:i/>
          <w:sz w:val="22"/>
          <w:szCs w:val="22"/>
        </w:rPr>
        <w:t>differences</w:t>
      </w:r>
      <w:r w:rsidRPr="0047333D">
        <w:rPr>
          <w:rFonts w:ascii="Calibri" w:hAnsi="Calibri" w:cs="Calibri"/>
          <w:i/>
          <w:sz w:val="22"/>
          <w:szCs w:val="22"/>
        </w:rPr>
        <w:t>)</w:t>
      </w:r>
    </w:p>
    <w:p w:rsidR="00F906AD" w:rsidRPr="0047333D" w:rsidRDefault="00F906AD" w:rsidP="0047333D">
      <w:pPr>
        <w:rPr>
          <w:rFonts w:ascii="Calibri" w:hAnsi="Calibri"/>
          <w:b/>
          <w:sz w:val="22"/>
          <w:szCs w:val="22"/>
        </w:rPr>
      </w:pPr>
    </w:p>
    <w:tbl>
      <w:tblPr>
        <w:tblW w:w="6961" w:type="dxa"/>
        <w:tblInd w:w="93" w:type="dxa"/>
        <w:tblLayout w:type="fixed"/>
        <w:tblLook w:val="04A0" w:firstRow="1" w:lastRow="0" w:firstColumn="1" w:lastColumn="0" w:noHBand="0" w:noVBand="1"/>
      </w:tblPr>
      <w:tblGrid>
        <w:gridCol w:w="3276"/>
        <w:gridCol w:w="1275"/>
        <w:gridCol w:w="1134"/>
        <w:gridCol w:w="1276"/>
      </w:tblGrid>
      <w:tr w:rsidR="009A4030" w:rsidRPr="0047333D" w:rsidTr="00513AB1">
        <w:trPr>
          <w:trHeight w:val="288"/>
        </w:trPr>
        <w:tc>
          <w:tcPr>
            <w:tcW w:w="3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9A4030" w:rsidRPr="0047333D" w:rsidRDefault="009A4030"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Description</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rsidR="009A4030" w:rsidRPr="0047333D" w:rsidRDefault="009A4030" w:rsidP="0047333D">
            <w:pPr>
              <w:jc w:val="center"/>
              <w:rPr>
                <w:rFonts w:ascii="Calibri" w:hAnsi="Calibri"/>
                <w:b/>
                <w:color w:val="000000"/>
                <w:sz w:val="22"/>
                <w:szCs w:val="22"/>
                <w:lang w:val="en-GB"/>
              </w:rPr>
            </w:pPr>
            <w:r w:rsidRPr="0047333D">
              <w:rPr>
                <w:rFonts w:ascii="Calibri" w:eastAsia="Times New Roman" w:hAnsi="Calibri"/>
                <w:b/>
                <w:bCs/>
                <w:color w:val="000000"/>
                <w:sz w:val="22"/>
                <w:szCs w:val="22"/>
                <w:lang w:val="en-GB" w:eastAsia="en-GB"/>
              </w:rPr>
              <w:t> 2014</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A4030" w:rsidRPr="0047333D" w:rsidRDefault="009A4030"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2015 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A4030" w:rsidRPr="0047333D" w:rsidRDefault="009A4030"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 2016</w:t>
            </w:r>
          </w:p>
        </w:tc>
      </w:tr>
      <w:tr w:rsidR="009A4030" w:rsidRPr="0047333D">
        <w:trPr>
          <w:trHeight w:val="288"/>
        </w:trPr>
        <w:tc>
          <w:tcPr>
            <w:tcW w:w="3276" w:type="dxa"/>
            <w:tcBorders>
              <w:top w:val="nil"/>
              <w:left w:val="single" w:sz="4" w:space="0" w:color="auto"/>
              <w:bottom w:val="nil"/>
              <w:right w:val="nil"/>
            </w:tcBorders>
            <w:shd w:val="clear" w:color="auto" w:fill="auto"/>
            <w:noWrap/>
            <w:vAlign w:val="bottom"/>
          </w:tcPr>
          <w:p w:rsidR="009A4030" w:rsidRPr="0047333D" w:rsidRDefault="009A4030"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Regional Initiatives</w:t>
            </w:r>
          </w:p>
        </w:tc>
        <w:tc>
          <w:tcPr>
            <w:tcW w:w="1275" w:type="dxa"/>
            <w:tcBorders>
              <w:top w:val="nil"/>
              <w:left w:val="single" w:sz="4" w:space="0" w:color="auto"/>
              <w:bottom w:val="nil"/>
              <w:right w:val="single" w:sz="4" w:space="0" w:color="auto"/>
            </w:tcBorders>
            <w:shd w:val="clear" w:color="auto" w:fill="auto"/>
            <w:noWrap/>
            <w:vAlign w:val="bottom"/>
          </w:tcPr>
          <w:p w:rsidR="009A4030" w:rsidRPr="0047333D" w:rsidRDefault="009A4030" w:rsidP="0047333D">
            <w:pPr>
              <w:ind w:right="175"/>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120</w:t>
            </w:r>
          </w:p>
        </w:tc>
        <w:tc>
          <w:tcPr>
            <w:tcW w:w="1134"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107</w:t>
            </w:r>
          </w:p>
        </w:tc>
        <w:tc>
          <w:tcPr>
            <w:tcW w:w="1276"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120</w:t>
            </w:r>
          </w:p>
        </w:tc>
      </w:tr>
      <w:tr w:rsidR="009A4030" w:rsidRPr="0047333D">
        <w:trPr>
          <w:trHeight w:val="288"/>
        </w:trPr>
        <w:tc>
          <w:tcPr>
            <w:tcW w:w="3276" w:type="dxa"/>
            <w:tcBorders>
              <w:top w:val="nil"/>
              <w:left w:val="single" w:sz="4" w:space="0" w:color="auto"/>
              <w:bottom w:val="nil"/>
              <w:right w:val="nil"/>
            </w:tcBorders>
            <w:shd w:val="clear" w:color="auto" w:fill="auto"/>
            <w:noWrap/>
            <w:vAlign w:val="bottom"/>
          </w:tcPr>
          <w:p w:rsidR="009A4030" w:rsidRPr="0047333D" w:rsidRDefault="009A4030"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RSIS redevelopment</w:t>
            </w:r>
          </w:p>
        </w:tc>
        <w:tc>
          <w:tcPr>
            <w:tcW w:w="1275" w:type="dxa"/>
            <w:tcBorders>
              <w:top w:val="nil"/>
              <w:left w:val="single" w:sz="4" w:space="0" w:color="auto"/>
              <w:bottom w:val="nil"/>
              <w:right w:val="single" w:sz="4" w:space="0" w:color="auto"/>
            </w:tcBorders>
            <w:shd w:val="clear" w:color="auto" w:fill="auto"/>
            <w:noWrap/>
            <w:vAlign w:val="bottom"/>
          </w:tcPr>
          <w:p w:rsidR="009A4030" w:rsidRPr="0047333D" w:rsidRDefault="009A4030" w:rsidP="0047333D">
            <w:pPr>
              <w:ind w:right="175"/>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90</w:t>
            </w:r>
          </w:p>
        </w:tc>
        <w:tc>
          <w:tcPr>
            <w:tcW w:w="1134"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80</w:t>
            </w:r>
          </w:p>
        </w:tc>
        <w:tc>
          <w:tcPr>
            <w:tcW w:w="1276"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47</w:t>
            </w:r>
          </w:p>
        </w:tc>
      </w:tr>
      <w:tr w:rsidR="009A4030" w:rsidRPr="0047333D">
        <w:trPr>
          <w:trHeight w:val="288"/>
        </w:trPr>
        <w:tc>
          <w:tcPr>
            <w:tcW w:w="3276" w:type="dxa"/>
            <w:tcBorders>
              <w:top w:val="nil"/>
              <w:left w:val="single" w:sz="4" w:space="0" w:color="auto"/>
              <w:bottom w:val="nil"/>
              <w:right w:val="nil"/>
            </w:tcBorders>
            <w:shd w:val="clear" w:color="auto" w:fill="auto"/>
            <w:noWrap/>
            <w:vAlign w:val="bottom"/>
          </w:tcPr>
          <w:p w:rsidR="009A4030" w:rsidRPr="0047333D" w:rsidRDefault="009A4030"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Web redevelopment</w:t>
            </w:r>
          </w:p>
        </w:tc>
        <w:tc>
          <w:tcPr>
            <w:tcW w:w="1275" w:type="dxa"/>
            <w:tcBorders>
              <w:top w:val="nil"/>
              <w:left w:val="single" w:sz="4" w:space="0" w:color="auto"/>
              <w:bottom w:val="nil"/>
              <w:right w:val="single" w:sz="4" w:space="0" w:color="auto"/>
            </w:tcBorders>
            <w:shd w:val="clear" w:color="auto" w:fill="auto"/>
            <w:noWrap/>
            <w:vAlign w:val="bottom"/>
          </w:tcPr>
          <w:p w:rsidR="009A4030" w:rsidRPr="0047333D" w:rsidRDefault="009A4030" w:rsidP="0047333D">
            <w:pPr>
              <w:ind w:right="175"/>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30</w:t>
            </w:r>
          </w:p>
        </w:tc>
        <w:tc>
          <w:tcPr>
            <w:tcW w:w="1134"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60</w:t>
            </w:r>
          </w:p>
        </w:tc>
        <w:tc>
          <w:tcPr>
            <w:tcW w:w="1276"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70</w:t>
            </w:r>
          </w:p>
        </w:tc>
      </w:tr>
      <w:tr w:rsidR="009A4030" w:rsidRPr="0047333D">
        <w:trPr>
          <w:trHeight w:val="288"/>
        </w:trPr>
        <w:tc>
          <w:tcPr>
            <w:tcW w:w="3276" w:type="dxa"/>
            <w:tcBorders>
              <w:top w:val="nil"/>
              <w:left w:val="single" w:sz="4" w:space="0" w:color="auto"/>
              <w:bottom w:val="nil"/>
              <w:right w:val="nil"/>
            </w:tcBorders>
            <w:shd w:val="clear" w:color="auto" w:fill="auto"/>
            <w:noWrap/>
            <w:vAlign w:val="bottom"/>
          </w:tcPr>
          <w:p w:rsidR="009A4030" w:rsidRPr="0047333D" w:rsidRDefault="009A4030"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STRP implementation</w:t>
            </w:r>
          </w:p>
        </w:tc>
        <w:tc>
          <w:tcPr>
            <w:tcW w:w="1275" w:type="dxa"/>
            <w:tcBorders>
              <w:top w:val="nil"/>
              <w:left w:val="single" w:sz="4" w:space="0" w:color="auto"/>
              <w:bottom w:val="nil"/>
              <w:right w:val="single" w:sz="4" w:space="0" w:color="auto"/>
            </w:tcBorders>
            <w:shd w:val="clear" w:color="auto" w:fill="auto"/>
            <w:noWrap/>
            <w:vAlign w:val="bottom"/>
          </w:tcPr>
          <w:p w:rsidR="009A4030" w:rsidRPr="0047333D" w:rsidRDefault="009A4030" w:rsidP="0047333D">
            <w:pPr>
              <w:ind w:right="175"/>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30</w:t>
            </w:r>
          </w:p>
        </w:tc>
        <w:tc>
          <w:tcPr>
            <w:tcW w:w="1134"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40</w:t>
            </w:r>
          </w:p>
        </w:tc>
        <w:tc>
          <w:tcPr>
            <w:tcW w:w="1276" w:type="dxa"/>
            <w:tcBorders>
              <w:top w:val="nil"/>
              <w:left w:val="nil"/>
              <w:bottom w:val="nil"/>
              <w:right w:val="single" w:sz="4" w:space="0" w:color="auto"/>
            </w:tcBorders>
            <w:shd w:val="clear" w:color="auto" w:fill="auto"/>
            <w:noWrap/>
            <w:vAlign w:val="bottom"/>
          </w:tcPr>
          <w:p w:rsidR="009A4030" w:rsidRPr="0047333D" w:rsidRDefault="009A4030" w:rsidP="0047333D">
            <w:pPr>
              <w:ind w:right="176"/>
              <w:jc w:val="right"/>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40</w:t>
            </w:r>
          </w:p>
        </w:tc>
      </w:tr>
      <w:tr w:rsidR="009A4030" w:rsidRPr="0047333D">
        <w:trPr>
          <w:trHeight w:val="300"/>
        </w:trPr>
        <w:tc>
          <w:tcPr>
            <w:tcW w:w="3276" w:type="dxa"/>
            <w:tcBorders>
              <w:top w:val="nil"/>
              <w:left w:val="single" w:sz="4" w:space="0" w:color="auto"/>
              <w:bottom w:val="single" w:sz="4" w:space="0" w:color="auto"/>
              <w:right w:val="nil"/>
            </w:tcBorders>
            <w:shd w:val="clear" w:color="auto" w:fill="auto"/>
            <w:noWrap/>
            <w:vAlign w:val="bottom"/>
          </w:tcPr>
          <w:p w:rsidR="009A4030" w:rsidRPr="0047333D" w:rsidRDefault="009A4030"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Total</w:t>
            </w:r>
          </w:p>
        </w:tc>
        <w:tc>
          <w:tcPr>
            <w:tcW w:w="1275" w:type="dxa"/>
            <w:tcBorders>
              <w:top w:val="single" w:sz="4" w:space="0" w:color="auto"/>
              <w:left w:val="single" w:sz="4" w:space="0" w:color="auto"/>
              <w:bottom w:val="double" w:sz="6" w:space="0" w:color="auto"/>
              <w:right w:val="single" w:sz="4" w:space="0" w:color="auto"/>
            </w:tcBorders>
            <w:shd w:val="clear" w:color="000000" w:fill="D9D9D9"/>
            <w:noWrap/>
            <w:vAlign w:val="bottom"/>
          </w:tcPr>
          <w:p w:rsidR="009A4030" w:rsidRPr="0047333D" w:rsidRDefault="009A4030" w:rsidP="0047333D">
            <w:pPr>
              <w:ind w:right="175"/>
              <w:jc w:val="right"/>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270</w:t>
            </w:r>
            <w:r w:rsidRPr="0047333D">
              <w:rPr>
                <w:rStyle w:val="FootnoteReference"/>
                <w:rFonts w:ascii="Calibri" w:eastAsia="Times New Roman" w:hAnsi="Calibri"/>
                <w:b/>
                <w:bCs/>
                <w:color w:val="000000"/>
                <w:sz w:val="22"/>
                <w:szCs w:val="22"/>
                <w:lang w:val="en-GB" w:eastAsia="en-GB"/>
              </w:rPr>
              <w:footnoteReference w:id="2"/>
            </w:r>
          </w:p>
        </w:tc>
        <w:tc>
          <w:tcPr>
            <w:tcW w:w="1134" w:type="dxa"/>
            <w:tcBorders>
              <w:top w:val="single" w:sz="4" w:space="0" w:color="auto"/>
              <w:left w:val="nil"/>
              <w:bottom w:val="double" w:sz="6" w:space="0" w:color="auto"/>
              <w:right w:val="single" w:sz="4" w:space="0" w:color="auto"/>
            </w:tcBorders>
            <w:shd w:val="clear" w:color="000000" w:fill="D9D9D9"/>
            <w:noWrap/>
            <w:vAlign w:val="bottom"/>
          </w:tcPr>
          <w:p w:rsidR="009A4030" w:rsidRPr="0047333D" w:rsidRDefault="009A4030" w:rsidP="0047333D">
            <w:pPr>
              <w:ind w:right="176"/>
              <w:jc w:val="right"/>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287</w:t>
            </w:r>
            <w:r w:rsidRPr="0047333D">
              <w:rPr>
                <w:rStyle w:val="FootnoteReference"/>
                <w:rFonts w:ascii="Calibri" w:eastAsia="Times New Roman" w:hAnsi="Calibri"/>
                <w:b/>
                <w:bCs/>
                <w:color w:val="000000"/>
                <w:sz w:val="22"/>
                <w:szCs w:val="22"/>
                <w:lang w:val="en-GB" w:eastAsia="en-GB"/>
              </w:rPr>
              <w:footnoteReference w:id="3"/>
            </w:r>
          </w:p>
        </w:tc>
        <w:tc>
          <w:tcPr>
            <w:tcW w:w="1276" w:type="dxa"/>
            <w:tcBorders>
              <w:top w:val="single" w:sz="4" w:space="0" w:color="auto"/>
              <w:left w:val="nil"/>
              <w:bottom w:val="double" w:sz="6" w:space="0" w:color="auto"/>
              <w:right w:val="single" w:sz="4" w:space="0" w:color="auto"/>
            </w:tcBorders>
            <w:shd w:val="clear" w:color="000000" w:fill="D9D9D9"/>
            <w:noWrap/>
            <w:vAlign w:val="bottom"/>
          </w:tcPr>
          <w:p w:rsidR="009A4030" w:rsidRPr="0047333D" w:rsidRDefault="009A4030" w:rsidP="0047333D">
            <w:pPr>
              <w:ind w:right="176"/>
              <w:jc w:val="right"/>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277</w:t>
            </w:r>
          </w:p>
        </w:tc>
      </w:tr>
    </w:tbl>
    <w:p w:rsidR="00797C03" w:rsidRPr="0047333D" w:rsidRDefault="00797C03" w:rsidP="0047333D">
      <w:pPr>
        <w:pStyle w:val="ListParagraph"/>
        <w:ind w:left="851" w:hanging="425"/>
        <w:rPr>
          <w:rFonts w:ascii="Calibri" w:hAnsi="Calibri" w:cs="Calibri"/>
          <w:bCs/>
          <w:sz w:val="22"/>
          <w:szCs w:val="22"/>
        </w:rPr>
      </w:pPr>
    </w:p>
    <w:p w:rsidR="00C63097" w:rsidRPr="0047333D" w:rsidRDefault="00C63097" w:rsidP="0047333D">
      <w:pPr>
        <w:rPr>
          <w:rFonts w:ascii="Calibri" w:hAnsi="Calibri" w:cs="Calibri"/>
          <w:bCs/>
          <w:sz w:val="22"/>
          <w:szCs w:val="22"/>
        </w:rPr>
      </w:pPr>
    </w:p>
    <w:p w:rsidR="00BF2443" w:rsidRPr="0047333D" w:rsidRDefault="00B763F5" w:rsidP="0047333D">
      <w:pPr>
        <w:rPr>
          <w:rFonts w:ascii="Calibri" w:hAnsi="Calibri" w:cs="Calibri"/>
          <w:b/>
          <w:bCs/>
          <w:sz w:val="22"/>
          <w:szCs w:val="22"/>
        </w:rPr>
      </w:pPr>
      <w:r w:rsidRPr="0047333D">
        <w:rPr>
          <w:rFonts w:ascii="Calibri" w:hAnsi="Calibri" w:cs="Calibri"/>
          <w:b/>
          <w:bCs/>
          <w:sz w:val="22"/>
          <w:szCs w:val="22"/>
        </w:rPr>
        <w:t>Proposal for</w:t>
      </w:r>
      <w:r w:rsidR="00BF2443" w:rsidRPr="0047333D">
        <w:rPr>
          <w:rFonts w:ascii="Calibri" w:hAnsi="Calibri" w:cs="Calibri"/>
          <w:b/>
          <w:bCs/>
          <w:sz w:val="22"/>
          <w:szCs w:val="22"/>
        </w:rPr>
        <w:t xml:space="preserve"> the </w:t>
      </w:r>
      <w:r w:rsidR="00BF2443" w:rsidRPr="0047333D">
        <w:rPr>
          <w:rFonts w:ascii="Calibri" w:hAnsi="Calibri"/>
          <w:b/>
          <w:sz w:val="22"/>
          <w:szCs w:val="22"/>
        </w:rPr>
        <w:t>201</w:t>
      </w:r>
      <w:r w:rsidR="004D1EA4" w:rsidRPr="0047333D">
        <w:rPr>
          <w:rFonts w:ascii="Calibri" w:hAnsi="Calibri"/>
          <w:b/>
          <w:sz w:val="22"/>
          <w:szCs w:val="22"/>
        </w:rPr>
        <w:t>6</w:t>
      </w:r>
      <w:r w:rsidR="00BF2443" w:rsidRPr="0047333D">
        <w:rPr>
          <w:rFonts w:ascii="Calibri" w:hAnsi="Calibri"/>
          <w:b/>
          <w:sz w:val="22"/>
          <w:szCs w:val="22"/>
        </w:rPr>
        <w:t xml:space="preserve"> </w:t>
      </w:r>
      <w:r w:rsidR="004D1EA4" w:rsidRPr="0047333D">
        <w:rPr>
          <w:rFonts w:ascii="Calibri" w:hAnsi="Calibri"/>
          <w:b/>
          <w:sz w:val="22"/>
          <w:szCs w:val="22"/>
        </w:rPr>
        <w:t>surplus</w:t>
      </w:r>
      <w:r w:rsidR="005C0326" w:rsidRPr="0047333D">
        <w:rPr>
          <w:rFonts w:ascii="Calibri" w:hAnsi="Calibri"/>
          <w:b/>
          <w:sz w:val="22"/>
          <w:szCs w:val="22"/>
        </w:rPr>
        <w:t xml:space="preserve"> </w:t>
      </w:r>
      <w:r w:rsidR="005C0326" w:rsidRPr="0047333D">
        <w:rPr>
          <w:rFonts w:ascii="Calibri" w:hAnsi="Calibri" w:cs="Calibri"/>
          <w:b/>
          <w:bCs/>
          <w:sz w:val="22"/>
          <w:szCs w:val="22"/>
        </w:rPr>
        <w:t>and reserve fund</w:t>
      </w:r>
    </w:p>
    <w:p w:rsidR="00BF2443" w:rsidRPr="0047333D" w:rsidRDefault="00BF2443" w:rsidP="0047333D">
      <w:pPr>
        <w:pStyle w:val="ListParagraph"/>
        <w:rPr>
          <w:rFonts w:ascii="Calibri" w:hAnsi="Calibri" w:cs="Calibri"/>
          <w:bCs/>
          <w:sz w:val="22"/>
          <w:szCs w:val="22"/>
          <w:highlight w:val="yellow"/>
        </w:rPr>
      </w:pPr>
    </w:p>
    <w:p w:rsidR="00B763F5" w:rsidRPr="0047333D" w:rsidRDefault="00F906AD"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 xml:space="preserve">At </w:t>
      </w:r>
      <w:r w:rsidR="00C62D80">
        <w:rPr>
          <w:rFonts w:ascii="Calibri" w:hAnsi="Calibri" w:cs="Calibri"/>
          <w:bCs/>
          <w:sz w:val="22"/>
          <w:szCs w:val="22"/>
        </w:rPr>
        <w:t>its 51</w:t>
      </w:r>
      <w:r w:rsidR="00C62D80" w:rsidRPr="00C62D80">
        <w:rPr>
          <w:rFonts w:ascii="Calibri" w:hAnsi="Calibri" w:cs="Calibri"/>
          <w:bCs/>
          <w:sz w:val="22"/>
          <w:szCs w:val="22"/>
          <w:vertAlign w:val="superscript"/>
        </w:rPr>
        <w:t>st</w:t>
      </w:r>
      <w:r w:rsidR="00C62D80">
        <w:rPr>
          <w:rFonts w:ascii="Calibri" w:hAnsi="Calibri" w:cs="Calibri"/>
          <w:bCs/>
          <w:sz w:val="22"/>
          <w:szCs w:val="22"/>
        </w:rPr>
        <w:t xml:space="preserve"> meeting (</w:t>
      </w:r>
      <w:r w:rsidRPr="0047333D">
        <w:rPr>
          <w:rFonts w:ascii="Calibri" w:hAnsi="Calibri" w:cs="Calibri"/>
          <w:bCs/>
          <w:sz w:val="22"/>
          <w:szCs w:val="22"/>
        </w:rPr>
        <w:t>SC51</w:t>
      </w:r>
      <w:r w:rsidR="00C90D3C">
        <w:rPr>
          <w:rFonts w:ascii="Calibri" w:hAnsi="Calibri" w:cs="Calibri"/>
          <w:bCs/>
          <w:sz w:val="22"/>
          <w:szCs w:val="22"/>
        </w:rPr>
        <w:t xml:space="preserve">, </w:t>
      </w:r>
      <w:r w:rsidR="00095A7C" w:rsidRPr="0047333D">
        <w:rPr>
          <w:rFonts w:ascii="Calibri" w:hAnsi="Calibri" w:cs="Calibri"/>
          <w:bCs/>
          <w:sz w:val="22"/>
          <w:szCs w:val="22"/>
        </w:rPr>
        <w:t>2015)</w:t>
      </w:r>
      <w:r w:rsidR="006E4E46" w:rsidRPr="0047333D">
        <w:rPr>
          <w:rFonts w:ascii="Calibri" w:hAnsi="Calibri" w:cs="Calibri"/>
          <w:bCs/>
          <w:sz w:val="22"/>
          <w:szCs w:val="22"/>
        </w:rPr>
        <w:t>,</w:t>
      </w:r>
      <w:r w:rsidR="00095A7C" w:rsidRPr="0047333D">
        <w:rPr>
          <w:rFonts w:ascii="Calibri" w:hAnsi="Calibri" w:cs="Calibri"/>
          <w:bCs/>
          <w:sz w:val="22"/>
          <w:szCs w:val="22"/>
        </w:rPr>
        <w:t xml:space="preserve"> </w:t>
      </w:r>
      <w:r w:rsidRPr="0047333D">
        <w:rPr>
          <w:rFonts w:ascii="Calibri" w:hAnsi="Calibri" w:cs="Calibri"/>
          <w:bCs/>
          <w:sz w:val="22"/>
          <w:szCs w:val="22"/>
        </w:rPr>
        <w:t>t</w:t>
      </w:r>
      <w:r w:rsidR="00F70525" w:rsidRPr="0047333D">
        <w:rPr>
          <w:rFonts w:ascii="Calibri" w:hAnsi="Calibri" w:cs="Calibri"/>
          <w:bCs/>
          <w:sz w:val="22"/>
          <w:szCs w:val="22"/>
        </w:rPr>
        <w:t>he Standing Committee</w:t>
      </w:r>
      <w:r w:rsidR="00770D8F" w:rsidRPr="0047333D">
        <w:rPr>
          <w:rFonts w:ascii="Calibri" w:hAnsi="Calibri" w:cs="Calibri"/>
          <w:bCs/>
          <w:sz w:val="22"/>
          <w:szCs w:val="22"/>
        </w:rPr>
        <w:t xml:space="preserve"> </w:t>
      </w:r>
      <w:r w:rsidR="00F70525" w:rsidRPr="0047333D">
        <w:rPr>
          <w:rFonts w:ascii="Calibri" w:hAnsi="Calibri" w:cs="Calibri"/>
          <w:bCs/>
          <w:sz w:val="22"/>
          <w:szCs w:val="22"/>
        </w:rPr>
        <w:t>decided</w:t>
      </w:r>
      <w:r w:rsidRPr="0047333D">
        <w:rPr>
          <w:rFonts w:ascii="Calibri" w:hAnsi="Calibri" w:cs="Calibri"/>
          <w:bCs/>
          <w:sz w:val="22"/>
          <w:szCs w:val="22"/>
        </w:rPr>
        <w:t xml:space="preserve"> </w:t>
      </w:r>
      <w:r w:rsidR="00C803AF" w:rsidRPr="0047333D">
        <w:rPr>
          <w:rFonts w:ascii="Calibri" w:hAnsi="Calibri" w:cs="Calibri"/>
          <w:bCs/>
          <w:sz w:val="22"/>
          <w:szCs w:val="22"/>
        </w:rPr>
        <w:t xml:space="preserve">in decision SC51-22 </w:t>
      </w:r>
      <w:r w:rsidR="00F70525" w:rsidRPr="0047333D">
        <w:rPr>
          <w:rFonts w:ascii="Calibri" w:hAnsi="Calibri" w:cs="Calibri"/>
          <w:bCs/>
          <w:sz w:val="22"/>
          <w:szCs w:val="22"/>
        </w:rPr>
        <w:t xml:space="preserve">to </w:t>
      </w:r>
      <w:r w:rsidR="00770D8F" w:rsidRPr="0047333D">
        <w:rPr>
          <w:rFonts w:ascii="Calibri" w:hAnsi="Calibri" w:cs="Calibri"/>
          <w:bCs/>
          <w:sz w:val="22"/>
          <w:szCs w:val="22"/>
        </w:rPr>
        <w:t xml:space="preserve">set aside CHF 278,000 in </w:t>
      </w:r>
      <w:r w:rsidR="00BF2443" w:rsidRPr="0047333D">
        <w:rPr>
          <w:rFonts w:ascii="Calibri" w:hAnsi="Calibri" w:cs="Calibri"/>
          <w:bCs/>
          <w:sz w:val="22"/>
          <w:szCs w:val="22"/>
        </w:rPr>
        <w:t xml:space="preserve">item </w:t>
      </w:r>
      <w:r w:rsidR="00770D8F" w:rsidRPr="0047333D">
        <w:rPr>
          <w:rFonts w:ascii="Calibri" w:hAnsi="Calibri" w:cs="Calibri"/>
          <w:bCs/>
          <w:sz w:val="22"/>
          <w:szCs w:val="22"/>
        </w:rPr>
        <w:t>K</w:t>
      </w:r>
      <w:r w:rsidR="00BF2443" w:rsidRPr="0047333D">
        <w:rPr>
          <w:rFonts w:ascii="Calibri" w:hAnsi="Calibri" w:cs="Calibri"/>
          <w:bCs/>
          <w:sz w:val="22"/>
          <w:szCs w:val="22"/>
        </w:rPr>
        <w:t xml:space="preserve"> </w:t>
      </w:r>
      <w:r w:rsidR="00F70525" w:rsidRPr="0047333D">
        <w:rPr>
          <w:rFonts w:ascii="Calibri" w:hAnsi="Calibri" w:cs="Calibri"/>
          <w:bCs/>
          <w:sz w:val="22"/>
          <w:szCs w:val="22"/>
        </w:rPr>
        <w:t xml:space="preserve">of the 2016 budget </w:t>
      </w:r>
      <w:r w:rsidR="008F166C" w:rsidRPr="0047333D">
        <w:rPr>
          <w:rFonts w:ascii="Calibri" w:hAnsi="Calibri" w:cs="Calibri"/>
          <w:bCs/>
          <w:sz w:val="22"/>
          <w:szCs w:val="22"/>
        </w:rPr>
        <w:t xml:space="preserve">for </w:t>
      </w:r>
      <w:r w:rsidR="00097E94" w:rsidRPr="0047333D">
        <w:rPr>
          <w:rFonts w:ascii="Calibri" w:hAnsi="Calibri" w:cs="Calibri"/>
          <w:bCs/>
          <w:sz w:val="22"/>
          <w:szCs w:val="22"/>
        </w:rPr>
        <w:t xml:space="preserve">reserve fund </w:t>
      </w:r>
      <w:r w:rsidR="008F166C" w:rsidRPr="0047333D">
        <w:rPr>
          <w:rFonts w:ascii="Calibri" w:hAnsi="Calibri" w:cs="Calibri"/>
          <w:bCs/>
          <w:sz w:val="22"/>
          <w:szCs w:val="22"/>
        </w:rPr>
        <w:t>provisions</w:t>
      </w:r>
      <w:r w:rsidRPr="0047333D">
        <w:rPr>
          <w:rFonts w:ascii="Calibri" w:hAnsi="Calibri" w:cs="Calibri"/>
          <w:bCs/>
          <w:sz w:val="22"/>
          <w:szCs w:val="22"/>
        </w:rPr>
        <w:t xml:space="preserve">. </w:t>
      </w:r>
      <w:r w:rsidR="007E1D3F" w:rsidRPr="0047333D">
        <w:rPr>
          <w:rFonts w:ascii="Calibri" w:hAnsi="Calibri" w:cs="Calibri"/>
          <w:bCs/>
          <w:sz w:val="22"/>
          <w:szCs w:val="22"/>
        </w:rPr>
        <w:t xml:space="preserve">After setting aside this amount, </w:t>
      </w:r>
      <w:r w:rsidR="00B763F5" w:rsidRPr="0047333D">
        <w:rPr>
          <w:rFonts w:ascii="Calibri" w:hAnsi="Calibri" w:cs="Calibri"/>
          <w:bCs/>
          <w:sz w:val="22"/>
          <w:szCs w:val="22"/>
        </w:rPr>
        <w:t xml:space="preserve">the preliminary overall </w:t>
      </w:r>
      <w:r w:rsidR="007E1D3F" w:rsidRPr="0047333D">
        <w:rPr>
          <w:rFonts w:ascii="Calibri" w:hAnsi="Calibri" w:cs="Calibri"/>
          <w:bCs/>
          <w:sz w:val="22"/>
          <w:szCs w:val="22"/>
        </w:rPr>
        <w:t xml:space="preserve">core </w:t>
      </w:r>
      <w:r w:rsidR="00B763F5" w:rsidRPr="0047333D">
        <w:rPr>
          <w:rFonts w:ascii="Calibri" w:hAnsi="Calibri" w:cs="Calibri"/>
          <w:bCs/>
          <w:sz w:val="22"/>
          <w:szCs w:val="22"/>
        </w:rPr>
        <w:t xml:space="preserve">surplus </w:t>
      </w:r>
      <w:r w:rsidR="006E4E46" w:rsidRPr="0047333D">
        <w:rPr>
          <w:rFonts w:ascii="Calibri" w:hAnsi="Calibri" w:cs="Calibri"/>
          <w:bCs/>
          <w:sz w:val="22"/>
          <w:szCs w:val="22"/>
        </w:rPr>
        <w:t>was</w:t>
      </w:r>
      <w:r w:rsidR="007E1D3F" w:rsidRPr="0047333D">
        <w:rPr>
          <w:rFonts w:ascii="Calibri" w:hAnsi="Calibri" w:cs="Calibri"/>
          <w:bCs/>
          <w:sz w:val="22"/>
          <w:szCs w:val="22"/>
        </w:rPr>
        <w:t xml:space="preserve"> </w:t>
      </w:r>
      <w:r w:rsidR="00B763F5" w:rsidRPr="0047333D">
        <w:rPr>
          <w:rFonts w:ascii="Calibri" w:hAnsi="Calibri" w:cs="Calibri"/>
          <w:bCs/>
          <w:sz w:val="22"/>
          <w:szCs w:val="22"/>
        </w:rPr>
        <w:t>CHF</w:t>
      </w:r>
      <w:r w:rsidR="00A7437C" w:rsidRPr="0047333D">
        <w:rPr>
          <w:rFonts w:ascii="Calibri" w:hAnsi="Calibri" w:cs="Calibri"/>
          <w:bCs/>
          <w:sz w:val="22"/>
          <w:szCs w:val="22"/>
        </w:rPr>
        <w:t> </w:t>
      </w:r>
      <w:r w:rsidR="00B763F5" w:rsidRPr="0047333D">
        <w:rPr>
          <w:rFonts w:ascii="Calibri" w:hAnsi="Calibri" w:cs="Calibri"/>
          <w:bCs/>
          <w:sz w:val="22"/>
          <w:szCs w:val="22"/>
        </w:rPr>
        <w:t xml:space="preserve">338,000 at the end of 2016. </w:t>
      </w:r>
    </w:p>
    <w:p w:rsidR="00B763F5" w:rsidRPr="0047333D" w:rsidRDefault="00B763F5" w:rsidP="0047333D">
      <w:pPr>
        <w:pStyle w:val="ListParagraph"/>
        <w:ind w:left="426"/>
        <w:rPr>
          <w:rFonts w:ascii="Calibri" w:hAnsi="Calibri" w:cs="Calibri"/>
          <w:bCs/>
          <w:sz w:val="22"/>
          <w:szCs w:val="22"/>
        </w:rPr>
      </w:pPr>
    </w:p>
    <w:p w:rsidR="005363BF" w:rsidRPr="0047333D" w:rsidRDefault="00B763F5"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The Secre</w:t>
      </w:r>
      <w:r w:rsidR="00C803AF" w:rsidRPr="0047333D">
        <w:rPr>
          <w:rFonts w:ascii="Calibri" w:hAnsi="Calibri" w:cs="Calibri"/>
          <w:bCs/>
          <w:sz w:val="22"/>
          <w:szCs w:val="22"/>
        </w:rPr>
        <w:t>tariat</w:t>
      </w:r>
      <w:r w:rsidRPr="0047333D">
        <w:rPr>
          <w:rFonts w:ascii="Calibri" w:hAnsi="Calibri" w:cs="Calibri"/>
          <w:bCs/>
          <w:sz w:val="22"/>
          <w:szCs w:val="22"/>
        </w:rPr>
        <w:t xml:space="preserve"> </w:t>
      </w:r>
      <w:r w:rsidR="00856FEC" w:rsidRPr="0047333D">
        <w:rPr>
          <w:rFonts w:ascii="Calibri" w:hAnsi="Calibri" w:cs="Calibri"/>
          <w:bCs/>
          <w:sz w:val="22"/>
          <w:szCs w:val="22"/>
        </w:rPr>
        <w:t xml:space="preserve">proposes to allocate CHF 112,000 of the 2016 surplus to replenish the reserve fund to the target maximum </w:t>
      </w:r>
      <w:r w:rsidR="005776A9" w:rsidRPr="0047333D">
        <w:rPr>
          <w:rFonts w:ascii="Calibri" w:hAnsi="Calibri" w:cs="Calibri"/>
          <w:bCs/>
          <w:sz w:val="22"/>
          <w:szCs w:val="22"/>
        </w:rPr>
        <w:t xml:space="preserve">level of </w:t>
      </w:r>
      <w:r w:rsidR="00856FEC" w:rsidRPr="0047333D">
        <w:rPr>
          <w:rFonts w:ascii="Calibri" w:hAnsi="Calibri" w:cs="Calibri"/>
          <w:bCs/>
          <w:sz w:val="22"/>
          <w:szCs w:val="22"/>
        </w:rPr>
        <w:t>15% of the annual c</w:t>
      </w:r>
      <w:r w:rsidR="00B62A62" w:rsidRPr="0047333D">
        <w:rPr>
          <w:rFonts w:ascii="Calibri" w:hAnsi="Calibri" w:cs="Calibri"/>
          <w:bCs/>
          <w:sz w:val="22"/>
          <w:szCs w:val="22"/>
        </w:rPr>
        <w:t>ore budget</w:t>
      </w:r>
      <w:r w:rsidR="00C803AF" w:rsidRPr="0047333D">
        <w:rPr>
          <w:rFonts w:ascii="Calibri" w:hAnsi="Calibri" w:cs="Calibri"/>
          <w:bCs/>
          <w:sz w:val="22"/>
          <w:szCs w:val="22"/>
        </w:rPr>
        <w:t xml:space="preserve"> </w:t>
      </w:r>
      <w:r w:rsidR="00273797" w:rsidRPr="0047333D">
        <w:rPr>
          <w:rFonts w:ascii="Calibri" w:hAnsi="Calibri" w:cs="Calibri"/>
          <w:bCs/>
          <w:sz w:val="22"/>
          <w:szCs w:val="22"/>
        </w:rPr>
        <w:t xml:space="preserve">in line with </w:t>
      </w:r>
      <w:r w:rsidR="00C803AF" w:rsidRPr="0047333D">
        <w:rPr>
          <w:rFonts w:ascii="Calibri" w:hAnsi="Calibri" w:cs="Calibri"/>
          <w:bCs/>
          <w:sz w:val="22"/>
          <w:szCs w:val="22"/>
        </w:rPr>
        <w:t>Resolution XI</w:t>
      </w:r>
      <w:r w:rsidR="00273797" w:rsidRPr="0047333D">
        <w:rPr>
          <w:rFonts w:ascii="Calibri" w:hAnsi="Calibri" w:cs="Calibri"/>
          <w:bCs/>
          <w:sz w:val="22"/>
          <w:szCs w:val="22"/>
        </w:rPr>
        <w:t>I</w:t>
      </w:r>
      <w:r w:rsidR="00C803AF" w:rsidRPr="0047333D">
        <w:rPr>
          <w:rFonts w:ascii="Calibri" w:hAnsi="Calibri" w:cs="Calibri"/>
          <w:bCs/>
          <w:sz w:val="22"/>
          <w:szCs w:val="22"/>
        </w:rPr>
        <w:t>.</w:t>
      </w:r>
      <w:r w:rsidR="00273797" w:rsidRPr="0047333D">
        <w:rPr>
          <w:rFonts w:ascii="Calibri" w:hAnsi="Calibri" w:cs="Calibri"/>
          <w:bCs/>
          <w:sz w:val="22"/>
          <w:szCs w:val="22"/>
        </w:rPr>
        <w:t>1</w:t>
      </w:r>
      <w:r w:rsidR="00B62A62" w:rsidRPr="0047333D">
        <w:rPr>
          <w:rFonts w:ascii="Calibri" w:hAnsi="Calibri" w:cs="Calibri"/>
          <w:bCs/>
          <w:sz w:val="22"/>
          <w:szCs w:val="22"/>
        </w:rPr>
        <w:t>.</w:t>
      </w:r>
      <w:r w:rsidR="00856FEC" w:rsidRPr="0047333D">
        <w:rPr>
          <w:rFonts w:ascii="Calibri" w:hAnsi="Calibri" w:cs="Calibri"/>
          <w:bCs/>
          <w:sz w:val="22"/>
          <w:szCs w:val="22"/>
        </w:rPr>
        <w:t xml:space="preserve"> </w:t>
      </w:r>
    </w:p>
    <w:p w:rsidR="005363BF" w:rsidRPr="0047333D" w:rsidRDefault="005363BF" w:rsidP="0047333D">
      <w:pPr>
        <w:pStyle w:val="ListParagraph"/>
        <w:rPr>
          <w:rFonts w:ascii="Calibri" w:hAnsi="Calibri" w:cs="Calibri"/>
          <w:bCs/>
          <w:sz w:val="22"/>
          <w:szCs w:val="22"/>
        </w:rPr>
      </w:pPr>
    </w:p>
    <w:p w:rsidR="003861A1" w:rsidRPr="0047333D" w:rsidRDefault="005363BF"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The Secretar</w:t>
      </w:r>
      <w:r w:rsidR="00C803AF" w:rsidRPr="0047333D">
        <w:rPr>
          <w:rFonts w:ascii="Calibri" w:hAnsi="Calibri" w:cs="Calibri"/>
          <w:bCs/>
          <w:sz w:val="22"/>
          <w:szCs w:val="22"/>
        </w:rPr>
        <w:t>iat</w:t>
      </w:r>
      <w:r w:rsidRPr="0047333D">
        <w:rPr>
          <w:rFonts w:ascii="Calibri" w:hAnsi="Calibri" w:cs="Calibri"/>
          <w:bCs/>
          <w:sz w:val="22"/>
          <w:szCs w:val="22"/>
        </w:rPr>
        <w:t xml:space="preserve"> </w:t>
      </w:r>
      <w:r w:rsidR="001F63DF" w:rsidRPr="0047333D">
        <w:rPr>
          <w:rFonts w:ascii="Calibri" w:hAnsi="Calibri" w:cs="Calibri"/>
          <w:bCs/>
          <w:sz w:val="22"/>
          <w:szCs w:val="22"/>
        </w:rPr>
        <w:t xml:space="preserve">also </w:t>
      </w:r>
      <w:r w:rsidRPr="0047333D">
        <w:rPr>
          <w:rFonts w:ascii="Calibri" w:hAnsi="Calibri" w:cs="Calibri"/>
          <w:bCs/>
          <w:sz w:val="22"/>
          <w:szCs w:val="22"/>
        </w:rPr>
        <w:t xml:space="preserve">proposes to </w:t>
      </w:r>
      <w:r w:rsidR="009F0EBD" w:rsidRPr="0047333D">
        <w:rPr>
          <w:rFonts w:ascii="Calibri" w:hAnsi="Calibri" w:cs="Calibri"/>
          <w:bCs/>
          <w:sz w:val="22"/>
          <w:szCs w:val="22"/>
        </w:rPr>
        <w:t>set up a designated reserve for</w:t>
      </w:r>
      <w:r w:rsidRPr="0047333D">
        <w:rPr>
          <w:rFonts w:ascii="Calibri" w:hAnsi="Calibri" w:cs="Calibri"/>
          <w:bCs/>
          <w:sz w:val="22"/>
          <w:szCs w:val="22"/>
        </w:rPr>
        <w:t xml:space="preserve"> the </w:t>
      </w:r>
      <w:r w:rsidR="00C932D1" w:rsidRPr="0047333D">
        <w:rPr>
          <w:rFonts w:ascii="Calibri" w:hAnsi="Calibri" w:cs="Calibri"/>
          <w:bCs/>
          <w:sz w:val="22"/>
          <w:szCs w:val="22"/>
        </w:rPr>
        <w:t xml:space="preserve">remaining </w:t>
      </w:r>
      <w:r w:rsidRPr="0047333D">
        <w:rPr>
          <w:rFonts w:ascii="Calibri" w:hAnsi="Calibri" w:cs="Calibri"/>
          <w:bCs/>
          <w:sz w:val="22"/>
          <w:szCs w:val="22"/>
        </w:rPr>
        <w:t xml:space="preserve">balance of the 2016 surplus (CHF 226,000) </w:t>
      </w:r>
      <w:r w:rsidR="00D570EC" w:rsidRPr="0047333D">
        <w:rPr>
          <w:rFonts w:ascii="Calibri" w:hAnsi="Calibri"/>
          <w:sz w:val="22"/>
          <w:szCs w:val="22"/>
        </w:rPr>
        <w:t>and is in the process of preparing</w:t>
      </w:r>
      <w:r w:rsidR="0047333D">
        <w:rPr>
          <w:rFonts w:ascii="Calibri" w:hAnsi="Calibri"/>
          <w:sz w:val="22"/>
          <w:szCs w:val="22"/>
        </w:rPr>
        <w:t xml:space="preserve"> </w:t>
      </w:r>
      <w:r w:rsidR="00D570EC" w:rsidRPr="0047333D">
        <w:rPr>
          <w:rFonts w:ascii="Calibri" w:hAnsi="Calibri"/>
          <w:sz w:val="22"/>
          <w:szCs w:val="22"/>
        </w:rPr>
        <w:t>proposal</w:t>
      </w:r>
      <w:r w:rsidR="001F63DF" w:rsidRPr="0047333D">
        <w:rPr>
          <w:rFonts w:ascii="Calibri" w:hAnsi="Calibri"/>
          <w:sz w:val="22"/>
          <w:szCs w:val="22"/>
        </w:rPr>
        <w:t>s</w:t>
      </w:r>
      <w:r w:rsidR="00D570EC" w:rsidRPr="0047333D">
        <w:rPr>
          <w:rFonts w:ascii="Calibri" w:hAnsi="Calibri"/>
          <w:sz w:val="22"/>
          <w:szCs w:val="22"/>
        </w:rPr>
        <w:t xml:space="preserve"> for allocation of this preliminary excess reserve. The</w:t>
      </w:r>
      <w:r w:rsidR="00C803AF" w:rsidRPr="0047333D">
        <w:rPr>
          <w:rFonts w:ascii="Calibri" w:hAnsi="Calibri"/>
          <w:sz w:val="22"/>
          <w:szCs w:val="22"/>
        </w:rPr>
        <w:t>se</w:t>
      </w:r>
      <w:r w:rsidR="00D570EC" w:rsidRPr="0047333D">
        <w:rPr>
          <w:rFonts w:ascii="Calibri" w:hAnsi="Calibri"/>
          <w:sz w:val="22"/>
          <w:szCs w:val="22"/>
        </w:rPr>
        <w:t xml:space="preserve"> will cover areas such as additional staffing needs approved by the Executive Team</w:t>
      </w:r>
      <w:r w:rsidR="00E93F49" w:rsidRPr="0047333D">
        <w:rPr>
          <w:rFonts w:ascii="Calibri" w:hAnsi="Calibri"/>
          <w:sz w:val="22"/>
          <w:szCs w:val="22"/>
        </w:rPr>
        <w:t xml:space="preserve"> (part time Accounting Assistant, under discussion with IUCN, and a Legal Advisor on Convention matters to be retained through a contract of services)</w:t>
      </w:r>
      <w:r w:rsidR="00D570EC" w:rsidRPr="0047333D">
        <w:rPr>
          <w:rFonts w:ascii="Calibri" w:hAnsi="Calibri"/>
          <w:sz w:val="22"/>
          <w:szCs w:val="22"/>
        </w:rPr>
        <w:t>, covering staffing gaps</w:t>
      </w:r>
      <w:r w:rsidR="00E93F49" w:rsidRPr="0047333D">
        <w:rPr>
          <w:rFonts w:ascii="Calibri" w:hAnsi="Calibri"/>
          <w:sz w:val="22"/>
          <w:szCs w:val="22"/>
        </w:rPr>
        <w:t xml:space="preserve"> and</w:t>
      </w:r>
      <w:r w:rsidR="00D570EC" w:rsidRPr="0047333D">
        <w:rPr>
          <w:rFonts w:ascii="Calibri" w:hAnsi="Calibri"/>
          <w:sz w:val="22"/>
          <w:szCs w:val="22"/>
        </w:rPr>
        <w:t xml:space="preserve"> building capacities and </w:t>
      </w:r>
      <w:r w:rsidR="00E93F49" w:rsidRPr="0047333D">
        <w:rPr>
          <w:rFonts w:ascii="Calibri" w:hAnsi="Calibri"/>
          <w:sz w:val="22"/>
          <w:szCs w:val="22"/>
        </w:rPr>
        <w:t xml:space="preserve">skills to </w:t>
      </w:r>
      <w:r w:rsidR="00D570EC" w:rsidRPr="0047333D">
        <w:rPr>
          <w:rFonts w:ascii="Calibri" w:hAnsi="Calibri"/>
          <w:sz w:val="22"/>
          <w:szCs w:val="22"/>
        </w:rPr>
        <w:t>ensur</w:t>
      </w:r>
      <w:r w:rsidR="00E93F49" w:rsidRPr="0047333D">
        <w:rPr>
          <w:rFonts w:ascii="Calibri" w:hAnsi="Calibri"/>
          <w:sz w:val="22"/>
          <w:szCs w:val="22"/>
        </w:rPr>
        <w:t>e</w:t>
      </w:r>
      <w:r w:rsidR="00D570EC" w:rsidRPr="0047333D">
        <w:rPr>
          <w:rFonts w:ascii="Calibri" w:hAnsi="Calibri"/>
          <w:sz w:val="22"/>
          <w:szCs w:val="22"/>
        </w:rPr>
        <w:t xml:space="preserve"> effective operations of the Secretariat.</w:t>
      </w:r>
      <w:r w:rsidR="0047333D">
        <w:rPr>
          <w:rFonts w:ascii="Calibri" w:hAnsi="Calibri"/>
          <w:sz w:val="22"/>
          <w:szCs w:val="22"/>
        </w:rPr>
        <w:t xml:space="preserve"> </w:t>
      </w:r>
      <w:r w:rsidR="00E93F49" w:rsidRPr="0047333D">
        <w:rPr>
          <w:rFonts w:ascii="Calibri" w:hAnsi="Calibri"/>
          <w:sz w:val="22"/>
          <w:szCs w:val="22"/>
        </w:rPr>
        <w:t>These p</w:t>
      </w:r>
      <w:r w:rsidR="00D570EC" w:rsidRPr="0047333D">
        <w:rPr>
          <w:rFonts w:ascii="Calibri" w:hAnsi="Calibri"/>
          <w:sz w:val="22"/>
          <w:szCs w:val="22"/>
        </w:rPr>
        <w:t>roposals will be presented at SC53.</w:t>
      </w:r>
      <w:r w:rsidR="0047333D">
        <w:rPr>
          <w:rFonts w:ascii="Calibri" w:hAnsi="Calibri"/>
          <w:sz w:val="22"/>
          <w:szCs w:val="22"/>
        </w:rPr>
        <w:t xml:space="preserve"> </w:t>
      </w:r>
    </w:p>
    <w:p w:rsidR="003861A1" w:rsidRPr="0047333D" w:rsidRDefault="003861A1" w:rsidP="0047333D">
      <w:pPr>
        <w:rPr>
          <w:rFonts w:ascii="Calibri" w:hAnsi="Calibri" w:cs="Calibri"/>
          <w:bCs/>
          <w:sz w:val="22"/>
          <w:szCs w:val="22"/>
        </w:rPr>
      </w:pPr>
    </w:p>
    <w:p w:rsidR="007220B9" w:rsidRPr="0047333D" w:rsidRDefault="007220B9" w:rsidP="0047333D">
      <w:pPr>
        <w:rPr>
          <w:rFonts w:ascii="Calibri" w:hAnsi="Calibri" w:cs="Calibri"/>
          <w:bCs/>
          <w:sz w:val="22"/>
          <w:szCs w:val="22"/>
        </w:rPr>
      </w:pPr>
    </w:p>
    <w:p w:rsidR="003861A1" w:rsidRPr="0047333D" w:rsidRDefault="009E05CE" w:rsidP="0047333D">
      <w:pPr>
        <w:rPr>
          <w:rFonts w:ascii="Calibri" w:hAnsi="Calibri" w:cs="Calibri"/>
          <w:b/>
          <w:bCs/>
          <w:sz w:val="22"/>
          <w:szCs w:val="22"/>
          <w:lang w:val="en-GB"/>
        </w:rPr>
      </w:pPr>
      <w:r w:rsidRPr="0047333D">
        <w:rPr>
          <w:rFonts w:ascii="Calibri" w:hAnsi="Calibri" w:cs="Calibri"/>
          <w:b/>
          <w:bCs/>
          <w:sz w:val="22"/>
          <w:szCs w:val="22"/>
        </w:rPr>
        <w:lastRenderedPageBreak/>
        <w:t xml:space="preserve">Proposal for 2017 </w:t>
      </w:r>
      <w:r w:rsidR="00274133" w:rsidRPr="0047333D">
        <w:rPr>
          <w:rFonts w:ascii="Calibri" w:hAnsi="Calibri" w:cs="Calibri"/>
          <w:b/>
          <w:bCs/>
          <w:sz w:val="22"/>
          <w:szCs w:val="22"/>
        </w:rPr>
        <w:t xml:space="preserve">to start the use of designated reserves for </w:t>
      </w:r>
      <w:r w:rsidR="00E93F49" w:rsidRPr="0047333D">
        <w:rPr>
          <w:rFonts w:ascii="Calibri" w:hAnsi="Calibri" w:cs="Calibri"/>
          <w:b/>
          <w:bCs/>
          <w:sz w:val="22"/>
          <w:szCs w:val="22"/>
        </w:rPr>
        <w:t xml:space="preserve">exceptional </w:t>
      </w:r>
      <w:r w:rsidR="000633A5" w:rsidRPr="0047333D">
        <w:rPr>
          <w:rFonts w:ascii="Calibri" w:hAnsi="Calibri" w:cs="Calibri"/>
          <w:b/>
          <w:bCs/>
          <w:sz w:val="22"/>
          <w:szCs w:val="22"/>
        </w:rPr>
        <w:t>annual core budget surpluses</w:t>
      </w:r>
      <w:r w:rsidR="00274133" w:rsidRPr="0047333D">
        <w:rPr>
          <w:rFonts w:ascii="Calibri" w:hAnsi="Calibri" w:cs="Calibri"/>
          <w:b/>
          <w:bCs/>
          <w:sz w:val="22"/>
          <w:szCs w:val="22"/>
        </w:rPr>
        <w:t xml:space="preserve"> </w:t>
      </w:r>
    </w:p>
    <w:p w:rsidR="003861A1" w:rsidRPr="0047333D" w:rsidRDefault="003861A1" w:rsidP="0047333D">
      <w:pPr>
        <w:rPr>
          <w:rFonts w:ascii="Calibri" w:hAnsi="Calibri" w:cs="Calibri"/>
          <w:bCs/>
          <w:sz w:val="22"/>
          <w:szCs w:val="22"/>
        </w:rPr>
      </w:pPr>
    </w:p>
    <w:p w:rsidR="003861A1" w:rsidRPr="0047333D" w:rsidRDefault="003861A1" w:rsidP="0047333D">
      <w:pPr>
        <w:pStyle w:val="ListParagraph"/>
        <w:numPr>
          <w:ilvl w:val="0"/>
          <w:numId w:val="26"/>
        </w:numPr>
        <w:ind w:left="426" w:hanging="426"/>
        <w:rPr>
          <w:rFonts w:ascii="Calibri" w:hAnsi="Calibri" w:cs="Calibri"/>
          <w:bCs/>
          <w:sz w:val="22"/>
          <w:szCs w:val="22"/>
        </w:rPr>
      </w:pPr>
      <w:r w:rsidRPr="0047333D">
        <w:rPr>
          <w:rFonts w:ascii="Calibri" w:hAnsi="Calibri" w:cs="Calibri"/>
          <w:bCs/>
          <w:sz w:val="22"/>
          <w:szCs w:val="22"/>
        </w:rPr>
        <w:t xml:space="preserve">The Secretariat proposes to </w:t>
      </w:r>
      <w:r w:rsidR="00274133" w:rsidRPr="0047333D">
        <w:rPr>
          <w:rFonts w:ascii="Calibri" w:hAnsi="Calibri" w:cs="Calibri"/>
          <w:bCs/>
          <w:sz w:val="22"/>
          <w:szCs w:val="22"/>
        </w:rPr>
        <w:t>discontinue the practice of making allocations from core to non-core projects</w:t>
      </w:r>
      <w:r w:rsidR="00E93F49" w:rsidRPr="0047333D">
        <w:rPr>
          <w:rFonts w:ascii="Calibri" w:hAnsi="Calibri" w:cs="Calibri"/>
          <w:bCs/>
          <w:sz w:val="22"/>
          <w:szCs w:val="22"/>
        </w:rPr>
        <w:t xml:space="preserve">, to enhance efficiencies in the execution of the budget </w:t>
      </w:r>
      <w:r w:rsidR="00274133" w:rsidRPr="0047333D">
        <w:rPr>
          <w:rFonts w:ascii="Calibri" w:hAnsi="Calibri" w:cs="Calibri"/>
          <w:bCs/>
          <w:sz w:val="22"/>
          <w:szCs w:val="22"/>
        </w:rPr>
        <w:t>and to</w:t>
      </w:r>
      <w:r w:rsidR="00E93F49" w:rsidRPr="0047333D">
        <w:rPr>
          <w:rFonts w:ascii="Calibri" w:hAnsi="Calibri" w:cs="Calibri"/>
          <w:bCs/>
          <w:sz w:val="22"/>
          <w:szCs w:val="22"/>
        </w:rPr>
        <w:t xml:space="preserve"> put in place a clear and transparent mechanism for exceptional circumstances when there are core budget surpluses that need to </w:t>
      </w:r>
      <w:r w:rsidR="000A6114" w:rsidRPr="0047333D">
        <w:rPr>
          <w:rFonts w:ascii="Calibri" w:hAnsi="Calibri" w:cs="Calibri"/>
          <w:bCs/>
          <w:sz w:val="22"/>
          <w:szCs w:val="22"/>
        </w:rPr>
        <w:t>be used for specific purposes</w:t>
      </w:r>
      <w:r w:rsidR="00E93F49" w:rsidRPr="0047333D">
        <w:rPr>
          <w:rFonts w:ascii="Calibri" w:hAnsi="Calibri" w:cs="Calibri"/>
          <w:bCs/>
          <w:sz w:val="22"/>
          <w:szCs w:val="22"/>
        </w:rPr>
        <w:t xml:space="preserve"> after the end of the year</w:t>
      </w:r>
      <w:r w:rsidR="00C932D1" w:rsidRPr="0047333D">
        <w:rPr>
          <w:rFonts w:ascii="Calibri" w:hAnsi="Calibri" w:cs="Calibri"/>
          <w:bCs/>
          <w:sz w:val="22"/>
          <w:szCs w:val="22"/>
        </w:rPr>
        <w:t>.</w:t>
      </w:r>
      <w:r w:rsidR="00F31AC0" w:rsidRPr="0047333D">
        <w:rPr>
          <w:rFonts w:ascii="Calibri" w:hAnsi="Calibri" w:cs="Calibri"/>
          <w:bCs/>
          <w:sz w:val="22"/>
          <w:szCs w:val="22"/>
        </w:rPr>
        <w:t xml:space="preserve"> IUCN </w:t>
      </w:r>
      <w:r w:rsidR="00052279" w:rsidRPr="0047333D">
        <w:rPr>
          <w:rFonts w:ascii="Calibri" w:hAnsi="Calibri" w:cs="Calibri"/>
          <w:bCs/>
          <w:sz w:val="22"/>
          <w:szCs w:val="22"/>
        </w:rPr>
        <w:t xml:space="preserve">has </w:t>
      </w:r>
      <w:r w:rsidR="00F31AC0" w:rsidRPr="0047333D">
        <w:rPr>
          <w:rFonts w:ascii="Calibri" w:hAnsi="Calibri" w:cs="Calibri"/>
          <w:bCs/>
          <w:sz w:val="22"/>
          <w:szCs w:val="22"/>
        </w:rPr>
        <w:t xml:space="preserve">discontinued the practice of making allocations from core to non-core projects and now uses designated reserves for core budget surpluses. The Secretariat is also in the process of checking the practices </w:t>
      </w:r>
      <w:r w:rsidR="00052279" w:rsidRPr="0047333D">
        <w:rPr>
          <w:rFonts w:ascii="Calibri" w:hAnsi="Calibri" w:cs="Calibri"/>
          <w:bCs/>
          <w:sz w:val="22"/>
          <w:szCs w:val="22"/>
        </w:rPr>
        <w:t>followed</w:t>
      </w:r>
      <w:r w:rsidR="00F31AC0" w:rsidRPr="0047333D">
        <w:rPr>
          <w:rFonts w:ascii="Calibri" w:hAnsi="Calibri" w:cs="Calibri"/>
          <w:bCs/>
          <w:sz w:val="22"/>
          <w:szCs w:val="22"/>
        </w:rPr>
        <w:t xml:space="preserve"> by other </w:t>
      </w:r>
      <w:r w:rsidR="00280101">
        <w:rPr>
          <w:rFonts w:ascii="Calibri" w:hAnsi="Calibri" w:cs="Calibri"/>
          <w:bCs/>
          <w:sz w:val="22"/>
          <w:szCs w:val="22"/>
        </w:rPr>
        <w:t>C</w:t>
      </w:r>
      <w:r w:rsidR="00F31AC0" w:rsidRPr="0047333D">
        <w:rPr>
          <w:rFonts w:ascii="Calibri" w:hAnsi="Calibri" w:cs="Calibri"/>
          <w:bCs/>
          <w:sz w:val="22"/>
          <w:szCs w:val="22"/>
        </w:rPr>
        <w:t>onventions for core budget surpluses</w:t>
      </w:r>
      <w:r w:rsidR="00E93F49" w:rsidRPr="0047333D">
        <w:rPr>
          <w:rFonts w:ascii="Calibri" w:hAnsi="Calibri" w:cs="Calibri"/>
          <w:bCs/>
          <w:sz w:val="22"/>
          <w:szCs w:val="22"/>
        </w:rPr>
        <w:t xml:space="preserve"> and will provide further information at SC53</w:t>
      </w:r>
      <w:r w:rsidR="00280101">
        <w:rPr>
          <w:rFonts w:ascii="Calibri" w:hAnsi="Calibri" w:cs="Calibri"/>
          <w:bCs/>
          <w:sz w:val="22"/>
          <w:szCs w:val="22"/>
        </w:rPr>
        <w:t>.</w:t>
      </w:r>
    </w:p>
    <w:p w:rsidR="00D77E07" w:rsidRPr="0047333D" w:rsidRDefault="00D77E07" w:rsidP="0047333D">
      <w:pPr>
        <w:rPr>
          <w:rFonts w:ascii="Calibri" w:hAnsi="Calibri" w:cs="Calibri"/>
          <w:bCs/>
          <w:sz w:val="22"/>
          <w:szCs w:val="22"/>
        </w:rPr>
      </w:pPr>
    </w:p>
    <w:p w:rsidR="00D77E07" w:rsidRPr="0047333D" w:rsidRDefault="00D77E07" w:rsidP="0047333D">
      <w:pPr>
        <w:rPr>
          <w:rFonts w:ascii="Calibri" w:hAnsi="Calibri" w:cs="Calibri"/>
          <w:bCs/>
          <w:sz w:val="22"/>
          <w:szCs w:val="22"/>
          <w:lang w:val="en-GB"/>
        </w:rPr>
      </w:pPr>
    </w:p>
    <w:p w:rsidR="00D22F60" w:rsidRPr="0047333D" w:rsidRDefault="00C3484B" w:rsidP="0047333D">
      <w:pPr>
        <w:keepNext/>
        <w:rPr>
          <w:rFonts w:ascii="Calibri" w:hAnsi="Calibri" w:cs="Calibri"/>
          <w:b/>
          <w:bCs/>
          <w:sz w:val="22"/>
          <w:szCs w:val="22"/>
        </w:rPr>
      </w:pPr>
      <w:r w:rsidRPr="0047333D">
        <w:rPr>
          <w:rFonts w:ascii="Calibri" w:hAnsi="Calibri" w:cs="Calibri"/>
          <w:b/>
          <w:sz w:val="22"/>
          <w:szCs w:val="22"/>
        </w:rPr>
        <w:t>2016</w:t>
      </w:r>
      <w:r w:rsidR="00C135FD" w:rsidRPr="0047333D">
        <w:rPr>
          <w:rFonts w:ascii="Calibri" w:hAnsi="Calibri" w:cs="Calibri"/>
          <w:b/>
          <w:sz w:val="22"/>
          <w:szCs w:val="22"/>
        </w:rPr>
        <w:t xml:space="preserve"> </w:t>
      </w:r>
      <w:r w:rsidR="00D22F60" w:rsidRPr="0047333D">
        <w:rPr>
          <w:rFonts w:ascii="Calibri" w:hAnsi="Calibri" w:cs="Calibri"/>
          <w:b/>
          <w:sz w:val="22"/>
          <w:szCs w:val="22"/>
        </w:rPr>
        <w:t>results: non-core budget</w:t>
      </w:r>
      <w:r w:rsidR="00A236A3" w:rsidRPr="0047333D">
        <w:rPr>
          <w:rFonts w:ascii="Calibri" w:hAnsi="Calibri" w:cs="Calibri"/>
          <w:b/>
          <w:sz w:val="22"/>
          <w:szCs w:val="22"/>
        </w:rPr>
        <w:t xml:space="preserve"> and voluntary contributions</w:t>
      </w:r>
    </w:p>
    <w:p w:rsidR="000E650E" w:rsidRPr="0047333D" w:rsidRDefault="000E650E" w:rsidP="0047333D">
      <w:pPr>
        <w:keepNext/>
        <w:ind w:left="426"/>
        <w:rPr>
          <w:rFonts w:ascii="Calibri" w:hAnsi="Calibri"/>
          <w:sz w:val="22"/>
          <w:szCs w:val="22"/>
        </w:rPr>
      </w:pPr>
    </w:p>
    <w:p w:rsidR="000876AD" w:rsidRPr="0047333D" w:rsidRDefault="000876AD" w:rsidP="0047333D">
      <w:pPr>
        <w:numPr>
          <w:ilvl w:val="0"/>
          <w:numId w:val="26"/>
        </w:numPr>
        <w:ind w:left="426" w:hanging="426"/>
        <w:rPr>
          <w:rFonts w:ascii="Calibri" w:hAnsi="Calibri"/>
          <w:sz w:val="22"/>
          <w:szCs w:val="22"/>
        </w:rPr>
      </w:pPr>
      <w:r w:rsidRPr="0047333D">
        <w:rPr>
          <w:rFonts w:ascii="Calibri" w:hAnsi="Calibri"/>
          <w:sz w:val="22"/>
          <w:szCs w:val="22"/>
          <w:lang w:val="en-GB"/>
        </w:rPr>
        <w:t xml:space="preserve">The United States of America </w:t>
      </w:r>
      <w:r w:rsidR="00C30743" w:rsidRPr="0047333D">
        <w:rPr>
          <w:rFonts w:ascii="Calibri" w:hAnsi="Calibri"/>
          <w:sz w:val="22"/>
          <w:szCs w:val="22"/>
          <w:lang w:val="en-GB"/>
        </w:rPr>
        <w:t>made voluntary contributions totalling</w:t>
      </w:r>
      <w:r w:rsidR="004F2C23" w:rsidRPr="0047333D">
        <w:rPr>
          <w:rFonts w:ascii="Calibri" w:hAnsi="Calibri"/>
          <w:sz w:val="22"/>
          <w:szCs w:val="22"/>
          <w:lang w:val="en-GB"/>
        </w:rPr>
        <w:t xml:space="preserve"> CHF 1,142,233</w:t>
      </w:r>
      <w:r w:rsidR="002D0871" w:rsidRPr="0047333D">
        <w:rPr>
          <w:rFonts w:ascii="Calibri" w:hAnsi="Calibri"/>
          <w:sz w:val="22"/>
          <w:szCs w:val="22"/>
          <w:lang w:val="en-GB"/>
        </w:rPr>
        <w:t xml:space="preserve"> (USD</w:t>
      </w:r>
      <w:r w:rsidR="007878D1" w:rsidRPr="0047333D">
        <w:rPr>
          <w:rFonts w:ascii="Calibri" w:hAnsi="Calibri"/>
          <w:sz w:val="22"/>
          <w:szCs w:val="22"/>
          <w:lang w:val="en-GB"/>
        </w:rPr>
        <w:t> </w:t>
      </w:r>
      <w:r w:rsidR="002D0871" w:rsidRPr="0047333D">
        <w:rPr>
          <w:rFonts w:ascii="Calibri" w:hAnsi="Calibri"/>
          <w:sz w:val="22"/>
          <w:szCs w:val="22"/>
          <w:lang w:val="en-GB"/>
        </w:rPr>
        <w:t>1,150,000)</w:t>
      </w:r>
      <w:r w:rsidR="00C30743" w:rsidRPr="0047333D">
        <w:rPr>
          <w:rFonts w:ascii="Calibri" w:hAnsi="Calibri"/>
          <w:sz w:val="22"/>
          <w:szCs w:val="22"/>
          <w:lang w:val="en-GB"/>
        </w:rPr>
        <w:t xml:space="preserve"> in 2016:</w:t>
      </w:r>
      <w:r w:rsidR="004F2C23" w:rsidRPr="0047333D">
        <w:rPr>
          <w:rFonts w:ascii="Calibri" w:hAnsi="Calibri"/>
          <w:sz w:val="22"/>
          <w:szCs w:val="22"/>
          <w:lang w:val="en-GB"/>
        </w:rPr>
        <w:t xml:space="preserve"> CHF 1,065,799</w:t>
      </w:r>
      <w:r w:rsidRPr="0047333D">
        <w:rPr>
          <w:rFonts w:ascii="Calibri" w:hAnsi="Calibri"/>
          <w:sz w:val="22"/>
          <w:szCs w:val="22"/>
          <w:lang w:val="en-GB"/>
        </w:rPr>
        <w:t xml:space="preserve"> for the Se</w:t>
      </w:r>
      <w:r w:rsidR="004F2C23" w:rsidRPr="0047333D">
        <w:rPr>
          <w:rFonts w:ascii="Calibri" w:hAnsi="Calibri"/>
          <w:sz w:val="22"/>
          <w:szCs w:val="22"/>
          <w:lang w:val="en-GB"/>
        </w:rPr>
        <w:t>cretariat core budget and CHF 76,434</w:t>
      </w:r>
      <w:r w:rsidRPr="0047333D">
        <w:rPr>
          <w:rFonts w:ascii="Calibri" w:hAnsi="Calibri"/>
          <w:sz w:val="22"/>
          <w:szCs w:val="22"/>
          <w:lang w:val="en-GB"/>
        </w:rPr>
        <w:t xml:space="preserve"> for non-core project</w:t>
      </w:r>
      <w:r w:rsidR="00744BBE" w:rsidRPr="0047333D">
        <w:rPr>
          <w:rFonts w:ascii="Calibri" w:hAnsi="Calibri"/>
          <w:sz w:val="22"/>
          <w:szCs w:val="22"/>
          <w:lang w:val="en-GB"/>
        </w:rPr>
        <w:t>s through the</w:t>
      </w:r>
      <w:r w:rsidRPr="0047333D">
        <w:rPr>
          <w:rFonts w:ascii="Calibri" w:hAnsi="Calibri"/>
          <w:sz w:val="22"/>
          <w:szCs w:val="22"/>
          <w:lang w:val="en-GB"/>
        </w:rPr>
        <w:t xml:space="preserve"> Wetlands for the Future</w:t>
      </w:r>
      <w:r w:rsidR="007D6396" w:rsidRPr="0047333D">
        <w:rPr>
          <w:rFonts w:ascii="Calibri" w:hAnsi="Calibri"/>
          <w:sz w:val="22"/>
          <w:szCs w:val="22"/>
          <w:lang w:val="en-GB"/>
        </w:rPr>
        <w:t xml:space="preserve"> Fund</w:t>
      </w:r>
      <w:r w:rsidRPr="0047333D">
        <w:rPr>
          <w:rFonts w:ascii="Calibri" w:hAnsi="Calibri"/>
          <w:sz w:val="22"/>
          <w:szCs w:val="22"/>
          <w:lang w:val="en-GB"/>
        </w:rPr>
        <w:t>.</w:t>
      </w:r>
    </w:p>
    <w:p w:rsidR="000808A8" w:rsidRPr="0047333D" w:rsidRDefault="000808A8" w:rsidP="0047333D">
      <w:pPr>
        <w:ind w:left="426"/>
        <w:rPr>
          <w:rFonts w:ascii="Calibri" w:hAnsi="Calibri"/>
          <w:sz w:val="22"/>
          <w:szCs w:val="22"/>
        </w:rPr>
      </w:pPr>
    </w:p>
    <w:p w:rsidR="000808A8" w:rsidRPr="0047333D" w:rsidRDefault="00C90D3C" w:rsidP="0047333D">
      <w:pPr>
        <w:numPr>
          <w:ilvl w:val="0"/>
          <w:numId w:val="26"/>
        </w:numPr>
        <w:ind w:left="426" w:hanging="426"/>
        <w:rPr>
          <w:rFonts w:ascii="Calibri" w:hAnsi="Calibri"/>
          <w:sz w:val="22"/>
          <w:szCs w:val="22"/>
        </w:rPr>
      </w:pPr>
      <w:r>
        <w:rPr>
          <w:rFonts w:ascii="Calibri" w:hAnsi="Calibri"/>
          <w:sz w:val="22"/>
          <w:szCs w:val="22"/>
          <w:lang w:val="en-GB"/>
        </w:rPr>
        <w:t>V</w:t>
      </w:r>
      <w:r w:rsidR="000808A8" w:rsidRPr="0047333D">
        <w:rPr>
          <w:rFonts w:ascii="Calibri" w:hAnsi="Calibri"/>
          <w:sz w:val="22"/>
          <w:szCs w:val="22"/>
          <w:lang w:val="en-GB"/>
        </w:rPr>
        <w:t xml:space="preserve">oluntary contributions of CHF </w:t>
      </w:r>
      <w:r w:rsidR="006C706C" w:rsidRPr="0047333D">
        <w:rPr>
          <w:rFonts w:ascii="Calibri" w:hAnsi="Calibri"/>
          <w:sz w:val="22"/>
          <w:szCs w:val="22"/>
          <w:lang w:val="en-GB"/>
        </w:rPr>
        <w:t>13,000</w:t>
      </w:r>
      <w:r w:rsidR="000808A8" w:rsidRPr="0047333D">
        <w:rPr>
          <w:rFonts w:ascii="Calibri" w:hAnsi="Calibri"/>
          <w:sz w:val="22"/>
          <w:szCs w:val="22"/>
          <w:lang w:val="en-GB"/>
        </w:rPr>
        <w:t xml:space="preserve"> were received in 2016</w:t>
      </w:r>
      <w:r w:rsidR="00C62D80">
        <w:rPr>
          <w:rFonts w:ascii="Calibri" w:hAnsi="Calibri"/>
          <w:sz w:val="22"/>
          <w:szCs w:val="22"/>
          <w:lang w:val="en-GB"/>
        </w:rPr>
        <w:t xml:space="preserve"> from Contracting Parties in the </w:t>
      </w:r>
      <w:r w:rsidR="00C62D80" w:rsidRPr="0047333D">
        <w:rPr>
          <w:rFonts w:ascii="Calibri" w:hAnsi="Calibri"/>
          <w:sz w:val="22"/>
          <w:szCs w:val="22"/>
          <w:lang w:val="en-GB"/>
        </w:rPr>
        <w:t>Africa region</w:t>
      </w:r>
      <w:r w:rsidR="00402091" w:rsidRPr="0047333D">
        <w:rPr>
          <w:rFonts w:ascii="Calibri" w:hAnsi="Calibri"/>
          <w:sz w:val="22"/>
          <w:szCs w:val="22"/>
          <w:lang w:val="en-GB"/>
        </w:rPr>
        <w:t>,</w:t>
      </w:r>
      <w:r w:rsidR="000808A8" w:rsidRPr="0047333D">
        <w:rPr>
          <w:rFonts w:ascii="Calibri" w:hAnsi="Calibri"/>
          <w:sz w:val="22"/>
          <w:szCs w:val="22"/>
          <w:lang w:val="en-GB"/>
        </w:rPr>
        <w:t xml:space="preserve"> relating to 2016 and previous years. </w:t>
      </w:r>
      <w:r w:rsidR="000808A8" w:rsidRPr="0047333D">
        <w:rPr>
          <w:rFonts w:ascii="Calibri" w:hAnsi="Calibri" w:cs="Calibri"/>
          <w:sz w:val="22"/>
          <w:szCs w:val="22"/>
        </w:rPr>
        <w:t>Resolution X.2, paragraph 23 stipulates that these contributions</w:t>
      </w:r>
      <w:r w:rsidR="00A07163" w:rsidRPr="0047333D">
        <w:rPr>
          <w:rFonts w:ascii="Calibri" w:hAnsi="Calibri" w:cs="Calibri"/>
          <w:sz w:val="22"/>
          <w:szCs w:val="22"/>
        </w:rPr>
        <w:t xml:space="preserve"> must</w:t>
      </w:r>
      <w:r w:rsidR="000808A8" w:rsidRPr="0047333D">
        <w:rPr>
          <w:rFonts w:ascii="Calibri" w:hAnsi="Calibri" w:cs="Calibri"/>
          <w:sz w:val="22"/>
          <w:szCs w:val="22"/>
        </w:rPr>
        <w:t xml:space="preserve"> be specifically earmarked for African Regional Initiatives</w:t>
      </w:r>
      <w:r w:rsidR="000808A8" w:rsidRPr="0047333D">
        <w:rPr>
          <w:rFonts w:ascii="Calibri" w:hAnsi="Calibri"/>
          <w:sz w:val="22"/>
          <w:szCs w:val="22"/>
          <w:lang w:val="en-GB"/>
        </w:rPr>
        <w:t>.</w:t>
      </w:r>
    </w:p>
    <w:p w:rsidR="000876AD" w:rsidRPr="0047333D" w:rsidRDefault="000876AD" w:rsidP="0047333D">
      <w:pPr>
        <w:ind w:left="540"/>
        <w:rPr>
          <w:rFonts w:ascii="Calibri" w:hAnsi="Calibri"/>
          <w:sz w:val="22"/>
          <w:szCs w:val="22"/>
        </w:rPr>
      </w:pPr>
    </w:p>
    <w:p w:rsidR="0084272B" w:rsidRPr="0047333D" w:rsidRDefault="00581A1C" w:rsidP="0047333D">
      <w:pPr>
        <w:numPr>
          <w:ilvl w:val="0"/>
          <w:numId w:val="26"/>
        </w:numPr>
        <w:ind w:left="426" w:hanging="426"/>
        <w:rPr>
          <w:rFonts w:ascii="Calibri" w:hAnsi="Calibri"/>
          <w:sz w:val="22"/>
          <w:szCs w:val="22"/>
        </w:rPr>
      </w:pPr>
      <w:r w:rsidRPr="0047333D">
        <w:rPr>
          <w:rFonts w:ascii="Calibri" w:hAnsi="Calibri"/>
          <w:sz w:val="22"/>
          <w:szCs w:val="22"/>
          <w:lang w:val="en-GB"/>
        </w:rPr>
        <w:t xml:space="preserve">An additional </w:t>
      </w:r>
      <w:r w:rsidR="000E650E" w:rsidRPr="0047333D">
        <w:rPr>
          <w:rFonts w:ascii="Calibri" w:hAnsi="Calibri"/>
          <w:sz w:val="22"/>
          <w:szCs w:val="22"/>
          <w:lang w:val="en-GB"/>
        </w:rPr>
        <w:t xml:space="preserve">CHF </w:t>
      </w:r>
      <w:r w:rsidR="000C260D" w:rsidRPr="0047333D">
        <w:rPr>
          <w:rFonts w:ascii="Calibri" w:hAnsi="Calibri"/>
          <w:sz w:val="22"/>
          <w:szCs w:val="22"/>
          <w:lang w:val="en-GB"/>
        </w:rPr>
        <w:t>703</w:t>
      </w:r>
      <w:r w:rsidR="000E650E" w:rsidRPr="0047333D">
        <w:rPr>
          <w:rFonts w:ascii="Calibri" w:hAnsi="Calibri"/>
          <w:sz w:val="22"/>
          <w:szCs w:val="22"/>
          <w:lang w:val="en-GB"/>
        </w:rPr>
        <w:t>,00</w:t>
      </w:r>
      <w:r w:rsidR="007220B9" w:rsidRPr="0047333D">
        <w:rPr>
          <w:rFonts w:ascii="Calibri" w:hAnsi="Calibri"/>
          <w:sz w:val="22"/>
          <w:szCs w:val="22"/>
          <w:lang w:val="en-GB"/>
        </w:rPr>
        <w:t xml:space="preserve"> </w:t>
      </w:r>
      <w:r w:rsidR="00280101">
        <w:rPr>
          <w:rFonts w:ascii="Calibri" w:hAnsi="Calibri"/>
          <w:sz w:val="22"/>
          <w:szCs w:val="22"/>
          <w:lang w:val="en-GB"/>
        </w:rPr>
        <w:t xml:space="preserve">of </w:t>
      </w:r>
      <w:r w:rsidR="000A6114" w:rsidRPr="0047333D">
        <w:rPr>
          <w:rFonts w:ascii="Calibri" w:hAnsi="Calibri"/>
          <w:sz w:val="22"/>
          <w:szCs w:val="22"/>
          <w:lang w:val="en-GB"/>
        </w:rPr>
        <w:t xml:space="preserve">voluntary </w:t>
      </w:r>
      <w:r w:rsidR="0084272B" w:rsidRPr="0047333D">
        <w:rPr>
          <w:rFonts w:ascii="Calibri" w:hAnsi="Calibri"/>
          <w:sz w:val="22"/>
          <w:szCs w:val="22"/>
          <w:lang w:val="en-GB"/>
        </w:rPr>
        <w:t xml:space="preserve">non-core </w:t>
      </w:r>
      <w:r w:rsidR="000A6114" w:rsidRPr="0047333D">
        <w:rPr>
          <w:rFonts w:ascii="Calibri" w:hAnsi="Calibri"/>
          <w:sz w:val="22"/>
          <w:szCs w:val="22"/>
          <w:lang w:val="en-GB"/>
        </w:rPr>
        <w:t>contributions</w:t>
      </w:r>
      <w:r w:rsidR="0084272B" w:rsidRPr="0047333D">
        <w:rPr>
          <w:rFonts w:ascii="Calibri" w:hAnsi="Calibri"/>
          <w:sz w:val="22"/>
          <w:szCs w:val="22"/>
          <w:lang w:val="en-GB"/>
        </w:rPr>
        <w:t xml:space="preserve"> </w:t>
      </w:r>
      <w:r w:rsidR="000E650E" w:rsidRPr="0047333D">
        <w:rPr>
          <w:rFonts w:ascii="Calibri" w:hAnsi="Calibri"/>
          <w:sz w:val="22"/>
          <w:szCs w:val="22"/>
          <w:lang w:val="en-GB"/>
        </w:rPr>
        <w:t xml:space="preserve">were received in </w:t>
      </w:r>
      <w:r w:rsidR="00380039" w:rsidRPr="0047333D">
        <w:rPr>
          <w:rFonts w:ascii="Calibri" w:hAnsi="Calibri"/>
          <w:sz w:val="22"/>
          <w:szCs w:val="22"/>
          <w:lang w:val="en-GB"/>
        </w:rPr>
        <w:t>201</w:t>
      </w:r>
      <w:r w:rsidR="00F9733B" w:rsidRPr="0047333D">
        <w:rPr>
          <w:rFonts w:ascii="Calibri" w:hAnsi="Calibri"/>
          <w:sz w:val="22"/>
          <w:szCs w:val="22"/>
          <w:lang w:val="en-GB"/>
        </w:rPr>
        <w:t>6</w:t>
      </w:r>
      <w:r w:rsidR="007D6396" w:rsidRPr="0047333D">
        <w:rPr>
          <w:rFonts w:ascii="Calibri" w:hAnsi="Calibri"/>
          <w:sz w:val="22"/>
          <w:szCs w:val="22"/>
          <w:lang w:val="en-GB"/>
        </w:rPr>
        <w:t xml:space="preserve">. </w:t>
      </w:r>
      <w:r w:rsidR="00C30743" w:rsidRPr="0047333D">
        <w:rPr>
          <w:rFonts w:ascii="Calibri" w:hAnsi="Calibri"/>
          <w:sz w:val="22"/>
          <w:szCs w:val="22"/>
          <w:lang w:val="en-GB"/>
        </w:rPr>
        <w:t>T</w:t>
      </w:r>
      <w:r w:rsidR="004F2C23" w:rsidRPr="0047333D">
        <w:rPr>
          <w:rFonts w:ascii="Calibri" w:hAnsi="Calibri"/>
          <w:sz w:val="22"/>
          <w:szCs w:val="22"/>
          <w:lang w:val="en-GB"/>
        </w:rPr>
        <w:t xml:space="preserve">hese contributions </w:t>
      </w:r>
      <w:r w:rsidR="00C30743" w:rsidRPr="0047333D">
        <w:rPr>
          <w:rFonts w:ascii="Calibri" w:hAnsi="Calibri"/>
          <w:sz w:val="22"/>
          <w:szCs w:val="22"/>
          <w:lang w:val="en-GB"/>
        </w:rPr>
        <w:t xml:space="preserve">are </w:t>
      </w:r>
      <w:r w:rsidR="004F2C23" w:rsidRPr="0047333D">
        <w:rPr>
          <w:rFonts w:ascii="Calibri" w:hAnsi="Calibri"/>
          <w:sz w:val="22"/>
          <w:szCs w:val="22"/>
          <w:lang w:val="en-GB"/>
        </w:rPr>
        <w:t xml:space="preserve">outlined in Table </w:t>
      </w:r>
      <w:r w:rsidR="00274133" w:rsidRPr="0047333D">
        <w:rPr>
          <w:rFonts w:ascii="Calibri" w:hAnsi="Calibri"/>
          <w:sz w:val="22"/>
          <w:szCs w:val="22"/>
          <w:lang w:val="en-GB"/>
        </w:rPr>
        <w:t>3</w:t>
      </w:r>
      <w:r w:rsidR="004F2C23" w:rsidRPr="0047333D">
        <w:rPr>
          <w:rFonts w:ascii="Calibri" w:hAnsi="Calibri"/>
          <w:sz w:val="22"/>
          <w:szCs w:val="22"/>
          <w:lang w:val="en-GB"/>
        </w:rPr>
        <w:t xml:space="preserve"> below</w:t>
      </w:r>
      <w:r w:rsidR="0084272B" w:rsidRPr="0047333D">
        <w:rPr>
          <w:rFonts w:ascii="Calibri" w:hAnsi="Calibri"/>
          <w:sz w:val="22"/>
          <w:szCs w:val="22"/>
          <w:lang w:val="en-GB"/>
        </w:rPr>
        <w:t>.</w:t>
      </w:r>
    </w:p>
    <w:p w:rsidR="0084272B" w:rsidRPr="0047333D" w:rsidRDefault="0084272B" w:rsidP="0047333D">
      <w:pPr>
        <w:pStyle w:val="ListParagraph"/>
        <w:rPr>
          <w:rFonts w:ascii="Calibri" w:hAnsi="Calibri"/>
          <w:sz w:val="22"/>
          <w:szCs w:val="22"/>
        </w:rPr>
      </w:pPr>
    </w:p>
    <w:p w:rsidR="00F9733B" w:rsidRPr="0047333D" w:rsidRDefault="00F9733B" w:rsidP="0047333D">
      <w:pPr>
        <w:keepNext/>
        <w:rPr>
          <w:rFonts w:ascii="Calibri" w:hAnsi="Calibri"/>
          <w:i/>
          <w:sz w:val="22"/>
          <w:szCs w:val="22"/>
        </w:rPr>
      </w:pPr>
      <w:r w:rsidRPr="0047333D">
        <w:rPr>
          <w:rFonts w:ascii="Calibri" w:hAnsi="Calibri"/>
          <w:i/>
          <w:sz w:val="22"/>
          <w:szCs w:val="22"/>
        </w:rPr>
        <w:t xml:space="preserve">Table </w:t>
      </w:r>
      <w:r w:rsidR="00274133" w:rsidRPr="0047333D">
        <w:rPr>
          <w:rFonts w:ascii="Calibri" w:hAnsi="Calibri"/>
          <w:i/>
          <w:sz w:val="22"/>
          <w:szCs w:val="22"/>
        </w:rPr>
        <w:t>3</w:t>
      </w:r>
      <w:r w:rsidRPr="0047333D">
        <w:rPr>
          <w:rFonts w:ascii="Calibri" w:hAnsi="Calibri"/>
          <w:i/>
          <w:sz w:val="22"/>
          <w:szCs w:val="22"/>
        </w:rPr>
        <w:t xml:space="preserve">: </w:t>
      </w:r>
      <w:r w:rsidR="004F2C23" w:rsidRPr="0047333D">
        <w:rPr>
          <w:rFonts w:ascii="Calibri" w:hAnsi="Calibri"/>
          <w:i/>
          <w:sz w:val="22"/>
          <w:szCs w:val="22"/>
        </w:rPr>
        <w:t>A</w:t>
      </w:r>
      <w:r w:rsidR="00B64789" w:rsidRPr="0047333D">
        <w:rPr>
          <w:rFonts w:ascii="Calibri" w:hAnsi="Calibri"/>
          <w:i/>
          <w:sz w:val="22"/>
          <w:szCs w:val="22"/>
          <w:lang w:val="en-GB"/>
        </w:rPr>
        <w:t>dditional</w:t>
      </w:r>
      <w:r w:rsidR="004F2C23" w:rsidRPr="0047333D">
        <w:rPr>
          <w:rFonts w:ascii="Calibri" w:hAnsi="Calibri"/>
          <w:i/>
          <w:sz w:val="22"/>
          <w:szCs w:val="22"/>
          <w:lang w:val="en-GB"/>
        </w:rPr>
        <w:t xml:space="preserve"> </w:t>
      </w:r>
      <w:r w:rsidR="000A6114" w:rsidRPr="0047333D">
        <w:rPr>
          <w:rFonts w:ascii="Calibri" w:hAnsi="Calibri"/>
          <w:i/>
          <w:sz w:val="22"/>
          <w:szCs w:val="22"/>
          <w:lang w:val="en-GB"/>
        </w:rPr>
        <w:t xml:space="preserve">voluntary </w:t>
      </w:r>
      <w:r w:rsidR="00273797" w:rsidRPr="0047333D">
        <w:rPr>
          <w:rFonts w:ascii="Calibri" w:hAnsi="Calibri"/>
          <w:i/>
          <w:sz w:val="22"/>
          <w:szCs w:val="22"/>
          <w:lang w:val="en-GB"/>
        </w:rPr>
        <w:t>non-core</w:t>
      </w:r>
      <w:r w:rsidR="004F2C23" w:rsidRPr="0047333D">
        <w:rPr>
          <w:rFonts w:ascii="Calibri" w:hAnsi="Calibri"/>
          <w:i/>
          <w:sz w:val="22"/>
          <w:szCs w:val="22"/>
          <w:lang w:val="en-GB"/>
        </w:rPr>
        <w:t xml:space="preserve"> contributions received in 2016</w:t>
      </w:r>
      <w:r w:rsidRPr="0047333D">
        <w:rPr>
          <w:rFonts w:ascii="Calibri" w:hAnsi="Calibri"/>
          <w:i/>
          <w:sz w:val="22"/>
          <w:szCs w:val="22"/>
        </w:rPr>
        <w:t xml:space="preserve"> </w:t>
      </w:r>
      <w:r w:rsidR="004F2C23" w:rsidRPr="0047333D">
        <w:rPr>
          <w:rFonts w:ascii="Calibri" w:hAnsi="Calibri" w:cs="Calibri"/>
          <w:i/>
          <w:sz w:val="22"/>
          <w:szCs w:val="22"/>
        </w:rPr>
        <w:t xml:space="preserve">(‘000 CHF, includes </w:t>
      </w:r>
      <w:r w:rsidR="00143C6A" w:rsidRPr="0047333D">
        <w:rPr>
          <w:rFonts w:ascii="Calibri" w:hAnsi="Calibri" w:cs="Calibri"/>
          <w:i/>
          <w:sz w:val="22"/>
          <w:szCs w:val="22"/>
        </w:rPr>
        <w:t xml:space="preserve">possible </w:t>
      </w:r>
      <w:r w:rsidR="004F2C23" w:rsidRPr="0047333D">
        <w:rPr>
          <w:rFonts w:ascii="Calibri" w:hAnsi="Calibri" w:cs="Calibri"/>
          <w:i/>
          <w:sz w:val="22"/>
          <w:szCs w:val="22"/>
        </w:rPr>
        <w:t xml:space="preserve">rounding </w:t>
      </w:r>
      <w:r w:rsidR="00143C6A" w:rsidRPr="0047333D">
        <w:rPr>
          <w:rFonts w:ascii="Calibri" w:hAnsi="Calibri" w:cs="Calibri"/>
          <w:i/>
          <w:sz w:val="22"/>
          <w:szCs w:val="22"/>
        </w:rPr>
        <w:t>differences</w:t>
      </w:r>
      <w:r w:rsidR="004F2C23" w:rsidRPr="0047333D">
        <w:rPr>
          <w:rFonts w:ascii="Calibri" w:hAnsi="Calibri" w:cs="Calibri"/>
          <w:i/>
          <w:sz w:val="22"/>
          <w:szCs w:val="22"/>
        </w:rPr>
        <w:t>)</w:t>
      </w:r>
    </w:p>
    <w:p w:rsidR="00F9733B" w:rsidRPr="0047333D" w:rsidRDefault="00F9733B" w:rsidP="0047333D">
      <w:pPr>
        <w:keepNext/>
        <w:rPr>
          <w:rFonts w:ascii="Calibri" w:hAnsi="Calibri"/>
          <w:b/>
          <w:sz w:val="22"/>
          <w:szCs w:val="22"/>
        </w:rPr>
      </w:pPr>
    </w:p>
    <w:tbl>
      <w:tblPr>
        <w:tblW w:w="8885" w:type="dxa"/>
        <w:tblInd w:w="103" w:type="dxa"/>
        <w:tblLook w:val="04A0" w:firstRow="1" w:lastRow="0" w:firstColumn="1" w:lastColumn="0" w:noHBand="0" w:noVBand="1"/>
      </w:tblPr>
      <w:tblGrid>
        <w:gridCol w:w="2699"/>
        <w:gridCol w:w="1842"/>
        <w:gridCol w:w="4344"/>
      </w:tblGrid>
      <w:tr w:rsidR="00F9733B" w:rsidRPr="0047333D">
        <w:trPr>
          <w:trHeight w:val="293"/>
        </w:trPr>
        <w:tc>
          <w:tcPr>
            <w:tcW w:w="2699"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F9733B" w:rsidRPr="0047333D" w:rsidRDefault="00F9733B"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Donor</w:t>
            </w:r>
          </w:p>
        </w:tc>
        <w:tc>
          <w:tcPr>
            <w:tcW w:w="1842" w:type="dxa"/>
            <w:tcBorders>
              <w:top w:val="single" w:sz="4" w:space="0" w:color="auto"/>
              <w:left w:val="nil"/>
              <w:bottom w:val="single" w:sz="4" w:space="0" w:color="auto"/>
              <w:right w:val="single" w:sz="4" w:space="0" w:color="auto"/>
            </w:tcBorders>
            <w:shd w:val="clear" w:color="000000" w:fill="C5D9F1"/>
            <w:noWrap/>
            <w:vAlign w:val="bottom"/>
          </w:tcPr>
          <w:p w:rsidR="00F9733B" w:rsidRPr="0047333D" w:rsidRDefault="004F2C23"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Amount</w:t>
            </w:r>
          </w:p>
        </w:tc>
        <w:tc>
          <w:tcPr>
            <w:tcW w:w="4344" w:type="dxa"/>
            <w:tcBorders>
              <w:top w:val="single" w:sz="4" w:space="0" w:color="auto"/>
              <w:left w:val="nil"/>
              <w:bottom w:val="single" w:sz="4" w:space="0" w:color="auto"/>
              <w:right w:val="single" w:sz="4" w:space="0" w:color="auto"/>
            </w:tcBorders>
            <w:shd w:val="clear" w:color="000000" w:fill="C5D9F1"/>
            <w:noWrap/>
            <w:vAlign w:val="bottom"/>
          </w:tcPr>
          <w:p w:rsidR="00F9733B" w:rsidRPr="0047333D" w:rsidRDefault="00F9733B" w:rsidP="0047333D">
            <w:pPr>
              <w:jc w:val="cente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C</w:t>
            </w:r>
            <w:r w:rsidR="00243763" w:rsidRPr="0047333D">
              <w:rPr>
                <w:rFonts w:ascii="Calibri" w:eastAsia="Times New Roman" w:hAnsi="Calibri"/>
                <w:b/>
                <w:bCs/>
                <w:color w:val="000000"/>
                <w:sz w:val="22"/>
                <w:szCs w:val="22"/>
                <w:lang w:val="en-GB" w:eastAsia="en-GB"/>
              </w:rPr>
              <w:t>omments</w:t>
            </w: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996235"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Danon</w:t>
            </w:r>
            <w:r w:rsidR="003D30F3" w:rsidRPr="0047333D">
              <w:rPr>
                <w:rFonts w:ascii="Calibri" w:eastAsia="Times New Roman" w:hAnsi="Calibri"/>
                <w:color w:val="000000"/>
                <w:sz w:val="22"/>
                <w:szCs w:val="22"/>
                <w:lang w:val="en-GB" w:eastAsia="en-GB"/>
              </w:rPr>
              <w:t>e</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271</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996235"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Switzerland</w:t>
            </w:r>
            <w:r w:rsidR="00243763" w:rsidRPr="0047333D">
              <w:rPr>
                <w:rFonts w:ascii="Calibri" w:eastAsia="Times New Roman" w:hAnsi="Calibri"/>
                <w:color w:val="000000"/>
                <w:sz w:val="22"/>
                <w:szCs w:val="22"/>
                <w:lang w:val="en-GB" w:eastAsia="en-GB"/>
              </w:rPr>
              <w:t xml:space="preserve"> (FOEN)</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120</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BA4F43"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MAVA</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124</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BA4F43"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Japan</w:t>
            </w:r>
            <w:r w:rsidR="00243763" w:rsidRPr="0047333D">
              <w:rPr>
                <w:rFonts w:ascii="Calibri" w:eastAsia="Times New Roman" w:hAnsi="Calibri"/>
                <w:color w:val="000000"/>
                <w:sz w:val="22"/>
                <w:szCs w:val="22"/>
                <w:lang w:val="en-GB" w:eastAsia="en-GB"/>
              </w:rPr>
              <w:t xml:space="preserve"> (NEF)</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92</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3D30F3"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Canada</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2</w:t>
            </w:r>
            <w:r w:rsidR="003D30F3" w:rsidRPr="0047333D">
              <w:rPr>
                <w:rFonts w:ascii="Calibri" w:eastAsia="Times New Roman" w:hAnsi="Calibri"/>
                <w:sz w:val="22"/>
                <w:szCs w:val="22"/>
                <w:lang w:val="en-GB" w:eastAsia="en-GB"/>
              </w:rPr>
              <w:t>8</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243763" w:rsidP="0047333D">
            <w:pPr>
              <w:jc w:val="cente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COP12 delegate support</w:t>
            </w: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243763"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Norway</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243763"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36</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996235"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WWF</w:t>
            </w:r>
            <w:r w:rsidR="000D3F33" w:rsidRPr="0047333D">
              <w:rPr>
                <w:rFonts w:ascii="Calibri" w:eastAsia="Times New Roman" w:hAnsi="Calibri"/>
                <w:color w:val="000000"/>
                <w:sz w:val="22"/>
                <w:szCs w:val="22"/>
                <w:lang w:val="en-GB" w:eastAsia="en-GB"/>
              </w:rPr>
              <w:t xml:space="preserve"> International</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22</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996235"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Hans Seidel Foundation</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996235"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5</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47333D" w:rsidRDefault="00F9733B"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xml:space="preserve">Other </w:t>
            </w:r>
            <w:r w:rsidR="00996235" w:rsidRPr="0047333D">
              <w:rPr>
                <w:rFonts w:ascii="Calibri" w:eastAsia="Times New Roman" w:hAnsi="Calibri"/>
                <w:color w:val="000000"/>
                <w:sz w:val="22"/>
                <w:szCs w:val="22"/>
                <w:lang w:val="en-GB" w:eastAsia="en-GB"/>
              </w:rPr>
              <w:t>adjustments</w:t>
            </w:r>
          </w:p>
        </w:tc>
        <w:tc>
          <w:tcPr>
            <w:tcW w:w="1842" w:type="dxa"/>
            <w:tcBorders>
              <w:top w:val="nil"/>
              <w:left w:val="nil"/>
              <w:bottom w:val="single" w:sz="4" w:space="0" w:color="auto"/>
              <w:right w:val="single" w:sz="4" w:space="0" w:color="auto"/>
            </w:tcBorders>
            <w:shd w:val="clear" w:color="000000" w:fill="C5D9F1"/>
            <w:noWrap/>
            <w:vAlign w:val="bottom"/>
          </w:tcPr>
          <w:p w:rsidR="00F9733B" w:rsidRPr="0047333D" w:rsidRDefault="000D3F33" w:rsidP="0047333D">
            <w:pPr>
              <w:ind w:right="396"/>
              <w:jc w:val="right"/>
              <w:rPr>
                <w:rFonts w:ascii="Calibri" w:eastAsia="Times New Roman" w:hAnsi="Calibri"/>
                <w:sz w:val="22"/>
                <w:szCs w:val="22"/>
                <w:lang w:val="en-GB" w:eastAsia="en-GB"/>
              </w:rPr>
            </w:pPr>
            <w:r w:rsidRPr="0047333D">
              <w:rPr>
                <w:rFonts w:ascii="Calibri" w:eastAsia="Times New Roman" w:hAnsi="Calibri"/>
                <w:sz w:val="22"/>
                <w:szCs w:val="22"/>
                <w:lang w:val="en-GB" w:eastAsia="en-GB"/>
              </w:rPr>
              <w:t>5</w:t>
            </w:r>
            <w:r w:rsidR="00F9733B" w:rsidRPr="0047333D">
              <w:rPr>
                <w:rFonts w:ascii="Calibri" w:eastAsia="Times New Roman" w:hAnsi="Calibri"/>
                <w:sz w:val="22"/>
                <w:szCs w:val="22"/>
                <w:lang w:val="en-GB"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47333D" w:rsidRDefault="00F9733B" w:rsidP="0047333D">
            <w:pPr>
              <w:jc w:val="center"/>
              <w:rPr>
                <w:rFonts w:ascii="Calibri" w:eastAsia="Times New Roman" w:hAnsi="Calibri"/>
                <w:color w:val="000000"/>
                <w:sz w:val="22"/>
                <w:szCs w:val="22"/>
                <w:lang w:val="en-GB" w:eastAsia="en-GB"/>
              </w:rPr>
            </w:pPr>
          </w:p>
        </w:tc>
      </w:tr>
      <w:tr w:rsidR="00F9733B" w:rsidRPr="0047333D">
        <w:trPr>
          <w:trHeight w:val="293"/>
        </w:trPr>
        <w:tc>
          <w:tcPr>
            <w:tcW w:w="2699" w:type="dxa"/>
            <w:tcBorders>
              <w:top w:val="single" w:sz="4" w:space="0" w:color="auto"/>
              <w:left w:val="single" w:sz="4" w:space="0" w:color="auto"/>
              <w:bottom w:val="single" w:sz="4" w:space="0" w:color="auto"/>
              <w:right w:val="nil"/>
            </w:tcBorders>
            <w:shd w:val="clear" w:color="000000" w:fill="8DB4E2"/>
            <w:noWrap/>
            <w:vAlign w:val="bottom"/>
          </w:tcPr>
          <w:p w:rsidR="00F9733B" w:rsidRPr="0047333D" w:rsidRDefault="00F9733B" w:rsidP="0047333D">
            <w:pPr>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Total</w:t>
            </w:r>
          </w:p>
        </w:tc>
        <w:tc>
          <w:tcPr>
            <w:tcW w:w="1842" w:type="dxa"/>
            <w:tcBorders>
              <w:top w:val="nil"/>
              <w:left w:val="nil"/>
              <w:bottom w:val="single" w:sz="4" w:space="0" w:color="auto"/>
              <w:right w:val="single" w:sz="4" w:space="0" w:color="auto"/>
            </w:tcBorders>
            <w:shd w:val="clear" w:color="000000" w:fill="D9D9D9"/>
            <w:noWrap/>
            <w:vAlign w:val="bottom"/>
          </w:tcPr>
          <w:p w:rsidR="00F9733B" w:rsidRPr="0047333D" w:rsidRDefault="000C260D" w:rsidP="0047333D">
            <w:pPr>
              <w:ind w:right="396"/>
              <w:jc w:val="right"/>
              <w:rPr>
                <w:rFonts w:ascii="Calibri" w:eastAsia="Times New Roman" w:hAnsi="Calibri"/>
                <w:b/>
                <w:bCs/>
                <w:color w:val="000000"/>
                <w:sz w:val="22"/>
                <w:szCs w:val="22"/>
                <w:lang w:val="en-GB" w:eastAsia="en-GB"/>
              </w:rPr>
            </w:pPr>
            <w:r w:rsidRPr="0047333D">
              <w:rPr>
                <w:rFonts w:ascii="Calibri" w:eastAsia="Times New Roman" w:hAnsi="Calibri"/>
                <w:b/>
                <w:bCs/>
                <w:color w:val="000000"/>
                <w:sz w:val="22"/>
                <w:szCs w:val="22"/>
                <w:lang w:val="en-GB" w:eastAsia="en-GB"/>
              </w:rPr>
              <w:t>703</w:t>
            </w:r>
            <w:r w:rsidR="00E74F77" w:rsidRPr="0047333D">
              <w:rPr>
                <w:rStyle w:val="FootnoteReference"/>
                <w:rFonts w:ascii="Calibri" w:eastAsia="Times New Roman" w:hAnsi="Calibri"/>
                <w:b/>
                <w:bCs/>
                <w:color w:val="000000"/>
                <w:sz w:val="22"/>
                <w:szCs w:val="22"/>
                <w:lang w:val="en-GB" w:eastAsia="en-GB"/>
              </w:rPr>
              <w:footnoteReference w:id="4"/>
            </w:r>
            <w:r w:rsidR="00F9733B" w:rsidRPr="0047333D">
              <w:rPr>
                <w:rFonts w:ascii="Calibri" w:eastAsia="Times New Roman" w:hAnsi="Calibri"/>
                <w:b/>
                <w:bCs/>
                <w:color w:val="000000"/>
                <w:sz w:val="22"/>
                <w:szCs w:val="22"/>
                <w:lang w:val="en-GB" w:eastAsia="en-GB"/>
              </w:rPr>
              <w:t xml:space="preserve"> </w:t>
            </w:r>
          </w:p>
        </w:tc>
        <w:tc>
          <w:tcPr>
            <w:tcW w:w="4344" w:type="dxa"/>
            <w:tcBorders>
              <w:top w:val="nil"/>
              <w:left w:val="nil"/>
              <w:bottom w:val="nil"/>
              <w:right w:val="nil"/>
            </w:tcBorders>
            <w:shd w:val="clear" w:color="000000" w:fill="FFFFFF"/>
            <w:noWrap/>
            <w:vAlign w:val="bottom"/>
          </w:tcPr>
          <w:p w:rsidR="00F9733B" w:rsidRPr="0047333D" w:rsidRDefault="00F9733B" w:rsidP="0047333D">
            <w:pPr>
              <w:rPr>
                <w:rFonts w:ascii="Calibri" w:eastAsia="Times New Roman" w:hAnsi="Calibri"/>
                <w:color w:val="000000"/>
                <w:sz w:val="22"/>
                <w:szCs w:val="22"/>
                <w:lang w:val="en-GB" w:eastAsia="en-GB"/>
              </w:rPr>
            </w:pPr>
            <w:r w:rsidRPr="0047333D">
              <w:rPr>
                <w:rFonts w:ascii="Calibri" w:eastAsia="Times New Roman" w:hAnsi="Calibri"/>
                <w:color w:val="000000"/>
                <w:sz w:val="22"/>
                <w:szCs w:val="22"/>
                <w:lang w:val="en-GB" w:eastAsia="en-GB"/>
              </w:rPr>
              <w:t> </w:t>
            </w:r>
          </w:p>
        </w:tc>
      </w:tr>
    </w:tbl>
    <w:p w:rsidR="00F9733B" w:rsidRPr="0047333D" w:rsidRDefault="00F9733B" w:rsidP="0047333D">
      <w:pPr>
        <w:rPr>
          <w:rFonts w:ascii="Calibri" w:hAnsi="Calibri"/>
          <w:sz w:val="22"/>
          <w:szCs w:val="22"/>
          <w:lang w:val="en-GB"/>
        </w:rPr>
      </w:pPr>
    </w:p>
    <w:p w:rsidR="00D62360" w:rsidRPr="0047333D" w:rsidRDefault="00D62360" w:rsidP="0047333D">
      <w:pPr>
        <w:rPr>
          <w:rFonts w:ascii="Calibri" w:hAnsi="Calibri"/>
          <w:sz w:val="22"/>
          <w:szCs w:val="22"/>
        </w:rPr>
      </w:pPr>
    </w:p>
    <w:p w:rsidR="00D62360" w:rsidRPr="0047333D" w:rsidRDefault="00D62360" w:rsidP="0047333D">
      <w:pPr>
        <w:numPr>
          <w:ilvl w:val="0"/>
          <w:numId w:val="26"/>
        </w:numPr>
        <w:ind w:left="426" w:hanging="426"/>
        <w:rPr>
          <w:rFonts w:ascii="Calibri" w:hAnsi="Calibri"/>
          <w:sz w:val="22"/>
          <w:szCs w:val="22"/>
        </w:rPr>
      </w:pPr>
      <w:r w:rsidRPr="0047333D">
        <w:rPr>
          <w:rFonts w:ascii="Calibri" w:hAnsi="Calibri"/>
          <w:sz w:val="22"/>
          <w:szCs w:val="22"/>
        </w:rPr>
        <w:t xml:space="preserve">In addition, Star Alliance provided flight tickets with a total value of CHF </w:t>
      </w:r>
      <w:r w:rsidR="002E2919" w:rsidRPr="0047333D">
        <w:rPr>
          <w:rFonts w:ascii="Calibri" w:hAnsi="Calibri"/>
          <w:sz w:val="22"/>
          <w:szCs w:val="22"/>
        </w:rPr>
        <w:t>19</w:t>
      </w:r>
      <w:r w:rsidR="00CF2A04" w:rsidRPr="0047333D">
        <w:rPr>
          <w:rFonts w:ascii="Calibri" w:hAnsi="Calibri"/>
          <w:sz w:val="22"/>
          <w:szCs w:val="22"/>
        </w:rPr>
        <w:t xml:space="preserve">,000 </w:t>
      </w:r>
      <w:r w:rsidRPr="0047333D">
        <w:rPr>
          <w:rFonts w:ascii="Calibri" w:hAnsi="Calibri"/>
          <w:sz w:val="22"/>
          <w:szCs w:val="22"/>
        </w:rPr>
        <w:t xml:space="preserve">(EUR </w:t>
      </w:r>
      <w:r w:rsidR="002E2919" w:rsidRPr="0047333D">
        <w:rPr>
          <w:rFonts w:ascii="Calibri" w:hAnsi="Calibri"/>
          <w:sz w:val="22"/>
          <w:szCs w:val="22"/>
        </w:rPr>
        <w:t>18</w:t>
      </w:r>
      <w:r w:rsidR="00280101">
        <w:rPr>
          <w:rFonts w:ascii="Calibri" w:hAnsi="Calibri"/>
          <w:sz w:val="22"/>
          <w:szCs w:val="22"/>
        </w:rPr>
        <w:t>,000</w:t>
      </w:r>
      <w:r w:rsidRPr="0047333D">
        <w:rPr>
          <w:rFonts w:ascii="Calibri" w:hAnsi="Calibri"/>
          <w:sz w:val="22"/>
          <w:szCs w:val="22"/>
        </w:rPr>
        <w:t>).</w:t>
      </w:r>
    </w:p>
    <w:p w:rsidR="007220B9" w:rsidRPr="0047333D" w:rsidRDefault="007220B9" w:rsidP="0047333D">
      <w:pPr>
        <w:ind w:left="426"/>
        <w:rPr>
          <w:rFonts w:ascii="Calibri" w:hAnsi="Calibri"/>
          <w:sz w:val="22"/>
          <w:szCs w:val="22"/>
        </w:rPr>
      </w:pPr>
    </w:p>
    <w:p w:rsidR="00827D22" w:rsidRPr="0047333D" w:rsidRDefault="00827D22" w:rsidP="0047333D">
      <w:pPr>
        <w:numPr>
          <w:ilvl w:val="0"/>
          <w:numId w:val="26"/>
        </w:numPr>
        <w:ind w:left="426" w:hanging="426"/>
        <w:rPr>
          <w:rFonts w:ascii="Calibri" w:hAnsi="Calibri"/>
          <w:sz w:val="22"/>
          <w:szCs w:val="22"/>
        </w:rPr>
      </w:pPr>
      <w:r w:rsidRPr="0047333D">
        <w:rPr>
          <w:rFonts w:ascii="Calibri" w:hAnsi="Calibri"/>
          <w:sz w:val="22"/>
          <w:szCs w:val="22"/>
          <w:lang w:val="en-GB"/>
        </w:rPr>
        <w:t>The Secretariat would like to express its sincere appreciation to Contracting Parties and</w:t>
      </w:r>
      <w:r w:rsidR="0047333D">
        <w:rPr>
          <w:rFonts w:ascii="Calibri" w:hAnsi="Calibri"/>
          <w:sz w:val="22"/>
          <w:szCs w:val="22"/>
          <w:lang w:val="en-GB"/>
        </w:rPr>
        <w:t xml:space="preserve"> </w:t>
      </w:r>
      <w:r w:rsidRPr="0047333D">
        <w:rPr>
          <w:rFonts w:ascii="Calibri" w:hAnsi="Calibri"/>
          <w:sz w:val="22"/>
          <w:szCs w:val="22"/>
          <w:lang w:val="en-GB"/>
        </w:rPr>
        <w:t>donors</w:t>
      </w:r>
      <w:r w:rsidR="0047333D">
        <w:rPr>
          <w:rFonts w:ascii="Calibri" w:hAnsi="Calibri"/>
          <w:sz w:val="22"/>
          <w:szCs w:val="22"/>
          <w:lang w:val="en-GB"/>
        </w:rPr>
        <w:t xml:space="preserve"> </w:t>
      </w:r>
      <w:r w:rsidRPr="0047333D">
        <w:rPr>
          <w:rFonts w:ascii="Calibri" w:hAnsi="Calibri"/>
          <w:sz w:val="22"/>
          <w:szCs w:val="22"/>
          <w:lang w:val="en-GB"/>
        </w:rPr>
        <w:t>for voluntary contributions to non-core activities of the Convention</w:t>
      </w:r>
      <w:r w:rsidR="00280101">
        <w:rPr>
          <w:rFonts w:ascii="Calibri" w:hAnsi="Calibri"/>
          <w:sz w:val="22"/>
          <w:szCs w:val="22"/>
          <w:lang w:val="en-GB"/>
        </w:rPr>
        <w:t>.</w:t>
      </w:r>
    </w:p>
    <w:p w:rsidR="00827D22" w:rsidRPr="0047333D" w:rsidRDefault="00827D22" w:rsidP="0047333D">
      <w:pPr>
        <w:rPr>
          <w:rFonts w:ascii="Calibri" w:hAnsi="Calibri"/>
          <w:sz w:val="22"/>
          <w:szCs w:val="22"/>
        </w:rPr>
      </w:pPr>
      <w:r w:rsidRPr="0047333D">
        <w:rPr>
          <w:rFonts w:ascii="Calibri" w:hAnsi="Calibri"/>
          <w:sz w:val="22"/>
          <w:szCs w:val="22"/>
          <w:lang w:val="en-GB"/>
        </w:rPr>
        <w:lastRenderedPageBreak/>
        <w:t xml:space="preserve"> </w:t>
      </w:r>
    </w:p>
    <w:p w:rsidR="00046784" w:rsidRPr="0047333D" w:rsidRDefault="00F9733B" w:rsidP="0047333D">
      <w:pPr>
        <w:numPr>
          <w:ilvl w:val="0"/>
          <w:numId w:val="26"/>
        </w:numPr>
        <w:ind w:left="426" w:hanging="426"/>
        <w:rPr>
          <w:rFonts w:ascii="Calibri" w:hAnsi="Calibri"/>
          <w:sz w:val="22"/>
          <w:szCs w:val="22"/>
        </w:rPr>
      </w:pPr>
      <w:r w:rsidRPr="0047333D">
        <w:rPr>
          <w:rFonts w:ascii="Calibri" w:hAnsi="Calibri"/>
          <w:sz w:val="22"/>
          <w:szCs w:val="22"/>
        </w:rPr>
        <w:t>The budget approved at COP12</w:t>
      </w:r>
      <w:r w:rsidR="004D335B" w:rsidRPr="0047333D">
        <w:rPr>
          <w:rFonts w:ascii="Calibri" w:hAnsi="Calibri"/>
          <w:sz w:val="22"/>
          <w:szCs w:val="22"/>
        </w:rPr>
        <w:t xml:space="preserve"> anticipate</w:t>
      </w:r>
      <w:r w:rsidR="00744BBE" w:rsidRPr="0047333D">
        <w:rPr>
          <w:rFonts w:ascii="Calibri" w:hAnsi="Calibri"/>
          <w:sz w:val="22"/>
          <w:szCs w:val="22"/>
        </w:rPr>
        <w:t>d</w:t>
      </w:r>
      <w:r w:rsidR="004D335B" w:rsidRPr="0047333D">
        <w:rPr>
          <w:rFonts w:ascii="Calibri" w:hAnsi="Calibri"/>
          <w:sz w:val="22"/>
          <w:szCs w:val="22"/>
        </w:rPr>
        <w:t xml:space="preserve"> voluntary </w:t>
      </w:r>
      <w:r w:rsidR="00A236A3" w:rsidRPr="0047333D">
        <w:rPr>
          <w:rFonts w:ascii="Calibri" w:hAnsi="Calibri"/>
          <w:sz w:val="22"/>
          <w:szCs w:val="22"/>
        </w:rPr>
        <w:t xml:space="preserve">non-core </w:t>
      </w:r>
      <w:r w:rsidR="004D335B" w:rsidRPr="0047333D">
        <w:rPr>
          <w:rFonts w:ascii="Calibri" w:hAnsi="Calibri"/>
          <w:sz w:val="22"/>
          <w:szCs w:val="22"/>
        </w:rPr>
        <w:t xml:space="preserve">contributions of CHF </w:t>
      </w:r>
      <w:r w:rsidRPr="0047333D">
        <w:rPr>
          <w:rFonts w:ascii="Calibri" w:hAnsi="Calibri"/>
          <w:sz w:val="22"/>
          <w:szCs w:val="22"/>
        </w:rPr>
        <w:t>4</w:t>
      </w:r>
      <w:r w:rsidR="004D335B" w:rsidRPr="0047333D">
        <w:rPr>
          <w:rFonts w:ascii="Calibri" w:hAnsi="Calibri"/>
          <w:sz w:val="22"/>
          <w:szCs w:val="22"/>
        </w:rPr>
        <w:t>.</w:t>
      </w:r>
      <w:r w:rsidRPr="0047333D">
        <w:rPr>
          <w:rFonts w:ascii="Calibri" w:hAnsi="Calibri"/>
          <w:sz w:val="22"/>
          <w:szCs w:val="22"/>
        </w:rPr>
        <w:t>2</w:t>
      </w:r>
      <w:r w:rsidR="004D335B" w:rsidRPr="0047333D">
        <w:rPr>
          <w:rFonts w:ascii="Calibri" w:hAnsi="Calibri"/>
          <w:sz w:val="22"/>
          <w:szCs w:val="22"/>
        </w:rPr>
        <w:t xml:space="preserve"> million over the triennium to fund the priority activities </w:t>
      </w:r>
      <w:r w:rsidR="00A236A3" w:rsidRPr="0047333D">
        <w:rPr>
          <w:rFonts w:ascii="Calibri" w:hAnsi="Calibri"/>
          <w:sz w:val="22"/>
          <w:szCs w:val="22"/>
        </w:rPr>
        <w:t>for 201</w:t>
      </w:r>
      <w:r w:rsidRPr="0047333D">
        <w:rPr>
          <w:rFonts w:ascii="Calibri" w:hAnsi="Calibri"/>
          <w:sz w:val="22"/>
          <w:szCs w:val="22"/>
        </w:rPr>
        <w:t>6</w:t>
      </w:r>
      <w:r w:rsidR="00A236A3" w:rsidRPr="0047333D">
        <w:rPr>
          <w:rFonts w:ascii="Calibri" w:hAnsi="Calibri"/>
          <w:sz w:val="22"/>
          <w:szCs w:val="22"/>
        </w:rPr>
        <w:t>-201</w:t>
      </w:r>
      <w:r w:rsidRPr="0047333D">
        <w:rPr>
          <w:rFonts w:ascii="Calibri" w:hAnsi="Calibri"/>
          <w:sz w:val="22"/>
          <w:szCs w:val="22"/>
        </w:rPr>
        <w:t>8</w:t>
      </w:r>
      <w:r w:rsidR="00A236A3" w:rsidRPr="0047333D">
        <w:rPr>
          <w:rFonts w:ascii="Calibri" w:hAnsi="Calibri"/>
          <w:sz w:val="22"/>
          <w:szCs w:val="22"/>
        </w:rPr>
        <w:t xml:space="preserve"> (see </w:t>
      </w:r>
      <w:r w:rsidR="004D335B" w:rsidRPr="0047333D">
        <w:rPr>
          <w:rFonts w:ascii="Calibri" w:hAnsi="Calibri"/>
          <w:sz w:val="22"/>
          <w:szCs w:val="22"/>
        </w:rPr>
        <w:t xml:space="preserve">Annex </w:t>
      </w:r>
      <w:r w:rsidR="009F5AF6" w:rsidRPr="0047333D">
        <w:rPr>
          <w:rFonts w:ascii="Calibri" w:hAnsi="Calibri"/>
          <w:sz w:val="22"/>
          <w:szCs w:val="22"/>
        </w:rPr>
        <w:t>5</w:t>
      </w:r>
      <w:r w:rsidR="00A236A3" w:rsidRPr="0047333D">
        <w:rPr>
          <w:rFonts w:ascii="Calibri" w:hAnsi="Calibri"/>
          <w:sz w:val="22"/>
          <w:szCs w:val="22"/>
        </w:rPr>
        <w:t>)</w:t>
      </w:r>
      <w:r w:rsidR="004D335B" w:rsidRPr="0047333D">
        <w:rPr>
          <w:rFonts w:ascii="Calibri" w:hAnsi="Calibri"/>
          <w:sz w:val="22"/>
          <w:szCs w:val="22"/>
        </w:rPr>
        <w:t>.</w:t>
      </w:r>
      <w:r w:rsidR="00315704" w:rsidRPr="0047333D">
        <w:rPr>
          <w:rFonts w:ascii="Calibri" w:hAnsi="Calibri"/>
          <w:sz w:val="22"/>
          <w:szCs w:val="22"/>
        </w:rPr>
        <w:t xml:space="preserve"> It should be noted that the former position of Head of Partnerships </w:t>
      </w:r>
      <w:r w:rsidR="00C62D80">
        <w:rPr>
          <w:rFonts w:ascii="Calibri" w:hAnsi="Calibri"/>
          <w:sz w:val="22"/>
          <w:szCs w:val="22"/>
        </w:rPr>
        <w:t>was</w:t>
      </w:r>
      <w:r w:rsidR="00315704" w:rsidRPr="0047333D">
        <w:rPr>
          <w:rFonts w:ascii="Calibri" w:hAnsi="Calibri"/>
          <w:sz w:val="22"/>
          <w:szCs w:val="22"/>
        </w:rPr>
        <w:t xml:space="preserve"> vacant </w:t>
      </w:r>
      <w:r w:rsidR="00827D22" w:rsidRPr="0047333D">
        <w:rPr>
          <w:rFonts w:ascii="Calibri" w:hAnsi="Calibri"/>
          <w:sz w:val="22"/>
          <w:szCs w:val="22"/>
        </w:rPr>
        <w:t xml:space="preserve">during 2016 </w:t>
      </w:r>
      <w:r w:rsidR="00315704" w:rsidRPr="0047333D">
        <w:rPr>
          <w:rFonts w:ascii="Calibri" w:hAnsi="Calibri"/>
          <w:sz w:val="22"/>
          <w:szCs w:val="22"/>
        </w:rPr>
        <w:t>and a revised position of He</w:t>
      </w:r>
      <w:r w:rsidR="00827D22" w:rsidRPr="0047333D">
        <w:rPr>
          <w:rFonts w:ascii="Calibri" w:hAnsi="Calibri"/>
          <w:sz w:val="22"/>
          <w:szCs w:val="22"/>
        </w:rPr>
        <w:t>ad</w:t>
      </w:r>
      <w:r w:rsidR="00315704" w:rsidRPr="0047333D">
        <w:rPr>
          <w:rFonts w:ascii="Calibri" w:hAnsi="Calibri"/>
          <w:sz w:val="22"/>
          <w:szCs w:val="22"/>
        </w:rPr>
        <w:t xml:space="preserve"> of Resource Mobilization and Outreach is currently being recruited.</w:t>
      </w:r>
    </w:p>
    <w:p w:rsidR="000917F6" w:rsidRPr="0047333D" w:rsidRDefault="000917F6" w:rsidP="0047333D">
      <w:pPr>
        <w:ind w:left="540"/>
        <w:rPr>
          <w:rFonts w:ascii="Calibri" w:hAnsi="Calibri"/>
          <w:b/>
          <w:sz w:val="22"/>
          <w:szCs w:val="22"/>
        </w:rPr>
      </w:pPr>
    </w:p>
    <w:p w:rsidR="000D3F33" w:rsidRPr="0047333D" w:rsidRDefault="000D3F33" w:rsidP="0047333D">
      <w:pPr>
        <w:ind w:left="540"/>
        <w:rPr>
          <w:rFonts w:ascii="Calibri" w:hAnsi="Calibri"/>
          <w:b/>
          <w:sz w:val="22"/>
          <w:szCs w:val="22"/>
        </w:rPr>
      </w:pPr>
    </w:p>
    <w:p w:rsidR="00D22F60" w:rsidRPr="0047333D" w:rsidRDefault="000E650E" w:rsidP="0047333D">
      <w:pPr>
        <w:keepNext/>
        <w:rPr>
          <w:rFonts w:ascii="Calibri" w:hAnsi="Calibri"/>
          <w:b/>
          <w:sz w:val="22"/>
          <w:szCs w:val="22"/>
          <w:lang w:val="en-GB"/>
        </w:rPr>
      </w:pPr>
      <w:r w:rsidRPr="0047333D">
        <w:rPr>
          <w:rFonts w:ascii="Calibri" w:hAnsi="Calibri"/>
          <w:b/>
          <w:sz w:val="22"/>
          <w:szCs w:val="22"/>
          <w:lang w:val="en-GB"/>
        </w:rPr>
        <w:t>201</w:t>
      </w:r>
      <w:r w:rsidR="00C3484B" w:rsidRPr="0047333D">
        <w:rPr>
          <w:rFonts w:ascii="Calibri" w:hAnsi="Calibri"/>
          <w:b/>
          <w:sz w:val="22"/>
          <w:szCs w:val="22"/>
          <w:lang w:val="en-GB"/>
        </w:rPr>
        <w:t>6</w:t>
      </w:r>
      <w:r w:rsidRPr="0047333D">
        <w:rPr>
          <w:rFonts w:ascii="Calibri" w:hAnsi="Calibri"/>
          <w:b/>
          <w:sz w:val="22"/>
          <w:szCs w:val="22"/>
          <w:lang w:val="en-GB"/>
        </w:rPr>
        <w:t xml:space="preserve"> </w:t>
      </w:r>
      <w:r w:rsidR="00D22F60" w:rsidRPr="0047333D">
        <w:rPr>
          <w:rFonts w:ascii="Calibri" w:hAnsi="Calibri" w:cs="Calibri"/>
          <w:b/>
          <w:sz w:val="22"/>
          <w:szCs w:val="22"/>
          <w:lang w:val="en-GB"/>
        </w:rPr>
        <w:t>balance sheet</w:t>
      </w:r>
    </w:p>
    <w:p w:rsidR="000E650E" w:rsidRPr="0047333D" w:rsidRDefault="000E650E" w:rsidP="0047333D">
      <w:pPr>
        <w:keepNext/>
        <w:ind w:left="426" w:hanging="426"/>
        <w:rPr>
          <w:rFonts w:ascii="Calibri" w:hAnsi="Calibri"/>
          <w:sz w:val="22"/>
          <w:szCs w:val="22"/>
        </w:rPr>
      </w:pPr>
    </w:p>
    <w:p w:rsidR="008B4756" w:rsidRPr="0047333D" w:rsidRDefault="00E56D27" w:rsidP="0047333D">
      <w:pPr>
        <w:numPr>
          <w:ilvl w:val="0"/>
          <w:numId w:val="26"/>
        </w:numPr>
        <w:ind w:left="426" w:hanging="426"/>
        <w:rPr>
          <w:rFonts w:ascii="Calibri" w:hAnsi="Calibri"/>
          <w:sz w:val="22"/>
          <w:szCs w:val="22"/>
        </w:rPr>
      </w:pPr>
      <w:r w:rsidRPr="0047333D">
        <w:rPr>
          <w:rFonts w:ascii="Calibri" w:hAnsi="Calibri"/>
          <w:sz w:val="22"/>
          <w:szCs w:val="22"/>
        </w:rPr>
        <w:t xml:space="preserve"> </w:t>
      </w:r>
      <w:r w:rsidR="000F4158" w:rsidRPr="0047333D">
        <w:rPr>
          <w:rFonts w:ascii="Calibri" w:hAnsi="Calibri"/>
          <w:sz w:val="22"/>
          <w:szCs w:val="22"/>
        </w:rPr>
        <w:t>Annex 1</w:t>
      </w:r>
      <w:r w:rsidR="00A236A3" w:rsidRPr="0047333D">
        <w:rPr>
          <w:rFonts w:ascii="Calibri" w:hAnsi="Calibri"/>
          <w:sz w:val="22"/>
          <w:szCs w:val="22"/>
        </w:rPr>
        <w:t xml:space="preserve"> shows</w:t>
      </w:r>
      <w:r w:rsidR="000F4158" w:rsidRPr="0047333D">
        <w:rPr>
          <w:rFonts w:ascii="Calibri" w:hAnsi="Calibri"/>
          <w:sz w:val="22"/>
          <w:szCs w:val="22"/>
        </w:rPr>
        <w:t xml:space="preserve"> t</w:t>
      </w:r>
      <w:r w:rsidR="000F045B" w:rsidRPr="0047333D">
        <w:rPr>
          <w:rFonts w:ascii="Calibri" w:hAnsi="Calibri"/>
          <w:sz w:val="22"/>
          <w:szCs w:val="22"/>
        </w:rPr>
        <w:t xml:space="preserve">he </w:t>
      </w:r>
      <w:r w:rsidR="00C3484B" w:rsidRPr="0047333D">
        <w:rPr>
          <w:rFonts w:ascii="Calibri" w:hAnsi="Calibri"/>
          <w:sz w:val="22"/>
          <w:szCs w:val="22"/>
        </w:rPr>
        <w:t xml:space="preserve">preliminary </w:t>
      </w:r>
      <w:r w:rsidR="000F045B" w:rsidRPr="0047333D">
        <w:rPr>
          <w:rFonts w:ascii="Calibri" w:hAnsi="Calibri"/>
          <w:sz w:val="22"/>
          <w:szCs w:val="22"/>
        </w:rPr>
        <w:t xml:space="preserve">balance sheet </w:t>
      </w:r>
      <w:r w:rsidR="00A236A3" w:rsidRPr="0047333D">
        <w:rPr>
          <w:rFonts w:ascii="Calibri" w:hAnsi="Calibri"/>
          <w:sz w:val="22"/>
          <w:szCs w:val="22"/>
        </w:rPr>
        <w:t xml:space="preserve">as </w:t>
      </w:r>
      <w:r w:rsidR="00380039" w:rsidRPr="0047333D">
        <w:rPr>
          <w:rFonts w:ascii="Calibri" w:hAnsi="Calibri"/>
          <w:sz w:val="22"/>
          <w:szCs w:val="22"/>
        </w:rPr>
        <w:t xml:space="preserve">at </w:t>
      </w:r>
      <w:r w:rsidR="00314CBB" w:rsidRPr="0047333D">
        <w:rPr>
          <w:rFonts w:ascii="Calibri" w:hAnsi="Calibri"/>
          <w:sz w:val="22"/>
          <w:szCs w:val="22"/>
        </w:rPr>
        <w:t>31 Dec</w:t>
      </w:r>
      <w:r w:rsidR="000F045B" w:rsidRPr="0047333D">
        <w:rPr>
          <w:rFonts w:ascii="Calibri" w:hAnsi="Calibri"/>
          <w:sz w:val="22"/>
          <w:szCs w:val="22"/>
        </w:rPr>
        <w:t>ember 201</w:t>
      </w:r>
      <w:r w:rsidR="00C3484B" w:rsidRPr="0047333D">
        <w:rPr>
          <w:rFonts w:ascii="Calibri" w:hAnsi="Calibri"/>
          <w:sz w:val="22"/>
          <w:szCs w:val="22"/>
        </w:rPr>
        <w:t>6</w:t>
      </w:r>
      <w:r w:rsidR="000F045B" w:rsidRPr="0047333D">
        <w:rPr>
          <w:rFonts w:ascii="Calibri" w:hAnsi="Calibri"/>
          <w:sz w:val="22"/>
          <w:szCs w:val="22"/>
        </w:rPr>
        <w:t xml:space="preserve">. </w:t>
      </w:r>
      <w:r w:rsidR="000E650E" w:rsidRPr="0047333D">
        <w:rPr>
          <w:rFonts w:ascii="Calibri" w:hAnsi="Calibri"/>
          <w:sz w:val="22"/>
          <w:szCs w:val="22"/>
        </w:rPr>
        <w:t xml:space="preserve">The </w:t>
      </w:r>
      <w:r w:rsidR="00314CBB" w:rsidRPr="0047333D">
        <w:rPr>
          <w:rFonts w:ascii="Calibri" w:hAnsi="Calibri"/>
          <w:sz w:val="22"/>
          <w:szCs w:val="22"/>
        </w:rPr>
        <w:t xml:space="preserve">Secretariat </w:t>
      </w:r>
      <w:r w:rsidR="00A236A3" w:rsidRPr="0047333D">
        <w:rPr>
          <w:rFonts w:ascii="Calibri" w:hAnsi="Calibri"/>
          <w:sz w:val="22"/>
          <w:szCs w:val="22"/>
        </w:rPr>
        <w:t xml:space="preserve">had </w:t>
      </w:r>
      <w:r w:rsidR="00314CBB" w:rsidRPr="0047333D">
        <w:rPr>
          <w:rFonts w:ascii="Calibri" w:hAnsi="Calibri"/>
          <w:sz w:val="22"/>
          <w:szCs w:val="22"/>
        </w:rPr>
        <w:t xml:space="preserve">an overall </w:t>
      </w:r>
      <w:r w:rsidR="00156AEC" w:rsidRPr="0047333D">
        <w:rPr>
          <w:rFonts w:ascii="Calibri" w:hAnsi="Calibri"/>
          <w:sz w:val="22"/>
          <w:szCs w:val="22"/>
        </w:rPr>
        <w:t>Swiss-franc</w:t>
      </w:r>
      <w:r w:rsidR="00C62D80">
        <w:rPr>
          <w:rFonts w:ascii="Calibri" w:hAnsi="Calibri"/>
          <w:sz w:val="22"/>
          <w:szCs w:val="22"/>
        </w:rPr>
        <w:t>-</w:t>
      </w:r>
      <w:r w:rsidR="00314CBB" w:rsidRPr="0047333D">
        <w:rPr>
          <w:rFonts w:ascii="Calibri" w:hAnsi="Calibri"/>
          <w:sz w:val="22"/>
          <w:szCs w:val="22"/>
        </w:rPr>
        <w:t xml:space="preserve">equivalent cash balance of CHF </w:t>
      </w:r>
      <w:r w:rsidR="008B4756" w:rsidRPr="0047333D">
        <w:rPr>
          <w:rFonts w:ascii="Calibri" w:hAnsi="Calibri"/>
          <w:sz w:val="22"/>
          <w:szCs w:val="22"/>
        </w:rPr>
        <w:t>4,569,000</w:t>
      </w:r>
      <w:r w:rsidR="0095313A" w:rsidRPr="0047333D">
        <w:rPr>
          <w:rFonts w:ascii="Calibri" w:hAnsi="Calibri"/>
          <w:sz w:val="22"/>
          <w:szCs w:val="22"/>
        </w:rPr>
        <w:t>,</w:t>
      </w:r>
      <w:r w:rsidR="00314CBB" w:rsidRPr="0047333D">
        <w:rPr>
          <w:rFonts w:ascii="Calibri" w:hAnsi="Calibri"/>
          <w:sz w:val="22"/>
          <w:szCs w:val="22"/>
        </w:rPr>
        <w:t xml:space="preserve"> </w:t>
      </w:r>
      <w:r w:rsidR="008B4756" w:rsidRPr="0047333D">
        <w:rPr>
          <w:rFonts w:ascii="Calibri" w:hAnsi="Calibri"/>
          <w:sz w:val="22"/>
          <w:szCs w:val="22"/>
        </w:rPr>
        <w:t xml:space="preserve">with 48% held in </w:t>
      </w:r>
      <w:r w:rsidR="0095313A" w:rsidRPr="0047333D">
        <w:rPr>
          <w:rFonts w:ascii="Calibri" w:hAnsi="Calibri"/>
          <w:sz w:val="22"/>
          <w:szCs w:val="22"/>
        </w:rPr>
        <w:t>Swiss francs</w:t>
      </w:r>
      <w:r w:rsidR="008B4756" w:rsidRPr="0047333D">
        <w:rPr>
          <w:rFonts w:ascii="Calibri" w:hAnsi="Calibri"/>
          <w:sz w:val="22"/>
          <w:szCs w:val="22"/>
        </w:rPr>
        <w:t>, 24% in US</w:t>
      </w:r>
      <w:r w:rsidR="0095313A" w:rsidRPr="0047333D">
        <w:rPr>
          <w:rFonts w:ascii="Calibri" w:hAnsi="Calibri"/>
          <w:sz w:val="22"/>
          <w:szCs w:val="22"/>
        </w:rPr>
        <w:t> dollars</w:t>
      </w:r>
      <w:r w:rsidR="008B4756" w:rsidRPr="0047333D">
        <w:rPr>
          <w:rFonts w:ascii="Calibri" w:hAnsi="Calibri"/>
          <w:sz w:val="22"/>
          <w:szCs w:val="22"/>
        </w:rPr>
        <w:t xml:space="preserve">, 17% in </w:t>
      </w:r>
      <w:r w:rsidR="007220B9" w:rsidRPr="0047333D">
        <w:rPr>
          <w:rFonts w:ascii="Calibri" w:hAnsi="Calibri"/>
          <w:sz w:val="22"/>
          <w:szCs w:val="22"/>
        </w:rPr>
        <w:t>e</w:t>
      </w:r>
      <w:r w:rsidR="0095313A" w:rsidRPr="0047333D">
        <w:rPr>
          <w:rFonts w:ascii="Calibri" w:hAnsi="Calibri"/>
          <w:sz w:val="22"/>
          <w:szCs w:val="22"/>
        </w:rPr>
        <w:t>uros</w:t>
      </w:r>
      <w:r w:rsidR="008B4756" w:rsidRPr="0047333D">
        <w:rPr>
          <w:rFonts w:ascii="Calibri" w:hAnsi="Calibri"/>
          <w:sz w:val="22"/>
          <w:szCs w:val="22"/>
        </w:rPr>
        <w:t xml:space="preserve"> and 11% in </w:t>
      </w:r>
      <w:r w:rsidR="0095313A" w:rsidRPr="0047333D">
        <w:rPr>
          <w:rFonts w:ascii="Calibri" w:hAnsi="Calibri"/>
          <w:sz w:val="22"/>
          <w:szCs w:val="22"/>
        </w:rPr>
        <w:t>Norwegian krone</w:t>
      </w:r>
      <w:r w:rsidR="008B4756" w:rsidRPr="0047333D">
        <w:rPr>
          <w:rFonts w:ascii="Calibri" w:hAnsi="Calibri"/>
          <w:sz w:val="22"/>
          <w:szCs w:val="22"/>
        </w:rPr>
        <w:t>.</w:t>
      </w:r>
    </w:p>
    <w:p w:rsidR="00314CBB" w:rsidRPr="0047333D" w:rsidRDefault="008B4756" w:rsidP="0047333D">
      <w:pPr>
        <w:ind w:left="426"/>
        <w:rPr>
          <w:rFonts w:ascii="Calibri" w:hAnsi="Calibri"/>
          <w:sz w:val="22"/>
          <w:szCs w:val="22"/>
        </w:rPr>
      </w:pPr>
      <w:r w:rsidRPr="0047333D">
        <w:rPr>
          <w:rFonts w:ascii="Calibri" w:hAnsi="Calibri"/>
          <w:sz w:val="22"/>
          <w:szCs w:val="22"/>
        </w:rPr>
        <w:t xml:space="preserve"> </w:t>
      </w:r>
    </w:p>
    <w:p w:rsidR="004B76AD" w:rsidRPr="0047333D" w:rsidRDefault="00A727D8" w:rsidP="0047333D">
      <w:pPr>
        <w:numPr>
          <w:ilvl w:val="0"/>
          <w:numId w:val="26"/>
        </w:numPr>
        <w:ind w:left="426" w:hanging="426"/>
        <w:rPr>
          <w:rFonts w:ascii="Calibri" w:hAnsi="Calibri"/>
          <w:sz w:val="22"/>
          <w:szCs w:val="22"/>
        </w:rPr>
      </w:pPr>
      <w:r w:rsidRPr="0047333D">
        <w:rPr>
          <w:rFonts w:ascii="Calibri" w:hAnsi="Calibri"/>
          <w:sz w:val="22"/>
          <w:szCs w:val="22"/>
        </w:rPr>
        <w:t xml:space="preserve">When taken together, </w:t>
      </w:r>
      <w:r w:rsidR="00100E31" w:rsidRPr="0047333D">
        <w:rPr>
          <w:rFonts w:ascii="Calibri" w:hAnsi="Calibri"/>
          <w:sz w:val="22"/>
          <w:szCs w:val="22"/>
        </w:rPr>
        <w:t xml:space="preserve">the </w:t>
      </w:r>
      <w:r w:rsidRPr="0047333D">
        <w:rPr>
          <w:rFonts w:ascii="Calibri" w:hAnsi="Calibri"/>
          <w:sz w:val="22"/>
          <w:szCs w:val="22"/>
        </w:rPr>
        <w:t>cash</w:t>
      </w:r>
      <w:r w:rsidR="00100E31" w:rsidRPr="0047333D">
        <w:rPr>
          <w:rFonts w:ascii="Calibri" w:hAnsi="Calibri"/>
          <w:sz w:val="22"/>
          <w:szCs w:val="22"/>
        </w:rPr>
        <w:t xml:space="preserve"> contributions</w:t>
      </w:r>
      <w:r w:rsidRPr="0047333D">
        <w:rPr>
          <w:rFonts w:ascii="Calibri" w:hAnsi="Calibri"/>
          <w:sz w:val="22"/>
          <w:szCs w:val="22"/>
        </w:rPr>
        <w:t xml:space="preserve"> and accounts receivable </w:t>
      </w:r>
      <w:r w:rsidR="00A236A3" w:rsidRPr="0047333D">
        <w:rPr>
          <w:rFonts w:ascii="Calibri" w:hAnsi="Calibri"/>
          <w:sz w:val="22"/>
          <w:szCs w:val="22"/>
        </w:rPr>
        <w:t xml:space="preserve">were </w:t>
      </w:r>
      <w:r w:rsidR="00314CBB" w:rsidRPr="0047333D">
        <w:rPr>
          <w:rFonts w:ascii="Calibri" w:hAnsi="Calibri"/>
          <w:sz w:val="22"/>
          <w:szCs w:val="22"/>
        </w:rPr>
        <w:t xml:space="preserve">sufficient to cover all of the Secretariat’s </w:t>
      </w:r>
      <w:r w:rsidRPr="0047333D">
        <w:rPr>
          <w:rFonts w:ascii="Calibri" w:hAnsi="Calibri"/>
          <w:sz w:val="22"/>
          <w:szCs w:val="22"/>
        </w:rPr>
        <w:t xml:space="preserve">obligations </w:t>
      </w:r>
      <w:r w:rsidR="008B4756" w:rsidRPr="0047333D">
        <w:rPr>
          <w:rFonts w:ascii="Calibri" w:hAnsi="Calibri"/>
          <w:sz w:val="22"/>
          <w:szCs w:val="22"/>
        </w:rPr>
        <w:t>at the end of 2016</w:t>
      </w:r>
      <w:r w:rsidRPr="0047333D">
        <w:rPr>
          <w:rFonts w:ascii="Calibri" w:hAnsi="Calibri"/>
          <w:sz w:val="22"/>
          <w:szCs w:val="22"/>
        </w:rPr>
        <w:t xml:space="preserve">. </w:t>
      </w:r>
    </w:p>
    <w:p w:rsidR="004B76AD" w:rsidRPr="0047333D" w:rsidRDefault="004B76AD" w:rsidP="0047333D">
      <w:pPr>
        <w:rPr>
          <w:rFonts w:ascii="Calibri" w:hAnsi="Calibri"/>
          <w:sz w:val="22"/>
          <w:szCs w:val="22"/>
        </w:rPr>
      </w:pPr>
    </w:p>
    <w:p w:rsidR="00A8357F" w:rsidRPr="0047333D" w:rsidRDefault="008B4756" w:rsidP="0047333D">
      <w:pPr>
        <w:numPr>
          <w:ilvl w:val="0"/>
          <w:numId w:val="26"/>
        </w:numPr>
        <w:ind w:left="426" w:hanging="426"/>
        <w:rPr>
          <w:rFonts w:ascii="Calibri" w:hAnsi="Calibri"/>
          <w:sz w:val="22"/>
          <w:szCs w:val="22"/>
        </w:rPr>
      </w:pPr>
      <w:r w:rsidRPr="0047333D">
        <w:rPr>
          <w:rFonts w:ascii="Calibri" w:hAnsi="Calibri"/>
          <w:sz w:val="22"/>
          <w:szCs w:val="22"/>
        </w:rPr>
        <w:t>T</w:t>
      </w:r>
      <w:r w:rsidR="00547115" w:rsidRPr="0047333D">
        <w:rPr>
          <w:rFonts w:ascii="Calibri" w:hAnsi="Calibri"/>
          <w:sz w:val="22"/>
          <w:szCs w:val="22"/>
        </w:rPr>
        <w:t xml:space="preserve">he </w:t>
      </w:r>
      <w:r w:rsidR="00F9733B" w:rsidRPr="0047333D">
        <w:rPr>
          <w:rFonts w:ascii="Calibri" w:hAnsi="Calibri"/>
          <w:sz w:val="22"/>
          <w:szCs w:val="22"/>
        </w:rPr>
        <w:t xml:space="preserve">level of outstanding Contracting Party </w:t>
      </w:r>
      <w:r w:rsidR="00547115" w:rsidRPr="0047333D">
        <w:rPr>
          <w:rFonts w:ascii="Calibri" w:hAnsi="Calibri"/>
          <w:sz w:val="22"/>
          <w:szCs w:val="22"/>
        </w:rPr>
        <w:t xml:space="preserve">contributions </w:t>
      </w:r>
      <w:r w:rsidR="004B76AD" w:rsidRPr="0047333D">
        <w:rPr>
          <w:rFonts w:ascii="Calibri" w:hAnsi="Calibri"/>
          <w:sz w:val="22"/>
          <w:szCs w:val="22"/>
        </w:rPr>
        <w:t>diminished in 2016</w:t>
      </w:r>
      <w:r w:rsidRPr="0047333D">
        <w:rPr>
          <w:rFonts w:ascii="Calibri" w:hAnsi="Calibri"/>
          <w:sz w:val="22"/>
          <w:szCs w:val="22"/>
        </w:rPr>
        <w:t>.</w:t>
      </w:r>
      <w:r w:rsidR="004B76AD" w:rsidRPr="0047333D">
        <w:rPr>
          <w:rFonts w:ascii="Calibri" w:hAnsi="Calibri"/>
          <w:sz w:val="22"/>
          <w:szCs w:val="22"/>
        </w:rPr>
        <w:t xml:space="preserve"> </w:t>
      </w:r>
      <w:r w:rsidR="00A8357F" w:rsidRPr="0047333D">
        <w:rPr>
          <w:rFonts w:ascii="Calibri" w:hAnsi="Calibri"/>
          <w:sz w:val="22"/>
          <w:szCs w:val="22"/>
          <w:lang w:val="en-GB"/>
        </w:rPr>
        <w:t xml:space="preserve">For </w:t>
      </w:r>
      <w:r w:rsidR="00A236A3" w:rsidRPr="0047333D">
        <w:rPr>
          <w:rFonts w:ascii="Calibri" w:hAnsi="Calibri" w:cs="Calibri"/>
          <w:sz w:val="22"/>
          <w:szCs w:val="22"/>
          <w:lang w:val="en-GB"/>
        </w:rPr>
        <w:t>further</w:t>
      </w:r>
      <w:r w:rsidR="00A236A3" w:rsidRPr="0047333D">
        <w:rPr>
          <w:rFonts w:ascii="Calibri" w:hAnsi="Calibri"/>
          <w:sz w:val="22"/>
          <w:szCs w:val="22"/>
          <w:lang w:val="en-GB"/>
        </w:rPr>
        <w:t xml:space="preserve"> </w:t>
      </w:r>
      <w:r w:rsidR="00A8357F" w:rsidRPr="0047333D">
        <w:rPr>
          <w:rFonts w:ascii="Calibri" w:hAnsi="Calibri"/>
          <w:sz w:val="22"/>
          <w:szCs w:val="22"/>
          <w:lang w:val="en-GB"/>
        </w:rPr>
        <w:t xml:space="preserve">discussion on </w:t>
      </w:r>
      <w:r w:rsidR="004B76AD" w:rsidRPr="0047333D">
        <w:rPr>
          <w:rFonts w:ascii="Calibri" w:hAnsi="Calibri"/>
          <w:sz w:val="22"/>
          <w:szCs w:val="22"/>
          <w:lang w:val="en-GB"/>
        </w:rPr>
        <w:t>this issue</w:t>
      </w:r>
      <w:r w:rsidR="00C30743" w:rsidRPr="0047333D">
        <w:rPr>
          <w:rFonts w:ascii="Calibri" w:hAnsi="Calibri"/>
          <w:sz w:val="22"/>
          <w:szCs w:val="22"/>
          <w:lang w:val="en-GB"/>
        </w:rPr>
        <w:t>,</w:t>
      </w:r>
      <w:r w:rsidR="00F9733B" w:rsidRPr="0047333D">
        <w:rPr>
          <w:rFonts w:ascii="Calibri" w:hAnsi="Calibri"/>
          <w:sz w:val="22"/>
          <w:szCs w:val="22"/>
          <w:lang w:val="en-GB"/>
        </w:rPr>
        <w:t xml:space="preserve"> </w:t>
      </w:r>
      <w:r w:rsidR="000917F6" w:rsidRPr="0047333D">
        <w:rPr>
          <w:rFonts w:ascii="Calibri" w:hAnsi="Calibri" w:cs="Calibri"/>
          <w:sz w:val="22"/>
          <w:szCs w:val="22"/>
          <w:lang w:val="en-GB"/>
        </w:rPr>
        <w:t xml:space="preserve">please </w:t>
      </w:r>
      <w:r w:rsidR="00A8357F" w:rsidRPr="0047333D">
        <w:rPr>
          <w:rFonts w:ascii="Calibri" w:hAnsi="Calibri"/>
          <w:sz w:val="22"/>
          <w:szCs w:val="22"/>
          <w:lang w:val="en-GB"/>
        </w:rPr>
        <w:t xml:space="preserve">see </w:t>
      </w:r>
      <w:r w:rsidR="00A8357F" w:rsidRPr="0047333D">
        <w:rPr>
          <w:rFonts w:ascii="Calibri" w:hAnsi="Calibri" w:cs="Calibri"/>
          <w:sz w:val="22"/>
          <w:szCs w:val="22"/>
          <w:lang w:val="en-GB"/>
        </w:rPr>
        <w:t>D</w:t>
      </w:r>
      <w:r w:rsidR="004B246E" w:rsidRPr="0047333D">
        <w:rPr>
          <w:rFonts w:ascii="Calibri" w:hAnsi="Calibri" w:cs="Calibri"/>
          <w:sz w:val="22"/>
          <w:szCs w:val="22"/>
          <w:lang w:val="en-GB"/>
        </w:rPr>
        <w:t>ocument</w:t>
      </w:r>
      <w:r w:rsidR="00A8357F" w:rsidRPr="0047333D">
        <w:rPr>
          <w:rFonts w:ascii="Calibri" w:hAnsi="Calibri"/>
          <w:sz w:val="22"/>
          <w:szCs w:val="22"/>
          <w:lang w:val="en-GB"/>
        </w:rPr>
        <w:t xml:space="preserve"> SC</w:t>
      </w:r>
      <w:r w:rsidR="00F9733B" w:rsidRPr="0047333D">
        <w:rPr>
          <w:rFonts w:ascii="Calibri" w:hAnsi="Calibri"/>
          <w:sz w:val="22"/>
          <w:szCs w:val="22"/>
          <w:lang w:val="en-GB"/>
        </w:rPr>
        <w:t>53</w:t>
      </w:r>
      <w:r w:rsidR="00A8357F" w:rsidRPr="0047333D">
        <w:rPr>
          <w:rFonts w:ascii="Calibri" w:hAnsi="Calibri"/>
          <w:sz w:val="22"/>
          <w:szCs w:val="22"/>
          <w:lang w:val="en-GB"/>
        </w:rPr>
        <w:t>-</w:t>
      </w:r>
      <w:r w:rsidR="00A45C42" w:rsidRPr="0047333D">
        <w:rPr>
          <w:rFonts w:ascii="Calibri" w:hAnsi="Calibri"/>
          <w:sz w:val="22"/>
          <w:szCs w:val="22"/>
          <w:lang w:val="en-GB"/>
        </w:rPr>
        <w:t>21</w:t>
      </w:r>
      <w:r w:rsidR="00A8357F" w:rsidRPr="0047333D">
        <w:rPr>
          <w:rFonts w:ascii="Calibri" w:hAnsi="Calibri"/>
          <w:sz w:val="22"/>
          <w:szCs w:val="22"/>
          <w:lang w:val="en-GB"/>
        </w:rPr>
        <w:t>.</w:t>
      </w:r>
    </w:p>
    <w:p w:rsidR="00334CA4" w:rsidRPr="0047333D" w:rsidRDefault="00334CA4" w:rsidP="0047333D">
      <w:pPr>
        <w:rPr>
          <w:rFonts w:ascii="Calibri" w:hAnsi="Calibri"/>
          <w:sz w:val="22"/>
          <w:szCs w:val="22"/>
          <w:lang w:val="en-GB"/>
        </w:rPr>
      </w:pPr>
    </w:p>
    <w:p w:rsidR="00334CA4" w:rsidRPr="0047333D" w:rsidRDefault="00334CA4" w:rsidP="0047333D">
      <w:pPr>
        <w:rPr>
          <w:rFonts w:ascii="Calibri" w:hAnsi="Calibri"/>
          <w:sz w:val="22"/>
          <w:szCs w:val="22"/>
          <w:lang w:val="en-GB"/>
        </w:rPr>
      </w:pPr>
    </w:p>
    <w:p w:rsidR="00334CA4" w:rsidRPr="00C90D3C" w:rsidRDefault="00334CA4" w:rsidP="0047333D">
      <w:pPr>
        <w:rPr>
          <w:rFonts w:ascii="Calibri" w:hAnsi="Calibri"/>
          <w:b/>
          <w:sz w:val="22"/>
          <w:szCs w:val="22"/>
          <w:lang w:val="en-GB"/>
        </w:rPr>
      </w:pPr>
      <w:r w:rsidRPr="00C90D3C">
        <w:rPr>
          <w:rFonts w:ascii="Calibri" w:hAnsi="Calibri"/>
          <w:b/>
          <w:sz w:val="22"/>
          <w:szCs w:val="22"/>
          <w:lang w:val="en-GB"/>
        </w:rPr>
        <w:t>Delay of the 2016 Financial Statement audit</w:t>
      </w:r>
    </w:p>
    <w:p w:rsidR="00334CA4" w:rsidRPr="0047333D" w:rsidRDefault="00334CA4" w:rsidP="0047333D">
      <w:pPr>
        <w:rPr>
          <w:rFonts w:ascii="Calibri" w:hAnsi="Calibri"/>
          <w:sz w:val="22"/>
          <w:szCs w:val="22"/>
        </w:rPr>
      </w:pPr>
    </w:p>
    <w:p w:rsidR="00334CA4" w:rsidRPr="0047333D" w:rsidRDefault="00334CA4" w:rsidP="0047333D">
      <w:pPr>
        <w:numPr>
          <w:ilvl w:val="0"/>
          <w:numId w:val="26"/>
        </w:numPr>
        <w:ind w:left="426" w:hanging="426"/>
        <w:rPr>
          <w:rFonts w:ascii="Calibri" w:hAnsi="Calibri"/>
          <w:sz w:val="22"/>
          <w:szCs w:val="22"/>
        </w:rPr>
      </w:pPr>
      <w:r w:rsidRPr="0047333D">
        <w:rPr>
          <w:rFonts w:ascii="Calibri" w:hAnsi="Calibri"/>
          <w:sz w:val="22"/>
          <w:szCs w:val="22"/>
        </w:rPr>
        <w:t xml:space="preserve">On </w:t>
      </w:r>
      <w:r w:rsidR="00C86F3C" w:rsidRPr="0047333D">
        <w:rPr>
          <w:rFonts w:ascii="Calibri" w:hAnsi="Calibri"/>
          <w:sz w:val="22"/>
          <w:szCs w:val="22"/>
        </w:rPr>
        <w:t>2</w:t>
      </w:r>
      <w:r w:rsidRPr="0047333D">
        <w:rPr>
          <w:rFonts w:ascii="Calibri" w:hAnsi="Calibri"/>
          <w:sz w:val="22"/>
          <w:szCs w:val="22"/>
        </w:rPr>
        <w:t xml:space="preserve"> </w:t>
      </w:r>
      <w:r w:rsidR="00C86F3C" w:rsidRPr="0047333D">
        <w:rPr>
          <w:rFonts w:ascii="Calibri" w:hAnsi="Calibri"/>
          <w:sz w:val="22"/>
          <w:szCs w:val="22"/>
        </w:rPr>
        <w:t>March</w:t>
      </w:r>
      <w:r w:rsidRPr="0047333D">
        <w:rPr>
          <w:rFonts w:ascii="Calibri" w:hAnsi="Calibri"/>
          <w:sz w:val="22"/>
          <w:szCs w:val="22"/>
        </w:rPr>
        <w:t xml:space="preserve"> 2017 the </w:t>
      </w:r>
      <w:r w:rsidR="00C86F3C" w:rsidRPr="0047333D">
        <w:rPr>
          <w:rFonts w:ascii="Calibri" w:hAnsi="Calibri"/>
          <w:sz w:val="22"/>
          <w:szCs w:val="22"/>
        </w:rPr>
        <w:t>Subgroup on Finance</w:t>
      </w:r>
      <w:r w:rsidRPr="0047333D">
        <w:rPr>
          <w:rFonts w:ascii="Calibri" w:hAnsi="Calibri"/>
          <w:sz w:val="22"/>
          <w:szCs w:val="22"/>
        </w:rPr>
        <w:t xml:space="preserve"> agreed with the Secretary General’s request to delay the 2016 </w:t>
      </w:r>
      <w:r w:rsidR="00F33933" w:rsidRPr="0047333D">
        <w:rPr>
          <w:rFonts w:ascii="Calibri" w:hAnsi="Calibri"/>
          <w:sz w:val="22"/>
          <w:szCs w:val="22"/>
        </w:rPr>
        <w:t xml:space="preserve">Financial Statement </w:t>
      </w:r>
      <w:r w:rsidRPr="0047333D">
        <w:rPr>
          <w:rFonts w:ascii="Calibri" w:hAnsi="Calibri"/>
          <w:sz w:val="22"/>
          <w:szCs w:val="22"/>
        </w:rPr>
        <w:t xml:space="preserve">audit until June 2017 and present preliminary figures at </w:t>
      </w:r>
      <w:r w:rsidR="00C62D80">
        <w:rPr>
          <w:rFonts w:ascii="Calibri" w:hAnsi="Calibri"/>
          <w:sz w:val="22"/>
          <w:szCs w:val="22"/>
        </w:rPr>
        <w:t>SC53</w:t>
      </w:r>
      <w:r w:rsidRPr="0047333D">
        <w:rPr>
          <w:rFonts w:ascii="Calibri" w:hAnsi="Calibri"/>
          <w:sz w:val="22"/>
          <w:szCs w:val="22"/>
        </w:rPr>
        <w:t xml:space="preserve"> for the following reasons:</w:t>
      </w:r>
    </w:p>
    <w:p w:rsidR="00334CA4" w:rsidRPr="0047333D" w:rsidRDefault="003C0501" w:rsidP="00C90D3C">
      <w:pPr>
        <w:numPr>
          <w:ilvl w:val="0"/>
          <w:numId w:val="21"/>
        </w:numPr>
        <w:ind w:left="850" w:hanging="425"/>
        <w:rPr>
          <w:rFonts w:ascii="Calibri" w:eastAsia="Times New Roman" w:hAnsi="Calibri" w:cs="Arial"/>
          <w:sz w:val="22"/>
          <w:szCs w:val="22"/>
          <w:lang w:eastAsia="en-GB"/>
        </w:rPr>
      </w:pPr>
      <w:r w:rsidRPr="0047333D">
        <w:rPr>
          <w:rFonts w:ascii="Calibri" w:eastAsia="Times New Roman" w:hAnsi="Calibri" w:cs="Arial"/>
          <w:sz w:val="22"/>
          <w:szCs w:val="22"/>
          <w:lang w:eastAsia="en-GB"/>
        </w:rPr>
        <w:t>to a</w:t>
      </w:r>
      <w:r w:rsidR="00334CA4" w:rsidRPr="0047333D">
        <w:rPr>
          <w:rFonts w:ascii="Calibri" w:eastAsia="Times New Roman" w:hAnsi="Calibri" w:cs="Arial"/>
          <w:sz w:val="22"/>
          <w:szCs w:val="22"/>
          <w:lang w:eastAsia="en-GB"/>
        </w:rPr>
        <w:t>ddress</w:t>
      </w:r>
      <w:r w:rsidRPr="0047333D">
        <w:rPr>
          <w:rFonts w:ascii="Calibri" w:eastAsia="Times New Roman" w:hAnsi="Calibri" w:cs="Arial"/>
          <w:sz w:val="22"/>
          <w:szCs w:val="22"/>
          <w:lang w:eastAsia="en-GB"/>
        </w:rPr>
        <w:t xml:space="preserve"> </w:t>
      </w:r>
      <w:r w:rsidR="00203D95" w:rsidRPr="0047333D">
        <w:rPr>
          <w:rFonts w:ascii="Calibri" w:eastAsia="Times New Roman" w:hAnsi="Calibri" w:cs="Arial"/>
          <w:sz w:val="22"/>
          <w:szCs w:val="22"/>
          <w:lang w:eastAsia="en-GB"/>
        </w:rPr>
        <w:t>and</w:t>
      </w:r>
      <w:r w:rsidRPr="0047333D">
        <w:rPr>
          <w:rFonts w:ascii="Calibri" w:eastAsia="Times New Roman" w:hAnsi="Calibri" w:cs="Arial"/>
          <w:sz w:val="22"/>
          <w:szCs w:val="22"/>
          <w:lang w:eastAsia="en-GB"/>
        </w:rPr>
        <w:t xml:space="preserve"> </w:t>
      </w:r>
      <w:r w:rsidR="00334CA4" w:rsidRPr="0047333D">
        <w:rPr>
          <w:rFonts w:ascii="Calibri" w:eastAsia="Times New Roman" w:hAnsi="Calibri" w:cs="Arial"/>
          <w:sz w:val="22"/>
          <w:szCs w:val="22"/>
          <w:lang w:eastAsia="en-GB"/>
        </w:rPr>
        <w:t xml:space="preserve">correct issues highlighted in </w:t>
      </w:r>
      <w:r w:rsidR="00C62D80">
        <w:rPr>
          <w:rFonts w:ascii="Calibri" w:eastAsia="Times New Roman" w:hAnsi="Calibri" w:cs="Arial"/>
          <w:sz w:val="22"/>
          <w:szCs w:val="22"/>
          <w:lang w:eastAsia="en-GB"/>
        </w:rPr>
        <w:t xml:space="preserve">the </w:t>
      </w:r>
      <w:r w:rsidR="00334CA4" w:rsidRPr="0047333D">
        <w:rPr>
          <w:rFonts w:ascii="Calibri" w:eastAsia="Times New Roman" w:hAnsi="Calibri" w:cs="Arial"/>
          <w:sz w:val="22"/>
          <w:szCs w:val="22"/>
          <w:lang w:eastAsia="en-GB"/>
        </w:rPr>
        <w:t>2015 PwC Management Letter</w:t>
      </w:r>
      <w:r w:rsidRPr="0047333D">
        <w:rPr>
          <w:rFonts w:ascii="Calibri" w:eastAsia="Times New Roman" w:hAnsi="Calibri" w:cs="Arial"/>
          <w:sz w:val="22"/>
          <w:szCs w:val="22"/>
          <w:lang w:eastAsia="en-GB"/>
        </w:rPr>
        <w:t>;</w:t>
      </w:r>
    </w:p>
    <w:p w:rsidR="00334CA4" w:rsidRPr="0047333D" w:rsidRDefault="00C62D80" w:rsidP="00C90D3C">
      <w:pPr>
        <w:numPr>
          <w:ilvl w:val="0"/>
          <w:numId w:val="21"/>
        </w:numPr>
        <w:ind w:left="850" w:hanging="425"/>
        <w:rPr>
          <w:rFonts w:ascii="Calibri" w:eastAsia="Times New Roman" w:hAnsi="Calibri" w:cs="Arial"/>
          <w:sz w:val="22"/>
          <w:szCs w:val="22"/>
          <w:lang w:eastAsia="en-GB"/>
        </w:rPr>
      </w:pPr>
      <w:r>
        <w:rPr>
          <w:rFonts w:ascii="Calibri" w:eastAsia="Times New Roman" w:hAnsi="Calibri" w:cs="Arial"/>
          <w:sz w:val="22"/>
          <w:szCs w:val="22"/>
          <w:lang w:eastAsia="en-GB"/>
        </w:rPr>
        <w:t>to resolve the</w:t>
      </w:r>
      <w:r w:rsidR="003C0501" w:rsidRPr="0047333D">
        <w:rPr>
          <w:rFonts w:ascii="Calibri" w:eastAsia="Times New Roman" w:hAnsi="Calibri" w:cs="Arial"/>
          <w:sz w:val="22"/>
          <w:szCs w:val="22"/>
          <w:lang w:eastAsia="en-GB"/>
        </w:rPr>
        <w:t xml:space="preserve"> b</w:t>
      </w:r>
      <w:r w:rsidR="00334CA4" w:rsidRPr="0047333D">
        <w:rPr>
          <w:rFonts w:ascii="Calibri" w:eastAsia="Times New Roman" w:hAnsi="Calibri" w:cs="Arial"/>
          <w:sz w:val="22"/>
          <w:szCs w:val="22"/>
          <w:lang w:eastAsia="en-GB"/>
        </w:rPr>
        <w:t xml:space="preserve">acklog </w:t>
      </w:r>
      <w:r>
        <w:rPr>
          <w:rFonts w:ascii="Calibri" w:eastAsia="Times New Roman" w:hAnsi="Calibri" w:cs="Arial"/>
          <w:sz w:val="22"/>
          <w:szCs w:val="22"/>
          <w:lang w:eastAsia="en-GB"/>
        </w:rPr>
        <w:t xml:space="preserve">caused by </w:t>
      </w:r>
      <w:r w:rsidR="003C0501" w:rsidRPr="0047333D">
        <w:rPr>
          <w:rFonts w:ascii="Calibri" w:eastAsia="Times New Roman" w:hAnsi="Calibri" w:cs="Arial"/>
          <w:sz w:val="22"/>
          <w:szCs w:val="22"/>
          <w:lang w:eastAsia="en-GB"/>
        </w:rPr>
        <w:t xml:space="preserve">the </w:t>
      </w:r>
      <w:r w:rsidR="00334CA4" w:rsidRPr="0047333D">
        <w:rPr>
          <w:rFonts w:ascii="Calibri" w:eastAsia="Times New Roman" w:hAnsi="Calibri" w:cs="Arial"/>
          <w:sz w:val="22"/>
          <w:szCs w:val="22"/>
          <w:lang w:eastAsia="en-GB"/>
        </w:rPr>
        <w:t>departure of</w:t>
      </w:r>
      <w:r w:rsidR="003C0501" w:rsidRPr="0047333D">
        <w:rPr>
          <w:rFonts w:ascii="Calibri" w:eastAsia="Times New Roman" w:hAnsi="Calibri" w:cs="Arial"/>
          <w:sz w:val="22"/>
          <w:szCs w:val="22"/>
          <w:lang w:eastAsia="en-GB"/>
        </w:rPr>
        <w:t xml:space="preserve"> the</w:t>
      </w:r>
      <w:r w:rsidR="00334CA4" w:rsidRPr="0047333D">
        <w:rPr>
          <w:rFonts w:ascii="Calibri" w:eastAsia="Times New Roman" w:hAnsi="Calibri" w:cs="Arial"/>
          <w:sz w:val="22"/>
          <w:szCs w:val="22"/>
          <w:lang w:eastAsia="en-GB"/>
        </w:rPr>
        <w:t xml:space="preserve"> Finance Officer</w:t>
      </w:r>
      <w:r w:rsidR="003C0501" w:rsidRPr="0047333D">
        <w:rPr>
          <w:rFonts w:ascii="Calibri" w:eastAsia="Times New Roman" w:hAnsi="Calibri" w:cs="Arial"/>
          <w:sz w:val="22"/>
          <w:szCs w:val="22"/>
          <w:lang w:eastAsia="en-GB"/>
        </w:rPr>
        <w:t>;</w:t>
      </w:r>
    </w:p>
    <w:p w:rsidR="00334CA4" w:rsidRPr="0047333D" w:rsidRDefault="00C62D80" w:rsidP="00C90D3C">
      <w:pPr>
        <w:numPr>
          <w:ilvl w:val="0"/>
          <w:numId w:val="21"/>
        </w:numPr>
        <w:ind w:left="850" w:hanging="425"/>
        <w:rPr>
          <w:rFonts w:ascii="Calibri" w:eastAsia="Times New Roman" w:hAnsi="Calibri" w:cs="Arial"/>
          <w:sz w:val="22"/>
          <w:szCs w:val="22"/>
          <w:lang w:eastAsia="en-GB"/>
        </w:rPr>
      </w:pPr>
      <w:r>
        <w:rPr>
          <w:rFonts w:ascii="Calibri" w:eastAsia="Times New Roman" w:hAnsi="Calibri" w:cs="Arial"/>
          <w:sz w:val="22"/>
          <w:szCs w:val="22"/>
          <w:lang w:eastAsia="en-GB"/>
        </w:rPr>
        <w:t>to complete the</w:t>
      </w:r>
      <w:r w:rsidR="003204BB" w:rsidRPr="0047333D">
        <w:rPr>
          <w:rFonts w:ascii="Calibri" w:eastAsia="Times New Roman" w:hAnsi="Calibri" w:cs="Arial"/>
          <w:sz w:val="22"/>
          <w:szCs w:val="22"/>
          <w:lang w:eastAsia="en-GB"/>
        </w:rPr>
        <w:t xml:space="preserve"> o</w:t>
      </w:r>
      <w:r w:rsidR="00334CA4" w:rsidRPr="0047333D">
        <w:rPr>
          <w:rFonts w:ascii="Calibri" w:eastAsia="Times New Roman" w:hAnsi="Calibri" w:cs="Arial"/>
          <w:sz w:val="22"/>
          <w:szCs w:val="22"/>
          <w:lang w:eastAsia="en-GB"/>
        </w:rPr>
        <w:t>ngoing clean-up</w:t>
      </w:r>
      <w:r w:rsidR="003204BB" w:rsidRPr="0047333D">
        <w:rPr>
          <w:rFonts w:ascii="Calibri" w:eastAsia="Times New Roman" w:hAnsi="Calibri" w:cs="Arial"/>
          <w:sz w:val="22"/>
          <w:szCs w:val="22"/>
          <w:lang w:eastAsia="en-GB"/>
        </w:rPr>
        <w:t xml:space="preserve"> of accounts</w:t>
      </w:r>
      <w:r w:rsidR="00334CA4" w:rsidRPr="0047333D">
        <w:rPr>
          <w:rFonts w:ascii="Calibri" w:eastAsia="Times New Roman" w:hAnsi="Calibri" w:cs="Arial"/>
          <w:sz w:val="22"/>
          <w:szCs w:val="22"/>
          <w:lang w:eastAsia="en-GB"/>
        </w:rPr>
        <w:t xml:space="preserve"> as outlined in the Action Plan </w:t>
      </w:r>
      <w:r w:rsidR="00F33933" w:rsidRPr="0047333D">
        <w:rPr>
          <w:rFonts w:ascii="Calibri" w:eastAsia="Times New Roman" w:hAnsi="Calibri" w:cs="Arial"/>
          <w:sz w:val="22"/>
          <w:szCs w:val="22"/>
          <w:lang w:eastAsia="en-GB"/>
        </w:rPr>
        <w:t xml:space="preserve">and update </w:t>
      </w:r>
      <w:r w:rsidR="00334CA4" w:rsidRPr="0047333D">
        <w:rPr>
          <w:rFonts w:ascii="Calibri" w:eastAsia="Times New Roman" w:hAnsi="Calibri" w:cs="Arial"/>
          <w:sz w:val="22"/>
          <w:szCs w:val="22"/>
          <w:lang w:eastAsia="en-GB"/>
        </w:rPr>
        <w:t>report</w:t>
      </w:r>
      <w:r w:rsidR="00F33933" w:rsidRPr="0047333D">
        <w:rPr>
          <w:rFonts w:ascii="Calibri" w:eastAsia="Times New Roman" w:hAnsi="Calibri" w:cs="Arial"/>
          <w:sz w:val="22"/>
          <w:szCs w:val="22"/>
          <w:lang w:eastAsia="en-GB"/>
        </w:rPr>
        <w:t>ed</w:t>
      </w:r>
      <w:r w:rsidR="00334CA4" w:rsidRPr="0047333D">
        <w:rPr>
          <w:rFonts w:ascii="Calibri" w:eastAsia="Times New Roman" w:hAnsi="Calibri" w:cs="Arial"/>
          <w:sz w:val="22"/>
          <w:szCs w:val="22"/>
          <w:lang w:eastAsia="en-GB"/>
        </w:rPr>
        <w:t xml:space="preserve"> to the Executive Te</w:t>
      </w:r>
      <w:r w:rsidR="00F33933" w:rsidRPr="0047333D">
        <w:rPr>
          <w:rFonts w:ascii="Calibri" w:eastAsia="Times New Roman" w:hAnsi="Calibri" w:cs="Arial"/>
          <w:sz w:val="22"/>
          <w:szCs w:val="22"/>
          <w:lang w:eastAsia="en-GB"/>
        </w:rPr>
        <w:t>am</w:t>
      </w:r>
      <w:r w:rsidR="003204BB" w:rsidRPr="0047333D">
        <w:rPr>
          <w:rFonts w:ascii="Calibri" w:eastAsia="Times New Roman" w:hAnsi="Calibri" w:cs="Arial"/>
          <w:sz w:val="22"/>
          <w:szCs w:val="22"/>
          <w:lang w:eastAsia="en-GB"/>
        </w:rPr>
        <w:t>; and</w:t>
      </w:r>
    </w:p>
    <w:p w:rsidR="00334CA4" w:rsidRPr="0047333D" w:rsidRDefault="003204BB" w:rsidP="00C90D3C">
      <w:pPr>
        <w:numPr>
          <w:ilvl w:val="0"/>
          <w:numId w:val="21"/>
        </w:numPr>
        <w:ind w:left="850" w:hanging="425"/>
        <w:rPr>
          <w:rFonts w:ascii="Calibri" w:eastAsia="Times New Roman" w:hAnsi="Calibri" w:cs="Arial"/>
          <w:sz w:val="22"/>
          <w:szCs w:val="22"/>
          <w:lang w:eastAsia="en-GB"/>
        </w:rPr>
      </w:pPr>
      <w:r w:rsidRPr="0047333D">
        <w:rPr>
          <w:rFonts w:ascii="Calibri" w:eastAsia="Times New Roman" w:hAnsi="Calibri" w:cs="Arial"/>
          <w:sz w:val="22"/>
          <w:szCs w:val="22"/>
          <w:lang w:eastAsia="en-GB"/>
        </w:rPr>
        <w:t>to a</w:t>
      </w:r>
      <w:r w:rsidR="00334CA4" w:rsidRPr="0047333D">
        <w:rPr>
          <w:rFonts w:ascii="Calibri" w:eastAsia="Times New Roman" w:hAnsi="Calibri" w:cs="Arial"/>
          <w:sz w:val="22"/>
          <w:szCs w:val="22"/>
          <w:lang w:eastAsia="en-GB"/>
        </w:rPr>
        <w:t xml:space="preserve">llow the new Finance </w:t>
      </w:r>
      <w:r w:rsidR="00F33933" w:rsidRPr="0047333D">
        <w:rPr>
          <w:rFonts w:ascii="Calibri" w:eastAsia="Times New Roman" w:hAnsi="Calibri" w:cs="Arial"/>
          <w:sz w:val="22"/>
          <w:szCs w:val="22"/>
          <w:lang w:eastAsia="en-GB"/>
        </w:rPr>
        <w:t>Officer</w:t>
      </w:r>
      <w:r w:rsidR="00334CA4" w:rsidRPr="0047333D">
        <w:rPr>
          <w:rFonts w:ascii="Calibri" w:eastAsia="Times New Roman" w:hAnsi="Calibri" w:cs="Arial"/>
          <w:sz w:val="22"/>
          <w:szCs w:val="22"/>
          <w:lang w:eastAsia="en-GB"/>
        </w:rPr>
        <w:t xml:space="preserve"> to be involved in the </w:t>
      </w:r>
      <w:r w:rsidRPr="0047333D">
        <w:rPr>
          <w:rFonts w:ascii="Calibri" w:eastAsia="Times New Roman" w:hAnsi="Calibri" w:cs="Arial"/>
          <w:sz w:val="22"/>
          <w:szCs w:val="22"/>
          <w:lang w:eastAsia="en-GB"/>
        </w:rPr>
        <w:t>a</w:t>
      </w:r>
      <w:r w:rsidR="00334CA4" w:rsidRPr="0047333D">
        <w:rPr>
          <w:rFonts w:ascii="Calibri" w:eastAsia="Times New Roman" w:hAnsi="Calibri" w:cs="Arial"/>
          <w:sz w:val="22"/>
          <w:szCs w:val="22"/>
          <w:lang w:eastAsia="en-GB"/>
        </w:rPr>
        <w:t>udit process</w:t>
      </w:r>
      <w:r w:rsidR="00C62D80">
        <w:rPr>
          <w:rFonts w:ascii="Calibri" w:eastAsia="Times New Roman" w:hAnsi="Calibri" w:cs="Arial"/>
          <w:sz w:val="22"/>
          <w:szCs w:val="22"/>
          <w:lang w:eastAsia="en-GB"/>
        </w:rPr>
        <w:t xml:space="preserve"> </w:t>
      </w:r>
      <w:r w:rsidR="00C62D80" w:rsidRPr="0047333D">
        <w:rPr>
          <w:rFonts w:ascii="Calibri" w:eastAsia="Times New Roman" w:hAnsi="Calibri" w:cs="Arial"/>
          <w:sz w:val="22"/>
          <w:szCs w:val="22"/>
          <w:lang w:eastAsia="en-GB"/>
        </w:rPr>
        <w:t>(</w:t>
      </w:r>
      <w:r w:rsidR="00C62D80">
        <w:rPr>
          <w:rFonts w:ascii="Calibri" w:eastAsia="Times New Roman" w:hAnsi="Calibri" w:cs="Arial"/>
          <w:sz w:val="22"/>
          <w:szCs w:val="22"/>
          <w:lang w:eastAsia="en-GB"/>
        </w:rPr>
        <w:t xml:space="preserve">a </w:t>
      </w:r>
      <w:r w:rsidR="00C62D80" w:rsidRPr="0047333D">
        <w:rPr>
          <w:rFonts w:ascii="Calibri" w:eastAsia="Times New Roman" w:hAnsi="Calibri" w:cs="Arial"/>
          <w:sz w:val="22"/>
          <w:szCs w:val="22"/>
          <w:lang w:eastAsia="en-GB"/>
        </w:rPr>
        <w:t xml:space="preserve">candidate </w:t>
      </w:r>
      <w:r w:rsidR="00C62D80">
        <w:rPr>
          <w:rFonts w:ascii="Calibri" w:eastAsia="Times New Roman" w:hAnsi="Calibri" w:cs="Arial"/>
          <w:sz w:val="22"/>
          <w:szCs w:val="22"/>
          <w:lang w:eastAsia="en-GB"/>
        </w:rPr>
        <w:t xml:space="preserve">has been </w:t>
      </w:r>
      <w:r w:rsidR="00C62D80" w:rsidRPr="0047333D">
        <w:rPr>
          <w:rFonts w:ascii="Calibri" w:eastAsia="Times New Roman" w:hAnsi="Calibri" w:cs="Arial"/>
          <w:sz w:val="22"/>
          <w:szCs w:val="22"/>
          <w:lang w:eastAsia="en-GB"/>
        </w:rPr>
        <w:t xml:space="preserve">selected and </w:t>
      </w:r>
      <w:r w:rsidR="00C62D80">
        <w:rPr>
          <w:rFonts w:ascii="Calibri" w:eastAsia="Times New Roman" w:hAnsi="Calibri" w:cs="Arial"/>
          <w:sz w:val="22"/>
          <w:szCs w:val="22"/>
          <w:lang w:eastAsia="en-GB"/>
        </w:rPr>
        <w:t xml:space="preserve">is due </w:t>
      </w:r>
      <w:r w:rsidR="00C62D80" w:rsidRPr="0047333D">
        <w:rPr>
          <w:rFonts w:ascii="Calibri" w:eastAsia="Times New Roman" w:hAnsi="Calibri" w:cs="Arial"/>
          <w:sz w:val="22"/>
          <w:szCs w:val="22"/>
          <w:lang w:eastAsia="en-GB"/>
        </w:rPr>
        <w:t>to start work on 15 May 2017)</w:t>
      </w:r>
      <w:r w:rsidR="00334CA4" w:rsidRPr="0047333D">
        <w:rPr>
          <w:rFonts w:ascii="Calibri" w:eastAsia="Times New Roman" w:hAnsi="Calibri" w:cs="Arial"/>
          <w:sz w:val="22"/>
          <w:szCs w:val="22"/>
          <w:lang w:eastAsia="en-GB"/>
        </w:rPr>
        <w:t>.</w:t>
      </w:r>
    </w:p>
    <w:p w:rsidR="003204BB" w:rsidRPr="0047333D" w:rsidRDefault="003204BB" w:rsidP="0047333D">
      <w:pPr>
        <w:ind w:left="426"/>
        <w:rPr>
          <w:rFonts w:ascii="Calibri" w:hAnsi="Calibri"/>
          <w:sz w:val="22"/>
          <w:szCs w:val="22"/>
        </w:rPr>
      </w:pPr>
    </w:p>
    <w:p w:rsidR="009E05CE" w:rsidRPr="0047333D" w:rsidRDefault="003204BB" w:rsidP="0047333D">
      <w:pPr>
        <w:numPr>
          <w:ilvl w:val="0"/>
          <w:numId w:val="26"/>
        </w:numPr>
        <w:ind w:left="426" w:hanging="426"/>
        <w:rPr>
          <w:rFonts w:ascii="Calibri" w:hAnsi="Calibri"/>
          <w:sz w:val="22"/>
          <w:szCs w:val="22"/>
        </w:rPr>
      </w:pPr>
      <w:r w:rsidRPr="0047333D">
        <w:rPr>
          <w:rFonts w:ascii="Calibri" w:hAnsi="Calibri"/>
          <w:sz w:val="22"/>
          <w:szCs w:val="22"/>
        </w:rPr>
        <w:t>The a</w:t>
      </w:r>
      <w:r w:rsidR="00DC2519" w:rsidRPr="0047333D">
        <w:rPr>
          <w:rFonts w:ascii="Calibri" w:hAnsi="Calibri"/>
          <w:sz w:val="22"/>
          <w:szCs w:val="22"/>
        </w:rPr>
        <w:t xml:space="preserve">uditors PwC </w:t>
      </w:r>
      <w:r w:rsidRPr="0047333D">
        <w:rPr>
          <w:rFonts w:ascii="Calibri" w:hAnsi="Calibri"/>
          <w:sz w:val="22"/>
          <w:szCs w:val="22"/>
        </w:rPr>
        <w:t xml:space="preserve">have </w:t>
      </w:r>
      <w:r w:rsidR="00334CA4" w:rsidRPr="0047333D">
        <w:rPr>
          <w:rFonts w:ascii="Calibri" w:hAnsi="Calibri"/>
          <w:sz w:val="22"/>
          <w:szCs w:val="22"/>
        </w:rPr>
        <w:t xml:space="preserve">indicated that </w:t>
      </w:r>
      <w:r w:rsidRPr="0047333D">
        <w:rPr>
          <w:rFonts w:ascii="Calibri" w:hAnsi="Calibri"/>
          <w:sz w:val="22"/>
          <w:szCs w:val="22"/>
        </w:rPr>
        <w:t xml:space="preserve">it is </w:t>
      </w:r>
      <w:r w:rsidR="00334CA4" w:rsidRPr="0047333D">
        <w:rPr>
          <w:rFonts w:ascii="Calibri" w:hAnsi="Calibri"/>
          <w:sz w:val="22"/>
          <w:szCs w:val="22"/>
        </w:rPr>
        <w:t xml:space="preserve">better to delay </w:t>
      </w:r>
      <w:r w:rsidRPr="0047333D">
        <w:rPr>
          <w:rFonts w:ascii="Calibri" w:hAnsi="Calibri"/>
          <w:sz w:val="22"/>
          <w:szCs w:val="22"/>
        </w:rPr>
        <w:t xml:space="preserve">the </w:t>
      </w:r>
      <w:r w:rsidR="00334CA4" w:rsidRPr="0047333D">
        <w:rPr>
          <w:rFonts w:ascii="Calibri" w:hAnsi="Calibri"/>
          <w:sz w:val="22"/>
          <w:szCs w:val="22"/>
        </w:rPr>
        <w:t xml:space="preserve">audit and for </w:t>
      </w:r>
      <w:r w:rsidRPr="0047333D">
        <w:rPr>
          <w:rFonts w:ascii="Calibri" w:hAnsi="Calibri"/>
          <w:sz w:val="22"/>
          <w:szCs w:val="22"/>
        </w:rPr>
        <w:t xml:space="preserve">the </w:t>
      </w:r>
      <w:r w:rsidR="00334CA4" w:rsidRPr="0047333D">
        <w:rPr>
          <w:rFonts w:ascii="Calibri" w:hAnsi="Calibri"/>
          <w:sz w:val="22"/>
          <w:szCs w:val="22"/>
        </w:rPr>
        <w:t xml:space="preserve">Ramsar </w:t>
      </w:r>
      <w:r w:rsidRPr="0047333D">
        <w:rPr>
          <w:rFonts w:ascii="Calibri" w:hAnsi="Calibri"/>
          <w:sz w:val="22"/>
          <w:szCs w:val="22"/>
        </w:rPr>
        <w:t xml:space="preserve">Secretariat </w:t>
      </w:r>
      <w:r w:rsidR="00334CA4" w:rsidRPr="0047333D">
        <w:rPr>
          <w:rFonts w:ascii="Calibri" w:hAnsi="Calibri"/>
          <w:sz w:val="22"/>
          <w:szCs w:val="22"/>
        </w:rPr>
        <w:t>to be ready</w:t>
      </w:r>
      <w:r w:rsidRPr="0047333D">
        <w:rPr>
          <w:rFonts w:ascii="Calibri" w:hAnsi="Calibri"/>
          <w:sz w:val="22"/>
          <w:szCs w:val="22"/>
        </w:rPr>
        <w:t>,</w:t>
      </w:r>
      <w:r w:rsidR="00334CA4" w:rsidRPr="0047333D">
        <w:rPr>
          <w:rFonts w:ascii="Calibri" w:hAnsi="Calibri"/>
          <w:sz w:val="22"/>
          <w:szCs w:val="22"/>
        </w:rPr>
        <w:t xml:space="preserve"> rather than </w:t>
      </w:r>
      <w:r w:rsidRPr="0047333D">
        <w:rPr>
          <w:rFonts w:ascii="Calibri" w:hAnsi="Calibri"/>
          <w:sz w:val="22"/>
          <w:szCs w:val="22"/>
        </w:rPr>
        <w:t xml:space="preserve">to </w:t>
      </w:r>
      <w:r w:rsidR="00334CA4" w:rsidRPr="0047333D">
        <w:rPr>
          <w:rFonts w:ascii="Calibri" w:hAnsi="Calibri"/>
          <w:sz w:val="22"/>
          <w:szCs w:val="22"/>
        </w:rPr>
        <w:t xml:space="preserve">repeat </w:t>
      </w:r>
      <w:r w:rsidR="00CB022D" w:rsidRPr="0047333D">
        <w:rPr>
          <w:rFonts w:ascii="Calibri" w:hAnsi="Calibri"/>
          <w:sz w:val="22"/>
          <w:szCs w:val="22"/>
        </w:rPr>
        <w:t xml:space="preserve">the delays in </w:t>
      </w:r>
      <w:r w:rsidR="00334CA4" w:rsidRPr="0047333D">
        <w:rPr>
          <w:rFonts w:ascii="Calibri" w:hAnsi="Calibri"/>
          <w:sz w:val="22"/>
          <w:szCs w:val="22"/>
        </w:rPr>
        <w:t>preparation and financial statement changes experienced during the 2015 audit.</w:t>
      </w:r>
    </w:p>
    <w:p w:rsidR="00F31AC0" w:rsidRPr="0047333D" w:rsidRDefault="00F31AC0" w:rsidP="0047333D">
      <w:pPr>
        <w:rPr>
          <w:rFonts w:ascii="Calibri" w:hAnsi="Calibri"/>
          <w:sz w:val="22"/>
          <w:szCs w:val="22"/>
          <w:lang w:val="en-GB"/>
        </w:rPr>
      </w:pPr>
    </w:p>
    <w:p w:rsidR="0047333D" w:rsidRPr="0047333D" w:rsidRDefault="0047333D" w:rsidP="0047333D">
      <w:pPr>
        <w:rPr>
          <w:rFonts w:ascii="Calibri" w:hAnsi="Calibri"/>
          <w:sz w:val="22"/>
          <w:szCs w:val="22"/>
          <w:lang w:val="en-GB"/>
        </w:rPr>
      </w:pPr>
    </w:p>
    <w:p w:rsidR="009E05CE" w:rsidRPr="0047333D" w:rsidRDefault="000F6886" w:rsidP="0047333D">
      <w:pPr>
        <w:keepNext/>
        <w:rPr>
          <w:rFonts w:ascii="Calibri" w:hAnsi="Calibri" w:cs="Calibri"/>
          <w:b/>
          <w:bCs/>
          <w:sz w:val="22"/>
          <w:szCs w:val="22"/>
          <w:lang w:val="en-GB"/>
        </w:rPr>
      </w:pPr>
      <w:r w:rsidRPr="0047333D">
        <w:rPr>
          <w:rFonts w:ascii="Calibri" w:hAnsi="Calibri" w:cs="Calibri"/>
          <w:b/>
          <w:bCs/>
          <w:sz w:val="22"/>
          <w:szCs w:val="22"/>
          <w:lang w:val="en-GB"/>
        </w:rPr>
        <w:t>C</w:t>
      </w:r>
      <w:r w:rsidR="009E05CE" w:rsidRPr="0047333D">
        <w:rPr>
          <w:rFonts w:ascii="Calibri" w:hAnsi="Calibri" w:cs="Calibri"/>
          <w:b/>
          <w:bCs/>
          <w:sz w:val="22"/>
          <w:szCs w:val="22"/>
          <w:lang w:val="en-GB"/>
        </w:rPr>
        <w:t>ore budget</w:t>
      </w:r>
      <w:r w:rsidRPr="0047333D">
        <w:rPr>
          <w:rFonts w:ascii="Calibri" w:hAnsi="Calibri" w:cs="Calibri"/>
          <w:b/>
          <w:bCs/>
          <w:sz w:val="22"/>
          <w:szCs w:val="22"/>
          <w:lang w:val="en-GB"/>
        </w:rPr>
        <w:t xml:space="preserve"> for 2017</w:t>
      </w:r>
    </w:p>
    <w:p w:rsidR="009E05CE" w:rsidRPr="0047333D" w:rsidRDefault="009E05CE" w:rsidP="0047333D">
      <w:pPr>
        <w:keepNext/>
        <w:rPr>
          <w:rFonts w:ascii="Calibri" w:hAnsi="Calibri"/>
          <w:sz w:val="22"/>
          <w:szCs w:val="22"/>
        </w:rPr>
      </w:pPr>
    </w:p>
    <w:p w:rsidR="009E05CE" w:rsidRPr="0047333D" w:rsidRDefault="0093610A" w:rsidP="0047333D">
      <w:pPr>
        <w:numPr>
          <w:ilvl w:val="0"/>
          <w:numId w:val="26"/>
        </w:numPr>
        <w:ind w:left="426" w:hanging="426"/>
        <w:rPr>
          <w:rFonts w:ascii="Calibri" w:hAnsi="Calibri"/>
          <w:sz w:val="22"/>
          <w:szCs w:val="22"/>
        </w:rPr>
      </w:pPr>
      <w:r w:rsidRPr="0047333D">
        <w:rPr>
          <w:rFonts w:ascii="Calibri" w:hAnsi="Calibri" w:cs="Calibri"/>
          <w:bCs/>
          <w:sz w:val="22"/>
          <w:szCs w:val="22"/>
        </w:rPr>
        <w:t xml:space="preserve">Attached at Annex 3 is the </w:t>
      </w:r>
      <w:r w:rsidR="00C62D80" w:rsidRPr="0047333D">
        <w:rPr>
          <w:rFonts w:ascii="Calibri" w:hAnsi="Calibri" w:cs="Calibri"/>
          <w:bCs/>
          <w:sz w:val="22"/>
          <w:szCs w:val="22"/>
        </w:rPr>
        <w:t>COP12</w:t>
      </w:r>
      <w:r w:rsidR="00C62D80">
        <w:rPr>
          <w:rFonts w:ascii="Calibri" w:hAnsi="Calibri" w:cs="Calibri"/>
          <w:bCs/>
          <w:sz w:val="22"/>
          <w:szCs w:val="22"/>
        </w:rPr>
        <w:t>-</w:t>
      </w:r>
      <w:r w:rsidRPr="0047333D">
        <w:rPr>
          <w:rFonts w:ascii="Calibri" w:hAnsi="Calibri" w:cs="Calibri"/>
          <w:bCs/>
          <w:sz w:val="22"/>
          <w:szCs w:val="22"/>
        </w:rPr>
        <w:t>approved core budget</w:t>
      </w:r>
      <w:r w:rsidR="00A10142" w:rsidRPr="0047333D">
        <w:rPr>
          <w:rFonts w:ascii="Calibri" w:hAnsi="Calibri" w:cs="Calibri"/>
          <w:bCs/>
          <w:sz w:val="22"/>
          <w:szCs w:val="22"/>
        </w:rPr>
        <w:t xml:space="preserve"> for 2017</w:t>
      </w:r>
      <w:r w:rsidR="00D223E4" w:rsidRPr="0047333D">
        <w:rPr>
          <w:rFonts w:ascii="Calibri" w:hAnsi="Calibri" w:cs="Calibri"/>
          <w:bCs/>
          <w:sz w:val="22"/>
          <w:szCs w:val="22"/>
        </w:rPr>
        <w:t xml:space="preserve">, which was confirmed by </w:t>
      </w:r>
      <w:r w:rsidR="00C62D80">
        <w:rPr>
          <w:rFonts w:ascii="Calibri" w:hAnsi="Calibri" w:cs="Calibri"/>
          <w:bCs/>
          <w:sz w:val="22"/>
          <w:szCs w:val="22"/>
        </w:rPr>
        <w:t>Decision</w:t>
      </w:r>
      <w:r w:rsidR="00C62D80" w:rsidRPr="0047333D">
        <w:rPr>
          <w:rFonts w:ascii="Calibri" w:hAnsi="Calibri" w:cs="Calibri"/>
          <w:bCs/>
          <w:sz w:val="22"/>
          <w:szCs w:val="22"/>
        </w:rPr>
        <w:t xml:space="preserve"> </w:t>
      </w:r>
      <w:r w:rsidR="00D223E4" w:rsidRPr="0047333D">
        <w:rPr>
          <w:rFonts w:ascii="Calibri" w:hAnsi="Calibri" w:cs="Calibri"/>
          <w:bCs/>
          <w:sz w:val="22"/>
          <w:szCs w:val="22"/>
        </w:rPr>
        <w:t>SC52-30</w:t>
      </w:r>
      <w:r w:rsidRPr="0047333D">
        <w:rPr>
          <w:rFonts w:ascii="Calibri" w:hAnsi="Calibri" w:cs="Calibri"/>
          <w:bCs/>
          <w:sz w:val="22"/>
          <w:szCs w:val="22"/>
        </w:rPr>
        <w:t>.</w:t>
      </w:r>
    </w:p>
    <w:p w:rsidR="0093610A" w:rsidRPr="0047333D" w:rsidRDefault="0093610A" w:rsidP="0047333D">
      <w:pPr>
        <w:ind w:left="426"/>
        <w:rPr>
          <w:rFonts w:ascii="Calibri" w:hAnsi="Calibri"/>
          <w:sz w:val="22"/>
          <w:szCs w:val="22"/>
        </w:rPr>
      </w:pPr>
    </w:p>
    <w:p w:rsidR="0093610A" w:rsidRPr="0047333D" w:rsidRDefault="0093610A" w:rsidP="0047333D">
      <w:pPr>
        <w:numPr>
          <w:ilvl w:val="0"/>
          <w:numId w:val="26"/>
        </w:numPr>
        <w:ind w:left="426" w:hanging="426"/>
        <w:rPr>
          <w:rFonts w:ascii="Calibri" w:hAnsi="Calibri"/>
          <w:sz w:val="22"/>
          <w:szCs w:val="22"/>
        </w:rPr>
      </w:pPr>
      <w:r w:rsidRPr="0047333D">
        <w:rPr>
          <w:rFonts w:ascii="Calibri" w:hAnsi="Calibri" w:cs="Calibri"/>
          <w:bCs/>
          <w:sz w:val="22"/>
          <w:szCs w:val="22"/>
        </w:rPr>
        <w:t xml:space="preserve">The Secretary General does not </w:t>
      </w:r>
      <w:r w:rsidR="00A10142" w:rsidRPr="0047333D">
        <w:rPr>
          <w:rFonts w:ascii="Calibri" w:hAnsi="Calibri" w:cs="Calibri"/>
          <w:bCs/>
          <w:sz w:val="22"/>
          <w:szCs w:val="22"/>
        </w:rPr>
        <w:t xml:space="preserve">propose </w:t>
      </w:r>
      <w:r w:rsidRPr="0047333D">
        <w:rPr>
          <w:rFonts w:ascii="Calibri" w:hAnsi="Calibri" w:cs="Calibri"/>
          <w:bCs/>
          <w:sz w:val="22"/>
          <w:szCs w:val="22"/>
        </w:rPr>
        <w:t>any major changes to the core budget</w:t>
      </w:r>
      <w:r w:rsidR="00A10142" w:rsidRPr="0047333D">
        <w:rPr>
          <w:rFonts w:ascii="Calibri" w:hAnsi="Calibri" w:cs="Calibri"/>
          <w:bCs/>
          <w:sz w:val="22"/>
          <w:szCs w:val="22"/>
        </w:rPr>
        <w:t xml:space="preserve"> for 2017</w:t>
      </w:r>
      <w:r w:rsidRPr="0047333D">
        <w:rPr>
          <w:rFonts w:ascii="Calibri" w:hAnsi="Calibri" w:cs="Calibri"/>
          <w:bCs/>
          <w:sz w:val="22"/>
          <w:szCs w:val="22"/>
        </w:rPr>
        <w:t>. However</w:t>
      </w:r>
      <w:r w:rsidR="00561EC4" w:rsidRPr="0047333D">
        <w:rPr>
          <w:rFonts w:ascii="Calibri" w:hAnsi="Calibri" w:cs="Calibri"/>
          <w:bCs/>
          <w:sz w:val="22"/>
          <w:szCs w:val="22"/>
        </w:rPr>
        <w:t xml:space="preserve">, </w:t>
      </w:r>
      <w:r w:rsidR="002D61A6">
        <w:rPr>
          <w:rFonts w:ascii="Calibri" w:hAnsi="Calibri" w:cs="Calibri"/>
          <w:bCs/>
          <w:sz w:val="22"/>
          <w:szCs w:val="22"/>
        </w:rPr>
        <w:t>she</w:t>
      </w:r>
      <w:r w:rsidR="00561EC4" w:rsidRPr="0047333D">
        <w:rPr>
          <w:rFonts w:ascii="Calibri" w:hAnsi="Calibri" w:cs="Calibri"/>
          <w:bCs/>
          <w:sz w:val="22"/>
          <w:szCs w:val="22"/>
        </w:rPr>
        <w:t xml:space="preserve"> may make adjustments to enable the effective management of the Secretariat </w:t>
      </w:r>
      <w:r w:rsidR="00D334A2" w:rsidRPr="0047333D">
        <w:rPr>
          <w:rFonts w:ascii="Calibri" w:hAnsi="Calibri" w:cs="Calibri"/>
          <w:bCs/>
          <w:sz w:val="22"/>
          <w:szCs w:val="22"/>
        </w:rPr>
        <w:t xml:space="preserve">to </w:t>
      </w:r>
      <w:r w:rsidR="00BF6995" w:rsidRPr="0047333D">
        <w:rPr>
          <w:rFonts w:ascii="Calibri" w:hAnsi="Calibri" w:cs="Calibri"/>
          <w:bCs/>
          <w:sz w:val="22"/>
          <w:szCs w:val="22"/>
        </w:rPr>
        <w:t xml:space="preserve">deliver on the refocused </w:t>
      </w:r>
      <w:r w:rsidR="00561EC4" w:rsidRPr="0047333D">
        <w:rPr>
          <w:rFonts w:ascii="Calibri" w:hAnsi="Calibri" w:cs="Calibri"/>
          <w:bCs/>
          <w:sz w:val="22"/>
          <w:szCs w:val="22"/>
        </w:rPr>
        <w:t xml:space="preserve">Work Plan </w:t>
      </w:r>
      <w:r w:rsidR="00BF6995" w:rsidRPr="0047333D">
        <w:rPr>
          <w:rFonts w:ascii="Calibri" w:hAnsi="Calibri" w:cs="Calibri"/>
          <w:bCs/>
          <w:sz w:val="22"/>
          <w:szCs w:val="22"/>
        </w:rPr>
        <w:t xml:space="preserve">and to respond to the Contracting Parties requests </w:t>
      </w:r>
      <w:r w:rsidR="00561EC4" w:rsidRPr="0047333D">
        <w:rPr>
          <w:rFonts w:ascii="Calibri" w:hAnsi="Calibri" w:cs="Calibri"/>
          <w:bCs/>
          <w:sz w:val="22"/>
          <w:szCs w:val="22"/>
        </w:rPr>
        <w:t>(for example adjustments of travel expenses between departments)</w:t>
      </w:r>
      <w:r w:rsidRPr="0047333D">
        <w:rPr>
          <w:rFonts w:ascii="Calibri" w:hAnsi="Calibri" w:cs="Calibri"/>
          <w:bCs/>
          <w:sz w:val="22"/>
          <w:szCs w:val="22"/>
        </w:rPr>
        <w:t>.</w:t>
      </w:r>
    </w:p>
    <w:p w:rsidR="00EE3D4F" w:rsidRPr="0047333D" w:rsidRDefault="00EE3D4F" w:rsidP="0047333D">
      <w:pPr>
        <w:rPr>
          <w:rFonts w:ascii="Calibri" w:hAnsi="Calibri"/>
          <w:sz w:val="22"/>
          <w:szCs w:val="22"/>
        </w:rPr>
      </w:pPr>
    </w:p>
    <w:p w:rsidR="000F6886" w:rsidRPr="0047333D" w:rsidRDefault="000F6886" w:rsidP="0047333D">
      <w:pPr>
        <w:rPr>
          <w:rFonts w:ascii="Calibri" w:hAnsi="Calibri"/>
          <w:sz w:val="22"/>
          <w:szCs w:val="22"/>
        </w:rPr>
      </w:pPr>
    </w:p>
    <w:p w:rsidR="001E4474" w:rsidRDefault="001E4474">
      <w:pPr>
        <w:rPr>
          <w:rFonts w:ascii="Calibri" w:hAnsi="Calibri"/>
          <w:b/>
          <w:sz w:val="22"/>
          <w:szCs w:val="22"/>
        </w:rPr>
      </w:pPr>
      <w:r>
        <w:rPr>
          <w:rFonts w:ascii="Calibri" w:hAnsi="Calibri"/>
          <w:b/>
          <w:sz w:val="22"/>
          <w:szCs w:val="22"/>
        </w:rPr>
        <w:br w:type="page"/>
      </w:r>
    </w:p>
    <w:p w:rsidR="000F6886" w:rsidRPr="0047333D" w:rsidRDefault="009F5AF6" w:rsidP="0047333D">
      <w:pPr>
        <w:rPr>
          <w:rFonts w:ascii="Calibri" w:hAnsi="Calibri"/>
          <w:b/>
          <w:sz w:val="22"/>
          <w:szCs w:val="22"/>
        </w:rPr>
      </w:pPr>
      <w:r w:rsidRPr="0047333D">
        <w:rPr>
          <w:rFonts w:ascii="Calibri" w:hAnsi="Calibri"/>
          <w:b/>
          <w:sz w:val="22"/>
          <w:szCs w:val="22"/>
        </w:rPr>
        <w:lastRenderedPageBreak/>
        <w:t>Confirmation of</w:t>
      </w:r>
      <w:r w:rsidR="000F6886" w:rsidRPr="0047333D">
        <w:rPr>
          <w:rFonts w:ascii="Calibri" w:hAnsi="Calibri"/>
          <w:b/>
          <w:sz w:val="22"/>
          <w:szCs w:val="22"/>
        </w:rPr>
        <w:t xml:space="preserve"> the 2018 core budget</w:t>
      </w:r>
    </w:p>
    <w:p w:rsidR="000F6886" w:rsidRPr="0047333D" w:rsidRDefault="000F6886" w:rsidP="0047333D">
      <w:pPr>
        <w:rPr>
          <w:rFonts w:ascii="Calibri" w:hAnsi="Calibri"/>
          <w:sz w:val="22"/>
          <w:szCs w:val="22"/>
        </w:rPr>
      </w:pPr>
    </w:p>
    <w:p w:rsidR="000F6886" w:rsidRPr="0047333D" w:rsidRDefault="00EA33F8" w:rsidP="00EA33F8">
      <w:pPr>
        <w:pStyle w:val="ListParagraph"/>
        <w:numPr>
          <w:ilvl w:val="0"/>
          <w:numId w:val="26"/>
        </w:numPr>
        <w:rPr>
          <w:rFonts w:ascii="Calibri" w:hAnsi="Calibri"/>
          <w:sz w:val="22"/>
          <w:szCs w:val="22"/>
        </w:rPr>
      </w:pPr>
      <w:r w:rsidRPr="00EA33F8">
        <w:rPr>
          <w:rFonts w:ascii="Calibri" w:hAnsi="Calibri"/>
          <w:sz w:val="22"/>
          <w:szCs w:val="22"/>
        </w:rPr>
        <w:t xml:space="preserve">As noted in Document SC53-21 </w:t>
      </w:r>
      <w:r w:rsidR="00C90D3C">
        <w:rPr>
          <w:rFonts w:ascii="Calibri" w:hAnsi="Calibri"/>
          <w:sz w:val="22"/>
          <w:szCs w:val="22"/>
        </w:rPr>
        <w:t xml:space="preserve">on </w:t>
      </w:r>
      <w:r w:rsidRPr="00C90D3C">
        <w:rPr>
          <w:rFonts w:ascii="Calibri" w:hAnsi="Calibri"/>
          <w:i/>
          <w:sz w:val="22"/>
          <w:szCs w:val="22"/>
        </w:rPr>
        <w:t>Update on Outstanding Annual Contributions</w:t>
      </w:r>
      <w:r w:rsidRPr="00EA33F8">
        <w:rPr>
          <w:rFonts w:ascii="Calibri" w:hAnsi="Calibri"/>
          <w:sz w:val="22"/>
          <w:szCs w:val="22"/>
        </w:rPr>
        <w:t>, the Secretariat is no longer in a financial situation that would necessitate an austerity budget for 2018, and the Executive Team thus agreed on 23 February 2017 to maintain the 2018 budget approved at COP12. The Standing Committee is invited to confirm the  2018 budget as approved at COP12</w:t>
      </w:r>
      <w:r>
        <w:rPr>
          <w:rFonts w:ascii="Calibri" w:hAnsi="Calibri"/>
          <w:sz w:val="22"/>
          <w:szCs w:val="22"/>
        </w:rPr>
        <w:t xml:space="preserve"> and</w:t>
      </w:r>
      <w:r w:rsidR="000F6886" w:rsidRPr="0047333D">
        <w:rPr>
          <w:rFonts w:ascii="Calibri" w:hAnsi="Calibri"/>
          <w:sz w:val="22"/>
          <w:szCs w:val="22"/>
        </w:rPr>
        <w:t xml:space="preserve"> attached at Annex </w:t>
      </w:r>
      <w:r w:rsidR="009F5AF6" w:rsidRPr="0047333D">
        <w:rPr>
          <w:rFonts w:ascii="Calibri" w:hAnsi="Calibri"/>
          <w:sz w:val="22"/>
          <w:szCs w:val="22"/>
        </w:rPr>
        <w:t>4</w:t>
      </w:r>
      <w:r w:rsidR="000F6886" w:rsidRPr="0047333D">
        <w:rPr>
          <w:rFonts w:ascii="Calibri" w:hAnsi="Calibri"/>
          <w:sz w:val="22"/>
          <w:szCs w:val="22"/>
        </w:rPr>
        <w:t>.</w:t>
      </w:r>
    </w:p>
    <w:p w:rsidR="000F6886" w:rsidRPr="0047333D" w:rsidRDefault="000F6886" w:rsidP="0047333D">
      <w:pPr>
        <w:rPr>
          <w:rFonts w:ascii="Calibri" w:hAnsi="Calibri"/>
          <w:sz w:val="22"/>
          <w:szCs w:val="22"/>
        </w:rPr>
      </w:pPr>
    </w:p>
    <w:p w:rsidR="00F31AC0" w:rsidRPr="0047333D" w:rsidRDefault="00F31AC0" w:rsidP="0047333D">
      <w:pPr>
        <w:rPr>
          <w:rFonts w:ascii="Calibri" w:hAnsi="Calibri"/>
          <w:sz w:val="22"/>
          <w:szCs w:val="22"/>
        </w:rPr>
      </w:pPr>
    </w:p>
    <w:p w:rsidR="00F31AC0" w:rsidRPr="0047333D" w:rsidRDefault="00F31AC0" w:rsidP="0047333D">
      <w:pPr>
        <w:rPr>
          <w:rFonts w:ascii="Calibri" w:hAnsi="Calibri"/>
          <w:b/>
          <w:sz w:val="22"/>
          <w:szCs w:val="22"/>
        </w:rPr>
      </w:pPr>
      <w:r w:rsidRPr="0047333D">
        <w:rPr>
          <w:rFonts w:ascii="Calibri" w:hAnsi="Calibri"/>
          <w:b/>
          <w:sz w:val="22"/>
          <w:szCs w:val="22"/>
        </w:rPr>
        <w:t>Review of old non-core projects</w:t>
      </w:r>
    </w:p>
    <w:p w:rsidR="00F31AC0" w:rsidRPr="0047333D" w:rsidRDefault="00F31AC0" w:rsidP="0047333D">
      <w:pPr>
        <w:rPr>
          <w:rFonts w:ascii="Calibri" w:hAnsi="Calibri"/>
          <w:sz w:val="22"/>
          <w:szCs w:val="22"/>
        </w:rPr>
      </w:pPr>
    </w:p>
    <w:p w:rsidR="009E05CE" w:rsidRPr="00EA33F8" w:rsidRDefault="00F31AC0" w:rsidP="0047333D">
      <w:pPr>
        <w:pStyle w:val="ListParagraph"/>
        <w:numPr>
          <w:ilvl w:val="0"/>
          <w:numId w:val="26"/>
        </w:numPr>
        <w:rPr>
          <w:rFonts w:ascii="Calibri" w:hAnsi="Calibri" w:cs="Calibri"/>
          <w:bCs/>
          <w:sz w:val="22"/>
          <w:szCs w:val="22"/>
        </w:rPr>
      </w:pPr>
      <w:r w:rsidRPr="0047333D">
        <w:rPr>
          <w:rFonts w:ascii="Calibri" w:hAnsi="Calibri"/>
          <w:sz w:val="22"/>
          <w:szCs w:val="22"/>
        </w:rPr>
        <w:t xml:space="preserve">The Secretariat is in the process of reviewing old </w:t>
      </w:r>
      <w:r w:rsidR="00BF6995" w:rsidRPr="0047333D">
        <w:rPr>
          <w:rFonts w:ascii="Calibri" w:hAnsi="Calibri"/>
          <w:sz w:val="22"/>
          <w:szCs w:val="22"/>
        </w:rPr>
        <w:t xml:space="preserve">balances from </w:t>
      </w:r>
      <w:r w:rsidRPr="0047333D">
        <w:rPr>
          <w:rFonts w:ascii="Calibri" w:hAnsi="Calibri"/>
          <w:sz w:val="22"/>
          <w:szCs w:val="22"/>
        </w:rPr>
        <w:t>non-core projects.</w:t>
      </w:r>
      <w:r w:rsidR="00BF6995" w:rsidRPr="0047333D">
        <w:rPr>
          <w:rFonts w:ascii="Calibri" w:hAnsi="Calibri"/>
          <w:sz w:val="22"/>
          <w:szCs w:val="22"/>
        </w:rPr>
        <w:t xml:space="preserve"> This issue was identified in the Secretary General</w:t>
      </w:r>
      <w:r w:rsidR="002D61A6">
        <w:rPr>
          <w:rFonts w:ascii="Calibri" w:hAnsi="Calibri"/>
          <w:sz w:val="22"/>
          <w:szCs w:val="22"/>
        </w:rPr>
        <w:t>’s</w:t>
      </w:r>
      <w:r w:rsidR="00BF6995" w:rsidRPr="0047333D">
        <w:rPr>
          <w:rFonts w:ascii="Calibri" w:hAnsi="Calibri"/>
          <w:sz w:val="22"/>
          <w:szCs w:val="22"/>
        </w:rPr>
        <w:t xml:space="preserve"> report presented to the Executive Team in October 2016.</w:t>
      </w:r>
      <w:r w:rsidRPr="0047333D">
        <w:rPr>
          <w:rFonts w:ascii="Calibri" w:hAnsi="Calibri"/>
          <w:sz w:val="22"/>
          <w:szCs w:val="22"/>
        </w:rPr>
        <w:t xml:space="preserve"> </w:t>
      </w:r>
      <w:r w:rsidR="004325D8" w:rsidRPr="0047333D">
        <w:rPr>
          <w:rFonts w:ascii="Calibri" w:hAnsi="Calibri"/>
          <w:sz w:val="22"/>
          <w:szCs w:val="22"/>
        </w:rPr>
        <w:t>On 23 February 2017, t</w:t>
      </w:r>
      <w:r w:rsidRPr="0047333D">
        <w:rPr>
          <w:rFonts w:ascii="Calibri" w:hAnsi="Calibri"/>
          <w:sz w:val="22"/>
          <w:szCs w:val="22"/>
        </w:rPr>
        <w:t xml:space="preserve">he Executive Team agreed with the approach to go back a maximum of </w:t>
      </w:r>
      <w:r w:rsidR="002D61A6">
        <w:rPr>
          <w:rFonts w:ascii="Calibri" w:hAnsi="Calibri"/>
          <w:sz w:val="22"/>
          <w:szCs w:val="22"/>
        </w:rPr>
        <w:t>ten</w:t>
      </w:r>
      <w:r w:rsidR="002D61A6" w:rsidRPr="0047333D">
        <w:rPr>
          <w:rFonts w:ascii="Calibri" w:hAnsi="Calibri"/>
          <w:sz w:val="22"/>
          <w:szCs w:val="22"/>
        </w:rPr>
        <w:t xml:space="preserve"> </w:t>
      </w:r>
      <w:r w:rsidRPr="0047333D">
        <w:rPr>
          <w:rFonts w:ascii="Calibri" w:hAnsi="Calibri"/>
          <w:sz w:val="22"/>
          <w:szCs w:val="22"/>
        </w:rPr>
        <w:t xml:space="preserve">years </w:t>
      </w:r>
      <w:r w:rsidR="004325D8" w:rsidRPr="0047333D">
        <w:rPr>
          <w:rFonts w:ascii="Calibri" w:hAnsi="Calibri"/>
          <w:sz w:val="22"/>
          <w:szCs w:val="22"/>
        </w:rPr>
        <w:t>in</w:t>
      </w:r>
      <w:r w:rsidRPr="0047333D">
        <w:rPr>
          <w:rFonts w:ascii="Calibri" w:hAnsi="Calibri"/>
          <w:sz w:val="22"/>
          <w:szCs w:val="22"/>
        </w:rPr>
        <w:t xml:space="preserve"> this review. An update of the status and findings of the review will be presented at SC53.</w:t>
      </w:r>
    </w:p>
    <w:p w:rsidR="00EA33F8" w:rsidRPr="00EA33F8" w:rsidRDefault="00EA33F8" w:rsidP="00EA33F8">
      <w:pPr>
        <w:pStyle w:val="ListParagraph"/>
        <w:ind w:left="502"/>
        <w:rPr>
          <w:rFonts w:ascii="Calibri" w:hAnsi="Calibri" w:cs="Calibri"/>
          <w:bCs/>
          <w:sz w:val="22"/>
          <w:szCs w:val="22"/>
        </w:rPr>
      </w:pPr>
    </w:p>
    <w:p w:rsidR="00EA33F8" w:rsidRPr="0047333D" w:rsidRDefault="00EA33F8" w:rsidP="00EA33F8">
      <w:pPr>
        <w:pStyle w:val="ListParagraph"/>
        <w:numPr>
          <w:ilvl w:val="0"/>
          <w:numId w:val="26"/>
        </w:numPr>
        <w:rPr>
          <w:rFonts w:ascii="Calibri" w:hAnsi="Calibri" w:cs="Calibri"/>
          <w:bCs/>
          <w:sz w:val="22"/>
          <w:szCs w:val="22"/>
        </w:rPr>
      </w:pPr>
      <w:r w:rsidRPr="00EA33F8">
        <w:rPr>
          <w:rFonts w:ascii="Calibri" w:hAnsi="Calibri" w:cs="Calibri"/>
          <w:bCs/>
          <w:sz w:val="22"/>
          <w:szCs w:val="22"/>
        </w:rPr>
        <w:t>A major component of this review includes the issue of a considerable balance of old projects that had been closed and included in the “Admin” non-core project balance. The balance is being analysed and broken down into groupings so that decisions can be made regarding funds that may need to be reported to donors for decision on their use and remaining funds that could be available for use with approval from the Executive Team or Standing Committee as appropriate. An update will be provided at SC53.</w:t>
      </w:r>
    </w:p>
    <w:p w:rsidR="00F31AC0" w:rsidRPr="0047333D" w:rsidRDefault="00F31AC0" w:rsidP="0047333D">
      <w:pPr>
        <w:rPr>
          <w:rFonts w:ascii="Calibri" w:hAnsi="Calibri" w:cs="Calibri"/>
          <w:bCs/>
          <w:sz w:val="22"/>
          <w:szCs w:val="22"/>
          <w:lang w:val="en-GB"/>
        </w:rPr>
      </w:pPr>
    </w:p>
    <w:p w:rsidR="00F31AC0" w:rsidRPr="0047333D" w:rsidRDefault="00F31AC0" w:rsidP="0047333D">
      <w:pPr>
        <w:rPr>
          <w:rFonts w:ascii="Calibri" w:hAnsi="Calibri" w:cs="Calibri"/>
          <w:bCs/>
          <w:sz w:val="22"/>
          <w:szCs w:val="22"/>
          <w:lang w:val="en-GB"/>
        </w:rPr>
      </w:pPr>
    </w:p>
    <w:p w:rsidR="0044433D" w:rsidRPr="0047333D" w:rsidRDefault="0044433D" w:rsidP="0047333D">
      <w:pPr>
        <w:ind w:left="567" w:hanging="567"/>
        <w:rPr>
          <w:rFonts w:ascii="Calibri" w:hAnsi="Calibri" w:cs="Calibri"/>
          <w:b/>
          <w:sz w:val="22"/>
          <w:szCs w:val="22"/>
        </w:rPr>
      </w:pPr>
      <w:r w:rsidRPr="0047333D">
        <w:rPr>
          <w:rFonts w:ascii="Calibri" w:hAnsi="Calibri" w:cs="Calibri"/>
          <w:b/>
          <w:sz w:val="22"/>
          <w:szCs w:val="22"/>
        </w:rPr>
        <w:t>Annexes</w:t>
      </w:r>
    </w:p>
    <w:p w:rsidR="008532A7" w:rsidRPr="0047333D" w:rsidRDefault="008532A7" w:rsidP="0047333D">
      <w:pPr>
        <w:ind w:left="567" w:hanging="567"/>
        <w:rPr>
          <w:rFonts w:ascii="Calibri" w:hAnsi="Calibri" w:cs="Calibri"/>
          <w:b/>
          <w:sz w:val="22"/>
          <w:szCs w:val="22"/>
        </w:rPr>
      </w:pPr>
    </w:p>
    <w:p w:rsidR="008532A7" w:rsidRPr="0047333D" w:rsidRDefault="00F9733B" w:rsidP="001E4474">
      <w:pPr>
        <w:pStyle w:val="ListParagraph"/>
        <w:numPr>
          <w:ilvl w:val="0"/>
          <w:numId w:val="3"/>
        </w:numPr>
        <w:tabs>
          <w:tab w:val="left" w:pos="8760"/>
        </w:tabs>
        <w:ind w:left="426" w:hanging="426"/>
        <w:rPr>
          <w:rFonts w:ascii="Calibri" w:hAnsi="Calibri" w:cs="Calibri"/>
          <w:sz w:val="22"/>
          <w:szCs w:val="22"/>
        </w:rPr>
      </w:pPr>
      <w:r w:rsidRPr="0047333D">
        <w:rPr>
          <w:rFonts w:ascii="Calibri" w:hAnsi="Calibri" w:cs="Calibri"/>
          <w:sz w:val="22"/>
          <w:szCs w:val="22"/>
        </w:rPr>
        <w:t>Preliminary</w:t>
      </w:r>
      <w:r w:rsidR="008532A7" w:rsidRPr="0047333D">
        <w:rPr>
          <w:rFonts w:ascii="Calibri" w:hAnsi="Calibri" w:cs="Calibri"/>
          <w:sz w:val="22"/>
          <w:szCs w:val="22"/>
        </w:rPr>
        <w:t xml:space="preserve"> </w:t>
      </w:r>
      <w:r w:rsidR="006A6A68" w:rsidRPr="0047333D">
        <w:rPr>
          <w:rFonts w:ascii="Calibri" w:hAnsi="Calibri" w:cs="Calibri"/>
          <w:sz w:val="22"/>
          <w:szCs w:val="22"/>
        </w:rPr>
        <w:t>financial statements</w:t>
      </w:r>
      <w:r w:rsidR="00C669C7" w:rsidRPr="0047333D">
        <w:rPr>
          <w:rFonts w:ascii="Calibri" w:hAnsi="Calibri" w:cs="Calibri"/>
          <w:sz w:val="22"/>
          <w:szCs w:val="22"/>
        </w:rPr>
        <w:t xml:space="preserve"> a</w:t>
      </w:r>
      <w:r w:rsidR="00C4435F" w:rsidRPr="0047333D">
        <w:rPr>
          <w:rFonts w:ascii="Calibri" w:hAnsi="Calibri" w:cs="Calibri"/>
          <w:sz w:val="22"/>
          <w:szCs w:val="22"/>
        </w:rPr>
        <w:t>s of 31 December</w:t>
      </w:r>
      <w:r w:rsidRPr="0047333D">
        <w:rPr>
          <w:rFonts w:ascii="Calibri" w:hAnsi="Calibri" w:cs="Calibri"/>
          <w:sz w:val="22"/>
          <w:szCs w:val="22"/>
        </w:rPr>
        <w:t xml:space="preserve"> 2016</w:t>
      </w:r>
      <w:r w:rsidR="00C01945" w:rsidRPr="0047333D">
        <w:rPr>
          <w:rFonts w:ascii="Calibri" w:hAnsi="Calibri" w:cs="Calibri"/>
          <w:sz w:val="22"/>
          <w:szCs w:val="22"/>
        </w:rPr>
        <w:t xml:space="preserve"> (Swis</w:t>
      </w:r>
      <w:r w:rsidRPr="0047333D">
        <w:rPr>
          <w:rFonts w:ascii="Calibri" w:hAnsi="Calibri" w:cs="Calibri"/>
          <w:sz w:val="22"/>
          <w:szCs w:val="22"/>
        </w:rPr>
        <w:t>s reporting format)</w:t>
      </w:r>
      <w:r w:rsidRPr="0047333D">
        <w:rPr>
          <w:rFonts w:ascii="Calibri" w:hAnsi="Calibri" w:cs="Calibri"/>
          <w:sz w:val="22"/>
          <w:szCs w:val="22"/>
        </w:rPr>
        <w:tab/>
      </w:r>
      <w:r w:rsidR="001E4474">
        <w:rPr>
          <w:rFonts w:ascii="Calibri" w:hAnsi="Calibri" w:cs="Calibri"/>
          <w:sz w:val="22"/>
          <w:szCs w:val="22"/>
        </w:rPr>
        <w:t>7</w:t>
      </w:r>
    </w:p>
    <w:p w:rsidR="008532A7" w:rsidRPr="0047333D" w:rsidRDefault="00C61542" w:rsidP="001E4474">
      <w:pPr>
        <w:pStyle w:val="ListParagraph"/>
        <w:numPr>
          <w:ilvl w:val="0"/>
          <w:numId w:val="3"/>
        </w:numPr>
        <w:tabs>
          <w:tab w:val="left" w:pos="8640"/>
        </w:tabs>
        <w:ind w:left="426" w:hanging="426"/>
        <w:rPr>
          <w:rFonts w:ascii="Calibri" w:hAnsi="Calibri" w:cs="Calibri"/>
          <w:sz w:val="22"/>
          <w:szCs w:val="22"/>
        </w:rPr>
      </w:pPr>
      <w:r w:rsidRPr="0047333D">
        <w:rPr>
          <w:rFonts w:ascii="Calibri" w:hAnsi="Calibri" w:cs="Calibri"/>
          <w:sz w:val="22"/>
          <w:szCs w:val="22"/>
        </w:rPr>
        <w:t xml:space="preserve">Preliminary </w:t>
      </w:r>
      <w:r w:rsidR="008532A7" w:rsidRPr="0047333D">
        <w:rPr>
          <w:rFonts w:ascii="Calibri" w:hAnsi="Calibri" w:cs="Calibri"/>
          <w:sz w:val="22"/>
          <w:szCs w:val="22"/>
        </w:rPr>
        <w:t>201</w:t>
      </w:r>
      <w:r w:rsidR="00F9733B" w:rsidRPr="0047333D">
        <w:rPr>
          <w:rFonts w:ascii="Calibri" w:hAnsi="Calibri" w:cs="Calibri"/>
          <w:sz w:val="22"/>
          <w:szCs w:val="22"/>
        </w:rPr>
        <w:t>6</w:t>
      </w:r>
      <w:r w:rsidR="008532A7" w:rsidRPr="0047333D">
        <w:rPr>
          <w:rFonts w:ascii="Calibri" w:hAnsi="Calibri" w:cs="Calibri"/>
          <w:sz w:val="22"/>
          <w:szCs w:val="22"/>
        </w:rPr>
        <w:t xml:space="preserve"> </w:t>
      </w:r>
      <w:r w:rsidR="00A236A3" w:rsidRPr="0047333D">
        <w:rPr>
          <w:rFonts w:ascii="Calibri" w:hAnsi="Calibri" w:cs="Calibri"/>
          <w:sz w:val="22"/>
          <w:szCs w:val="22"/>
        </w:rPr>
        <w:t>core results</w:t>
      </w:r>
      <w:r w:rsidR="008532A7" w:rsidRPr="0047333D">
        <w:rPr>
          <w:rFonts w:ascii="Calibri" w:hAnsi="Calibri" w:cs="Calibri"/>
          <w:sz w:val="22"/>
          <w:szCs w:val="22"/>
        </w:rPr>
        <w:t xml:space="preserve">, with </w:t>
      </w:r>
      <w:r w:rsidR="00C4435F" w:rsidRPr="0047333D">
        <w:rPr>
          <w:rFonts w:ascii="Calibri" w:hAnsi="Calibri" w:cs="Calibri"/>
          <w:sz w:val="22"/>
          <w:szCs w:val="22"/>
        </w:rPr>
        <w:t>SC</w:t>
      </w:r>
      <w:r w:rsidR="00F9733B" w:rsidRPr="0047333D">
        <w:rPr>
          <w:rFonts w:ascii="Calibri" w:hAnsi="Calibri" w:cs="Calibri"/>
          <w:sz w:val="22"/>
          <w:szCs w:val="22"/>
        </w:rPr>
        <w:t>51</w:t>
      </w:r>
      <w:r w:rsidR="008532A7" w:rsidRPr="0047333D">
        <w:rPr>
          <w:rFonts w:ascii="Calibri" w:hAnsi="Calibri" w:cs="Calibri"/>
          <w:sz w:val="22"/>
          <w:szCs w:val="22"/>
        </w:rPr>
        <w:t xml:space="preserve"> </w:t>
      </w:r>
      <w:r w:rsidR="00BF6995" w:rsidRPr="0047333D">
        <w:rPr>
          <w:rFonts w:ascii="Calibri" w:hAnsi="Calibri" w:cs="Calibri"/>
          <w:sz w:val="22"/>
          <w:szCs w:val="22"/>
        </w:rPr>
        <w:t xml:space="preserve">changes to COP12 </w:t>
      </w:r>
      <w:r w:rsidR="008532A7" w:rsidRPr="0047333D">
        <w:rPr>
          <w:rFonts w:ascii="Calibri" w:hAnsi="Calibri" w:cs="Calibri"/>
          <w:sz w:val="22"/>
          <w:szCs w:val="22"/>
        </w:rPr>
        <w:t>approved budget</w:t>
      </w:r>
      <w:r w:rsidR="00C669C7" w:rsidRPr="0047333D">
        <w:rPr>
          <w:rFonts w:ascii="Calibri" w:hAnsi="Calibri" w:cs="Calibri"/>
          <w:sz w:val="22"/>
          <w:szCs w:val="22"/>
        </w:rPr>
        <w:t>, actuals an</w:t>
      </w:r>
      <w:r w:rsidR="008532A7" w:rsidRPr="0047333D">
        <w:rPr>
          <w:rFonts w:ascii="Calibri" w:hAnsi="Calibri" w:cs="Calibri"/>
          <w:sz w:val="22"/>
          <w:szCs w:val="22"/>
        </w:rPr>
        <w:t>d variance</w:t>
      </w:r>
      <w:r w:rsidR="00C669C7" w:rsidRPr="0047333D">
        <w:rPr>
          <w:rFonts w:ascii="Calibri" w:hAnsi="Calibri" w:cs="Calibri"/>
          <w:sz w:val="22"/>
          <w:szCs w:val="22"/>
        </w:rPr>
        <w:t xml:space="preserve"> from approved budget</w:t>
      </w:r>
      <w:r w:rsidR="00B64789" w:rsidRPr="0047333D">
        <w:rPr>
          <w:rFonts w:ascii="Calibri" w:hAnsi="Calibri" w:cs="Calibri"/>
          <w:sz w:val="22"/>
          <w:szCs w:val="22"/>
        </w:rPr>
        <w:tab/>
      </w:r>
      <w:r w:rsidR="001E4474">
        <w:rPr>
          <w:rFonts w:ascii="Calibri" w:hAnsi="Calibri" w:cs="Calibri"/>
          <w:sz w:val="22"/>
          <w:szCs w:val="22"/>
        </w:rPr>
        <w:t>10</w:t>
      </w:r>
    </w:p>
    <w:p w:rsidR="00584EE3" w:rsidRPr="0047333D" w:rsidRDefault="00C30743" w:rsidP="001E4474">
      <w:pPr>
        <w:pStyle w:val="ListParagraph"/>
        <w:numPr>
          <w:ilvl w:val="0"/>
          <w:numId w:val="3"/>
        </w:numPr>
        <w:tabs>
          <w:tab w:val="left" w:pos="8640"/>
        </w:tabs>
        <w:ind w:left="426" w:hanging="426"/>
        <w:rPr>
          <w:rFonts w:ascii="Calibri" w:hAnsi="Calibri" w:cs="Calibri"/>
          <w:sz w:val="22"/>
          <w:szCs w:val="22"/>
        </w:rPr>
      </w:pPr>
      <w:r w:rsidRPr="0047333D">
        <w:rPr>
          <w:rFonts w:ascii="Calibri" w:hAnsi="Calibri" w:cs="Calibri"/>
          <w:sz w:val="22"/>
          <w:szCs w:val="22"/>
        </w:rPr>
        <w:t>COP12-</w:t>
      </w:r>
      <w:r w:rsidR="00584EE3" w:rsidRPr="0047333D">
        <w:rPr>
          <w:rFonts w:ascii="Calibri" w:hAnsi="Calibri" w:cs="Calibri"/>
          <w:sz w:val="22"/>
          <w:szCs w:val="22"/>
        </w:rPr>
        <w:t>approved 201</w:t>
      </w:r>
      <w:r w:rsidR="00F9733B" w:rsidRPr="0047333D">
        <w:rPr>
          <w:rFonts w:ascii="Calibri" w:hAnsi="Calibri" w:cs="Calibri"/>
          <w:sz w:val="22"/>
          <w:szCs w:val="22"/>
        </w:rPr>
        <w:t>7</w:t>
      </w:r>
      <w:r w:rsidR="00584EE3" w:rsidRPr="0047333D">
        <w:rPr>
          <w:rFonts w:ascii="Calibri" w:hAnsi="Calibri" w:cs="Calibri"/>
          <w:sz w:val="22"/>
          <w:szCs w:val="22"/>
        </w:rPr>
        <w:t xml:space="preserve"> budget</w:t>
      </w:r>
      <w:r w:rsidR="00B64789" w:rsidRPr="0047333D">
        <w:rPr>
          <w:rFonts w:ascii="Calibri" w:hAnsi="Calibri" w:cs="Calibri"/>
          <w:sz w:val="22"/>
          <w:szCs w:val="22"/>
        </w:rPr>
        <w:tab/>
        <w:t>1</w:t>
      </w:r>
      <w:r w:rsidR="001E4474">
        <w:rPr>
          <w:rFonts w:ascii="Calibri" w:hAnsi="Calibri" w:cs="Calibri"/>
          <w:sz w:val="22"/>
          <w:szCs w:val="22"/>
        </w:rPr>
        <w:t>1</w:t>
      </w:r>
    </w:p>
    <w:p w:rsidR="009F5AF6" w:rsidRPr="0047333D" w:rsidRDefault="009F5AF6" w:rsidP="001E4474">
      <w:pPr>
        <w:pStyle w:val="ListParagraph"/>
        <w:numPr>
          <w:ilvl w:val="0"/>
          <w:numId w:val="3"/>
        </w:numPr>
        <w:tabs>
          <w:tab w:val="left" w:pos="8640"/>
        </w:tabs>
        <w:ind w:left="426" w:hanging="426"/>
        <w:rPr>
          <w:rFonts w:ascii="Calibri" w:hAnsi="Calibri" w:cs="Calibri"/>
          <w:sz w:val="22"/>
          <w:szCs w:val="22"/>
        </w:rPr>
      </w:pPr>
      <w:r w:rsidRPr="0047333D">
        <w:rPr>
          <w:rFonts w:ascii="Calibri" w:hAnsi="Calibri" w:cs="Calibri"/>
          <w:sz w:val="22"/>
          <w:szCs w:val="22"/>
        </w:rPr>
        <w:t>COP12-approved 2018 budget</w:t>
      </w:r>
      <w:r w:rsidR="001E4474">
        <w:rPr>
          <w:rFonts w:ascii="Calibri" w:hAnsi="Calibri" w:cs="Calibri"/>
          <w:sz w:val="22"/>
          <w:szCs w:val="22"/>
        </w:rPr>
        <w:tab/>
      </w:r>
      <w:r w:rsidRPr="0047333D">
        <w:rPr>
          <w:rFonts w:ascii="Calibri" w:hAnsi="Calibri" w:cs="Calibri"/>
          <w:sz w:val="22"/>
          <w:szCs w:val="22"/>
        </w:rPr>
        <w:t>1</w:t>
      </w:r>
      <w:r w:rsidR="001E4474">
        <w:rPr>
          <w:rFonts w:ascii="Calibri" w:hAnsi="Calibri" w:cs="Calibri"/>
          <w:sz w:val="22"/>
          <w:szCs w:val="22"/>
        </w:rPr>
        <w:t>2</w:t>
      </w:r>
    </w:p>
    <w:p w:rsidR="00D67AA9" w:rsidRPr="0047333D" w:rsidRDefault="00D67AA9" w:rsidP="001E4474">
      <w:pPr>
        <w:pStyle w:val="ListParagraph"/>
        <w:numPr>
          <w:ilvl w:val="0"/>
          <w:numId w:val="3"/>
        </w:numPr>
        <w:tabs>
          <w:tab w:val="left" w:pos="8640"/>
        </w:tabs>
        <w:ind w:left="426" w:hanging="426"/>
        <w:rPr>
          <w:rFonts w:ascii="Calibri" w:hAnsi="Calibri" w:cs="Calibri"/>
          <w:sz w:val="22"/>
          <w:szCs w:val="22"/>
        </w:rPr>
      </w:pPr>
      <w:r w:rsidRPr="0047333D">
        <w:rPr>
          <w:rFonts w:ascii="Calibri" w:hAnsi="Calibri" w:cs="Calibri"/>
          <w:sz w:val="22"/>
          <w:szCs w:val="22"/>
        </w:rPr>
        <w:t>Non-</w:t>
      </w:r>
      <w:r w:rsidR="00A236A3" w:rsidRPr="0047333D">
        <w:rPr>
          <w:rFonts w:ascii="Calibri" w:hAnsi="Calibri" w:cs="Calibri"/>
          <w:sz w:val="22"/>
          <w:szCs w:val="22"/>
        </w:rPr>
        <w:t xml:space="preserve">core </w:t>
      </w:r>
      <w:r w:rsidRPr="0047333D">
        <w:rPr>
          <w:rFonts w:ascii="Calibri" w:hAnsi="Calibri" w:cs="Calibri"/>
          <w:sz w:val="22"/>
          <w:szCs w:val="22"/>
        </w:rPr>
        <w:t>budget from 201</w:t>
      </w:r>
      <w:r w:rsidR="00F9733B" w:rsidRPr="0047333D">
        <w:rPr>
          <w:rFonts w:ascii="Calibri" w:hAnsi="Calibri" w:cs="Calibri"/>
          <w:sz w:val="22"/>
          <w:szCs w:val="22"/>
        </w:rPr>
        <w:t>6</w:t>
      </w:r>
      <w:r w:rsidRPr="0047333D">
        <w:rPr>
          <w:rFonts w:ascii="Calibri" w:hAnsi="Calibri" w:cs="Calibri"/>
          <w:sz w:val="22"/>
          <w:szCs w:val="22"/>
        </w:rPr>
        <w:t>-201</w:t>
      </w:r>
      <w:r w:rsidR="00F9733B" w:rsidRPr="0047333D">
        <w:rPr>
          <w:rFonts w:ascii="Calibri" w:hAnsi="Calibri" w:cs="Calibri"/>
          <w:sz w:val="22"/>
          <w:szCs w:val="22"/>
        </w:rPr>
        <w:t>8</w:t>
      </w:r>
      <w:r w:rsidRPr="0047333D">
        <w:rPr>
          <w:rFonts w:ascii="Calibri" w:hAnsi="Calibri" w:cs="Calibri"/>
          <w:sz w:val="22"/>
          <w:szCs w:val="22"/>
        </w:rPr>
        <w:t xml:space="preserve"> </w:t>
      </w:r>
      <w:r w:rsidR="00A236A3" w:rsidRPr="0047333D">
        <w:rPr>
          <w:rFonts w:ascii="Calibri" w:hAnsi="Calibri" w:cs="Calibri"/>
          <w:sz w:val="22"/>
          <w:szCs w:val="22"/>
        </w:rPr>
        <w:t xml:space="preserve">triennium </w:t>
      </w:r>
      <w:r w:rsidRPr="0047333D">
        <w:rPr>
          <w:rFonts w:ascii="Calibri" w:hAnsi="Calibri" w:cs="Calibri"/>
          <w:sz w:val="22"/>
          <w:szCs w:val="22"/>
        </w:rPr>
        <w:t xml:space="preserve">(Annex </w:t>
      </w:r>
      <w:r w:rsidR="00F9733B" w:rsidRPr="0047333D">
        <w:rPr>
          <w:rFonts w:ascii="Calibri" w:hAnsi="Calibri" w:cs="Calibri"/>
          <w:sz w:val="22"/>
          <w:szCs w:val="22"/>
        </w:rPr>
        <w:t>3</w:t>
      </w:r>
      <w:r w:rsidRPr="0047333D">
        <w:rPr>
          <w:rFonts w:ascii="Calibri" w:hAnsi="Calibri" w:cs="Calibri"/>
          <w:sz w:val="22"/>
          <w:szCs w:val="22"/>
        </w:rPr>
        <w:t xml:space="preserve"> of Resolution XI</w:t>
      </w:r>
      <w:r w:rsidR="00F9733B" w:rsidRPr="0047333D">
        <w:rPr>
          <w:rFonts w:ascii="Calibri" w:hAnsi="Calibri" w:cs="Calibri"/>
          <w:sz w:val="22"/>
          <w:szCs w:val="22"/>
        </w:rPr>
        <w:t>I</w:t>
      </w:r>
      <w:r w:rsidRPr="0047333D">
        <w:rPr>
          <w:rFonts w:ascii="Calibri" w:hAnsi="Calibri" w:cs="Calibri"/>
          <w:sz w:val="22"/>
          <w:szCs w:val="22"/>
        </w:rPr>
        <w:t>.</w:t>
      </w:r>
      <w:r w:rsidR="00F9733B" w:rsidRPr="0047333D">
        <w:rPr>
          <w:rFonts w:ascii="Calibri" w:hAnsi="Calibri" w:cs="Calibri"/>
          <w:sz w:val="22"/>
          <w:szCs w:val="22"/>
        </w:rPr>
        <w:t>1</w:t>
      </w:r>
      <w:r w:rsidRPr="0047333D">
        <w:rPr>
          <w:rFonts w:ascii="Calibri" w:hAnsi="Calibri" w:cs="Calibri"/>
          <w:sz w:val="22"/>
          <w:szCs w:val="22"/>
        </w:rPr>
        <w:t>)</w:t>
      </w:r>
      <w:r w:rsidR="001E4474">
        <w:rPr>
          <w:rFonts w:ascii="Calibri" w:hAnsi="Calibri" w:cs="Calibri"/>
          <w:sz w:val="22"/>
          <w:szCs w:val="22"/>
        </w:rPr>
        <w:tab/>
      </w:r>
      <w:r w:rsidR="009F5AF6" w:rsidRPr="0047333D">
        <w:rPr>
          <w:rFonts w:ascii="Calibri" w:hAnsi="Calibri" w:cs="Calibri"/>
          <w:sz w:val="22"/>
          <w:szCs w:val="22"/>
        </w:rPr>
        <w:t>1</w:t>
      </w:r>
      <w:r w:rsidR="001E4474">
        <w:rPr>
          <w:rFonts w:ascii="Calibri" w:hAnsi="Calibri" w:cs="Calibri"/>
          <w:sz w:val="22"/>
          <w:szCs w:val="22"/>
        </w:rPr>
        <w:t>3</w:t>
      </w:r>
    </w:p>
    <w:p w:rsidR="00297915" w:rsidRPr="00297915" w:rsidRDefault="00C500C1" w:rsidP="00D67AA9">
      <w:pPr>
        <w:ind w:left="567" w:hanging="567"/>
        <w:rPr>
          <w:rFonts w:ascii="Calibri" w:hAnsi="Calibri" w:cs="Calibri"/>
          <w:b/>
        </w:rPr>
      </w:pPr>
      <w:r w:rsidRPr="0056312E">
        <w:rPr>
          <w:rFonts w:ascii="Calibri" w:hAnsi="Calibri" w:cs="Calibri"/>
          <w:b/>
          <w:sz w:val="22"/>
          <w:szCs w:val="22"/>
        </w:rPr>
        <w:br w:type="page"/>
      </w:r>
      <w:r w:rsidR="00D2130B" w:rsidRPr="00E91BC8">
        <w:rPr>
          <w:rFonts w:ascii="Calibri" w:hAnsi="Calibri"/>
          <w:b/>
        </w:rPr>
        <w:lastRenderedPageBreak/>
        <w:t>Annex 1</w:t>
      </w:r>
      <w:r w:rsidR="00D2130B" w:rsidRPr="00297915">
        <w:rPr>
          <w:rFonts w:ascii="Calibri" w:hAnsi="Calibri" w:cs="Calibri"/>
          <w:b/>
        </w:rPr>
        <w:t xml:space="preserve"> </w:t>
      </w:r>
    </w:p>
    <w:p w:rsidR="00D67AA9" w:rsidRPr="00297915" w:rsidRDefault="00A1475C" w:rsidP="00E91BC8">
      <w:pPr>
        <w:rPr>
          <w:rFonts w:ascii="Calibri" w:hAnsi="Calibri" w:cs="Calibri"/>
        </w:rPr>
      </w:pPr>
      <w:r>
        <w:rPr>
          <w:rFonts w:ascii="Calibri" w:hAnsi="Calibri" w:cs="Calibri"/>
          <w:b/>
        </w:rPr>
        <w:t>Preliminary</w:t>
      </w:r>
      <w:r w:rsidR="00134002" w:rsidRPr="00134002">
        <w:rPr>
          <w:rFonts w:ascii="Calibri" w:hAnsi="Calibri" w:cs="Calibri"/>
          <w:b/>
        </w:rPr>
        <w:t xml:space="preserve"> financial statements </w:t>
      </w:r>
      <w:r w:rsidR="00DD5EE3" w:rsidRPr="00297915">
        <w:rPr>
          <w:rFonts w:ascii="Calibri" w:hAnsi="Calibri" w:cs="Calibri"/>
          <w:b/>
        </w:rPr>
        <w:t>as of</w:t>
      </w:r>
      <w:r w:rsidR="00D67AA9" w:rsidRPr="00297915">
        <w:rPr>
          <w:rFonts w:ascii="Calibri" w:hAnsi="Calibri" w:cs="Calibri"/>
          <w:b/>
        </w:rPr>
        <w:t xml:space="preserve"> 31 December 201</w:t>
      </w:r>
      <w:r>
        <w:rPr>
          <w:rFonts w:ascii="Calibri" w:hAnsi="Calibri" w:cs="Calibri"/>
          <w:b/>
        </w:rPr>
        <w:t>6</w:t>
      </w:r>
      <w:r w:rsidR="00D67AA9" w:rsidRPr="00297915">
        <w:rPr>
          <w:rFonts w:ascii="Calibri" w:hAnsi="Calibri" w:cs="Calibri"/>
          <w:b/>
        </w:rPr>
        <w:t xml:space="preserve"> (Swiss reporting format)</w:t>
      </w:r>
      <w:r w:rsidR="00A6394F" w:rsidRPr="00A6394F">
        <w:rPr>
          <w:rFonts w:ascii="Calibri" w:hAnsi="Calibri" w:cs="Calibri"/>
          <w:b/>
        </w:rPr>
        <w:t xml:space="preserve"> </w:t>
      </w:r>
      <w:r w:rsidR="00A6394F">
        <w:rPr>
          <w:rFonts w:ascii="Calibri" w:hAnsi="Calibri" w:cs="Calibri"/>
          <w:b/>
        </w:rPr>
        <w:t>(</w:t>
      </w:r>
      <w:r w:rsidR="00143C6A">
        <w:rPr>
          <w:rFonts w:ascii="Calibri" w:hAnsi="Calibri" w:cs="Calibri"/>
          <w:b/>
        </w:rPr>
        <w:t xml:space="preserve">includes possible </w:t>
      </w:r>
      <w:r w:rsidR="00A6394F">
        <w:rPr>
          <w:rFonts w:ascii="Calibri" w:hAnsi="Calibri" w:cs="Calibri"/>
          <w:b/>
        </w:rPr>
        <w:t xml:space="preserve">rounding </w:t>
      </w:r>
      <w:r w:rsidR="00143C6A">
        <w:rPr>
          <w:rFonts w:ascii="Calibri" w:hAnsi="Calibri" w:cs="Calibri"/>
          <w:b/>
        </w:rPr>
        <w:t>differences</w:t>
      </w:r>
      <w:r w:rsidR="00A6394F">
        <w:rPr>
          <w:rFonts w:ascii="Calibri" w:hAnsi="Calibri" w:cs="Calibri"/>
          <w:b/>
        </w:rPr>
        <w:t>)</w:t>
      </w:r>
    </w:p>
    <w:p w:rsidR="00D67AA9" w:rsidRDefault="00D67AA9" w:rsidP="00D67AA9">
      <w:pPr>
        <w:ind w:left="567" w:hanging="567"/>
        <w:rPr>
          <w:rFonts w:ascii="Calibri" w:hAnsi="Calibri" w:cs="Calibri"/>
        </w:rPr>
      </w:pPr>
    </w:p>
    <w:tbl>
      <w:tblPr>
        <w:tblW w:w="8956" w:type="dxa"/>
        <w:tblInd w:w="108" w:type="dxa"/>
        <w:tblLook w:val="04A0" w:firstRow="1" w:lastRow="0" w:firstColumn="1" w:lastColumn="0" w:noHBand="0" w:noVBand="1"/>
      </w:tblPr>
      <w:tblGrid>
        <w:gridCol w:w="4708"/>
        <w:gridCol w:w="1128"/>
        <w:gridCol w:w="1196"/>
        <w:gridCol w:w="278"/>
        <w:gridCol w:w="278"/>
        <w:gridCol w:w="1196"/>
        <w:gridCol w:w="278"/>
      </w:tblGrid>
      <w:tr w:rsidR="00A1475C" w:rsidRPr="00A1475C">
        <w:trPr>
          <w:trHeight w:val="330"/>
        </w:trPr>
        <w:tc>
          <w:tcPr>
            <w:tcW w:w="5836" w:type="dxa"/>
            <w:gridSpan w:val="2"/>
            <w:tcBorders>
              <w:top w:val="nil"/>
              <w:left w:val="nil"/>
              <w:bottom w:val="nil"/>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bookmarkStart w:id="3" w:name="RANGE!E15:M51"/>
            <w:r w:rsidRPr="00A1475C">
              <w:rPr>
                <w:rFonts w:ascii="Calibri" w:eastAsia="Times New Roman" w:hAnsi="Calibri" w:cs="Arial"/>
                <w:b/>
                <w:bCs/>
                <w:sz w:val="22"/>
                <w:szCs w:val="22"/>
                <w:lang w:val="en-GB" w:eastAsia="en-GB"/>
              </w:rPr>
              <w:t>BALANCE SHEET AS OF 31 DECEMBER</w:t>
            </w:r>
            <w:bookmarkEnd w:id="3"/>
          </w:p>
        </w:tc>
        <w:tc>
          <w:tcPr>
            <w:tcW w:w="1196" w:type="dxa"/>
            <w:tcBorders>
              <w:top w:val="nil"/>
              <w:left w:val="nil"/>
              <w:bottom w:val="nil"/>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56" w:type="dxa"/>
            <w:tcBorders>
              <w:top w:val="nil"/>
              <w:left w:val="nil"/>
              <w:bottom w:val="nil"/>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r>
      <w:tr w:rsidR="00A1475C" w:rsidRPr="00A1475C">
        <w:trPr>
          <w:trHeight w:val="330"/>
        </w:trPr>
        <w:tc>
          <w:tcPr>
            <w:tcW w:w="4708"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21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r>
      <w:tr w:rsidR="00A1475C" w:rsidRPr="00A1475C">
        <w:trPr>
          <w:trHeight w:val="615"/>
        </w:trPr>
        <w:tc>
          <w:tcPr>
            <w:tcW w:w="4708" w:type="dxa"/>
            <w:tcBorders>
              <w:top w:val="nil"/>
              <w:left w:val="nil"/>
              <w:bottom w:val="single" w:sz="8" w:space="0" w:color="auto"/>
              <w:right w:val="nil"/>
            </w:tcBorders>
            <w:shd w:val="clear" w:color="000000" w:fill="FFFFFF"/>
            <w:noWrap/>
            <w:vAlign w:val="bottom"/>
          </w:tcPr>
          <w:p w:rsidR="00A1475C" w:rsidRPr="00A1475C" w:rsidRDefault="00A1475C" w:rsidP="00A1475C">
            <w:pPr>
              <w:rPr>
                <w:rFonts w:ascii="Calibri" w:eastAsia="Times New Roman" w:hAnsi="Calibri" w:cs="Arial"/>
                <w:i/>
                <w:iCs/>
                <w:sz w:val="20"/>
                <w:szCs w:val="20"/>
                <w:lang w:val="en-GB" w:eastAsia="en-GB"/>
              </w:rPr>
            </w:pPr>
            <w:r w:rsidRPr="00A1475C">
              <w:rPr>
                <w:rFonts w:ascii="Calibri" w:eastAsia="Times New Roman" w:hAnsi="Calibri" w:cs="Arial"/>
                <w:i/>
                <w:iCs/>
                <w:sz w:val="20"/>
                <w:szCs w:val="20"/>
                <w:lang w:val="en-GB" w:eastAsia="en-GB"/>
              </w:rPr>
              <w:t>in thousands of Swiss Francs (CHF '000s)</w:t>
            </w:r>
          </w:p>
        </w:tc>
        <w:tc>
          <w:tcPr>
            <w:tcW w:w="1128" w:type="dxa"/>
            <w:tcBorders>
              <w:top w:val="nil"/>
              <w:left w:val="nil"/>
              <w:bottom w:val="single" w:sz="8" w:space="0" w:color="auto"/>
              <w:right w:val="nil"/>
            </w:tcBorders>
            <w:shd w:val="clear" w:color="000000" w:fill="FFFFFF"/>
            <w:noWrap/>
            <w:vAlign w:val="center"/>
          </w:tcPr>
          <w:p w:rsidR="00A1475C" w:rsidRPr="00A1475C" w:rsidRDefault="00A1475C" w:rsidP="00A1475C">
            <w:pPr>
              <w:jc w:val="cente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xml:space="preserve"> Notes </w:t>
            </w:r>
          </w:p>
        </w:tc>
        <w:tc>
          <w:tcPr>
            <w:tcW w:w="1452" w:type="dxa"/>
            <w:gridSpan w:val="2"/>
            <w:tcBorders>
              <w:top w:val="nil"/>
              <w:left w:val="nil"/>
              <w:bottom w:val="single" w:sz="8" w:space="0" w:color="auto"/>
              <w:right w:val="nil"/>
            </w:tcBorders>
            <w:shd w:val="clear" w:color="000000" w:fill="8DB4E2"/>
            <w:vAlign w:val="bottom"/>
          </w:tcPr>
          <w:p w:rsidR="00A1475C" w:rsidRPr="00A1475C" w:rsidRDefault="00A1475C" w:rsidP="00A1475C">
            <w:pPr>
              <w:jc w:val="cente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xml:space="preserve"> Preliminary 2016 </w:t>
            </w:r>
          </w:p>
        </w:tc>
        <w:tc>
          <w:tcPr>
            <w:tcW w:w="216" w:type="dxa"/>
            <w:tcBorders>
              <w:top w:val="nil"/>
              <w:left w:val="nil"/>
              <w:bottom w:val="single" w:sz="8" w:space="0" w:color="auto"/>
              <w:right w:val="nil"/>
            </w:tcBorders>
            <w:shd w:val="clear" w:color="000000" w:fill="D9D9D9"/>
            <w:noWrap/>
            <w:vAlign w:val="center"/>
          </w:tcPr>
          <w:p w:rsidR="00A1475C" w:rsidRPr="00A1475C" w:rsidRDefault="00A1475C" w:rsidP="00A1475C">
            <w:pPr>
              <w:rPr>
                <w:rFonts w:ascii="Calibri" w:eastAsia="Times New Roman" w:hAnsi="Calibri" w:cs="Arial"/>
                <w:sz w:val="20"/>
                <w:szCs w:val="20"/>
                <w:lang w:val="en-GB" w:eastAsia="en-GB"/>
              </w:rPr>
            </w:pPr>
            <w:r w:rsidRPr="00A1475C">
              <w:rPr>
                <w:rFonts w:ascii="Calibri" w:eastAsia="Times New Roman" w:hAnsi="Calibri" w:cs="Arial"/>
                <w:sz w:val="20"/>
                <w:szCs w:val="20"/>
                <w:lang w:val="en-GB" w:eastAsia="en-GB"/>
              </w:rPr>
              <w:t> </w:t>
            </w:r>
          </w:p>
        </w:tc>
        <w:tc>
          <w:tcPr>
            <w:tcW w:w="1452" w:type="dxa"/>
            <w:gridSpan w:val="2"/>
            <w:tcBorders>
              <w:top w:val="nil"/>
              <w:left w:val="nil"/>
              <w:bottom w:val="single" w:sz="8" w:space="0" w:color="auto"/>
              <w:right w:val="nil"/>
            </w:tcBorders>
            <w:shd w:val="clear" w:color="000000" w:fill="D8E4BC"/>
            <w:noWrap/>
            <w:vAlign w:val="center"/>
          </w:tcPr>
          <w:p w:rsidR="00A1475C" w:rsidRPr="00A1475C" w:rsidRDefault="00A1475C" w:rsidP="00A1475C">
            <w:pPr>
              <w:jc w:val="cente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xml:space="preserve"> 2015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ASSETS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Current assets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Cash and short term bank deposits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4,569</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4,652</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Contracting Party Receivables (net)</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6</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620</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658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Other account receivables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7</w:t>
            </w:r>
          </w:p>
        </w:tc>
        <w:tc>
          <w:tcPr>
            <w:tcW w:w="1196" w:type="dxa"/>
            <w:tcBorders>
              <w:top w:val="nil"/>
              <w:left w:val="nil"/>
              <w:bottom w:val="single" w:sz="4" w:space="0" w:color="auto"/>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131</w:t>
            </w:r>
          </w:p>
        </w:tc>
        <w:tc>
          <w:tcPr>
            <w:tcW w:w="256" w:type="dxa"/>
            <w:tcBorders>
              <w:top w:val="nil"/>
              <w:left w:val="nil"/>
              <w:bottom w:val="single" w:sz="4" w:space="0" w:color="auto"/>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single" w:sz="4" w:space="0" w:color="auto"/>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88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current assets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5,320</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5,398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Fixed assets (net)</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Office Furniture and Computer Equipment at cost</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84</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82</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Less: Accumulated Depreciation</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9</w:t>
            </w:r>
          </w:p>
        </w:tc>
        <w:tc>
          <w:tcPr>
            <w:tcW w:w="1196" w:type="dxa"/>
            <w:tcBorders>
              <w:top w:val="nil"/>
              <w:left w:val="nil"/>
              <w:bottom w:val="single" w:sz="4" w:space="0" w:color="auto"/>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(63)</w:t>
            </w:r>
          </w:p>
        </w:tc>
        <w:tc>
          <w:tcPr>
            <w:tcW w:w="256" w:type="dxa"/>
            <w:tcBorders>
              <w:top w:val="nil"/>
              <w:left w:val="nil"/>
              <w:bottom w:val="single" w:sz="4" w:space="0" w:color="auto"/>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single" w:sz="4" w:space="0" w:color="auto"/>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(48)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non-current assets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21</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34</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480"/>
        </w:trPr>
        <w:tc>
          <w:tcPr>
            <w:tcW w:w="4708" w:type="dxa"/>
            <w:tcBorders>
              <w:top w:val="nil"/>
              <w:left w:val="nil"/>
              <w:bottom w:val="nil"/>
              <w:right w:val="nil"/>
            </w:tcBorders>
            <w:shd w:val="clear" w:color="000000" w:fill="FFFFFF"/>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ASSETS</w:t>
            </w:r>
          </w:p>
        </w:tc>
        <w:tc>
          <w:tcPr>
            <w:tcW w:w="1128" w:type="dxa"/>
            <w:tcBorders>
              <w:top w:val="nil"/>
              <w:left w:val="nil"/>
              <w:bottom w:val="nil"/>
              <w:right w:val="nil"/>
            </w:tcBorders>
            <w:shd w:val="clear" w:color="000000" w:fill="FFFFFF"/>
            <w:noWrap/>
            <w:vAlign w:val="center"/>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single" w:sz="4" w:space="0" w:color="auto"/>
              <w:left w:val="nil"/>
              <w:bottom w:val="single" w:sz="4" w:space="0" w:color="auto"/>
              <w:right w:val="nil"/>
            </w:tcBorders>
            <w:shd w:val="clear" w:color="000000" w:fill="FFFFFF"/>
            <w:noWrap/>
            <w:vAlign w:val="center"/>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5,341</w:t>
            </w:r>
          </w:p>
        </w:tc>
        <w:tc>
          <w:tcPr>
            <w:tcW w:w="256" w:type="dxa"/>
            <w:tcBorders>
              <w:top w:val="single" w:sz="4" w:space="0" w:color="auto"/>
              <w:left w:val="nil"/>
              <w:bottom w:val="single" w:sz="4" w:space="0" w:color="auto"/>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single" w:sz="4" w:space="0" w:color="auto"/>
              <w:left w:val="nil"/>
              <w:bottom w:val="single" w:sz="4" w:space="0" w:color="auto"/>
              <w:right w:val="nil"/>
            </w:tcBorders>
            <w:shd w:val="clear" w:color="000000" w:fill="D9D9D9"/>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single" w:sz="4" w:space="0" w:color="auto"/>
              <w:left w:val="nil"/>
              <w:bottom w:val="single" w:sz="4" w:space="0" w:color="auto"/>
              <w:right w:val="nil"/>
            </w:tcBorders>
            <w:shd w:val="clear" w:color="000000" w:fill="FFFFFF"/>
            <w:noWrap/>
            <w:vAlign w:val="center"/>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5,432</w:t>
            </w:r>
          </w:p>
        </w:tc>
        <w:tc>
          <w:tcPr>
            <w:tcW w:w="256" w:type="dxa"/>
            <w:tcBorders>
              <w:top w:val="nil"/>
              <w:left w:val="nil"/>
              <w:bottom w:val="nil"/>
              <w:right w:val="nil"/>
            </w:tcBorders>
            <w:shd w:val="clear" w:color="000000" w:fill="FFFFFF"/>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LIABILITIES AND FUND BALANCES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Current liabilities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Amount owe</w:t>
            </w:r>
            <w:r w:rsidR="00970CD2">
              <w:rPr>
                <w:rFonts w:ascii="Calibri" w:eastAsia="Times New Roman" w:hAnsi="Calibri" w:cs="Arial"/>
                <w:sz w:val="22"/>
                <w:szCs w:val="22"/>
                <w:lang w:val="en-GB" w:eastAsia="en-GB"/>
              </w:rPr>
              <w:t>d</w:t>
            </w:r>
            <w:r w:rsidRPr="00A1475C">
              <w:rPr>
                <w:rFonts w:ascii="Calibri" w:eastAsia="Times New Roman" w:hAnsi="Calibri" w:cs="Arial"/>
                <w:sz w:val="22"/>
                <w:szCs w:val="22"/>
                <w:lang w:val="en-GB" w:eastAsia="en-GB"/>
              </w:rPr>
              <w:t xml:space="preserve"> to IUCN</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264</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775</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Other Payables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8</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753</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630</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Accrued liabilities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435</w:t>
            </w:r>
          </w:p>
        </w:tc>
        <w:tc>
          <w:tcPr>
            <w:tcW w:w="256" w:type="dxa"/>
            <w:tcBorders>
              <w:top w:val="nil"/>
              <w:left w:val="nil"/>
              <w:bottom w:val="single" w:sz="4" w:space="0" w:color="auto"/>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single" w:sz="4" w:space="0" w:color="auto"/>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293</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current liabilities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1,453</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1,698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Provisions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Staff repatriation</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5</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124</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124</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Staff leave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5</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100</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165</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Staff termination</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5</w:t>
            </w:r>
          </w:p>
        </w:tc>
        <w:tc>
          <w:tcPr>
            <w:tcW w:w="1196" w:type="dxa"/>
            <w:tcBorders>
              <w:top w:val="nil"/>
              <w:left w:val="nil"/>
              <w:bottom w:val="single" w:sz="4" w:space="0" w:color="auto"/>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89</w:t>
            </w:r>
          </w:p>
        </w:tc>
        <w:tc>
          <w:tcPr>
            <w:tcW w:w="256" w:type="dxa"/>
            <w:tcBorders>
              <w:top w:val="nil"/>
              <w:left w:val="nil"/>
              <w:bottom w:val="single" w:sz="4" w:space="0" w:color="auto"/>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single" w:sz="4" w:space="0" w:color="auto"/>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227</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provisions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313</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516</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b/>
                <w:bCs/>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Fund and Reserves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auto" w:fill="auto"/>
            <w:noWrap/>
            <w:vAlign w:val="bottom"/>
          </w:tcPr>
          <w:p w:rsidR="00A1475C" w:rsidRPr="00A1475C" w:rsidRDefault="00A1475C" w:rsidP="00A1475C">
            <w:pPr>
              <w:rPr>
                <w:rFonts w:ascii="Calibri" w:eastAsia="Times New Roman" w:hAnsi="Calibri" w:cs="Arial"/>
                <w:sz w:val="22"/>
                <w:szCs w:val="22"/>
                <w:lang w:val="en-GB" w:eastAsia="en-GB"/>
              </w:rPr>
            </w:pP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Unrestricted reserve fund</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11</w:t>
            </w:r>
          </w:p>
        </w:tc>
        <w:tc>
          <w:tcPr>
            <w:tcW w:w="1196" w:type="dxa"/>
            <w:tcBorders>
              <w:top w:val="nil"/>
              <w:left w:val="nil"/>
              <w:bottom w:val="nil"/>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988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372</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xml:space="preserve">    Restricted Projects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12</w:t>
            </w:r>
          </w:p>
        </w:tc>
        <w:tc>
          <w:tcPr>
            <w:tcW w:w="1196" w:type="dxa"/>
            <w:tcBorders>
              <w:top w:val="nil"/>
              <w:left w:val="nil"/>
              <w:bottom w:val="single" w:sz="4" w:space="0" w:color="auto"/>
              <w:right w:val="nil"/>
            </w:tcBorders>
            <w:shd w:val="clear" w:color="auto" w:fill="auto"/>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2,587</w:t>
            </w:r>
          </w:p>
        </w:tc>
        <w:tc>
          <w:tcPr>
            <w:tcW w:w="256" w:type="dxa"/>
            <w:tcBorders>
              <w:top w:val="nil"/>
              <w:left w:val="nil"/>
              <w:bottom w:val="single" w:sz="4" w:space="0" w:color="auto"/>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216" w:type="dxa"/>
            <w:tcBorders>
              <w:top w:val="nil"/>
              <w:left w:val="nil"/>
              <w:bottom w:val="single" w:sz="4" w:space="0" w:color="auto"/>
              <w:right w:val="nil"/>
            </w:tcBorders>
            <w:shd w:val="clear" w:color="000000" w:fill="D9D9D9"/>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single" w:sz="4" w:space="0" w:color="auto"/>
              <w:right w:val="nil"/>
            </w:tcBorders>
            <w:shd w:val="clear" w:color="000000" w:fill="FFFFFF"/>
            <w:noWrap/>
            <w:vAlign w:val="bottom"/>
          </w:tcPr>
          <w:p w:rsidR="00A1475C" w:rsidRPr="00A1475C" w:rsidRDefault="00A1475C" w:rsidP="00A1475C">
            <w:pPr>
              <w:jc w:val="right"/>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2,846</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r>
      <w:tr w:rsidR="00A1475C" w:rsidRPr="00A1475C">
        <w:trPr>
          <w:trHeight w:val="338"/>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fund and reserves</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3,575</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3,218</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300"/>
        </w:trPr>
        <w:tc>
          <w:tcPr>
            <w:tcW w:w="4708" w:type="dxa"/>
            <w:tcBorders>
              <w:top w:val="nil"/>
              <w:left w:val="nil"/>
              <w:bottom w:val="nil"/>
              <w:right w:val="nil"/>
            </w:tcBorders>
            <w:shd w:val="clear" w:color="000000" w:fill="FFFFFF"/>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28" w:type="dxa"/>
            <w:tcBorders>
              <w:top w:val="nil"/>
              <w:left w:val="nil"/>
              <w:bottom w:val="nil"/>
              <w:right w:val="nil"/>
            </w:tcBorders>
            <w:shd w:val="clear" w:color="000000" w:fill="FFFFFF"/>
            <w:noWrap/>
            <w:vAlign w:val="bottom"/>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nil"/>
              <w:left w:val="nil"/>
              <w:bottom w:val="nil"/>
              <w:right w:val="nil"/>
            </w:tcBorders>
            <w:shd w:val="clear" w:color="000000" w:fill="D9D9D9"/>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458"/>
        </w:trPr>
        <w:tc>
          <w:tcPr>
            <w:tcW w:w="4708" w:type="dxa"/>
            <w:tcBorders>
              <w:top w:val="nil"/>
              <w:left w:val="nil"/>
              <w:bottom w:val="nil"/>
              <w:right w:val="nil"/>
            </w:tcBorders>
            <w:shd w:val="clear" w:color="000000" w:fill="FFFFFF"/>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TOTAL LIABILITIES AND FUND BALANCES</w:t>
            </w:r>
          </w:p>
        </w:tc>
        <w:tc>
          <w:tcPr>
            <w:tcW w:w="1128" w:type="dxa"/>
            <w:tcBorders>
              <w:top w:val="nil"/>
              <w:left w:val="nil"/>
              <w:bottom w:val="nil"/>
              <w:right w:val="nil"/>
            </w:tcBorders>
            <w:shd w:val="clear" w:color="000000" w:fill="FFFFFF"/>
            <w:noWrap/>
            <w:vAlign w:val="center"/>
          </w:tcPr>
          <w:p w:rsidR="00A1475C" w:rsidRPr="00A1475C" w:rsidRDefault="00A1475C" w:rsidP="00A1475C">
            <w:pPr>
              <w:jc w:val="center"/>
              <w:rPr>
                <w:rFonts w:ascii="Calibri" w:eastAsia="Times New Roman" w:hAnsi="Calibri" w:cs="Arial"/>
                <w:sz w:val="22"/>
                <w:szCs w:val="22"/>
                <w:lang w:val="en-GB" w:eastAsia="en-GB"/>
              </w:rPr>
            </w:pPr>
            <w:r w:rsidRPr="00A1475C">
              <w:rPr>
                <w:rFonts w:ascii="Calibri" w:eastAsia="Times New Roman" w:hAnsi="Calibri" w:cs="Arial"/>
                <w:sz w:val="22"/>
                <w:szCs w:val="22"/>
                <w:lang w:val="en-GB" w:eastAsia="en-GB"/>
              </w:rPr>
              <w:t> </w:t>
            </w:r>
          </w:p>
        </w:tc>
        <w:tc>
          <w:tcPr>
            <w:tcW w:w="1196" w:type="dxa"/>
            <w:tcBorders>
              <w:top w:val="single" w:sz="4" w:space="0" w:color="auto"/>
              <w:left w:val="nil"/>
              <w:bottom w:val="single" w:sz="4" w:space="0" w:color="auto"/>
              <w:right w:val="nil"/>
            </w:tcBorders>
            <w:shd w:val="clear" w:color="000000" w:fill="C5D9F1"/>
            <w:noWrap/>
            <w:vAlign w:val="center"/>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5,341</w:t>
            </w:r>
          </w:p>
        </w:tc>
        <w:tc>
          <w:tcPr>
            <w:tcW w:w="256" w:type="dxa"/>
            <w:tcBorders>
              <w:top w:val="single" w:sz="4" w:space="0" w:color="auto"/>
              <w:left w:val="nil"/>
              <w:bottom w:val="single" w:sz="4" w:space="0" w:color="auto"/>
              <w:right w:val="nil"/>
            </w:tcBorders>
            <w:shd w:val="clear" w:color="000000" w:fill="C5D9F1"/>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216" w:type="dxa"/>
            <w:tcBorders>
              <w:top w:val="single" w:sz="4" w:space="0" w:color="auto"/>
              <w:left w:val="nil"/>
              <w:bottom w:val="single" w:sz="4" w:space="0" w:color="auto"/>
              <w:right w:val="nil"/>
            </w:tcBorders>
            <w:shd w:val="clear" w:color="000000" w:fill="D9D9D9"/>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c>
          <w:tcPr>
            <w:tcW w:w="1196" w:type="dxa"/>
            <w:tcBorders>
              <w:top w:val="single" w:sz="4" w:space="0" w:color="auto"/>
              <w:left w:val="nil"/>
              <w:bottom w:val="single" w:sz="4" w:space="0" w:color="auto"/>
              <w:right w:val="nil"/>
            </w:tcBorders>
            <w:shd w:val="clear" w:color="000000" w:fill="EBF1DE"/>
            <w:noWrap/>
            <w:vAlign w:val="center"/>
          </w:tcPr>
          <w:p w:rsidR="00A1475C" w:rsidRPr="00A1475C" w:rsidRDefault="00A1475C" w:rsidP="00A1475C">
            <w:pPr>
              <w:jc w:val="right"/>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5,432</w:t>
            </w:r>
          </w:p>
        </w:tc>
        <w:tc>
          <w:tcPr>
            <w:tcW w:w="256" w:type="dxa"/>
            <w:tcBorders>
              <w:top w:val="single" w:sz="4" w:space="0" w:color="auto"/>
              <w:left w:val="nil"/>
              <w:bottom w:val="single" w:sz="4" w:space="0" w:color="auto"/>
              <w:right w:val="nil"/>
            </w:tcBorders>
            <w:shd w:val="clear" w:color="000000" w:fill="EBF1DE"/>
            <w:noWrap/>
            <w:vAlign w:val="center"/>
          </w:tcPr>
          <w:p w:rsidR="00A1475C" w:rsidRPr="00A1475C" w:rsidRDefault="00A1475C" w:rsidP="00A1475C">
            <w:pPr>
              <w:rPr>
                <w:rFonts w:ascii="Calibri" w:eastAsia="Times New Roman" w:hAnsi="Calibri" w:cs="Arial"/>
                <w:b/>
                <w:bCs/>
                <w:sz w:val="22"/>
                <w:szCs w:val="22"/>
                <w:lang w:val="en-GB" w:eastAsia="en-GB"/>
              </w:rPr>
            </w:pPr>
            <w:r w:rsidRPr="00A1475C">
              <w:rPr>
                <w:rFonts w:ascii="Calibri" w:eastAsia="Times New Roman" w:hAnsi="Calibri" w:cs="Arial"/>
                <w:b/>
                <w:bCs/>
                <w:sz w:val="22"/>
                <w:szCs w:val="22"/>
                <w:lang w:val="en-GB" w:eastAsia="en-GB"/>
              </w:rPr>
              <w:t> </w:t>
            </w:r>
          </w:p>
        </w:tc>
      </w:tr>
      <w:tr w:rsidR="00A1475C" w:rsidRPr="00A1475C">
        <w:trPr>
          <w:trHeight w:val="285"/>
        </w:trPr>
        <w:tc>
          <w:tcPr>
            <w:tcW w:w="4708"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lastRenderedPageBreak/>
              <w:t> </w:t>
            </w:r>
          </w:p>
        </w:tc>
        <w:tc>
          <w:tcPr>
            <w:tcW w:w="1128"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c>
          <w:tcPr>
            <w:tcW w:w="216"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c>
          <w:tcPr>
            <w:tcW w:w="1196"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c>
          <w:tcPr>
            <w:tcW w:w="256" w:type="dxa"/>
            <w:tcBorders>
              <w:top w:val="nil"/>
              <w:left w:val="nil"/>
              <w:bottom w:val="nil"/>
              <w:right w:val="nil"/>
            </w:tcBorders>
            <w:shd w:val="clear" w:color="000000" w:fill="FFFFFF"/>
            <w:noWrap/>
            <w:vAlign w:val="bottom"/>
          </w:tcPr>
          <w:p w:rsidR="00A1475C" w:rsidRPr="00A1475C" w:rsidRDefault="00A1475C" w:rsidP="00A1475C">
            <w:pPr>
              <w:rPr>
                <w:rFonts w:ascii="Arial" w:eastAsia="Times New Roman" w:hAnsi="Arial" w:cs="Arial"/>
                <w:sz w:val="22"/>
                <w:szCs w:val="22"/>
                <w:lang w:val="en-GB" w:eastAsia="en-GB"/>
              </w:rPr>
            </w:pPr>
            <w:r w:rsidRPr="00A1475C">
              <w:rPr>
                <w:rFonts w:ascii="Arial" w:eastAsia="Times New Roman" w:hAnsi="Arial" w:cs="Arial"/>
                <w:sz w:val="22"/>
                <w:szCs w:val="22"/>
                <w:lang w:val="en-GB" w:eastAsia="en-GB"/>
              </w:rPr>
              <w:t> </w:t>
            </w:r>
          </w:p>
        </w:tc>
      </w:tr>
    </w:tbl>
    <w:p w:rsidR="00820BA7" w:rsidRPr="00297915" w:rsidRDefault="00A1475C">
      <w:pPr>
        <w:rPr>
          <w:rFonts w:ascii="Calibri" w:eastAsia="Times New Roman" w:hAnsi="Calibri" w:cs="Arial"/>
          <w:b/>
          <w:bCs/>
          <w:lang w:val="en-GB" w:eastAsia="en-GB"/>
        </w:rPr>
      </w:pPr>
      <w:r w:rsidRPr="00A1475C">
        <w:rPr>
          <w:noProof/>
          <w:lang w:val="en-GB" w:eastAsia="en-GB"/>
        </w:rPr>
        <w:drawing>
          <wp:inline distT="0" distB="0" distL="0" distR="0">
            <wp:extent cx="5767094" cy="713893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0491" cy="7143135"/>
                    </a:xfrm>
                    <a:prstGeom prst="rect">
                      <a:avLst/>
                    </a:prstGeom>
                    <a:noFill/>
                    <a:ln>
                      <a:noFill/>
                    </a:ln>
                  </pic:spPr>
                </pic:pic>
              </a:graphicData>
            </a:graphic>
          </wp:inline>
        </w:drawing>
      </w:r>
    </w:p>
    <w:p w:rsidR="00820BA7" w:rsidRDefault="00820BA7">
      <w:pPr>
        <w:rPr>
          <w:rFonts w:asciiTheme="minorHAnsi" w:hAnsiTheme="minorHAnsi" w:cs="Calibri"/>
          <w:b/>
        </w:rPr>
      </w:pPr>
    </w:p>
    <w:p w:rsidR="001E4474" w:rsidRDefault="001E4474">
      <w:pPr>
        <w:rPr>
          <w:rFonts w:asciiTheme="minorHAnsi" w:hAnsiTheme="minorHAnsi" w:cs="Calibri"/>
          <w:b/>
        </w:rPr>
      </w:pPr>
      <w:r>
        <w:rPr>
          <w:rFonts w:asciiTheme="minorHAnsi" w:hAnsiTheme="minorHAnsi" w:cs="Calibri"/>
          <w:b/>
        </w:rPr>
        <w:br w:type="page"/>
      </w:r>
    </w:p>
    <w:p w:rsidR="00297915" w:rsidRDefault="00820BA7" w:rsidP="00297915">
      <w:pPr>
        <w:rPr>
          <w:rFonts w:ascii="Calibri" w:hAnsi="Calibri" w:cs="Calibri"/>
          <w:b/>
        </w:rPr>
      </w:pPr>
      <w:r w:rsidRPr="00297915">
        <w:rPr>
          <w:rFonts w:ascii="Calibri" w:hAnsi="Calibri" w:cs="Calibri"/>
          <w:b/>
        </w:rPr>
        <w:lastRenderedPageBreak/>
        <w:t>Annex 1, Appendix A: Projects Financed by Restricted Fund</w:t>
      </w:r>
      <w:r w:rsidR="00A1475C">
        <w:rPr>
          <w:rFonts w:ascii="Calibri" w:hAnsi="Calibri" w:cs="Calibri"/>
          <w:b/>
        </w:rPr>
        <w:t>s, 1 January to 31 December 2016</w:t>
      </w:r>
      <w:r w:rsidR="00297915">
        <w:rPr>
          <w:rFonts w:ascii="Calibri" w:hAnsi="Calibri" w:cs="Calibri"/>
          <w:b/>
        </w:rPr>
        <w:t xml:space="preserve"> (</w:t>
      </w:r>
      <w:r w:rsidR="00143C6A" w:rsidRPr="00143C6A">
        <w:rPr>
          <w:rFonts w:ascii="Calibri" w:hAnsi="Calibri" w:cs="Calibri"/>
          <w:b/>
        </w:rPr>
        <w:t xml:space="preserve">‘000 CHF, </w:t>
      </w:r>
      <w:r w:rsidR="00143C6A">
        <w:rPr>
          <w:rFonts w:ascii="Calibri" w:hAnsi="Calibri" w:cs="Calibri"/>
          <w:b/>
        </w:rPr>
        <w:t xml:space="preserve">includes possible </w:t>
      </w:r>
      <w:r w:rsidR="00297915">
        <w:rPr>
          <w:rFonts w:ascii="Calibri" w:hAnsi="Calibri" w:cs="Calibri"/>
          <w:b/>
        </w:rPr>
        <w:t xml:space="preserve">rounding </w:t>
      </w:r>
      <w:r w:rsidR="00143C6A">
        <w:rPr>
          <w:rFonts w:ascii="Calibri" w:hAnsi="Calibri" w:cs="Calibri"/>
          <w:b/>
        </w:rPr>
        <w:t>differences</w:t>
      </w:r>
      <w:r w:rsidR="00297915">
        <w:rPr>
          <w:rFonts w:ascii="Calibri" w:hAnsi="Calibri" w:cs="Calibri"/>
          <w:b/>
        </w:rPr>
        <w:t>)</w:t>
      </w:r>
    </w:p>
    <w:p w:rsidR="00F83158" w:rsidRDefault="00A1475C" w:rsidP="00D2130B">
      <w:pPr>
        <w:rPr>
          <w:rFonts w:asciiTheme="minorHAnsi" w:hAnsiTheme="minorHAnsi" w:cs="Calibri"/>
          <w:b/>
        </w:rPr>
      </w:pPr>
      <w:r w:rsidRPr="00A1475C">
        <w:rPr>
          <w:noProof/>
          <w:lang w:val="en-GB" w:eastAsia="en-GB"/>
        </w:rPr>
        <w:drawing>
          <wp:inline distT="0" distB="0" distL="0" distR="0">
            <wp:extent cx="5318243" cy="845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7030" cy="8488079"/>
                    </a:xfrm>
                    <a:prstGeom prst="rect">
                      <a:avLst/>
                    </a:prstGeom>
                    <a:noFill/>
                    <a:ln>
                      <a:noFill/>
                    </a:ln>
                  </pic:spPr>
                </pic:pic>
              </a:graphicData>
            </a:graphic>
          </wp:inline>
        </w:drawing>
      </w:r>
    </w:p>
    <w:p w:rsidR="00C01945" w:rsidRDefault="00D2130B" w:rsidP="00D2130B">
      <w:pPr>
        <w:rPr>
          <w:rFonts w:asciiTheme="minorHAnsi" w:hAnsiTheme="minorHAnsi" w:cs="Calibri"/>
          <w:b/>
        </w:rPr>
      </w:pPr>
      <w:r w:rsidRPr="00D2130B">
        <w:rPr>
          <w:rFonts w:asciiTheme="minorHAnsi" w:hAnsiTheme="minorHAnsi" w:cs="Calibri"/>
          <w:b/>
        </w:rPr>
        <w:lastRenderedPageBreak/>
        <w:t xml:space="preserve">Annex 2 </w:t>
      </w:r>
    </w:p>
    <w:p w:rsidR="00D2130B" w:rsidRPr="00546D30" w:rsidRDefault="00C61542" w:rsidP="00E91BC8">
      <w:pPr>
        <w:rPr>
          <w:rFonts w:ascii="Calibri" w:hAnsi="Calibri"/>
          <w:b/>
          <w:u w:val="single"/>
        </w:rPr>
      </w:pPr>
      <w:r>
        <w:rPr>
          <w:rFonts w:ascii="Calibri" w:hAnsi="Calibri" w:cs="Calibri"/>
          <w:b/>
        </w:rPr>
        <w:t xml:space="preserve">Preliminary </w:t>
      </w:r>
      <w:r w:rsidR="00A1475C">
        <w:rPr>
          <w:rFonts w:ascii="Calibri" w:hAnsi="Calibri" w:cs="Calibri"/>
          <w:b/>
        </w:rPr>
        <w:t>2016</w:t>
      </w:r>
      <w:r w:rsidR="00D2130B" w:rsidRPr="00D2130B">
        <w:rPr>
          <w:rFonts w:ascii="Calibri" w:hAnsi="Calibri" w:cs="Calibri"/>
          <w:b/>
        </w:rPr>
        <w:t xml:space="preserve"> </w:t>
      </w:r>
      <w:r w:rsidR="00011670">
        <w:rPr>
          <w:rFonts w:ascii="Calibri" w:hAnsi="Calibri" w:cs="Calibri"/>
          <w:b/>
        </w:rPr>
        <w:t>c</w:t>
      </w:r>
      <w:r w:rsidR="00D2130B" w:rsidRPr="00D2130B">
        <w:rPr>
          <w:rFonts w:ascii="Calibri" w:hAnsi="Calibri" w:cs="Calibri"/>
          <w:b/>
        </w:rPr>
        <w:t xml:space="preserve">ore </w:t>
      </w:r>
      <w:r w:rsidR="00011670">
        <w:rPr>
          <w:rFonts w:ascii="Calibri" w:hAnsi="Calibri" w:cs="Calibri"/>
          <w:b/>
        </w:rPr>
        <w:t>r</w:t>
      </w:r>
      <w:r w:rsidR="00A1475C">
        <w:rPr>
          <w:rFonts w:ascii="Calibri" w:hAnsi="Calibri" w:cs="Calibri"/>
          <w:b/>
        </w:rPr>
        <w:t>esults, with SC51</w:t>
      </w:r>
      <w:r w:rsidR="00D2130B" w:rsidRPr="00D2130B">
        <w:rPr>
          <w:rFonts w:ascii="Calibri" w:hAnsi="Calibri" w:cs="Calibri"/>
          <w:b/>
        </w:rPr>
        <w:t xml:space="preserve"> </w:t>
      </w:r>
      <w:r w:rsidR="00773F5F">
        <w:rPr>
          <w:rFonts w:ascii="Calibri" w:hAnsi="Calibri" w:cs="Calibri"/>
          <w:b/>
        </w:rPr>
        <w:t xml:space="preserve">changes to COP12 </w:t>
      </w:r>
      <w:r w:rsidR="00D2130B" w:rsidRPr="00D2130B">
        <w:rPr>
          <w:rFonts w:ascii="Calibri" w:hAnsi="Calibri" w:cs="Calibri"/>
          <w:b/>
        </w:rPr>
        <w:t>approved budget, actuals and variance from approved budget</w:t>
      </w:r>
      <w:r w:rsidR="00685D5C">
        <w:rPr>
          <w:rFonts w:ascii="Calibri" w:hAnsi="Calibri" w:cs="Calibri"/>
          <w:b/>
        </w:rPr>
        <w:t xml:space="preserve"> (includes </w:t>
      </w:r>
      <w:r w:rsidR="00143C6A">
        <w:rPr>
          <w:rFonts w:ascii="Calibri" w:hAnsi="Calibri" w:cs="Calibri"/>
          <w:b/>
        </w:rPr>
        <w:t xml:space="preserve">possible </w:t>
      </w:r>
      <w:r w:rsidR="00685D5C">
        <w:rPr>
          <w:rFonts w:ascii="Calibri" w:hAnsi="Calibri" w:cs="Calibri"/>
          <w:b/>
        </w:rPr>
        <w:t xml:space="preserve">rounding </w:t>
      </w:r>
      <w:r w:rsidR="00143C6A">
        <w:rPr>
          <w:rFonts w:ascii="Calibri" w:hAnsi="Calibri" w:cs="Calibri"/>
          <w:b/>
        </w:rPr>
        <w:t>differences</w:t>
      </w:r>
      <w:r w:rsidR="00685D5C">
        <w:rPr>
          <w:rFonts w:ascii="Calibri" w:hAnsi="Calibri" w:cs="Calibri"/>
          <w:b/>
        </w:rPr>
        <w:t>)</w:t>
      </w:r>
    </w:p>
    <w:p w:rsidR="00D2130B" w:rsidRPr="00D2130B" w:rsidRDefault="00546D30" w:rsidP="002D6888">
      <w:pPr>
        <w:rPr>
          <w:rFonts w:asciiTheme="minorHAnsi" w:hAnsiTheme="minorHAnsi" w:cs="Calibri"/>
          <w:b/>
          <w:lang w:val="en-GB"/>
        </w:rPr>
      </w:pPr>
      <w:r w:rsidRPr="00546D30">
        <w:rPr>
          <w:noProof/>
          <w:lang w:val="en-GB" w:eastAsia="en-GB"/>
        </w:rPr>
        <w:drawing>
          <wp:inline distT="0" distB="0" distL="0" distR="0">
            <wp:extent cx="4407905" cy="8124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11750" cy="8132028"/>
                    </a:xfrm>
                    <a:prstGeom prst="rect">
                      <a:avLst/>
                    </a:prstGeom>
                  </pic:spPr>
                </pic:pic>
              </a:graphicData>
            </a:graphic>
          </wp:inline>
        </w:drawing>
      </w:r>
    </w:p>
    <w:p w:rsidR="00C01945" w:rsidRDefault="00C01945" w:rsidP="002D6888">
      <w:pPr>
        <w:rPr>
          <w:rFonts w:asciiTheme="minorHAnsi" w:hAnsiTheme="minorHAnsi" w:cs="Calibri"/>
          <w:b/>
        </w:rPr>
      </w:pPr>
      <w:r>
        <w:rPr>
          <w:rFonts w:asciiTheme="minorHAnsi" w:hAnsiTheme="minorHAnsi" w:cs="Calibri"/>
          <w:b/>
        </w:rPr>
        <w:lastRenderedPageBreak/>
        <w:t xml:space="preserve">Annex 3 </w:t>
      </w:r>
    </w:p>
    <w:p w:rsidR="00584EE3" w:rsidRDefault="00C30743" w:rsidP="002D6888">
      <w:pPr>
        <w:rPr>
          <w:rFonts w:asciiTheme="minorHAnsi" w:hAnsiTheme="minorHAnsi" w:cs="Calibri"/>
          <w:b/>
        </w:rPr>
      </w:pPr>
      <w:r>
        <w:rPr>
          <w:rFonts w:asciiTheme="minorHAnsi" w:hAnsiTheme="minorHAnsi" w:cs="Calibri"/>
          <w:b/>
        </w:rPr>
        <w:t>COP12-</w:t>
      </w:r>
      <w:r w:rsidR="00C01945">
        <w:rPr>
          <w:rFonts w:asciiTheme="minorHAnsi" w:hAnsiTheme="minorHAnsi" w:cs="Calibri"/>
          <w:b/>
        </w:rPr>
        <w:t>a</w:t>
      </w:r>
      <w:r w:rsidR="00584EE3">
        <w:rPr>
          <w:rFonts w:asciiTheme="minorHAnsi" w:hAnsiTheme="minorHAnsi" w:cs="Calibri"/>
          <w:b/>
        </w:rPr>
        <w:t>pproved 201</w:t>
      </w:r>
      <w:r w:rsidR="00546D30">
        <w:rPr>
          <w:rFonts w:asciiTheme="minorHAnsi" w:hAnsiTheme="minorHAnsi" w:cs="Calibri"/>
          <w:b/>
        </w:rPr>
        <w:t>7</w:t>
      </w:r>
      <w:r w:rsidR="00584EE3">
        <w:rPr>
          <w:rFonts w:asciiTheme="minorHAnsi" w:hAnsiTheme="minorHAnsi" w:cs="Calibri"/>
          <w:b/>
        </w:rPr>
        <w:t xml:space="preserve"> </w:t>
      </w:r>
      <w:r w:rsidR="00011670">
        <w:rPr>
          <w:rFonts w:asciiTheme="minorHAnsi" w:hAnsiTheme="minorHAnsi" w:cs="Calibri"/>
          <w:b/>
        </w:rPr>
        <w:t>b</w:t>
      </w:r>
      <w:r w:rsidR="00584EE3">
        <w:rPr>
          <w:rFonts w:asciiTheme="minorHAnsi" w:hAnsiTheme="minorHAnsi" w:cs="Calibri"/>
          <w:b/>
        </w:rPr>
        <w:t>udget, CHF 000s</w:t>
      </w:r>
    </w:p>
    <w:p w:rsidR="00584EE3" w:rsidRPr="00E91BC8" w:rsidRDefault="00584EE3" w:rsidP="002D6888">
      <w:pPr>
        <w:rPr>
          <w:rFonts w:asciiTheme="minorHAnsi" w:hAnsiTheme="minorHAnsi"/>
          <w:b/>
        </w:rPr>
      </w:pPr>
    </w:p>
    <w:p w:rsidR="00584EE3" w:rsidRDefault="00546D30" w:rsidP="002D6888">
      <w:pPr>
        <w:rPr>
          <w:rFonts w:asciiTheme="minorHAnsi" w:hAnsiTheme="minorHAnsi" w:cs="Calibri"/>
          <w:b/>
        </w:rPr>
      </w:pPr>
      <w:r w:rsidRPr="00546D30">
        <w:rPr>
          <w:noProof/>
          <w:lang w:val="en-GB" w:eastAsia="en-GB"/>
        </w:rPr>
        <w:drawing>
          <wp:inline distT="0" distB="0" distL="0" distR="0">
            <wp:extent cx="3591560" cy="82296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91560" cy="8229600"/>
                    </a:xfrm>
                    <a:prstGeom prst="rect">
                      <a:avLst/>
                    </a:prstGeom>
                  </pic:spPr>
                </pic:pic>
              </a:graphicData>
            </a:graphic>
          </wp:inline>
        </w:drawing>
      </w:r>
    </w:p>
    <w:p w:rsidR="00EE3D4F" w:rsidRDefault="00EE3D4F" w:rsidP="00EE3D4F">
      <w:pPr>
        <w:rPr>
          <w:rFonts w:asciiTheme="minorHAnsi" w:hAnsiTheme="minorHAnsi" w:cs="Calibri"/>
          <w:b/>
        </w:rPr>
      </w:pPr>
      <w:r>
        <w:rPr>
          <w:rFonts w:asciiTheme="minorHAnsi" w:hAnsiTheme="minorHAnsi" w:cs="Calibri"/>
          <w:b/>
        </w:rPr>
        <w:lastRenderedPageBreak/>
        <w:t xml:space="preserve">Annex 4 </w:t>
      </w:r>
    </w:p>
    <w:p w:rsidR="00EE3D4F" w:rsidRDefault="00EE3D4F" w:rsidP="00EE3D4F">
      <w:pPr>
        <w:rPr>
          <w:noProof/>
          <w:lang w:val="en-GB" w:eastAsia="en-GB"/>
        </w:rPr>
      </w:pPr>
      <w:r>
        <w:rPr>
          <w:rFonts w:asciiTheme="minorHAnsi" w:hAnsiTheme="minorHAnsi" w:cs="Calibri"/>
          <w:b/>
        </w:rPr>
        <w:t>COP12-approved 2018 budget, CHF 000s</w:t>
      </w:r>
      <w:r w:rsidRPr="00546D30">
        <w:rPr>
          <w:noProof/>
          <w:lang w:val="en-GB" w:eastAsia="en-GB"/>
        </w:rPr>
        <w:t xml:space="preserve"> </w:t>
      </w:r>
    </w:p>
    <w:p w:rsidR="00EE3D4F" w:rsidRDefault="00EE3D4F" w:rsidP="00EE3D4F">
      <w:pPr>
        <w:rPr>
          <w:noProof/>
          <w:lang w:val="en-GB" w:eastAsia="en-GB"/>
        </w:rPr>
      </w:pPr>
    </w:p>
    <w:p w:rsidR="00EE3D4F" w:rsidRDefault="00EE3D4F" w:rsidP="00EE3D4F">
      <w:pPr>
        <w:rPr>
          <w:rFonts w:asciiTheme="minorHAnsi" w:hAnsiTheme="minorHAnsi" w:cs="Calibri"/>
          <w:b/>
        </w:rPr>
      </w:pPr>
      <w:r w:rsidRPr="00546D30">
        <w:rPr>
          <w:noProof/>
          <w:lang w:val="en-GB" w:eastAsia="en-GB"/>
        </w:rPr>
        <w:drawing>
          <wp:inline distT="0" distB="0" distL="0" distR="0" wp14:anchorId="06712D44" wp14:editId="3EE22B7F">
            <wp:extent cx="3591560" cy="8229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91560" cy="8229600"/>
                    </a:xfrm>
                    <a:prstGeom prst="rect">
                      <a:avLst/>
                    </a:prstGeom>
                  </pic:spPr>
                </pic:pic>
              </a:graphicData>
            </a:graphic>
          </wp:inline>
        </w:drawing>
      </w:r>
      <w:r>
        <w:rPr>
          <w:rFonts w:asciiTheme="minorHAnsi" w:hAnsiTheme="minorHAnsi" w:cs="Calibri"/>
          <w:b/>
        </w:rPr>
        <w:br w:type="page"/>
      </w:r>
    </w:p>
    <w:p w:rsidR="00584EE3" w:rsidRDefault="00584EE3" w:rsidP="002D6888">
      <w:pPr>
        <w:rPr>
          <w:rFonts w:asciiTheme="minorHAnsi" w:hAnsiTheme="minorHAnsi" w:cs="Calibri"/>
          <w:b/>
        </w:rPr>
      </w:pPr>
    </w:p>
    <w:p w:rsidR="000069E0" w:rsidRPr="003A25EC" w:rsidRDefault="00D67AA9" w:rsidP="002D6888">
      <w:pPr>
        <w:rPr>
          <w:rFonts w:asciiTheme="minorHAnsi" w:hAnsiTheme="minorHAnsi" w:cs="Calibri"/>
          <w:b/>
        </w:rPr>
      </w:pPr>
      <w:r>
        <w:rPr>
          <w:rFonts w:asciiTheme="minorHAnsi" w:hAnsiTheme="minorHAnsi" w:cs="Calibri"/>
          <w:b/>
        </w:rPr>
        <w:t xml:space="preserve">Annex </w:t>
      </w:r>
      <w:r w:rsidR="00EE3D4F">
        <w:rPr>
          <w:rFonts w:asciiTheme="minorHAnsi" w:hAnsiTheme="minorHAnsi" w:cs="Calibri"/>
          <w:b/>
        </w:rPr>
        <w:t>5</w:t>
      </w:r>
    </w:p>
    <w:p w:rsidR="00A135F5" w:rsidRPr="00C01945" w:rsidRDefault="00A135F5" w:rsidP="00E91BC8">
      <w:pPr>
        <w:ind w:left="567" w:hanging="567"/>
        <w:rPr>
          <w:rFonts w:asciiTheme="minorHAnsi" w:hAnsiTheme="minorHAnsi"/>
          <w:b/>
        </w:rPr>
      </w:pPr>
      <w:r w:rsidRPr="00C01945">
        <w:rPr>
          <w:rFonts w:asciiTheme="minorHAnsi" w:hAnsiTheme="minorHAnsi"/>
          <w:b/>
          <w:bCs/>
        </w:rPr>
        <w:t>201</w:t>
      </w:r>
      <w:r w:rsidR="00546D30">
        <w:rPr>
          <w:rFonts w:asciiTheme="minorHAnsi" w:hAnsiTheme="minorHAnsi"/>
          <w:b/>
          <w:bCs/>
        </w:rPr>
        <w:t>6</w:t>
      </w:r>
      <w:r w:rsidRPr="00C01945">
        <w:rPr>
          <w:rFonts w:asciiTheme="minorHAnsi" w:hAnsiTheme="minorHAnsi"/>
          <w:b/>
          <w:bCs/>
        </w:rPr>
        <w:t>-201</w:t>
      </w:r>
      <w:r w:rsidR="00546D30">
        <w:rPr>
          <w:rFonts w:asciiTheme="minorHAnsi" w:hAnsiTheme="minorHAnsi"/>
          <w:b/>
          <w:bCs/>
        </w:rPr>
        <w:t>8</w:t>
      </w:r>
      <w:r w:rsidRPr="00C01945">
        <w:rPr>
          <w:rFonts w:asciiTheme="minorHAnsi" w:hAnsiTheme="minorHAnsi"/>
          <w:b/>
          <w:bCs/>
        </w:rPr>
        <w:t xml:space="preserve"> budgeted non-</w:t>
      </w:r>
      <w:r w:rsidR="00353ECB" w:rsidRPr="00C01945">
        <w:rPr>
          <w:rFonts w:asciiTheme="minorHAnsi" w:hAnsiTheme="minorHAnsi"/>
          <w:b/>
          <w:bCs/>
        </w:rPr>
        <w:t>c</w:t>
      </w:r>
      <w:r w:rsidRPr="00C01945">
        <w:rPr>
          <w:rFonts w:asciiTheme="minorHAnsi" w:hAnsiTheme="minorHAnsi"/>
          <w:b/>
          <w:bCs/>
        </w:rPr>
        <w:t>ore expenditures</w:t>
      </w:r>
      <w:r w:rsidR="00102FC1" w:rsidRPr="00C01945">
        <w:rPr>
          <w:rFonts w:asciiTheme="minorHAnsi" w:hAnsiTheme="minorHAnsi"/>
          <w:b/>
          <w:bCs/>
        </w:rPr>
        <w:t xml:space="preserve"> (</w:t>
      </w:r>
      <w:r w:rsidR="00546D30" w:rsidRPr="00546D30">
        <w:rPr>
          <w:rFonts w:asciiTheme="minorHAnsi" w:hAnsiTheme="minorHAnsi"/>
          <w:b/>
          <w:bCs/>
        </w:rPr>
        <w:t>Annex 3 of Resolution XII.1</w:t>
      </w:r>
      <w:r w:rsidR="00297915">
        <w:rPr>
          <w:rFonts w:asciiTheme="minorHAnsi" w:hAnsiTheme="minorHAnsi"/>
          <w:b/>
          <w:bCs/>
        </w:rPr>
        <w:t>)</w:t>
      </w:r>
    </w:p>
    <w:p w:rsidR="00A135F5" w:rsidRDefault="00A135F5" w:rsidP="00A135F5">
      <w:r>
        <w:t> </w:t>
      </w:r>
    </w:p>
    <w:p w:rsidR="00A135F5" w:rsidRDefault="00B64789" w:rsidP="00A135F5">
      <w:pPr>
        <w:rPr>
          <w:rFonts w:ascii="Calibri" w:eastAsia="MS PGothic" w:hAnsi="Calibri" w:cs="Calibri"/>
          <w:sz w:val="22"/>
          <w:szCs w:val="22"/>
          <w:lang w:eastAsia="ja-JP"/>
        </w:rPr>
      </w:pPr>
      <w:r w:rsidRPr="00A120C2">
        <w:rPr>
          <w:noProof/>
          <w:lang w:val="en-GB" w:eastAsia="en-GB"/>
        </w:rPr>
        <w:drawing>
          <wp:inline distT="0" distB="0" distL="0" distR="0">
            <wp:extent cx="47625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r w:rsidR="00A135F5">
        <w:rPr>
          <w:color w:val="1F497D"/>
          <w:lang w:val="en-GB"/>
        </w:rPr>
        <w:t> </w:t>
      </w:r>
    </w:p>
    <w:p w:rsidR="00C4435F" w:rsidRDefault="00C4435F" w:rsidP="0044433D">
      <w:pPr>
        <w:rPr>
          <w:rFonts w:ascii="Calibri" w:hAnsi="Calibri" w:cs="Calibri"/>
          <w:b/>
          <w:sz w:val="26"/>
          <w:szCs w:val="26"/>
        </w:rPr>
      </w:pPr>
    </w:p>
    <w:sectPr w:rsidR="00C4435F" w:rsidSect="00C90D3C">
      <w:footerReference w:type="default" r:id="rId15"/>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73" w:rsidRDefault="00A43173">
      <w:r>
        <w:separator/>
      </w:r>
    </w:p>
  </w:endnote>
  <w:endnote w:type="continuationSeparator" w:id="0">
    <w:p w:rsidR="00A43173" w:rsidRDefault="00A43173">
      <w:r>
        <w:continuationSeparator/>
      </w:r>
    </w:p>
  </w:endnote>
  <w:endnote w:type="continuationNotice" w:id="1">
    <w:p w:rsidR="00A43173" w:rsidRDefault="00A43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73" w:rsidRPr="003A25EC" w:rsidRDefault="00A43173" w:rsidP="00C90D3C">
    <w:pPr>
      <w:pStyle w:val="Footer"/>
      <w:tabs>
        <w:tab w:val="clear" w:pos="8640"/>
        <w:tab w:val="right" w:pos="9000"/>
      </w:tabs>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53</w:t>
    </w:r>
    <w:r w:rsidRPr="003A25EC">
      <w:rPr>
        <w:rFonts w:asciiTheme="minorHAnsi" w:hAnsiTheme="minorHAnsi"/>
        <w:sz w:val="20"/>
        <w:szCs w:val="20"/>
      </w:rPr>
      <w:t>-</w:t>
    </w:r>
    <w:r>
      <w:rPr>
        <w:rFonts w:asciiTheme="minorHAnsi" w:hAnsiTheme="minorHAnsi"/>
        <w:sz w:val="20"/>
        <w:szCs w:val="20"/>
      </w:rPr>
      <w:t>20</w:t>
    </w:r>
    <w:r w:rsidRPr="003A25EC">
      <w:rPr>
        <w:rFonts w:asciiTheme="minorHAnsi" w:hAnsiTheme="minorHAnsi"/>
        <w:sz w:val="20"/>
        <w:szCs w:val="20"/>
      </w:rPr>
      <w:tab/>
    </w:r>
    <w:r w:rsidRPr="003A25EC">
      <w:rPr>
        <w:rFonts w:asciiTheme="minorHAnsi" w:hAnsiTheme="minorHAnsi"/>
        <w:sz w:val="20"/>
        <w:szCs w:val="20"/>
      </w:rPr>
      <w:tab/>
    </w:r>
    <w:r>
      <w:fldChar w:fldCharType="begin"/>
    </w:r>
    <w:r>
      <w:instrText xml:space="preserve"> PAGE   \* MERGEFORMAT </w:instrText>
    </w:r>
    <w:r>
      <w:fldChar w:fldCharType="separate"/>
    </w:r>
    <w:r w:rsidR="001728D6" w:rsidRPr="001728D6">
      <w:rPr>
        <w:rFonts w:asciiTheme="minorHAnsi" w:hAnsiTheme="minorHAnsi"/>
        <w:noProof/>
        <w:sz w:val="20"/>
        <w:szCs w:val="20"/>
      </w:rPr>
      <w:t>2</w:t>
    </w:r>
    <w:r>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73" w:rsidRDefault="00A43173">
      <w:r>
        <w:separator/>
      </w:r>
    </w:p>
  </w:footnote>
  <w:footnote w:type="continuationSeparator" w:id="0">
    <w:p w:rsidR="00A43173" w:rsidRDefault="00A43173">
      <w:r>
        <w:continuationSeparator/>
      </w:r>
    </w:p>
  </w:footnote>
  <w:footnote w:type="continuationNotice" w:id="1">
    <w:p w:rsidR="00A43173" w:rsidRDefault="00A43173"/>
  </w:footnote>
  <w:footnote w:id="2">
    <w:p w:rsidR="00A43173" w:rsidRPr="00C30743" w:rsidRDefault="00A43173">
      <w:pPr>
        <w:pStyle w:val="FootnoteText"/>
        <w:rPr>
          <w:rFonts w:asciiTheme="minorHAnsi" w:hAnsiTheme="minorHAnsi"/>
          <w:lang w:val="en-GB"/>
        </w:rPr>
      </w:pPr>
      <w:r w:rsidRPr="00C30743">
        <w:rPr>
          <w:rStyle w:val="FootnoteReference"/>
          <w:rFonts w:asciiTheme="minorHAnsi" w:hAnsiTheme="minorHAnsi"/>
        </w:rPr>
        <w:footnoteRef/>
      </w:r>
      <w:r w:rsidRPr="00C30743">
        <w:rPr>
          <w:rFonts w:asciiTheme="minorHAnsi" w:hAnsiTheme="minorHAnsi"/>
        </w:rPr>
        <w:t xml:space="preserve"> Amount reported as “Total transfer between core and projects” in the Ramsar 2014 audited income statement.</w:t>
      </w:r>
    </w:p>
  </w:footnote>
  <w:footnote w:id="3">
    <w:p w:rsidR="00A43173" w:rsidRPr="00C30743" w:rsidRDefault="00A43173" w:rsidP="000066BD">
      <w:pPr>
        <w:pStyle w:val="FootnoteText"/>
        <w:rPr>
          <w:rFonts w:asciiTheme="minorHAnsi" w:hAnsiTheme="minorHAnsi"/>
          <w:lang w:val="en-GB"/>
        </w:rPr>
      </w:pPr>
      <w:r w:rsidRPr="00C30743">
        <w:rPr>
          <w:rStyle w:val="FootnoteReference"/>
          <w:rFonts w:asciiTheme="minorHAnsi" w:hAnsiTheme="minorHAnsi"/>
        </w:rPr>
        <w:footnoteRef/>
      </w:r>
      <w:r w:rsidRPr="00C30743">
        <w:rPr>
          <w:rFonts w:asciiTheme="minorHAnsi" w:hAnsiTheme="minorHAnsi"/>
        </w:rPr>
        <w:t xml:space="preserve"> Amount reported as “Total transfer between core and projects” in the Ramsar </w:t>
      </w:r>
      <w:r>
        <w:rPr>
          <w:rFonts w:asciiTheme="minorHAnsi" w:hAnsiTheme="minorHAnsi"/>
        </w:rPr>
        <w:t>2015 audited income statement.</w:t>
      </w:r>
    </w:p>
  </w:footnote>
  <w:footnote w:id="4">
    <w:p w:rsidR="00A43173" w:rsidRPr="00C30743" w:rsidRDefault="00A43173" w:rsidP="00E74F77">
      <w:pPr>
        <w:pStyle w:val="FootnoteText"/>
        <w:rPr>
          <w:rFonts w:asciiTheme="minorHAnsi" w:hAnsiTheme="minorHAnsi"/>
          <w:lang w:val="en-GB"/>
        </w:rPr>
      </w:pPr>
      <w:r w:rsidRPr="007220B9">
        <w:rPr>
          <w:rStyle w:val="FootnoteReference"/>
          <w:rFonts w:asciiTheme="minorHAnsi" w:hAnsiTheme="minorHAnsi"/>
        </w:rPr>
        <w:footnoteRef/>
      </w:r>
      <w:r w:rsidRPr="007220B9">
        <w:rPr>
          <w:rFonts w:asciiTheme="minorHAnsi" w:hAnsiTheme="minorHAnsi"/>
        </w:rPr>
        <w:t xml:space="preserve"> Voluntary cash contributions amount for 2016 before deducting CHF 80 k for the return to Uruguay of prior year contributions for COP12 funding.</w:t>
      </w:r>
      <w:r w:rsidRPr="00C30743">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C0C5B"/>
    <w:multiLevelType w:val="multilevel"/>
    <w:tmpl w:val="85B87488"/>
    <w:lvl w:ilvl="0">
      <w:start w:val="1"/>
      <w:numFmt w:val="lowerRoman"/>
      <w:lvlText w:val="%1."/>
      <w:lvlJc w:val="righ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C1FAF"/>
    <w:multiLevelType w:val="hybridMultilevel"/>
    <w:tmpl w:val="F9584534"/>
    <w:lvl w:ilvl="0" w:tplc="2EC45DAC">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nsid w:val="17E73D9D"/>
    <w:multiLevelType w:val="hybridMultilevel"/>
    <w:tmpl w:val="A9D82E28"/>
    <w:lvl w:ilvl="0" w:tplc="A0BA7BCC">
      <w:start w:val="1"/>
      <w:numFmt w:val="decimal"/>
      <w:lvlText w:val="%1."/>
      <w:lvlJc w:val="left"/>
      <w:pPr>
        <w:ind w:left="502" w:hanging="360"/>
      </w:pPr>
      <w:rPr>
        <w:rFonts w:hint="default"/>
        <w:strike/>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CA228B2"/>
    <w:multiLevelType w:val="multilevel"/>
    <w:tmpl w:val="A9D82E28"/>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1CFC1B9F"/>
    <w:multiLevelType w:val="multilevel"/>
    <w:tmpl w:val="E4682F82"/>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7F93D31"/>
    <w:multiLevelType w:val="hybridMultilevel"/>
    <w:tmpl w:val="EA848C6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3">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9E7EEB"/>
    <w:multiLevelType w:val="hybridMultilevel"/>
    <w:tmpl w:val="A008F084"/>
    <w:lvl w:ilvl="0" w:tplc="A0BA7BCC">
      <w:start w:val="1"/>
      <w:numFmt w:val="decimal"/>
      <w:lvlText w:val="%1."/>
      <w:lvlJc w:val="left"/>
      <w:pPr>
        <w:ind w:left="502"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F45630"/>
    <w:multiLevelType w:val="hybridMultilevel"/>
    <w:tmpl w:val="F3907C40"/>
    <w:lvl w:ilvl="0" w:tplc="7D00F69A">
      <w:start w:val="1"/>
      <w:numFmt w:val="decimal"/>
      <w:lvlText w:val="%1."/>
      <w:lvlJc w:val="left"/>
      <w:pPr>
        <w:ind w:left="502" w:hanging="360"/>
      </w:pPr>
      <w:rPr>
        <w:rFonts w:hint="default"/>
        <w:strike w:val="0"/>
        <w:dstrike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51C359DE"/>
    <w:multiLevelType w:val="hybridMultilevel"/>
    <w:tmpl w:val="D244FCB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9">
    <w:nsid w:val="5617720A"/>
    <w:multiLevelType w:val="hybridMultilevel"/>
    <w:tmpl w:val="2362C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07E6D"/>
    <w:multiLevelType w:val="hybridMultilevel"/>
    <w:tmpl w:val="03F0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1">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17FD7"/>
    <w:multiLevelType w:val="hybridMultilevel"/>
    <w:tmpl w:val="3E78FA1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653319DB"/>
    <w:multiLevelType w:val="hybridMultilevel"/>
    <w:tmpl w:val="A38E067A"/>
    <w:lvl w:ilvl="0" w:tplc="AB00AD7A">
      <w:start w:val="1"/>
      <w:numFmt w:val="lowerRoman"/>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4">
    <w:nsid w:val="71522428"/>
    <w:multiLevelType w:val="hybridMultilevel"/>
    <w:tmpl w:val="ABF8D5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0C6D9C"/>
    <w:multiLevelType w:val="multilevel"/>
    <w:tmpl w:val="F3907C40"/>
    <w:lvl w:ilvl="0">
      <w:start w:val="1"/>
      <w:numFmt w:val="decimal"/>
      <w:lvlText w:val="%1."/>
      <w:lvlJc w:val="left"/>
      <w:pPr>
        <w:ind w:left="502" w:hanging="360"/>
      </w:pPr>
      <w:rPr>
        <w:rFonts w:hint="default"/>
        <w:strike w:val="0"/>
        <w:dstrike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7CFD56B0"/>
    <w:multiLevelType w:val="hybridMultilevel"/>
    <w:tmpl w:val="3E128536"/>
    <w:lvl w:ilvl="0" w:tplc="2014E33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5"/>
  </w:num>
  <w:num w:numId="5">
    <w:abstractNumId w:val="25"/>
  </w:num>
  <w:num w:numId="6">
    <w:abstractNumId w:val="15"/>
  </w:num>
  <w:num w:numId="7">
    <w:abstractNumId w:val="3"/>
  </w:num>
  <w:num w:numId="8">
    <w:abstractNumId w:val="14"/>
  </w:num>
  <w:num w:numId="9">
    <w:abstractNumId w:val="1"/>
  </w:num>
  <w:num w:numId="10">
    <w:abstractNumId w:val="0"/>
  </w:num>
  <w:num w:numId="11">
    <w:abstractNumId w:val="6"/>
  </w:num>
  <w:num w:numId="12">
    <w:abstractNumId w:val="21"/>
  </w:num>
  <w:num w:numId="13">
    <w:abstractNumId w:val="2"/>
  </w:num>
  <w:num w:numId="14">
    <w:abstractNumId w:val="24"/>
  </w:num>
  <w:num w:numId="15">
    <w:abstractNumId w:val="19"/>
  </w:num>
  <w:num w:numId="16">
    <w:abstractNumId w:val="23"/>
  </w:num>
  <w:num w:numId="17">
    <w:abstractNumId w:val="27"/>
  </w:num>
  <w:num w:numId="18">
    <w:abstractNumId w:val="8"/>
  </w:num>
  <w:num w:numId="19">
    <w:abstractNumId w:val="18"/>
  </w:num>
  <w:num w:numId="20">
    <w:abstractNumId w:val="20"/>
  </w:num>
  <w:num w:numId="21">
    <w:abstractNumId w:val="22"/>
  </w:num>
  <w:num w:numId="22">
    <w:abstractNumId w:val="12"/>
  </w:num>
  <w:num w:numId="23">
    <w:abstractNumId w:val="16"/>
  </w:num>
  <w:num w:numId="24">
    <w:abstractNumId w:val="4"/>
  </w:num>
  <w:num w:numId="25">
    <w:abstractNumId w:val="11"/>
  </w:num>
  <w:num w:numId="26">
    <w:abstractNumId w:val="17"/>
  </w:num>
  <w:num w:numId="27">
    <w:abstractNumId w:val="10"/>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2D40"/>
    <w:rsid w:val="000066BD"/>
    <w:rsid w:val="000069E0"/>
    <w:rsid w:val="0000744C"/>
    <w:rsid w:val="0001135A"/>
    <w:rsid w:val="00011670"/>
    <w:rsid w:val="00012537"/>
    <w:rsid w:val="00012828"/>
    <w:rsid w:val="0001420D"/>
    <w:rsid w:val="00015175"/>
    <w:rsid w:val="0001736C"/>
    <w:rsid w:val="00017FEC"/>
    <w:rsid w:val="000204FE"/>
    <w:rsid w:val="000211F3"/>
    <w:rsid w:val="00024785"/>
    <w:rsid w:val="00026108"/>
    <w:rsid w:val="0002611D"/>
    <w:rsid w:val="000265DF"/>
    <w:rsid w:val="00027190"/>
    <w:rsid w:val="00027C3D"/>
    <w:rsid w:val="000302DD"/>
    <w:rsid w:val="000303B9"/>
    <w:rsid w:val="00030BE3"/>
    <w:rsid w:val="00031725"/>
    <w:rsid w:val="00032B16"/>
    <w:rsid w:val="000331C5"/>
    <w:rsid w:val="00033217"/>
    <w:rsid w:val="000342B7"/>
    <w:rsid w:val="00034944"/>
    <w:rsid w:val="00036EAE"/>
    <w:rsid w:val="00040F55"/>
    <w:rsid w:val="0004138F"/>
    <w:rsid w:val="000414C7"/>
    <w:rsid w:val="00043345"/>
    <w:rsid w:val="00043D31"/>
    <w:rsid w:val="000442FE"/>
    <w:rsid w:val="00046784"/>
    <w:rsid w:val="000470AA"/>
    <w:rsid w:val="00047647"/>
    <w:rsid w:val="00047C59"/>
    <w:rsid w:val="00051B99"/>
    <w:rsid w:val="00052279"/>
    <w:rsid w:val="000528FA"/>
    <w:rsid w:val="000538AA"/>
    <w:rsid w:val="00054DA0"/>
    <w:rsid w:val="00062160"/>
    <w:rsid w:val="000633A5"/>
    <w:rsid w:val="00063B3F"/>
    <w:rsid w:val="00064F37"/>
    <w:rsid w:val="000661D8"/>
    <w:rsid w:val="000674C5"/>
    <w:rsid w:val="00070241"/>
    <w:rsid w:val="000709C1"/>
    <w:rsid w:val="00072E37"/>
    <w:rsid w:val="000739BA"/>
    <w:rsid w:val="00074D35"/>
    <w:rsid w:val="000755A6"/>
    <w:rsid w:val="00075CC3"/>
    <w:rsid w:val="000763D9"/>
    <w:rsid w:val="00077664"/>
    <w:rsid w:val="00077CD3"/>
    <w:rsid w:val="000808A8"/>
    <w:rsid w:val="00083D79"/>
    <w:rsid w:val="00083F16"/>
    <w:rsid w:val="0008448B"/>
    <w:rsid w:val="00086D09"/>
    <w:rsid w:val="000876AD"/>
    <w:rsid w:val="0009101A"/>
    <w:rsid w:val="000917F6"/>
    <w:rsid w:val="00092F1E"/>
    <w:rsid w:val="00093118"/>
    <w:rsid w:val="00093EAD"/>
    <w:rsid w:val="00095A7C"/>
    <w:rsid w:val="0009664B"/>
    <w:rsid w:val="00097E94"/>
    <w:rsid w:val="000A0818"/>
    <w:rsid w:val="000A0953"/>
    <w:rsid w:val="000A0ACE"/>
    <w:rsid w:val="000A2B7E"/>
    <w:rsid w:val="000A3DDB"/>
    <w:rsid w:val="000A582B"/>
    <w:rsid w:val="000A6114"/>
    <w:rsid w:val="000A7583"/>
    <w:rsid w:val="000B1686"/>
    <w:rsid w:val="000B301B"/>
    <w:rsid w:val="000B330F"/>
    <w:rsid w:val="000B4A7F"/>
    <w:rsid w:val="000B5AC4"/>
    <w:rsid w:val="000B7A27"/>
    <w:rsid w:val="000C0271"/>
    <w:rsid w:val="000C0ED3"/>
    <w:rsid w:val="000C1043"/>
    <w:rsid w:val="000C154E"/>
    <w:rsid w:val="000C1D2A"/>
    <w:rsid w:val="000C2055"/>
    <w:rsid w:val="000C260D"/>
    <w:rsid w:val="000C2B05"/>
    <w:rsid w:val="000C488F"/>
    <w:rsid w:val="000C5AD0"/>
    <w:rsid w:val="000C6701"/>
    <w:rsid w:val="000D00AA"/>
    <w:rsid w:val="000D0B0F"/>
    <w:rsid w:val="000D2D66"/>
    <w:rsid w:val="000D3F33"/>
    <w:rsid w:val="000D7CF1"/>
    <w:rsid w:val="000D7D6D"/>
    <w:rsid w:val="000E0551"/>
    <w:rsid w:val="000E0C0D"/>
    <w:rsid w:val="000E650E"/>
    <w:rsid w:val="000E65CA"/>
    <w:rsid w:val="000E6D09"/>
    <w:rsid w:val="000E6D1F"/>
    <w:rsid w:val="000E7399"/>
    <w:rsid w:val="000E750C"/>
    <w:rsid w:val="000F02CD"/>
    <w:rsid w:val="000F045B"/>
    <w:rsid w:val="000F4158"/>
    <w:rsid w:val="000F608B"/>
    <w:rsid w:val="000F676C"/>
    <w:rsid w:val="000F6886"/>
    <w:rsid w:val="000F6B82"/>
    <w:rsid w:val="000F7671"/>
    <w:rsid w:val="00100E31"/>
    <w:rsid w:val="00101A5A"/>
    <w:rsid w:val="00102FC1"/>
    <w:rsid w:val="00106151"/>
    <w:rsid w:val="001074D5"/>
    <w:rsid w:val="00107792"/>
    <w:rsid w:val="00110D85"/>
    <w:rsid w:val="00111923"/>
    <w:rsid w:val="00112516"/>
    <w:rsid w:val="00112DF4"/>
    <w:rsid w:val="00113F9D"/>
    <w:rsid w:val="001161C4"/>
    <w:rsid w:val="00116AEA"/>
    <w:rsid w:val="00120CBE"/>
    <w:rsid w:val="0012137E"/>
    <w:rsid w:val="00121B06"/>
    <w:rsid w:val="00124EF4"/>
    <w:rsid w:val="00125A00"/>
    <w:rsid w:val="00126B45"/>
    <w:rsid w:val="00126D67"/>
    <w:rsid w:val="0012728F"/>
    <w:rsid w:val="00127C82"/>
    <w:rsid w:val="00131031"/>
    <w:rsid w:val="001331EB"/>
    <w:rsid w:val="00134002"/>
    <w:rsid w:val="00134599"/>
    <w:rsid w:val="00135B39"/>
    <w:rsid w:val="00136805"/>
    <w:rsid w:val="00137F31"/>
    <w:rsid w:val="0014079B"/>
    <w:rsid w:val="00141490"/>
    <w:rsid w:val="00141718"/>
    <w:rsid w:val="00141C37"/>
    <w:rsid w:val="00141FAF"/>
    <w:rsid w:val="00142317"/>
    <w:rsid w:val="00143507"/>
    <w:rsid w:val="00143C6A"/>
    <w:rsid w:val="00144E0A"/>
    <w:rsid w:val="00146DBD"/>
    <w:rsid w:val="001472A8"/>
    <w:rsid w:val="00147C7D"/>
    <w:rsid w:val="0015459C"/>
    <w:rsid w:val="00156778"/>
    <w:rsid w:val="00156AEC"/>
    <w:rsid w:val="00161AB9"/>
    <w:rsid w:val="00161CB8"/>
    <w:rsid w:val="00161D05"/>
    <w:rsid w:val="0016270D"/>
    <w:rsid w:val="00163532"/>
    <w:rsid w:val="00164B25"/>
    <w:rsid w:val="00165955"/>
    <w:rsid w:val="00166322"/>
    <w:rsid w:val="00167059"/>
    <w:rsid w:val="001704C0"/>
    <w:rsid w:val="0017077B"/>
    <w:rsid w:val="00171983"/>
    <w:rsid w:val="0017243B"/>
    <w:rsid w:val="001728D6"/>
    <w:rsid w:val="00173006"/>
    <w:rsid w:val="0017328C"/>
    <w:rsid w:val="001734B2"/>
    <w:rsid w:val="00173B97"/>
    <w:rsid w:val="00174527"/>
    <w:rsid w:val="00174AFC"/>
    <w:rsid w:val="001778C4"/>
    <w:rsid w:val="001805A0"/>
    <w:rsid w:val="00181C11"/>
    <w:rsid w:val="00183630"/>
    <w:rsid w:val="00184A0A"/>
    <w:rsid w:val="00187B67"/>
    <w:rsid w:val="00190E19"/>
    <w:rsid w:val="001911A5"/>
    <w:rsid w:val="00191760"/>
    <w:rsid w:val="00192290"/>
    <w:rsid w:val="00192AE5"/>
    <w:rsid w:val="001942CF"/>
    <w:rsid w:val="00196B36"/>
    <w:rsid w:val="00197756"/>
    <w:rsid w:val="001A1B45"/>
    <w:rsid w:val="001A226C"/>
    <w:rsid w:val="001A4CEC"/>
    <w:rsid w:val="001A7075"/>
    <w:rsid w:val="001B0ECF"/>
    <w:rsid w:val="001B1A73"/>
    <w:rsid w:val="001B3677"/>
    <w:rsid w:val="001C005C"/>
    <w:rsid w:val="001C0854"/>
    <w:rsid w:val="001C10A1"/>
    <w:rsid w:val="001C1B96"/>
    <w:rsid w:val="001C2B94"/>
    <w:rsid w:val="001C2EA9"/>
    <w:rsid w:val="001C3A58"/>
    <w:rsid w:val="001C5192"/>
    <w:rsid w:val="001C5504"/>
    <w:rsid w:val="001C7F6C"/>
    <w:rsid w:val="001D1B0C"/>
    <w:rsid w:val="001D48D7"/>
    <w:rsid w:val="001D6BB5"/>
    <w:rsid w:val="001D7463"/>
    <w:rsid w:val="001D7666"/>
    <w:rsid w:val="001E26CB"/>
    <w:rsid w:val="001E2B38"/>
    <w:rsid w:val="001E2EC7"/>
    <w:rsid w:val="001E4474"/>
    <w:rsid w:val="001E5DBE"/>
    <w:rsid w:val="001F0A9E"/>
    <w:rsid w:val="001F0DEF"/>
    <w:rsid w:val="001F1273"/>
    <w:rsid w:val="001F2842"/>
    <w:rsid w:val="001F3D66"/>
    <w:rsid w:val="001F40E1"/>
    <w:rsid w:val="001F63DF"/>
    <w:rsid w:val="001F6BDD"/>
    <w:rsid w:val="001F717F"/>
    <w:rsid w:val="001F7D0B"/>
    <w:rsid w:val="001F7EF9"/>
    <w:rsid w:val="00201110"/>
    <w:rsid w:val="00203D95"/>
    <w:rsid w:val="00207B29"/>
    <w:rsid w:val="0021050A"/>
    <w:rsid w:val="00211897"/>
    <w:rsid w:val="00211BF6"/>
    <w:rsid w:val="002155E2"/>
    <w:rsid w:val="0021794F"/>
    <w:rsid w:val="00217B60"/>
    <w:rsid w:val="0022079A"/>
    <w:rsid w:val="00221239"/>
    <w:rsid w:val="00224108"/>
    <w:rsid w:val="0022565E"/>
    <w:rsid w:val="00226328"/>
    <w:rsid w:val="00226568"/>
    <w:rsid w:val="002268E8"/>
    <w:rsid w:val="002340A8"/>
    <w:rsid w:val="00234D98"/>
    <w:rsid w:val="002372B4"/>
    <w:rsid w:val="00237712"/>
    <w:rsid w:val="00241724"/>
    <w:rsid w:val="00241F7D"/>
    <w:rsid w:val="00243763"/>
    <w:rsid w:val="0024606D"/>
    <w:rsid w:val="002464F2"/>
    <w:rsid w:val="002466F5"/>
    <w:rsid w:val="00250633"/>
    <w:rsid w:val="0025063C"/>
    <w:rsid w:val="00250796"/>
    <w:rsid w:val="0025252F"/>
    <w:rsid w:val="00253966"/>
    <w:rsid w:val="00257138"/>
    <w:rsid w:val="00263953"/>
    <w:rsid w:val="00264C44"/>
    <w:rsid w:val="0026560A"/>
    <w:rsid w:val="0026572E"/>
    <w:rsid w:val="00271D0E"/>
    <w:rsid w:val="00271DE0"/>
    <w:rsid w:val="00272633"/>
    <w:rsid w:val="00273797"/>
    <w:rsid w:val="00274133"/>
    <w:rsid w:val="00275C85"/>
    <w:rsid w:val="00276C10"/>
    <w:rsid w:val="00280101"/>
    <w:rsid w:val="00283A46"/>
    <w:rsid w:val="00284977"/>
    <w:rsid w:val="002928ED"/>
    <w:rsid w:val="00293670"/>
    <w:rsid w:val="00294CAC"/>
    <w:rsid w:val="00295095"/>
    <w:rsid w:val="00297427"/>
    <w:rsid w:val="00297915"/>
    <w:rsid w:val="002A4500"/>
    <w:rsid w:val="002A4581"/>
    <w:rsid w:val="002A50F3"/>
    <w:rsid w:val="002A6AC6"/>
    <w:rsid w:val="002A6B70"/>
    <w:rsid w:val="002B25E3"/>
    <w:rsid w:val="002B3403"/>
    <w:rsid w:val="002B491E"/>
    <w:rsid w:val="002B4BF2"/>
    <w:rsid w:val="002B5735"/>
    <w:rsid w:val="002B78A9"/>
    <w:rsid w:val="002C0090"/>
    <w:rsid w:val="002C0F8B"/>
    <w:rsid w:val="002C180A"/>
    <w:rsid w:val="002C53F9"/>
    <w:rsid w:val="002C58C3"/>
    <w:rsid w:val="002C69BF"/>
    <w:rsid w:val="002C7FA7"/>
    <w:rsid w:val="002D0871"/>
    <w:rsid w:val="002D0EA1"/>
    <w:rsid w:val="002D0F06"/>
    <w:rsid w:val="002D3049"/>
    <w:rsid w:val="002D6034"/>
    <w:rsid w:val="002D61A6"/>
    <w:rsid w:val="002D6888"/>
    <w:rsid w:val="002D76C0"/>
    <w:rsid w:val="002E152D"/>
    <w:rsid w:val="002E1B28"/>
    <w:rsid w:val="002E2919"/>
    <w:rsid w:val="002E57AE"/>
    <w:rsid w:val="002E7954"/>
    <w:rsid w:val="002F0512"/>
    <w:rsid w:val="002F208E"/>
    <w:rsid w:val="002F381C"/>
    <w:rsid w:val="002F7D7B"/>
    <w:rsid w:val="003007B2"/>
    <w:rsid w:val="003007EE"/>
    <w:rsid w:val="00300F31"/>
    <w:rsid w:val="00302314"/>
    <w:rsid w:val="00302FD9"/>
    <w:rsid w:val="00306845"/>
    <w:rsid w:val="00306DB4"/>
    <w:rsid w:val="0030798A"/>
    <w:rsid w:val="003112A8"/>
    <w:rsid w:val="00313A78"/>
    <w:rsid w:val="00314B65"/>
    <w:rsid w:val="00314CBB"/>
    <w:rsid w:val="00315578"/>
    <w:rsid w:val="00315704"/>
    <w:rsid w:val="0031585B"/>
    <w:rsid w:val="00315B41"/>
    <w:rsid w:val="00320407"/>
    <w:rsid w:val="003204BB"/>
    <w:rsid w:val="00321781"/>
    <w:rsid w:val="00322084"/>
    <w:rsid w:val="00322996"/>
    <w:rsid w:val="0032644F"/>
    <w:rsid w:val="00327E4E"/>
    <w:rsid w:val="0033113E"/>
    <w:rsid w:val="00331EB8"/>
    <w:rsid w:val="00332D36"/>
    <w:rsid w:val="00334CA4"/>
    <w:rsid w:val="003357A9"/>
    <w:rsid w:val="00342946"/>
    <w:rsid w:val="00342C63"/>
    <w:rsid w:val="00345053"/>
    <w:rsid w:val="003464B6"/>
    <w:rsid w:val="003505DE"/>
    <w:rsid w:val="00350B90"/>
    <w:rsid w:val="00352DBD"/>
    <w:rsid w:val="00353ECB"/>
    <w:rsid w:val="0035655B"/>
    <w:rsid w:val="0036059A"/>
    <w:rsid w:val="00361FFD"/>
    <w:rsid w:val="0036661A"/>
    <w:rsid w:val="00366B57"/>
    <w:rsid w:val="0036720F"/>
    <w:rsid w:val="003709CC"/>
    <w:rsid w:val="0037146E"/>
    <w:rsid w:val="0037555D"/>
    <w:rsid w:val="0037674F"/>
    <w:rsid w:val="003777DE"/>
    <w:rsid w:val="00380039"/>
    <w:rsid w:val="003800FC"/>
    <w:rsid w:val="00380503"/>
    <w:rsid w:val="0038074E"/>
    <w:rsid w:val="00381C4B"/>
    <w:rsid w:val="00383172"/>
    <w:rsid w:val="00385CA2"/>
    <w:rsid w:val="003861A1"/>
    <w:rsid w:val="00386BBE"/>
    <w:rsid w:val="00387677"/>
    <w:rsid w:val="00390178"/>
    <w:rsid w:val="00390E5C"/>
    <w:rsid w:val="003914B6"/>
    <w:rsid w:val="003916FC"/>
    <w:rsid w:val="00392DA6"/>
    <w:rsid w:val="00394D25"/>
    <w:rsid w:val="0039578F"/>
    <w:rsid w:val="00395DD1"/>
    <w:rsid w:val="003A1651"/>
    <w:rsid w:val="003A1E0A"/>
    <w:rsid w:val="003A25EC"/>
    <w:rsid w:val="003A361B"/>
    <w:rsid w:val="003A6FAE"/>
    <w:rsid w:val="003A7F44"/>
    <w:rsid w:val="003B0786"/>
    <w:rsid w:val="003B16DE"/>
    <w:rsid w:val="003B1AEA"/>
    <w:rsid w:val="003B396A"/>
    <w:rsid w:val="003B53C9"/>
    <w:rsid w:val="003B5DEF"/>
    <w:rsid w:val="003B728A"/>
    <w:rsid w:val="003B7523"/>
    <w:rsid w:val="003C0501"/>
    <w:rsid w:val="003C13D3"/>
    <w:rsid w:val="003C1D24"/>
    <w:rsid w:val="003C349D"/>
    <w:rsid w:val="003C371B"/>
    <w:rsid w:val="003C4198"/>
    <w:rsid w:val="003C6412"/>
    <w:rsid w:val="003C680B"/>
    <w:rsid w:val="003D0DBD"/>
    <w:rsid w:val="003D1A74"/>
    <w:rsid w:val="003D30F3"/>
    <w:rsid w:val="003D402F"/>
    <w:rsid w:val="003E0E35"/>
    <w:rsid w:val="003E237D"/>
    <w:rsid w:val="003E25C0"/>
    <w:rsid w:val="003E41CB"/>
    <w:rsid w:val="003F01C9"/>
    <w:rsid w:val="003F0B30"/>
    <w:rsid w:val="003F1988"/>
    <w:rsid w:val="003F2534"/>
    <w:rsid w:val="004009E9"/>
    <w:rsid w:val="00402091"/>
    <w:rsid w:val="0040225B"/>
    <w:rsid w:val="0040442C"/>
    <w:rsid w:val="00404E09"/>
    <w:rsid w:val="0040703B"/>
    <w:rsid w:val="0040715E"/>
    <w:rsid w:val="00411BB1"/>
    <w:rsid w:val="00414328"/>
    <w:rsid w:val="00414F10"/>
    <w:rsid w:val="00416DF3"/>
    <w:rsid w:val="00417672"/>
    <w:rsid w:val="00417A93"/>
    <w:rsid w:val="00421DDD"/>
    <w:rsid w:val="0042642D"/>
    <w:rsid w:val="00426866"/>
    <w:rsid w:val="00432445"/>
    <w:rsid w:val="004325D8"/>
    <w:rsid w:val="004340A5"/>
    <w:rsid w:val="00436190"/>
    <w:rsid w:val="0044012B"/>
    <w:rsid w:val="004413AD"/>
    <w:rsid w:val="00441CF2"/>
    <w:rsid w:val="00442B48"/>
    <w:rsid w:val="0044433D"/>
    <w:rsid w:val="00445578"/>
    <w:rsid w:val="0044625F"/>
    <w:rsid w:val="004475E8"/>
    <w:rsid w:val="00450ADD"/>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5482"/>
    <w:rsid w:val="004721ED"/>
    <w:rsid w:val="004729B9"/>
    <w:rsid w:val="004732C1"/>
    <w:rsid w:val="0047333D"/>
    <w:rsid w:val="00473B42"/>
    <w:rsid w:val="004768C5"/>
    <w:rsid w:val="00480719"/>
    <w:rsid w:val="00480F48"/>
    <w:rsid w:val="004810F2"/>
    <w:rsid w:val="00483AB6"/>
    <w:rsid w:val="004848CF"/>
    <w:rsid w:val="00485139"/>
    <w:rsid w:val="00485219"/>
    <w:rsid w:val="004868DD"/>
    <w:rsid w:val="004908A3"/>
    <w:rsid w:val="00493BD1"/>
    <w:rsid w:val="0049618E"/>
    <w:rsid w:val="004966A1"/>
    <w:rsid w:val="004979EC"/>
    <w:rsid w:val="004A531A"/>
    <w:rsid w:val="004A551A"/>
    <w:rsid w:val="004A6723"/>
    <w:rsid w:val="004A6ABB"/>
    <w:rsid w:val="004A70CD"/>
    <w:rsid w:val="004A753B"/>
    <w:rsid w:val="004B246E"/>
    <w:rsid w:val="004B328B"/>
    <w:rsid w:val="004B3903"/>
    <w:rsid w:val="004B4811"/>
    <w:rsid w:val="004B5D6F"/>
    <w:rsid w:val="004B76AD"/>
    <w:rsid w:val="004C1CA2"/>
    <w:rsid w:val="004C54AC"/>
    <w:rsid w:val="004C629F"/>
    <w:rsid w:val="004D02D0"/>
    <w:rsid w:val="004D0BB4"/>
    <w:rsid w:val="004D1AED"/>
    <w:rsid w:val="004D1EA4"/>
    <w:rsid w:val="004D335B"/>
    <w:rsid w:val="004D3472"/>
    <w:rsid w:val="004D746E"/>
    <w:rsid w:val="004E125F"/>
    <w:rsid w:val="004E1EF7"/>
    <w:rsid w:val="004E6693"/>
    <w:rsid w:val="004E7940"/>
    <w:rsid w:val="004E7ABB"/>
    <w:rsid w:val="004E7D07"/>
    <w:rsid w:val="004E7EAD"/>
    <w:rsid w:val="004F087A"/>
    <w:rsid w:val="004F0AD5"/>
    <w:rsid w:val="004F2C23"/>
    <w:rsid w:val="004F3121"/>
    <w:rsid w:val="004F3485"/>
    <w:rsid w:val="004F6CD7"/>
    <w:rsid w:val="004F70EF"/>
    <w:rsid w:val="004F7A87"/>
    <w:rsid w:val="00500792"/>
    <w:rsid w:val="00501B06"/>
    <w:rsid w:val="0050578F"/>
    <w:rsid w:val="00511AED"/>
    <w:rsid w:val="0051260E"/>
    <w:rsid w:val="00512A47"/>
    <w:rsid w:val="00513515"/>
    <w:rsid w:val="00513AB1"/>
    <w:rsid w:val="00513B77"/>
    <w:rsid w:val="00515D38"/>
    <w:rsid w:val="0051641E"/>
    <w:rsid w:val="0051655D"/>
    <w:rsid w:val="00521840"/>
    <w:rsid w:val="005244A4"/>
    <w:rsid w:val="00526A47"/>
    <w:rsid w:val="00527C60"/>
    <w:rsid w:val="00527DCC"/>
    <w:rsid w:val="00532E81"/>
    <w:rsid w:val="00533D9D"/>
    <w:rsid w:val="005363BF"/>
    <w:rsid w:val="005363C2"/>
    <w:rsid w:val="00537103"/>
    <w:rsid w:val="00541A4F"/>
    <w:rsid w:val="005438A1"/>
    <w:rsid w:val="00546D2B"/>
    <w:rsid w:val="00546D30"/>
    <w:rsid w:val="00547115"/>
    <w:rsid w:val="00550BE1"/>
    <w:rsid w:val="0055409F"/>
    <w:rsid w:val="005559AB"/>
    <w:rsid w:val="00560A8F"/>
    <w:rsid w:val="00561EC4"/>
    <w:rsid w:val="0056312E"/>
    <w:rsid w:val="00563486"/>
    <w:rsid w:val="00563B03"/>
    <w:rsid w:val="005650CB"/>
    <w:rsid w:val="00565391"/>
    <w:rsid w:val="0056687C"/>
    <w:rsid w:val="00566B37"/>
    <w:rsid w:val="005676AA"/>
    <w:rsid w:val="00567B3E"/>
    <w:rsid w:val="00571AE9"/>
    <w:rsid w:val="00571E47"/>
    <w:rsid w:val="0057274E"/>
    <w:rsid w:val="005761AC"/>
    <w:rsid w:val="005776A9"/>
    <w:rsid w:val="00581A1C"/>
    <w:rsid w:val="00581A67"/>
    <w:rsid w:val="0058437F"/>
    <w:rsid w:val="00584E29"/>
    <w:rsid w:val="00584EE3"/>
    <w:rsid w:val="00586919"/>
    <w:rsid w:val="00592897"/>
    <w:rsid w:val="00596137"/>
    <w:rsid w:val="005975AB"/>
    <w:rsid w:val="005A0C49"/>
    <w:rsid w:val="005A1404"/>
    <w:rsid w:val="005A5036"/>
    <w:rsid w:val="005A51CF"/>
    <w:rsid w:val="005A6E0C"/>
    <w:rsid w:val="005A731D"/>
    <w:rsid w:val="005A7505"/>
    <w:rsid w:val="005A7CD7"/>
    <w:rsid w:val="005B0C30"/>
    <w:rsid w:val="005B3BED"/>
    <w:rsid w:val="005B6670"/>
    <w:rsid w:val="005B6715"/>
    <w:rsid w:val="005C0326"/>
    <w:rsid w:val="005C098C"/>
    <w:rsid w:val="005C0E05"/>
    <w:rsid w:val="005C35BE"/>
    <w:rsid w:val="005C689F"/>
    <w:rsid w:val="005D076B"/>
    <w:rsid w:val="005D0C79"/>
    <w:rsid w:val="005D2BF8"/>
    <w:rsid w:val="005D36C6"/>
    <w:rsid w:val="005D3E21"/>
    <w:rsid w:val="005D46C3"/>
    <w:rsid w:val="005D58E2"/>
    <w:rsid w:val="005D6F79"/>
    <w:rsid w:val="005D7969"/>
    <w:rsid w:val="005E3E68"/>
    <w:rsid w:val="005E4084"/>
    <w:rsid w:val="005E4491"/>
    <w:rsid w:val="005F12E7"/>
    <w:rsid w:val="005F7929"/>
    <w:rsid w:val="006001D8"/>
    <w:rsid w:val="006011D5"/>
    <w:rsid w:val="00603037"/>
    <w:rsid w:val="00603096"/>
    <w:rsid w:val="00604851"/>
    <w:rsid w:val="00604955"/>
    <w:rsid w:val="00604E00"/>
    <w:rsid w:val="00605F53"/>
    <w:rsid w:val="00610EB4"/>
    <w:rsid w:val="006115F5"/>
    <w:rsid w:val="00612D5A"/>
    <w:rsid w:val="006146A9"/>
    <w:rsid w:val="00614AEB"/>
    <w:rsid w:val="00614DB4"/>
    <w:rsid w:val="00616294"/>
    <w:rsid w:val="006177B8"/>
    <w:rsid w:val="00621364"/>
    <w:rsid w:val="00621600"/>
    <w:rsid w:val="00622897"/>
    <w:rsid w:val="00624FDE"/>
    <w:rsid w:val="00626641"/>
    <w:rsid w:val="00627B89"/>
    <w:rsid w:val="0063065A"/>
    <w:rsid w:val="0063105D"/>
    <w:rsid w:val="0063664B"/>
    <w:rsid w:val="006377DD"/>
    <w:rsid w:val="00640BA2"/>
    <w:rsid w:val="006427DC"/>
    <w:rsid w:val="0064363C"/>
    <w:rsid w:val="006446C6"/>
    <w:rsid w:val="00645507"/>
    <w:rsid w:val="0064748F"/>
    <w:rsid w:val="006479AC"/>
    <w:rsid w:val="00647DF1"/>
    <w:rsid w:val="00651FEA"/>
    <w:rsid w:val="00652B6A"/>
    <w:rsid w:val="00655B39"/>
    <w:rsid w:val="006601F8"/>
    <w:rsid w:val="0066424E"/>
    <w:rsid w:val="0066468C"/>
    <w:rsid w:val="0066562F"/>
    <w:rsid w:val="006716D9"/>
    <w:rsid w:val="00671BBC"/>
    <w:rsid w:val="00672EEF"/>
    <w:rsid w:val="00673139"/>
    <w:rsid w:val="006733A4"/>
    <w:rsid w:val="00673514"/>
    <w:rsid w:val="00673834"/>
    <w:rsid w:val="00674391"/>
    <w:rsid w:val="006757DE"/>
    <w:rsid w:val="0067694B"/>
    <w:rsid w:val="006808C9"/>
    <w:rsid w:val="0068474C"/>
    <w:rsid w:val="00684F96"/>
    <w:rsid w:val="00685128"/>
    <w:rsid w:val="00685D5C"/>
    <w:rsid w:val="00686584"/>
    <w:rsid w:val="00686BA4"/>
    <w:rsid w:val="006878BF"/>
    <w:rsid w:val="00690635"/>
    <w:rsid w:val="00691FCF"/>
    <w:rsid w:val="00695547"/>
    <w:rsid w:val="00695B85"/>
    <w:rsid w:val="006961AC"/>
    <w:rsid w:val="006967CF"/>
    <w:rsid w:val="00696DBE"/>
    <w:rsid w:val="006A215D"/>
    <w:rsid w:val="006A2460"/>
    <w:rsid w:val="006A2DCE"/>
    <w:rsid w:val="006A4196"/>
    <w:rsid w:val="006A6727"/>
    <w:rsid w:val="006A6A68"/>
    <w:rsid w:val="006A70BC"/>
    <w:rsid w:val="006B0AA2"/>
    <w:rsid w:val="006B35FC"/>
    <w:rsid w:val="006B5DFC"/>
    <w:rsid w:val="006B6844"/>
    <w:rsid w:val="006B754C"/>
    <w:rsid w:val="006B7AA8"/>
    <w:rsid w:val="006B7F9F"/>
    <w:rsid w:val="006C1DD8"/>
    <w:rsid w:val="006C1DE7"/>
    <w:rsid w:val="006C2305"/>
    <w:rsid w:val="006C2598"/>
    <w:rsid w:val="006C2AF8"/>
    <w:rsid w:val="006C4DE9"/>
    <w:rsid w:val="006C58C9"/>
    <w:rsid w:val="006C706C"/>
    <w:rsid w:val="006C7F4A"/>
    <w:rsid w:val="006D0786"/>
    <w:rsid w:val="006D127C"/>
    <w:rsid w:val="006D14EE"/>
    <w:rsid w:val="006D2E52"/>
    <w:rsid w:val="006D429C"/>
    <w:rsid w:val="006D4D06"/>
    <w:rsid w:val="006D65E9"/>
    <w:rsid w:val="006D6C5C"/>
    <w:rsid w:val="006E1099"/>
    <w:rsid w:val="006E1FDC"/>
    <w:rsid w:val="006E3166"/>
    <w:rsid w:val="006E3D93"/>
    <w:rsid w:val="006E4E46"/>
    <w:rsid w:val="006E4FF2"/>
    <w:rsid w:val="006F1F00"/>
    <w:rsid w:val="006F2240"/>
    <w:rsid w:val="006F4F21"/>
    <w:rsid w:val="00702061"/>
    <w:rsid w:val="00704839"/>
    <w:rsid w:val="00705583"/>
    <w:rsid w:val="00705A29"/>
    <w:rsid w:val="007074F3"/>
    <w:rsid w:val="00707BD2"/>
    <w:rsid w:val="00710B9B"/>
    <w:rsid w:val="00711958"/>
    <w:rsid w:val="007125C0"/>
    <w:rsid w:val="00712FA3"/>
    <w:rsid w:val="0071330E"/>
    <w:rsid w:val="00713A27"/>
    <w:rsid w:val="00713E17"/>
    <w:rsid w:val="00715639"/>
    <w:rsid w:val="00720716"/>
    <w:rsid w:val="007220B9"/>
    <w:rsid w:val="00722A4C"/>
    <w:rsid w:val="00723E3F"/>
    <w:rsid w:val="00724819"/>
    <w:rsid w:val="0072564A"/>
    <w:rsid w:val="00726981"/>
    <w:rsid w:val="0072762F"/>
    <w:rsid w:val="00727664"/>
    <w:rsid w:val="00727F14"/>
    <w:rsid w:val="00732641"/>
    <w:rsid w:val="00733BBF"/>
    <w:rsid w:val="007344D7"/>
    <w:rsid w:val="00734816"/>
    <w:rsid w:val="00736A6C"/>
    <w:rsid w:val="00736C0C"/>
    <w:rsid w:val="00737F87"/>
    <w:rsid w:val="00741175"/>
    <w:rsid w:val="00744BBE"/>
    <w:rsid w:val="0074590E"/>
    <w:rsid w:val="00745E7F"/>
    <w:rsid w:val="007508CF"/>
    <w:rsid w:val="007512B3"/>
    <w:rsid w:val="00752371"/>
    <w:rsid w:val="00752E21"/>
    <w:rsid w:val="00752FF3"/>
    <w:rsid w:val="00753C3E"/>
    <w:rsid w:val="00753DE0"/>
    <w:rsid w:val="007548FB"/>
    <w:rsid w:val="00755FDA"/>
    <w:rsid w:val="0075746B"/>
    <w:rsid w:val="0076149F"/>
    <w:rsid w:val="00761DCD"/>
    <w:rsid w:val="00761DF1"/>
    <w:rsid w:val="007625FF"/>
    <w:rsid w:val="007705EE"/>
    <w:rsid w:val="00770A5E"/>
    <w:rsid w:val="00770D8F"/>
    <w:rsid w:val="00773F5F"/>
    <w:rsid w:val="00774036"/>
    <w:rsid w:val="0077737B"/>
    <w:rsid w:val="0077738F"/>
    <w:rsid w:val="00777E45"/>
    <w:rsid w:val="00780865"/>
    <w:rsid w:val="00782ADA"/>
    <w:rsid w:val="00782CED"/>
    <w:rsid w:val="00784A2D"/>
    <w:rsid w:val="007858FA"/>
    <w:rsid w:val="007878D1"/>
    <w:rsid w:val="00787BEC"/>
    <w:rsid w:val="00790566"/>
    <w:rsid w:val="007905FF"/>
    <w:rsid w:val="00790664"/>
    <w:rsid w:val="0079070A"/>
    <w:rsid w:val="007914B9"/>
    <w:rsid w:val="00791A68"/>
    <w:rsid w:val="007922B9"/>
    <w:rsid w:val="0079327A"/>
    <w:rsid w:val="0079386E"/>
    <w:rsid w:val="00797C03"/>
    <w:rsid w:val="007A1F3D"/>
    <w:rsid w:val="007A2CC1"/>
    <w:rsid w:val="007A37CE"/>
    <w:rsid w:val="007A46E5"/>
    <w:rsid w:val="007A486C"/>
    <w:rsid w:val="007A5332"/>
    <w:rsid w:val="007A6914"/>
    <w:rsid w:val="007A6C6B"/>
    <w:rsid w:val="007B2D89"/>
    <w:rsid w:val="007B5882"/>
    <w:rsid w:val="007B5D0D"/>
    <w:rsid w:val="007B616C"/>
    <w:rsid w:val="007B7DCA"/>
    <w:rsid w:val="007C021E"/>
    <w:rsid w:val="007C26EC"/>
    <w:rsid w:val="007C289E"/>
    <w:rsid w:val="007C50E4"/>
    <w:rsid w:val="007C5751"/>
    <w:rsid w:val="007C5BC5"/>
    <w:rsid w:val="007D216A"/>
    <w:rsid w:val="007D3429"/>
    <w:rsid w:val="007D6396"/>
    <w:rsid w:val="007E1345"/>
    <w:rsid w:val="007E1D3F"/>
    <w:rsid w:val="007E1E5E"/>
    <w:rsid w:val="007E3F00"/>
    <w:rsid w:val="007E4224"/>
    <w:rsid w:val="007E618A"/>
    <w:rsid w:val="007E629A"/>
    <w:rsid w:val="007E6B05"/>
    <w:rsid w:val="007E7884"/>
    <w:rsid w:val="007E7929"/>
    <w:rsid w:val="007F1735"/>
    <w:rsid w:val="007F2873"/>
    <w:rsid w:val="007F358E"/>
    <w:rsid w:val="007F37B6"/>
    <w:rsid w:val="007F6BFF"/>
    <w:rsid w:val="007F70CC"/>
    <w:rsid w:val="007F7CC8"/>
    <w:rsid w:val="00804D90"/>
    <w:rsid w:val="0080525E"/>
    <w:rsid w:val="00812529"/>
    <w:rsid w:val="008129DE"/>
    <w:rsid w:val="00812E6B"/>
    <w:rsid w:val="00812F67"/>
    <w:rsid w:val="00813315"/>
    <w:rsid w:val="00814B04"/>
    <w:rsid w:val="008163B6"/>
    <w:rsid w:val="008205D1"/>
    <w:rsid w:val="00820ABA"/>
    <w:rsid w:val="00820BA7"/>
    <w:rsid w:val="00821216"/>
    <w:rsid w:val="008215B2"/>
    <w:rsid w:val="0082316D"/>
    <w:rsid w:val="008236DA"/>
    <w:rsid w:val="00824F2C"/>
    <w:rsid w:val="0082548D"/>
    <w:rsid w:val="00825AAA"/>
    <w:rsid w:val="00827D22"/>
    <w:rsid w:val="00831616"/>
    <w:rsid w:val="00832B34"/>
    <w:rsid w:val="008333C1"/>
    <w:rsid w:val="00835970"/>
    <w:rsid w:val="008365D7"/>
    <w:rsid w:val="00836FFA"/>
    <w:rsid w:val="00840047"/>
    <w:rsid w:val="0084108C"/>
    <w:rsid w:val="0084197D"/>
    <w:rsid w:val="00842399"/>
    <w:rsid w:val="0084272B"/>
    <w:rsid w:val="00842F56"/>
    <w:rsid w:val="00843DCF"/>
    <w:rsid w:val="008440BE"/>
    <w:rsid w:val="008443A7"/>
    <w:rsid w:val="0085129D"/>
    <w:rsid w:val="00851AF3"/>
    <w:rsid w:val="00852AD9"/>
    <w:rsid w:val="008532A7"/>
    <w:rsid w:val="008545FC"/>
    <w:rsid w:val="0085609A"/>
    <w:rsid w:val="00856F5A"/>
    <w:rsid w:val="00856FEC"/>
    <w:rsid w:val="00860E5D"/>
    <w:rsid w:val="00861A80"/>
    <w:rsid w:val="00861AA2"/>
    <w:rsid w:val="00861AC8"/>
    <w:rsid w:val="00863A79"/>
    <w:rsid w:val="00863AEC"/>
    <w:rsid w:val="008653B5"/>
    <w:rsid w:val="0086543D"/>
    <w:rsid w:val="00865693"/>
    <w:rsid w:val="008658E5"/>
    <w:rsid w:val="00866232"/>
    <w:rsid w:val="00866F1D"/>
    <w:rsid w:val="008705D6"/>
    <w:rsid w:val="008721F6"/>
    <w:rsid w:val="0087272B"/>
    <w:rsid w:val="00872B75"/>
    <w:rsid w:val="00873D51"/>
    <w:rsid w:val="00874D36"/>
    <w:rsid w:val="008753CD"/>
    <w:rsid w:val="008765E9"/>
    <w:rsid w:val="0087775E"/>
    <w:rsid w:val="008824C9"/>
    <w:rsid w:val="00883322"/>
    <w:rsid w:val="008836B7"/>
    <w:rsid w:val="008845E9"/>
    <w:rsid w:val="00884B74"/>
    <w:rsid w:val="0088687B"/>
    <w:rsid w:val="008869EC"/>
    <w:rsid w:val="008938BF"/>
    <w:rsid w:val="00893F55"/>
    <w:rsid w:val="008944FA"/>
    <w:rsid w:val="0089471A"/>
    <w:rsid w:val="008966E0"/>
    <w:rsid w:val="008977E6"/>
    <w:rsid w:val="00897C9F"/>
    <w:rsid w:val="00897EC0"/>
    <w:rsid w:val="008A1AE8"/>
    <w:rsid w:val="008A2AC9"/>
    <w:rsid w:val="008A3C22"/>
    <w:rsid w:val="008A3F44"/>
    <w:rsid w:val="008A6536"/>
    <w:rsid w:val="008A75D4"/>
    <w:rsid w:val="008A77C9"/>
    <w:rsid w:val="008A77F1"/>
    <w:rsid w:val="008A7B60"/>
    <w:rsid w:val="008B0AE0"/>
    <w:rsid w:val="008B40E3"/>
    <w:rsid w:val="008B41B3"/>
    <w:rsid w:val="008B4756"/>
    <w:rsid w:val="008B560E"/>
    <w:rsid w:val="008B6013"/>
    <w:rsid w:val="008B6721"/>
    <w:rsid w:val="008C098D"/>
    <w:rsid w:val="008C1902"/>
    <w:rsid w:val="008C1BE1"/>
    <w:rsid w:val="008C27A5"/>
    <w:rsid w:val="008C458D"/>
    <w:rsid w:val="008C5CB1"/>
    <w:rsid w:val="008C5D5F"/>
    <w:rsid w:val="008C6DF1"/>
    <w:rsid w:val="008D0141"/>
    <w:rsid w:val="008D4703"/>
    <w:rsid w:val="008D497C"/>
    <w:rsid w:val="008D6775"/>
    <w:rsid w:val="008E0508"/>
    <w:rsid w:val="008E101B"/>
    <w:rsid w:val="008E3238"/>
    <w:rsid w:val="008E3400"/>
    <w:rsid w:val="008E47A4"/>
    <w:rsid w:val="008E4EAF"/>
    <w:rsid w:val="008E59BC"/>
    <w:rsid w:val="008E7C71"/>
    <w:rsid w:val="008F166C"/>
    <w:rsid w:val="008F27D5"/>
    <w:rsid w:val="008F296F"/>
    <w:rsid w:val="008F3880"/>
    <w:rsid w:val="008F46AE"/>
    <w:rsid w:val="008F66BD"/>
    <w:rsid w:val="00900786"/>
    <w:rsid w:val="00903910"/>
    <w:rsid w:val="009061A5"/>
    <w:rsid w:val="0090652D"/>
    <w:rsid w:val="00906BF0"/>
    <w:rsid w:val="00910474"/>
    <w:rsid w:val="009108D9"/>
    <w:rsid w:val="0091170E"/>
    <w:rsid w:val="00911718"/>
    <w:rsid w:val="00912433"/>
    <w:rsid w:val="00912CB8"/>
    <w:rsid w:val="00913CD1"/>
    <w:rsid w:val="0091433A"/>
    <w:rsid w:val="009144C0"/>
    <w:rsid w:val="00914637"/>
    <w:rsid w:val="009169C0"/>
    <w:rsid w:val="00920540"/>
    <w:rsid w:val="00922CDF"/>
    <w:rsid w:val="00923CE9"/>
    <w:rsid w:val="00924389"/>
    <w:rsid w:val="00925AB6"/>
    <w:rsid w:val="00927834"/>
    <w:rsid w:val="00930505"/>
    <w:rsid w:val="00931FE0"/>
    <w:rsid w:val="00933ECD"/>
    <w:rsid w:val="009342F7"/>
    <w:rsid w:val="00935361"/>
    <w:rsid w:val="0093610A"/>
    <w:rsid w:val="00937ABD"/>
    <w:rsid w:val="009400D2"/>
    <w:rsid w:val="0094190E"/>
    <w:rsid w:val="00944692"/>
    <w:rsid w:val="00945507"/>
    <w:rsid w:val="00946EF0"/>
    <w:rsid w:val="00952B18"/>
    <w:rsid w:val="00952F5B"/>
    <w:rsid w:val="0095313A"/>
    <w:rsid w:val="00953DBE"/>
    <w:rsid w:val="0095416E"/>
    <w:rsid w:val="00954F85"/>
    <w:rsid w:val="0095739C"/>
    <w:rsid w:val="0095754C"/>
    <w:rsid w:val="00957A1B"/>
    <w:rsid w:val="00960B8F"/>
    <w:rsid w:val="009614DB"/>
    <w:rsid w:val="00961EDA"/>
    <w:rsid w:val="00961F4A"/>
    <w:rsid w:val="00963F4F"/>
    <w:rsid w:val="00965B70"/>
    <w:rsid w:val="00967162"/>
    <w:rsid w:val="009674D2"/>
    <w:rsid w:val="00970CD2"/>
    <w:rsid w:val="00971DEF"/>
    <w:rsid w:val="00972139"/>
    <w:rsid w:val="00972509"/>
    <w:rsid w:val="0097332E"/>
    <w:rsid w:val="00974F57"/>
    <w:rsid w:val="00975BAA"/>
    <w:rsid w:val="00976070"/>
    <w:rsid w:val="00982102"/>
    <w:rsid w:val="0098215B"/>
    <w:rsid w:val="0098314C"/>
    <w:rsid w:val="00983438"/>
    <w:rsid w:val="009837C1"/>
    <w:rsid w:val="0098442A"/>
    <w:rsid w:val="00986F51"/>
    <w:rsid w:val="00991F32"/>
    <w:rsid w:val="00992C91"/>
    <w:rsid w:val="009934E3"/>
    <w:rsid w:val="0099372C"/>
    <w:rsid w:val="009937E0"/>
    <w:rsid w:val="00996235"/>
    <w:rsid w:val="009966E8"/>
    <w:rsid w:val="00996DAB"/>
    <w:rsid w:val="00997434"/>
    <w:rsid w:val="009A2918"/>
    <w:rsid w:val="009A2B38"/>
    <w:rsid w:val="009A3502"/>
    <w:rsid w:val="009A4030"/>
    <w:rsid w:val="009A4BC2"/>
    <w:rsid w:val="009A55C0"/>
    <w:rsid w:val="009A5E78"/>
    <w:rsid w:val="009B39EF"/>
    <w:rsid w:val="009B3A10"/>
    <w:rsid w:val="009B3DFE"/>
    <w:rsid w:val="009B4BEB"/>
    <w:rsid w:val="009B5DF0"/>
    <w:rsid w:val="009B6EC9"/>
    <w:rsid w:val="009C3135"/>
    <w:rsid w:val="009C3C17"/>
    <w:rsid w:val="009C3DF6"/>
    <w:rsid w:val="009C4788"/>
    <w:rsid w:val="009C5E7D"/>
    <w:rsid w:val="009C75E2"/>
    <w:rsid w:val="009C77B3"/>
    <w:rsid w:val="009C7DB0"/>
    <w:rsid w:val="009D1153"/>
    <w:rsid w:val="009D2213"/>
    <w:rsid w:val="009D28C3"/>
    <w:rsid w:val="009D2ABE"/>
    <w:rsid w:val="009D2E4D"/>
    <w:rsid w:val="009E05CE"/>
    <w:rsid w:val="009E189D"/>
    <w:rsid w:val="009E337B"/>
    <w:rsid w:val="009E3D78"/>
    <w:rsid w:val="009E4E32"/>
    <w:rsid w:val="009E7032"/>
    <w:rsid w:val="009E72F4"/>
    <w:rsid w:val="009F0C9B"/>
    <w:rsid w:val="009F0E51"/>
    <w:rsid w:val="009F0EBD"/>
    <w:rsid w:val="009F217F"/>
    <w:rsid w:val="009F38EF"/>
    <w:rsid w:val="009F39BD"/>
    <w:rsid w:val="009F4529"/>
    <w:rsid w:val="009F5AF6"/>
    <w:rsid w:val="009F7F78"/>
    <w:rsid w:val="00A008D0"/>
    <w:rsid w:val="00A0303A"/>
    <w:rsid w:val="00A03AC9"/>
    <w:rsid w:val="00A03D8D"/>
    <w:rsid w:val="00A03E54"/>
    <w:rsid w:val="00A0433B"/>
    <w:rsid w:val="00A0452E"/>
    <w:rsid w:val="00A0483E"/>
    <w:rsid w:val="00A0496A"/>
    <w:rsid w:val="00A0635E"/>
    <w:rsid w:val="00A07163"/>
    <w:rsid w:val="00A10142"/>
    <w:rsid w:val="00A11417"/>
    <w:rsid w:val="00A11B52"/>
    <w:rsid w:val="00A1250A"/>
    <w:rsid w:val="00A135F5"/>
    <w:rsid w:val="00A13804"/>
    <w:rsid w:val="00A1475C"/>
    <w:rsid w:val="00A14C8F"/>
    <w:rsid w:val="00A15D95"/>
    <w:rsid w:val="00A16E0C"/>
    <w:rsid w:val="00A173BD"/>
    <w:rsid w:val="00A1746A"/>
    <w:rsid w:val="00A20028"/>
    <w:rsid w:val="00A20784"/>
    <w:rsid w:val="00A22651"/>
    <w:rsid w:val="00A23412"/>
    <w:rsid w:val="00A236A3"/>
    <w:rsid w:val="00A23967"/>
    <w:rsid w:val="00A24C61"/>
    <w:rsid w:val="00A263BD"/>
    <w:rsid w:val="00A2680D"/>
    <w:rsid w:val="00A272BC"/>
    <w:rsid w:val="00A31897"/>
    <w:rsid w:val="00A323E6"/>
    <w:rsid w:val="00A33D0E"/>
    <w:rsid w:val="00A345E1"/>
    <w:rsid w:val="00A37739"/>
    <w:rsid w:val="00A37D74"/>
    <w:rsid w:val="00A4030B"/>
    <w:rsid w:val="00A41B98"/>
    <w:rsid w:val="00A42159"/>
    <w:rsid w:val="00A42BD2"/>
    <w:rsid w:val="00A42CAA"/>
    <w:rsid w:val="00A43173"/>
    <w:rsid w:val="00A45B73"/>
    <w:rsid w:val="00A45C42"/>
    <w:rsid w:val="00A46B32"/>
    <w:rsid w:val="00A5053F"/>
    <w:rsid w:val="00A52060"/>
    <w:rsid w:val="00A5226D"/>
    <w:rsid w:val="00A52270"/>
    <w:rsid w:val="00A53FEF"/>
    <w:rsid w:val="00A5450D"/>
    <w:rsid w:val="00A56B73"/>
    <w:rsid w:val="00A62AD5"/>
    <w:rsid w:val="00A6394F"/>
    <w:rsid w:val="00A66CF8"/>
    <w:rsid w:val="00A7093B"/>
    <w:rsid w:val="00A71F06"/>
    <w:rsid w:val="00A727D8"/>
    <w:rsid w:val="00A732F7"/>
    <w:rsid w:val="00A7437C"/>
    <w:rsid w:val="00A74804"/>
    <w:rsid w:val="00A753A3"/>
    <w:rsid w:val="00A76597"/>
    <w:rsid w:val="00A76F3E"/>
    <w:rsid w:val="00A776FB"/>
    <w:rsid w:val="00A77C2B"/>
    <w:rsid w:val="00A80F86"/>
    <w:rsid w:val="00A81083"/>
    <w:rsid w:val="00A8357F"/>
    <w:rsid w:val="00A84835"/>
    <w:rsid w:val="00A9083B"/>
    <w:rsid w:val="00A92018"/>
    <w:rsid w:val="00A95F0F"/>
    <w:rsid w:val="00A97B44"/>
    <w:rsid w:val="00AA00C6"/>
    <w:rsid w:val="00AA0CBC"/>
    <w:rsid w:val="00AA0EBC"/>
    <w:rsid w:val="00AA0ED6"/>
    <w:rsid w:val="00AA50C0"/>
    <w:rsid w:val="00AA6FF7"/>
    <w:rsid w:val="00AA70AC"/>
    <w:rsid w:val="00AA7D4A"/>
    <w:rsid w:val="00AB2006"/>
    <w:rsid w:val="00AB5D10"/>
    <w:rsid w:val="00AB729C"/>
    <w:rsid w:val="00AC10CE"/>
    <w:rsid w:val="00AC17EE"/>
    <w:rsid w:val="00AC22D3"/>
    <w:rsid w:val="00AC369B"/>
    <w:rsid w:val="00AC435E"/>
    <w:rsid w:val="00AC4480"/>
    <w:rsid w:val="00AC4A58"/>
    <w:rsid w:val="00AC6013"/>
    <w:rsid w:val="00AC705D"/>
    <w:rsid w:val="00AD10D0"/>
    <w:rsid w:val="00AD2BF3"/>
    <w:rsid w:val="00AD308C"/>
    <w:rsid w:val="00AD485C"/>
    <w:rsid w:val="00AD4D46"/>
    <w:rsid w:val="00AD4FFF"/>
    <w:rsid w:val="00AD55D6"/>
    <w:rsid w:val="00AD6449"/>
    <w:rsid w:val="00AD7AC5"/>
    <w:rsid w:val="00AE2DFE"/>
    <w:rsid w:val="00AE649A"/>
    <w:rsid w:val="00AE67C1"/>
    <w:rsid w:val="00AE79D5"/>
    <w:rsid w:val="00AF0C98"/>
    <w:rsid w:val="00AF3EEA"/>
    <w:rsid w:val="00AF5935"/>
    <w:rsid w:val="00AF6042"/>
    <w:rsid w:val="00AF6DF2"/>
    <w:rsid w:val="00AF736E"/>
    <w:rsid w:val="00B00594"/>
    <w:rsid w:val="00B007AC"/>
    <w:rsid w:val="00B0100F"/>
    <w:rsid w:val="00B0151E"/>
    <w:rsid w:val="00B03300"/>
    <w:rsid w:val="00B04E20"/>
    <w:rsid w:val="00B12A33"/>
    <w:rsid w:val="00B1402F"/>
    <w:rsid w:val="00B16047"/>
    <w:rsid w:val="00B1650F"/>
    <w:rsid w:val="00B17D4C"/>
    <w:rsid w:val="00B21B27"/>
    <w:rsid w:val="00B22A52"/>
    <w:rsid w:val="00B23554"/>
    <w:rsid w:val="00B23CDF"/>
    <w:rsid w:val="00B24009"/>
    <w:rsid w:val="00B25F33"/>
    <w:rsid w:val="00B272F1"/>
    <w:rsid w:val="00B27BE9"/>
    <w:rsid w:val="00B30D14"/>
    <w:rsid w:val="00B30DEC"/>
    <w:rsid w:val="00B31C49"/>
    <w:rsid w:val="00B332D8"/>
    <w:rsid w:val="00B34800"/>
    <w:rsid w:val="00B3518D"/>
    <w:rsid w:val="00B37ED1"/>
    <w:rsid w:val="00B40165"/>
    <w:rsid w:val="00B41EFC"/>
    <w:rsid w:val="00B42B40"/>
    <w:rsid w:val="00B43793"/>
    <w:rsid w:val="00B43F93"/>
    <w:rsid w:val="00B45215"/>
    <w:rsid w:val="00B45E80"/>
    <w:rsid w:val="00B46537"/>
    <w:rsid w:val="00B46A26"/>
    <w:rsid w:val="00B517CD"/>
    <w:rsid w:val="00B53D7B"/>
    <w:rsid w:val="00B5419B"/>
    <w:rsid w:val="00B56C0B"/>
    <w:rsid w:val="00B62A62"/>
    <w:rsid w:val="00B62E7F"/>
    <w:rsid w:val="00B64789"/>
    <w:rsid w:val="00B650F1"/>
    <w:rsid w:val="00B66E8B"/>
    <w:rsid w:val="00B71BA1"/>
    <w:rsid w:val="00B72E88"/>
    <w:rsid w:val="00B73EA1"/>
    <w:rsid w:val="00B74DDA"/>
    <w:rsid w:val="00B762E2"/>
    <w:rsid w:val="00B763F5"/>
    <w:rsid w:val="00B77613"/>
    <w:rsid w:val="00B81995"/>
    <w:rsid w:val="00B81CDA"/>
    <w:rsid w:val="00B81EBB"/>
    <w:rsid w:val="00B83697"/>
    <w:rsid w:val="00B85035"/>
    <w:rsid w:val="00B87575"/>
    <w:rsid w:val="00B91093"/>
    <w:rsid w:val="00B914A4"/>
    <w:rsid w:val="00B93BEE"/>
    <w:rsid w:val="00B9421B"/>
    <w:rsid w:val="00B95321"/>
    <w:rsid w:val="00B969C6"/>
    <w:rsid w:val="00B96E3F"/>
    <w:rsid w:val="00B9791E"/>
    <w:rsid w:val="00BA023A"/>
    <w:rsid w:val="00BA12CA"/>
    <w:rsid w:val="00BA4F43"/>
    <w:rsid w:val="00BA5D99"/>
    <w:rsid w:val="00BA6559"/>
    <w:rsid w:val="00BB0FB2"/>
    <w:rsid w:val="00BB361C"/>
    <w:rsid w:val="00BB37EE"/>
    <w:rsid w:val="00BB4586"/>
    <w:rsid w:val="00BC0652"/>
    <w:rsid w:val="00BC0A40"/>
    <w:rsid w:val="00BC2CF4"/>
    <w:rsid w:val="00BC405B"/>
    <w:rsid w:val="00BC59B6"/>
    <w:rsid w:val="00BC5BC2"/>
    <w:rsid w:val="00BC63C9"/>
    <w:rsid w:val="00BD0521"/>
    <w:rsid w:val="00BD08E0"/>
    <w:rsid w:val="00BD25C0"/>
    <w:rsid w:val="00BD345B"/>
    <w:rsid w:val="00BD5401"/>
    <w:rsid w:val="00BD6BB2"/>
    <w:rsid w:val="00BD7978"/>
    <w:rsid w:val="00BE2722"/>
    <w:rsid w:val="00BE2F53"/>
    <w:rsid w:val="00BE3A6D"/>
    <w:rsid w:val="00BF074E"/>
    <w:rsid w:val="00BF2443"/>
    <w:rsid w:val="00BF2718"/>
    <w:rsid w:val="00BF345D"/>
    <w:rsid w:val="00BF3BEA"/>
    <w:rsid w:val="00BF4735"/>
    <w:rsid w:val="00BF633F"/>
    <w:rsid w:val="00BF6995"/>
    <w:rsid w:val="00BF6D9E"/>
    <w:rsid w:val="00C001A1"/>
    <w:rsid w:val="00C01945"/>
    <w:rsid w:val="00C020BA"/>
    <w:rsid w:val="00C02B99"/>
    <w:rsid w:val="00C031A9"/>
    <w:rsid w:val="00C04C0D"/>
    <w:rsid w:val="00C058D0"/>
    <w:rsid w:val="00C074D2"/>
    <w:rsid w:val="00C11ECA"/>
    <w:rsid w:val="00C12BD8"/>
    <w:rsid w:val="00C131A5"/>
    <w:rsid w:val="00C13462"/>
    <w:rsid w:val="00C135FD"/>
    <w:rsid w:val="00C13F0A"/>
    <w:rsid w:val="00C14A48"/>
    <w:rsid w:val="00C151F8"/>
    <w:rsid w:val="00C171D3"/>
    <w:rsid w:val="00C22818"/>
    <w:rsid w:val="00C22C92"/>
    <w:rsid w:val="00C22EFF"/>
    <w:rsid w:val="00C254AF"/>
    <w:rsid w:val="00C2601E"/>
    <w:rsid w:val="00C26037"/>
    <w:rsid w:val="00C2729E"/>
    <w:rsid w:val="00C2740F"/>
    <w:rsid w:val="00C27D90"/>
    <w:rsid w:val="00C300B6"/>
    <w:rsid w:val="00C30743"/>
    <w:rsid w:val="00C31ACD"/>
    <w:rsid w:val="00C31DFF"/>
    <w:rsid w:val="00C34133"/>
    <w:rsid w:val="00C3484B"/>
    <w:rsid w:val="00C34CAA"/>
    <w:rsid w:val="00C35288"/>
    <w:rsid w:val="00C3550F"/>
    <w:rsid w:val="00C41ED0"/>
    <w:rsid w:val="00C42145"/>
    <w:rsid w:val="00C43945"/>
    <w:rsid w:val="00C43DF3"/>
    <w:rsid w:val="00C4435F"/>
    <w:rsid w:val="00C46F39"/>
    <w:rsid w:val="00C471F6"/>
    <w:rsid w:val="00C476D2"/>
    <w:rsid w:val="00C47AD4"/>
    <w:rsid w:val="00C47FA6"/>
    <w:rsid w:val="00C500C1"/>
    <w:rsid w:val="00C50BD3"/>
    <w:rsid w:val="00C52AD1"/>
    <w:rsid w:val="00C53323"/>
    <w:rsid w:val="00C535DB"/>
    <w:rsid w:val="00C53FB1"/>
    <w:rsid w:val="00C554AC"/>
    <w:rsid w:val="00C56872"/>
    <w:rsid w:val="00C61542"/>
    <w:rsid w:val="00C62D80"/>
    <w:rsid w:val="00C63097"/>
    <w:rsid w:val="00C6434A"/>
    <w:rsid w:val="00C65AEA"/>
    <w:rsid w:val="00C66085"/>
    <w:rsid w:val="00C664B9"/>
    <w:rsid w:val="00C669C7"/>
    <w:rsid w:val="00C70712"/>
    <w:rsid w:val="00C72DBD"/>
    <w:rsid w:val="00C75621"/>
    <w:rsid w:val="00C77CC4"/>
    <w:rsid w:val="00C80075"/>
    <w:rsid w:val="00C803AF"/>
    <w:rsid w:val="00C81294"/>
    <w:rsid w:val="00C81E24"/>
    <w:rsid w:val="00C825BA"/>
    <w:rsid w:val="00C83193"/>
    <w:rsid w:val="00C83633"/>
    <w:rsid w:val="00C86F3C"/>
    <w:rsid w:val="00C902FC"/>
    <w:rsid w:val="00C90D3C"/>
    <w:rsid w:val="00C92F43"/>
    <w:rsid w:val="00C932D1"/>
    <w:rsid w:val="00C970CD"/>
    <w:rsid w:val="00C97643"/>
    <w:rsid w:val="00C97C02"/>
    <w:rsid w:val="00CA159D"/>
    <w:rsid w:val="00CA26F6"/>
    <w:rsid w:val="00CA3BAE"/>
    <w:rsid w:val="00CA46DB"/>
    <w:rsid w:val="00CA787C"/>
    <w:rsid w:val="00CB022D"/>
    <w:rsid w:val="00CB13E8"/>
    <w:rsid w:val="00CB18C9"/>
    <w:rsid w:val="00CB2E2E"/>
    <w:rsid w:val="00CB43B8"/>
    <w:rsid w:val="00CB4643"/>
    <w:rsid w:val="00CB5F8E"/>
    <w:rsid w:val="00CB64C3"/>
    <w:rsid w:val="00CB679B"/>
    <w:rsid w:val="00CB754F"/>
    <w:rsid w:val="00CB778E"/>
    <w:rsid w:val="00CB7FFA"/>
    <w:rsid w:val="00CC2E11"/>
    <w:rsid w:val="00CC5879"/>
    <w:rsid w:val="00CC58BC"/>
    <w:rsid w:val="00CC6571"/>
    <w:rsid w:val="00CC6B60"/>
    <w:rsid w:val="00CD1518"/>
    <w:rsid w:val="00CD261D"/>
    <w:rsid w:val="00CD3B25"/>
    <w:rsid w:val="00CD428E"/>
    <w:rsid w:val="00CD5A80"/>
    <w:rsid w:val="00CE0797"/>
    <w:rsid w:val="00CE1AFB"/>
    <w:rsid w:val="00CE22C5"/>
    <w:rsid w:val="00CE26A2"/>
    <w:rsid w:val="00CE31E7"/>
    <w:rsid w:val="00CE5742"/>
    <w:rsid w:val="00CE69EC"/>
    <w:rsid w:val="00CF2223"/>
    <w:rsid w:val="00CF2A04"/>
    <w:rsid w:val="00CF35B0"/>
    <w:rsid w:val="00CF6C30"/>
    <w:rsid w:val="00CF75E5"/>
    <w:rsid w:val="00CF7DF1"/>
    <w:rsid w:val="00D000F4"/>
    <w:rsid w:val="00D01A42"/>
    <w:rsid w:val="00D02DAB"/>
    <w:rsid w:val="00D03C05"/>
    <w:rsid w:val="00D05ACD"/>
    <w:rsid w:val="00D06377"/>
    <w:rsid w:val="00D064B7"/>
    <w:rsid w:val="00D112F9"/>
    <w:rsid w:val="00D11E00"/>
    <w:rsid w:val="00D1335B"/>
    <w:rsid w:val="00D13AC2"/>
    <w:rsid w:val="00D15998"/>
    <w:rsid w:val="00D167EC"/>
    <w:rsid w:val="00D201D9"/>
    <w:rsid w:val="00D2130B"/>
    <w:rsid w:val="00D21716"/>
    <w:rsid w:val="00D223E4"/>
    <w:rsid w:val="00D22B7C"/>
    <w:rsid w:val="00D22F60"/>
    <w:rsid w:val="00D23386"/>
    <w:rsid w:val="00D2642D"/>
    <w:rsid w:val="00D27AE0"/>
    <w:rsid w:val="00D27FFB"/>
    <w:rsid w:val="00D31D60"/>
    <w:rsid w:val="00D3248C"/>
    <w:rsid w:val="00D32A21"/>
    <w:rsid w:val="00D334A2"/>
    <w:rsid w:val="00D34195"/>
    <w:rsid w:val="00D34E29"/>
    <w:rsid w:val="00D35E7B"/>
    <w:rsid w:val="00D37698"/>
    <w:rsid w:val="00D41361"/>
    <w:rsid w:val="00D42079"/>
    <w:rsid w:val="00D43BEB"/>
    <w:rsid w:val="00D445B5"/>
    <w:rsid w:val="00D459A7"/>
    <w:rsid w:val="00D47A45"/>
    <w:rsid w:val="00D50A38"/>
    <w:rsid w:val="00D523D3"/>
    <w:rsid w:val="00D537C7"/>
    <w:rsid w:val="00D570EC"/>
    <w:rsid w:val="00D573ED"/>
    <w:rsid w:val="00D61FB2"/>
    <w:rsid w:val="00D62360"/>
    <w:rsid w:val="00D63F69"/>
    <w:rsid w:val="00D649D1"/>
    <w:rsid w:val="00D65957"/>
    <w:rsid w:val="00D66FE9"/>
    <w:rsid w:val="00D67AA9"/>
    <w:rsid w:val="00D70683"/>
    <w:rsid w:val="00D71026"/>
    <w:rsid w:val="00D727A2"/>
    <w:rsid w:val="00D72BF5"/>
    <w:rsid w:val="00D742E9"/>
    <w:rsid w:val="00D75B11"/>
    <w:rsid w:val="00D75EA4"/>
    <w:rsid w:val="00D776A7"/>
    <w:rsid w:val="00D77E07"/>
    <w:rsid w:val="00D81FB7"/>
    <w:rsid w:val="00D82697"/>
    <w:rsid w:val="00D83393"/>
    <w:rsid w:val="00D84F93"/>
    <w:rsid w:val="00D85386"/>
    <w:rsid w:val="00D857A9"/>
    <w:rsid w:val="00D86939"/>
    <w:rsid w:val="00D872CB"/>
    <w:rsid w:val="00D915C6"/>
    <w:rsid w:val="00D94A62"/>
    <w:rsid w:val="00D94AC8"/>
    <w:rsid w:val="00D95CF0"/>
    <w:rsid w:val="00D97206"/>
    <w:rsid w:val="00DA392E"/>
    <w:rsid w:val="00DA54B2"/>
    <w:rsid w:val="00DA64DA"/>
    <w:rsid w:val="00DA7CA4"/>
    <w:rsid w:val="00DB4EC1"/>
    <w:rsid w:val="00DB4FDE"/>
    <w:rsid w:val="00DB51F0"/>
    <w:rsid w:val="00DB53B7"/>
    <w:rsid w:val="00DB5A68"/>
    <w:rsid w:val="00DC03FF"/>
    <w:rsid w:val="00DC231D"/>
    <w:rsid w:val="00DC2519"/>
    <w:rsid w:val="00DC2F0C"/>
    <w:rsid w:val="00DC3E53"/>
    <w:rsid w:val="00DC3FF4"/>
    <w:rsid w:val="00DC6168"/>
    <w:rsid w:val="00DC715A"/>
    <w:rsid w:val="00DD0308"/>
    <w:rsid w:val="00DD0A3A"/>
    <w:rsid w:val="00DD1827"/>
    <w:rsid w:val="00DD3900"/>
    <w:rsid w:val="00DD5EE3"/>
    <w:rsid w:val="00DE06B1"/>
    <w:rsid w:val="00DE084D"/>
    <w:rsid w:val="00DE09A9"/>
    <w:rsid w:val="00DE0E6F"/>
    <w:rsid w:val="00DE1715"/>
    <w:rsid w:val="00DE47AF"/>
    <w:rsid w:val="00DE563D"/>
    <w:rsid w:val="00DE6070"/>
    <w:rsid w:val="00DE69BB"/>
    <w:rsid w:val="00DF0B11"/>
    <w:rsid w:val="00DF0F90"/>
    <w:rsid w:val="00DF1B8F"/>
    <w:rsid w:val="00DF3EA9"/>
    <w:rsid w:val="00DF3EC0"/>
    <w:rsid w:val="00DF461B"/>
    <w:rsid w:val="00DF52CE"/>
    <w:rsid w:val="00DF5C63"/>
    <w:rsid w:val="00DF6817"/>
    <w:rsid w:val="00DF68B1"/>
    <w:rsid w:val="00E01D86"/>
    <w:rsid w:val="00E02876"/>
    <w:rsid w:val="00E055A2"/>
    <w:rsid w:val="00E05E08"/>
    <w:rsid w:val="00E07352"/>
    <w:rsid w:val="00E11150"/>
    <w:rsid w:val="00E11E41"/>
    <w:rsid w:val="00E1245E"/>
    <w:rsid w:val="00E15E1B"/>
    <w:rsid w:val="00E2174A"/>
    <w:rsid w:val="00E2375B"/>
    <w:rsid w:val="00E24F0D"/>
    <w:rsid w:val="00E25C25"/>
    <w:rsid w:val="00E25FC7"/>
    <w:rsid w:val="00E26446"/>
    <w:rsid w:val="00E27035"/>
    <w:rsid w:val="00E27BEB"/>
    <w:rsid w:val="00E3560F"/>
    <w:rsid w:val="00E35F5A"/>
    <w:rsid w:val="00E36334"/>
    <w:rsid w:val="00E411AB"/>
    <w:rsid w:val="00E42AB8"/>
    <w:rsid w:val="00E42AD3"/>
    <w:rsid w:val="00E44873"/>
    <w:rsid w:val="00E45423"/>
    <w:rsid w:val="00E4585C"/>
    <w:rsid w:val="00E45C25"/>
    <w:rsid w:val="00E47EA8"/>
    <w:rsid w:val="00E50BEF"/>
    <w:rsid w:val="00E50F5E"/>
    <w:rsid w:val="00E5188F"/>
    <w:rsid w:val="00E55073"/>
    <w:rsid w:val="00E5571E"/>
    <w:rsid w:val="00E56D27"/>
    <w:rsid w:val="00E60657"/>
    <w:rsid w:val="00E61ABE"/>
    <w:rsid w:val="00E6240C"/>
    <w:rsid w:val="00E65758"/>
    <w:rsid w:val="00E70296"/>
    <w:rsid w:val="00E71B57"/>
    <w:rsid w:val="00E71B65"/>
    <w:rsid w:val="00E71C44"/>
    <w:rsid w:val="00E72D40"/>
    <w:rsid w:val="00E74F77"/>
    <w:rsid w:val="00E753D1"/>
    <w:rsid w:val="00E75ED9"/>
    <w:rsid w:val="00E76E7B"/>
    <w:rsid w:val="00E80672"/>
    <w:rsid w:val="00E820C1"/>
    <w:rsid w:val="00E83060"/>
    <w:rsid w:val="00E86184"/>
    <w:rsid w:val="00E86C0C"/>
    <w:rsid w:val="00E87F4B"/>
    <w:rsid w:val="00E916C1"/>
    <w:rsid w:val="00E91BC8"/>
    <w:rsid w:val="00E93F49"/>
    <w:rsid w:val="00E957AA"/>
    <w:rsid w:val="00E97B02"/>
    <w:rsid w:val="00EA0531"/>
    <w:rsid w:val="00EA0538"/>
    <w:rsid w:val="00EA1AED"/>
    <w:rsid w:val="00EA33F8"/>
    <w:rsid w:val="00EA3D17"/>
    <w:rsid w:val="00EA776F"/>
    <w:rsid w:val="00EB1863"/>
    <w:rsid w:val="00EB2238"/>
    <w:rsid w:val="00EB5001"/>
    <w:rsid w:val="00EB63BB"/>
    <w:rsid w:val="00EB7CA6"/>
    <w:rsid w:val="00EC0651"/>
    <w:rsid w:val="00EC2160"/>
    <w:rsid w:val="00EC230B"/>
    <w:rsid w:val="00EC27C7"/>
    <w:rsid w:val="00EC2E04"/>
    <w:rsid w:val="00EC7E6B"/>
    <w:rsid w:val="00ED176A"/>
    <w:rsid w:val="00ED3361"/>
    <w:rsid w:val="00ED7C2C"/>
    <w:rsid w:val="00EE2653"/>
    <w:rsid w:val="00EE343C"/>
    <w:rsid w:val="00EE3D4F"/>
    <w:rsid w:val="00EE783D"/>
    <w:rsid w:val="00EF0BE0"/>
    <w:rsid w:val="00EF0FF7"/>
    <w:rsid w:val="00EF2603"/>
    <w:rsid w:val="00EF2B4D"/>
    <w:rsid w:val="00EF32C2"/>
    <w:rsid w:val="00EF3F40"/>
    <w:rsid w:val="00EF5D92"/>
    <w:rsid w:val="00EF7136"/>
    <w:rsid w:val="00F01D3A"/>
    <w:rsid w:val="00F04FB5"/>
    <w:rsid w:val="00F05194"/>
    <w:rsid w:val="00F0720F"/>
    <w:rsid w:val="00F11FE8"/>
    <w:rsid w:val="00F127C1"/>
    <w:rsid w:val="00F12815"/>
    <w:rsid w:val="00F14576"/>
    <w:rsid w:val="00F16BFC"/>
    <w:rsid w:val="00F2379B"/>
    <w:rsid w:val="00F239C2"/>
    <w:rsid w:val="00F23B0A"/>
    <w:rsid w:val="00F23D12"/>
    <w:rsid w:val="00F260E9"/>
    <w:rsid w:val="00F262D6"/>
    <w:rsid w:val="00F27C73"/>
    <w:rsid w:val="00F311C9"/>
    <w:rsid w:val="00F31A24"/>
    <w:rsid w:val="00F31AC0"/>
    <w:rsid w:val="00F326F1"/>
    <w:rsid w:val="00F33933"/>
    <w:rsid w:val="00F33DB1"/>
    <w:rsid w:val="00F352DF"/>
    <w:rsid w:val="00F3740D"/>
    <w:rsid w:val="00F377C6"/>
    <w:rsid w:val="00F40AE8"/>
    <w:rsid w:val="00F45446"/>
    <w:rsid w:val="00F45E17"/>
    <w:rsid w:val="00F4610D"/>
    <w:rsid w:val="00F46901"/>
    <w:rsid w:val="00F47F13"/>
    <w:rsid w:val="00F50605"/>
    <w:rsid w:val="00F51672"/>
    <w:rsid w:val="00F52190"/>
    <w:rsid w:val="00F53D93"/>
    <w:rsid w:val="00F53F78"/>
    <w:rsid w:val="00F54AB0"/>
    <w:rsid w:val="00F55867"/>
    <w:rsid w:val="00F5756B"/>
    <w:rsid w:val="00F60B28"/>
    <w:rsid w:val="00F62909"/>
    <w:rsid w:val="00F649C9"/>
    <w:rsid w:val="00F64C5B"/>
    <w:rsid w:val="00F66E62"/>
    <w:rsid w:val="00F67D6A"/>
    <w:rsid w:val="00F70141"/>
    <w:rsid w:val="00F70525"/>
    <w:rsid w:val="00F719E5"/>
    <w:rsid w:val="00F739BE"/>
    <w:rsid w:val="00F74840"/>
    <w:rsid w:val="00F75ACB"/>
    <w:rsid w:val="00F7694E"/>
    <w:rsid w:val="00F77C70"/>
    <w:rsid w:val="00F83158"/>
    <w:rsid w:val="00F83C31"/>
    <w:rsid w:val="00F852E9"/>
    <w:rsid w:val="00F87918"/>
    <w:rsid w:val="00F906AD"/>
    <w:rsid w:val="00F9381E"/>
    <w:rsid w:val="00F952A2"/>
    <w:rsid w:val="00F95EB1"/>
    <w:rsid w:val="00F96AF8"/>
    <w:rsid w:val="00F96F46"/>
    <w:rsid w:val="00F96FB9"/>
    <w:rsid w:val="00F9733B"/>
    <w:rsid w:val="00FA091E"/>
    <w:rsid w:val="00FA186B"/>
    <w:rsid w:val="00FA3B09"/>
    <w:rsid w:val="00FA3E1C"/>
    <w:rsid w:val="00FA3ECE"/>
    <w:rsid w:val="00FA4B32"/>
    <w:rsid w:val="00FA7892"/>
    <w:rsid w:val="00FA7D22"/>
    <w:rsid w:val="00FB13AF"/>
    <w:rsid w:val="00FB2905"/>
    <w:rsid w:val="00FB4DCC"/>
    <w:rsid w:val="00FB65D0"/>
    <w:rsid w:val="00FC1DF4"/>
    <w:rsid w:val="00FC3C8C"/>
    <w:rsid w:val="00FC49AA"/>
    <w:rsid w:val="00FC5118"/>
    <w:rsid w:val="00FD2FFC"/>
    <w:rsid w:val="00FD335A"/>
    <w:rsid w:val="00FD4D7F"/>
    <w:rsid w:val="00FD536F"/>
    <w:rsid w:val="00FD5D2A"/>
    <w:rsid w:val="00FE1172"/>
    <w:rsid w:val="00FE524E"/>
    <w:rsid w:val="00FE541B"/>
    <w:rsid w:val="00FF2FC7"/>
    <w:rsid w:val="00FF34DF"/>
    <w:rsid w:val="00FF67F9"/>
    <w:rsid w:val="00FF69BF"/>
    <w:rsid w:val="00FF6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13679458">
      <w:bodyDiv w:val="1"/>
      <w:marLeft w:val="0"/>
      <w:marRight w:val="0"/>
      <w:marTop w:val="0"/>
      <w:marBottom w:val="0"/>
      <w:divBdr>
        <w:top w:val="none" w:sz="0" w:space="0" w:color="auto"/>
        <w:left w:val="none" w:sz="0" w:space="0" w:color="auto"/>
        <w:bottom w:val="none" w:sz="0" w:space="0" w:color="auto"/>
        <w:right w:val="none" w:sz="0" w:space="0" w:color="auto"/>
      </w:divBdr>
    </w:div>
    <w:div w:id="322392354">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474490251">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636491542">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15549184">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59785367">
      <w:bodyDiv w:val="1"/>
      <w:marLeft w:val="0"/>
      <w:marRight w:val="0"/>
      <w:marTop w:val="0"/>
      <w:marBottom w:val="0"/>
      <w:divBdr>
        <w:top w:val="none" w:sz="0" w:space="0" w:color="auto"/>
        <w:left w:val="none" w:sz="0" w:space="0" w:color="auto"/>
        <w:bottom w:val="none" w:sz="0" w:space="0" w:color="auto"/>
        <w:right w:val="none" w:sz="0" w:space="0" w:color="auto"/>
      </w:divBdr>
    </w:div>
    <w:div w:id="107724098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33930556">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1448744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18958272">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amsar.org/cda/en/ramsar-documents-standing-40th-meeting-of-the-22812/main/ramsar/1-31-41%5e22812_4000_0__"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D4459-6379-49C5-8E29-6E4D0B03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13524</CharactersWithSpaces>
  <SharedDoc>false</SharedDoc>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4</cp:revision>
  <cp:lastPrinted>2017-03-10T15:19:00Z</cp:lastPrinted>
  <dcterms:created xsi:type="dcterms:W3CDTF">2017-03-14T08:53:00Z</dcterms:created>
  <dcterms:modified xsi:type="dcterms:W3CDTF">2017-03-14T09:22:00Z</dcterms:modified>
</cp:coreProperties>
</file>