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C075" w14:textId="77777777" w:rsidR="00DF2386" w:rsidRPr="005956FD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56FD">
        <w:rPr>
          <w:bCs/>
          <w:sz w:val="24"/>
          <w:szCs w:val="24"/>
          <w:lang w:val="es-ES_tradnl"/>
        </w:rPr>
        <w:t>CONV</w:t>
      </w:r>
      <w:r w:rsidR="005B2DE8" w:rsidRPr="005956FD">
        <w:rPr>
          <w:bCs/>
          <w:sz w:val="24"/>
          <w:szCs w:val="24"/>
          <w:lang w:val="es-ES_tradnl"/>
        </w:rPr>
        <w:t>ENCIÓN SOBRE LOS HUMEDALES (Ramsar, Irán, 1</w:t>
      </w:r>
      <w:r w:rsidRPr="005956FD">
        <w:rPr>
          <w:bCs/>
          <w:sz w:val="24"/>
          <w:szCs w:val="24"/>
          <w:lang w:val="es-ES_tradnl"/>
        </w:rPr>
        <w:t>971)</w:t>
      </w:r>
    </w:p>
    <w:p w14:paraId="027A4244" w14:textId="77777777" w:rsidR="00DF2386" w:rsidRPr="005956FD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56FD">
        <w:rPr>
          <w:bCs/>
          <w:sz w:val="24"/>
          <w:szCs w:val="24"/>
          <w:lang w:val="es-ES_tradnl"/>
        </w:rPr>
        <w:t>53</w:t>
      </w:r>
      <w:r w:rsidR="005B2DE8" w:rsidRPr="005956FD">
        <w:rPr>
          <w:bCs/>
          <w:sz w:val="24"/>
          <w:szCs w:val="24"/>
          <w:lang w:val="es-ES_tradnl"/>
        </w:rPr>
        <w:t>ª Reunión del Comité Permanente</w:t>
      </w:r>
    </w:p>
    <w:p w14:paraId="274CE48D" w14:textId="77777777" w:rsidR="00DF2386" w:rsidRPr="005956FD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56FD">
        <w:rPr>
          <w:bCs/>
          <w:sz w:val="24"/>
          <w:szCs w:val="24"/>
          <w:lang w:val="es-ES_tradnl"/>
        </w:rPr>
        <w:t>Gland, S</w:t>
      </w:r>
      <w:r w:rsidR="005B2DE8" w:rsidRPr="005956FD">
        <w:rPr>
          <w:bCs/>
          <w:sz w:val="24"/>
          <w:szCs w:val="24"/>
          <w:lang w:val="es-ES_tradnl"/>
        </w:rPr>
        <w:t>uiza, 29 de mayo a 2 de junio de 2017</w:t>
      </w:r>
    </w:p>
    <w:p w14:paraId="4BE8B164" w14:textId="77777777" w:rsidR="00DF2386" w:rsidRPr="005956FD" w:rsidRDefault="00DF2386" w:rsidP="00014168">
      <w:pPr>
        <w:outlineLvl w:val="0"/>
        <w:rPr>
          <w:b/>
          <w:lang w:val="es-ES_tradnl"/>
        </w:rPr>
      </w:pPr>
    </w:p>
    <w:p w14:paraId="38EA34B3" w14:textId="3A02A561" w:rsidR="00DF2386" w:rsidRPr="001B00B5" w:rsidRDefault="00DF2386" w:rsidP="00014168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bookmarkStart w:id="0" w:name="_GoBack"/>
      <w:r w:rsidRPr="001B00B5">
        <w:rPr>
          <w:rFonts w:cs="Arial"/>
          <w:b/>
          <w:sz w:val="28"/>
          <w:szCs w:val="28"/>
          <w:lang w:val="es-ES_tradnl"/>
        </w:rPr>
        <w:t>SC53-</w:t>
      </w:r>
      <w:r w:rsidR="001B00B5">
        <w:rPr>
          <w:rFonts w:cs="Arial"/>
          <w:b/>
          <w:sz w:val="28"/>
          <w:szCs w:val="28"/>
          <w:lang w:val="es-ES_tradnl"/>
        </w:rPr>
        <w:t>12</w:t>
      </w:r>
      <w:r w:rsidR="004F0F30" w:rsidRPr="001B00B5">
        <w:rPr>
          <w:rFonts w:cs="Arial"/>
          <w:b/>
          <w:sz w:val="28"/>
          <w:szCs w:val="28"/>
          <w:lang w:val="es-ES_tradnl"/>
        </w:rPr>
        <w:t xml:space="preserve"> </w:t>
      </w:r>
    </w:p>
    <w:p w14:paraId="0BF49C09" w14:textId="77777777" w:rsidR="00DF2386" w:rsidRPr="001B00B5" w:rsidRDefault="00DF2386" w:rsidP="00014168">
      <w:pPr>
        <w:spacing w:after="0" w:line="240" w:lineRule="auto"/>
        <w:rPr>
          <w:rFonts w:cs="Arial"/>
          <w:b/>
          <w:color w:val="FF0000"/>
          <w:sz w:val="28"/>
          <w:szCs w:val="28"/>
          <w:lang w:val="es-ES_tradnl"/>
        </w:rPr>
      </w:pPr>
    </w:p>
    <w:p w14:paraId="4212B30D" w14:textId="77777777" w:rsidR="00DF2386" w:rsidRPr="001B00B5" w:rsidRDefault="005B2DE8" w:rsidP="00014168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1B00B5">
        <w:rPr>
          <w:rFonts w:cs="Arial"/>
          <w:b/>
          <w:sz w:val="28"/>
          <w:szCs w:val="28"/>
          <w:lang w:val="es-ES_tradnl"/>
        </w:rPr>
        <w:t>Actualización sobre las iniciativas regionales de Ramsar</w:t>
      </w:r>
    </w:p>
    <w:bookmarkEnd w:id="0"/>
    <w:p w14:paraId="626BD2E3" w14:textId="77777777" w:rsidR="00DF2386" w:rsidRPr="005956FD" w:rsidRDefault="00DF2386" w:rsidP="00014168">
      <w:pPr>
        <w:spacing w:after="0" w:line="240" w:lineRule="auto"/>
        <w:rPr>
          <w:rFonts w:ascii="Garamond" w:hAnsi="Garamond" w:cs="Arial"/>
          <w:lang w:val="es-ES_tradnl"/>
        </w:rPr>
      </w:pPr>
    </w:p>
    <w:p w14:paraId="5D862E26" w14:textId="77777777" w:rsidR="000C2489" w:rsidRPr="005956FD" w:rsidRDefault="000C2489" w:rsidP="0001416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lang w:val="es-ES_tradnl"/>
        </w:rPr>
      </w:pPr>
      <w:r w:rsidRPr="005956FD">
        <w:rPr>
          <w:noProof/>
          <w:lang w:eastAsia="en-GB"/>
        </w:rPr>
        <mc:AlternateContent>
          <mc:Choice Requires="wps">
            <w:drawing>
              <wp:inline distT="0" distB="0" distL="0" distR="0" wp14:anchorId="62D3C311" wp14:editId="70EF415C">
                <wp:extent cx="5731510" cy="2790908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79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E83A" w14:textId="77777777" w:rsidR="00572AF3" w:rsidRPr="005956FD" w:rsidRDefault="00572AF3" w:rsidP="000C248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5956FD">
                              <w:rPr>
                                <w:b/>
                                <w:bCs/>
                                <w:lang w:val="es-ES_tradnl"/>
                              </w:rPr>
                              <w:t>Acciones solicitadas:</w:t>
                            </w:r>
                          </w:p>
                          <w:p w14:paraId="4A43EA10" w14:textId="77777777" w:rsidR="00572AF3" w:rsidRPr="005956FD" w:rsidRDefault="00572AF3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2A773E5B" w14:textId="77777777" w:rsidR="00572AF3" w:rsidRPr="005956FD" w:rsidRDefault="00572AF3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5956FD">
                              <w:rPr>
                                <w:lang w:val="es-ES_tradnl"/>
                              </w:rPr>
                              <w:t>Se invita al Comité Permanente a hacer lo siguiente</w:t>
                            </w: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>:</w:t>
                            </w:r>
                          </w:p>
                          <w:p w14:paraId="3B9FFB08" w14:textId="77777777" w:rsidR="00572AF3" w:rsidRPr="005956FD" w:rsidRDefault="00572AF3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036E30CF" w14:textId="73795F8A" w:rsidR="00572AF3" w:rsidRPr="005956FD" w:rsidRDefault="00572AF3" w:rsidP="000E54D6">
                            <w:pPr>
                              <w:pStyle w:val="ColorfulList-Accent1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/>
                              <w:rPr>
                                <w:lang w:val="es-ES_tradnl"/>
                              </w:rPr>
                            </w:pP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 xml:space="preserve">tomar nota de los informes sobre avances presentados por las iniciativas regionales de Ramsar que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operan</w:t>
                            </w: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 xml:space="preserve"> en el marco de la Convención durante el trienio 2016-2018 con la aprobación del Comité Permanente mediante las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decision</w:t>
                            </w: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 xml:space="preserve">es SC52-17 y SC52-20; </w:t>
                            </w:r>
                          </w:p>
                          <w:p w14:paraId="355332F1" w14:textId="77777777" w:rsidR="00572AF3" w:rsidRPr="005956FD" w:rsidRDefault="00572AF3" w:rsidP="000E54D6">
                            <w:pPr>
                              <w:pStyle w:val="ColorfulList-Accent11"/>
                              <w:spacing w:after="0" w:line="240" w:lineRule="auto"/>
                              <w:ind w:left="426"/>
                              <w:rPr>
                                <w:lang w:val="es-ES_tradnl"/>
                              </w:rPr>
                            </w:pPr>
                          </w:p>
                          <w:p w14:paraId="53D614CD" w14:textId="125320B4" w:rsidR="00572AF3" w:rsidRPr="005956FD" w:rsidRDefault="00572AF3" w:rsidP="000E54D6">
                            <w:pPr>
                              <w:pStyle w:val="ColorfulList-Accent1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/>
                              <w:rPr>
                                <w:lang w:val="es-ES_tradnl"/>
                              </w:rPr>
                            </w:pP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 xml:space="preserve">asignar fondos con cargo a la partida D del presupuesto básico de Ramsar correspondiente a las iniciativas regionales en 2017 (Resolución XII.1) a fin de aportar financiación inicial a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las </w:t>
                            </w: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>iniciativas regionales recién establecidas para que puedan realizar sus actividades en 2017:</w:t>
                            </w:r>
                          </w:p>
                          <w:p w14:paraId="56E8E0BA" w14:textId="77777777" w:rsidR="00572AF3" w:rsidRPr="005956FD" w:rsidRDefault="00572AF3" w:rsidP="000E54D6">
                            <w:pPr>
                              <w:pStyle w:val="ColorfulList-Accent11"/>
                              <w:spacing w:after="0" w:line="240" w:lineRule="auto"/>
                              <w:ind w:left="426" w:firstLine="72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>-30.000 francos suizos para la Iniciativa de la cuenca del río Senegal,</w:t>
                            </w:r>
                          </w:p>
                          <w:p w14:paraId="3F021AC2" w14:textId="77777777" w:rsidR="00572AF3" w:rsidRPr="005956FD" w:rsidRDefault="00572AF3" w:rsidP="000E54D6">
                            <w:pPr>
                              <w:pStyle w:val="ColorfulList-Accent11"/>
                              <w:spacing w:after="0" w:line="240" w:lineRule="auto"/>
                              <w:ind w:left="426" w:firstLine="72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>-30.000 francos suizos para la Iniciativa de la cuenca amazónica,</w:t>
                            </w:r>
                          </w:p>
                          <w:p w14:paraId="4EC9607D" w14:textId="77777777" w:rsidR="00572AF3" w:rsidRPr="005956FD" w:rsidRDefault="00572AF3" w:rsidP="000E54D6">
                            <w:pPr>
                              <w:pStyle w:val="ColorfulList-Accent11"/>
                              <w:spacing w:after="0" w:line="240" w:lineRule="auto"/>
                              <w:ind w:left="852" w:firstLine="294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>-30.000 francos suizos para la Iniciativa regional de Asia Central, y</w:t>
                            </w:r>
                          </w:p>
                          <w:p w14:paraId="1E877759" w14:textId="77777777" w:rsidR="00572AF3" w:rsidRPr="005956FD" w:rsidRDefault="00572AF3" w:rsidP="000E54D6">
                            <w:pPr>
                              <w:pStyle w:val="ColorfulList-Accent11"/>
                              <w:spacing w:after="0" w:line="240" w:lineRule="auto"/>
                              <w:ind w:left="426" w:firstLine="72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>-30.000 francos suizos para la Iniciativa Indo-Birmana</w:t>
                            </w:r>
                          </w:p>
                          <w:p w14:paraId="4DFA664D" w14:textId="77777777" w:rsidR="00572AF3" w:rsidRPr="005956FD" w:rsidRDefault="00572AF3" w:rsidP="00994303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1.3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kgeSsCAABRBAAADgAAAGRycy9lMm9Eb2MueG1srFTbjtMwEH1H4h8sv9OkpWXbqOlq6VKEtFyk&#10;XT7AcZzEwvYY221Svp6x0y0R8ITIg+XxjI/PnJnJ9nbQipyE8xJMSeeznBJhONTStCX9+nR4tabE&#10;B2ZqpsCIkp6Fp7e7ly+2vS3EAjpQtXAEQYwvelvSLgRbZJnnndDMz8AKg84GnGYBTddmtWM9omuV&#10;LfL8TdaDq60DLrzH0/vRSXcJv2kED5+bxotAVEmRW0irS2sV12y3ZUXrmO0kv9Bg/8BCM2nw0SvU&#10;PQuMHJ38A0pL7sBDE2YcdAZNI7lIOWA28/y3bB47ZkXKBcXx9iqT/3+w/NPpiyOyxtpRYpjGEj2J&#10;IZC3MJB5VKe3vsCgR4thYcDjGBkz9fYB+DdPDOw7Zlpx5xz0nWA1sks3s8nVEcdHkKr/CDU+w44B&#10;EtDQOB0BUQyC6Fil87UykQrHw9XN6/lqji6OvsXNJt/k68guY8Xzdet8eC9Ak7gpqcPSJ3h2evBh&#10;DH0OSfRByfoglUqGa6u9cuTEsE0O6bug+2mYMqQv6Wa1WI0KTH1+CpGn728QWgbsdyV1SdfXIFZE&#10;3d6ZOnVjYFKNe8xOGUwyChm1G1UMQzVcClNBfUZJHYx9jXOImw7cD0p67OmS+u9H5gQl6oPBsmzm&#10;y2UcgmQsVzcLNNzUU009zHCEKmmgZNzuwzg4R+tk2+FLYyMYuMNSNjKJHKmOrC68sW9TmS4zFgdj&#10;aqeoX3+C3U8AAAD//wMAUEsDBBQABgAIAAAAIQDytp1q3QAAAAUBAAAPAAAAZHJzL2Rvd25yZXYu&#10;eG1sTI/BTsMwEETvSPyDtUhcEHVoS2hCNhVCAsENCoKrG2+TCHsdbDcNf4/hApeVRjOaeVutJ2vE&#10;SD70jhEuZhkI4sbpnluE15e78xWIEBVrZRwTwhcFWNfHR5UqtTvwM42b2IpUwqFUCF2MQyllaDqy&#10;KszcQJy8nfNWxSR9K7VXh1RujZxnWS6t6jktdGqg246aj83eIqyWD+N7eFw8vTX5zhTx7Gq8//SI&#10;pyfTzTWISFP8C8MPfkKHOjFt3Z51EAYhPRJ/b/KKbJ6D2CIsF8UlyLqS/+nrbwAAAP//AwBQSwEC&#10;LQAUAAYACAAAACEA5JnDwPsAAADhAQAAEwAAAAAAAAAAAAAAAAAAAAAAW0NvbnRlbnRfVHlwZXNd&#10;LnhtbFBLAQItABQABgAIAAAAIQAjsmrh1wAAAJQBAAALAAAAAAAAAAAAAAAAACwBAABfcmVscy8u&#10;cmVsc1BLAQItABQABgAIAAAAIQAPiSB5KwIAAFEEAAAOAAAAAAAAAAAAAAAAACwCAABkcnMvZTJv&#10;RG9jLnhtbFBLAQItABQABgAIAAAAIQDytp1q3QAAAAUBAAAPAAAAAAAAAAAAAAAAAIMEAABkcnMv&#10;ZG93bnJldi54bWxQSwUGAAAAAAQABADzAAAAjQUAAAAA&#10;">
                <v:textbox>
                  <w:txbxContent>
                    <w:p w14:paraId="6372E83A" w14:textId="77777777" w:rsidR="00572AF3" w:rsidRPr="005956FD" w:rsidRDefault="00572AF3" w:rsidP="000C2489">
                      <w:pPr>
                        <w:spacing w:after="0" w:line="240" w:lineRule="auto"/>
                        <w:rPr>
                          <w:b/>
                          <w:bCs/>
                          <w:lang w:val="es-ES_tradnl"/>
                        </w:rPr>
                      </w:pPr>
                      <w:r w:rsidRPr="005956FD">
                        <w:rPr>
                          <w:b/>
                          <w:bCs/>
                          <w:lang w:val="es-ES_tradnl"/>
                        </w:rPr>
                        <w:t>Acciones solicitadas:</w:t>
                      </w:r>
                    </w:p>
                    <w:p w14:paraId="4A43EA10" w14:textId="77777777" w:rsidR="00572AF3" w:rsidRPr="005956FD" w:rsidRDefault="00572AF3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es-ES_tradnl"/>
                        </w:rPr>
                      </w:pPr>
                    </w:p>
                    <w:p w14:paraId="2A773E5B" w14:textId="77777777" w:rsidR="00572AF3" w:rsidRPr="005956FD" w:rsidRDefault="00572AF3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_tradnl"/>
                        </w:rPr>
                      </w:pPr>
                      <w:r w:rsidRPr="005956FD">
                        <w:rPr>
                          <w:lang w:val="es-ES_tradnl"/>
                        </w:rPr>
                        <w:t>Se invita al Comité Permanente a hacer lo siguiente</w:t>
                      </w:r>
                      <w:r w:rsidRPr="005956FD">
                        <w:rPr>
                          <w:rFonts w:cs="Calibri"/>
                          <w:lang w:val="es-ES_tradnl"/>
                        </w:rPr>
                        <w:t>:</w:t>
                      </w:r>
                    </w:p>
                    <w:p w14:paraId="3B9FFB08" w14:textId="77777777" w:rsidR="00572AF3" w:rsidRPr="005956FD" w:rsidRDefault="00572AF3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_tradnl"/>
                        </w:rPr>
                      </w:pPr>
                    </w:p>
                    <w:p w14:paraId="036E30CF" w14:textId="73795F8A" w:rsidR="00572AF3" w:rsidRPr="005956FD" w:rsidRDefault="00572AF3" w:rsidP="000E54D6">
                      <w:pPr>
                        <w:pStyle w:val="ColorfulList-Accent11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/>
                        <w:rPr>
                          <w:lang w:val="es-ES_tradnl"/>
                        </w:rPr>
                      </w:pPr>
                      <w:r w:rsidRPr="005956FD">
                        <w:rPr>
                          <w:rFonts w:cs="Calibri"/>
                          <w:lang w:val="es-ES_tradnl"/>
                        </w:rPr>
                        <w:t xml:space="preserve">tomar nota de los informes sobre avances presentados por las iniciativas regionales de Ramsar que </w:t>
                      </w:r>
                      <w:r>
                        <w:rPr>
                          <w:rFonts w:cs="Calibri"/>
                          <w:lang w:val="es-ES_tradnl"/>
                        </w:rPr>
                        <w:t>operan</w:t>
                      </w:r>
                      <w:r w:rsidRPr="005956FD">
                        <w:rPr>
                          <w:rFonts w:cs="Calibri"/>
                          <w:lang w:val="es-ES_tradnl"/>
                        </w:rPr>
                        <w:t xml:space="preserve"> en el marco de la Convención durante el trienio 2016-2018 con la aprobación del Comité Permanente mediante las </w:t>
                      </w:r>
                      <w:r>
                        <w:rPr>
                          <w:rFonts w:cs="Calibri"/>
                          <w:lang w:val="es-ES_tradnl"/>
                        </w:rPr>
                        <w:t>decision</w:t>
                      </w:r>
                      <w:r w:rsidRPr="005956FD">
                        <w:rPr>
                          <w:rFonts w:cs="Calibri"/>
                          <w:lang w:val="es-ES_tradnl"/>
                        </w:rPr>
                        <w:t xml:space="preserve">es SC52-17 y SC52-20; </w:t>
                      </w:r>
                    </w:p>
                    <w:p w14:paraId="355332F1" w14:textId="77777777" w:rsidR="00572AF3" w:rsidRPr="005956FD" w:rsidRDefault="00572AF3" w:rsidP="000E54D6">
                      <w:pPr>
                        <w:pStyle w:val="ColorfulList-Accent11"/>
                        <w:spacing w:after="0" w:line="240" w:lineRule="auto"/>
                        <w:ind w:left="426"/>
                        <w:rPr>
                          <w:lang w:val="es-ES_tradnl"/>
                        </w:rPr>
                      </w:pPr>
                    </w:p>
                    <w:p w14:paraId="53D614CD" w14:textId="125320B4" w:rsidR="00572AF3" w:rsidRPr="005956FD" w:rsidRDefault="00572AF3" w:rsidP="000E54D6">
                      <w:pPr>
                        <w:pStyle w:val="ColorfulList-Accent11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/>
                        <w:rPr>
                          <w:lang w:val="es-ES_tradnl"/>
                        </w:rPr>
                      </w:pPr>
                      <w:r w:rsidRPr="005956FD">
                        <w:rPr>
                          <w:rFonts w:cs="Calibri"/>
                          <w:lang w:val="es-ES_tradnl"/>
                        </w:rPr>
                        <w:t xml:space="preserve">asignar fondos con cargo a la partida D del presupuesto básico de Ramsar correspondiente a las iniciativas regionales en 2017 (Resolución XII.1) a fin de aportar financiación inicial a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las </w:t>
                      </w:r>
                      <w:r w:rsidRPr="005956FD">
                        <w:rPr>
                          <w:rFonts w:cs="Calibri"/>
                          <w:lang w:val="es-ES_tradnl"/>
                        </w:rPr>
                        <w:t>iniciativas regionales recién establecidas para que puedan realizar sus actividades en 2017:</w:t>
                      </w:r>
                    </w:p>
                    <w:p w14:paraId="56E8E0BA" w14:textId="77777777" w:rsidR="00572AF3" w:rsidRPr="005956FD" w:rsidRDefault="00572AF3" w:rsidP="000E54D6">
                      <w:pPr>
                        <w:pStyle w:val="ColorfulList-Accent11"/>
                        <w:spacing w:after="0" w:line="240" w:lineRule="auto"/>
                        <w:ind w:left="426" w:firstLine="720"/>
                        <w:rPr>
                          <w:rFonts w:cs="Calibri"/>
                          <w:lang w:val="es-ES_tradnl"/>
                        </w:rPr>
                      </w:pPr>
                      <w:r w:rsidRPr="005956FD">
                        <w:rPr>
                          <w:rFonts w:cs="Calibri"/>
                          <w:lang w:val="es-ES_tradnl"/>
                        </w:rPr>
                        <w:t>-30.000 francos suizos para la Iniciativa de la cuenca del río Senegal,</w:t>
                      </w:r>
                    </w:p>
                    <w:p w14:paraId="3F021AC2" w14:textId="77777777" w:rsidR="00572AF3" w:rsidRPr="005956FD" w:rsidRDefault="00572AF3" w:rsidP="000E54D6">
                      <w:pPr>
                        <w:pStyle w:val="ColorfulList-Accent11"/>
                        <w:spacing w:after="0" w:line="240" w:lineRule="auto"/>
                        <w:ind w:left="426" w:firstLine="720"/>
                        <w:rPr>
                          <w:rFonts w:cs="Calibri"/>
                          <w:lang w:val="es-ES_tradnl"/>
                        </w:rPr>
                      </w:pPr>
                      <w:r w:rsidRPr="005956FD">
                        <w:rPr>
                          <w:rFonts w:cs="Calibri"/>
                          <w:lang w:val="es-ES_tradnl"/>
                        </w:rPr>
                        <w:t>-30.000 francos suizos para la Iniciativa de la cuenca amazónica,</w:t>
                      </w:r>
                    </w:p>
                    <w:p w14:paraId="4EC9607D" w14:textId="77777777" w:rsidR="00572AF3" w:rsidRPr="005956FD" w:rsidRDefault="00572AF3" w:rsidP="000E54D6">
                      <w:pPr>
                        <w:pStyle w:val="ColorfulList-Accent11"/>
                        <w:spacing w:after="0" w:line="240" w:lineRule="auto"/>
                        <w:ind w:left="852" w:firstLine="294"/>
                        <w:rPr>
                          <w:rFonts w:cs="Calibri"/>
                          <w:lang w:val="es-ES_tradnl"/>
                        </w:rPr>
                      </w:pPr>
                      <w:r w:rsidRPr="005956FD">
                        <w:rPr>
                          <w:rFonts w:cs="Calibri"/>
                          <w:lang w:val="es-ES_tradnl"/>
                        </w:rPr>
                        <w:t>-30.000 francos suizos para la Iniciativa regional de Asia Central, y</w:t>
                      </w:r>
                    </w:p>
                    <w:p w14:paraId="1E877759" w14:textId="77777777" w:rsidR="00572AF3" w:rsidRPr="005956FD" w:rsidRDefault="00572AF3" w:rsidP="000E54D6">
                      <w:pPr>
                        <w:pStyle w:val="ColorfulList-Accent11"/>
                        <w:spacing w:after="0" w:line="240" w:lineRule="auto"/>
                        <w:ind w:left="426" w:firstLine="720"/>
                        <w:rPr>
                          <w:rFonts w:cs="Calibri"/>
                          <w:lang w:val="es-ES_tradnl"/>
                        </w:rPr>
                      </w:pPr>
                      <w:r w:rsidRPr="005956FD">
                        <w:rPr>
                          <w:rFonts w:cs="Calibri"/>
                          <w:lang w:val="es-ES_tradnl"/>
                        </w:rPr>
                        <w:t>-30.000 francos suizos para la Iniciativa Indo-Birmana</w:t>
                      </w:r>
                    </w:p>
                    <w:p w14:paraId="4DFA664D" w14:textId="77777777" w:rsidR="00572AF3" w:rsidRPr="005956FD" w:rsidRDefault="00572AF3" w:rsidP="00994303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53FEB" w14:textId="77777777" w:rsidR="009E0AE8" w:rsidRPr="005956FD" w:rsidRDefault="009E0AE8" w:rsidP="00014168">
      <w:pPr>
        <w:spacing w:after="0" w:line="240" w:lineRule="auto"/>
        <w:rPr>
          <w:rFonts w:cs="Arial"/>
          <w:b/>
          <w:lang w:val="es-ES_tradnl"/>
        </w:rPr>
      </w:pPr>
    </w:p>
    <w:p w14:paraId="01920B98" w14:textId="77777777" w:rsidR="009E0AE8" w:rsidRPr="005956FD" w:rsidRDefault="009E0AE8" w:rsidP="00014168">
      <w:pPr>
        <w:spacing w:after="0" w:line="240" w:lineRule="auto"/>
        <w:rPr>
          <w:rFonts w:cs="Arial"/>
          <w:b/>
          <w:lang w:val="es-ES_tradnl"/>
        </w:rPr>
      </w:pPr>
    </w:p>
    <w:p w14:paraId="5AD36503" w14:textId="77777777" w:rsidR="000C2489" w:rsidRPr="005956FD" w:rsidRDefault="005B2DE8" w:rsidP="00014168">
      <w:pPr>
        <w:spacing w:after="0" w:line="240" w:lineRule="auto"/>
        <w:rPr>
          <w:rFonts w:cs="Arial"/>
          <w:b/>
          <w:lang w:val="es-ES_tradnl"/>
        </w:rPr>
      </w:pPr>
      <w:r w:rsidRPr="005956FD">
        <w:rPr>
          <w:rFonts w:cs="Arial"/>
          <w:b/>
          <w:lang w:val="es-ES_tradnl"/>
        </w:rPr>
        <w:t>Antecedentes</w:t>
      </w:r>
    </w:p>
    <w:p w14:paraId="7AD71707" w14:textId="77777777" w:rsidR="00DD3D18" w:rsidRPr="005956FD" w:rsidRDefault="00DD3D18" w:rsidP="00014168">
      <w:pPr>
        <w:spacing w:after="0" w:line="240" w:lineRule="auto"/>
        <w:rPr>
          <w:rFonts w:cs="Arial"/>
          <w:i/>
          <w:lang w:val="es-ES_tradnl"/>
        </w:rPr>
      </w:pPr>
    </w:p>
    <w:p w14:paraId="289B6546" w14:textId="4EA0D6E0" w:rsidR="00030EC8" w:rsidRPr="005956FD" w:rsidRDefault="005B2DE8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Las Partes Contratantes de Ramsar reconocieron por primera vez la cooperación internacional como una manera eficaz de promover y aplicar mejor los objetivos de la Convención en la COP7, en </w:t>
      </w:r>
      <w:r w:rsidR="005617DE" w:rsidRPr="005956FD">
        <w:rPr>
          <w:rFonts w:cs="Arial"/>
          <w:lang w:val="es-ES_tradnl"/>
        </w:rPr>
        <w:t>1999 (</w:t>
      </w:r>
      <w:r w:rsidR="005956FD" w:rsidRPr="005956FD">
        <w:rPr>
          <w:rFonts w:cs="Arial"/>
          <w:lang w:val="es-ES_tradnl"/>
        </w:rPr>
        <w:t>Resolución</w:t>
      </w:r>
      <w:r w:rsidR="005617DE" w:rsidRPr="005956FD">
        <w:rPr>
          <w:rFonts w:cs="Arial"/>
          <w:lang w:val="es-ES_tradnl"/>
        </w:rPr>
        <w:t xml:space="preserve"> VII.19)</w:t>
      </w:r>
      <w:r w:rsidR="00030EC8" w:rsidRPr="005956FD">
        <w:rPr>
          <w:rFonts w:cs="Arial"/>
          <w:lang w:val="es-ES_tradnl"/>
        </w:rPr>
        <w:t>.</w:t>
      </w:r>
      <w:r w:rsidRPr="005956FD">
        <w:rPr>
          <w:rFonts w:cs="Arial"/>
          <w:lang w:val="es-ES_tradnl"/>
        </w:rPr>
        <w:t xml:space="preserve"> Esto dio lugar al establecimiento y la creación de mecanismos formales de cooperación regional, conocidos como “iniciativas regionales de Ramsar” (IRR)</w:t>
      </w:r>
      <w:r w:rsidR="005617DE" w:rsidRPr="005956FD">
        <w:rPr>
          <w:rFonts w:cs="Arial"/>
          <w:lang w:val="es-ES_tradnl"/>
        </w:rPr>
        <w:t xml:space="preserve">. </w:t>
      </w:r>
    </w:p>
    <w:p w14:paraId="6C890079" w14:textId="77777777" w:rsidR="0065635D" w:rsidRPr="005956FD" w:rsidRDefault="0065635D" w:rsidP="00030EC8">
      <w:pPr>
        <w:spacing w:after="0" w:line="240" w:lineRule="auto"/>
        <w:rPr>
          <w:rFonts w:cs="Arial"/>
          <w:lang w:val="es-ES_tradnl"/>
        </w:rPr>
      </w:pPr>
    </w:p>
    <w:p w14:paraId="5EE41E30" w14:textId="162272FF" w:rsidR="0065635D" w:rsidRPr="005956FD" w:rsidRDefault="005B2DE8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En la </w:t>
      </w:r>
      <w:r w:rsidR="00C047C1" w:rsidRPr="005956FD">
        <w:rPr>
          <w:rFonts w:cs="Arial"/>
          <w:lang w:val="es-ES_tradnl"/>
        </w:rPr>
        <w:t>COP12</w:t>
      </w:r>
      <w:r w:rsidRPr="005956FD">
        <w:rPr>
          <w:rFonts w:cs="Arial"/>
          <w:lang w:val="es-ES_tradnl"/>
        </w:rPr>
        <w:t xml:space="preserve">, en </w:t>
      </w:r>
      <w:r w:rsidR="00994303" w:rsidRPr="005956FD">
        <w:rPr>
          <w:rFonts w:cs="Arial"/>
          <w:lang w:val="es-ES_tradnl"/>
        </w:rPr>
        <w:t>2015 (</w:t>
      </w:r>
      <w:r w:rsidR="005956FD">
        <w:rPr>
          <w:rFonts w:cs="Arial"/>
          <w:lang w:val="es-ES_tradnl"/>
        </w:rPr>
        <w:t>Resolución</w:t>
      </w:r>
      <w:r w:rsidR="00994303" w:rsidRPr="005956FD">
        <w:rPr>
          <w:rFonts w:cs="Arial"/>
          <w:lang w:val="es-ES_tradnl"/>
        </w:rPr>
        <w:t xml:space="preserve"> XII.8</w:t>
      </w:r>
      <w:r w:rsidR="00C047C1" w:rsidRPr="005956FD">
        <w:rPr>
          <w:rFonts w:cs="Arial"/>
          <w:lang w:val="es-ES_tradnl"/>
        </w:rPr>
        <w:t>)</w:t>
      </w:r>
      <w:r w:rsidRPr="005956FD">
        <w:rPr>
          <w:rFonts w:cs="Arial"/>
          <w:lang w:val="es-ES_tradnl"/>
        </w:rPr>
        <w:t>, se recordó que las IRR, “entre las que se incluyen centros de capacitación y creación de capacidad y redes que facilitan la cooperación, tienen por objeto servir de medios operativos para brindar un apoyo eficaz con miras a mejorar la aplicación de la Convención y su Plan Estratégico en regiones geográficas</w:t>
      </w:r>
      <w:r w:rsidR="00EB0F85" w:rsidRPr="005956FD">
        <w:rPr>
          <w:rFonts w:cs="Arial"/>
          <w:lang w:val="es-ES_tradnl"/>
        </w:rPr>
        <w:t xml:space="preserve"> concretas, por medio de la cooperación internacional en cuestiones de interés común relativas a los humedales</w:t>
      </w:r>
      <w:r w:rsidR="00994303" w:rsidRPr="005956FD">
        <w:rPr>
          <w:rFonts w:cs="Arial"/>
          <w:lang w:val="es-ES_tradnl"/>
        </w:rPr>
        <w:t>”</w:t>
      </w:r>
      <w:r w:rsidR="005617DE" w:rsidRPr="005956FD">
        <w:rPr>
          <w:rFonts w:cs="Arial"/>
          <w:lang w:val="es-ES_tradnl"/>
        </w:rPr>
        <w:t xml:space="preserve"> (</w:t>
      </w:r>
      <w:r w:rsidR="00EB0F85" w:rsidRPr="005956FD">
        <w:rPr>
          <w:rFonts w:cs="Arial"/>
          <w:lang w:val="es-ES_tradnl"/>
        </w:rPr>
        <w:t xml:space="preserve">párrafo </w:t>
      </w:r>
      <w:r w:rsidR="005617DE" w:rsidRPr="005956FD">
        <w:rPr>
          <w:rFonts w:cs="Arial"/>
          <w:lang w:val="es-ES_tradnl"/>
        </w:rPr>
        <w:t>1)</w:t>
      </w:r>
      <w:r w:rsidR="00994303" w:rsidRPr="005956FD">
        <w:rPr>
          <w:rFonts w:cs="Arial"/>
          <w:lang w:val="es-ES_tradnl"/>
        </w:rPr>
        <w:t>.</w:t>
      </w:r>
    </w:p>
    <w:p w14:paraId="7066F791" w14:textId="77777777" w:rsidR="0065635D" w:rsidRPr="005956FD" w:rsidRDefault="0065635D" w:rsidP="00030EC8">
      <w:pPr>
        <w:spacing w:after="0" w:line="240" w:lineRule="auto"/>
        <w:rPr>
          <w:rFonts w:cs="Arial"/>
          <w:lang w:val="es-ES_tradnl"/>
        </w:rPr>
      </w:pPr>
    </w:p>
    <w:p w14:paraId="3934779A" w14:textId="02F77635" w:rsidR="00030EC8" w:rsidRPr="005956FD" w:rsidRDefault="00EB0F85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Posteriormente, el Comité Permanente </w:t>
      </w:r>
      <w:r w:rsidR="00994303" w:rsidRPr="005956FD">
        <w:rPr>
          <w:rFonts w:cs="Arial"/>
          <w:lang w:val="es-ES_tradnl"/>
        </w:rPr>
        <w:t>(</w:t>
      </w:r>
      <w:r w:rsidR="005956FD" w:rsidRPr="005956FD">
        <w:rPr>
          <w:rFonts w:cs="Arial"/>
          <w:lang w:val="es-ES_tradnl"/>
        </w:rPr>
        <w:t>Decisión</w:t>
      </w:r>
      <w:r w:rsidR="00994303" w:rsidRPr="005956FD">
        <w:rPr>
          <w:rFonts w:cs="Arial"/>
          <w:lang w:val="es-ES_tradnl"/>
        </w:rPr>
        <w:t xml:space="preserve"> SC52-17) </w:t>
      </w:r>
      <w:r w:rsidRPr="005956FD">
        <w:rPr>
          <w:rFonts w:cs="Arial"/>
          <w:lang w:val="es-ES_tradnl"/>
        </w:rPr>
        <w:t xml:space="preserve">aprobó 15 iniciativas regionales de Ramsar considerando que operan en el marco de la Convención durante el período </w:t>
      </w:r>
      <w:r w:rsidR="00E61DCE" w:rsidRPr="005956FD">
        <w:rPr>
          <w:rFonts w:cs="Arial"/>
          <w:lang w:val="es-ES_tradnl"/>
        </w:rPr>
        <w:t>2016-2018</w:t>
      </w:r>
      <w:r w:rsidR="0065635D" w:rsidRPr="005956FD">
        <w:rPr>
          <w:rFonts w:cs="Arial"/>
          <w:lang w:val="es-ES_tradnl"/>
        </w:rPr>
        <w:t>:</w:t>
      </w:r>
    </w:p>
    <w:p w14:paraId="2CDD2796" w14:textId="77777777" w:rsidR="0065635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Centro </w:t>
      </w:r>
      <w:r w:rsidR="0065635D" w:rsidRPr="005956FD">
        <w:rPr>
          <w:rFonts w:cs="Arial"/>
          <w:lang w:val="es-ES_tradnl"/>
        </w:rPr>
        <w:t>Ramsar</w:t>
      </w:r>
      <w:r w:rsidRPr="005956FD">
        <w:rPr>
          <w:rFonts w:cs="Arial"/>
          <w:lang w:val="es-ES_tradnl"/>
        </w:rPr>
        <w:t xml:space="preserve"> para África Oriental </w:t>
      </w:r>
      <w:r w:rsidR="0065635D" w:rsidRPr="005956FD">
        <w:rPr>
          <w:rFonts w:cs="Arial"/>
          <w:lang w:val="es-ES_tradnl"/>
        </w:rPr>
        <w:t>(RAMCEA</w:t>
      </w:r>
      <w:r w:rsidR="00D325F2" w:rsidRPr="005956FD">
        <w:rPr>
          <w:rFonts w:cs="Arial"/>
          <w:lang w:val="es-ES_tradnl"/>
        </w:rPr>
        <w:t>);</w:t>
      </w:r>
    </w:p>
    <w:p w14:paraId="3B447AC3" w14:textId="77777777" w:rsidR="00730D45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Centro Regional Ramsar para la Capacitación e Investigación sobre Humedales en el Hemisferio Occidental </w:t>
      </w:r>
      <w:r w:rsidR="00730D45" w:rsidRPr="005956FD">
        <w:rPr>
          <w:rFonts w:cs="Arial"/>
          <w:lang w:val="es-ES_tradnl"/>
        </w:rPr>
        <w:t>(CREHO</w:t>
      </w:r>
      <w:r w:rsidR="00D325F2" w:rsidRPr="005956FD">
        <w:rPr>
          <w:rFonts w:cs="Arial"/>
          <w:lang w:val="es-ES_tradnl"/>
        </w:rPr>
        <w:t>);</w:t>
      </w:r>
    </w:p>
    <w:p w14:paraId="4D265970" w14:textId="77777777" w:rsidR="0065635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Centro Regional </w:t>
      </w:r>
      <w:r w:rsidR="0065635D" w:rsidRPr="005956FD">
        <w:rPr>
          <w:rFonts w:cs="Arial"/>
          <w:lang w:val="es-ES_tradnl"/>
        </w:rPr>
        <w:t xml:space="preserve">Ramsar </w:t>
      </w:r>
      <w:r w:rsidRPr="005956FD">
        <w:rPr>
          <w:rFonts w:cs="Arial"/>
          <w:lang w:val="es-ES_tradnl"/>
        </w:rPr>
        <w:t xml:space="preserve">para Asia Central y Occidental </w:t>
      </w:r>
      <w:r w:rsidR="0065635D" w:rsidRPr="005956FD">
        <w:rPr>
          <w:rFonts w:cs="Arial"/>
          <w:lang w:val="es-ES_tradnl"/>
        </w:rPr>
        <w:t>(RRC-CWA</w:t>
      </w:r>
      <w:r w:rsidR="00D325F2" w:rsidRPr="005956FD">
        <w:rPr>
          <w:rFonts w:cs="Arial"/>
          <w:lang w:val="es-ES_tradnl"/>
        </w:rPr>
        <w:t>);</w:t>
      </w:r>
    </w:p>
    <w:p w14:paraId="53420C48" w14:textId="77777777" w:rsidR="0065635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Centro Regional Ramsar para Asia Oriental </w:t>
      </w:r>
      <w:r w:rsidR="0065635D" w:rsidRPr="005956FD">
        <w:rPr>
          <w:rFonts w:cs="Arial"/>
          <w:lang w:val="es-ES_tradnl"/>
        </w:rPr>
        <w:t>(RCC-EA)</w:t>
      </w:r>
      <w:r w:rsidR="00D325F2" w:rsidRPr="005956FD">
        <w:rPr>
          <w:rFonts w:cs="Arial"/>
          <w:lang w:val="es-ES_tradnl"/>
        </w:rPr>
        <w:t>;</w:t>
      </w:r>
    </w:p>
    <w:p w14:paraId="27DE03E5" w14:textId="77777777" w:rsidR="0065635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Red de humedales costeros de África Occidental </w:t>
      </w:r>
      <w:r w:rsidR="0065635D" w:rsidRPr="005956FD">
        <w:rPr>
          <w:rFonts w:cs="Arial"/>
          <w:lang w:val="es-ES_tradnl"/>
        </w:rPr>
        <w:t>(WaCoWet)</w:t>
      </w:r>
      <w:r w:rsidR="00D325F2" w:rsidRPr="005956FD">
        <w:rPr>
          <w:rFonts w:cs="Arial"/>
          <w:lang w:val="es-ES_tradnl"/>
        </w:rPr>
        <w:t>;</w:t>
      </w:r>
    </w:p>
    <w:p w14:paraId="0B482496" w14:textId="77777777" w:rsidR="0065635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Red de la cuenca del río Níger </w:t>
      </w:r>
      <w:r w:rsidR="0065635D" w:rsidRPr="005956FD">
        <w:rPr>
          <w:rFonts w:cs="Arial"/>
          <w:lang w:val="es-ES_tradnl"/>
        </w:rPr>
        <w:t>(NigerWet)</w:t>
      </w:r>
      <w:r w:rsidR="00D325F2" w:rsidRPr="005956FD">
        <w:rPr>
          <w:rFonts w:cs="Arial"/>
          <w:lang w:val="es-ES_tradnl"/>
        </w:rPr>
        <w:t>;</w:t>
      </w:r>
    </w:p>
    <w:p w14:paraId="69B05167" w14:textId="77777777" w:rsidR="0065635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lastRenderedPageBreak/>
        <w:t xml:space="preserve">Iniciativa </w:t>
      </w:r>
      <w:r w:rsidR="0019073D" w:rsidRPr="005956FD">
        <w:rPr>
          <w:rFonts w:cs="Arial"/>
          <w:lang w:val="es-ES_tradnl"/>
        </w:rPr>
        <w:t xml:space="preserve">Regional </w:t>
      </w:r>
      <w:r w:rsidRPr="005956FD">
        <w:rPr>
          <w:rFonts w:cs="Arial"/>
          <w:lang w:val="es-ES_tradnl"/>
        </w:rPr>
        <w:t>de Conservación y Uso Sostenible de los Humedales Altoandinos</w:t>
      </w:r>
      <w:r w:rsidR="00D325F2" w:rsidRPr="005956FD">
        <w:rPr>
          <w:rFonts w:cs="Arial"/>
          <w:lang w:val="es-ES_tradnl"/>
        </w:rPr>
        <w:t>;</w:t>
      </w:r>
    </w:p>
    <w:p w14:paraId="2C2FBE20" w14:textId="77777777" w:rsidR="0019073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>Iniciativa para la Conservación y Uso Sustentable de los Humedales Fluviales de la Cuenca del Plata</w:t>
      </w:r>
      <w:r w:rsidR="005617DE" w:rsidRPr="005956FD">
        <w:rPr>
          <w:rFonts w:cs="Arial"/>
          <w:lang w:val="es-ES_tradnl"/>
        </w:rPr>
        <w:t>,</w:t>
      </w:r>
    </w:p>
    <w:p w14:paraId="3E9DA612" w14:textId="77777777" w:rsidR="0019073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Iniciativa Regional de los Humedales del Caribe </w:t>
      </w:r>
      <w:r w:rsidR="0019073D" w:rsidRPr="005956FD">
        <w:rPr>
          <w:rFonts w:cs="Arial"/>
          <w:lang w:val="es-ES_tradnl"/>
        </w:rPr>
        <w:t>(CariWet)</w:t>
      </w:r>
      <w:r w:rsidR="00D325F2" w:rsidRPr="005956FD">
        <w:rPr>
          <w:rFonts w:cs="Arial"/>
          <w:lang w:val="es-ES_tradnl"/>
        </w:rPr>
        <w:t>;</w:t>
      </w:r>
    </w:p>
    <w:p w14:paraId="40F8CF37" w14:textId="77D1167E" w:rsidR="0019073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Iniciativa Regional para la </w:t>
      </w:r>
      <w:r w:rsidR="005956FD" w:rsidRPr="005956FD">
        <w:rPr>
          <w:rFonts w:cs="Arial"/>
          <w:lang w:val="es-ES_tradnl"/>
        </w:rPr>
        <w:t>Conservación</w:t>
      </w:r>
      <w:r w:rsidRPr="005956FD">
        <w:rPr>
          <w:rFonts w:cs="Arial"/>
          <w:lang w:val="es-ES_tradnl"/>
        </w:rPr>
        <w:t xml:space="preserve"> y Uso Racional de Manglares y Corales</w:t>
      </w:r>
      <w:r w:rsidR="00D325F2" w:rsidRPr="005956FD">
        <w:rPr>
          <w:rFonts w:cs="Arial"/>
          <w:lang w:val="es-ES_tradnl"/>
        </w:rPr>
        <w:t>;</w:t>
      </w:r>
      <w:r w:rsidR="000103B0" w:rsidRPr="005956FD">
        <w:rPr>
          <w:rFonts w:cs="Arial"/>
          <w:lang w:val="es-ES_tradnl"/>
        </w:rPr>
        <w:t xml:space="preserve"> </w:t>
      </w:r>
    </w:p>
    <w:p w14:paraId="2432402F" w14:textId="77777777" w:rsidR="0019073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>Alianza de la Vía Migratoria Asia Oriental-Australasia;</w:t>
      </w:r>
    </w:p>
    <w:p w14:paraId="36D4FE53" w14:textId="77777777" w:rsidR="0019073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Iniciativa para los Humedales del Mediterráneo </w:t>
      </w:r>
      <w:r w:rsidR="0019073D" w:rsidRPr="005956FD">
        <w:rPr>
          <w:rFonts w:cs="Arial"/>
          <w:lang w:val="es-ES_tradnl"/>
        </w:rPr>
        <w:t>(MedWet)</w:t>
      </w:r>
      <w:r w:rsidR="00D325F2" w:rsidRPr="005956FD">
        <w:rPr>
          <w:rFonts w:cs="Arial"/>
          <w:lang w:val="es-ES_tradnl"/>
        </w:rPr>
        <w:t>;</w:t>
      </w:r>
    </w:p>
    <w:p w14:paraId="242D9949" w14:textId="1B295F6D" w:rsidR="0019073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Iniciativa para los </w:t>
      </w:r>
      <w:r w:rsidR="005956FD" w:rsidRPr="005956FD">
        <w:rPr>
          <w:rFonts w:cs="Arial"/>
          <w:lang w:val="es-ES_tradnl"/>
        </w:rPr>
        <w:t>humedales</w:t>
      </w:r>
      <w:r w:rsidRPr="005956FD">
        <w:rPr>
          <w:rFonts w:cs="Arial"/>
          <w:lang w:val="es-ES_tradnl"/>
        </w:rPr>
        <w:t xml:space="preserve"> de los Cárpatos </w:t>
      </w:r>
      <w:r w:rsidR="000103B0" w:rsidRPr="005956FD">
        <w:rPr>
          <w:rFonts w:cs="Arial"/>
          <w:lang w:val="es-ES_tradnl"/>
        </w:rPr>
        <w:t>(CWI)</w:t>
      </w:r>
      <w:r w:rsidR="00D325F2" w:rsidRPr="005956FD">
        <w:rPr>
          <w:rFonts w:cs="Arial"/>
          <w:lang w:val="es-ES_tradnl"/>
        </w:rPr>
        <w:t>;</w:t>
      </w:r>
    </w:p>
    <w:p w14:paraId="045E44EA" w14:textId="77777777" w:rsidR="0019073D" w:rsidRPr="005956FD" w:rsidRDefault="00EB0F8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Iniciativa para los humedales nórdico-bálticos </w:t>
      </w:r>
      <w:r w:rsidR="0019073D" w:rsidRPr="005956FD">
        <w:rPr>
          <w:rFonts w:cs="Arial"/>
          <w:lang w:val="es-ES_tradnl"/>
        </w:rPr>
        <w:t>(NorBalWet)</w:t>
      </w:r>
      <w:r w:rsidR="00D325F2" w:rsidRPr="005956FD">
        <w:rPr>
          <w:rFonts w:cs="Arial"/>
          <w:lang w:val="es-ES_tradnl"/>
        </w:rPr>
        <w:t xml:space="preserve">; </w:t>
      </w:r>
      <w:r w:rsidRPr="005956FD">
        <w:rPr>
          <w:rFonts w:cs="Arial"/>
          <w:lang w:val="es-ES_tradnl"/>
        </w:rPr>
        <w:t>e</w:t>
      </w:r>
    </w:p>
    <w:p w14:paraId="2F866BBF" w14:textId="2D04B7C1" w:rsidR="0019073D" w:rsidRPr="005956FD" w:rsidRDefault="005956FD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>Iniciativa</w:t>
      </w:r>
      <w:r w:rsidR="00EB0F85" w:rsidRPr="005956FD">
        <w:rPr>
          <w:rFonts w:cs="Arial"/>
          <w:lang w:val="es-ES_tradnl"/>
        </w:rPr>
        <w:t xml:space="preserve"> para los </w:t>
      </w:r>
      <w:r w:rsidRPr="005956FD">
        <w:rPr>
          <w:rFonts w:cs="Arial"/>
          <w:lang w:val="es-ES_tradnl"/>
        </w:rPr>
        <w:t>humedales</w:t>
      </w:r>
      <w:r w:rsidR="00EB0F85" w:rsidRPr="005956FD">
        <w:rPr>
          <w:rFonts w:cs="Arial"/>
          <w:lang w:val="es-ES_tradnl"/>
        </w:rPr>
        <w:t xml:space="preserve"> costeros del mar Negro y el mar de Azov</w:t>
      </w:r>
      <w:r w:rsidR="0019073D" w:rsidRPr="005956FD">
        <w:rPr>
          <w:rFonts w:cs="Arial"/>
          <w:lang w:val="es-ES_tradnl"/>
        </w:rPr>
        <w:t xml:space="preserve"> (BlackSeaWet)</w:t>
      </w:r>
      <w:r w:rsidR="005617DE" w:rsidRPr="005956FD">
        <w:rPr>
          <w:rFonts w:cs="Arial"/>
          <w:lang w:val="es-ES_tradnl"/>
        </w:rPr>
        <w:t>.</w:t>
      </w:r>
    </w:p>
    <w:p w14:paraId="52E054B4" w14:textId="77777777" w:rsidR="0019073D" w:rsidRPr="005956FD" w:rsidRDefault="0019073D" w:rsidP="000E54D6">
      <w:pPr>
        <w:spacing w:after="0" w:line="240" w:lineRule="auto"/>
        <w:ind w:left="1134"/>
        <w:rPr>
          <w:rFonts w:cs="Arial"/>
          <w:lang w:val="es-ES_tradnl"/>
        </w:rPr>
      </w:pPr>
    </w:p>
    <w:p w14:paraId="031E60D3" w14:textId="3F222343" w:rsidR="0019073D" w:rsidRPr="005956FD" w:rsidRDefault="00EB0F85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>El Comité Permanente</w:t>
      </w:r>
      <w:r w:rsidR="00994303" w:rsidRPr="005956FD">
        <w:rPr>
          <w:rFonts w:cs="Arial"/>
          <w:lang w:val="es-ES_tradnl"/>
        </w:rPr>
        <w:t xml:space="preserve"> (</w:t>
      </w:r>
      <w:r w:rsidR="005956FD">
        <w:rPr>
          <w:rFonts w:cs="Arial"/>
          <w:lang w:val="es-ES_tradnl"/>
        </w:rPr>
        <w:t>Decisión</w:t>
      </w:r>
      <w:r w:rsidR="00994303" w:rsidRPr="005956FD">
        <w:rPr>
          <w:rFonts w:cs="Arial"/>
          <w:lang w:val="es-ES_tradnl"/>
        </w:rPr>
        <w:t xml:space="preserve"> SC52-20) </w:t>
      </w:r>
      <w:r w:rsidR="00AE0A81" w:rsidRPr="005956FD">
        <w:rPr>
          <w:rFonts w:cs="Arial"/>
          <w:lang w:val="es-ES_tradnl"/>
        </w:rPr>
        <w:t xml:space="preserve">hizo suyas cuatro nuevas iniciativas </w:t>
      </w:r>
      <w:r w:rsidR="005956FD" w:rsidRPr="005956FD">
        <w:rPr>
          <w:rFonts w:cs="Arial"/>
          <w:lang w:val="es-ES_tradnl"/>
        </w:rPr>
        <w:t>regionales</w:t>
      </w:r>
      <w:r w:rsidR="00572AF3">
        <w:rPr>
          <w:rFonts w:cs="Arial"/>
          <w:lang w:val="es-ES_tradnl"/>
        </w:rPr>
        <w:t xml:space="preserve"> de Ramsar considerando que operan en el </w:t>
      </w:r>
      <w:r w:rsidR="00AE0A81" w:rsidRPr="005956FD">
        <w:rPr>
          <w:rFonts w:cs="Arial"/>
          <w:lang w:val="es-ES_tradnl"/>
        </w:rPr>
        <w:t xml:space="preserve">marco de la Convención </w:t>
      </w:r>
      <w:r w:rsidR="00572AF3" w:rsidRPr="00572AF3">
        <w:rPr>
          <w:rFonts w:cs="Arial"/>
          <w:lang w:val="es-ES_tradnl"/>
        </w:rPr>
        <w:t>durante</w:t>
      </w:r>
      <w:r w:rsidR="00AE0A81" w:rsidRPr="005956FD">
        <w:rPr>
          <w:rFonts w:cs="Arial"/>
          <w:lang w:val="es-ES_tradnl"/>
        </w:rPr>
        <w:t xml:space="preserve"> el período </w:t>
      </w:r>
      <w:r w:rsidR="005617DE" w:rsidRPr="005956FD">
        <w:rPr>
          <w:rFonts w:cs="Arial"/>
          <w:lang w:val="es-ES_tradnl"/>
        </w:rPr>
        <w:t xml:space="preserve">2016-2018 </w:t>
      </w:r>
      <w:r w:rsidR="00AE0A81" w:rsidRPr="005956FD">
        <w:rPr>
          <w:rFonts w:cs="Arial"/>
          <w:lang w:val="es-ES_tradnl"/>
        </w:rPr>
        <w:t xml:space="preserve">y aprobó </w:t>
      </w:r>
      <w:r w:rsidR="005956FD" w:rsidRPr="005956FD">
        <w:rPr>
          <w:rFonts w:cs="Arial"/>
          <w:lang w:val="es-ES_tradnl"/>
        </w:rPr>
        <w:t>otorgarles</w:t>
      </w:r>
      <w:r w:rsidR="00AE0A81" w:rsidRPr="005956FD">
        <w:rPr>
          <w:rFonts w:cs="Arial"/>
          <w:lang w:val="es-ES_tradnl"/>
        </w:rPr>
        <w:t xml:space="preserve"> apoyo financiero inicial con cargo al presupuesto básico de Ramsar </w:t>
      </w:r>
      <w:r w:rsidR="00F52E35" w:rsidRPr="005956FD">
        <w:rPr>
          <w:rFonts w:cs="Arial"/>
          <w:lang w:val="es-ES_tradnl"/>
        </w:rPr>
        <w:t>por un importe de 30.000 francos suizos cada una para sus actividades en 2016. Estas nuevas IRR son</w:t>
      </w:r>
      <w:r w:rsidR="0019073D" w:rsidRPr="005956FD">
        <w:rPr>
          <w:rFonts w:cs="Arial"/>
          <w:lang w:val="es-ES_tradnl"/>
        </w:rPr>
        <w:t>:</w:t>
      </w:r>
    </w:p>
    <w:p w14:paraId="3F75338D" w14:textId="04A6E9A3" w:rsidR="00730D45" w:rsidRPr="005956FD" w:rsidRDefault="00F52E3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AF3A5C">
        <w:rPr>
          <w:rFonts w:cs="Calibri"/>
          <w:lang w:val="es-ES_tradnl"/>
        </w:rPr>
        <w:t>la</w:t>
      </w:r>
      <w:r w:rsidRPr="005956FD">
        <w:rPr>
          <w:rFonts w:cs="Calibri"/>
          <w:lang w:val="es-ES_tradnl"/>
        </w:rPr>
        <w:t xml:space="preserve"> Iniciativa de la cuenca del río Senegal</w:t>
      </w:r>
      <w:r w:rsidR="00D325F2" w:rsidRPr="005956FD">
        <w:rPr>
          <w:rFonts w:cs="Arial"/>
          <w:lang w:val="es-ES_tradnl"/>
        </w:rPr>
        <w:t>;</w:t>
      </w:r>
    </w:p>
    <w:p w14:paraId="0E478B35" w14:textId="3C780931" w:rsidR="0019073D" w:rsidRPr="005956FD" w:rsidRDefault="00F52E3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Calibri"/>
          <w:lang w:val="es-ES_tradnl"/>
        </w:rPr>
        <w:t>la Iniciativa de la cuenca amazónica</w:t>
      </w:r>
      <w:r w:rsidR="00D325F2" w:rsidRPr="005956FD">
        <w:rPr>
          <w:rFonts w:cs="Arial"/>
          <w:lang w:val="es-ES_tradnl"/>
        </w:rPr>
        <w:t>;</w:t>
      </w:r>
    </w:p>
    <w:p w14:paraId="69B438B5" w14:textId="090ACA2D" w:rsidR="0019073D" w:rsidRPr="005956FD" w:rsidRDefault="00F52E3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Calibri"/>
          <w:lang w:val="es-ES_tradnl"/>
        </w:rPr>
        <w:t>la Iniciativa regional de Asia Central</w:t>
      </w:r>
      <w:r w:rsidR="00D325F2" w:rsidRPr="005956FD">
        <w:rPr>
          <w:rFonts w:cs="Arial"/>
          <w:lang w:val="es-ES_tradnl"/>
        </w:rPr>
        <w:t>;</w:t>
      </w:r>
      <w:r w:rsidR="00730D45" w:rsidRPr="005956FD">
        <w:rPr>
          <w:rFonts w:cs="Arial"/>
          <w:lang w:val="es-ES_tradnl"/>
        </w:rPr>
        <w:t xml:space="preserve"> </w:t>
      </w:r>
      <w:r w:rsidR="00AF3A5C">
        <w:rPr>
          <w:rFonts w:cs="Arial"/>
          <w:lang w:val="es-ES_tradnl"/>
        </w:rPr>
        <w:t>y</w:t>
      </w:r>
      <w:r w:rsidR="00F0128A" w:rsidRPr="005956FD">
        <w:rPr>
          <w:rFonts w:cs="Arial"/>
          <w:lang w:val="es-ES_tradnl"/>
        </w:rPr>
        <w:t xml:space="preserve"> </w:t>
      </w:r>
    </w:p>
    <w:p w14:paraId="41F06A65" w14:textId="07025EF1" w:rsidR="0019073D" w:rsidRPr="005956FD" w:rsidRDefault="00F52E35" w:rsidP="000E54D6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5956FD">
        <w:rPr>
          <w:rFonts w:cs="Calibri"/>
          <w:lang w:val="es-ES_tradnl"/>
        </w:rPr>
        <w:t>la Iniciativa Indo-Birmana</w:t>
      </w:r>
      <w:r w:rsidR="00730D45" w:rsidRPr="005956FD">
        <w:rPr>
          <w:rFonts w:cs="Arial"/>
          <w:lang w:val="es-ES_tradnl"/>
        </w:rPr>
        <w:t>.</w:t>
      </w:r>
    </w:p>
    <w:p w14:paraId="3F2E7B16" w14:textId="77777777" w:rsidR="0051032E" w:rsidRDefault="0051032E" w:rsidP="00014168">
      <w:pPr>
        <w:spacing w:after="0" w:line="240" w:lineRule="auto"/>
        <w:rPr>
          <w:rFonts w:cs="Arial"/>
          <w:i/>
          <w:lang w:val="es-ES_tradnl"/>
        </w:rPr>
      </w:pPr>
    </w:p>
    <w:p w14:paraId="0C6CD122" w14:textId="77777777" w:rsidR="001B00B5" w:rsidRPr="005956FD" w:rsidRDefault="001B00B5" w:rsidP="00014168">
      <w:pPr>
        <w:spacing w:after="0" w:line="240" w:lineRule="auto"/>
        <w:rPr>
          <w:rFonts w:cs="Arial"/>
          <w:i/>
          <w:lang w:val="es-ES_tradnl"/>
        </w:rPr>
      </w:pPr>
    </w:p>
    <w:p w14:paraId="7534BF06" w14:textId="1CD6387E" w:rsidR="00D22BBB" w:rsidRPr="005956FD" w:rsidRDefault="00D22BBB" w:rsidP="00014168">
      <w:pPr>
        <w:spacing w:after="0" w:line="240" w:lineRule="auto"/>
        <w:rPr>
          <w:rFonts w:cs="Arial"/>
          <w:b/>
          <w:lang w:val="es-ES_tradnl"/>
        </w:rPr>
      </w:pPr>
      <w:r w:rsidRPr="005956FD">
        <w:rPr>
          <w:rFonts w:cs="Arial"/>
          <w:b/>
          <w:lang w:val="es-ES_tradnl"/>
        </w:rPr>
        <w:t>Progre</w:t>
      </w:r>
      <w:r w:rsidR="00000638" w:rsidRPr="005956FD">
        <w:rPr>
          <w:rFonts w:cs="Arial"/>
          <w:b/>
          <w:lang w:val="es-ES_tradnl"/>
        </w:rPr>
        <w:t xml:space="preserve">sos realizados en la labor de las </w:t>
      </w:r>
      <w:r w:rsidRPr="005956FD">
        <w:rPr>
          <w:rFonts w:cs="Arial"/>
          <w:b/>
          <w:lang w:val="es-ES_tradnl"/>
        </w:rPr>
        <w:t xml:space="preserve">19 </w:t>
      </w:r>
      <w:r w:rsidR="00000638" w:rsidRPr="005956FD">
        <w:rPr>
          <w:rFonts w:cs="Arial"/>
          <w:b/>
          <w:lang w:val="es-ES_tradnl"/>
        </w:rPr>
        <w:t xml:space="preserve">iniciativas regionales de </w:t>
      </w:r>
      <w:r w:rsidRPr="005956FD">
        <w:rPr>
          <w:rFonts w:cs="Arial"/>
          <w:b/>
          <w:lang w:val="es-ES_tradnl"/>
        </w:rPr>
        <w:t xml:space="preserve">Ramsar </w:t>
      </w:r>
      <w:r w:rsidR="00000638" w:rsidRPr="005956FD">
        <w:rPr>
          <w:rFonts w:cs="Arial"/>
          <w:b/>
          <w:lang w:val="es-ES_tradnl"/>
        </w:rPr>
        <w:t>en 20</w:t>
      </w:r>
      <w:r w:rsidRPr="005956FD">
        <w:rPr>
          <w:rFonts w:cs="Arial"/>
          <w:b/>
          <w:lang w:val="es-ES_tradnl"/>
        </w:rPr>
        <w:t>16</w:t>
      </w:r>
    </w:p>
    <w:p w14:paraId="039146B0" w14:textId="77777777" w:rsidR="00CA41B7" w:rsidRPr="005956FD" w:rsidRDefault="00CA41B7" w:rsidP="00014168">
      <w:pPr>
        <w:spacing w:after="0" w:line="240" w:lineRule="auto"/>
        <w:rPr>
          <w:rFonts w:cs="Arial"/>
          <w:i/>
          <w:lang w:val="es-ES_tradnl"/>
        </w:rPr>
      </w:pPr>
    </w:p>
    <w:p w14:paraId="77518B00" w14:textId="19C860E6" w:rsidR="00CA41B7" w:rsidRPr="005956FD" w:rsidRDefault="00000638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>La COP</w:t>
      </w:r>
      <w:r w:rsidR="00CA41B7" w:rsidRPr="005956FD">
        <w:rPr>
          <w:rFonts w:cs="Arial"/>
          <w:lang w:val="es-ES_tradnl"/>
        </w:rPr>
        <w:t>12 (</w:t>
      </w:r>
      <w:r w:rsidR="005956FD">
        <w:rPr>
          <w:rFonts w:cs="Arial"/>
          <w:lang w:val="es-ES_tradnl"/>
        </w:rPr>
        <w:t>Resolución</w:t>
      </w:r>
      <w:r w:rsidR="005A280B" w:rsidRPr="005956FD">
        <w:rPr>
          <w:rFonts w:cs="Arial"/>
          <w:lang w:val="es-ES_tradnl"/>
        </w:rPr>
        <w:t xml:space="preserve"> XII.8) </w:t>
      </w:r>
      <w:r w:rsidRPr="005956FD">
        <w:rPr>
          <w:rFonts w:cs="Arial"/>
          <w:lang w:val="es-ES_tradnl"/>
        </w:rPr>
        <w:t xml:space="preserve">solicitó “al Comité Permanente que continúe evaluando cada año, a partir de los </w:t>
      </w:r>
      <w:r w:rsidR="005956FD" w:rsidRPr="005956FD">
        <w:rPr>
          <w:rFonts w:cs="Arial"/>
          <w:lang w:val="es-ES_tradnl"/>
        </w:rPr>
        <w:t>informes</w:t>
      </w:r>
      <w:r w:rsidRPr="005956FD">
        <w:rPr>
          <w:rFonts w:cs="Arial"/>
          <w:lang w:val="es-ES_tradnl"/>
        </w:rPr>
        <w:t xml:space="preserve"> presentados y siguiendo el </w:t>
      </w:r>
      <w:r w:rsidR="005956FD" w:rsidRPr="005956FD">
        <w:rPr>
          <w:rFonts w:cs="Arial"/>
          <w:lang w:val="es-ES_tradnl"/>
        </w:rPr>
        <w:t>formato</w:t>
      </w:r>
      <w:r w:rsidRPr="005956FD">
        <w:rPr>
          <w:rFonts w:cs="Arial"/>
          <w:lang w:val="es-ES_tradnl"/>
        </w:rPr>
        <w:t xml:space="preserve"> adoptado a través de la </w:t>
      </w:r>
      <w:r w:rsidR="005956FD" w:rsidRPr="005956FD">
        <w:rPr>
          <w:rFonts w:cs="Arial"/>
          <w:lang w:val="es-ES_tradnl"/>
        </w:rPr>
        <w:t>Decisión</w:t>
      </w:r>
      <w:r w:rsidRPr="005956FD">
        <w:rPr>
          <w:rFonts w:cs="Arial"/>
          <w:lang w:val="es-ES_tradnl"/>
        </w:rPr>
        <w:t xml:space="preserve"> </w:t>
      </w:r>
      <w:r w:rsidR="00AF3A5C">
        <w:rPr>
          <w:rFonts w:cs="Arial"/>
          <w:lang w:val="es-ES_tradnl"/>
        </w:rPr>
        <w:t>SC4-</w:t>
      </w:r>
      <w:r w:rsidR="00CA41B7" w:rsidRPr="005956FD">
        <w:rPr>
          <w:rFonts w:cs="Arial"/>
          <w:lang w:val="es-ES_tradnl"/>
        </w:rPr>
        <w:t>21</w:t>
      </w:r>
      <w:r w:rsidRPr="005956FD">
        <w:rPr>
          <w:rFonts w:cs="Arial"/>
          <w:lang w:val="es-ES_tradnl"/>
        </w:rPr>
        <w:t xml:space="preserve"> del Comité Permanente, el funcionamiento de las iniciativas regionales con respecto a los Lineamientos Operativos y la aplicación de al </w:t>
      </w:r>
      <w:r w:rsidR="005956FD" w:rsidRPr="005956FD">
        <w:rPr>
          <w:rFonts w:cs="Arial"/>
          <w:lang w:val="es-ES_tradnl"/>
        </w:rPr>
        <w:t>Convención</w:t>
      </w:r>
      <w:r w:rsidRPr="005956FD">
        <w:rPr>
          <w:rFonts w:cs="Arial"/>
          <w:lang w:val="es-ES_tradnl"/>
        </w:rPr>
        <w:t xml:space="preserve"> y el Plan Estratégico de Ramsar para </w:t>
      </w:r>
      <w:r w:rsidR="00CA41B7" w:rsidRPr="005956FD">
        <w:rPr>
          <w:rFonts w:cs="Arial"/>
          <w:lang w:val="es-ES_tradnl"/>
        </w:rPr>
        <w:t xml:space="preserve">2016-2024, </w:t>
      </w:r>
      <w:r w:rsidRPr="005956FD">
        <w:rPr>
          <w:rFonts w:cs="Arial"/>
          <w:lang w:val="es-ES_tradnl"/>
        </w:rPr>
        <w:t xml:space="preserve">solicitando el apoyo del Grupo de supervisión de las actividades de CECoP </w:t>
      </w:r>
      <w:r w:rsidR="005956FD" w:rsidRPr="005956FD">
        <w:rPr>
          <w:rFonts w:cs="Arial"/>
          <w:lang w:val="es-ES_tradnl"/>
        </w:rPr>
        <w:t>cuando</w:t>
      </w:r>
      <w:r w:rsidRPr="005956FD">
        <w:rPr>
          <w:rFonts w:cs="Arial"/>
          <w:lang w:val="es-ES_tradnl"/>
        </w:rPr>
        <w:t xml:space="preserve"> proceda</w:t>
      </w:r>
      <w:r w:rsidR="00B50E59" w:rsidRPr="005956FD">
        <w:rPr>
          <w:rFonts w:cs="Arial"/>
          <w:lang w:val="es-ES_tradnl"/>
        </w:rPr>
        <w:t xml:space="preserve">” </w:t>
      </w:r>
      <w:r w:rsidR="00F0128A" w:rsidRPr="005956FD">
        <w:rPr>
          <w:rFonts w:cs="Arial"/>
          <w:lang w:val="es-ES_tradnl"/>
        </w:rPr>
        <w:t>(p</w:t>
      </w:r>
      <w:r w:rsidRPr="005956FD">
        <w:rPr>
          <w:rFonts w:cs="Arial"/>
          <w:lang w:val="es-ES_tradnl"/>
        </w:rPr>
        <w:t xml:space="preserve">árrafo </w:t>
      </w:r>
      <w:r w:rsidR="00F0128A" w:rsidRPr="005956FD">
        <w:rPr>
          <w:rFonts w:cs="Arial"/>
          <w:lang w:val="es-ES_tradnl"/>
        </w:rPr>
        <w:t>12)</w:t>
      </w:r>
      <w:r w:rsidR="00CA41B7" w:rsidRPr="005956FD">
        <w:rPr>
          <w:rFonts w:cs="Arial"/>
          <w:lang w:val="es-ES_tradnl"/>
        </w:rPr>
        <w:t>.</w:t>
      </w:r>
    </w:p>
    <w:p w14:paraId="0E4E80A1" w14:textId="77777777" w:rsidR="00F0128A" w:rsidRPr="005956FD" w:rsidRDefault="00F0128A" w:rsidP="00014168">
      <w:pPr>
        <w:spacing w:after="0" w:line="240" w:lineRule="auto"/>
        <w:rPr>
          <w:rFonts w:cs="Arial"/>
          <w:lang w:val="es-ES_tradnl"/>
        </w:rPr>
      </w:pPr>
    </w:p>
    <w:p w14:paraId="74A95D41" w14:textId="310BBFBA" w:rsidR="005A280B" w:rsidRPr="005956FD" w:rsidRDefault="00000638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La Secretaría mantiene contactos regularles con cada una de las IRR a través de sus asesores </w:t>
      </w:r>
      <w:r w:rsidR="005956FD" w:rsidRPr="005956FD">
        <w:rPr>
          <w:rFonts w:cs="Arial"/>
          <w:lang w:val="es-ES_tradnl"/>
        </w:rPr>
        <w:t>regionales</w:t>
      </w:r>
      <w:r w:rsidRPr="005956FD">
        <w:rPr>
          <w:rFonts w:cs="Arial"/>
          <w:lang w:val="es-ES_tradnl"/>
        </w:rPr>
        <w:t xml:space="preserve"> superiores a fin de garantizar que los objetivos y programas de trabajo de estas </w:t>
      </w:r>
      <w:r w:rsidR="00AF3A5C">
        <w:rPr>
          <w:rFonts w:cs="Arial"/>
          <w:lang w:val="es-ES_tradnl"/>
        </w:rPr>
        <w:t>sean concordantes</w:t>
      </w:r>
      <w:r w:rsidRPr="005956FD">
        <w:rPr>
          <w:rFonts w:cs="Arial"/>
          <w:lang w:val="es-ES_tradnl"/>
        </w:rPr>
        <w:t xml:space="preserve"> con el </w:t>
      </w:r>
      <w:r w:rsidRPr="00AF3A5C">
        <w:rPr>
          <w:rFonts w:cs="Arial"/>
          <w:lang w:val="es-ES_tradnl"/>
        </w:rPr>
        <w:t xml:space="preserve">Plan Estratégico de la Convención y que se apliquen los Lineamientos </w:t>
      </w:r>
      <w:r w:rsidR="00AF3A5C" w:rsidRPr="00AF3A5C">
        <w:rPr>
          <w:rFonts w:cs="Arial"/>
          <w:lang w:val="es-ES_tradnl"/>
        </w:rPr>
        <w:t>o</w:t>
      </w:r>
      <w:r w:rsidRPr="00AF3A5C">
        <w:rPr>
          <w:rFonts w:cs="Arial"/>
          <w:lang w:val="es-ES_tradnl"/>
        </w:rPr>
        <w:t xml:space="preserve">perativos </w:t>
      </w:r>
      <w:r w:rsidR="00AF3A5C" w:rsidRPr="00AF3A5C">
        <w:rPr>
          <w:rFonts w:cs="Arial"/>
          <w:lang w:val="es-ES_tradnl"/>
        </w:rPr>
        <w:t>destinados a</w:t>
      </w:r>
      <w:r w:rsidRPr="00AF3A5C">
        <w:rPr>
          <w:rFonts w:cs="Arial"/>
          <w:lang w:val="es-ES_tradnl"/>
        </w:rPr>
        <w:t xml:space="preserve"> las IRR</w:t>
      </w:r>
      <w:r w:rsidR="00AF3A5C">
        <w:rPr>
          <w:rFonts w:cs="Arial"/>
          <w:lang w:val="es-ES_tradnl"/>
        </w:rPr>
        <w:t xml:space="preserve"> en las distintas regiones</w:t>
      </w:r>
      <w:r w:rsidRPr="005956FD">
        <w:rPr>
          <w:rFonts w:cs="Arial"/>
          <w:lang w:val="es-ES_tradnl"/>
        </w:rPr>
        <w:t>, según se establece en el capítulo</w:t>
      </w:r>
      <w:r w:rsidR="003A0183" w:rsidRPr="005956FD">
        <w:rPr>
          <w:rFonts w:cs="Arial"/>
          <w:lang w:val="es-ES_tradnl"/>
        </w:rPr>
        <w:t xml:space="preserve"> 5 </w:t>
      </w:r>
      <w:r w:rsidRPr="005956FD">
        <w:rPr>
          <w:rFonts w:cs="Arial"/>
          <w:lang w:val="es-ES_tradnl"/>
        </w:rPr>
        <w:t xml:space="preserve">de los Lineamientos operativos destinados a las iniciativas regionales de Ramsar para </w:t>
      </w:r>
      <w:r w:rsidR="005956FD" w:rsidRPr="005956FD">
        <w:rPr>
          <w:rFonts w:cs="Arial"/>
          <w:lang w:val="es-ES_tradnl"/>
        </w:rPr>
        <w:t>apoyar</w:t>
      </w:r>
      <w:r w:rsidRPr="005956FD">
        <w:rPr>
          <w:rFonts w:cs="Arial"/>
          <w:lang w:val="es-ES_tradnl"/>
        </w:rPr>
        <w:t xml:space="preserve"> la </w:t>
      </w:r>
      <w:r w:rsidR="005956FD" w:rsidRPr="005956FD">
        <w:rPr>
          <w:rFonts w:cs="Arial"/>
          <w:lang w:val="es-ES_tradnl"/>
        </w:rPr>
        <w:t>aplicación</w:t>
      </w:r>
      <w:r w:rsidRPr="005956FD">
        <w:rPr>
          <w:rFonts w:cs="Arial"/>
          <w:lang w:val="es-ES_tradnl"/>
        </w:rPr>
        <w:t xml:space="preserve"> de la Convención</w:t>
      </w:r>
      <w:r w:rsidR="003A0183" w:rsidRPr="005956FD">
        <w:rPr>
          <w:rFonts w:cs="Arial"/>
          <w:lang w:val="es-ES_tradnl"/>
        </w:rPr>
        <w:t>.</w:t>
      </w:r>
    </w:p>
    <w:p w14:paraId="206B6C5E" w14:textId="77777777" w:rsidR="005A280B" w:rsidRPr="005956FD" w:rsidRDefault="005A280B" w:rsidP="005A280B">
      <w:pPr>
        <w:spacing w:after="0" w:line="240" w:lineRule="auto"/>
        <w:rPr>
          <w:rFonts w:cs="Arial"/>
          <w:lang w:val="es-ES_tradnl"/>
        </w:rPr>
      </w:pPr>
    </w:p>
    <w:p w14:paraId="54291F66" w14:textId="4C18A539" w:rsidR="00F0128A" w:rsidRPr="005956FD" w:rsidRDefault="00000638" w:rsidP="001B00B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Se pidió a los coordinadores de las IRR que utilizaran </w:t>
      </w:r>
      <w:r w:rsidR="00AF3A5C">
        <w:rPr>
          <w:rFonts w:cs="Arial"/>
          <w:lang w:val="es-ES_tradnl"/>
        </w:rPr>
        <w:t>el modelo de informe nacional</w:t>
      </w:r>
      <w:r w:rsidRPr="005956FD">
        <w:rPr>
          <w:rFonts w:cs="Arial"/>
          <w:lang w:val="es-ES_tradnl"/>
        </w:rPr>
        <w:t xml:space="preserve"> disponible en el sitio web de Ramsar</w:t>
      </w:r>
      <w:r w:rsidR="00F0128A" w:rsidRPr="005956FD">
        <w:rPr>
          <w:rFonts w:cs="Arial"/>
          <w:lang w:val="es-ES_tradnl"/>
        </w:rPr>
        <w:t xml:space="preserve"> (</w:t>
      </w:r>
      <w:r w:rsidR="00F0128A" w:rsidRPr="00AF3A5C">
        <w:rPr>
          <w:rFonts w:cs="Arial"/>
          <w:lang w:val="es-ES_tradnl"/>
        </w:rPr>
        <w:t>D</w:t>
      </w:r>
      <w:r w:rsidR="00D325F2" w:rsidRPr="00AF3A5C">
        <w:rPr>
          <w:rFonts w:cs="Arial"/>
          <w:lang w:val="es-ES_tradnl"/>
        </w:rPr>
        <w:t>ocument</w:t>
      </w:r>
      <w:r w:rsidRPr="00AF3A5C">
        <w:rPr>
          <w:rFonts w:cs="Arial"/>
          <w:lang w:val="es-ES_tradnl"/>
        </w:rPr>
        <w:t>o</w:t>
      </w:r>
      <w:r w:rsidR="00D325F2" w:rsidRPr="005956FD">
        <w:rPr>
          <w:rFonts w:cs="Arial"/>
          <w:lang w:val="es-ES_tradnl"/>
        </w:rPr>
        <w:t xml:space="preserve"> </w:t>
      </w:r>
      <w:r w:rsidR="00F0128A" w:rsidRPr="005956FD">
        <w:rPr>
          <w:rFonts w:cs="Arial"/>
          <w:lang w:val="es-ES_tradnl"/>
        </w:rPr>
        <w:t>SC41-13</w:t>
      </w:r>
      <w:r w:rsidR="00AF3A5C">
        <w:rPr>
          <w:rFonts w:cs="Arial"/>
          <w:lang w:val="es-ES_tradnl"/>
        </w:rPr>
        <w:t>,</w:t>
      </w:r>
      <w:r w:rsidR="00F0128A" w:rsidRPr="005956FD">
        <w:rPr>
          <w:rFonts w:cs="Arial"/>
          <w:lang w:val="es-ES_tradnl"/>
        </w:rPr>
        <w:t xml:space="preserve"> A</w:t>
      </w:r>
      <w:r w:rsidRPr="005956FD">
        <w:rPr>
          <w:rFonts w:cs="Arial"/>
          <w:lang w:val="es-ES_tradnl"/>
        </w:rPr>
        <w:t>nexo</w:t>
      </w:r>
      <w:r w:rsidR="00F0128A" w:rsidRPr="005956FD">
        <w:rPr>
          <w:rFonts w:cs="Arial"/>
          <w:lang w:val="es-ES_tradnl"/>
        </w:rPr>
        <w:t xml:space="preserve"> I,</w:t>
      </w:r>
      <w:r w:rsidR="001B00B5" w:rsidRPr="001B00B5">
        <w:rPr>
          <w:lang w:val="es-ES"/>
        </w:rPr>
        <w:t xml:space="preserve"> </w:t>
      </w:r>
      <w:hyperlink r:id="rId9" w:history="1">
        <w:r w:rsidR="001B00B5" w:rsidRPr="00177676">
          <w:rPr>
            <w:rStyle w:val="Hyperlink"/>
            <w:lang w:val="es-ES"/>
          </w:rPr>
          <w:t>www.ramsar.org/es/actividad/iniciativas-regionales-de-ramsar</w:t>
        </w:r>
      </w:hyperlink>
      <w:r w:rsidR="005A280B" w:rsidRPr="005956FD">
        <w:rPr>
          <w:rFonts w:cs="Arial"/>
          <w:lang w:val="es-ES_tradnl"/>
        </w:rPr>
        <w:t xml:space="preserve">) </w:t>
      </w:r>
      <w:r w:rsidRPr="005956FD">
        <w:rPr>
          <w:rFonts w:cs="Arial"/>
          <w:lang w:val="es-ES_tradnl"/>
        </w:rPr>
        <w:t xml:space="preserve">y que enviaran </w:t>
      </w:r>
      <w:r w:rsidR="00AF3A5C" w:rsidRPr="005956FD">
        <w:rPr>
          <w:rFonts w:cs="Arial"/>
          <w:lang w:val="es-ES_tradnl"/>
        </w:rPr>
        <w:t xml:space="preserve">a la Secretaría </w:t>
      </w:r>
      <w:r w:rsidRPr="005956FD">
        <w:rPr>
          <w:rFonts w:cs="Arial"/>
          <w:lang w:val="es-ES_tradnl"/>
        </w:rPr>
        <w:t xml:space="preserve">un </w:t>
      </w:r>
      <w:r w:rsidR="005956FD" w:rsidRPr="005956FD">
        <w:rPr>
          <w:rFonts w:cs="Arial"/>
          <w:lang w:val="es-ES_tradnl"/>
        </w:rPr>
        <w:t>informe</w:t>
      </w:r>
      <w:r w:rsidRPr="005956FD">
        <w:rPr>
          <w:rFonts w:cs="Arial"/>
          <w:lang w:val="es-ES_tradnl"/>
        </w:rPr>
        <w:t xml:space="preserve"> conciso de la marcha de los trabajos durante 20</w:t>
      </w:r>
      <w:r w:rsidR="00AF3A5C">
        <w:rPr>
          <w:rFonts w:cs="Arial"/>
          <w:lang w:val="es-ES_tradnl"/>
        </w:rPr>
        <w:t>1</w:t>
      </w:r>
      <w:r w:rsidRPr="005956FD">
        <w:rPr>
          <w:rFonts w:cs="Arial"/>
          <w:lang w:val="es-ES_tradnl"/>
        </w:rPr>
        <w:t xml:space="preserve">6 y de los trabajos previstos en </w:t>
      </w:r>
      <w:r w:rsidR="00485E8E" w:rsidRPr="005956FD">
        <w:rPr>
          <w:rFonts w:cs="Arial"/>
          <w:lang w:val="es-ES_tradnl"/>
        </w:rPr>
        <w:t xml:space="preserve">2017, </w:t>
      </w:r>
      <w:r w:rsidR="00AF3A5C">
        <w:rPr>
          <w:rFonts w:cs="Arial"/>
          <w:lang w:val="es-ES_tradnl"/>
        </w:rPr>
        <w:t xml:space="preserve">incluido un resumen </w:t>
      </w:r>
      <w:r w:rsidRPr="005956FD">
        <w:rPr>
          <w:rFonts w:cs="Arial"/>
          <w:lang w:val="es-ES_tradnl"/>
        </w:rPr>
        <w:t>financie</w:t>
      </w:r>
      <w:r w:rsidR="00AF3A5C">
        <w:rPr>
          <w:rFonts w:cs="Arial"/>
          <w:lang w:val="es-ES_tradnl"/>
        </w:rPr>
        <w:t>ro</w:t>
      </w:r>
      <w:r w:rsidRPr="005956FD">
        <w:rPr>
          <w:rFonts w:cs="Arial"/>
          <w:lang w:val="es-ES_tradnl"/>
        </w:rPr>
        <w:t xml:space="preserve">, a más tardar el 31 de </w:t>
      </w:r>
      <w:r w:rsidR="005956FD" w:rsidRPr="005956FD">
        <w:rPr>
          <w:rFonts w:cs="Arial"/>
          <w:lang w:val="es-ES_tradnl"/>
        </w:rPr>
        <w:t>enero</w:t>
      </w:r>
      <w:r w:rsidRPr="005956FD">
        <w:rPr>
          <w:rFonts w:cs="Arial"/>
          <w:lang w:val="es-ES_tradnl"/>
        </w:rPr>
        <w:t xml:space="preserve"> de </w:t>
      </w:r>
      <w:r w:rsidR="00F0128A" w:rsidRPr="005956FD">
        <w:rPr>
          <w:rFonts w:cs="Arial"/>
          <w:lang w:val="es-ES_tradnl"/>
        </w:rPr>
        <w:t xml:space="preserve">2017. </w:t>
      </w:r>
      <w:r w:rsidRPr="005956FD">
        <w:rPr>
          <w:rFonts w:cs="Arial"/>
          <w:lang w:val="es-ES_tradnl"/>
        </w:rPr>
        <w:t xml:space="preserve">Esos informes están </w:t>
      </w:r>
      <w:r w:rsidR="005956FD" w:rsidRPr="005956FD">
        <w:rPr>
          <w:rFonts w:cs="Arial"/>
          <w:lang w:val="es-ES_tradnl"/>
        </w:rPr>
        <w:t>disponibles</w:t>
      </w:r>
      <w:r w:rsidRPr="005956FD">
        <w:rPr>
          <w:rFonts w:cs="Arial"/>
          <w:lang w:val="es-ES_tradnl"/>
        </w:rPr>
        <w:t xml:space="preserve"> en la siguiente </w:t>
      </w:r>
      <w:r w:rsidR="005956FD" w:rsidRPr="005956FD">
        <w:rPr>
          <w:rFonts w:cs="Arial"/>
          <w:lang w:val="es-ES_tradnl"/>
        </w:rPr>
        <w:t>dirección</w:t>
      </w:r>
      <w:r w:rsidR="00F0128A" w:rsidRPr="005956FD">
        <w:rPr>
          <w:rFonts w:cs="Arial"/>
          <w:lang w:val="es-ES_tradnl"/>
        </w:rPr>
        <w:t xml:space="preserve">: </w:t>
      </w:r>
      <w:hyperlink r:id="rId10" w:history="1">
        <w:r w:rsidR="001B00B5" w:rsidRPr="00177676">
          <w:rPr>
            <w:rStyle w:val="Hyperlink"/>
            <w:lang w:val="es-ES"/>
          </w:rPr>
          <w:t>www.ramsar.org/es/search?f[0]=field_tag_body_event%3A593&amp;f[1]=field_sort_date%3A2017&amp;search_api_views_</w:t>
        </w:r>
        <w:r w:rsidR="001B00B5" w:rsidRPr="00177676">
          <w:rPr>
            <w:rStyle w:val="Hyperlink"/>
            <w:lang w:val="es-ES"/>
          </w:rPr>
          <w:t>f</w:t>
        </w:r>
        <w:r w:rsidR="001B00B5" w:rsidRPr="00177676">
          <w:rPr>
            <w:rStyle w:val="Hyperlink"/>
            <w:lang w:val="es-ES"/>
          </w:rPr>
          <w:t>ulltext</w:t>
        </w:r>
      </w:hyperlink>
      <w:r w:rsidR="00D325F2" w:rsidRPr="005956FD">
        <w:rPr>
          <w:rFonts w:cs="Arial"/>
          <w:lang w:val="es-ES_tradnl"/>
        </w:rPr>
        <w:t>.</w:t>
      </w:r>
      <w:r w:rsidR="005A280B" w:rsidRPr="005956FD">
        <w:rPr>
          <w:rFonts w:cs="Arial"/>
          <w:lang w:val="es-ES_tradnl"/>
        </w:rPr>
        <w:t xml:space="preserve"> </w:t>
      </w:r>
    </w:p>
    <w:p w14:paraId="48A6704F" w14:textId="77777777" w:rsidR="005A280B" w:rsidRDefault="005A280B" w:rsidP="00014168">
      <w:pPr>
        <w:spacing w:after="0" w:line="240" w:lineRule="auto"/>
        <w:rPr>
          <w:rFonts w:cs="Arial"/>
          <w:lang w:val="es-ES_tradnl"/>
        </w:rPr>
      </w:pPr>
    </w:p>
    <w:p w14:paraId="459FC4F7" w14:textId="77777777" w:rsidR="001B00B5" w:rsidRPr="005956FD" w:rsidRDefault="001B00B5" w:rsidP="00014168">
      <w:pPr>
        <w:spacing w:after="0" w:line="240" w:lineRule="auto"/>
        <w:rPr>
          <w:rFonts w:cs="Arial"/>
          <w:lang w:val="es-ES_tradnl"/>
        </w:rPr>
      </w:pPr>
    </w:p>
    <w:p w14:paraId="2A1AB6D8" w14:textId="77777777" w:rsidR="001B00B5" w:rsidRDefault="001B00B5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br w:type="page"/>
      </w:r>
    </w:p>
    <w:p w14:paraId="342F61E3" w14:textId="68875026" w:rsidR="00D22BBB" w:rsidRPr="005956FD" w:rsidRDefault="00D22BBB" w:rsidP="00014168">
      <w:pPr>
        <w:spacing w:after="0" w:line="240" w:lineRule="auto"/>
        <w:rPr>
          <w:rFonts w:cs="Arial"/>
          <w:b/>
          <w:lang w:val="es-ES_tradnl"/>
        </w:rPr>
      </w:pPr>
      <w:r w:rsidRPr="005956FD">
        <w:rPr>
          <w:rFonts w:cs="Arial"/>
          <w:b/>
          <w:lang w:val="es-ES_tradnl"/>
        </w:rPr>
        <w:lastRenderedPageBreak/>
        <w:t>A</w:t>
      </w:r>
      <w:r w:rsidR="00000638" w:rsidRPr="005956FD">
        <w:rPr>
          <w:rFonts w:cs="Arial"/>
          <w:b/>
          <w:lang w:val="es-ES_tradnl"/>
        </w:rPr>
        <w:t xml:space="preserve">signación de fondos con cargo al presupuesto básico de Ramsar para las actividades de las nuevas IRR en </w:t>
      </w:r>
      <w:r w:rsidRPr="005956FD">
        <w:rPr>
          <w:rFonts w:cs="Arial"/>
          <w:b/>
          <w:lang w:val="es-ES_tradnl"/>
        </w:rPr>
        <w:t>2017</w:t>
      </w:r>
    </w:p>
    <w:p w14:paraId="18CB1D7B" w14:textId="512B6250" w:rsidR="00D22BBB" w:rsidRPr="005956FD" w:rsidRDefault="00AF3A5C" w:rsidP="00AF3A5C">
      <w:pPr>
        <w:tabs>
          <w:tab w:val="left" w:pos="1028"/>
        </w:tabs>
        <w:spacing w:after="0" w:line="240" w:lineRule="auto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ab/>
      </w:r>
    </w:p>
    <w:p w14:paraId="4336AD42" w14:textId="68E8A528" w:rsidR="00ED4B56" w:rsidRPr="005956FD" w:rsidRDefault="00873804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>La COP</w:t>
      </w:r>
      <w:r w:rsidR="00ED4B56" w:rsidRPr="005956FD">
        <w:rPr>
          <w:rFonts w:cs="Arial"/>
          <w:lang w:val="es-ES_tradnl"/>
        </w:rPr>
        <w:t>12 (</w:t>
      </w:r>
      <w:r w:rsidR="005956FD">
        <w:rPr>
          <w:rFonts w:cs="Arial"/>
          <w:lang w:val="es-ES_tradnl"/>
        </w:rPr>
        <w:t>Resolución</w:t>
      </w:r>
      <w:r w:rsidR="00ED4B56" w:rsidRPr="005956FD">
        <w:rPr>
          <w:rFonts w:cs="Arial"/>
          <w:lang w:val="es-ES_tradnl"/>
        </w:rPr>
        <w:t xml:space="preserve"> XII.8)</w:t>
      </w:r>
      <w:r w:rsidRPr="005956FD">
        <w:rPr>
          <w:rFonts w:cs="Arial"/>
          <w:lang w:val="es-ES_tradnl"/>
        </w:rPr>
        <w:t xml:space="preserve"> </w:t>
      </w:r>
      <w:r w:rsidR="005956FD" w:rsidRPr="005956FD">
        <w:rPr>
          <w:rFonts w:cs="Arial"/>
          <w:lang w:val="es-ES_tradnl"/>
        </w:rPr>
        <w:t>incluyó</w:t>
      </w:r>
      <w:r w:rsidRPr="005956FD">
        <w:rPr>
          <w:rFonts w:cs="Arial"/>
          <w:lang w:val="es-ES_tradnl"/>
        </w:rPr>
        <w:t xml:space="preserve"> “apoyo financiero en la partida del presupuesto básico de la Convención ‘Apoyo a iniciativas regionales’, indicada en la </w:t>
      </w:r>
      <w:r w:rsidR="005956FD">
        <w:rPr>
          <w:rFonts w:cs="Arial"/>
          <w:lang w:val="es-ES_tradnl"/>
        </w:rPr>
        <w:t>Resolución</w:t>
      </w:r>
      <w:r w:rsidR="00ED4B56" w:rsidRPr="005956FD">
        <w:rPr>
          <w:rFonts w:cs="Arial"/>
          <w:lang w:val="es-ES_tradnl"/>
        </w:rPr>
        <w:t xml:space="preserve"> XII.1 </w:t>
      </w:r>
      <w:r w:rsidRPr="005956FD">
        <w:rPr>
          <w:rFonts w:cs="Arial"/>
          <w:lang w:val="es-ES_tradnl"/>
        </w:rPr>
        <w:t xml:space="preserve">sobre asuntos financieros y presupuestarios, para </w:t>
      </w:r>
      <w:r w:rsidR="005956FD" w:rsidRPr="005956FD">
        <w:rPr>
          <w:rFonts w:cs="Arial"/>
          <w:lang w:val="es-ES_tradnl"/>
        </w:rPr>
        <w:t>cubrir</w:t>
      </w:r>
      <w:r w:rsidRPr="005956FD">
        <w:rPr>
          <w:rFonts w:cs="Arial"/>
          <w:lang w:val="es-ES_tradnl"/>
        </w:rPr>
        <w:t xml:space="preserve"> los gastos de funcionamiento de iniciativas regionales </w:t>
      </w:r>
      <w:r w:rsidR="005956FD">
        <w:rPr>
          <w:rFonts w:cs="Arial"/>
          <w:lang w:val="es-ES_tradnl"/>
        </w:rPr>
        <w:t>e</w:t>
      </w:r>
      <w:r w:rsidRPr="005956FD">
        <w:rPr>
          <w:rFonts w:cs="Arial"/>
          <w:lang w:val="es-ES_tradnl"/>
        </w:rPr>
        <w:t xml:space="preserve">n </w:t>
      </w:r>
      <w:r w:rsidR="005956FD" w:rsidRPr="005956FD">
        <w:rPr>
          <w:rFonts w:cs="Arial"/>
          <w:lang w:val="es-ES_tradnl"/>
        </w:rPr>
        <w:t>funcionamiento</w:t>
      </w:r>
      <w:r w:rsidRPr="005956FD">
        <w:rPr>
          <w:rFonts w:cs="Arial"/>
          <w:lang w:val="es-ES_tradnl"/>
        </w:rPr>
        <w:t xml:space="preserve"> durante el período 2016-2018 que cumplan </w:t>
      </w:r>
      <w:r w:rsidR="005956FD" w:rsidRPr="005956FD">
        <w:rPr>
          <w:rFonts w:cs="Arial"/>
          <w:lang w:val="es-ES_tradnl"/>
        </w:rPr>
        <w:t>plenamente</w:t>
      </w:r>
      <w:r w:rsidRPr="005956FD">
        <w:rPr>
          <w:rFonts w:cs="Arial"/>
          <w:lang w:val="es-ES_tradnl"/>
        </w:rPr>
        <w:t xml:space="preserve"> los Lineamientos Operativos</w:t>
      </w:r>
      <w:r w:rsidR="00B50E59" w:rsidRPr="005956FD">
        <w:rPr>
          <w:rFonts w:cs="Arial"/>
          <w:lang w:val="es-ES_tradnl"/>
        </w:rPr>
        <w:t>”</w:t>
      </w:r>
      <w:r w:rsidR="00ED4B56" w:rsidRPr="005956FD">
        <w:rPr>
          <w:rFonts w:cs="Arial"/>
          <w:lang w:val="es-ES_tradnl"/>
        </w:rPr>
        <w:t xml:space="preserve"> (</w:t>
      </w:r>
      <w:r w:rsidRPr="005956FD">
        <w:rPr>
          <w:rFonts w:cs="Arial"/>
          <w:lang w:val="es-ES_tradnl"/>
        </w:rPr>
        <w:t>párrafo</w:t>
      </w:r>
      <w:r w:rsidR="00ED4B56" w:rsidRPr="005956FD">
        <w:rPr>
          <w:rFonts w:cs="Arial"/>
          <w:lang w:val="es-ES_tradnl"/>
        </w:rPr>
        <w:t xml:space="preserve"> 14).</w:t>
      </w:r>
    </w:p>
    <w:p w14:paraId="23A191F3" w14:textId="77777777" w:rsidR="00ED4B56" w:rsidRPr="005956FD" w:rsidRDefault="00ED4B56" w:rsidP="00014168">
      <w:pPr>
        <w:spacing w:after="0" w:line="240" w:lineRule="auto"/>
        <w:rPr>
          <w:rFonts w:cs="Arial"/>
          <w:lang w:val="es-ES_tradnl"/>
        </w:rPr>
      </w:pPr>
    </w:p>
    <w:p w14:paraId="0868CA02" w14:textId="2EFF9595" w:rsidR="00703168" w:rsidRPr="005956FD" w:rsidRDefault="00873804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La </w:t>
      </w:r>
      <w:r w:rsidR="00ED4B56" w:rsidRPr="005956FD">
        <w:rPr>
          <w:rFonts w:cs="Arial"/>
          <w:lang w:val="es-ES_tradnl"/>
        </w:rPr>
        <w:t>COP12</w:t>
      </w:r>
      <w:r w:rsidRPr="005956FD">
        <w:rPr>
          <w:rFonts w:cs="Arial"/>
          <w:lang w:val="es-ES_tradnl"/>
        </w:rPr>
        <w:t xml:space="preserve"> decidió además que </w:t>
      </w:r>
      <w:r w:rsidR="00B50E59" w:rsidRPr="005956FD">
        <w:rPr>
          <w:rFonts w:cs="Arial"/>
          <w:lang w:val="es-ES_tradnl"/>
        </w:rPr>
        <w:t>“</w:t>
      </w:r>
      <w:r w:rsidRPr="005956FD">
        <w:rPr>
          <w:rFonts w:cs="Arial"/>
          <w:lang w:val="es-ES_tradnl"/>
        </w:rPr>
        <w:t xml:space="preserve">los niveles de apoyo financiero destinado a las iniciativas regionales con cargo al </w:t>
      </w:r>
      <w:r w:rsidR="005956FD" w:rsidRPr="005956FD">
        <w:rPr>
          <w:rFonts w:cs="Arial"/>
          <w:lang w:val="es-ES_tradnl"/>
        </w:rPr>
        <w:t>presupuesto</w:t>
      </w:r>
      <w:r w:rsidRPr="005956FD">
        <w:rPr>
          <w:rFonts w:cs="Arial"/>
          <w:lang w:val="es-ES_tradnl"/>
        </w:rPr>
        <w:t xml:space="preserve"> básico de la Convención para los años </w:t>
      </w:r>
      <w:r w:rsidR="00ED4B56" w:rsidRPr="005956FD">
        <w:rPr>
          <w:rFonts w:cs="Arial"/>
          <w:lang w:val="es-ES_tradnl"/>
        </w:rPr>
        <w:t xml:space="preserve">2016, 2017 </w:t>
      </w:r>
      <w:r w:rsidRPr="005956FD">
        <w:rPr>
          <w:rFonts w:cs="Arial"/>
          <w:lang w:val="es-ES_tradnl"/>
        </w:rPr>
        <w:t>y</w:t>
      </w:r>
      <w:r w:rsidR="00ED4B56" w:rsidRPr="005956FD">
        <w:rPr>
          <w:rFonts w:cs="Arial"/>
          <w:lang w:val="es-ES_tradnl"/>
        </w:rPr>
        <w:t xml:space="preserve"> 2018 </w:t>
      </w:r>
      <w:r w:rsidRPr="005956FD">
        <w:rPr>
          <w:rFonts w:cs="Arial"/>
          <w:lang w:val="es-ES_tradnl"/>
        </w:rPr>
        <w:t xml:space="preserve">los determine el Comité Permanente cada año, basándose en los informes más recientes y los planes de trabajo actualizados que se deben </w:t>
      </w:r>
      <w:r w:rsidR="005956FD" w:rsidRPr="005956FD">
        <w:rPr>
          <w:rFonts w:cs="Arial"/>
          <w:lang w:val="es-ES_tradnl"/>
        </w:rPr>
        <w:t>presentar</w:t>
      </w:r>
      <w:r w:rsidRPr="005956FD">
        <w:rPr>
          <w:rFonts w:cs="Arial"/>
          <w:lang w:val="es-ES_tradnl"/>
        </w:rPr>
        <w:t xml:space="preserve"> en el formato y el calendario requeridos y teniendo en cuenta las recomendaciones concretas del Subgrupo de Finanzas</w:t>
      </w:r>
      <w:r w:rsidR="00B50E59" w:rsidRPr="005956FD">
        <w:rPr>
          <w:rFonts w:cs="Arial"/>
          <w:lang w:val="es-ES_tradnl"/>
        </w:rPr>
        <w:t>”</w:t>
      </w:r>
      <w:r w:rsidR="00ED4B56" w:rsidRPr="005956FD">
        <w:rPr>
          <w:rFonts w:cs="Arial"/>
          <w:lang w:val="es-ES_tradnl"/>
        </w:rPr>
        <w:t xml:space="preserve"> (</w:t>
      </w:r>
      <w:r w:rsidR="005956FD">
        <w:rPr>
          <w:rFonts w:cs="Arial"/>
          <w:lang w:val="es-ES_tradnl"/>
        </w:rPr>
        <w:t>párrafo</w:t>
      </w:r>
      <w:r w:rsidR="00AF3A5C">
        <w:rPr>
          <w:rFonts w:cs="Arial"/>
          <w:lang w:val="es-ES_tradnl"/>
        </w:rPr>
        <w:t xml:space="preserve"> </w:t>
      </w:r>
      <w:r w:rsidR="00ED4B56" w:rsidRPr="005956FD">
        <w:rPr>
          <w:rFonts w:cs="Arial"/>
          <w:lang w:val="es-ES_tradnl"/>
        </w:rPr>
        <w:t>15).</w:t>
      </w:r>
    </w:p>
    <w:p w14:paraId="371A6114" w14:textId="77777777" w:rsidR="000E54D6" w:rsidRPr="005956FD" w:rsidRDefault="000E54D6" w:rsidP="00014168">
      <w:pPr>
        <w:spacing w:after="0" w:line="240" w:lineRule="auto"/>
        <w:rPr>
          <w:rFonts w:cs="Arial"/>
          <w:lang w:val="es-ES_tradnl"/>
        </w:rPr>
      </w:pPr>
    </w:p>
    <w:p w14:paraId="0A0B1882" w14:textId="7B3C9837" w:rsidR="00703168" w:rsidRPr="005956FD" w:rsidRDefault="00873804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Según se explica en el capítulo 7 de los </w:t>
      </w:r>
      <w:r w:rsidR="00703168" w:rsidRPr="005956FD">
        <w:rPr>
          <w:rFonts w:cs="Arial"/>
          <w:lang w:val="es-ES_tradnl"/>
        </w:rPr>
        <w:t>“</w:t>
      </w:r>
      <w:r w:rsidRPr="005956FD">
        <w:rPr>
          <w:lang w:val="es-ES_tradnl"/>
        </w:rPr>
        <w:t>Lineamientos operativos destinados a las iniciativas regionales de Ramsar para apoyar la aplicación de la Convención</w:t>
      </w:r>
      <w:r w:rsidR="00703168" w:rsidRPr="005956FD">
        <w:rPr>
          <w:rFonts w:cs="Arial"/>
          <w:lang w:val="es-ES_tradnl"/>
        </w:rPr>
        <w:t>” (</w:t>
      </w:r>
      <w:r w:rsidRPr="005956FD">
        <w:rPr>
          <w:rFonts w:cs="Arial"/>
          <w:lang w:val="es-ES_tradnl"/>
        </w:rPr>
        <w:t xml:space="preserve">adoptados mediante la </w:t>
      </w:r>
      <w:r w:rsidR="005956FD">
        <w:rPr>
          <w:rFonts w:cs="Arial"/>
          <w:lang w:val="es-ES_tradnl"/>
        </w:rPr>
        <w:t>Decisión</w:t>
      </w:r>
      <w:r w:rsidR="00703168" w:rsidRPr="005956FD">
        <w:rPr>
          <w:rFonts w:cs="Arial"/>
          <w:lang w:val="es-ES_tradnl"/>
        </w:rPr>
        <w:t xml:space="preserve"> SC52-16), </w:t>
      </w:r>
      <w:r w:rsidRPr="005956FD">
        <w:rPr>
          <w:rFonts w:cs="Arial"/>
          <w:lang w:val="es-ES_tradnl"/>
        </w:rPr>
        <w:t xml:space="preserve">el Comité </w:t>
      </w:r>
      <w:r w:rsidR="005956FD" w:rsidRPr="005956FD">
        <w:rPr>
          <w:rFonts w:cs="Arial"/>
          <w:lang w:val="es-ES_tradnl"/>
        </w:rPr>
        <w:t>Permanente</w:t>
      </w:r>
      <w:r w:rsidRPr="005956FD">
        <w:rPr>
          <w:rFonts w:cs="Arial"/>
          <w:lang w:val="es-ES_tradnl"/>
        </w:rPr>
        <w:t xml:space="preserve"> aprobó asignar </w:t>
      </w:r>
      <w:r w:rsidR="00703168" w:rsidRPr="005956FD">
        <w:rPr>
          <w:rFonts w:cs="Arial"/>
          <w:lang w:val="es-ES_tradnl"/>
        </w:rPr>
        <w:t>30</w:t>
      </w:r>
      <w:r w:rsidRPr="005956FD">
        <w:rPr>
          <w:rFonts w:cs="Arial"/>
          <w:lang w:val="es-ES_tradnl"/>
        </w:rPr>
        <w:t>.</w:t>
      </w:r>
      <w:r w:rsidR="00703168" w:rsidRPr="005956FD">
        <w:rPr>
          <w:rFonts w:cs="Arial"/>
          <w:lang w:val="es-ES_tradnl"/>
        </w:rPr>
        <w:t xml:space="preserve">000 </w:t>
      </w:r>
      <w:r w:rsidRPr="005956FD">
        <w:rPr>
          <w:rFonts w:cs="Arial"/>
          <w:lang w:val="es-ES_tradnl"/>
        </w:rPr>
        <w:t xml:space="preserve">francos suizos a cada una de las cuatro nuevas IRR </w:t>
      </w:r>
      <w:r w:rsidR="008E36B4" w:rsidRPr="005956FD">
        <w:rPr>
          <w:rFonts w:cs="Arial"/>
          <w:lang w:val="es-ES_tradnl"/>
        </w:rPr>
        <w:t>(</w:t>
      </w:r>
      <w:r w:rsidRPr="005956FD">
        <w:rPr>
          <w:rFonts w:cs="Arial"/>
          <w:lang w:val="es-ES_tradnl"/>
        </w:rPr>
        <w:t xml:space="preserve">véase el párrafo </w:t>
      </w:r>
      <w:r w:rsidR="000E54D6" w:rsidRPr="005956FD">
        <w:rPr>
          <w:rFonts w:cs="Arial"/>
          <w:lang w:val="es-ES_tradnl"/>
        </w:rPr>
        <w:t>4</w:t>
      </w:r>
      <w:r w:rsidR="008E36B4" w:rsidRPr="005956FD">
        <w:rPr>
          <w:rFonts w:cs="Arial"/>
          <w:lang w:val="es-ES_tradnl"/>
        </w:rPr>
        <w:t xml:space="preserve">) </w:t>
      </w:r>
      <w:r w:rsidRPr="005956FD">
        <w:rPr>
          <w:rFonts w:cs="Arial"/>
          <w:lang w:val="es-ES_tradnl"/>
        </w:rPr>
        <w:t xml:space="preserve">para realizar sus actividades </w:t>
      </w:r>
      <w:r w:rsidR="005956FD" w:rsidRPr="005956FD">
        <w:rPr>
          <w:rFonts w:cs="Arial"/>
          <w:lang w:val="es-ES_tradnl"/>
        </w:rPr>
        <w:t>en</w:t>
      </w:r>
      <w:r w:rsidRPr="005956FD">
        <w:rPr>
          <w:rFonts w:cs="Arial"/>
          <w:lang w:val="es-ES_tradnl"/>
        </w:rPr>
        <w:t xml:space="preserve"> </w:t>
      </w:r>
      <w:r w:rsidR="00703168" w:rsidRPr="005956FD">
        <w:rPr>
          <w:rFonts w:cs="Arial"/>
          <w:lang w:val="es-ES_tradnl"/>
        </w:rPr>
        <w:t>2016 (</w:t>
      </w:r>
      <w:r w:rsidR="005956FD">
        <w:rPr>
          <w:rFonts w:cs="Arial"/>
          <w:lang w:val="es-ES_tradnl"/>
        </w:rPr>
        <w:t>Decisión</w:t>
      </w:r>
      <w:r w:rsidR="00703168" w:rsidRPr="005956FD">
        <w:rPr>
          <w:rFonts w:cs="Arial"/>
          <w:lang w:val="es-ES_tradnl"/>
        </w:rPr>
        <w:t xml:space="preserve"> SC52-20).</w:t>
      </w:r>
    </w:p>
    <w:p w14:paraId="66B7D757" w14:textId="77777777" w:rsidR="00ED4B56" w:rsidRPr="005956FD" w:rsidRDefault="00ED4B56" w:rsidP="00014168">
      <w:pPr>
        <w:spacing w:after="0" w:line="240" w:lineRule="auto"/>
        <w:rPr>
          <w:rFonts w:cs="Arial"/>
          <w:lang w:val="es-ES_tradnl"/>
        </w:rPr>
      </w:pPr>
    </w:p>
    <w:p w14:paraId="35CD1393" w14:textId="07362735" w:rsidR="00353214" w:rsidRPr="005956FD" w:rsidRDefault="00AF3A5C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i/>
          <w:lang w:val="es-ES_tradnl"/>
        </w:rPr>
      </w:pPr>
      <w:r>
        <w:rPr>
          <w:rFonts w:cs="Arial"/>
          <w:lang w:val="es-ES_tradnl"/>
        </w:rPr>
        <w:t>E</w:t>
      </w:r>
      <w:r w:rsidRPr="005956FD">
        <w:rPr>
          <w:rFonts w:cs="Arial"/>
          <w:lang w:val="es-ES_tradnl"/>
        </w:rPr>
        <w:t>n el marco de sus informes financieros y planes de trabajo para 2017</w:t>
      </w:r>
      <w:r>
        <w:rPr>
          <w:rFonts w:cs="Arial"/>
          <w:lang w:val="es-ES_tradnl"/>
        </w:rPr>
        <w:t>, e</w:t>
      </w:r>
      <w:r w:rsidR="00873804" w:rsidRPr="005956FD">
        <w:rPr>
          <w:rFonts w:cs="Arial"/>
          <w:lang w:val="es-ES_tradnl"/>
        </w:rPr>
        <w:t xml:space="preserve">stas cuatro IRR candidatas </w:t>
      </w:r>
      <w:r w:rsidR="005956FD" w:rsidRPr="005956FD">
        <w:rPr>
          <w:rFonts w:cs="Arial"/>
          <w:lang w:val="es-ES_tradnl"/>
        </w:rPr>
        <w:t>presentaron</w:t>
      </w:r>
      <w:r w:rsidR="00873804" w:rsidRPr="005956FD">
        <w:rPr>
          <w:rFonts w:cs="Arial"/>
          <w:lang w:val="es-ES_tradnl"/>
        </w:rPr>
        <w:t xml:space="preserve"> nuevas solicitudes de apoyo </w:t>
      </w:r>
      <w:r w:rsidR="005956FD" w:rsidRPr="005956FD">
        <w:rPr>
          <w:rFonts w:cs="Arial"/>
          <w:lang w:val="es-ES_tradnl"/>
        </w:rPr>
        <w:t>financiero</w:t>
      </w:r>
      <w:r w:rsidR="00873804" w:rsidRPr="005956FD">
        <w:rPr>
          <w:rFonts w:cs="Arial"/>
          <w:lang w:val="es-ES_tradnl"/>
        </w:rPr>
        <w:t xml:space="preserve"> con cargo al </w:t>
      </w:r>
      <w:r w:rsidR="005956FD" w:rsidRPr="005956FD">
        <w:rPr>
          <w:rFonts w:cs="Arial"/>
          <w:lang w:val="es-ES_tradnl"/>
        </w:rPr>
        <w:t>presupuesto</w:t>
      </w:r>
      <w:r w:rsidR="00873804" w:rsidRPr="005956FD">
        <w:rPr>
          <w:rFonts w:cs="Arial"/>
          <w:lang w:val="es-ES_tradnl"/>
        </w:rPr>
        <w:t xml:space="preserve"> básico de Ramsar para sus </w:t>
      </w:r>
      <w:r w:rsidR="005956FD" w:rsidRPr="005956FD">
        <w:rPr>
          <w:rFonts w:cs="Arial"/>
          <w:lang w:val="es-ES_tradnl"/>
        </w:rPr>
        <w:t>actividades</w:t>
      </w:r>
      <w:r w:rsidR="00873804" w:rsidRPr="005956FD">
        <w:rPr>
          <w:rFonts w:cs="Arial"/>
          <w:lang w:val="es-ES_tradnl"/>
        </w:rPr>
        <w:t xml:space="preserve"> en 2017, según se detalla en el siguiente cuadro:</w:t>
      </w:r>
    </w:p>
    <w:p w14:paraId="1774C89E" w14:textId="77777777" w:rsidR="00D22BBB" w:rsidRPr="005956FD" w:rsidRDefault="00D22BBB" w:rsidP="00014168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16"/>
        <w:gridCol w:w="1717"/>
        <w:gridCol w:w="1716"/>
        <w:gridCol w:w="1717"/>
      </w:tblGrid>
      <w:tr w:rsidR="00873804" w:rsidRPr="001B00B5" w14:paraId="61DFCBD8" w14:textId="77777777" w:rsidTr="00D325F2">
        <w:trPr>
          <w:trHeight w:val="814"/>
        </w:trPr>
        <w:tc>
          <w:tcPr>
            <w:tcW w:w="2268" w:type="dxa"/>
          </w:tcPr>
          <w:p w14:paraId="7641238C" w14:textId="1806A32B" w:rsidR="00DD3D18" w:rsidRPr="005956FD" w:rsidRDefault="005956FD" w:rsidP="00D325F2">
            <w:pPr>
              <w:jc w:val="center"/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>Iniciativa</w:t>
            </w:r>
            <w:r w:rsidR="00873804" w:rsidRPr="005956FD">
              <w:rPr>
                <w:rFonts w:cs="Arial"/>
                <w:b/>
                <w:lang w:val="es-ES_tradnl"/>
              </w:rPr>
              <w:t xml:space="preserve"> regional de Ramsar</w:t>
            </w:r>
          </w:p>
        </w:tc>
        <w:tc>
          <w:tcPr>
            <w:tcW w:w="1716" w:type="dxa"/>
          </w:tcPr>
          <w:p w14:paraId="3BFD9D02" w14:textId="4080BCE6" w:rsidR="00213267" w:rsidRPr="005956FD" w:rsidRDefault="00873804" w:rsidP="00D325F2">
            <w:pPr>
              <w:jc w:val="center"/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 xml:space="preserve">Remanente </w:t>
            </w:r>
            <w:r w:rsidR="00AF3A5C">
              <w:rPr>
                <w:rFonts w:cs="Arial"/>
                <w:b/>
                <w:lang w:val="es-ES_tradnl"/>
              </w:rPr>
              <w:t>para</w:t>
            </w:r>
            <w:r w:rsidRPr="005956FD">
              <w:rPr>
                <w:rFonts w:cs="Arial"/>
                <w:b/>
                <w:lang w:val="es-ES_tradnl"/>
              </w:rPr>
              <w:t xml:space="preserve"> las actividades en 2017</w:t>
            </w:r>
          </w:p>
          <w:p w14:paraId="0B7D25FA" w14:textId="020AF3F6" w:rsidR="00DD3D18" w:rsidRPr="005956FD" w:rsidRDefault="00063252" w:rsidP="00D325F2">
            <w:pPr>
              <w:jc w:val="center"/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>(</w:t>
            </w:r>
            <w:r w:rsidR="00AF3A5C">
              <w:rPr>
                <w:rFonts w:cs="Arial"/>
                <w:b/>
                <w:lang w:val="es-ES_tradnl"/>
              </w:rPr>
              <w:t xml:space="preserve">todo </w:t>
            </w:r>
            <w:r w:rsidR="00873804" w:rsidRPr="005956FD">
              <w:rPr>
                <w:rFonts w:cs="Arial"/>
                <w:b/>
                <w:lang w:val="es-ES_tradnl"/>
              </w:rPr>
              <w:t>en CHF)</w:t>
            </w:r>
          </w:p>
        </w:tc>
        <w:tc>
          <w:tcPr>
            <w:tcW w:w="1717" w:type="dxa"/>
          </w:tcPr>
          <w:p w14:paraId="5B26AFE6" w14:textId="29B99520" w:rsidR="00DD3D18" w:rsidRPr="005956FD" w:rsidRDefault="005956FD" w:rsidP="00D325F2">
            <w:pPr>
              <w:jc w:val="center"/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>Presupuesto</w:t>
            </w:r>
            <w:r w:rsidR="00873804" w:rsidRPr="005956FD">
              <w:rPr>
                <w:rFonts w:cs="Arial"/>
                <w:b/>
                <w:lang w:val="es-ES_tradnl"/>
              </w:rPr>
              <w:t xml:space="preserve"> total para las actividades en 2017</w:t>
            </w:r>
          </w:p>
        </w:tc>
        <w:tc>
          <w:tcPr>
            <w:tcW w:w="1716" w:type="dxa"/>
          </w:tcPr>
          <w:p w14:paraId="763700B7" w14:textId="7941E469" w:rsidR="00DD3D18" w:rsidRPr="005956FD" w:rsidRDefault="00873804" w:rsidP="00AF3A5C">
            <w:pPr>
              <w:jc w:val="center"/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 xml:space="preserve">Asignación del presupuesto básico </w:t>
            </w:r>
            <w:r w:rsidR="00AF3A5C" w:rsidRPr="005956FD">
              <w:rPr>
                <w:rFonts w:cs="Arial"/>
                <w:b/>
                <w:lang w:val="es-ES_tradnl"/>
              </w:rPr>
              <w:t xml:space="preserve">solicitada </w:t>
            </w:r>
            <w:r w:rsidRPr="005956FD">
              <w:rPr>
                <w:rFonts w:cs="Arial"/>
                <w:b/>
                <w:lang w:val="es-ES_tradnl"/>
              </w:rPr>
              <w:t>para 2017</w:t>
            </w:r>
          </w:p>
        </w:tc>
        <w:tc>
          <w:tcPr>
            <w:tcW w:w="1717" w:type="dxa"/>
          </w:tcPr>
          <w:p w14:paraId="3723577B" w14:textId="0596B784" w:rsidR="00DD3D18" w:rsidRPr="005956FD" w:rsidRDefault="00873804" w:rsidP="00AF3A5C">
            <w:pPr>
              <w:jc w:val="center"/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 xml:space="preserve">Asignación del </w:t>
            </w:r>
            <w:r w:rsidR="005956FD" w:rsidRPr="005956FD">
              <w:rPr>
                <w:rFonts w:cs="Arial"/>
                <w:b/>
                <w:lang w:val="es-ES_tradnl"/>
              </w:rPr>
              <w:t>presupuesto</w:t>
            </w:r>
            <w:r w:rsidRPr="005956FD">
              <w:rPr>
                <w:rFonts w:cs="Arial"/>
                <w:b/>
                <w:lang w:val="es-ES_tradnl"/>
              </w:rPr>
              <w:t xml:space="preserve"> básico </w:t>
            </w:r>
            <w:r w:rsidR="00AF3A5C" w:rsidRPr="005956FD">
              <w:rPr>
                <w:rFonts w:cs="Arial"/>
                <w:b/>
                <w:lang w:val="es-ES_tradnl"/>
              </w:rPr>
              <w:t xml:space="preserve">propuesta </w:t>
            </w:r>
            <w:r w:rsidRPr="005956FD">
              <w:rPr>
                <w:rFonts w:cs="Arial"/>
                <w:b/>
                <w:lang w:val="es-ES_tradnl"/>
              </w:rPr>
              <w:t xml:space="preserve">para </w:t>
            </w:r>
            <w:r w:rsidR="00A209D1" w:rsidRPr="005956FD">
              <w:rPr>
                <w:rFonts w:cs="Arial"/>
                <w:b/>
                <w:lang w:val="es-ES_tradnl"/>
              </w:rPr>
              <w:t xml:space="preserve">2017 </w:t>
            </w:r>
          </w:p>
        </w:tc>
      </w:tr>
      <w:tr w:rsidR="00873804" w:rsidRPr="005956FD" w14:paraId="328DEF86" w14:textId="77777777" w:rsidTr="00D325F2">
        <w:tc>
          <w:tcPr>
            <w:tcW w:w="2268" w:type="dxa"/>
          </w:tcPr>
          <w:p w14:paraId="619C0637" w14:textId="556BC72E" w:rsidR="00DD3D18" w:rsidRPr="005956FD" w:rsidRDefault="00873804" w:rsidP="00873804">
            <w:pPr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 xml:space="preserve">Cuenca del </w:t>
            </w:r>
            <w:r w:rsidR="00565891" w:rsidRPr="005956FD">
              <w:rPr>
                <w:rFonts w:cs="Arial"/>
                <w:lang w:val="es-ES_tradnl"/>
              </w:rPr>
              <w:t xml:space="preserve">Senegal </w:t>
            </w:r>
          </w:p>
        </w:tc>
        <w:tc>
          <w:tcPr>
            <w:tcW w:w="1716" w:type="dxa"/>
          </w:tcPr>
          <w:p w14:paraId="39A769A3" w14:textId="057B7BF6" w:rsidR="00DD3D18" w:rsidRPr="005956FD" w:rsidRDefault="00A209D1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12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195</w:t>
            </w:r>
          </w:p>
        </w:tc>
        <w:tc>
          <w:tcPr>
            <w:tcW w:w="1717" w:type="dxa"/>
          </w:tcPr>
          <w:p w14:paraId="668C5D24" w14:textId="15DAE16D" w:rsidR="00DD3D18" w:rsidRPr="005956FD" w:rsidRDefault="001F7113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99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000</w:t>
            </w:r>
          </w:p>
        </w:tc>
        <w:tc>
          <w:tcPr>
            <w:tcW w:w="1716" w:type="dxa"/>
          </w:tcPr>
          <w:p w14:paraId="31DE207F" w14:textId="657C0677" w:rsidR="00DD3D18" w:rsidRPr="005956FD" w:rsidRDefault="001F7113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60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000</w:t>
            </w:r>
          </w:p>
        </w:tc>
        <w:tc>
          <w:tcPr>
            <w:tcW w:w="1717" w:type="dxa"/>
          </w:tcPr>
          <w:p w14:paraId="319169A0" w14:textId="4172CE5C" w:rsidR="00DD3D18" w:rsidRPr="005956FD" w:rsidRDefault="005933F2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 xml:space="preserve">  </w:t>
            </w:r>
            <w:r w:rsidR="00A209D1"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="00A209D1" w:rsidRPr="005956FD">
              <w:rPr>
                <w:rFonts w:cs="Arial"/>
                <w:lang w:val="es-ES_tradnl"/>
              </w:rPr>
              <w:t xml:space="preserve">000 </w:t>
            </w:r>
          </w:p>
        </w:tc>
      </w:tr>
      <w:tr w:rsidR="00873804" w:rsidRPr="005956FD" w14:paraId="0E1574E9" w14:textId="77777777" w:rsidTr="00D325F2">
        <w:tc>
          <w:tcPr>
            <w:tcW w:w="2268" w:type="dxa"/>
          </w:tcPr>
          <w:p w14:paraId="0A2ABDB3" w14:textId="41AB1F16" w:rsidR="00DD3D18" w:rsidRPr="005956FD" w:rsidRDefault="00873804" w:rsidP="00873804">
            <w:pPr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Cuenca amazónica</w:t>
            </w:r>
          </w:p>
        </w:tc>
        <w:tc>
          <w:tcPr>
            <w:tcW w:w="1716" w:type="dxa"/>
          </w:tcPr>
          <w:p w14:paraId="24BC4396" w14:textId="3DEDDF7F" w:rsidR="00DD3D18" w:rsidRPr="005956FD" w:rsidRDefault="00703168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000</w:t>
            </w:r>
          </w:p>
        </w:tc>
        <w:tc>
          <w:tcPr>
            <w:tcW w:w="1717" w:type="dxa"/>
          </w:tcPr>
          <w:p w14:paraId="657996E0" w14:textId="4FB69AF1" w:rsidR="00DD3D18" w:rsidRPr="005956FD" w:rsidRDefault="00703168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60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000</w:t>
            </w:r>
          </w:p>
        </w:tc>
        <w:tc>
          <w:tcPr>
            <w:tcW w:w="1716" w:type="dxa"/>
          </w:tcPr>
          <w:p w14:paraId="049DF0DC" w14:textId="0AE5C6EB" w:rsidR="00DD3D18" w:rsidRPr="005956FD" w:rsidRDefault="00703168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000</w:t>
            </w:r>
          </w:p>
        </w:tc>
        <w:tc>
          <w:tcPr>
            <w:tcW w:w="1717" w:type="dxa"/>
          </w:tcPr>
          <w:p w14:paraId="3A2DE776" w14:textId="06F5AB55" w:rsidR="00DD3D18" w:rsidRPr="005956FD" w:rsidRDefault="005933F2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 xml:space="preserve">  </w:t>
            </w:r>
            <w:r w:rsidR="00A209D1"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="00A209D1" w:rsidRPr="005956FD">
              <w:rPr>
                <w:rFonts w:cs="Arial"/>
                <w:lang w:val="es-ES_tradnl"/>
              </w:rPr>
              <w:t xml:space="preserve">000 </w:t>
            </w:r>
          </w:p>
        </w:tc>
      </w:tr>
      <w:tr w:rsidR="00873804" w:rsidRPr="005956FD" w14:paraId="04464758" w14:textId="77777777" w:rsidTr="00D325F2">
        <w:tc>
          <w:tcPr>
            <w:tcW w:w="2268" w:type="dxa"/>
          </w:tcPr>
          <w:p w14:paraId="6832B65B" w14:textId="6A67918A" w:rsidR="00DD3D18" w:rsidRPr="005956FD" w:rsidRDefault="00873804" w:rsidP="00873804">
            <w:pPr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 xml:space="preserve">Asia </w:t>
            </w:r>
            <w:r w:rsidR="00565891" w:rsidRPr="005956FD">
              <w:rPr>
                <w:rFonts w:cs="Arial"/>
                <w:lang w:val="es-ES_tradnl"/>
              </w:rPr>
              <w:t>Central</w:t>
            </w:r>
          </w:p>
        </w:tc>
        <w:tc>
          <w:tcPr>
            <w:tcW w:w="1716" w:type="dxa"/>
          </w:tcPr>
          <w:p w14:paraId="7C8AA53C" w14:textId="23C736FE" w:rsidR="00DD3D18" w:rsidRPr="005956FD" w:rsidRDefault="00213267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26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004</w:t>
            </w:r>
          </w:p>
        </w:tc>
        <w:tc>
          <w:tcPr>
            <w:tcW w:w="1717" w:type="dxa"/>
          </w:tcPr>
          <w:p w14:paraId="6DF1E961" w14:textId="7DA52873" w:rsidR="00DD3D18" w:rsidRPr="005956FD" w:rsidRDefault="00213267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93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104</w:t>
            </w:r>
          </w:p>
        </w:tc>
        <w:tc>
          <w:tcPr>
            <w:tcW w:w="1716" w:type="dxa"/>
          </w:tcPr>
          <w:p w14:paraId="74930E5E" w14:textId="5C10A95D" w:rsidR="00DD3D18" w:rsidRPr="005956FD" w:rsidRDefault="00213267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000</w:t>
            </w:r>
          </w:p>
        </w:tc>
        <w:tc>
          <w:tcPr>
            <w:tcW w:w="1717" w:type="dxa"/>
          </w:tcPr>
          <w:p w14:paraId="489B2E26" w14:textId="1E07B9D6" w:rsidR="00DD3D18" w:rsidRPr="005956FD" w:rsidRDefault="005933F2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 xml:space="preserve">  </w:t>
            </w:r>
            <w:r w:rsidR="00A209D1"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="00A209D1" w:rsidRPr="005956FD">
              <w:rPr>
                <w:rFonts w:cs="Arial"/>
                <w:lang w:val="es-ES_tradnl"/>
              </w:rPr>
              <w:t xml:space="preserve">000 </w:t>
            </w:r>
          </w:p>
        </w:tc>
      </w:tr>
      <w:tr w:rsidR="00873804" w:rsidRPr="005956FD" w14:paraId="4CE78D19" w14:textId="77777777" w:rsidTr="00D325F2">
        <w:tc>
          <w:tcPr>
            <w:tcW w:w="2268" w:type="dxa"/>
          </w:tcPr>
          <w:p w14:paraId="172B9ECA" w14:textId="4F4AE1DF" w:rsidR="00DD3D18" w:rsidRPr="005956FD" w:rsidRDefault="00565891" w:rsidP="00873804">
            <w:pPr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Indo-B</w:t>
            </w:r>
            <w:r w:rsidR="00873804" w:rsidRPr="005956FD">
              <w:rPr>
                <w:rFonts w:cs="Arial"/>
                <w:lang w:val="es-ES_tradnl"/>
              </w:rPr>
              <w:t>irmana</w:t>
            </w:r>
          </w:p>
        </w:tc>
        <w:tc>
          <w:tcPr>
            <w:tcW w:w="1716" w:type="dxa"/>
          </w:tcPr>
          <w:p w14:paraId="7F77581D" w14:textId="72CDF361" w:rsidR="00DD3D18" w:rsidRPr="005956FD" w:rsidRDefault="00565891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23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126</w:t>
            </w:r>
          </w:p>
        </w:tc>
        <w:tc>
          <w:tcPr>
            <w:tcW w:w="1717" w:type="dxa"/>
          </w:tcPr>
          <w:p w14:paraId="207C3B3C" w14:textId="03596139" w:rsidR="00DD3D18" w:rsidRPr="005956FD" w:rsidRDefault="00565891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83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>126</w:t>
            </w:r>
          </w:p>
        </w:tc>
        <w:tc>
          <w:tcPr>
            <w:tcW w:w="1716" w:type="dxa"/>
          </w:tcPr>
          <w:p w14:paraId="58F93973" w14:textId="175919C6" w:rsidR="00DD3D18" w:rsidRPr="005956FD" w:rsidRDefault="00213267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Pr="005956FD">
              <w:rPr>
                <w:rFonts w:cs="Arial"/>
                <w:lang w:val="es-ES_tradnl"/>
              </w:rPr>
              <w:t xml:space="preserve">000 </w:t>
            </w:r>
          </w:p>
        </w:tc>
        <w:tc>
          <w:tcPr>
            <w:tcW w:w="1717" w:type="dxa"/>
          </w:tcPr>
          <w:p w14:paraId="6C1DC3A5" w14:textId="0757E7B5" w:rsidR="00DD3D18" w:rsidRPr="005956FD" w:rsidRDefault="005933F2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5956FD">
              <w:rPr>
                <w:rFonts w:cs="Arial"/>
                <w:lang w:val="es-ES_tradnl"/>
              </w:rPr>
              <w:t xml:space="preserve">  </w:t>
            </w:r>
            <w:r w:rsidR="00A209D1" w:rsidRPr="005956FD">
              <w:rPr>
                <w:rFonts w:cs="Arial"/>
                <w:lang w:val="es-ES_tradnl"/>
              </w:rPr>
              <w:t>30</w:t>
            </w:r>
            <w:r w:rsidR="005956FD" w:rsidRPr="005956FD">
              <w:rPr>
                <w:rFonts w:cs="Arial"/>
                <w:lang w:val="es-ES_tradnl"/>
              </w:rPr>
              <w:t>.</w:t>
            </w:r>
            <w:r w:rsidR="00A209D1" w:rsidRPr="005956FD">
              <w:rPr>
                <w:rFonts w:cs="Arial"/>
                <w:lang w:val="es-ES_tradnl"/>
              </w:rPr>
              <w:t xml:space="preserve">000 </w:t>
            </w:r>
          </w:p>
        </w:tc>
      </w:tr>
      <w:tr w:rsidR="00873804" w:rsidRPr="005956FD" w14:paraId="78E36950" w14:textId="77777777" w:rsidTr="00D325F2">
        <w:tc>
          <w:tcPr>
            <w:tcW w:w="2268" w:type="dxa"/>
          </w:tcPr>
          <w:p w14:paraId="6A1CD12B" w14:textId="053AA1B3" w:rsidR="00DD3D18" w:rsidRPr="005956FD" w:rsidRDefault="00873804" w:rsidP="00873804">
            <w:pPr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>Partida presupuestaria D de Ramsar</w:t>
            </w:r>
          </w:p>
        </w:tc>
        <w:tc>
          <w:tcPr>
            <w:tcW w:w="1716" w:type="dxa"/>
          </w:tcPr>
          <w:p w14:paraId="6E915DB2" w14:textId="77777777" w:rsidR="00DD3D18" w:rsidRPr="005956FD" w:rsidRDefault="00DD3D18" w:rsidP="00A209D1">
            <w:pPr>
              <w:jc w:val="right"/>
              <w:rPr>
                <w:rFonts w:cs="Arial"/>
                <w:b/>
                <w:lang w:val="es-ES_tradnl"/>
              </w:rPr>
            </w:pPr>
          </w:p>
        </w:tc>
        <w:tc>
          <w:tcPr>
            <w:tcW w:w="1717" w:type="dxa"/>
          </w:tcPr>
          <w:p w14:paraId="59C47843" w14:textId="77777777" w:rsidR="00DD3D18" w:rsidRPr="005956FD" w:rsidRDefault="00DD3D18" w:rsidP="00A209D1">
            <w:pPr>
              <w:jc w:val="right"/>
              <w:rPr>
                <w:rFonts w:cs="Arial"/>
                <w:b/>
                <w:lang w:val="es-ES_tradnl"/>
              </w:rPr>
            </w:pPr>
          </w:p>
        </w:tc>
        <w:tc>
          <w:tcPr>
            <w:tcW w:w="1716" w:type="dxa"/>
          </w:tcPr>
          <w:p w14:paraId="61469341" w14:textId="77777777" w:rsidR="00DD3D18" w:rsidRPr="005956FD" w:rsidRDefault="00DD3D18" w:rsidP="00D325F2">
            <w:pPr>
              <w:ind w:right="289"/>
              <w:jc w:val="right"/>
              <w:rPr>
                <w:rFonts w:cs="Arial"/>
                <w:b/>
                <w:lang w:val="es-ES_tradnl"/>
              </w:rPr>
            </w:pPr>
          </w:p>
        </w:tc>
        <w:tc>
          <w:tcPr>
            <w:tcW w:w="1717" w:type="dxa"/>
          </w:tcPr>
          <w:p w14:paraId="6B8C1A8C" w14:textId="63B3D782" w:rsidR="00DD3D18" w:rsidRPr="005956FD" w:rsidRDefault="00565891" w:rsidP="00D325F2">
            <w:pPr>
              <w:ind w:right="206"/>
              <w:jc w:val="right"/>
              <w:rPr>
                <w:rFonts w:cs="Arial"/>
                <w:b/>
                <w:lang w:val="es-ES_tradnl"/>
              </w:rPr>
            </w:pPr>
            <w:r w:rsidRPr="005956FD">
              <w:rPr>
                <w:rFonts w:cs="Arial"/>
                <w:b/>
                <w:lang w:val="es-ES_tradnl"/>
              </w:rPr>
              <w:t>120</w:t>
            </w:r>
            <w:r w:rsidR="005956FD" w:rsidRPr="005956FD">
              <w:rPr>
                <w:rFonts w:cs="Arial"/>
                <w:b/>
                <w:lang w:val="es-ES_tradnl"/>
              </w:rPr>
              <w:t>.</w:t>
            </w:r>
            <w:r w:rsidRPr="005956FD">
              <w:rPr>
                <w:rFonts w:cs="Arial"/>
                <w:b/>
                <w:lang w:val="es-ES_tradnl"/>
              </w:rPr>
              <w:t>000</w:t>
            </w:r>
          </w:p>
        </w:tc>
      </w:tr>
    </w:tbl>
    <w:p w14:paraId="474C1707" w14:textId="77777777" w:rsidR="00DD3D18" w:rsidRDefault="00DD3D18" w:rsidP="00014168">
      <w:pPr>
        <w:spacing w:after="0" w:line="240" w:lineRule="auto"/>
        <w:rPr>
          <w:rFonts w:cs="Arial"/>
          <w:b/>
          <w:lang w:val="es-ES_tradnl"/>
        </w:rPr>
      </w:pPr>
    </w:p>
    <w:p w14:paraId="5DE54BAB" w14:textId="77777777" w:rsidR="001B00B5" w:rsidRPr="005956FD" w:rsidRDefault="001B00B5" w:rsidP="00014168">
      <w:pPr>
        <w:spacing w:after="0" w:line="240" w:lineRule="auto"/>
        <w:rPr>
          <w:rFonts w:cs="Arial"/>
          <w:b/>
          <w:lang w:val="es-ES_tradnl"/>
        </w:rPr>
      </w:pPr>
    </w:p>
    <w:p w14:paraId="4D1C2FD9" w14:textId="1062FF0C" w:rsidR="00DD3D18" w:rsidRPr="005956FD" w:rsidRDefault="005956FD" w:rsidP="000E54D6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ES_tradnl"/>
        </w:rPr>
      </w:pPr>
      <w:r w:rsidRPr="005956FD">
        <w:rPr>
          <w:rFonts w:cs="Arial"/>
          <w:lang w:val="es-ES_tradnl"/>
        </w:rPr>
        <w:t xml:space="preserve">A partir de estas solicitudes y teniendo en cuenta la asignación disponible con cargo al presupuesto básico para 2017 </w:t>
      </w:r>
      <w:r w:rsidR="00422F33" w:rsidRPr="005956FD">
        <w:rPr>
          <w:rFonts w:cs="Arial"/>
          <w:lang w:val="es-ES_tradnl"/>
        </w:rPr>
        <w:t>(</w:t>
      </w:r>
      <w:r>
        <w:rPr>
          <w:rFonts w:cs="Arial"/>
          <w:lang w:val="es-ES_tradnl"/>
        </w:rPr>
        <w:t>Resolución</w:t>
      </w:r>
      <w:r w:rsidR="00422F33" w:rsidRPr="005956FD">
        <w:rPr>
          <w:rFonts w:cs="Arial"/>
          <w:lang w:val="es-ES_tradnl"/>
        </w:rPr>
        <w:t xml:space="preserve"> XII.1, An</w:t>
      </w:r>
      <w:r w:rsidRPr="005956FD">
        <w:rPr>
          <w:rFonts w:cs="Arial"/>
          <w:lang w:val="es-ES_tradnl"/>
        </w:rPr>
        <w:t>exo</w:t>
      </w:r>
      <w:r w:rsidR="00422F33" w:rsidRPr="005956FD">
        <w:rPr>
          <w:rFonts w:cs="Arial"/>
          <w:lang w:val="es-ES_tradnl"/>
        </w:rPr>
        <w:t xml:space="preserve"> I,</w:t>
      </w:r>
      <w:r w:rsidRPr="005956FD">
        <w:rPr>
          <w:rFonts w:cs="Arial"/>
          <w:lang w:val="es-ES_tradnl"/>
        </w:rPr>
        <w:t xml:space="preserve"> partida presupuestaria </w:t>
      </w:r>
      <w:r w:rsidR="00422F33" w:rsidRPr="005956FD">
        <w:rPr>
          <w:rFonts w:cs="Arial"/>
          <w:lang w:val="es-ES_tradnl"/>
        </w:rPr>
        <w:t>D)</w:t>
      </w:r>
      <w:r w:rsidR="00541FD9" w:rsidRPr="005956FD">
        <w:rPr>
          <w:rFonts w:cs="Arial"/>
          <w:lang w:val="es-ES_tradnl"/>
        </w:rPr>
        <w:t xml:space="preserve"> </w:t>
      </w:r>
      <w:r w:rsidRPr="005956FD">
        <w:rPr>
          <w:rFonts w:cs="Arial"/>
          <w:lang w:val="es-ES_tradnl"/>
        </w:rPr>
        <w:t>de</w:t>
      </w:r>
      <w:r w:rsidR="00541FD9" w:rsidRPr="005956FD">
        <w:rPr>
          <w:rFonts w:cs="Arial"/>
          <w:lang w:val="es-ES_tradnl"/>
        </w:rPr>
        <w:t xml:space="preserve"> 120</w:t>
      </w:r>
      <w:r w:rsidRPr="005956FD">
        <w:rPr>
          <w:rFonts w:cs="Arial"/>
          <w:lang w:val="es-ES_tradnl"/>
        </w:rPr>
        <w:t xml:space="preserve">.000 francos suizos, se invita al Comité Permanente en su </w:t>
      </w:r>
      <w:r w:rsidR="00ED4B56" w:rsidRPr="005956FD">
        <w:rPr>
          <w:rFonts w:cs="Arial"/>
          <w:lang w:val="es-ES_tradnl"/>
        </w:rPr>
        <w:t>53</w:t>
      </w:r>
      <w:r w:rsidRPr="005956FD">
        <w:rPr>
          <w:rFonts w:cs="Arial"/>
          <w:lang w:val="es-ES_tradnl"/>
        </w:rPr>
        <w:t xml:space="preserve">ª reunión a asignar </w:t>
      </w:r>
      <w:r w:rsidR="00422F33" w:rsidRPr="005956FD">
        <w:rPr>
          <w:rFonts w:cs="Arial"/>
          <w:lang w:val="es-ES_tradnl"/>
        </w:rPr>
        <w:t>30</w:t>
      </w:r>
      <w:r w:rsidRPr="005956FD">
        <w:rPr>
          <w:rFonts w:cs="Arial"/>
          <w:lang w:val="es-ES_tradnl"/>
        </w:rPr>
        <w:t>.</w:t>
      </w:r>
      <w:r w:rsidR="00422F33" w:rsidRPr="005956FD">
        <w:rPr>
          <w:rFonts w:cs="Arial"/>
          <w:lang w:val="es-ES_tradnl"/>
        </w:rPr>
        <w:t>000</w:t>
      </w:r>
      <w:r w:rsidRPr="005956FD">
        <w:rPr>
          <w:rFonts w:cs="Arial"/>
          <w:lang w:val="es-ES_tradnl"/>
        </w:rPr>
        <w:t xml:space="preserve"> francos suizos a cada una de las cuatro IRR enumeradas anteriormente para financiar el costo de sus actividades en 2017 según se describen en sus planes de trabajo</w:t>
      </w:r>
      <w:r w:rsidR="00422F33" w:rsidRPr="005956FD">
        <w:rPr>
          <w:rFonts w:cs="Arial"/>
          <w:lang w:val="es-ES_tradnl"/>
        </w:rPr>
        <w:t>.</w:t>
      </w:r>
    </w:p>
    <w:p w14:paraId="4D647C89" w14:textId="77777777" w:rsidR="000C2489" w:rsidRPr="005956FD" w:rsidRDefault="000C2489" w:rsidP="00014168">
      <w:pPr>
        <w:spacing w:after="0" w:line="240" w:lineRule="auto"/>
        <w:rPr>
          <w:rFonts w:ascii="Garamond" w:hAnsi="Garamond" w:cs="Arial"/>
          <w:lang w:val="es-ES_tradnl"/>
        </w:rPr>
      </w:pPr>
    </w:p>
    <w:p w14:paraId="230A7268" w14:textId="77777777" w:rsidR="00703AA3" w:rsidRPr="005956FD" w:rsidRDefault="00703AA3" w:rsidP="00014168">
      <w:pPr>
        <w:spacing w:after="0" w:line="240" w:lineRule="auto"/>
        <w:rPr>
          <w:rFonts w:cs="Arial"/>
          <w:lang w:val="es-ES_tradnl"/>
        </w:rPr>
      </w:pPr>
    </w:p>
    <w:sectPr w:rsidR="00703AA3" w:rsidRPr="005956FD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7417" w14:textId="77777777" w:rsidR="00572AF3" w:rsidRDefault="00572AF3" w:rsidP="00DF2386">
      <w:pPr>
        <w:spacing w:after="0" w:line="240" w:lineRule="auto"/>
      </w:pPr>
      <w:r>
        <w:separator/>
      </w:r>
    </w:p>
  </w:endnote>
  <w:endnote w:type="continuationSeparator" w:id="0">
    <w:p w14:paraId="40FC9809" w14:textId="77777777" w:rsidR="00572AF3" w:rsidRDefault="00572AF3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93A9" w14:textId="57714B6E" w:rsidR="00572AF3" w:rsidRDefault="00572AF3" w:rsidP="002137E0">
    <w:pPr>
      <w:pStyle w:val="Header"/>
      <w:rPr>
        <w:noProof/>
      </w:rPr>
    </w:pPr>
    <w:r>
      <w:rPr>
        <w:sz w:val="20"/>
        <w:szCs w:val="20"/>
      </w:rPr>
      <w:t>SC53-</w:t>
    </w:r>
    <w:r w:rsidR="001B00B5">
      <w:rPr>
        <w:sz w:val="20"/>
        <w:szCs w:val="20"/>
      </w:rPr>
      <w:t>12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B00B5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865E" w14:textId="77777777" w:rsidR="00572AF3" w:rsidRDefault="00572AF3" w:rsidP="00DF2386">
      <w:pPr>
        <w:spacing w:after="0" w:line="240" w:lineRule="auto"/>
      </w:pPr>
      <w:r>
        <w:separator/>
      </w:r>
    </w:p>
  </w:footnote>
  <w:footnote w:type="continuationSeparator" w:id="0">
    <w:p w14:paraId="5A8AC698" w14:textId="77777777" w:rsidR="00572AF3" w:rsidRDefault="00572AF3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D249" w14:textId="77777777" w:rsidR="00572AF3" w:rsidRDefault="00572AF3">
    <w:pPr>
      <w:pStyle w:val="Header"/>
    </w:pPr>
  </w:p>
  <w:p w14:paraId="447E43DD" w14:textId="77777777" w:rsidR="00572AF3" w:rsidRDefault="00572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413F"/>
    <w:multiLevelType w:val="hybridMultilevel"/>
    <w:tmpl w:val="0C1AA18A"/>
    <w:lvl w:ilvl="0" w:tplc="FF70357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42A1D"/>
    <w:multiLevelType w:val="hybridMultilevel"/>
    <w:tmpl w:val="5A1431CC"/>
    <w:lvl w:ilvl="0" w:tplc="E2FEE2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A7FD1"/>
    <w:multiLevelType w:val="hybridMultilevel"/>
    <w:tmpl w:val="C2F2776C"/>
    <w:lvl w:ilvl="0" w:tplc="0218986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632C48E6"/>
    <w:multiLevelType w:val="hybridMultilevel"/>
    <w:tmpl w:val="24C4CEC6"/>
    <w:lvl w:ilvl="0" w:tplc="3C6668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</w:num>
  <w:num w:numId="13">
    <w:abstractNumId w:val="18"/>
  </w:num>
  <w:num w:numId="14">
    <w:abstractNumId w:val="12"/>
  </w:num>
  <w:num w:numId="15">
    <w:abstractNumId w:val="3"/>
  </w:num>
  <w:num w:numId="16">
    <w:abstractNumId w:val="15"/>
  </w:num>
  <w:num w:numId="17">
    <w:abstractNumId w:val="20"/>
  </w:num>
  <w:num w:numId="18">
    <w:abstractNumId w:val="29"/>
  </w:num>
  <w:num w:numId="19">
    <w:abstractNumId w:val="28"/>
  </w:num>
  <w:num w:numId="20">
    <w:abstractNumId w:val="22"/>
  </w:num>
  <w:num w:numId="21">
    <w:abstractNumId w:val="24"/>
  </w:num>
  <w:num w:numId="22">
    <w:abstractNumId w:val="16"/>
  </w:num>
  <w:num w:numId="23">
    <w:abstractNumId w:val="21"/>
  </w:num>
  <w:num w:numId="24">
    <w:abstractNumId w:val="19"/>
  </w:num>
  <w:num w:numId="25">
    <w:abstractNumId w:val="27"/>
  </w:num>
  <w:num w:numId="26">
    <w:abstractNumId w:val="8"/>
  </w:num>
  <w:num w:numId="27">
    <w:abstractNumId w:val="0"/>
  </w:num>
  <w:num w:numId="28">
    <w:abstractNumId w:val="11"/>
  </w:num>
  <w:num w:numId="29">
    <w:abstractNumId w:val="9"/>
  </w:num>
  <w:num w:numId="30">
    <w:abstractNumId w:val="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0638"/>
    <w:rsid w:val="000103B0"/>
    <w:rsid w:val="00014168"/>
    <w:rsid w:val="00014ECA"/>
    <w:rsid w:val="00017A16"/>
    <w:rsid w:val="00026E09"/>
    <w:rsid w:val="00030EC8"/>
    <w:rsid w:val="00037CE0"/>
    <w:rsid w:val="00053929"/>
    <w:rsid w:val="00063252"/>
    <w:rsid w:val="00074DE8"/>
    <w:rsid w:val="000A3E3E"/>
    <w:rsid w:val="000C2489"/>
    <w:rsid w:val="000D5C76"/>
    <w:rsid w:val="000E2FA0"/>
    <w:rsid w:val="000E47E9"/>
    <w:rsid w:val="000E54D6"/>
    <w:rsid w:val="0012096C"/>
    <w:rsid w:val="00127828"/>
    <w:rsid w:val="00161BDA"/>
    <w:rsid w:val="00171618"/>
    <w:rsid w:val="001819B1"/>
    <w:rsid w:val="00185A10"/>
    <w:rsid w:val="0019073D"/>
    <w:rsid w:val="001A2D10"/>
    <w:rsid w:val="001B00B5"/>
    <w:rsid w:val="001C5E41"/>
    <w:rsid w:val="001C77BC"/>
    <w:rsid w:val="001D48BB"/>
    <w:rsid w:val="001E00E3"/>
    <w:rsid w:val="001F2349"/>
    <w:rsid w:val="001F7113"/>
    <w:rsid w:val="002005D2"/>
    <w:rsid w:val="0020298B"/>
    <w:rsid w:val="00206111"/>
    <w:rsid w:val="00213267"/>
    <w:rsid w:val="002137E0"/>
    <w:rsid w:val="002741AC"/>
    <w:rsid w:val="002819C0"/>
    <w:rsid w:val="00295556"/>
    <w:rsid w:val="00295BB5"/>
    <w:rsid w:val="002A5A4D"/>
    <w:rsid w:val="002B4262"/>
    <w:rsid w:val="002D121D"/>
    <w:rsid w:val="002D5A4D"/>
    <w:rsid w:val="002E13F9"/>
    <w:rsid w:val="002E22AF"/>
    <w:rsid w:val="00324398"/>
    <w:rsid w:val="00336B70"/>
    <w:rsid w:val="00353214"/>
    <w:rsid w:val="00367A5B"/>
    <w:rsid w:val="00384FC3"/>
    <w:rsid w:val="003A0183"/>
    <w:rsid w:val="003A3804"/>
    <w:rsid w:val="003A52BE"/>
    <w:rsid w:val="003A5866"/>
    <w:rsid w:val="003A6E9F"/>
    <w:rsid w:val="003D4CD6"/>
    <w:rsid w:val="004228C7"/>
    <w:rsid w:val="00422F33"/>
    <w:rsid w:val="0042798B"/>
    <w:rsid w:val="00434913"/>
    <w:rsid w:val="004474F8"/>
    <w:rsid w:val="00476122"/>
    <w:rsid w:val="00477550"/>
    <w:rsid w:val="004844A8"/>
    <w:rsid w:val="00485E8E"/>
    <w:rsid w:val="00496803"/>
    <w:rsid w:val="004B6688"/>
    <w:rsid w:val="004D544E"/>
    <w:rsid w:val="004F0F30"/>
    <w:rsid w:val="0051032E"/>
    <w:rsid w:val="0052378A"/>
    <w:rsid w:val="005244A4"/>
    <w:rsid w:val="00527783"/>
    <w:rsid w:val="00541FD9"/>
    <w:rsid w:val="005617DE"/>
    <w:rsid w:val="00565891"/>
    <w:rsid w:val="00572AF3"/>
    <w:rsid w:val="005814B5"/>
    <w:rsid w:val="005933F2"/>
    <w:rsid w:val="005956FD"/>
    <w:rsid w:val="00596E17"/>
    <w:rsid w:val="005A280B"/>
    <w:rsid w:val="005B2DE8"/>
    <w:rsid w:val="005C2F1A"/>
    <w:rsid w:val="005D3E9D"/>
    <w:rsid w:val="006256D3"/>
    <w:rsid w:val="00627BB7"/>
    <w:rsid w:val="00644A13"/>
    <w:rsid w:val="0065136E"/>
    <w:rsid w:val="0065635D"/>
    <w:rsid w:val="00656D6D"/>
    <w:rsid w:val="006645B2"/>
    <w:rsid w:val="00670D71"/>
    <w:rsid w:val="006E7DCE"/>
    <w:rsid w:val="00703168"/>
    <w:rsid w:val="00703AA3"/>
    <w:rsid w:val="007050FF"/>
    <w:rsid w:val="00730D45"/>
    <w:rsid w:val="00752764"/>
    <w:rsid w:val="00766962"/>
    <w:rsid w:val="00775287"/>
    <w:rsid w:val="007D33F4"/>
    <w:rsid w:val="007F3ABE"/>
    <w:rsid w:val="008328E9"/>
    <w:rsid w:val="00835BCB"/>
    <w:rsid w:val="00835CDC"/>
    <w:rsid w:val="008479D8"/>
    <w:rsid w:val="00850B09"/>
    <w:rsid w:val="00863B9D"/>
    <w:rsid w:val="00863BE6"/>
    <w:rsid w:val="00873804"/>
    <w:rsid w:val="00874D27"/>
    <w:rsid w:val="008775BC"/>
    <w:rsid w:val="00882F1B"/>
    <w:rsid w:val="0089479F"/>
    <w:rsid w:val="008A70CE"/>
    <w:rsid w:val="008C25E4"/>
    <w:rsid w:val="008C2DAE"/>
    <w:rsid w:val="008E36B4"/>
    <w:rsid w:val="009059A9"/>
    <w:rsid w:val="0092515E"/>
    <w:rsid w:val="00942FBD"/>
    <w:rsid w:val="0094770B"/>
    <w:rsid w:val="00980BF1"/>
    <w:rsid w:val="00994303"/>
    <w:rsid w:val="009B2267"/>
    <w:rsid w:val="009E0AE8"/>
    <w:rsid w:val="009E5374"/>
    <w:rsid w:val="009F345D"/>
    <w:rsid w:val="00A13218"/>
    <w:rsid w:val="00A209D1"/>
    <w:rsid w:val="00A227A3"/>
    <w:rsid w:val="00A60B73"/>
    <w:rsid w:val="00A80080"/>
    <w:rsid w:val="00AA2C63"/>
    <w:rsid w:val="00AB4951"/>
    <w:rsid w:val="00AE0A81"/>
    <w:rsid w:val="00AF3A5C"/>
    <w:rsid w:val="00B00FCC"/>
    <w:rsid w:val="00B310E4"/>
    <w:rsid w:val="00B315A0"/>
    <w:rsid w:val="00B34A18"/>
    <w:rsid w:val="00B468CE"/>
    <w:rsid w:val="00B50E59"/>
    <w:rsid w:val="00B579CB"/>
    <w:rsid w:val="00B626CD"/>
    <w:rsid w:val="00B70083"/>
    <w:rsid w:val="00BB28F6"/>
    <w:rsid w:val="00BC2609"/>
    <w:rsid w:val="00C047C1"/>
    <w:rsid w:val="00C13145"/>
    <w:rsid w:val="00CA41B7"/>
    <w:rsid w:val="00CE750F"/>
    <w:rsid w:val="00D160CB"/>
    <w:rsid w:val="00D22BBB"/>
    <w:rsid w:val="00D245A1"/>
    <w:rsid w:val="00D325F2"/>
    <w:rsid w:val="00D415E2"/>
    <w:rsid w:val="00D42055"/>
    <w:rsid w:val="00D574E4"/>
    <w:rsid w:val="00D647C3"/>
    <w:rsid w:val="00D9633A"/>
    <w:rsid w:val="00DD3D18"/>
    <w:rsid w:val="00DF2386"/>
    <w:rsid w:val="00DF7FE7"/>
    <w:rsid w:val="00E1597E"/>
    <w:rsid w:val="00E46367"/>
    <w:rsid w:val="00E61365"/>
    <w:rsid w:val="00E61DCE"/>
    <w:rsid w:val="00E63F0B"/>
    <w:rsid w:val="00EA3A7F"/>
    <w:rsid w:val="00EB0F85"/>
    <w:rsid w:val="00ED4B56"/>
    <w:rsid w:val="00F0128A"/>
    <w:rsid w:val="00F078F1"/>
    <w:rsid w:val="00F176C7"/>
    <w:rsid w:val="00F32D03"/>
    <w:rsid w:val="00F344DE"/>
    <w:rsid w:val="00F52E35"/>
    <w:rsid w:val="00F70BF6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DD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msar.org/es/search?f%5b0%5d=field_tag_body_event%3A593&amp;f%5b1%5d=field_sort_date%3A2017&amp;search_api_views_fullte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es/actividad/iniciativas-regionales-de-rams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229E-B39F-4201-AB2F-BE30018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6069</Characters>
  <Application>Microsoft Office Word</Application>
  <DocSecurity>4</DocSecurity>
  <Lines>319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2016-10-06T13:08:00Z</cp:lastPrinted>
  <dcterms:created xsi:type="dcterms:W3CDTF">2017-03-09T13:43:00Z</dcterms:created>
  <dcterms:modified xsi:type="dcterms:W3CDTF">2017-03-09T13:43:00Z</dcterms:modified>
</cp:coreProperties>
</file>