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C2A27" w14:textId="1C23D056" w:rsidR="002660B1" w:rsidRPr="00F349AE" w:rsidRDefault="002660B1" w:rsidP="009C09A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F349AE">
        <w:rPr>
          <w:rFonts w:asciiTheme="minorHAnsi" w:hAnsiTheme="minorHAnsi" w:cstheme="minorHAnsi"/>
          <w:bCs/>
          <w:szCs w:val="20"/>
          <w:lang w:val="es-ES_tradnl"/>
        </w:rPr>
        <w:t>CONVEN</w:t>
      </w:r>
      <w:r w:rsidR="001F7413" w:rsidRPr="00F349AE">
        <w:rPr>
          <w:rFonts w:asciiTheme="minorHAnsi" w:hAnsiTheme="minorHAnsi" w:cstheme="minorHAnsi"/>
          <w:bCs/>
          <w:szCs w:val="20"/>
          <w:lang w:val="es-ES_tradnl"/>
        </w:rPr>
        <w:t xml:space="preserve">CIÓN SOBRE LOS HUMEDALES </w:t>
      </w:r>
      <w:r w:rsidRPr="00F349AE">
        <w:rPr>
          <w:rFonts w:asciiTheme="minorHAnsi" w:hAnsiTheme="minorHAnsi" w:cstheme="minorHAnsi"/>
          <w:bCs/>
          <w:szCs w:val="20"/>
          <w:lang w:val="es-ES_tradnl"/>
        </w:rPr>
        <w:t>(Ramsar,</w:t>
      </w:r>
      <w:r w:rsidR="002A65F4" w:rsidRPr="00F349AE">
        <w:rPr>
          <w:rFonts w:asciiTheme="minorHAnsi" w:hAnsiTheme="minorHAnsi" w:cstheme="minorHAnsi"/>
          <w:bCs/>
          <w:szCs w:val="20"/>
          <w:lang w:val="es-ES_tradnl"/>
        </w:rPr>
        <w:t xml:space="preserve"> </w:t>
      </w:r>
      <w:r w:rsidRPr="00F349AE">
        <w:rPr>
          <w:rFonts w:asciiTheme="minorHAnsi" w:hAnsiTheme="minorHAnsi" w:cstheme="minorHAnsi"/>
          <w:bCs/>
          <w:szCs w:val="20"/>
          <w:lang w:val="es-ES_tradnl"/>
        </w:rPr>
        <w:t>Ir</w:t>
      </w:r>
      <w:r w:rsidR="001F7413" w:rsidRPr="00F349AE">
        <w:rPr>
          <w:rFonts w:asciiTheme="minorHAnsi" w:hAnsiTheme="minorHAnsi" w:cstheme="minorHAnsi"/>
          <w:bCs/>
          <w:szCs w:val="20"/>
          <w:lang w:val="es-ES_tradnl"/>
        </w:rPr>
        <w:t>á</w:t>
      </w:r>
      <w:r w:rsidRPr="00F349AE">
        <w:rPr>
          <w:rFonts w:asciiTheme="minorHAnsi" w:hAnsiTheme="minorHAnsi" w:cstheme="minorHAnsi"/>
          <w:bCs/>
          <w:szCs w:val="20"/>
          <w:lang w:val="es-ES_tradnl"/>
        </w:rPr>
        <w:t>n,</w:t>
      </w:r>
      <w:r w:rsidR="002A65F4" w:rsidRPr="00F349AE">
        <w:rPr>
          <w:rFonts w:asciiTheme="minorHAnsi" w:hAnsiTheme="minorHAnsi" w:cstheme="minorHAnsi"/>
          <w:bCs/>
          <w:szCs w:val="20"/>
          <w:lang w:val="es-ES_tradnl"/>
        </w:rPr>
        <w:t xml:space="preserve"> </w:t>
      </w:r>
      <w:r w:rsidRPr="00F349AE">
        <w:rPr>
          <w:rFonts w:asciiTheme="minorHAnsi" w:hAnsiTheme="minorHAnsi" w:cstheme="minorHAnsi"/>
          <w:bCs/>
          <w:szCs w:val="20"/>
          <w:lang w:val="es-ES_tradnl"/>
        </w:rPr>
        <w:t>1971)</w:t>
      </w:r>
    </w:p>
    <w:p w14:paraId="0B39F79B" w14:textId="54E7537B" w:rsidR="002660B1" w:rsidRPr="00F349AE" w:rsidRDefault="00BA510D" w:rsidP="009C09A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F349AE">
        <w:rPr>
          <w:rFonts w:asciiTheme="minorHAnsi" w:hAnsiTheme="minorHAnsi" w:cstheme="minorHAnsi"/>
          <w:bCs/>
          <w:szCs w:val="20"/>
          <w:lang w:val="es-ES_tradnl"/>
        </w:rPr>
        <w:t>5</w:t>
      </w:r>
      <w:r w:rsidR="00B9297A" w:rsidRPr="00F349AE">
        <w:rPr>
          <w:rFonts w:asciiTheme="minorHAnsi" w:hAnsiTheme="minorHAnsi" w:cstheme="minorHAnsi"/>
          <w:bCs/>
          <w:szCs w:val="20"/>
          <w:lang w:val="es-ES_tradnl"/>
        </w:rPr>
        <w:t>3</w:t>
      </w:r>
      <w:r w:rsidR="001F7413" w:rsidRPr="00F349AE">
        <w:rPr>
          <w:rFonts w:asciiTheme="minorHAnsi" w:hAnsiTheme="minorHAnsi" w:cstheme="minorHAnsi"/>
          <w:bCs/>
          <w:szCs w:val="20"/>
          <w:lang w:val="es-ES_tradnl"/>
        </w:rPr>
        <w:t>ª Reunión del Comité Permanente</w:t>
      </w:r>
    </w:p>
    <w:p w14:paraId="49DCBC31" w14:textId="2C5E5259" w:rsidR="002660B1" w:rsidRPr="00F349AE" w:rsidRDefault="002660B1" w:rsidP="009C09A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  <w:lang w:val="es-ES_tradnl"/>
        </w:rPr>
      </w:pPr>
      <w:r w:rsidRPr="00F349AE">
        <w:rPr>
          <w:rFonts w:asciiTheme="minorHAnsi" w:hAnsiTheme="minorHAnsi" w:cstheme="minorHAnsi"/>
          <w:bCs/>
          <w:szCs w:val="20"/>
          <w:lang w:val="es-ES_tradnl"/>
        </w:rPr>
        <w:t>Gland,</w:t>
      </w:r>
      <w:r w:rsidR="002A65F4" w:rsidRPr="00F349AE">
        <w:rPr>
          <w:rFonts w:asciiTheme="minorHAnsi" w:hAnsiTheme="minorHAnsi" w:cstheme="minorHAnsi"/>
          <w:bCs/>
          <w:szCs w:val="20"/>
          <w:lang w:val="es-ES_tradnl"/>
        </w:rPr>
        <w:t xml:space="preserve"> </w:t>
      </w:r>
      <w:r w:rsidRPr="00F349AE">
        <w:rPr>
          <w:rFonts w:asciiTheme="minorHAnsi" w:hAnsiTheme="minorHAnsi" w:cstheme="minorHAnsi"/>
          <w:bCs/>
          <w:szCs w:val="20"/>
          <w:lang w:val="es-ES_tradnl"/>
        </w:rPr>
        <w:t>S</w:t>
      </w:r>
      <w:r w:rsidR="001F7413" w:rsidRPr="00F349AE">
        <w:rPr>
          <w:rFonts w:asciiTheme="minorHAnsi" w:hAnsiTheme="minorHAnsi" w:cstheme="minorHAnsi"/>
          <w:bCs/>
          <w:szCs w:val="20"/>
          <w:lang w:val="es-ES_tradnl"/>
        </w:rPr>
        <w:t>uiza, 29 de mayo a 2 de junio de 2017</w:t>
      </w:r>
    </w:p>
    <w:p w14:paraId="342C7732" w14:textId="77777777" w:rsidR="00434554" w:rsidRPr="00F349AE" w:rsidRDefault="00434554" w:rsidP="009C09A7">
      <w:pPr>
        <w:rPr>
          <w:rFonts w:asciiTheme="minorHAnsi" w:hAnsiTheme="minorHAnsi"/>
          <w:sz w:val="28"/>
          <w:lang w:val="es-ES_tradnl"/>
        </w:rPr>
      </w:pPr>
    </w:p>
    <w:p w14:paraId="28E59960" w14:textId="46A659E7" w:rsidR="002660B1" w:rsidRPr="00F349AE" w:rsidRDefault="002660B1" w:rsidP="00265BF4">
      <w:pPr>
        <w:jc w:val="right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F349AE">
        <w:rPr>
          <w:rFonts w:asciiTheme="minorHAnsi" w:hAnsiTheme="minorHAnsi" w:cstheme="minorHAnsi"/>
          <w:b/>
          <w:sz w:val="28"/>
          <w:szCs w:val="28"/>
          <w:lang w:val="es-ES_tradnl"/>
        </w:rPr>
        <w:t>SC</w:t>
      </w:r>
      <w:r w:rsidR="004F5DCD" w:rsidRPr="00F349AE">
        <w:rPr>
          <w:rFonts w:asciiTheme="minorHAnsi" w:hAnsiTheme="minorHAnsi" w:cstheme="minorHAnsi"/>
          <w:b/>
          <w:sz w:val="28"/>
          <w:szCs w:val="28"/>
          <w:lang w:val="es-ES_tradnl"/>
        </w:rPr>
        <w:t>5</w:t>
      </w:r>
      <w:r w:rsidR="005A267F" w:rsidRPr="00F349AE">
        <w:rPr>
          <w:rFonts w:asciiTheme="minorHAnsi" w:hAnsiTheme="minorHAnsi" w:cstheme="minorHAnsi"/>
          <w:b/>
          <w:sz w:val="28"/>
          <w:szCs w:val="28"/>
          <w:lang w:val="es-ES_tradnl"/>
        </w:rPr>
        <w:t>3</w:t>
      </w:r>
      <w:r w:rsidR="00265BF4" w:rsidRPr="00F349AE">
        <w:rPr>
          <w:rFonts w:asciiTheme="minorHAnsi" w:hAnsiTheme="minorHAnsi" w:cstheme="minorHAnsi"/>
          <w:b/>
          <w:sz w:val="28"/>
          <w:szCs w:val="28"/>
          <w:lang w:val="es-ES_tradnl"/>
        </w:rPr>
        <w:t>-</w:t>
      </w:r>
      <w:r w:rsidR="00B9297A" w:rsidRPr="00F349AE">
        <w:rPr>
          <w:rFonts w:asciiTheme="minorHAnsi" w:hAnsiTheme="minorHAnsi" w:cstheme="minorHAnsi"/>
          <w:b/>
          <w:sz w:val="28"/>
          <w:szCs w:val="28"/>
          <w:lang w:val="es-ES_tradnl"/>
        </w:rPr>
        <w:t>05</w:t>
      </w:r>
    </w:p>
    <w:p w14:paraId="0B39B40C" w14:textId="77777777" w:rsidR="001233DE" w:rsidRPr="00F349AE" w:rsidRDefault="001233DE" w:rsidP="009C09A7">
      <w:pPr>
        <w:rPr>
          <w:rFonts w:asciiTheme="minorHAnsi" w:hAnsiTheme="minorHAnsi"/>
          <w:b/>
          <w:sz w:val="28"/>
          <w:szCs w:val="28"/>
          <w:lang w:val="es-ES_tradnl"/>
        </w:rPr>
      </w:pPr>
    </w:p>
    <w:p w14:paraId="0BBEEB69" w14:textId="55BEF63F" w:rsidR="0046748E" w:rsidRPr="00F349AE" w:rsidRDefault="001F7413" w:rsidP="0046748E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  <w:r w:rsidRPr="00F349AE">
        <w:rPr>
          <w:rFonts w:asciiTheme="minorHAnsi" w:hAnsiTheme="minorHAnsi"/>
          <w:b/>
          <w:sz w:val="28"/>
          <w:lang w:val="es-ES_tradnl"/>
        </w:rPr>
        <w:t>Estado de los grupos de trabajo del Comité Permanente durante</w:t>
      </w:r>
      <w:r w:rsidR="0046748E" w:rsidRPr="00F349AE">
        <w:rPr>
          <w:rFonts w:asciiTheme="minorHAnsi" w:hAnsiTheme="minorHAnsi" w:cs="Calibri"/>
          <w:b/>
          <w:sz w:val="28"/>
          <w:szCs w:val="28"/>
          <w:lang w:val="es-ES_tradnl"/>
        </w:rPr>
        <w:t xml:space="preserve"> </w:t>
      </w:r>
      <w:r w:rsidR="009527CC">
        <w:rPr>
          <w:rFonts w:asciiTheme="minorHAnsi" w:hAnsiTheme="minorHAnsi" w:cs="Calibri"/>
          <w:b/>
          <w:sz w:val="28"/>
          <w:szCs w:val="28"/>
          <w:lang w:val="es-ES_tradnl"/>
        </w:rPr>
        <w:t xml:space="preserve">el período </w:t>
      </w:r>
      <w:r w:rsidR="0046748E" w:rsidRPr="00F349AE">
        <w:rPr>
          <w:rFonts w:asciiTheme="minorHAnsi" w:hAnsiTheme="minorHAnsi" w:cs="Calibri"/>
          <w:b/>
          <w:sz w:val="28"/>
          <w:szCs w:val="28"/>
          <w:lang w:val="es-ES_tradnl"/>
        </w:rPr>
        <w:t>2016-2018</w:t>
      </w:r>
    </w:p>
    <w:p w14:paraId="18E4D42B" w14:textId="77777777" w:rsidR="00B9297A" w:rsidRPr="00F349AE" w:rsidRDefault="00B9297A" w:rsidP="0046748E">
      <w:pPr>
        <w:jc w:val="center"/>
        <w:rPr>
          <w:rFonts w:asciiTheme="minorHAnsi" w:hAnsiTheme="minorHAnsi" w:cs="Calibri"/>
          <w:b/>
          <w:sz w:val="28"/>
          <w:szCs w:val="28"/>
          <w:lang w:val="es-ES_tradnl"/>
        </w:rPr>
      </w:pPr>
    </w:p>
    <w:p w14:paraId="0DEE3BE2" w14:textId="77777777" w:rsidR="00E7270C" w:rsidRPr="00F349AE" w:rsidRDefault="00C74B34" w:rsidP="009C09A7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val="es-ES_tradnl" w:eastAsia="en-US"/>
        </w:rPr>
      </w:pPr>
      <w:r w:rsidRPr="00F349AE">
        <w:rPr>
          <w:noProof/>
          <w:szCs w:val="20"/>
        </w:rPr>
        <mc:AlternateContent>
          <mc:Choice Requires="wps">
            <w:drawing>
              <wp:inline distT="0" distB="0" distL="0" distR="0" wp14:anchorId="29C500F1" wp14:editId="210EE82C">
                <wp:extent cx="5842635" cy="1666875"/>
                <wp:effectExtent l="0" t="0" r="24765" b="2857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E2ABD" w14:textId="709F7092" w:rsidR="00A15DA0" w:rsidRPr="006B1283" w:rsidRDefault="00A15DA0" w:rsidP="0075340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B1283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  <w:t>Acciones solicitadas:</w:t>
                            </w:r>
                          </w:p>
                          <w:p w14:paraId="002B3480" w14:textId="77777777" w:rsidR="00A15DA0" w:rsidRPr="006B1283" w:rsidRDefault="00A15DA0" w:rsidP="00753404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7E249826" w14:textId="393EA66E" w:rsidR="00A15DA0" w:rsidRPr="006B1283" w:rsidRDefault="00A15DA0" w:rsidP="0075340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B1283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  <w:t>Se invita al Comité Permanente a hacer lo siguiente:</w:t>
                            </w:r>
                          </w:p>
                          <w:p w14:paraId="2CD87041" w14:textId="77777777" w:rsidR="00A15DA0" w:rsidRPr="006B1283" w:rsidRDefault="00A15DA0" w:rsidP="0075340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418A69DB" w14:textId="113158EB" w:rsidR="00A15DA0" w:rsidRPr="006B1283" w:rsidRDefault="00A15DA0" w:rsidP="009E19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bCs/>
                                <w:lang w:val="es-ES_tradnl"/>
                              </w:rPr>
                            </w:pPr>
                            <w:r w:rsidRPr="006B1283"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tomar nota del examen sobre el estado de los grupos de trabajo del Comité Permanente durante </w:t>
                            </w: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el período </w:t>
                            </w:r>
                            <w:r w:rsidRPr="006B1283"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2016-2018; y </w:t>
                            </w:r>
                          </w:p>
                          <w:p w14:paraId="1B5FAE61" w14:textId="77777777" w:rsidR="00A15DA0" w:rsidRPr="006B1283" w:rsidRDefault="00A15DA0" w:rsidP="00753404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14:paraId="4940F8BB" w14:textId="6DA6397B" w:rsidR="00A15DA0" w:rsidRPr="006B1283" w:rsidRDefault="00A15DA0" w:rsidP="007B499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jc w:val="left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 w:rsidRPr="006B1283">
                              <w:rPr>
                                <w:rFonts w:asciiTheme="minorHAnsi" w:hAnsiTheme="minorHAnsi" w:cstheme="minorHAnsi"/>
                                <w:bCs/>
                                <w:lang w:val="es-ES_tradnl"/>
                              </w:rPr>
                              <w:t xml:space="preserve">confirmar y completar el estado de los distintos grupos según proceda. </w:t>
                            </w:r>
                          </w:p>
                          <w:p w14:paraId="1115381A" w14:textId="757F567D" w:rsidR="00A15DA0" w:rsidRDefault="00A15DA0" w:rsidP="00AB2DFF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FC9EA37" w14:textId="77777777" w:rsidR="00A15DA0" w:rsidRPr="00AB2DFF" w:rsidRDefault="00A15DA0" w:rsidP="00AB2DFF">
                            <w:pPr>
                              <w:ind w:left="360"/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14:paraId="155698BA" w14:textId="77777777" w:rsidR="00A15DA0" w:rsidRDefault="00A15DA0" w:rsidP="006D5AC9">
                            <w:pPr>
                              <w:ind w:left="709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62DD889" w14:textId="77777777" w:rsidR="00A15DA0" w:rsidRDefault="00A15DA0" w:rsidP="006D5AC9">
                            <w:pPr>
                              <w:ind w:left="709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999347" w14:textId="77777777" w:rsidR="00A15DA0" w:rsidRDefault="00A15DA0" w:rsidP="006D5AC9">
                            <w:pPr>
                              <w:ind w:left="709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B3C34A" w14:textId="77777777" w:rsidR="00A15DA0" w:rsidRDefault="00A15DA0" w:rsidP="006D5AC9">
                            <w:pPr>
                              <w:ind w:left="709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57C612" w14:textId="77777777" w:rsidR="00A15DA0" w:rsidRPr="0045375E" w:rsidRDefault="00A15DA0" w:rsidP="006D5AC9">
                            <w:pPr>
                              <w:ind w:left="709"/>
                              <w:rPr>
                                <w:rFonts w:asciiTheme="minorHAnsi" w:hAnsi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E828BAB" w14:textId="77777777" w:rsidR="00A15DA0" w:rsidRPr="00D34BA0" w:rsidRDefault="00A15DA0" w:rsidP="00D34BA0">
                            <w:pPr>
                              <w:rPr>
                                <w:rFonts w:asciiTheme="minorHAnsi" w:hAnsiTheme="minorHAnsi"/>
                                <w:bCs/>
                              </w:rPr>
                            </w:pPr>
                          </w:p>
                          <w:p w14:paraId="40B181A0" w14:textId="77777777" w:rsidR="00A15DA0" w:rsidRDefault="00A15DA0" w:rsidP="00BA308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4E6C852" w14:textId="77777777" w:rsidR="00A15DA0" w:rsidRDefault="00A15DA0" w:rsidP="00BA308D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9FE328" w14:textId="77777777" w:rsidR="00A15DA0" w:rsidRPr="009F1447" w:rsidRDefault="00A15DA0" w:rsidP="00BA30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460.05pt;height:13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">
                <v:textbox>
                  <w:txbxContent>
                    <w:p w14:paraId="330E2ABD" w14:textId="709F7092" w:rsidR="00A15DA0" w:rsidRPr="006B1283" w:rsidRDefault="00A15DA0" w:rsidP="00753404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</w:pPr>
                      <w:r w:rsidRPr="006B1283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  <w:t>Acciones solicitadas:</w:t>
                      </w:r>
                    </w:p>
                    <w:p w14:paraId="002B3480" w14:textId="77777777" w:rsidR="00A15DA0" w:rsidRPr="006B1283" w:rsidRDefault="00A15DA0" w:rsidP="00753404">
                      <w:pP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7E249826" w14:textId="393EA66E" w:rsidR="00A15DA0" w:rsidRPr="006B1283" w:rsidRDefault="00A15DA0" w:rsidP="0075340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  <w:r w:rsidRPr="006B1283"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  <w:t>Se invita al Comité Permanente a hacer lo siguiente:</w:t>
                      </w:r>
                    </w:p>
                    <w:p w14:paraId="2CD87041" w14:textId="77777777" w:rsidR="00A15DA0" w:rsidRPr="006B1283" w:rsidRDefault="00A15DA0" w:rsidP="00753404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418A69DB" w14:textId="113158EB" w:rsidR="00A15DA0" w:rsidRPr="006B1283" w:rsidRDefault="00A15DA0" w:rsidP="009E19D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left"/>
                        <w:rPr>
                          <w:rFonts w:asciiTheme="minorHAnsi" w:hAnsiTheme="minorHAnsi" w:cstheme="minorHAnsi"/>
                          <w:bCs/>
                          <w:lang w:val="es-ES_tradnl"/>
                        </w:rPr>
                      </w:pPr>
                      <w:r w:rsidRPr="006B1283">
                        <w:rPr>
                          <w:rFonts w:asciiTheme="minorHAnsi" w:hAnsiTheme="minorHAnsi"/>
                          <w:lang w:val="es-ES_tradnl"/>
                        </w:rPr>
                        <w:t xml:space="preserve">tomar nota del examen sobre el estado de los grupos de trabajo del Comité Permanente durante </w:t>
                      </w:r>
                      <w:r>
                        <w:rPr>
                          <w:rFonts w:asciiTheme="minorHAnsi" w:hAnsiTheme="minorHAnsi"/>
                          <w:lang w:val="es-ES_tradnl"/>
                        </w:rPr>
                        <w:t xml:space="preserve">el período </w:t>
                      </w:r>
                      <w:r w:rsidRPr="006B1283">
                        <w:rPr>
                          <w:rFonts w:asciiTheme="minorHAnsi" w:hAnsiTheme="minorHAnsi"/>
                          <w:lang w:val="es-ES_tradnl"/>
                        </w:rPr>
                        <w:t xml:space="preserve">2016-2018; y </w:t>
                      </w:r>
                    </w:p>
                    <w:p w14:paraId="1B5FAE61" w14:textId="77777777" w:rsidR="00A15DA0" w:rsidRPr="006B1283" w:rsidRDefault="00A15DA0" w:rsidP="00753404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es-ES_tradnl"/>
                        </w:rPr>
                      </w:pPr>
                    </w:p>
                    <w:p w14:paraId="4940F8BB" w14:textId="6DA6397B" w:rsidR="00A15DA0" w:rsidRPr="006B1283" w:rsidRDefault="00A15DA0" w:rsidP="007B4994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uppressAutoHyphens/>
                        <w:jc w:val="left"/>
                        <w:rPr>
                          <w:rFonts w:asciiTheme="minorHAnsi" w:hAnsiTheme="minorHAnsi"/>
                          <w:lang w:val="es-ES_tradnl"/>
                        </w:rPr>
                      </w:pPr>
                      <w:r w:rsidRPr="006B1283">
                        <w:rPr>
                          <w:rFonts w:asciiTheme="minorHAnsi" w:hAnsiTheme="minorHAnsi" w:cstheme="minorHAnsi"/>
                          <w:bCs/>
                          <w:lang w:val="es-ES_tradnl"/>
                        </w:rPr>
                        <w:t xml:space="preserve">confirmar y completar el estado de los distintos grupos según proceda. </w:t>
                      </w:r>
                    </w:p>
                    <w:p w14:paraId="1115381A" w14:textId="757F567D" w:rsidR="00A15DA0" w:rsidRDefault="00A15DA0" w:rsidP="00AB2DFF">
                      <w:pPr>
                        <w:pStyle w:val="Default"/>
                        <w:ind w:left="36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14:paraId="5FC9EA37" w14:textId="77777777" w:rsidR="00A15DA0" w:rsidRPr="00AB2DFF" w:rsidRDefault="00A15DA0" w:rsidP="00AB2DFF">
                      <w:pPr>
                        <w:ind w:left="360"/>
                        <w:rPr>
                          <w:rFonts w:asciiTheme="minorHAnsi" w:hAnsiTheme="minorHAnsi"/>
                          <w:bCs/>
                        </w:rPr>
                      </w:pPr>
                    </w:p>
                    <w:p w14:paraId="155698BA" w14:textId="77777777" w:rsidR="00A15DA0" w:rsidRDefault="00A15DA0" w:rsidP="006D5AC9">
                      <w:pPr>
                        <w:ind w:left="709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14:paraId="362DD889" w14:textId="77777777" w:rsidR="00A15DA0" w:rsidRDefault="00A15DA0" w:rsidP="006D5AC9">
                      <w:pPr>
                        <w:ind w:left="709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14:paraId="0E999347" w14:textId="77777777" w:rsidR="00A15DA0" w:rsidRDefault="00A15DA0" w:rsidP="006D5AC9">
                      <w:pPr>
                        <w:ind w:left="709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14:paraId="34B3C34A" w14:textId="77777777" w:rsidR="00A15DA0" w:rsidRDefault="00A15DA0" w:rsidP="006D5AC9">
                      <w:pPr>
                        <w:ind w:left="709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14:paraId="6F57C612" w14:textId="77777777" w:rsidR="00A15DA0" w:rsidRPr="0045375E" w:rsidRDefault="00A15DA0" w:rsidP="006D5AC9">
                      <w:pPr>
                        <w:ind w:left="709"/>
                        <w:rPr>
                          <w:rFonts w:asciiTheme="minorHAnsi" w:hAnsiTheme="minorHAnsi"/>
                          <w:bCs/>
                          <w:sz w:val="22"/>
                          <w:szCs w:val="22"/>
                        </w:rPr>
                      </w:pPr>
                    </w:p>
                    <w:p w14:paraId="5E828BAB" w14:textId="77777777" w:rsidR="00A15DA0" w:rsidRPr="00D34BA0" w:rsidRDefault="00A15DA0" w:rsidP="00D34BA0">
                      <w:pPr>
                        <w:rPr>
                          <w:rFonts w:asciiTheme="minorHAnsi" w:hAnsiTheme="minorHAnsi"/>
                          <w:bCs/>
                        </w:rPr>
                      </w:pPr>
                    </w:p>
                    <w:p w14:paraId="40B181A0" w14:textId="77777777" w:rsidR="00A15DA0" w:rsidRDefault="00A15DA0" w:rsidP="00BA308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4E6C852" w14:textId="77777777" w:rsidR="00A15DA0" w:rsidRDefault="00A15DA0" w:rsidP="00BA308D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49FE328" w14:textId="77777777" w:rsidR="00A15DA0" w:rsidRPr="009F1447" w:rsidRDefault="00A15DA0" w:rsidP="00BA30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7BFFFB" w14:textId="77777777" w:rsidR="00D94C75" w:rsidRPr="00F349AE" w:rsidRDefault="00D94C75" w:rsidP="009C09A7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p w14:paraId="53EDB33B" w14:textId="77777777" w:rsidR="00B9297A" w:rsidRPr="00F349AE" w:rsidRDefault="00B9297A" w:rsidP="009C09A7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</w:p>
    <w:p w14:paraId="3B180079" w14:textId="1FA6CA17" w:rsidR="00D94C75" w:rsidRPr="00F349AE" w:rsidRDefault="001F7413" w:rsidP="00536004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</w:pPr>
      <w:r w:rsidRPr="00F349AE">
        <w:rPr>
          <w:rFonts w:asciiTheme="minorHAnsi" w:eastAsiaTheme="minorHAnsi" w:hAnsiTheme="minorHAnsi" w:cs="Calibri-Bold"/>
          <w:b/>
          <w:bCs/>
          <w:sz w:val="22"/>
          <w:szCs w:val="22"/>
          <w:lang w:val="es-ES_tradnl" w:eastAsia="en-US"/>
        </w:rPr>
        <w:t>Antecedentes</w:t>
      </w:r>
    </w:p>
    <w:p w14:paraId="28459893" w14:textId="77777777" w:rsidR="00BE5EAD" w:rsidRPr="00F349AE" w:rsidRDefault="00BE5EAD" w:rsidP="00536004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szCs w:val="22"/>
          <w:lang w:val="es-ES_tradnl"/>
        </w:rPr>
      </w:pPr>
    </w:p>
    <w:p w14:paraId="653AC1FF" w14:textId="7F6C9C42" w:rsidR="00CD58C0" w:rsidRPr="00F349AE" w:rsidRDefault="00CF5131" w:rsidP="0004706C">
      <w:pPr>
        <w:pStyle w:val="ListParagraph"/>
        <w:numPr>
          <w:ilvl w:val="0"/>
          <w:numId w:val="1"/>
        </w:numPr>
        <w:suppressAutoHyphens/>
        <w:ind w:left="426" w:hanging="426"/>
        <w:jc w:val="left"/>
        <w:rPr>
          <w:rFonts w:asciiTheme="minorHAnsi" w:hAnsiTheme="minorHAnsi"/>
          <w:lang w:val="es-ES_tradnl"/>
        </w:rPr>
      </w:pPr>
      <w:r w:rsidRPr="00F349AE">
        <w:rPr>
          <w:rFonts w:asciiTheme="minorHAnsi" w:hAnsiTheme="minorHAnsi" w:cstheme="minorHAnsi"/>
          <w:bCs/>
          <w:lang w:val="es-ES_tradnl"/>
        </w:rPr>
        <w:t>La Secretaría ha examin</w:t>
      </w:r>
      <w:r w:rsidR="009527CC">
        <w:rPr>
          <w:rFonts w:asciiTheme="minorHAnsi" w:hAnsiTheme="minorHAnsi" w:cstheme="minorHAnsi"/>
          <w:bCs/>
          <w:lang w:val="es-ES_tradnl"/>
        </w:rPr>
        <w:t xml:space="preserve">ado las disposiciones sobre los </w:t>
      </w:r>
      <w:r w:rsidR="00663E06">
        <w:rPr>
          <w:rFonts w:asciiTheme="minorHAnsi" w:hAnsiTheme="minorHAnsi" w:cstheme="minorHAnsi"/>
          <w:bCs/>
          <w:lang w:val="es-ES_tradnl"/>
        </w:rPr>
        <w:t>grupos de trabajos establecido</w:t>
      </w:r>
      <w:r w:rsidRPr="00F349AE">
        <w:rPr>
          <w:rFonts w:asciiTheme="minorHAnsi" w:hAnsiTheme="minorHAnsi" w:cstheme="minorHAnsi"/>
          <w:bCs/>
          <w:lang w:val="es-ES_tradnl"/>
        </w:rPr>
        <w:t>s mediantes resoluciones de la COP y decisiones del Comité Permanente</w:t>
      </w:r>
      <w:r w:rsidR="00A15DA0">
        <w:rPr>
          <w:rFonts w:asciiTheme="minorHAnsi" w:hAnsiTheme="minorHAnsi" w:cstheme="minorHAnsi"/>
          <w:bCs/>
          <w:lang w:val="es-ES_tradnl"/>
        </w:rPr>
        <w:t xml:space="preserve"> (CP)</w:t>
      </w:r>
      <w:r w:rsidRPr="00F349AE">
        <w:rPr>
          <w:rFonts w:asciiTheme="minorHAnsi" w:hAnsiTheme="minorHAnsi" w:cstheme="minorHAnsi"/>
          <w:bCs/>
          <w:lang w:val="es-ES_tradnl"/>
        </w:rPr>
        <w:t xml:space="preserve"> </w:t>
      </w:r>
      <w:r w:rsidR="009527CC">
        <w:rPr>
          <w:rFonts w:asciiTheme="minorHAnsi" w:hAnsiTheme="minorHAnsi" w:cstheme="minorHAnsi"/>
          <w:bCs/>
          <w:lang w:val="es-ES_tradnl"/>
        </w:rPr>
        <w:t xml:space="preserve">a fin de </w:t>
      </w:r>
      <w:r w:rsidR="00663E06">
        <w:rPr>
          <w:rFonts w:asciiTheme="minorHAnsi" w:hAnsiTheme="minorHAnsi" w:cstheme="minorHAnsi"/>
          <w:bCs/>
          <w:lang w:val="es-ES_tradnl"/>
        </w:rPr>
        <w:t xml:space="preserve">realizar </w:t>
      </w:r>
      <w:r w:rsidRPr="00F349AE">
        <w:rPr>
          <w:rFonts w:asciiTheme="minorHAnsi" w:hAnsiTheme="minorHAnsi" w:cstheme="minorHAnsi"/>
          <w:bCs/>
          <w:lang w:val="es-ES_tradnl"/>
        </w:rPr>
        <w:t>sus actividades en el marco de la Convención. En el Anexo 1 se resumen los resultados</w:t>
      </w:r>
      <w:r w:rsidR="000D7DA1" w:rsidRPr="00F349AE">
        <w:rPr>
          <w:rFonts w:asciiTheme="minorHAnsi" w:hAnsiTheme="minorHAnsi" w:cstheme="minorHAnsi"/>
          <w:bCs/>
          <w:lang w:val="es-ES_tradnl"/>
        </w:rPr>
        <w:t>.</w:t>
      </w:r>
    </w:p>
    <w:p w14:paraId="6D372125" w14:textId="77777777" w:rsidR="00CD58C0" w:rsidRPr="00F349AE" w:rsidRDefault="00CD58C0" w:rsidP="00CD58C0">
      <w:pPr>
        <w:suppressAutoHyphens/>
        <w:rPr>
          <w:rFonts w:asciiTheme="minorHAnsi" w:hAnsiTheme="minorHAnsi"/>
          <w:lang w:val="es-ES_tradnl"/>
        </w:rPr>
      </w:pPr>
    </w:p>
    <w:p w14:paraId="3D784636" w14:textId="22FD7CF0" w:rsidR="00DA0157" w:rsidRPr="00F349AE" w:rsidRDefault="00CF5131" w:rsidP="0004706C">
      <w:pPr>
        <w:pStyle w:val="ListParagraph"/>
        <w:numPr>
          <w:ilvl w:val="0"/>
          <w:numId w:val="1"/>
        </w:numPr>
        <w:suppressAutoHyphens/>
        <w:ind w:left="426" w:hanging="426"/>
        <w:jc w:val="left"/>
        <w:rPr>
          <w:rFonts w:asciiTheme="minorHAnsi" w:hAnsiTheme="minorHAnsi"/>
          <w:lang w:val="es-ES_tradnl"/>
        </w:rPr>
      </w:pPr>
      <w:r w:rsidRPr="00F349AE">
        <w:rPr>
          <w:rFonts w:asciiTheme="minorHAnsi" w:hAnsiTheme="minorHAnsi" w:cstheme="minorHAnsi"/>
          <w:bCs/>
          <w:lang w:val="es-ES_tradnl"/>
        </w:rPr>
        <w:t xml:space="preserve">A partir del </w:t>
      </w:r>
      <w:r w:rsidR="00CB2E68">
        <w:rPr>
          <w:rFonts w:asciiTheme="minorHAnsi" w:hAnsiTheme="minorHAnsi" w:cstheme="minorHAnsi"/>
          <w:bCs/>
          <w:lang w:val="es-ES_tradnl"/>
        </w:rPr>
        <w:t>examen, la Secretaría ha observado</w:t>
      </w:r>
      <w:r w:rsidRPr="00F349AE">
        <w:rPr>
          <w:rFonts w:asciiTheme="minorHAnsi" w:hAnsiTheme="minorHAnsi" w:cstheme="minorHAnsi"/>
          <w:bCs/>
          <w:lang w:val="es-ES_tradnl"/>
        </w:rPr>
        <w:t xml:space="preserve"> que algunos grupos no disponen </w:t>
      </w:r>
      <w:r w:rsidR="00CB2E68">
        <w:rPr>
          <w:rFonts w:asciiTheme="minorHAnsi" w:hAnsiTheme="minorHAnsi" w:cstheme="minorHAnsi"/>
          <w:bCs/>
          <w:lang w:val="es-ES_tradnl"/>
        </w:rPr>
        <w:t xml:space="preserve">de información clara sobre los procedimientos a seguir en materia </w:t>
      </w:r>
      <w:r w:rsidRPr="00F349AE">
        <w:rPr>
          <w:rFonts w:asciiTheme="minorHAnsi" w:hAnsiTheme="minorHAnsi" w:cstheme="minorHAnsi"/>
          <w:bCs/>
          <w:lang w:val="es-ES_tradnl"/>
        </w:rPr>
        <w:t xml:space="preserve">de presentación de informes </w:t>
      </w:r>
      <w:r w:rsidR="004255E3">
        <w:rPr>
          <w:rFonts w:asciiTheme="minorHAnsi" w:hAnsiTheme="minorHAnsi" w:cstheme="minorHAnsi"/>
          <w:bCs/>
          <w:lang w:val="es-ES_tradnl"/>
        </w:rPr>
        <w:t xml:space="preserve">ni sobre </w:t>
      </w:r>
      <w:r w:rsidRPr="00F349AE">
        <w:rPr>
          <w:rFonts w:asciiTheme="minorHAnsi" w:hAnsiTheme="minorHAnsi" w:cstheme="minorHAnsi"/>
          <w:bCs/>
          <w:lang w:val="es-ES_tradnl"/>
        </w:rPr>
        <w:t>su duración.</w:t>
      </w:r>
    </w:p>
    <w:p w14:paraId="554F6C2D" w14:textId="77777777" w:rsidR="00DA0157" w:rsidRPr="00F349AE" w:rsidRDefault="00DA0157" w:rsidP="00DA0157">
      <w:pPr>
        <w:pStyle w:val="ListParagraph"/>
        <w:rPr>
          <w:rFonts w:asciiTheme="minorHAnsi" w:hAnsiTheme="minorHAnsi" w:cstheme="minorHAnsi"/>
          <w:bCs/>
          <w:lang w:val="es-ES_tradnl"/>
        </w:rPr>
      </w:pPr>
    </w:p>
    <w:p w14:paraId="45BA57E7" w14:textId="1CD6A574" w:rsidR="00244E71" w:rsidRPr="00F349AE" w:rsidRDefault="00CF5131" w:rsidP="00146141">
      <w:pPr>
        <w:pStyle w:val="ListParagraph"/>
        <w:numPr>
          <w:ilvl w:val="0"/>
          <w:numId w:val="1"/>
        </w:numPr>
        <w:suppressAutoHyphens/>
        <w:ind w:left="426" w:hanging="426"/>
        <w:jc w:val="left"/>
        <w:rPr>
          <w:lang w:val="es-ES_tradnl"/>
        </w:rPr>
      </w:pPr>
      <w:r w:rsidRPr="00F349AE">
        <w:rPr>
          <w:rFonts w:asciiTheme="minorHAnsi" w:hAnsiTheme="minorHAnsi" w:cstheme="minorHAnsi"/>
          <w:bCs/>
          <w:lang w:val="es-ES_tradnl"/>
        </w:rPr>
        <w:t xml:space="preserve">En consonancia, la Secretaría </w:t>
      </w:r>
      <w:r w:rsidR="006B1283" w:rsidRPr="00F349AE">
        <w:rPr>
          <w:rFonts w:asciiTheme="minorHAnsi" w:hAnsiTheme="minorHAnsi" w:cstheme="minorHAnsi"/>
          <w:bCs/>
          <w:lang w:val="es-ES_tradnl"/>
        </w:rPr>
        <w:t>invita</w:t>
      </w:r>
      <w:r w:rsidRPr="00F349AE">
        <w:rPr>
          <w:rFonts w:asciiTheme="minorHAnsi" w:hAnsiTheme="minorHAnsi" w:cstheme="minorHAnsi"/>
          <w:bCs/>
          <w:lang w:val="es-ES_tradnl"/>
        </w:rPr>
        <w:t xml:space="preserve"> al Comité Permanente a confirmar y completar el estado de los grupos y aportar las orientaciones adicionales oportunas para </w:t>
      </w:r>
      <w:r w:rsidR="006B1283" w:rsidRPr="00F349AE">
        <w:rPr>
          <w:rFonts w:asciiTheme="minorHAnsi" w:hAnsiTheme="minorHAnsi" w:cstheme="minorHAnsi"/>
          <w:bCs/>
          <w:lang w:val="es-ES_tradnl"/>
        </w:rPr>
        <w:t>garantizar</w:t>
      </w:r>
      <w:r w:rsidRPr="00F349AE">
        <w:rPr>
          <w:rFonts w:asciiTheme="minorHAnsi" w:hAnsiTheme="minorHAnsi" w:cstheme="minorHAnsi"/>
          <w:bCs/>
          <w:lang w:val="es-ES_tradnl"/>
        </w:rPr>
        <w:t xml:space="preserve"> que exista una total claridad sobre el </w:t>
      </w:r>
      <w:r w:rsidR="006B1283" w:rsidRPr="00F349AE">
        <w:rPr>
          <w:rFonts w:asciiTheme="minorHAnsi" w:hAnsiTheme="minorHAnsi" w:cstheme="minorHAnsi"/>
          <w:bCs/>
          <w:lang w:val="es-ES_tradnl"/>
        </w:rPr>
        <w:t>funcionamiento</w:t>
      </w:r>
      <w:r w:rsidRPr="00F349AE">
        <w:rPr>
          <w:rFonts w:asciiTheme="minorHAnsi" w:hAnsiTheme="minorHAnsi" w:cstheme="minorHAnsi"/>
          <w:bCs/>
          <w:lang w:val="es-ES_tradnl"/>
        </w:rPr>
        <w:t xml:space="preserve"> de esos mecanismos de la Convención.</w:t>
      </w:r>
    </w:p>
    <w:p w14:paraId="2DBF6681" w14:textId="77777777" w:rsidR="00FE1B86" w:rsidRPr="00F349AE" w:rsidRDefault="00FE1B86" w:rsidP="00244E71">
      <w:pPr>
        <w:jc w:val="center"/>
        <w:rPr>
          <w:rFonts w:asciiTheme="minorHAnsi" w:hAnsiTheme="minorHAnsi" w:cs="Calibri"/>
          <w:b/>
          <w:sz w:val="20"/>
          <w:szCs w:val="20"/>
          <w:lang w:val="es-ES_tradnl"/>
        </w:rPr>
        <w:sectPr w:rsidR="00FE1B86" w:rsidRPr="00F349AE" w:rsidSect="005E00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09D75E8" w14:textId="0E3C089A" w:rsidR="0064410B" w:rsidRPr="00F349AE" w:rsidRDefault="0064410B" w:rsidP="0064410B">
      <w:pPr>
        <w:tabs>
          <w:tab w:val="left" w:pos="1335"/>
        </w:tabs>
        <w:rPr>
          <w:rFonts w:asciiTheme="minorHAnsi" w:hAnsiTheme="minorHAnsi" w:cstheme="minorHAnsi"/>
          <w:b/>
          <w:bCs/>
          <w:lang w:val="es-ES_tradnl"/>
        </w:rPr>
      </w:pPr>
      <w:r w:rsidRPr="00F349AE">
        <w:rPr>
          <w:rFonts w:asciiTheme="minorHAnsi" w:hAnsiTheme="minorHAnsi" w:cstheme="minorHAnsi"/>
          <w:b/>
          <w:bCs/>
          <w:lang w:val="es-ES_tradnl"/>
        </w:rPr>
        <w:lastRenderedPageBreak/>
        <w:t>A</w:t>
      </w:r>
      <w:r w:rsidR="00CF5131" w:rsidRPr="00F349AE">
        <w:rPr>
          <w:rFonts w:asciiTheme="minorHAnsi" w:hAnsiTheme="minorHAnsi" w:cstheme="minorHAnsi"/>
          <w:b/>
          <w:bCs/>
          <w:lang w:val="es-ES_tradnl"/>
        </w:rPr>
        <w:t>nexo</w:t>
      </w:r>
      <w:r w:rsidRPr="00F349AE">
        <w:rPr>
          <w:rFonts w:asciiTheme="minorHAnsi" w:hAnsiTheme="minorHAnsi" w:cstheme="minorHAnsi"/>
          <w:b/>
          <w:bCs/>
          <w:lang w:val="es-ES_tradnl"/>
        </w:rPr>
        <w:t xml:space="preserve"> 1 </w:t>
      </w:r>
      <w:r w:rsidRPr="00F349AE">
        <w:rPr>
          <w:rFonts w:asciiTheme="minorHAnsi" w:hAnsiTheme="minorHAnsi" w:cstheme="minorHAnsi"/>
          <w:b/>
          <w:bCs/>
          <w:lang w:val="es-ES_tradnl"/>
        </w:rPr>
        <w:tab/>
      </w:r>
    </w:p>
    <w:p w14:paraId="49DD1FB7" w14:textId="51018871" w:rsidR="00244E71" w:rsidRPr="00F349AE" w:rsidRDefault="00CF5131" w:rsidP="0064410B">
      <w:pPr>
        <w:rPr>
          <w:rFonts w:asciiTheme="minorHAnsi" w:hAnsiTheme="minorHAnsi" w:cs="Calibri"/>
          <w:b/>
          <w:lang w:val="es-ES_tradnl"/>
        </w:rPr>
      </w:pPr>
      <w:r w:rsidRPr="00F349AE">
        <w:rPr>
          <w:rFonts w:asciiTheme="minorHAnsi" w:hAnsiTheme="minorHAnsi" w:cs="Calibri"/>
          <w:b/>
          <w:lang w:val="es-ES_tradnl"/>
        </w:rPr>
        <w:t>Grupos de trabajo del Comité Permanente durante</w:t>
      </w:r>
      <w:r w:rsidR="00244E71" w:rsidRPr="00F349AE">
        <w:rPr>
          <w:rFonts w:asciiTheme="minorHAnsi" w:hAnsiTheme="minorHAnsi" w:cs="Calibri"/>
          <w:b/>
          <w:lang w:val="es-ES_tradnl"/>
        </w:rPr>
        <w:t xml:space="preserve"> </w:t>
      </w:r>
      <w:r w:rsidR="004255E3">
        <w:rPr>
          <w:rFonts w:asciiTheme="minorHAnsi" w:hAnsiTheme="minorHAnsi" w:cs="Calibri"/>
          <w:b/>
          <w:lang w:val="es-ES_tradnl"/>
        </w:rPr>
        <w:t xml:space="preserve">el período </w:t>
      </w:r>
      <w:r w:rsidR="00244E71" w:rsidRPr="00F349AE">
        <w:rPr>
          <w:rFonts w:asciiTheme="minorHAnsi" w:hAnsiTheme="minorHAnsi" w:cs="Calibri"/>
          <w:b/>
          <w:lang w:val="es-ES_tradnl"/>
        </w:rPr>
        <w:t>2016-2018</w:t>
      </w:r>
    </w:p>
    <w:p w14:paraId="51ECA87A" w14:textId="77777777" w:rsidR="00244E71" w:rsidRPr="00F349AE" w:rsidRDefault="00244E71" w:rsidP="00244E71">
      <w:pPr>
        <w:ind w:left="567" w:hanging="567"/>
        <w:rPr>
          <w:rFonts w:asciiTheme="minorHAnsi" w:hAnsiTheme="minorHAnsi" w:cs="Calibri"/>
          <w:sz w:val="20"/>
          <w:szCs w:val="20"/>
          <w:lang w:val="es-ES_tradnl"/>
        </w:rPr>
      </w:pPr>
    </w:p>
    <w:tbl>
      <w:tblPr>
        <w:tblW w:w="1416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4320"/>
        <w:gridCol w:w="3120"/>
        <w:gridCol w:w="1720"/>
        <w:gridCol w:w="1720"/>
        <w:gridCol w:w="1720"/>
      </w:tblGrid>
      <w:tr w:rsidR="00F922E5" w:rsidRPr="00F349AE" w14:paraId="613CE832" w14:textId="215BD22C" w:rsidTr="00F922E5">
        <w:trPr>
          <w:cantSplit/>
          <w:tblHeader/>
        </w:trPr>
        <w:tc>
          <w:tcPr>
            <w:tcW w:w="1560" w:type="dxa"/>
          </w:tcPr>
          <w:p w14:paraId="7F084308" w14:textId="5C6376C5" w:rsidR="007B4994" w:rsidRPr="00F349AE" w:rsidRDefault="00CF5131" w:rsidP="00CF513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Grupo o subgrupo de trabajo</w:t>
            </w:r>
          </w:p>
        </w:tc>
        <w:tc>
          <w:tcPr>
            <w:tcW w:w="4320" w:type="dxa"/>
          </w:tcPr>
          <w:p w14:paraId="7B008DA0" w14:textId="2897E12B" w:rsidR="007B4994" w:rsidRPr="00F349AE" w:rsidRDefault="00CF5131" w:rsidP="00CF513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Resolución de la COP / Decisión del CP</w:t>
            </w:r>
          </w:p>
        </w:tc>
        <w:tc>
          <w:tcPr>
            <w:tcW w:w="3120" w:type="dxa"/>
          </w:tcPr>
          <w:p w14:paraId="5F463FEA" w14:textId="4B8DB9F3" w:rsidR="007B4994" w:rsidRPr="00F349AE" w:rsidRDefault="007B4994" w:rsidP="00CF513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Composi</w:t>
            </w:r>
            <w:r w:rsidR="00CF5131" w:rsidRPr="00F349AE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ción</w:t>
            </w:r>
            <w:r w:rsidRPr="00F349AE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720" w:type="dxa"/>
          </w:tcPr>
          <w:p w14:paraId="250ED98A" w14:textId="0828FF4D" w:rsidR="007B4994" w:rsidRPr="00F349AE" w:rsidRDefault="00CF5131" w:rsidP="00CF513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Presentación de informes a</w:t>
            </w:r>
          </w:p>
        </w:tc>
        <w:tc>
          <w:tcPr>
            <w:tcW w:w="1720" w:type="dxa"/>
          </w:tcPr>
          <w:p w14:paraId="45BC3B54" w14:textId="133D5FAD" w:rsidR="007B4994" w:rsidRPr="00F349AE" w:rsidRDefault="00CF5131" w:rsidP="00CF513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Plazo</w:t>
            </w:r>
          </w:p>
        </w:tc>
        <w:tc>
          <w:tcPr>
            <w:tcW w:w="1720" w:type="dxa"/>
          </w:tcPr>
          <w:p w14:paraId="5A9AAF4F" w14:textId="49C9E306" w:rsidR="007B4994" w:rsidRPr="00F349AE" w:rsidRDefault="007B4994" w:rsidP="00CF5131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Ac</w:t>
            </w:r>
            <w:r w:rsidR="00CF5131" w:rsidRPr="00F349AE"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  <w:t>ción</w:t>
            </w:r>
          </w:p>
        </w:tc>
      </w:tr>
      <w:tr w:rsidR="0064410B" w:rsidRPr="00F349AE" w14:paraId="2F6E0F78" w14:textId="7B4454EB" w:rsidTr="00F922E5">
        <w:trPr>
          <w:cantSplit/>
        </w:trPr>
        <w:tc>
          <w:tcPr>
            <w:tcW w:w="1560" w:type="dxa"/>
            <w:vMerge w:val="restart"/>
          </w:tcPr>
          <w:p w14:paraId="78A4A878" w14:textId="1A86BF9D" w:rsidR="0064410B" w:rsidRPr="00F349AE" w:rsidRDefault="00CF5131" w:rsidP="00CF5131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para supervisar la aplicación de la CECoP</w:t>
            </w:r>
            <w:r w:rsidR="0064410B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320" w:type="dxa"/>
          </w:tcPr>
          <w:p w14:paraId="2C0AA861" w14:textId="5D37AA6F" w:rsidR="0064410B" w:rsidRPr="00F349AE" w:rsidRDefault="00CF5131" w:rsidP="00CF5131">
            <w:pPr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Párrafo</w:t>
            </w:r>
            <w:r w:rsidR="0064410B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9 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de la Resolución </w:t>
            </w:r>
            <w:r w:rsidR="0064410B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XII.9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64410B" w:rsidRPr="00F349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 xml:space="preserve">Programa de la Convención de </w:t>
            </w:r>
            <w:r w:rsidR="0064410B"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 xml:space="preserve">Ramsar </w:t>
            </w:r>
            <w:r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 xml:space="preserve">sobre comunicación, fomento de capacidad, educación, concienciación y participación (CECoP) para </w:t>
            </w:r>
            <w:r w:rsidR="0064410B"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2016-2024</w:t>
            </w:r>
            <w:r w:rsidR="0064410B" w:rsidRPr="00F349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.</w:t>
            </w:r>
            <w:r w:rsidR="00146141" w:rsidRPr="00F349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3120" w:type="dxa"/>
            <w:vMerge w:val="restart"/>
          </w:tcPr>
          <w:p w14:paraId="2FEA6A67" w14:textId="1D5F9E6A" w:rsidR="0064410B" w:rsidRPr="00F349AE" w:rsidRDefault="00917735" w:rsidP="00E20766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Estados Unidos de América, </w:t>
            </w:r>
            <w:r w:rsidR="0064410B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Honduras, Kenya, </w:t>
            </w: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Rumania, </w:t>
            </w:r>
            <w:r w:rsidR="00A15DA0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República Democrática del Congo</w:t>
            </w:r>
            <w:r w:rsidR="00A15DA0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y Seychelles</w:t>
            </w:r>
          </w:p>
          <w:p w14:paraId="4F00D11A" w14:textId="77777777" w:rsidR="0064410B" w:rsidRPr="00F349AE" w:rsidRDefault="0064410B" w:rsidP="00E20766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</w:p>
          <w:p w14:paraId="7D36212A" w14:textId="4E8C7E28" w:rsidR="0064410B" w:rsidRPr="00F349AE" w:rsidRDefault="00917735" w:rsidP="00E20766">
            <w:pPr>
              <w:widowControl w:val="0"/>
              <w:suppressAutoHyphens/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Presidencia:</w:t>
            </w:r>
            <w:r w:rsidR="0064410B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</w:t>
            </w: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Sudáfrica</w:t>
            </w:r>
          </w:p>
        </w:tc>
        <w:tc>
          <w:tcPr>
            <w:tcW w:w="1720" w:type="dxa"/>
            <w:vMerge w:val="restart"/>
          </w:tcPr>
          <w:p w14:paraId="20A333C8" w14:textId="04B387B7" w:rsidR="0064410B" w:rsidRPr="00A15DA0" w:rsidRDefault="00917735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A15DA0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Grupo de Trabajo Administrativo </w:t>
            </w:r>
            <w:r w:rsidR="00A15DA0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(GTA) </w:t>
            </w:r>
            <w:r w:rsidRPr="00A15DA0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en cada reunión del CP</w:t>
            </w:r>
            <w:r w:rsidR="0064410B" w:rsidRPr="00A15DA0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</w:p>
          <w:p w14:paraId="30064C4F" w14:textId="77777777" w:rsidR="0064410B" w:rsidRPr="00F349AE" w:rsidRDefault="0064410B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7CAA4591" w14:textId="77777777" w:rsidR="0064410B" w:rsidRPr="00F349AE" w:rsidRDefault="0064410B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COP13</w:t>
            </w:r>
          </w:p>
        </w:tc>
        <w:tc>
          <w:tcPr>
            <w:tcW w:w="1720" w:type="dxa"/>
            <w:vMerge w:val="restart"/>
          </w:tcPr>
          <w:p w14:paraId="2B3BC7D5" w14:textId="355DE078" w:rsidR="0064410B" w:rsidRPr="00F349AE" w:rsidRDefault="00917735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Indefinido</w:t>
            </w:r>
          </w:p>
        </w:tc>
        <w:tc>
          <w:tcPr>
            <w:tcW w:w="1720" w:type="dxa"/>
            <w:vMerge w:val="restart"/>
          </w:tcPr>
          <w:p w14:paraId="077AB8CE" w14:textId="77777777" w:rsidR="0064410B" w:rsidRPr="00F349AE" w:rsidRDefault="0064410B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64410B" w:rsidRPr="00F349AE" w14:paraId="2886C88F" w14:textId="77777777" w:rsidTr="00F922E5">
        <w:trPr>
          <w:cantSplit/>
        </w:trPr>
        <w:tc>
          <w:tcPr>
            <w:tcW w:w="1560" w:type="dxa"/>
            <w:vMerge/>
          </w:tcPr>
          <w:p w14:paraId="71562843" w14:textId="77777777" w:rsidR="0064410B" w:rsidRPr="00F349AE" w:rsidRDefault="0064410B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4320" w:type="dxa"/>
          </w:tcPr>
          <w:p w14:paraId="1153843C" w14:textId="2F8B034E" w:rsidR="0064410B" w:rsidRPr="00F349AE" w:rsidRDefault="006B1283" w:rsidP="00917735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Decisión</w:t>
            </w:r>
            <w:r w:rsidR="0064410B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SC50-8: </w:t>
            </w:r>
            <w:r w:rsidR="0064410B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“</w:t>
            </w:r>
            <w:r w:rsidR="00CF5131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El Comité Permanente</w:t>
            </w:r>
            <w:r w:rsidR="0064410B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917735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acordó establecer un grupo de trabajo para supervisar la </w:t>
            </w: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aplicación</w:t>
            </w:r>
            <w:r w:rsidR="00917735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de la CECoP y un grupo de trabajo para mejorar los instrumentos existentes de manejo entre la UICN, el Comité </w:t>
            </w:r>
            <w:r w:rsidR="00CF5131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Permanente</w:t>
            </w:r>
            <w:r w:rsidR="0064410B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917735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y el Secretario </w:t>
            </w:r>
            <w:r w:rsidR="0064410B" w:rsidRPr="004255E3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General</w:t>
            </w:r>
            <w:r w:rsidR="004255E3" w:rsidRPr="004255E3">
              <w:rPr>
                <w:rFonts w:asciiTheme="minorHAnsi" w:hAnsiTheme="minorHAnsi"/>
                <w:sz w:val="20"/>
                <w:szCs w:val="20"/>
                <w:lang w:val="es-ES_tradnl"/>
              </w:rPr>
              <w:t>”.</w:t>
            </w:r>
          </w:p>
        </w:tc>
        <w:tc>
          <w:tcPr>
            <w:tcW w:w="3120" w:type="dxa"/>
            <w:vMerge/>
          </w:tcPr>
          <w:p w14:paraId="4C04A8DE" w14:textId="77777777" w:rsidR="0064410B" w:rsidRPr="00F349AE" w:rsidRDefault="0064410B" w:rsidP="00E207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69CF39E4" w14:textId="77777777" w:rsidR="0064410B" w:rsidRPr="00F349AE" w:rsidRDefault="0064410B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4DECD996" w14:textId="77777777" w:rsidR="0064410B" w:rsidRPr="00F349AE" w:rsidRDefault="0064410B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12642FB4" w14:textId="77777777" w:rsidR="0064410B" w:rsidRPr="00F349AE" w:rsidRDefault="0064410B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F922E5" w:rsidRPr="00F349AE" w14:paraId="17F6C360" w14:textId="0A106D03" w:rsidTr="00F922E5">
        <w:trPr>
          <w:cantSplit/>
        </w:trPr>
        <w:tc>
          <w:tcPr>
            <w:tcW w:w="1560" w:type="dxa"/>
          </w:tcPr>
          <w:p w14:paraId="2C54474F" w14:textId="436CBE02" w:rsidR="007B4994" w:rsidRPr="00F349AE" w:rsidRDefault="00917735" w:rsidP="00917735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Supervisión de las actividades de CECoP</w:t>
            </w:r>
          </w:p>
        </w:tc>
        <w:tc>
          <w:tcPr>
            <w:tcW w:w="4320" w:type="dxa"/>
          </w:tcPr>
          <w:p w14:paraId="38407DF0" w14:textId="6860FBE5" w:rsidR="007B4994" w:rsidRPr="00F349AE" w:rsidRDefault="0064410B" w:rsidP="00917735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Resolu</w:t>
            </w:r>
            <w:r w:rsidR="00917735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ción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7B499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IX.18</w:t>
            </w:r>
            <w:r w:rsidR="00917735" w:rsidRPr="00F349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, </w:t>
            </w:r>
            <w:r w:rsidR="00917735"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Creación de un Grupo de supervisión de las actividades de CECoP de la Convención</w:t>
            </w:r>
            <w:r w:rsidR="007B4994" w:rsidRPr="00F349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120" w:type="dxa"/>
          </w:tcPr>
          <w:p w14:paraId="069EAC4E" w14:textId="77777777" w:rsidR="00A15DA0" w:rsidRDefault="007B4994" w:rsidP="00E207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Australia, </w:t>
            </w:r>
            <w:r w:rsidR="004E2C96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Finland</w:t>
            </w:r>
            <w:r w:rsidR="00A15DA0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ia,</w:t>
            </w:r>
            <w:r w:rsidR="00917735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Lesotho</w:t>
            </w:r>
            <w:r w:rsidR="004E2C96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A15DA0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y </w:t>
            </w:r>
            <w:r w:rsidR="004E2C96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Senegal.</w:t>
            </w: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</w:t>
            </w:r>
          </w:p>
          <w:p w14:paraId="1D2C2AAB" w14:textId="1044DE04" w:rsidR="007B4994" w:rsidRPr="00F349AE" w:rsidRDefault="00917735" w:rsidP="00E207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</w:pPr>
            <w:r w:rsidRPr="00A15DA0"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  <w:t>Coord. Nac. no gubernamentales de CECoP:</w:t>
            </w: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Australia y</w:t>
            </w:r>
            <w:r w:rsidR="007B4994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Myanmar.</w:t>
            </w:r>
          </w:p>
          <w:p w14:paraId="426DAABA" w14:textId="12D52894" w:rsidR="007B4994" w:rsidRPr="00F349AE" w:rsidRDefault="00917735" w:rsidP="00E207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Experto en CECoP del GECT</w:t>
            </w:r>
            <w:r w:rsidR="007B4994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:</w:t>
            </w: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="006B1283" w:rsidRPr="00A15DA0"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  <w:t>Responsable</w:t>
            </w: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de Comunicaciones de Ramsar </w:t>
            </w:r>
            <w:r w:rsidR="007B4994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(</w:t>
            </w: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designado con arreglo a la Resolución </w:t>
            </w:r>
            <w:r w:rsidR="007B4994" w:rsidRPr="00F349AE"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  <w:t>XII.5</w:t>
            </w:r>
            <w:r w:rsidR="007B4994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, </w:t>
            </w: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Anexo</w:t>
            </w:r>
            <w:r w:rsidR="007B4994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1, </w:t>
            </w: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p</w:t>
            </w:r>
            <w:r w:rsidR="00CF5131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árrafo</w:t>
            </w:r>
            <w:r w:rsidR="007B4994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6)</w:t>
            </w:r>
            <w:r w:rsidR="0064410B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.</w:t>
            </w:r>
          </w:p>
          <w:p w14:paraId="043B7BCA" w14:textId="54B400DC" w:rsidR="007B4994" w:rsidRPr="00F349AE" w:rsidRDefault="00917735" w:rsidP="00E207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Representante de las OIA</w:t>
            </w:r>
            <w:r w:rsidR="007B4994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: Wildfowl and Wetlands Trust (WWT)</w:t>
            </w:r>
            <w:r w:rsidR="0064410B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.</w:t>
            </w:r>
          </w:p>
          <w:p w14:paraId="79089C2B" w14:textId="1FC6B27D" w:rsidR="007B4994" w:rsidRPr="00A15DA0" w:rsidRDefault="00917735" w:rsidP="00E207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Representante de los Centros </w:t>
            </w:r>
            <w:r w:rsidR="006B1283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Regionales</w:t>
            </w: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de Ramsar</w:t>
            </w:r>
            <w:r w:rsidR="007B4994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: </w:t>
            </w: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Centro Regional Ramsar para la Capacitación e Investigación sobre Humedales en el Hemisferio </w:t>
            </w:r>
            <w:r w:rsidRPr="00A15DA0"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  <w:t>Occidental</w:t>
            </w:r>
            <w:r w:rsidR="007B4994" w:rsidRPr="00A15DA0"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  <w:t xml:space="preserve"> (CREHO)</w:t>
            </w:r>
            <w:r w:rsidR="0064410B" w:rsidRPr="00A15DA0"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  <w:t>.</w:t>
            </w:r>
          </w:p>
          <w:p w14:paraId="5A5C08C4" w14:textId="59A3D180" w:rsidR="007B4994" w:rsidRPr="00F349AE" w:rsidRDefault="007B4994" w:rsidP="00E207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</w:pPr>
            <w:r w:rsidRPr="00A15DA0"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  <w:t>Vice</w:t>
            </w:r>
            <w:r w:rsidR="00917735" w:rsidRPr="00A15DA0"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  <w:t>presiden</w:t>
            </w:r>
            <w:r w:rsidR="00A15DA0" w:rsidRPr="00A15DA0"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  <w:t>cia</w:t>
            </w:r>
            <w:r w:rsidR="00917735" w:rsidRPr="00A15DA0">
              <w:rPr>
                <w:rFonts w:asciiTheme="minorHAnsi" w:eastAsiaTheme="minorHAnsi" w:hAnsiTheme="minorHAnsi" w:cs="Calibri"/>
                <w:sz w:val="20"/>
                <w:szCs w:val="20"/>
                <w:lang w:val="es-ES_tradnl"/>
              </w:rPr>
              <w:t xml:space="preserve"> del</w:t>
            </w:r>
            <w:r w:rsidR="00917735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GECT.</w:t>
            </w:r>
          </w:p>
          <w:p w14:paraId="17C93DD1" w14:textId="77777777" w:rsidR="007B4994" w:rsidRPr="00F349AE" w:rsidRDefault="007B4994" w:rsidP="00E207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</w:pPr>
          </w:p>
          <w:p w14:paraId="1E554302" w14:textId="2AB15F79" w:rsidR="007B4994" w:rsidRPr="00F349AE" w:rsidRDefault="00917735" w:rsidP="00E20766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Presidencia:</w:t>
            </w:r>
            <w:r w:rsidR="007B4994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Australia (</w:t>
            </w: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Vicepresidencia</w:t>
            </w:r>
            <w:r w:rsidR="007B4994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 xml:space="preserve"> </w:t>
            </w:r>
            <w:r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del CP</w:t>
            </w:r>
            <w:r w:rsidR="007B4994" w:rsidRPr="00F349AE">
              <w:rPr>
                <w:rFonts w:asciiTheme="minorHAnsi" w:eastAsiaTheme="minorHAnsi" w:hAnsiTheme="minorHAnsi" w:cs="Calibri"/>
                <w:color w:val="000000"/>
                <w:sz w:val="20"/>
                <w:szCs w:val="20"/>
                <w:lang w:val="es-ES_tradnl"/>
              </w:rPr>
              <w:t>).</w:t>
            </w:r>
          </w:p>
        </w:tc>
        <w:tc>
          <w:tcPr>
            <w:tcW w:w="1720" w:type="dxa"/>
          </w:tcPr>
          <w:p w14:paraId="47F87386" w14:textId="77777777" w:rsidR="007B4994" w:rsidRPr="00A15DA0" w:rsidRDefault="007B4994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A15DA0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</w:t>
            </w:r>
          </w:p>
        </w:tc>
        <w:tc>
          <w:tcPr>
            <w:tcW w:w="1720" w:type="dxa"/>
          </w:tcPr>
          <w:p w14:paraId="2174C6AE" w14:textId="5DDB76CE" w:rsidR="007B4994" w:rsidRPr="00F349AE" w:rsidRDefault="00917735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Indefinido</w:t>
            </w:r>
          </w:p>
        </w:tc>
        <w:tc>
          <w:tcPr>
            <w:tcW w:w="1720" w:type="dxa"/>
          </w:tcPr>
          <w:p w14:paraId="3332CC14" w14:textId="77777777" w:rsidR="007B4994" w:rsidRPr="00F349AE" w:rsidRDefault="007B4994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F922E5" w:rsidRPr="00F349AE" w14:paraId="0C309EEF" w14:textId="3ECBF9C0" w:rsidTr="00F922E5">
        <w:trPr>
          <w:cantSplit/>
        </w:trPr>
        <w:tc>
          <w:tcPr>
            <w:tcW w:w="1560" w:type="dxa"/>
          </w:tcPr>
          <w:p w14:paraId="70B1FC42" w14:textId="77777777" w:rsidR="007B4994" w:rsidRPr="00F349AE" w:rsidRDefault="007B4994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lastRenderedPageBreak/>
              <w:t>COP13</w:t>
            </w:r>
          </w:p>
        </w:tc>
        <w:tc>
          <w:tcPr>
            <w:tcW w:w="4320" w:type="dxa"/>
          </w:tcPr>
          <w:p w14:paraId="77276DA1" w14:textId="48633DB4" w:rsidR="00813DA6" w:rsidRPr="00F349AE" w:rsidRDefault="006B1283" w:rsidP="004609B4">
            <w:pPr>
              <w:pStyle w:val="NormalWeb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Decisión</w:t>
            </w:r>
            <w:r w:rsidR="0064410B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7B499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SC51-16</w:t>
            </w:r>
            <w:r w:rsidR="0064410B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: “</w:t>
            </w: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El Comité Permanente acordó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establecer un Subgrupo sobre la COP13 con la siguiente 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composición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: Australia en 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representación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Oceanía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, Camboya en 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rep</w:t>
            </w: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resentación</w:t>
            </w:r>
            <w:r w:rsid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Asia, el Canadá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en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representación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América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del Norte, los Emiratos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Árabes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Unidos (Presidencia) como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país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anfitrión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la COP13, Honduras en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representación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América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Latina y el Caribe, Rumania en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representación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Europa,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Túnez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en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representación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África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y el Uruguay como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país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anfitrión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la COP12.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También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</w:t>
            </w:r>
            <w:r w:rsid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cordó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que otras Partes Contratantes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podrían</w:t>
            </w:r>
            <w:r w:rsidR="004609B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formar parte del Subgrupo en calidad de observadores</w:t>
            </w:r>
            <w:r w:rsidR="004255E3">
              <w:rPr>
                <w:rFonts w:asciiTheme="minorHAnsi" w:hAnsiTheme="minorHAnsi"/>
                <w:sz w:val="20"/>
                <w:szCs w:val="20"/>
                <w:lang w:val="es-ES_tradnl"/>
              </w:rPr>
              <w:t>”.</w:t>
            </w:r>
          </w:p>
        </w:tc>
        <w:tc>
          <w:tcPr>
            <w:tcW w:w="3120" w:type="dxa"/>
          </w:tcPr>
          <w:p w14:paraId="3EA5AADB" w14:textId="0B62B451" w:rsidR="007B4994" w:rsidRPr="00F349AE" w:rsidRDefault="007B4994" w:rsidP="00E2076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Australia, </w:t>
            </w:r>
            <w:r w:rsidR="004609B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Camboya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="004609B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Canadá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="004609B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Emiratos Árabes Unidos, 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Honduras, </w:t>
            </w:r>
            <w:r w:rsidR="0091773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Rumania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="004609B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Túnez y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Uruguay</w:t>
            </w:r>
            <w:r w:rsidR="00146141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14:paraId="749866A7" w14:textId="77777777" w:rsidR="007B4994" w:rsidRPr="00F349AE" w:rsidRDefault="007B4994" w:rsidP="00E2076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15A6FF5E" w14:textId="5DE59757" w:rsidR="007B4994" w:rsidRPr="00F349AE" w:rsidRDefault="00917735" w:rsidP="00E2076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Presidencia:</w:t>
            </w:r>
            <w:r w:rsidR="007B499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4609B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Emiratos Árabes Unidos</w:t>
            </w:r>
            <w:r w:rsidR="00146141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14:paraId="429F85CD" w14:textId="77777777" w:rsidR="007B4994" w:rsidRPr="00F349AE" w:rsidRDefault="007B4994" w:rsidP="00E20766">
            <w:pPr>
              <w:widowControl w:val="0"/>
              <w:suppressAutoHyphens/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</w:tcPr>
          <w:p w14:paraId="7CDCDC57" w14:textId="49A7809F" w:rsidR="007B4994" w:rsidRPr="00F349AE" w:rsidRDefault="00A15DA0" w:rsidP="00A15DA0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1720" w:type="dxa"/>
          </w:tcPr>
          <w:p w14:paraId="3FFDF1C3" w14:textId="34A9B595" w:rsidR="007B4994" w:rsidRPr="00F349AE" w:rsidRDefault="0086792D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2018</w:t>
            </w:r>
          </w:p>
        </w:tc>
        <w:tc>
          <w:tcPr>
            <w:tcW w:w="1720" w:type="dxa"/>
          </w:tcPr>
          <w:p w14:paraId="32391677" w14:textId="77777777" w:rsidR="007B4994" w:rsidRPr="00F349AE" w:rsidRDefault="007B4994" w:rsidP="00E20766">
            <w:pPr>
              <w:rPr>
                <w:rFonts w:asciiTheme="minorHAnsi" w:hAnsiTheme="minorHAnsi" w:cs="Calibri"/>
                <w:b/>
                <w:sz w:val="20"/>
                <w:szCs w:val="20"/>
                <w:lang w:val="es-ES_tradnl"/>
              </w:rPr>
            </w:pPr>
          </w:p>
        </w:tc>
      </w:tr>
      <w:tr w:rsidR="00175E9A" w:rsidRPr="00F349AE" w14:paraId="2D757925" w14:textId="531F934B" w:rsidTr="00F922E5">
        <w:trPr>
          <w:cantSplit/>
        </w:trPr>
        <w:tc>
          <w:tcPr>
            <w:tcW w:w="1560" w:type="dxa"/>
            <w:vMerge w:val="restart"/>
          </w:tcPr>
          <w:p w14:paraId="404DE92D" w14:textId="4EE00BEA" w:rsidR="00175E9A" w:rsidRPr="00F349AE" w:rsidRDefault="00281EAC" w:rsidP="00281EAC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de facilitación</w:t>
            </w:r>
          </w:p>
        </w:tc>
        <w:tc>
          <w:tcPr>
            <w:tcW w:w="4320" w:type="dxa"/>
          </w:tcPr>
          <w:p w14:paraId="7EBD440F" w14:textId="708D6BCB" w:rsidR="00175E9A" w:rsidRPr="00F349AE" w:rsidRDefault="00CF5131" w:rsidP="00281EAC">
            <w:pPr>
              <w:rPr>
                <w:rFonts w:asciiTheme="minorHAnsi" w:hAnsiTheme="minorHAnsi" w:cs="Calibri"/>
                <w:i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Párrafo</w:t>
            </w:r>
            <w:r w:rsidR="00175E9A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58 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de la Resolución </w:t>
            </w:r>
            <w:r w:rsidR="00175E9A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XII.3</w:t>
            </w:r>
            <w:r w:rsidR="00281EAC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175E9A" w:rsidRPr="00F349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281EAC" w:rsidRPr="00F349AE">
              <w:rPr>
                <w:rFonts w:asciiTheme="minorHAnsi" w:eastAsiaTheme="minorHAnsi" w:hAnsiTheme="minorHAnsi" w:cs="Garamond"/>
                <w:i/>
                <w:sz w:val="20"/>
                <w:szCs w:val="20"/>
                <w:lang w:val="es-ES_tradnl"/>
              </w:rPr>
              <w:t xml:space="preserve">Mejora de los idiomas, la visibilidad y la envergadura de la Convención, y de las </w:t>
            </w:r>
            <w:r w:rsidR="00F349AE" w:rsidRPr="00F349AE">
              <w:rPr>
                <w:rFonts w:asciiTheme="minorHAnsi" w:eastAsiaTheme="minorHAnsi" w:hAnsiTheme="minorHAnsi" w:cs="Garamond"/>
                <w:i/>
                <w:sz w:val="20"/>
                <w:szCs w:val="20"/>
                <w:lang w:val="es-ES_tradnl"/>
              </w:rPr>
              <w:t>sinergias</w:t>
            </w:r>
            <w:r w:rsidR="00281EAC" w:rsidRPr="00F349AE">
              <w:rPr>
                <w:rFonts w:asciiTheme="minorHAnsi" w:eastAsiaTheme="minorHAnsi" w:hAnsiTheme="minorHAnsi" w:cs="Garamond"/>
                <w:i/>
                <w:sz w:val="20"/>
                <w:szCs w:val="20"/>
                <w:lang w:val="es-ES_tradnl"/>
              </w:rPr>
              <w:t xml:space="preserve"> con otros acuerdos multilaterales sobre el medio ambiente y otras instituciones</w:t>
            </w:r>
            <w:r w:rsidR="00175E9A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120" w:type="dxa"/>
            <w:vMerge w:val="restart"/>
          </w:tcPr>
          <w:p w14:paraId="3DE8F407" w14:textId="28EBAD0F" w:rsidR="00175E9A" w:rsidRPr="00F349AE" w:rsidRDefault="00281EAC" w:rsidP="00E20766">
            <w:pPr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Estados Unidos de América, </w:t>
            </w:r>
            <w:r w:rsidR="00175E9A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Kenya, </w:t>
            </w:r>
            <w:r w:rsidR="00917735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Rumania</w:t>
            </w:r>
            <w:r w:rsidR="00175E9A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, Senegal, </w:t>
            </w: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Suiza y</w:t>
            </w:r>
            <w:r w:rsidR="00175E9A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Uruguay.</w:t>
            </w:r>
          </w:p>
          <w:p w14:paraId="2CE67EB2" w14:textId="77777777" w:rsidR="00175E9A" w:rsidRPr="00F349AE" w:rsidRDefault="00175E9A" w:rsidP="00E20766">
            <w:pPr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</w:p>
          <w:p w14:paraId="21973773" w14:textId="26DDB4A7" w:rsidR="00175E9A" w:rsidRPr="00F349AE" w:rsidRDefault="00281EAC" w:rsidP="00281EAC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Presidencias:</w:t>
            </w:r>
            <w:r w:rsidR="00175E9A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917735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Estados Unidos de América</w:t>
            </w:r>
            <w:r w:rsidR="004E2C96" w:rsidRPr="00F349AE" w:rsidDel="004E2C96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</w:t>
            </w: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y</w:t>
            </w:r>
            <w:r w:rsidR="00175E9A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Uruguay</w:t>
            </w:r>
            <w:r w:rsidR="00146141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720" w:type="dxa"/>
            <w:vMerge w:val="restart"/>
          </w:tcPr>
          <w:p w14:paraId="413706E0" w14:textId="1B47493D" w:rsidR="00175E9A" w:rsidRPr="00F349AE" w:rsidRDefault="00A15DA0" w:rsidP="00A15DA0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1720" w:type="dxa"/>
            <w:vMerge w:val="restart"/>
          </w:tcPr>
          <w:p w14:paraId="770F9FE1" w14:textId="3B9A9BEE" w:rsidR="00175E9A" w:rsidRPr="00F349AE" w:rsidRDefault="00917735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Indefinido</w:t>
            </w:r>
          </w:p>
        </w:tc>
        <w:tc>
          <w:tcPr>
            <w:tcW w:w="1720" w:type="dxa"/>
            <w:vMerge w:val="restart"/>
          </w:tcPr>
          <w:p w14:paraId="7D6289B2" w14:textId="77777777" w:rsidR="00175E9A" w:rsidRPr="00F349AE" w:rsidRDefault="00175E9A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75E9A" w:rsidRPr="00F349AE" w14:paraId="4344B434" w14:textId="77777777" w:rsidTr="00F922E5">
        <w:trPr>
          <w:cantSplit/>
        </w:trPr>
        <w:tc>
          <w:tcPr>
            <w:tcW w:w="1560" w:type="dxa"/>
            <w:vMerge/>
          </w:tcPr>
          <w:p w14:paraId="6A4E6C10" w14:textId="77777777" w:rsidR="00175E9A" w:rsidRPr="00F349AE" w:rsidRDefault="00175E9A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4320" w:type="dxa"/>
          </w:tcPr>
          <w:p w14:paraId="5D94A0D1" w14:textId="60FD4244" w:rsidR="00175E9A" w:rsidRPr="00F349AE" w:rsidRDefault="00281EAC" w:rsidP="00281EAC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>Relacionado con el párrafo</w:t>
            </w:r>
            <w:r w:rsidR="00175E9A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 7b </w:t>
            </w:r>
            <w:r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de la Resolución </w:t>
            </w:r>
            <w:r w:rsidR="00175E9A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XII.4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175E9A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Responsabilidades, funciones y composición del Comité Permanente y clasificación de los países por regiones en el marco de la Convención de Ramsar</w:t>
            </w:r>
            <w:r w:rsidR="00175E9A" w:rsidRPr="00F349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120" w:type="dxa"/>
            <w:vMerge/>
          </w:tcPr>
          <w:p w14:paraId="29EA4732" w14:textId="77777777" w:rsidR="00175E9A" w:rsidRPr="00F349AE" w:rsidRDefault="00175E9A" w:rsidP="00E20766">
            <w:pPr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1BBA17C4" w14:textId="77777777" w:rsidR="00175E9A" w:rsidRPr="00F349AE" w:rsidRDefault="00175E9A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4D2E826F" w14:textId="77777777" w:rsidR="00175E9A" w:rsidRPr="00F349AE" w:rsidRDefault="00175E9A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0C4EBA10" w14:textId="77777777" w:rsidR="00175E9A" w:rsidRPr="00F349AE" w:rsidRDefault="00175E9A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75E9A" w:rsidRPr="00F349AE" w14:paraId="6C443978" w14:textId="77777777" w:rsidTr="00F922E5">
        <w:trPr>
          <w:cantSplit/>
        </w:trPr>
        <w:tc>
          <w:tcPr>
            <w:tcW w:w="1560" w:type="dxa"/>
            <w:vMerge/>
          </w:tcPr>
          <w:p w14:paraId="7585CDBB" w14:textId="77777777" w:rsidR="00175E9A" w:rsidRPr="00F349AE" w:rsidRDefault="00175E9A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4320" w:type="dxa"/>
          </w:tcPr>
          <w:p w14:paraId="29328296" w14:textId="7DF03652" w:rsidR="00175E9A" w:rsidRPr="00F349AE" w:rsidRDefault="00F349AE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Decisión</w:t>
            </w:r>
            <w:r w:rsidR="0014614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175E9A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SC50-8</w:t>
            </w:r>
            <w:r w:rsidR="0014614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: “</w:t>
            </w:r>
            <w:r w:rsidR="00281EAC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El Comité Permanente acordó establecer un grupo de trabajo para supervisar la </w:t>
            </w: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aplicación</w:t>
            </w:r>
            <w:r w:rsidR="00281EAC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de la CECoP y un grupo de trabajo para mejorar los instrumentos existentes de manejo entre la UICN, el Comité Permanente y el Secretario </w:t>
            </w:r>
            <w:r w:rsidR="00281EAC" w:rsidRPr="00A15DA0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Genera</w:t>
            </w:r>
            <w:r w:rsidR="00175E9A" w:rsidRPr="00A15DA0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l</w:t>
            </w:r>
            <w:r w:rsidR="004255E3">
              <w:rPr>
                <w:rFonts w:asciiTheme="minorHAnsi" w:hAnsiTheme="minorHAnsi"/>
                <w:sz w:val="20"/>
                <w:szCs w:val="20"/>
                <w:lang w:val="es-ES_tradnl"/>
              </w:rPr>
              <w:t>”.</w:t>
            </w:r>
          </w:p>
        </w:tc>
        <w:tc>
          <w:tcPr>
            <w:tcW w:w="3120" w:type="dxa"/>
            <w:vMerge/>
          </w:tcPr>
          <w:p w14:paraId="11C86D84" w14:textId="77777777" w:rsidR="00175E9A" w:rsidRPr="00F349AE" w:rsidRDefault="00175E9A" w:rsidP="00E20766">
            <w:pPr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511E1D32" w14:textId="77777777" w:rsidR="00175E9A" w:rsidRPr="00F349AE" w:rsidRDefault="00175E9A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0B52E281" w14:textId="77777777" w:rsidR="00175E9A" w:rsidRPr="00F349AE" w:rsidRDefault="00175E9A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05C83274" w14:textId="77777777" w:rsidR="00175E9A" w:rsidRPr="00F349AE" w:rsidRDefault="00175E9A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F922E5" w:rsidRPr="00F349AE" w14:paraId="03572EBE" w14:textId="48496F9E" w:rsidTr="00F922E5">
        <w:trPr>
          <w:cantSplit/>
        </w:trPr>
        <w:tc>
          <w:tcPr>
            <w:tcW w:w="1560" w:type="dxa"/>
          </w:tcPr>
          <w:p w14:paraId="0EB54468" w14:textId="632C681E" w:rsidR="007B4994" w:rsidRPr="00F349AE" w:rsidRDefault="007B4994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lastRenderedPageBreak/>
              <w:t>Fin</w:t>
            </w:r>
            <w:r w:rsidR="00281EAC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anzas</w:t>
            </w:r>
          </w:p>
        </w:tc>
        <w:tc>
          <w:tcPr>
            <w:tcW w:w="4320" w:type="dxa"/>
          </w:tcPr>
          <w:p w14:paraId="5B0DF397" w14:textId="390F7D3E" w:rsidR="00813DA6" w:rsidRPr="00F349AE" w:rsidRDefault="009527CC" w:rsidP="00281EAC">
            <w:pPr>
              <w:pStyle w:val="NormalWeb"/>
              <w:rPr>
                <w:rFonts w:ascii="Times" w:eastAsiaTheme="minorHAnsi" w:hAnsi="Times"/>
                <w:sz w:val="20"/>
                <w:szCs w:val="20"/>
                <w:lang w:val="es-ES_tradnl" w:eastAsia="es-ES"/>
              </w:rPr>
            </w:pPr>
            <w:r w:rsidRPr="009527CC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Decisión </w:t>
            </w:r>
            <w:r w:rsidR="007B499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SC50-2</w:t>
            </w:r>
            <w:r w:rsidR="0014614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: </w:t>
            </w:r>
            <w:r w:rsidR="00146141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“</w:t>
            </w:r>
            <w:r w:rsid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El Comité Permanente eligió</w:t>
            </w:r>
            <w:r w:rsidR="00281EAC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a los siguientes miembros para formar el Subgrupo de Finanzas: Para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África</w:t>
            </w:r>
            <w:r w:rsidR="00281EAC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, el Senegal; para Asia, la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Republica</w:t>
            </w:r>
            <w:r w:rsidR="00281EAC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Corea; para Europa, Estonia; para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América</w:t>
            </w:r>
            <w:r w:rsidR="00281EAC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Latina y el Caribe, Suriname; para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América</w:t>
            </w:r>
            <w:r w:rsidR="00281EAC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del Norte, los Estados Unidos de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América</w:t>
            </w:r>
            <w:r w:rsidR="00281EAC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; par</w:t>
            </w:r>
            <w:r w:rsid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 Oceanía, Australia; y Canadá</w:t>
            </w:r>
            <w:r w:rsidR="00281EAC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en calidad de Presidencia saliente del Subgrupo</w:t>
            </w:r>
            <w:r w:rsidR="004255E3">
              <w:rPr>
                <w:rFonts w:asciiTheme="minorHAnsi" w:hAnsiTheme="minorHAnsi"/>
                <w:sz w:val="20"/>
                <w:szCs w:val="20"/>
                <w:lang w:val="es-ES_tradnl"/>
              </w:rPr>
              <w:t>”.</w:t>
            </w:r>
          </w:p>
        </w:tc>
        <w:tc>
          <w:tcPr>
            <w:tcW w:w="3120" w:type="dxa"/>
          </w:tcPr>
          <w:p w14:paraId="4146CF55" w14:textId="5DA99D71" w:rsidR="007B4994" w:rsidRPr="00F349AE" w:rsidRDefault="004E2C96" w:rsidP="00E20766">
            <w:pPr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Australia, </w:t>
            </w:r>
            <w:r w:rsidR="004609B4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Canadá</w:t>
            </w: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, </w:t>
            </w:r>
            <w:r w:rsidR="00281EAC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Estados Unidos de América, </w:t>
            </w: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Estonia, </w:t>
            </w:r>
            <w:r w:rsidR="00281EAC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República de Corea</w:t>
            </w: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,</w:t>
            </w:r>
            <w:r w:rsidR="007B4994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281EAC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Senegal y</w:t>
            </w: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</w:t>
            </w:r>
            <w:r w:rsidR="00281EAC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Suriname</w:t>
            </w:r>
            <w:r w:rsidR="007B4994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.</w:t>
            </w:r>
          </w:p>
          <w:p w14:paraId="548CC3CC" w14:textId="77777777" w:rsidR="007B4994" w:rsidRPr="00F349AE" w:rsidRDefault="007B4994" w:rsidP="00E20766">
            <w:pPr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</w:p>
          <w:p w14:paraId="374053BC" w14:textId="09E081E4" w:rsidR="007B4994" w:rsidRPr="00F349AE" w:rsidRDefault="00917735" w:rsidP="00E2076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Presidencia:</w:t>
            </w:r>
            <w:r w:rsidR="007B4994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 Senegal</w:t>
            </w:r>
            <w:r w:rsidR="00146141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.</w:t>
            </w:r>
          </w:p>
          <w:p w14:paraId="39D918FB" w14:textId="77777777" w:rsidR="007B4994" w:rsidRPr="00F349AE" w:rsidRDefault="007B4994" w:rsidP="00E20766">
            <w:pPr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</w:tcPr>
          <w:p w14:paraId="58A02C2D" w14:textId="33C4806A" w:rsidR="007B4994" w:rsidRPr="00F349AE" w:rsidRDefault="00A15DA0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1720" w:type="dxa"/>
          </w:tcPr>
          <w:p w14:paraId="13CB8FC5" w14:textId="2BEF2CED" w:rsidR="007B4994" w:rsidRPr="00F349AE" w:rsidRDefault="00EE3663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2018</w:t>
            </w:r>
          </w:p>
        </w:tc>
        <w:tc>
          <w:tcPr>
            <w:tcW w:w="1720" w:type="dxa"/>
          </w:tcPr>
          <w:p w14:paraId="444BE746" w14:textId="77777777" w:rsidR="007B4994" w:rsidRPr="00F349AE" w:rsidRDefault="007B4994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46141" w:rsidRPr="00F349AE" w14:paraId="2E17BBB5" w14:textId="2EF45155" w:rsidTr="00F922E5">
        <w:trPr>
          <w:cantSplit/>
        </w:trPr>
        <w:tc>
          <w:tcPr>
            <w:tcW w:w="1560" w:type="dxa"/>
            <w:vMerge w:val="restart"/>
          </w:tcPr>
          <w:p w14:paraId="42A8EF03" w14:textId="509584B4" w:rsidR="00146141" w:rsidRPr="00F349AE" w:rsidRDefault="00281EAC" w:rsidP="00281EAC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</w:t>
            </w:r>
          </w:p>
        </w:tc>
        <w:tc>
          <w:tcPr>
            <w:tcW w:w="4320" w:type="dxa"/>
          </w:tcPr>
          <w:p w14:paraId="4915F71D" w14:textId="2E2C97C4" w:rsidR="00146141" w:rsidRPr="00F349AE" w:rsidRDefault="00281EAC" w:rsidP="00100425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Resolución </w:t>
            </w:r>
            <w:r w:rsidR="0014614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IX.24</w:t>
            </w:r>
            <w:r w:rsidR="00100425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, </w:t>
            </w:r>
            <w:r w:rsidR="00100425"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 xml:space="preserve">Mejora de la administración de la Convención </w:t>
            </w:r>
            <w:r w:rsidR="00146141"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Ramsar</w:t>
            </w:r>
            <w:r w:rsidR="00146141" w:rsidRPr="00F349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120" w:type="dxa"/>
            <w:vMerge w:val="restart"/>
          </w:tcPr>
          <w:p w14:paraId="6AB5F9F6" w14:textId="487A3C0C" w:rsidR="00146141" w:rsidRPr="00F349AE" w:rsidRDefault="00EB5479" w:rsidP="00E2076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Australia, </w:t>
            </w:r>
            <w:bookmarkStart w:id="0" w:name="_GoBack"/>
            <w:bookmarkEnd w:id="0"/>
            <w:r w:rsidR="004609B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Canadá</w:t>
            </w:r>
            <w:r w:rsidR="00F922E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="00D2390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Emiratos Árabes Unidos, Estados Unidos de América, </w:t>
            </w:r>
            <w:r w:rsidR="00F922E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Fiji, </w:t>
            </w:r>
            <w:r w:rsidR="0091773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Rumania</w:t>
            </w:r>
            <w:r w:rsidR="00146141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="00F922E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Senegal, </w:t>
            </w:r>
            <w:r w:rsidR="0091773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Sudáfrica</w:t>
            </w:r>
            <w:r w:rsidR="00146141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="00281EAC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Suiza</w:t>
            </w:r>
            <w:r w:rsidR="00D2390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</w:t>
            </w:r>
            <w:r w:rsidR="00F922E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Uruguay</w:t>
            </w:r>
            <w:r w:rsidR="00146141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14:paraId="624337D1" w14:textId="2745A2D0" w:rsidR="00146141" w:rsidRPr="00F349AE" w:rsidRDefault="00052ABA" w:rsidP="00E2076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052ABA">
              <w:rPr>
                <w:rFonts w:asciiTheme="minorHAnsi" w:hAnsiTheme="minorHAnsi"/>
                <w:color w:val="auto"/>
                <w:sz w:val="20"/>
                <w:szCs w:val="20"/>
                <w:lang w:val="es-ES_tradnl"/>
              </w:rPr>
              <w:t>Presidencia</w:t>
            </w:r>
            <w:r w:rsidR="00D2390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del GECT</w:t>
            </w:r>
            <w:r w:rsidR="00146141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14:paraId="47C14AE1" w14:textId="6746D39B" w:rsidR="00146141" w:rsidRPr="00F349AE" w:rsidRDefault="00D2390E" w:rsidP="00E2076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UICN</w:t>
            </w:r>
            <w:r w:rsidR="00146141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14:paraId="5D62808A" w14:textId="6F874128" w:rsidR="00146141" w:rsidRPr="00F349AE" w:rsidRDefault="00146141" w:rsidP="00E2076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Secretar</w:t>
            </w:r>
            <w:r w:rsidR="00D2390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io 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General </w:t>
            </w:r>
            <w:r w:rsidRPr="00F349AE">
              <w:rPr>
                <w:rFonts w:asciiTheme="minorHAnsi" w:hAnsiTheme="minorHAnsi"/>
                <w:i/>
                <w:sz w:val="20"/>
                <w:szCs w:val="20"/>
                <w:lang w:val="es-ES_tradnl"/>
              </w:rPr>
              <w:t>ex officio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14:paraId="26EA1011" w14:textId="77777777" w:rsidR="00146141" w:rsidRPr="00F349AE" w:rsidRDefault="00146141" w:rsidP="00E2076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7C771F29" w14:textId="2EA3FBDF" w:rsidR="00146141" w:rsidRPr="00F349AE" w:rsidRDefault="00917735" w:rsidP="00E20766">
            <w:pPr>
              <w:pStyle w:val="Default"/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Presidencia:</w:t>
            </w:r>
            <w:r w:rsidR="00146141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Uruguay.</w:t>
            </w:r>
          </w:p>
        </w:tc>
        <w:tc>
          <w:tcPr>
            <w:tcW w:w="1720" w:type="dxa"/>
            <w:vMerge w:val="restart"/>
          </w:tcPr>
          <w:p w14:paraId="00F35093" w14:textId="664AA9A9" w:rsidR="00146141" w:rsidRPr="00F349AE" w:rsidRDefault="00A15DA0" w:rsidP="00A15DA0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CP</w:t>
            </w:r>
            <w:r w:rsidR="0014614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D2390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y la </w:t>
            </w:r>
            <w:r w:rsidR="0014614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COP</w:t>
            </w:r>
          </w:p>
        </w:tc>
        <w:tc>
          <w:tcPr>
            <w:tcW w:w="1720" w:type="dxa"/>
            <w:vMerge w:val="restart"/>
          </w:tcPr>
          <w:p w14:paraId="1166C171" w14:textId="44AA4814" w:rsidR="00146141" w:rsidRPr="00F349AE" w:rsidRDefault="00917735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Indefinido</w:t>
            </w:r>
          </w:p>
        </w:tc>
        <w:tc>
          <w:tcPr>
            <w:tcW w:w="1720" w:type="dxa"/>
            <w:vMerge w:val="restart"/>
          </w:tcPr>
          <w:p w14:paraId="6DE0E8BE" w14:textId="77777777" w:rsidR="00146141" w:rsidRPr="00F349AE" w:rsidRDefault="00146141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146141" w:rsidRPr="00F349AE" w14:paraId="68F44D13" w14:textId="77777777" w:rsidTr="00F922E5">
        <w:trPr>
          <w:cantSplit/>
        </w:trPr>
        <w:tc>
          <w:tcPr>
            <w:tcW w:w="1560" w:type="dxa"/>
            <w:vMerge/>
          </w:tcPr>
          <w:p w14:paraId="11A1A919" w14:textId="77777777" w:rsidR="00146141" w:rsidRPr="00F349AE" w:rsidRDefault="00146141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4320" w:type="dxa"/>
          </w:tcPr>
          <w:p w14:paraId="01E0E4F9" w14:textId="3B4ED631" w:rsidR="00146141" w:rsidRPr="00F349AE" w:rsidRDefault="009527CC" w:rsidP="00100425">
            <w:pPr>
              <w:pStyle w:val="NormalWeb"/>
              <w:rPr>
                <w:rFonts w:ascii="Times" w:eastAsiaTheme="minorHAnsi" w:hAnsi="Times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Decisión </w:t>
            </w:r>
            <w:r w:rsidR="0014614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SC50-6: “</w:t>
            </w:r>
            <w:r w:rsid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El Comité</w:t>
            </w:r>
            <w:r w:rsidR="00100425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Permanente designó a los siguientes representantes para integrar el Grupo de Trabajo Administrativo: Rumania como Presidencia saliente del CP para el trienio 2012- 2015,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Sudáfrica</w:t>
            </w:r>
            <w:r w:rsidR="00100425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como Vicepresidencia saliente del CP para el trienio 2012-2015, el Uruguay como Presidencia actual del CP, Australia como Vicepresidencia actual del CP, el Senegal como Presidencia actual del S</w:t>
            </w:r>
            <w:r w:rsid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ubgrupo de Finanzas y el Canadá</w:t>
            </w:r>
            <w:r w:rsidR="00100425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como Presidencia saliente del Subgrupo</w:t>
            </w:r>
            <w:r w:rsid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Finanzas. También se pidió</w:t>
            </w:r>
            <w:r w:rsidR="00100425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al Presidente del GECT para el trienio 2012-2015 que formara parte del Grupo hasta que se designara al nuevo Presidente del Grupo para el trienio 2015-201</w:t>
            </w:r>
            <w:r w:rsid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8. El Comité Permanente acogió</w:t>
            </w:r>
            <w:r w:rsidR="00100425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con agrado las intervenciones de Fiji, los Emiratos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Árabes</w:t>
            </w:r>
            <w:r w:rsidR="00100425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Unidos, los Estados Unidos de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América</w:t>
            </w:r>
            <w:r w:rsidR="00100425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y Fiji, que manifestaron su voluntad de formar parte del Grupo de Trabajo Administrativo como Partes Contratantes interesadas observadoras</w:t>
            </w:r>
            <w:r w:rsidR="004255E3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”.</w:t>
            </w:r>
          </w:p>
        </w:tc>
        <w:tc>
          <w:tcPr>
            <w:tcW w:w="3120" w:type="dxa"/>
            <w:vMerge/>
          </w:tcPr>
          <w:p w14:paraId="2BBCE379" w14:textId="77777777" w:rsidR="00146141" w:rsidRPr="00F349AE" w:rsidRDefault="00146141" w:rsidP="00E20766">
            <w:pPr>
              <w:pStyle w:val="Default"/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086F6996" w14:textId="77777777" w:rsidR="00146141" w:rsidRPr="00F349AE" w:rsidRDefault="00146141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353254B1" w14:textId="77777777" w:rsidR="00146141" w:rsidRPr="00F349AE" w:rsidRDefault="00146141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66E7E2CA" w14:textId="77777777" w:rsidR="00146141" w:rsidRPr="00F349AE" w:rsidRDefault="00146141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F922E5" w:rsidRPr="00F349AE" w14:paraId="2A00B716" w14:textId="684DAA12" w:rsidTr="00F922E5">
        <w:trPr>
          <w:cantSplit/>
        </w:trPr>
        <w:tc>
          <w:tcPr>
            <w:tcW w:w="1560" w:type="dxa"/>
          </w:tcPr>
          <w:p w14:paraId="5F88E1CF" w14:textId="008242A4" w:rsidR="007B4994" w:rsidRPr="00F349AE" w:rsidRDefault="00D2390E" w:rsidP="00D2390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lastRenderedPageBreak/>
              <w:t xml:space="preserve">Comité de </w:t>
            </w:r>
            <w:r w:rsidR="007B499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Transi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ción del Grupo de Trabajo Administrativo</w:t>
            </w:r>
          </w:p>
        </w:tc>
        <w:tc>
          <w:tcPr>
            <w:tcW w:w="4320" w:type="dxa"/>
          </w:tcPr>
          <w:p w14:paraId="214BBC99" w14:textId="27358A23" w:rsidR="007B4994" w:rsidRPr="00F349AE" w:rsidRDefault="00281EAC" w:rsidP="00146141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Resolución </w:t>
            </w:r>
            <w:r w:rsidR="007B499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X.4</w:t>
            </w:r>
            <w:r w:rsidR="00D2390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, </w:t>
            </w:r>
            <w:r w:rsidR="00D2390E"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Establecimiento de un Comité de Transición del Grupo de Trabajo Administrativo.</w:t>
            </w:r>
          </w:p>
        </w:tc>
        <w:tc>
          <w:tcPr>
            <w:tcW w:w="3120" w:type="dxa"/>
          </w:tcPr>
          <w:p w14:paraId="4F1A6C44" w14:textId="647E1EC9" w:rsidR="00146141" w:rsidRPr="00F349AE" w:rsidRDefault="00F922E5" w:rsidP="00E207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Australia, </w:t>
            </w:r>
            <w:r w:rsidR="004609B4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>Canadá</w:t>
            </w:r>
            <w:r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, </w:t>
            </w:r>
            <w:r w:rsidR="00917735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>Rumania</w:t>
            </w:r>
            <w:r w:rsidR="007B4994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, </w:t>
            </w:r>
            <w:r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Senegal, </w:t>
            </w:r>
            <w:r w:rsidR="00917735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>Sudáfrica</w:t>
            </w:r>
            <w:r w:rsidR="00D2390E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 y</w:t>
            </w:r>
            <w:r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 </w:t>
            </w:r>
            <w:r w:rsidR="007B4994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>Uruguay</w:t>
            </w:r>
            <w:r w:rsidR="00146141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>.</w:t>
            </w:r>
          </w:p>
          <w:p w14:paraId="718EF513" w14:textId="683D69C8" w:rsidR="007B4994" w:rsidRPr="00F349AE" w:rsidRDefault="00D2390E" w:rsidP="00E207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Garamond-Italic"/>
                <w:i/>
                <w:iCs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>Secretario General</w:t>
            </w:r>
            <w:r w:rsidR="007B4994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 </w:t>
            </w:r>
            <w:r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>y</w:t>
            </w:r>
            <w:r w:rsidR="007B4994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 </w:t>
            </w:r>
            <w:r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>Secretario General</w:t>
            </w:r>
            <w:r w:rsidR="007B4994"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 </w:t>
            </w:r>
            <w:r w:rsidRPr="00F349AE">
              <w:rPr>
                <w:rFonts w:asciiTheme="minorHAnsi" w:eastAsiaTheme="minorHAnsi" w:hAnsiTheme="minorHAnsi" w:cs="Garamond"/>
                <w:sz w:val="20"/>
                <w:szCs w:val="20"/>
                <w:lang w:val="es-ES_tradnl"/>
              </w:rPr>
              <w:t xml:space="preserve">Adjunto </w:t>
            </w:r>
            <w:r w:rsidRPr="00F349AE">
              <w:rPr>
                <w:rFonts w:asciiTheme="minorHAnsi" w:eastAsiaTheme="minorHAnsi" w:hAnsiTheme="minorHAnsi" w:cs="Garamond"/>
                <w:i/>
                <w:sz w:val="20"/>
                <w:szCs w:val="20"/>
                <w:lang w:val="es-ES_tradnl"/>
              </w:rPr>
              <w:t>ex</w:t>
            </w:r>
            <w:r w:rsidR="007B4994" w:rsidRPr="00F349AE">
              <w:rPr>
                <w:rFonts w:asciiTheme="minorHAnsi" w:eastAsiaTheme="minorHAnsi" w:hAnsiTheme="minorHAnsi" w:cs="Garamond-Italic"/>
                <w:i/>
                <w:iCs/>
                <w:sz w:val="20"/>
                <w:szCs w:val="20"/>
                <w:lang w:val="es-ES_tradnl"/>
              </w:rPr>
              <w:t xml:space="preserve"> officio.</w:t>
            </w:r>
          </w:p>
          <w:p w14:paraId="145CBC49" w14:textId="77777777" w:rsidR="007B4994" w:rsidRPr="00F349AE" w:rsidRDefault="007B4994" w:rsidP="00E2076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Garamond-Italic"/>
                <w:i/>
                <w:iCs/>
                <w:sz w:val="20"/>
                <w:szCs w:val="20"/>
                <w:lang w:val="es-ES_tradnl"/>
              </w:rPr>
            </w:pPr>
          </w:p>
          <w:p w14:paraId="44B00307" w14:textId="4D348317" w:rsidR="007B4994" w:rsidRPr="00F349AE" w:rsidRDefault="00917735" w:rsidP="00E2076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eastAsiaTheme="minorHAnsi" w:hAnsiTheme="minorHAnsi" w:cs="Garamond-Italic"/>
                <w:iCs/>
                <w:sz w:val="20"/>
                <w:szCs w:val="20"/>
                <w:lang w:val="es-ES_tradnl"/>
              </w:rPr>
              <w:t>Presidencia:</w:t>
            </w:r>
            <w:r w:rsidR="007B4994" w:rsidRPr="00F349AE">
              <w:rPr>
                <w:rFonts w:asciiTheme="minorHAnsi" w:eastAsiaTheme="minorHAnsi" w:hAnsiTheme="minorHAnsi" w:cs="Garamond-Italic"/>
                <w:iCs/>
                <w:sz w:val="20"/>
                <w:szCs w:val="20"/>
                <w:lang w:val="es-ES_tradnl"/>
              </w:rPr>
              <w:t xml:space="preserve"> Uruguay</w:t>
            </w:r>
          </w:p>
        </w:tc>
        <w:tc>
          <w:tcPr>
            <w:tcW w:w="1720" w:type="dxa"/>
          </w:tcPr>
          <w:p w14:paraId="2F70FA76" w14:textId="29C950AD" w:rsidR="007B4994" w:rsidRPr="00F349AE" w:rsidRDefault="00A15DA0" w:rsidP="00D2390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CP</w:t>
            </w:r>
            <w:r w:rsidR="007B499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(no</w:t>
            </w:r>
            <w:r w:rsidR="00D2390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se especifica claramente</w:t>
            </w:r>
            <w:r w:rsidR="007B499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720" w:type="dxa"/>
          </w:tcPr>
          <w:p w14:paraId="1C454F52" w14:textId="20035B97" w:rsidR="007B4994" w:rsidRPr="00F349AE" w:rsidRDefault="00917735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Indefinido</w:t>
            </w:r>
          </w:p>
        </w:tc>
        <w:tc>
          <w:tcPr>
            <w:tcW w:w="1720" w:type="dxa"/>
          </w:tcPr>
          <w:p w14:paraId="068267DC" w14:textId="7B923628" w:rsidR="007B4994" w:rsidRPr="00F349AE" w:rsidRDefault="00D2390E" w:rsidP="00052ABA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Falta aclarar a qué órgano se deben presentar los informes. Si se aplicara </w:t>
            </w:r>
            <w:r w:rsidR="00052ABA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el artículo </w:t>
            </w:r>
            <w:r w:rsidR="00B567D8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25</w:t>
            </w:r>
            <w:r w:rsidR="00FC64A7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  <w:r w:rsidR="00B567D8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5 e</w:t>
            </w:r>
            <w:r w:rsidR="00FC64A7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) 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el Comité </w:t>
            </w:r>
            <w:r w:rsidR="00052ABA" w:rsidRPr="00052ABA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presentaría informes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al CP</w:t>
            </w:r>
            <w:r w:rsidR="00B567D8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</w:p>
        </w:tc>
      </w:tr>
      <w:tr w:rsidR="00FC64A7" w:rsidRPr="00F349AE" w14:paraId="422A7524" w14:textId="53D704F0" w:rsidTr="00F922E5">
        <w:trPr>
          <w:cantSplit/>
        </w:trPr>
        <w:tc>
          <w:tcPr>
            <w:tcW w:w="1560" w:type="dxa"/>
            <w:vMerge w:val="restart"/>
          </w:tcPr>
          <w:p w14:paraId="787C869A" w14:textId="7046231B" w:rsidR="00FC64A7" w:rsidRPr="00F349AE" w:rsidRDefault="00D2390E" w:rsidP="00D2390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Movilización de recursos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6124F61" w14:textId="192A94A9" w:rsidR="00FC64A7" w:rsidRPr="00F349AE" w:rsidRDefault="00281EAC" w:rsidP="00D2390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Resolución </w:t>
            </w:r>
            <w:r w:rsidR="00FC64A7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XII.7</w:t>
            </w:r>
            <w:r w:rsidR="00D2390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,</w:t>
            </w:r>
            <w:r w:rsidR="00FC64A7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D2390E"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 xml:space="preserve">Marco de la Convención de Ramsar para la movilización de recursos y las </w:t>
            </w:r>
            <w:r w:rsidR="00F349AE"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>asociaciones</w:t>
            </w:r>
            <w:r w:rsidR="00D2390E" w:rsidRPr="00F349A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s-ES_tradnl"/>
              </w:rPr>
              <w:t xml:space="preserve"> de colaboración</w:t>
            </w:r>
            <w:r w:rsidR="00FC64A7" w:rsidRPr="00F349AE">
              <w:rPr>
                <w:rFonts w:asciiTheme="minorHAnsi" w:hAnsiTheme="minorHAnsi" w:cstheme="minorHAnsi"/>
                <w:b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120" w:type="dxa"/>
            <w:vMerge w:val="restart"/>
          </w:tcPr>
          <w:p w14:paraId="177C20CB" w14:textId="208A23B3" w:rsidR="00FC64A7" w:rsidRPr="00F349AE" w:rsidRDefault="00FC64A7" w:rsidP="00E2076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 xml:space="preserve">Colombia, </w:t>
            </w:r>
            <w:r w:rsidR="00D2390E" w:rsidRPr="00F349AE"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  <w:t>Estados Unidos de América</w:t>
            </w:r>
            <w:r w:rsidR="00D2390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 Kenya</w:t>
            </w:r>
          </w:p>
          <w:p w14:paraId="1002DC72" w14:textId="77777777" w:rsidR="00FC64A7" w:rsidRPr="00F349AE" w:rsidRDefault="00FC64A7" w:rsidP="00E2076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58CFCCF1" w14:textId="7D33B012" w:rsidR="00FC64A7" w:rsidRPr="00F349AE" w:rsidRDefault="00917735" w:rsidP="00E2076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Presidencia:</w:t>
            </w:r>
            <w:r w:rsidR="00FC64A7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Estados Unidos de América</w:t>
            </w:r>
          </w:p>
        </w:tc>
        <w:tc>
          <w:tcPr>
            <w:tcW w:w="1720" w:type="dxa"/>
            <w:vMerge w:val="restart"/>
          </w:tcPr>
          <w:p w14:paraId="36F616FD" w14:textId="56EF448F" w:rsidR="00FC64A7" w:rsidRPr="00F349AE" w:rsidRDefault="00A15DA0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1720" w:type="dxa"/>
            <w:vMerge w:val="restart"/>
          </w:tcPr>
          <w:p w14:paraId="19DCAECC" w14:textId="49AE900F" w:rsidR="00FC64A7" w:rsidRPr="00F349AE" w:rsidRDefault="00D2390E" w:rsidP="00D2390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La presidencia confirma que se ha completado su mandato</w:t>
            </w:r>
          </w:p>
        </w:tc>
        <w:tc>
          <w:tcPr>
            <w:tcW w:w="1720" w:type="dxa"/>
            <w:vMerge w:val="restart"/>
          </w:tcPr>
          <w:p w14:paraId="7AE556DB" w14:textId="77777777" w:rsidR="00FC64A7" w:rsidRPr="00F349AE" w:rsidRDefault="00FC64A7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FC64A7" w:rsidRPr="00F349AE" w14:paraId="7F275703" w14:textId="77777777" w:rsidTr="00F922E5">
        <w:trPr>
          <w:cantSplit/>
        </w:trPr>
        <w:tc>
          <w:tcPr>
            <w:tcW w:w="1560" w:type="dxa"/>
            <w:vMerge/>
          </w:tcPr>
          <w:p w14:paraId="5B02208D" w14:textId="77777777" w:rsidR="00FC64A7" w:rsidRPr="00F349AE" w:rsidRDefault="00FC64A7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BA7AB3E" w14:textId="5C71FD1B" w:rsidR="00FC64A7" w:rsidRPr="00F349AE" w:rsidRDefault="009527CC" w:rsidP="00D2390E">
            <w:pPr>
              <w:pStyle w:val="NormalWeb"/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Decisión </w:t>
            </w:r>
            <w:r w:rsidR="00FC64A7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SC50-4: “</w:t>
            </w:r>
            <w:r w:rsid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El Comité Permanente acordó </w:t>
            </w:r>
            <w:r w:rsidR="00D2390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dirigir un grupo de trabajo de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composición</w:t>
            </w:r>
            <w:r w:rsidR="00D2390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abierta para examinar la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movilización</w:t>
            </w:r>
            <w:r w:rsidR="00D2390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de recursos y el marco y plan para las asociaciones de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colaboración</w:t>
            </w:r>
            <w:r w:rsidR="00D2390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y presentar un informe al CP en </w:t>
            </w:r>
            <w:r w:rsidR="00D2390E" w:rsidRPr="00052ABA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su 51ª</w:t>
            </w:r>
            <w:r w:rsidR="00D2390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reunión</w:t>
            </w:r>
            <w:r w:rsidR="004255E3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”.</w:t>
            </w:r>
          </w:p>
        </w:tc>
        <w:tc>
          <w:tcPr>
            <w:tcW w:w="3120" w:type="dxa"/>
            <w:vMerge/>
          </w:tcPr>
          <w:p w14:paraId="6A616A8C" w14:textId="77777777" w:rsidR="00FC64A7" w:rsidRPr="00F349AE" w:rsidRDefault="00FC64A7" w:rsidP="00E20766">
            <w:pPr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364174F8" w14:textId="77777777" w:rsidR="00FC64A7" w:rsidRPr="00F349AE" w:rsidRDefault="00FC64A7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08312E75" w14:textId="77777777" w:rsidR="00FC64A7" w:rsidRPr="00F349AE" w:rsidRDefault="00FC64A7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  <w:vMerge/>
          </w:tcPr>
          <w:p w14:paraId="61CFE23E" w14:textId="77777777" w:rsidR="00FC64A7" w:rsidRPr="00F349AE" w:rsidRDefault="00FC64A7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F922E5" w:rsidRPr="00F349AE" w14:paraId="0A57A40B" w14:textId="4B42106F" w:rsidTr="00F922E5">
        <w:trPr>
          <w:cantSplit/>
        </w:trPr>
        <w:tc>
          <w:tcPr>
            <w:tcW w:w="1560" w:type="dxa"/>
          </w:tcPr>
          <w:p w14:paraId="71DCC649" w14:textId="6785D812" w:rsidR="007B4994" w:rsidRPr="00F349AE" w:rsidRDefault="00F349AE" w:rsidP="00F349A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Iniciativas regionales</w:t>
            </w:r>
            <w:r w:rsidR="007B499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4320" w:type="dxa"/>
          </w:tcPr>
          <w:p w14:paraId="3DAFC10D" w14:textId="7607C003" w:rsidR="0086792D" w:rsidRPr="00F349AE" w:rsidRDefault="009527CC" w:rsidP="00D2390E">
            <w:pPr>
              <w:pStyle w:val="NormalWeb"/>
              <w:rPr>
                <w:rFonts w:ascii="Times" w:eastAsiaTheme="minorHAnsi" w:hAnsi="Times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Decisión </w:t>
            </w:r>
            <w:r w:rsidR="007B499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SC51-11</w:t>
            </w:r>
            <w:r w:rsidR="0042527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:</w:t>
            </w:r>
            <w:r w:rsidR="007B499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42527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“</w:t>
            </w:r>
            <w:r w:rsid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El Comité </w:t>
            </w:r>
            <w:r w:rsidR="00D2390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Permanente </w:t>
            </w:r>
            <w:r w:rsidR="00F349AE">
              <w:rPr>
                <w:rFonts w:asciiTheme="minorHAnsi" w:hAnsiTheme="minorHAnsi"/>
                <w:sz w:val="20"/>
                <w:szCs w:val="20"/>
                <w:lang w:val="es-ES_tradnl"/>
              </w:rPr>
              <w:t>acordó</w:t>
            </w:r>
            <w:r w:rsidR="00D2390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establecer un nuevo grupo de trabajo para estudiar las implicaciones de los nuevos lineamientos operativos para las iniciativa</w:t>
            </w:r>
            <w:r w:rsidR="00F349AE">
              <w:rPr>
                <w:rFonts w:asciiTheme="minorHAnsi" w:hAnsiTheme="minorHAnsi"/>
                <w:sz w:val="20"/>
                <w:szCs w:val="20"/>
                <w:lang w:val="es-ES_tradnl"/>
              </w:rPr>
              <w:t>s regionales propuestos y pidió</w:t>
            </w:r>
            <w:r w:rsidR="00D2390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a la 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Secretaría</w:t>
            </w:r>
            <w:r w:rsidR="00D2390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que apoyara la 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constitución</w:t>
            </w:r>
            <w:r w:rsidR="00D2390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de ese grupo</w:t>
            </w:r>
            <w:r w:rsidR="004255E3">
              <w:rPr>
                <w:rFonts w:asciiTheme="minorHAnsi" w:hAnsiTheme="minorHAnsi"/>
                <w:sz w:val="20"/>
                <w:szCs w:val="20"/>
                <w:lang w:val="es-ES_tradnl"/>
              </w:rPr>
              <w:t>”.</w:t>
            </w:r>
          </w:p>
        </w:tc>
        <w:tc>
          <w:tcPr>
            <w:tcW w:w="3120" w:type="dxa"/>
          </w:tcPr>
          <w:p w14:paraId="035276D0" w14:textId="6093DEFD" w:rsidR="007B4994" w:rsidRPr="00F349AE" w:rsidRDefault="00D2390E" w:rsidP="00E2076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Partes Contratantes que representan a iniciativas regionales</w:t>
            </w:r>
            <w:r w:rsidR="007B499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: Argentina, </w:t>
            </w:r>
            <w:r w:rsidR="00F922E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Burkina Faso, Colombia, </w:t>
            </w:r>
            <w:r w:rsidR="007B499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Cuba, El Salvador, Franc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ia</w:t>
            </w:r>
            <w:r w:rsidR="007B499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, Ital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ia</w:t>
            </w:r>
            <w:r w:rsidR="007B499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Nigeria, Omán, Panamá</w:t>
            </w:r>
            <w:r w:rsidR="00F922E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República Dominicana, </w:t>
            </w:r>
            <w:r w:rsidR="007B499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S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udán del Sur</w:t>
            </w:r>
            <w:r w:rsidR="007B499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="00F922E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Suriname, S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uecia</w:t>
            </w:r>
            <w:r w:rsidR="00F922E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, </w:t>
            </w:r>
            <w:r w:rsidR="004609B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Túnez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y</w:t>
            </w:r>
            <w:r w:rsidR="00F922E5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7B499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Uruguay. </w:t>
            </w:r>
          </w:p>
          <w:p w14:paraId="196E48A1" w14:textId="77777777" w:rsidR="004E2C96" w:rsidRPr="00F349AE" w:rsidRDefault="004E2C96" w:rsidP="00E2076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0EE0447D" w14:textId="0B4C9F15" w:rsidR="007B4994" w:rsidRPr="00F349AE" w:rsidRDefault="00917735" w:rsidP="00E20766">
            <w:pPr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Presidencia:</w:t>
            </w:r>
            <w:r w:rsidR="007B4994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Uganda</w:t>
            </w:r>
          </w:p>
        </w:tc>
        <w:tc>
          <w:tcPr>
            <w:tcW w:w="1720" w:type="dxa"/>
          </w:tcPr>
          <w:p w14:paraId="4CB02030" w14:textId="32782C31" w:rsidR="007B4994" w:rsidRPr="00F349AE" w:rsidRDefault="00A15DA0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CP</w:t>
            </w:r>
          </w:p>
        </w:tc>
        <w:tc>
          <w:tcPr>
            <w:tcW w:w="1720" w:type="dxa"/>
          </w:tcPr>
          <w:p w14:paraId="1BCFB4CC" w14:textId="6ADF8AF9" w:rsidR="007B4994" w:rsidRPr="00F349AE" w:rsidRDefault="00911AAA" w:rsidP="00D2390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No</w:t>
            </w:r>
            <w:r w:rsidR="00D2390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se especifica</w:t>
            </w:r>
          </w:p>
        </w:tc>
        <w:tc>
          <w:tcPr>
            <w:tcW w:w="1720" w:type="dxa"/>
          </w:tcPr>
          <w:p w14:paraId="407D5C59" w14:textId="77777777" w:rsidR="007B4994" w:rsidRPr="00F349AE" w:rsidRDefault="007B4994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F922E5" w:rsidRPr="00F349AE" w14:paraId="5EEE6466" w14:textId="244C9CFF" w:rsidTr="00F922E5">
        <w:trPr>
          <w:cantSplit/>
        </w:trPr>
        <w:tc>
          <w:tcPr>
            <w:tcW w:w="1560" w:type="dxa"/>
          </w:tcPr>
          <w:p w14:paraId="5F3CFABC" w14:textId="5ACFA4DE" w:rsidR="007B4994" w:rsidRPr="00F349AE" w:rsidRDefault="00D2390E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Personal</w:t>
            </w:r>
          </w:p>
        </w:tc>
        <w:tc>
          <w:tcPr>
            <w:tcW w:w="4320" w:type="dxa"/>
          </w:tcPr>
          <w:p w14:paraId="416BD5BD" w14:textId="76003F36" w:rsidR="007B4994" w:rsidRPr="00F349AE" w:rsidRDefault="00F349AE" w:rsidP="00F349A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Sin decisión del CP</w:t>
            </w:r>
          </w:p>
        </w:tc>
        <w:tc>
          <w:tcPr>
            <w:tcW w:w="3120" w:type="dxa"/>
          </w:tcPr>
          <w:p w14:paraId="18E252E9" w14:textId="2EA294C4" w:rsidR="00981711" w:rsidRPr="00F349AE" w:rsidRDefault="00F349AE" w:rsidP="00E20766">
            <w:pPr>
              <w:autoSpaceDE w:val="0"/>
              <w:adjustRightInd w:val="0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Según el Anexo </w:t>
            </w:r>
            <w:r w:rsidR="00981711"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3 </w:t>
            </w:r>
            <w:r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del informe de la reunión </w:t>
            </w:r>
            <w:r w:rsidR="00981711"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SC52</w:t>
            </w:r>
            <w:r w:rsidR="0042527E"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>:</w:t>
            </w:r>
          </w:p>
          <w:p w14:paraId="58E894C6" w14:textId="68670AD9" w:rsidR="0042527E" w:rsidRPr="00F349AE" w:rsidRDefault="007B4994" w:rsidP="0042527E">
            <w:pPr>
              <w:autoSpaceDE w:val="0"/>
              <w:adjustRightInd w:val="0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Australia, </w:t>
            </w:r>
            <w:r w:rsidR="004609B4"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Canadá</w:t>
            </w:r>
            <w:r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, </w:t>
            </w:r>
            <w:r w:rsidR="00F349AE"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Estados Unidos de América, </w:t>
            </w:r>
            <w:r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Nepal, </w:t>
            </w:r>
            <w:r w:rsidR="00281EAC"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República de Corea</w:t>
            </w:r>
            <w:r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, </w:t>
            </w:r>
            <w:r w:rsidR="00917735"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>Rumania</w:t>
            </w:r>
            <w:r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, Senegal, </w:t>
            </w:r>
            <w:r w:rsidR="00917735"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>Sudáfrica</w:t>
            </w:r>
            <w:r w:rsidR="00F349AE"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y</w:t>
            </w:r>
            <w:r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Uruguay.</w:t>
            </w:r>
          </w:p>
          <w:p w14:paraId="36E4FE36" w14:textId="77777777" w:rsidR="004E2C96" w:rsidRPr="00F349AE" w:rsidRDefault="004E2C96" w:rsidP="0042527E">
            <w:pPr>
              <w:autoSpaceDE w:val="0"/>
              <w:adjustRightInd w:val="0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</w:p>
          <w:p w14:paraId="7A62DADA" w14:textId="1EE9072A" w:rsidR="0042527E" w:rsidRPr="00F349AE" w:rsidRDefault="00917735" w:rsidP="0042527E">
            <w:pPr>
              <w:autoSpaceDE w:val="0"/>
              <w:adjustRightInd w:val="0"/>
              <w:rPr>
                <w:rFonts w:asciiTheme="minorHAnsi" w:hAnsiTheme="minorHAnsi" w:cs="Arial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>Presidencia:</w:t>
            </w:r>
            <w:r w:rsidR="0042527E"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 xml:space="preserve"> </w:t>
            </w:r>
            <w:r w:rsidR="004609B4" w:rsidRPr="00F349AE">
              <w:rPr>
                <w:rFonts w:asciiTheme="minorHAnsi" w:hAnsiTheme="minorHAnsi" w:cs="Arial"/>
                <w:sz w:val="20"/>
                <w:szCs w:val="20"/>
                <w:lang w:val="es-ES_tradnl"/>
              </w:rPr>
              <w:t>Canadá</w:t>
            </w:r>
          </w:p>
        </w:tc>
        <w:tc>
          <w:tcPr>
            <w:tcW w:w="1720" w:type="dxa"/>
          </w:tcPr>
          <w:p w14:paraId="3D72C5CC" w14:textId="419FCB2A" w:rsidR="007B4994" w:rsidRPr="00F349AE" w:rsidRDefault="00F349AE" w:rsidP="00F349A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Grupo de Trabajo Administrativo (no se especifica)</w:t>
            </w:r>
          </w:p>
        </w:tc>
        <w:tc>
          <w:tcPr>
            <w:tcW w:w="1720" w:type="dxa"/>
          </w:tcPr>
          <w:p w14:paraId="771AEC76" w14:textId="33349B59" w:rsidR="007B4994" w:rsidRPr="00F349AE" w:rsidRDefault="00F349AE" w:rsidP="00F349A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La presidencia confirma que se completó su mandato</w:t>
            </w:r>
            <w:r w:rsidR="00911AAA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en la reunión </w:t>
            </w:r>
            <w:r w:rsidR="00911AAA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SC52</w:t>
            </w:r>
          </w:p>
        </w:tc>
        <w:tc>
          <w:tcPr>
            <w:tcW w:w="1720" w:type="dxa"/>
          </w:tcPr>
          <w:p w14:paraId="2A2FB43C" w14:textId="2FC1F3BC" w:rsidR="007B4994" w:rsidRPr="00F349AE" w:rsidRDefault="007B4994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</w:tr>
      <w:tr w:rsidR="00F922E5" w:rsidRPr="00F349AE" w14:paraId="0C8194C7" w14:textId="03223439" w:rsidTr="00F922E5">
        <w:trPr>
          <w:cantSplit/>
        </w:trPr>
        <w:tc>
          <w:tcPr>
            <w:tcW w:w="1560" w:type="dxa"/>
          </w:tcPr>
          <w:p w14:paraId="7A8E8EDE" w14:textId="196FDF43" w:rsidR="007B4994" w:rsidRPr="00F349AE" w:rsidRDefault="00F349AE" w:rsidP="00F349A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lastRenderedPageBreak/>
              <w:t>Estrategia sobre los idiomas</w:t>
            </w:r>
          </w:p>
        </w:tc>
        <w:tc>
          <w:tcPr>
            <w:tcW w:w="4320" w:type="dxa"/>
          </w:tcPr>
          <w:p w14:paraId="7C5B1268" w14:textId="181FD066" w:rsidR="005838BD" w:rsidRPr="00F349AE" w:rsidRDefault="00F349AE" w:rsidP="00E2076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Sin decisión propiamente dicha del </w:t>
            </w:r>
            <w:r w:rsidR="00CF5131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Comité Permanente</w:t>
            </w:r>
            <w:r w:rsidR="005838BD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  <w:p w14:paraId="7EDA2B2C" w14:textId="77777777" w:rsidR="005838BD" w:rsidRPr="00F349AE" w:rsidRDefault="005838BD" w:rsidP="00E20766">
            <w:pPr>
              <w:rPr>
                <w:rFonts w:asciiTheme="minorHAnsi" w:hAnsiTheme="minorHAnsi"/>
                <w:sz w:val="20"/>
                <w:szCs w:val="20"/>
                <w:lang w:val="es-ES_tradnl"/>
              </w:rPr>
            </w:pPr>
          </w:p>
          <w:p w14:paraId="4A0BD77B" w14:textId="12A21870" w:rsidR="007B4994" w:rsidRPr="00F349AE" w:rsidRDefault="00052ABA" w:rsidP="00052ABA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El CP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en su reunión </w:t>
            </w:r>
            <w:r w:rsidR="005838BD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SC52</w:t>
            </w: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convino en</w:t>
            </w:r>
            <w:r w:rsidR="005838BD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establecer un grupo de trabajo </w:t>
            </w:r>
            <w:r w:rsidRPr="00052ABA">
              <w:rPr>
                <w:rFonts w:asciiTheme="minorHAnsi" w:hAnsiTheme="minorHAnsi"/>
                <w:sz w:val="20"/>
                <w:szCs w:val="20"/>
                <w:lang w:val="es-ES_tradnl"/>
              </w:rPr>
              <w:t>oficioso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de composición abierta </w:t>
            </w: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integrado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al menos por Colombia, los Emiratos Ára</w:t>
            </w: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bes Unidos, los Estados Unidos de América,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Rum</w:t>
            </w: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ania y 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el Senegal </w:t>
            </w:r>
            <w:r w:rsidR="009527CC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para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revisar el mandato que figura en el 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Anexo 1 del documento </w:t>
            </w:r>
            <w:r w:rsidR="005838BD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SC52-03 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y pidió al grupo que </w:t>
            </w: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elaborara un mandato revisado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/>
                <w:sz w:val="20"/>
                <w:szCs w:val="20"/>
                <w:lang w:val="es-ES_tradnl"/>
              </w:rPr>
              <w:t>su examen por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el </w:t>
            </w:r>
            <w:r w:rsidR="009527CC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Comité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 más adelante en la </w:t>
            </w:r>
            <w:r w:rsidR="009527CC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reunión</w:t>
            </w:r>
            <w:r w:rsidR="00F349AE"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3120" w:type="dxa"/>
          </w:tcPr>
          <w:p w14:paraId="435654D6" w14:textId="1AA515D5" w:rsidR="007B4994" w:rsidRPr="00F349AE" w:rsidRDefault="005838BD" w:rsidP="00052ABA">
            <w:pPr>
              <w:suppressAutoHyphens/>
              <w:rPr>
                <w:rFonts w:asciiTheme="minorHAnsi" w:hAnsiTheme="minorHAnsi"/>
                <w:bCs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Colombia, </w:t>
            </w:r>
            <w:r w:rsidR="00052ABA">
              <w:rPr>
                <w:rFonts w:asciiTheme="minorHAnsi" w:hAnsiTheme="minorHAnsi"/>
                <w:sz w:val="20"/>
                <w:szCs w:val="20"/>
                <w:lang w:val="es-ES_tradnl"/>
              </w:rPr>
              <w:t xml:space="preserve">Emiratos Árabes Unidos, Estados Unidos de América, Rumania y </w:t>
            </w:r>
            <w:r w:rsidRPr="00F349AE">
              <w:rPr>
                <w:rFonts w:asciiTheme="minorHAnsi" w:hAnsiTheme="minorHAnsi"/>
                <w:sz w:val="20"/>
                <w:szCs w:val="20"/>
                <w:lang w:val="es-ES_tradnl"/>
              </w:rPr>
              <w:t>Senegal</w:t>
            </w:r>
          </w:p>
        </w:tc>
        <w:tc>
          <w:tcPr>
            <w:tcW w:w="1720" w:type="dxa"/>
          </w:tcPr>
          <w:p w14:paraId="087C652F" w14:textId="778D6668" w:rsidR="003C074A" w:rsidRPr="00F349AE" w:rsidRDefault="00A15DA0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CP</w:t>
            </w:r>
            <w:r w:rsidR="003C074A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(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no se especifica)</w:t>
            </w:r>
          </w:p>
          <w:p w14:paraId="39EE880B" w14:textId="371ACCB2" w:rsidR="005838BD" w:rsidRPr="00F349AE" w:rsidRDefault="00F349AE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No está claro quién preside.</w:t>
            </w:r>
          </w:p>
          <w:p w14:paraId="6D9AE8B5" w14:textId="77777777" w:rsidR="00247DE3" w:rsidRPr="00F349AE" w:rsidRDefault="00247DE3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  <w:p w14:paraId="6D338C83" w14:textId="695DD440" w:rsidR="007B4994" w:rsidRPr="00F349AE" w:rsidRDefault="005838BD" w:rsidP="00F349A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Not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a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: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Según el pár</w:t>
            </w:r>
            <w:r w:rsidR="00CF513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rafo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  <w:r w:rsidR="00495E3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28 </w:t>
            </w:r>
            <w:r w:rsidR="00CF513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de la Resolución </w:t>
            </w:r>
            <w:r w:rsidR="00495E3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XII.3, 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el </w:t>
            </w:r>
            <w:r w:rsidR="00F349AE" w:rsidRPr="00A15DA0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GTA</w:t>
            </w:r>
            <w:r w:rsidR="00F349AE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supervisa la formulación de la Estrategia</w:t>
            </w:r>
            <w:r w:rsidR="007B4994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720" w:type="dxa"/>
          </w:tcPr>
          <w:p w14:paraId="20D86570" w14:textId="3D1C70C2" w:rsidR="007B4994" w:rsidRPr="00F349AE" w:rsidRDefault="00F349AE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No se especifica </w:t>
            </w:r>
          </w:p>
          <w:p w14:paraId="6DA27579" w14:textId="33500B90" w:rsidR="00F349AE" w:rsidRPr="00F349AE" w:rsidRDefault="00F349AE" w:rsidP="00E20766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</w:p>
        </w:tc>
        <w:tc>
          <w:tcPr>
            <w:tcW w:w="1720" w:type="dxa"/>
          </w:tcPr>
          <w:p w14:paraId="523A1AB0" w14:textId="655DF064" w:rsidR="007B4994" w:rsidRPr="00F349AE" w:rsidRDefault="00F349AE" w:rsidP="00F349AE">
            <w:pPr>
              <w:rPr>
                <w:rFonts w:asciiTheme="minorHAnsi" w:hAnsiTheme="minorHAnsi" w:cs="Calibri"/>
                <w:sz w:val="20"/>
                <w:szCs w:val="20"/>
                <w:lang w:val="es-ES_tradnl"/>
              </w:rPr>
            </w:pP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Aclarar la decisión, el órgano de gobernanza al que se deben presentar los </w:t>
            </w:r>
            <w:r w:rsidR="009527CC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informes</w:t>
            </w:r>
            <w:r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y la presidencia</w:t>
            </w:r>
            <w:r w:rsidR="00247DE3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.</w:t>
            </w:r>
            <w:r w:rsidR="00146141" w:rsidRPr="00F349AE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14:paraId="23343117" w14:textId="77777777" w:rsidR="00244E71" w:rsidRPr="00F349AE" w:rsidRDefault="00244E71" w:rsidP="00563CF8">
      <w:pPr>
        <w:suppressAutoHyphens/>
        <w:rPr>
          <w:rFonts w:asciiTheme="minorHAnsi" w:hAnsiTheme="minorHAnsi"/>
          <w:sz w:val="18"/>
          <w:szCs w:val="18"/>
          <w:lang w:val="es-ES_tradnl"/>
        </w:rPr>
      </w:pPr>
    </w:p>
    <w:sectPr w:rsidR="00244E71" w:rsidRPr="00F349AE" w:rsidSect="00B9297A">
      <w:footerReference w:type="default" r:id="rId15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10B04" w14:textId="77777777" w:rsidR="00A15DA0" w:rsidRDefault="00A15DA0" w:rsidP="00FF697B">
      <w:r>
        <w:separator/>
      </w:r>
    </w:p>
  </w:endnote>
  <w:endnote w:type="continuationSeparator" w:id="0">
    <w:p w14:paraId="211BB2EA" w14:textId="77777777" w:rsidR="00A15DA0" w:rsidRDefault="00A15DA0" w:rsidP="00FF697B">
      <w:r>
        <w:continuationSeparator/>
      </w:r>
    </w:p>
  </w:endnote>
  <w:endnote w:type="continuationNotice" w:id="1">
    <w:p w14:paraId="551021CF" w14:textId="77777777" w:rsidR="00A15DA0" w:rsidRDefault="00A15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C8772" w14:textId="77777777" w:rsidR="00A15DA0" w:rsidRDefault="00A15D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701008775"/>
      <w:docPartObj>
        <w:docPartGallery w:val="Page Numbers (Bottom of Page)"/>
        <w:docPartUnique/>
      </w:docPartObj>
    </w:sdtPr>
    <w:sdtEndPr/>
    <w:sdtContent>
      <w:p w14:paraId="20FC02BB" w14:textId="64ACD797" w:rsidR="00A15DA0" w:rsidRPr="002714E9" w:rsidRDefault="00A15DA0" w:rsidP="00625F54">
        <w:pPr>
          <w:pStyle w:val="Footer"/>
          <w:tabs>
            <w:tab w:val="clear" w:pos="9360"/>
            <w:tab w:val="right" w:pos="4680"/>
            <w:tab w:val="right" w:pos="9072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SC53-05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625F54">
          <w:rPr>
            <w:rFonts w:asciiTheme="minorHAnsi" w:hAnsiTheme="minorHAnsi"/>
            <w:sz w:val="20"/>
            <w:szCs w:val="20"/>
          </w:rPr>
          <w:fldChar w:fldCharType="begin"/>
        </w:r>
        <w:r w:rsidRPr="00625F5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25F54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</w:t>
        </w:r>
        <w:r w:rsidRPr="00625F54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F4C0" w14:textId="77777777" w:rsidR="00A15DA0" w:rsidRDefault="00A15DA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413752203"/>
      <w:docPartObj>
        <w:docPartGallery w:val="Page Numbers (Bottom of Page)"/>
        <w:docPartUnique/>
      </w:docPartObj>
    </w:sdtPr>
    <w:sdtEndPr/>
    <w:sdtContent>
      <w:p w14:paraId="1D9623A6" w14:textId="77777777" w:rsidR="00A15DA0" w:rsidRPr="002714E9" w:rsidRDefault="00A15DA0" w:rsidP="00B9297A">
        <w:pPr>
          <w:pStyle w:val="Footer"/>
          <w:tabs>
            <w:tab w:val="clear" w:pos="9360"/>
            <w:tab w:val="right" w:pos="4680"/>
            <w:tab w:val="right" w:pos="14160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SC53-05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625F54">
          <w:rPr>
            <w:rFonts w:asciiTheme="minorHAnsi" w:hAnsiTheme="minorHAnsi"/>
            <w:sz w:val="20"/>
            <w:szCs w:val="20"/>
          </w:rPr>
          <w:fldChar w:fldCharType="begin"/>
        </w:r>
        <w:r w:rsidRPr="00625F5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25F54">
          <w:rPr>
            <w:rFonts w:asciiTheme="minorHAnsi" w:hAnsiTheme="minorHAnsi"/>
            <w:sz w:val="20"/>
            <w:szCs w:val="20"/>
          </w:rPr>
          <w:fldChar w:fldCharType="separate"/>
        </w:r>
        <w:r w:rsidR="00EB5479">
          <w:rPr>
            <w:rFonts w:asciiTheme="minorHAnsi" w:hAnsiTheme="minorHAnsi"/>
            <w:noProof/>
            <w:sz w:val="20"/>
            <w:szCs w:val="20"/>
          </w:rPr>
          <w:t>4</w:t>
        </w:r>
        <w:r w:rsidRPr="00625F54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DA5F6" w14:textId="77777777" w:rsidR="00A15DA0" w:rsidRDefault="00A15DA0" w:rsidP="00FF697B">
      <w:r>
        <w:separator/>
      </w:r>
    </w:p>
  </w:footnote>
  <w:footnote w:type="continuationSeparator" w:id="0">
    <w:p w14:paraId="0EF091F8" w14:textId="77777777" w:rsidR="00A15DA0" w:rsidRDefault="00A15DA0" w:rsidP="00FF697B">
      <w:r>
        <w:continuationSeparator/>
      </w:r>
    </w:p>
  </w:footnote>
  <w:footnote w:type="continuationNotice" w:id="1">
    <w:p w14:paraId="697563C4" w14:textId="77777777" w:rsidR="00A15DA0" w:rsidRDefault="00A15D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03C8B" w14:textId="77777777" w:rsidR="00A15DA0" w:rsidRDefault="00A15D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7A491" w14:textId="77777777" w:rsidR="00A15DA0" w:rsidRDefault="00A15D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44568" w14:textId="77777777" w:rsidR="00A15DA0" w:rsidRDefault="00A15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636"/>
    <w:multiLevelType w:val="hybridMultilevel"/>
    <w:tmpl w:val="A85070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0313A"/>
    <w:multiLevelType w:val="hybridMultilevel"/>
    <w:tmpl w:val="EE8E56A8"/>
    <w:lvl w:ilvl="0" w:tplc="6E52E126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334E"/>
    <w:multiLevelType w:val="hybridMultilevel"/>
    <w:tmpl w:val="B44078A2"/>
    <w:lvl w:ilvl="0" w:tplc="658AE42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9191A"/>
    <w:multiLevelType w:val="hybridMultilevel"/>
    <w:tmpl w:val="38208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51D"/>
    <w:multiLevelType w:val="hybridMultilevel"/>
    <w:tmpl w:val="93B64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352F7"/>
    <w:multiLevelType w:val="hybridMultilevel"/>
    <w:tmpl w:val="0FFA491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640A9"/>
    <w:multiLevelType w:val="hybridMultilevel"/>
    <w:tmpl w:val="99AE46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B4126"/>
    <w:multiLevelType w:val="hybridMultilevel"/>
    <w:tmpl w:val="8134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F4D9C"/>
    <w:multiLevelType w:val="hybridMultilevel"/>
    <w:tmpl w:val="8134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29D2"/>
    <w:multiLevelType w:val="hybridMultilevel"/>
    <w:tmpl w:val="EBE07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079EE"/>
    <w:multiLevelType w:val="hybridMultilevel"/>
    <w:tmpl w:val="7827268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E9D24C1"/>
    <w:multiLevelType w:val="hybridMultilevel"/>
    <w:tmpl w:val="66A421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B1"/>
    <w:rsid w:val="00004350"/>
    <w:rsid w:val="000119F7"/>
    <w:rsid w:val="00015F2A"/>
    <w:rsid w:val="0002346E"/>
    <w:rsid w:val="00032C51"/>
    <w:rsid w:val="00033522"/>
    <w:rsid w:val="00034FCE"/>
    <w:rsid w:val="00041AFD"/>
    <w:rsid w:val="0004706C"/>
    <w:rsid w:val="00051CDC"/>
    <w:rsid w:val="00052ABA"/>
    <w:rsid w:val="0005674C"/>
    <w:rsid w:val="00056F13"/>
    <w:rsid w:val="00057770"/>
    <w:rsid w:val="0007167A"/>
    <w:rsid w:val="000728A7"/>
    <w:rsid w:val="00073599"/>
    <w:rsid w:val="00073D03"/>
    <w:rsid w:val="000748DD"/>
    <w:rsid w:val="00075C79"/>
    <w:rsid w:val="0007671F"/>
    <w:rsid w:val="000776D5"/>
    <w:rsid w:val="00080B42"/>
    <w:rsid w:val="000815CF"/>
    <w:rsid w:val="00081961"/>
    <w:rsid w:val="0008587D"/>
    <w:rsid w:val="00085F0B"/>
    <w:rsid w:val="00092540"/>
    <w:rsid w:val="00094BDE"/>
    <w:rsid w:val="00095D96"/>
    <w:rsid w:val="00097A4D"/>
    <w:rsid w:val="000A170F"/>
    <w:rsid w:val="000A5223"/>
    <w:rsid w:val="000A6728"/>
    <w:rsid w:val="000A6883"/>
    <w:rsid w:val="000A6DBA"/>
    <w:rsid w:val="000B3C8C"/>
    <w:rsid w:val="000B4FCC"/>
    <w:rsid w:val="000B6927"/>
    <w:rsid w:val="000B76D5"/>
    <w:rsid w:val="000C15BC"/>
    <w:rsid w:val="000C3675"/>
    <w:rsid w:val="000C3A4A"/>
    <w:rsid w:val="000C47C6"/>
    <w:rsid w:val="000C7803"/>
    <w:rsid w:val="000D7DA1"/>
    <w:rsid w:val="000E0050"/>
    <w:rsid w:val="000E0DD8"/>
    <w:rsid w:val="000E19EC"/>
    <w:rsid w:val="000F1D6E"/>
    <w:rsid w:val="00100425"/>
    <w:rsid w:val="001006BE"/>
    <w:rsid w:val="00100888"/>
    <w:rsid w:val="00104BBE"/>
    <w:rsid w:val="0010584A"/>
    <w:rsid w:val="0011563D"/>
    <w:rsid w:val="00117941"/>
    <w:rsid w:val="00122CC8"/>
    <w:rsid w:val="001233DE"/>
    <w:rsid w:val="001265E0"/>
    <w:rsid w:val="001306F4"/>
    <w:rsid w:val="0013075D"/>
    <w:rsid w:val="001348B6"/>
    <w:rsid w:val="0013737A"/>
    <w:rsid w:val="00141D72"/>
    <w:rsid w:val="00141F99"/>
    <w:rsid w:val="00144A9F"/>
    <w:rsid w:val="00144B08"/>
    <w:rsid w:val="00145C49"/>
    <w:rsid w:val="00146141"/>
    <w:rsid w:val="001468BD"/>
    <w:rsid w:val="00146F43"/>
    <w:rsid w:val="001507BD"/>
    <w:rsid w:val="0016067D"/>
    <w:rsid w:val="00171D5D"/>
    <w:rsid w:val="00172DDC"/>
    <w:rsid w:val="0017359A"/>
    <w:rsid w:val="00174630"/>
    <w:rsid w:val="00175E9A"/>
    <w:rsid w:val="001803EE"/>
    <w:rsid w:val="0018143E"/>
    <w:rsid w:val="00183139"/>
    <w:rsid w:val="001831FF"/>
    <w:rsid w:val="00183A30"/>
    <w:rsid w:val="00185A44"/>
    <w:rsid w:val="001914E0"/>
    <w:rsid w:val="00191F11"/>
    <w:rsid w:val="00193512"/>
    <w:rsid w:val="00193B67"/>
    <w:rsid w:val="001956F9"/>
    <w:rsid w:val="00196C03"/>
    <w:rsid w:val="001A0160"/>
    <w:rsid w:val="001A0A50"/>
    <w:rsid w:val="001A6258"/>
    <w:rsid w:val="001A6E77"/>
    <w:rsid w:val="001B1570"/>
    <w:rsid w:val="001B361B"/>
    <w:rsid w:val="001B3DFA"/>
    <w:rsid w:val="001C02DA"/>
    <w:rsid w:val="001C3563"/>
    <w:rsid w:val="001C64CD"/>
    <w:rsid w:val="001C7254"/>
    <w:rsid w:val="001D0F43"/>
    <w:rsid w:val="001D265C"/>
    <w:rsid w:val="001D267A"/>
    <w:rsid w:val="001D2EF9"/>
    <w:rsid w:val="001D4A5C"/>
    <w:rsid w:val="001E3547"/>
    <w:rsid w:val="001E4E55"/>
    <w:rsid w:val="001F068E"/>
    <w:rsid w:val="001F0EA9"/>
    <w:rsid w:val="001F1FBB"/>
    <w:rsid w:val="001F2436"/>
    <w:rsid w:val="001F29E8"/>
    <w:rsid w:val="001F7413"/>
    <w:rsid w:val="00211058"/>
    <w:rsid w:val="00212D24"/>
    <w:rsid w:val="00216AE2"/>
    <w:rsid w:val="00217039"/>
    <w:rsid w:val="00231D2A"/>
    <w:rsid w:val="0023407E"/>
    <w:rsid w:val="00242766"/>
    <w:rsid w:val="00243645"/>
    <w:rsid w:val="002447E7"/>
    <w:rsid w:val="00244E71"/>
    <w:rsid w:val="00246DD0"/>
    <w:rsid w:val="00247DE3"/>
    <w:rsid w:val="002514F1"/>
    <w:rsid w:val="00254868"/>
    <w:rsid w:val="00262074"/>
    <w:rsid w:val="002646FA"/>
    <w:rsid w:val="00265BF4"/>
    <w:rsid w:val="002660B1"/>
    <w:rsid w:val="002714E9"/>
    <w:rsid w:val="00274F38"/>
    <w:rsid w:val="00281EAC"/>
    <w:rsid w:val="002835A3"/>
    <w:rsid w:val="00285528"/>
    <w:rsid w:val="002934B0"/>
    <w:rsid w:val="002953F3"/>
    <w:rsid w:val="002A0507"/>
    <w:rsid w:val="002A65F4"/>
    <w:rsid w:val="002A68B2"/>
    <w:rsid w:val="002A6CCF"/>
    <w:rsid w:val="002A7106"/>
    <w:rsid w:val="002B1E27"/>
    <w:rsid w:val="002B2567"/>
    <w:rsid w:val="002B42B8"/>
    <w:rsid w:val="002B4F2F"/>
    <w:rsid w:val="002B7D26"/>
    <w:rsid w:val="002C0479"/>
    <w:rsid w:val="002C0555"/>
    <w:rsid w:val="002C1151"/>
    <w:rsid w:val="002C2BC7"/>
    <w:rsid w:val="002C478C"/>
    <w:rsid w:val="002C537A"/>
    <w:rsid w:val="002D26A3"/>
    <w:rsid w:val="002D6856"/>
    <w:rsid w:val="002E0642"/>
    <w:rsid w:val="002E59C8"/>
    <w:rsid w:val="002E5D19"/>
    <w:rsid w:val="002E64DF"/>
    <w:rsid w:val="002F21B9"/>
    <w:rsid w:val="002F505B"/>
    <w:rsid w:val="002F58A7"/>
    <w:rsid w:val="002F7CA7"/>
    <w:rsid w:val="00304E57"/>
    <w:rsid w:val="003104DC"/>
    <w:rsid w:val="00322024"/>
    <w:rsid w:val="0032502F"/>
    <w:rsid w:val="00325679"/>
    <w:rsid w:val="00325BA9"/>
    <w:rsid w:val="00326F22"/>
    <w:rsid w:val="003320A7"/>
    <w:rsid w:val="00337C92"/>
    <w:rsid w:val="003417FD"/>
    <w:rsid w:val="00363972"/>
    <w:rsid w:val="00367C42"/>
    <w:rsid w:val="003730B7"/>
    <w:rsid w:val="003733E1"/>
    <w:rsid w:val="00376063"/>
    <w:rsid w:val="00376DDC"/>
    <w:rsid w:val="00382E89"/>
    <w:rsid w:val="0038769A"/>
    <w:rsid w:val="00390253"/>
    <w:rsid w:val="003915FB"/>
    <w:rsid w:val="00391C56"/>
    <w:rsid w:val="00392B8E"/>
    <w:rsid w:val="00392E1D"/>
    <w:rsid w:val="003A2BC9"/>
    <w:rsid w:val="003A5B45"/>
    <w:rsid w:val="003B050A"/>
    <w:rsid w:val="003B253B"/>
    <w:rsid w:val="003B5014"/>
    <w:rsid w:val="003B51DE"/>
    <w:rsid w:val="003C074A"/>
    <w:rsid w:val="003C128F"/>
    <w:rsid w:val="003C20FF"/>
    <w:rsid w:val="003C36FA"/>
    <w:rsid w:val="003C6A54"/>
    <w:rsid w:val="003E0E4E"/>
    <w:rsid w:val="003E11F9"/>
    <w:rsid w:val="003F2F88"/>
    <w:rsid w:val="003F7B34"/>
    <w:rsid w:val="004001F8"/>
    <w:rsid w:val="00400BE4"/>
    <w:rsid w:val="004070EF"/>
    <w:rsid w:val="00407F93"/>
    <w:rsid w:val="00412E08"/>
    <w:rsid w:val="004203DA"/>
    <w:rsid w:val="00420519"/>
    <w:rsid w:val="00421F7B"/>
    <w:rsid w:val="00423D8B"/>
    <w:rsid w:val="0042527E"/>
    <w:rsid w:val="004255E3"/>
    <w:rsid w:val="0043117A"/>
    <w:rsid w:val="00434554"/>
    <w:rsid w:val="00437D89"/>
    <w:rsid w:val="0044134E"/>
    <w:rsid w:val="00442734"/>
    <w:rsid w:val="004427DB"/>
    <w:rsid w:val="00443268"/>
    <w:rsid w:val="0044637F"/>
    <w:rsid w:val="00446641"/>
    <w:rsid w:val="0045375E"/>
    <w:rsid w:val="00454E40"/>
    <w:rsid w:val="00456306"/>
    <w:rsid w:val="004579A4"/>
    <w:rsid w:val="00457E6A"/>
    <w:rsid w:val="004609B4"/>
    <w:rsid w:val="004611F7"/>
    <w:rsid w:val="00462967"/>
    <w:rsid w:val="00463DC1"/>
    <w:rsid w:val="00465FD0"/>
    <w:rsid w:val="0046748E"/>
    <w:rsid w:val="00471F03"/>
    <w:rsid w:val="004731DE"/>
    <w:rsid w:val="004819CC"/>
    <w:rsid w:val="00482DC9"/>
    <w:rsid w:val="00486CC9"/>
    <w:rsid w:val="00487333"/>
    <w:rsid w:val="00487F19"/>
    <w:rsid w:val="00492C73"/>
    <w:rsid w:val="00495E31"/>
    <w:rsid w:val="004A08F0"/>
    <w:rsid w:val="004A7FDB"/>
    <w:rsid w:val="004B4F43"/>
    <w:rsid w:val="004B5F26"/>
    <w:rsid w:val="004C3C9F"/>
    <w:rsid w:val="004C7A23"/>
    <w:rsid w:val="004D7848"/>
    <w:rsid w:val="004E0CD8"/>
    <w:rsid w:val="004E1F6C"/>
    <w:rsid w:val="004E2C96"/>
    <w:rsid w:val="004E6521"/>
    <w:rsid w:val="004F034D"/>
    <w:rsid w:val="004F104E"/>
    <w:rsid w:val="004F5DCB"/>
    <w:rsid w:val="004F5DCD"/>
    <w:rsid w:val="004F6B70"/>
    <w:rsid w:val="004F6FD2"/>
    <w:rsid w:val="00500752"/>
    <w:rsid w:val="00504F5D"/>
    <w:rsid w:val="005115F2"/>
    <w:rsid w:val="00513CCC"/>
    <w:rsid w:val="005153CF"/>
    <w:rsid w:val="005243E7"/>
    <w:rsid w:val="005312F9"/>
    <w:rsid w:val="00531CEE"/>
    <w:rsid w:val="00532FA8"/>
    <w:rsid w:val="00533213"/>
    <w:rsid w:val="00534542"/>
    <w:rsid w:val="00536004"/>
    <w:rsid w:val="00536ED0"/>
    <w:rsid w:val="0053736B"/>
    <w:rsid w:val="005412DB"/>
    <w:rsid w:val="005438B3"/>
    <w:rsid w:val="00545DA3"/>
    <w:rsid w:val="00546397"/>
    <w:rsid w:val="005502D2"/>
    <w:rsid w:val="005518CD"/>
    <w:rsid w:val="005522A4"/>
    <w:rsid w:val="005526B6"/>
    <w:rsid w:val="00552FAB"/>
    <w:rsid w:val="005537B6"/>
    <w:rsid w:val="005630B6"/>
    <w:rsid w:val="00563CF8"/>
    <w:rsid w:val="005667AA"/>
    <w:rsid w:val="00567CD8"/>
    <w:rsid w:val="005754A8"/>
    <w:rsid w:val="0057681F"/>
    <w:rsid w:val="00581EC3"/>
    <w:rsid w:val="00582948"/>
    <w:rsid w:val="005838BD"/>
    <w:rsid w:val="00587498"/>
    <w:rsid w:val="005904C0"/>
    <w:rsid w:val="00590622"/>
    <w:rsid w:val="00592107"/>
    <w:rsid w:val="00593665"/>
    <w:rsid w:val="00593699"/>
    <w:rsid w:val="00596A96"/>
    <w:rsid w:val="005A267F"/>
    <w:rsid w:val="005A4493"/>
    <w:rsid w:val="005A592B"/>
    <w:rsid w:val="005B3EE4"/>
    <w:rsid w:val="005B581C"/>
    <w:rsid w:val="005B769D"/>
    <w:rsid w:val="005C02C7"/>
    <w:rsid w:val="005C1CE1"/>
    <w:rsid w:val="005C70BC"/>
    <w:rsid w:val="005C7FC8"/>
    <w:rsid w:val="005D2A79"/>
    <w:rsid w:val="005D5FFC"/>
    <w:rsid w:val="005D6089"/>
    <w:rsid w:val="005D7F8A"/>
    <w:rsid w:val="005E00E0"/>
    <w:rsid w:val="005E0D1B"/>
    <w:rsid w:val="005E0FAD"/>
    <w:rsid w:val="005E2530"/>
    <w:rsid w:val="005E538D"/>
    <w:rsid w:val="005F12F2"/>
    <w:rsid w:val="005F3A91"/>
    <w:rsid w:val="005F4ABE"/>
    <w:rsid w:val="00603A2B"/>
    <w:rsid w:val="006049C2"/>
    <w:rsid w:val="00615300"/>
    <w:rsid w:val="00617BD2"/>
    <w:rsid w:val="00623BD2"/>
    <w:rsid w:val="00625F54"/>
    <w:rsid w:val="00631532"/>
    <w:rsid w:val="006368E9"/>
    <w:rsid w:val="00636CC5"/>
    <w:rsid w:val="00636D94"/>
    <w:rsid w:val="006422BC"/>
    <w:rsid w:val="00643BB9"/>
    <w:rsid w:val="0064410B"/>
    <w:rsid w:val="0064540F"/>
    <w:rsid w:val="00645412"/>
    <w:rsid w:val="00645924"/>
    <w:rsid w:val="00645FEF"/>
    <w:rsid w:val="0064751D"/>
    <w:rsid w:val="00651E2D"/>
    <w:rsid w:val="00657000"/>
    <w:rsid w:val="00663E06"/>
    <w:rsid w:val="006654EC"/>
    <w:rsid w:val="00667F55"/>
    <w:rsid w:val="00670B70"/>
    <w:rsid w:val="00680A3C"/>
    <w:rsid w:val="00680D7D"/>
    <w:rsid w:val="006820B0"/>
    <w:rsid w:val="00685DA0"/>
    <w:rsid w:val="00686C81"/>
    <w:rsid w:val="00690773"/>
    <w:rsid w:val="00694AC4"/>
    <w:rsid w:val="006961B7"/>
    <w:rsid w:val="006A2B9F"/>
    <w:rsid w:val="006A36AA"/>
    <w:rsid w:val="006A4A76"/>
    <w:rsid w:val="006A724E"/>
    <w:rsid w:val="006B1283"/>
    <w:rsid w:val="006B4781"/>
    <w:rsid w:val="006B4949"/>
    <w:rsid w:val="006B6339"/>
    <w:rsid w:val="006C36BC"/>
    <w:rsid w:val="006D0C5F"/>
    <w:rsid w:val="006D12B3"/>
    <w:rsid w:val="006D33A4"/>
    <w:rsid w:val="006D389E"/>
    <w:rsid w:val="006D5AC9"/>
    <w:rsid w:val="006E1600"/>
    <w:rsid w:val="006E19DD"/>
    <w:rsid w:val="006E2CDC"/>
    <w:rsid w:val="006E3610"/>
    <w:rsid w:val="006E38B1"/>
    <w:rsid w:val="006E4B1A"/>
    <w:rsid w:val="006F04B1"/>
    <w:rsid w:val="006F4786"/>
    <w:rsid w:val="006F4CCD"/>
    <w:rsid w:val="006F5379"/>
    <w:rsid w:val="00703BEF"/>
    <w:rsid w:val="00704C4D"/>
    <w:rsid w:val="007052DF"/>
    <w:rsid w:val="007055B0"/>
    <w:rsid w:val="00716442"/>
    <w:rsid w:val="00720D5C"/>
    <w:rsid w:val="00722BC8"/>
    <w:rsid w:val="0073065B"/>
    <w:rsid w:val="00735D60"/>
    <w:rsid w:val="0074053A"/>
    <w:rsid w:val="00741944"/>
    <w:rsid w:val="00742373"/>
    <w:rsid w:val="007426F1"/>
    <w:rsid w:val="00745CBE"/>
    <w:rsid w:val="00750840"/>
    <w:rsid w:val="00753168"/>
    <w:rsid w:val="00753404"/>
    <w:rsid w:val="00756469"/>
    <w:rsid w:val="00760D4B"/>
    <w:rsid w:val="007613B5"/>
    <w:rsid w:val="00764684"/>
    <w:rsid w:val="00764973"/>
    <w:rsid w:val="0076512D"/>
    <w:rsid w:val="0077081D"/>
    <w:rsid w:val="00771876"/>
    <w:rsid w:val="00773FB7"/>
    <w:rsid w:val="00776D8F"/>
    <w:rsid w:val="00776F3B"/>
    <w:rsid w:val="00782506"/>
    <w:rsid w:val="007831BE"/>
    <w:rsid w:val="00783246"/>
    <w:rsid w:val="00784154"/>
    <w:rsid w:val="00787545"/>
    <w:rsid w:val="007A05E9"/>
    <w:rsid w:val="007A16D7"/>
    <w:rsid w:val="007A3EF1"/>
    <w:rsid w:val="007A5606"/>
    <w:rsid w:val="007A738C"/>
    <w:rsid w:val="007B419C"/>
    <w:rsid w:val="007B4994"/>
    <w:rsid w:val="007B5B10"/>
    <w:rsid w:val="007B692D"/>
    <w:rsid w:val="007C49A8"/>
    <w:rsid w:val="007D5BF8"/>
    <w:rsid w:val="007E03FB"/>
    <w:rsid w:val="007E615D"/>
    <w:rsid w:val="007E7B4D"/>
    <w:rsid w:val="007F1AB7"/>
    <w:rsid w:val="007F1BF9"/>
    <w:rsid w:val="007F1E7B"/>
    <w:rsid w:val="007F38E9"/>
    <w:rsid w:val="007F4615"/>
    <w:rsid w:val="00800505"/>
    <w:rsid w:val="00801904"/>
    <w:rsid w:val="0080211B"/>
    <w:rsid w:val="008027BB"/>
    <w:rsid w:val="00803E9B"/>
    <w:rsid w:val="00806209"/>
    <w:rsid w:val="00806CA6"/>
    <w:rsid w:val="00810F0C"/>
    <w:rsid w:val="00811449"/>
    <w:rsid w:val="00812CC5"/>
    <w:rsid w:val="00813DA6"/>
    <w:rsid w:val="00814BA2"/>
    <w:rsid w:val="008172B2"/>
    <w:rsid w:val="008200FA"/>
    <w:rsid w:val="00820D69"/>
    <w:rsid w:val="0082293C"/>
    <w:rsid w:val="00823213"/>
    <w:rsid w:val="0082444A"/>
    <w:rsid w:val="00836DCB"/>
    <w:rsid w:val="00837832"/>
    <w:rsid w:val="00850079"/>
    <w:rsid w:val="008509E3"/>
    <w:rsid w:val="00855588"/>
    <w:rsid w:val="008629FB"/>
    <w:rsid w:val="00863BE9"/>
    <w:rsid w:val="00863FEF"/>
    <w:rsid w:val="00865127"/>
    <w:rsid w:val="0086792D"/>
    <w:rsid w:val="00870DDD"/>
    <w:rsid w:val="00870DF6"/>
    <w:rsid w:val="008723F0"/>
    <w:rsid w:val="00872A6F"/>
    <w:rsid w:val="00872CE0"/>
    <w:rsid w:val="00873D23"/>
    <w:rsid w:val="008769EA"/>
    <w:rsid w:val="0088145B"/>
    <w:rsid w:val="0088481D"/>
    <w:rsid w:val="0089077E"/>
    <w:rsid w:val="00892E1A"/>
    <w:rsid w:val="008932A5"/>
    <w:rsid w:val="0089526A"/>
    <w:rsid w:val="008955B9"/>
    <w:rsid w:val="00896DF7"/>
    <w:rsid w:val="008A0E5B"/>
    <w:rsid w:val="008A43C7"/>
    <w:rsid w:val="008A464B"/>
    <w:rsid w:val="008A6402"/>
    <w:rsid w:val="008A769A"/>
    <w:rsid w:val="008B2CBB"/>
    <w:rsid w:val="008B4E4C"/>
    <w:rsid w:val="008C0144"/>
    <w:rsid w:val="008C29EC"/>
    <w:rsid w:val="008C3FD1"/>
    <w:rsid w:val="008C445B"/>
    <w:rsid w:val="008C67E5"/>
    <w:rsid w:val="008D04F3"/>
    <w:rsid w:val="008D14FE"/>
    <w:rsid w:val="008D470C"/>
    <w:rsid w:val="008E03AA"/>
    <w:rsid w:val="008E23DC"/>
    <w:rsid w:val="008E4ED0"/>
    <w:rsid w:val="008E7A2A"/>
    <w:rsid w:val="008F3B32"/>
    <w:rsid w:val="00903C8E"/>
    <w:rsid w:val="00910240"/>
    <w:rsid w:val="00911AAA"/>
    <w:rsid w:val="00912820"/>
    <w:rsid w:val="00914400"/>
    <w:rsid w:val="00914AF8"/>
    <w:rsid w:val="009157D4"/>
    <w:rsid w:val="00917735"/>
    <w:rsid w:val="0092099E"/>
    <w:rsid w:val="00920D91"/>
    <w:rsid w:val="009211DF"/>
    <w:rsid w:val="00936945"/>
    <w:rsid w:val="00941D6F"/>
    <w:rsid w:val="009425E7"/>
    <w:rsid w:val="00942EE2"/>
    <w:rsid w:val="00943702"/>
    <w:rsid w:val="00947491"/>
    <w:rsid w:val="009527CC"/>
    <w:rsid w:val="00952C58"/>
    <w:rsid w:val="00954E10"/>
    <w:rsid w:val="00955DFF"/>
    <w:rsid w:val="00972799"/>
    <w:rsid w:val="00973329"/>
    <w:rsid w:val="009752E1"/>
    <w:rsid w:val="009759C0"/>
    <w:rsid w:val="0097684F"/>
    <w:rsid w:val="00976B46"/>
    <w:rsid w:val="00981711"/>
    <w:rsid w:val="00981796"/>
    <w:rsid w:val="00981D93"/>
    <w:rsid w:val="00991227"/>
    <w:rsid w:val="0099484B"/>
    <w:rsid w:val="009A0B35"/>
    <w:rsid w:val="009A2101"/>
    <w:rsid w:val="009A2D41"/>
    <w:rsid w:val="009A668D"/>
    <w:rsid w:val="009A7755"/>
    <w:rsid w:val="009B3198"/>
    <w:rsid w:val="009B4F2B"/>
    <w:rsid w:val="009B71D3"/>
    <w:rsid w:val="009C09A7"/>
    <w:rsid w:val="009C1E1B"/>
    <w:rsid w:val="009C69F8"/>
    <w:rsid w:val="009C7F65"/>
    <w:rsid w:val="009D1357"/>
    <w:rsid w:val="009D1E33"/>
    <w:rsid w:val="009D4081"/>
    <w:rsid w:val="009D47E2"/>
    <w:rsid w:val="009D7EE2"/>
    <w:rsid w:val="009E19DD"/>
    <w:rsid w:val="009E6DDA"/>
    <w:rsid w:val="009F1038"/>
    <w:rsid w:val="009F1447"/>
    <w:rsid w:val="00A00944"/>
    <w:rsid w:val="00A00B62"/>
    <w:rsid w:val="00A018CD"/>
    <w:rsid w:val="00A01A17"/>
    <w:rsid w:val="00A01B45"/>
    <w:rsid w:val="00A02F36"/>
    <w:rsid w:val="00A07D4F"/>
    <w:rsid w:val="00A10C01"/>
    <w:rsid w:val="00A10F51"/>
    <w:rsid w:val="00A12993"/>
    <w:rsid w:val="00A14906"/>
    <w:rsid w:val="00A14923"/>
    <w:rsid w:val="00A158A4"/>
    <w:rsid w:val="00A15DA0"/>
    <w:rsid w:val="00A16812"/>
    <w:rsid w:val="00A16BDF"/>
    <w:rsid w:val="00A20CDC"/>
    <w:rsid w:val="00A222EB"/>
    <w:rsid w:val="00A228B2"/>
    <w:rsid w:val="00A2395F"/>
    <w:rsid w:val="00A24E40"/>
    <w:rsid w:val="00A26D43"/>
    <w:rsid w:val="00A36B41"/>
    <w:rsid w:val="00A40160"/>
    <w:rsid w:val="00A4205E"/>
    <w:rsid w:val="00A43C7D"/>
    <w:rsid w:val="00A4645C"/>
    <w:rsid w:val="00A46E45"/>
    <w:rsid w:val="00A5114A"/>
    <w:rsid w:val="00A55093"/>
    <w:rsid w:val="00A563CD"/>
    <w:rsid w:val="00A607D3"/>
    <w:rsid w:val="00A6690C"/>
    <w:rsid w:val="00A7329C"/>
    <w:rsid w:val="00A73C2D"/>
    <w:rsid w:val="00A75EFE"/>
    <w:rsid w:val="00A8161A"/>
    <w:rsid w:val="00A8614B"/>
    <w:rsid w:val="00AA0B82"/>
    <w:rsid w:val="00AA5FEC"/>
    <w:rsid w:val="00AB28A1"/>
    <w:rsid w:val="00AB2BA1"/>
    <w:rsid w:val="00AB2DFF"/>
    <w:rsid w:val="00AB7590"/>
    <w:rsid w:val="00AC06C2"/>
    <w:rsid w:val="00AC384B"/>
    <w:rsid w:val="00AC669A"/>
    <w:rsid w:val="00AD39A4"/>
    <w:rsid w:val="00AD7171"/>
    <w:rsid w:val="00AE05E7"/>
    <w:rsid w:val="00AE1D94"/>
    <w:rsid w:val="00AE6962"/>
    <w:rsid w:val="00AE7072"/>
    <w:rsid w:val="00AF0D7B"/>
    <w:rsid w:val="00AF1FC8"/>
    <w:rsid w:val="00AF2442"/>
    <w:rsid w:val="00AF391D"/>
    <w:rsid w:val="00AF63F3"/>
    <w:rsid w:val="00B03698"/>
    <w:rsid w:val="00B10B09"/>
    <w:rsid w:val="00B12264"/>
    <w:rsid w:val="00B12E52"/>
    <w:rsid w:val="00B14168"/>
    <w:rsid w:val="00B16646"/>
    <w:rsid w:val="00B16D3E"/>
    <w:rsid w:val="00B17166"/>
    <w:rsid w:val="00B30085"/>
    <w:rsid w:val="00B30197"/>
    <w:rsid w:val="00B31BC1"/>
    <w:rsid w:val="00B3451F"/>
    <w:rsid w:val="00B446EE"/>
    <w:rsid w:val="00B447BA"/>
    <w:rsid w:val="00B4614C"/>
    <w:rsid w:val="00B46AF5"/>
    <w:rsid w:val="00B510E2"/>
    <w:rsid w:val="00B5216F"/>
    <w:rsid w:val="00B567D8"/>
    <w:rsid w:val="00B60399"/>
    <w:rsid w:val="00B67E47"/>
    <w:rsid w:val="00B800FF"/>
    <w:rsid w:val="00B80AB7"/>
    <w:rsid w:val="00B8299F"/>
    <w:rsid w:val="00B8388D"/>
    <w:rsid w:val="00B9297A"/>
    <w:rsid w:val="00B94F41"/>
    <w:rsid w:val="00B95C2C"/>
    <w:rsid w:val="00B96189"/>
    <w:rsid w:val="00BA03F1"/>
    <w:rsid w:val="00BA1F7B"/>
    <w:rsid w:val="00BA2127"/>
    <w:rsid w:val="00BA308D"/>
    <w:rsid w:val="00BA4D61"/>
    <w:rsid w:val="00BA4E8B"/>
    <w:rsid w:val="00BA510D"/>
    <w:rsid w:val="00BA67EE"/>
    <w:rsid w:val="00BA6D1A"/>
    <w:rsid w:val="00BA70B5"/>
    <w:rsid w:val="00BA7332"/>
    <w:rsid w:val="00BB14C9"/>
    <w:rsid w:val="00BB6DC1"/>
    <w:rsid w:val="00BC18F9"/>
    <w:rsid w:val="00BC245F"/>
    <w:rsid w:val="00BC2BF9"/>
    <w:rsid w:val="00BC407D"/>
    <w:rsid w:val="00BC621C"/>
    <w:rsid w:val="00BC63FB"/>
    <w:rsid w:val="00BD0330"/>
    <w:rsid w:val="00BD5EA5"/>
    <w:rsid w:val="00BE3602"/>
    <w:rsid w:val="00BE5EAD"/>
    <w:rsid w:val="00BF2E81"/>
    <w:rsid w:val="00BF3184"/>
    <w:rsid w:val="00C00899"/>
    <w:rsid w:val="00C012D2"/>
    <w:rsid w:val="00C05B75"/>
    <w:rsid w:val="00C064B7"/>
    <w:rsid w:val="00C1437F"/>
    <w:rsid w:val="00C14551"/>
    <w:rsid w:val="00C1707F"/>
    <w:rsid w:val="00C17766"/>
    <w:rsid w:val="00C22296"/>
    <w:rsid w:val="00C23D2A"/>
    <w:rsid w:val="00C305AC"/>
    <w:rsid w:val="00C34775"/>
    <w:rsid w:val="00C41585"/>
    <w:rsid w:val="00C442D4"/>
    <w:rsid w:val="00C45363"/>
    <w:rsid w:val="00C4689B"/>
    <w:rsid w:val="00C479C6"/>
    <w:rsid w:val="00C510D7"/>
    <w:rsid w:val="00C53DB5"/>
    <w:rsid w:val="00C545EA"/>
    <w:rsid w:val="00C552A9"/>
    <w:rsid w:val="00C55392"/>
    <w:rsid w:val="00C57997"/>
    <w:rsid w:val="00C606CD"/>
    <w:rsid w:val="00C7225E"/>
    <w:rsid w:val="00C73EC1"/>
    <w:rsid w:val="00C74B34"/>
    <w:rsid w:val="00C770A9"/>
    <w:rsid w:val="00C80D1A"/>
    <w:rsid w:val="00C81BEE"/>
    <w:rsid w:val="00C85DD9"/>
    <w:rsid w:val="00C863DD"/>
    <w:rsid w:val="00C87814"/>
    <w:rsid w:val="00C90A2F"/>
    <w:rsid w:val="00C92309"/>
    <w:rsid w:val="00C931F7"/>
    <w:rsid w:val="00C960C1"/>
    <w:rsid w:val="00CA08AF"/>
    <w:rsid w:val="00CA36DC"/>
    <w:rsid w:val="00CA6667"/>
    <w:rsid w:val="00CA789B"/>
    <w:rsid w:val="00CB2E68"/>
    <w:rsid w:val="00CB4059"/>
    <w:rsid w:val="00CB4D8B"/>
    <w:rsid w:val="00CC018D"/>
    <w:rsid w:val="00CC025E"/>
    <w:rsid w:val="00CC52A6"/>
    <w:rsid w:val="00CD109C"/>
    <w:rsid w:val="00CD15CB"/>
    <w:rsid w:val="00CD26B4"/>
    <w:rsid w:val="00CD4CAA"/>
    <w:rsid w:val="00CD58C0"/>
    <w:rsid w:val="00CD6281"/>
    <w:rsid w:val="00CE06B5"/>
    <w:rsid w:val="00CE31CC"/>
    <w:rsid w:val="00CF5131"/>
    <w:rsid w:val="00CF5500"/>
    <w:rsid w:val="00D0074C"/>
    <w:rsid w:val="00D0389E"/>
    <w:rsid w:val="00D12244"/>
    <w:rsid w:val="00D12798"/>
    <w:rsid w:val="00D21621"/>
    <w:rsid w:val="00D2390E"/>
    <w:rsid w:val="00D252C7"/>
    <w:rsid w:val="00D25BCE"/>
    <w:rsid w:val="00D3141D"/>
    <w:rsid w:val="00D33954"/>
    <w:rsid w:val="00D34BA0"/>
    <w:rsid w:val="00D36866"/>
    <w:rsid w:val="00D416FB"/>
    <w:rsid w:val="00D46554"/>
    <w:rsid w:val="00D55DD9"/>
    <w:rsid w:val="00D56300"/>
    <w:rsid w:val="00D56426"/>
    <w:rsid w:val="00D65945"/>
    <w:rsid w:val="00D71366"/>
    <w:rsid w:val="00D75281"/>
    <w:rsid w:val="00D76D82"/>
    <w:rsid w:val="00D77595"/>
    <w:rsid w:val="00D8166D"/>
    <w:rsid w:val="00D871C9"/>
    <w:rsid w:val="00D91024"/>
    <w:rsid w:val="00D93ED4"/>
    <w:rsid w:val="00D94A4D"/>
    <w:rsid w:val="00D94C75"/>
    <w:rsid w:val="00DA0157"/>
    <w:rsid w:val="00DA1AD8"/>
    <w:rsid w:val="00DB702C"/>
    <w:rsid w:val="00DB7432"/>
    <w:rsid w:val="00DB7D67"/>
    <w:rsid w:val="00DC15A2"/>
    <w:rsid w:val="00DC3C16"/>
    <w:rsid w:val="00DC4D8F"/>
    <w:rsid w:val="00DC50A0"/>
    <w:rsid w:val="00DC7754"/>
    <w:rsid w:val="00DD41D5"/>
    <w:rsid w:val="00DE135D"/>
    <w:rsid w:val="00DE297C"/>
    <w:rsid w:val="00DE3F16"/>
    <w:rsid w:val="00DE6164"/>
    <w:rsid w:val="00DE78E0"/>
    <w:rsid w:val="00DF047C"/>
    <w:rsid w:val="00DF0CB9"/>
    <w:rsid w:val="00DF1E83"/>
    <w:rsid w:val="00DF5AF4"/>
    <w:rsid w:val="00E0080D"/>
    <w:rsid w:val="00E02743"/>
    <w:rsid w:val="00E039B7"/>
    <w:rsid w:val="00E060D7"/>
    <w:rsid w:val="00E06543"/>
    <w:rsid w:val="00E077BC"/>
    <w:rsid w:val="00E07C6E"/>
    <w:rsid w:val="00E10258"/>
    <w:rsid w:val="00E16206"/>
    <w:rsid w:val="00E1787A"/>
    <w:rsid w:val="00E20766"/>
    <w:rsid w:val="00E26DD6"/>
    <w:rsid w:val="00E3356A"/>
    <w:rsid w:val="00E4187D"/>
    <w:rsid w:val="00E4320A"/>
    <w:rsid w:val="00E441CB"/>
    <w:rsid w:val="00E656E6"/>
    <w:rsid w:val="00E6686C"/>
    <w:rsid w:val="00E7270C"/>
    <w:rsid w:val="00E74E07"/>
    <w:rsid w:val="00E77082"/>
    <w:rsid w:val="00E8018B"/>
    <w:rsid w:val="00E8264A"/>
    <w:rsid w:val="00E84A54"/>
    <w:rsid w:val="00E86897"/>
    <w:rsid w:val="00E86D36"/>
    <w:rsid w:val="00E916CA"/>
    <w:rsid w:val="00E929EF"/>
    <w:rsid w:val="00E959F6"/>
    <w:rsid w:val="00EA0F0B"/>
    <w:rsid w:val="00EA1425"/>
    <w:rsid w:val="00EA3FBC"/>
    <w:rsid w:val="00EB17CA"/>
    <w:rsid w:val="00EB3C7C"/>
    <w:rsid w:val="00EB42CB"/>
    <w:rsid w:val="00EB447F"/>
    <w:rsid w:val="00EB4809"/>
    <w:rsid w:val="00EB5479"/>
    <w:rsid w:val="00EB57A4"/>
    <w:rsid w:val="00ED0A71"/>
    <w:rsid w:val="00ED7DD6"/>
    <w:rsid w:val="00EE0E62"/>
    <w:rsid w:val="00EE3663"/>
    <w:rsid w:val="00EE392A"/>
    <w:rsid w:val="00EF17EF"/>
    <w:rsid w:val="00EF2796"/>
    <w:rsid w:val="00EF2B14"/>
    <w:rsid w:val="00EF2E30"/>
    <w:rsid w:val="00EF3281"/>
    <w:rsid w:val="00EF4815"/>
    <w:rsid w:val="00F037E9"/>
    <w:rsid w:val="00F038C4"/>
    <w:rsid w:val="00F05AA5"/>
    <w:rsid w:val="00F110D1"/>
    <w:rsid w:val="00F156CB"/>
    <w:rsid w:val="00F20ED2"/>
    <w:rsid w:val="00F27B0C"/>
    <w:rsid w:val="00F27D1A"/>
    <w:rsid w:val="00F313A0"/>
    <w:rsid w:val="00F328A9"/>
    <w:rsid w:val="00F349AE"/>
    <w:rsid w:val="00F35761"/>
    <w:rsid w:val="00F35784"/>
    <w:rsid w:val="00F36036"/>
    <w:rsid w:val="00F36446"/>
    <w:rsid w:val="00F401EC"/>
    <w:rsid w:val="00F427E1"/>
    <w:rsid w:val="00F507B8"/>
    <w:rsid w:val="00F52119"/>
    <w:rsid w:val="00F545D1"/>
    <w:rsid w:val="00F65FDA"/>
    <w:rsid w:val="00F664F5"/>
    <w:rsid w:val="00F66E12"/>
    <w:rsid w:val="00F73267"/>
    <w:rsid w:val="00F7392D"/>
    <w:rsid w:val="00F8072A"/>
    <w:rsid w:val="00F83445"/>
    <w:rsid w:val="00F83863"/>
    <w:rsid w:val="00F84522"/>
    <w:rsid w:val="00F84764"/>
    <w:rsid w:val="00F85A79"/>
    <w:rsid w:val="00F86463"/>
    <w:rsid w:val="00F922E5"/>
    <w:rsid w:val="00F92825"/>
    <w:rsid w:val="00F93B73"/>
    <w:rsid w:val="00F970A4"/>
    <w:rsid w:val="00FA2B25"/>
    <w:rsid w:val="00FA633D"/>
    <w:rsid w:val="00FB129A"/>
    <w:rsid w:val="00FB3C06"/>
    <w:rsid w:val="00FB4B57"/>
    <w:rsid w:val="00FB5873"/>
    <w:rsid w:val="00FC2FD7"/>
    <w:rsid w:val="00FC4460"/>
    <w:rsid w:val="00FC64A7"/>
    <w:rsid w:val="00FD04F2"/>
    <w:rsid w:val="00FD0F57"/>
    <w:rsid w:val="00FD1E4F"/>
    <w:rsid w:val="00FE0FAB"/>
    <w:rsid w:val="00FE1B86"/>
    <w:rsid w:val="00FE3C74"/>
    <w:rsid w:val="00FE6789"/>
    <w:rsid w:val="00FF0CE5"/>
    <w:rsid w:val="00FF3419"/>
    <w:rsid w:val="00FF5C21"/>
    <w:rsid w:val="00FF697B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7359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735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F99"/>
    <w:rPr>
      <w:b/>
      <w:bCs/>
    </w:rPr>
  </w:style>
  <w:style w:type="paragraph" w:styleId="NormalWeb">
    <w:name w:val="Normal (Web)"/>
    <w:basedOn w:val="Normal"/>
    <w:uiPriority w:val="99"/>
    <w:unhideWhenUsed/>
    <w:rsid w:val="003760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27DB"/>
  </w:style>
  <w:style w:type="character" w:styleId="Emphasis">
    <w:name w:val="Emphasis"/>
    <w:basedOn w:val="DefaultParagraphFont"/>
    <w:uiPriority w:val="20"/>
    <w:qFormat/>
    <w:rsid w:val="004427DB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8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-resume2">
    <w:name w:val="intro-resume2"/>
    <w:basedOn w:val="DefaultParagraphFont"/>
    <w:rsid w:val="00216AE2"/>
    <w:rPr>
      <w:sz w:val="29"/>
      <w:szCs w:val="29"/>
    </w:rPr>
  </w:style>
  <w:style w:type="paragraph" w:styleId="NoSpacing">
    <w:name w:val="No Spacing"/>
    <w:uiPriority w:val="1"/>
    <w:qFormat/>
    <w:rsid w:val="009A0B35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31CEE"/>
    <w:pPr>
      <w:spacing w:before="720" w:after="200" w:line="276" w:lineRule="auto"/>
    </w:pPr>
    <w:rPr>
      <w:rFonts w:asciiTheme="minorHAnsi" w:eastAsiaTheme="minorEastAsia" w:hAnsiTheme="minorHAnsi" w:cstheme="minorBidi"/>
      <w:smallCaps/>
      <w:color w:val="4F81BD" w:themeColor="accent1"/>
      <w:spacing w:val="10"/>
      <w:kern w:val="28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31CEE"/>
    <w:rPr>
      <w:rFonts w:eastAsiaTheme="minorEastAsia"/>
      <w:smallCaps/>
      <w:color w:val="4F81BD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CEE"/>
    <w:pPr>
      <w:spacing w:before="200" w:after="1000"/>
    </w:pPr>
    <w:rPr>
      <w:rFonts w:asciiTheme="minorHAnsi" w:eastAsiaTheme="minorEastAsia" w:hAnsiTheme="minorHAnsi" w:cstheme="minorBidi"/>
      <w:smallCaps/>
      <w:color w:val="595959" w:themeColor="text1" w:themeTint="A6"/>
      <w:spacing w:val="1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31CEE"/>
    <w:rPr>
      <w:rFonts w:eastAsiaTheme="minorEastAsia"/>
      <w:smallCaps/>
      <w:color w:val="595959" w:themeColor="text1" w:themeTint="A6"/>
      <w:spacing w:val="10"/>
      <w:sz w:val="24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C305A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05AC"/>
    <w:rPr>
      <w:rFonts w:ascii="Calibri" w:eastAsia="Times New Roman" w:hAnsi="Calibri" w:cs="Times New Roman"/>
      <w:szCs w:val="21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B60399"/>
    <w:pPr>
      <w:keepLines/>
      <w:spacing w:after="60"/>
      <w:ind w:firstLine="720"/>
      <w:jc w:val="both"/>
    </w:pPr>
    <w:rPr>
      <w:rFonts w:eastAsia="Malgun Gothic"/>
      <w:sz w:val="18"/>
      <w:lang w:eastAsia="x-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B60399"/>
    <w:rPr>
      <w:rFonts w:ascii="Times New Roman" w:eastAsia="Malgun Gothic" w:hAnsi="Times New Roman" w:cs="Times New Roman"/>
      <w:sz w:val="18"/>
      <w:szCs w:val="24"/>
      <w:lang w:eastAsia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B60399"/>
    <w:rPr>
      <w:sz w:val="18"/>
      <w:u w:val="none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90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5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5B45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CM7">
    <w:name w:val="CM7"/>
    <w:basedOn w:val="Default"/>
    <w:next w:val="Default"/>
    <w:uiPriority w:val="99"/>
    <w:rsid w:val="003A5B45"/>
    <w:rPr>
      <w:rFonts w:ascii="Times New Roman" w:hAnsi="Times New Roman" w:cs="Times New Roman"/>
      <w:color w:val="auto"/>
      <w:lang w:val="en-US"/>
    </w:rPr>
  </w:style>
  <w:style w:type="paragraph" w:customStyle="1" w:styleId="CM8">
    <w:name w:val="CM8"/>
    <w:basedOn w:val="Default"/>
    <w:next w:val="Default"/>
    <w:uiPriority w:val="99"/>
    <w:rsid w:val="003A5B45"/>
    <w:rPr>
      <w:rFonts w:ascii="Times New Roman" w:hAnsi="Times New Roman" w:cs="Times New Roman"/>
      <w:color w:val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073599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7359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47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1F99"/>
    <w:rPr>
      <w:b/>
      <w:bCs/>
    </w:rPr>
  </w:style>
  <w:style w:type="paragraph" w:styleId="NormalWeb">
    <w:name w:val="Normal (Web)"/>
    <w:basedOn w:val="Normal"/>
    <w:uiPriority w:val="99"/>
    <w:unhideWhenUsed/>
    <w:rsid w:val="0037606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27DB"/>
  </w:style>
  <w:style w:type="character" w:styleId="Emphasis">
    <w:name w:val="Emphasis"/>
    <w:basedOn w:val="DefaultParagraphFont"/>
    <w:uiPriority w:val="20"/>
    <w:qFormat/>
    <w:rsid w:val="004427DB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88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ro-resume2">
    <w:name w:val="intro-resume2"/>
    <w:basedOn w:val="DefaultParagraphFont"/>
    <w:rsid w:val="00216AE2"/>
    <w:rPr>
      <w:sz w:val="29"/>
      <w:szCs w:val="29"/>
    </w:rPr>
  </w:style>
  <w:style w:type="paragraph" w:styleId="NoSpacing">
    <w:name w:val="No Spacing"/>
    <w:uiPriority w:val="1"/>
    <w:qFormat/>
    <w:rsid w:val="009A0B35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31CEE"/>
    <w:pPr>
      <w:spacing w:before="720" w:after="200" w:line="276" w:lineRule="auto"/>
    </w:pPr>
    <w:rPr>
      <w:rFonts w:asciiTheme="minorHAnsi" w:eastAsiaTheme="minorEastAsia" w:hAnsiTheme="minorHAnsi" w:cstheme="minorBidi"/>
      <w:smallCaps/>
      <w:color w:val="4F81BD" w:themeColor="accent1"/>
      <w:spacing w:val="10"/>
      <w:kern w:val="28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31CEE"/>
    <w:rPr>
      <w:rFonts w:eastAsiaTheme="minorEastAsia"/>
      <w:smallCaps/>
      <w:color w:val="4F81BD" w:themeColor="accent1"/>
      <w:spacing w:val="10"/>
      <w:kern w:val="28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1CEE"/>
    <w:pPr>
      <w:spacing w:before="200" w:after="1000"/>
    </w:pPr>
    <w:rPr>
      <w:rFonts w:asciiTheme="minorHAnsi" w:eastAsiaTheme="minorEastAsia" w:hAnsiTheme="minorHAnsi" w:cstheme="minorBidi"/>
      <w:smallCaps/>
      <w:color w:val="595959" w:themeColor="text1" w:themeTint="A6"/>
      <w:spacing w:val="10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31CEE"/>
    <w:rPr>
      <w:rFonts w:eastAsiaTheme="minorEastAsia"/>
      <w:smallCaps/>
      <w:color w:val="595959" w:themeColor="text1" w:themeTint="A6"/>
      <w:spacing w:val="10"/>
      <w:sz w:val="24"/>
      <w:szCs w:val="24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C305AC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05AC"/>
    <w:rPr>
      <w:rFonts w:ascii="Calibri" w:eastAsia="Times New Roman" w:hAnsi="Calibri" w:cs="Times New Roman"/>
      <w:szCs w:val="21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uiPriority w:val="99"/>
    <w:qFormat/>
    <w:rsid w:val="00B60399"/>
    <w:pPr>
      <w:keepLines/>
      <w:spacing w:after="60"/>
      <w:ind w:firstLine="720"/>
      <w:jc w:val="both"/>
    </w:pPr>
    <w:rPr>
      <w:rFonts w:eastAsia="Malgun Gothic"/>
      <w:sz w:val="18"/>
      <w:lang w:eastAsia="x-none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uiPriority w:val="99"/>
    <w:rsid w:val="00B60399"/>
    <w:rPr>
      <w:rFonts w:ascii="Times New Roman" w:eastAsia="Malgun Gothic" w:hAnsi="Times New Roman" w:cs="Times New Roman"/>
      <w:sz w:val="18"/>
      <w:szCs w:val="24"/>
      <w:lang w:eastAsia="x-non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B60399"/>
    <w:rPr>
      <w:sz w:val="18"/>
      <w:u w:val="none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590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5B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5B45"/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CM7">
    <w:name w:val="CM7"/>
    <w:basedOn w:val="Default"/>
    <w:next w:val="Default"/>
    <w:uiPriority w:val="99"/>
    <w:rsid w:val="003A5B45"/>
    <w:rPr>
      <w:rFonts w:ascii="Times New Roman" w:hAnsi="Times New Roman" w:cs="Times New Roman"/>
      <w:color w:val="auto"/>
      <w:lang w:val="en-US"/>
    </w:rPr>
  </w:style>
  <w:style w:type="paragraph" w:customStyle="1" w:styleId="CM8">
    <w:name w:val="CM8"/>
    <w:basedOn w:val="Default"/>
    <w:next w:val="Default"/>
    <w:uiPriority w:val="99"/>
    <w:rsid w:val="003A5B45"/>
    <w:rPr>
      <w:rFonts w:ascii="Times New Roman" w:hAnsi="Times New Roman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3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54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10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62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48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2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8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5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90FF-50BF-40B8-B310-691B24E6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7385</Characters>
  <Application>Microsoft Office Word</Application>
  <DocSecurity>0</DocSecurity>
  <Lines>351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3</cp:revision>
  <cp:lastPrinted>2015-01-06T11:20:00Z</cp:lastPrinted>
  <dcterms:created xsi:type="dcterms:W3CDTF">2017-03-09T14:01:00Z</dcterms:created>
  <dcterms:modified xsi:type="dcterms:W3CDTF">2017-05-26T11:51:00Z</dcterms:modified>
</cp:coreProperties>
</file>