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C2A27" w14:textId="77777777" w:rsidR="002660B1" w:rsidRPr="001956F9" w:rsidRDefault="002660B1" w:rsidP="009C09A7">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sidRPr="001956F9">
        <w:rPr>
          <w:rFonts w:asciiTheme="minorHAnsi" w:hAnsiTheme="minorHAnsi" w:cstheme="minorHAnsi"/>
          <w:bCs/>
          <w:szCs w:val="20"/>
        </w:rPr>
        <w:t>CONVENTION</w:t>
      </w:r>
      <w:r w:rsidR="002A65F4" w:rsidRPr="001956F9">
        <w:rPr>
          <w:rFonts w:asciiTheme="minorHAnsi" w:hAnsiTheme="minorHAnsi" w:cstheme="minorHAnsi"/>
          <w:bCs/>
          <w:szCs w:val="20"/>
        </w:rPr>
        <w:t xml:space="preserve"> </w:t>
      </w:r>
      <w:r w:rsidRPr="001956F9">
        <w:rPr>
          <w:rFonts w:asciiTheme="minorHAnsi" w:hAnsiTheme="minorHAnsi" w:cstheme="minorHAnsi"/>
          <w:bCs/>
          <w:szCs w:val="20"/>
        </w:rPr>
        <w:t>ON</w:t>
      </w:r>
      <w:r w:rsidR="002A65F4" w:rsidRPr="001956F9">
        <w:rPr>
          <w:rFonts w:asciiTheme="minorHAnsi" w:hAnsiTheme="minorHAnsi" w:cstheme="minorHAnsi"/>
          <w:bCs/>
          <w:szCs w:val="20"/>
        </w:rPr>
        <w:t xml:space="preserve"> </w:t>
      </w:r>
      <w:r w:rsidRPr="001956F9">
        <w:rPr>
          <w:rFonts w:asciiTheme="minorHAnsi" w:hAnsiTheme="minorHAnsi" w:cstheme="minorHAnsi"/>
          <w:bCs/>
          <w:szCs w:val="20"/>
        </w:rPr>
        <w:t>WETLANDS</w:t>
      </w:r>
      <w:r w:rsidR="002A65F4" w:rsidRPr="001956F9">
        <w:rPr>
          <w:rFonts w:asciiTheme="minorHAnsi" w:hAnsiTheme="minorHAnsi" w:cstheme="minorHAnsi"/>
          <w:bCs/>
          <w:szCs w:val="20"/>
        </w:rPr>
        <w:t xml:space="preserve"> </w:t>
      </w:r>
      <w:r w:rsidRPr="001956F9">
        <w:rPr>
          <w:rFonts w:asciiTheme="minorHAnsi" w:hAnsiTheme="minorHAnsi" w:cstheme="minorHAnsi"/>
          <w:bCs/>
          <w:szCs w:val="20"/>
        </w:rPr>
        <w:t>(Ramsar,</w:t>
      </w:r>
      <w:r w:rsidR="002A65F4" w:rsidRPr="001956F9">
        <w:rPr>
          <w:rFonts w:asciiTheme="minorHAnsi" w:hAnsiTheme="minorHAnsi" w:cstheme="minorHAnsi"/>
          <w:bCs/>
          <w:szCs w:val="20"/>
        </w:rPr>
        <w:t xml:space="preserve"> </w:t>
      </w:r>
      <w:r w:rsidRPr="001956F9">
        <w:rPr>
          <w:rFonts w:asciiTheme="minorHAnsi" w:hAnsiTheme="minorHAnsi" w:cstheme="minorHAnsi"/>
          <w:bCs/>
          <w:szCs w:val="20"/>
        </w:rPr>
        <w:t>Iran,</w:t>
      </w:r>
      <w:r w:rsidR="002A65F4" w:rsidRPr="001956F9">
        <w:rPr>
          <w:rFonts w:asciiTheme="minorHAnsi" w:hAnsiTheme="minorHAnsi" w:cstheme="minorHAnsi"/>
          <w:bCs/>
          <w:szCs w:val="20"/>
        </w:rPr>
        <w:t xml:space="preserve"> </w:t>
      </w:r>
      <w:r w:rsidRPr="001956F9">
        <w:rPr>
          <w:rFonts w:asciiTheme="minorHAnsi" w:hAnsiTheme="minorHAnsi" w:cstheme="minorHAnsi"/>
          <w:bCs/>
          <w:szCs w:val="20"/>
        </w:rPr>
        <w:t>1971)</w:t>
      </w:r>
    </w:p>
    <w:p w14:paraId="0B39F79B" w14:textId="49FB3ED5" w:rsidR="002660B1" w:rsidRPr="001956F9" w:rsidRDefault="00BA510D" w:rsidP="009C09A7">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sidRPr="001956F9">
        <w:rPr>
          <w:rFonts w:asciiTheme="minorHAnsi" w:hAnsiTheme="minorHAnsi" w:cstheme="minorHAnsi"/>
          <w:bCs/>
          <w:szCs w:val="20"/>
        </w:rPr>
        <w:t>5</w:t>
      </w:r>
      <w:r w:rsidR="00B9297A">
        <w:rPr>
          <w:rFonts w:asciiTheme="minorHAnsi" w:hAnsiTheme="minorHAnsi" w:cstheme="minorHAnsi"/>
          <w:bCs/>
          <w:szCs w:val="20"/>
        </w:rPr>
        <w:t>3</w:t>
      </w:r>
      <w:r w:rsidR="00B9297A" w:rsidRPr="00B9297A">
        <w:rPr>
          <w:rFonts w:asciiTheme="minorHAnsi" w:hAnsiTheme="minorHAnsi" w:cstheme="minorHAnsi"/>
          <w:bCs/>
          <w:szCs w:val="20"/>
          <w:vertAlign w:val="superscript"/>
        </w:rPr>
        <w:t>rd</w:t>
      </w:r>
      <w:r w:rsidR="00B9297A">
        <w:rPr>
          <w:rFonts w:asciiTheme="minorHAnsi" w:hAnsiTheme="minorHAnsi" w:cstheme="minorHAnsi"/>
          <w:bCs/>
          <w:szCs w:val="20"/>
        </w:rPr>
        <w:t xml:space="preserve"> </w:t>
      </w:r>
      <w:r w:rsidR="002660B1" w:rsidRPr="001956F9">
        <w:rPr>
          <w:rFonts w:asciiTheme="minorHAnsi" w:hAnsiTheme="minorHAnsi" w:cstheme="minorHAnsi"/>
          <w:bCs/>
          <w:szCs w:val="20"/>
        </w:rPr>
        <w:t>Meeting</w:t>
      </w:r>
      <w:r w:rsidR="002A65F4" w:rsidRPr="001956F9">
        <w:rPr>
          <w:rFonts w:asciiTheme="minorHAnsi" w:hAnsiTheme="minorHAnsi" w:cstheme="minorHAnsi"/>
          <w:bCs/>
          <w:szCs w:val="20"/>
        </w:rPr>
        <w:t xml:space="preserve"> </w:t>
      </w:r>
      <w:r w:rsidR="002660B1" w:rsidRPr="001956F9">
        <w:rPr>
          <w:rFonts w:asciiTheme="minorHAnsi" w:hAnsiTheme="minorHAnsi" w:cstheme="minorHAnsi"/>
          <w:bCs/>
          <w:szCs w:val="20"/>
        </w:rPr>
        <w:t>of</w:t>
      </w:r>
      <w:r w:rsidR="002A65F4" w:rsidRPr="001956F9">
        <w:rPr>
          <w:rFonts w:asciiTheme="minorHAnsi" w:hAnsiTheme="minorHAnsi" w:cstheme="minorHAnsi"/>
          <w:bCs/>
          <w:szCs w:val="20"/>
        </w:rPr>
        <w:t xml:space="preserve"> </w:t>
      </w:r>
      <w:r w:rsidR="002660B1" w:rsidRPr="001956F9">
        <w:rPr>
          <w:rFonts w:asciiTheme="minorHAnsi" w:hAnsiTheme="minorHAnsi" w:cstheme="minorHAnsi"/>
          <w:bCs/>
          <w:szCs w:val="20"/>
        </w:rPr>
        <w:t>the</w:t>
      </w:r>
      <w:r w:rsidR="002A65F4" w:rsidRPr="001956F9">
        <w:rPr>
          <w:rFonts w:asciiTheme="minorHAnsi" w:hAnsiTheme="minorHAnsi" w:cstheme="minorHAnsi"/>
          <w:bCs/>
          <w:szCs w:val="20"/>
        </w:rPr>
        <w:t xml:space="preserve"> </w:t>
      </w:r>
      <w:r w:rsidR="002660B1" w:rsidRPr="001956F9">
        <w:rPr>
          <w:rFonts w:asciiTheme="minorHAnsi" w:hAnsiTheme="minorHAnsi" w:cstheme="minorHAnsi"/>
          <w:bCs/>
          <w:szCs w:val="20"/>
        </w:rPr>
        <w:t>Standing</w:t>
      </w:r>
      <w:r w:rsidR="002A65F4" w:rsidRPr="001956F9">
        <w:rPr>
          <w:rFonts w:asciiTheme="minorHAnsi" w:hAnsiTheme="minorHAnsi" w:cstheme="minorHAnsi"/>
          <w:bCs/>
          <w:szCs w:val="20"/>
        </w:rPr>
        <w:t xml:space="preserve"> </w:t>
      </w:r>
      <w:r w:rsidR="002660B1" w:rsidRPr="001956F9">
        <w:rPr>
          <w:rFonts w:asciiTheme="minorHAnsi" w:hAnsiTheme="minorHAnsi" w:cstheme="minorHAnsi"/>
          <w:bCs/>
          <w:szCs w:val="20"/>
        </w:rPr>
        <w:t>Committee</w:t>
      </w:r>
    </w:p>
    <w:p w14:paraId="49DCBC31" w14:textId="43921567" w:rsidR="002660B1" w:rsidRPr="001956F9" w:rsidRDefault="002660B1" w:rsidP="009C09A7">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sidRPr="001956F9">
        <w:rPr>
          <w:rFonts w:asciiTheme="minorHAnsi" w:hAnsiTheme="minorHAnsi" w:cstheme="minorHAnsi"/>
          <w:bCs/>
          <w:szCs w:val="20"/>
        </w:rPr>
        <w:t>Gland,</w:t>
      </w:r>
      <w:r w:rsidR="002A65F4" w:rsidRPr="001956F9">
        <w:rPr>
          <w:rFonts w:asciiTheme="minorHAnsi" w:hAnsiTheme="minorHAnsi" w:cstheme="minorHAnsi"/>
          <w:bCs/>
          <w:szCs w:val="20"/>
        </w:rPr>
        <w:t xml:space="preserve"> </w:t>
      </w:r>
      <w:r w:rsidRPr="001956F9">
        <w:rPr>
          <w:rFonts w:asciiTheme="minorHAnsi" w:hAnsiTheme="minorHAnsi" w:cstheme="minorHAnsi"/>
          <w:bCs/>
          <w:szCs w:val="20"/>
        </w:rPr>
        <w:t>Switzerland,</w:t>
      </w:r>
      <w:r w:rsidR="002A65F4" w:rsidRPr="001956F9">
        <w:rPr>
          <w:rFonts w:asciiTheme="minorHAnsi" w:hAnsiTheme="minorHAnsi" w:cstheme="minorHAnsi"/>
          <w:bCs/>
          <w:szCs w:val="20"/>
        </w:rPr>
        <w:t xml:space="preserve"> </w:t>
      </w:r>
      <w:r w:rsidR="005A267F" w:rsidRPr="001956F9">
        <w:rPr>
          <w:rFonts w:asciiTheme="minorHAnsi" w:hAnsiTheme="minorHAnsi" w:cstheme="minorHAnsi"/>
          <w:bCs/>
          <w:szCs w:val="20"/>
        </w:rPr>
        <w:t>29 May</w:t>
      </w:r>
      <w:r w:rsidR="002E5D19">
        <w:rPr>
          <w:rFonts w:asciiTheme="minorHAnsi" w:hAnsiTheme="minorHAnsi" w:cstheme="minorHAnsi"/>
          <w:bCs/>
          <w:szCs w:val="20"/>
        </w:rPr>
        <w:t xml:space="preserve"> – </w:t>
      </w:r>
      <w:r w:rsidR="005A267F" w:rsidRPr="001956F9">
        <w:rPr>
          <w:rFonts w:asciiTheme="minorHAnsi" w:hAnsiTheme="minorHAnsi" w:cstheme="minorHAnsi"/>
          <w:bCs/>
          <w:szCs w:val="20"/>
        </w:rPr>
        <w:t>2 June</w:t>
      </w:r>
      <w:r w:rsidR="003C36FA" w:rsidRPr="001956F9">
        <w:rPr>
          <w:rFonts w:asciiTheme="minorHAnsi" w:hAnsiTheme="minorHAnsi" w:cstheme="minorHAnsi"/>
          <w:bCs/>
          <w:szCs w:val="20"/>
        </w:rPr>
        <w:t xml:space="preserve"> </w:t>
      </w:r>
      <w:r w:rsidRPr="001956F9">
        <w:rPr>
          <w:rFonts w:asciiTheme="minorHAnsi" w:hAnsiTheme="minorHAnsi" w:cstheme="minorHAnsi"/>
          <w:bCs/>
          <w:szCs w:val="20"/>
        </w:rPr>
        <w:t>201</w:t>
      </w:r>
      <w:r w:rsidR="005A267F" w:rsidRPr="001956F9">
        <w:rPr>
          <w:rFonts w:asciiTheme="minorHAnsi" w:hAnsiTheme="minorHAnsi" w:cstheme="minorHAnsi"/>
          <w:bCs/>
          <w:szCs w:val="20"/>
        </w:rPr>
        <w:t>7</w:t>
      </w:r>
    </w:p>
    <w:p w14:paraId="342C7732" w14:textId="77777777" w:rsidR="00434554" w:rsidRPr="001956F9" w:rsidRDefault="00434554" w:rsidP="009C09A7">
      <w:pPr>
        <w:rPr>
          <w:rFonts w:asciiTheme="minorHAnsi" w:hAnsiTheme="minorHAnsi"/>
          <w:sz w:val="28"/>
        </w:rPr>
      </w:pPr>
    </w:p>
    <w:p w14:paraId="28E59960" w14:textId="46A659E7" w:rsidR="002660B1" w:rsidRPr="001956F9" w:rsidRDefault="002660B1" w:rsidP="00265BF4">
      <w:pPr>
        <w:jc w:val="right"/>
        <w:rPr>
          <w:rFonts w:asciiTheme="minorHAnsi" w:hAnsiTheme="minorHAnsi" w:cstheme="minorHAnsi"/>
          <w:b/>
          <w:sz w:val="28"/>
          <w:szCs w:val="28"/>
        </w:rPr>
      </w:pPr>
      <w:r w:rsidRPr="001956F9">
        <w:rPr>
          <w:rFonts w:asciiTheme="minorHAnsi" w:hAnsiTheme="minorHAnsi" w:cstheme="minorHAnsi"/>
          <w:b/>
          <w:sz w:val="28"/>
          <w:szCs w:val="28"/>
        </w:rPr>
        <w:t>SC</w:t>
      </w:r>
      <w:r w:rsidR="004F5DCD" w:rsidRPr="001956F9">
        <w:rPr>
          <w:rFonts w:asciiTheme="minorHAnsi" w:hAnsiTheme="minorHAnsi" w:cstheme="minorHAnsi"/>
          <w:b/>
          <w:sz w:val="28"/>
          <w:szCs w:val="28"/>
        </w:rPr>
        <w:t>5</w:t>
      </w:r>
      <w:r w:rsidR="005A267F" w:rsidRPr="001956F9">
        <w:rPr>
          <w:rFonts w:asciiTheme="minorHAnsi" w:hAnsiTheme="minorHAnsi" w:cstheme="minorHAnsi"/>
          <w:b/>
          <w:sz w:val="28"/>
          <w:szCs w:val="28"/>
        </w:rPr>
        <w:t>3</w:t>
      </w:r>
      <w:r w:rsidR="00265BF4">
        <w:rPr>
          <w:rFonts w:asciiTheme="minorHAnsi" w:hAnsiTheme="minorHAnsi" w:cstheme="minorHAnsi"/>
          <w:b/>
          <w:sz w:val="28"/>
          <w:szCs w:val="28"/>
        </w:rPr>
        <w:t>-</w:t>
      </w:r>
      <w:r w:rsidR="00B9297A">
        <w:rPr>
          <w:rFonts w:asciiTheme="minorHAnsi" w:hAnsiTheme="minorHAnsi" w:cstheme="minorHAnsi"/>
          <w:b/>
          <w:sz w:val="28"/>
          <w:szCs w:val="28"/>
        </w:rPr>
        <w:t>05</w:t>
      </w:r>
    </w:p>
    <w:p w14:paraId="0B39B40C" w14:textId="77777777" w:rsidR="001233DE" w:rsidRPr="001956F9" w:rsidRDefault="001233DE" w:rsidP="009C09A7">
      <w:pPr>
        <w:rPr>
          <w:rFonts w:asciiTheme="minorHAnsi" w:hAnsiTheme="minorHAnsi"/>
          <w:b/>
          <w:sz w:val="28"/>
          <w:szCs w:val="28"/>
        </w:rPr>
      </w:pPr>
    </w:p>
    <w:p w14:paraId="0BBEEB69" w14:textId="77777777" w:rsidR="0046748E" w:rsidRDefault="0046748E" w:rsidP="0046748E">
      <w:pPr>
        <w:jc w:val="center"/>
        <w:rPr>
          <w:rFonts w:asciiTheme="minorHAnsi" w:hAnsiTheme="minorHAnsi" w:cs="Calibri"/>
          <w:b/>
          <w:sz w:val="28"/>
          <w:szCs w:val="28"/>
        </w:rPr>
      </w:pPr>
      <w:r>
        <w:rPr>
          <w:rFonts w:asciiTheme="minorHAnsi" w:hAnsiTheme="minorHAnsi"/>
          <w:b/>
          <w:sz w:val="28"/>
        </w:rPr>
        <w:t xml:space="preserve">Status of Working Groups </w:t>
      </w:r>
      <w:r w:rsidRPr="0046748E">
        <w:rPr>
          <w:rFonts w:asciiTheme="minorHAnsi" w:hAnsiTheme="minorHAnsi" w:cs="Calibri"/>
          <w:b/>
          <w:sz w:val="28"/>
          <w:szCs w:val="28"/>
        </w:rPr>
        <w:t>of the Standing Committee 2016-2018</w:t>
      </w:r>
    </w:p>
    <w:p w14:paraId="18E4D42B" w14:textId="77777777" w:rsidR="00B9297A" w:rsidRPr="0046748E" w:rsidRDefault="00B9297A" w:rsidP="0046748E">
      <w:pPr>
        <w:jc w:val="center"/>
        <w:rPr>
          <w:rFonts w:asciiTheme="minorHAnsi" w:hAnsiTheme="minorHAnsi" w:cs="Calibri"/>
          <w:b/>
          <w:sz w:val="28"/>
          <w:szCs w:val="28"/>
        </w:rPr>
      </w:pPr>
    </w:p>
    <w:p w14:paraId="0DEE3BE2" w14:textId="77777777" w:rsidR="00E7270C" w:rsidRPr="001956F9" w:rsidRDefault="00C74B34" w:rsidP="009C09A7">
      <w:pPr>
        <w:autoSpaceDE w:val="0"/>
        <w:autoSpaceDN w:val="0"/>
        <w:adjustRightInd w:val="0"/>
        <w:rPr>
          <w:rFonts w:asciiTheme="minorHAnsi" w:eastAsiaTheme="minorHAnsi" w:hAnsiTheme="minorHAnsi" w:cs="Garamond"/>
          <w:sz w:val="22"/>
          <w:szCs w:val="22"/>
          <w:lang w:eastAsia="en-US"/>
        </w:rPr>
      </w:pPr>
      <w:r w:rsidRPr="001956F9">
        <w:rPr>
          <w:noProof/>
          <w:szCs w:val="20"/>
        </w:rPr>
        <mc:AlternateContent>
          <mc:Choice Requires="wps">
            <w:drawing>
              <wp:inline distT="0" distB="0" distL="0" distR="0" wp14:anchorId="29C500F1" wp14:editId="210EE82C">
                <wp:extent cx="5842635" cy="1666875"/>
                <wp:effectExtent l="0" t="0" r="24765" b="28575"/>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1666875"/>
                        </a:xfrm>
                        <a:prstGeom prst="rect">
                          <a:avLst/>
                        </a:prstGeom>
                        <a:solidFill>
                          <a:srgbClr val="FFFFFF"/>
                        </a:solidFill>
                        <a:ln w="9525">
                          <a:solidFill>
                            <a:srgbClr val="000000"/>
                          </a:solidFill>
                          <a:miter lim="800000"/>
                          <a:headEnd/>
                          <a:tailEnd/>
                        </a:ln>
                      </wps:spPr>
                      <wps:txbx>
                        <w:txbxContent>
                          <w:p w14:paraId="330E2ABD" w14:textId="039F8375" w:rsidR="004E0CD8" w:rsidRDefault="004E0CD8" w:rsidP="00753404">
                            <w:pPr>
                              <w:rPr>
                                <w:rFonts w:ascii="Calibri" w:hAnsi="Calibri"/>
                                <w:b/>
                                <w:bCs/>
                                <w:sz w:val="22"/>
                                <w:szCs w:val="22"/>
                              </w:rPr>
                            </w:pPr>
                            <w:r>
                              <w:rPr>
                                <w:rFonts w:ascii="Calibri" w:hAnsi="Calibri"/>
                                <w:b/>
                                <w:bCs/>
                                <w:sz w:val="22"/>
                                <w:szCs w:val="22"/>
                              </w:rPr>
                              <w:t>Actions requested:</w:t>
                            </w:r>
                          </w:p>
                          <w:p w14:paraId="002B3480" w14:textId="77777777" w:rsidR="004E0CD8" w:rsidRPr="00FC4460" w:rsidRDefault="004E0CD8" w:rsidP="00753404">
                            <w:pPr>
                              <w:rPr>
                                <w:rFonts w:ascii="Calibri" w:hAnsi="Calibri"/>
                                <w:b/>
                                <w:bCs/>
                                <w:sz w:val="22"/>
                                <w:szCs w:val="22"/>
                              </w:rPr>
                            </w:pPr>
                          </w:p>
                          <w:p w14:paraId="7E249826" w14:textId="77777777" w:rsidR="004E0CD8" w:rsidRDefault="004E0CD8" w:rsidP="00753404">
                            <w:pPr>
                              <w:rPr>
                                <w:rFonts w:asciiTheme="minorHAnsi" w:hAnsiTheme="minorHAnsi"/>
                                <w:sz w:val="22"/>
                                <w:szCs w:val="22"/>
                              </w:rPr>
                            </w:pPr>
                            <w:r w:rsidRPr="0005674C">
                              <w:rPr>
                                <w:rFonts w:asciiTheme="minorHAnsi" w:hAnsiTheme="minorHAnsi"/>
                                <w:sz w:val="22"/>
                                <w:szCs w:val="22"/>
                              </w:rPr>
                              <w:t>The Standing Committee is invited to</w:t>
                            </w:r>
                            <w:r>
                              <w:rPr>
                                <w:rFonts w:asciiTheme="minorHAnsi" w:hAnsiTheme="minorHAnsi"/>
                                <w:sz w:val="22"/>
                                <w:szCs w:val="22"/>
                              </w:rPr>
                              <w:t>:</w:t>
                            </w:r>
                          </w:p>
                          <w:p w14:paraId="2CD87041" w14:textId="77777777" w:rsidR="004E0CD8" w:rsidRDefault="004E0CD8" w:rsidP="00753404">
                            <w:pPr>
                              <w:rPr>
                                <w:rFonts w:asciiTheme="minorHAnsi" w:hAnsiTheme="minorHAnsi"/>
                                <w:sz w:val="22"/>
                                <w:szCs w:val="22"/>
                              </w:rPr>
                            </w:pPr>
                          </w:p>
                          <w:p w14:paraId="418A69DB" w14:textId="5B255A78" w:rsidR="004E0CD8" w:rsidRPr="006D5AC9" w:rsidRDefault="007B4994" w:rsidP="009E19DD">
                            <w:pPr>
                              <w:pStyle w:val="ListParagraph"/>
                              <w:numPr>
                                <w:ilvl w:val="0"/>
                                <w:numId w:val="2"/>
                              </w:numPr>
                              <w:jc w:val="left"/>
                              <w:rPr>
                                <w:rFonts w:asciiTheme="minorHAnsi" w:hAnsiTheme="minorHAnsi" w:cstheme="minorHAnsi"/>
                                <w:bCs/>
                              </w:rPr>
                            </w:pPr>
                            <w:r>
                              <w:rPr>
                                <w:rFonts w:asciiTheme="minorHAnsi" w:hAnsiTheme="minorHAnsi"/>
                              </w:rPr>
                              <w:t>take note of the review of the status of the Working Groups of the Standing Committee 2016-20</w:t>
                            </w:r>
                            <w:r w:rsidR="00911AAA">
                              <w:rPr>
                                <w:rFonts w:asciiTheme="minorHAnsi" w:hAnsiTheme="minorHAnsi"/>
                              </w:rPr>
                              <w:t>18</w:t>
                            </w:r>
                            <w:r w:rsidR="00B9297A">
                              <w:rPr>
                                <w:rFonts w:asciiTheme="minorHAnsi" w:hAnsiTheme="minorHAnsi"/>
                              </w:rPr>
                              <w:t xml:space="preserve">; and </w:t>
                            </w:r>
                          </w:p>
                          <w:p w14:paraId="1B5FAE61" w14:textId="77777777" w:rsidR="004E0CD8" w:rsidRDefault="004E0CD8" w:rsidP="00753404">
                            <w:pPr>
                              <w:rPr>
                                <w:rFonts w:asciiTheme="minorHAnsi" w:hAnsiTheme="minorHAnsi" w:cstheme="minorHAnsi"/>
                                <w:bCs/>
                                <w:sz w:val="22"/>
                                <w:szCs w:val="22"/>
                              </w:rPr>
                            </w:pPr>
                          </w:p>
                          <w:p w14:paraId="4940F8BB" w14:textId="25106526" w:rsidR="007B4994" w:rsidRPr="007B4994" w:rsidRDefault="00911AAA" w:rsidP="007B4994">
                            <w:pPr>
                              <w:pStyle w:val="ListParagraph"/>
                              <w:numPr>
                                <w:ilvl w:val="0"/>
                                <w:numId w:val="2"/>
                              </w:numPr>
                              <w:suppressAutoHyphens/>
                              <w:jc w:val="left"/>
                              <w:rPr>
                                <w:rFonts w:asciiTheme="minorHAnsi" w:hAnsiTheme="minorHAnsi"/>
                              </w:rPr>
                            </w:pPr>
                            <w:r>
                              <w:rPr>
                                <w:rFonts w:asciiTheme="minorHAnsi" w:hAnsiTheme="minorHAnsi" w:cstheme="minorHAnsi"/>
                                <w:bCs/>
                              </w:rPr>
                              <w:t xml:space="preserve">confirm and complete </w:t>
                            </w:r>
                            <w:r w:rsidR="00B9297A">
                              <w:rPr>
                                <w:rFonts w:asciiTheme="minorHAnsi" w:hAnsiTheme="minorHAnsi" w:cstheme="minorHAnsi"/>
                                <w:bCs/>
                              </w:rPr>
                              <w:t xml:space="preserve">the </w:t>
                            </w:r>
                            <w:r>
                              <w:rPr>
                                <w:rFonts w:asciiTheme="minorHAnsi" w:hAnsiTheme="minorHAnsi" w:cstheme="minorHAnsi"/>
                                <w:bCs/>
                              </w:rPr>
                              <w:t xml:space="preserve">status of the different </w:t>
                            </w:r>
                            <w:r w:rsidR="00B9297A">
                              <w:rPr>
                                <w:rFonts w:asciiTheme="minorHAnsi" w:hAnsiTheme="minorHAnsi" w:cstheme="minorHAnsi"/>
                                <w:bCs/>
                              </w:rPr>
                              <w:t>G</w:t>
                            </w:r>
                            <w:r>
                              <w:rPr>
                                <w:rFonts w:asciiTheme="minorHAnsi" w:hAnsiTheme="minorHAnsi" w:cstheme="minorHAnsi"/>
                                <w:bCs/>
                              </w:rPr>
                              <w:t>roups as appropriate</w:t>
                            </w:r>
                            <w:r w:rsidR="007B4994" w:rsidRPr="007B4994">
                              <w:rPr>
                                <w:rFonts w:asciiTheme="minorHAnsi" w:hAnsiTheme="minorHAnsi" w:cstheme="minorHAnsi"/>
                                <w:bCs/>
                              </w:rPr>
                              <w:t>.</w:t>
                            </w:r>
                            <w:r w:rsidR="00146141">
                              <w:rPr>
                                <w:rFonts w:asciiTheme="minorHAnsi" w:hAnsiTheme="minorHAnsi" w:cstheme="minorHAnsi"/>
                                <w:bCs/>
                              </w:rPr>
                              <w:t xml:space="preserve"> </w:t>
                            </w:r>
                          </w:p>
                          <w:p w14:paraId="1115381A" w14:textId="757F567D" w:rsidR="00AB2DFF" w:rsidRDefault="00AB2DFF" w:rsidP="00AB2DFF">
                            <w:pPr>
                              <w:pStyle w:val="Default"/>
                              <w:ind w:left="360"/>
                              <w:rPr>
                                <w:rFonts w:asciiTheme="minorHAnsi" w:hAnsiTheme="minorHAnsi"/>
                                <w:b/>
                                <w:sz w:val="22"/>
                                <w:szCs w:val="22"/>
                              </w:rPr>
                            </w:pPr>
                          </w:p>
                          <w:p w14:paraId="5FC9EA37" w14:textId="77777777" w:rsidR="00AB2DFF" w:rsidRPr="00AB2DFF" w:rsidRDefault="00AB2DFF" w:rsidP="00AB2DFF">
                            <w:pPr>
                              <w:ind w:left="360"/>
                              <w:rPr>
                                <w:rFonts w:asciiTheme="minorHAnsi" w:hAnsiTheme="minorHAnsi"/>
                                <w:bCs/>
                              </w:rPr>
                            </w:pPr>
                          </w:p>
                          <w:p w14:paraId="155698BA" w14:textId="77777777" w:rsidR="004E0CD8" w:rsidRDefault="004E0CD8" w:rsidP="006D5AC9">
                            <w:pPr>
                              <w:ind w:left="709"/>
                              <w:rPr>
                                <w:rFonts w:asciiTheme="minorHAnsi" w:hAnsiTheme="minorHAnsi"/>
                                <w:bCs/>
                                <w:sz w:val="22"/>
                                <w:szCs w:val="22"/>
                              </w:rPr>
                            </w:pPr>
                          </w:p>
                          <w:p w14:paraId="362DD889" w14:textId="77777777" w:rsidR="004E0CD8" w:rsidRDefault="004E0CD8" w:rsidP="006D5AC9">
                            <w:pPr>
                              <w:ind w:left="709"/>
                              <w:rPr>
                                <w:rFonts w:asciiTheme="minorHAnsi" w:hAnsiTheme="minorHAnsi"/>
                                <w:bCs/>
                                <w:sz w:val="22"/>
                                <w:szCs w:val="22"/>
                              </w:rPr>
                            </w:pPr>
                          </w:p>
                          <w:p w14:paraId="0E999347" w14:textId="77777777" w:rsidR="004E0CD8" w:rsidRDefault="004E0CD8" w:rsidP="006D5AC9">
                            <w:pPr>
                              <w:ind w:left="709"/>
                              <w:rPr>
                                <w:rFonts w:asciiTheme="minorHAnsi" w:hAnsiTheme="minorHAnsi"/>
                                <w:bCs/>
                                <w:sz w:val="22"/>
                                <w:szCs w:val="22"/>
                              </w:rPr>
                            </w:pPr>
                          </w:p>
                          <w:p w14:paraId="34B3C34A" w14:textId="77777777" w:rsidR="004E0CD8" w:rsidRDefault="004E0CD8" w:rsidP="006D5AC9">
                            <w:pPr>
                              <w:ind w:left="709"/>
                              <w:rPr>
                                <w:rFonts w:asciiTheme="minorHAnsi" w:hAnsiTheme="minorHAnsi"/>
                                <w:bCs/>
                                <w:sz w:val="22"/>
                                <w:szCs w:val="22"/>
                              </w:rPr>
                            </w:pPr>
                          </w:p>
                          <w:p w14:paraId="6F57C612" w14:textId="77777777" w:rsidR="004E0CD8" w:rsidRPr="0045375E" w:rsidRDefault="004E0CD8" w:rsidP="006D5AC9">
                            <w:pPr>
                              <w:ind w:left="709"/>
                              <w:rPr>
                                <w:rFonts w:asciiTheme="minorHAnsi" w:hAnsiTheme="minorHAnsi"/>
                                <w:bCs/>
                                <w:sz w:val="22"/>
                                <w:szCs w:val="22"/>
                              </w:rPr>
                            </w:pPr>
                          </w:p>
                          <w:p w14:paraId="5E828BAB" w14:textId="77777777" w:rsidR="004E0CD8" w:rsidRPr="00D34BA0" w:rsidRDefault="004E0CD8" w:rsidP="00D34BA0">
                            <w:pPr>
                              <w:rPr>
                                <w:rFonts w:asciiTheme="minorHAnsi" w:hAnsiTheme="minorHAnsi"/>
                                <w:bCs/>
                              </w:rPr>
                            </w:pPr>
                          </w:p>
                          <w:p w14:paraId="40B181A0" w14:textId="77777777" w:rsidR="004E0CD8" w:rsidRDefault="004E0CD8" w:rsidP="00BA308D">
                            <w:pPr>
                              <w:rPr>
                                <w:rFonts w:asciiTheme="minorHAnsi" w:hAnsiTheme="minorHAnsi" w:cstheme="minorHAnsi"/>
                                <w:bCs/>
                                <w:sz w:val="22"/>
                                <w:szCs w:val="22"/>
                              </w:rPr>
                            </w:pPr>
                          </w:p>
                          <w:p w14:paraId="74E6C852" w14:textId="77777777" w:rsidR="004E0CD8" w:rsidRDefault="004E0CD8" w:rsidP="00BA308D">
                            <w:pPr>
                              <w:rPr>
                                <w:rFonts w:asciiTheme="minorHAnsi" w:hAnsiTheme="minorHAnsi" w:cstheme="minorHAnsi"/>
                                <w:bCs/>
                                <w:sz w:val="22"/>
                                <w:szCs w:val="22"/>
                              </w:rPr>
                            </w:pPr>
                          </w:p>
                          <w:p w14:paraId="549FE328" w14:textId="77777777" w:rsidR="004E0CD8" w:rsidRPr="009F1447" w:rsidRDefault="004E0CD8" w:rsidP="00BA308D">
                            <w:pPr>
                              <w:rPr>
                                <w:rFonts w:asciiTheme="minorHAnsi" w:hAnsiTheme="minorHAnsi"/>
                                <w:sz w:val="22"/>
                                <w:szCs w:val="22"/>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60.05pt;height:1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">
                <v:textbox>
                  <w:txbxContent>
                    <w:p w14:paraId="330E2ABD" w14:textId="039F8375" w:rsidR="004E0CD8" w:rsidRDefault="004E0CD8" w:rsidP="00753404">
                      <w:pPr>
                        <w:rPr>
                          <w:rFonts w:ascii="Calibri" w:hAnsi="Calibri"/>
                          <w:b/>
                          <w:bCs/>
                          <w:sz w:val="22"/>
                          <w:szCs w:val="22"/>
                        </w:rPr>
                      </w:pPr>
                      <w:r>
                        <w:rPr>
                          <w:rFonts w:ascii="Calibri" w:hAnsi="Calibri"/>
                          <w:b/>
                          <w:bCs/>
                          <w:sz w:val="22"/>
                          <w:szCs w:val="22"/>
                        </w:rPr>
                        <w:t>Actions requested:</w:t>
                      </w:r>
                    </w:p>
                    <w:p w14:paraId="002B3480" w14:textId="77777777" w:rsidR="004E0CD8" w:rsidRPr="00FC4460" w:rsidRDefault="004E0CD8" w:rsidP="00753404">
                      <w:pPr>
                        <w:rPr>
                          <w:rFonts w:ascii="Calibri" w:hAnsi="Calibri"/>
                          <w:b/>
                          <w:bCs/>
                          <w:sz w:val="22"/>
                          <w:szCs w:val="22"/>
                        </w:rPr>
                      </w:pPr>
                    </w:p>
                    <w:p w14:paraId="7E249826" w14:textId="77777777" w:rsidR="004E0CD8" w:rsidRDefault="004E0CD8" w:rsidP="00753404">
                      <w:pPr>
                        <w:rPr>
                          <w:rFonts w:asciiTheme="minorHAnsi" w:hAnsiTheme="minorHAnsi"/>
                          <w:sz w:val="22"/>
                          <w:szCs w:val="22"/>
                        </w:rPr>
                      </w:pPr>
                      <w:r w:rsidRPr="0005674C">
                        <w:rPr>
                          <w:rFonts w:asciiTheme="minorHAnsi" w:hAnsiTheme="minorHAnsi"/>
                          <w:sz w:val="22"/>
                          <w:szCs w:val="22"/>
                        </w:rPr>
                        <w:t>The Standing Committee is invited to</w:t>
                      </w:r>
                      <w:r>
                        <w:rPr>
                          <w:rFonts w:asciiTheme="minorHAnsi" w:hAnsiTheme="minorHAnsi"/>
                          <w:sz w:val="22"/>
                          <w:szCs w:val="22"/>
                        </w:rPr>
                        <w:t>:</w:t>
                      </w:r>
                    </w:p>
                    <w:p w14:paraId="2CD87041" w14:textId="77777777" w:rsidR="004E0CD8" w:rsidRDefault="004E0CD8" w:rsidP="00753404">
                      <w:pPr>
                        <w:rPr>
                          <w:rFonts w:asciiTheme="minorHAnsi" w:hAnsiTheme="minorHAnsi"/>
                          <w:sz w:val="22"/>
                          <w:szCs w:val="22"/>
                        </w:rPr>
                      </w:pPr>
                    </w:p>
                    <w:p w14:paraId="418A69DB" w14:textId="5B255A78" w:rsidR="004E0CD8" w:rsidRPr="006D5AC9" w:rsidRDefault="007B4994" w:rsidP="009E19DD">
                      <w:pPr>
                        <w:pStyle w:val="ListParagraph"/>
                        <w:numPr>
                          <w:ilvl w:val="0"/>
                          <w:numId w:val="2"/>
                        </w:numPr>
                        <w:jc w:val="left"/>
                        <w:rPr>
                          <w:rFonts w:asciiTheme="minorHAnsi" w:hAnsiTheme="minorHAnsi" w:cstheme="minorHAnsi"/>
                          <w:bCs/>
                        </w:rPr>
                      </w:pPr>
                      <w:r>
                        <w:rPr>
                          <w:rFonts w:asciiTheme="minorHAnsi" w:hAnsiTheme="minorHAnsi"/>
                        </w:rPr>
                        <w:t>take note of the review of the status of the Working Groups of the Standing Committee 2016-20</w:t>
                      </w:r>
                      <w:r w:rsidR="00911AAA">
                        <w:rPr>
                          <w:rFonts w:asciiTheme="minorHAnsi" w:hAnsiTheme="minorHAnsi"/>
                        </w:rPr>
                        <w:t>18</w:t>
                      </w:r>
                      <w:r w:rsidR="00B9297A">
                        <w:rPr>
                          <w:rFonts w:asciiTheme="minorHAnsi" w:hAnsiTheme="minorHAnsi"/>
                        </w:rPr>
                        <w:t xml:space="preserve">; and </w:t>
                      </w:r>
                    </w:p>
                    <w:p w14:paraId="1B5FAE61" w14:textId="77777777" w:rsidR="004E0CD8" w:rsidRDefault="004E0CD8" w:rsidP="00753404">
                      <w:pPr>
                        <w:rPr>
                          <w:rFonts w:asciiTheme="minorHAnsi" w:hAnsiTheme="minorHAnsi" w:cstheme="minorHAnsi"/>
                          <w:bCs/>
                          <w:sz w:val="22"/>
                          <w:szCs w:val="22"/>
                        </w:rPr>
                      </w:pPr>
                    </w:p>
                    <w:p w14:paraId="4940F8BB" w14:textId="25106526" w:rsidR="007B4994" w:rsidRPr="007B4994" w:rsidRDefault="00911AAA" w:rsidP="007B4994">
                      <w:pPr>
                        <w:pStyle w:val="ListParagraph"/>
                        <w:numPr>
                          <w:ilvl w:val="0"/>
                          <w:numId w:val="2"/>
                        </w:numPr>
                        <w:suppressAutoHyphens/>
                        <w:jc w:val="left"/>
                        <w:rPr>
                          <w:rFonts w:asciiTheme="minorHAnsi" w:hAnsiTheme="minorHAnsi"/>
                        </w:rPr>
                      </w:pPr>
                      <w:r>
                        <w:rPr>
                          <w:rFonts w:asciiTheme="minorHAnsi" w:hAnsiTheme="minorHAnsi" w:cstheme="minorHAnsi"/>
                          <w:bCs/>
                        </w:rPr>
                        <w:t xml:space="preserve">confirm and complete </w:t>
                      </w:r>
                      <w:r w:rsidR="00B9297A">
                        <w:rPr>
                          <w:rFonts w:asciiTheme="minorHAnsi" w:hAnsiTheme="minorHAnsi" w:cstheme="minorHAnsi"/>
                          <w:bCs/>
                        </w:rPr>
                        <w:t xml:space="preserve">the </w:t>
                      </w:r>
                      <w:r>
                        <w:rPr>
                          <w:rFonts w:asciiTheme="minorHAnsi" w:hAnsiTheme="minorHAnsi" w:cstheme="minorHAnsi"/>
                          <w:bCs/>
                        </w:rPr>
                        <w:t xml:space="preserve">status of the different </w:t>
                      </w:r>
                      <w:r w:rsidR="00B9297A">
                        <w:rPr>
                          <w:rFonts w:asciiTheme="minorHAnsi" w:hAnsiTheme="minorHAnsi" w:cstheme="minorHAnsi"/>
                          <w:bCs/>
                        </w:rPr>
                        <w:t>G</w:t>
                      </w:r>
                      <w:r>
                        <w:rPr>
                          <w:rFonts w:asciiTheme="minorHAnsi" w:hAnsiTheme="minorHAnsi" w:cstheme="minorHAnsi"/>
                          <w:bCs/>
                        </w:rPr>
                        <w:t>roups as appropriate</w:t>
                      </w:r>
                      <w:r w:rsidR="007B4994" w:rsidRPr="007B4994">
                        <w:rPr>
                          <w:rFonts w:asciiTheme="minorHAnsi" w:hAnsiTheme="minorHAnsi" w:cstheme="minorHAnsi"/>
                          <w:bCs/>
                        </w:rPr>
                        <w:t>.</w:t>
                      </w:r>
                      <w:r w:rsidR="00146141">
                        <w:rPr>
                          <w:rFonts w:asciiTheme="minorHAnsi" w:hAnsiTheme="minorHAnsi" w:cstheme="minorHAnsi"/>
                          <w:bCs/>
                        </w:rPr>
                        <w:t xml:space="preserve"> </w:t>
                      </w:r>
                    </w:p>
                    <w:p w14:paraId="1115381A" w14:textId="757F567D" w:rsidR="00AB2DFF" w:rsidRDefault="00AB2DFF" w:rsidP="00AB2DFF">
                      <w:pPr>
                        <w:pStyle w:val="Default"/>
                        <w:ind w:left="360"/>
                        <w:rPr>
                          <w:rFonts w:asciiTheme="minorHAnsi" w:hAnsiTheme="minorHAnsi"/>
                          <w:b/>
                          <w:sz w:val="22"/>
                          <w:szCs w:val="22"/>
                        </w:rPr>
                      </w:pPr>
                    </w:p>
                    <w:p w14:paraId="5FC9EA37" w14:textId="77777777" w:rsidR="00AB2DFF" w:rsidRPr="00AB2DFF" w:rsidRDefault="00AB2DFF" w:rsidP="00AB2DFF">
                      <w:pPr>
                        <w:ind w:left="360"/>
                        <w:rPr>
                          <w:rFonts w:asciiTheme="minorHAnsi" w:hAnsiTheme="minorHAnsi"/>
                          <w:bCs/>
                        </w:rPr>
                      </w:pPr>
                    </w:p>
                    <w:p w14:paraId="155698BA" w14:textId="77777777" w:rsidR="004E0CD8" w:rsidRDefault="004E0CD8" w:rsidP="006D5AC9">
                      <w:pPr>
                        <w:ind w:left="709"/>
                        <w:rPr>
                          <w:rFonts w:asciiTheme="minorHAnsi" w:hAnsiTheme="minorHAnsi"/>
                          <w:bCs/>
                          <w:sz w:val="22"/>
                          <w:szCs w:val="22"/>
                        </w:rPr>
                      </w:pPr>
                    </w:p>
                    <w:p w14:paraId="362DD889" w14:textId="77777777" w:rsidR="004E0CD8" w:rsidRDefault="004E0CD8" w:rsidP="006D5AC9">
                      <w:pPr>
                        <w:ind w:left="709"/>
                        <w:rPr>
                          <w:rFonts w:asciiTheme="minorHAnsi" w:hAnsiTheme="minorHAnsi"/>
                          <w:bCs/>
                          <w:sz w:val="22"/>
                          <w:szCs w:val="22"/>
                        </w:rPr>
                      </w:pPr>
                    </w:p>
                    <w:p w14:paraId="0E999347" w14:textId="77777777" w:rsidR="004E0CD8" w:rsidRDefault="004E0CD8" w:rsidP="006D5AC9">
                      <w:pPr>
                        <w:ind w:left="709"/>
                        <w:rPr>
                          <w:rFonts w:asciiTheme="minorHAnsi" w:hAnsiTheme="minorHAnsi"/>
                          <w:bCs/>
                          <w:sz w:val="22"/>
                          <w:szCs w:val="22"/>
                        </w:rPr>
                      </w:pPr>
                    </w:p>
                    <w:p w14:paraId="34B3C34A" w14:textId="77777777" w:rsidR="004E0CD8" w:rsidRDefault="004E0CD8" w:rsidP="006D5AC9">
                      <w:pPr>
                        <w:ind w:left="709"/>
                        <w:rPr>
                          <w:rFonts w:asciiTheme="minorHAnsi" w:hAnsiTheme="minorHAnsi"/>
                          <w:bCs/>
                          <w:sz w:val="22"/>
                          <w:szCs w:val="22"/>
                        </w:rPr>
                      </w:pPr>
                    </w:p>
                    <w:p w14:paraId="6F57C612" w14:textId="77777777" w:rsidR="004E0CD8" w:rsidRPr="0045375E" w:rsidRDefault="004E0CD8" w:rsidP="006D5AC9">
                      <w:pPr>
                        <w:ind w:left="709"/>
                        <w:rPr>
                          <w:rFonts w:asciiTheme="minorHAnsi" w:hAnsiTheme="minorHAnsi"/>
                          <w:bCs/>
                          <w:sz w:val="22"/>
                          <w:szCs w:val="22"/>
                        </w:rPr>
                      </w:pPr>
                    </w:p>
                    <w:p w14:paraId="5E828BAB" w14:textId="77777777" w:rsidR="004E0CD8" w:rsidRPr="00D34BA0" w:rsidRDefault="004E0CD8" w:rsidP="00D34BA0">
                      <w:pPr>
                        <w:rPr>
                          <w:rFonts w:asciiTheme="minorHAnsi" w:hAnsiTheme="minorHAnsi"/>
                          <w:bCs/>
                        </w:rPr>
                      </w:pPr>
                    </w:p>
                    <w:p w14:paraId="40B181A0" w14:textId="77777777" w:rsidR="004E0CD8" w:rsidRDefault="004E0CD8" w:rsidP="00BA308D">
                      <w:pPr>
                        <w:rPr>
                          <w:rFonts w:asciiTheme="minorHAnsi" w:hAnsiTheme="minorHAnsi" w:cstheme="minorHAnsi"/>
                          <w:bCs/>
                          <w:sz w:val="22"/>
                          <w:szCs w:val="22"/>
                        </w:rPr>
                      </w:pPr>
                    </w:p>
                    <w:p w14:paraId="74E6C852" w14:textId="77777777" w:rsidR="004E0CD8" w:rsidRDefault="004E0CD8" w:rsidP="00BA308D">
                      <w:pPr>
                        <w:rPr>
                          <w:rFonts w:asciiTheme="minorHAnsi" w:hAnsiTheme="minorHAnsi" w:cstheme="minorHAnsi"/>
                          <w:bCs/>
                          <w:sz w:val="22"/>
                          <w:szCs w:val="22"/>
                        </w:rPr>
                      </w:pPr>
                    </w:p>
                    <w:p w14:paraId="549FE328" w14:textId="77777777" w:rsidR="004E0CD8" w:rsidRPr="009F1447" w:rsidRDefault="004E0CD8" w:rsidP="00BA308D">
                      <w:pPr>
                        <w:rPr>
                          <w:rFonts w:asciiTheme="minorHAnsi" w:hAnsiTheme="minorHAnsi"/>
                          <w:sz w:val="22"/>
                          <w:szCs w:val="22"/>
                        </w:rPr>
                      </w:pPr>
                    </w:p>
                  </w:txbxContent>
                </v:textbox>
                <w10:anchorlock/>
              </v:shape>
            </w:pict>
          </mc:Fallback>
        </mc:AlternateContent>
      </w:r>
    </w:p>
    <w:p w14:paraId="077BFFFB" w14:textId="77777777" w:rsidR="00D94C75" w:rsidRDefault="00D94C75" w:rsidP="009C09A7">
      <w:pPr>
        <w:autoSpaceDE w:val="0"/>
        <w:autoSpaceDN w:val="0"/>
        <w:adjustRightInd w:val="0"/>
        <w:rPr>
          <w:rFonts w:asciiTheme="minorHAnsi" w:eastAsiaTheme="minorHAnsi" w:hAnsiTheme="minorHAnsi" w:cs="Calibri-Bold"/>
          <w:b/>
          <w:bCs/>
          <w:sz w:val="22"/>
          <w:szCs w:val="22"/>
          <w:lang w:eastAsia="en-US"/>
        </w:rPr>
      </w:pPr>
    </w:p>
    <w:p w14:paraId="53EDB33B" w14:textId="77777777" w:rsidR="00B9297A" w:rsidRPr="001956F9" w:rsidRDefault="00B9297A" w:rsidP="009C09A7">
      <w:pPr>
        <w:autoSpaceDE w:val="0"/>
        <w:autoSpaceDN w:val="0"/>
        <w:adjustRightInd w:val="0"/>
        <w:rPr>
          <w:rFonts w:asciiTheme="minorHAnsi" w:eastAsiaTheme="minorHAnsi" w:hAnsiTheme="minorHAnsi" w:cs="Calibri-Bold"/>
          <w:b/>
          <w:bCs/>
          <w:sz w:val="22"/>
          <w:szCs w:val="22"/>
          <w:lang w:eastAsia="en-US"/>
        </w:rPr>
      </w:pPr>
    </w:p>
    <w:p w14:paraId="3B180079" w14:textId="77777777" w:rsidR="00D94C75" w:rsidRPr="00536004" w:rsidRDefault="00D94C75" w:rsidP="00536004">
      <w:pPr>
        <w:autoSpaceDE w:val="0"/>
        <w:autoSpaceDN w:val="0"/>
        <w:adjustRightInd w:val="0"/>
        <w:rPr>
          <w:rFonts w:asciiTheme="minorHAnsi" w:eastAsiaTheme="minorHAnsi" w:hAnsiTheme="minorHAnsi" w:cs="Calibri-Bold"/>
          <w:b/>
          <w:bCs/>
          <w:sz w:val="22"/>
          <w:szCs w:val="22"/>
          <w:lang w:eastAsia="en-US"/>
        </w:rPr>
      </w:pPr>
      <w:r w:rsidRPr="00536004">
        <w:rPr>
          <w:rFonts w:asciiTheme="minorHAnsi" w:eastAsiaTheme="minorHAnsi" w:hAnsiTheme="minorHAnsi" w:cs="Calibri-Bold"/>
          <w:b/>
          <w:bCs/>
          <w:sz w:val="22"/>
          <w:szCs w:val="22"/>
          <w:lang w:eastAsia="en-US"/>
        </w:rPr>
        <w:t>Background</w:t>
      </w:r>
      <w:r w:rsidR="002A65F4" w:rsidRPr="00536004">
        <w:rPr>
          <w:rFonts w:asciiTheme="minorHAnsi" w:eastAsiaTheme="minorHAnsi" w:hAnsiTheme="minorHAnsi" w:cs="Calibri-Bold"/>
          <w:b/>
          <w:bCs/>
          <w:sz w:val="22"/>
          <w:szCs w:val="22"/>
          <w:lang w:eastAsia="en-US"/>
        </w:rPr>
        <w:t xml:space="preserve"> </w:t>
      </w:r>
    </w:p>
    <w:p w14:paraId="28459893" w14:textId="77777777" w:rsidR="00BE5EAD" w:rsidRPr="00536004" w:rsidRDefault="00BE5EAD" w:rsidP="00536004">
      <w:pPr>
        <w:autoSpaceDE w:val="0"/>
        <w:autoSpaceDN w:val="0"/>
        <w:adjustRightInd w:val="0"/>
        <w:ind w:left="426" w:hanging="426"/>
        <w:rPr>
          <w:rFonts w:asciiTheme="minorHAnsi" w:hAnsiTheme="minorHAnsi"/>
          <w:sz w:val="22"/>
          <w:szCs w:val="22"/>
        </w:rPr>
      </w:pPr>
    </w:p>
    <w:p w14:paraId="653AC1FF" w14:textId="76BF9C5A" w:rsidR="00CD58C0" w:rsidRPr="00CD58C0" w:rsidRDefault="001306F4" w:rsidP="0004706C">
      <w:pPr>
        <w:pStyle w:val="ListParagraph"/>
        <w:numPr>
          <w:ilvl w:val="0"/>
          <w:numId w:val="1"/>
        </w:numPr>
        <w:suppressAutoHyphens/>
        <w:ind w:left="426" w:hanging="426"/>
        <w:jc w:val="left"/>
        <w:rPr>
          <w:rFonts w:asciiTheme="minorHAnsi" w:hAnsiTheme="minorHAnsi"/>
        </w:rPr>
      </w:pPr>
      <w:r w:rsidRPr="00C87814">
        <w:rPr>
          <w:rFonts w:asciiTheme="minorHAnsi" w:hAnsiTheme="minorHAnsi" w:cstheme="minorHAnsi"/>
          <w:bCs/>
        </w:rPr>
        <w:t xml:space="preserve">The Secretariat has reviewed the </w:t>
      </w:r>
      <w:r w:rsidR="00B9297A">
        <w:rPr>
          <w:rFonts w:asciiTheme="minorHAnsi" w:hAnsiTheme="minorHAnsi" w:cstheme="minorHAnsi"/>
          <w:bCs/>
        </w:rPr>
        <w:t xml:space="preserve">arrangements for </w:t>
      </w:r>
      <w:r w:rsidRPr="00C87814">
        <w:rPr>
          <w:rFonts w:asciiTheme="minorHAnsi" w:hAnsiTheme="minorHAnsi" w:cstheme="minorHAnsi"/>
          <w:bCs/>
        </w:rPr>
        <w:t xml:space="preserve"> Working Groups </w:t>
      </w:r>
      <w:r w:rsidR="00B9297A">
        <w:rPr>
          <w:rFonts w:asciiTheme="minorHAnsi" w:hAnsiTheme="minorHAnsi" w:cstheme="minorHAnsi"/>
          <w:bCs/>
        </w:rPr>
        <w:t>established through</w:t>
      </w:r>
      <w:r w:rsidR="00B9297A" w:rsidRPr="00C87814">
        <w:rPr>
          <w:rFonts w:asciiTheme="minorHAnsi" w:hAnsiTheme="minorHAnsi" w:cstheme="minorHAnsi"/>
          <w:bCs/>
        </w:rPr>
        <w:t xml:space="preserve"> </w:t>
      </w:r>
      <w:r w:rsidRPr="00C87814">
        <w:rPr>
          <w:rFonts w:asciiTheme="minorHAnsi" w:hAnsiTheme="minorHAnsi" w:cstheme="minorHAnsi"/>
          <w:bCs/>
        </w:rPr>
        <w:t xml:space="preserve">COP </w:t>
      </w:r>
      <w:r w:rsidR="00AE6962" w:rsidRPr="00C87814">
        <w:rPr>
          <w:rFonts w:asciiTheme="minorHAnsi" w:hAnsiTheme="minorHAnsi" w:cstheme="minorHAnsi"/>
          <w:bCs/>
        </w:rPr>
        <w:t>Resolution</w:t>
      </w:r>
      <w:r w:rsidRPr="00C87814">
        <w:rPr>
          <w:rFonts w:asciiTheme="minorHAnsi" w:hAnsiTheme="minorHAnsi" w:cstheme="minorHAnsi"/>
          <w:bCs/>
        </w:rPr>
        <w:t>s</w:t>
      </w:r>
      <w:r w:rsidR="00CD58C0">
        <w:rPr>
          <w:rFonts w:asciiTheme="minorHAnsi" w:hAnsiTheme="minorHAnsi" w:cstheme="minorHAnsi"/>
          <w:bCs/>
        </w:rPr>
        <w:t xml:space="preserve"> and Standing Committee decisions to operate under the Convention. </w:t>
      </w:r>
      <w:r w:rsidR="00244E71">
        <w:rPr>
          <w:rFonts w:asciiTheme="minorHAnsi" w:hAnsiTheme="minorHAnsi" w:cstheme="minorHAnsi"/>
          <w:bCs/>
        </w:rPr>
        <w:t>Annex 1</w:t>
      </w:r>
      <w:r w:rsidR="000D7DA1">
        <w:rPr>
          <w:rFonts w:asciiTheme="minorHAnsi" w:hAnsiTheme="minorHAnsi" w:cstheme="minorHAnsi"/>
          <w:bCs/>
        </w:rPr>
        <w:t xml:space="preserve"> </w:t>
      </w:r>
      <w:r w:rsidR="00146141">
        <w:rPr>
          <w:rFonts w:asciiTheme="minorHAnsi" w:hAnsiTheme="minorHAnsi" w:cstheme="minorHAnsi"/>
          <w:bCs/>
        </w:rPr>
        <w:t xml:space="preserve">summarizes </w:t>
      </w:r>
      <w:r w:rsidR="00F922E5">
        <w:rPr>
          <w:rFonts w:asciiTheme="minorHAnsi" w:hAnsiTheme="minorHAnsi" w:cstheme="minorHAnsi"/>
          <w:bCs/>
        </w:rPr>
        <w:t>the findings</w:t>
      </w:r>
      <w:r w:rsidR="000D7DA1">
        <w:rPr>
          <w:rFonts w:asciiTheme="minorHAnsi" w:hAnsiTheme="minorHAnsi" w:cstheme="minorHAnsi"/>
          <w:bCs/>
        </w:rPr>
        <w:t>.</w:t>
      </w:r>
    </w:p>
    <w:p w14:paraId="6D372125" w14:textId="77777777" w:rsidR="00CD58C0" w:rsidRPr="00CD58C0" w:rsidRDefault="00CD58C0" w:rsidP="00CD58C0">
      <w:pPr>
        <w:suppressAutoHyphens/>
        <w:rPr>
          <w:rFonts w:asciiTheme="minorHAnsi" w:hAnsiTheme="minorHAnsi"/>
        </w:rPr>
      </w:pPr>
    </w:p>
    <w:p w14:paraId="3D784636" w14:textId="2FDE1EEF" w:rsidR="00DA0157" w:rsidRPr="00DA0157" w:rsidRDefault="00CD58C0" w:rsidP="0004706C">
      <w:pPr>
        <w:pStyle w:val="ListParagraph"/>
        <w:numPr>
          <w:ilvl w:val="0"/>
          <w:numId w:val="1"/>
        </w:numPr>
        <w:suppressAutoHyphens/>
        <w:ind w:left="426" w:hanging="426"/>
        <w:jc w:val="left"/>
        <w:rPr>
          <w:rFonts w:asciiTheme="minorHAnsi" w:hAnsiTheme="minorHAnsi"/>
        </w:rPr>
      </w:pPr>
      <w:r>
        <w:rPr>
          <w:rFonts w:asciiTheme="minorHAnsi" w:hAnsiTheme="minorHAnsi" w:cstheme="minorHAnsi"/>
          <w:bCs/>
        </w:rPr>
        <w:t>From the review</w:t>
      </w:r>
      <w:r w:rsidR="000D7DA1">
        <w:rPr>
          <w:rFonts w:asciiTheme="minorHAnsi" w:hAnsiTheme="minorHAnsi" w:cstheme="minorHAnsi"/>
          <w:bCs/>
        </w:rPr>
        <w:t>,</w:t>
      </w:r>
      <w:r>
        <w:rPr>
          <w:rFonts w:asciiTheme="minorHAnsi" w:hAnsiTheme="minorHAnsi" w:cstheme="minorHAnsi"/>
          <w:bCs/>
        </w:rPr>
        <w:t xml:space="preserve"> </w:t>
      </w:r>
      <w:r w:rsidR="00911AAA">
        <w:rPr>
          <w:rFonts w:asciiTheme="minorHAnsi" w:hAnsiTheme="minorHAnsi" w:cstheme="minorHAnsi"/>
          <w:bCs/>
        </w:rPr>
        <w:t xml:space="preserve">the Secretariat noted that some groups </w:t>
      </w:r>
      <w:r w:rsidR="000D7DA1">
        <w:rPr>
          <w:rFonts w:asciiTheme="minorHAnsi" w:hAnsiTheme="minorHAnsi" w:cstheme="minorHAnsi"/>
          <w:bCs/>
        </w:rPr>
        <w:t xml:space="preserve">do not </w:t>
      </w:r>
      <w:r w:rsidR="00911AAA">
        <w:rPr>
          <w:rFonts w:asciiTheme="minorHAnsi" w:hAnsiTheme="minorHAnsi" w:cstheme="minorHAnsi"/>
          <w:bCs/>
        </w:rPr>
        <w:t>have full clarity regarding their reporting arrangement</w:t>
      </w:r>
      <w:r w:rsidR="000D7DA1">
        <w:rPr>
          <w:rFonts w:asciiTheme="minorHAnsi" w:hAnsiTheme="minorHAnsi" w:cstheme="minorHAnsi"/>
          <w:bCs/>
        </w:rPr>
        <w:t>s</w:t>
      </w:r>
      <w:r w:rsidR="00911AAA">
        <w:rPr>
          <w:rFonts w:asciiTheme="minorHAnsi" w:hAnsiTheme="minorHAnsi" w:cstheme="minorHAnsi"/>
          <w:bCs/>
        </w:rPr>
        <w:t xml:space="preserve"> and </w:t>
      </w:r>
      <w:r w:rsidR="000D7DA1">
        <w:rPr>
          <w:rFonts w:asciiTheme="minorHAnsi" w:hAnsiTheme="minorHAnsi" w:cstheme="minorHAnsi"/>
          <w:bCs/>
        </w:rPr>
        <w:t xml:space="preserve">their </w:t>
      </w:r>
      <w:r w:rsidR="00911AAA">
        <w:rPr>
          <w:rFonts w:asciiTheme="minorHAnsi" w:hAnsiTheme="minorHAnsi" w:cstheme="minorHAnsi"/>
          <w:bCs/>
        </w:rPr>
        <w:t xml:space="preserve">duration. </w:t>
      </w:r>
    </w:p>
    <w:p w14:paraId="554F6C2D" w14:textId="77777777" w:rsidR="00DA0157" w:rsidRPr="00DA0157" w:rsidRDefault="00DA0157" w:rsidP="00DA0157">
      <w:pPr>
        <w:pStyle w:val="ListParagraph"/>
        <w:rPr>
          <w:rFonts w:asciiTheme="minorHAnsi" w:hAnsiTheme="minorHAnsi" w:cstheme="minorHAnsi"/>
          <w:bCs/>
        </w:rPr>
      </w:pPr>
    </w:p>
    <w:p w14:paraId="45BA57E7" w14:textId="4BA98319" w:rsidR="00244E71" w:rsidRDefault="00DA0157" w:rsidP="00146141">
      <w:pPr>
        <w:pStyle w:val="ListParagraph"/>
        <w:numPr>
          <w:ilvl w:val="0"/>
          <w:numId w:val="1"/>
        </w:numPr>
        <w:suppressAutoHyphens/>
        <w:ind w:left="426" w:hanging="426"/>
        <w:jc w:val="left"/>
      </w:pPr>
      <w:r w:rsidRPr="007B4994">
        <w:rPr>
          <w:rFonts w:asciiTheme="minorHAnsi" w:hAnsiTheme="minorHAnsi" w:cstheme="minorHAnsi"/>
          <w:bCs/>
        </w:rPr>
        <w:t xml:space="preserve">Accordingly, the Secretariat invites the Standing Committee to </w:t>
      </w:r>
      <w:r w:rsidR="00EB17CA">
        <w:rPr>
          <w:rFonts w:asciiTheme="minorHAnsi" w:hAnsiTheme="minorHAnsi" w:cstheme="minorHAnsi"/>
          <w:bCs/>
        </w:rPr>
        <w:t>confirm and complete the status</w:t>
      </w:r>
      <w:r w:rsidR="000D7DA1">
        <w:rPr>
          <w:rFonts w:asciiTheme="minorHAnsi" w:hAnsiTheme="minorHAnsi" w:cstheme="minorHAnsi"/>
          <w:bCs/>
        </w:rPr>
        <w:t xml:space="preserve"> of the Groups</w:t>
      </w:r>
      <w:r w:rsidR="00EB17CA">
        <w:rPr>
          <w:rFonts w:asciiTheme="minorHAnsi" w:hAnsiTheme="minorHAnsi" w:cstheme="minorHAnsi"/>
          <w:bCs/>
        </w:rPr>
        <w:t xml:space="preserve">, and provide any additional guidance as appropriate to </w:t>
      </w:r>
      <w:r w:rsidR="00E20766">
        <w:rPr>
          <w:rFonts w:asciiTheme="minorHAnsi" w:hAnsiTheme="minorHAnsi" w:cstheme="minorHAnsi"/>
          <w:bCs/>
        </w:rPr>
        <w:t xml:space="preserve">ensure </w:t>
      </w:r>
      <w:r w:rsidR="00EB17CA">
        <w:rPr>
          <w:rFonts w:asciiTheme="minorHAnsi" w:hAnsiTheme="minorHAnsi" w:cstheme="minorHAnsi"/>
          <w:bCs/>
        </w:rPr>
        <w:t xml:space="preserve">full clarity on the operation of </w:t>
      </w:r>
      <w:r w:rsidR="00E20766">
        <w:rPr>
          <w:rFonts w:asciiTheme="minorHAnsi" w:hAnsiTheme="minorHAnsi" w:cstheme="minorHAnsi"/>
          <w:bCs/>
        </w:rPr>
        <w:t xml:space="preserve">such mechanisms </w:t>
      </w:r>
      <w:r w:rsidR="00EB17CA">
        <w:rPr>
          <w:rFonts w:asciiTheme="minorHAnsi" w:hAnsiTheme="minorHAnsi" w:cstheme="minorHAnsi"/>
          <w:bCs/>
        </w:rPr>
        <w:t>of the Convention.</w:t>
      </w:r>
    </w:p>
    <w:p w14:paraId="2DBF6681" w14:textId="77777777" w:rsidR="00FE1B86" w:rsidRDefault="00FE1B86" w:rsidP="00244E71">
      <w:pPr>
        <w:jc w:val="center"/>
        <w:rPr>
          <w:rFonts w:asciiTheme="minorHAnsi" w:hAnsiTheme="minorHAnsi" w:cs="Calibri"/>
          <w:b/>
          <w:sz w:val="20"/>
          <w:szCs w:val="20"/>
        </w:rPr>
        <w:sectPr w:rsidR="00FE1B86" w:rsidSect="005E00E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titlePg/>
          <w:docGrid w:linePitch="360"/>
        </w:sectPr>
      </w:pPr>
    </w:p>
    <w:p w14:paraId="109D75E8" w14:textId="1B704F08" w:rsidR="0064410B" w:rsidRPr="0064410B" w:rsidRDefault="0064410B" w:rsidP="0064410B">
      <w:pPr>
        <w:tabs>
          <w:tab w:val="left" w:pos="1335"/>
        </w:tabs>
        <w:rPr>
          <w:rFonts w:asciiTheme="minorHAnsi" w:hAnsiTheme="minorHAnsi" w:cstheme="minorHAnsi"/>
          <w:b/>
          <w:bCs/>
        </w:rPr>
      </w:pPr>
      <w:r w:rsidRPr="0064410B">
        <w:rPr>
          <w:rFonts w:asciiTheme="minorHAnsi" w:hAnsiTheme="minorHAnsi" w:cstheme="minorHAnsi"/>
          <w:b/>
          <w:bCs/>
        </w:rPr>
        <w:lastRenderedPageBreak/>
        <w:t xml:space="preserve">Annex 1 </w:t>
      </w:r>
      <w:r w:rsidRPr="0064410B">
        <w:rPr>
          <w:rFonts w:asciiTheme="minorHAnsi" w:hAnsiTheme="minorHAnsi" w:cstheme="minorHAnsi"/>
          <w:b/>
          <w:bCs/>
        </w:rPr>
        <w:tab/>
      </w:r>
    </w:p>
    <w:p w14:paraId="49DD1FB7" w14:textId="03C0EDD2" w:rsidR="00244E71" w:rsidRPr="0064410B" w:rsidRDefault="00244E71" w:rsidP="0064410B">
      <w:pPr>
        <w:rPr>
          <w:rFonts w:asciiTheme="minorHAnsi" w:hAnsiTheme="minorHAnsi" w:cs="Calibri"/>
          <w:b/>
        </w:rPr>
      </w:pPr>
      <w:r w:rsidRPr="0064410B">
        <w:rPr>
          <w:rFonts w:asciiTheme="minorHAnsi" w:hAnsiTheme="minorHAnsi" w:cs="Calibri"/>
          <w:b/>
        </w:rPr>
        <w:t>Working Groups of the Standing Committee 2016-2018</w:t>
      </w:r>
    </w:p>
    <w:p w14:paraId="51ECA87A" w14:textId="77777777" w:rsidR="00244E71" w:rsidRPr="00BA0B3C" w:rsidRDefault="00244E71" w:rsidP="00244E71">
      <w:pPr>
        <w:ind w:left="567" w:hanging="567"/>
        <w:rPr>
          <w:rFonts w:asciiTheme="minorHAnsi" w:hAnsiTheme="minorHAnsi" w:cs="Calibri"/>
          <w:sz w:val="20"/>
          <w:szCs w:val="20"/>
        </w:rPr>
      </w:pPr>
    </w:p>
    <w:tbl>
      <w:tblPr>
        <w:tblW w:w="1416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560"/>
        <w:gridCol w:w="4320"/>
        <w:gridCol w:w="3120"/>
        <w:gridCol w:w="1720"/>
        <w:gridCol w:w="1720"/>
        <w:gridCol w:w="1720"/>
      </w:tblGrid>
      <w:tr w:rsidR="00F922E5" w:rsidRPr="00E20766" w14:paraId="613CE832" w14:textId="215BD22C" w:rsidTr="00F922E5">
        <w:trPr>
          <w:cantSplit/>
          <w:tblHeader/>
        </w:trPr>
        <w:tc>
          <w:tcPr>
            <w:tcW w:w="1560" w:type="dxa"/>
          </w:tcPr>
          <w:p w14:paraId="7F084308" w14:textId="0FDFB32A" w:rsidR="007B4994" w:rsidRPr="00E20766" w:rsidRDefault="007B4994" w:rsidP="00F922E5">
            <w:pPr>
              <w:jc w:val="center"/>
              <w:rPr>
                <w:rFonts w:asciiTheme="minorHAnsi" w:hAnsiTheme="minorHAnsi" w:cs="Calibri"/>
                <w:b/>
                <w:sz w:val="20"/>
                <w:szCs w:val="20"/>
              </w:rPr>
            </w:pPr>
            <w:r w:rsidRPr="00E20766">
              <w:rPr>
                <w:rFonts w:asciiTheme="minorHAnsi" w:hAnsiTheme="minorHAnsi" w:cs="Calibri"/>
                <w:b/>
                <w:sz w:val="20"/>
                <w:szCs w:val="20"/>
              </w:rPr>
              <w:t>Working Group</w:t>
            </w:r>
            <w:r w:rsidR="00F922E5">
              <w:rPr>
                <w:rFonts w:asciiTheme="minorHAnsi" w:hAnsiTheme="minorHAnsi" w:cs="Calibri"/>
                <w:b/>
                <w:sz w:val="20"/>
                <w:szCs w:val="20"/>
              </w:rPr>
              <w:t xml:space="preserve"> </w:t>
            </w:r>
            <w:r w:rsidR="00E84A54" w:rsidRPr="00E20766">
              <w:rPr>
                <w:rFonts w:asciiTheme="minorHAnsi" w:hAnsiTheme="minorHAnsi" w:cs="Calibri"/>
                <w:b/>
                <w:sz w:val="20"/>
                <w:szCs w:val="20"/>
              </w:rPr>
              <w:t>/</w:t>
            </w:r>
            <w:r w:rsidR="00F922E5">
              <w:rPr>
                <w:rFonts w:asciiTheme="minorHAnsi" w:hAnsiTheme="minorHAnsi" w:cs="Calibri"/>
                <w:b/>
                <w:sz w:val="20"/>
                <w:szCs w:val="20"/>
              </w:rPr>
              <w:t xml:space="preserve"> S</w:t>
            </w:r>
            <w:r w:rsidR="00E84A54" w:rsidRPr="00E20766">
              <w:rPr>
                <w:rFonts w:asciiTheme="minorHAnsi" w:hAnsiTheme="minorHAnsi" w:cs="Calibri"/>
                <w:b/>
                <w:sz w:val="20"/>
                <w:szCs w:val="20"/>
              </w:rPr>
              <w:t>ub</w:t>
            </w:r>
            <w:r w:rsidR="00F922E5">
              <w:rPr>
                <w:rFonts w:asciiTheme="minorHAnsi" w:hAnsiTheme="minorHAnsi" w:cs="Calibri"/>
                <w:b/>
                <w:sz w:val="20"/>
                <w:szCs w:val="20"/>
              </w:rPr>
              <w:t>-</w:t>
            </w:r>
            <w:r w:rsidR="00E84A54" w:rsidRPr="00E20766">
              <w:rPr>
                <w:rFonts w:asciiTheme="minorHAnsi" w:hAnsiTheme="minorHAnsi" w:cs="Calibri"/>
                <w:b/>
                <w:sz w:val="20"/>
                <w:szCs w:val="20"/>
              </w:rPr>
              <w:t>group</w:t>
            </w:r>
          </w:p>
        </w:tc>
        <w:tc>
          <w:tcPr>
            <w:tcW w:w="4320" w:type="dxa"/>
          </w:tcPr>
          <w:p w14:paraId="7B008DA0" w14:textId="77777777" w:rsidR="007B4994" w:rsidRPr="00E20766" w:rsidRDefault="007B4994" w:rsidP="004F3693">
            <w:pPr>
              <w:jc w:val="center"/>
              <w:rPr>
                <w:rFonts w:asciiTheme="minorHAnsi" w:hAnsiTheme="minorHAnsi" w:cs="Calibri"/>
                <w:b/>
                <w:sz w:val="20"/>
                <w:szCs w:val="20"/>
              </w:rPr>
            </w:pPr>
            <w:r w:rsidRPr="00E20766">
              <w:rPr>
                <w:rFonts w:asciiTheme="minorHAnsi" w:hAnsiTheme="minorHAnsi" w:cs="Calibri"/>
                <w:b/>
                <w:sz w:val="20"/>
                <w:szCs w:val="20"/>
              </w:rPr>
              <w:t>COP Resolution/SC Decision</w:t>
            </w:r>
          </w:p>
        </w:tc>
        <w:tc>
          <w:tcPr>
            <w:tcW w:w="3120" w:type="dxa"/>
          </w:tcPr>
          <w:p w14:paraId="5F463FEA" w14:textId="77777777" w:rsidR="007B4994" w:rsidRPr="00E20766" w:rsidRDefault="007B4994" w:rsidP="004F3693">
            <w:pPr>
              <w:jc w:val="center"/>
              <w:rPr>
                <w:rFonts w:asciiTheme="minorHAnsi" w:hAnsiTheme="minorHAnsi" w:cs="Calibri"/>
                <w:b/>
                <w:sz w:val="20"/>
                <w:szCs w:val="20"/>
              </w:rPr>
            </w:pPr>
            <w:r w:rsidRPr="00E20766">
              <w:rPr>
                <w:rFonts w:asciiTheme="minorHAnsi" w:hAnsiTheme="minorHAnsi" w:cs="Calibri"/>
                <w:b/>
                <w:sz w:val="20"/>
                <w:szCs w:val="20"/>
              </w:rPr>
              <w:t xml:space="preserve">Composition </w:t>
            </w:r>
          </w:p>
        </w:tc>
        <w:tc>
          <w:tcPr>
            <w:tcW w:w="1720" w:type="dxa"/>
          </w:tcPr>
          <w:p w14:paraId="250ED98A" w14:textId="77777777" w:rsidR="007B4994" w:rsidRPr="00E20766" w:rsidRDefault="007B4994" w:rsidP="004F3693">
            <w:pPr>
              <w:jc w:val="center"/>
              <w:rPr>
                <w:rFonts w:asciiTheme="minorHAnsi" w:hAnsiTheme="minorHAnsi" w:cs="Calibri"/>
                <w:b/>
                <w:sz w:val="20"/>
                <w:szCs w:val="20"/>
              </w:rPr>
            </w:pPr>
            <w:r w:rsidRPr="00E20766">
              <w:rPr>
                <w:rFonts w:asciiTheme="minorHAnsi" w:hAnsiTheme="minorHAnsi" w:cs="Calibri"/>
                <w:b/>
                <w:sz w:val="20"/>
                <w:szCs w:val="20"/>
              </w:rPr>
              <w:t>Report to</w:t>
            </w:r>
          </w:p>
        </w:tc>
        <w:tc>
          <w:tcPr>
            <w:tcW w:w="1720" w:type="dxa"/>
          </w:tcPr>
          <w:p w14:paraId="45BC3B54" w14:textId="2271DE3A" w:rsidR="007B4994" w:rsidRPr="00E20766" w:rsidRDefault="007B4994" w:rsidP="004F3693">
            <w:pPr>
              <w:jc w:val="center"/>
              <w:rPr>
                <w:rFonts w:asciiTheme="minorHAnsi" w:hAnsiTheme="minorHAnsi" w:cs="Calibri"/>
                <w:b/>
                <w:sz w:val="20"/>
                <w:szCs w:val="20"/>
              </w:rPr>
            </w:pPr>
            <w:r w:rsidRPr="00E20766">
              <w:rPr>
                <w:rFonts w:asciiTheme="minorHAnsi" w:hAnsiTheme="minorHAnsi" w:cs="Calibri"/>
                <w:b/>
                <w:sz w:val="20"/>
                <w:szCs w:val="20"/>
              </w:rPr>
              <w:t>Term</w:t>
            </w:r>
          </w:p>
        </w:tc>
        <w:tc>
          <w:tcPr>
            <w:tcW w:w="1720" w:type="dxa"/>
          </w:tcPr>
          <w:p w14:paraId="5A9AAF4F" w14:textId="2D1BE6CC" w:rsidR="007B4994" w:rsidRPr="00E20766" w:rsidRDefault="007B4994" w:rsidP="004F3693">
            <w:pPr>
              <w:jc w:val="center"/>
              <w:rPr>
                <w:rFonts w:asciiTheme="minorHAnsi" w:hAnsiTheme="minorHAnsi" w:cs="Calibri"/>
                <w:b/>
                <w:sz w:val="20"/>
                <w:szCs w:val="20"/>
              </w:rPr>
            </w:pPr>
            <w:r w:rsidRPr="00E20766">
              <w:rPr>
                <w:rFonts w:asciiTheme="minorHAnsi" w:hAnsiTheme="minorHAnsi" w:cs="Calibri"/>
                <w:b/>
                <w:sz w:val="20"/>
                <w:szCs w:val="20"/>
              </w:rPr>
              <w:t>Action</w:t>
            </w:r>
          </w:p>
        </w:tc>
      </w:tr>
      <w:tr w:rsidR="0064410B" w:rsidRPr="00E20766" w14:paraId="2F6E0F78" w14:textId="7B4454EB" w:rsidTr="00F922E5">
        <w:trPr>
          <w:cantSplit/>
        </w:trPr>
        <w:tc>
          <w:tcPr>
            <w:tcW w:w="1560" w:type="dxa"/>
            <w:vMerge w:val="restart"/>
          </w:tcPr>
          <w:p w14:paraId="78A4A878" w14:textId="6E330AA2" w:rsidR="0064410B" w:rsidRPr="00E20766" w:rsidRDefault="0064410B" w:rsidP="00E20766">
            <w:pPr>
              <w:rPr>
                <w:rFonts w:asciiTheme="minorHAnsi" w:hAnsiTheme="minorHAnsi" w:cs="Calibri"/>
                <w:sz w:val="20"/>
                <w:szCs w:val="20"/>
              </w:rPr>
            </w:pPr>
            <w:r w:rsidRPr="00E20766">
              <w:rPr>
                <w:rFonts w:asciiTheme="minorHAnsi" w:hAnsiTheme="minorHAnsi" w:cs="Calibri"/>
                <w:sz w:val="20"/>
                <w:szCs w:val="20"/>
              </w:rPr>
              <w:t>Working Group to Oversee the Implementation of CEPA.</w:t>
            </w:r>
          </w:p>
        </w:tc>
        <w:tc>
          <w:tcPr>
            <w:tcW w:w="4320" w:type="dxa"/>
          </w:tcPr>
          <w:p w14:paraId="2C0AA861" w14:textId="6E936333" w:rsidR="0064410B" w:rsidRPr="00E20766" w:rsidRDefault="0064410B" w:rsidP="0064410B">
            <w:pPr>
              <w:rPr>
                <w:rFonts w:asciiTheme="minorHAnsi" w:hAnsiTheme="minorHAnsi" w:cs="Calibri"/>
                <w:b/>
                <w:sz w:val="20"/>
                <w:szCs w:val="20"/>
              </w:rPr>
            </w:pPr>
            <w:r w:rsidRPr="00E20766">
              <w:rPr>
                <w:rFonts w:asciiTheme="minorHAnsi" w:hAnsiTheme="minorHAnsi" w:cs="Calibri"/>
                <w:sz w:val="20"/>
                <w:szCs w:val="20"/>
              </w:rPr>
              <w:t>Para</w:t>
            </w:r>
            <w:r>
              <w:rPr>
                <w:rFonts w:asciiTheme="minorHAnsi" w:hAnsiTheme="minorHAnsi" w:cs="Calibri"/>
                <w:sz w:val="20"/>
                <w:szCs w:val="20"/>
              </w:rPr>
              <w:t>graph</w:t>
            </w:r>
            <w:r w:rsidRPr="00E20766">
              <w:rPr>
                <w:rFonts w:asciiTheme="minorHAnsi" w:hAnsiTheme="minorHAnsi" w:cs="Calibri"/>
                <w:sz w:val="20"/>
                <w:szCs w:val="20"/>
              </w:rPr>
              <w:t xml:space="preserve"> 9 of Resolution XII.9</w:t>
            </w:r>
            <w:r>
              <w:rPr>
                <w:rFonts w:asciiTheme="minorHAnsi" w:hAnsiTheme="minorHAnsi" w:cstheme="minorHAnsi"/>
                <w:bCs/>
                <w:sz w:val="20"/>
                <w:szCs w:val="20"/>
              </w:rPr>
              <w:t xml:space="preserve"> </w:t>
            </w:r>
            <w:r w:rsidRPr="0064410B">
              <w:rPr>
                <w:rFonts w:asciiTheme="minorHAnsi" w:hAnsiTheme="minorHAnsi" w:cstheme="minorHAnsi"/>
                <w:bCs/>
                <w:i/>
                <w:sz w:val="20"/>
                <w:szCs w:val="20"/>
              </w:rPr>
              <w:t>The Ramsar Convention´s Programme on communication, capacity building, education, participation and awareness (CEPA) 2016-2024</w:t>
            </w:r>
            <w:r w:rsidRPr="00E20766">
              <w:rPr>
                <w:rFonts w:asciiTheme="minorHAnsi" w:hAnsiTheme="minorHAnsi" w:cstheme="minorHAnsi"/>
                <w:bCs/>
                <w:sz w:val="20"/>
                <w:szCs w:val="20"/>
              </w:rPr>
              <w:t>.</w:t>
            </w:r>
            <w:r w:rsidR="00146141">
              <w:rPr>
                <w:rFonts w:asciiTheme="minorHAnsi" w:hAnsiTheme="minorHAnsi" w:cstheme="minorHAnsi"/>
                <w:bCs/>
                <w:sz w:val="20"/>
                <w:szCs w:val="20"/>
              </w:rPr>
              <w:t xml:space="preserve"> </w:t>
            </w:r>
          </w:p>
        </w:tc>
        <w:tc>
          <w:tcPr>
            <w:tcW w:w="3120" w:type="dxa"/>
            <w:vMerge w:val="restart"/>
          </w:tcPr>
          <w:p w14:paraId="2FEA6A67" w14:textId="7C49BAB8" w:rsidR="0064410B" w:rsidRPr="00E20766" w:rsidRDefault="0064410B" w:rsidP="00E20766">
            <w:pPr>
              <w:widowControl w:val="0"/>
              <w:suppressAutoHyphens/>
              <w:rPr>
                <w:rFonts w:asciiTheme="minorHAnsi" w:hAnsiTheme="minorHAnsi"/>
                <w:bCs/>
                <w:sz w:val="20"/>
                <w:szCs w:val="20"/>
              </w:rPr>
            </w:pPr>
            <w:r w:rsidRPr="00E20766">
              <w:rPr>
                <w:rFonts w:asciiTheme="minorHAnsi" w:hAnsiTheme="minorHAnsi"/>
                <w:bCs/>
                <w:sz w:val="20"/>
                <w:szCs w:val="20"/>
              </w:rPr>
              <w:t>Democratic Republic of Congo, Honduras, Kenya, Romania, Seychelles, United States of America.</w:t>
            </w:r>
          </w:p>
          <w:p w14:paraId="4F00D11A" w14:textId="77777777" w:rsidR="0064410B" w:rsidRPr="00E20766" w:rsidRDefault="0064410B" w:rsidP="00E20766">
            <w:pPr>
              <w:widowControl w:val="0"/>
              <w:suppressAutoHyphens/>
              <w:rPr>
                <w:rFonts w:asciiTheme="minorHAnsi" w:hAnsiTheme="minorHAnsi"/>
                <w:bCs/>
                <w:sz w:val="20"/>
                <w:szCs w:val="20"/>
              </w:rPr>
            </w:pPr>
          </w:p>
          <w:p w14:paraId="7D36212A" w14:textId="338D2FC3" w:rsidR="0064410B" w:rsidRPr="00E20766" w:rsidRDefault="0064410B" w:rsidP="00E20766">
            <w:pPr>
              <w:widowControl w:val="0"/>
              <w:suppressAutoHyphens/>
              <w:rPr>
                <w:rFonts w:asciiTheme="minorHAnsi" w:hAnsiTheme="minorHAnsi" w:cs="Calibri"/>
                <w:b/>
                <w:sz w:val="20"/>
                <w:szCs w:val="20"/>
              </w:rPr>
            </w:pPr>
            <w:r w:rsidRPr="00E20766">
              <w:rPr>
                <w:rFonts w:asciiTheme="minorHAnsi" w:hAnsiTheme="minorHAnsi"/>
                <w:bCs/>
                <w:sz w:val="20"/>
                <w:szCs w:val="20"/>
              </w:rPr>
              <w:t>Chair: South Africa</w:t>
            </w:r>
          </w:p>
        </w:tc>
        <w:tc>
          <w:tcPr>
            <w:tcW w:w="1720" w:type="dxa"/>
            <w:vMerge w:val="restart"/>
          </w:tcPr>
          <w:p w14:paraId="20A333C8" w14:textId="77777777" w:rsidR="0064410B" w:rsidRPr="00E20766" w:rsidRDefault="0064410B" w:rsidP="00E20766">
            <w:pPr>
              <w:rPr>
                <w:rFonts w:asciiTheme="minorHAnsi" w:hAnsiTheme="minorHAnsi" w:cs="Calibri"/>
                <w:sz w:val="20"/>
                <w:szCs w:val="20"/>
              </w:rPr>
            </w:pPr>
            <w:r w:rsidRPr="00E20766">
              <w:rPr>
                <w:rFonts w:asciiTheme="minorHAnsi" w:hAnsiTheme="minorHAnsi" w:cs="Calibri"/>
                <w:sz w:val="20"/>
                <w:szCs w:val="20"/>
              </w:rPr>
              <w:t>Management Working Group at each SC.</w:t>
            </w:r>
          </w:p>
          <w:p w14:paraId="30064C4F" w14:textId="77777777" w:rsidR="0064410B" w:rsidRPr="00E20766" w:rsidRDefault="0064410B" w:rsidP="00E20766">
            <w:pPr>
              <w:rPr>
                <w:rFonts w:asciiTheme="minorHAnsi" w:hAnsiTheme="minorHAnsi" w:cs="Calibri"/>
                <w:sz w:val="20"/>
                <w:szCs w:val="20"/>
              </w:rPr>
            </w:pPr>
          </w:p>
          <w:p w14:paraId="7CAA4591" w14:textId="77777777" w:rsidR="0064410B" w:rsidRPr="00E20766" w:rsidRDefault="0064410B" w:rsidP="00E20766">
            <w:pPr>
              <w:rPr>
                <w:rFonts w:asciiTheme="minorHAnsi" w:hAnsiTheme="minorHAnsi" w:cs="Calibri"/>
                <w:sz w:val="20"/>
                <w:szCs w:val="20"/>
              </w:rPr>
            </w:pPr>
            <w:r w:rsidRPr="00E20766">
              <w:rPr>
                <w:rFonts w:asciiTheme="minorHAnsi" w:hAnsiTheme="minorHAnsi" w:cs="Calibri"/>
                <w:sz w:val="20"/>
                <w:szCs w:val="20"/>
              </w:rPr>
              <w:t>COP13</w:t>
            </w:r>
          </w:p>
        </w:tc>
        <w:tc>
          <w:tcPr>
            <w:tcW w:w="1720" w:type="dxa"/>
            <w:vMerge w:val="restart"/>
          </w:tcPr>
          <w:p w14:paraId="2B3BC7D5" w14:textId="1C49FB0C" w:rsidR="0064410B" w:rsidRPr="00E20766" w:rsidRDefault="0064410B" w:rsidP="00E20766">
            <w:pPr>
              <w:rPr>
                <w:rFonts w:asciiTheme="minorHAnsi" w:hAnsiTheme="minorHAnsi" w:cs="Calibri"/>
                <w:sz w:val="20"/>
                <w:szCs w:val="20"/>
              </w:rPr>
            </w:pPr>
            <w:r w:rsidRPr="00E20766">
              <w:rPr>
                <w:rFonts w:asciiTheme="minorHAnsi" w:hAnsiTheme="minorHAnsi" w:cs="Calibri"/>
                <w:sz w:val="20"/>
                <w:szCs w:val="20"/>
              </w:rPr>
              <w:t>Indefinite</w:t>
            </w:r>
          </w:p>
        </w:tc>
        <w:tc>
          <w:tcPr>
            <w:tcW w:w="1720" w:type="dxa"/>
            <w:vMerge w:val="restart"/>
          </w:tcPr>
          <w:p w14:paraId="077AB8CE" w14:textId="77777777" w:rsidR="0064410B" w:rsidRPr="00E20766" w:rsidRDefault="0064410B" w:rsidP="00E20766">
            <w:pPr>
              <w:rPr>
                <w:rFonts w:asciiTheme="minorHAnsi" w:hAnsiTheme="minorHAnsi" w:cs="Calibri"/>
                <w:sz w:val="20"/>
                <w:szCs w:val="20"/>
              </w:rPr>
            </w:pPr>
          </w:p>
        </w:tc>
      </w:tr>
      <w:tr w:rsidR="0064410B" w:rsidRPr="00E20766" w14:paraId="2886C88F" w14:textId="77777777" w:rsidTr="00F922E5">
        <w:trPr>
          <w:cantSplit/>
        </w:trPr>
        <w:tc>
          <w:tcPr>
            <w:tcW w:w="1560" w:type="dxa"/>
            <w:vMerge/>
          </w:tcPr>
          <w:p w14:paraId="71562843" w14:textId="77777777" w:rsidR="0064410B" w:rsidRPr="00E20766" w:rsidRDefault="0064410B" w:rsidP="00E20766">
            <w:pPr>
              <w:rPr>
                <w:rFonts w:asciiTheme="minorHAnsi" w:hAnsiTheme="minorHAnsi" w:cs="Calibri"/>
                <w:sz w:val="20"/>
                <w:szCs w:val="20"/>
              </w:rPr>
            </w:pPr>
          </w:p>
        </w:tc>
        <w:tc>
          <w:tcPr>
            <w:tcW w:w="4320" w:type="dxa"/>
          </w:tcPr>
          <w:p w14:paraId="1153843C" w14:textId="7D4F6566" w:rsidR="0064410B" w:rsidRPr="00E20766" w:rsidRDefault="0064410B" w:rsidP="00E20766">
            <w:pPr>
              <w:rPr>
                <w:rFonts w:asciiTheme="minorHAnsi" w:hAnsiTheme="minorHAnsi" w:cs="Calibri"/>
                <w:sz w:val="20"/>
                <w:szCs w:val="20"/>
              </w:rPr>
            </w:pPr>
            <w:r>
              <w:rPr>
                <w:rFonts w:asciiTheme="minorHAnsi" w:hAnsiTheme="minorHAnsi" w:cs="Calibri"/>
                <w:sz w:val="20"/>
                <w:szCs w:val="20"/>
              </w:rPr>
              <w:t xml:space="preserve">Decision </w:t>
            </w:r>
            <w:r w:rsidRPr="00E20766">
              <w:rPr>
                <w:rFonts w:asciiTheme="minorHAnsi" w:hAnsiTheme="minorHAnsi" w:cs="Calibri"/>
                <w:sz w:val="20"/>
                <w:szCs w:val="20"/>
              </w:rPr>
              <w:t>SC50-8</w:t>
            </w:r>
            <w:r>
              <w:rPr>
                <w:rFonts w:asciiTheme="minorHAnsi" w:hAnsiTheme="minorHAnsi" w:cs="Calibri"/>
                <w:sz w:val="20"/>
                <w:szCs w:val="20"/>
              </w:rPr>
              <w:t xml:space="preserve">: </w:t>
            </w:r>
            <w:r>
              <w:rPr>
                <w:rFonts w:asciiTheme="minorHAnsi" w:hAnsiTheme="minorHAnsi"/>
                <w:bCs/>
                <w:sz w:val="20"/>
                <w:szCs w:val="20"/>
              </w:rPr>
              <w:t>“</w:t>
            </w:r>
            <w:r w:rsidRPr="00E20766">
              <w:rPr>
                <w:rFonts w:asciiTheme="minorHAnsi" w:hAnsiTheme="minorHAnsi"/>
                <w:bCs/>
                <w:sz w:val="20"/>
                <w:szCs w:val="20"/>
              </w:rPr>
              <w:t>The Standing Committee agreed the establishment of a working group to oversee the implementation of CEPA and a working group to improve existing management instruments between IUCN, the Standing Committee and the Secretary General</w:t>
            </w:r>
            <w:r w:rsidRPr="00E20766">
              <w:rPr>
                <w:rFonts w:asciiTheme="minorHAnsi" w:hAnsiTheme="minorHAnsi"/>
                <w:sz w:val="20"/>
                <w:szCs w:val="20"/>
              </w:rPr>
              <w:t>.</w:t>
            </w:r>
            <w:r>
              <w:rPr>
                <w:rFonts w:asciiTheme="minorHAnsi" w:hAnsiTheme="minorHAnsi"/>
                <w:sz w:val="20"/>
                <w:szCs w:val="20"/>
              </w:rPr>
              <w:t>”</w:t>
            </w:r>
          </w:p>
        </w:tc>
        <w:tc>
          <w:tcPr>
            <w:tcW w:w="3120" w:type="dxa"/>
            <w:vMerge/>
          </w:tcPr>
          <w:p w14:paraId="4C04A8DE" w14:textId="77777777" w:rsidR="0064410B" w:rsidRPr="00E20766" w:rsidRDefault="0064410B" w:rsidP="00E20766">
            <w:pPr>
              <w:autoSpaceDE w:val="0"/>
              <w:autoSpaceDN w:val="0"/>
              <w:adjustRightInd w:val="0"/>
              <w:rPr>
                <w:rFonts w:asciiTheme="minorHAnsi" w:eastAsiaTheme="minorHAnsi" w:hAnsiTheme="minorHAnsi" w:cs="Calibri"/>
                <w:color w:val="000000"/>
                <w:sz w:val="20"/>
                <w:szCs w:val="20"/>
              </w:rPr>
            </w:pPr>
          </w:p>
        </w:tc>
        <w:tc>
          <w:tcPr>
            <w:tcW w:w="1720" w:type="dxa"/>
            <w:vMerge/>
          </w:tcPr>
          <w:p w14:paraId="69CF39E4" w14:textId="77777777" w:rsidR="0064410B" w:rsidRPr="00E20766" w:rsidRDefault="0064410B" w:rsidP="00E20766">
            <w:pPr>
              <w:rPr>
                <w:rFonts w:asciiTheme="minorHAnsi" w:hAnsiTheme="minorHAnsi" w:cs="Calibri"/>
                <w:sz w:val="20"/>
                <w:szCs w:val="20"/>
              </w:rPr>
            </w:pPr>
          </w:p>
        </w:tc>
        <w:tc>
          <w:tcPr>
            <w:tcW w:w="1720" w:type="dxa"/>
            <w:vMerge/>
          </w:tcPr>
          <w:p w14:paraId="4DECD996" w14:textId="77777777" w:rsidR="0064410B" w:rsidRPr="00E20766" w:rsidRDefault="0064410B" w:rsidP="00E20766">
            <w:pPr>
              <w:rPr>
                <w:rFonts w:asciiTheme="minorHAnsi" w:hAnsiTheme="minorHAnsi" w:cs="Calibri"/>
                <w:sz w:val="20"/>
                <w:szCs w:val="20"/>
              </w:rPr>
            </w:pPr>
          </w:p>
        </w:tc>
        <w:tc>
          <w:tcPr>
            <w:tcW w:w="1720" w:type="dxa"/>
            <w:vMerge/>
          </w:tcPr>
          <w:p w14:paraId="12642FB4" w14:textId="77777777" w:rsidR="0064410B" w:rsidRPr="00E20766" w:rsidRDefault="0064410B" w:rsidP="00E20766">
            <w:pPr>
              <w:rPr>
                <w:rFonts w:asciiTheme="minorHAnsi" w:hAnsiTheme="minorHAnsi" w:cs="Calibri"/>
                <w:sz w:val="20"/>
                <w:szCs w:val="20"/>
              </w:rPr>
            </w:pPr>
          </w:p>
        </w:tc>
      </w:tr>
      <w:tr w:rsidR="00F922E5" w:rsidRPr="00E20766" w14:paraId="17F6C360" w14:textId="0A106D03" w:rsidTr="00F922E5">
        <w:trPr>
          <w:cantSplit/>
        </w:trPr>
        <w:tc>
          <w:tcPr>
            <w:tcW w:w="1560" w:type="dxa"/>
          </w:tcPr>
          <w:p w14:paraId="2C54474F" w14:textId="77777777" w:rsidR="007B4994" w:rsidRPr="00E20766" w:rsidRDefault="007B4994" w:rsidP="00E20766">
            <w:pPr>
              <w:rPr>
                <w:rFonts w:asciiTheme="minorHAnsi" w:hAnsiTheme="minorHAnsi" w:cs="Calibri"/>
                <w:sz w:val="20"/>
                <w:szCs w:val="20"/>
              </w:rPr>
            </w:pPr>
            <w:r w:rsidRPr="00E20766">
              <w:rPr>
                <w:rFonts w:asciiTheme="minorHAnsi" w:hAnsiTheme="minorHAnsi" w:cs="Calibri"/>
                <w:sz w:val="20"/>
                <w:szCs w:val="20"/>
              </w:rPr>
              <w:t>CEPA Oversight Panel</w:t>
            </w:r>
          </w:p>
        </w:tc>
        <w:tc>
          <w:tcPr>
            <w:tcW w:w="4320" w:type="dxa"/>
          </w:tcPr>
          <w:p w14:paraId="38407DF0" w14:textId="60823AD1" w:rsidR="007B4994" w:rsidRPr="00E20766" w:rsidRDefault="0064410B" w:rsidP="006C1FDB">
            <w:pPr>
              <w:rPr>
                <w:rFonts w:asciiTheme="minorHAnsi" w:hAnsiTheme="minorHAnsi" w:cs="Calibri"/>
                <w:sz w:val="20"/>
                <w:szCs w:val="20"/>
              </w:rPr>
            </w:pPr>
            <w:r>
              <w:rPr>
                <w:rFonts w:asciiTheme="minorHAnsi" w:hAnsiTheme="minorHAnsi" w:cs="Calibri"/>
                <w:sz w:val="20"/>
                <w:szCs w:val="20"/>
              </w:rPr>
              <w:t xml:space="preserve">Resolution </w:t>
            </w:r>
            <w:r w:rsidR="007B4994" w:rsidRPr="00E20766">
              <w:rPr>
                <w:rFonts w:asciiTheme="minorHAnsi" w:hAnsiTheme="minorHAnsi" w:cs="Calibri"/>
                <w:sz w:val="20"/>
                <w:szCs w:val="20"/>
              </w:rPr>
              <w:t>IX.18</w:t>
            </w:r>
            <w:r>
              <w:rPr>
                <w:rFonts w:asciiTheme="minorHAnsi" w:hAnsiTheme="minorHAnsi" w:cstheme="minorHAnsi"/>
                <w:bCs/>
                <w:sz w:val="20"/>
                <w:szCs w:val="20"/>
              </w:rPr>
              <w:t xml:space="preserve"> </w:t>
            </w:r>
            <w:r w:rsidR="007B4994" w:rsidRPr="0064410B">
              <w:rPr>
                <w:rFonts w:asciiTheme="minorHAnsi" w:hAnsiTheme="minorHAnsi" w:cstheme="minorHAnsi"/>
                <w:bCs/>
                <w:i/>
                <w:sz w:val="20"/>
                <w:szCs w:val="20"/>
              </w:rPr>
              <w:t>Establishment of an Oversight Panel for the CEPA activities of the Convention</w:t>
            </w:r>
            <w:r w:rsidR="007B4994" w:rsidRPr="00E20766">
              <w:rPr>
                <w:rFonts w:asciiTheme="minorHAnsi" w:hAnsiTheme="minorHAnsi" w:cstheme="minorHAnsi"/>
                <w:bCs/>
                <w:sz w:val="20"/>
                <w:szCs w:val="20"/>
              </w:rPr>
              <w:t>.</w:t>
            </w:r>
          </w:p>
        </w:tc>
        <w:tc>
          <w:tcPr>
            <w:tcW w:w="3120" w:type="dxa"/>
          </w:tcPr>
          <w:p w14:paraId="1D2C2AAB" w14:textId="7C2A6AE8" w:rsidR="007B4994" w:rsidRPr="004E2C96" w:rsidRDefault="007B4994" w:rsidP="00E20766">
            <w:pPr>
              <w:autoSpaceDE w:val="0"/>
              <w:autoSpaceDN w:val="0"/>
              <w:adjustRightInd w:val="0"/>
              <w:rPr>
                <w:rFonts w:asciiTheme="minorHAnsi" w:eastAsiaTheme="minorHAnsi" w:hAnsiTheme="minorHAnsi" w:cs="Calibri"/>
                <w:color w:val="000000"/>
                <w:sz w:val="20"/>
                <w:szCs w:val="20"/>
                <w:lang w:val="es-ES"/>
              </w:rPr>
            </w:pPr>
            <w:r w:rsidRPr="004E2C96">
              <w:rPr>
                <w:rFonts w:asciiTheme="minorHAnsi" w:eastAsiaTheme="minorHAnsi" w:hAnsiTheme="minorHAnsi" w:cs="Calibri"/>
                <w:color w:val="000000"/>
                <w:sz w:val="20"/>
                <w:szCs w:val="20"/>
                <w:lang w:val="es-ES"/>
              </w:rPr>
              <w:t xml:space="preserve">Australia, </w:t>
            </w:r>
            <w:r w:rsidR="004E2C96" w:rsidRPr="004E2C96">
              <w:rPr>
                <w:rFonts w:asciiTheme="minorHAnsi" w:eastAsiaTheme="minorHAnsi" w:hAnsiTheme="minorHAnsi" w:cs="Calibri"/>
                <w:color w:val="000000"/>
                <w:sz w:val="20"/>
                <w:szCs w:val="20"/>
                <w:lang w:val="es-ES"/>
              </w:rPr>
              <w:t>Finland</w:t>
            </w:r>
            <w:r w:rsidRPr="004E2C96">
              <w:rPr>
                <w:rFonts w:asciiTheme="minorHAnsi" w:eastAsiaTheme="minorHAnsi" w:hAnsiTheme="minorHAnsi" w:cs="Calibri"/>
                <w:color w:val="000000"/>
                <w:sz w:val="20"/>
                <w:szCs w:val="20"/>
                <w:lang w:val="es-ES"/>
              </w:rPr>
              <w:t>, Lesotho,</w:t>
            </w:r>
            <w:r w:rsidR="004E2C96" w:rsidRPr="004E2C96">
              <w:rPr>
                <w:rFonts w:asciiTheme="minorHAnsi" w:eastAsiaTheme="minorHAnsi" w:hAnsiTheme="minorHAnsi" w:cs="Calibri"/>
                <w:color w:val="000000"/>
                <w:sz w:val="20"/>
                <w:szCs w:val="20"/>
                <w:lang w:val="es-ES"/>
              </w:rPr>
              <w:t xml:space="preserve"> Senegal.</w:t>
            </w:r>
            <w:r w:rsidRPr="004E2C96">
              <w:rPr>
                <w:rFonts w:asciiTheme="minorHAnsi" w:eastAsiaTheme="minorHAnsi" w:hAnsiTheme="minorHAnsi" w:cs="Calibri"/>
                <w:color w:val="000000"/>
                <w:sz w:val="20"/>
                <w:szCs w:val="20"/>
                <w:lang w:val="es-ES"/>
              </w:rPr>
              <w:t xml:space="preserve"> CEPA NGO NFPs: Australia, Myanmar.</w:t>
            </w:r>
          </w:p>
          <w:p w14:paraId="426DAABA" w14:textId="025437A7" w:rsidR="007B4994" w:rsidRPr="00E20766" w:rsidRDefault="007B4994" w:rsidP="00E20766">
            <w:pPr>
              <w:autoSpaceDE w:val="0"/>
              <w:autoSpaceDN w:val="0"/>
              <w:adjustRightInd w:val="0"/>
              <w:rPr>
                <w:rFonts w:asciiTheme="minorHAnsi" w:eastAsiaTheme="minorHAnsi" w:hAnsiTheme="minorHAnsi" w:cs="Calibri"/>
                <w:color w:val="000000"/>
                <w:sz w:val="20"/>
                <w:szCs w:val="20"/>
              </w:rPr>
            </w:pPr>
            <w:r w:rsidRPr="00E20766">
              <w:rPr>
                <w:rFonts w:asciiTheme="minorHAnsi" w:eastAsiaTheme="minorHAnsi" w:hAnsiTheme="minorHAnsi" w:cs="Calibri"/>
                <w:color w:val="000000"/>
                <w:sz w:val="20"/>
                <w:szCs w:val="20"/>
              </w:rPr>
              <w:t xml:space="preserve">STRP CEPA Expert: Ramsar Secretariat Head of Communications (nominated in accordance with </w:t>
            </w:r>
            <w:r w:rsidRPr="00E20766">
              <w:rPr>
                <w:rFonts w:asciiTheme="minorHAnsi" w:eastAsiaTheme="minorHAnsi" w:hAnsiTheme="minorHAnsi" w:cs="Calibri"/>
                <w:sz w:val="20"/>
                <w:szCs w:val="20"/>
              </w:rPr>
              <w:t>Resolution XII.5</w:t>
            </w:r>
            <w:r w:rsidRPr="00E20766">
              <w:rPr>
                <w:rFonts w:asciiTheme="minorHAnsi" w:eastAsiaTheme="minorHAnsi" w:hAnsiTheme="minorHAnsi" w:cs="Calibri"/>
                <w:color w:val="000000"/>
                <w:sz w:val="20"/>
                <w:szCs w:val="20"/>
              </w:rPr>
              <w:t>, Annex 1, Paragraph 6)</w:t>
            </w:r>
            <w:r w:rsidR="0064410B">
              <w:rPr>
                <w:rFonts w:asciiTheme="minorHAnsi" w:eastAsiaTheme="minorHAnsi" w:hAnsiTheme="minorHAnsi" w:cs="Calibri"/>
                <w:color w:val="000000"/>
                <w:sz w:val="20"/>
                <w:szCs w:val="20"/>
              </w:rPr>
              <w:t>.</w:t>
            </w:r>
          </w:p>
          <w:p w14:paraId="043B7BCA" w14:textId="73E7AE66" w:rsidR="007B4994" w:rsidRPr="00E20766" w:rsidRDefault="007B4994" w:rsidP="00E20766">
            <w:pPr>
              <w:autoSpaceDE w:val="0"/>
              <w:autoSpaceDN w:val="0"/>
              <w:adjustRightInd w:val="0"/>
              <w:rPr>
                <w:rFonts w:asciiTheme="minorHAnsi" w:eastAsiaTheme="minorHAnsi" w:hAnsiTheme="minorHAnsi" w:cs="Calibri"/>
                <w:color w:val="000000"/>
                <w:sz w:val="20"/>
                <w:szCs w:val="20"/>
              </w:rPr>
            </w:pPr>
            <w:r w:rsidRPr="00E20766">
              <w:rPr>
                <w:rFonts w:asciiTheme="minorHAnsi" w:eastAsiaTheme="minorHAnsi" w:hAnsiTheme="minorHAnsi" w:cs="Calibri"/>
                <w:color w:val="000000"/>
                <w:sz w:val="20"/>
                <w:szCs w:val="20"/>
              </w:rPr>
              <w:t>IOP representative: Wildfowl and Wetlands Trust (WWT)</w:t>
            </w:r>
            <w:r w:rsidR="0064410B">
              <w:rPr>
                <w:rFonts w:asciiTheme="minorHAnsi" w:eastAsiaTheme="minorHAnsi" w:hAnsiTheme="minorHAnsi" w:cs="Calibri"/>
                <w:color w:val="000000"/>
                <w:sz w:val="20"/>
                <w:szCs w:val="20"/>
              </w:rPr>
              <w:t>.</w:t>
            </w:r>
          </w:p>
          <w:p w14:paraId="79089C2B" w14:textId="1A1A69C2" w:rsidR="007B4994" w:rsidRPr="00E20766" w:rsidRDefault="007B4994" w:rsidP="00E20766">
            <w:pPr>
              <w:autoSpaceDE w:val="0"/>
              <w:autoSpaceDN w:val="0"/>
              <w:adjustRightInd w:val="0"/>
              <w:rPr>
                <w:rFonts w:asciiTheme="minorHAnsi" w:eastAsiaTheme="minorHAnsi" w:hAnsiTheme="minorHAnsi" w:cs="Calibri"/>
                <w:color w:val="000000"/>
                <w:sz w:val="20"/>
                <w:szCs w:val="20"/>
              </w:rPr>
            </w:pPr>
            <w:r w:rsidRPr="00E20766">
              <w:rPr>
                <w:rFonts w:asciiTheme="minorHAnsi" w:eastAsiaTheme="minorHAnsi" w:hAnsiTheme="minorHAnsi" w:cs="Calibri"/>
                <w:color w:val="000000"/>
                <w:sz w:val="20"/>
                <w:szCs w:val="20"/>
              </w:rPr>
              <w:t>Regional Ramsar Centre representative: Ramsar Regional Centre for Training and Research in the Western Hemisphere (CREHO)</w:t>
            </w:r>
            <w:r w:rsidR="0064410B">
              <w:rPr>
                <w:rFonts w:asciiTheme="minorHAnsi" w:eastAsiaTheme="minorHAnsi" w:hAnsiTheme="minorHAnsi" w:cs="Calibri"/>
                <w:color w:val="000000"/>
                <w:sz w:val="20"/>
                <w:szCs w:val="20"/>
              </w:rPr>
              <w:t>.</w:t>
            </w:r>
          </w:p>
          <w:p w14:paraId="5A5C08C4" w14:textId="0257F4D9" w:rsidR="007B4994" w:rsidRPr="00E20766" w:rsidRDefault="007B4994" w:rsidP="00E20766">
            <w:pPr>
              <w:autoSpaceDE w:val="0"/>
              <w:autoSpaceDN w:val="0"/>
              <w:adjustRightInd w:val="0"/>
              <w:rPr>
                <w:rFonts w:asciiTheme="minorHAnsi" w:eastAsiaTheme="minorHAnsi" w:hAnsiTheme="minorHAnsi" w:cs="Calibri"/>
                <w:color w:val="000000"/>
                <w:sz w:val="20"/>
                <w:szCs w:val="20"/>
              </w:rPr>
            </w:pPr>
            <w:r w:rsidRPr="00E20766">
              <w:rPr>
                <w:rFonts w:asciiTheme="minorHAnsi" w:eastAsiaTheme="minorHAnsi" w:hAnsiTheme="minorHAnsi" w:cs="Calibri"/>
                <w:color w:val="000000"/>
                <w:sz w:val="20"/>
                <w:szCs w:val="20"/>
              </w:rPr>
              <w:t>Vice-Chair of the STRP</w:t>
            </w:r>
            <w:r w:rsidR="0064410B">
              <w:rPr>
                <w:rFonts w:asciiTheme="minorHAnsi" w:eastAsiaTheme="minorHAnsi" w:hAnsiTheme="minorHAnsi" w:cs="Calibri"/>
                <w:color w:val="000000"/>
                <w:sz w:val="20"/>
                <w:szCs w:val="20"/>
              </w:rPr>
              <w:t>.</w:t>
            </w:r>
          </w:p>
          <w:p w14:paraId="17C93DD1" w14:textId="77777777" w:rsidR="007B4994" w:rsidRPr="00E20766" w:rsidRDefault="007B4994" w:rsidP="00E20766">
            <w:pPr>
              <w:autoSpaceDE w:val="0"/>
              <w:autoSpaceDN w:val="0"/>
              <w:adjustRightInd w:val="0"/>
              <w:rPr>
                <w:rFonts w:asciiTheme="minorHAnsi" w:eastAsiaTheme="minorHAnsi" w:hAnsiTheme="minorHAnsi" w:cs="Calibri"/>
                <w:color w:val="000000"/>
                <w:sz w:val="20"/>
                <w:szCs w:val="20"/>
              </w:rPr>
            </w:pPr>
          </w:p>
          <w:p w14:paraId="1E554302" w14:textId="77777777" w:rsidR="007B4994" w:rsidRPr="00E20766" w:rsidRDefault="007B4994" w:rsidP="00E20766">
            <w:pPr>
              <w:autoSpaceDE w:val="0"/>
              <w:autoSpaceDN w:val="0"/>
              <w:adjustRightInd w:val="0"/>
              <w:rPr>
                <w:rFonts w:asciiTheme="minorHAnsi" w:hAnsiTheme="minorHAnsi"/>
                <w:bCs/>
                <w:sz w:val="20"/>
                <w:szCs w:val="20"/>
              </w:rPr>
            </w:pPr>
            <w:r w:rsidRPr="00E20766">
              <w:rPr>
                <w:rFonts w:asciiTheme="minorHAnsi" w:eastAsiaTheme="minorHAnsi" w:hAnsiTheme="minorHAnsi" w:cs="Calibri"/>
                <w:color w:val="000000"/>
                <w:sz w:val="20"/>
                <w:szCs w:val="20"/>
              </w:rPr>
              <w:t>Chair: Australia (Vice-chair of the SC).</w:t>
            </w:r>
          </w:p>
        </w:tc>
        <w:tc>
          <w:tcPr>
            <w:tcW w:w="1720" w:type="dxa"/>
          </w:tcPr>
          <w:p w14:paraId="47F87386" w14:textId="77777777" w:rsidR="007B4994" w:rsidRPr="00E20766" w:rsidRDefault="007B4994" w:rsidP="00E20766">
            <w:pPr>
              <w:rPr>
                <w:rFonts w:asciiTheme="minorHAnsi" w:hAnsiTheme="minorHAnsi" w:cs="Calibri"/>
                <w:sz w:val="20"/>
                <w:szCs w:val="20"/>
              </w:rPr>
            </w:pPr>
            <w:r w:rsidRPr="00E20766">
              <w:rPr>
                <w:rFonts w:asciiTheme="minorHAnsi" w:hAnsiTheme="minorHAnsi" w:cs="Calibri"/>
                <w:sz w:val="20"/>
                <w:szCs w:val="20"/>
              </w:rPr>
              <w:t>SC</w:t>
            </w:r>
          </w:p>
        </w:tc>
        <w:tc>
          <w:tcPr>
            <w:tcW w:w="1720" w:type="dxa"/>
          </w:tcPr>
          <w:p w14:paraId="2174C6AE" w14:textId="3B408136" w:rsidR="007B4994" w:rsidRPr="00E20766" w:rsidRDefault="0086792D" w:rsidP="00E20766">
            <w:pPr>
              <w:rPr>
                <w:rFonts w:asciiTheme="minorHAnsi" w:hAnsiTheme="minorHAnsi" w:cs="Calibri"/>
                <w:sz w:val="20"/>
                <w:szCs w:val="20"/>
              </w:rPr>
            </w:pPr>
            <w:r w:rsidRPr="00E20766">
              <w:rPr>
                <w:rFonts w:asciiTheme="minorHAnsi" w:hAnsiTheme="minorHAnsi" w:cs="Calibri"/>
                <w:sz w:val="20"/>
                <w:szCs w:val="20"/>
              </w:rPr>
              <w:t>Indefinite</w:t>
            </w:r>
          </w:p>
        </w:tc>
        <w:tc>
          <w:tcPr>
            <w:tcW w:w="1720" w:type="dxa"/>
          </w:tcPr>
          <w:p w14:paraId="3332CC14" w14:textId="77777777" w:rsidR="007B4994" w:rsidRPr="00E20766" w:rsidRDefault="007B4994" w:rsidP="00E20766">
            <w:pPr>
              <w:rPr>
                <w:rFonts w:asciiTheme="minorHAnsi" w:hAnsiTheme="minorHAnsi" w:cs="Calibri"/>
                <w:sz w:val="20"/>
                <w:szCs w:val="20"/>
              </w:rPr>
            </w:pPr>
          </w:p>
        </w:tc>
      </w:tr>
      <w:tr w:rsidR="00F922E5" w:rsidRPr="00E20766" w14:paraId="0C309EEF" w14:textId="3ECBF9C0" w:rsidTr="00F922E5">
        <w:trPr>
          <w:cantSplit/>
        </w:trPr>
        <w:tc>
          <w:tcPr>
            <w:tcW w:w="1560" w:type="dxa"/>
          </w:tcPr>
          <w:p w14:paraId="70B1FC42" w14:textId="77777777" w:rsidR="007B4994" w:rsidRPr="0064410B" w:rsidRDefault="007B4994" w:rsidP="00E20766">
            <w:pPr>
              <w:rPr>
                <w:rFonts w:asciiTheme="minorHAnsi" w:hAnsiTheme="minorHAnsi" w:cs="Calibri"/>
                <w:sz w:val="20"/>
                <w:szCs w:val="20"/>
              </w:rPr>
            </w:pPr>
            <w:r w:rsidRPr="0064410B">
              <w:rPr>
                <w:rFonts w:asciiTheme="minorHAnsi" w:hAnsiTheme="minorHAnsi" w:cs="Calibri"/>
                <w:sz w:val="20"/>
                <w:szCs w:val="20"/>
              </w:rPr>
              <w:lastRenderedPageBreak/>
              <w:t>COP13</w:t>
            </w:r>
          </w:p>
        </w:tc>
        <w:tc>
          <w:tcPr>
            <w:tcW w:w="4320" w:type="dxa"/>
          </w:tcPr>
          <w:p w14:paraId="77276DA1" w14:textId="01ACC407" w:rsidR="00813DA6" w:rsidRPr="00E20766" w:rsidRDefault="0064410B" w:rsidP="0064410B">
            <w:pPr>
              <w:rPr>
                <w:rFonts w:asciiTheme="minorHAnsi" w:hAnsiTheme="minorHAnsi" w:cs="Calibri"/>
                <w:sz w:val="20"/>
                <w:szCs w:val="20"/>
              </w:rPr>
            </w:pPr>
            <w:r>
              <w:rPr>
                <w:rFonts w:asciiTheme="minorHAnsi" w:hAnsiTheme="minorHAnsi" w:cs="Calibri"/>
                <w:sz w:val="20"/>
                <w:szCs w:val="20"/>
              </w:rPr>
              <w:t xml:space="preserve">Decision </w:t>
            </w:r>
            <w:r w:rsidR="007B4994" w:rsidRPr="00E20766">
              <w:rPr>
                <w:rFonts w:asciiTheme="minorHAnsi" w:hAnsiTheme="minorHAnsi" w:cs="Calibri"/>
                <w:sz w:val="20"/>
                <w:szCs w:val="20"/>
              </w:rPr>
              <w:t>SC51-16</w:t>
            </w:r>
            <w:r>
              <w:rPr>
                <w:rFonts w:asciiTheme="minorHAnsi" w:hAnsiTheme="minorHAnsi" w:cs="Calibri"/>
                <w:sz w:val="20"/>
                <w:szCs w:val="20"/>
              </w:rPr>
              <w:t>: “</w:t>
            </w:r>
            <w:r w:rsidR="00813DA6" w:rsidRPr="00E20766">
              <w:rPr>
                <w:rFonts w:asciiTheme="minorHAnsi" w:hAnsiTheme="minorHAnsi"/>
                <w:sz w:val="20"/>
                <w:szCs w:val="20"/>
              </w:rPr>
              <w:t>The Standing Committee agreed to establish a Sub-Group on COP13 with the following composition: Australia representing Oceania, Cambodia representing Asia, Canada representing North America, Honduras representing Latin America and the Caribbean, Romania representing Europe, Tunisia representing</w:t>
            </w:r>
            <w:r w:rsidR="00146141">
              <w:rPr>
                <w:rFonts w:asciiTheme="minorHAnsi" w:hAnsiTheme="minorHAnsi"/>
                <w:sz w:val="20"/>
                <w:szCs w:val="20"/>
              </w:rPr>
              <w:t xml:space="preserve"> </w:t>
            </w:r>
            <w:r w:rsidR="00813DA6" w:rsidRPr="00E20766">
              <w:rPr>
                <w:rFonts w:asciiTheme="minorHAnsi" w:hAnsiTheme="minorHAnsi"/>
                <w:sz w:val="20"/>
                <w:szCs w:val="20"/>
              </w:rPr>
              <w:t>Africa, United Arab Emirates (Chair) as host country for COP13, and Uruguay as host country for COP12. Other Contracting Parties could serve as observers of the Sub-Group.</w:t>
            </w:r>
            <w:r>
              <w:rPr>
                <w:rFonts w:asciiTheme="minorHAnsi" w:hAnsiTheme="minorHAnsi"/>
                <w:sz w:val="20"/>
                <w:szCs w:val="20"/>
              </w:rPr>
              <w:t>”</w:t>
            </w:r>
          </w:p>
        </w:tc>
        <w:tc>
          <w:tcPr>
            <w:tcW w:w="3120" w:type="dxa"/>
          </w:tcPr>
          <w:p w14:paraId="3EA5AADB" w14:textId="108474ED" w:rsidR="007B4994" w:rsidRPr="00E20766" w:rsidRDefault="007B4994" w:rsidP="00E20766">
            <w:pPr>
              <w:rPr>
                <w:rFonts w:asciiTheme="minorHAnsi" w:hAnsiTheme="minorHAnsi"/>
                <w:sz w:val="20"/>
                <w:szCs w:val="20"/>
                <w:lang w:val="es-ES"/>
              </w:rPr>
            </w:pPr>
            <w:r w:rsidRPr="00E20766">
              <w:rPr>
                <w:rFonts w:asciiTheme="minorHAnsi" w:hAnsiTheme="minorHAnsi"/>
                <w:sz w:val="20"/>
                <w:szCs w:val="20"/>
                <w:lang w:val="es-ES"/>
              </w:rPr>
              <w:t>Australia, Cambodia, Canada, Honduras, Romania, Tunisia, United Arab Emirates, Uruguay</w:t>
            </w:r>
            <w:r w:rsidR="00146141">
              <w:rPr>
                <w:rFonts w:asciiTheme="minorHAnsi" w:hAnsiTheme="minorHAnsi"/>
                <w:sz w:val="20"/>
                <w:szCs w:val="20"/>
                <w:lang w:val="es-ES"/>
              </w:rPr>
              <w:t>.</w:t>
            </w:r>
          </w:p>
          <w:p w14:paraId="749866A7" w14:textId="77777777" w:rsidR="007B4994" w:rsidRPr="00E20766" w:rsidRDefault="007B4994" w:rsidP="00E20766">
            <w:pPr>
              <w:rPr>
                <w:rFonts w:asciiTheme="minorHAnsi" w:hAnsiTheme="minorHAnsi"/>
                <w:sz w:val="20"/>
                <w:szCs w:val="20"/>
                <w:lang w:val="es-ES"/>
              </w:rPr>
            </w:pPr>
          </w:p>
          <w:p w14:paraId="15A6FF5E" w14:textId="37CCB906" w:rsidR="007B4994" w:rsidRPr="00E20766" w:rsidRDefault="007B4994" w:rsidP="00E20766">
            <w:pPr>
              <w:rPr>
                <w:rFonts w:asciiTheme="minorHAnsi" w:hAnsiTheme="minorHAnsi"/>
                <w:sz w:val="20"/>
                <w:szCs w:val="20"/>
                <w:lang w:val="es-ES"/>
              </w:rPr>
            </w:pPr>
            <w:r w:rsidRPr="00E20766">
              <w:rPr>
                <w:rFonts w:asciiTheme="minorHAnsi" w:hAnsiTheme="minorHAnsi"/>
                <w:sz w:val="20"/>
                <w:szCs w:val="20"/>
                <w:lang w:val="es-ES"/>
              </w:rPr>
              <w:t>Chair: United Arab Emirates</w:t>
            </w:r>
            <w:r w:rsidR="00146141">
              <w:rPr>
                <w:rFonts w:asciiTheme="minorHAnsi" w:hAnsiTheme="minorHAnsi"/>
                <w:sz w:val="20"/>
                <w:szCs w:val="20"/>
                <w:lang w:val="es-ES"/>
              </w:rPr>
              <w:t>.</w:t>
            </w:r>
          </w:p>
          <w:p w14:paraId="429F85CD" w14:textId="77777777" w:rsidR="007B4994" w:rsidRPr="00E20766" w:rsidRDefault="007B4994" w:rsidP="00E20766">
            <w:pPr>
              <w:widowControl w:val="0"/>
              <w:suppressAutoHyphens/>
              <w:rPr>
                <w:rFonts w:asciiTheme="minorHAnsi" w:hAnsiTheme="minorHAnsi"/>
                <w:bCs/>
                <w:sz w:val="20"/>
                <w:szCs w:val="20"/>
                <w:lang w:val="es-ES"/>
              </w:rPr>
            </w:pPr>
          </w:p>
        </w:tc>
        <w:tc>
          <w:tcPr>
            <w:tcW w:w="1720" w:type="dxa"/>
          </w:tcPr>
          <w:p w14:paraId="7CDCDC57" w14:textId="77777777" w:rsidR="007B4994" w:rsidRPr="00E20766" w:rsidRDefault="007B4994" w:rsidP="00E20766">
            <w:pPr>
              <w:rPr>
                <w:rFonts w:asciiTheme="minorHAnsi" w:hAnsiTheme="minorHAnsi" w:cs="Calibri"/>
                <w:sz w:val="20"/>
                <w:szCs w:val="20"/>
                <w:lang w:val="es-ES"/>
              </w:rPr>
            </w:pPr>
            <w:r w:rsidRPr="00E20766">
              <w:rPr>
                <w:rFonts w:asciiTheme="minorHAnsi" w:hAnsiTheme="minorHAnsi" w:cs="Calibri"/>
                <w:sz w:val="20"/>
                <w:szCs w:val="20"/>
                <w:lang w:val="es-ES"/>
              </w:rPr>
              <w:t>SC</w:t>
            </w:r>
          </w:p>
        </w:tc>
        <w:tc>
          <w:tcPr>
            <w:tcW w:w="1720" w:type="dxa"/>
          </w:tcPr>
          <w:p w14:paraId="3FFDF1C3" w14:textId="34A9B595" w:rsidR="007B4994" w:rsidRPr="00E20766" w:rsidRDefault="0086792D" w:rsidP="00E20766">
            <w:pPr>
              <w:rPr>
                <w:rFonts w:asciiTheme="minorHAnsi" w:hAnsiTheme="minorHAnsi" w:cs="Calibri"/>
                <w:sz w:val="20"/>
                <w:szCs w:val="20"/>
                <w:lang w:val="es-ES"/>
              </w:rPr>
            </w:pPr>
            <w:r w:rsidRPr="00E20766">
              <w:rPr>
                <w:rFonts w:asciiTheme="minorHAnsi" w:hAnsiTheme="minorHAnsi" w:cs="Calibri"/>
                <w:sz w:val="20"/>
                <w:szCs w:val="20"/>
                <w:lang w:val="es-ES"/>
              </w:rPr>
              <w:t>2018</w:t>
            </w:r>
          </w:p>
        </w:tc>
        <w:tc>
          <w:tcPr>
            <w:tcW w:w="1720" w:type="dxa"/>
          </w:tcPr>
          <w:p w14:paraId="32391677" w14:textId="77777777" w:rsidR="007B4994" w:rsidRPr="00E20766" w:rsidRDefault="007B4994" w:rsidP="00E20766">
            <w:pPr>
              <w:rPr>
                <w:rFonts w:asciiTheme="minorHAnsi" w:hAnsiTheme="minorHAnsi" w:cs="Calibri"/>
                <w:b/>
                <w:sz w:val="20"/>
                <w:szCs w:val="20"/>
                <w:lang w:val="es-ES"/>
              </w:rPr>
            </w:pPr>
          </w:p>
        </w:tc>
      </w:tr>
      <w:tr w:rsidR="00175E9A" w:rsidRPr="00E20766" w14:paraId="2D757925" w14:textId="531F934B" w:rsidTr="00F922E5">
        <w:trPr>
          <w:cantSplit/>
        </w:trPr>
        <w:tc>
          <w:tcPr>
            <w:tcW w:w="1560" w:type="dxa"/>
            <w:vMerge w:val="restart"/>
          </w:tcPr>
          <w:p w14:paraId="404DE92D" w14:textId="77777777" w:rsidR="00175E9A" w:rsidRPr="00E20766" w:rsidRDefault="00175E9A" w:rsidP="00E20766">
            <w:pPr>
              <w:rPr>
                <w:rFonts w:asciiTheme="minorHAnsi" w:hAnsiTheme="minorHAnsi" w:cs="Calibri"/>
                <w:sz w:val="20"/>
                <w:szCs w:val="20"/>
              </w:rPr>
            </w:pPr>
            <w:r w:rsidRPr="00E20766">
              <w:rPr>
                <w:rFonts w:asciiTheme="minorHAnsi" w:hAnsiTheme="minorHAnsi" w:cs="Calibri"/>
                <w:sz w:val="20"/>
                <w:szCs w:val="20"/>
              </w:rPr>
              <w:t>Facilitation Working Group</w:t>
            </w:r>
          </w:p>
        </w:tc>
        <w:tc>
          <w:tcPr>
            <w:tcW w:w="4320" w:type="dxa"/>
          </w:tcPr>
          <w:p w14:paraId="7EBD440F" w14:textId="6904CCB8" w:rsidR="00175E9A" w:rsidRPr="00175E9A" w:rsidRDefault="00175E9A" w:rsidP="00175E9A">
            <w:pPr>
              <w:rPr>
                <w:rFonts w:asciiTheme="minorHAnsi" w:hAnsiTheme="minorHAnsi" w:cs="Calibri"/>
                <w:i/>
                <w:sz w:val="20"/>
                <w:szCs w:val="20"/>
              </w:rPr>
            </w:pPr>
            <w:r w:rsidRPr="00E20766">
              <w:rPr>
                <w:rFonts w:asciiTheme="minorHAnsi" w:hAnsiTheme="minorHAnsi" w:cs="Calibri"/>
                <w:sz w:val="20"/>
                <w:szCs w:val="20"/>
              </w:rPr>
              <w:t>Para</w:t>
            </w:r>
            <w:r>
              <w:rPr>
                <w:rFonts w:asciiTheme="minorHAnsi" w:hAnsiTheme="minorHAnsi" w:cs="Calibri"/>
                <w:sz w:val="20"/>
                <w:szCs w:val="20"/>
              </w:rPr>
              <w:t>graph</w:t>
            </w:r>
            <w:r w:rsidRPr="00E20766">
              <w:rPr>
                <w:rFonts w:asciiTheme="minorHAnsi" w:hAnsiTheme="minorHAnsi" w:cs="Calibri"/>
                <w:sz w:val="20"/>
                <w:szCs w:val="20"/>
              </w:rPr>
              <w:t xml:space="preserve"> 58 </w:t>
            </w:r>
            <w:r>
              <w:rPr>
                <w:rFonts w:asciiTheme="minorHAnsi" w:hAnsiTheme="minorHAnsi" w:cs="Calibri"/>
                <w:sz w:val="20"/>
                <w:szCs w:val="20"/>
              </w:rPr>
              <w:t xml:space="preserve">of </w:t>
            </w:r>
            <w:r w:rsidRPr="00E20766">
              <w:rPr>
                <w:rFonts w:asciiTheme="minorHAnsi" w:hAnsiTheme="minorHAnsi" w:cs="Calibri"/>
                <w:sz w:val="20"/>
                <w:szCs w:val="20"/>
              </w:rPr>
              <w:t>Resolution XII.3</w:t>
            </w:r>
            <w:r>
              <w:rPr>
                <w:rFonts w:asciiTheme="minorHAnsi" w:hAnsiTheme="minorHAnsi" w:cstheme="minorHAnsi"/>
                <w:bCs/>
                <w:sz w:val="20"/>
                <w:szCs w:val="20"/>
              </w:rPr>
              <w:t xml:space="preserve"> </w:t>
            </w:r>
            <w:r w:rsidRPr="00175E9A">
              <w:rPr>
                <w:rFonts w:asciiTheme="minorHAnsi" w:eastAsiaTheme="minorHAnsi" w:hAnsiTheme="minorHAnsi" w:cs="Garamond"/>
                <w:i/>
                <w:sz w:val="20"/>
                <w:szCs w:val="20"/>
              </w:rPr>
              <w:t>Enhancing the languages of the Convention and its visibility and stature, and increasing synergies with other multilateral environmental agreements and other international institution</w:t>
            </w:r>
            <w:r w:rsidR="00737877">
              <w:rPr>
                <w:rFonts w:asciiTheme="minorHAnsi" w:eastAsiaTheme="minorHAnsi" w:hAnsiTheme="minorHAnsi" w:cs="Garamond"/>
                <w:i/>
                <w:sz w:val="20"/>
                <w:szCs w:val="20"/>
              </w:rPr>
              <w:t>s</w:t>
            </w:r>
            <w:r w:rsidRPr="00175E9A">
              <w:rPr>
                <w:rFonts w:asciiTheme="minorHAnsi" w:eastAsiaTheme="minorHAnsi" w:hAnsiTheme="minorHAnsi" w:cs="Garamond"/>
                <w:sz w:val="20"/>
                <w:szCs w:val="20"/>
              </w:rPr>
              <w:t>.</w:t>
            </w:r>
          </w:p>
        </w:tc>
        <w:tc>
          <w:tcPr>
            <w:tcW w:w="3120" w:type="dxa"/>
            <w:vMerge w:val="restart"/>
          </w:tcPr>
          <w:p w14:paraId="3DE8F407" w14:textId="5E720208" w:rsidR="00175E9A" w:rsidRPr="00E20766" w:rsidRDefault="00175E9A" w:rsidP="00E20766">
            <w:pPr>
              <w:rPr>
                <w:rFonts w:asciiTheme="minorHAnsi" w:hAnsiTheme="minorHAnsi"/>
                <w:bCs/>
                <w:sz w:val="20"/>
                <w:szCs w:val="20"/>
              </w:rPr>
            </w:pPr>
            <w:r w:rsidRPr="00E20766">
              <w:rPr>
                <w:rFonts w:asciiTheme="minorHAnsi" w:hAnsiTheme="minorHAnsi"/>
                <w:bCs/>
                <w:sz w:val="20"/>
                <w:szCs w:val="20"/>
              </w:rPr>
              <w:t>Kenya, Romania, Senegal, Switzerland, United States of America</w:t>
            </w:r>
            <w:r>
              <w:rPr>
                <w:rFonts w:asciiTheme="minorHAnsi" w:hAnsiTheme="minorHAnsi"/>
                <w:bCs/>
                <w:sz w:val="20"/>
                <w:szCs w:val="20"/>
              </w:rPr>
              <w:t>,</w:t>
            </w:r>
            <w:r w:rsidRPr="00E20766">
              <w:rPr>
                <w:rFonts w:asciiTheme="minorHAnsi" w:hAnsiTheme="minorHAnsi"/>
                <w:bCs/>
                <w:sz w:val="20"/>
                <w:szCs w:val="20"/>
              </w:rPr>
              <w:t xml:space="preserve"> Uruguay.</w:t>
            </w:r>
          </w:p>
          <w:p w14:paraId="2CE67EB2" w14:textId="77777777" w:rsidR="00175E9A" w:rsidRPr="00E20766" w:rsidRDefault="00175E9A" w:rsidP="00E20766">
            <w:pPr>
              <w:rPr>
                <w:rFonts w:asciiTheme="minorHAnsi" w:hAnsiTheme="minorHAnsi"/>
                <w:bCs/>
                <w:sz w:val="20"/>
                <w:szCs w:val="20"/>
              </w:rPr>
            </w:pPr>
          </w:p>
          <w:p w14:paraId="21973773" w14:textId="5A05D126" w:rsidR="00175E9A" w:rsidRPr="00E20766" w:rsidRDefault="00175E9A" w:rsidP="00E20766">
            <w:pPr>
              <w:rPr>
                <w:rFonts w:asciiTheme="minorHAnsi" w:hAnsiTheme="minorHAnsi"/>
                <w:sz w:val="20"/>
                <w:szCs w:val="20"/>
              </w:rPr>
            </w:pPr>
            <w:r w:rsidRPr="00E20766">
              <w:rPr>
                <w:rFonts w:asciiTheme="minorHAnsi" w:hAnsiTheme="minorHAnsi"/>
                <w:bCs/>
                <w:sz w:val="20"/>
                <w:szCs w:val="20"/>
              </w:rPr>
              <w:t>Chair</w:t>
            </w:r>
            <w:r w:rsidR="00146141">
              <w:rPr>
                <w:rFonts w:asciiTheme="minorHAnsi" w:hAnsiTheme="minorHAnsi"/>
                <w:bCs/>
                <w:sz w:val="20"/>
                <w:szCs w:val="20"/>
              </w:rPr>
              <w:t>s</w:t>
            </w:r>
            <w:r w:rsidRPr="00E20766">
              <w:rPr>
                <w:rFonts w:asciiTheme="minorHAnsi" w:hAnsiTheme="minorHAnsi"/>
                <w:bCs/>
                <w:sz w:val="20"/>
                <w:szCs w:val="20"/>
              </w:rPr>
              <w:t xml:space="preserve">: </w:t>
            </w:r>
            <w:r w:rsidR="004E2C96" w:rsidRPr="00E20766">
              <w:rPr>
                <w:rFonts w:asciiTheme="minorHAnsi" w:hAnsiTheme="minorHAnsi"/>
                <w:bCs/>
                <w:sz w:val="20"/>
                <w:szCs w:val="20"/>
              </w:rPr>
              <w:t>United States of America</w:t>
            </w:r>
            <w:r w:rsidR="004E2C96" w:rsidRPr="00E20766" w:rsidDel="004E2C96">
              <w:rPr>
                <w:rFonts w:asciiTheme="minorHAnsi" w:hAnsiTheme="minorHAnsi"/>
                <w:bCs/>
                <w:sz w:val="20"/>
                <w:szCs w:val="20"/>
              </w:rPr>
              <w:t xml:space="preserve"> </w:t>
            </w:r>
            <w:r w:rsidRPr="00E20766">
              <w:rPr>
                <w:rFonts w:asciiTheme="minorHAnsi" w:hAnsiTheme="minorHAnsi"/>
                <w:bCs/>
                <w:sz w:val="20"/>
                <w:szCs w:val="20"/>
              </w:rPr>
              <w:t>and Uruguay</w:t>
            </w:r>
            <w:r w:rsidR="00146141">
              <w:rPr>
                <w:rFonts w:asciiTheme="minorHAnsi" w:hAnsiTheme="minorHAnsi"/>
                <w:bCs/>
                <w:sz w:val="20"/>
                <w:szCs w:val="20"/>
              </w:rPr>
              <w:t>.</w:t>
            </w:r>
          </w:p>
        </w:tc>
        <w:tc>
          <w:tcPr>
            <w:tcW w:w="1720" w:type="dxa"/>
            <w:vMerge w:val="restart"/>
          </w:tcPr>
          <w:p w14:paraId="413706E0" w14:textId="24D1C6FB" w:rsidR="00175E9A" w:rsidRPr="00E20766" w:rsidRDefault="00175E9A" w:rsidP="00E20766">
            <w:pPr>
              <w:rPr>
                <w:rFonts w:asciiTheme="minorHAnsi" w:hAnsiTheme="minorHAnsi" w:cs="Calibri"/>
                <w:sz w:val="20"/>
                <w:szCs w:val="20"/>
              </w:rPr>
            </w:pPr>
            <w:r w:rsidRPr="00E20766">
              <w:rPr>
                <w:rFonts w:asciiTheme="minorHAnsi" w:hAnsiTheme="minorHAnsi" w:cs="Calibri"/>
                <w:sz w:val="20"/>
                <w:szCs w:val="20"/>
              </w:rPr>
              <w:t>SC</w:t>
            </w:r>
          </w:p>
        </w:tc>
        <w:tc>
          <w:tcPr>
            <w:tcW w:w="1720" w:type="dxa"/>
            <w:vMerge w:val="restart"/>
          </w:tcPr>
          <w:p w14:paraId="770F9FE1" w14:textId="2CE38C79" w:rsidR="00175E9A" w:rsidRPr="00E20766" w:rsidRDefault="00175E9A" w:rsidP="00E20766">
            <w:pPr>
              <w:rPr>
                <w:rFonts w:asciiTheme="minorHAnsi" w:hAnsiTheme="minorHAnsi" w:cs="Calibri"/>
                <w:sz w:val="20"/>
                <w:szCs w:val="20"/>
              </w:rPr>
            </w:pPr>
            <w:r w:rsidRPr="00E20766">
              <w:rPr>
                <w:rFonts w:asciiTheme="minorHAnsi" w:hAnsiTheme="minorHAnsi" w:cs="Calibri"/>
                <w:sz w:val="20"/>
                <w:szCs w:val="20"/>
              </w:rPr>
              <w:t>Indefinite</w:t>
            </w:r>
          </w:p>
        </w:tc>
        <w:tc>
          <w:tcPr>
            <w:tcW w:w="1720" w:type="dxa"/>
            <w:vMerge w:val="restart"/>
          </w:tcPr>
          <w:p w14:paraId="7D6289B2" w14:textId="77777777" w:rsidR="00175E9A" w:rsidRPr="00E20766" w:rsidRDefault="00175E9A" w:rsidP="00E20766">
            <w:pPr>
              <w:rPr>
                <w:rFonts w:asciiTheme="minorHAnsi" w:hAnsiTheme="minorHAnsi" w:cs="Calibri"/>
                <w:sz w:val="20"/>
                <w:szCs w:val="20"/>
              </w:rPr>
            </w:pPr>
          </w:p>
        </w:tc>
      </w:tr>
      <w:tr w:rsidR="00175E9A" w:rsidRPr="00E20766" w14:paraId="4344B434" w14:textId="77777777" w:rsidTr="00F922E5">
        <w:trPr>
          <w:cantSplit/>
        </w:trPr>
        <w:tc>
          <w:tcPr>
            <w:tcW w:w="1560" w:type="dxa"/>
            <w:vMerge/>
          </w:tcPr>
          <w:p w14:paraId="6A4E6C10" w14:textId="77777777" w:rsidR="00175E9A" w:rsidRPr="00E20766" w:rsidRDefault="00175E9A" w:rsidP="00E20766">
            <w:pPr>
              <w:rPr>
                <w:rFonts w:asciiTheme="minorHAnsi" w:hAnsiTheme="minorHAnsi" w:cs="Calibri"/>
                <w:sz w:val="20"/>
                <w:szCs w:val="20"/>
              </w:rPr>
            </w:pPr>
          </w:p>
        </w:tc>
        <w:tc>
          <w:tcPr>
            <w:tcW w:w="4320" w:type="dxa"/>
          </w:tcPr>
          <w:p w14:paraId="5D94A0D1" w14:textId="198A8D51" w:rsidR="00175E9A" w:rsidRPr="00E20766" w:rsidRDefault="00175E9A" w:rsidP="00175E9A">
            <w:pPr>
              <w:rPr>
                <w:rFonts w:asciiTheme="minorHAnsi" w:hAnsiTheme="minorHAnsi" w:cs="Calibri"/>
                <w:sz w:val="20"/>
                <w:szCs w:val="20"/>
              </w:rPr>
            </w:pPr>
            <w:r w:rsidRPr="00E20766">
              <w:rPr>
                <w:rFonts w:asciiTheme="minorHAnsi" w:eastAsiaTheme="minorHAnsi" w:hAnsiTheme="minorHAnsi" w:cs="Garamond"/>
                <w:sz w:val="20"/>
                <w:szCs w:val="20"/>
              </w:rPr>
              <w:t xml:space="preserve">Relate para 7b </w:t>
            </w:r>
            <w:r w:rsidRPr="00E20766">
              <w:rPr>
                <w:rFonts w:asciiTheme="minorHAnsi" w:eastAsiaTheme="minorHAnsi" w:hAnsiTheme="minorHAnsi" w:cs="Garamond"/>
                <w:sz w:val="20"/>
                <w:szCs w:val="20"/>
                <w:lang w:val="en-US"/>
              </w:rPr>
              <w:t>Resolution</w:t>
            </w:r>
            <w:r w:rsidRPr="00E20766">
              <w:rPr>
                <w:rFonts w:asciiTheme="minorHAnsi" w:hAnsiTheme="minorHAnsi" w:cs="Calibri"/>
                <w:sz w:val="20"/>
                <w:szCs w:val="20"/>
              </w:rPr>
              <w:t xml:space="preserve"> XII.4</w:t>
            </w:r>
            <w:r>
              <w:rPr>
                <w:rFonts w:asciiTheme="minorHAnsi" w:hAnsiTheme="minorHAnsi" w:cs="Calibri"/>
                <w:sz w:val="20"/>
                <w:szCs w:val="20"/>
              </w:rPr>
              <w:t xml:space="preserve"> </w:t>
            </w:r>
            <w:r w:rsidRPr="00175E9A">
              <w:rPr>
                <w:rFonts w:asciiTheme="minorHAnsi" w:hAnsiTheme="minorHAnsi" w:cstheme="minorHAnsi"/>
                <w:bCs/>
                <w:i/>
                <w:sz w:val="20"/>
                <w:szCs w:val="20"/>
              </w:rPr>
              <w:t>The responsibilities, roles and composition of the Standing Committee and regional categorization of countries under the Ramsar Convention</w:t>
            </w:r>
            <w:r w:rsidRPr="00E20766">
              <w:rPr>
                <w:rFonts w:asciiTheme="minorHAnsi" w:hAnsiTheme="minorHAnsi" w:cstheme="minorHAnsi"/>
                <w:bCs/>
                <w:sz w:val="20"/>
                <w:szCs w:val="20"/>
              </w:rPr>
              <w:t>.</w:t>
            </w:r>
          </w:p>
        </w:tc>
        <w:tc>
          <w:tcPr>
            <w:tcW w:w="3120" w:type="dxa"/>
            <w:vMerge/>
          </w:tcPr>
          <w:p w14:paraId="29EA4732" w14:textId="77777777" w:rsidR="00175E9A" w:rsidRPr="00E20766" w:rsidRDefault="00175E9A" w:rsidP="00E20766">
            <w:pPr>
              <w:rPr>
                <w:rFonts w:asciiTheme="minorHAnsi" w:hAnsiTheme="minorHAnsi"/>
                <w:bCs/>
                <w:sz w:val="20"/>
                <w:szCs w:val="20"/>
              </w:rPr>
            </w:pPr>
          </w:p>
        </w:tc>
        <w:tc>
          <w:tcPr>
            <w:tcW w:w="1720" w:type="dxa"/>
            <w:vMerge/>
          </w:tcPr>
          <w:p w14:paraId="1BBA17C4" w14:textId="77777777" w:rsidR="00175E9A" w:rsidRPr="00E20766" w:rsidRDefault="00175E9A" w:rsidP="00E20766">
            <w:pPr>
              <w:rPr>
                <w:rFonts w:asciiTheme="minorHAnsi" w:hAnsiTheme="minorHAnsi" w:cs="Calibri"/>
                <w:sz w:val="20"/>
                <w:szCs w:val="20"/>
              </w:rPr>
            </w:pPr>
          </w:p>
        </w:tc>
        <w:tc>
          <w:tcPr>
            <w:tcW w:w="1720" w:type="dxa"/>
            <w:vMerge/>
          </w:tcPr>
          <w:p w14:paraId="4D2E826F" w14:textId="77777777" w:rsidR="00175E9A" w:rsidRPr="00E20766" w:rsidRDefault="00175E9A" w:rsidP="00E20766">
            <w:pPr>
              <w:rPr>
                <w:rFonts w:asciiTheme="minorHAnsi" w:hAnsiTheme="minorHAnsi" w:cs="Calibri"/>
                <w:sz w:val="20"/>
                <w:szCs w:val="20"/>
              </w:rPr>
            </w:pPr>
          </w:p>
        </w:tc>
        <w:tc>
          <w:tcPr>
            <w:tcW w:w="1720" w:type="dxa"/>
            <w:vMerge/>
          </w:tcPr>
          <w:p w14:paraId="0C4EBA10" w14:textId="77777777" w:rsidR="00175E9A" w:rsidRPr="00E20766" w:rsidRDefault="00175E9A" w:rsidP="00E20766">
            <w:pPr>
              <w:rPr>
                <w:rFonts w:asciiTheme="minorHAnsi" w:hAnsiTheme="minorHAnsi" w:cs="Calibri"/>
                <w:sz w:val="20"/>
                <w:szCs w:val="20"/>
              </w:rPr>
            </w:pPr>
          </w:p>
        </w:tc>
      </w:tr>
      <w:tr w:rsidR="00175E9A" w:rsidRPr="00E20766" w14:paraId="6C443978" w14:textId="77777777" w:rsidTr="00F922E5">
        <w:trPr>
          <w:cantSplit/>
        </w:trPr>
        <w:tc>
          <w:tcPr>
            <w:tcW w:w="1560" w:type="dxa"/>
            <w:vMerge/>
          </w:tcPr>
          <w:p w14:paraId="7585CDBB" w14:textId="77777777" w:rsidR="00175E9A" w:rsidRPr="00E20766" w:rsidRDefault="00175E9A" w:rsidP="00E20766">
            <w:pPr>
              <w:rPr>
                <w:rFonts w:asciiTheme="minorHAnsi" w:hAnsiTheme="minorHAnsi" w:cs="Calibri"/>
                <w:sz w:val="20"/>
                <w:szCs w:val="20"/>
              </w:rPr>
            </w:pPr>
          </w:p>
        </w:tc>
        <w:tc>
          <w:tcPr>
            <w:tcW w:w="4320" w:type="dxa"/>
          </w:tcPr>
          <w:p w14:paraId="29328296" w14:textId="2E1CFF9E" w:rsidR="00175E9A" w:rsidRPr="00E20766" w:rsidRDefault="00146141" w:rsidP="00E20766">
            <w:pPr>
              <w:rPr>
                <w:rFonts w:asciiTheme="minorHAnsi" w:hAnsiTheme="minorHAnsi" w:cs="Calibri"/>
                <w:sz w:val="20"/>
                <w:szCs w:val="20"/>
              </w:rPr>
            </w:pPr>
            <w:r>
              <w:rPr>
                <w:rFonts w:asciiTheme="minorHAnsi" w:hAnsiTheme="minorHAnsi" w:cs="Calibri"/>
                <w:sz w:val="20"/>
                <w:szCs w:val="20"/>
              </w:rPr>
              <w:t xml:space="preserve">Decision </w:t>
            </w:r>
            <w:r w:rsidR="00175E9A" w:rsidRPr="00E20766">
              <w:rPr>
                <w:rFonts w:asciiTheme="minorHAnsi" w:hAnsiTheme="minorHAnsi" w:cs="Calibri"/>
                <w:sz w:val="20"/>
                <w:szCs w:val="20"/>
              </w:rPr>
              <w:t>SC50-8</w:t>
            </w:r>
            <w:r>
              <w:rPr>
                <w:rFonts w:asciiTheme="minorHAnsi" w:hAnsiTheme="minorHAnsi" w:cs="Calibri"/>
                <w:sz w:val="20"/>
                <w:szCs w:val="20"/>
              </w:rPr>
              <w:t>: “</w:t>
            </w:r>
            <w:r w:rsidR="00175E9A" w:rsidRPr="00E20766">
              <w:rPr>
                <w:rFonts w:asciiTheme="minorHAnsi" w:hAnsiTheme="minorHAnsi"/>
                <w:bCs/>
                <w:sz w:val="20"/>
                <w:szCs w:val="20"/>
              </w:rPr>
              <w:t>The Standing Committee agreed the establishment of a working group to oversee the implementation of CEPA and a working group to improve existing management instruments between IUCN, the Standing Committee and the Secretary General</w:t>
            </w:r>
            <w:r w:rsidR="00175E9A" w:rsidRPr="00E20766">
              <w:rPr>
                <w:rFonts w:asciiTheme="minorHAnsi" w:hAnsiTheme="minorHAnsi"/>
                <w:sz w:val="20"/>
                <w:szCs w:val="20"/>
              </w:rPr>
              <w:t>.</w:t>
            </w:r>
            <w:r>
              <w:rPr>
                <w:rFonts w:asciiTheme="minorHAnsi" w:hAnsiTheme="minorHAnsi"/>
                <w:sz w:val="20"/>
                <w:szCs w:val="20"/>
              </w:rPr>
              <w:t>”</w:t>
            </w:r>
          </w:p>
        </w:tc>
        <w:tc>
          <w:tcPr>
            <w:tcW w:w="3120" w:type="dxa"/>
            <w:vMerge/>
          </w:tcPr>
          <w:p w14:paraId="11C86D84" w14:textId="77777777" w:rsidR="00175E9A" w:rsidRPr="00E20766" w:rsidRDefault="00175E9A" w:rsidP="00E20766">
            <w:pPr>
              <w:rPr>
                <w:rFonts w:asciiTheme="minorHAnsi" w:hAnsiTheme="minorHAnsi"/>
                <w:bCs/>
                <w:sz w:val="20"/>
                <w:szCs w:val="20"/>
              </w:rPr>
            </w:pPr>
          </w:p>
        </w:tc>
        <w:tc>
          <w:tcPr>
            <w:tcW w:w="1720" w:type="dxa"/>
            <w:vMerge/>
          </w:tcPr>
          <w:p w14:paraId="511E1D32" w14:textId="77777777" w:rsidR="00175E9A" w:rsidRPr="00E20766" w:rsidRDefault="00175E9A" w:rsidP="00E20766">
            <w:pPr>
              <w:rPr>
                <w:rFonts w:asciiTheme="minorHAnsi" w:hAnsiTheme="minorHAnsi" w:cs="Calibri"/>
                <w:sz w:val="20"/>
                <w:szCs w:val="20"/>
              </w:rPr>
            </w:pPr>
          </w:p>
        </w:tc>
        <w:tc>
          <w:tcPr>
            <w:tcW w:w="1720" w:type="dxa"/>
            <w:vMerge/>
          </w:tcPr>
          <w:p w14:paraId="0B52E281" w14:textId="77777777" w:rsidR="00175E9A" w:rsidRPr="00E20766" w:rsidRDefault="00175E9A" w:rsidP="00E20766">
            <w:pPr>
              <w:rPr>
                <w:rFonts w:asciiTheme="minorHAnsi" w:hAnsiTheme="minorHAnsi" w:cs="Calibri"/>
                <w:sz w:val="20"/>
                <w:szCs w:val="20"/>
              </w:rPr>
            </w:pPr>
          </w:p>
        </w:tc>
        <w:tc>
          <w:tcPr>
            <w:tcW w:w="1720" w:type="dxa"/>
            <w:vMerge/>
          </w:tcPr>
          <w:p w14:paraId="05C83274" w14:textId="77777777" w:rsidR="00175E9A" w:rsidRPr="00E20766" w:rsidRDefault="00175E9A" w:rsidP="00E20766">
            <w:pPr>
              <w:rPr>
                <w:rFonts w:asciiTheme="minorHAnsi" w:hAnsiTheme="minorHAnsi" w:cs="Calibri"/>
                <w:sz w:val="20"/>
                <w:szCs w:val="20"/>
              </w:rPr>
            </w:pPr>
          </w:p>
        </w:tc>
      </w:tr>
      <w:tr w:rsidR="00F922E5" w:rsidRPr="00E20766" w14:paraId="03572EBE" w14:textId="48496F9E" w:rsidTr="00F922E5">
        <w:trPr>
          <w:cantSplit/>
        </w:trPr>
        <w:tc>
          <w:tcPr>
            <w:tcW w:w="1560" w:type="dxa"/>
          </w:tcPr>
          <w:p w14:paraId="0EB54468" w14:textId="77777777" w:rsidR="007B4994" w:rsidRPr="00E20766" w:rsidRDefault="007B4994" w:rsidP="00E20766">
            <w:pPr>
              <w:rPr>
                <w:rFonts w:asciiTheme="minorHAnsi" w:hAnsiTheme="minorHAnsi" w:cs="Calibri"/>
                <w:sz w:val="20"/>
                <w:szCs w:val="20"/>
              </w:rPr>
            </w:pPr>
            <w:r w:rsidRPr="00E20766">
              <w:rPr>
                <w:rFonts w:asciiTheme="minorHAnsi" w:hAnsiTheme="minorHAnsi" w:cs="Calibri"/>
                <w:sz w:val="20"/>
                <w:szCs w:val="20"/>
              </w:rPr>
              <w:t>Finance</w:t>
            </w:r>
          </w:p>
        </w:tc>
        <w:tc>
          <w:tcPr>
            <w:tcW w:w="4320" w:type="dxa"/>
          </w:tcPr>
          <w:p w14:paraId="5B0DF397" w14:textId="3EA917A6" w:rsidR="00813DA6" w:rsidRPr="00E20766" w:rsidRDefault="00146141" w:rsidP="00E20766">
            <w:pPr>
              <w:rPr>
                <w:rFonts w:asciiTheme="minorHAnsi" w:hAnsiTheme="minorHAnsi" w:cs="Calibri"/>
                <w:sz w:val="20"/>
                <w:szCs w:val="20"/>
              </w:rPr>
            </w:pPr>
            <w:r>
              <w:rPr>
                <w:rFonts w:asciiTheme="minorHAnsi" w:hAnsiTheme="minorHAnsi" w:cs="Calibri"/>
                <w:sz w:val="20"/>
                <w:szCs w:val="20"/>
              </w:rPr>
              <w:t xml:space="preserve">Decision </w:t>
            </w:r>
            <w:r w:rsidR="007B4994" w:rsidRPr="00E20766">
              <w:rPr>
                <w:rFonts w:asciiTheme="minorHAnsi" w:hAnsiTheme="minorHAnsi" w:cs="Calibri"/>
                <w:sz w:val="20"/>
                <w:szCs w:val="20"/>
              </w:rPr>
              <w:t>SC50-2</w:t>
            </w:r>
            <w:r>
              <w:rPr>
                <w:rFonts w:asciiTheme="minorHAnsi" w:hAnsiTheme="minorHAnsi" w:cs="Calibri"/>
                <w:sz w:val="20"/>
                <w:szCs w:val="20"/>
              </w:rPr>
              <w:t xml:space="preserve">: </w:t>
            </w:r>
            <w:r>
              <w:rPr>
                <w:rFonts w:asciiTheme="minorHAnsi" w:hAnsiTheme="minorHAnsi"/>
                <w:bCs/>
                <w:sz w:val="20"/>
                <w:szCs w:val="20"/>
              </w:rPr>
              <w:t>“</w:t>
            </w:r>
            <w:r w:rsidR="00813DA6" w:rsidRPr="00E20766">
              <w:rPr>
                <w:rFonts w:asciiTheme="minorHAnsi" w:hAnsiTheme="minorHAnsi"/>
                <w:bCs/>
                <w:sz w:val="20"/>
                <w:szCs w:val="20"/>
              </w:rPr>
              <w:t>The Standing Committee elected the following members of the Subgroup on Finance: for Africa, Senegal; for Asia, Republic of Korea; for Europe, Estonia; for Latin America and the Caribbean, Suriname; for North America, the United States of America; for Oceania, Australia. Canada to serve as outgoing Chair of the Subgroup</w:t>
            </w:r>
            <w:r w:rsidR="00813DA6" w:rsidRPr="00E20766">
              <w:rPr>
                <w:rFonts w:asciiTheme="minorHAnsi" w:hAnsiTheme="minorHAnsi"/>
                <w:sz w:val="20"/>
                <w:szCs w:val="20"/>
              </w:rPr>
              <w:t>.</w:t>
            </w:r>
            <w:r>
              <w:rPr>
                <w:rFonts w:asciiTheme="minorHAnsi" w:hAnsiTheme="minorHAnsi"/>
                <w:sz w:val="20"/>
                <w:szCs w:val="20"/>
              </w:rPr>
              <w:t>”</w:t>
            </w:r>
          </w:p>
        </w:tc>
        <w:tc>
          <w:tcPr>
            <w:tcW w:w="3120" w:type="dxa"/>
          </w:tcPr>
          <w:p w14:paraId="4146CF55" w14:textId="65273552" w:rsidR="007B4994" w:rsidRPr="00E20766" w:rsidRDefault="004E2C96" w:rsidP="00E20766">
            <w:pPr>
              <w:rPr>
                <w:rFonts w:asciiTheme="minorHAnsi" w:hAnsiTheme="minorHAnsi"/>
                <w:bCs/>
                <w:sz w:val="20"/>
                <w:szCs w:val="20"/>
              </w:rPr>
            </w:pPr>
            <w:r w:rsidRPr="00E20766">
              <w:rPr>
                <w:rFonts w:asciiTheme="minorHAnsi" w:hAnsiTheme="minorHAnsi"/>
                <w:bCs/>
                <w:sz w:val="20"/>
                <w:szCs w:val="20"/>
              </w:rPr>
              <w:t>Australia</w:t>
            </w:r>
            <w:r>
              <w:rPr>
                <w:rFonts w:asciiTheme="minorHAnsi" w:hAnsiTheme="minorHAnsi"/>
                <w:bCs/>
                <w:sz w:val="20"/>
                <w:szCs w:val="20"/>
              </w:rPr>
              <w:t>,</w:t>
            </w:r>
            <w:r w:rsidRPr="00E20766">
              <w:rPr>
                <w:rFonts w:asciiTheme="minorHAnsi" w:hAnsiTheme="minorHAnsi"/>
                <w:bCs/>
                <w:sz w:val="20"/>
                <w:szCs w:val="20"/>
              </w:rPr>
              <w:t xml:space="preserve"> Canada</w:t>
            </w:r>
            <w:r>
              <w:rPr>
                <w:rFonts w:asciiTheme="minorHAnsi" w:hAnsiTheme="minorHAnsi"/>
                <w:bCs/>
                <w:sz w:val="20"/>
                <w:szCs w:val="20"/>
              </w:rPr>
              <w:t>,</w:t>
            </w:r>
            <w:r w:rsidRPr="00E20766">
              <w:rPr>
                <w:rFonts w:asciiTheme="minorHAnsi" w:hAnsiTheme="minorHAnsi"/>
                <w:bCs/>
                <w:sz w:val="20"/>
                <w:szCs w:val="20"/>
              </w:rPr>
              <w:t xml:space="preserve"> Estonia, </w:t>
            </w:r>
            <w:r w:rsidR="007B4994" w:rsidRPr="00E20766">
              <w:rPr>
                <w:rFonts w:asciiTheme="minorHAnsi" w:hAnsiTheme="minorHAnsi"/>
                <w:bCs/>
                <w:sz w:val="20"/>
                <w:szCs w:val="20"/>
              </w:rPr>
              <w:t>Republic of Korea</w:t>
            </w:r>
            <w:r>
              <w:rPr>
                <w:rFonts w:asciiTheme="minorHAnsi" w:hAnsiTheme="minorHAnsi"/>
                <w:bCs/>
                <w:sz w:val="20"/>
                <w:szCs w:val="20"/>
              </w:rPr>
              <w:t>,</w:t>
            </w:r>
            <w:r w:rsidR="007B4994" w:rsidRPr="00E20766">
              <w:rPr>
                <w:rFonts w:asciiTheme="minorHAnsi" w:hAnsiTheme="minorHAnsi"/>
                <w:bCs/>
                <w:sz w:val="20"/>
                <w:szCs w:val="20"/>
              </w:rPr>
              <w:t xml:space="preserve"> </w:t>
            </w:r>
            <w:r w:rsidRPr="00E20766">
              <w:rPr>
                <w:rFonts w:asciiTheme="minorHAnsi" w:hAnsiTheme="minorHAnsi"/>
                <w:bCs/>
                <w:sz w:val="20"/>
                <w:szCs w:val="20"/>
              </w:rPr>
              <w:t xml:space="preserve">Senegal, </w:t>
            </w:r>
            <w:r w:rsidR="007B4994" w:rsidRPr="00E20766">
              <w:rPr>
                <w:rFonts w:asciiTheme="minorHAnsi" w:hAnsiTheme="minorHAnsi"/>
                <w:bCs/>
                <w:sz w:val="20"/>
                <w:szCs w:val="20"/>
              </w:rPr>
              <w:t>Suriname, United States of America.</w:t>
            </w:r>
          </w:p>
          <w:p w14:paraId="548CC3CC" w14:textId="77777777" w:rsidR="007B4994" w:rsidRPr="00E20766" w:rsidRDefault="007B4994" w:rsidP="00E20766">
            <w:pPr>
              <w:rPr>
                <w:rFonts w:asciiTheme="minorHAnsi" w:hAnsiTheme="minorHAnsi"/>
                <w:bCs/>
                <w:sz w:val="20"/>
                <w:szCs w:val="20"/>
              </w:rPr>
            </w:pPr>
          </w:p>
          <w:p w14:paraId="374053BC" w14:textId="2C357DA8" w:rsidR="007B4994" w:rsidRPr="00E20766" w:rsidRDefault="007B4994" w:rsidP="00E20766">
            <w:pPr>
              <w:rPr>
                <w:rFonts w:asciiTheme="minorHAnsi" w:hAnsiTheme="minorHAnsi"/>
                <w:sz w:val="20"/>
                <w:szCs w:val="20"/>
              </w:rPr>
            </w:pPr>
            <w:r w:rsidRPr="00E20766">
              <w:rPr>
                <w:rFonts w:asciiTheme="minorHAnsi" w:hAnsiTheme="minorHAnsi"/>
                <w:bCs/>
                <w:sz w:val="20"/>
                <w:szCs w:val="20"/>
              </w:rPr>
              <w:t>Chair: Senegal</w:t>
            </w:r>
            <w:r w:rsidR="00146141">
              <w:rPr>
                <w:rFonts w:asciiTheme="minorHAnsi" w:hAnsiTheme="minorHAnsi"/>
                <w:bCs/>
                <w:sz w:val="20"/>
                <w:szCs w:val="20"/>
              </w:rPr>
              <w:t>.</w:t>
            </w:r>
          </w:p>
          <w:p w14:paraId="39D918FB" w14:textId="77777777" w:rsidR="007B4994" w:rsidRPr="00E20766" w:rsidRDefault="007B4994" w:rsidP="00E20766">
            <w:pPr>
              <w:rPr>
                <w:rFonts w:asciiTheme="minorHAnsi" w:hAnsiTheme="minorHAnsi"/>
                <w:bCs/>
                <w:sz w:val="20"/>
                <w:szCs w:val="20"/>
              </w:rPr>
            </w:pPr>
          </w:p>
        </w:tc>
        <w:tc>
          <w:tcPr>
            <w:tcW w:w="1720" w:type="dxa"/>
          </w:tcPr>
          <w:p w14:paraId="58A02C2D" w14:textId="77777777" w:rsidR="007B4994" w:rsidRPr="00E20766" w:rsidRDefault="007B4994" w:rsidP="00E20766">
            <w:pPr>
              <w:rPr>
                <w:rFonts w:asciiTheme="minorHAnsi" w:hAnsiTheme="minorHAnsi" w:cs="Calibri"/>
                <w:sz w:val="20"/>
                <w:szCs w:val="20"/>
              </w:rPr>
            </w:pPr>
            <w:r w:rsidRPr="00E20766">
              <w:rPr>
                <w:rFonts w:asciiTheme="minorHAnsi" w:hAnsiTheme="minorHAnsi" w:cs="Calibri"/>
                <w:sz w:val="20"/>
                <w:szCs w:val="20"/>
              </w:rPr>
              <w:t>SC</w:t>
            </w:r>
          </w:p>
        </w:tc>
        <w:tc>
          <w:tcPr>
            <w:tcW w:w="1720" w:type="dxa"/>
          </w:tcPr>
          <w:p w14:paraId="13CB8FC5" w14:textId="2BEF2CED" w:rsidR="007B4994" w:rsidRPr="00E20766" w:rsidRDefault="00EE3663" w:rsidP="00E20766">
            <w:pPr>
              <w:rPr>
                <w:rFonts w:asciiTheme="minorHAnsi" w:hAnsiTheme="minorHAnsi" w:cs="Calibri"/>
                <w:sz w:val="20"/>
                <w:szCs w:val="20"/>
              </w:rPr>
            </w:pPr>
            <w:r w:rsidRPr="00E20766">
              <w:rPr>
                <w:rFonts w:asciiTheme="minorHAnsi" w:hAnsiTheme="minorHAnsi" w:cs="Calibri"/>
                <w:sz w:val="20"/>
                <w:szCs w:val="20"/>
              </w:rPr>
              <w:t>2018</w:t>
            </w:r>
          </w:p>
        </w:tc>
        <w:tc>
          <w:tcPr>
            <w:tcW w:w="1720" w:type="dxa"/>
          </w:tcPr>
          <w:p w14:paraId="444BE746" w14:textId="77777777" w:rsidR="007B4994" w:rsidRPr="00E20766" w:rsidRDefault="007B4994" w:rsidP="00E20766">
            <w:pPr>
              <w:rPr>
                <w:rFonts w:asciiTheme="minorHAnsi" w:hAnsiTheme="minorHAnsi" w:cs="Calibri"/>
                <w:sz w:val="20"/>
                <w:szCs w:val="20"/>
              </w:rPr>
            </w:pPr>
          </w:p>
        </w:tc>
      </w:tr>
      <w:tr w:rsidR="00146141" w:rsidRPr="00E20766" w14:paraId="2E17BBB5" w14:textId="2EF45155" w:rsidTr="00F922E5">
        <w:trPr>
          <w:cantSplit/>
        </w:trPr>
        <w:tc>
          <w:tcPr>
            <w:tcW w:w="1560" w:type="dxa"/>
            <w:vMerge w:val="restart"/>
          </w:tcPr>
          <w:p w14:paraId="42A8EF03" w14:textId="77777777" w:rsidR="00146141" w:rsidRPr="00E20766" w:rsidRDefault="00146141" w:rsidP="00E20766">
            <w:pPr>
              <w:rPr>
                <w:rFonts w:asciiTheme="minorHAnsi" w:hAnsiTheme="minorHAnsi" w:cs="Calibri"/>
                <w:sz w:val="20"/>
                <w:szCs w:val="20"/>
              </w:rPr>
            </w:pPr>
            <w:r w:rsidRPr="00E20766">
              <w:rPr>
                <w:rFonts w:asciiTheme="minorHAnsi" w:hAnsiTheme="minorHAnsi" w:cs="Calibri"/>
                <w:sz w:val="20"/>
                <w:szCs w:val="20"/>
              </w:rPr>
              <w:lastRenderedPageBreak/>
              <w:t>Management Working Group</w:t>
            </w:r>
          </w:p>
        </w:tc>
        <w:tc>
          <w:tcPr>
            <w:tcW w:w="4320" w:type="dxa"/>
          </w:tcPr>
          <w:p w14:paraId="4915F71D" w14:textId="43A58C44" w:rsidR="00146141" w:rsidRPr="00E20766" w:rsidRDefault="00146141" w:rsidP="00146141">
            <w:pPr>
              <w:rPr>
                <w:rFonts w:asciiTheme="minorHAnsi" w:hAnsiTheme="minorHAnsi" w:cs="Calibri"/>
                <w:sz w:val="20"/>
                <w:szCs w:val="20"/>
              </w:rPr>
            </w:pPr>
            <w:r>
              <w:rPr>
                <w:rFonts w:asciiTheme="minorHAnsi" w:hAnsiTheme="minorHAnsi" w:cs="Calibri"/>
                <w:sz w:val="20"/>
                <w:szCs w:val="20"/>
              </w:rPr>
              <w:t xml:space="preserve">Resolution </w:t>
            </w:r>
            <w:r w:rsidRPr="00E20766">
              <w:rPr>
                <w:rFonts w:asciiTheme="minorHAnsi" w:hAnsiTheme="minorHAnsi" w:cs="Calibri"/>
                <w:sz w:val="20"/>
                <w:szCs w:val="20"/>
              </w:rPr>
              <w:t>IX.24</w:t>
            </w:r>
            <w:r>
              <w:rPr>
                <w:rFonts w:asciiTheme="minorHAnsi" w:hAnsiTheme="minorHAnsi" w:cs="Calibri"/>
                <w:sz w:val="20"/>
                <w:szCs w:val="20"/>
              </w:rPr>
              <w:t xml:space="preserve"> </w:t>
            </w:r>
            <w:r w:rsidRPr="00146141">
              <w:rPr>
                <w:rFonts w:asciiTheme="minorHAnsi" w:hAnsiTheme="minorHAnsi" w:cstheme="minorHAnsi"/>
                <w:bCs/>
                <w:i/>
                <w:sz w:val="20"/>
                <w:szCs w:val="20"/>
              </w:rPr>
              <w:t>Improving management of the Ramsar Convention</w:t>
            </w:r>
            <w:r w:rsidRPr="00E20766">
              <w:rPr>
                <w:rFonts w:asciiTheme="minorHAnsi" w:hAnsiTheme="minorHAnsi" w:cstheme="minorHAnsi"/>
                <w:bCs/>
                <w:sz w:val="20"/>
                <w:szCs w:val="20"/>
              </w:rPr>
              <w:t>.</w:t>
            </w:r>
          </w:p>
        </w:tc>
        <w:tc>
          <w:tcPr>
            <w:tcW w:w="3120" w:type="dxa"/>
            <w:vMerge w:val="restart"/>
          </w:tcPr>
          <w:p w14:paraId="6AB5F9F6" w14:textId="187595CE" w:rsidR="00146141" w:rsidRPr="00E20766" w:rsidRDefault="006152F5" w:rsidP="00E20766">
            <w:pPr>
              <w:pStyle w:val="Default"/>
              <w:rPr>
                <w:rFonts w:asciiTheme="minorHAnsi" w:hAnsiTheme="minorHAnsi"/>
                <w:sz w:val="20"/>
                <w:szCs w:val="20"/>
              </w:rPr>
            </w:pPr>
            <w:r>
              <w:rPr>
                <w:rFonts w:asciiTheme="minorHAnsi" w:hAnsiTheme="minorHAnsi"/>
                <w:sz w:val="20"/>
                <w:szCs w:val="20"/>
              </w:rPr>
              <w:t xml:space="preserve">Australia, </w:t>
            </w:r>
            <w:bookmarkStart w:id="0" w:name="_GoBack"/>
            <w:bookmarkEnd w:id="0"/>
            <w:r w:rsidR="00F922E5" w:rsidRPr="00E20766">
              <w:rPr>
                <w:rFonts w:asciiTheme="minorHAnsi" w:hAnsiTheme="minorHAnsi"/>
                <w:sz w:val="20"/>
                <w:szCs w:val="20"/>
              </w:rPr>
              <w:t xml:space="preserve">Canada, Fiji, </w:t>
            </w:r>
            <w:r w:rsidR="00146141" w:rsidRPr="00E20766">
              <w:rPr>
                <w:rFonts w:asciiTheme="minorHAnsi" w:hAnsiTheme="minorHAnsi"/>
                <w:sz w:val="20"/>
                <w:szCs w:val="20"/>
              </w:rPr>
              <w:t xml:space="preserve">Romania, </w:t>
            </w:r>
            <w:r w:rsidR="00F922E5" w:rsidRPr="00E20766">
              <w:rPr>
                <w:rFonts w:asciiTheme="minorHAnsi" w:hAnsiTheme="minorHAnsi"/>
                <w:sz w:val="20"/>
                <w:szCs w:val="20"/>
              </w:rPr>
              <w:t xml:space="preserve">Senegal, </w:t>
            </w:r>
            <w:r w:rsidR="00146141" w:rsidRPr="00E20766">
              <w:rPr>
                <w:rFonts w:asciiTheme="minorHAnsi" w:hAnsiTheme="minorHAnsi"/>
                <w:sz w:val="20"/>
                <w:szCs w:val="20"/>
              </w:rPr>
              <w:t xml:space="preserve">South Africa, </w:t>
            </w:r>
            <w:r w:rsidR="00F922E5" w:rsidRPr="00E20766">
              <w:rPr>
                <w:rFonts w:asciiTheme="minorHAnsi" w:hAnsiTheme="minorHAnsi"/>
                <w:sz w:val="20"/>
                <w:szCs w:val="20"/>
              </w:rPr>
              <w:t xml:space="preserve">Switzerland, </w:t>
            </w:r>
            <w:r w:rsidR="00146141" w:rsidRPr="00E20766">
              <w:rPr>
                <w:rFonts w:asciiTheme="minorHAnsi" w:hAnsiTheme="minorHAnsi"/>
                <w:sz w:val="20"/>
                <w:szCs w:val="20"/>
              </w:rPr>
              <w:t>United Arab Emirates</w:t>
            </w:r>
            <w:r w:rsidR="00F922E5">
              <w:rPr>
                <w:rFonts w:asciiTheme="minorHAnsi" w:hAnsiTheme="minorHAnsi"/>
                <w:sz w:val="20"/>
                <w:szCs w:val="20"/>
              </w:rPr>
              <w:t>,</w:t>
            </w:r>
            <w:r w:rsidR="00146141" w:rsidRPr="00E20766">
              <w:rPr>
                <w:rFonts w:asciiTheme="minorHAnsi" w:hAnsiTheme="minorHAnsi"/>
                <w:sz w:val="20"/>
                <w:szCs w:val="20"/>
              </w:rPr>
              <w:t xml:space="preserve"> United States of America</w:t>
            </w:r>
            <w:r w:rsidR="00F922E5">
              <w:rPr>
                <w:rFonts w:asciiTheme="minorHAnsi" w:hAnsiTheme="minorHAnsi"/>
                <w:sz w:val="20"/>
                <w:szCs w:val="20"/>
              </w:rPr>
              <w:t>,</w:t>
            </w:r>
            <w:r w:rsidR="00F922E5" w:rsidRPr="00E20766">
              <w:rPr>
                <w:rFonts w:asciiTheme="minorHAnsi" w:hAnsiTheme="minorHAnsi"/>
                <w:sz w:val="20"/>
                <w:szCs w:val="20"/>
              </w:rPr>
              <w:t xml:space="preserve"> Uruguay</w:t>
            </w:r>
            <w:r w:rsidR="00146141" w:rsidRPr="00E20766">
              <w:rPr>
                <w:rFonts w:asciiTheme="minorHAnsi" w:hAnsiTheme="minorHAnsi"/>
                <w:sz w:val="20"/>
                <w:szCs w:val="20"/>
              </w:rPr>
              <w:t>.</w:t>
            </w:r>
          </w:p>
          <w:p w14:paraId="624337D1" w14:textId="2DB0543B" w:rsidR="00146141" w:rsidRPr="00E20766" w:rsidRDefault="00146141" w:rsidP="00E20766">
            <w:pPr>
              <w:pStyle w:val="Default"/>
              <w:rPr>
                <w:rFonts w:asciiTheme="minorHAnsi" w:hAnsiTheme="minorHAnsi"/>
                <w:sz w:val="20"/>
                <w:szCs w:val="20"/>
              </w:rPr>
            </w:pPr>
            <w:r w:rsidRPr="00E20766">
              <w:rPr>
                <w:rFonts w:asciiTheme="minorHAnsi" w:hAnsiTheme="minorHAnsi"/>
                <w:sz w:val="20"/>
                <w:szCs w:val="20"/>
              </w:rPr>
              <w:t>STRP Chair</w:t>
            </w:r>
            <w:r>
              <w:rPr>
                <w:rFonts w:asciiTheme="minorHAnsi" w:hAnsiTheme="minorHAnsi"/>
                <w:sz w:val="20"/>
                <w:szCs w:val="20"/>
              </w:rPr>
              <w:t>.</w:t>
            </w:r>
          </w:p>
          <w:p w14:paraId="47C14AE1" w14:textId="609C3785" w:rsidR="00146141" w:rsidRPr="00E20766" w:rsidRDefault="00146141" w:rsidP="00E20766">
            <w:pPr>
              <w:pStyle w:val="Default"/>
              <w:rPr>
                <w:rFonts w:asciiTheme="minorHAnsi" w:hAnsiTheme="minorHAnsi"/>
                <w:sz w:val="20"/>
                <w:szCs w:val="20"/>
              </w:rPr>
            </w:pPr>
            <w:r w:rsidRPr="00E20766">
              <w:rPr>
                <w:rFonts w:asciiTheme="minorHAnsi" w:hAnsiTheme="minorHAnsi"/>
                <w:sz w:val="20"/>
                <w:szCs w:val="20"/>
              </w:rPr>
              <w:t>IUCN</w:t>
            </w:r>
            <w:r>
              <w:rPr>
                <w:rFonts w:asciiTheme="minorHAnsi" w:hAnsiTheme="minorHAnsi"/>
                <w:sz w:val="20"/>
                <w:szCs w:val="20"/>
              </w:rPr>
              <w:t>.</w:t>
            </w:r>
          </w:p>
          <w:p w14:paraId="5D62808A" w14:textId="6341E11A" w:rsidR="00146141" w:rsidRPr="00E20766" w:rsidRDefault="00146141" w:rsidP="00E20766">
            <w:pPr>
              <w:pStyle w:val="Default"/>
              <w:rPr>
                <w:rFonts w:asciiTheme="minorHAnsi" w:hAnsiTheme="minorHAnsi"/>
                <w:sz w:val="20"/>
                <w:szCs w:val="20"/>
              </w:rPr>
            </w:pPr>
            <w:r w:rsidRPr="00E20766">
              <w:rPr>
                <w:rFonts w:asciiTheme="minorHAnsi" w:hAnsiTheme="minorHAnsi"/>
                <w:sz w:val="20"/>
                <w:szCs w:val="20"/>
              </w:rPr>
              <w:t xml:space="preserve">Secretary General </w:t>
            </w:r>
            <w:r w:rsidRPr="00146141">
              <w:rPr>
                <w:rFonts w:asciiTheme="minorHAnsi" w:hAnsiTheme="minorHAnsi"/>
                <w:i/>
                <w:sz w:val="20"/>
                <w:szCs w:val="20"/>
              </w:rPr>
              <w:t>ex officio</w:t>
            </w:r>
            <w:r>
              <w:rPr>
                <w:rFonts w:asciiTheme="minorHAnsi" w:hAnsiTheme="minorHAnsi"/>
                <w:sz w:val="20"/>
                <w:szCs w:val="20"/>
              </w:rPr>
              <w:t>.</w:t>
            </w:r>
          </w:p>
          <w:p w14:paraId="26EA1011" w14:textId="77777777" w:rsidR="00146141" w:rsidRPr="00E20766" w:rsidRDefault="00146141" w:rsidP="00E20766">
            <w:pPr>
              <w:pStyle w:val="Default"/>
              <w:rPr>
                <w:rFonts w:asciiTheme="minorHAnsi" w:hAnsiTheme="minorHAnsi"/>
                <w:sz w:val="20"/>
                <w:szCs w:val="20"/>
              </w:rPr>
            </w:pPr>
          </w:p>
          <w:p w14:paraId="7C771F29" w14:textId="243A64AA" w:rsidR="00146141" w:rsidRPr="00E20766" w:rsidRDefault="00146141" w:rsidP="00E20766">
            <w:pPr>
              <w:pStyle w:val="Default"/>
              <w:rPr>
                <w:rFonts w:asciiTheme="minorHAnsi" w:hAnsiTheme="minorHAnsi"/>
                <w:bCs/>
                <w:sz w:val="20"/>
                <w:szCs w:val="20"/>
              </w:rPr>
            </w:pPr>
            <w:r w:rsidRPr="00E20766">
              <w:rPr>
                <w:rFonts w:asciiTheme="minorHAnsi" w:hAnsiTheme="minorHAnsi"/>
                <w:sz w:val="20"/>
                <w:szCs w:val="20"/>
              </w:rPr>
              <w:t>Chair: Uruguay</w:t>
            </w:r>
            <w:r>
              <w:rPr>
                <w:rFonts w:asciiTheme="minorHAnsi" w:hAnsiTheme="minorHAnsi"/>
                <w:sz w:val="20"/>
                <w:szCs w:val="20"/>
              </w:rPr>
              <w:t>.</w:t>
            </w:r>
          </w:p>
        </w:tc>
        <w:tc>
          <w:tcPr>
            <w:tcW w:w="1720" w:type="dxa"/>
            <w:vMerge w:val="restart"/>
          </w:tcPr>
          <w:p w14:paraId="00F35093" w14:textId="77777777" w:rsidR="00146141" w:rsidRPr="00E20766" w:rsidRDefault="00146141" w:rsidP="00E20766">
            <w:pPr>
              <w:rPr>
                <w:rFonts w:asciiTheme="minorHAnsi" w:hAnsiTheme="minorHAnsi" w:cs="Calibri"/>
                <w:sz w:val="20"/>
                <w:szCs w:val="20"/>
              </w:rPr>
            </w:pPr>
            <w:r w:rsidRPr="00E20766">
              <w:rPr>
                <w:rFonts w:asciiTheme="minorHAnsi" w:hAnsiTheme="minorHAnsi" w:cs="Calibri"/>
                <w:sz w:val="20"/>
                <w:szCs w:val="20"/>
              </w:rPr>
              <w:t>SC and the COP</w:t>
            </w:r>
          </w:p>
        </w:tc>
        <w:tc>
          <w:tcPr>
            <w:tcW w:w="1720" w:type="dxa"/>
            <w:vMerge w:val="restart"/>
          </w:tcPr>
          <w:p w14:paraId="1166C171" w14:textId="0021B07F" w:rsidR="00146141" w:rsidRPr="00E20766" w:rsidRDefault="00146141" w:rsidP="00E20766">
            <w:pPr>
              <w:rPr>
                <w:rFonts w:asciiTheme="minorHAnsi" w:hAnsiTheme="minorHAnsi" w:cs="Calibri"/>
                <w:sz w:val="20"/>
                <w:szCs w:val="20"/>
              </w:rPr>
            </w:pPr>
            <w:r w:rsidRPr="00E20766">
              <w:rPr>
                <w:rFonts w:asciiTheme="minorHAnsi" w:hAnsiTheme="minorHAnsi" w:cs="Calibri"/>
                <w:sz w:val="20"/>
                <w:szCs w:val="20"/>
              </w:rPr>
              <w:t>Indefinite</w:t>
            </w:r>
          </w:p>
        </w:tc>
        <w:tc>
          <w:tcPr>
            <w:tcW w:w="1720" w:type="dxa"/>
            <w:vMerge w:val="restart"/>
          </w:tcPr>
          <w:p w14:paraId="6DE0E8BE" w14:textId="77777777" w:rsidR="00146141" w:rsidRPr="00E20766" w:rsidRDefault="00146141" w:rsidP="00E20766">
            <w:pPr>
              <w:rPr>
                <w:rFonts w:asciiTheme="minorHAnsi" w:hAnsiTheme="minorHAnsi" w:cs="Calibri"/>
                <w:sz w:val="20"/>
                <w:szCs w:val="20"/>
              </w:rPr>
            </w:pPr>
          </w:p>
        </w:tc>
      </w:tr>
      <w:tr w:rsidR="00146141" w:rsidRPr="00E20766" w14:paraId="68F44D13" w14:textId="77777777" w:rsidTr="00F922E5">
        <w:trPr>
          <w:cantSplit/>
        </w:trPr>
        <w:tc>
          <w:tcPr>
            <w:tcW w:w="1560" w:type="dxa"/>
            <w:vMerge/>
          </w:tcPr>
          <w:p w14:paraId="11A1A919" w14:textId="77777777" w:rsidR="00146141" w:rsidRPr="00E20766" w:rsidRDefault="00146141" w:rsidP="00E20766">
            <w:pPr>
              <w:rPr>
                <w:rFonts w:asciiTheme="minorHAnsi" w:hAnsiTheme="minorHAnsi" w:cs="Calibri"/>
                <w:sz w:val="20"/>
                <w:szCs w:val="20"/>
              </w:rPr>
            </w:pPr>
          </w:p>
        </w:tc>
        <w:tc>
          <w:tcPr>
            <w:tcW w:w="4320" w:type="dxa"/>
          </w:tcPr>
          <w:p w14:paraId="01E0E4F9" w14:textId="7F3DCF1B" w:rsidR="00146141" w:rsidRDefault="00146141" w:rsidP="00146141">
            <w:pPr>
              <w:rPr>
                <w:rFonts w:asciiTheme="minorHAnsi" w:hAnsiTheme="minorHAnsi" w:cs="Calibri"/>
                <w:sz w:val="20"/>
                <w:szCs w:val="20"/>
              </w:rPr>
            </w:pPr>
            <w:r>
              <w:rPr>
                <w:rFonts w:asciiTheme="minorHAnsi" w:hAnsiTheme="minorHAnsi" w:cs="Calibri"/>
                <w:sz w:val="20"/>
                <w:szCs w:val="20"/>
              </w:rPr>
              <w:t xml:space="preserve">Decision </w:t>
            </w:r>
            <w:r w:rsidRPr="00E20766">
              <w:rPr>
                <w:rFonts w:asciiTheme="minorHAnsi" w:hAnsiTheme="minorHAnsi" w:cs="Calibri"/>
                <w:sz w:val="20"/>
                <w:szCs w:val="20"/>
              </w:rPr>
              <w:t>SC50-6</w:t>
            </w:r>
            <w:r>
              <w:rPr>
                <w:rFonts w:asciiTheme="minorHAnsi" w:hAnsiTheme="minorHAnsi" w:cs="Calibri"/>
                <w:sz w:val="20"/>
                <w:szCs w:val="20"/>
              </w:rPr>
              <w:t>: “</w:t>
            </w:r>
            <w:r w:rsidRPr="00E20766">
              <w:rPr>
                <w:rFonts w:asciiTheme="minorHAnsi" w:hAnsiTheme="minorHAnsi"/>
                <w:bCs/>
                <w:sz w:val="20"/>
                <w:szCs w:val="20"/>
              </w:rPr>
              <w:t xml:space="preserve">The Standing Committee nominated the following to serve as the Management Working Group: </w:t>
            </w:r>
            <w:r w:rsidRPr="00E20766">
              <w:rPr>
                <w:rFonts w:asciiTheme="minorHAnsi" w:hAnsiTheme="minorHAnsi"/>
                <w:sz w:val="20"/>
                <w:szCs w:val="20"/>
              </w:rPr>
              <w:t>Romania as outgoing SC Chair for the 2012-2015 triennium, South Africa as outgoing SC Vice-Chair for the 2012-2015 triennium, Uruguay as current SC Chair, Australia as current SC Vice-Chair, Senegal as current Chair of the Subgroup on Finance and Canada as outgoing Chair of the Subgroup on Finance. The STRP Chair for the 2012-2015 triennium was also called to serve while designation of the Chair of the STRP for the triennium 2015-2018 is pending. The Standing Committee welcomed statements by Fiji, Switzerland, United Arab Emirates and the United States of America that they would observe the Management Working Group as interested Contracting Parties.</w:t>
            </w:r>
            <w:r>
              <w:rPr>
                <w:rFonts w:asciiTheme="minorHAnsi" w:hAnsiTheme="minorHAnsi"/>
                <w:sz w:val="20"/>
                <w:szCs w:val="20"/>
              </w:rPr>
              <w:t>”</w:t>
            </w:r>
          </w:p>
        </w:tc>
        <w:tc>
          <w:tcPr>
            <w:tcW w:w="3120" w:type="dxa"/>
            <w:vMerge/>
          </w:tcPr>
          <w:p w14:paraId="2BBCE379" w14:textId="77777777" w:rsidR="00146141" w:rsidRPr="00E20766" w:rsidRDefault="00146141" w:rsidP="00E20766">
            <w:pPr>
              <w:pStyle w:val="Default"/>
              <w:rPr>
                <w:rFonts w:asciiTheme="minorHAnsi" w:hAnsiTheme="minorHAnsi"/>
                <w:sz w:val="20"/>
                <w:szCs w:val="20"/>
              </w:rPr>
            </w:pPr>
          </w:p>
        </w:tc>
        <w:tc>
          <w:tcPr>
            <w:tcW w:w="1720" w:type="dxa"/>
            <w:vMerge/>
          </w:tcPr>
          <w:p w14:paraId="086F6996" w14:textId="77777777" w:rsidR="00146141" w:rsidRPr="00E20766" w:rsidRDefault="00146141" w:rsidP="00E20766">
            <w:pPr>
              <w:rPr>
                <w:rFonts w:asciiTheme="minorHAnsi" w:hAnsiTheme="minorHAnsi" w:cs="Calibri"/>
                <w:sz w:val="20"/>
                <w:szCs w:val="20"/>
              </w:rPr>
            </w:pPr>
          </w:p>
        </w:tc>
        <w:tc>
          <w:tcPr>
            <w:tcW w:w="1720" w:type="dxa"/>
            <w:vMerge/>
          </w:tcPr>
          <w:p w14:paraId="353254B1" w14:textId="77777777" w:rsidR="00146141" w:rsidRPr="00E20766" w:rsidRDefault="00146141" w:rsidP="00E20766">
            <w:pPr>
              <w:rPr>
                <w:rFonts w:asciiTheme="minorHAnsi" w:hAnsiTheme="minorHAnsi" w:cs="Calibri"/>
                <w:sz w:val="20"/>
                <w:szCs w:val="20"/>
              </w:rPr>
            </w:pPr>
          </w:p>
        </w:tc>
        <w:tc>
          <w:tcPr>
            <w:tcW w:w="1720" w:type="dxa"/>
            <w:vMerge/>
          </w:tcPr>
          <w:p w14:paraId="66E7E2CA" w14:textId="77777777" w:rsidR="00146141" w:rsidRPr="00E20766" w:rsidRDefault="00146141" w:rsidP="00E20766">
            <w:pPr>
              <w:rPr>
                <w:rFonts w:asciiTheme="minorHAnsi" w:hAnsiTheme="minorHAnsi" w:cs="Calibri"/>
                <w:sz w:val="20"/>
                <w:szCs w:val="20"/>
              </w:rPr>
            </w:pPr>
          </w:p>
        </w:tc>
      </w:tr>
      <w:tr w:rsidR="00F922E5" w:rsidRPr="00E20766" w14:paraId="2A00B716" w14:textId="684DAA12" w:rsidTr="00F922E5">
        <w:trPr>
          <w:cantSplit/>
        </w:trPr>
        <w:tc>
          <w:tcPr>
            <w:tcW w:w="1560" w:type="dxa"/>
          </w:tcPr>
          <w:p w14:paraId="5F88E1CF" w14:textId="77777777" w:rsidR="007B4994" w:rsidRPr="00E20766" w:rsidRDefault="007B4994" w:rsidP="00E20766">
            <w:pPr>
              <w:rPr>
                <w:rFonts w:asciiTheme="minorHAnsi" w:hAnsiTheme="minorHAnsi" w:cs="Calibri"/>
                <w:sz w:val="20"/>
                <w:szCs w:val="20"/>
              </w:rPr>
            </w:pPr>
            <w:r w:rsidRPr="00E20766">
              <w:rPr>
                <w:rFonts w:asciiTheme="minorHAnsi" w:hAnsiTheme="minorHAnsi" w:cs="Calibri"/>
                <w:sz w:val="20"/>
                <w:szCs w:val="20"/>
              </w:rPr>
              <w:t>Transition Committee of the Management Working Group</w:t>
            </w:r>
          </w:p>
        </w:tc>
        <w:tc>
          <w:tcPr>
            <w:tcW w:w="4320" w:type="dxa"/>
          </w:tcPr>
          <w:p w14:paraId="214BBC99" w14:textId="7165A023" w:rsidR="007B4994" w:rsidRPr="00E20766" w:rsidRDefault="00146141" w:rsidP="00146141">
            <w:pPr>
              <w:rPr>
                <w:rFonts w:asciiTheme="minorHAnsi" w:hAnsiTheme="minorHAnsi" w:cs="Calibri"/>
                <w:sz w:val="20"/>
                <w:szCs w:val="20"/>
              </w:rPr>
            </w:pPr>
            <w:r>
              <w:rPr>
                <w:rFonts w:asciiTheme="minorHAnsi" w:hAnsiTheme="minorHAnsi" w:cs="Calibri"/>
                <w:sz w:val="20"/>
                <w:szCs w:val="20"/>
              </w:rPr>
              <w:t xml:space="preserve">Resolution </w:t>
            </w:r>
            <w:r w:rsidR="007B4994" w:rsidRPr="00E20766">
              <w:rPr>
                <w:rFonts w:asciiTheme="minorHAnsi" w:hAnsiTheme="minorHAnsi" w:cs="Calibri"/>
                <w:sz w:val="20"/>
                <w:szCs w:val="20"/>
              </w:rPr>
              <w:t>X.4</w:t>
            </w:r>
            <w:r>
              <w:rPr>
                <w:rFonts w:asciiTheme="minorHAnsi" w:hAnsiTheme="minorHAnsi" w:cs="Calibri"/>
                <w:sz w:val="20"/>
                <w:szCs w:val="20"/>
              </w:rPr>
              <w:t xml:space="preserve"> </w:t>
            </w:r>
            <w:r w:rsidR="007B4994" w:rsidRPr="00146141">
              <w:rPr>
                <w:rFonts w:asciiTheme="minorHAnsi" w:hAnsiTheme="minorHAnsi" w:cstheme="minorHAnsi"/>
                <w:bCs/>
                <w:i/>
                <w:sz w:val="20"/>
                <w:szCs w:val="20"/>
              </w:rPr>
              <w:t>Establishing a Transition Committee of the Management Working Group</w:t>
            </w:r>
            <w:r w:rsidR="007B4994" w:rsidRPr="00E20766">
              <w:rPr>
                <w:rFonts w:asciiTheme="minorHAnsi" w:hAnsiTheme="minorHAnsi" w:cstheme="minorHAnsi"/>
                <w:bCs/>
                <w:sz w:val="20"/>
                <w:szCs w:val="20"/>
              </w:rPr>
              <w:t>.</w:t>
            </w:r>
          </w:p>
        </w:tc>
        <w:tc>
          <w:tcPr>
            <w:tcW w:w="3120" w:type="dxa"/>
          </w:tcPr>
          <w:p w14:paraId="4F1A6C44" w14:textId="657324D8" w:rsidR="00146141" w:rsidRPr="00F922E5" w:rsidRDefault="00F922E5" w:rsidP="00E20766">
            <w:pPr>
              <w:autoSpaceDE w:val="0"/>
              <w:autoSpaceDN w:val="0"/>
              <w:adjustRightInd w:val="0"/>
              <w:rPr>
                <w:rFonts w:asciiTheme="minorHAnsi" w:eastAsiaTheme="minorHAnsi" w:hAnsiTheme="minorHAnsi" w:cs="Garamond"/>
                <w:sz w:val="20"/>
                <w:szCs w:val="20"/>
                <w:lang w:val="es-ES"/>
              </w:rPr>
            </w:pPr>
            <w:r w:rsidRPr="00F922E5">
              <w:rPr>
                <w:rFonts w:asciiTheme="minorHAnsi" w:eastAsiaTheme="minorHAnsi" w:hAnsiTheme="minorHAnsi" w:cs="Garamond"/>
                <w:sz w:val="20"/>
                <w:szCs w:val="20"/>
                <w:lang w:val="es-ES"/>
              </w:rPr>
              <w:t xml:space="preserve">Australia, Canada, </w:t>
            </w:r>
            <w:r w:rsidR="007B4994" w:rsidRPr="00F922E5">
              <w:rPr>
                <w:rFonts w:asciiTheme="minorHAnsi" w:eastAsiaTheme="minorHAnsi" w:hAnsiTheme="minorHAnsi" w:cs="Garamond"/>
                <w:sz w:val="20"/>
                <w:szCs w:val="20"/>
                <w:lang w:val="es-ES"/>
              </w:rPr>
              <w:t xml:space="preserve">Romania, </w:t>
            </w:r>
            <w:r w:rsidRPr="00F922E5">
              <w:rPr>
                <w:rFonts w:asciiTheme="minorHAnsi" w:eastAsiaTheme="minorHAnsi" w:hAnsiTheme="minorHAnsi" w:cs="Garamond"/>
                <w:sz w:val="20"/>
                <w:szCs w:val="20"/>
                <w:lang w:val="es-ES"/>
              </w:rPr>
              <w:t>Senegal</w:t>
            </w:r>
            <w:r>
              <w:rPr>
                <w:rFonts w:asciiTheme="minorHAnsi" w:eastAsiaTheme="minorHAnsi" w:hAnsiTheme="minorHAnsi" w:cs="Garamond"/>
                <w:sz w:val="20"/>
                <w:szCs w:val="20"/>
                <w:lang w:val="es-ES"/>
              </w:rPr>
              <w:t>,</w:t>
            </w:r>
            <w:r w:rsidRPr="00F922E5">
              <w:rPr>
                <w:rFonts w:asciiTheme="minorHAnsi" w:eastAsiaTheme="minorHAnsi" w:hAnsiTheme="minorHAnsi" w:cs="Garamond"/>
                <w:sz w:val="20"/>
                <w:szCs w:val="20"/>
                <w:lang w:val="es-ES"/>
              </w:rPr>
              <w:t xml:space="preserve"> South Africa, </w:t>
            </w:r>
            <w:r w:rsidR="007B4994" w:rsidRPr="00F922E5">
              <w:rPr>
                <w:rFonts w:asciiTheme="minorHAnsi" w:eastAsiaTheme="minorHAnsi" w:hAnsiTheme="minorHAnsi" w:cs="Garamond"/>
                <w:sz w:val="20"/>
                <w:szCs w:val="20"/>
                <w:lang w:val="es-ES"/>
              </w:rPr>
              <w:t>Uruguay</w:t>
            </w:r>
            <w:r w:rsidR="00146141" w:rsidRPr="00F922E5">
              <w:rPr>
                <w:rFonts w:asciiTheme="minorHAnsi" w:eastAsiaTheme="minorHAnsi" w:hAnsiTheme="minorHAnsi" w:cs="Garamond"/>
                <w:sz w:val="20"/>
                <w:szCs w:val="20"/>
                <w:lang w:val="es-ES"/>
              </w:rPr>
              <w:t>.</w:t>
            </w:r>
          </w:p>
          <w:p w14:paraId="718EF513" w14:textId="0D595F0B" w:rsidR="007B4994" w:rsidRPr="00E20766" w:rsidRDefault="007B4994" w:rsidP="00E20766">
            <w:pPr>
              <w:autoSpaceDE w:val="0"/>
              <w:autoSpaceDN w:val="0"/>
              <w:adjustRightInd w:val="0"/>
              <w:rPr>
                <w:rFonts w:asciiTheme="minorHAnsi" w:eastAsiaTheme="minorHAnsi" w:hAnsiTheme="minorHAnsi" w:cs="Garamond-Italic"/>
                <w:i/>
                <w:iCs/>
                <w:sz w:val="20"/>
                <w:szCs w:val="20"/>
              </w:rPr>
            </w:pPr>
            <w:r w:rsidRPr="00E20766">
              <w:rPr>
                <w:rFonts w:asciiTheme="minorHAnsi" w:eastAsiaTheme="minorHAnsi" w:hAnsiTheme="minorHAnsi" w:cs="Garamond"/>
                <w:sz w:val="20"/>
                <w:szCs w:val="20"/>
              </w:rPr>
              <w:t xml:space="preserve">Secretary General and Deputy Secretary General </w:t>
            </w:r>
            <w:r w:rsidRPr="00E20766">
              <w:rPr>
                <w:rFonts w:asciiTheme="minorHAnsi" w:eastAsiaTheme="minorHAnsi" w:hAnsiTheme="minorHAnsi" w:cs="Garamond-Italic"/>
                <w:i/>
                <w:iCs/>
                <w:sz w:val="20"/>
                <w:szCs w:val="20"/>
              </w:rPr>
              <w:t>ex officio.</w:t>
            </w:r>
          </w:p>
          <w:p w14:paraId="145CBC49" w14:textId="77777777" w:rsidR="007B4994" w:rsidRPr="00E20766" w:rsidRDefault="007B4994" w:rsidP="00E20766">
            <w:pPr>
              <w:autoSpaceDE w:val="0"/>
              <w:autoSpaceDN w:val="0"/>
              <w:adjustRightInd w:val="0"/>
              <w:rPr>
                <w:rFonts w:asciiTheme="minorHAnsi" w:eastAsiaTheme="minorHAnsi" w:hAnsiTheme="minorHAnsi" w:cs="Garamond-Italic"/>
                <w:i/>
                <w:iCs/>
                <w:sz w:val="20"/>
                <w:szCs w:val="20"/>
              </w:rPr>
            </w:pPr>
          </w:p>
          <w:p w14:paraId="44B00307" w14:textId="77777777" w:rsidR="007B4994" w:rsidRPr="00E20766" w:rsidRDefault="007B4994" w:rsidP="00E20766">
            <w:pPr>
              <w:autoSpaceDE w:val="0"/>
              <w:autoSpaceDN w:val="0"/>
              <w:adjustRightInd w:val="0"/>
              <w:rPr>
                <w:rFonts w:asciiTheme="minorHAnsi" w:hAnsiTheme="minorHAnsi"/>
                <w:sz w:val="20"/>
                <w:szCs w:val="20"/>
              </w:rPr>
            </w:pPr>
            <w:r w:rsidRPr="00E20766">
              <w:rPr>
                <w:rFonts w:asciiTheme="minorHAnsi" w:eastAsiaTheme="minorHAnsi" w:hAnsiTheme="minorHAnsi" w:cs="Garamond-Italic"/>
                <w:iCs/>
                <w:sz w:val="20"/>
                <w:szCs w:val="20"/>
              </w:rPr>
              <w:t>Chair: Uruguay</w:t>
            </w:r>
          </w:p>
        </w:tc>
        <w:tc>
          <w:tcPr>
            <w:tcW w:w="1720" w:type="dxa"/>
          </w:tcPr>
          <w:p w14:paraId="2F70FA76" w14:textId="389FE40A" w:rsidR="007B4994" w:rsidRPr="00E20766" w:rsidRDefault="007B4994" w:rsidP="00146141">
            <w:pPr>
              <w:rPr>
                <w:rFonts w:asciiTheme="minorHAnsi" w:hAnsiTheme="minorHAnsi" w:cs="Calibri"/>
                <w:sz w:val="20"/>
                <w:szCs w:val="20"/>
              </w:rPr>
            </w:pPr>
            <w:r w:rsidRPr="00E20766">
              <w:rPr>
                <w:rFonts w:asciiTheme="minorHAnsi" w:hAnsiTheme="minorHAnsi" w:cs="Calibri"/>
                <w:sz w:val="20"/>
                <w:szCs w:val="20"/>
              </w:rPr>
              <w:t>SC (not clearly specif</w:t>
            </w:r>
            <w:r w:rsidR="00146141">
              <w:rPr>
                <w:rFonts w:asciiTheme="minorHAnsi" w:hAnsiTheme="minorHAnsi" w:cs="Calibri"/>
                <w:sz w:val="20"/>
                <w:szCs w:val="20"/>
              </w:rPr>
              <w:t>ied</w:t>
            </w:r>
            <w:r w:rsidRPr="00E20766">
              <w:rPr>
                <w:rFonts w:asciiTheme="minorHAnsi" w:hAnsiTheme="minorHAnsi" w:cs="Calibri"/>
                <w:sz w:val="20"/>
                <w:szCs w:val="20"/>
              </w:rPr>
              <w:t>)</w:t>
            </w:r>
          </w:p>
        </w:tc>
        <w:tc>
          <w:tcPr>
            <w:tcW w:w="1720" w:type="dxa"/>
          </w:tcPr>
          <w:p w14:paraId="1C454F52" w14:textId="48987D0F" w:rsidR="007B4994" w:rsidRPr="00E20766" w:rsidRDefault="00B567D8" w:rsidP="00E20766">
            <w:pPr>
              <w:rPr>
                <w:rFonts w:asciiTheme="minorHAnsi" w:hAnsiTheme="minorHAnsi" w:cs="Calibri"/>
                <w:sz w:val="20"/>
                <w:szCs w:val="20"/>
              </w:rPr>
            </w:pPr>
            <w:r w:rsidRPr="00E20766">
              <w:rPr>
                <w:rFonts w:asciiTheme="minorHAnsi" w:hAnsiTheme="minorHAnsi" w:cs="Calibri"/>
                <w:sz w:val="20"/>
                <w:szCs w:val="20"/>
              </w:rPr>
              <w:t>Indefinite</w:t>
            </w:r>
          </w:p>
        </w:tc>
        <w:tc>
          <w:tcPr>
            <w:tcW w:w="1720" w:type="dxa"/>
          </w:tcPr>
          <w:p w14:paraId="068267DC" w14:textId="0661B672" w:rsidR="007B4994" w:rsidRPr="00E20766" w:rsidRDefault="00B567D8" w:rsidP="00FC64A7">
            <w:pPr>
              <w:rPr>
                <w:rFonts w:asciiTheme="minorHAnsi" w:hAnsiTheme="minorHAnsi" w:cs="Calibri"/>
                <w:sz w:val="20"/>
                <w:szCs w:val="20"/>
              </w:rPr>
            </w:pPr>
            <w:r w:rsidRPr="00E20766">
              <w:rPr>
                <w:rFonts w:asciiTheme="minorHAnsi" w:hAnsiTheme="minorHAnsi" w:cs="Calibri"/>
                <w:sz w:val="20"/>
                <w:szCs w:val="20"/>
              </w:rPr>
              <w:t>Reporting body to be clarified. If Rule 25</w:t>
            </w:r>
            <w:r w:rsidR="00FC64A7">
              <w:rPr>
                <w:rFonts w:asciiTheme="minorHAnsi" w:hAnsiTheme="minorHAnsi" w:cs="Calibri"/>
                <w:sz w:val="20"/>
                <w:szCs w:val="20"/>
              </w:rPr>
              <w:t>.</w:t>
            </w:r>
            <w:r w:rsidRPr="00E20766">
              <w:rPr>
                <w:rFonts w:asciiTheme="minorHAnsi" w:hAnsiTheme="minorHAnsi" w:cs="Calibri"/>
                <w:sz w:val="20"/>
                <w:szCs w:val="20"/>
              </w:rPr>
              <w:t>5 e</w:t>
            </w:r>
            <w:r w:rsidR="00FC64A7">
              <w:rPr>
                <w:rFonts w:asciiTheme="minorHAnsi" w:hAnsiTheme="minorHAnsi" w:cs="Calibri"/>
                <w:sz w:val="20"/>
                <w:szCs w:val="20"/>
              </w:rPr>
              <w:t>) were applied,</w:t>
            </w:r>
            <w:r w:rsidRPr="00E20766">
              <w:rPr>
                <w:rFonts w:asciiTheme="minorHAnsi" w:hAnsiTheme="minorHAnsi" w:cs="Calibri"/>
                <w:sz w:val="20"/>
                <w:szCs w:val="20"/>
              </w:rPr>
              <w:t xml:space="preserve"> </w:t>
            </w:r>
            <w:r w:rsidR="00FC64A7">
              <w:rPr>
                <w:rFonts w:asciiTheme="minorHAnsi" w:hAnsiTheme="minorHAnsi" w:cs="Calibri"/>
                <w:sz w:val="20"/>
                <w:szCs w:val="20"/>
              </w:rPr>
              <w:t>t</w:t>
            </w:r>
            <w:r w:rsidR="00F922E5">
              <w:rPr>
                <w:rFonts w:asciiTheme="minorHAnsi" w:hAnsiTheme="minorHAnsi" w:cs="Calibri"/>
                <w:sz w:val="20"/>
                <w:szCs w:val="20"/>
              </w:rPr>
              <w:t>he C</w:t>
            </w:r>
            <w:r w:rsidR="00FC64A7">
              <w:rPr>
                <w:rFonts w:asciiTheme="minorHAnsi" w:hAnsiTheme="minorHAnsi" w:cs="Calibri"/>
                <w:sz w:val="20"/>
                <w:szCs w:val="20"/>
              </w:rPr>
              <w:t xml:space="preserve">ommittee </w:t>
            </w:r>
            <w:r w:rsidRPr="00E20766">
              <w:rPr>
                <w:rFonts w:asciiTheme="minorHAnsi" w:hAnsiTheme="minorHAnsi" w:cs="Calibri"/>
                <w:sz w:val="20"/>
                <w:szCs w:val="20"/>
              </w:rPr>
              <w:t xml:space="preserve">would </w:t>
            </w:r>
            <w:r w:rsidR="00FC64A7">
              <w:rPr>
                <w:rFonts w:asciiTheme="minorHAnsi" w:hAnsiTheme="minorHAnsi" w:cs="Calibri"/>
                <w:sz w:val="20"/>
                <w:szCs w:val="20"/>
              </w:rPr>
              <w:t xml:space="preserve">report to </w:t>
            </w:r>
            <w:r w:rsidRPr="00E20766">
              <w:rPr>
                <w:rFonts w:asciiTheme="minorHAnsi" w:hAnsiTheme="minorHAnsi" w:cs="Calibri"/>
                <w:sz w:val="20"/>
                <w:szCs w:val="20"/>
              </w:rPr>
              <w:t>the SC.</w:t>
            </w:r>
          </w:p>
        </w:tc>
      </w:tr>
      <w:tr w:rsidR="00FC64A7" w:rsidRPr="00E20766" w14:paraId="422A7524" w14:textId="53D704F0" w:rsidTr="00F922E5">
        <w:trPr>
          <w:cantSplit/>
        </w:trPr>
        <w:tc>
          <w:tcPr>
            <w:tcW w:w="1560" w:type="dxa"/>
            <w:vMerge w:val="restart"/>
          </w:tcPr>
          <w:p w14:paraId="787C869A" w14:textId="77777777" w:rsidR="00FC64A7" w:rsidRPr="00E20766" w:rsidRDefault="00FC64A7" w:rsidP="00E20766">
            <w:pPr>
              <w:rPr>
                <w:rFonts w:asciiTheme="minorHAnsi" w:hAnsiTheme="minorHAnsi" w:cs="Calibri"/>
                <w:sz w:val="20"/>
                <w:szCs w:val="20"/>
              </w:rPr>
            </w:pPr>
            <w:r w:rsidRPr="00E20766">
              <w:rPr>
                <w:rFonts w:asciiTheme="minorHAnsi" w:hAnsiTheme="minorHAnsi" w:cs="Calibri"/>
                <w:sz w:val="20"/>
                <w:szCs w:val="20"/>
              </w:rPr>
              <w:t xml:space="preserve">Resource Mobilization </w:t>
            </w:r>
          </w:p>
        </w:tc>
        <w:tc>
          <w:tcPr>
            <w:tcW w:w="4320" w:type="dxa"/>
            <w:tcBorders>
              <w:bottom w:val="single" w:sz="4" w:space="0" w:color="auto"/>
            </w:tcBorders>
          </w:tcPr>
          <w:p w14:paraId="56124F61" w14:textId="6DA0F4C0" w:rsidR="00FC64A7" w:rsidRPr="00E20766" w:rsidRDefault="00FC64A7" w:rsidP="00FC64A7">
            <w:pPr>
              <w:rPr>
                <w:rFonts w:asciiTheme="minorHAnsi" w:hAnsiTheme="minorHAnsi" w:cs="Calibri"/>
                <w:sz w:val="20"/>
                <w:szCs w:val="20"/>
              </w:rPr>
            </w:pPr>
            <w:r>
              <w:rPr>
                <w:rFonts w:asciiTheme="minorHAnsi" w:hAnsiTheme="minorHAnsi" w:cs="Calibri"/>
                <w:sz w:val="20"/>
                <w:szCs w:val="20"/>
              </w:rPr>
              <w:t xml:space="preserve">Resolution </w:t>
            </w:r>
            <w:r w:rsidRPr="00E20766">
              <w:rPr>
                <w:rFonts w:asciiTheme="minorHAnsi" w:hAnsiTheme="minorHAnsi" w:cs="Calibri"/>
                <w:sz w:val="20"/>
                <w:szCs w:val="20"/>
              </w:rPr>
              <w:t>XII.7</w:t>
            </w:r>
            <w:r>
              <w:rPr>
                <w:rFonts w:asciiTheme="minorHAnsi" w:hAnsiTheme="minorHAnsi" w:cs="Calibri"/>
                <w:sz w:val="20"/>
                <w:szCs w:val="20"/>
              </w:rPr>
              <w:t xml:space="preserve"> </w:t>
            </w:r>
            <w:r w:rsidRPr="00FC64A7">
              <w:rPr>
                <w:rFonts w:asciiTheme="minorHAnsi" w:hAnsiTheme="minorHAnsi" w:cstheme="minorHAnsi"/>
                <w:bCs/>
                <w:i/>
                <w:sz w:val="20"/>
                <w:szCs w:val="20"/>
              </w:rPr>
              <w:t>Resource Mobilization and Partnership Framework of the Ramsar Convention</w:t>
            </w:r>
            <w:r w:rsidRPr="00FC64A7">
              <w:rPr>
                <w:rFonts w:asciiTheme="minorHAnsi" w:hAnsiTheme="minorHAnsi" w:cstheme="minorHAnsi"/>
                <w:bCs/>
                <w:sz w:val="20"/>
                <w:szCs w:val="20"/>
              </w:rPr>
              <w:t>.</w:t>
            </w:r>
          </w:p>
        </w:tc>
        <w:tc>
          <w:tcPr>
            <w:tcW w:w="3120" w:type="dxa"/>
            <w:vMerge w:val="restart"/>
          </w:tcPr>
          <w:p w14:paraId="177C20CB" w14:textId="1C9EAFBD" w:rsidR="00FC64A7" w:rsidRPr="00E20766" w:rsidRDefault="00FC64A7" w:rsidP="00E20766">
            <w:pPr>
              <w:rPr>
                <w:rFonts w:asciiTheme="minorHAnsi" w:hAnsiTheme="minorHAnsi"/>
                <w:sz w:val="20"/>
                <w:szCs w:val="20"/>
              </w:rPr>
            </w:pPr>
            <w:r w:rsidRPr="00E20766">
              <w:rPr>
                <w:rFonts w:asciiTheme="minorHAnsi" w:hAnsiTheme="minorHAnsi"/>
                <w:bCs/>
                <w:sz w:val="20"/>
                <w:szCs w:val="20"/>
              </w:rPr>
              <w:t>Colombia, Kenya</w:t>
            </w:r>
            <w:r>
              <w:rPr>
                <w:rFonts w:asciiTheme="minorHAnsi" w:hAnsiTheme="minorHAnsi"/>
                <w:bCs/>
                <w:sz w:val="20"/>
                <w:szCs w:val="20"/>
              </w:rPr>
              <w:t>,</w:t>
            </w:r>
            <w:r w:rsidRPr="00E20766">
              <w:rPr>
                <w:rFonts w:asciiTheme="minorHAnsi" w:hAnsiTheme="minorHAnsi"/>
                <w:sz w:val="20"/>
                <w:szCs w:val="20"/>
              </w:rPr>
              <w:t xml:space="preserve"> </w:t>
            </w:r>
            <w:r w:rsidRPr="00E20766">
              <w:rPr>
                <w:rFonts w:asciiTheme="minorHAnsi" w:hAnsiTheme="minorHAnsi"/>
                <w:bCs/>
                <w:sz w:val="20"/>
                <w:szCs w:val="20"/>
              </w:rPr>
              <w:t>United States</w:t>
            </w:r>
            <w:r w:rsidRPr="00E20766">
              <w:rPr>
                <w:rFonts w:asciiTheme="minorHAnsi" w:hAnsiTheme="minorHAnsi"/>
                <w:sz w:val="20"/>
                <w:szCs w:val="20"/>
              </w:rPr>
              <w:t xml:space="preserve"> of America.</w:t>
            </w:r>
          </w:p>
          <w:p w14:paraId="1002DC72" w14:textId="77777777" w:rsidR="00FC64A7" w:rsidRPr="00E20766" w:rsidRDefault="00FC64A7" w:rsidP="00E20766">
            <w:pPr>
              <w:rPr>
                <w:rFonts w:asciiTheme="minorHAnsi" w:hAnsiTheme="minorHAnsi"/>
                <w:sz w:val="20"/>
                <w:szCs w:val="20"/>
              </w:rPr>
            </w:pPr>
          </w:p>
          <w:p w14:paraId="58CFCCF1" w14:textId="77777777" w:rsidR="00FC64A7" w:rsidRPr="00E20766" w:rsidRDefault="00FC64A7" w:rsidP="00E20766">
            <w:pPr>
              <w:rPr>
                <w:rFonts w:asciiTheme="minorHAnsi" w:hAnsiTheme="minorHAnsi"/>
                <w:sz w:val="20"/>
                <w:szCs w:val="20"/>
              </w:rPr>
            </w:pPr>
            <w:r w:rsidRPr="00E20766">
              <w:rPr>
                <w:rFonts w:asciiTheme="minorHAnsi" w:hAnsiTheme="minorHAnsi"/>
                <w:sz w:val="20"/>
                <w:szCs w:val="20"/>
              </w:rPr>
              <w:t>Chair: United States of America</w:t>
            </w:r>
          </w:p>
        </w:tc>
        <w:tc>
          <w:tcPr>
            <w:tcW w:w="1720" w:type="dxa"/>
            <w:vMerge w:val="restart"/>
          </w:tcPr>
          <w:p w14:paraId="36F616FD" w14:textId="77777777" w:rsidR="00FC64A7" w:rsidRPr="00E20766" w:rsidRDefault="00FC64A7" w:rsidP="00E20766">
            <w:pPr>
              <w:rPr>
                <w:rFonts w:asciiTheme="minorHAnsi" w:hAnsiTheme="minorHAnsi" w:cs="Calibri"/>
                <w:sz w:val="20"/>
                <w:szCs w:val="20"/>
              </w:rPr>
            </w:pPr>
            <w:r w:rsidRPr="00E20766">
              <w:rPr>
                <w:rFonts w:asciiTheme="minorHAnsi" w:hAnsiTheme="minorHAnsi" w:cs="Calibri"/>
                <w:sz w:val="20"/>
                <w:szCs w:val="20"/>
              </w:rPr>
              <w:t>SC</w:t>
            </w:r>
          </w:p>
        </w:tc>
        <w:tc>
          <w:tcPr>
            <w:tcW w:w="1720" w:type="dxa"/>
            <w:vMerge w:val="restart"/>
          </w:tcPr>
          <w:p w14:paraId="19DCAECC" w14:textId="689EE07E" w:rsidR="00FC64A7" w:rsidRPr="00E20766" w:rsidRDefault="00FC64A7" w:rsidP="00E20766">
            <w:pPr>
              <w:rPr>
                <w:rFonts w:asciiTheme="minorHAnsi" w:hAnsiTheme="minorHAnsi" w:cs="Calibri"/>
                <w:sz w:val="20"/>
                <w:szCs w:val="20"/>
              </w:rPr>
            </w:pPr>
            <w:r w:rsidRPr="00E20766">
              <w:rPr>
                <w:rFonts w:asciiTheme="minorHAnsi" w:hAnsiTheme="minorHAnsi" w:cs="Calibri"/>
                <w:sz w:val="20"/>
                <w:szCs w:val="20"/>
              </w:rPr>
              <w:t>Chair confirmed that its mandate is completed</w:t>
            </w:r>
            <w:r w:rsidR="0042527E">
              <w:rPr>
                <w:rFonts w:asciiTheme="minorHAnsi" w:hAnsiTheme="minorHAnsi" w:cs="Calibri"/>
                <w:sz w:val="20"/>
                <w:szCs w:val="20"/>
              </w:rPr>
              <w:t>.</w:t>
            </w:r>
          </w:p>
        </w:tc>
        <w:tc>
          <w:tcPr>
            <w:tcW w:w="1720" w:type="dxa"/>
            <w:vMerge w:val="restart"/>
          </w:tcPr>
          <w:p w14:paraId="7AE556DB" w14:textId="77777777" w:rsidR="00FC64A7" w:rsidRPr="00E20766" w:rsidRDefault="00FC64A7" w:rsidP="00E20766">
            <w:pPr>
              <w:rPr>
                <w:rFonts w:asciiTheme="minorHAnsi" w:hAnsiTheme="minorHAnsi" w:cs="Calibri"/>
                <w:sz w:val="20"/>
                <w:szCs w:val="20"/>
              </w:rPr>
            </w:pPr>
          </w:p>
        </w:tc>
      </w:tr>
      <w:tr w:rsidR="00FC64A7" w:rsidRPr="00E20766" w14:paraId="7F275703" w14:textId="77777777" w:rsidTr="00F922E5">
        <w:trPr>
          <w:cantSplit/>
        </w:trPr>
        <w:tc>
          <w:tcPr>
            <w:tcW w:w="1560" w:type="dxa"/>
            <w:vMerge/>
          </w:tcPr>
          <w:p w14:paraId="5B02208D" w14:textId="77777777" w:rsidR="00FC64A7" w:rsidRPr="00E20766" w:rsidRDefault="00FC64A7" w:rsidP="00E20766">
            <w:pPr>
              <w:rPr>
                <w:rFonts w:asciiTheme="minorHAnsi" w:hAnsiTheme="minorHAnsi" w:cs="Calibri"/>
                <w:sz w:val="20"/>
                <w:szCs w:val="20"/>
              </w:rPr>
            </w:pPr>
          </w:p>
        </w:tc>
        <w:tc>
          <w:tcPr>
            <w:tcW w:w="4320" w:type="dxa"/>
            <w:tcBorders>
              <w:top w:val="single" w:sz="4" w:space="0" w:color="auto"/>
            </w:tcBorders>
          </w:tcPr>
          <w:p w14:paraId="7BA7AB3E" w14:textId="0EC8B370" w:rsidR="00FC64A7" w:rsidRDefault="00FC64A7" w:rsidP="00FC64A7">
            <w:pPr>
              <w:rPr>
                <w:rFonts w:asciiTheme="minorHAnsi" w:hAnsiTheme="minorHAnsi" w:cs="Calibri"/>
                <w:sz w:val="20"/>
                <w:szCs w:val="20"/>
              </w:rPr>
            </w:pPr>
            <w:r>
              <w:rPr>
                <w:rFonts w:asciiTheme="minorHAnsi" w:hAnsiTheme="minorHAnsi" w:cs="Calibri"/>
                <w:sz w:val="20"/>
                <w:szCs w:val="20"/>
              </w:rPr>
              <w:t xml:space="preserve">Decision </w:t>
            </w:r>
            <w:r w:rsidRPr="00E20766">
              <w:rPr>
                <w:rFonts w:asciiTheme="minorHAnsi" w:hAnsiTheme="minorHAnsi" w:cs="Calibri"/>
                <w:sz w:val="20"/>
                <w:szCs w:val="20"/>
              </w:rPr>
              <w:t>SC50-4</w:t>
            </w:r>
            <w:r>
              <w:rPr>
                <w:rFonts w:asciiTheme="minorHAnsi" w:hAnsiTheme="minorHAnsi" w:cs="Calibri"/>
                <w:sz w:val="20"/>
                <w:szCs w:val="20"/>
              </w:rPr>
              <w:t>: “</w:t>
            </w:r>
            <w:r w:rsidRPr="00E20766">
              <w:rPr>
                <w:rFonts w:asciiTheme="minorHAnsi" w:hAnsiTheme="minorHAnsi"/>
                <w:bCs/>
                <w:color w:val="000000"/>
                <w:sz w:val="20"/>
                <w:szCs w:val="20"/>
              </w:rPr>
              <w:t xml:space="preserve">The Standing Committee agreed to lead </w:t>
            </w:r>
            <w:r w:rsidRPr="00E20766">
              <w:rPr>
                <w:rFonts w:asciiTheme="minorHAnsi" w:hAnsiTheme="minorHAnsi"/>
                <w:sz w:val="20"/>
                <w:szCs w:val="20"/>
              </w:rPr>
              <w:t>an open ended working group to review resource mobilization and the partnership framework and plan and report back to SC51.</w:t>
            </w:r>
            <w:r>
              <w:rPr>
                <w:rFonts w:asciiTheme="minorHAnsi" w:hAnsiTheme="minorHAnsi"/>
                <w:sz w:val="20"/>
                <w:szCs w:val="20"/>
              </w:rPr>
              <w:t>”</w:t>
            </w:r>
          </w:p>
        </w:tc>
        <w:tc>
          <w:tcPr>
            <w:tcW w:w="3120" w:type="dxa"/>
            <w:vMerge/>
          </w:tcPr>
          <w:p w14:paraId="6A616A8C" w14:textId="77777777" w:rsidR="00FC64A7" w:rsidRPr="00E20766" w:rsidRDefault="00FC64A7" w:rsidP="00E20766">
            <w:pPr>
              <w:rPr>
                <w:rFonts w:asciiTheme="minorHAnsi" w:hAnsiTheme="minorHAnsi"/>
                <w:bCs/>
                <w:sz w:val="20"/>
                <w:szCs w:val="20"/>
              </w:rPr>
            </w:pPr>
          </w:p>
        </w:tc>
        <w:tc>
          <w:tcPr>
            <w:tcW w:w="1720" w:type="dxa"/>
            <w:vMerge/>
          </w:tcPr>
          <w:p w14:paraId="364174F8" w14:textId="77777777" w:rsidR="00FC64A7" w:rsidRPr="00E20766" w:rsidRDefault="00FC64A7" w:rsidP="00E20766">
            <w:pPr>
              <w:rPr>
                <w:rFonts w:asciiTheme="minorHAnsi" w:hAnsiTheme="minorHAnsi" w:cs="Calibri"/>
                <w:sz w:val="20"/>
                <w:szCs w:val="20"/>
              </w:rPr>
            </w:pPr>
          </w:p>
        </w:tc>
        <w:tc>
          <w:tcPr>
            <w:tcW w:w="1720" w:type="dxa"/>
            <w:vMerge/>
          </w:tcPr>
          <w:p w14:paraId="08312E75" w14:textId="77777777" w:rsidR="00FC64A7" w:rsidRPr="00E20766" w:rsidRDefault="00FC64A7" w:rsidP="00E20766">
            <w:pPr>
              <w:rPr>
                <w:rFonts w:asciiTheme="minorHAnsi" w:hAnsiTheme="minorHAnsi" w:cs="Calibri"/>
                <w:sz w:val="20"/>
                <w:szCs w:val="20"/>
              </w:rPr>
            </w:pPr>
          </w:p>
        </w:tc>
        <w:tc>
          <w:tcPr>
            <w:tcW w:w="1720" w:type="dxa"/>
            <w:vMerge/>
          </w:tcPr>
          <w:p w14:paraId="61CFE23E" w14:textId="77777777" w:rsidR="00FC64A7" w:rsidRPr="00E20766" w:rsidRDefault="00FC64A7" w:rsidP="00E20766">
            <w:pPr>
              <w:rPr>
                <w:rFonts w:asciiTheme="minorHAnsi" w:hAnsiTheme="minorHAnsi" w:cs="Calibri"/>
                <w:sz w:val="20"/>
                <w:szCs w:val="20"/>
              </w:rPr>
            </w:pPr>
          </w:p>
        </w:tc>
      </w:tr>
      <w:tr w:rsidR="00F922E5" w:rsidRPr="00E20766" w14:paraId="0A57A40B" w14:textId="4B42106F" w:rsidTr="00F922E5">
        <w:trPr>
          <w:cantSplit/>
        </w:trPr>
        <w:tc>
          <w:tcPr>
            <w:tcW w:w="1560" w:type="dxa"/>
          </w:tcPr>
          <w:p w14:paraId="71DCC649" w14:textId="77777777" w:rsidR="007B4994" w:rsidRPr="00E20766" w:rsidRDefault="007B4994" w:rsidP="00E20766">
            <w:pPr>
              <w:rPr>
                <w:rFonts w:asciiTheme="minorHAnsi" w:hAnsiTheme="minorHAnsi" w:cs="Calibri"/>
                <w:sz w:val="20"/>
                <w:szCs w:val="20"/>
              </w:rPr>
            </w:pPr>
            <w:r w:rsidRPr="00E20766">
              <w:rPr>
                <w:rFonts w:asciiTheme="minorHAnsi" w:hAnsiTheme="minorHAnsi" w:cs="Calibri"/>
                <w:sz w:val="20"/>
                <w:szCs w:val="20"/>
              </w:rPr>
              <w:lastRenderedPageBreak/>
              <w:t xml:space="preserve">Regional Initiatives </w:t>
            </w:r>
          </w:p>
        </w:tc>
        <w:tc>
          <w:tcPr>
            <w:tcW w:w="4320" w:type="dxa"/>
          </w:tcPr>
          <w:p w14:paraId="3DAFC10D" w14:textId="2D0BCFFB" w:rsidR="0086792D" w:rsidRPr="00E20766" w:rsidRDefault="007B4994" w:rsidP="00E20766">
            <w:pPr>
              <w:rPr>
                <w:rFonts w:asciiTheme="minorHAnsi" w:hAnsiTheme="minorHAnsi" w:cs="Calibri"/>
                <w:sz w:val="20"/>
                <w:szCs w:val="20"/>
              </w:rPr>
            </w:pPr>
            <w:r w:rsidRPr="00E20766">
              <w:rPr>
                <w:rFonts w:asciiTheme="minorHAnsi" w:hAnsiTheme="minorHAnsi"/>
                <w:sz w:val="20"/>
                <w:szCs w:val="20"/>
              </w:rPr>
              <w:t>Decision SC51-11</w:t>
            </w:r>
            <w:r w:rsidR="0042527E">
              <w:rPr>
                <w:rFonts w:asciiTheme="minorHAnsi" w:hAnsiTheme="minorHAnsi"/>
                <w:sz w:val="20"/>
                <w:szCs w:val="20"/>
              </w:rPr>
              <w:t>:</w:t>
            </w:r>
            <w:r w:rsidRPr="00E20766">
              <w:rPr>
                <w:rFonts w:asciiTheme="minorHAnsi" w:hAnsiTheme="minorHAnsi"/>
                <w:sz w:val="20"/>
                <w:szCs w:val="20"/>
              </w:rPr>
              <w:t xml:space="preserve"> </w:t>
            </w:r>
            <w:r w:rsidR="0042527E">
              <w:rPr>
                <w:rFonts w:asciiTheme="minorHAnsi" w:hAnsiTheme="minorHAnsi"/>
                <w:sz w:val="20"/>
                <w:szCs w:val="20"/>
              </w:rPr>
              <w:t>“</w:t>
            </w:r>
            <w:r w:rsidR="0086792D" w:rsidRPr="00E20766">
              <w:rPr>
                <w:rFonts w:asciiTheme="minorHAnsi" w:hAnsiTheme="minorHAnsi"/>
                <w:sz w:val="20"/>
                <w:szCs w:val="20"/>
              </w:rPr>
              <w:t>The Standing Committee agreed to establish a new Working Group to examine the implications of the proposed new Operational Guidelines for Regional Initiatives and asked the Secretariat to support the setting up of this group.</w:t>
            </w:r>
          </w:p>
        </w:tc>
        <w:tc>
          <w:tcPr>
            <w:tcW w:w="3120" w:type="dxa"/>
          </w:tcPr>
          <w:p w14:paraId="035276D0" w14:textId="0E1633B8" w:rsidR="007B4994" w:rsidRDefault="007B4994" w:rsidP="00E20766">
            <w:pPr>
              <w:rPr>
                <w:rFonts w:asciiTheme="minorHAnsi" w:hAnsiTheme="minorHAnsi"/>
                <w:sz w:val="20"/>
                <w:szCs w:val="20"/>
              </w:rPr>
            </w:pPr>
            <w:r w:rsidRPr="0042527E">
              <w:rPr>
                <w:rFonts w:asciiTheme="minorHAnsi" w:hAnsiTheme="minorHAnsi"/>
                <w:sz w:val="20"/>
                <w:szCs w:val="20"/>
              </w:rPr>
              <w:t>C</w:t>
            </w:r>
            <w:r w:rsidR="0042527E" w:rsidRPr="0042527E">
              <w:rPr>
                <w:rFonts w:asciiTheme="minorHAnsi" w:hAnsiTheme="minorHAnsi"/>
                <w:sz w:val="20"/>
                <w:szCs w:val="20"/>
              </w:rPr>
              <w:t xml:space="preserve">ontracting </w:t>
            </w:r>
            <w:r w:rsidRPr="0042527E">
              <w:rPr>
                <w:rFonts w:asciiTheme="minorHAnsi" w:hAnsiTheme="minorHAnsi"/>
                <w:sz w:val="20"/>
                <w:szCs w:val="20"/>
              </w:rPr>
              <w:t>P</w:t>
            </w:r>
            <w:r w:rsidR="0042527E" w:rsidRPr="0042527E">
              <w:rPr>
                <w:rFonts w:asciiTheme="minorHAnsi" w:hAnsiTheme="minorHAnsi"/>
                <w:sz w:val="20"/>
                <w:szCs w:val="20"/>
              </w:rPr>
              <w:t>artie</w:t>
            </w:r>
            <w:r w:rsidRPr="0042527E">
              <w:rPr>
                <w:rFonts w:asciiTheme="minorHAnsi" w:hAnsiTheme="minorHAnsi"/>
                <w:sz w:val="20"/>
                <w:szCs w:val="20"/>
              </w:rPr>
              <w:t xml:space="preserve">s representing regional initiatives: Argentina, </w:t>
            </w:r>
            <w:r w:rsidR="00F922E5" w:rsidRPr="0042527E">
              <w:rPr>
                <w:rFonts w:asciiTheme="minorHAnsi" w:hAnsiTheme="minorHAnsi"/>
                <w:sz w:val="20"/>
                <w:szCs w:val="20"/>
              </w:rPr>
              <w:t xml:space="preserve">Burkina Faso, Colombia, </w:t>
            </w:r>
            <w:r w:rsidRPr="0042527E">
              <w:rPr>
                <w:rFonts w:asciiTheme="minorHAnsi" w:hAnsiTheme="minorHAnsi"/>
                <w:sz w:val="20"/>
                <w:szCs w:val="20"/>
              </w:rPr>
              <w:t xml:space="preserve">Cuba, Dominican Republic, El Salvador, France, Italy, </w:t>
            </w:r>
            <w:r w:rsidR="00F922E5" w:rsidRPr="0042527E">
              <w:rPr>
                <w:rFonts w:asciiTheme="minorHAnsi" w:hAnsiTheme="minorHAnsi"/>
                <w:sz w:val="20"/>
                <w:szCs w:val="20"/>
              </w:rPr>
              <w:t xml:space="preserve">Nigeria, Oman, Panama, </w:t>
            </w:r>
            <w:r w:rsidRPr="0042527E">
              <w:rPr>
                <w:rFonts w:asciiTheme="minorHAnsi" w:hAnsiTheme="minorHAnsi"/>
                <w:sz w:val="20"/>
                <w:szCs w:val="20"/>
              </w:rPr>
              <w:t xml:space="preserve">South Sudan, </w:t>
            </w:r>
            <w:r w:rsidR="00F922E5" w:rsidRPr="0042527E">
              <w:rPr>
                <w:rFonts w:asciiTheme="minorHAnsi" w:hAnsiTheme="minorHAnsi"/>
                <w:sz w:val="20"/>
                <w:szCs w:val="20"/>
              </w:rPr>
              <w:t>Suriname,</w:t>
            </w:r>
            <w:r w:rsidR="00F922E5">
              <w:rPr>
                <w:rFonts w:asciiTheme="minorHAnsi" w:hAnsiTheme="minorHAnsi"/>
                <w:sz w:val="20"/>
                <w:szCs w:val="20"/>
              </w:rPr>
              <w:t xml:space="preserve"> </w:t>
            </w:r>
            <w:r w:rsidR="00F922E5" w:rsidRPr="0042527E">
              <w:rPr>
                <w:rFonts w:asciiTheme="minorHAnsi" w:hAnsiTheme="minorHAnsi"/>
                <w:sz w:val="20"/>
                <w:szCs w:val="20"/>
              </w:rPr>
              <w:t>Sweden</w:t>
            </w:r>
            <w:r w:rsidR="00F922E5">
              <w:rPr>
                <w:rFonts w:asciiTheme="minorHAnsi" w:hAnsiTheme="minorHAnsi"/>
                <w:sz w:val="20"/>
                <w:szCs w:val="20"/>
              </w:rPr>
              <w:t>,</w:t>
            </w:r>
            <w:r w:rsidR="00F922E5" w:rsidRPr="0042527E">
              <w:rPr>
                <w:rFonts w:asciiTheme="minorHAnsi" w:hAnsiTheme="minorHAnsi"/>
                <w:sz w:val="20"/>
                <w:szCs w:val="20"/>
              </w:rPr>
              <w:t xml:space="preserve"> Tunisia, </w:t>
            </w:r>
            <w:r w:rsidRPr="0042527E">
              <w:rPr>
                <w:rFonts w:asciiTheme="minorHAnsi" w:hAnsiTheme="minorHAnsi"/>
                <w:sz w:val="20"/>
                <w:szCs w:val="20"/>
              </w:rPr>
              <w:t xml:space="preserve">Uruguay. </w:t>
            </w:r>
          </w:p>
          <w:p w14:paraId="196E48A1" w14:textId="77777777" w:rsidR="004E2C96" w:rsidRPr="0042527E" w:rsidRDefault="004E2C96" w:rsidP="00E20766">
            <w:pPr>
              <w:rPr>
                <w:rFonts w:asciiTheme="minorHAnsi" w:hAnsiTheme="minorHAnsi"/>
                <w:sz w:val="20"/>
                <w:szCs w:val="20"/>
              </w:rPr>
            </w:pPr>
          </w:p>
          <w:p w14:paraId="0EE0447D" w14:textId="52EACC58" w:rsidR="007B4994" w:rsidRPr="00E20766" w:rsidRDefault="007B4994" w:rsidP="00E20766">
            <w:pPr>
              <w:rPr>
                <w:rFonts w:asciiTheme="minorHAnsi" w:hAnsiTheme="minorHAnsi"/>
                <w:bCs/>
                <w:sz w:val="20"/>
                <w:szCs w:val="20"/>
                <w:lang w:val="es-ES"/>
              </w:rPr>
            </w:pPr>
            <w:r w:rsidRPr="00E20766">
              <w:rPr>
                <w:rFonts w:asciiTheme="minorHAnsi" w:hAnsiTheme="minorHAnsi"/>
                <w:sz w:val="20"/>
                <w:szCs w:val="20"/>
                <w:lang w:val="es-ES"/>
              </w:rPr>
              <w:t>Chair: Uganda</w:t>
            </w:r>
          </w:p>
        </w:tc>
        <w:tc>
          <w:tcPr>
            <w:tcW w:w="1720" w:type="dxa"/>
          </w:tcPr>
          <w:p w14:paraId="4CB02030" w14:textId="77777777" w:rsidR="007B4994" w:rsidRPr="00E20766" w:rsidRDefault="007B4994" w:rsidP="00E20766">
            <w:pPr>
              <w:rPr>
                <w:rFonts w:asciiTheme="minorHAnsi" w:hAnsiTheme="minorHAnsi" w:cs="Calibri"/>
                <w:sz w:val="20"/>
                <w:szCs w:val="20"/>
              </w:rPr>
            </w:pPr>
            <w:r w:rsidRPr="00E20766">
              <w:rPr>
                <w:rFonts w:asciiTheme="minorHAnsi" w:hAnsiTheme="minorHAnsi" w:cs="Calibri"/>
                <w:sz w:val="20"/>
                <w:szCs w:val="20"/>
              </w:rPr>
              <w:t>SC</w:t>
            </w:r>
          </w:p>
        </w:tc>
        <w:tc>
          <w:tcPr>
            <w:tcW w:w="1720" w:type="dxa"/>
          </w:tcPr>
          <w:p w14:paraId="1BCFB4CC" w14:textId="2B0AAAF8" w:rsidR="007B4994" w:rsidRPr="00E20766" w:rsidRDefault="00911AAA" w:rsidP="00E20766">
            <w:pPr>
              <w:rPr>
                <w:rFonts w:asciiTheme="minorHAnsi" w:hAnsiTheme="minorHAnsi" w:cs="Calibri"/>
                <w:sz w:val="20"/>
                <w:szCs w:val="20"/>
              </w:rPr>
            </w:pPr>
            <w:r w:rsidRPr="00E20766">
              <w:rPr>
                <w:rFonts w:asciiTheme="minorHAnsi" w:hAnsiTheme="minorHAnsi" w:cs="Calibri"/>
                <w:sz w:val="20"/>
                <w:szCs w:val="20"/>
              </w:rPr>
              <w:t>Not specified</w:t>
            </w:r>
          </w:p>
        </w:tc>
        <w:tc>
          <w:tcPr>
            <w:tcW w:w="1720" w:type="dxa"/>
          </w:tcPr>
          <w:p w14:paraId="407D5C59" w14:textId="77777777" w:rsidR="007B4994" w:rsidRPr="00E20766" w:rsidRDefault="007B4994" w:rsidP="00E20766">
            <w:pPr>
              <w:rPr>
                <w:rFonts w:asciiTheme="minorHAnsi" w:hAnsiTheme="minorHAnsi" w:cs="Calibri"/>
                <w:sz w:val="20"/>
                <w:szCs w:val="20"/>
              </w:rPr>
            </w:pPr>
          </w:p>
        </w:tc>
      </w:tr>
      <w:tr w:rsidR="00F922E5" w:rsidRPr="00E20766" w14:paraId="5EEE6466" w14:textId="244C9CFF" w:rsidTr="00F922E5">
        <w:trPr>
          <w:cantSplit/>
        </w:trPr>
        <w:tc>
          <w:tcPr>
            <w:tcW w:w="1560" w:type="dxa"/>
          </w:tcPr>
          <w:p w14:paraId="5F3CFABC" w14:textId="77777777" w:rsidR="007B4994" w:rsidRPr="00E20766" w:rsidRDefault="007B4994" w:rsidP="00E20766">
            <w:pPr>
              <w:rPr>
                <w:rFonts w:asciiTheme="minorHAnsi" w:hAnsiTheme="minorHAnsi" w:cs="Calibri"/>
                <w:sz w:val="20"/>
                <w:szCs w:val="20"/>
              </w:rPr>
            </w:pPr>
            <w:r w:rsidRPr="00E20766">
              <w:rPr>
                <w:rFonts w:asciiTheme="minorHAnsi" w:hAnsiTheme="minorHAnsi" w:cs="Calibri"/>
                <w:sz w:val="20"/>
                <w:szCs w:val="20"/>
              </w:rPr>
              <w:t>Staffing</w:t>
            </w:r>
          </w:p>
        </w:tc>
        <w:tc>
          <w:tcPr>
            <w:tcW w:w="4320" w:type="dxa"/>
          </w:tcPr>
          <w:p w14:paraId="416BD5BD" w14:textId="18820EFA" w:rsidR="007B4994" w:rsidRPr="00E20766" w:rsidRDefault="007B4994" w:rsidP="00E20766">
            <w:pPr>
              <w:rPr>
                <w:rFonts w:asciiTheme="minorHAnsi" w:hAnsiTheme="minorHAnsi" w:cs="Calibri"/>
                <w:sz w:val="20"/>
                <w:szCs w:val="20"/>
              </w:rPr>
            </w:pPr>
            <w:r w:rsidRPr="00E20766">
              <w:rPr>
                <w:rFonts w:asciiTheme="minorHAnsi" w:hAnsiTheme="minorHAnsi" w:cs="Calibri"/>
                <w:sz w:val="20"/>
                <w:szCs w:val="20"/>
              </w:rPr>
              <w:t>No decision</w:t>
            </w:r>
            <w:r w:rsidR="003C074A" w:rsidRPr="00E20766">
              <w:rPr>
                <w:rFonts w:asciiTheme="minorHAnsi" w:hAnsiTheme="minorHAnsi" w:cs="Calibri"/>
                <w:sz w:val="20"/>
                <w:szCs w:val="20"/>
              </w:rPr>
              <w:t xml:space="preserve"> from SC</w:t>
            </w:r>
          </w:p>
        </w:tc>
        <w:tc>
          <w:tcPr>
            <w:tcW w:w="3120" w:type="dxa"/>
          </w:tcPr>
          <w:p w14:paraId="18E252E9" w14:textId="04CADFAE" w:rsidR="00981711" w:rsidRPr="00E20766" w:rsidRDefault="00981711" w:rsidP="00E20766">
            <w:pPr>
              <w:autoSpaceDE w:val="0"/>
              <w:adjustRightInd w:val="0"/>
              <w:rPr>
                <w:rFonts w:asciiTheme="minorHAnsi" w:hAnsiTheme="minorHAnsi" w:cs="Arial"/>
                <w:sz w:val="20"/>
                <w:szCs w:val="20"/>
              </w:rPr>
            </w:pPr>
            <w:r w:rsidRPr="00E20766">
              <w:rPr>
                <w:rFonts w:asciiTheme="minorHAnsi" w:hAnsiTheme="minorHAnsi" w:cs="Arial"/>
                <w:sz w:val="20"/>
                <w:szCs w:val="20"/>
              </w:rPr>
              <w:t>According to Annex 3 SC52 report</w:t>
            </w:r>
            <w:r w:rsidR="0042527E">
              <w:rPr>
                <w:rFonts w:asciiTheme="minorHAnsi" w:hAnsiTheme="minorHAnsi" w:cs="Arial"/>
                <w:sz w:val="20"/>
                <w:szCs w:val="20"/>
              </w:rPr>
              <w:t>:</w:t>
            </w:r>
          </w:p>
          <w:p w14:paraId="58E894C6" w14:textId="2636A379" w:rsidR="0042527E" w:rsidRDefault="007B4994" w:rsidP="0042527E">
            <w:pPr>
              <w:autoSpaceDE w:val="0"/>
              <w:adjustRightInd w:val="0"/>
              <w:rPr>
                <w:rFonts w:asciiTheme="minorHAnsi" w:hAnsiTheme="minorHAnsi" w:cs="Arial"/>
                <w:sz w:val="20"/>
                <w:szCs w:val="20"/>
              </w:rPr>
            </w:pPr>
            <w:r w:rsidRPr="00E20766">
              <w:rPr>
                <w:rFonts w:asciiTheme="minorHAnsi" w:hAnsiTheme="minorHAnsi" w:cs="Arial"/>
                <w:sz w:val="20"/>
                <w:szCs w:val="20"/>
              </w:rPr>
              <w:t>Australia, Canada, Nepal, Republic of Korea, Romania, Senegal, South Africa, United States of America, Uruguay.</w:t>
            </w:r>
          </w:p>
          <w:p w14:paraId="36E4FE36" w14:textId="77777777" w:rsidR="004E2C96" w:rsidRDefault="004E2C96" w:rsidP="0042527E">
            <w:pPr>
              <w:autoSpaceDE w:val="0"/>
              <w:adjustRightInd w:val="0"/>
              <w:rPr>
                <w:rFonts w:asciiTheme="minorHAnsi" w:hAnsiTheme="minorHAnsi" w:cs="Arial"/>
                <w:sz w:val="20"/>
                <w:szCs w:val="20"/>
              </w:rPr>
            </w:pPr>
          </w:p>
          <w:p w14:paraId="7A62DADA" w14:textId="20504766" w:rsidR="0042527E" w:rsidRPr="0042527E" w:rsidRDefault="0042527E" w:rsidP="0042527E">
            <w:pPr>
              <w:autoSpaceDE w:val="0"/>
              <w:adjustRightInd w:val="0"/>
              <w:rPr>
                <w:rFonts w:asciiTheme="minorHAnsi" w:hAnsiTheme="minorHAnsi" w:cs="Arial"/>
                <w:sz w:val="20"/>
                <w:szCs w:val="20"/>
              </w:rPr>
            </w:pPr>
            <w:r>
              <w:rPr>
                <w:rFonts w:asciiTheme="minorHAnsi" w:hAnsiTheme="minorHAnsi" w:cs="Arial"/>
                <w:sz w:val="20"/>
                <w:szCs w:val="20"/>
              </w:rPr>
              <w:t>Chair: Canada</w:t>
            </w:r>
          </w:p>
        </w:tc>
        <w:tc>
          <w:tcPr>
            <w:tcW w:w="1720" w:type="dxa"/>
          </w:tcPr>
          <w:p w14:paraId="3D72C5CC" w14:textId="192A1008" w:rsidR="007B4994" w:rsidRPr="00E20766" w:rsidRDefault="007B4994" w:rsidP="0042527E">
            <w:pPr>
              <w:rPr>
                <w:rFonts w:asciiTheme="minorHAnsi" w:hAnsiTheme="minorHAnsi" w:cs="Calibri"/>
                <w:sz w:val="20"/>
                <w:szCs w:val="20"/>
              </w:rPr>
            </w:pPr>
            <w:r w:rsidRPr="00E20766">
              <w:rPr>
                <w:rFonts w:asciiTheme="minorHAnsi" w:hAnsiTheme="minorHAnsi" w:cs="Calibri"/>
                <w:sz w:val="20"/>
                <w:szCs w:val="20"/>
              </w:rPr>
              <w:t>MWG</w:t>
            </w:r>
            <w:r w:rsidR="003C074A" w:rsidRPr="00E20766">
              <w:rPr>
                <w:rFonts w:asciiTheme="minorHAnsi" w:hAnsiTheme="minorHAnsi" w:cs="Calibri"/>
                <w:sz w:val="20"/>
                <w:szCs w:val="20"/>
              </w:rPr>
              <w:t xml:space="preserve"> (not </w:t>
            </w:r>
            <w:r w:rsidR="0042527E" w:rsidRPr="00E20766">
              <w:rPr>
                <w:rFonts w:asciiTheme="minorHAnsi" w:hAnsiTheme="minorHAnsi" w:cs="Calibri"/>
                <w:sz w:val="20"/>
                <w:szCs w:val="20"/>
              </w:rPr>
              <w:t>specif</w:t>
            </w:r>
            <w:r w:rsidR="0042527E">
              <w:rPr>
                <w:rFonts w:asciiTheme="minorHAnsi" w:hAnsiTheme="minorHAnsi" w:cs="Calibri"/>
                <w:sz w:val="20"/>
                <w:szCs w:val="20"/>
              </w:rPr>
              <w:t>ied</w:t>
            </w:r>
            <w:r w:rsidR="003C074A" w:rsidRPr="00E20766">
              <w:rPr>
                <w:rFonts w:asciiTheme="minorHAnsi" w:hAnsiTheme="minorHAnsi" w:cs="Calibri"/>
                <w:sz w:val="20"/>
                <w:szCs w:val="20"/>
              </w:rPr>
              <w:t>)</w:t>
            </w:r>
          </w:p>
        </w:tc>
        <w:tc>
          <w:tcPr>
            <w:tcW w:w="1720" w:type="dxa"/>
          </w:tcPr>
          <w:p w14:paraId="771AEC76" w14:textId="7DB5C9C9" w:rsidR="007B4994" w:rsidRPr="00E20766" w:rsidRDefault="0042527E" w:rsidP="0042527E">
            <w:pPr>
              <w:rPr>
                <w:rFonts w:asciiTheme="minorHAnsi" w:hAnsiTheme="minorHAnsi" w:cs="Calibri"/>
                <w:sz w:val="20"/>
                <w:szCs w:val="20"/>
              </w:rPr>
            </w:pPr>
            <w:r>
              <w:rPr>
                <w:rFonts w:asciiTheme="minorHAnsi" w:hAnsiTheme="minorHAnsi" w:cs="Calibri"/>
                <w:sz w:val="20"/>
                <w:szCs w:val="20"/>
              </w:rPr>
              <w:t xml:space="preserve">The </w:t>
            </w:r>
            <w:r w:rsidR="00911AAA" w:rsidRPr="00E20766">
              <w:rPr>
                <w:rFonts w:asciiTheme="minorHAnsi" w:hAnsiTheme="minorHAnsi" w:cs="Calibri"/>
                <w:sz w:val="20"/>
                <w:szCs w:val="20"/>
              </w:rPr>
              <w:t xml:space="preserve">Chair confirmed that </w:t>
            </w:r>
            <w:r>
              <w:rPr>
                <w:rFonts w:asciiTheme="minorHAnsi" w:hAnsiTheme="minorHAnsi" w:cs="Calibri"/>
                <w:sz w:val="20"/>
                <w:szCs w:val="20"/>
              </w:rPr>
              <w:t xml:space="preserve">the </w:t>
            </w:r>
            <w:r w:rsidR="00911AAA" w:rsidRPr="00E20766">
              <w:rPr>
                <w:rFonts w:asciiTheme="minorHAnsi" w:hAnsiTheme="minorHAnsi" w:cs="Calibri"/>
                <w:sz w:val="20"/>
                <w:szCs w:val="20"/>
              </w:rPr>
              <w:t>mandate was completed at SC52</w:t>
            </w:r>
            <w:r>
              <w:rPr>
                <w:rFonts w:asciiTheme="minorHAnsi" w:hAnsiTheme="minorHAnsi" w:cs="Calibri"/>
                <w:sz w:val="20"/>
                <w:szCs w:val="20"/>
              </w:rPr>
              <w:t>.</w:t>
            </w:r>
          </w:p>
        </w:tc>
        <w:tc>
          <w:tcPr>
            <w:tcW w:w="1720" w:type="dxa"/>
          </w:tcPr>
          <w:p w14:paraId="2A2FB43C" w14:textId="2FC1F3BC" w:rsidR="007B4994" w:rsidRPr="00E20766" w:rsidRDefault="007B4994" w:rsidP="00E20766">
            <w:pPr>
              <w:rPr>
                <w:rFonts w:asciiTheme="minorHAnsi" w:hAnsiTheme="minorHAnsi" w:cs="Calibri"/>
                <w:sz w:val="20"/>
                <w:szCs w:val="20"/>
              </w:rPr>
            </w:pPr>
          </w:p>
        </w:tc>
      </w:tr>
      <w:tr w:rsidR="00F922E5" w:rsidRPr="00E20766" w14:paraId="0C8194C7" w14:textId="03223439" w:rsidTr="00F922E5">
        <w:trPr>
          <w:cantSplit/>
        </w:trPr>
        <w:tc>
          <w:tcPr>
            <w:tcW w:w="1560" w:type="dxa"/>
          </w:tcPr>
          <w:p w14:paraId="7A8E8EDE" w14:textId="5C8296DC" w:rsidR="007B4994" w:rsidRPr="00E20766" w:rsidRDefault="007B4994" w:rsidP="00E20766">
            <w:pPr>
              <w:rPr>
                <w:rFonts w:asciiTheme="minorHAnsi" w:hAnsiTheme="minorHAnsi" w:cs="Calibri"/>
                <w:sz w:val="20"/>
                <w:szCs w:val="20"/>
              </w:rPr>
            </w:pPr>
            <w:r w:rsidRPr="00E20766">
              <w:rPr>
                <w:rFonts w:asciiTheme="minorHAnsi" w:hAnsiTheme="minorHAnsi" w:cs="Calibri"/>
                <w:sz w:val="20"/>
                <w:szCs w:val="20"/>
              </w:rPr>
              <w:t>Language Strategy</w:t>
            </w:r>
          </w:p>
        </w:tc>
        <w:tc>
          <w:tcPr>
            <w:tcW w:w="4320" w:type="dxa"/>
          </w:tcPr>
          <w:p w14:paraId="7C5B1268" w14:textId="02345FE8" w:rsidR="005838BD" w:rsidRPr="00E20766" w:rsidRDefault="005838BD" w:rsidP="00E20766">
            <w:pPr>
              <w:rPr>
                <w:rFonts w:asciiTheme="minorHAnsi" w:hAnsiTheme="minorHAnsi"/>
                <w:sz w:val="20"/>
                <w:szCs w:val="20"/>
              </w:rPr>
            </w:pPr>
            <w:r w:rsidRPr="00E20766">
              <w:rPr>
                <w:rFonts w:asciiTheme="minorHAnsi" w:hAnsiTheme="minorHAnsi"/>
                <w:sz w:val="20"/>
                <w:szCs w:val="20"/>
              </w:rPr>
              <w:t>No decision as such from the Standing</w:t>
            </w:r>
            <w:r w:rsidR="00146141">
              <w:rPr>
                <w:rFonts w:asciiTheme="minorHAnsi" w:hAnsiTheme="minorHAnsi"/>
                <w:sz w:val="20"/>
                <w:szCs w:val="20"/>
              </w:rPr>
              <w:t xml:space="preserve"> </w:t>
            </w:r>
            <w:r w:rsidRPr="00E20766">
              <w:rPr>
                <w:rFonts w:asciiTheme="minorHAnsi" w:hAnsiTheme="minorHAnsi"/>
                <w:sz w:val="20"/>
                <w:szCs w:val="20"/>
              </w:rPr>
              <w:t>Committee.</w:t>
            </w:r>
          </w:p>
          <w:p w14:paraId="7EDA2B2C" w14:textId="77777777" w:rsidR="005838BD" w:rsidRPr="00E20766" w:rsidRDefault="005838BD" w:rsidP="00E20766">
            <w:pPr>
              <w:rPr>
                <w:rFonts w:asciiTheme="minorHAnsi" w:hAnsiTheme="minorHAnsi"/>
                <w:sz w:val="20"/>
                <w:szCs w:val="20"/>
              </w:rPr>
            </w:pPr>
          </w:p>
          <w:p w14:paraId="4A0BD77B" w14:textId="2E4FF12B" w:rsidR="007B4994" w:rsidRPr="00E20766" w:rsidRDefault="005838BD" w:rsidP="00E20766">
            <w:pPr>
              <w:rPr>
                <w:rFonts w:asciiTheme="minorHAnsi" w:hAnsiTheme="minorHAnsi" w:cs="Calibri"/>
                <w:sz w:val="20"/>
                <w:szCs w:val="20"/>
              </w:rPr>
            </w:pPr>
            <w:r w:rsidRPr="00E20766">
              <w:rPr>
                <w:rFonts w:asciiTheme="minorHAnsi" w:hAnsiTheme="minorHAnsi"/>
                <w:sz w:val="20"/>
                <w:szCs w:val="20"/>
              </w:rPr>
              <w:t>SC52 agreed to establish an open-ended informal working group, comprising at least Colombia, Senegal, UAE, USA and Romania, to review the Terms of Reference set out in Annex 1 to Doc. SC52-03 and asked the group to provide revised terms of reference for the Committee to consider later in the meeting.</w:t>
            </w:r>
          </w:p>
        </w:tc>
        <w:tc>
          <w:tcPr>
            <w:tcW w:w="3120" w:type="dxa"/>
          </w:tcPr>
          <w:p w14:paraId="435654D6" w14:textId="18F567D0" w:rsidR="007B4994" w:rsidRPr="00E20766" w:rsidRDefault="005838BD" w:rsidP="00E20766">
            <w:pPr>
              <w:suppressAutoHyphens/>
              <w:rPr>
                <w:rFonts w:asciiTheme="minorHAnsi" w:hAnsiTheme="minorHAnsi"/>
                <w:bCs/>
                <w:sz w:val="20"/>
                <w:szCs w:val="20"/>
                <w:lang w:val="es-ES"/>
              </w:rPr>
            </w:pPr>
            <w:r w:rsidRPr="00E20766">
              <w:rPr>
                <w:rFonts w:asciiTheme="minorHAnsi" w:hAnsiTheme="minorHAnsi"/>
                <w:sz w:val="20"/>
                <w:szCs w:val="20"/>
                <w:lang w:val="es-ES"/>
              </w:rPr>
              <w:t>Colombia, Senegal, UAE, USA and Romania.</w:t>
            </w:r>
          </w:p>
        </w:tc>
        <w:tc>
          <w:tcPr>
            <w:tcW w:w="1720" w:type="dxa"/>
          </w:tcPr>
          <w:p w14:paraId="087C652F" w14:textId="4BE3C6B4" w:rsidR="003C074A" w:rsidRPr="00E20766" w:rsidRDefault="003C074A" w:rsidP="00E20766">
            <w:pPr>
              <w:rPr>
                <w:rFonts w:asciiTheme="minorHAnsi" w:hAnsiTheme="minorHAnsi" w:cs="Calibri"/>
                <w:sz w:val="20"/>
                <w:szCs w:val="20"/>
              </w:rPr>
            </w:pPr>
            <w:r w:rsidRPr="00E20766">
              <w:rPr>
                <w:rFonts w:asciiTheme="minorHAnsi" w:hAnsiTheme="minorHAnsi" w:cs="Calibri"/>
                <w:sz w:val="20"/>
                <w:szCs w:val="20"/>
              </w:rPr>
              <w:t xml:space="preserve">SC (Not </w:t>
            </w:r>
            <w:r w:rsidR="004E2C96" w:rsidRPr="00E20766">
              <w:rPr>
                <w:rFonts w:asciiTheme="minorHAnsi" w:hAnsiTheme="minorHAnsi" w:cs="Calibri"/>
                <w:sz w:val="20"/>
                <w:szCs w:val="20"/>
              </w:rPr>
              <w:t>specif</w:t>
            </w:r>
            <w:r w:rsidR="004E2C96">
              <w:rPr>
                <w:rFonts w:asciiTheme="minorHAnsi" w:hAnsiTheme="minorHAnsi" w:cs="Calibri"/>
                <w:sz w:val="20"/>
                <w:szCs w:val="20"/>
              </w:rPr>
              <w:t>ied</w:t>
            </w:r>
            <w:r w:rsidRPr="00E20766">
              <w:rPr>
                <w:rFonts w:asciiTheme="minorHAnsi" w:hAnsiTheme="minorHAnsi" w:cs="Calibri"/>
                <w:sz w:val="20"/>
                <w:szCs w:val="20"/>
              </w:rPr>
              <w:t>)</w:t>
            </w:r>
          </w:p>
          <w:p w14:paraId="39EE880B" w14:textId="661A676E" w:rsidR="005838BD" w:rsidRPr="00E20766" w:rsidRDefault="00247DE3" w:rsidP="00E20766">
            <w:pPr>
              <w:rPr>
                <w:rFonts w:asciiTheme="minorHAnsi" w:hAnsiTheme="minorHAnsi" w:cs="Calibri"/>
                <w:sz w:val="20"/>
                <w:szCs w:val="20"/>
              </w:rPr>
            </w:pPr>
            <w:r w:rsidRPr="00E20766">
              <w:rPr>
                <w:rFonts w:asciiTheme="minorHAnsi" w:hAnsiTheme="minorHAnsi" w:cs="Calibri"/>
                <w:sz w:val="20"/>
                <w:szCs w:val="20"/>
              </w:rPr>
              <w:t>Not clear who is the chair</w:t>
            </w:r>
            <w:r w:rsidR="004E2C96">
              <w:rPr>
                <w:rFonts w:asciiTheme="minorHAnsi" w:hAnsiTheme="minorHAnsi" w:cs="Calibri"/>
                <w:sz w:val="20"/>
                <w:szCs w:val="20"/>
              </w:rPr>
              <w:t>.</w:t>
            </w:r>
          </w:p>
          <w:p w14:paraId="6D9AE8B5" w14:textId="77777777" w:rsidR="00247DE3" w:rsidRPr="00E20766" w:rsidRDefault="00247DE3" w:rsidP="00E20766">
            <w:pPr>
              <w:rPr>
                <w:rFonts w:asciiTheme="minorHAnsi" w:hAnsiTheme="minorHAnsi" w:cs="Calibri"/>
                <w:sz w:val="20"/>
                <w:szCs w:val="20"/>
              </w:rPr>
            </w:pPr>
          </w:p>
          <w:p w14:paraId="6D338C83" w14:textId="5CD50FBB" w:rsidR="007B4994" w:rsidRPr="00E20766" w:rsidRDefault="005838BD" w:rsidP="004E2C96">
            <w:pPr>
              <w:rPr>
                <w:rFonts w:asciiTheme="minorHAnsi" w:hAnsiTheme="minorHAnsi" w:cs="Calibri"/>
                <w:sz w:val="20"/>
                <w:szCs w:val="20"/>
              </w:rPr>
            </w:pPr>
            <w:r w:rsidRPr="00E20766">
              <w:rPr>
                <w:rFonts w:asciiTheme="minorHAnsi" w:hAnsiTheme="minorHAnsi" w:cs="Calibri"/>
                <w:sz w:val="20"/>
                <w:szCs w:val="20"/>
              </w:rPr>
              <w:t>Note: P</w:t>
            </w:r>
            <w:r w:rsidR="004E2C96">
              <w:rPr>
                <w:rFonts w:asciiTheme="minorHAnsi" w:hAnsiTheme="minorHAnsi" w:cs="Calibri"/>
                <w:sz w:val="20"/>
                <w:szCs w:val="20"/>
              </w:rPr>
              <w:t>er p</w:t>
            </w:r>
            <w:r w:rsidRPr="00E20766">
              <w:rPr>
                <w:rFonts w:asciiTheme="minorHAnsi" w:hAnsiTheme="minorHAnsi" w:cs="Calibri"/>
                <w:sz w:val="20"/>
                <w:szCs w:val="20"/>
              </w:rPr>
              <w:t>ara</w:t>
            </w:r>
            <w:r w:rsidR="004E2C96">
              <w:rPr>
                <w:rFonts w:asciiTheme="minorHAnsi" w:hAnsiTheme="minorHAnsi" w:cs="Calibri"/>
                <w:sz w:val="20"/>
                <w:szCs w:val="20"/>
              </w:rPr>
              <w:t>graph</w:t>
            </w:r>
            <w:r w:rsidRPr="00E20766">
              <w:rPr>
                <w:rFonts w:asciiTheme="minorHAnsi" w:hAnsiTheme="minorHAnsi" w:cs="Calibri"/>
                <w:sz w:val="20"/>
                <w:szCs w:val="20"/>
              </w:rPr>
              <w:t xml:space="preserve"> </w:t>
            </w:r>
            <w:r w:rsidR="00495E31" w:rsidRPr="00E20766">
              <w:rPr>
                <w:rFonts w:asciiTheme="minorHAnsi" w:hAnsiTheme="minorHAnsi" w:cs="Calibri"/>
                <w:sz w:val="20"/>
                <w:szCs w:val="20"/>
              </w:rPr>
              <w:t>28 of Resolution XII.3, t</w:t>
            </w:r>
            <w:r w:rsidR="007B4994" w:rsidRPr="00E20766">
              <w:rPr>
                <w:rFonts w:asciiTheme="minorHAnsi" w:hAnsiTheme="minorHAnsi" w:cs="Calibri"/>
                <w:sz w:val="20"/>
                <w:szCs w:val="20"/>
              </w:rPr>
              <w:t>he M</w:t>
            </w:r>
            <w:r w:rsidR="004E2C96">
              <w:rPr>
                <w:rFonts w:asciiTheme="minorHAnsi" w:hAnsiTheme="minorHAnsi" w:cs="Calibri"/>
                <w:sz w:val="20"/>
                <w:szCs w:val="20"/>
              </w:rPr>
              <w:t>W</w:t>
            </w:r>
            <w:r w:rsidR="007B4994" w:rsidRPr="00E20766">
              <w:rPr>
                <w:rFonts w:asciiTheme="minorHAnsi" w:hAnsiTheme="minorHAnsi" w:cs="Calibri"/>
                <w:sz w:val="20"/>
                <w:szCs w:val="20"/>
              </w:rPr>
              <w:t xml:space="preserve">G </w:t>
            </w:r>
            <w:r w:rsidR="004E2C96" w:rsidRPr="00E20766">
              <w:rPr>
                <w:rFonts w:asciiTheme="minorHAnsi" w:hAnsiTheme="minorHAnsi" w:cs="Calibri"/>
                <w:sz w:val="20"/>
                <w:szCs w:val="20"/>
              </w:rPr>
              <w:t>overs</w:t>
            </w:r>
            <w:r w:rsidR="004E2C96">
              <w:rPr>
                <w:rFonts w:asciiTheme="minorHAnsi" w:hAnsiTheme="minorHAnsi" w:cs="Calibri"/>
                <w:sz w:val="20"/>
                <w:szCs w:val="20"/>
              </w:rPr>
              <w:t>ee</w:t>
            </w:r>
            <w:r w:rsidR="004E2C96" w:rsidRPr="00E20766">
              <w:rPr>
                <w:rFonts w:asciiTheme="minorHAnsi" w:hAnsiTheme="minorHAnsi" w:cs="Calibri"/>
                <w:sz w:val="20"/>
                <w:szCs w:val="20"/>
              </w:rPr>
              <w:t xml:space="preserve">s </w:t>
            </w:r>
            <w:r w:rsidR="007B4994" w:rsidRPr="00E20766">
              <w:rPr>
                <w:rFonts w:asciiTheme="minorHAnsi" w:hAnsiTheme="minorHAnsi" w:cs="Calibri"/>
                <w:sz w:val="20"/>
                <w:szCs w:val="20"/>
              </w:rPr>
              <w:t>the formulation of the Strategy.</w:t>
            </w:r>
          </w:p>
        </w:tc>
        <w:tc>
          <w:tcPr>
            <w:tcW w:w="1720" w:type="dxa"/>
          </w:tcPr>
          <w:p w14:paraId="6715F69E" w14:textId="45B2FAE7" w:rsidR="005838BD" w:rsidRPr="00E20766" w:rsidRDefault="00911AAA" w:rsidP="00E20766">
            <w:pPr>
              <w:rPr>
                <w:rFonts w:asciiTheme="minorHAnsi" w:hAnsiTheme="minorHAnsi" w:cs="Calibri"/>
                <w:sz w:val="20"/>
                <w:szCs w:val="20"/>
              </w:rPr>
            </w:pPr>
            <w:r w:rsidRPr="00E20766">
              <w:rPr>
                <w:rFonts w:asciiTheme="minorHAnsi" w:hAnsiTheme="minorHAnsi" w:cs="Calibri"/>
                <w:sz w:val="20"/>
                <w:szCs w:val="20"/>
              </w:rPr>
              <w:t>Not specified</w:t>
            </w:r>
          </w:p>
          <w:p w14:paraId="6DA27579" w14:textId="7D6C6D9E" w:rsidR="007B4994" w:rsidRPr="00E20766" w:rsidRDefault="007B4994" w:rsidP="00E20766">
            <w:pPr>
              <w:rPr>
                <w:rFonts w:asciiTheme="minorHAnsi" w:hAnsiTheme="minorHAnsi" w:cs="Calibri"/>
                <w:sz w:val="20"/>
                <w:szCs w:val="20"/>
              </w:rPr>
            </w:pPr>
          </w:p>
        </w:tc>
        <w:tc>
          <w:tcPr>
            <w:tcW w:w="1720" w:type="dxa"/>
          </w:tcPr>
          <w:p w14:paraId="523A1AB0" w14:textId="74C9625B" w:rsidR="007B4994" w:rsidRPr="00E20766" w:rsidRDefault="00247DE3" w:rsidP="00E20766">
            <w:pPr>
              <w:rPr>
                <w:rFonts w:asciiTheme="minorHAnsi" w:hAnsiTheme="minorHAnsi" w:cs="Calibri"/>
                <w:sz w:val="20"/>
                <w:szCs w:val="20"/>
              </w:rPr>
            </w:pPr>
            <w:r w:rsidRPr="00E20766">
              <w:rPr>
                <w:rFonts w:asciiTheme="minorHAnsi" w:hAnsiTheme="minorHAnsi" w:cs="Calibri"/>
                <w:sz w:val="20"/>
                <w:szCs w:val="20"/>
              </w:rPr>
              <w:t xml:space="preserve">To clarify </w:t>
            </w:r>
            <w:r w:rsidR="00981711" w:rsidRPr="00E20766">
              <w:rPr>
                <w:rFonts w:asciiTheme="minorHAnsi" w:hAnsiTheme="minorHAnsi" w:cs="Calibri"/>
                <w:sz w:val="20"/>
                <w:szCs w:val="20"/>
              </w:rPr>
              <w:t xml:space="preserve">decision, </w:t>
            </w:r>
            <w:r w:rsidRPr="00E20766">
              <w:rPr>
                <w:rFonts w:asciiTheme="minorHAnsi" w:hAnsiTheme="minorHAnsi" w:cs="Calibri"/>
                <w:sz w:val="20"/>
                <w:szCs w:val="20"/>
              </w:rPr>
              <w:t>reporting governance body and chair.</w:t>
            </w:r>
            <w:r w:rsidR="00146141">
              <w:rPr>
                <w:rFonts w:asciiTheme="minorHAnsi" w:hAnsiTheme="minorHAnsi" w:cs="Calibri"/>
                <w:sz w:val="20"/>
                <w:szCs w:val="20"/>
              </w:rPr>
              <w:t xml:space="preserve"> </w:t>
            </w:r>
          </w:p>
        </w:tc>
      </w:tr>
    </w:tbl>
    <w:p w14:paraId="23343117" w14:textId="77777777" w:rsidR="00244E71" w:rsidRPr="00813DA6" w:rsidRDefault="00244E71" w:rsidP="00563CF8">
      <w:pPr>
        <w:suppressAutoHyphens/>
        <w:rPr>
          <w:rFonts w:asciiTheme="minorHAnsi" w:hAnsiTheme="minorHAnsi"/>
          <w:sz w:val="18"/>
          <w:szCs w:val="18"/>
        </w:rPr>
      </w:pPr>
    </w:p>
    <w:sectPr w:rsidR="00244E71" w:rsidRPr="00813DA6" w:rsidSect="00B9297A">
      <w:footerReference w:type="default" r:id="rId15"/>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10B04" w14:textId="77777777" w:rsidR="009D47E2" w:rsidRDefault="009D47E2" w:rsidP="00FF697B">
      <w:r>
        <w:separator/>
      </w:r>
    </w:p>
  </w:endnote>
  <w:endnote w:type="continuationSeparator" w:id="0">
    <w:p w14:paraId="211BB2EA" w14:textId="77777777" w:rsidR="009D47E2" w:rsidRDefault="009D47E2" w:rsidP="00FF697B">
      <w:r>
        <w:continuationSeparator/>
      </w:r>
    </w:p>
  </w:endnote>
  <w:endnote w:type="continuationNotice" w:id="1">
    <w:p w14:paraId="551021CF" w14:textId="77777777" w:rsidR="009D47E2" w:rsidRDefault="009D47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C8772" w14:textId="77777777" w:rsidR="00D871C9" w:rsidRDefault="00D871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701008775"/>
      <w:docPartObj>
        <w:docPartGallery w:val="Page Numbers (Bottom of Page)"/>
        <w:docPartUnique/>
      </w:docPartObj>
    </w:sdtPr>
    <w:sdtEndPr/>
    <w:sdtContent>
      <w:p w14:paraId="20FC02BB" w14:textId="64ACD797" w:rsidR="004E0CD8" w:rsidRPr="002714E9" w:rsidRDefault="004E0CD8" w:rsidP="00625F54">
        <w:pPr>
          <w:pStyle w:val="Footer"/>
          <w:tabs>
            <w:tab w:val="clear" w:pos="9360"/>
            <w:tab w:val="right" w:pos="4680"/>
            <w:tab w:val="right" w:pos="9072"/>
          </w:tabs>
          <w:rPr>
            <w:rFonts w:asciiTheme="minorHAnsi" w:hAnsiTheme="minorHAnsi"/>
            <w:sz w:val="20"/>
            <w:szCs w:val="20"/>
          </w:rPr>
        </w:pPr>
        <w:r>
          <w:rPr>
            <w:rFonts w:asciiTheme="minorHAnsi" w:hAnsiTheme="minorHAnsi"/>
            <w:sz w:val="20"/>
            <w:szCs w:val="20"/>
          </w:rPr>
          <w:t>SC53</w:t>
        </w:r>
        <w:r w:rsidR="00B9297A">
          <w:rPr>
            <w:rFonts w:asciiTheme="minorHAnsi" w:hAnsiTheme="minorHAnsi"/>
            <w:sz w:val="20"/>
            <w:szCs w:val="20"/>
          </w:rPr>
          <w:t>-05</w:t>
        </w:r>
        <w:r>
          <w:rPr>
            <w:rFonts w:asciiTheme="minorHAnsi" w:hAnsiTheme="minorHAnsi"/>
            <w:sz w:val="20"/>
            <w:szCs w:val="20"/>
          </w:rPr>
          <w:tab/>
        </w:r>
        <w:r>
          <w:rPr>
            <w:rFonts w:asciiTheme="minorHAnsi" w:hAnsiTheme="minorHAnsi"/>
            <w:sz w:val="20"/>
            <w:szCs w:val="20"/>
          </w:rPr>
          <w:tab/>
        </w:r>
        <w:r w:rsidRPr="00625F54">
          <w:rPr>
            <w:rFonts w:asciiTheme="minorHAnsi" w:hAnsiTheme="minorHAnsi"/>
            <w:sz w:val="20"/>
            <w:szCs w:val="20"/>
          </w:rPr>
          <w:fldChar w:fldCharType="begin"/>
        </w:r>
        <w:r w:rsidRPr="00625F54">
          <w:rPr>
            <w:rFonts w:asciiTheme="minorHAnsi" w:hAnsiTheme="minorHAnsi"/>
            <w:sz w:val="20"/>
            <w:szCs w:val="20"/>
          </w:rPr>
          <w:instrText xml:space="preserve"> PAGE   \* MERGEFORMAT </w:instrText>
        </w:r>
        <w:r w:rsidRPr="00625F54">
          <w:rPr>
            <w:rFonts w:asciiTheme="minorHAnsi" w:hAnsiTheme="minorHAnsi"/>
            <w:sz w:val="20"/>
            <w:szCs w:val="20"/>
          </w:rPr>
          <w:fldChar w:fldCharType="separate"/>
        </w:r>
        <w:r w:rsidR="00B9297A">
          <w:rPr>
            <w:rFonts w:asciiTheme="minorHAnsi" w:hAnsiTheme="minorHAnsi"/>
            <w:noProof/>
            <w:sz w:val="20"/>
            <w:szCs w:val="20"/>
          </w:rPr>
          <w:t>3</w:t>
        </w:r>
        <w:r w:rsidRPr="00625F54">
          <w:rPr>
            <w:rFonts w:asciiTheme="minorHAnsi" w:hAnsiTheme="minorHAnsi"/>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0F4C0" w14:textId="77777777" w:rsidR="00D871C9" w:rsidRDefault="00D871C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413752203"/>
      <w:docPartObj>
        <w:docPartGallery w:val="Page Numbers (Bottom of Page)"/>
        <w:docPartUnique/>
      </w:docPartObj>
    </w:sdtPr>
    <w:sdtEndPr/>
    <w:sdtContent>
      <w:p w14:paraId="1D9623A6" w14:textId="77777777" w:rsidR="00B9297A" w:rsidRPr="002714E9" w:rsidRDefault="00B9297A" w:rsidP="00B9297A">
        <w:pPr>
          <w:pStyle w:val="Footer"/>
          <w:tabs>
            <w:tab w:val="clear" w:pos="9360"/>
            <w:tab w:val="right" w:pos="4680"/>
            <w:tab w:val="right" w:pos="14160"/>
          </w:tabs>
          <w:rPr>
            <w:rFonts w:asciiTheme="minorHAnsi" w:hAnsiTheme="minorHAnsi"/>
            <w:sz w:val="20"/>
            <w:szCs w:val="20"/>
          </w:rPr>
        </w:pPr>
        <w:r>
          <w:rPr>
            <w:rFonts w:asciiTheme="minorHAnsi" w:hAnsiTheme="minorHAnsi"/>
            <w:sz w:val="20"/>
            <w:szCs w:val="20"/>
          </w:rPr>
          <w:t>SC53-05</w:t>
        </w:r>
        <w:r>
          <w:rPr>
            <w:rFonts w:asciiTheme="minorHAnsi" w:hAnsiTheme="minorHAnsi"/>
            <w:sz w:val="20"/>
            <w:szCs w:val="20"/>
          </w:rPr>
          <w:tab/>
        </w:r>
        <w:r>
          <w:rPr>
            <w:rFonts w:asciiTheme="minorHAnsi" w:hAnsiTheme="minorHAnsi"/>
            <w:sz w:val="20"/>
            <w:szCs w:val="20"/>
          </w:rPr>
          <w:tab/>
        </w:r>
        <w:r w:rsidRPr="00625F54">
          <w:rPr>
            <w:rFonts w:asciiTheme="minorHAnsi" w:hAnsiTheme="minorHAnsi"/>
            <w:sz w:val="20"/>
            <w:szCs w:val="20"/>
          </w:rPr>
          <w:fldChar w:fldCharType="begin"/>
        </w:r>
        <w:r w:rsidRPr="00625F54">
          <w:rPr>
            <w:rFonts w:asciiTheme="minorHAnsi" w:hAnsiTheme="minorHAnsi"/>
            <w:sz w:val="20"/>
            <w:szCs w:val="20"/>
          </w:rPr>
          <w:instrText xml:space="preserve"> PAGE   \* MERGEFORMAT </w:instrText>
        </w:r>
        <w:r w:rsidRPr="00625F54">
          <w:rPr>
            <w:rFonts w:asciiTheme="minorHAnsi" w:hAnsiTheme="minorHAnsi"/>
            <w:sz w:val="20"/>
            <w:szCs w:val="20"/>
          </w:rPr>
          <w:fldChar w:fldCharType="separate"/>
        </w:r>
        <w:r w:rsidR="006152F5">
          <w:rPr>
            <w:rFonts w:asciiTheme="minorHAnsi" w:hAnsiTheme="minorHAnsi"/>
            <w:noProof/>
            <w:sz w:val="20"/>
            <w:szCs w:val="20"/>
          </w:rPr>
          <w:t>4</w:t>
        </w:r>
        <w:r w:rsidRPr="00625F54">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DA5F6" w14:textId="77777777" w:rsidR="009D47E2" w:rsidRDefault="009D47E2" w:rsidP="00FF697B">
      <w:r>
        <w:separator/>
      </w:r>
    </w:p>
  </w:footnote>
  <w:footnote w:type="continuationSeparator" w:id="0">
    <w:p w14:paraId="0EF091F8" w14:textId="77777777" w:rsidR="009D47E2" w:rsidRDefault="009D47E2" w:rsidP="00FF697B">
      <w:r>
        <w:continuationSeparator/>
      </w:r>
    </w:p>
  </w:footnote>
  <w:footnote w:type="continuationNotice" w:id="1">
    <w:p w14:paraId="697563C4" w14:textId="77777777" w:rsidR="009D47E2" w:rsidRDefault="009D47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03C8B" w14:textId="77777777" w:rsidR="00D871C9" w:rsidRDefault="00D871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7A491" w14:textId="77777777" w:rsidR="00D871C9" w:rsidRDefault="00D871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44568" w14:textId="77777777" w:rsidR="00D871C9" w:rsidRDefault="00D87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636"/>
    <w:multiLevelType w:val="hybridMultilevel"/>
    <w:tmpl w:val="A85070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580313A"/>
    <w:multiLevelType w:val="hybridMultilevel"/>
    <w:tmpl w:val="EE8E56A8"/>
    <w:lvl w:ilvl="0" w:tplc="6E52E126">
      <w:start w:val="1"/>
      <w:numFmt w:val="lowerRoman"/>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C4334E"/>
    <w:multiLevelType w:val="hybridMultilevel"/>
    <w:tmpl w:val="B44078A2"/>
    <w:lvl w:ilvl="0" w:tplc="658AE426">
      <w:start w:val="1"/>
      <w:numFmt w:val="decimal"/>
      <w:lvlText w:val="%1."/>
      <w:lvlJc w:val="left"/>
      <w:pPr>
        <w:ind w:left="644" w:hanging="360"/>
      </w:pPr>
      <w:rPr>
        <w:rFonts w:asciiTheme="minorHAnsi" w:hAnsiTheme="minorHAnsi" w:hint="default"/>
        <w:b w:val="0"/>
        <w:i w:val="0"/>
        <w:color w:val="auto"/>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69191A"/>
    <w:multiLevelType w:val="hybridMultilevel"/>
    <w:tmpl w:val="38208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1D351D"/>
    <w:multiLevelType w:val="hybridMultilevel"/>
    <w:tmpl w:val="93B64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9352F7"/>
    <w:multiLevelType w:val="hybridMultilevel"/>
    <w:tmpl w:val="0FFA491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82640A9"/>
    <w:multiLevelType w:val="hybridMultilevel"/>
    <w:tmpl w:val="99AE46B2"/>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7B4126"/>
    <w:multiLevelType w:val="hybridMultilevel"/>
    <w:tmpl w:val="8134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4F4D9C"/>
    <w:multiLevelType w:val="hybridMultilevel"/>
    <w:tmpl w:val="8134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BE29D2"/>
    <w:multiLevelType w:val="hybridMultilevel"/>
    <w:tmpl w:val="EBE07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6079EE"/>
    <w:multiLevelType w:val="hybridMultilevel"/>
    <w:tmpl w:val="7827268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E9D24C1"/>
    <w:multiLevelType w:val="hybridMultilevel"/>
    <w:tmpl w:val="66A421E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
  </w:num>
  <w:num w:numId="3">
    <w:abstractNumId w:val="10"/>
  </w:num>
  <w:num w:numId="4">
    <w:abstractNumId w:val="4"/>
  </w:num>
  <w:num w:numId="5">
    <w:abstractNumId w:val="9"/>
  </w:num>
  <w:num w:numId="6">
    <w:abstractNumId w:val="3"/>
  </w:num>
  <w:num w:numId="7">
    <w:abstractNumId w:val="8"/>
  </w:num>
  <w:num w:numId="8">
    <w:abstractNumId w:val="7"/>
  </w:num>
  <w:num w:numId="9">
    <w:abstractNumId w:val="6"/>
  </w:num>
  <w:num w:numId="10">
    <w:abstractNumId w:val="0"/>
  </w:num>
  <w:num w:numId="11">
    <w:abstractNumId w:val="11"/>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drawingGridHorizontalSpacing w:val="12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B1"/>
    <w:rsid w:val="00004350"/>
    <w:rsid w:val="000119F7"/>
    <w:rsid w:val="00015F2A"/>
    <w:rsid w:val="0002346E"/>
    <w:rsid w:val="00032C51"/>
    <w:rsid w:val="00033522"/>
    <w:rsid w:val="00034FCE"/>
    <w:rsid w:val="00041AFD"/>
    <w:rsid w:val="0004706C"/>
    <w:rsid w:val="00051CDC"/>
    <w:rsid w:val="0005674C"/>
    <w:rsid w:val="00056F13"/>
    <w:rsid w:val="00057770"/>
    <w:rsid w:val="0007167A"/>
    <w:rsid w:val="000728A7"/>
    <w:rsid w:val="00073599"/>
    <w:rsid w:val="00073D03"/>
    <w:rsid w:val="000748DD"/>
    <w:rsid w:val="00075C79"/>
    <w:rsid w:val="0007671F"/>
    <w:rsid w:val="000776D5"/>
    <w:rsid w:val="00080B42"/>
    <w:rsid w:val="000815CF"/>
    <w:rsid w:val="00081961"/>
    <w:rsid w:val="0008587D"/>
    <w:rsid w:val="00085F0B"/>
    <w:rsid w:val="00092540"/>
    <w:rsid w:val="00094BDE"/>
    <w:rsid w:val="00095D96"/>
    <w:rsid w:val="00097A4D"/>
    <w:rsid w:val="000A170F"/>
    <w:rsid w:val="000A5223"/>
    <w:rsid w:val="000A6728"/>
    <w:rsid w:val="000A6883"/>
    <w:rsid w:val="000A6DBA"/>
    <w:rsid w:val="000B3C8C"/>
    <w:rsid w:val="000B4FCC"/>
    <w:rsid w:val="000B6927"/>
    <w:rsid w:val="000B76D5"/>
    <w:rsid w:val="000C15BC"/>
    <w:rsid w:val="000C3675"/>
    <w:rsid w:val="000C3A4A"/>
    <w:rsid w:val="000C47C6"/>
    <w:rsid w:val="000C7803"/>
    <w:rsid w:val="000D7DA1"/>
    <w:rsid w:val="000E0050"/>
    <w:rsid w:val="000E0DD8"/>
    <w:rsid w:val="000E19EC"/>
    <w:rsid w:val="000F1D6E"/>
    <w:rsid w:val="001006BE"/>
    <w:rsid w:val="00100888"/>
    <w:rsid w:val="00104BBE"/>
    <w:rsid w:val="0010584A"/>
    <w:rsid w:val="0011563D"/>
    <w:rsid w:val="00117941"/>
    <w:rsid w:val="00122CC8"/>
    <w:rsid w:val="001233DE"/>
    <w:rsid w:val="001265E0"/>
    <w:rsid w:val="001306F4"/>
    <w:rsid w:val="0013075D"/>
    <w:rsid w:val="001348B6"/>
    <w:rsid w:val="0013737A"/>
    <w:rsid w:val="00141D72"/>
    <w:rsid w:val="00141F99"/>
    <w:rsid w:val="00144A9F"/>
    <w:rsid w:val="00145C49"/>
    <w:rsid w:val="00146141"/>
    <w:rsid w:val="001468BD"/>
    <w:rsid w:val="00146F43"/>
    <w:rsid w:val="001507BD"/>
    <w:rsid w:val="0016067D"/>
    <w:rsid w:val="00171D5D"/>
    <w:rsid w:val="00172DDC"/>
    <w:rsid w:val="0017359A"/>
    <w:rsid w:val="00174630"/>
    <w:rsid w:val="00175E9A"/>
    <w:rsid w:val="001803EE"/>
    <w:rsid w:val="0018143E"/>
    <w:rsid w:val="00183139"/>
    <w:rsid w:val="001831FF"/>
    <w:rsid w:val="00183A30"/>
    <w:rsid w:val="00185A44"/>
    <w:rsid w:val="001914E0"/>
    <w:rsid w:val="00191F11"/>
    <w:rsid w:val="00193512"/>
    <w:rsid w:val="00193B67"/>
    <w:rsid w:val="001956F9"/>
    <w:rsid w:val="00196C03"/>
    <w:rsid w:val="001A0160"/>
    <w:rsid w:val="001A0A50"/>
    <w:rsid w:val="001A6258"/>
    <w:rsid w:val="001A6E77"/>
    <w:rsid w:val="001B1570"/>
    <w:rsid w:val="001B361B"/>
    <w:rsid w:val="001B3DFA"/>
    <w:rsid w:val="001C02DA"/>
    <w:rsid w:val="001C3563"/>
    <w:rsid w:val="001C64CD"/>
    <w:rsid w:val="001C7254"/>
    <w:rsid w:val="001D0F43"/>
    <w:rsid w:val="001D265C"/>
    <w:rsid w:val="001D267A"/>
    <w:rsid w:val="001D2EF9"/>
    <w:rsid w:val="001D4A5C"/>
    <w:rsid w:val="001E3547"/>
    <w:rsid w:val="001E4E55"/>
    <w:rsid w:val="001F068E"/>
    <w:rsid w:val="001F0EA9"/>
    <w:rsid w:val="001F1FBB"/>
    <w:rsid w:val="001F2436"/>
    <w:rsid w:val="001F29E8"/>
    <w:rsid w:val="00211058"/>
    <w:rsid w:val="00212D24"/>
    <w:rsid w:val="00216AE2"/>
    <w:rsid w:val="00217039"/>
    <w:rsid w:val="00231D2A"/>
    <w:rsid w:val="0023407E"/>
    <w:rsid w:val="00242766"/>
    <w:rsid w:val="00243645"/>
    <w:rsid w:val="002447E7"/>
    <w:rsid w:val="00244E71"/>
    <w:rsid w:val="00246DD0"/>
    <w:rsid w:val="00247DE3"/>
    <w:rsid w:val="002514F1"/>
    <w:rsid w:val="00254868"/>
    <w:rsid w:val="00262074"/>
    <w:rsid w:val="002646FA"/>
    <w:rsid w:val="00265BF4"/>
    <w:rsid w:val="002660B1"/>
    <w:rsid w:val="002714E9"/>
    <w:rsid w:val="00274F38"/>
    <w:rsid w:val="002835A3"/>
    <w:rsid w:val="00285528"/>
    <w:rsid w:val="002934B0"/>
    <w:rsid w:val="002953F3"/>
    <w:rsid w:val="002A0507"/>
    <w:rsid w:val="002A65F4"/>
    <w:rsid w:val="002A68B2"/>
    <w:rsid w:val="002A6CCF"/>
    <w:rsid w:val="002A7106"/>
    <w:rsid w:val="002B1E27"/>
    <w:rsid w:val="002B2567"/>
    <w:rsid w:val="002B42B8"/>
    <w:rsid w:val="002B4F2F"/>
    <w:rsid w:val="002B7D26"/>
    <w:rsid w:val="002C0479"/>
    <w:rsid w:val="002C0555"/>
    <w:rsid w:val="002C1151"/>
    <w:rsid w:val="002C2BC7"/>
    <w:rsid w:val="002C478C"/>
    <w:rsid w:val="002C537A"/>
    <w:rsid w:val="002D26A3"/>
    <w:rsid w:val="002D6856"/>
    <w:rsid w:val="002E0642"/>
    <w:rsid w:val="002E59C8"/>
    <w:rsid w:val="002E5D19"/>
    <w:rsid w:val="002E64DF"/>
    <w:rsid w:val="002F21B9"/>
    <w:rsid w:val="002F505B"/>
    <w:rsid w:val="002F58A7"/>
    <w:rsid w:val="002F7CA7"/>
    <w:rsid w:val="00304E57"/>
    <w:rsid w:val="003104DC"/>
    <w:rsid w:val="00322024"/>
    <w:rsid w:val="0032502F"/>
    <w:rsid w:val="00325679"/>
    <w:rsid w:val="00325BA9"/>
    <w:rsid w:val="00326F22"/>
    <w:rsid w:val="003320A7"/>
    <w:rsid w:val="00337C92"/>
    <w:rsid w:val="003417FD"/>
    <w:rsid w:val="00363972"/>
    <w:rsid w:val="00367C42"/>
    <w:rsid w:val="003730B7"/>
    <w:rsid w:val="003733E1"/>
    <w:rsid w:val="00376063"/>
    <w:rsid w:val="00376DDC"/>
    <w:rsid w:val="00382E89"/>
    <w:rsid w:val="0038769A"/>
    <w:rsid w:val="00390253"/>
    <w:rsid w:val="003915FB"/>
    <w:rsid w:val="00391C56"/>
    <w:rsid w:val="00392B8E"/>
    <w:rsid w:val="00392E1D"/>
    <w:rsid w:val="003A2BC9"/>
    <w:rsid w:val="003A5B45"/>
    <w:rsid w:val="003B050A"/>
    <w:rsid w:val="003B253B"/>
    <w:rsid w:val="003B5014"/>
    <w:rsid w:val="003B51DE"/>
    <w:rsid w:val="003C074A"/>
    <w:rsid w:val="003C128F"/>
    <w:rsid w:val="003C20FF"/>
    <w:rsid w:val="003C36FA"/>
    <w:rsid w:val="003C6A54"/>
    <w:rsid w:val="003E0E4E"/>
    <w:rsid w:val="003E11F9"/>
    <w:rsid w:val="003F2F88"/>
    <w:rsid w:val="003F7B34"/>
    <w:rsid w:val="004001F8"/>
    <w:rsid w:val="00400BE4"/>
    <w:rsid w:val="004070EF"/>
    <w:rsid w:val="00407F93"/>
    <w:rsid w:val="00412E08"/>
    <w:rsid w:val="004203DA"/>
    <w:rsid w:val="00420519"/>
    <w:rsid w:val="00421F7B"/>
    <w:rsid w:val="00423D8B"/>
    <w:rsid w:val="0042527E"/>
    <w:rsid w:val="0043117A"/>
    <w:rsid w:val="00434554"/>
    <w:rsid w:val="00437D89"/>
    <w:rsid w:val="0044134E"/>
    <w:rsid w:val="00442734"/>
    <w:rsid w:val="004427DB"/>
    <w:rsid w:val="00443268"/>
    <w:rsid w:val="0044637F"/>
    <w:rsid w:val="00446641"/>
    <w:rsid w:val="0045375E"/>
    <w:rsid w:val="00454E40"/>
    <w:rsid w:val="00456306"/>
    <w:rsid w:val="004579A4"/>
    <w:rsid w:val="00457E6A"/>
    <w:rsid w:val="004611F7"/>
    <w:rsid w:val="00462967"/>
    <w:rsid w:val="00463DC1"/>
    <w:rsid w:val="00465FD0"/>
    <w:rsid w:val="0046748E"/>
    <w:rsid w:val="00471F03"/>
    <w:rsid w:val="004731DE"/>
    <w:rsid w:val="004819CC"/>
    <w:rsid w:val="00482DC9"/>
    <w:rsid w:val="00486CC9"/>
    <w:rsid w:val="00487333"/>
    <w:rsid w:val="00487F19"/>
    <w:rsid w:val="00492C73"/>
    <w:rsid w:val="00495E31"/>
    <w:rsid w:val="004A08F0"/>
    <w:rsid w:val="004A7FDB"/>
    <w:rsid w:val="004B4F43"/>
    <w:rsid w:val="004B5F26"/>
    <w:rsid w:val="004C3C9F"/>
    <w:rsid w:val="004C7A23"/>
    <w:rsid w:val="004D7848"/>
    <w:rsid w:val="004E0CD8"/>
    <w:rsid w:val="004E1F6C"/>
    <w:rsid w:val="004E2C96"/>
    <w:rsid w:val="004E6521"/>
    <w:rsid w:val="004F034D"/>
    <w:rsid w:val="004F104E"/>
    <w:rsid w:val="004F5DCB"/>
    <w:rsid w:val="004F5DCD"/>
    <w:rsid w:val="004F6B70"/>
    <w:rsid w:val="004F6FD2"/>
    <w:rsid w:val="00500752"/>
    <w:rsid w:val="00504F5D"/>
    <w:rsid w:val="005115F2"/>
    <w:rsid w:val="00513CCC"/>
    <w:rsid w:val="005153CF"/>
    <w:rsid w:val="005243E7"/>
    <w:rsid w:val="005312F9"/>
    <w:rsid w:val="00531CEE"/>
    <w:rsid w:val="00532FA8"/>
    <w:rsid w:val="00533213"/>
    <w:rsid w:val="00534542"/>
    <w:rsid w:val="00536004"/>
    <w:rsid w:val="00536ED0"/>
    <w:rsid w:val="0053736B"/>
    <w:rsid w:val="005412DB"/>
    <w:rsid w:val="005438B3"/>
    <w:rsid w:val="00545DA3"/>
    <w:rsid w:val="00546397"/>
    <w:rsid w:val="005502D2"/>
    <w:rsid w:val="005518CD"/>
    <w:rsid w:val="005522A4"/>
    <w:rsid w:val="005526B6"/>
    <w:rsid w:val="00552FAB"/>
    <w:rsid w:val="005537B6"/>
    <w:rsid w:val="005630B6"/>
    <w:rsid w:val="00563CF8"/>
    <w:rsid w:val="005667AA"/>
    <w:rsid w:val="00567CD8"/>
    <w:rsid w:val="005754A8"/>
    <w:rsid w:val="0057681F"/>
    <w:rsid w:val="00581EC3"/>
    <w:rsid w:val="00582948"/>
    <w:rsid w:val="005838BD"/>
    <w:rsid w:val="00587498"/>
    <w:rsid w:val="005904C0"/>
    <w:rsid w:val="00590622"/>
    <w:rsid w:val="00592107"/>
    <w:rsid w:val="00593665"/>
    <w:rsid w:val="00593699"/>
    <w:rsid w:val="00596A96"/>
    <w:rsid w:val="005A267F"/>
    <w:rsid w:val="005A4493"/>
    <w:rsid w:val="005A592B"/>
    <w:rsid w:val="005B3EE4"/>
    <w:rsid w:val="005B581C"/>
    <w:rsid w:val="005B769D"/>
    <w:rsid w:val="005C02C7"/>
    <w:rsid w:val="005C1CE1"/>
    <w:rsid w:val="005C70BC"/>
    <w:rsid w:val="005C7FC8"/>
    <w:rsid w:val="005D2A79"/>
    <w:rsid w:val="005D5FFC"/>
    <w:rsid w:val="005D6089"/>
    <w:rsid w:val="005D7F8A"/>
    <w:rsid w:val="005E00E0"/>
    <w:rsid w:val="005E0D1B"/>
    <w:rsid w:val="005E0FAD"/>
    <w:rsid w:val="005E2530"/>
    <w:rsid w:val="005E538D"/>
    <w:rsid w:val="005F12F2"/>
    <w:rsid w:val="005F3A91"/>
    <w:rsid w:val="005F4ABE"/>
    <w:rsid w:val="00603A2B"/>
    <w:rsid w:val="006049C2"/>
    <w:rsid w:val="006152F5"/>
    <w:rsid w:val="00615300"/>
    <w:rsid w:val="00617BD2"/>
    <w:rsid w:val="00623BD2"/>
    <w:rsid w:val="00625F54"/>
    <w:rsid w:val="00631532"/>
    <w:rsid w:val="006368E9"/>
    <w:rsid w:val="00636CC5"/>
    <w:rsid w:val="00636D94"/>
    <w:rsid w:val="006422BC"/>
    <w:rsid w:val="00643BB9"/>
    <w:rsid w:val="0064410B"/>
    <w:rsid w:val="0064540F"/>
    <w:rsid w:val="00645412"/>
    <w:rsid w:val="00645924"/>
    <w:rsid w:val="00645FEF"/>
    <w:rsid w:val="0064751D"/>
    <w:rsid w:val="00651E2D"/>
    <w:rsid w:val="00657000"/>
    <w:rsid w:val="006654EC"/>
    <w:rsid w:val="00667F55"/>
    <w:rsid w:val="00670B70"/>
    <w:rsid w:val="00680A3C"/>
    <w:rsid w:val="00680D7D"/>
    <w:rsid w:val="006820B0"/>
    <w:rsid w:val="00685DA0"/>
    <w:rsid w:val="00686C81"/>
    <w:rsid w:val="00690773"/>
    <w:rsid w:val="00694AC4"/>
    <w:rsid w:val="006961B7"/>
    <w:rsid w:val="006A2B9F"/>
    <w:rsid w:val="006A36AA"/>
    <w:rsid w:val="006A4A76"/>
    <w:rsid w:val="006A724E"/>
    <w:rsid w:val="006B4781"/>
    <w:rsid w:val="006B4949"/>
    <w:rsid w:val="006B6339"/>
    <w:rsid w:val="006C1FDB"/>
    <w:rsid w:val="006C36BC"/>
    <w:rsid w:val="006D0C5F"/>
    <w:rsid w:val="006D12B3"/>
    <w:rsid w:val="006D33A4"/>
    <w:rsid w:val="006D389E"/>
    <w:rsid w:val="006D5AC9"/>
    <w:rsid w:val="006E1600"/>
    <w:rsid w:val="006E19DD"/>
    <w:rsid w:val="006E2CDC"/>
    <w:rsid w:val="006E3610"/>
    <w:rsid w:val="006E38B1"/>
    <w:rsid w:val="006E4B1A"/>
    <w:rsid w:val="006F04B1"/>
    <w:rsid w:val="006F4786"/>
    <w:rsid w:val="006F4CCD"/>
    <w:rsid w:val="006F5379"/>
    <w:rsid w:val="00703BEF"/>
    <w:rsid w:val="00704C4D"/>
    <w:rsid w:val="007052DF"/>
    <w:rsid w:val="007055B0"/>
    <w:rsid w:val="00716442"/>
    <w:rsid w:val="00720D5C"/>
    <w:rsid w:val="00722BC8"/>
    <w:rsid w:val="0073065B"/>
    <w:rsid w:val="00731FC5"/>
    <w:rsid w:val="00735D60"/>
    <w:rsid w:val="00737877"/>
    <w:rsid w:val="0074053A"/>
    <w:rsid w:val="00741944"/>
    <w:rsid w:val="00742373"/>
    <w:rsid w:val="007426F1"/>
    <w:rsid w:val="00745CBE"/>
    <w:rsid w:val="00750840"/>
    <w:rsid w:val="00753168"/>
    <w:rsid w:val="00753404"/>
    <w:rsid w:val="00756469"/>
    <w:rsid w:val="00760D4B"/>
    <w:rsid w:val="007613B5"/>
    <w:rsid w:val="00764684"/>
    <w:rsid w:val="00764973"/>
    <w:rsid w:val="0076512D"/>
    <w:rsid w:val="0077081D"/>
    <w:rsid w:val="00771876"/>
    <w:rsid w:val="00773FB7"/>
    <w:rsid w:val="00776D8F"/>
    <w:rsid w:val="00776F3B"/>
    <w:rsid w:val="00782506"/>
    <w:rsid w:val="007831BE"/>
    <w:rsid w:val="00783246"/>
    <w:rsid w:val="00784154"/>
    <w:rsid w:val="00787545"/>
    <w:rsid w:val="007A05E9"/>
    <w:rsid w:val="007A16D7"/>
    <w:rsid w:val="007A3EF1"/>
    <w:rsid w:val="007A5606"/>
    <w:rsid w:val="007A738C"/>
    <w:rsid w:val="007B419C"/>
    <w:rsid w:val="007B4994"/>
    <w:rsid w:val="007B5B10"/>
    <w:rsid w:val="007B692D"/>
    <w:rsid w:val="007C49A8"/>
    <w:rsid w:val="007D5BF8"/>
    <w:rsid w:val="007E03FB"/>
    <w:rsid w:val="007E615D"/>
    <w:rsid w:val="007E7B4D"/>
    <w:rsid w:val="007F1AB7"/>
    <w:rsid w:val="007F1BF9"/>
    <w:rsid w:val="007F1E7B"/>
    <w:rsid w:val="007F38E9"/>
    <w:rsid w:val="007F4615"/>
    <w:rsid w:val="00800505"/>
    <w:rsid w:val="00801904"/>
    <w:rsid w:val="0080211B"/>
    <w:rsid w:val="008027BB"/>
    <w:rsid w:val="00803E9B"/>
    <w:rsid w:val="00806209"/>
    <w:rsid w:val="00806CA6"/>
    <w:rsid w:val="00810F0C"/>
    <w:rsid w:val="00811449"/>
    <w:rsid w:val="00812CC5"/>
    <w:rsid w:val="00813DA6"/>
    <w:rsid w:val="00814BA2"/>
    <w:rsid w:val="008172B2"/>
    <w:rsid w:val="008200FA"/>
    <w:rsid w:val="00820D69"/>
    <w:rsid w:val="0082293C"/>
    <w:rsid w:val="00823213"/>
    <w:rsid w:val="0082444A"/>
    <w:rsid w:val="00836DCB"/>
    <w:rsid w:val="00837832"/>
    <w:rsid w:val="00850079"/>
    <w:rsid w:val="008509E3"/>
    <w:rsid w:val="00855588"/>
    <w:rsid w:val="008629FB"/>
    <w:rsid w:val="00863BE9"/>
    <w:rsid w:val="00863FEF"/>
    <w:rsid w:val="00865127"/>
    <w:rsid w:val="0086792D"/>
    <w:rsid w:val="00870DDD"/>
    <w:rsid w:val="00870DF6"/>
    <w:rsid w:val="008723F0"/>
    <w:rsid w:val="00872A6F"/>
    <w:rsid w:val="00872CE0"/>
    <w:rsid w:val="00873D23"/>
    <w:rsid w:val="008769EA"/>
    <w:rsid w:val="0088145B"/>
    <w:rsid w:val="0088481D"/>
    <w:rsid w:val="0089077E"/>
    <w:rsid w:val="00892E1A"/>
    <w:rsid w:val="008932A5"/>
    <w:rsid w:val="0089526A"/>
    <w:rsid w:val="008955B9"/>
    <w:rsid w:val="00896DF7"/>
    <w:rsid w:val="008A0E5B"/>
    <w:rsid w:val="008A43C7"/>
    <w:rsid w:val="008A464B"/>
    <w:rsid w:val="008A6402"/>
    <w:rsid w:val="008A769A"/>
    <w:rsid w:val="008B2CBB"/>
    <w:rsid w:val="008B4E4C"/>
    <w:rsid w:val="008C0144"/>
    <w:rsid w:val="008C29EC"/>
    <w:rsid w:val="008C3FD1"/>
    <w:rsid w:val="008C445B"/>
    <w:rsid w:val="008C67E5"/>
    <w:rsid w:val="008D04F3"/>
    <w:rsid w:val="008D14FE"/>
    <w:rsid w:val="008D470C"/>
    <w:rsid w:val="008E03AA"/>
    <w:rsid w:val="008E23DC"/>
    <w:rsid w:val="008E4ED0"/>
    <w:rsid w:val="008E7A2A"/>
    <w:rsid w:val="008F3B32"/>
    <w:rsid w:val="00903C8E"/>
    <w:rsid w:val="00910240"/>
    <w:rsid w:val="00911AAA"/>
    <w:rsid w:val="00912820"/>
    <w:rsid w:val="00914400"/>
    <w:rsid w:val="00914AF8"/>
    <w:rsid w:val="009157D4"/>
    <w:rsid w:val="0092099E"/>
    <w:rsid w:val="00920D91"/>
    <w:rsid w:val="009211DF"/>
    <w:rsid w:val="00936945"/>
    <w:rsid w:val="00941D6F"/>
    <w:rsid w:val="009425E7"/>
    <w:rsid w:val="00942EE2"/>
    <w:rsid w:val="00943702"/>
    <w:rsid w:val="00947491"/>
    <w:rsid w:val="00952C58"/>
    <w:rsid w:val="00954E10"/>
    <w:rsid w:val="00955DFF"/>
    <w:rsid w:val="00972799"/>
    <w:rsid w:val="00973329"/>
    <w:rsid w:val="009752E1"/>
    <w:rsid w:val="009759C0"/>
    <w:rsid w:val="0097684F"/>
    <w:rsid w:val="00976B46"/>
    <w:rsid w:val="00981711"/>
    <w:rsid w:val="00981796"/>
    <w:rsid w:val="00981D93"/>
    <w:rsid w:val="00991227"/>
    <w:rsid w:val="0099484B"/>
    <w:rsid w:val="009A0B35"/>
    <w:rsid w:val="009A2101"/>
    <w:rsid w:val="009A2D41"/>
    <w:rsid w:val="009A668D"/>
    <w:rsid w:val="009A7755"/>
    <w:rsid w:val="009B3198"/>
    <w:rsid w:val="009B4F2B"/>
    <w:rsid w:val="009B71D3"/>
    <w:rsid w:val="009C09A7"/>
    <w:rsid w:val="009C1E1B"/>
    <w:rsid w:val="009C69F8"/>
    <w:rsid w:val="009C7F65"/>
    <w:rsid w:val="009D1357"/>
    <w:rsid w:val="009D1E33"/>
    <w:rsid w:val="009D4081"/>
    <w:rsid w:val="009D47E2"/>
    <w:rsid w:val="009D7EE2"/>
    <w:rsid w:val="009E19DD"/>
    <w:rsid w:val="009E6DDA"/>
    <w:rsid w:val="009F1038"/>
    <w:rsid w:val="009F1447"/>
    <w:rsid w:val="00A00944"/>
    <w:rsid w:val="00A00B62"/>
    <w:rsid w:val="00A018CD"/>
    <w:rsid w:val="00A01A17"/>
    <w:rsid w:val="00A01B45"/>
    <w:rsid w:val="00A02F36"/>
    <w:rsid w:val="00A07D4F"/>
    <w:rsid w:val="00A10C01"/>
    <w:rsid w:val="00A10F51"/>
    <w:rsid w:val="00A12993"/>
    <w:rsid w:val="00A14906"/>
    <w:rsid w:val="00A14923"/>
    <w:rsid w:val="00A158A4"/>
    <w:rsid w:val="00A16812"/>
    <w:rsid w:val="00A16BDF"/>
    <w:rsid w:val="00A20CDC"/>
    <w:rsid w:val="00A222EB"/>
    <w:rsid w:val="00A228B2"/>
    <w:rsid w:val="00A2395F"/>
    <w:rsid w:val="00A24E40"/>
    <w:rsid w:val="00A26D43"/>
    <w:rsid w:val="00A36B41"/>
    <w:rsid w:val="00A40160"/>
    <w:rsid w:val="00A4205E"/>
    <w:rsid w:val="00A43C7D"/>
    <w:rsid w:val="00A4645C"/>
    <w:rsid w:val="00A46E45"/>
    <w:rsid w:val="00A5114A"/>
    <w:rsid w:val="00A55093"/>
    <w:rsid w:val="00A563CD"/>
    <w:rsid w:val="00A607D3"/>
    <w:rsid w:val="00A6690C"/>
    <w:rsid w:val="00A7329C"/>
    <w:rsid w:val="00A73C2D"/>
    <w:rsid w:val="00A75EFE"/>
    <w:rsid w:val="00A8161A"/>
    <w:rsid w:val="00A8614B"/>
    <w:rsid w:val="00AA0B82"/>
    <w:rsid w:val="00AA5FEC"/>
    <w:rsid w:val="00AB28A1"/>
    <w:rsid w:val="00AB2BA1"/>
    <w:rsid w:val="00AB2DFF"/>
    <w:rsid w:val="00AB7590"/>
    <w:rsid w:val="00AC06C2"/>
    <w:rsid w:val="00AC384B"/>
    <w:rsid w:val="00AC669A"/>
    <w:rsid w:val="00AD39A4"/>
    <w:rsid w:val="00AD7171"/>
    <w:rsid w:val="00AE05E7"/>
    <w:rsid w:val="00AE1D94"/>
    <w:rsid w:val="00AE6962"/>
    <w:rsid w:val="00AE7072"/>
    <w:rsid w:val="00AF0D7B"/>
    <w:rsid w:val="00AF1FC8"/>
    <w:rsid w:val="00AF2442"/>
    <w:rsid w:val="00AF391D"/>
    <w:rsid w:val="00AF63F3"/>
    <w:rsid w:val="00B03698"/>
    <w:rsid w:val="00B10B09"/>
    <w:rsid w:val="00B12264"/>
    <w:rsid w:val="00B12E52"/>
    <w:rsid w:val="00B14168"/>
    <w:rsid w:val="00B16646"/>
    <w:rsid w:val="00B16D3E"/>
    <w:rsid w:val="00B17166"/>
    <w:rsid w:val="00B30085"/>
    <w:rsid w:val="00B30197"/>
    <w:rsid w:val="00B31BC1"/>
    <w:rsid w:val="00B446EE"/>
    <w:rsid w:val="00B447BA"/>
    <w:rsid w:val="00B4614C"/>
    <w:rsid w:val="00B46AF5"/>
    <w:rsid w:val="00B510E2"/>
    <w:rsid w:val="00B5216F"/>
    <w:rsid w:val="00B567D8"/>
    <w:rsid w:val="00B60399"/>
    <w:rsid w:val="00B67E47"/>
    <w:rsid w:val="00B800FF"/>
    <w:rsid w:val="00B80AB7"/>
    <w:rsid w:val="00B8299F"/>
    <w:rsid w:val="00B8388D"/>
    <w:rsid w:val="00B9297A"/>
    <w:rsid w:val="00B94F41"/>
    <w:rsid w:val="00B95C2C"/>
    <w:rsid w:val="00B96189"/>
    <w:rsid w:val="00BA03F1"/>
    <w:rsid w:val="00BA1F7B"/>
    <w:rsid w:val="00BA2127"/>
    <w:rsid w:val="00BA308D"/>
    <w:rsid w:val="00BA4D61"/>
    <w:rsid w:val="00BA4E8B"/>
    <w:rsid w:val="00BA510D"/>
    <w:rsid w:val="00BA67EE"/>
    <w:rsid w:val="00BA6D1A"/>
    <w:rsid w:val="00BA70B5"/>
    <w:rsid w:val="00BA7332"/>
    <w:rsid w:val="00BB14C9"/>
    <w:rsid w:val="00BB6DC1"/>
    <w:rsid w:val="00BC18F9"/>
    <w:rsid w:val="00BC245F"/>
    <w:rsid w:val="00BC2BF9"/>
    <w:rsid w:val="00BC407D"/>
    <w:rsid w:val="00BC621C"/>
    <w:rsid w:val="00BC63FB"/>
    <w:rsid w:val="00BD0330"/>
    <w:rsid w:val="00BD5EA5"/>
    <w:rsid w:val="00BE3602"/>
    <w:rsid w:val="00BE5EAD"/>
    <w:rsid w:val="00BF2E81"/>
    <w:rsid w:val="00BF3184"/>
    <w:rsid w:val="00C00899"/>
    <w:rsid w:val="00C012D2"/>
    <w:rsid w:val="00C05B75"/>
    <w:rsid w:val="00C064B7"/>
    <w:rsid w:val="00C1437F"/>
    <w:rsid w:val="00C14551"/>
    <w:rsid w:val="00C1707F"/>
    <w:rsid w:val="00C17766"/>
    <w:rsid w:val="00C22296"/>
    <w:rsid w:val="00C305AC"/>
    <w:rsid w:val="00C34775"/>
    <w:rsid w:val="00C41585"/>
    <w:rsid w:val="00C442D4"/>
    <w:rsid w:val="00C45363"/>
    <w:rsid w:val="00C4689B"/>
    <w:rsid w:val="00C479C6"/>
    <w:rsid w:val="00C510D7"/>
    <w:rsid w:val="00C53DB5"/>
    <w:rsid w:val="00C545EA"/>
    <w:rsid w:val="00C552A9"/>
    <w:rsid w:val="00C55392"/>
    <w:rsid w:val="00C57997"/>
    <w:rsid w:val="00C606CD"/>
    <w:rsid w:val="00C7225E"/>
    <w:rsid w:val="00C73EC1"/>
    <w:rsid w:val="00C74B34"/>
    <w:rsid w:val="00C770A9"/>
    <w:rsid w:val="00C80D1A"/>
    <w:rsid w:val="00C81BEE"/>
    <w:rsid w:val="00C85DD9"/>
    <w:rsid w:val="00C863DD"/>
    <w:rsid w:val="00C87814"/>
    <w:rsid w:val="00C90A2F"/>
    <w:rsid w:val="00C92309"/>
    <w:rsid w:val="00C931F7"/>
    <w:rsid w:val="00C960C1"/>
    <w:rsid w:val="00CA08AF"/>
    <w:rsid w:val="00CA36DC"/>
    <w:rsid w:val="00CA6667"/>
    <w:rsid w:val="00CA789B"/>
    <w:rsid w:val="00CB4059"/>
    <w:rsid w:val="00CB4D8B"/>
    <w:rsid w:val="00CC018D"/>
    <w:rsid w:val="00CC025E"/>
    <w:rsid w:val="00CC52A6"/>
    <w:rsid w:val="00CD109C"/>
    <w:rsid w:val="00CD15CB"/>
    <w:rsid w:val="00CD26B4"/>
    <w:rsid w:val="00CD4CAA"/>
    <w:rsid w:val="00CD58C0"/>
    <w:rsid w:val="00CD6281"/>
    <w:rsid w:val="00CE06B5"/>
    <w:rsid w:val="00CE31CC"/>
    <w:rsid w:val="00CF5500"/>
    <w:rsid w:val="00D0074C"/>
    <w:rsid w:val="00D0389E"/>
    <w:rsid w:val="00D12244"/>
    <w:rsid w:val="00D12798"/>
    <w:rsid w:val="00D21621"/>
    <w:rsid w:val="00D252C7"/>
    <w:rsid w:val="00D25BCE"/>
    <w:rsid w:val="00D3141D"/>
    <w:rsid w:val="00D33954"/>
    <w:rsid w:val="00D34BA0"/>
    <w:rsid w:val="00D36866"/>
    <w:rsid w:val="00D416FB"/>
    <w:rsid w:val="00D46554"/>
    <w:rsid w:val="00D55DD9"/>
    <w:rsid w:val="00D56300"/>
    <w:rsid w:val="00D56426"/>
    <w:rsid w:val="00D65945"/>
    <w:rsid w:val="00D71366"/>
    <w:rsid w:val="00D75281"/>
    <w:rsid w:val="00D76D82"/>
    <w:rsid w:val="00D77595"/>
    <w:rsid w:val="00D8166D"/>
    <w:rsid w:val="00D871C9"/>
    <w:rsid w:val="00D91024"/>
    <w:rsid w:val="00D94A4D"/>
    <w:rsid w:val="00D94C75"/>
    <w:rsid w:val="00DA0157"/>
    <w:rsid w:val="00DA1AD8"/>
    <w:rsid w:val="00DB702C"/>
    <w:rsid w:val="00DB7432"/>
    <w:rsid w:val="00DB7D67"/>
    <w:rsid w:val="00DC15A2"/>
    <w:rsid w:val="00DC3C16"/>
    <w:rsid w:val="00DC4D8F"/>
    <w:rsid w:val="00DC50A0"/>
    <w:rsid w:val="00DC7754"/>
    <w:rsid w:val="00DD41D5"/>
    <w:rsid w:val="00DE135D"/>
    <w:rsid w:val="00DE297C"/>
    <w:rsid w:val="00DE3F16"/>
    <w:rsid w:val="00DE6164"/>
    <w:rsid w:val="00DE78E0"/>
    <w:rsid w:val="00DF047C"/>
    <w:rsid w:val="00DF0CB9"/>
    <w:rsid w:val="00DF1E83"/>
    <w:rsid w:val="00DF5AF4"/>
    <w:rsid w:val="00E0080D"/>
    <w:rsid w:val="00E02743"/>
    <w:rsid w:val="00E039B7"/>
    <w:rsid w:val="00E060D7"/>
    <w:rsid w:val="00E06543"/>
    <w:rsid w:val="00E077BC"/>
    <w:rsid w:val="00E07C6E"/>
    <w:rsid w:val="00E10258"/>
    <w:rsid w:val="00E16206"/>
    <w:rsid w:val="00E1787A"/>
    <w:rsid w:val="00E20766"/>
    <w:rsid w:val="00E26DD6"/>
    <w:rsid w:val="00E3356A"/>
    <w:rsid w:val="00E4187D"/>
    <w:rsid w:val="00E4320A"/>
    <w:rsid w:val="00E441CB"/>
    <w:rsid w:val="00E656E6"/>
    <w:rsid w:val="00E6686C"/>
    <w:rsid w:val="00E7270C"/>
    <w:rsid w:val="00E74E07"/>
    <w:rsid w:val="00E77082"/>
    <w:rsid w:val="00E8018B"/>
    <w:rsid w:val="00E8264A"/>
    <w:rsid w:val="00E84A54"/>
    <w:rsid w:val="00E86897"/>
    <w:rsid w:val="00E86D36"/>
    <w:rsid w:val="00E916CA"/>
    <w:rsid w:val="00E929EF"/>
    <w:rsid w:val="00E959F6"/>
    <w:rsid w:val="00EA0F0B"/>
    <w:rsid w:val="00EA1425"/>
    <w:rsid w:val="00EA3FBC"/>
    <w:rsid w:val="00EB17CA"/>
    <w:rsid w:val="00EB3C7C"/>
    <w:rsid w:val="00EB42CB"/>
    <w:rsid w:val="00EB447F"/>
    <w:rsid w:val="00EB4809"/>
    <w:rsid w:val="00EB57A4"/>
    <w:rsid w:val="00ED0A71"/>
    <w:rsid w:val="00ED7DD6"/>
    <w:rsid w:val="00EE0E62"/>
    <w:rsid w:val="00EE3663"/>
    <w:rsid w:val="00EE392A"/>
    <w:rsid w:val="00EF17EF"/>
    <w:rsid w:val="00EF2796"/>
    <w:rsid w:val="00EF2B14"/>
    <w:rsid w:val="00EF2E30"/>
    <w:rsid w:val="00EF3281"/>
    <w:rsid w:val="00EF4815"/>
    <w:rsid w:val="00F037E9"/>
    <w:rsid w:val="00F038C4"/>
    <w:rsid w:val="00F05AA5"/>
    <w:rsid w:val="00F110D1"/>
    <w:rsid w:val="00F156CB"/>
    <w:rsid w:val="00F20ED2"/>
    <w:rsid w:val="00F27B0C"/>
    <w:rsid w:val="00F27D1A"/>
    <w:rsid w:val="00F313A0"/>
    <w:rsid w:val="00F328A9"/>
    <w:rsid w:val="00F35761"/>
    <w:rsid w:val="00F35784"/>
    <w:rsid w:val="00F36036"/>
    <w:rsid w:val="00F36446"/>
    <w:rsid w:val="00F401EC"/>
    <w:rsid w:val="00F427E1"/>
    <w:rsid w:val="00F507B8"/>
    <w:rsid w:val="00F52119"/>
    <w:rsid w:val="00F545D1"/>
    <w:rsid w:val="00F65FDA"/>
    <w:rsid w:val="00F664F5"/>
    <w:rsid w:val="00F66E12"/>
    <w:rsid w:val="00F73267"/>
    <w:rsid w:val="00F7392D"/>
    <w:rsid w:val="00F8072A"/>
    <w:rsid w:val="00F83445"/>
    <w:rsid w:val="00F83863"/>
    <w:rsid w:val="00F84522"/>
    <w:rsid w:val="00F84764"/>
    <w:rsid w:val="00F85A79"/>
    <w:rsid w:val="00F86463"/>
    <w:rsid w:val="00F922E5"/>
    <w:rsid w:val="00F92825"/>
    <w:rsid w:val="00F93B73"/>
    <w:rsid w:val="00F970A4"/>
    <w:rsid w:val="00FA2B25"/>
    <w:rsid w:val="00FA633D"/>
    <w:rsid w:val="00FB129A"/>
    <w:rsid w:val="00FB3C06"/>
    <w:rsid w:val="00FB4B57"/>
    <w:rsid w:val="00FB5873"/>
    <w:rsid w:val="00FC2FD7"/>
    <w:rsid w:val="00FC4460"/>
    <w:rsid w:val="00FC64A7"/>
    <w:rsid w:val="00FD04F2"/>
    <w:rsid w:val="00FD0F57"/>
    <w:rsid w:val="00FD1E4F"/>
    <w:rsid w:val="00FE0FAB"/>
    <w:rsid w:val="00FE1B86"/>
    <w:rsid w:val="00FE3C74"/>
    <w:rsid w:val="00FE6789"/>
    <w:rsid w:val="00FF0CE5"/>
    <w:rsid w:val="00FF3419"/>
    <w:rsid w:val="00FF5C21"/>
    <w:rsid w:val="00FF697B"/>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5904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unhideWhenUsed/>
    <w:qFormat/>
    <w:rsid w:val="00073599"/>
    <w:pPr>
      <w:spacing w:after="120"/>
    </w:pPr>
    <w:rPr>
      <w:lang w:eastAsia="en-US"/>
    </w:rPr>
  </w:style>
  <w:style w:type="character" w:customStyle="1" w:styleId="BodyTextChar">
    <w:name w:val="Body Text Char"/>
    <w:basedOn w:val="DefaultParagraphFont"/>
    <w:link w:val="BodyText"/>
    <w:uiPriority w:val="1"/>
    <w:rsid w:val="00073599"/>
    <w:rPr>
      <w:rFonts w:ascii="Times New Roman" w:eastAsia="Times New Roman" w:hAnsi="Times New Roman" w:cs="Times New Roman"/>
      <w:sz w:val="24"/>
      <w:szCs w:val="24"/>
    </w:rPr>
  </w:style>
  <w:style w:type="table" w:styleId="TableGrid">
    <w:name w:val="Table Grid"/>
    <w:basedOn w:val="TableNormal"/>
    <w:uiPriority w:val="39"/>
    <w:rsid w:val="00647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1F99"/>
    <w:rPr>
      <w:b/>
      <w:bCs/>
    </w:rPr>
  </w:style>
  <w:style w:type="paragraph" w:styleId="NormalWeb">
    <w:name w:val="Normal (Web)"/>
    <w:basedOn w:val="Normal"/>
    <w:uiPriority w:val="99"/>
    <w:semiHidden/>
    <w:unhideWhenUsed/>
    <w:rsid w:val="00376063"/>
    <w:pPr>
      <w:spacing w:before="100" w:beforeAutospacing="1" w:after="100" w:afterAutospacing="1"/>
    </w:pPr>
  </w:style>
  <w:style w:type="character" w:customStyle="1" w:styleId="apple-converted-space">
    <w:name w:val="apple-converted-space"/>
    <w:basedOn w:val="DefaultParagraphFont"/>
    <w:rsid w:val="004427DB"/>
  </w:style>
  <w:style w:type="character" w:styleId="Emphasis">
    <w:name w:val="Emphasis"/>
    <w:basedOn w:val="DefaultParagraphFont"/>
    <w:uiPriority w:val="20"/>
    <w:qFormat/>
    <w:rsid w:val="004427DB"/>
    <w:rPr>
      <w:i/>
      <w:iCs/>
    </w:rPr>
  </w:style>
  <w:style w:type="table" w:customStyle="1" w:styleId="TableGrid1">
    <w:name w:val="Table Grid1"/>
    <w:basedOn w:val="TableNormal"/>
    <w:next w:val="TableGrid"/>
    <w:uiPriority w:val="59"/>
    <w:rsid w:val="00884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resume2">
    <w:name w:val="intro-resume2"/>
    <w:basedOn w:val="DefaultParagraphFont"/>
    <w:rsid w:val="00216AE2"/>
    <w:rPr>
      <w:sz w:val="29"/>
      <w:szCs w:val="29"/>
    </w:rPr>
  </w:style>
  <w:style w:type="paragraph" w:styleId="NoSpacing">
    <w:name w:val="No Spacing"/>
    <w:uiPriority w:val="1"/>
    <w:qFormat/>
    <w:rsid w:val="009A0B35"/>
    <w:pPr>
      <w:spacing w:after="0" w:line="240" w:lineRule="auto"/>
    </w:pPr>
    <w:rPr>
      <w:lang w:val="en-US"/>
    </w:rPr>
  </w:style>
  <w:style w:type="paragraph" w:styleId="Title">
    <w:name w:val="Title"/>
    <w:basedOn w:val="Normal"/>
    <w:next w:val="Normal"/>
    <w:link w:val="TitleChar"/>
    <w:uiPriority w:val="10"/>
    <w:qFormat/>
    <w:rsid w:val="00531CEE"/>
    <w:pPr>
      <w:spacing w:before="720" w:after="200" w:line="276" w:lineRule="auto"/>
    </w:pPr>
    <w:rPr>
      <w:rFonts w:asciiTheme="minorHAnsi" w:eastAsiaTheme="minorEastAsia" w:hAnsiTheme="minorHAnsi" w:cstheme="minorBidi"/>
      <w:smallCaps/>
      <w:color w:val="4F81BD" w:themeColor="accent1"/>
      <w:spacing w:val="10"/>
      <w:kern w:val="28"/>
      <w:sz w:val="52"/>
      <w:szCs w:val="52"/>
      <w:lang w:eastAsia="en-US" w:bidi="en-US"/>
    </w:rPr>
  </w:style>
  <w:style w:type="character" w:customStyle="1" w:styleId="TitleChar">
    <w:name w:val="Title Char"/>
    <w:basedOn w:val="DefaultParagraphFont"/>
    <w:link w:val="Title"/>
    <w:uiPriority w:val="10"/>
    <w:rsid w:val="00531CEE"/>
    <w:rPr>
      <w:rFonts w:eastAsiaTheme="minorEastAsia"/>
      <w:smallCaps/>
      <w:color w:val="4F81BD" w:themeColor="accent1"/>
      <w:spacing w:val="10"/>
      <w:kern w:val="28"/>
      <w:sz w:val="52"/>
      <w:szCs w:val="52"/>
      <w:lang w:bidi="en-US"/>
    </w:rPr>
  </w:style>
  <w:style w:type="paragraph" w:styleId="Subtitle">
    <w:name w:val="Subtitle"/>
    <w:basedOn w:val="Normal"/>
    <w:next w:val="Normal"/>
    <w:link w:val="SubtitleChar"/>
    <w:uiPriority w:val="11"/>
    <w:qFormat/>
    <w:rsid w:val="00531CEE"/>
    <w:pPr>
      <w:spacing w:before="200" w:after="1000"/>
    </w:pPr>
    <w:rPr>
      <w:rFonts w:asciiTheme="minorHAnsi" w:eastAsiaTheme="minorEastAsia" w:hAnsiTheme="minorHAnsi" w:cstheme="minorBidi"/>
      <w:smallCaps/>
      <w:color w:val="595959" w:themeColor="text1" w:themeTint="A6"/>
      <w:spacing w:val="10"/>
      <w:lang w:eastAsia="en-US" w:bidi="en-US"/>
    </w:rPr>
  </w:style>
  <w:style w:type="character" w:customStyle="1" w:styleId="SubtitleChar">
    <w:name w:val="Subtitle Char"/>
    <w:basedOn w:val="DefaultParagraphFont"/>
    <w:link w:val="Subtitle"/>
    <w:uiPriority w:val="11"/>
    <w:rsid w:val="00531CEE"/>
    <w:rPr>
      <w:rFonts w:eastAsiaTheme="minorEastAsia"/>
      <w:smallCaps/>
      <w:color w:val="595959" w:themeColor="text1" w:themeTint="A6"/>
      <w:spacing w:val="10"/>
      <w:sz w:val="24"/>
      <w:szCs w:val="24"/>
      <w:lang w:bidi="en-US"/>
    </w:rPr>
  </w:style>
  <w:style w:type="paragraph" w:styleId="PlainText">
    <w:name w:val="Plain Text"/>
    <w:basedOn w:val="Normal"/>
    <w:link w:val="PlainTextChar"/>
    <w:uiPriority w:val="99"/>
    <w:unhideWhenUsed/>
    <w:rsid w:val="00C305AC"/>
    <w:rPr>
      <w:rFonts w:ascii="Calibri" w:hAnsi="Calibri"/>
      <w:sz w:val="22"/>
      <w:szCs w:val="21"/>
      <w:lang w:eastAsia="en-US"/>
    </w:rPr>
  </w:style>
  <w:style w:type="character" w:customStyle="1" w:styleId="PlainTextChar">
    <w:name w:val="Plain Text Char"/>
    <w:basedOn w:val="DefaultParagraphFont"/>
    <w:link w:val="PlainText"/>
    <w:uiPriority w:val="99"/>
    <w:rsid w:val="00C305AC"/>
    <w:rPr>
      <w:rFonts w:ascii="Calibri" w:eastAsia="Times New Roman" w:hAnsi="Calibri" w:cs="Times New Roman"/>
      <w:szCs w:val="21"/>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B60399"/>
    <w:pPr>
      <w:keepLines/>
      <w:spacing w:after="60"/>
      <w:ind w:firstLine="720"/>
      <w:jc w:val="both"/>
    </w:pPr>
    <w:rPr>
      <w:rFonts w:eastAsia="Malgun Gothic"/>
      <w:sz w:val="18"/>
      <w:lang w:eastAsia="x-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B60399"/>
    <w:rPr>
      <w:rFonts w:ascii="Times New Roman" w:eastAsia="Malgun Gothic" w:hAnsi="Times New Roman" w:cs="Times New Roman"/>
      <w:sz w:val="18"/>
      <w:szCs w:val="24"/>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B60399"/>
    <w:rPr>
      <w:sz w:val="18"/>
      <w:u w:val="none"/>
      <w:vertAlign w:val="superscript"/>
    </w:rPr>
  </w:style>
  <w:style w:type="character" w:customStyle="1" w:styleId="Heading2Char">
    <w:name w:val="Heading 2 Char"/>
    <w:basedOn w:val="DefaultParagraphFont"/>
    <w:link w:val="Heading2"/>
    <w:uiPriority w:val="9"/>
    <w:rsid w:val="005904C0"/>
    <w:rPr>
      <w:rFonts w:asciiTheme="majorHAnsi" w:eastAsiaTheme="majorEastAsia" w:hAnsiTheme="majorHAnsi" w:cstheme="majorBidi"/>
      <w:b/>
      <w:bCs/>
      <w:color w:val="4F81BD" w:themeColor="accent1"/>
      <w:sz w:val="26"/>
      <w:szCs w:val="26"/>
      <w:lang w:eastAsia="en-GB"/>
    </w:rPr>
  </w:style>
  <w:style w:type="paragraph" w:styleId="BodyText3">
    <w:name w:val="Body Text 3"/>
    <w:basedOn w:val="Normal"/>
    <w:link w:val="BodyText3Char"/>
    <w:uiPriority w:val="99"/>
    <w:semiHidden/>
    <w:unhideWhenUsed/>
    <w:rsid w:val="003A5B45"/>
    <w:pPr>
      <w:spacing w:after="120"/>
    </w:pPr>
    <w:rPr>
      <w:sz w:val="16"/>
      <w:szCs w:val="16"/>
    </w:rPr>
  </w:style>
  <w:style w:type="character" w:customStyle="1" w:styleId="BodyText3Char">
    <w:name w:val="Body Text 3 Char"/>
    <w:basedOn w:val="DefaultParagraphFont"/>
    <w:link w:val="BodyText3"/>
    <w:uiPriority w:val="99"/>
    <w:semiHidden/>
    <w:rsid w:val="003A5B45"/>
    <w:rPr>
      <w:rFonts w:ascii="Times New Roman" w:eastAsia="Times New Roman" w:hAnsi="Times New Roman" w:cs="Times New Roman"/>
      <w:sz w:val="16"/>
      <w:szCs w:val="16"/>
      <w:lang w:eastAsia="en-GB"/>
    </w:rPr>
  </w:style>
  <w:style w:type="paragraph" w:customStyle="1" w:styleId="CM7">
    <w:name w:val="CM7"/>
    <w:basedOn w:val="Default"/>
    <w:next w:val="Default"/>
    <w:uiPriority w:val="99"/>
    <w:rsid w:val="003A5B45"/>
    <w:rPr>
      <w:rFonts w:ascii="Times New Roman" w:hAnsi="Times New Roman" w:cs="Times New Roman"/>
      <w:color w:val="auto"/>
      <w:lang w:val="en-US"/>
    </w:rPr>
  </w:style>
  <w:style w:type="paragraph" w:customStyle="1" w:styleId="CM8">
    <w:name w:val="CM8"/>
    <w:basedOn w:val="Default"/>
    <w:next w:val="Default"/>
    <w:uiPriority w:val="99"/>
    <w:rsid w:val="003A5B45"/>
    <w:rPr>
      <w:rFonts w:ascii="Times New Roman" w:hAnsi="Times New Roman" w:cs="Times New Roman"/>
      <w:color w:val="auto"/>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5904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unhideWhenUsed/>
    <w:qFormat/>
    <w:rsid w:val="00073599"/>
    <w:pPr>
      <w:spacing w:after="120"/>
    </w:pPr>
    <w:rPr>
      <w:lang w:eastAsia="en-US"/>
    </w:rPr>
  </w:style>
  <w:style w:type="character" w:customStyle="1" w:styleId="BodyTextChar">
    <w:name w:val="Body Text Char"/>
    <w:basedOn w:val="DefaultParagraphFont"/>
    <w:link w:val="BodyText"/>
    <w:uiPriority w:val="1"/>
    <w:rsid w:val="00073599"/>
    <w:rPr>
      <w:rFonts w:ascii="Times New Roman" w:eastAsia="Times New Roman" w:hAnsi="Times New Roman" w:cs="Times New Roman"/>
      <w:sz w:val="24"/>
      <w:szCs w:val="24"/>
    </w:rPr>
  </w:style>
  <w:style w:type="table" w:styleId="TableGrid">
    <w:name w:val="Table Grid"/>
    <w:basedOn w:val="TableNormal"/>
    <w:uiPriority w:val="39"/>
    <w:rsid w:val="00647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1F99"/>
    <w:rPr>
      <w:b/>
      <w:bCs/>
    </w:rPr>
  </w:style>
  <w:style w:type="paragraph" w:styleId="NormalWeb">
    <w:name w:val="Normal (Web)"/>
    <w:basedOn w:val="Normal"/>
    <w:uiPriority w:val="99"/>
    <w:semiHidden/>
    <w:unhideWhenUsed/>
    <w:rsid w:val="00376063"/>
    <w:pPr>
      <w:spacing w:before="100" w:beforeAutospacing="1" w:after="100" w:afterAutospacing="1"/>
    </w:pPr>
  </w:style>
  <w:style w:type="character" w:customStyle="1" w:styleId="apple-converted-space">
    <w:name w:val="apple-converted-space"/>
    <w:basedOn w:val="DefaultParagraphFont"/>
    <w:rsid w:val="004427DB"/>
  </w:style>
  <w:style w:type="character" w:styleId="Emphasis">
    <w:name w:val="Emphasis"/>
    <w:basedOn w:val="DefaultParagraphFont"/>
    <w:uiPriority w:val="20"/>
    <w:qFormat/>
    <w:rsid w:val="004427DB"/>
    <w:rPr>
      <w:i/>
      <w:iCs/>
    </w:rPr>
  </w:style>
  <w:style w:type="table" w:customStyle="1" w:styleId="TableGrid1">
    <w:name w:val="Table Grid1"/>
    <w:basedOn w:val="TableNormal"/>
    <w:next w:val="TableGrid"/>
    <w:uiPriority w:val="59"/>
    <w:rsid w:val="00884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resume2">
    <w:name w:val="intro-resume2"/>
    <w:basedOn w:val="DefaultParagraphFont"/>
    <w:rsid w:val="00216AE2"/>
    <w:rPr>
      <w:sz w:val="29"/>
      <w:szCs w:val="29"/>
    </w:rPr>
  </w:style>
  <w:style w:type="paragraph" w:styleId="NoSpacing">
    <w:name w:val="No Spacing"/>
    <w:uiPriority w:val="1"/>
    <w:qFormat/>
    <w:rsid w:val="009A0B35"/>
    <w:pPr>
      <w:spacing w:after="0" w:line="240" w:lineRule="auto"/>
    </w:pPr>
    <w:rPr>
      <w:lang w:val="en-US"/>
    </w:rPr>
  </w:style>
  <w:style w:type="paragraph" w:styleId="Title">
    <w:name w:val="Title"/>
    <w:basedOn w:val="Normal"/>
    <w:next w:val="Normal"/>
    <w:link w:val="TitleChar"/>
    <w:uiPriority w:val="10"/>
    <w:qFormat/>
    <w:rsid w:val="00531CEE"/>
    <w:pPr>
      <w:spacing w:before="720" w:after="200" w:line="276" w:lineRule="auto"/>
    </w:pPr>
    <w:rPr>
      <w:rFonts w:asciiTheme="minorHAnsi" w:eastAsiaTheme="minorEastAsia" w:hAnsiTheme="minorHAnsi" w:cstheme="minorBidi"/>
      <w:smallCaps/>
      <w:color w:val="4F81BD" w:themeColor="accent1"/>
      <w:spacing w:val="10"/>
      <w:kern w:val="28"/>
      <w:sz w:val="52"/>
      <w:szCs w:val="52"/>
      <w:lang w:eastAsia="en-US" w:bidi="en-US"/>
    </w:rPr>
  </w:style>
  <w:style w:type="character" w:customStyle="1" w:styleId="TitleChar">
    <w:name w:val="Title Char"/>
    <w:basedOn w:val="DefaultParagraphFont"/>
    <w:link w:val="Title"/>
    <w:uiPriority w:val="10"/>
    <w:rsid w:val="00531CEE"/>
    <w:rPr>
      <w:rFonts w:eastAsiaTheme="minorEastAsia"/>
      <w:smallCaps/>
      <w:color w:val="4F81BD" w:themeColor="accent1"/>
      <w:spacing w:val="10"/>
      <w:kern w:val="28"/>
      <w:sz w:val="52"/>
      <w:szCs w:val="52"/>
      <w:lang w:bidi="en-US"/>
    </w:rPr>
  </w:style>
  <w:style w:type="paragraph" w:styleId="Subtitle">
    <w:name w:val="Subtitle"/>
    <w:basedOn w:val="Normal"/>
    <w:next w:val="Normal"/>
    <w:link w:val="SubtitleChar"/>
    <w:uiPriority w:val="11"/>
    <w:qFormat/>
    <w:rsid w:val="00531CEE"/>
    <w:pPr>
      <w:spacing w:before="200" w:after="1000"/>
    </w:pPr>
    <w:rPr>
      <w:rFonts w:asciiTheme="minorHAnsi" w:eastAsiaTheme="minorEastAsia" w:hAnsiTheme="minorHAnsi" w:cstheme="minorBidi"/>
      <w:smallCaps/>
      <w:color w:val="595959" w:themeColor="text1" w:themeTint="A6"/>
      <w:spacing w:val="10"/>
      <w:lang w:eastAsia="en-US" w:bidi="en-US"/>
    </w:rPr>
  </w:style>
  <w:style w:type="character" w:customStyle="1" w:styleId="SubtitleChar">
    <w:name w:val="Subtitle Char"/>
    <w:basedOn w:val="DefaultParagraphFont"/>
    <w:link w:val="Subtitle"/>
    <w:uiPriority w:val="11"/>
    <w:rsid w:val="00531CEE"/>
    <w:rPr>
      <w:rFonts w:eastAsiaTheme="minorEastAsia"/>
      <w:smallCaps/>
      <w:color w:val="595959" w:themeColor="text1" w:themeTint="A6"/>
      <w:spacing w:val="10"/>
      <w:sz w:val="24"/>
      <w:szCs w:val="24"/>
      <w:lang w:bidi="en-US"/>
    </w:rPr>
  </w:style>
  <w:style w:type="paragraph" w:styleId="PlainText">
    <w:name w:val="Plain Text"/>
    <w:basedOn w:val="Normal"/>
    <w:link w:val="PlainTextChar"/>
    <w:uiPriority w:val="99"/>
    <w:unhideWhenUsed/>
    <w:rsid w:val="00C305AC"/>
    <w:rPr>
      <w:rFonts w:ascii="Calibri" w:hAnsi="Calibri"/>
      <w:sz w:val="22"/>
      <w:szCs w:val="21"/>
      <w:lang w:eastAsia="en-US"/>
    </w:rPr>
  </w:style>
  <w:style w:type="character" w:customStyle="1" w:styleId="PlainTextChar">
    <w:name w:val="Plain Text Char"/>
    <w:basedOn w:val="DefaultParagraphFont"/>
    <w:link w:val="PlainText"/>
    <w:uiPriority w:val="99"/>
    <w:rsid w:val="00C305AC"/>
    <w:rPr>
      <w:rFonts w:ascii="Calibri" w:eastAsia="Times New Roman" w:hAnsi="Calibri" w:cs="Times New Roman"/>
      <w:szCs w:val="21"/>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B60399"/>
    <w:pPr>
      <w:keepLines/>
      <w:spacing w:after="60"/>
      <w:ind w:firstLine="720"/>
      <w:jc w:val="both"/>
    </w:pPr>
    <w:rPr>
      <w:rFonts w:eastAsia="Malgun Gothic"/>
      <w:sz w:val="18"/>
      <w:lang w:eastAsia="x-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B60399"/>
    <w:rPr>
      <w:rFonts w:ascii="Times New Roman" w:eastAsia="Malgun Gothic" w:hAnsi="Times New Roman" w:cs="Times New Roman"/>
      <w:sz w:val="18"/>
      <w:szCs w:val="24"/>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B60399"/>
    <w:rPr>
      <w:sz w:val="18"/>
      <w:u w:val="none"/>
      <w:vertAlign w:val="superscript"/>
    </w:rPr>
  </w:style>
  <w:style w:type="character" w:customStyle="1" w:styleId="Heading2Char">
    <w:name w:val="Heading 2 Char"/>
    <w:basedOn w:val="DefaultParagraphFont"/>
    <w:link w:val="Heading2"/>
    <w:uiPriority w:val="9"/>
    <w:rsid w:val="005904C0"/>
    <w:rPr>
      <w:rFonts w:asciiTheme="majorHAnsi" w:eastAsiaTheme="majorEastAsia" w:hAnsiTheme="majorHAnsi" w:cstheme="majorBidi"/>
      <w:b/>
      <w:bCs/>
      <w:color w:val="4F81BD" w:themeColor="accent1"/>
      <w:sz w:val="26"/>
      <w:szCs w:val="26"/>
      <w:lang w:eastAsia="en-GB"/>
    </w:rPr>
  </w:style>
  <w:style w:type="paragraph" w:styleId="BodyText3">
    <w:name w:val="Body Text 3"/>
    <w:basedOn w:val="Normal"/>
    <w:link w:val="BodyText3Char"/>
    <w:uiPriority w:val="99"/>
    <w:semiHidden/>
    <w:unhideWhenUsed/>
    <w:rsid w:val="003A5B45"/>
    <w:pPr>
      <w:spacing w:after="120"/>
    </w:pPr>
    <w:rPr>
      <w:sz w:val="16"/>
      <w:szCs w:val="16"/>
    </w:rPr>
  </w:style>
  <w:style w:type="character" w:customStyle="1" w:styleId="BodyText3Char">
    <w:name w:val="Body Text 3 Char"/>
    <w:basedOn w:val="DefaultParagraphFont"/>
    <w:link w:val="BodyText3"/>
    <w:uiPriority w:val="99"/>
    <w:semiHidden/>
    <w:rsid w:val="003A5B45"/>
    <w:rPr>
      <w:rFonts w:ascii="Times New Roman" w:eastAsia="Times New Roman" w:hAnsi="Times New Roman" w:cs="Times New Roman"/>
      <w:sz w:val="16"/>
      <w:szCs w:val="16"/>
      <w:lang w:eastAsia="en-GB"/>
    </w:rPr>
  </w:style>
  <w:style w:type="paragraph" w:customStyle="1" w:styleId="CM7">
    <w:name w:val="CM7"/>
    <w:basedOn w:val="Default"/>
    <w:next w:val="Default"/>
    <w:uiPriority w:val="99"/>
    <w:rsid w:val="003A5B45"/>
    <w:rPr>
      <w:rFonts w:ascii="Times New Roman" w:hAnsi="Times New Roman" w:cs="Times New Roman"/>
      <w:color w:val="auto"/>
      <w:lang w:val="en-US"/>
    </w:rPr>
  </w:style>
  <w:style w:type="paragraph" w:customStyle="1" w:styleId="CM8">
    <w:name w:val="CM8"/>
    <w:basedOn w:val="Default"/>
    <w:next w:val="Default"/>
    <w:uiPriority w:val="99"/>
    <w:rsid w:val="003A5B45"/>
    <w:rPr>
      <w:rFonts w:ascii="Times New Roman" w:hAnsi="Times New Roman" w:cs="Times New Roman"/>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1995">
      <w:bodyDiv w:val="1"/>
      <w:marLeft w:val="0"/>
      <w:marRight w:val="0"/>
      <w:marTop w:val="0"/>
      <w:marBottom w:val="0"/>
      <w:divBdr>
        <w:top w:val="none" w:sz="0" w:space="0" w:color="auto"/>
        <w:left w:val="none" w:sz="0" w:space="0" w:color="auto"/>
        <w:bottom w:val="none" w:sz="0" w:space="0" w:color="auto"/>
        <w:right w:val="none" w:sz="0" w:space="0" w:color="auto"/>
      </w:divBdr>
    </w:div>
    <w:div w:id="103809727">
      <w:bodyDiv w:val="1"/>
      <w:marLeft w:val="0"/>
      <w:marRight w:val="0"/>
      <w:marTop w:val="0"/>
      <w:marBottom w:val="0"/>
      <w:divBdr>
        <w:top w:val="none" w:sz="0" w:space="0" w:color="auto"/>
        <w:left w:val="none" w:sz="0" w:space="0" w:color="auto"/>
        <w:bottom w:val="none" w:sz="0" w:space="0" w:color="auto"/>
        <w:right w:val="none" w:sz="0" w:space="0" w:color="auto"/>
      </w:divBdr>
    </w:div>
    <w:div w:id="155192090">
      <w:bodyDiv w:val="1"/>
      <w:marLeft w:val="0"/>
      <w:marRight w:val="0"/>
      <w:marTop w:val="0"/>
      <w:marBottom w:val="0"/>
      <w:divBdr>
        <w:top w:val="none" w:sz="0" w:space="0" w:color="auto"/>
        <w:left w:val="none" w:sz="0" w:space="0" w:color="auto"/>
        <w:bottom w:val="none" w:sz="0" w:space="0" w:color="auto"/>
        <w:right w:val="none" w:sz="0" w:space="0" w:color="auto"/>
      </w:divBdr>
    </w:div>
    <w:div w:id="234315836">
      <w:bodyDiv w:val="1"/>
      <w:marLeft w:val="0"/>
      <w:marRight w:val="0"/>
      <w:marTop w:val="0"/>
      <w:marBottom w:val="0"/>
      <w:divBdr>
        <w:top w:val="none" w:sz="0" w:space="0" w:color="auto"/>
        <w:left w:val="none" w:sz="0" w:space="0" w:color="auto"/>
        <w:bottom w:val="none" w:sz="0" w:space="0" w:color="auto"/>
        <w:right w:val="none" w:sz="0" w:space="0" w:color="auto"/>
      </w:divBdr>
    </w:div>
    <w:div w:id="326829987">
      <w:bodyDiv w:val="1"/>
      <w:marLeft w:val="0"/>
      <w:marRight w:val="0"/>
      <w:marTop w:val="0"/>
      <w:marBottom w:val="0"/>
      <w:divBdr>
        <w:top w:val="none" w:sz="0" w:space="0" w:color="auto"/>
        <w:left w:val="none" w:sz="0" w:space="0" w:color="auto"/>
        <w:bottom w:val="none" w:sz="0" w:space="0" w:color="auto"/>
        <w:right w:val="none" w:sz="0" w:space="0" w:color="auto"/>
      </w:divBdr>
    </w:div>
    <w:div w:id="502669473">
      <w:bodyDiv w:val="1"/>
      <w:marLeft w:val="0"/>
      <w:marRight w:val="0"/>
      <w:marTop w:val="0"/>
      <w:marBottom w:val="0"/>
      <w:divBdr>
        <w:top w:val="none" w:sz="0" w:space="0" w:color="auto"/>
        <w:left w:val="none" w:sz="0" w:space="0" w:color="auto"/>
        <w:bottom w:val="none" w:sz="0" w:space="0" w:color="auto"/>
        <w:right w:val="none" w:sz="0" w:space="0" w:color="auto"/>
      </w:divBdr>
      <w:divsChild>
        <w:div w:id="669793285">
          <w:marLeft w:val="0"/>
          <w:marRight w:val="0"/>
          <w:marTop w:val="0"/>
          <w:marBottom w:val="225"/>
          <w:divBdr>
            <w:top w:val="none" w:sz="0" w:space="0" w:color="auto"/>
            <w:left w:val="none" w:sz="0" w:space="0" w:color="auto"/>
            <w:bottom w:val="none" w:sz="0" w:space="0" w:color="auto"/>
            <w:right w:val="none" w:sz="0" w:space="0" w:color="auto"/>
          </w:divBdr>
          <w:divsChild>
            <w:div w:id="575675452">
              <w:marLeft w:val="0"/>
              <w:marRight w:val="0"/>
              <w:marTop w:val="300"/>
              <w:marBottom w:val="0"/>
              <w:divBdr>
                <w:top w:val="none" w:sz="0" w:space="0" w:color="auto"/>
                <w:left w:val="none" w:sz="0" w:space="0" w:color="auto"/>
                <w:bottom w:val="none" w:sz="0" w:space="0" w:color="auto"/>
                <w:right w:val="none" w:sz="0" w:space="0" w:color="auto"/>
              </w:divBdr>
              <w:divsChild>
                <w:div w:id="1088237952">
                  <w:marLeft w:val="0"/>
                  <w:marRight w:val="0"/>
                  <w:marTop w:val="0"/>
                  <w:marBottom w:val="0"/>
                  <w:divBdr>
                    <w:top w:val="none" w:sz="0" w:space="0" w:color="auto"/>
                    <w:left w:val="none" w:sz="0" w:space="0" w:color="auto"/>
                    <w:bottom w:val="none" w:sz="0" w:space="0" w:color="auto"/>
                    <w:right w:val="none" w:sz="0" w:space="0" w:color="auto"/>
                  </w:divBdr>
                  <w:divsChild>
                    <w:div w:id="88891977">
                      <w:marLeft w:val="0"/>
                      <w:marRight w:val="0"/>
                      <w:marTop w:val="0"/>
                      <w:marBottom w:val="0"/>
                      <w:divBdr>
                        <w:top w:val="none" w:sz="0" w:space="0" w:color="auto"/>
                        <w:left w:val="none" w:sz="0" w:space="0" w:color="auto"/>
                        <w:bottom w:val="none" w:sz="0" w:space="0" w:color="auto"/>
                        <w:right w:val="none" w:sz="0" w:space="0" w:color="auto"/>
                      </w:divBdr>
                      <w:divsChild>
                        <w:div w:id="1172839823">
                          <w:marLeft w:val="0"/>
                          <w:marRight w:val="0"/>
                          <w:marTop w:val="0"/>
                          <w:marBottom w:val="0"/>
                          <w:divBdr>
                            <w:top w:val="none" w:sz="0" w:space="0" w:color="auto"/>
                            <w:left w:val="none" w:sz="0" w:space="0" w:color="auto"/>
                            <w:bottom w:val="none" w:sz="0" w:space="0" w:color="auto"/>
                            <w:right w:val="none" w:sz="0" w:space="0" w:color="auto"/>
                          </w:divBdr>
                          <w:divsChild>
                            <w:div w:id="1626623574">
                              <w:marLeft w:val="0"/>
                              <w:marRight w:val="0"/>
                              <w:marTop w:val="0"/>
                              <w:marBottom w:val="0"/>
                              <w:divBdr>
                                <w:top w:val="none" w:sz="0" w:space="0" w:color="auto"/>
                                <w:left w:val="none" w:sz="0" w:space="0" w:color="auto"/>
                                <w:bottom w:val="none" w:sz="0" w:space="0" w:color="auto"/>
                                <w:right w:val="none" w:sz="0" w:space="0" w:color="auto"/>
                              </w:divBdr>
                              <w:divsChild>
                                <w:div w:id="185603700">
                                  <w:marLeft w:val="0"/>
                                  <w:marRight w:val="0"/>
                                  <w:marTop w:val="0"/>
                                  <w:marBottom w:val="0"/>
                                  <w:divBdr>
                                    <w:top w:val="none" w:sz="0" w:space="0" w:color="auto"/>
                                    <w:left w:val="none" w:sz="0" w:space="0" w:color="auto"/>
                                    <w:bottom w:val="none" w:sz="0" w:space="0" w:color="auto"/>
                                    <w:right w:val="none" w:sz="0" w:space="0" w:color="auto"/>
                                  </w:divBdr>
                                  <w:divsChild>
                                    <w:div w:id="964385248">
                                      <w:marLeft w:val="0"/>
                                      <w:marRight w:val="0"/>
                                      <w:marTop w:val="0"/>
                                      <w:marBottom w:val="0"/>
                                      <w:divBdr>
                                        <w:top w:val="none" w:sz="0" w:space="0" w:color="auto"/>
                                        <w:left w:val="none" w:sz="0" w:space="0" w:color="auto"/>
                                        <w:bottom w:val="none" w:sz="0" w:space="0" w:color="auto"/>
                                        <w:right w:val="none" w:sz="0" w:space="0" w:color="auto"/>
                                      </w:divBdr>
                                      <w:divsChild>
                                        <w:div w:id="1341278214">
                                          <w:marLeft w:val="0"/>
                                          <w:marRight w:val="0"/>
                                          <w:marTop w:val="0"/>
                                          <w:marBottom w:val="0"/>
                                          <w:divBdr>
                                            <w:top w:val="none" w:sz="0" w:space="0" w:color="auto"/>
                                            <w:left w:val="none" w:sz="0" w:space="0" w:color="auto"/>
                                            <w:bottom w:val="none" w:sz="0" w:space="0" w:color="auto"/>
                                            <w:right w:val="none" w:sz="0" w:space="0" w:color="auto"/>
                                          </w:divBdr>
                                          <w:divsChild>
                                            <w:div w:id="362100305">
                                              <w:marLeft w:val="0"/>
                                              <w:marRight w:val="0"/>
                                              <w:marTop w:val="0"/>
                                              <w:marBottom w:val="0"/>
                                              <w:divBdr>
                                                <w:top w:val="none" w:sz="0" w:space="0" w:color="auto"/>
                                                <w:left w:val="none" w:sz="0" w:space="0" w:color="auto"/>
                                                <w:bottom w:val="none" w:sz="0" w:space="0" w:color="auto"/>
                                                <w:right w:val="none" w:sz="0" w:space="0" w:color="auto"/>
                                              </w:divBdr>
                                              <w:divsChild>
                                                <w:div w:id="2130858304">
                                                  <w:marLeft w:val="0"/>
                                                  <w:marRight w:val="0"/>
                                                  <w:marTop w:val="0"/>
                                                  <w:marBottom w:val="0"/>
                                                  <w:divBdr>
                                                    <w:top w:val="none" w:sz="0" w:space="0" w:color="auto"/>
                                                    <w:left w:val="none" w:sz="0" w:space="0" w:color="auto"/>
                                                    <w:bottom w:val="none" w:sz="0" w:space="0" w:color="auto"/>
                                                    <w:right w:val="none" w:sz="0" w:space="0" w:color="auto"/>
                                                  </w:divBdr>
                                                  <w:divsChild>
                                                    <w:div w:id="20075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6667230">
      <w:bodyDiv w:val="1"/>
      <w:marLeft w:val="0"/>
      <w:marRight w:val="0"/>
      <w:marTop w:val="0"/>
      <w:marBottom w:val="0"/>
      <w:divBdr>
        <w:top w:val="none" w:sz="0" w:space="0" w:color="auto"/>
        <w:left w:val="none" w:sz="0" w:space="0" w:color="auto"/>
        <w:bottom w:val="none" w:sz="0" w:space="0" w:color="auto"/>
        <w:right w:val="none" w:sz="0" w:space="0" w:color="auto"/>
      </w:divBdr>
    </w:div>
    <w:div w:id="605431148">
      <w:bodyDiv w:val="1"/>
      <w:marLeft w:val="0"/>
      <w:marRight w:val="0"/>
      <w:marTop w:val="0"/>
      <w:marBottom w:val="0"/>
      <w:divBdr>
        <w:top w:val="none" w:sz="0" w:space="0" w:color="auto"/>
        <w:left w:val="none" w:sz="0" w:space="0" w:color="auto"/>
        <w:bottom w:val="none" w:sz="0" w:space="0" w:color="auto"/>
        <w:right w:val="none" w:sz="0" w:space="0" w:color="auto"/>
      </w:divBdr>
      <w:divsChild>
        <w:div w:id="812597317">
          <w:marLeft w:val="0"/>
          <w:marRight w:val="0"/>
          <w:marTop w:val="0"/>
          <w:marBottom w:val="0"/>
          <w:divBdr>
            <w:top w:val="none" w:sz="0" w:space="0" w:color="auto"/>
            <w:left w:val="none" w:sz="0" w:space="0" w:color="auto"/>
            <w:bottom w:val="none" w:sz="0" w:space="0" w:color="auto"/>
            <w:right w:val="none" w:sz="0" w:space="0" w:color="auto"/>
          </w:divBdr>
          <w:divsChild>
            <w:div w:id="1501265289">
              <w:marLeft w:val="0"/>
              <w:marRight w:val="0"/>
              <w:marTop w:val="0"/>
              <w:marBottom w:val="0"/>
              <w:divBdr>
                <w:top w:val="none" w:sz="0" w:space="0" w:color="auto"/>
                <w:left w:val="none" w:sz="0" w:space="0" w:color="auto"/>
                <w:bottom w:val="none" w:sz="0" w:space="0" w:color="auto"/>
                <w:right w:val="none" w:sz="0" w:space="0" w:color="auto"/>
              </w:divBdr>
              <w:divsChild>
                <w:div w:id="1413963488">
                  <w:marLeft w:val="0"/>
                  <w:marRight w:val="0"/>
                  <w:marTop w:val="0"/>
                  <w:marBottom w:val="0"/>
                  <w:divBdr>
                    <w:top w:val="none" w:sz="0" w:space="0" w:color="auto"/>
                    <w:left w:val="none" w:sz="0" w:space="0" w:color="auto"/>
                    <w:bottom w:val="none" w:sz="0" w:space="0" w:color="auto"/>
                    <w:right w:val="none" w:sz="0" w:space="0" w:color="auto"/>
                  </w:divBdr>
                  <w:divsChild>
                    <w:div w:id="124992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11672333">
      <w:bodyDiv w:val="1"/>
      <w:marLeft w:val="0"/>
      <w:marRight w:val="0"/>
      <w:marTop w:val="0"/>
      <w:marBottom w:val="0"/>
      <w:divBdr>
        <w:top w:val="none" w:sz="0" w:space="0" w:color="auto"/>
        <w:left w:val="none" w:sz="0" w:space="0" w:color="auto"/>
        <w:bottom w:val="none" w:sz="0" w:space="0" w:color="auto"/>
        <w:right w:val="none" w:sz="0" w:space="0" w:color="auto"/>
      </w:divBdr>
    </w:div>
    <w:div w:id="638656400">
      <w:bodyDiv w:val="1"/>
      <w:marLeft w:val="0"/>
      <w:marRight w:val="0"/>
      <w:marTop w:val="0"/>
      <w:marBottom w:val="0"/>
      <w:divBdr>
        <w:top w:val="none" w:sz="0" w:space="0" w:color="auto"/>
        <w:left w:val="none" w:sz="0" w:space="0" w:color="auto"/>
        <w:bottom w:val="none" w:sz="0" w:space="0" w:color="auto"/>
        <w:right w:val="none" w:sz="0" w:space="0" w:color="auto"/>
      </w:divBdr>
    </w:div>
    <w:div w:id="661012346">
      <w:bodyDiv w:val="1"/>
      <w:marLeft w:val="0"/>
      <w:marRight w:val="0"/>
      <w:marTop w:val="0"/>
      <w:marBottom w:val="0"/>
      <w:divBdr>
        <w:top w:val="none" w:sz="0" w:space="0" w:color="auto"/>
        <w:left w:val="none" w:sz="0" w:space="0" w:color="auto"/>
        <w:bottom w:val="none" w:sz="0" w:space="0" w:color="auto"/>
        <w:right w:val="none" w:sz="0" w:space="0" w:color="auto"/>
      </w:divBdr>
    </w:div>
    <w:div w:id="786705009">
      <w:bodyDiv w:val="1"/>
      <w:marLeft w:val="0"/>
      <w:marRight w:val="0"/>
      <w:marTop w:val="0"/>
      <w:marBottom w:val="0"/>
      <w:divBdr>
        <w:top w:val="none" w:sz="0" w:space="0" w:color="auto"/>
        <w:left w:val="none" w:sz="0" w:space="0" w:color="auto"/>
        <w:bottom w:val="none" w:sz="0" w:space="0" w:color="auto"/>
        <w:right w:val="none" w:sz="0" w:space="0" w:color="auto"/>
      </w:divBdr>
    </w:div>
    <w:div w:id="1044716641">
      <w:bodyDiv w:val="1"/>
      <w:marLeft w:val="0"/>
      <w:marRight w:val="0"/>
      <w:marTop w:val="0"/>
      <w:marBottom w:val="0"/>
      <w:divBdr>
        <w:top w:val="none" w:sz="0" w:space="0" w:color="auto"/>
        <w:left w:val="none" w:sz="0" w:space="0" w:color="auto"/>
        <w:bottom w:val="none" w:sz="0" w:space="0" w:color="auto"/>
        <w:right w:val="none" w:sz="0" w:space="0" w:color="auto"/>
      </w:divBdr>
      <w:divsChild>
        <w:div w:id="1152916247">
          <w:marLeft w:val="0"/>
          <w:marRight w:val="0"/>
          <w:marTop w:val="0"/>
          <w:marBottom w:val="225"/>
          <w:divBdr>
            <w:top w:val="none" w:sz="0" w:space="0" w:color="auto"/>
            <w:left w:val="none" w:sz="0" w:space="0" w:color="auto"/>
            <w:bottom w:val="none" w:sz="0" w:space="0" w:color="auto"/>
            <w:right w:val="none" w:sz="0" w:space="0" w:color="auto"/>
          </w:divBdr>
          <w:divsChild>
            <w:div w:id="1094204846">
              <w:marLeft w:val="0"/>
              <w:marRight w:val="0"/>
              <w:marTop w:val="300"/>
              <w:marBottom w:val="0"/>
              <w:divBdr>
                <w:top w:val="none" w:sz="0" w:space="0" w:color="auto"/>
                <w:left w:val="none" w:sz="0" w:space="0" w:color="auto"/>
                <w:bottom w:val="none" w:sz="0" w:space="0" w:color="auto"/>
                <w:right w:val="none" w:sz="0" w:space="0" w:color="auto"/>
              </w:divBdr>
              <w:divsChild>
                <w:div w:id="1215583840">
                  <w:marLeft w:val="0"/>
                  <w:marRight w:val="0"/>
                  <w:marTop w:val="0"/>
                  <w:marBottom w:val="0"/>
                  <w:divBdr>
                    <w:top w:val="none" w:sz="0" w:space="0" w:color="auto"/>
                    <w:left w:val="none" w:sz="0" w:space="0" w:color="auto"/>
                    <w:bottom w:val="none" w:sz="0" w:space="0" w:color="auto"/>
                    <w:right w:val="none" w:sz="0" w:space="0" w:color="auto"/>
                  </w:divBdr>
                  <w:divsChild>
                    <w:div w:id="318965045">
                      <w:marLeft w:val="0"/>
                      <w:marRight w:val="0"/>
                      <w:marTop w:val="0"/>
                      <w:marBottom w:val="0"/>
                      <w:divBdr>
                        <w:top w:val="none" w:sz="0" w:space="0" w:color="auto"/>
                        <w:left w:val="none" w:sz="0" w:space="0" w:color="auto"/>
                        <w:bottom w:val="none" w:sz="0" w:space="0" w:color="auto"/>
                        <w:right w:val="none" w:sz="0" w:space="0" w:color="auto"/>
                      </w:divBdr>
                      <w:divsChild>
                        <w:div w:id="1743411870">
                          <w:marLeft w:val="0"/>
                          <w:marRight w:val="0"/>
                          <w:marTop w:val="0"/>
                          <w:marBottom w:val="0"/>
                          <w:divBdr>
                            <w:top w:val="none" w:sz="0" w:space="0" w:color="auto"/>
                            <w:left w:val="none" w:sz="0" w:space="0" w:color="auto"/>
                            <w:bottom w:val="none" w:sz="0" w:space="0" w:color="auto"/>
                            <w:right w:val="none" w:sz="0" w:space="0" w:color="auto"/>
                          </w:divBdr>
                          <w:divsChild>
                            <w:div w:id="797259459">
                              <w:marLeft w:val="0"/>
                              <w:marRight w:val="0"/>
                              <w:marTop w:val="0"/>
                              <w:marBottom w:val="0"/>
                              <w:divBdr>
                                <w:top w:val="none" w:sz="0" w:space="0" w:color="auto"/>
                                <w:left w:val="none" w:sz="0" w:space="0" w:color="auto"/>
                                <w:bottom w:val="none" w:sz="0" w:space="0" w:color="auto"/>
                                <w:right w:val="none" w:sz="0" w:space="0" w:color="auto"/>
                              </w:divBdr>
                              <w:divsChild>
                                <w:div w:id="698891299">
                                  <w:marLeft w:val="0"/>
                                  <w:marRight w:val="0"/>
                                  <w:marTop w:val="0"/>
                                  <w:marBottom w:val="0"/>
                                  <w:divBdr>
                                    <w:top w:val="none" w:sz="0" w:space="0" w:color="auto"/>
                                    <w:left w:val="none" w:sz="0" w:space="0" w:color="auto"/>
                                    <w:bottom w:val="none" w:sz="0" w:space="0" w:color="auto"/>
                                    <w:right w:val="none" w:sz="0" w:space="0" w:color="auto"/>
                                  </w:divBdr>
                                  <w:divsChild>
                                    <w:div w:id="1450781867">
                                      <w:marLeft w:val="0"/>
                                      <w:marRight w:val="0"/>
                                      <w:marTop w:val="0"/>
                                      <w:marBottom w:val="0"/>
                                      <w:divBdr>
                                        <w:top w:val="none" w:sz="0" w:space="0" w:color="auto"/>
                                        <w:left w:val="none" w:sz="0" w:space="0" w:color="auto"/>
                                        <w:bottom w:val="none" w:sz="0" w:space="0" w:color="auto"/>
                                        <w:right w:val="none" w:sz="0" w:space="0" w:color="auto"/>
                                      </w:divBdr>
                                      <w:divsChild>
                                        <w:div w:id="11035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158723">
      <w:bodyDiv w:val="1"/>
      <w:marLeft w:val="0"/>
      <w:marRight w:val="0"/>
      <w:marTop w:val="0"/>
      <w:marBottom w:val="0"/>
      <w:divBdr>
        <w:top w:val="none" w:sz="0" w:space="0" w:color="auto"/>
        <w:left w:val="none" w:sz="0" w:space="0" w:color="auto"/>
        <w:bottom w:val="none" w:sz="0" w:space="0" w:color="auto"/>
        <w:right w:val="none" w:sz="0" w:space="0" w:color="auto"/>
      </w:divBdr>
    </w:div>
    <w:div w:id="1088113511">
      <w:bodyDiv w:val="1"/>
      <w:marLeft w:val="0"/>
      <w:marRight w:val="0"/>
      <w:marTop w:val="0"/>
      <w:marBottom w:val="0"/>
      <w:divBdr>
        <w:top w:val="none" w:sz="0" w:space="0" w:color="auto"/>
        <w:left w:val="none" w:sz="0" w:space="0" w:color="auto"/>
        <w:bottom w:val="none" w:sz="0" w:space="0" w:color="auto"/>
        <w:right w:val="none" w:sz="0" w:space="0" w:color="auto"/>
      </w:divBdr>
    </w:div>
    <w:div w:id="1203249515">
      <w:bodyDiv w:val="1"/>
      <w:marLeft w:val="0"/>
      <w:marRight w:val="0"/>
      <w:marTop w:val="0"/>
      <w:marBottom w:val="0"/>
      <w:divBdr>
        <w:top w:val="none" w:sz="0" w:space="0" w:color="auto"/>
        <w:left w:val="none" w:sz="0" w:space="0" w:color="auto"/>
        <w:bottom w:val="none" w:sz="0" w:space="0" w:color="auto"/>
        <w:right w:val="none" w:sz="0" w:space="0" w:color="auto"/>
      </w:divBdr>
    </w:div>
    <w:div w:id="1266577950">
      <w:bodyDiv w:val="1"/>
      <w:marLeft w:val="0"/>
      <w:marRight w:val="0"/>
      <w:marTop w:val="0"/>
      <w:marBottom w:val="0"/>
      <w:divBdr>
        <w:top w:val="none" w:sz="0" w:space="0" w:color="auto"/>
        <w:left w:val="none" w:sz="0" w:space="0" w:color="auto"/>
        <w:bottom w:val="none" w:sz="0" w:space="0" w:color="auto"/>
        <w:right w:val="none" w:sz="0" w:space="0" w:color="auto"/>
      </w:divBdr>
    </w:div>
    <w:div w:id="1439834097">
      <w:bodyDiv w:val="1"/>
      <w:marLeft w:val="0"/>
      <w:marRight w:val="0"/>
      <w:marTop w:val="0"/>
      <w:marBottom w:val="0"/>
      <w:divBdr>
        <w:top w:val="none" w:sz="0" w:space="0" w:color="auto"/>
        <w:left w:val="none" w:sz="0" w:space="0" w:color="auto"/>
        <w:bottom w:val="none" w:sz="0" w:space="0" w:color="auto"/>
        <w:right w:val="none" w:sz="0" w:space="0" w:color="auto"/>
      </w:divBdr>
    </w:div>
    <w:div w:id="1518034390">
      <w:bodyDiv w:val="1"/>
      <w:marLeft w:val="0"/>
      <w:marRight w:val="0"/>
      <w:marTop w:val="0"/>
      <w:marBottom w:val="0"/>
      <w:divBdr>
        <w:top w:val="none" w:sz="0" w:space="0" w:color="auto"/>
        <w:left w:val="none" w:sz="0" w:space="0" w:color="auto"/>
        <w:bottom w:val="none" w:sz="0" w:space="0" w:color="auto"/>
        <w:right w:val="none" w:sz="0" w:space="0" w:color="auto"/>
      </w:divBdr>
    </w:div>
    <w:div w:id="1564948192">
      <w:bodyDiv w:val="1"/>
      <w:marLeft w:val="0"/>
      <w:marRight w:val="0"/>
      <w:marTop w:val="0"/>
      <w:marBottom w:val="0"/>
      <w:divBdr>
        <w:top w:val="none" w:sz="0" w:space="0" w:color="auto"/>
        <w:left w:val="none" w:sz="0" w:space="0" w:color="auto"/>
        <w:bottom w:val="none" w:sz="0" w:space="0" w:color="auto"/>
        <w:right w:val="none" w:sz="0" w:space="0" w:color="auto"/>
      </w:divBdr>
    </w:div>
    <w:div w:id="1566918477">
      <w:bodyDiv w:val="1"/>
      <w:marLeft w:val="0"/>
      <w:marRight w:val="0"/>
      <w:marTop w:val="0"/>
      <w:marBottom w:val="0"/>
      <w:divBdr>
        <w:top w:val="none" w:sz="0" w:space="0" w:color="auto"/>
        <w:left w:val="none" w:sz="0" w:space="0" w:color="auto"/>
        <w:bottom w:val="none" w:sz="0" w:space="0" w:color="auto"/>
        <w:right w:val="none" w:sz="0" w:space="0" w:color="auto"/>
      </w:divBdr>
    </w:div>
    <w:div w:id="1787389107">
      <w:bodyDiv w:val="1"/>
      <w:marLeft w:val="0"/>
      <w:marRight w:val="0"/>
      <w:marTop w:val="0"/>
      <w:marBottom w:val="0"/>
      <w:divBdr>
        <w:top w:val="none" w:sz="0" w:space="0" w:color="auto"/>
        <w:left w:val="none" w:sz="0" w:space="0" w:color="auto"/>
        <w:bottom w:val="none" w:sz="0" w:space="0" w:color="auto"/>
        <w:right w:val="none" w:sz="0" w:space="0" w:color="auto"/>
      </w:divBdr>
    </w:div>
    <w:div w:id="206682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F65A2-3835-4924-9A44-91543783C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3</cp:revision>
  <cp:lastPrinted>2015-01-06T11:20:00Z</cp:lastPrinted>
  <dcterms:created xsi:type="dcterms:W3CDTF">2017-04-26T12:20:00Z</dcterms:created>
  <dcterms:modified xsi:type="dcterms:W3CDTF">2017-05-26T11:49:00Z</dcterms:modified>
</cp:coreProperties>
</file>