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CONVENTION ON WETLANDS (Ramsar, Iran, 1971)</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53</w:t>
      </w:r>
      <w:r w:rsidRPr="00DF2386">
        <w:rPr>
          <w:bCs/>
          <w:sz w:val="24"/>
          <w:szCs w:val="24"/>
          <w:vertAlign w:val="superscript"/>
        </w:rPr>
        <w:t>rd</w:t>
      </w:r>
      <w:r>
        <w:rPr>
          <w:bCs/>
          <w:sz w:val="24"/>
          <w:szCs w:val="24"/>
        </w:rPr>
        <w:t xml:space="preserve"> Meeting of the Standing Committee</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Gland, Switzerland, 29 May – 2 June 2017</w:t>
      </w:r>
    </w:p>
    <w:p w:rsidR="00DF2386" w:rsidRDefault="00DF2386" w:rsidP="00014168">
      <w:pPr>
        <w:outlineLvl w:val="0"/>
        <w:rPr>
          <w:b/>
        </w:rPr>
      </w:pPr>
    </w:p>
    <w:p w:rsidR="00DF2386" w:rsidRPr="00D245A1" w:rsidRDefault="00DF2386" w:rsidP="00014168">
      <w:pPr>
        <w:jc w:val="right"/>
        <w:rPr>
          <w:rFonts w:cs="Arial"/>
          <w:sz w:val="28"/>
          <w:szCs w:val="28"/>
        </w:rPr>
      </w:pPr>
      <w:r>
        <w:rPr>
          <w:rFonts w:cs="Arial"/>
          <w:b/>
          <w:sz w:val="28"/>
          <w:szCs w:val="28"/>
        </w:rPr>
        <w:t>SC53-</w:t>
      </w:r>
      <w:r w:rsidR="00AB1B7C">
        <w:rPr>
          <w:rFonts w:cs="Arial"/>
          <w:b/>
          <w:sz w:val="28"/>
          <w:szCs w:val="28"/>
        </w:rPr>
        <w:t xml:space="preserve">02 </w:t>
      </w:r>
    </w:p>
    <w:p w:rsidR="00DF2386" w:rsidRDefault="00DF2386" w:rsidP="00014168">
      <w:pPr>
        <w:rPr>
          <w:rFonts w:cs="Arial"/>
          <w:b/>
          <w:sz w:val="28"/>
          <w:szCs w:val="28"/>
        </w:rPr>
      </w:pPr>
    </w:p>
    <w:p w:rsidR="00DF2386" w:rsidRDefault="00FA3590" w:rsidP="00014168">
      <w:pPr>
        <w:jc w:val="center"/>
        <w:rPr>
          <w:rFonts w:cs="Arial"/>
          <w:b/>
          <w:sz w:val="28"/>
          <w:szCs w:val="28"/>
        </w:rPr>
      </w:pPr>
      <w:r>
        <w:rPr>
          <w:rFonts w:cs="Arial"/>
          <w:b/>
          <w:sz w:val="28"/>
          <w:szCs w:val="28"/>
        </w:rPr>
        <w:t>Report of the Secretary General</w:t>
      </w:r>
    </w:p>
    <w:p w:rsidR="00DF2386" w:rsidRDefault="00DF2386" w:rsidP="00014168">
      <w:pPr>
        <w:rPr>
          <w:rFonts w:ascii="Garamond" w:hAnsi="Garamond" w:cs="Arial"/>
        </w:rPr>
      </w:pPr>
    </w:p>
    <w:p w:rsidR="000C2489" w:rsidRDefault="004E22B8"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581429D9" wp14:editId="1896409A">
                <wp:extent cx="5731510" cy="728831"/>
                <wp:effectExtent l="0" t="0" r="21590" b="146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8831"/>
                        </a:xfrm>
                        <a:prstGeom prst="rect">
                          <a:avLst/>
                        </a:prstGeom>
                        <a:solidFill>
                          <a:srgbClr val="FFFFFF"/>
                        </a:solidFill>
                        <a:ln w="9525">
                          <a:solidFill>
                            <a:srgbClr val="000000"/>
                          </a:solidFill>
                          <a:miter lim="800000"/>
                          <a:headEnd/>
                          <a:tailEnd/>
                        </a:ln>
                      </wps:spPr>
                      <wps:txbx>
                        <w:txbxContent>
                          <w:p w:rsidR="006905D1" w:rsidRDefault="006905D1" w:rsidP="000C2489">
                            <w:pPr>
                              <w:rPr>
                                <w:b/>
                                <w:bCs/>
                              </w:rPr>
                            </w:pPr>
                            <w:r>
                              <w:rPr>
                                <w:b/>
                                <w:bCs/>
                              </w:rPr>
                              <w:t xml:space="preserve">Actions requested: </w:t>
                            </w:r>
                          </w:p>
                          <w:p w:rsidR="006905D1" w:rsidRDefault="006905D1" w:rsidP="000C2489">
                            <w:pPr>
                              <w:pStyle w:val="ColorfulList-Accent11"/>
                              <w:ind w:left="0"/>
                            </w:pPr>
                          </w:p>
                          <w:p w:rsidR="006905D1" w:rsidRDefault="006905D1" w:rsidP="0056372E">
                            <w:pPr>
                              <w:pStyle w:val="ColorfulList-Accent11"/>
                              <w:ind w:left="0" w:firstLine="0"/>
                            </w:pPr>
                            <w:r>
                              <w:t xml:space="preserve">The Standing Committee is </w:t>
                            </w:r>
                            <w:r>
                              <w:rPr>
                                <w:rFonts w:cs="Calibri"/>
                              </w:rPr>
                              <w:t>invited to note the report of the Secretary General.</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">
                <v:textbox>
                  <w:txbxContent>
                    <w:p w:rsidR="006905D1" w:rsidRDefault="006905D1" w:rsidP="000C2489">
                      <w:pPr>
                        <w:rPr>
                          <w:b/>
                          <w:bCs/>
                        </w:rPr>
                      </w:pPr>
                      <w:r>
                        <w:rPr>
                          <w:b/>
                          <w:bCs/>
                        </w:rPr>
                        <w:t xml:space="preserve">Actions requested: </w:t>
                      </w:r>
                    </w:p>
                    <w:p w:rsidR="006905D1" w:rsidRDefault="006905D1" w:rsidP="000C2489">
                      <w:pPr>
                        <w:pStyle w:val="ColorfulList-Accent11"/>
                        <w:ind w:left="0"/>
                      </w:pPr>
                    </w:p>
                    <w:p w:rsidR="006905D1" w:rsidRDefault="006905D1" w:rsidP="0056372E">
                      <w:pPr>
                        <w:pStyle w:val="ColorfulList-Accent11"/>
                        <w:ind w:left="0" w:firstLine="0"/>
                      </w:pPr>
                      <w:r>
                        <w:t xml:space="preserve">The Standing Committee is </w:t>
                      </w:r>
                      <w:r>
                        <w:rPr>
                          <w:rFonts w:cs="Calibri"/>
                        </w:rPr>
                        <w:t>invited to note the report of the Secretary General.</w:t>
                      </w:r>
                    </w:p>
                  </w:txbxContent>
                </v:textbox>
                <w10:anchorlock/>
              </v:shape>
            </w:pict>
          </mc:Fallback>
        </mc:AlternateContent>
      </w:r>
    </w:p>
    <w:p w:rsidR="009E0AE8" w:rsidRDefault="009E0AE8" w:rsidP="00014168">
      <w:pPr>
        <w:rPr>
          <w:rFonts w:cs="Arial"/>
          <w:b/>
        </w:rPr>
      </w:pPr>
    </w:p>
    <w:p w:rsidR="009E0AE8" w:rsidRDefault="009E0AE8" w:rsidP="00014168">
      <w:pPr>
        <w:rPr>
          <w:rFonts w:cs="Arial"/>
          <w:b/>
        </w:rPr>
      </w:pPr>
    </w:p>
    <w:p w:rsidR="00E556F6" w:rsidRDefault="00FA3590">
      <w:pPr>
        <w:pStyle w:val="ListParagraph"/>
        <w:numPr>
          <w:ilvl w:val="0"/>
          <w:numId w:val="1"/>
        </w:numPr>
        <w:ind w:left="426" w:hanging="426"/>
        <w:rPr>
          <w:rFonts w:cs="Arial"/>
        </w:rPr>
      </w:pPr>
      <w:r>
        <w:rPr>
          <w:rFonts w:cs="Arial"/>
        </w:rPr>
        <w:t xml:space="preserve">This </w:t>
      </w:r>
      <w:r w:rsidR="002C6F83">
        <w:rPr>
          <w:rFonts w:cs="Arial"/>
        </w:rPr>
        <w:t>report</w:t>
      </w:r>
      <w:r>
        <w:rPr>
          <w:rFonts w:cs="Arial"/>
        </w:rPr>
        <w:t xml:space="preserve"> covers the work of the Secretariat </w:t>
      </w:r>
      <w:r w:rsidR="00654E8F">
        <w:rPr>
          <w:rFonts w:cs="Arial"/>
        </w:rPr>
        <w:t xml:space="preserve">from </w:t>
      </w:r>
      <w:r>
        <w:rPr>
          <w:rFonts w:cs="Arial"/>
        </w:rPr>
        <w:t>the 52</w:t>
      </w:r>
      <w:r w:rsidRPr="001A582E">
        <w:rPr>
          <w:rFonts w:cs="Arial"/>
          <w:vertAlign w:val="superscript"/>
        </w:rPr>
        <w:t>nd</w:t>
      </w:r>
      <w:r w:rsidR="00F7608A">
        <w:rPr>
          <w:rFonts w:cs="Arial"/>
        </w:rPr>
        <w:t xml:space="preserve"> </w:t>
      </w:r>
      <w:r>
        <w:rPr>
          <w:rFonts w:cs="Arial"/>
        </w:rPr>
        <w:t>meeting of the Standing Committee (SC52</w:t>
      </w:r>
      <w:r w:rsidR="00654E8F">
        <w:rPr>
          <w:rFonts w:cs="Arial"/>
        </w:rPr>
        <w:t>, June 2016</w:t>
      </w:r>
      <w:r>
        <w:rPr>
          <w:rFonts w:cs="Arial"/>
        </w:rPr>
        <w:t>)</w:t>
      </w:r>
      <w:r w:rsidR="002C6F83">
        <w:rPr>
          <w:rFonts w:cs="Arial"/>
        </w:rPr>
        <w:t xml:space="preserve"> </w:t>
      </w:r>
      <w:r>
        <w:rPr>
          <w:rFonts w:cs="Arial"/>
        </w:rPr>
        <w:t xml:space="preserve">until </w:t>
      </w:r>
      <w:r w:rsidR="00654E8F">
        <w:rPr>
          <w:rFonts w:cs="Arial"/>
        </w:rPr>
        <w:t xml:space="preserve">the </w:t>
      </w:r>
      <w:r>
        <w:rPr>
          <w:rFonts w:cs="Arial"/>
        </w:rPr>
        <w:t>end of February 2017. The di</w:t>
      </w:r>
      <w:r w:rsidR="002C6F83">
        <w:rPr>
          <w:rFonts w:cs="Arial"/>
        </w:rPr>
        <w:t>fferent papers prepared for the 53</w:t>
      </w:r>
      <w:r w:rsidR="002C6F83" w:rsidRPr="001A582E">
        <w:rPr>
          <w:rFonts w:cs="Arial"/>
          <w:vertAlign w:val="superscript"/>
        </w:rPr>
        <w:t>rd</w:t>
      </w:r>
      <w:r w:rsidR="00F7608A">
        <w:rPr>
          <w:rFonts w:cs="Arial"/>
        </w:rPr>
        <w:t xml:space="preserve"> </w:t>
      </w:r>
      <w:r w:rsidR="002C6F83">
        <w:rPr>
          <w:rFonts w:cs="Arial"/>
        </w:rPr>
        <w:t>meeting (SC53)</w:t>
      </w:r>
      <w:r w:rsidR="006D1EEE">
        <w:rPr>
          <w:rFonts w:cs="Arial"/>
        </w:rPr>
        <w:t xml:space="preserve"> address</w:t>
      </w:r>
      <w:r>
        <w:rPr>
          <w:rFonts w:cs="Arial"/>
        </w:rPr>
        <w:t xml:space="preserve"> various areas of the Secretariat’s work</w:t>
      </w:r>
      <w:r w:rsidR="00654E8F">
        <w:rPr>
          <w:rFonts w:cs="Arial"/>
        </w:rPr>
        <w:t>.</w:t>
      </w:r>
      <w:r>
        <w:rPr>
          <w:rFonts w:cs="Arial"/>
        </w:rPr>
        <w:t xml:space="preserve"> </w:t>
      </w:r>
      <w:r w:rsidR="00654E8F">
        <w:rPr>
          <w:rFonts w:cs="Arial"/>
        </w:rPr>
        <w:t>The present</w:t>
      </w:r>
      <w:r w:rsidR="00D7382B">
        <w:rPr>
          <w:rFonts w:cs="Arial"/>
        </w:rPr>
        <w:t xml:space="preserve"> report provides an overview and </w:t>
      </w:r>
      <w:r w:rsidR="002C6F83">
        <w:rPr>
          <w:rFonts w:cs="Arial"/>
        </w:rPr>
        <w:t xml:space="preserve">selected </w:t>
      </w:r>
      <w:r w:rsidR="00D7382B">
        <w:rPr>
          <w:rFonts w:cs="Arial"/>
        </w:rPr>
        <w:t xml:space="preserve">highlights of this work, with </w:t>
      </w:r>
      <w:r w:rsidR="00654E8F">
        <w:rPr>
          <w:rFonts w:cs="Arial"/>
        </w:rPr>
        <w:t xml:space="preserve">a </w:t>
      </w:r>
      <w:r w:rsidR="00D7382B">
        <w:rPr>
          <w:rFonts w:cs="Arial"/>
        </w:rPr>
        <w:t xml:space="preserve">special focus on activities carried </w:t>
      </w:r>
      <w:r w:rsidR="002C6F83">
        <w:rPr>
          <w:rFonts w:cs="Arial"/>
        </w:rPr>
        <w:t xml:space="preserve">out </w:t>
      </w:r>
      <w:r w:rsidR="00D7382B">
        <w:rPr>
          <w:rFonts w:cs="Arial"/>
        </w:rPr>
        <w:t xml:space="preserve">since 22 August 2016, when the Secretary </w:t>
      </w:r>
      <w:r>
        <w:rPr>
          <w:rFonts w:cs="Arial"/>
        </w:rPr>
        <w:t xml:space="preserve">General appointed at SC52 </w:t>
      </w:r>
      <w:r w:rsidR="00D7382B">
        <w:rPr>
          <w:rFonts w:cs="Arial"/>
        </w:rPr>
        <w:t>took office.</w:t>
      </w:r>
    </w:p>
    <w:p w:rsidR="00D7382B" w:rsidRDefault="00D7382B" w:rsidP="008A50BA">
      <w:pPr>
        <w:pStyle w:val="ListParagraph"/>
        <w:ind w:left="426"/>
        <w:rPr>
          <w:rFonts w:cs="Arial"/>
        </w:rPr>
      </w:pPr>
    </w:p>
    <w:p w:rsidR="00E556F6" w:rsidRDefault="008A50BA">
      <w:pPr>
        <w:pStyle w:val="ListParagraph"/>
        <w:numPr>
          <w:ilvl w:val="0"/>
          <w:numId w:val="1"/>
        </w:numPr>
        <w:ind w:left="426" w:hanging="426"/>
        <w:rPr>
          <w:b/>
        </w:rPr>
      </w:pPr>
      <w:r w:rsidRPr="002C6F83">
        <w:rPr>
          <w:rFonts w:cs="Arial"/>
        </w:rPr>
        <w:t>As agreed with the Executive Team, the Secretary General conducted a b</w:t>
      </w:r>
      <w:r w:rsidR="00D7382B">
        <w:t xml:space="preserve">road external and internal consultation </w:t>
      </w:r>
      <w:r w:rsidR="006D1EEE">
        <w:t>with</w:t>
      </w:r>
      <w:r w:rsidR="006D1EEE" w:rsidRPr="0074075A">
        <w:rPr>
          <w:lang w:eastAsia="en-GB"/>
        </w:rPr>
        <w:t xml:space="preserve"> </w:t>
      </w:r>
      <w:r w:rsidR="006D1EEE">
        <w:rPr>
          <w:lang w:eastAsia="en-GB"/>
        </w:rPr>
        <w:t xml:space="preserve">representatives </w:t>
      </w:r>
      <w:r w:rsidR="006D1EEE" w:rsidRPr="0074075A">
        <w:rPr>
          <w:lang w:eastAsia="en-GB"/>
        </w:rPr>
        <w:t>from C</w:t>
      </w:r>
      <w:r w:rsidR="006D1EEE">
        <w:rPr>
          <w:lang w:eastAsia="en-GB"/>
        </w:rPr>
        <w:t xml:space="preserve">ontracting </w:t>
      </w:r>
      <w:r w:rsidR="006D1EEE" w:rsidRPr="0074075A">
        <w:rPr>
          <w:lang w:eastAsia="en-GB"/>
        </w:rPr>
        <w:t>P</w:t>
      </w:r>
      <w:r w:rsidR="006D1EEE">
        <w:rPr>
          <w:lang w:eastAsia="en-GB"/>
        </w:rPr>
        <w:t>arties, including chairs of subsidiary bodies and working groups,</w:t>
      </w:r>
      <w:r w:rsidR="006D1EEE" w:rsidRPr="0074075A">
        <w:rPr>
          <w:lang w:eastAsia="en-GB"/>
        </w:rPr>
        <w:t xml:space="preserve"> he</w:t>
      </w:r>
      <w:r w:rsidR="006D1EEE">
        <w:rPr>
          <w:lang w:eastAsia="en-GB"/>
        </w:rPr>
        <w:t xml:space="preserve">ads of </w:t>
      </w:r>
      <w:r w:rsidR="00FB58FF">
        <w:rPr>
          <w:lang w:eastAsia="en-GB"/>
        </w:rPr>
        <w:t>c</w:t>
      </w:r>
      <w:r w:rsidR="006D1EEE">
        <w:rPr>
          <w:lang w:eastAsia="en-GB"/>
        </w:rPr>
        <w:t xml:space="preserve">onvention </w:t>
      </w:r>
      <w:r w:rsidR="00FB58FF">
        <w:rPr>
          <w:lang w:eastAsia="en-GB"/>
        </w:rPr>
        <w:t>s</w:t>
      </w:r>
      <w:r w:rsidR="006D1EEE">
        <w:rPr>
          <w:lang w:eastAsia="en-GB"/>
        </w:rPr>
        <w:t xml:space="preserve">ecretariats and International </w:t>
      </w:r>
      <w:r w:rsidR="006D1EEE" w:rsidRPr="0074075A">
        <w:rPr>
          <w:lang w:eastAsia="en-GB"/>
        </w:rPr>
        <w:t>O</w:t>
      </w:r>
      <w:r w:rsidR="006D1EEE">
        <w:rPr>
          <w:lang w:eastAsia="en-GB"/>
        </w:rPr>
        <w:t xml:space="preserve">rganization </w:t>
      </w:r>
      <w:r w:rsidR="006D1EEE" w:rsidRPr="0074075A">
        <w:rPr>
          <w:lang w:eastAsia="en-GB"/>
        </w:rPr>
        <w:t>P</w:t>
      </w:r>
      <w:r w:rsidR="006D1EEE">
        <w:rPr>
          <w:lang w:eastAsia="en-GB"/>
        </w:rPr>
        <w:t>artners</w:t>
      </w:r>
      <w:r w:rsidR="003E4B0F">
        <w:rPr>
          <w:lang w:eastAsia="en-GB"/>
        </w:rPr>
        <w:t xml:space="preserve"> (IOPs),</w:t>
      </w:r>
      <w:r w:rsidR="006D1EEE">
        <w:rPr>
          <w:lang w:eastAsia="en-GB"/>
        </w:rPr>
        <w:t xml:space="preserve"> and other external stakeholders, as well as all the staff members of the Secretariat. The consultation focused on</w:t>
      </w:r>
      <w:r w:rsidR="00D7382B">
        <w:t xml:space="preserve"> identify</w:t>
      </w:r>
      <w:r w:rsidR="006D1EEE">
        <w:t xml:space="preserve">ing </w:t>
      </w:r>
      <w:r w:rsidR="00D7382B">
        <w:t>strengths, weaknesses and opportunitie</w:t>
      </w:r>
      <w:r w:rsidR="003E4B0F">
        <w:t>s</w:t>
      </w:r>
      <w:r w:rsidR="008B3827">
        <w:t xml:space="preserve"> in</w:t>
      </w:r>
      <w:r w:rsidR="002C6F83">
        <w:t xml:space="preserve"> the implementation of the Convention and work of the Secretariat, in</w:t>
      </w:r>
      <w:r w:rsidR="006D1EEE">
        <w:t xml:space="preserve">cluding gaps in capacities. </w:t>
      </w:r>
      <w:r w:rsidR="006D1EEE">
        <w:rPr>
          <w:lang w:eastAsia="en-GB"/>
        </w:rPr>
        <w:t>E</w:t>
      </w:r>
      <w:r w:rsidR="008B3827">
        <w:t xml:space="preserve">fforts are ongoing to strengthen the work of the Secretariat so that it can effectively deliver on its mandate </w:t>
      </w:r>
      <w:r w:rsidR="00154A04">
        <w:t>specified</w:t>
      </w:r>
      <w:r w:rsidR="008B3827">
        <w:t xml:space="preserve"> </w:t>
      </w:r>
      <w:r w:rsidR="00A6304C">
        <w:t>in Article 8 of the Conventio</w:t>
      </w:r>
      <w:r w:rsidR="002C6F83">
        <w:t>n</w:t>
      </w:r>
      <w:r w:rsidR="00A6304C">
        <w:t>, implement the instructions given to it by the Conference of the Contracting Parties and the Standing Committee,</w:t>
      </w:r>
      <w:r w:rsidR="008B3827">
        <w:t xml:space="preserve"> and support Parties to implement the Strategic Plan of the Convention. </w:t>
      </w:r>
      <w:r w:rsidR="00154A04">
        <w:t>The m</w:t>
      </w:r>
      <w:r w:rsidR="008B3827">
        <w:t>ain areas for this are mentioned below with some highlights of actions taken.</w:t>
      </w:r>
    </w:p>
    <w:p w:rsidR="007A314E" w:rsidRDefault="007A314E" w:rsidP="006D1EEE">
      <w:pPr>
        <w:pStyle w:val="ListParagraph"/>
        <w:rPr>
          <w:b/>
          <w:u w:val="single"/>
        </w:rPr>
      </w:pPr>
    </w:p>
    <w:p w:rsidR="007A314E" w:rsidRDefault="007A314E" w:rsidP="006D1EEE">
      <w:pPr>
        <w:pStyle w:val="ListParagraph"/>
        <w:rPr>
          <w:b/>
          <w:u w:val="single"/>
        </w:rPr>
      </w:pPr>
    </w:p>
    <w:p w:rsidR="007A314E" w:rsidRPr="007A314E" w:rsidRDefault="007A314E" w:rsidP="007A314E">
      <w:pPr>
        <w:ind w:left="0" w:firstLine="0"/>
        <w:rPr>
          <w:b/>
        </w:rPr>
      </w:pPr>
      <w:r w:rsidRPr="007A314E">
        <w:rPr>
          <w:b/>
        </w:rPr>
        <w:t>Strengthening service to Contracting Parties’ decision-making and accountability</w:t>
      </w:r>
    </w:p>
    <w:p w:rsidR="007A314E" w:rsidRPr="006D1EEE" w:rsidRDefault="007A314E" w:rsidP="006D1EEE">
      <w:pPr>
        <w:pStyle w:val="ListParagraph"/>
        <w:rPr>
          <w:b/>
          <w:u w:val="single"/>
        </w:rPr>
      </w:pPr>
    </w:p>
    <w:p w:rsidR="00E556F6" w:rsidRDefault="00F7608A" w:rsidP="00AB1B7C">
      <w:pPr>
        <w:pStyle w:val="ListParagraph"/>
        <w:numPr>
          <w:ilvl w:val="0"/>
          <w:numId w:val="1"/>
        </w:numPr>
        <w:ind w:left="425" w:hanging="425"/>
        <w:rPr>
          <w:b/>
        </w:rPr>
      </w:pPr>
      <w:r>
        <w:rPr>
          <w:b/>
        </w:rPr>
        <w:t xml:space="preserve"> </w:t>
      </w:r>
      <w:r w:rsidR="006D1EEE">
        <w:t xml:space="preserve">A </w:t>
      </w:r>
      <w:r w:rsidR="00DD458F">
        <w:t xml:space="preserve">major area </w:t>
      </w:r>
      <w:r w:rsidR="005D5340">
        <w:t>identified for</w:t>
      </w:r>
      <w:r w:rsidR="00CF6F6F">
        <w:t xml:space="preserve"> improvement was</w:t>
      </w:r>
      <w:r w:rsidR="00DD458F">
        <w:t xml:space="preserve"> the delivery of the Secretariat’s core role of servicing Contracting Parties, including the </w:t>
      </w:r>
      <w:r w:rsidR="006D1EEE" w:rsidRPr="006D1EEE">
        <w:rPr>
          <w:rFonts w:cs="Arial"/>
        </w:rPr>
        <w:t>organization of meetings of governing</w:t>
      </w:r>
      <w:r w:rsidR="00DD458F">
        <w:rPr>
          <w:rFonts w:cs="Arial"/>
        </w:rPr>
        <w:t xml:space="preserve"> and subsidiary</w:t>
      </w:r>
      <w:r w:rsidR="006D1EEE" w:rsidRPr="006D1EEE">
        <w:rPr>
          <w:rFonts w:cs="Arial"/>
        </w:rPr>
        <w:t xml:space="preserve"> bodies</w:t>
      </w:r>
      <w:r w:rsidR="00DD458F">
        <w:rPr>
          <w:rFonts w:cs="Arial"/>
        </w:rPr>
        <w:t xml:space="preserve"> and </w:t>
      </w:r>
      <w:r w:rsidR="006D1EEE" w:rsidRPr="006D1EEE">
        <w:rPr>
          <w:rFonts w:cs="Arial"/>
        </w:rPr>
        <w:t xml:space="preserve">accountability </w:t>
      </w:r>
      <w:r w:rsidR="00E81C2D">
        <w:rPr>
          <w:rFonts w:cs="Arial"/>
        </w:rPr>
        <w:t xml:space="preserve">in all </w:t>
      </w:r>
      <w:r w:rsidR="00DD458F">
        <w:rPr>
          <w:rFonts w:cs="Arial"/>
        </w:rPr>
        <w:t xml:space="preserve">the </w:t>
      </w:r>
      <w:r w:rsidR="00E81C2D">
        <w:rPr>
          <w:rFonts w:cs="Arial"/>
        </w:rPr>
        <w:t xml:space="preserve">work of the </w:t>
      </w:r>
      <w:r w:rsidR="00DD458F">
        <w:rPr>
          <w:rFonts w:cs="Arial"/>
        </w:rPr>
        <w:t>Secretariat</w:t>
      </w:r>
      <w:r w:rsidR="00E81C2D">
        <w:rPr>
          <w:rFonts w:cs="Arial"/>
        </w:rPr>
        <w:t xml:space="preserve"> </w:t>
      </w:r>
      <w:r w:rsidR="00DD458F">
        <w:rPr>
          <w:rFonts w:cs="Arial"/>
        </w:rPr>
        <w:t xml:space="preserve">to </w:t>
      </w:r>
      <w:r w:rsidR="005D5340">
        <w:rPr>
          <w:rFonts w:cs="Arial"/>
        </w:rPr>
        <w:t xml:space="preserve">implement </w:t>
      </w:r>
      <w:r w:rsidR="00DD458F">
        <w:rPr>
          <w:rFonts w:cs="Arial"/>
        </w:rPr>
        <w:t>decisions and requests from the Contracting Parties.</w:t>
      </w:r>
      <w:r w:rsidR="003E4B0F">
        <w:rPr>
          <w:rFonts w:cs="Arial"/>
        </w:rPr>
        <w:t xml:space="preserve"> This is being addressed by refocusing</w:t>
      </w:r>
      <w:r w:rsidR="00E81C2D">
        <w:rPr>
          <w:rFonts w:cs="Arial"/>
        </w:rPr>
        <w:t xml:space="preserve"> the</w:t>
      </w:r>
      <w:r w:rsidR="005D5340">
        <w:rPr>
          <w:rFonts w:cs="Arial"/>
        </w:rPr>
        <w:t xml:space="preserve"> job description of the </w:t>
      </w:r>
      <w:r w:rsidR="00DD458F">
        <w:rPr>
          <w:rFonts w:cs="Arial"/>
        </w:rPr>
        <w:t xml:space="preserve">Deputy Secretary </w:t>
      </w:r>
      <w:r w:rsidR="005D5340">
        <w:rPr>
          <w:rFonts w:cs="Arial"/>
        </w:rPr>
        <w:t>General</w:t>
      </w:r>
      <w:r w:rsidR="00DD458F">
        <w:rPr>
          <w:rFonts w:cs="Arial"/>
        </w:rPr>
        <w:t xml:space="preserve"> to this core function (see below</w:t>
      </w:r>
      <w:r w:rsidR="005D5EB1">
        <w:rPr>
          <w:rFonts w:cs="Arial"/>
        </w:rPr>
        <w:t xml:space="preserve"> at paragraph 27</w:t>
      </w:r>
      <w:r w:rsidR="00DD458F">
        <w:rPr>
          <w:rFonts w:cs="Arial"/>
        </w:rPr>
        <w:t>) an</w:t>
      </w:r>
      <w:r w:rsidR="003E4B0F">
        <w:rPr>
          <w:rFonts w:cs="Arial"/>
        </w:rPr>
        <w:t>d prio</w:t>
      </w:r>
      <w:r w:rsidR="00CF6F6F">
        <w:rPr>
          <w:rFonts w:cs="Arial"/>
        </w:rPr>
        <w:t>ritization</w:t>
      </w:r>
      <w:r w:rsidR="00DD458F">
        <w:rPr>
          <w:rFonts w:cs="Arial"/>
        </w:rPr>
        <w:t xml:space="preserve"> </w:t>
      </w:r>
      <w:r w:rsidR="00CF6F6F">
        <w:rPr>
          <w:rFonts w:cs="Arial"/>
        </w:rPr>
        <w:t xml:space="preserve">of this area </w:t>
      </w:r>
      <w:r w:rsidR="00DD458F">
        <w:rPr>
          <w:rFonts w:cs="Arial"/>
        </w:rPr>
        <w:t>in the whole team’s wo</w:t>
      </w:r>
      <w:r w:rsidR="00DD458F" w:rsidRPr="00952956">
        <w:rPr>
          <w:rFonts w:cs="Arial"/>
        </w:rPr>
        <w:t xml:space="preserve">rk (see document </w:t>
      </w:r>
      <w:r w:rsidR="00AB1B7C" w:rsidRPr="00952956">
        <w:rPr>
          <w:rFonts w:cs="Arial"/>
        </w:rPr>
        <w:t xml:space="preserve">SC53-09 </w:t>
      </w:r>
      <w:r w:rsidR="00AB1B7C" w:rsidRPr="00952956">
        <w:rPr>
          <w:rFonts w:cs="Arial"/>
          <w:i/>
        </w:rPr>
        <w:t>Integrated 2017 Annual Work Plan and 2016-2018 Triennial Work Plan for the Secretariat</w:t>
      </w:r>
      <w:r w:rsidR="00DD458F" w:rsidRPr="00952956">
        <w:rPr>
          <w:rFonts w:cs="Arial"/>
        </w:rPr>
        <w:t>).</w:t>
      </w:r>
    </w:p>
    <w:p w:rsidR="003E4B0F" w:rsidRDefault="003E4B0F" w:rsidP="003E4B0F">
      <w:pPr>
        <w:pStyle w:val="ListParagraph"/>
      </w:pPr>
    </w:p>
    <w:p w:rsidR="00E556F6" w:rsidRDefault="00DD458F" w:rsidP="006738AD">
      <w:pPr>
        <w:pStyle w:val="ListParagraph"/>
        <w:numPr>
          <w:ilvl w:val="0"/>
          <w:numId w:val="1"/>
        </w:numPr>
        <w:ind w:left="425" w:hanging="425"/>
      </w:pPr>
      <w:r>
        <w:t>Highlights in this area during the reporting period include the organization of the 20</w:t>
      </w:r>
      <w:r w:rsidRPr="00FC4991">
        <w:rPr>
          <w:vertAlign w:val="superscript"/>
        </w:rPr>
        <w:t>th</w:t>
      </w:r>
      <w:r w:rsidR="00FC4991">
        <w:t xml:space="preserve"> </w:t>
      </w:r>
      <w:r>
        <w:t>meeting of the Scientific and Technical Review Panel (STRP20), which</w:t>
      </w:r>
      <w:r w:rsidR="00634C0A" w:rsidRPr="003E4B0F">
        <w:t xml:space="preserve"> was held in Gland, Switzerland, from</w:t>
      </w:r>
      <w:r w:rsidR="003E4B0F">
        <w:t xml:space="preserve"> 13 to 17 February 2017. </w:t>
      </w:r>
      <w:r w:rsidR="00946B96">
        <w:t>Fifteen</w:t>
      </w:r>
      <w:r w:rsidR="00634C0A" w:rsidRPr="003E4B0F">
        <w:t xml:space="preserve"> STRP members and 29 observers attended, including STRP National Focal Points from Austria, the Czech Republic, Denmark, Finland, and the United Kingdom</w:t>
      </w:r>
      <w:r w:rsidR="00946B96">
        <w:t xml:space="preserve"> of Great Britain and Northern Ireland</w:t>
      </w:r>
      <w:r w:rsidR="00634C0A" w:rsidRPr="003E4B0F">
        <w:t>. The main focus of the meeting was on progressing the tasks desi</w:t>
      </w:r>
      <w:r w:rsidR="003E4B0F">
        <w:t>gnated as high priority by the S</w:t>
      </w:r>
      <w:r w:rsidR="00634C0A" w:rsidRPr="003E4B0F">
        <w:t xml:space="preserve">tanding Committee at </w:t>
      </w:r>
      <w:r w:rsidR="00FC4991">
        <w:t>SC52.</w:t>
      </w:r>
      <w:r w:rsidR="003E4B0F">
        <w:t xml:space="preserve"> (</w:t>
      </w:r>
      <w:r w:rsidR="00FC4991" w:rsidRPr="00952956">
        <w:t>S</w:t>
      </w:r>
      <w:r w:rsidR="003E4B0F" w:rsidRPr="00952956">
        <w:t xml:space="preserve">ee </w:t>
      </w:r>
      <w:r w:rsidR="00FC4991">
        <w:t xml:space="preserve">document </w:t>
      </w:r>
      <w:r w:rsidR="00FC4991" w:rsidRPr="00FC4991">
        <w:t xml:space="preserve">SC53-10 </w:t>
      </w:r>
      <w:r w:rsidR="00FC4991" w:rsidRPr="00FC4991">
        <w:rPr>
          <w:i/>
        </w:rPr>
        <w:t>Report of the Chair of the Scientific and Technical Review Panel (STRP)</w:t>
      </w:r>
      <w:r w:rsidR="00634C0A" w:rsidRPr="003E4B0F">
        <w:t xml:space="preserve"> for </w:t>
      </w:r>
      <w:r w:rsidR="00634C0A" w:rsidRPr="003E4B0F">
        <w:lastRenderedPageBreak/>
        <w:t>further details on each of the high priority tasks</w:t>
      </w:r>
      <w:r w:rsidR="00FC4991">
        <w:t>.</w:t>
      </w:r>
      <w:r w:rsidR="00634C0A" w:rsidRPr="003E4B0F">
        <w:t xml:space="preserve">) Part of STRP20 was also devoted to </w:t>
      </w:r>
      <w:r w:rsidR="006B7D12">
        <w:t xml:space="preserve">the process of </w:t>
      </w:r>
      <w:r w:rsidR="00634C0A" w:rsidRPr="003E4B0F">
        <w:t>begin</w:t>
      </w:r>
      <w:r w:rsidR="006B7D12">
        <w:t>ning</w:t>
      </w:r>
      <w:r w:rsidR="00634C0A" w:rsidRPr="003E4B0F">
        <w:t xml:space="preserve"> </w:t>
      </w:r>
      <w:r w:rsidR="006B7D12">
        <w:t xml:space="preserve">to </w:t>
      </w:r>
      <w:r w:rsidR="00634C0A" w:rsidRPr="003E4B0F">
        <w:t>identify future priorities for the next STRP work plan, which will undergo consultation in due course and be submitted to COP13. To help inform this process, representatives from the Secretariats of the C</w:t>
      </w:r>
      <w:r w:rsidR="003E4B0F">
        <w:t xml:space="preserve">onvention on </w:t>
      </w:r>
      <w:r w:rsidR="00634C0A" w:rsidRPr="003E4B0F">
        <w:t>B</w:t>
      </w:r>
      <w:r w:rsidR="003E4B0F">
        <w:t xml:space="preserve">iological </w:t>
      </w:r>
      <w:r w:rsidR="00634C0A" w:rsidRPr="003E4B0F">
        <w:t>D</w:t>
      </w:r>
      <w:r w:rsidR="003E4B0F">
        <w:t>iversity (CBD)</w:t>
      </w:r>
      <w:r w:rsidR="006738AD">
        <w:t>,</w:t>
      </w:r>
      <w:r w:rsidR="00634C0A" w:rsidRPr="003E4B0F">
        <w:t xml:space="preserve"> </w:t>
      </w:r>
      <w:r w:rsidR="009130E8">
        <w:t xml:space="preserve">the </w:t>
      </w:r>
      <w:r w:rsidR="00634C0A" w:rsidRPr="003E4B0F">
        <w:t>U</w:t>
      </w:r>
      <w:r w:rsidR="003E4B0F">
        <w:t xml:space="preserve">nited </w:t>
      </w:r>
      <w:r w:rsidR="00634C0A" w:rsidRPr="003E4B0F">
        <w:t>N</w:t>
      </w:r>
      <w:r w:rsidR="003E4B0F">
        <w:t xml:space="preserve">ations </w:t>
      </w:r>
      <w:r w:rsidR="00634C0A" w:rsidRPr="003E4B0F">
        <w:t>C</w:t>
      </w:r>
      <w:r w:rsidR="003E4B0F">
        <w:t xml:space="preserve">onvention </w:t>
      </w:r>
      <w:r w:rsidR="009130E8">
        <w:t>to Combat</w:t>
      </w:r>
      <w:r w:rsidR="003E4B0F">
        <w:t xml:space="preserve"> Desertification (UNC</w:t>
      </w:r>
      <w:r w:rsidR="00634C0A" w:rsidRPr="003E4B0F">
        <w:t>CD</w:t>
      </w:r>
      <w:r w:rsidR="003E4B0F">
        <w:t>)</w:t>
      </w:r>
      <w:r w:rsidR="00634C0A" w:rsidRPr="003E4B0F">
        <w:t xml:space="preserve"> and the Technical Committee of </w:t>
      </w:r>
      <w:r w:rsidR="009130E8">
        <w:t>Agreement on the Conservation of African-Eurasian Migratory Waterbirds (</w:t>
      </w:r>
      <w:r w:rsidR="00634C0A" w:rsidRPr="003E4B0F">
        <w:t>AEWA</w:t>
      </w:r>
      <w:r w:rsidR="009130E8">
        <w:t>)</w:t>
      </w:r>
      <w:r w:rsidR="00634C0A" w:rsidRPr="003E4B0F">
        <w:t xml:space="preserve"> provided presentations on possible opportunities for future collaboration.</w:t>
      </w:r>
    </w:p>
    <w:p w:rsidR="003E4B0F" w:rsidRDefault="003E4B0F" w:rsidP="003E4B0F">
      <w:pPr>
        <w:pStyle w:val="ListParagraph"/>
      </w:pPr>
    </w:p>
    <w:p w:rsidR="00E556F6" w:rsidRDefault="00A87F36">
      <w:pPr>
        <w:pStyle w:val="ListParagraph"/>
        <w:numPr>
          <w:ilvl w:val="0"/>
          <w:numId w:val="1"/>
        </w:numPr>
        <w:ind w:left="425" w:hanging="425"/>
      </w:pPr>
      <w:r w:rsidRPr="003E4B0F">
        <w:t xml:space="preserve">In addition to supporting the organization </w:t>
      </w:r>
      <w:r w:rsidR="003E4B0F">
        <w:t>of STRP20</w:t>
      </w:r>
      <w:r w:rsidRPr="003E4B0F">
        <w:t xml:space="preserve">, including documents and logistics, the Secretariat facilitated the preparatory work for some of the high priority tasks, as follows: </w:t>
      </w:r>
    </w:p>
    <w:p w:rsidR="00F4166F" w:rsidRDefault="00A87F36" w:rsidP="006738AD">
      <w:pPr>
        <w:pStyle w:val="ListParagraph"/>
        <w:numPr>
          <w:ilvl w:val="0"/>
          <w:numId w:val="2"/>
        </w:numPr>
        <w:ind w:left="850" w:hanging="425"/>
      </w:pPr>
      <w:r w:rsidRPr="003E4B0F">
        <w:t>a</w:t>
      </w:r>
      <w:r w:rsidR="00634C0A" w:rsidRPr="003E4B0F">
        <w:t xml:space="preserve"> drafting workshop for </w:t>
      </w:r>
      <w:r w:rsidR="003E4B0F">
        <w:t>the</w:t>
      </w:r>
      <w:r w:rsidR="00634C0A" w:rsidRPr="003E4B0F">
        <w:t xml:space="preserve"> </w:t>
      </w:r>
      <w:r w:rsidR="003E4B0F" w:rsidRPr="00C14B9F">
        <w:rPr>
          <w:i/>
        </w:rPr>
        <w:t>State of the World’s Wetlands and their Services t</w:t>
      </w:r>
      <w:r w:rsidR="00EF77EC" w:rsidRPr="00C14B9F">
        <w:rPr>
          <w:i/>
        </w:rPr>
        <w:t xml:space="preserve">o </w:t>
      </w:r>
      <w:r w:rsidR="003E4B0F" w:rsidRPr="00C14B9F">
        <w:rPr>
          <w:i/>
        </w:rPr>
        <w:t>People</w:t>
      </w:r>
      <w:r w:rsidR="00634C0A" w:rsidRPr="003E4B0F">
        <w:t> in Changshu, China, on the margins of the 10</w:t>
      </w:r>
      <w:r w:rsidR="003E4B0F" w:rsidRPr="006738AD">
        <w:rPr>
          <w:vertAlign w:val="superscript"/>
        </w:rPr>
        <w:t>th</w:t>
      </w:r>
      <w:r w:rsidR="006738AD">
        <w:t xml:space="preserve"> </w:t>
      </w:r>
      <w:r w:rsidR="003E4B0F">
        <w:t>INTECOL C</w:t>
      </w:r>
      <w:r w:rsidR="00634C0A" w:rsidRPr="003E4B0F">
        <w:t>onference (20 to 23 September 2016);</w:t>
      </w:r>
    </w:p>
    <w:p w:rsidR="00F4166F" w:rsidRDefault="00A87F36" w:rsidP="006738AD">
      <w:pPr>
        <w:pStyle w:val="ListParagraph"/>
        <w:numPr>
          <w:ilvl w:val="0"/>
          <w:numId w:val="2"/>
        </w:numPr>
        <w:ind w:left="850" w:hanging="425"/>
      </w:pPr>
      <w:r w:rsidRPr="003E4B0F">
        <w:t xml:space="preserve">a </w:t>
      </w:r>
      <w:r w:rsidR="00634C0A" w:rsidRPr="003E4B0F">
        <w:t>drafting workshop for Task 3.1</w:t>
      </w:r>
      <w:r w:rsidR="006738AD" w:rsidRPr="006738AD">
        <w:t xml:space="preserve"> </w:t>
      </w:r>
      <w:r w:rsidR="006738AD" w:rsidRPr="003E4B0F">
        <w:t>at the Head</w:t>
      </w:r>
      <w:r w:rsidR="006738AD">
        <w:t>q</w:t>
      </w:r>
      <w:r w:rsidR="006738AD" w:rsidRPr="003E4B0F">
        <w:t xml:space="preserve">uarters of Wetlands </w:t>
      </w:r>
      <w:r w:rsidR="006738AD">
        <w:t>International</w:t>
      </w:r>
      <w:r w:rsidR="00634C0A" w:rsidRPr="003E4B0F">
        <w:t xml:space="preserve"> in Ede, </w:t>
      </w:r>
      <w:r w:rsidR="006738AD">
        <w:t xml:space="preserve">the </w:t>
      </w:r>
      <w:r w:rsidR="00634C0A" w:rsidRPr="003E4B0F">
        <w:t>Netherlands</w:t>
      </w:r>
      <w:r w:rsidR="00E81C2D">
        <w:t xml:space="preserve"> (29 November to </w:t>
      </w:r>
      <w:r w:rsidR="00634C0A" w:rsidRPr="003E4B0F">
        <w:t>2 December 2016)</w:t>
      </w:r>
      <w:r w:rsidRPr="003E4B0F">
        <w:t>; and</w:t>
      </w:r>
    </w:p>
    <w:p w:rsidR="00F4166F" w:rsidRDefault="00E81C2D" w:rsidP="006738AD">
      <w:pPr>
        <w:pStyle w:val="ListParagraph"/>
        <w:numPr>
          <w:ilvl w:val="0"/>
          <w:numId w:val="2"/>
        </w:numPr>
        <w:ind w:left="850" w:hanging="425"/>
      </w:pPr>
      <w:r>
        <w:t xml:space="preserve">a </w:t>
      </w:r>
      <w:r w:rsidR="00634C0A" w:rsidRPr="003E4B0F">
        <w:t>drafting workshop for Task 1.1 in Vientiane, Lao P.D.R</w:t>
      </w:r>
      <w:r w:rsidR="006738AD">
        <w:t>.</w:t>
      </w:r>
      <w:r w:rsidR="00634C0A" w:rsidRPr="003E4B0F">
        <w:t xml:space="preserve"> (13 to 15 December</w:t>
      </w:r>
      <w:r>
        <w:t xml:space="preserve"> 2016</w:t>
      </w:r>
      <w:r w:rsidR="00634C0A" w:rsidRPr="003E4B0F">
        <w:t>).</w:t>
      </w:r>
    </w:p>
    <w:p w:rsidR="003E4B0F" w:rsidRDefault="00875137" w:rsidP="00875137">
      <w:pPr>
        <w:tabs>
          <w:tab w:val="left" w:pos="425"/>
          <w:tab w:val="left" w:pos="720"/>
        </w:tabs>
      </w:pPr>
      <w:r>
        <w:tab/>
      </w:r>
      <w:r w:rsidR="00634C0A" w:rsidRPr="003E4B0F">
        <w:t xml:space="preserve">Preparatory work on </w:t>
      </w:r>
      <w:r w:rsidR="003E4B0F">
        <w:t xml:space="preserve">task 1.2 was also conducted at </w:t>
      </w:r>
      <w:r w:rsidR="00634C0A" w:rsidRPr="003E4B0F">
        <w:t>an international peatlands workshop in Vilm, Germany, hosted by the German Federal Agency for Nature Conservation (11 to 14 September 2016).</w:t>
      </w:r>
      <w:r w:rsidR="00F7608A">
        <w:t xml:space="preserve"> </w:t>
      </w:r>
      <w:r w:rsidR="00634C0A" w:rsidRPr="003E4B0F">
        <w:t xml:space="preserve">Overall, </w:t>
      </w:r>
      <w:r w:rsidR="00A87F36" w:rsidRPr="003E4B0F">
        <w:t>STRP20</w:t>
      </w:r>
      <w:r w:rsidR="00634C0A" w:rsidRPr="003E4B0F">
        <w:t xml:space="preserve"> was a highly productive meeting</w:t>
      </w:r>
      <w:r w:rsidR="00A87F36" w:rsidRPr="003E4B0F">
        <w:t xml:space="preserve"> </w:t>
      </w:r>
      <w:r w:rsidR="00634C0A" w:rsidRPr="003E4B0F">
        <w:t>and the entire Secretariat</w:t>
      </w:r>
      <w:r w:rsidR="003E4B0F">
        <w:t xml:space="preserve"> team collaborated to ensure its</w:t>
      </w:r>
      <w:r w:rsidR="00634C0A" w:rsidRPr="003E4B0F">
        <w:t xml:space="preserve"> success. Participants expressed satisfaction with the organi</w:t>
      </w:r>
      <w:r w:rsidR="004B21BB">
        <w:t>z</w:t>
      </w:r>
      <w:r w:rsidR="00634C0A" w:rsidRPr="003E4B0F">
        <w:t>ation and running of the meeting.</w:t>
      </w:r>
    </w:p>
    <w:p w:rsidR="003E4B0F" w:rsidRDefault="003E4B0F" w:rsidP="003E4B0F">
      <w:pPr>
        <w:pStyle w:val="ListParagraph"/>
      </w:pPr>
    </w:p>
    <w:p w:rsidR="00E556F6" w:rsidRDefault="003E4B0F">
      <w:pPr>
        <w:pStyle w:val="ListParagraph"/>
        <w:numPr>
          <w:ilvl w:val="0"/>
          <w:numId w:val="1"/>
        </w:numPr>
        <w:ind w:left="426" w:hanging="426"/>
      </w:pPr>
      <w:r>
        <w:t>Another highlight is the ongoing work to prepare SC53. A full review of existing decision</w:t>
      </w:r>
      <w:r w:rsidR="00D249EF">
        <w:t>s</w:t>
      </w:r>
      <w:r>
        <w:t xml:space="preserve"> and </w:t>
      </w:r>
      <w:r w:rsidR="006738AD">
        <w:t>R</w:t>
      </w:r>
      <w:r>
        <w:t xml:space="preserve">esolutions was conducted to ensure that requests from Contracting Parties were followed up and relevant items included in the agenda of the meeting. </w:t>
      </w:r>
      <w:r w:rsidR="005004AE">
        <w:t>Guidance for the preparation of documents was also developed to ensure consistency. The Secretariat facilitated the operation of working groups in charge of preparing recommendations and updates to SC53 and drafted documents for the meeting. Logistics are being taken care of</w:t>
      </w:r>
      <w:r w:rsidR="00F7608A">
        <w:t>,</w:t>
      </w:r>
      <w:r w:rsidR="005004AE">
        <w:t xml:space="preserve"> and next steps include ensuring clarity of roles and responsibilities and reinforcing capacities of the team to organize </w:t>
      </w:r>
      <w:r w:rsidR="00D249EF">
        <w:t xml:space="preserve">this and future </w:t>
      </w:r>
      <w:r w:rsidR="005004AE">
        <w:t>meeting</w:t>
      </w:r>
      <w:r w:rsidR="00D249EF">
        <w:t>s</w:t>
      </w:r>
      <w:r w:rsidR="005004AE">
        <w:t xml:space="preserve"> effectively.</w:t>
      </w:r>
    </w:p>
    <w:p w:rsidR="005004AE" w:rsidRDefault="005004AE" w:rsidP="006738AD">
      <w:pPr>
        <w:ind w:left="0" w:firstLine="0"/>
      </w:pPr>
    </w:p>
    <w:p w:rsidR="00E556F6" w:rsidRDefault="005004AE" w:rsidP="0056372E">
      <w:pPr>
        <w:pStyle w:val="ListParagraph"/>
        <w:numPr>
          <w:ilvl w:val="0"/>
          <w:numId w:val="1"/>
        </w:numPr>
        <w:ind w:left="425" w:hanging="425"/>
      </w:pPr>
      <w:r>
        <w:t>The Secretariat also revised the draft Memorandum of Understanding with the United Arab Emirates</w:t>
      </w:r>
      <w:r w:rsidR="00F7608A">
        <w:t>,</w:t>
      </w:r>
      <w:r>
        <w:t xml:space="preserve"> which will host the 13</w:t>
      </w:r>
      <w:r w:rsidRPr="00E91CF4">
        <w:rPr>
          <w:vertAlign w:val="superscript"/>
        </w:rPr>
        <w:t>th</w:t>
      </w:r>
      <w:r>
        <w:t xml:space="preserve"> meeting of the Conference of the Pa</w:t>
      </w:r>
      <w:r w:rsidRPr="001A582E">
        <w:t>rties (</w:t>
      </w:r>
      <w:r w:rsidR="00D026DA" w:rsidRPr="001A582E">
        <w:t>COP13</w:t>
      </w:r>
      <w:r w:rsidRPr="001A582E">
        <w:t>) in October 2018.</w:t>
      </w:r>
      <w:r w:rsidR="00F7608A" w:rsidRPr="001A582E">
        <w:t xml:space="preserve"> </w:t>
      </w:r>
      <w:r w:rsidR="00A276DE" w:rsidRPr="001A582E">
        <w:t>Most c</w:t>
      </w:r>
      <w:r w:rsidRPr="001A582E">
        <w:t>lauses of the agreement</w:t>
      </w:r>
      <w:r w:rsidR="00A276DE" w:rsidRPr="001A582E">
        <w:t>,</w:t>
      </w:r>
      <w:r w:rsidRPr="001A582E">
        <w:t xml:space="preserve"> </w:t>
      </w:r>
      <w:r w:rsidR="00451957" w:rsidRPr="001A582E">
        <w:t xml:space="preserve">the </w:t>
      </w:r>
      <w:r w:rsidRPr="001A582E">
        <w:t>stat</w:t>
      </w:r>
      <w:r w:rsidR="00A276DE" w:rsidRPr="001A582E">
        <w:t xml:space="preserve">ement of requirements and </w:t>
      </w:r>
      <w:r w:rsidR="00451957" w:rsidRPr="001A582E">
        <w:t xml:space="preserve">the </w:t>
      </w:r>
      <w:r w:rsidR="00A276DE" w:rsidRPr="001A582E">
        <w:t xml:space="preserve">budget have been </w:t>
      </w:r>
      <w:r w:rsidRPr="001A582E">
        <w:t xml:space="preserve">agreed with </w:t>
      </w:r>
      <w:r w:rsidR="00451957" w:rsidRPr="001A582E">
        <w:t>the United Arab Emirates</w:t>
      </w:r>
      <w:r w:rsidR="00A276DE" w:rsidRPr="001A582E">
        <w:t xml:space="preserve"> and signature is expected </w:t>
      </w:r>
      <w:r w:rsidR="00782CDC" w:rsidRPr="001A582E">
        <w:t>before SC53</w:t>
      </w:r>
      <w:r w:rsidR="00A276DE" w:rsidRPr="001A582E">
        <w:t xml:space="preserve"> (see </w:t>
      </w:r>
      <w:r w:rsidR="00E91CF4" w:rsidRPr="001A582E">
        <w:t xml:space="preserve">document SC53-07 </w:t>
      </w:r>
      <w:r w:rsidR="00E91CF4" w:rsidRPr="001A582E">
        <w:rPr>
          <w:i/>
        </w:rPr>
        <w:t>Progress with preparations for</w:t>
      </w:r>
      <w:r w:rsidR="00816AE5">
        <w:rPr>
          <w:i/>
        </w:rPr>
        <w:t xml:space="preserve"> </w:t>
      </w:r>
      <w:r w:rsidR="00E91CF4" w:rsidRPr="001A582E">
        <w:rPr>
          <w:i/>
        </w:rPr>
        <w:t>the 13</w:t>
      </w:r>
      <w:r w:rsidR="00E91CF4" w:rsidRPr="001A582E">
        <w:rPr>
          <w:i/>
          <w:vertAlign w:val="superscript"/>
        </w:rPr>
        <w:t>th</w:t>
      </w:r>
      <w:r w:rsidR="00E91CF4" w:rsidRPr="001A582E">
        <w:rPr>
          <w:i/>
        </w:rPr>
        <w:t xml:space="preserve"> meeting of the Conference of the Contracting Parties</w:t>
      </w:r>
      <w:r w:rsidR="00A276DE" w:rsidRPr="001A582E">
        <w:t>).</w:t>
      </w:r>
    </w:p>
    <w:p w:rsidR="0053658A" w:rsidRDefault="0053658A" w:rsidP="00837A8F">
      <w:pPr>
        <w:pStyle w:val="ListParagraph"/>
      </w:pPr>
    </w:p>
    <w:p w:rsidR="00E81C2D" w:rsidRDefault="0053658A" w:rsidP="00E81C2D">
      <w:pPr>
        <w:pStyle w:val="ListParagraph"/>
        <w:numPr>
          <w:ilvl w:val="0"/>
          <w:numId w:val="1"/>
        </w:numPr>
        <w:ind w:left="426" w:hanging="426"/>
      </w:pPr>
      <w:r>
        <w:t>The Secretariat also completed the National Reporting format and made it available to all Parties through an on-line system together with an off-line option.</w:t>
      </w:r>
    </w:p>
    <w:p w:rsidR="007A314E" w:rsidRDefault="007A314E" w:rsidP="007A314E">
      <w:pPr>
        <w:ind w:left="0" w:firstLine="0"/>
        <w:rPr>
          <w:b/>
          <w:u w:val="single"/>
        </w:rPr>
      </w:pPr>
    </w:p>
    <w:p w:rsidR="007A314E" w:rsidRDefault="007A314E" w:rsidP="007A314E">
      <w:pPr>
        <w:ind w:left="0" w:firstLine="0"/>
        <w:rPr>
          <w:b/>
          <w:u w:val="single"/>
        </w:rPr>
      </w:pPr>
    </w:p>
    <w:p w:rsidR="007A314E" w:rsidRPr="007A314E" w:rsidRDefault="007A314E" w:rsidP="007A314E">
      <w:pPr>
        <w:ind w:left="0" w:firstLine="0"/>
        <w:rPr>
          <w:b/>
        </w:rPr>
      </w:pPr>
      <w:r w:rsidRPr="007A314E">
        <w:rPr>
          <w:b/>
        </w:rPr>
        <w:t>Increasing relevance of wetlands and the Convention to global sustainable development policy objectives</w:t>
      </w:r>
    </w:p>
    <w:p w:rsidR="007A314E" w:rsidRPr="007A314E" w:rsidRDefault="007A314E" w:rsidP="007A314E">
      <w:pPr>
        <w:ind w:left="0" w:firstLine="0"/>
        <w:rPr>
          <w:b/>
          <w:u w:val="single"/>
        </w:rPr>
      </w:pPr>
    </w:p>
    <w:p w:rsidR="00C54B65" w:rsidRPr="001A582E" w:rsidRDefault="00153033" w:rsidP="005D4808">
      <w:pPr>
        <w:pStyle w:val="ListParagraph"/>
        <w:numPr>
          <w:ilvl w:val="0"/>
          <w:numId w:val="1"/>
        </w:numPr>
        <w:ind w:left="425" w:hanging="425"/>
      </w:pPr>
      <w:r>
        <w:t>Efforts</w:t>
      </w:r>
      <w:r w:rsidR="00CF6F6F">
        <w:t xml:space="preserve"> are also </w:t>
      </w:r>
      <w:r w:rsidR="00370BF0">
        <w:t>on</w:t>
      </w:r>
      <w:r w:rsidR="007924FF">
        <w:t>-</w:t>
      </w:r>
      <w:r w:rsidR="00370BF0">
        <w:t>going to strengthen</w:t>
      </w:r>
      <w:r>
        <w:t xml:space="preserve"> the Secretariat’s work to support international cooperation and enhance the relevance of wetlands and the Convention in the global policy agenda.</w:t>
      </w:r>
      <w:r w:rsidR="00370BF0">
        <w:t xml:space="preserve"> Capacities for this will be reinforced with the recruitment of a Head of Science and Policy</w:t>
      </w:r>
      <w:r w:rsidR="00E81C2D">
        <w:t xml:space="preserve"> (see below</w:t>
      </w:r>
      <w:r w:rsidR="00E91CF4">
        <w:t xml:space="preserve"> at paragraph 27</w:t>
      </w:r>
      <w:r w:rsidR="00E81C2D">
        <w:t>)</w:t>
      </w:r>
      <w:r w:rsidR="00370BF0">
        <w:t>, to ensure engagement in relevant policy processes and</w:t>
      </w:r>
      <w:r w:rsidR="00715F01">
        <w:t xml:space="preserve"> contribute to</w:t>
      </w:r>
      <w:r w:rsidR="00370BF0">
        <w:t xml:space="preserve"> </w:t>
      </w:r>
      <w:r w:rsidR="004F16FA">
        <w:t xml:space="preserve">the </w:t>
      </w:r>
      <w:r w:rsidR="00370BF0">
        <w:t>policy</w:t>
      </w:r>
      <w:r w:rsidR="00E91CF4">
        <w:t xml:space="preserve"> </w:t>
      </w:r>
      <w:r w:rsidR="00370BF0">
        <w:t xml:space="preserve">relevance of Ramsar’s scientific and </w:t>
      </w:r>
      <w:r w:rsidR="00715F01">
        <w:t>technical work.</w:t>
      </w:r>
      <w:r w:rsidR="004F16FA">
        <w:t xml:space="preserve"> </w:t>
      </w:r>
      <w:r>
        <w:t xml:space="preserve">The 2030 Sustainable Development Agenda and </w:t>
      </w:r>
      <w:r w:rsidR="00E91CF4">
        <w:t xml:space="preserve">the </w:t>
      </w:r>
      <w:r>
        <w:t xml:space="preserve">Paris Agreement on Climate Change agreed in 2015 </w:t>
      </w:r>
      <w:r>
        <w:lastRenderedPageBreak/>
        <w:t>are driving national and international planning and funding effort</w:t>
      </w:r>
      <w:r w:rsidRPr="001A582E">
        <w:t>s</w:t>
      </w:r>
      <w:r w:rsidR="00E91CF4" w:rsidRPr="001A582E">
        <w:t>,</w:t>
      </w:r>
      <w:r w:rsidRPr="001A582E">
        <w:t xml:space="preserve"> and it is </w:t>
      </w:r>
      <w:r w:rsidR="004F16FA" w:rsidRPr="001A582E">
        <w:t xml:space="preserve">therefore </w:t>
      </w:r>
      <w:r w:rsidRPr="001A582E">
        <w:t xml:space="preserve">important to ensure that the contributions from wetlands and </w:t>
      </w:r>
      <w:r w:rsidR="004F16FA" w:rsidRPr="001A582E">
        <w:t xml:space="preserve">the </w:t>
      </w:r>
      <w:r w:rsidRPr="001A582E">
        <w:t xml:space="preserve">work of </w:t>
      </w:r>
      <w:r w:rsidR="00EA7901" w:rsidRPr="001A582E">
        <w:t xml:space="preserve">Contracting </w:t>
      </w:r>
      <w:r w:rsidRPr="001A582E">
        <w:t>Parties under the Convention co</w:t>
      </w:r>
      <w:r w:rsidR="00EA7901" w:rsidRPr="001A582E">
        <w:t>ntribute to these policy frameworks</w:t>
      </w:r>
      <w:r w:rsidRPr="001A582E">
        <w:t xml:space="preserve">. </w:t>
      </w:r>
      <w:r w:rsidR="00EA7901" w:rsidRPr="001A582E">
        <w:t xml:space="preserve">The Secretariat has </w:t>
      </w:r>
      <w:r w:rsidR="004F16FA" w:rsidRPr="001A582E">
        <w:t xml:space="preserve">therefore </w:t>
      </w:r>
      <w:r w:rsidR="00EA7901" w:rsidRPr="001A582E">
        <w:t>actively engaged</w:t>
      </w:r>
      <w:r w:rsidR="004F16FA" w:rsidRPr="001A582E">
        <w:t>,</w:t>
      </w:r>
      <w:r w:rsidR="00EA7901" w:rsidRPr="001A582E">
        <w:t xml:space="preserve"> since September 2016</w:t>
      </w:r>
      <w:r w:rsidR="004F16FA" w:rsidRPr="001A582E">
        <w:t>,</w:t>
      </w:r>
      <w:r w:rsidR="00EA7901" w:rsidRPr="001A582E">
        <w:t xml:space="preserve"> in ongoing work on the Sustainable Development Goals (SDGs), including in the </w:t>
      </w:r>
      <w:r w:rsidR="00A406AE" w:rsidRPr="001A582E">
        <w:rPr>
          <w:rFonts w:asciiTheme="minorHAnsi" w:eastAsiaTheme="minorHAnsi" w:hAnsiTheme="minorHAnsi"/>
          <w:bCs/>
        </w:rPr>
        <w:t>Inter-Agency and Expert Group on Sustainable Development Goal Indicators (IAEG-SDGs)</w:t>
      </w:r>
      <w:r w:rsidR="00EA7901" w:rsidRPr="001A582E">
        <w:rPr>
          <w:rFonts w:asciiTheme="minorHAnsi" w:eastAsiaTheme="minorHAnsi" w:hAnsiTheme="minorHAnsi"/>
          <w:bCs/>
        </w:rPr>
        <w:t>. The aim is to p</w:t>
      </w:r>
      <w:r w:rsidR="00EA7901" w:rsidRPr="001A582E">
        <w:t>osition</w:t>
      </w:r>
      <w:r w:rsidR="00A406AE" w:rsidRPr="001A582E">
        <w:t xml:space="preserve"> Ramsar </w:t>
      </w:r>
      <w:r w:rsidR="00EA7901" w:rsidRPr="001A582E">
        <w:t xml:space="preserve">and ensure that the Contracting Parties’ commitment to reporting on </w:t>
      </w:r>
      <w:r w:rsidR="00BB7743" w:rsidRPr="001A582E">
        <w:t xml:space="preserve">the extent of </w:t>
      </w:r>
      <w:r w:rsidR="00EA7901" w:rsidRPr="001A582E">
        <w:t>wetlands is part of the SDG monitoring process, especially on water</w:t>
      </w:r>
      <w:r w:rsidR="00BB7743" w:rsidRPr="001A582E">
        <w:t>-</w:t>
      </w:r>
      <w:r w:rsidR="00EA7901" w:rsidRPr="001A582E">
        <w:t>related ecosystems (indicator 6.6.1., with the possibility of being co-custodian of this indicator)</w:t>
      </w:r>
      <w:r w:rsidR="00DC7984" w:rsidRPr="001A582E">
        <w:t xml:space="preserve"> as well as on </w:t>
      </w:r>
      <w:r w:rsidR="00EA7901" w:rsidRPr="001A582E">
        <w:t xml:space="preserve">indicators </w:t>
      </w:r>
      <w:r w:rsidR="00A406AE" w:rsidRPr="001A582E">
        <w:t>14.2 and 15.1.2.</w:t>
      </w:r>
      <w:r w:rsidR="00934E8B" w:rsidRPr="001A582E">
        <w:t xml:space="preserve"> </w:t>
      </w:r>
      <w:r w:rsidR="00EB0036" w:rsidRPr="001A582E">
        <w:t xml:space="preserve">(see </w:t>
      </w:r>
      <w:r w:rsidR="005D4808" w:rsidRPr="001A582E">
        <w:t xml:space="preserve">document SC53-15 </w:t>
      </w:r>
      <w:r w:rsidR="005D4808" w:rsidRPr="001A582E">
        <w:rPr>
          <w:i/>
        </w:rPr>
        <w:t>Progress on implementing Resolution XI.6 on Partnership and synergies with Multilateral Environmental Agreements and other institutions</w:t>
      </w:r>
      <w:r w:rsidR="00EB0036" w:rsidRPr="001A582E">
        <w:t>).</w:t>
      </w:r>
      <w:r w:rsidR="00934E8B" w:rsidRPr="001A582E">
        <w:t>There is also ongoing work in developing</w:t>
      </w:r>
      <w:r w:rsidR="00F7608A" w:rsidRPr="001A582E">
        <w:t xml:space="preserve"> </w:t>
      </w:r>
      <w:r w:rsidR="000E4797" w:rsidRPr="001A582E">
        <w:t>a short gui</w:t>
      </w:r>
      <w:r w:rsidR="00EB0036" w:rsidRPr="001A582E">
        <w:t xml:space="preserve">de on how to integrate the Convention’s work under the Strategic Plan </w:t>
      </w:r>
      <w:r w:rsidR="000E4797" w:rsidRPr="001A582E">
        <w:t xml:space="preserve">into Agenda 2030 and </w:t>
      </w:r>
      <w:r w:rsidR="0085326D" w:rsidRPr="001A582E">
        <w:t xml:space="preserve">the </w:t>
      </w:r>
      <w:r w:rsidR="000E4797" w:rsidRPr="001A582E">
        <w:t>SDGs</w:t>
      </w:r>
      <w:r w:rsidR="0085326D" w:rsidRPr="001A582E">
        <w:t>.</w:t>
      </w:r>
    </w:p>
    <w:p w:rsidR="007906EE" w:rsidRPr="001A582E" w:rsidRDefault="007906EE" w:rsidP="007906EE">
      <w:pPr>
        <w:pStyle w:val="ListParagraph"/>
        <w:ind w:left="426"/>
      </w:pPr>
    </w:p>
    <w:p w:rsidR="00E556F6" w:rsidRPr="001A582E" w:rsidRDefault="00AB4661" w:rsidP="0056372E">
      <w:pPr>
        <w:pStyle w:val="ListParagraph"/>
        <w:numPr>
          <w:ilvl w:val="0"/>
          <w:numId w:val="1"/>
        </w:numPr>
        <w:ind w:left="425" w:hanging="425"/>
        <w:rPr>
          <w:rStyle w:val="intro-resume2"/>
        </w:rPr>
      </w:pPr>
      <w:r w:rsidRPr="001A582E">
        <w:t>W</w:t>
      </w:r>
      <w:r w:rsidR="00DC7984" w:rsidRPr="001A582E">
        <w:t xml:space="preserve">etlands </w:t>
      </w:r>
      <w:r w:rsidRPr="001A582E">
        <w:t xml:space="preserve">play a critical role in </w:t>
      </w:r>
      <w:r w:rsidR="00522A27" w:rsidRPr="001A582E">
        <w:t xml:space="preserve">the </w:t>
      </w:r>
      <w:r w:rsidR="00DC7984" w:rsidRPr="001A582E">
        <w:t>mitigation of and adaptation to climate change,</w:t>
      </w:r>
      <w:r w:rsidRPr="001A582E">
        <w:t xml:space="preserve"> and linking Ramsar to the climate</w:t>
      </w:r>
      <w:r w:rsidR="00522A27" w:rsidRPr="001A582E">
        <w:t>-</w:t>
      </w:r>
      <w:r w:rsidRPr="001A582E">
        <w:t xml:space="preserve">change agenda could contribute to Contracting Parties’ efforts and potential access to resources. The </w:t>
      </w:r>
      <w:r w:rsidR="00DC7984" w:rsidRPr="001A582E">
        <w:t xml:space="preserve">Secretariat </w:t>
      </w:r>
      <w:r w:rsidRPr="001A582E">
        <w:t xml:space="preserve">has </w:t>
      </w:r>
      <w:r w:rsidR="005B134A" w:rsidRPr="001A582E">
        <w:t>therefore</w:t>
      </w:r>
      <w:r w:rsidRPr="001A582E">
        <w:t xml:space="preserve"> </w:t>
      </w:r>
      <w:r w:rsidR="00DC7984" w:rsidRPr="001A582E">
        <w:t xml:space="preserve">actively engaged </w:t>
      </w:r>
      <w:r w:rsidR="005B134A" w:rsidRPr="001A582E">
        <w:t>with</w:t>
      </w:r>
      <w:r w:rsidR="00DC7984" w:rsidRPr="001A582E">
        <w:t xml:space="preserve"> the UN Framework Convention on Climate Change, including at the 22</w:t>
      </w:r>
      <w:r w:rsidR="00DC7984" w:rsidRPr="001A582E">
        <w:rPr>
          <w:vertAlign w:val="superscript"/>
        </w:rPr>
        <w:t>nd</w:t>
      </w:r>
      <w:r w:rsidR="00DC7984" w:rsidRPr="001A582E">
        <w:t xml:space="preserve"> meeting of its Conference of the Parties (COP22)</w:t>
      </w:r>
      <w:r w:rsidR="00DC283C" w:rsidRPr="001A582E">
        <w:t xml:space="preserve"> in Marrakech</w:t>
      </w:r>
      <w:r w:rsidR="00C14B9F" w:rsidRPr="001A582E">
        <w:t>,</w:t>
      </w:r>
      <w:r w:rsidR="00DC7984" w:rsidRPr="001A582E">
        <w:t xml:space="preserve"> </w:t>
      </w:r>
      <w:r w:rsidR="00C14B9F" w:rsidRPr="001A582E">
        <w:t xml:space="preserve">7 to 18 </w:t>
      </w:r>
      <w:r w:rsidRPr="001A582E">
        <w:t>November 2016</w:t>
      </w:r>
      <w:r w:rsidR="00EC04F7" w:rsidRPr="001A582E">
        <w:t xml:space="preserve">, </w:t>
      </w:r>
      <w:r w:rsidR="007924FF">
        <w:t xml:space="preserve">including </w:t>
      </w:r>
      <w:r w:rsidR="00DC7984" w:rsidRPr="001A582E">
        <w:t>High Level Segment</w:t>
      </w:r>
      <w:r w:rsidRPr="001A582E">
        <w:t>,</w:t>
      </w:r>
      <w:r w:rsidR="00DC7984" w:rsidRPr="001A582E">
        <w:t xml:space="preserve"> </w:t>
      </w:r>
      <w:r w:rsidR="00B654F9" w:rsidRPr="001A582E">
        <w:t>Action Day for Water and Climate</w:t>
      </w:r>
      <w:r w:rsidR="00EC04F7" w:rsidRPr="001A582E">
        <w:t xml:space="preserve">, </w:t>
      </w:r>
      <w:r w:rsidR="00DC7984" w:rsidRPr="001A582E">
        <w:t xml:space="preserve">and </w:t>
      </w:r>
      <w:r w:rsidR="00A406AE" w:rsidRPr="001A582E">
        <w:t xml:space="preserve">joint </w:t>
      </w:r>
      <w:r w:rsidR="005B134A" w:rsidRPr="001A582E">
        <w:t>opinion editorial</w:t>
      </w:r>
      <w:r w:rsidR="00A406AE" w:rsidRPr="001A582E">
        <w:t xml:space="preserve"> with the Executive Secretary of the UNFCCC</w:t>
      </w:r>
      <w:r w:rsidR="00FC5620" w:rsidRPr="001A582E">
        <w:t>,</w:t>
      </w:r>
      <w:r w:rsidR="00A406AE" w:rsidRPr="001A582E">
        <w:t xml:space="preserve"> highlighting the </w:t>
      </w:r>
      <w:r w:rsidR="00A406AE" w:rsidRPr="001A582E">
        <w:rPr>
          <w:rStyle w:val="intro-resume2"/>
          <w:rFonts w:asciiTheme="minorHAnsi" w:hAnsiTheme="minorHAnsi"/>
          <w:sz w:val="22"/>
          <w:szCs w:val="22"/>
        </w:rPr>
        <w:t>import</w:t>
      </w:r>
      <w:r w:rsidR="00C54B65" w:rsidRPr="001A582E">
        <w:rPr>
          <w:rStyle w:val="intro-resume2"/>
          <w:rFonts w:asciiTheme="minorHAnsi" w:hAnsiTheme="minorHAnsi"/>
          <w:sz w:val="22"/>
          <w:szCs w:val="22"/>
        </w:rPr>
        <w:t xml:space="preserve">ant role of the Convention and </w:t>
      </w:r>
      <w:r w:rsidR="00A406AE" w:rsidRPr="001A582E">
        <w:rPr>
          <w:rStyle w:val="intro-resume2"/>
          <w:rFonts w:asciiTheme="minorHAnsi" w:hAnsiTheme="minorHAnsi"/>
          <w:sz w:val="22"/>
          <w:szCs w:val="22"/>
        </w:rPr>
        <w:t xml:space="preserve">wetlands in </w:t>
      </w:r>
      <w:r w:rsidR="0056372E" w:rsidRPr="001A582E">
        <w:rPr>
          <w:rStyle w:val="intro-resume2"/>
          <w:rFonts w:asciiTheme="minorHAnsi" w:hAnsiTheme="minorHAnsi"/>
          <w:sz w:val="22"/>
          <w:szCs w:val="22"/>
        </w:rPr>
        <w:t xml:space="preserve">mitigating </w:t>
      </w:r>
      <w:r w:rsidR="00A406AE" w:rsidRPr="001A582E">
        <w:rPr>
          <w:rStyle w:val="intro-resume2"/>
          <w:rFonts w:asciiTheme="minorHAnsi" w:hAnsiTheme="minorHAnsi"/>
          <w:sz w:val="22"/>
          <w:szCs w:val="22"/>
        </w:rPr>
        <w:t>and adapt</w:t>
      </w:r>
      <w:r w:rsidR="0056372E" w:rsidRPr="001A582E">
        <w:rPr>
          <w:rStyle w:val="intro-resume2"/>
          <w:rFonts w:asciiTheme="minorHAnsi" w:hAnsiTheme="minorHAnsi"/>
          <w:sz w:val="22"/>
          <w:szCs w:val="22"/>
        </w:rPr>
        <w:t>ing</w:t>
      </w:r>
      <w:r w:rsidR="00A406AE" w:rsidRPr="001A582E">
        <w:rPr>
          <w:rStyle w:val="intro-resume2"/>
          <w:rFonts w:asciiTheme="minorHAnsi" w:hAnsiTheme="minorHAnsi"/>
          <w:sz w:val="22"/>
          <w:szCs w:val="22"/>
        </w:rPr>
        <w:t xml:space="preserve"> to climate change. </w:t>
      </w:r>
      <w:r w:rsidR="00DC7984" w:rsidRPr="001A582E">
        <w:rPr>
          <w:rStyle w:val="intro-resume2"/>
          <w:rFonts w:asciiTheme="minorHAnsi" w:hAnsiTheme="minorHAnsi"/>
          <w:sz w:val="22"/>
          <w:szCs w:val="22"/>
        </w:rPr>
        <w:t xml:space="preserve">The Secretariat has also stepped up the positioning of the Convention in the </w:t>
      </w:r>
      <w:r w:rsidR="00A406AE" w:rsidRPr="001A582E">
        <w:t>Global Peatland</w:t>
      </w:r>
      <w:r w:rsidR="0085326D" w:rsidRPr="001A582E">
        <w:t>s</w:t>
      </w:r>
      <w:r w:rsidR="00A406AE" w:rsidRPr="001A582E">
        <w:t xml:space="preserve"> </w:t>
      </w:r>
      <w:r w:rsidR="0085326D" w:rsidRPr="001A582E">
        <w:t>I</w:t>
      </w:r>
      <w:r w:rsidR="00A406AE" w:rsidRPr="001A582E">
        <w:t>nitiative t</w:t>
      </w:r>
      <w:r w:rsidR="00A406AE" w:rsidRPr="001A582E">
        <w:rPr>
          <w:rStyle w:val="intro-resume2"/>
          <w:rFonts w:asciiTheme="minorHAnsi" w:hAnsiTheme="minorHAnsi"/>
          <w:sz w:val="22"/>
          <w:szCs w:val="22"/>
        </w:rPr>
        <w:t>o reduce global greenhouse gas emissions by protecting peatlands</w:t>
      </w:r>
      <w:r w:rsidR="0085326D" w:rsidRPr="001A582E">
        <w:rPr>
          <w:rStyle w:val="intro-resume2"/>
          <w:rFonts w:asciiTheme="minorHAnsi" w:hAnsiTheme="minorHAnsi"/>
          <w:sz w:val="22"/>
          <w:szCs w:val="22"/>
        </w:rPr>
        <w:t xml:space="preserve">, as well </w:t>
      </w:r>
      <w:r w:rsidR="00EB0036" w:rsidRPr="001A582E">
        <w:rPr>
          <w:rStyle w:val="intro-resume2"/>
          <w:rFonts w:asciiTheme="minorHAnsi" w:hAnsiTheme="minorHAnsi"/>
          <w:sz w:val="22"/>
          <w:szCs w:val="22"/>
        </w:rPr>
        <w:t>as in the Blue Carbon Partnership focusing</w:t>
      </w:r>
      <w:r w:rsidR="0085326D" w:rsidRPr="001A582E">
        <w:rPr>
          <w:rStyle w:val="intro-resume2"/>
          <w:rFonts w:asciiTheme="minorHAnsi" w:hAnsiTheme="minorHAnsi"/>
          <w:sz w:val="22"/>
          <w:szCs w:val="22"/>
        </w:rPr>
        <w:t xml:space="preserve"> on coastal ecosystems (see </w:t>
      </w:r>
      <w:r w:rsidR="0056372E" w:rsidRPr="001A582E">
        <w:rPr>
          <w:rStyle w:val="intro-resume2"/>
          <w:rFonts w:asciiTheme="minorHAnsi" w:hAnsiTheme="minorHAnsi"/>
          <w:sz w:val="22"/>
          <w:szCs w:val="22"/>
        </w:rPr>
        <w:t xml:space="preserve">document SC53-04 </w:t>
      </w:r>
      <w:r w:rsidR="0056372E" w:rsidRPr="001A582E">
        <w:rPr>
          <w:rStyle w:val="intro-resume2"/>
          <w:rFonts w:asciiTheme="minorHAnsi" w:hAnsiTheme="minorHAnsi"/>
          <w:i/>
          <w:sz w:val="22"/>
          <w:szCs w:val="22"/>
        </w:rPr>
        <w:t>Proposal for a new memorandum of understanding and update on other agreements</w:t>
      </w:r>
      <w:r w:rsidR="0085326D" w:rsidRPr="001A582E">
        <w:rPr>
          <w:rStyle w:val="intro-resume2"/>
          <w:rFonts w:asciiTheme="minorHAnsi" w:hAnsiTheme="minorHAnsi"/>
          <w:sz w:val="22"/>
          <w:szCs w:val="22"/>
        </w:rPr>
        <w:t>).</w:t>
      </w:r>
    </w:p>
    <w:p w:rsidR="00AB4661" w:rsidRPr="001A582E" w:rsidRDefault="00AB4661" w:rsidP="00AB4661">
      <w:pPr>
        <w:pStyle w:val="ListParagraph"/>
      </w:pPr>
    </w:p>
    <w:p w:rsidR="00E556F6" w:rsidRDefault="00AB4661" w:rsidP="00837A8F">
      <w:pPr>
        <w:pStyle w:val="ListParagraph"/>
        <w:numPr>
          <w:ilvl w:val="0"/>
          <w:numId w:val="1"/>
        </w:numPr>
        <w:ind w:left="426" w:hanging="426"/>
      </w:pPr>
      <w:r w:rsidRPr="001A582E">
        <w:rPr>
          <w:rStyle w:val="intro-resume2"/>
          <w:rFonts w:asciiTheme="minorHAnsi" w:hAnsiTheme="minorHAnsi"/>
          <w:sz w:val="22"/>
          <w:szCs w:val="22"/>
        </w:rPr>
        <w:t>The</w:t>
      </w:r>
      <w:r w:rsidRPr="001A582E">
        <w:t xml:space="preserve"> </w:t>
      </w:r>
      <w:r w:rsidR="00F81D37" w:rsidRPr="001A582E">
        <w:t xml:space="preserve">Ramsar </w:t>
      </w:r>
      <w:r w:rsidRPr="001A582E">
        <w:t>Secretariat also worked to r</w:t>
      </w:r>
      <w:r w:rsidR="00A406AE" w:rsidRPr="001A582E">
        <w:t>e</w:t>
      </w:r>
      <w:r w:rsidR="005B4E40" w:rsidRPr="001A582E">
        <w:t>-</w:t>
      </w:r>
      <w:r w:rsidR="00A406AE" w:rsidRPr="001A582E">
        <w:t>establish and strengthen</w:t>
      </w:r>
      <w:r w:rsidRPr="001A582E">
        <w:t xml:space="preserve"> </w:t>
      </w:r>
      <w:r w:rsidR="00A406AE" w:rsidRPr="001A582E">
        <w:t>collaboration with the CBD</w:t>
      </w:r>
      <w:r w:rsidRPr="001A582E">
        <w:t>,</w:t>
      </w:r>
      <w:r>
        <w:t xml:space="preserve"> through the identification of possible areas of joint work with the CBD Secretariat and </w:t>
      </w:r>
      <w:r w:rsidR="00A406AE">
        <w:t>active participation in CBD COP13</w:t>
      </w:r>
      <w:r>
        <w:t xml:space="preserve"> in Cancún</w:t>
      </w:r>
      <w:r w:rsidR="005B4E40">
        <w:t>,</w:t>
      </w:r>
      <w:r w:rsidR="00E3221F">
        <w:t xml:space="preserve"> 4 to 17</w:t>
      </w:r>
      <w:r>
        <w:t xml:space="preserve"> </w:t>
      </w:r>
      <w:r w:rsidRPr="00E3221F">
        <w:t>December 2016,</w:t>
      </w:r>
      <w:r w:rsidR="00A406AE">
        <w:t xml:space="preserve"> </w:t>
      </w:r>
      <w:r>
        <w:t>raising</w:t>
      </w:r>
      <w:r w:rsidR="00A406AE">
        <w:t xml:space="preserve"> the visibility of the </w:t>
      </w:r>
      <w:r w:rsidR="005B4E40">
        <w:t xml:space="preserve">Ramsar </w:t>
      </w:r>
      <w:r w:rsidR="00A406AE">
        <w:t xml:space="preserve">Convention in the High Level </w:t>
      </w:r>
      <w:r w:rsidR="00EC04F7">
        <w:rPr>
          <w:rFonts w:asciiTheme="minorHAnsi" w:hAnsiTheme="minorHAnsi" w:cs="Arial"/>
        </w:rPr>
        <w:t xml:space="preserve">Segment, </w:t>
      </w:r>
      <w:r w:rsidR="00A406AE" w:rsidRPr="00AB4661">
        <w:rPr>
          <w:rFonts w:asciiTheme="minorHAnsi" w:hAnsiTheme="minorHAnsi" w:cs="Arial"/>
        </w:rPr>
        <w:t>round tables on agriculture and fisheries</w:t>
      </w:r>
      <w:r w:rsidR="00EC04F7">
        <w:rPr>
          <w:rFonts w:asciiTheme="minorHAnsi" w:hAnsiTheme="minorHAnsi" w:cs="Arial"/>
        </w:rPr>
        <w:t xml:space="preserve"> and </w:t>
      </w:r>
      <w:r w:rsidR="005B4E40">
        <w:rPr>
          <w:rFonts w:asciiTheme="minorHAnsi" w:hAnsiTheme="minorHAnsi" w:cs="Arial"/>
        </w:rPr>
        <w:t xml:space="preserve">in </w:t>
      </w:r>
      <w:r w:rsidR="00EC04F7">
        <w:rPr>
          <w:rFonts w:asciiTheme="minorHAnsi" w:hAnsiTheme="minorHAnsi" w:cs="Arial"/>
        </w:rPr>
        <w:t>two side</w:t>
      </w:r>
      <w:r w:rsidR="005B4E40">
        <w:rPr>
          <w:rFonts w:asciiTheme="minorHAnsi" w:hAnsiTheme="minorHAnsi" w:cs="Arial"/>
        </w:rPr>
        <w:t>-</w:t>
      </w:r>
      <w:r w:rsidR="00EC04F7">
        <w:rPr>
          <w:rFonts w:asciiTheme="minorHAnsi" w:hAnsiTheme="minorHAnsi" w:cs="Arial"/>
        </w:rPr>
        <w:t xml:space="preserve">events organized by the </w:t>
      </w:r>
      <w:r w:rsidR="007D4647">
        <w:rPr>
          <w:rFonts w:asciiTheme="minorHAnsi" w:hAnsiTheme="minorHAnsi" w:cs="Arial"/>
        </w:rPr>
        <w:t xml:space="preserve">Ramsar </w:t>
      </w:r>
      <w:r w:rsidR="00EC04F7">
        <w:rPr>
          <w:rFonts w:asciiTheme="minorHAnsi" w:hAnsiTheme="minorHAnsi" w:cs="Arial"/>
        </w:rPr>
        <w:t>Secretariat</w:t>
      </w:r>
      <w:r w:rsidR="00A406AE" w:rsidRPr="00AB4661">
        <w:rPr>
          <w:rFonts w:asciiTheme="minorHAnsi" w:hAnsiTheme="minorHAnsi" w:cs="Arial"/>
        </w:rPr>
        <w:t>.</w:t>
      </w:r>
    </w:p>
    <w:p w:rsidR="00AB4661" w:rsidRDefault="00AB4661" w:rsidP="00AB4661">
      <w:pPr>
        <w:pStyle w:val="ListParagraph"/>
      </w:pPr>
    </w:p>
    <w:p w:rsidR="00E556F6" w:rsidRDefault="00AB4661" w:rsidP="0081291B">
      <w:pPr>
        <w:pStyle w:val="ListParagraph"/>
        <w:numPr>
          <w:ilvl w:val="0"/>
          <w:numId w:val="1"/>
        </w:numPr>
        <w:ind w:left="425" w:hanging="425"/>
      </w:pPr>
      <w:r>
        <w:t xml:space="preserve">The Secretariat has continued to participate actively in the </w:t>
      </w:r>
      <w:r w:rsidR="00A914D2">
        <w:t>Biodiversity Liaison Group and InforMEA</w:t>
      </w:r>
      <w:r>
        <w:t>. It also signed an important Memorandum of Cooperation with</w:t>
      </w:r>
      <w:r w:rsidR="0081291B">
        <w:t xml:space="preserve"> the </w:t>
      </w:r>
      <w:r w:rsidR="0081291B" w:rsidRPr="0081291B">
        <w:t>Intergovernmental Science-Policy Platform on Biodiversity and Ecosystem Services (IPBES)</w:t>
      </w:r>
      <w:r>
        <w:t xml:space="preserve"> </w:t>
      </w:r>
      <w:r w:rsidR="007924FF">
        <w:t>and participated in</w:t>
      </w:r>
      <w:r w:rsidR="0081291B">
        <w:t xml:space="preserve"> the</w:t>
      </w:r>
      <w:r w:rsidR="0081291B" w:rsidRPr="0081291B">
        <w:t xml:space="preserve"> fifth session of the Platform's Plenary (IPBES-5)</w:t>
      </w:r>
      <w:r>
        <w:t xml:space="preserve">in </w:t>
      </w:r>
      <w:r w:rsidR="0081291B">
        <w:t xml:space="preserve">Bonn, from 7 to 10 </w:t>
      </w:r>
      <w:r>
        <w:t>March 2017.</w:t>
      </w:r>
    </w:p>
    <w:p w:rsidR="0010201B" w:rsidRDefault="0010201B" w:rsidP="0010201B">
      <w:pPr>
        <w:pStyle w:val="ListParagraph"/>
      </w:pPr>
    </w:p>
    <w:p w:rsidR="00E556F6" w:rsidRDefault="00AB4661" w:rsidP="00837A8F">
      <w:pPr>
        <w:pStyle w:val="ListParagraph"/>
        <w:numPr>
          <w:ilvl w:val="0"/>
          <w:numId w:val="1"/>
        </w:numPr>
        <w:ind w:left="426" w:hanging="426"/>
      </w:pPr>
      <w:r w:rsidRPr="00E93C7E">
        <w:rPr>
          <w:rStyle w:val="intro-resume2"/>
          <w:rFonts w:asciiTheme="minorHAnsi" w:hAnsiTheme="minorHAnsi"/>
          <w:sz w:val="22"/>
          <w:szCs w:val="22"/>
        </w:rPr>
        <w:t>Other</w:t>
      </w:r>
      <w:r>
        <w:t xml:space="preserve"> highlights include: </w:t>
      </w:r>
    </w:p>
    <w:p w:rsidR="00F048E3" w:rsidRDefault="00AB4661" w:rsidP="00FA53A6">
      <w:pPr>
        <w:pStyle w:val="ListParagraph"/>
        <w:numPr>
          <w:ilvl w:val="0"/>
          <w:numId w:val="7"/>
        </w:numPr>
        <w:ind w:left="850" w:hanging="425"/>
      </w:pPr>
      <w:r>
        <w:t xml:space="preserve">identification of areas of collaboration with UNCCD, including </w:t>
      </w:r>
      <w:r w:rsidR="00A406AE">
        <w:t>contribution</w:t>
      </w:r>
      <w:r>
        <w:t>s</w:t>
      </w:r>
      <w:r w:rsidR="00A406AE">
        <w:t xml:space="preserve"> to </w:t>
      </w:r>
      <w:r w:rsidR="005E09B2" w:rsidRPr="00837A8F">
        <w:t xml:space="preserve">the global assessment of each Convention i.e. the Global Land Outlook of the UNCCD and the </w:t>
      </w:r>
      <w:r w:rsidR="00A406AE" w:rsidRPr="00F048E3">
        <w:t xml:space="preserve">Ramsar’s </w:t>
      </w:r>
      <w:r w:rsidR="00E3221F" w:rsidRPr="00C14B9F">
        <w:rPr>
          <w:i/>
        </w:rPr>
        <w:t>State of the World’s Wetlands and their Services to People</w:t>
      </w:r>
      <w:r w:rsidR="00F7608A">
        <w:t xml:space="preserve"> </w:t>
      </w:r>
      <w:r w:rsidR="00A406AE" w:rsidRPr="00F048E3">
        <w:t>report</w:t>
      </w:r>
      <w:r w:rsidRPr="00F048E3">
        <w:t>;</w:t>
      </w:r>
    </w:p>
    <w:p w:rsidR="00F048E3" w:rsidRDefault="00AB4661" w:rsidP="00FA53A6">
      <w:pPr>
        <w:pStyle w:val="ListParagraph"/>
        <w:numPr>
          <w:ilvl w:val="0"/>
          <w:numId w:val="7"/>
        </w:numPr>
        <w:ind w:left="850" w:hanging="425"/>
      </w:pPr>
      <w:r>
        <w:t>collaboration with</w:t>
      </w:r>
      <w:r w:rsidR="00E3221F">
        <w:t xml:space="preserve"> </w:t>
      </w:r>
      <w:r w:rsidR="00DC283C">
        <w:t xml:space="preserve">the </w:t>
      </w:r>
      <w:r w:rsidR="00E3221F">
        <w:t>UN</w:t>
      </w:r>
      <w:r>
        <w:t xml:space="preserve"> </w:t>
      </w:r>
      <w:r w:rsidR="00E3221F" w:rsidRPr="00E3221F">
        <w:t xml:space="preserve">International Strategy for Disaster Reduction </w:t>
      </w:r>
      <w:r>
        <w:t xml:space="preserve">as </w:t>
      </w:r>
      <w:r w:rsidR="00F048E3">
        <w:t xml:space="preserve">the </w:t>
      </w:r>
      <w:r>
        <w:t>main partner on World Wetlands Day on Disaster Risk Reduction;</w:t>
      </w:r>
    </w:p>
    <w:p w:rsidR="00F048E3" w:rsidRDefault="00F048E3" w:rsidP="00FA53A6">
      <w:pPr>
        <w:pStyle w:val="ListParagraph"/>
        <w:numPr>
          <w:ilvl w:val="0"/>
          <w:numId w:val="7"/>
        </w:numPr>
        <w:ind w:left="850" w:hanging="425"/>
      </w:pPr>
      <w:r>
        <w:t>memoranda of understanding</w:t>
      </w:r>
      <w:r w:rsidR="00A406AE">
        <w:t xml:space="preserve"> signed with </w:t>
      </w:r>
      <w:r w:rsidR="00DC283C">
        <w:t xml:space="preserve">the </w:t>
      </w:r>
      <w:r w:rsidR="00A406AE">
        <w:t>UN</w:t>
      </w:r>
      <w:r w:rsidR="00DC283C">
        <w:t xml:space="preserve"> </w:t>
      </w:r>
      <w:r w:rsidR="00A406AE">
        <w:t>E</w:t>
      </w:r>
      <w:r w:rsidR="00DC283C">
        <w:t xml:space="preserve">nvironment </w:t>
      </w:r>
      <w:r w:rsidR="00A406AE">
        <w:t>P</w:t>
      </w:r>
      <w:r w:rsidR="00DC283C">
        <w:t xml:space="preserve">rogramme (UNEP) and the </w:t>
      </w:r>
      <w:r w:rsidR="00DC283C" w:rsidRPr="00DC283C">
        <w:t>Secretariat of the Pacific Regional Environment Programme</w:t>
      </w:r>
      <w:r w:rsidR="00DC283C">
        <w:t xml:space="preserve"> (</w:t>
      </w:r>
      <w:r w:rsidR="00A406AE">
        <w:t>SPREP</w:t>
      </w:r>
      <w:r w:rsidR="00DC283C">
        <w:t>)</w:t>
      </w:r>
      <w:r w:rsidR="00A406AE">
        <w:t xml:space="preserve"> in December 2016, </w:t>
      </w:r>
      <w:r w:rsidR="004728BA">
        <w:t xml:space="preserve">and </w:t>
      </w:r>
      <w:r w:rsidR="00A406AE">
        <w:t xml:space="preserve">ongoing </w:t>
      </w:r>
      <w:r w:rsidR="004728BA">
        <w:t xml:space="preserve">discussion </w:t>
      </w:r>
      <w:r w:rsidR="00A406AE">
        <w:t xml:space="preserve">with </w:t>
      </w:r>
      <w:r w:rsidR="00FA53A6">
        <w:t>the UN Development Programme (</w:t>
      </w:r>
      <w:r w:rsidR="00A406AE">
        <w:t>UNDP</w:t>
      </w:r>
      <w:r w:rsidR="00FA53A6">
        <w:t>)</w:t>
      </w:r>
      <w:r w:rsidR="004728BA">
        <w:t>;</w:t>
      </w:r>
    </w:p>
    <w:p w:rsidR="00F048E3" w:rsidRDefault="0010201B" w:rsidP="00FA53A6">
      <w:pPr>
        <w:pStyle w:val="ListParagraph"/>
        <w:numPr>
          <w:ilvl w:val="0"/>
          <w:numId w:val="7"/>
        </w:numPr>
        <w:ind w:left="850" w:hanging="425"/>
      </w:pPr>
      <w:r>
        <w:t xml:space="preserve">engagement in </w:t>
      </w:r>
      <w:r w:rsidR="00F048E3">
        <w:t xml:space="preserve">the </w:t>
      </w:r>
      <w:r>
        <w:t>water agenda</w:t>
      </w:r>
      <w:r w:rsidRPr="00946A28">
        <w:t xml:space="preserve">, including </w:t>
      </w:r>
      <w:r w:rsidR="00C730DD">
        <w:t xml:space="preserve">the </w:t>
      </w:r>
      <w:r w:rsidR="00946A28">
        <w:t>International Water Summit (18 to 21 January</w:t>
      </w:r>
      <w:r w:rsidR="005354AA">
        <w:t>,</w:t>
      </w:r>
      <w:r w:rsidR="00946A28">
        <w:t xml:space="preserve"> 2016) in Abu Dhabi, World Water Week (28 August to 2 September, 2016) in </w:t>
      </w:r>
      <w:r w:rsidR="00946A28">
        <w:lastRenderedPageBreak/>
        <w:t xml:space="preserve">Stockholm, </w:t>
      </w:r>
      <w:r w:rsidR="00C730DD">
        <w:t xml:space="preserve">the Budapest </w:t>
      </w:r>
      <w:r w:rsidR="00946A28">
        <w:t>Water Summit (28 to 30 November, 2016)</w:t>
      </w:r>
      <w:r w:rsidR="00816AE5">
        <w:t xml:space="preserve"> </w:t>
      </w:r>
      <w:r w:rsidR="00946A28">
        <w:t xml:space="preserve">and </w:t>
      </w:r>
      <w:r w:rsidR="004728BA">
        <w:t>ongoing c</w:t>
      </w:r>
      <w:r w:rsidR="00A406AE">
        <w:t>ontribution to UN Water</w:t>
      </w:r>
      <w:r w:rsidR="007924FF">
        <w:t>,</w:t>
      </w:r>
      <w:r w:rsidR="00A406AE">
        <w:t xml:space="preserve"> and </w:t>
      </w:r>
      <w:r w:rsidR="00C730DD">
        <w:t xml:space="preserve">the </w:t>
      </w:r>
      <w:r w:rsidR="00A406AE">
        <w:t xml:space="preserve">World Water Development </w:t>
      </w:r>
      <w:r w:rsidR="00816AE5">
        <w:t>R</w:t>
      </w:r>
      <w:r w:rsidR="00A406AE">
        <w:t>eport</w:t>
      </w:r>
      <w:r w:rsidR="004728BA">
        <w:t>.</w:t>
      </w:r>
      <w:r w:rsidR="00D306E6">
        <w:t xml:space="preserve"> </w:t>
      </w:r>
    </w:p>
    <w:p w:rsidR="00997ECF" w:rsidRDefault="00D306E6" w:rsidP="00FA53A6">
      <w:pPr>
        <w:pStyle w:val="ListParagraph"/>
        <w:numPr>
          <w:ilvl w:val="0"/>
          <w:numId w:val="7"/>
        </w:numPr>
        <w:ind w:left="850" w:hanging="425"/>
      </w:pPr>
      <w:r>
        <w:t>Further details are provided in</w:t>
      </w:r>
      <w:r w:rsidR="00F048E3">
        <w:t xml:space="preserve"> document</w:t>
      </w:r>
      <w:r>
        <w:t xml:space="preserve"> </w:t>
      </w:r>
      <w:r w:rsidR="00A63303" w:rsidRPr="00952956">
        <w:t>SC53-15</w:t>
      </w:r>
      <w:r w:rsidR="00F048E3" w:rsidRPr="00952956">
        <w:t>.</w:t>
      </w:r>
    </w:p>
    <w:p w:rsidR="00997ECF" w:rsidRPr="00997ECF" w:rsidRDefault="00997ECF" w:rsidP="00997ECF">
      <w:pPr>
        <w:pStyle w:val="ListParagraph"/>
        <w:rPr>
          <w:b/>
          <w:u w:val="single"/>
        </w:rPr>
      </w:pPr>
    </w:p>
    <w:p w:rsidR="007A314E" w:rsidRDefault="007A314E" w:rsidP="007A314E">
      <w:pPr>
        <w:rPr>
          <w:b/>
          <w:u w:val="single"/>
        </w:rPr>
      </w:pPr>
    </w:p>
    <w:p w:rsidR="007A314E" w:rsidRPr="007A314E" w:rsidRDefault="007A314E" w:rsidP="007A314E">
      <w:r w:rsidRPr="007A314E">
        <w:rPr>
          <w:b/>
        </w:rPr>
        <w:t>Strengthening support and enabling implementation</w:t>
      </w:r>
    </w:p>
    <w:p w:rsidR="007A314E" w:rsidRPr="007A314E" w:rsidRDefault="007A314E" w:rsidP="007A314E">
      <w:pPr>
        <w:ind w:left="0" w:firstLine="0"/>
      </w:pPr>
    </w:p>
    <w:p w:rsidR="00E556F6" w:rsidRDefault="002C6F83" w:rsidP="00952956">
      <w:pPr>
        <w:pStyle w:val="ListParagraph"/>
        <w:numPr>
          <w:ilvl w:val="0"/>
          <w:numId w:val="1"/>
        </w:numPr>
        <w:ind w:left="425" w:hanging="425"/>
      </w:pPr>
      <w:r w:rsidRPr="00997ECF">
        <w:t xml:space="preserve">Since </w:t>
      </w:r>
      <w:r w:rsidR="00565908" w:rsidRPr="00997ECF">
        <w:t>SC52</w:t>
      </w:r>
      <w:r w:rsidR="00BC4637">
        <w:t>,</w:t>
      </w:r>
      <w:r w:rsidR="00565908" w:rsidRPr="00997ECF">
        <w:t xml:space="preserve"> t</w:t>
      </w:r>
      <w:r w:rsidRPr="00997ECF">
        <w:t>he Secretariat has provided support in the designation process for 18 Ramsar Sites (</w:t>
      </w:r>
      <w:r w:rsidR="00565908" w:rsidRPr="00997ECF">
        <w:t xml:space="preserve">including </w:t>
      </w:r>
      <w:r w:rsidRPr="00997ECF">
        <w:t>support in data compilation in the RIS, publication</w:t>
      </w:r>
      <w:r w:rsidR="00BC4637">
        <w:t xml:space="preserve"> and</w:t>
      </w:r>
      <w:r w:rsidRPr="00997ECF">
        <w:t xml:space="preserve"> translations)</w:t>
      </w:r>
      <w:r w:rsidR="00565908" w:rsidRPr="00997ECF">
        <w:t xml:space="preserve">. It also supported three Contracting Parties </w:t>
      </w:r>
      <w:r w:rsidR="00565908" w:rsidRPr="00E93C7E">
        <w:rPr>
          <w:rStyle w:val="intro-resume2"/>
          <w:rFonts w:asciiTheme="minorHAnsi" w:hAnsiTheme="minorHAnsi"/>
          <w:sz w:val="22"/>
          <w:szCs w:val="22"/>
        </w:rPr>
        <w:t>with</w:t>
      </w:r>
      <w:r w:rsidR="00565908" w:rsidRPr="00997ECF">
        <w:t xml:space="preserve"> Ramsar Advisory Missions (RAMs): Colombi</w:t>
      </w:r>
      <w:r w:rsidR="003829C2">
        <w:t>a (Ciénaga Grande de Santa Mart</w:t>
      </w:r>
      <w:bookmarkStart w:id="0" w:name="_GoBack"/>
      <w:bookmarkEnd w:id="0"/>
      <w:r w:rsidR="00565908" w:rsidRPr="00997ECF">
        <w:t xml:space="preserve">a Ramsar Site), Bolivia (Los Lipez Ramsar Site) and </w:t>
      </w:r>
      <w:r w:rsidR="00BC4637">
        <w:t xml:space="preserve">the United Republic of </w:t>
      </w:r>
      <w:r w:rsidR="00565908" w:rsidRPr="00997ECF">
        <w:t xml:space="preserve">Tanzania (Kilombero Ramsar Site). Five Contracting Parties requested RAMs in 2016 to be conducted </w:t>
      </w:r>
      <w:r w:rsidR="00BC4637">
        <w:t>in 2017</w:t>
      </w:r>
      <w:r w:rsidR="00565908" w:rsidRPr="00997ECF">
        <w:t xml:space="preserve"> as follows: </w:t>
      </w:r>
      <w:r w:rsidR="00A63303" w:rsidRPr="00997ECF">
        <w:t>C</w:t>
      </w:r>
      <w:r w:rsidR="00A63303">
        <w:t>ô</w:t>
      </w:r>
      <w:r w:rsidR="00A63303" w:rsidRPr="00997ECF">
        <w:t xml:space="preserve">te </w:t>
      </w:r>
      <w:r w:rsidR="00A8789D" w:rsidRPr="00997ECF">
        <w:t xml:space="preserve">d’Ivoire </w:t>
      </w:r>
      <w:r w:rsidR="00A8789D" w:rsidRPr="00896C5F">
        <w:t>(Grand Bassam</w:t>
      </w:r>
      <w:r w:rsidR="00896C5F">
        <w:t xml:space="preserve"> Ramsar Site</w:t>
      </w:r>
      <w:r w:rsidR="00A8789D" w:rsidRPr="00997ECF">
        <w:t>)</w:t>
      </w:r>
      <w:r w:rsidR="00A8789D">
        <w:t>,</w:t>
      </w:r>
      <w:r w:rsidR="00A8789D" w:rsidRPr="00997ECF">
        <w:t xml:space="preserve"> </w:t>
      </w:r>
      <w:r w:rsidR="00565908" w:rsidRPr="00997ECF">
        <w:t>Indonesia</w:t>
      </w:r>
      <w:r w:rsidRPr="00997ECF">
        <w:t xml:space="preserve"> </w:t>
      </w:r>
      <w:r w:rsidR="00565908" w:rsidRPr="00997ECF">
        <w:t>(</w:t>
      </w:r>
      <w:r w:rsidRPr="00997ECF">
        <w:t xml:space="preserve">Berbak </w:t>
      </w:r>
      <w:r w:rsidR="00896C5F">
        <w:t xml:space="preserve">National Park </w:t>
      </w:r>
      <w:r w:rsidRPr="00997ECF">
        <w:t>Ramsar Site</w:t>
      </w:r>
      <w:r w:rsidR="00565908" w:rsidRPr="00997ECF">
        <w:t xml:space="preserve">), </w:t>
      </w:r>
      <w:r w:rsidR="00A8789D" w:rsidRPr="00997ECF">
        <w:t>Senegal (</w:t>
      </w:r>
      <w:r w:rsidR="00896C5F">
        <w:t>Réserve Spéciale de F</w:t>
      </w:r>
      <w:r w:rsidR="00896C5F" w:rsidRPr="00896C5F">
        <w:t xml:space="preserve">aune de </w:t>
      </w:r>
      <w:r w:rsidR="00896C5F">
        <w:t>N</w:t>
      </w:r>
      <w:r w:rsidR="00896C5F" w:rsidRPr="00896C5F">
        <w:t>diaël</w:t>
      </w:r>
      <w:r w:rsidR="00896C5F">
        <w:t xml:space="preserve"> Ramsar Site</w:t>
      </w:r>
      <w:r w:rsidR="00A8789D" w:rsidRPr="00997ECF">
        <w:t>)</w:t>
      </w:r>
      <w:r w:rsidR="00565908" w:rsidRPr="00997ECF">
        <w:t>, Uganda (</w:t>
      </w:r>
      <w:r w:rsidRPr="00997ECF">
        <w:t>Murchison Falls-Albert Delta Wetland System</w:t>
      </w:r>
      <w:r w:rsidR="00A63303">
        <w:t xml:space="preserve"> Ramsar Site,</w:t>
      </w:r>
      <w:r w:rsidRPr="00997ECF">
        <w:t xml:space="preserve"> </w:t>
      </w:r>
      <w:r w:rsidR="00565908" w:rsidRPr="00997ECF">
        <w:t xml:space="preserve">and </w:t>
      </w:r>
      <w:r w:rsidRPr="00997ECF">
        <w:t>Lake George</w:t>
      </w:r>
      <w:r w:rsidR="00A63303">
        <w:t xml:space="preserve"> Ramsar Site</w:t>
      </w:r>
      <w:r w:rsidR="00565908" w:rsidRPr="00997ECF">
        <w:t>), and</w:t>
      </w:r>
      <w:r w:rsidR="00A8789D" w:rsidRPr="00A8789D">
        <w:t xml:space="preserve"> </w:t>
      </w:r>
      <w:r w:rsidR="00A8789D">
        <w:t>United Arab Emirates</w:t>
      </w:r>
      <w:r w:rsidR="00A8789D" w:rsidRPr="00997ECF">
        <w:t xml:space="preserve"> (Ras Al Khor Ramsar Site)</w:t>
      </w:r>
      <w:r w:rsidR="00565908" w:rsidRPr="00997ECF">
        <w:t>. Funds are being mobilized for two RAMs to Nicaragua (</w:t>
      </w:r>
      <w:r w:rsidRPr="00997ECF">
        <w:t>Bluefield Ramsar Site and Corn Island</w:t>
      </w:r>
      <w:r w:rsidR="00565908" w:rsidRPr="00997ECF">
        <w:t>) and Sierra Leone (</w:t>
      </w:r>
      <w:r w:rsidRPr="00997ECF">
        <w:t>Sierra Leone River Estuary Ramsar Site</w:t>
      </w:r>
      <w:r w:rsidR="00565908" w:rsidRPr="00997ECF">
        <w:t>).</w:t>
      </w:r>
      <w:r w:rsidRPr="00997ECF">
        <w:t xml:space="preserve"> </w:t>
      </w:r>
      <w:r w:rsidR="00997ECF">
        <w:t>For more information s</w:t>
      </w:r>
      <w:r w:rsidR="00997ECF" w:rsidRPr="00952956">
        <w:t xml:space="preserve">ee </w:t>
      </w:r>
      <w:r w:rsidR="00610D7F" w:rsidRPr="00952956">
        <w:t xml:space="preserve">document </w:t>
      </w:r>
      <w:r w:rsidR="00A63303" w:rsidRPr="00952956">
        <w:t xml:space="preserve">SC53-18 </w:t>
      </w:r>
      <w:r w:rsidR="00A63303" w:rsidRPr="00952956">
        <w:rPr>
          <w:i/>
        </w:rPr>
        <w:t>Update on the status of Sites on the List of Wetlands of International Importance</w:t>
      </w:r>
      <w:r w:rsidR="00610D7F" w:rsidRPr="00952956">
        <w:t>.</w:t>
      </w:r>
      <w:r w:rsidR="00997ECF" w:rsidRPr="00952956">
        <w:t xml:space="preserve"> </w:t>
      </w:r>
      <w:r w:rsidR="00610D7F" w:rsidRPr="00952956">
        <w:t>Th</w:t>
      </w:r>
      <w:r w:rsidR="00610D7F">
        <w:t>irty</w:t>
      </w:r>
      <w:r w:rsidR="00997ECF" w:rsidRPr="00997ECF">
        <w:t xml:space="preserve"> Contracting Parties were supported in the development of wetland inventories.</w:t>
      </w:r>
    </w:p>
    <w:p w:rsidR="00997ECF" w:rsidRPr="00997ECF" w:rsidRDefault="00997ECF" w:rsidP="00997ECF">
      <w:pPr>
        <w:pStyle w:val="ListParagraph"/>
        <w:rPr>
          <w:b/>
          <w:sz w:val="20"/>
          <w:szCs w:val="20"/>
          <w:u w:val="single"/>
        </w:rPr>
      </w:pPr>
    </w:p>
    <w:p w:rsidR="00151C21" w:rsidRDefault="00997ECF" w:rsidP="00094814">
      <w:pPr>
        <w:pStyle w:val="ListParagraph"/>
        <w:numPr>
          <w:ilvl w:val="0"/>
          <w:numId w:val="1"/>
        </w:numPr>
        <w:ind w:left="426" w:hanging="426"/>
      </w:pPr>
      <w:r w:rsidRPr="00997ECF">
        <w:t xml:space="preserve">The Secretariat </w:t>
      </w:r>
      <w:r w:rsidR="00151C21">
        <w:t xml:space="preserve">prioritized the </w:t>
      </w:r>
      <w:r>
        <w:t>completion</w:t>
      </w:r>
      <w:r w:rsidR="00244593">
        <w:t xml:space="preserve"> of data</w:t>
      </w:r>
      <w:r>
        <w:t xml:space="preserve"> in the </w:t>
      </w:r>
      <w:r w:rsidR="002C6F83" w:rsidRPr="009C3409">
        <w:t>R</w:t>
      </w:r>
      <w:r w:rsidRPr="009C3409">
        <w:t xml:space="preserve">amsar </w:t>
      </w:r>
      <w:r w:rsidR="002C6F83" w:rsidRPr="009C3409">
        <w:t>S</w:t>
      </w:r>
      <w:r w:rsidRPr="009C3409">
        <w:t xml:space="preserve">ites </w:t>
      </w:r>
      <w:r w:rsidR="002C6F83" w:rsidRPr="009C3409">
        <w:t>I</w:t>
      </w:r>
      <w:r w:rsidRPr="009C3409">
        <w:t xml:space="preserve">nformation </w:t>
      </w:r>
      <w:r w:rsidR="002C6F83" w:rsidRPr="009C3409">
        <w:t>S</w:t>
      </w:r>
      <w:r w:rsidR="009C3409" w:rsidRPr="009C3409">
        <w:t>ervice</w:t>
      </w:r>
      <w:r w:rsidR="002C6F83" w:rsidRPr="00997ECF">
        <w:t xml:space="preserve"> </w:t>
      </w:r>
      <w:r>
        <w:t xml:space="preserve">(RSIS). </w:t>
      </w:r>
      <w:r w:rsidR="002C6F83" w:rsidRPr="00997ECF">
        <w:t>By mid-</w:t>
      </w:r>
      <w:r w:rsidR="00815BDF">
        <w:t>M</w:t>
      </w:r>
      <w:r w:rsidR="002C6F83" w:rsidRPr="00997ECF">
        <w:t xml:space="preserve">arch 2017 the </w:t>
      </w:r>
      <w:r w:rsidR="00815BDF">
        <w:t>d</w:t>
      </w:r>
      <w:r w:rsidR="002C6F83" w:rsidRPr="00997ECF">
        <w:t xml:space="preserve">ata </w:t>
      </w:r>
      <w:r w:rsidR="00815BDF">
        <w:t>c</w:t>
      </w:r>
      <w:r w:rsidR="002C6F83" w:rsidRPr="00997ECF">
        <w:t>ompletion will be finalized for Africa, Asia</w:t>
      </w:r>
      <w:r w:rsidR="00841230">
        <w:t>,</w:t>
      </w:r>
      <w:r w:rsidR="002C6F83" w:rsidRPr="00997ECF">
        <w:t xml:space="preserve"> </w:t>
      </w:r>
      <w:r w:rsidR="00841230">
        <w:t>Latin America and the Caribbean,</w:t>
      </w:r>
      <w:r w:rsidR="002C6F83" w:rsidRPr="00997ECF">
        <w:t xml:space="preserve"> North America </w:t>
      </w:r>
      <w:r w:rsidR="00841230">
        <w:t>and Oceania</w:t>
      </w:r>
      <w:r w:rsidR="002C6F83" w:rsidRPr="00997ECF">
        <w:t xml:space="preserve">. Because of the high number of </w:t>
      </w:r>
      <w:r w:rsidR="00952956">
        <w:t>S</w:t>
      </w:r>
      <w:r w:rsidR="00952956" w:rsidRPr="00997ECF">
        <w:t xml:space="preserve">ites </w:t>
      </w:r>
      <w:r w:rsidR="002C6F83" w:rsidRPr="00997ECF">
        <w:t>in Europe</w:t>
      </w:r>
      <w:r w:rsidR="00245809">
        <w:t>,</w:t>
      </w:r>
      <w:r w:rsidR="002C6F83" w:rsidRPr="00997ECF">
        <w:t xml:space="preserve"> the </w:t>
      </w:r>
      <w:r w:rsidR="00841230">
        <w:t>d</w:t>
      </w:r>
      <w:r w:rsidR="002C6F83" w:rsidRPr="00997ECF">
        <w:t xml:space="preserve">ata </w:t>
      </w:r>
      <w:r w:rsidR="00841230">
        <w:t>c</w:t>
      </w:r>
      <w:r w:rsidR="002C6F83" w:rsidRPr="00997ECF">
        <w:t xml:space="preserve">ompletion </w:t>
      </w:r>
      <w:r w:rsidR="00841230">
        <w:t>for</w:t>
      </w:r>
      <w:r w:rsidR="002C6F83" w:rsidRPr="00997ECF">
        <w:t xml:space="preserve"> that region is still ongoing and will be finalized by the end of 2017.</w:t>
      </w:r>
    </w:p>
    <w:p w:rsidR="00151C21" w:rsidRPr="00151C21" w:rsidRDefault="00151C21" w:rsidP="00151C21">
      <w:pPr>
        <w:pStyle w:val="ListParagraph"/>
        <w:rPr>
          <w:b/>
          <w:sz w:val="20"/>
          <w:szCs w:val="20"/>
          <w:u w:val="single"/>
        </w:rPr>
      </w:pPr>
    </w:p>
    <w:p w:rsidR="0001634B" w:rsidRPr="00837A8F" w:rsidRDefault="00EC04F7" w:rsidP="00094814">
      <w:pPr>
        <w:pStyle w:val="ListParagraph"/>
        <w:numPr>
          <w:ilvl w:val="0"/>
          <w:numId w:val="1"/>
        </w:numPr>
        <w:ind w:left="426" w:hanging="426"/>
        <w:rPr>
          <w:b/>
          <w:sz w:val="20"/>
          <w:szCs w:val="20"/>
          <w:u w:val="single"/>
        </w:rPr>
      </w:pPr>
      <w:r>
        <w:t xml:space="preserve">The Secretariat </w:t>
      </w:r>
      <w:r w:rsidR="009019B0">
        <w:t xml:space="preserve">has </w:t>
      </w:r>
      <w:r>
        <w:t>engaged in numerous</w:t>
      </w:r>
      <w:r w:rsidR="00151C21" w:rsidRPr="00EC04F7">
        <w:t xml:space="preserve"> </w:t>
      </w:r>
      <w:r w:rsidRPr="00EC04F7">
        <w:t>c</w:t>
      </w:r>
      <w:r w:rsidR="00151C21" w:rsidRPr="00EC04F7">
        <w:t>apacity</w:t>
      </w:r>
      <w:r w:rsidR="009019B0">
        <w:t>-</w:t>
      </w:r>
      <w:r w:rsidR="00151C21" w:rsidRPr="00EC04F7">
        <w:t>building</w:t>
      </w:r>
      <w:r>
        <w:t xml:space="preserve"> efforts </w:t>
      </w:r>
      <w:r w:rsidR="002C6F83" w:rsidRPr="00EC04F7">
        <w:t>including t</w:t>
      </w:r>
      <w:r>
        <w:t>raining</w:t>
      </w:r>
      <w:r w:rsidR="009019B0">
        <w:t xml:space="preserve"> sessions</w:t>
      </w:r>
      <w:r>
        <w:t>, workshops</w:t>
      </w:r>
      <w:r w:rsidR="002C6F83" w:rsidRPr="00EC04F7">
        <w:t xml:space="preserve">, presentations and webinars </w:t>
      </w:r>
      <w:r>
        <w:t xml:space="preserve">providing support to Contracting Parties in </w:t>
      </w:r>
      <w:r w:rsidR="009019B0">
        <w:t xml:space="preserve">subjects </w:t>
      </w:r>
      <w:r>
        <w:t xml:space="preserve">such as </w:t>
      </w:r>
      <w:r w:rsidRPr="00E93C7E">
        <w:rPr>
          <w:rStyle w:val="intro-resume2"/>
          <w:rFonts w:asciiTheme="minorHAnsi" w:hAnsiTheme="minorHAnsi"/>
          <w:sz w:val="22"/>
          <w:szCs w:val="22"/>
        </w:rPr>
        <w:t>R</w:t>
      </w:r>
      <w:r w:rsidR="002C6F83" w:rsidRPr="00E93C7E">
        <w:rPr>
          <w:rStyle w:val="intro-resume2"/>
          <w:rFonts w:asciiTheme="minorHAnsi" w:hAnsiTheme="minorHAnsi"/>
          <w:sz w:val="22"/>
          <w:szCs w:val="22"/>
        </w:rPr>
        <w:t>amsar</w:t>
      </w:r>
      <w:r w:rsidR="002C6F83" w:rsidRPr="00EC04F7">
        <w:t xml:space="preserve"> Site management, restoration, monitoring, peatlands,</w:t>
      </w:r>
      <w:r w:rsidRPr="00EC04F7">
        <w:t xml:space="preserve"> </w:t>
      </w:r>
      <w:r w:rsidR="009019B0">
        <w:t xml:space="preserve">and </w:t>
      </w:r>
      <w:r w:rsidRPr="00EC04F7">
        <w:t>RIS/RSIS data completion</w:t>
      </w:r>
      <w:r w:rsidR="009019B0">
        <w:t>.</w:t>
      </w:r>
      <w:r w:rsidRPr="00EC04F7">
        <w:t xml:space="preserve"> </w:t>
      </w:r>
      <w:r w:rsidR="009019B0">
        <w:t xml:space="preserve">The trainees </w:t>
      </w:r>
      <w:r w:rsidRPr="00EC04F7">
        <w:t>includ</w:t>
      </w:r>
      <w:r w:rsidR="009019B0">
        <w:t>ed</w:t>
      </w:r>
      <w:r w:rsidRPr="00EC04F7">
        <w:t xml:space="preserve"> </w:t>
      </w:r>
      <w:r w:rsidR="00952956">
        <w:t>S</w:t>
      </w:r>
      <w:r w:rsidR="002C6F83" w:rsidRPr="00EC04F7">
        <w:t>ite managers</w:t>
      </w:r>
      <w:r w:rsidR="009019B0">
        <w:t>,</w:t>
      </w:r>
      <w:r w:rsidR="002C6F83" w:rsidRPr="00EC04F7">
        <w:t xml:space="preserve"> National Focal Points</w:t>
      </w:r>
      <w:r w:rsidRPr="00EC04F7">
        <w:t xml:space="preserve"> and </w:t>
      </w:r>
      <w:r w:rsidR="002C6F83" w:rsidRPr="00EC04F7">
        <w:t>Ramsar Regional Initiatives</w:t>
      </w:r>
      <w:r w:rsidR="00A13D95">
        <w:t>’ stakeholders</w:t>
      </w:r>
      <w:r w:rsidRPr="00EC04F7">
        <w:t>. Efforts are underway to put in place a more coordinated approach to capacity building across the regions, including the identification of needs and priority areas in which capacities are needed, development and use of common materials and tools, development of partnerships for capacity building</w:t>
      </w:r>
      <w:r w:rsidR="00B01BB2">
        <w:t>,</w:t>
      </w:r>
      <w:r w:rsidRPr="00EC04F7">
        <w:t xml:space="preserve"> and monitoring of outcomes.</w:t>
      </w:r>
    </w:p>
    <w:p w:rsidR="00654D35" w:rsidRPr="00837A8F" w:rsidRDefault="00654D35" w:rsidP="00837A8F">
      <w:pPr>
        <w:pStyle w:val="ListParagraph"/>
        <w:rPr>
          <w:b/>
          <w:sz w:val="20"/>
          <w:szCs w:val="20"/>
          <w:u w:val="single"/>
        </w:rPr>
      </w:pPr>
    </w:p>
    <w:p w:rsidR="00654D35" w:rsidRPr="00A95372" w:rsidRDefault="00A95372" w:rsidP="00952956">
      <w:pPr>
        <w:pStyle w:val="ListParagraph"/>
        <w:numPr>
          <w:ilvl w:val="0"/>
          <w:numId w:val="1"/>
        </w:numPr>
        <w:ind w:left="425" w:hanging="425"/>
      </w:pPr>
      <w:r>
        <w:t>T</w:t>
      </w:r>
      <w:r w:rsidR="00171C51">
        <w:t>he Secretariat is</w:t>
      </w:r>
      <w:r w:rsidR="00654D35" w:rsidRPr="00A95372">
        <w:t xml:space="preserve"> strengthen</w:t>
      </w:r>
      <w:r w:rsidR="00171C51">
        <w:t>ing</w:t>
      </w:r>
      <w:r w:rsidR="00654D35" w:rsidRPr="00A95372">
        <w:t xml:space="preserve"> </w:t>
      </w:r>
      <w:r w:rsidR="007906EE">
        <w:t>its enabling</w:t>
      </w:r>
      <w:r w:rsidR="00171C51">
        <w:t xml:space="preserve"> role to deploy</w:t>
      </w:r>
      <w:r w:rsidR="00717B8C" w:rsidRPr="00A95372">
        <w:t xml:space="preserve"> </w:t>
      </w:r>
      <w:r w:rsidR="00582DC3" w:rsidRPr="00A95372">
        <w:t>its limited ca</w:t>
      </w:r>
      <w:r w:rsidR="00582DC3">
        <w:t>pacities and resources</w:t>
      </w:r>
      <w:r w:rsidR="00582DC3" w:rsidRPr="00A95372">
        <w:t xml:space="preserve"> </w:t>
      </w:r>
      <w:r w:rsidR="00717B8C" w:rsidRPr="00A95372">
        <w:t xml:space="preserve">in the most effective and efficient </w:t>
      </w:r>
      <w:r w:rsidR="00717B8C" w:rsidRPr="00952956">
        <w:t>way</w:t>
      </w:r>
      <w:r w:rsidR="00D473FE" w:rsidRPr="00952956">
        <w:t>.</w:t>
      </w:r>
      <w:r w:rsidR="00582DC3" w:rsidRPr="00952956">
        <w:t xml:space="preserve"> Efforts</w:t>
      </w:r>
      <w:r w:rsidR="00717B8C" w:rsidRPr="00952956">
        <w:t xml:space="preserve"> include supporting </w:t>
      </w:r>
      <w:r w:rsidR="00952956" w:rsidRPr="00952956">
        <w:t xml:space="preserve">Regional Initiatives </w:t>
      </w:r>
      <w:r w:rsidR="00717B8C" w:rsidRPr="00952956">
        <w:t xml:space="preserve">(see </w:t>
      </w:r>
      <w:r w:rsidR="00952956" w:rsidRPr="00952956">
        <w:t xml:space="preserve">document SC53-12 </w:t>
      </w:r>
      <w:r w:rsidR="00952956" w:rsidRPr="00952956">
        <w:rPr>
          <w:i/>
        </w:rPr>
        <w:t>Update on Ramsar Regional Initiatives</w:t>
      </w:r>
      <w:r w:rsidR="00952956" w:rsidRPr="00952956">
        <w:t>)</w:t>
      </w:r>
      <w:r w:rsidR="00952956" w:rsidRPr="00A95372">
        <w:t xml:space="preserve"> </w:t>
      </w:r>
      <w:r w:rsidR="00717B8C" w:rsidRPr="00A95372">
        <w:t xml:space="preserve">and developing </w:t>
      </w:r>
      <w:r w:rsidR="00654D35" w:rsidRPr="00A95372">
        <w:t>st</w:t>
      </w:r>
      <w:r w:rsidR="00171C51">
        <w:t xml:space="preserve">rategic partnerships </w:t>
      </w:r>
      <w:r w:rsidR="00D473FE">
        <w:t>that could</w:t>
      </w:r>
      <w:r w:rsidR="00001B57">
        <w:t xml:space="preserve"> significantly step up</w:t>
      </w:r>
      <w:r w:rsidR="00D473FE">
        <w:t xml:space="preserve"> the support pro</w:t>
      </w:r>
      <w:r w:rsidR="00001B57">
        <w:t>vided to Contracting Parties for</w:t>
      </w:r>
      <w:r w:rsidR="00D473FE">
        <w:t xml:space="preserve"> the implementation of the Convention</w:t>
      </w:r>
      <w:r w:rsidR="00001B57">
        <w:t xml:space="preserve"> and its</w:t>
      </w:r>
      <w:r w:rsidR="00D473FE">
        <w:t xml:space="preserve"> Strategic Plan. </w:t>
      </w:r>
      <w:r w:rsidR="00717B8C" w:rsidRPr="00A95372">
        <w:t>In this regard, t</w:t>
      </w:r>
      <w:r w:rsidR="00654D35" w:rsidRPr="00A95372">
        <w:t xml:space="preserve">he Secretary General engaged with the </w:t>
      </w:r>
      <w:r w:rsidR="00D473FE">
        <w:t>heads of</w:t>
      </w:r>
      <w:r w:rsidR="00654D35" w:rsidRPr="00A95372">
        <w:t xml:space="preserve"> the six I</w:t>
      </w:r>
      <w:r w:rsidR="00D473FE">
        <w:t>OPs</w:t>
      </w:r>
      <w:r w:rsidR="00654D35" w:rsidRPr="00A95372">
        <w:t xml:space="preserve"> </w:t>
      </w:r>
      <w:r w:rsidR="00001B57">
        <w:t xml:space="preserve">and </w:t>
      </w:r>
      <w:r w:rsidR="00654D35" w:rsidRPr="00A95372">
        <w:t xml:space="preserve">there was </w:t>
      </w:r>
      <w:r w:rsidR="00001B57">
        <w:t>full</w:t>
      </w:r>
      <w:r w:rsidR="00B336FC" w:rsidRPr="00A95372">
        <w:t xml:space="preserve"> agreement on the need to </w:t>
      </w:r>
      <w:r w:rsidR="00D473FE">
        <w:t xml:space="preserve">jointly </w:t>
      </w:r>
      <w:r w:rsidR="00654D35" w:rsidRPr="00A95372">
        <w:t>identify strategic areas of collabora</w:t>
      </w:r>
      <w:r w:rsidR="00D473FE">
        <w:t xml:space="preserve">tion to </w:t>
      </w:r>
      <w:r w:rsidR="00B336FC" w:rsidRPr="00A95372">
        <w:t xml:space="preserve">support the Convention and fully use the potential of this important partnership. </w:t>
      </w:r>
      <w:r w:rsidR="00654D35" w:rsidRPr="00A95372">
        <w:t xml:space="preserve">A face-to-face meeting will be held </w:t>
      </w:r>
      <w:r w:rsidR="00001B57">
        <w:t>with the heads of IOPs</w:t>
      </w:r>
      <w:r w:rsidR="00654D35" w:rsidRPr="00A95372">
        <w:t xml:space="preserve"> on 2 May</w:t>
      </w:r>
      <w:r w:rsidR="00B336FC" w:rsidRPr="00A95372">
        <w:t xml:space="preserve"> </w:t>
      </w:r>
      <w:r w:rsidR="00952956">
        <w:t xml:space="preserve">2017 </w:t>
      </w:r>
      <w:r w:rsidR="00B336FC" w:rsidRPr="00A95372">
        <w:t xml:space="preserve">and a </w:t>
      </w:r>
      <w:r w:rsidR="00001B57">
        <w:t xml:space="preserve">preparatory </w:t>
      </w:r>
      <w:r w:rsidR="00B336FC" w:rsidRPr="00A95372">
        <w:t xml:space="preserve">process </w:t>
      </w:r>
      <w:r w:rsidR="00952956">
        <w:t>has been</w:t>
      </w:r>
      <w:r w:rsidR="00952956" w:rsidRPr="00A95372">
        <w:t xml:space="preserve"> </w:t>
      </w:r>
      <w:r w:rsidR="00B336FC" w:rsidRPr="00A95372">
        <w:t>put in plac</w:t>
      </w:r>
      <w:r w:rsidR="00001B57">
        <w:t>e</w:t>
      </w:r>
      <w:r w:rsidR="00B336FC" w:rsidRPr="00A95372">
        <w:t xml:space="preserve">, including a </w:t>
      </w:r>
      <w:r w:rsidR="00001B57">
        <w:t>teleconference</w:t>
      </w:r>
      <w:r w:rsidR="00B336FC" w:rsidRPr="00A95372">
        <w:t xml:space="preserve"> on</w:t>
      </w:r>
      <w:r w:rsidR="00472A34">
        <w:t xml:space="preserve"> </w:t>
      </w:r>
      <w:r w:rsidR="00472A34" w:rsidRPr="00472A34">
        <w:t>20 February</w:t>
      </w:r>
      <w:r w:rsidR="00B336FC" w:rsidRPr="00A95372">
        <w:t>.</w:t>
      </w:r>
      <w:r w:rsidR="00654D35" w:rsidRPr="00A95372">
        <w:t xml:space="preserve"> The outcome</w:t>
      </w:r>
      <w:r w:rsidR="00D473FE">
        <w:t xml:space="preserve">s will be reflected in a </w:t>
      </w:r>
      <w:r w:rsidR="000D489C">
        <w:t>renewed</w:t>
      </w:r>
      <w:r w:rsidR="00654D35" w:rsidRPr="00A95372">
        <w:t xml:space="preserve"> Memorandum of Understanding.</w:t>
      </w:r>
    </w:p>
    <w:p w:rsidR="0001634B" w:rsidRDefault="0001634B" w:rsidP="0056372E">
      <w:pPr>
        <w:pStyle w:val="ListParagraph"/>
        <w:ind w:left="425"/>
      </w:pPr>
    </w:p>
    <w:p w:rsidR="0029041D" w:rsidRPr="00472A34" w:rsidRDefault="002A05A3" w:rsidP="0056372E">
      <w:pPr>
        <w:pStyle w:val="ListParagraph"/>
        <w:numPr>
          <w:ilvl w:val="0"/>
          <w:numId w:val="1"/>
        </w:numPr>
        <w:ind w:left="425" w:hanging="425"/>
        <w:rPr>
          <w:b/>
          <w:sz w:val="20"/>
          <w:szCs w:val="20"/>
          <w:u w:val="single"/>
        </w:rPr>
      </w:pPr>
      <w:r w:rsidRPr="002A05A3">
        <w:t>Regarding resource mobiliz</w:t>
      </w:r>
      <w:r>
        <w:t>ation</w:t>
      </w:r>
      <w:r w:rsidR="00BE138E">
        <w:t>, in this reporting period</w:t>
      </w:r>
      <w:r>
        <w:t xml:space="preserve"> the Secretariat raised </w:t>
      </w:r>
      <w:r w:rsidR="00BE138E">
        <w:t>USD</w:t>
      </w:r>
      <w:r w:rsidR="002C6F83" w:rsidRPr="002A05A3">
        <w:t xml:space="preserve"> 70,000 </w:t>
      </w:r>
      <w:r w:rsidRPr="002A05A3">
        <w:t xml:space="preserve">for RAMs, </w:t>
      </w:r>
      <w:r w:rsidR="00BE138E">
        <w:t xml:space="preserve">USD </w:t>
      </w:r>
      <w:r w:rsidR="002C6F83" w:rsidRPr="002A05A3">
        <w:t xml:space="preserve">65,000 </w:t>
      </w:r>
      <w:r w:rsidR="00BE138E">
        <w:t>f</w:t>
      </w:r>
      <w:r>
        <w:t xml:space="preserve">or </w:t>
      </w:r>
      <w:r w:rsidRPr="00E93C7E">
        <w:rPr>
          <w:rStyle w:val="intro-resume2"/>
          <w:rFonts w:asciiTheme="minorHAnsi" w:hAnsiTheme="minorHAnsi"/>
          <w:sz w:val="22"/>
          <w:szCs w:val="22"/>
        </w:rPr>
        <w:t>Regional</w:t>
      </w:r>
      <w:r>
        <w:t xml:space="preserve"> </w:t>
      </w:r>
      <w:r w:rsidR="00472A34">
        <w:t>Initiatives</w:t>
      </w:r>
      <w:r>
        <w:t xml:space="preserve"> and </w:t>
      </w:r>
      <w:r w:rsidR="00BE138E">
        <w:t xml:space="preserve">USD </w:t>
      </w:r>
      <w:r w:rsidRPr="002A05A3">
        <w:t xml:space="preserve">87,000 </w:t>
      </w:r>
      <w:r>
        <w:t>for</w:t>
      </w:r>
      <w:r w:rsidR="00472A34">
        <w:t xml:space="preserve"> t</w:t>
      </w:r>
      <w:r w:rsidR="00472A34" w:rsidRPr="00472A34">
        <w:t>he Ramsar Convention’s Programme on communication, capacity building, education, participation and awareness (CEPA)</w:t>
      </w:r>
      <w:r w:rsidR="00472A34">
        <w:t xml:space="preserve">. </w:t>
      </w:r>
      <w:r>
        <w:t xml:space="preserve">As part of fundraising </w:t>
      </w:r>
      <w:r w:rsidR="00C309A7">
        <w:t xml:space="preserve">for </w:t>
      </w:r>
      <w:r>
        <w:t xml:space="preserve">COP13, </w:t>
      </w:r>
      <w:r w:rsidR="007E53C7">
        <w:t xml:space="preserve">USD </w:t>
      </w:r>
      <w:r w:rsidRPr="002A05A3">
        <w:t xml:space="preserve">18,000 </w:t>
      </w:r>
      <w:r>
        <w:t xml:space="preserve">were raised for the </w:t>
      </w:r>
      <w:r w:rsidRPr="002A05A3">
        <w:t>7th Oceania Regional Meeting in Fiji</w:t>
      </w:r>
      <w:r w:rsidR="003471CC">
        <w:t>,</w:t>
      </w:r>
      <w:r>
        <w:t xml:space="preserve"> and </w:t>
      </w:r>
      <w:r w:rsidR="003471CC">
        <w:t xml:space="preserve">the Secretariat </w:t>
      </w:r>
      <w:r>
        <w:t xml:space="preserve">is </w:t>
      </w:r>
      <w:r w:rsidR="003471CC">
        <w:t>now seeking funds for</w:t>
      </w:r>
      <w:r>
        <w:t xml:space="preserve"> p</w:t>
      </w:r>
      <w:r w:rsidR="002C6F83" w:rsidRPr="002A05A3">
        <w:t>re-COP Regional Meetings</w:t>
      </w:r>
      <w:r>
        <w:t xml:space="preserve">. The Secretariat </w:t>
      </w:r>
      <w:r w:rsidR="003471CC">
        <w:t xml:space="preserve">has </w:t>
      </w:r>
      <w:r>
        <w:t>also worked with Danone</w:t>
      </w:r>
      <w:r w:rsidR="00001B57">
        <w:t>-Evian</w:t>
      </w:r>
      <w:r>
        <w:t xml:space="preserve"> and </w:t>
      </w:r>
      <w:r w:rsidR="003471CC">
        <w:t>has obtained</w:t>
      </w:r>
      <w:r>
        <w:t xml:space="preserve"> approval for renewal of </w:t>
      </w:r>
      <w:r w:rsidR="003471CC">
        <w:t xml:space="preserve">its </w:t>
      </w:r>
      <w:r>
        <w:lastRenderedPageBreak/>
        <w:t>partner</w:t>
      </w:r>
      <w:r w:rsidR="003471CC">
        <w:t>s</w:t>
      </w:r>
      <w:r>
        <w:t xml:space="preserve">hip for 2017-2020 </w:t>
      </w:r>
      <w:r w:rsidR="00472A34">
        <w:t xml:space="preserve">with 250,000 </w:t>
      </w:r>
      <w:r w:rsidR="00001B57">
        <w:t>Euros per year and the opportunity to collaborate with its multi</w:t>
      </w:r>
      <w:r w:rsidR="00910816">
        <w:t>-</w:t>
      </w:r>
      <w:r w:rsidR="00001B57">
        <w:t>million</w:t>
      </w:r>
      <w:r w:rsidR="00816AE5">
        <w:t>-euro</w:t>
      </w:r>
      <w:r w:rsidR="00001B57">
        <w:t xml:space="preserve"> Livelihoods Fund.</w:t>
      </w:r>
    </w:p>
    <w:p w:rsidR="0029041D" w:rsidRDefault="0029041D" w:rsidP="0056372E">
      <w:pPr>
        <w:pStyle w:val="ListParagraph"/>
        <w:ind w:left="425"/>
      </w:pPr>
    </w:p>
    <w:p w:rsidR="0029041D" w:rsidRPr="004946C6" w:rsidRDefault="002A05A3" w:rsidP="004946C6">
      <w:pPr>
        <w:pStyle w:val="ListParagraph"/>
        <w:numPr>
          <w:ilvl w:val="0"/>
          <w:numId w:val="1"/>
        </w:numPr>
        <w:ind w:left="425" w:hanging="425"/>
        <w:rPr>
          <w:lang w:val="en-US" w:eastAsia="ru-RU"/>
        </w:rPr>
      </w:pPr>
      <w:r>
        <w:t xml:space="preserve">The Secretariat </w:t>
      </w:r>
      <w:r w:rsidR="00925AB6">
        <w:t xml:space="preserve">has </w:t>
      </w:r>
      <w:r>
        <w:t>also supported fundraising for Contracting Parties</w:t>
      </w:r>
      <w:r w:rsidR="005E5C41">
        <w:t>. In Asia, it w</w:t>
      </w:r>
      <w:r w:rsidR="005E5C41" w:rsidRPr="0029041D">
        <w:rPr>
          <w:lang w:val="en-US" w:eastAsia="ru-RU"/>
        </w:rPr>
        <w:t xml:space="preserve">orked with the IUCN </w:t>
      </w:r>
      <w:r w:rsidR="005E5C41" w:rsidRPr="00E93C7E">
        <w:rPr>
          <w:rStyle w:val="intro-resume2"/>
          <w:rFonts w:asciiTheme="minorHAnsi" w:hAnsiTheme="minorHAnsi"/>
          <w:sz w:val="22"/>
          <w:szCs w:val="22"/>
        </w:rPr>
        <w:t>Asia</w:t>
      </w:r>
      <w:r w:rsidR="005E5C41" w:rsidRPr="0029041D">
        <w:rPr>
          <w:lang w:val="en-US" w:eastAsia="ru-RU"/>
        </w:rPr>
        <w:t xml:space="preserve"> Regional Office on a project worth EUR 2,530,000 entitled “Building Resilience of Wetlands in the Lower Mekong Region through a Ramsar </w:t>
      </w:r>
      <w:r w:rsidR="005E5C41">
        <w:t>Re</w:t>
      </w:r>
      <w:r w:rsidR="00615114">
        <w:t xml:space="preserve">gional Initiative”. It is also </w:t>
      </w:r>
      <w:r w:rsidR="00615114" w:rsidRPr="0029041D">
        <w:rPr>
          <w:lang w:val="en-US" w:eastAsia="ru-RU"/>
        </w:rPr>
        <w:t>working</w:t>
      </w:r>
      <w:r w:rsidR="005E5C41" w:rsidRPr="0029041D">
        <w:rPr>
          <w:lang w:val="en-US" w:eastAsia="ru-RU"/>
        </w:rPr>
        <w:t xml:space="preserve"> with</w:t>
      </w:r>
      <w:r w:rsidR="00CE4CB7" w:rsidRPr="00CE4CB7">
        <w:t xml:space="preserve"> </w:t>
      </w:r>
      <w:r w:rsidR="004D1899">
        <w:t xml:space="preserve">the </w:t>
      </w:r>
      <w:r w:rsidR="00615114" w:rsidRPr="00615114">
        <w:rPr>
          <w:lang w:val="en-US" w:eastAsia="ru-RU"/>
        </w:rPr>
        <w:t>Association of Southeast Asian Nations</w:t>
      </w:r>
      <w:r w:rsidR="00615114">
        <w:rPr>
          <w:lang w:val="en-US" w:eastAsia="ru-RU"/>
        </w:rPr>
        <w:t xml:space="preserve"> </w:t>
      </w:r>
      <w:r w:rsidR="004D1899">
        <w:rPr>
          <w:lang w:val="en-US" w:eastAsia="ru-RU"/>
        </w:rPr>
        <w:t xml:space="preserve">(ASEAN) </w:t>
      </w:r>
      <w:r w:rsidR="00CE4CB7" w:rsidRPr="00CE4CB7">
        <w:rPr>
          <w:lang w:val="en-US" w:eastAsia="ru-RU"/>
        </w:rPr>
        <w:t>Centre for Biodiversity</w:t>
      </w:r>
      <w:r w:rsidR="00615114">
        <w:rPr>
          <w:lang w:val="en-US" w:eastAsia="ru-RU"/>
        </w:rPr>
        <w:t xml:space="preserve">, </w:t>
      </w:r>
      <w:r w:rsidR="004D1899">
        <w:rPr>
          <w:lang w:val="en-US" w:eastAsia="ru-RU"/>
        </w:rPr>
        <w:t xml:space="preserve">the </w:t>
      </w:r>
      <w:r w:rsidR="00CE4CB7" w:rsidRPr="00615114">
        <w:rPr>
          <w:lang w:val="en-US" w:eastAsia="ru-RU"/>
        </w:rPr>
        <w:t>Coordinating Body on the Seas of East Asia</w:t>
      </w:r>
      <w:r w:rsidR="00615114">
        <w:rPr>
          <w:lang w:val="en-US" w:eastAsia="ru-RU"/>
        </w:rPr>
        <w:t xml:space="preserve">, </w:t>
      </w:r>
      <w:r w:rsidR="00615114" w:rsidRPr="00615114">
        <w:rPr>
          <w:lang w:val="en-US" w:eastAsia="ru-RU"/>
        </w:rPr>
        <w:t xml:space="preserve">Partnerships in Environmental Management </w:t>
      </w:r>
      <w:r w:rsidR="00615114">
        <w:rPr>
          <w:lang w:val="en-US" w:eastAsia="ru-RU"/>
        </w:rPr>
        <w:t>for the Seas of East Asia</w:t>
      </w:r>
      <w:r w:rsidR="004D1899">
        <w:rPr>
          <w:lang w:val="en-US" w:eastAsia="ru-RU"/>
        </w:rPr>
        <w:t>,</w:t>
      </w:r>
      <w:r w:rsidR="00615114">
        <w:rPr>
          <w:lang w:val="en-US" w:eastAsia="ru-RU"/>
        </w:rPr>
        <w:t xml:space="preserve"> </w:t>
      </w:r>
      <w:r w:rsidR="00925AB6" w:rsidRPr="00615114">
        <w:rPr>
          <w:lang w:val="en-US" w:eastAsia="ru-RU"/>
        </w:rPr>
        <w:t xml:space="preserve">and </w:t>
      </w:r>
      <w:r w:rsidR="004D1899">
        <w:rPr>
          <w:lang w:val="en-US" w:eastAsia="ru-RU"/>
        </w:rPr>
        <w:t xml:space="preserve">the </w:t>
      </w:r>
      <w:r w:rsidR="005E5C41" w:rsidRPr="00615114">
        <w:rPr>
          <w:lang w:val="en-US" w:eastAsia="ru-RU"/>
        </w:rPr>
        <w:t>UNEP-</w:t>
      </w:r>
      <w:r w:rsidR="00925AB6" w:rsidRPr="00615114">
        <w:rPr>
          <w:lang w:val="en-US" w:eastAsia="ru-RU"/>
        </w:rPr>
        <w:t>World Conservation Monitoring Centre</w:t>
      </w:r>
      <w:r w:rsidR="005E5C41" w:rsidRPr="00615114">
        <w:rPr>
          <w:lang w:val="en-US" w:eastAsia="ru-RU"/>
        </w:rPr>
        <w:t xml:space="preserve"> on a</w:t>
      </w:r>
      <w:r w:rsidR="004D1899">
        <w:rPr>
          <w:lang w:val="en-US" w:eastAsia="ru-RU"/>
        </w:rPr>
        <w:t xml:space="preserve">n </w:t>
      </w:r>
      <w:r w:rsidR="004D1899" w:rsidRPr="00615114">
        <w:rPr>
          <w:lang w:val="en-US" w:eastAsia="ru-RU"/>
        </w:rPr>
        <w:t>ASEAN</w:t>
      </w:r>
      <w:r w:rsidR="005E5C41" w:rsidRPr="00615114">
        <w:rPr>
          <w:lang w:val="en-US" w:eastAsia="ru-RU"/>
        </w:rPr>
        <w:t xml:space="preserve"> regional project worth USD</w:t>
      </w:r>
      <w:r w:rsidR="00925AB6" w:rsidRPr="00615114">
        <w:rPr>
          <w:lang w:val="en-US" w:eastAsia="ru-RU"/>
        </w:rPr>
        <w:t> </w:t>
      </w:r>
      <w:r w:rsidR="005E5C41" w:rsidRPr="00615114">
        <w:rPr>
          <w:lang w:val="en-US" w:eastAsia="ru-RU"/>
        </w:rPr>
        <w:t>286,500</w:t>
      </w:r>
      <w:r w:rsidR="00B43839" w:rsidRPr="00615114">
        <w:rPr>
          <w:lang w:val="en-US" w:eastAsia="ru-RU"/>
        </w:rPr>
        <w:t>,</w:t>
      </w:r>
      <w:r w:rsidR="005E5C41" w:rsidRPr="00615114">
        <w:rPr>
          <w:lang w:val="en-US" w:eastAsia="ru-RU"/>
        </w:rPr>
        <w:t xml:space="preserve"> entitled “Promoting the Conservation and Sustainable Management and Use of Key Coastal and Marine Ecosystems in the ASEAN Region”. This proposal will be submitted to the ASEAN Secretariat in the coming months.</w:t>
      </w:r>
      <w:r w:rsidR="0001634B" w:rsidRPr="00615114">
        <w:rPr>
          <w:rFonts w:cs="Arial"/>
        </w:rPr>
        <w:t xml:space="preserve"> In the Americas, fundraising has been focused </w:t>
      </w:r>
      <w:r w:rsidR="00B43839" w:rsidRPr="00615114">
        <w:rPr>
          <w:rFonts w:cs="Arial"/>
        </w:rPr>
        <w:t>on</w:t>
      </w:r>
      <w:r w:rsidR="0001634B" w:rsidRPr="00615114">
        <w:rPr>
          <w:rFonts w:cs="Arial"/>
        </w:rPr>
        <w:t xml:space="preserve"> Contracting Parties</w:t>
      </w:r>
      <w:r w:rsidR="00B43839" w:rsidRPr="00615114">
        <w:rPr>
          <w:rFonts w:cs="Arial"/>
        </w:rPr>
        <w:t>'</w:t>
      </w:r>
      <w:r w:rsidR="0001634B" w:rsidRPr="00615114">
        <w:rPr>
          <w:rFonts w:cs="Arial"/>
        </w:rPr>
        <w:t xml:space="preserve"> priorities</w:t>
      </w:r>
      <w:r w:rsidR="00B43839" w:rsidRPr="00615114">
        <w:rPr>
          <w:rFonts w:cs="Arial"/>
        </w:rPr>
        <w:t>,</w:t>
      </w:r>
      <w:r w:rsidR="0001634B" w:rsidRPr="00615114">
        <w:rPr>
          <w:rFonts w:cs="Arial"/>
        </w:rPr>
        <w:t xml:space="preserve"> mainly </w:t>
      </w:r>
      <w:r w:rsidR="00B43839" w:rsidRPr="00615114">
        <w:rPr>
          <w:rFonts w:cs="Arial"/>
        </w:rPr>
        <w:t>on</w:t>
      </w:r>
      <w:r w:rsidR="0001634B" w:rsidRPr="00615114">
        <w:rPr>
          <w:rFonts w:cs="Arial"/>
        </w:rPr>
        <w:t xml:space="preserve"> </w:t>
      </w:r>
      <w:r w:rsidR="004D1899" w:rsidRPr="00615114">
        <w:rPr>
          <w:rFonts w:cs="Arial"/>
        </w:rPr>
        <w:t>Regional Initiatives</w:t>
      </w:r>
      <w:r w:rsidR="0001634B" w:rsidRPr="00615114">
        <w:rPr>
          <w:rFonts w:cs="Arial"/>
        </w:rPr>
        <w:t>. Three project proposals were prepared by the Secretariat and relevant Contracting Parties of the Regional Initiatives of Cari</w:t>
      </w:r>
      <w:r w:rsidR="004946C6">
        <w:rPr>
          <w:rFonts w:cs="Arial"/>
        </w:rPr>
        <w:t>W</w:t>
      </w:r>
      <w:r w:rsidR="0001634B" w:rsidRPr="00615114">
        <w:rPr>
          <w:rFonts w:cs="Arial"/>
        </w:rPr>
        <w:t>et, La Plata River Basin and Mangroves and Coral Reefs</w:t>
      </w:r>
      <w:r w:rsidR="004946C6">
        <w:rPr>
          <w:rFonts w:cs="Arial"/>
        </w:rPr>
        <w:t>,</w:t>
      </w:r>
      <w:r w:rsidR="0001634B" w:rsidRPr="00615114">
        <w:rPr>
          <w:rFonts w:cs="Arial"/>
        </w:rPr>
        <w:t xml:space="preserve"> and submitted to </w:t>
      </w:r>
      <w:r w:rsidR="004946C6" w:rsidRPr="004946C6">
        <w:rPr>
          <w:rFonts w:cs="Arial"/>
        </w:rPr>
        <w:t xml:space="preserve">the International Climate Initiative </w:t>
      </w:r>
      <w:r w:rsidR="004946C6">
        <w:rPr>
          <w:rFonts w:cs="Arial"/>
        </w:rPr>
        <w:t>(</w:t>
      </w:r>
      <w:r w:rsidR="0001634B" w:rsidRPr="00615114">
        <w:rPr>
          <w:rFonts w:cs="Arial"/>
        </w:rPr>
        <w:t>IKI</w:t>
      </w:r>
      <w:r w:rsidR="004946C6">
        <w:rPr>
          <w:rFonts w:cs="Arial"/>
        </w:rPr>
        <w:t>)</w:t>
      </w:r>
      <w:r w:rsidR="0001634B" w:rsidRPr="00615114">
        <w:rPr>
          <w:rFonts w:cs="Arial"/>
        </w:rPr>
        <w:t xml:space="preserve"> in June 2016. The Secretariat has received </w:t>
      </w:r>
      <w:r w:rsidR="00B43839" w:rsidRPr="00615114">
        <w:rPr>
          <w:rFonts w:cs="Arial"/>
        </w:rPr>
        <w:t xml:space="preserve">an </w:t>
      </w:r>
      <w:r w:rsidR="0001634B" w:rsidRPr="00615114">
        <w:rPr>
          <w:rFonts w:cs="Arial"/>
        </w:rPr>
        <w:t>indication from IKI that the project for Cari</w:t>
      </w:r>
      <w:r w:rsidR="004946C6">
        <w:rPr>
          <w:rFonts w:cs="Arial"/>
        </w:rPr>
        <w:t>W</w:t>
      </w:r>
      <w:r w:rsidR="0001634B" w:rsidRPr="00615114">
        <w:rPr>
          <w:rFonts w:cs="Arial"/>
        </w:rPr>
        <w:t xml:space="preserve">et has fulfilled the funding criteria and </w:t>
      </w:r>
      <w:r w:rsidR="00E80ED1" w:rsidRPr="00615114">
        <w:rPr>
          <w:rFonts w:cs="Arial"/>
        </w:rPr>
        <w:t xml:space="preserve">it </w:t>
      </w:r>
      <w:r w:rsidR="0001634B" w:rsidRPr="00615114">
        <w:rPr>
          <w:rFonts w:cs="Arial"/>
        </w:rPr>
        <w:t xml:space="preserve">has participated in a training </w:t>
      </w:r>
      <w:r w:rsidR="00CB6AE6" w:rsidRPr="00615114">
        <w:rPr>
          <w:rFonts w:cs="Arial"/>
        </w:rPr>
        <w:t xml:space="preserve">session </w:t>
      </w:r>
      <w:r w:rsidR="0001634B" w:rsidRPr="00615114">
        <w:rPr>
          <w:rFonts w:cs="Arial"/>
        </w:rPr>
        <w:t xml:space="preserve">for the </w:t>
      </w:r>
      <w:r w:rsidR="0001634B" w:rsidRPr="00615114">
        <w:rPr>
          <w:rFonts w:cs="Arial"/>
          <w:bCs/>
        </w:rPr>
        <w:t>legal, administrative and financial requirements for IKI funding in February 2017. The other two projects</w:t>
      </w:r>
      <w:r w:rsidR="00E80ED1" w:rsidRPr="00615114">
        <w:rPr>
          <w:rFonts w:cs="Arial"/>
          <w:bCs/>
        </w:rPr>
        <w:t xml:space="preserve"> </w:t>
      </w:r>
      <w:r w:rsidR="004946C6">
        <w:rPr>
          <w:rFonts w:cs="Arial"/>
          <w:bCs/>
        </w:rPr>
        <w:t>–</w:t>
      </w:r>
      <w:r w:rsidR="0001634B" w:rsidRPr="00615114">
        <w:rPr>
          <w:rFonts w:cs="Arial"/>
          <w:bCs/>
        </w:rPr>
        <w:t xml:space="preserve"> for La Plata River Basin and Mangroves and Coral Reefs </w:t>
      </w:r>
      <w:r w:rsidR="004946C6">
        <w:rPr>
          <w:rFonts w:cs="Arial"/>
          <w:bCs/>
        </w:rPr>
        <w:t>–</w:t>
      </w:r>
      <w:r w:rsidR="00E80ED1" w:rsidRPr="00615114">
        <w:rPr>
          <w:rFonts w:cs="Arial"/>
          <w:bCs/>
        </w:rPr>
        <w:t xml:space="preserve"> </w:t>
      </w:r>
      <w:r w:rsidR="0001634B" w:rsidRPr="00615114">
        <w:rPr>
          <w:rFonts w:cs="Arial"/>
          <w:bCs/>
        </w:rPr>
        <w:t>will be submitted again to IKI for the 2017 cycle</w:t>
      </w:r>
      <w:r w:rsidR="00E80ED1" w:rsidRPr="00615114">
        <w:rPr>
          <w:rFonts w:cs="Arial"/>
          <w:bCs/>
        </w:rPr>
        <w:t>.</w:t>
      </w:r>
      <w:r w:rsidR="0001634B" w:rsidRPr="00615114">
        <w:rPr>
          <w:rFonts w:cs="Arial"/>
          <w:bCs/>
        </w:rPr>
        <w:t xml:space="preserve"> </w:t>
      </w:r>
      <w:r w:rsidR="00E80ED1" w:rsidRPr="00615114">
        <w:rPr>
          <w:rFonts w:cs="Arial"/>
          <w:bCs/>
        </w:rPr>
        <w:t>T</w:t>
      </w:r>
      <w:r w:rsidR="0001634B" w:rsidRPr="00615114">
        <w:rPr>
          <w:rFonts w:cs="Arial"/>
          <w:bCs/>
        </w:rPr>
        <w:t xml:space="preserve">he Secretariat and Contracting Parties </w:t>
      </w:r>
      <w:r w:rsidR="00E80ED1" w:rsidRPr="00615114">
        <w:rPr>
          <w:rFonts w:cs="Arial"/>
          <w:bCs/>
        </w:rPr>
        <w:t>are</w:t>
      </w:r>
      <w:r w:rsidR="0001634B" w:rsidRPr="00615114">
        <w:rPr>
          <w:rFonts w:cs="Arial"/>
          <w:bCs/>
        </w:rPr>
        <w:t xml:space="preserve"> </w:t>
      </w:r>
      <w:r w:rsidR="00E80ED1" w:rsidRPr="00615114">
        <w:rPr>
          <w:rFonts w:cs="Arial"/>
          <w:bCs/>
        </w:rPr>
        <w:t xml:space="preserve">also </w:t>
      </w:r>
      <w:r w:rsidR="0001634B" w:rsidRPr="00615114">
        <w:rPr>
          <w:rFonts w:cs="Arial"/>
          <w:bCs/>
        </w:rPr>
        <w:t xml:space="preserve">looking for alternative funding donors. </w:t>
      </w:r>
      <w:r w:rsidR="005E5C41">
        <w:t>The recruitment of the Head of Resource Mobilization and Outreach</w:t>
      </w:r>
      <w:r w:rsidR="00ED2056">
        <w:t xml:space="preserve"> (see below</w:t>
      </w:r>
      <w:r w:rsidR="004946C6">
        <w:t xml:space="preserve"> at paragraph 27</w:t>
      </w:r>
      <w:r w:rsidR="00ED2056">
        <w:t>)</w:t>
      </w:r>
      <w:r w:rsidR="005E5C41">
        <w:t xml:space="preserve"> is expected to </w:t>
      </w:r>
      <w:r w:rsidR="00E80ED1">
        <w:t>enhance</w:t>
      </w:r>
      <w:r w:rsidR="005E09B2" w:rsidRPr="00615114">
        <w:rPr>
          <w:lang w:val="en-US" w:eastAsia="ru-RU"/>
        </w:rPr>
        <w:t xml:space="preserve"> th</w:t>
      </w:r>
      <w:r w:rsidR="005E09B2" w:rsidRPr="004946C6">
        <w:rPr>
          <w:lang w:val="en-US" w:eastAsia="ru-RU"/>
        </w:rPr>
        <w:t>e Secretariat’</w:t>
      </w:r>
      <w:r w:rsidR="005E09B2" w:rsidRPr="004946C6">
        <w:rPr>
          <w:rFonts w:asciiTheme="minorHAnsi" w:hAnsiTheme="minorHAnsi"/>
        </w:rPr>
        <w:t>s ef</w:t>
      </w:r>
      <w:r w:rsidR="005E09B2" w:rsidRPr="004946C6">
        <w:rPr>
          <w:lang w:val="en-US" w:eastAsia="ru-RU"/>
        </w:rPr>
        <w:t xml:space="preserve">forts in this area and to implement the Convention’s Resource Mobilization </w:t>
      </w:r>
      <w:r w:rsidR="00981351" w:rsidRPr="004946C6">
        <w:rPr>
          <w:lang w:val="en-US" w:eastAsia="ru-RU"/>
        </w:rPr>
        <w:t xml:space="preserve">and Partnership </w:t>
      </w:r>
      <w:r w:rsidR="005E09B2" w:rsidRPr="004946C6">
        <w:rPr>
          <w:lang w:val="en-US" w:eastAsia="ru-RU"/>
        </w:rPr>
        <w:t>Framework.</w:t>
      </w:r>
    </w:p>
    <w:p w:rsidR="0029041D" w:rsidRDefault="0029041D" w:rsidP="0056372E">
      <w:pPr>
        <w:pStyle w:val="ListParagraph"/>
        <w:ind w:left="425"/>
        <w:rPr>
          <w:lang w:val="en-US" w:eastAsia="ru-RU"/>
        </w:rPr>
      </w:pPr>
    </w:p>
    <w:p w:rsidR="007A314E" w:rsidRDefault="007A314E" w:rsidP="0056372E">
      <w:pPr>
        <w:pStyle w:val="ListParagraph"/>
        <w:ind w:left="425"/>
        <w:rPr>
          <w:lang w:val="en-US" w:eastAsia="ru-RU"/>
        </w:rPr>
      </w:pPr>
    </w:p>
    <w:p w:rsidR="007A314E" w:rsidRPr="007A314E" w:rsidRDefault="007A314E" w:rsidP="0056372E">
      <w:pPr>
        <w:pStyle w:val="ListParagraph"/>
        <w:ind w:left="425"/>
        <w:rPr>
          <w:lang w:val="en-US" w:eastAsia="ru-RU"/>
        </w:rPr>
      </w:pPr>
      <w:r w:rsidRPr="007A314E">
        <w:rPr>
          <w:b/>
        </w:rPr>
        <w:t>Enhancing the visibility of wetlands and the Convention</w:t>
      </w:r>
    </w:p>
    <w:p w:rsidR="007A314E" w:rsidRPr="00837A8F" w:rsidRDefault="007A314E" w:rsidP="0056372E">
      <w:pPr>
        <w:pStyle w:val="ListParagraph"/>
        <w:ind w:left="425"/>
        <w:rPr>
          <w:lang w:val="en-US" w:eastAsia="ru-RU"/>
        </w:rPr>
      </w:pPr>
    </w:p>
    <w:p w:rsidR="0029041D" w:rsidRPr="00816AE5" w:rsidRDefault="002C6F83" w:rsidP="0056372E">
      <w:pPr>
        <w:pStyle w:val="ListParagraph"/>
        <w:numPr>
          <w:ilvl w:val="0"/>
          <w:numId w:val="1"/>
        </w:numPr>
        <w:ind w:left="425" w:hanging="425"/>
        <w:rPr>
          <w:rFonts w:cs="Arial"/>
        </w:rPr>
      </w:pPr>
      <w:r w:rsidRPr="00664084">
        <w:t xml:space="preserve">The Secretariat continues information sharing </w:t>
      </w:r>
      <w:r w:rsidR="006E1127">
        <w:t xml:space="preserve">among the stakeholders of </w:t>
      </w:r>
      <w:r w:rsidRPr="00664084">
        <w:t xml:space="preserve">the Convention and increasing public awareness about wetland </w:t>
      </w:r>
      <w:r w:rsidRPr="00664084">
        <w:rPr>
          <w:rStyle w:val="intro-resume2"/>
          <w:rFonts w:asciiTheme="minorHAnsi" w:hAnsiTheme="minorHAnsi"/>
          <w:sz w:val="22"/>
          <w:szCs w:val="22"/>
        </w:rPr>
        <w:t>services</w:t>
      </w:r>
      <w:r w:rsidRPr="00664084">
        <w:t xml:space="preserve"> and benefits through the Ramsar website, social media, newslette</w:t>
      </w:r>
      <w:r w:rsidRPr="00E80ED1">
        <w:rPr>
          <w:rFonts w:cs="Arial"/>
        </w:rPr>
        <w:t xml:space="preserve">r, a broad </w:t>
      </w:r>
      <w:r w:rsidR="00D01BEE">
        <w:rPr>
          <w:rFonts w:cs="Arial"/>
        </w:rPr>
        <w:t>range</w:t>
      </w:r>
      <w:r w:rsidRPr="00E80ED1">
        <w:rPr>
          <w:rFonts w:cs="Arial"/>
        </w:rPr>
        <w:t xml:space="preserve"> of e-lists and numerous outreach campaigns</w:t>
      </w:r>
      <w:r w:rsidR="00D01BEE">
        <w:rPr>
          <w:rFonts w:cs="Arial"/>
        </w:rPr>
        <w:t>,</w:t>
      </w:r>
      <w:r w:rsidRPr="00E80ED1">
        <w:rPr>
          <w:rFonts w:cs="Arial"/>
        </w:rPr>
        <w:t xml:space="preserve"> such</w:t>
      </w:r>
      <w:r w:rsidR="00D01BEE">
        <w:rPr>
          <w:rFonts w:cs="Arial"/>
        </w:rPr>
        <w:t xml:space="preserve"> as</w:t>
      </w:r>
      <w:r w:rsidRPr="00E80ED1">
        <w:rPr>
          <w:rFonts w:cs="Arial"/>
        </w:rPr>
        <w:t xml:space="preserve"> World Wetlands </w:t>
      </w:r>
      <w:r w:rsidR="00D01BEE">
        <w:rPr>
          <w:rFonts w:cs="Arial"/>
        </w:rPr>
        <w:t>D</w:t>
      </w:r>
      <w:r w:rsidRPr="00E80ED1">
        <w:rPr>
          <w:rFonts w:cs="Arial"/>
        </w:rPr>
        <w:t>ay. The website was si</w:t>
      </w:r>
      <w:r w:rsidR="00110906">
        <w:rPr>
          <w:rFonts w:cs="Arial"/>
        </w:rPr>
        <w:t>gnificantly improved in 2015 and</w:t>
      </w:r>
      <w:r w:rsidRPr="00E80ED1">
        <w:rPr>
          <w:rFonts w:cs="Arial"/>
        </w:rPr>
        <w:t xml:space="preserve"> 2016 and further web development tasks are ongoing</w:t>
      </w:r>
      <w:r w:rsidR="00981351">
        <w:rPr>
          <w:rFonts w:cs="Arial"/>
        </w:rPr>
        <w:t>, including to build up an online library of official and non-official Ramsar documents</w:t>
      </w:r>
      <w:r w:rsidRPr="00E80ED1">
        <w:rPr>
          <w:rFonts w:cs="Arial"/>
        </w:rPr>
        <w:t xml:space="preserve">. </w:t>
      </w:r>
      <w:r w:rsidR="003E579F">
        <w:rPr>
          <w:rFonts w:cs="Arial"/>
        </w:rPr>
        <w:t>A report on progress made in the development of the website</w:t>
      </w:r>
      <w:r w:rsidRPr="00E80ED1">
        <w:rPr>
          <w:rFonts w:cs="Arial"/>
        </w:rPr>
        <w:t xml:space="preserve"> was published in the Ramsar newsletter in October 2016 (newsletter disseminated to </w:t>
      </w:r>
      <w:r w:rsidR="00FD6B37">
        <w:rPr>
          <w:rFonts w:cs="Arial"/>
        </w:rPr>
        <w:t xml:space="preserve">mailing lists of: </w:t>
      </w:r>
      <w:r w:rsidRPr="00FD6B37">
        <w:rPr>
          <w:rFonts w:cs="Arial"/>
        </w:rPr>
        <w:t>A</w:t>
      </w:r>
      <w:r w:rsidR="00FD6B37">
        <w:rPr>
          <w:rFonts w:cs="Arial"/>
        </w:rPr>
        <w:t>dministrative Authorities, National Focal Points</w:t>
      </w:r>
      <w:r w:rsidRPr="00FD6B37">
        <w:rPr>
          <w:rFonts w:cs="Arial"/>
        </w:rPr>
        <w:t xml:space="preserve">, </w:t>
      </w:r>
      <w:r w:rsidR="0056390A">
        <w:rPr>
          <w:rFonts w:cs="Arial"/>
        </w:rPr>
        <w:t xml:space="preserve">CEPA </w:t>
      </w:r>
      <w:r w:rsidR="00FD6B37">
        <w:rPr>
          <w:rFonts w:cs="Arial"/>
        </w:rPr>
        <w:t xml:space="preserve">Programme, </w:t>
      </w:r>
      <w:r w:rsidR="00FD6B37" w:rsidRPr="00FD6B37">
        <w:rPr>
          <w:rFonts w:cs="Arial"/>
        </w:rPr>
        <w:t>Scientific and Technical Review Panel</w:t>
      </w:r>
      <w:r w:rsidR="00FD6B37">
        <w:rPr>
          <w:rFonts w:cs="Arial"/>
        </w:rPr>
        <w:t xml:space="preserve">, Ramsar Forum). </w:t>
      </w:r>
      <w:r w:rsidRPr="00FD6B37">
        <w:rPr>
          <w:rFonts w:cs="Arial"/>
        </w:rPr>
        <w:t>The webs</w:t>
      </w:r>
      <w:r w:rsidRPr="00816AE5">
        <w:rPr>
          <w:rFonts w:cs="Arial"/>
        </w:rPr>
        <w:t xml:space="preserve">ite traffic and the following on the social media platforms indicate </w:t>
      </w:r>
      <w:r w:rsidR="00BB6F17" w:rsidRPr="00816AE5">
        <w:rPr>
          <w:rFonts w:cs="Arial"/>
        </w:rPr>
        <w:t>a</w:t>
      </w:r>
      <w:r w:rsidRPr="00816AE5">
        <w:rPr>
          <w:rFonts w:cs="Arial"/>
        </w:rPr>
        <w:t xml:space="preserve"> continued growth each year. In 2016 the website traffic increased by 33% compare</w:t>
      </w:r>
      <w:r w:rsidR="00A66B4A" w:rsidRPr="00816AE5">
        <w:rPr>
          <w:rFonts w:cs="Arial"/>
        </w:rPr>
        <w:t>d</w:t>
      </w:r>
      <w:r w:rsidRPr="00816AE5">
        <w:rPr>
          <w:rFonts w:cs="Arial"/>
        </w:rPr>
        <w:t xml:space="preserve"> to 2015. </w:t>
      </w:r>
    </w:p>
    <w:p w:rsidR="0029041D" w:rsidRPr="00E80ED1" w:rsidRDefault="0029041D" w:rsidP="0029041D">
      <w:pPr>
        <w:pStyle w:val="ListParagraph"/>
        <w:rPr>
          <w:rFonts w:cs="Arial"/>
        </w:rPr>
      </w:pPr>
    </w:p>
    <w:p w:rsidR="0029041D" w:rsidRDefault="002C6F83" w:rsidP="00094814">
      <w:pPr>
        <w:pStyle w:val="ListParagraph"/>
        <w:numPr>
          <w:ilvl w:val="0"/>
          <w:numId w:val="1"/>
        </w:numPr>
        <w:ind w:left="426" w:hanging="426"/>
      </w:pPr>
      <w:r w:rsidRPr="00E80ED1">
        <w:rPr>
          <w:rStyle w:val="intro-resume2"/>
          <w:rFonts w:asciiTheme="minorHAnsi" w:hAnsiTheme="minorHAnsi" w:cs="Arial"/>
          <w:sz w:val="22"/>
          <w:szCs w:val="22"/>
        </w:rPr>
        <w:t>Ramsar</w:t>
      </w:r>
      <w:r w:rsidRPr="00E80ED1">
        <w:rPr>
          <w:rFonts w:cs="Arial"/>
        </w:rPr>
        <w:t xml:space="preserve"> Convention socia</w:t>
      </w:r>
      <w:r w:rsidRPr="00E80ED1">
        <w:rPr>
          <w:rFonts w:cs="Arial"/>
          <w:bCs/>
        </w:rPr>
        <w:t>l media have als</w:t>
      </w:r>
      <w:r w:rsidRPr="00816AE5">
        <w:rPr>
          <w:rFonts w:cs="Arial"/>
          <w:bCs/>
        </w:rPr>
        <w:t>o seen a steadily growing engagement and following</w:t>
      </w:r>
      <w:r w:rsidR="00E2760F" w:rsidRPr="00816AE5">
        <w:rPr>
          <w:rFonts w:cs="Arial"/>
          <w:bCs/>
        </w:rPr>
        <w:t>.</w:t>
      </w:r>
      <w:r w:rsidRPr="00816AE5">
        <w:rPr>
          <w:rFonts w:cs="Arial"/>
          <w:bCs/>
        </w:rPr>
        <w:t xml:space="preserve"> </w:t>
      </w:r>
      <w:r w:rsidR="00E2760F" w:rsidRPr="00816AE5">
        <w:rPr>
          <w:rFonts w:cs="Arial"/>
          <w:bCs/>
        </w:rPr>
        <w:t>O</w:t>
      </w:r>
      <w:r w:rsidRPr="00816AE5">
        <w:rPr>
          <w:rFonts w:cs="Arial"/>
          <w:bCs/>
        </w:rPr>
        <w:t>n average</w:t>
      </w:r>
      <w:r w:rsidR="00E2760F" w:rsidRPr="00816AE5">
        <w:rPr>
          <w:rFonts w:cs="Arial"/>
          <w:bCs/>
        </w:rPr>
        <w:t>,</w:t>
      </w:r>
      <w:r w:rsidRPr="00816AE5">
        <w:rPr>
          <w:rFonts w:cs="Arial"/>
          <w:bCs/>
        </w:rPr>
        <w:t xml:space="preserve"> all Ramsar social media platforms (Twitter, Facebook and Instagram) have seen a 50% increase</w:t>
      </w:r>
      <w:r w:rsidR="00FB6172" w:rsidRPr="00816AE5">
        <w:rPr>
          <w:rFonts w:cs="Arial"/>
          <w:bCs/>
        </w:rPr>
        <w:t xml:space="preserve"> in</w:t>
      </w:r>
      <w:r w:rsidRPr="00816AE5">
        <w:rPr>
          <w:rFonts w:cs="Arial"/>
          <w:bCs/>
        </w:rPr>
        <w:t xml:space="preserve"> engagement. The growing power and ut</w:t>
      </w:r>
      <w:r w:rsidR="00A66B4A" w:rsidRPr="00816AE5">
        <w:rPr>
          <w:rFonts w:cs="Arial"/>
          <w:bCs/>
        </w:rPr>
        <w:t xml:space="preserve">ility of social media </w:t>
      </w:r>
      <w:r w:rsidRPr="00816AE5">
        <w:rPr>
          <w:rFonts w:cs="Arial"/>
          <w:bCs/>
        </w:rPr>
        <w:t>offer an opportunity to inform, educate and engage with a larg</w:t>
      </w:r>
      <w:r w:rsidRPr="00E80ED1">
        <w:rPr>
          <w:rFonts w:cs="Arial"/>
          <w:bCs/>
        </w:rPr>
        <w:t>er a</w:t>
      </w:r>
      <w:r w:rsidRPr="003D5D1E">
        <w:t>udience and complement already established traditional channels.</w:t>
      </w:r>
    </w:p>
    <w:p w:rsidR="0029041D" w:rsidRDefault="0029041D" w:rsidP="0029041D">
      <w:pPr>
        <w:pStyle w:val="ListParagraph"/>
      </w:pPr>
    </w:p>
    <w:p w:rsidR="0029041D" w:rsidRPr="00816AE5" w:rsidRDefault="00890579" w:rsidP="00094814">
      <w:pPr>
        <w:pStyle w:val="ListParagraph"/>
        <w:numPr>
          <w:ilvl w:val="0"/>
          <w:numId w:val="1"/>
        </w:numPr>
        <w:ind w:left="426" w:hanging="426"/>
      </w:pPr>
      <w:r>
        <w:t xml:space="preserve">The </w:t>
      </w:r>
      <w:r w:rsidR="002C6F83" w:rsidRPr="003D5D1E">
        <w:t xml:space="preserve">World Wetlands </w:t>
      </w:r>
      <w:r w:rsidR="002C6F83">
        <w:t xml:space="preserve">Day global campaign </w:t>
      </w:r>
      <w:r>
        <w:t xml:space="preserve">in 2017, </w:t>
      </w:r>
      <w:r w:rsidR="002C6F83">
        <w:t>and other o</w:t>
      </w:r>
      <w:r w:rsidR="002C6F83" w:rsidRPr="003D5D1E">
        <w:t>utreach campaigns</w:t>
      </w:r>
      <w:r>
        <w:t>, have</w:t>
      </w:r>
      <w:r w:rsidR="002C6F83" w:rsidRPr="003D5D1E">
        <w:t xml:space="preserve"> </w:t>
      </w:r>
      <w:r w:rsidR="002C6F83">
        <w:t xml:space="preserve">proved to be very </w:t>
      </w:r>
      <w:r w:rsidR="005E09B2" w:rsidRPr="003E579F">
        <w:rPr>
          <w:rStyle w:val="intro-resume2"/>
          <w:rFonts w:asciiTheme="minorHAnsi" w:hAnsiTheme="minorHAnsi"/>
          <w:sz w:val="22"/>
          <w:szCs w:val="22"/>
        </w:rPr>
        <w:t>effective</w:t>
      </w:r>
      <w:r w:rsidR="005E09B2" w:rsidRPr="00837A8F">
        <w:t xml:space="preserve"> in raising the visibility of </w:t>
      </w:r>
      <w:r w:rsidR="005E09B2" w:rsidRPr="004A665D">
        <w:t>the Ra</w:t>
      </w:r>
      <w:r w:rsidR="002C6F83" w:rsidRPr="004A665D">
        <w:t>msar</w:t>
      </w:r>
      <w:r w:rsidR="002C6F83">
        <w:t xml:space="preserve"> Convention and </w:t>
      </w:r>
      <w:r>
        <w:t xml:space="preserve">awareness of </w:t>
      </w:r>
      <w:r w:rsidR="003E3F2F">
        <w:t>its mandate. There was</w:t>
      </w:r>
      <w:r w:rsidR="002C6F83">
        <w:t xml:space="preserve"> growing engagement of th</w:t>
      </w:r>
      <w:r w:rsidR="002C6F83" w:rsidRPr="00816AE5">
        <w:t>e Contracting Parties in the WWD campaign a</w:t>
      </w:r>
      <w:r w:rsidR="003E3F2F" w:rsidRPr="00816AE5">
        <w:t>s well as increased</w:t>
      </w:r>
      <w:r w:rsidR="002C6F83" w:rsidRPr="00816AE5">
        <w:t xml:space="preserve"> global reach</w:t>
      </w:r>
      <w:r w:rsidR="003E3F2F" w:rsidRPr="00816AE5">
        <w:t>.</w:t>
      </w:r>
      <w:r w:rsidR="002C6F83" w:rsidRPr="00816AE5">
        <w:t xml:space="preserve"> A record number of </w:t>
      </w:r>
      <w:r w:rsidR="00615114" w:rsidRPr="00816AE5">
        <w:t>1,605</w:t>
      </w:r>
      <w:r w:rsidR="002C6F83" w:rsidRPr="00816AE5">
        <w:t xml:space="preserve"> events in 117 countries were registered on the global online map. </w:t>
      </w:r>
      <w:r w:rsidRPr="00816AE5">
        <w:t>For this campaign, t</w:t>
      </w:r>
      <w:r w:rsidR="002C6F83" w:rsidRPr="00816AE5">
        <w:t xml:space="preserve">he Secretariat partnered with </w:t>
      </w:r>
      <w:r w:rsidR="0056390A" w:rsidRPr="00816AE5">
        <w:t>UNEP</w:t>
      </w:r>
      <w:r w:rsidR="002C6F83" w:rsidRPr="00816AE5">
        <w:t xml:space="preserve">, </w:t>
      </w:r>
      <w:r w:rsidR="002C6F83" w:rsidRPr="00816AE5">
        <w:lastRenderedPageBreak/>
        <w:t>United Nations Office for Disaster Risk Reduction, Wetlands International, IUCN and the Partnership for Environment and Disaster Risk Reduction (PEDRR)</w:t>
      </w:r>
      <w:r w:rsidRPr="00816AE5">
        <w:t>.</w:t>
      </w:r>
      <w:r w:rsidR="002C6F83" w:rsidRPr="00816AE5">
        <w:t xml:space="preserve"> </w:t>
      </w:r>
      <w:r w:rsidRPr="00816AE5">
        <w:t>T</w:t>
      </w:r>
      <w:r w:rsidR="002C6F83" w:rsidRPr="00816AE5">
        <w:t xml:space="preserve">he WWD 2017 social media campaign potentially reached more than 25 million people. </w:t>
      </w:r>
      <w:r w:rsidR="003E3F2F" w:rsidRPr="00816AE5">
        <w:t>Further information being compiled will be provided at SC53.</w:t>
      </w:r>
    </w:p>
    <w:p w:rsidR="0029041D" w:rsidRPr="00816AE5" w:rsidRDefault="0029041D" w:rsidP="0029041D">
      <w:pPr>
        <w:pStyle w:val="ListParagraph"/>
      </w:pPr>
    </w:p>
    <w:p w:rsidR="0029041D" w:rsidRPr="00816AE5" w:rsidRDefault="002C6F83" w:rsidP="00094814">
      <w:pPr>
        <w:pStyle w:val="ListParagraph"/>
        <w:numPr>
          <w:ilvl w:val="0"/>
          <w:numId w:val="1"/>
        </w:numPr>
        <w:ind w:left="426" w:hanging="426"/>
      </w:pPr>
      <w:r w:rsidRPr="00816AE5">
        <w:t>Ot</w:t>
      </w:r>
      <w:r w:rsidR="003E13A2" w:rsidRPr="00816AE5">
        <w:t>her important outreach efforts</w:t>
      </w:r>
      <w:r w:rsidRPr="00816AE5">
        <w:t xml:space="preserve"> were undertaken for the IUCN World Conservation Congress, the UNFCCC COP22 and CBD COP13. Th</w:t>
      </w:r>
      <w:r w:rsidR="003E13A2" w:rsidRPr="00816AE5">
        <w:t>anks to the Secretariat’s</w:t>
      </w:r>
      <w:r w:rsidRPr="00816AE5">
        <w:t xml:space="preserve"> presence in these </w:t>
      </w:r>
      <w:r w:rsidRPr="00816AE5">
        <w:rPr>
          <w:rStyle w:val="intro-resume2"/>
          <w:rFonts w:asciiTheme="minorHAnsi" w:hAnsiTheme="minorHAnsi"/>
          <w:sz w:val="22"/>
          <w:szCs w:val="22"/>
        </w:rPr>
        <w:t>international</w:t>
      </w:r>
      <w:r w:rsidRPr="00816AE5">
        <w:t xml:space="preserve"> conferences</w:t>
      </w:r>
      <w:r w:rsidR="00287C81" w:rsidRPr="00816AE5">
        <w:t>, including engagement in more than 40 events,</w:t>
      </w:r>
      <w:r w:rsidRPr="00816AE5">
        <w:t xml:space="preserve"> </w:t>
      </w:r>
      <w:r w:rsidR="009D1F09" w:rsidRPr="00816AE5">
        <w:t xml:space="preserve">key </w:t>
      </w:r>
      <w:r w:rsidRPr="00816AE5">
        <w:t xml:space="preserve">communications messages on the Ramsar Convention </w:t>
      </w:r>
      <w:r w:rsidR="009D1F09" w:rsidRPr="00816AE5">
        <w:t xml:space="preserve">and the role of </w:t>
      </w:r>
      <w:r w:rsidRPr="00816AE5">
        <w:t>wetlands in climate cha</w:t>
      </w:r>
      <w:r w:rsidR="00287C81" w:rsidRPr="00816AE5">
        <w:t xml:space="preserve">nge adaptation and mitigation </w:t>
      </w:r>
      <w:r w:rsidR="00047B1D" w:rsidRPr="00816AE5">
        <w:t xml:space="preserve">(including </w:t>
      </w:r>
      <w:r w:rsidRPr="00816AE5">
        <w:t>water security, carbon sequestration, disaster risk reduction) reached more than half</w:t>
      </w:r>
      <w:r w:rsidR="009D1F09" w:rsidRPr="00816AE5">
        <w:t xml:space="preserve"> a</w:t>
      </w:r>
      <w:r w:rsidRPr="00816AE5">
        <w:t xml:space="preserve"> million people worldwide via social media.</w:t>
      </w:r>
    </w:p>
    <w:p w:rsidR="0029041D" w:rsidRPr="00816AE5" w:rsidRDefault="0029041D" w:rsidP="0029041D">
      <w:pPr>
        <w:pStyle w:val="ListParagraph"/>
      </w:pPr>
    </w:p>
    <w:p w:rsidR="0029041D" w:rsidRPr="00816AE5" w:rsidRDefault="002C6F83" w:rsidP="00094814">
      <w:pPr>
        <w:pStyle w:val="ListParagraph"/>
        <w:numPr>
          <w:ilvl w:val="0"/>
          <w:numId w:val="1"/>
        </w:numPr>
        <w:ind w:left="426" w:hanging="426"/>
      </w:pPr>
      <w:r w:rsidRPr="00816AE5">
        <w:t>A join</w:t>
      </w:r>
      <w:r w:rsidR="00B15484" w:rsidRPr="00816AE5">
        <w:t>t</w:t>
      </w:r>
      <w:r w:rsidRPr="00816AE5">
        <w:t xml:space="preserve"> </w:t>
      </w:r>
      <w:r w:rsidR="00B15484" w:rsidRPr="00816AE5">
        <w:t>opinion editorial</w:t>
      </w:r>
      <w:r w:rsidRPr="00816AE5">
        <w:t xml:space="preserve"> </w:t>
      </w:r>
      <w:r w:rsidR="0056390A" w:rsidRPr="00816AE5">
        <w:t xml:space="preserve">by </w:t>
      </w:r>
      <w:r w:rsidRPr="00816AE5">
        <w:t xml:space="preserve">the Ramsar Secretary General and </w:t>
      </w:r>
      <w:r w:rsidR="00681C87" w:rsidRPr="00816AE5">
        <w:t xml:space="preserve">Ms </w:t>
      </w:r>
      <w:r w:rsidRPr="00816AE5">
        <w:t>Patricia Espinosa</w:t>
      </w:r>
      <w:r w:rsidR="0087683E" w:rsidRPr="00816AE5">
        <w:t>, Executive Secretary</w:t>
      </w:r>
      <w:r w:rsidRPr="00816AE5">
        <w:t xml:space="preserve"> of UNFCCC was </w:t>
      </w:r>
      <w:r w:rsidRPr="00816AE5">
        <w:rPr>
          <w:rStyle w:val="intro-resume2"/>
          <w:rFonts w:asciiTheme="minorHAnsi" w:hAnsiTheme="minorHAnsi"/>
          <w:sz w:val="22"/>
          <w:szCs w:val="22"/>
        </w:rPr>
        <w:t>featured</w:t>
      </w:r>
      <w:r w:rsidRPr="00816AE5">
        <w:t xml:space="preserve"> in Project Syndicate (Project Syndicate is an international media organization that publishes and syndicates commentary and analysis on a variety of important global topics) and published in more than 30 media outlets</w:t>
      </w:r>
      <w:r w:rsidR="002B24EA" w:rsidRPr="00816AE5">
        <w:t>. This article</w:t>
      </w:r>
      <w:r w:rsidR="0056390A" w:rsidRPr="00816AE5">
        <w:t>,</w:t>
      </w:r>
      <w:r w:rsidR="002B24EA" w:rsidRPr="00816AE5">
        <w:t xml:space="preserve"> together with Ramsar’s joint press release with</w:t>
      </w:r>
      <w:r w:rsidRPr="00816AE5">
        <w:t xml:space="preserve"> UNEP on the launch of the Global Peatlands Initiative at UNFCCC COP22</w:t>
      </w:r>
      <w:r w:rsidR="005F28EE" w:rsidRPr="00816AE5">
        <w:t>,</w:t>
      </w:r>
      <w:r w:rsidRPr="00816AE5">
        <w:t xml:space="preserve"> generated a potential viewership of 10 million people</w:t>
      </w:r>
      <w:r w:rsidR="0029041D" w:rsidRPr="00816AE5">
        <w:t>.</w:t>
      </w:r>
    </w:p>
    <w:p w:rsidR="0029041D" w:rsidRPr="00816AE5" w:rsidRDefault="0029041D" w:rsidP="0029041D">
      <w:pPr>
        <w:pStyle w:val="ListParagraph"/>
        <w:rPr>
          <w:rFonts w:eastAsiaTheme="minorHAnsi"/>
          <w:sz w:val="20"/>
          <w:szCs w:val="20"/>
          <w:highlight w:val="green"/>
        </w:rPr>
      </w:pPr>
    </w:p>
    <w:p w:rsidR="0029041D" w:rsidRPr="0029041D" w:rsidRDefault="00795AA2" w:rsidP="005F28EE">
      <w:pPr>
        <w:pStyle w:val="ListParagraph"/>
        <w:numPr>
          <w:ilvl w:val="0"/>
          <w:numId w:val="1"/>
        </w:numPr>
        <w:ind w:left="425" w:hanging="425"/>
      </w:pPr>
      <w:r w:rsidRPr="00816AE5">
        <w:t>These efforts have been</w:t>
      </w:r>
      <w:r w:rsidR="00527248" w:rsidRPr="00816AE5">
        <w:t xml:space="preserve"> part of the Secret</w:t>
      </w:r>
      <w:r w:rsidRPr="00816AE5">
        <w:t>ariat’s implementation of the</w:t>
      </w:r>
      <w:r w:rsidR="002C3A4D" w:rsidRPr="00816AE5">
        <w:t xml:space="preserve"> CEPA </w:t>
      </w:r>
      <w:r w:rsidR="00527248" w:rsidRPr="00816AE5">
        <w:t>A</w:t>
      </w:r>
      <w:r w:rsidR="002C3A4D" w:rsidRPr="00816AE5">
        <w:t>ct</w:t>
      </w:r>
      <w:r w:rsidR="0029041D" w:rsidRPr="00816AE5">
        <w:t>io</w:t>
      </w:r>
      <w:r w:rsidR="0029041D" w:rsidRPr="002B24EA">
        <w:t xml:space="preserve">n </w:t>
      </w:r>
      <w:r w:rsidR="00527248" w:rsidRPr="002B24EA">
        <w:t>P</w:t>
      </w:r>
      <w:r w:rsidR="0029041D" w:rsidRPr="002B24EA">
        <w:t>lan</w:t>
      </w:r>
      <w:r w:rsidR="00527248" w:rsidRPr="002B24EA">
        <w:t xml:space="preserve">. </w:t>
      </w:r>
      <w:r w:rsidR="00D00DD2">
        <w:t>The Secretariat</w:t>
      </w:r>
      <w:r w:rsidR="00527248" w:rsidRPr="002B24EA">
        <w:t xml:space="preserve"> </w:t>
      </w:r>
      <w:r w:rsidR="000575AC">
        <w:t>assessed the status of implementation of the Plan, and r</w:t>
      </w:r>
      <w:r w:rsidR="000575AC" w:rsidRPr="005F28EE">
        <w:t>eviewed expected outcomes in line with its capacity</w:t>
      </w:r>
      <w:r w:rsidR="00D00DD2" w:rsidRPr="005F28EE">
        <w:t xml:space="preserve"> and taking a whole-of-Secretariat approach</w:t>
      </w:r>
      <w:r w:rsidR="000575AC" w:rsidRPr="005F28EE">
        <w:t xml:space="preserve"> (see document </w:t>
      </w:r>
      <w:r w:rsidR="005F28EE" w:rsidRPr="005F28EE">
        <w:t xml:space="preserve">SC53-03 </w:t>
      </w:r>
      <w:r w:rsidR="005F28EE" w:rsidRPr="005F28EE">
        <w:rPr>
          <w:i/>
        </w:rPr>
        <w:t>Progress in the implementation of the CEPA Action Plan 2016 – 2018</w:t>
      </w:r>
      <w:r w:rsidR="000575AC" w:rsidRPr="005F28EE">
        <w:t>)</w:t>
      </w:r>
      <w:r w:rsidR="00D00DD2" w:rsidRPr="005F28EE">
        <w:t>. Further, the Secretariat integrated the Plan’s outcomes</w:t>
      </w:r>
      <w:r w:rsidR="00527248" w:rsidRPr="005F28EE">
        <w:t xml:space="preserve"> into its </w:t>
      </w:r>
      <w:r w:rsidR="005F28EE">
        <w:t xml:space="preserve">triennial and annual work plans </w:t>
      </w:r>
      <w:r w:rsidR="00527248" w:rsidRPr="005F28EE">
        <w:t xml:space="preserve">to align and streamline its work (see </w:t>
      </w:r>
      <w:r w:rsidR="005F28EE" w:rsidRPr="005F28EE">
        <w:t xml:space="preserve">document SC53-09 </w:t>
      </w:r>
      <w:r w:rsidR="005F28EE" w:rsidRPr="005F28EE">
        <w:rPr>
          <w:i/>
        </w:rPr>
        <w:t>Integrated 2017 Annual Work Plan and 2016-2018 Triennial Work Plan for the Secretariat</w:t>
      </w:r>
      <w:r w:rsidR="00527248" w:rsidRPr="005F28EE">
        <w:t>)</w:t>
      </w:r>
      <w:r w:rsidR="00D00DD2" w:rsidRPr="005F28EE">
        <w:t>.</w:t>
      </w:r>
    </w:p>
    <w:p w:rsidR="0029041D" w:rsidRDefault="0029041D" w:rsidP="0029041D">
      <w:pPr>
        <w:pStyle w:val="ListParagraph"/>
      </w:pPr>
    </w:p>
    <w:p w:rsidR="005F28EE" w:rsidRDefault="005F28EE" w:rsidP="0029041D">
      <w:pPr>
        <w:pStyle w:val="ListParagraph"/>
      </w:pPr>
    </w:p>
    <w:p w:rsidR="005F28EE" w:rsidRPr="005F28EE" w:rsidRDefault="005F28EE" w:rsidP="0029041D">
      <w:pPr>
        <w:pStyle w:val="ListParagraph"/>
      </w:pPr>
      <w:r w:rsidRPr="005F28EE">
        <w:rPr>
          <w:b/>
        </w:rPr>
        <w:t>Strengthening the Secretariat’s efficiency and effectiveness</w:t>
      </w:r>
    </w:p>
    <w:p w:rsidR="005F28EE" w:rsidRPr="002B24EA" w:rsidRDefault="005F28EE" w:rsidP="0029041D">
      <w:pPr>
        <w:pStyle w:val="ListParagraph"/>
      </w:pPr>
    </w:p>
    <w:p w:rsidR="005F28EE" w:rsidRPr="005F28EE" w:rsidRDefault="001038D2" w:rsidP="005F28EE">
      <w:pPr>
        <w:pStyle w:val="ListParagraph"/>
        <w:numPr>
          <w:ilvl w:val="0"/>
          <w:numId w:val="1"/>
        </w:numPr>
        <w:ind w:left="425" w:hanging="425"/>
        <w:rPr>
          <w:rFonts w:cs="Arial"/>
        </w:rPr>
      </w:pPr>
      <w:r>
        <w:t>The guiding objective has been</w:t>
      </w:r>
      <w:r w:rsidR="00E56A2C">
        <w:t xml:space="preserve"> “</w:t>
      </w:r>
      <w:r w:rsidR="00E56A2C" w:rsidRPr="000B21F1">
        <w:t>to organize to deliver</w:t>
      </w:r>
      <w:r w:rsidR="00E56A2C">
        <w:t>”</w:t>
      </w:r>
      <w:r w:rsidR="00E56A2C" w:rsidRPr="000B21F1">
        <w:t xml:space="preserve"> </w:t>
      </w:r>
      <w:r w:rsidR="00E56A2C">
        <w:t>on the Strategic Plan of the Co</w:t>
      </w:r>
      <w:r w:rsidR="0029041D">
        <w:t>nvention and the mandate of C</w:t>
      </w:r>
      <w:r w:rsidR="00E40EF7">
        <w:t xml:space="preserve">ontracting </w:t>
      </w:r>
      <w:r w:rsidR="0029041D">
        <w:t>P</w:t>
      </w:r>
      <w:r w:rsidR="00E40EF7">
        <w:t>artie</w:t>
      </w:r>
      <w:r w:rsidR="0029041D">
        <w:t>s</w:t>
      </w:r>
      <w:r>
        <w:t>,</w:t>
      </w:r>
      <w:r w:rsidR="0029041D">
        <w:t xml:space="preserve"> and to use in the </w:t>
      </w:r>
      <w:r w:rsidR="0029041D" w:rsidRPr="00E93C7E">
        <w:rPr>
          <w:rStyle w:val="intro-resume2"/>
          <w:rFonts w:asciiTheme="minorHAnsi" w:hAnsiTheme="minorHAnsi"/>
          <w:sz w:val="22"/>
          <w:szCs w:val="22"/>
        </w:rPr>
        <w:t>most</w:t>
      </w:r>
      <w:r w:rsidR="0029041D">
        <w:t xml:space="preserve"> efficient way the limited resources of the Convention and </w:t>
      </w:r>
      <w:r w:rsidR="008E03FD">
        <w:t xml:space="preserve">the </w:t>
      </w:r>
      <w:r w:rsidR="0029041D">
        <w:t>capacities</w:t>
      </w:r>
      <w:r w:rsidR="008E03FD">
        <w:t xml:space="preserve"> of its Secretariat</w:t>
      </w:r>
      <w:r w:rsidR="0029041D">
        <w:t xml:space="preserve">. </w:t>
      </w:r>
      <w:r w:rsidR="00E40EF7">
        <w:t>The m</w:t>
      </w:r>
      <w:r w:rsidR="000A0CE7">
        <w:t xml:space="preserve">ain gaps </w:t>
      </w:r>
      <w:r w:rsidR="00E40EF7">
        <w:t>that have been</w:t>
      </w:r>
      <w:r w:rsidR="000A0CE7">
        <w:t xml:space="preserve"> identified </w:t>
      </w:r>
      <w:r w:rsidR="00E40EF7">
        <w:t>in</w:t>
      </w:r>
      <w:r w:rsidR="000A0CE7">
        <w:t xml:space="preserve"> the capacity of the Secretariat </w:t>
      </w:r>
      <w:r w:rsidR="00E40EF7">
        <w:t>are in the following areas</w:t>
      </w:r>
      <w:r w:rsidR="000A0CE7">
        <w:t xml:space="preserve">: </w:t>
      </w:r>
    </w:p>
    <w:p w:rsidR="005F28EE" w:rsidRPr="005F28EE" w:rsidRDefault="00E40EF7" w:rsidP="005F28EE">
      <w:pPr>
        <w:pStyle w:val="ListParagraph"/>
        <w:numPr>
          <w:ilvl w:val="0"/>
          <w:numId w:val="8"/>
        </w:numPr>
        <w:ind w:left="850" w:hanging="425"/>
        <w:rPr>
          <w:rFonts w:cs="Arial"/>
        </w:rPr>
      </w:pPr>
      <w:r>
        <w:t xml:space="preserve">the </w:t>
      </w:r>
      <w:r w:rsidR="000A0CE7" w:rsidRPr="003D743B">
        <w:t xml:space="preserve">core function of supporting the governing and subsidiary bodies of the Convention </w:t>
      </w:r>
      <w:r w:rsidR="000A0CE7">
        <w:t>and overall</w:t>
      </w:r>
      <w:r w:rsidR="000A0CE7" w:rsidRPr="003D743B">
        <w:t xml:space="preserve"> accountability to Contracting Parties</w:t>
      </w:r>
      <w:r w:rsidR="000A0CE7">
        <w:t>;</w:t>
      </w:r>
      <w:r w:rsidR="000A0CE7" w:rsidRPr="003D743B">
        <w:t xml:space="preserve"> and </w:t>
      </w:r>
    </w:p>
    <w:p w:rsidR="005F28EE" w:rsidRPr="005F28EE" w:rsidRDefault="000A0CE7" w:rsidP="005F28EE">
      <w:pPr>
        <w:pStyle w:val="ListParagraph"/>
        <w:numPr>
          <w:ilvl w:val="0"/>
          <w:numId w:val="8"/>
        </w:numPr>
        <w:ind w:left="850" w:hanging="425"/>
        <w:rPr>
          <w:rFonts w:cs="Arial"/>
        </w:rPr>
      </w:pPr>
      <w:r>
        <w:t>linkage</w:t>
      </w:r>
      <w:r w:rsidRPr="003D743B">
        <w:t xml:space="preserve"> with relevant policy processes</w:t>
      </w:r>
      <w:r>
        <w:t xml:space="preserve"> through </w:t>
      </w:r>
      <w:r w:rsidR="005F28EE">
        <w:t>policy-</w:t>
      </w:r>
      <w:r>
        <w:t xml:space="preserve">relevant science. </w:t>
      </w:r>
    </w:p>
    <w:p w:rsidR="005F7A29" w:rsidRPr="00837A8F" w:rsidRDefault="000A0CE7" w:rsidP="005F28EE">
      <w:pPr>
        <w:pStyle w:val="ListParagraph"/>
        <w:ind w:left="425" w:firstLine="0"/>
        <w:rPr>
          <w:rFonts w:cs="Arial"/>
        </w:rPr>
      </w:pPr>
      <w:r>
        <w:t xml:space="preserve">Adjustments </w:t>
      </w:r>
      <w:r w:rsidR="00E40EF7">
        <w:t xml:space="preserve">have been </w:t>
      </w:r>
      <w:r>
        <w:t xml:space="preserve">made to </w:t>
      </w:r>
      <w:r w:rsidR="00E40EF7">
        <w:t>the job descriptions for vacant posts,</w:t>
      </w:r>
      <w:r>
        <w:t xml:space="preserve"> to fill existing gaps,</w:t>
      </w:r>
      <w:r w:rsidRPr="0029041D">
        <w:rPr>
          <w:lang w:val="en-US"/>
        </w:rPr>
        <w:t xml:space="preserve"> improve efficiencies, serve the needs of the C</w:t>
      </w:r>
      <w:r w:rsidR="00E40EF7">
        <w:rPr>
          <w:lang w:val="en-US"/>
        </w:rPr>
        <w:t xml:space="preserve">ontracting </w:t>
      </w:r>
      <w:r w:rsidRPr="0029041D">
        <w:rPr>
          <w:lang w:val="en-US"/>
        </w:rPr>
        <w:t>P</w:t>
      </w:r>
      <w:r w:rsidR="00E40EF7">
        <w:rPr>
          <w:lang w:val="en-US"/>
        </w:rPr>
        <w:t>artie</w:t>
      </w:r>
      <w:r w:rsidRPr="0029041D">
        <w:rPr>
          <w:lang w:val="en-US"/>
        </w:rPr>
        <w:t xml:space="preserve">s, and foster enhanced implementation of the </w:t>
      </w:r>
      <w:r w:rsidR="00E40EF7">
        <w:rPr>
          <w:lang w:val="en-US"/>
        </w:rPr>
        <w:t>C</w:t>
      </w:r>
      <w:r w:rsidRPr="0029041D">
        <w:rPr>
          <w:lang w:val="en-US"/>
        </w:rPr>
        <w:t>onvention.</w:t>
      </w:r>
    </w:p>
    <w:p w:rsidR="00E556F6" w:rsidRPr="00837A8F" w:rsidRDefault="00E556F6" w:rsidP="00837A8F">
      <w:pPr>
        <w:rPr>
          <w:rFonts w:cs="Arial"/>
        </w:rPr>
      </w:pPr>
    </w:p>
    <w:p w:rsidR="0029041D" w:rsidRPr="0029041D" w:rsidRDefault="000A0CE7" w:rsidP="00094814">
      <w:pPr>
        <w:pStyle w:val="ListParagraph"/>
        <w:numPr>
          <w:ilvl w:val="0"/>
          <w:numId w:val="1"/>
        </w:numPr>
        <w:ind w:left="426" w:hanging="426"/>
        <w:rPr>
          <w:rFonts w:cs="Arial"/>
        </w:rPr>
      </w:pPr>
      <w:r w:rsidRPr="0029041D">
        <w:rPr>
          <w:lang w:val="en-US"/>
        </w:rPr>
        <w:t>The</w:t>
      </w:r>
      <w:r>
        <w:t xml:space="preserve"> following positions are being recruited:</w:t>
      </w:r>
      <w:r w:rsidRPr="0029041D">
        <w:rPr>
          <w:lang w:val="en-US"/>
        </w:rPr>
        <w:t xml:space="preserve"> Deputy Secretary General</w:t>
      </w:r>
      <w:r w:rsidR="005F28EE">
        <w:rPr>
          <w:lang w:val="en-US"/>
        </w:rPr>
        <w:t>,</w:t>
      </w:r>
      <w:r w:rsidRPr="0029041D">
        <w:rPr>
          <w:lang w:val="en-US"/>
        </w:rPr>
        <w:t xml:space="preserve"> with </w:t>
      </w:r>
      <w:r w:rsidR="006905D1">
        <w:rPr>
          <w:lang w:val="en-US"/>
        </w:rPr>
        <w:t>a j</w:t>
      </w:r>
      <w:r w:rsidRPr="0029041D">
        <w:rPr>
          <w:lang w:val="en-US"/>
        </w:rPr>
        <w:t xml:space="preserve">ob </w:t>
      </w:r>
      <w:r w:rsidR="006905D1">
        <w:rPr>
          <w:lang w:val="en-US"/>
        </w:rPr>
        <w:t>d</w:t>
      </w:r>
      <w:r w:rsidRPr="0029041D">
        <w:rPr>
          <w:lang w:val="en-US"/>
        </w:rPr>
        <w:t>escription</w:t>
      </w:r>
      <w:r>
        <w:t xml:space="preserve"> refocused on governing and subsidiary bodies and ensuring overall accountability to the C</w:t>
      </w:r>
      <w:r w:rsidR="006905D1">
        <w:t xml:space="preserve">ontracting </w:t>
      </w:r>
      <w:r>
        <w:t>P</w:t>
      </w:r>
      <w:r w:rsidR="006905D1">
        <w:t>artie</w:t>
      </w:r>
      <w:r>
        <w:t>s; Head of Resource Mobilization and Outreach</w:t>
      </w:r>
      <w:r w:rsidR="001B0676">
        <w:t xml:space="preserve"> (with advice </w:t>
      </w:r>
      <w:r w:rsidR="00A678D8">
        <w:t xml:space="preserve">from </w:t>
      </w:r>
      <w:r w:rsidR="001B0676">
        <w:t>the Resourc</w:t>
      </w:r>
      <w:r w:rsidR="00A678D8">
        <w:t>e Mobilization Working Group in</w:t>
      </w:r>
      <w:r w:rsidR="001B0676">
        <w:t xml:space="preserve"> the development of the job description)</w:t>
      </w:r>
      <w:r>
        <w:t xml:space="preserve">; and Head of Science and Policy. A new Finance Officer </w:t>
      </w:r>
      <w:r w:rsidR="00083207">
        <w:t>has</w:t>
      </w:r>
      <w:r>
        <w:t xml:space="preserve"> also </w:t>
      </w:r>
      <w:r w:rsidR="00083207">
        <w:t xml:space="preserve">been </w:t>
      </w:r>
      <w:r>
        <w:t>recruited</w:t>
      </w:r>
      <w:r w:rsidR="00A678D8">
        <w:t xml:space="preserve"> and will start on 15 May 2017</w:t>
      </w:r>
      <w:r>
        <w:t xml:space="preserve">. </w:t>
      </w:r>
      <w:r w:rsidR="008B3827">
        <w:t xml:space="preserve">Adjustments will be necessary </w:t>
      </w:r>
      <w:r w:rsidR="008E03FD">
        <w:t>across the team</w:t>
      </w:r>
      <w:r w:rsidR="00083207">
        <w:t>,</w:t>
      </w:r>
      <w:r w:rsidR="008E03FD">
        <w:t xml:space="preserve"> </w:t>
      </w:r>
      <w:r w:rsidR="008B3827">
        <w:t xml:space="preserve">including the Administration Support </w:t>
      </w:r>
      <w:r w:rsidR="000E4797">
        <w:t>staff</w:t>
      </w:r>
      <w:r w:rsidR="00A678D8">
        <w:t xml:space="preserve"> </w:t>
      </w:r>
      <w:r w:rsidR="008B3827">
        <w:t xml:space="preserve">once the above positions are </w:t>
      </w:r>
      <w:r w:rsidR="00083207">
        <w:t>filled</w:t>
      </w:r>
      <w:r w:rsidR="008B3827">
        <w:t>.</w:t>
      </w:r>
    </w:p>
    <w:p w:rsidR="0029041D" w:rsidRPr="0029041D" w:rsidRDefault="0029041D" w:rsidP="0029041D">
      <w:pPr>
        <w:pStyle w:val="ListParagraph"/>
        <w:ind w:left="426"/>
        <w:rPr>
          <w:rFonts w:cs="Arial"/>
        </w:rPr>
      </w:pPr>
    </w:p>
    <w:p w:rsidR="0029041D" w:rsidRDefault="000A0CE7" w:rsidP="005F28EE">
      <w:pPr>
        <w:pStyle w:val="ListParagraph"/>
        <w:numPr>
          <w:ilvl w:val="0"/>
          <w:numId w:val="1"/>
        </w:numPr>
        <w:ind w:left="425" w:hanging="425"/>
      </w:pPr>
      <w:r>
        <w:t xml:space="preserve">A review </w:t>
      </w:r>
      <w:r w:rsidR="004200EB">
        <w:t>has</w:t>
      </w:r>
      <w:r>
        <w:t xml:space="preserve"> also </w:t>
      </w:r>
      <w:r w:rsidR="004200EB">
        <w:t xml:space="preserve">been </w:t>
      </w:r>
      <w:r>
        <w:t xml:space="preserve">conducted </w:t>
      </w:r>
      <w:r w:rsidR="004200EB">
        <w:t>of</w:t>
      </w:r>
      <w:r>
        <w:t xml:space="preserve"> the financial management of the Secretariat</w:t>
      </w:r>
      <w:r w:rsidR="009372F6">
        <w:t>.</w:t>
      </w:r>
      <w:r w:rsidR="003D6FFC">
        <w:t xml:space="preserve"> The Secretary General provided reports</w:t>
      </w:r>
      <w:r>
        <w:t xml:space="preserve"> to the Executive Team and </w:t>
      </w:r>
      <w:r w:rsidR="004B16E7">
        <w:t xml:space="preserve">the </w:t>
      </w:r>
      <w:r w:rsidR="00E77E02">
        <w:t>Sub</w:t>
      </w:r>
      <w:r w:rsidR="005F28EE">
        <w:t>-</w:t>
      </w:r>
      <w:r w:rsidR="00E77E02">
        <w:t>group on Finance</w:t>
      </w:r>
      <w:r>
        <w:t xml:space="preserve">. Measures are </w:t>
      </w:r>
      <w:r w:rsidR="009372F6">
        <w:t xml:space="preserve">being </w:t>
      </w:r>
      <w:r>
        <w:t xml:space="preserve">taken to address </w:t>
      </w:r>
      <w:r w:rsidR="008E03FD">
        <w:t xml:space="preserve">problems </w:t>
      </w:r>
      <w:r>
        <w:t xml:space="preserve">identified and </w:t>
      </w:r>
      <w:r w:rsidR="009372F6">
        <w:t xml:space="preserve">to </w:t>
      </w:r>
      <w:r>
        <w:t xml:space="preserve">ensure that the Convention has </w:t>
      </w:r>
      <w:r>
        <w:lastRenderedPageBreak/>
        <w:t>a rigorous, transparent and accountable finance management system</w:t>
      </w:r>
      <w:r w:rsidR="000E4797">
        <w:t>, in line with the IUCN policies and standards</w:t>
      </w:r>
      <w:r w:rsidR="00FE6DF1">
        <w:t>.</w:t>
      </w:r>
      <w:r w:rsidR="00F7608A">
        <w:t xml:space="preserve"> </w:t>
      </w:r>
      <w:r w:rsidR="009372F6">
        <w:t>Further information is contained in the documents for SC53 on the budget and on outstanding contr</w:t>
      </w:r>
      <w:r w:rsidR="009372F6" w:rsidRPr="005F28EE">
        <w:t>ibutions</w:t>
      </w:r>
      <w:r w:rsidR="00FE6DF1" w:rsidRPr="005F28EE">
        <w:t xml:space="preserve"> (</w:t>
      </w:r>
      <w:r w:rsidR="005F28EE" w:rsidRPr="005F28EE">
        <w:t xml:space="preserve">SC53-20 </w:t>
      </w:r>
      <w:r w:rsidR="005F28EE" w:rsidRPr="005F28EE">
        <w:rPr>
          <w:i/>
        </w:rPr>
        <w:t>Ramsar financial matters 2016</w:t>
      </w:r>
      <w:r w:rsidR="005F28EE" w:rsidRPr="005F28EE">
        <w:t xml:space="preserve"> and SC53-21 </w:t>
      </w:r>
      <w:r w:rsidR="005F28EE" w:rsidRPr="005F28EE">
        <w:rPr>
          <w:i/>
        </w:rPr>
        <w:t>Update on outstanding annual contributions</w:t>
      </w:r>
      <w:r w:rsidR="00FE6DF1" w:rsidRPr="005F28EE">
        <w:t>)</w:t>
      </w:r>
      <w:r w:rsidR="00D96B80" w:rsidRPr="005F28EE">
        <w:t>.</w:t>
      </w:r>
    </w:p>
    <w:p w:rsidR="003D6FFC" w:rsidRDefault="003D6FFC" w:rsidP="003D6FFC"/>
    <w:p w:rsidR="00095BDB" w:rsidRPr="00095BDB" w:rsidRDefault="00E56A2C" w:rsidP="00D602DE">
      <w:pPr>
        <w:pStyle w:val="ListParagraph"/>
        <w:numPr>
          <w:ilvl w:val="0"/>
          <w:numId w:val="1"/>
        </w:numPr>
        <w:ind w:left="426" w:hanging="426"/>
        <w:rPr>
          <w:rFonts w:cs="Arial"/>
        </w:rPr>
      </w:pPr>
      <w:r>
        <w:t>A staff workshop was conducted on 2 November 2016 in which the findings of the S</w:t>
      </w:r>
      <w:r w:rsidR="002220C3">
        <w:t xml:space="preserve">ecretary </w:t>
      </w:r>
      <w:r>
        <w:t>G</w:t>
      </w:r>
      <w:r w:rsidR="002220C3">
        <w:t>eneral’s</w:t>
      </w:r>
      <w:r>
        <w:t xml:space="preserve"> external and internal consultation were shared. </w:t>
      </w:r>
      <w:r w:rsidR="007E5425">
        <w:t>The Secretariat s</w:t>
      </w:r>
      <w:r>
        <w:t>taff worked on</w:t>
      </w:r>
      <w:r w:rsidR="002C6F83">
        <w:t xml:space="preserve"> ways </w:t>
      </w:r>
      <w:r>
        <w:t>to address key areas that needed to be strengthened</w:t>
      </w:r>
      <w:r w:rsidR="002220C3">
        <w:t>.</w:t>
      </w:r>
    </w:p>
    <w:p w:rsidR="00095BDB" w:rsidRDefault="00095BDB" w:rsidP="00095BDB">
      <w:pPr>
        <w:pStyle w:val="ListParagraph"/>
      </w:pPr>
    </w:p>
    <w:p w:rsidR="008A50BA" w:rsidRPr="005F28EE" w:rsidRDefault="00E56A2C" w:rsidP="005F28EE">
      <w:pPr>
        <w:pStyle w:val="ListParagraph"/>
        <w:numPr>
          <w:ilvl w:val="0"/>
          <w:numId w:val="1"/>
        </w:numPr>
        <w:ind w:left="425" w:hanging="425"/>
        <w:rPr>
          <w:rFonts w:cs="Arial"/>
        </w:rPr>
      </w:pPr>
      <w:r w:rsidRPr="005F28EE">
        <w:t xml:space="preserve">A professionally facilitated Planning Workshop was conducted from 16 </w:t>
      </w:r>
      <w:r w:rsidR="00B41BB9" w:rsidRPr="005F28EE">
        <w:t>to</w:t>
      </w:r>
      <w:r w:rsidRPr="005F28EE">
        <w:t xml:space="preserve"> 18 January 2017, focusing on</w:t>
      </w:r>
      <w:r w:rsidR="00B41BB9" w:rsidRPr="005F28EE">
        <w:t>:</w:t>
      </w:r>
      <w:r w:rsidRPr="005F28EE">
        <w:t xml:space="preserve"> the review of </w:t>
      </w:r>
      <w:r w:rsidR="00B41BB9" w:rsidRPr="005F28EE">
        <w:t xml:space="preserve">the </w:t>
      </w:r>
      <w:r w:rsidRPr="005F28EE">
        <w:t>triennial</w:t>
      </w:r>
      <w:r w:rsidR="00B41BB9" w:rsidRPr="005F28EE">
        <w:t xml:space="preserve"> and </w:t>
      </w:r>
      <w:r w:rsidRPr="005F28EE">
        <w:t>annual work</w:t>
      </w:r>
      <w:r w:rsidR="00095BDB" w:rsidRPr="005F28EE">
        <w:t xml:space="preserve"> </w:t>
      </w:r>
      <w:r w:rsidRPr="005F28EE">
        <w:t>plan</w:t>
      </w:r>
      <w:r w:rsidR="00B41BB9" w:rsidRPr="005F28EE">
        <w:t>s</w:t>
      </w:r>
      <w:r w:rsidR="002329D3" w:rsidRPr="005F28EE">
        <w:t xml:space="preserve"> (see document </w:t>
      </w:r>
      <w:r w:rsidR="005F28EE" w:rsidRPr="005F28EE">
        <w:t xml:space="preserve">SC53-09 </w:t>
      </w:r>
      <w:r w:rsidR="005F28EE" w:rsidRPr="005F28EE">
        <w:rPr>
          <w:i/>
        </w:rPr>
        <w:t>Integrated 2017 Annual Work Plan and 2016-2018 Triennial Work Plan for the Secretariat</w:t>
      </w:r>
      <w:r w:rsidR="002329D3" w:rsidRPr="005F28EE">
        <w:t>)</w:t>
      </w:r>
      <w:r w:rsidR="00B41BB9" w:rsidRPr="005F28EE">
        <w:t>;</w:t>
      </w:r>
      <w:r w:rsidRPr="005F28EE">
        <w:t xml:space="preserve"> </w:t>
      </w:r>
      <w:r w:rsidR="00B41BB9" w:rsidRPr="005F28EE">
        <w:t>unit</w:t>
      </w:r>
      <w:r w:rsidRPr="005F28EE">
        <w:t xml:space="preserve">ing the team </w:t>
      </w:r>
      <w:r w:rsidR="00B41BB9" w:rsidRPr="005F28EE">
        <w:t>in its</w:t>
      </w:r>
      <w:r w:rsidRPr="005F28EE">
        <w:t xml:space="preserve"> clarity of role,</w:t>
      </w:r>
      <w:r w:rsidR="0029041D" w:rsidRPr="005F28EE">
        <w:t xml:space="preserve"> identity and accountabilities;</w:t>
      </w:r>
      <w:r w:rsidR="0025076E" w:rsidRPr="005F28EE">
        <w:t xml:space="preserve"> principles to guide how the Secretariat</w:t>
      </w:r>
      <w:r w:rsidRPr="005F28EE">
        <w:t xml:space="preserve"> work</w:t>
      </w:r>
      <w:r w:rsidR="0025076E" w:rsidRPr="005F28EE">
        <w:t>s</w:t>
      </w:r>
      <w:r w:rsidRPr="005F28EE">
        <w:t>; and changes needed to better serve C</w:t>
      </w:r>
      <w:r w:rsidR="00C55BDD" w:rsidRPr="005F28EE">
        <w:t xml:space="preserve">ontracting </w:t>
      </w:r>
      <w:r w:rsidRPr="005F28EE">
        <w:t>P</w:t>
      </w:r>
      <w:r w:rsidR="00C55BDD" w:rsidRPr="005F28EE">
        <w:t>artie</w:t>
      </w:r>
      <w:r w:rsidRPr="005F28EE">
        <w:t xml:space="preserve">s and deliver on </w:t>
      </w:r>
      <w:r w:rsidR="00FE560F" w:rsidRPr="005F28EE">
        <w:t xml:space="preserve">the Secretariat's </w:t>
      </w:r>
      <w:r w:rsidRPr="005F28EE">
        <w:t xml:space="preserve">mandate (value proposition and business model). A </w:t>
      </w:r>
      <w:r w:rsidR="00FE560F" w:rsidRPr="005F28EE">
        <w:t>human resources</w:t>
      </w:r>
      <w:r w:rsidRPr="005F28EE">
        <w:t xml:space="preserve"> plan was also developed as part of the exercise. Agreement was </w:t>
      </w:r>
      <w:r w:rsidR="00FE560F" w:rsidRPr="005F28EE">
        <w:t>reached</w:t>
      </w:r>
      <w:r w:rsidRPr="005F28EE">
        <w:t xml:space="preserve"> at this workshop on: development of individual performance indicators related to the work</w:t>
      </w:r>
      <w:r w:rsidR="006E3040" w:rsidRPr="005F28EE">
        <w:t xml:space="preserve"> </w:t>
      </w:r>
      <w:r w:rsidRPr="005F28EE">
        <w:t>plan; and mid-term and end</w:t>
      </w:r>
      <w:r w:rsidR="00FE560F" w:rsidRPr="005F28EE">
        <w:t>-</w:t>
      </w:r>
      <w:r w:rsidRPr="005F28EE">
        <w:t>of</w:t>
      </w:r>
      <w:r w:rsidR="00FE560F" w:rsidRPr="005F28EE">
        <w:t>-</w:t>
      </w:r>
      <w:r w:rsidRPr="005F28EE">
        <w:t>year assessment of progress in implementation of the work</w:t>
      </w:r>
      <w:r w:rsidR="006E3040" w:rsidRPr="005F28EE">
        <w:t xml:space="preserve"> </w:t>
      </w:r>
      <w:r w:rsidRPr="005F28EE">
        <w:t xml:space="preserve">plan. Further work </w:t>
      </w:r>
      <w:r w:rsidR="0029041D" w:rsidRPr="005F28EE">
        <w:t xml:space="preserve">is </w:t>
      </w:r>
      <w:r w:rsidRPr="005F28EE">
        <w:t xml:space="preserve">foreseen in </w:t>
      </w:r>
      <w:r w:rsidR="00506703" w:rsidRPr="005F28EE">
        <w:t xml:space="preserve">the </w:t>
      </w:r>
      <w:r w:rsidRPr="005F28EE">
        <w:t>longer term</w:t>
      </w:r>
      <w:r w:rsidR="0029041D" w:rsidRPr="005F28EE">
        <w:t xml:space="preserve"> </w:t>
      </w:r>
      <w:r w:rsidRPr="005F28EE">
        <w:t xml:space="preserve">towards </w:t>
      </w:r>
      <w:r w:rsidR="00506703" w:rsidRPr="005F28EE">
        <w:t xml:space="preserve">a </w:t>
      </w:r>
      <w:r w:rsidRPr="005F28EE">
        <w:t>new planning cycle</w:t>
      </w:r>
      <w:r w:rsidR="0029041D" w:rsidRPr="005F28EE">
        <w:t xml:space="preserve"> to further focus the work of the Secretariat,</w:t>
      </w:r>
      <w:r w:rsidR="00506703" w:rsidRPr="005F28EE">
        <w:t xml:space="preserve"> and</w:t>
      </w:r>
      <w:r w:rsidR="0029041D" w:rsidRPr="005F28EE">
        <w:t xml:space="preserve"> </w:t>
      </w:r>
      <w:r w:rsidR="00506703" w:rsidRPr="005F28EE">
        <w:t xml:space="preserve">to </w:t>
      </w:r>
      <w:r w:rsidR="0029041D" w:rsidRPr="005F28EE">
        <w:t>improve cohesion of the team,</w:t>
      </w:r>
      <w:r w:rsidR="00506703" w:rsidRPr="005F28EE">
        <w:t xml:space="preserve"> </w:t>
      </w:r>
      <w:r w:rsidR="0029041D" w:rsidRPr="005F28EE">
        <w:t>accountability</w:t>
      </w:r>
      <w:r w:rsidR="00EB7C08" w:rsidRPr="005F28EE">
        <w:t>, and build</w:t>
      </w:r>
      <w:r w:rsidR="0038269D" w:rsidRPr="005F28EE">
        <w:t>ing</w:t>
      </w:r>
      <w:r w:rsidR="00EB7C08" w:rsidRPr="005F28EE">
        <w:t xml:space="preserve"> </w:t>
      </w:r>
      <w:r w:rsidR="0038269D" w:rsidRPr="005F28EE">
        <w:t xml:space="preserve">the </w:t>
      </w:r>
      <w:r w:rsidR="00EB7C08" w:rsidRPr="005F28EE">
        <w:t>needed capacities and skills</w:t>
      </w:r>
      <w:r w:rsidRPr="005F28EE">
        <w:t>.</w:t>
      </w:r>
    </w:p>
    <w:sectPr w:rsidR="008A50BA" w:rsidRPr="005F28EE"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63" w:rsidRDefault="00800963" w:rsidP="00DF2386">
      <w:r>
        <w:separator/>
      </w:r>
    </w:p>
  </w:endnote>
  <w:endnote w:type="continuationSeparator" w:id="0">
    <w:p w:rsidR="00800963" w:rsidRDefault="00800963"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D1" w:rsidRPr="00F7608A" w:rsidRDefault="00F7608A" w:rsidP="002137E0">
    <w:pPr>
      <w:pStyle w:val="Header"/>
      <w:rPr>
        <w:noProof/>
        <w:sz w:val="20"/>
        <w:szCs w:val="20"/>
      </w:rPr>
    </w:pPr>
    <w:r w:rsidRPr="00F7608A">
      <w:rPr>
        <w:sz w:val="20"/>
        <w:szCs w:val="20"/>
      </w:rPr>
      <w:t>SC53-02</w:t>
    </w:r>
    <w:r w:rsidRPr="00F7608A">
      <w:rPr>
        <w:sz w:val="20"/>
        <w:szCs w:val="20"/>
      </w:rPr>
      <w:tab/>
    </w:r>
    <w:r w:rsidRPr="00F7608A">
      <w:rPr>
        <w:sz w:val="20"/>
        <w:szCs w:val="20"/>
      </w:rPr>
      <w:tab/>
    </w:r>
    <w:r w:rsidRPr="00F7608A">
      <w:rPr>
        <w:sz w:val="20"/>
        <w:szCs w:val="20"/>
      </w:rPr>
      <w:fldChar w:fldCharType="begin"/>
    </w:r>
    <w:r w:rsidRPr="00F7608A">
      <w:rPr>
        <w:sz w:val="20"/>
        <w:szCs w:val="20"/>
      </w:rPr>
      <w:instrText xml:space="preserve"> PAGE   \* MERGEFORMAT </w:instrText>
    </w:r>
    <w:r w:rsidRPr="00F7608A">
      <w:rPr>
        <w:sz w:val="20"/>
        <w:szCs w:val="20"/>
      </w:rPr>
      <w:fldChar w:fldCharType="separate"/>
    </w:r>
    <w:r w:rsidR="003829C2">
      <w:rPr>
        <w:noProof/>
        <w:sz w:val="20"/>
        <w:szCs w:val="20"/>
      </w:rPr>
      <w:t>4</w:t>
    </w:r>
    <w:r w:rsidRPr="00F7608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63" w:rsidRDefault="00800963" w:rsidP="00DF2386">
      <w:r>
        <w:separator/>
      </w:r>
    </w:p>
  </w:footnote>
  <w:footnote w:type="continuationSeparator" w:id="0">
    <w:p w:rsidR="00800963" w:rsidRDefault="00800963"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D1" w:rsidRDefault="006905D1">
    <w:pPr>
      <w:pStyle w:val="Header"/>
    </w:pPr>
  </w:p>
  <w:p w:rsidR="006905D1" w:rsidRDefault="00690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1F56"/>
    <w:multiLevelType w:val="multilevel"/>
    <w:tmpl w:val="DC00821E"/>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144496"/>
    <w:multiLevelType w:val="hybridMultilevel"/>
    <w:tmpl w:val="CAA0FCE8"/>
    <w:lvl w:ilvl="0" w:tplc="EAE4B078">
      <w:start w:val="1"/>
      <w:numFmt w:val="decimal"/>
      <w:lvlText w:val="%1."/>
      <w:lvlJc w:val="left"/>
      <w:pPr>
        <w:ind w:left="720" w:hanging="360"/>
      </w:pPr>
      <w:rPr>
        <w:rFonts w:hint="default"/>
        <w:b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1E2BC5"/>
    <w:multiLevelType w:val="hybridMultilevel"/>
    <w:tmpl w:val="D5F25FE6"/>
    <w:lvl w:ilvl="0" w:tplc="04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973B35"/>
    <w:multiLevelType w:val="multilevel"/>
    <w:tmpl w:val="CAA0FCE8"/>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785E39"/>
    <w:multiLevelType w:val="multilevel"/>
    <w:tmpl w:val="D30CF6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EE132B8"/>
    <w:multiLevelType w:val="hybridMultilevel"/>
    <w:tmpl w:val="DDAC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F009A"/>
    <w:multiLevelType w:val="hybridMultilevel"/>
    <w:tmpl w:val="A26C938C"/>
    <w:lvl w:ilvl="0" w:tplc="ED7C620A">
      <w:start w:val="1"/>
      <w:numFmt w:val="lowerRoman"/>
      <w:lvlText w:val="%1)"/>
      <w:lvlJc w:val="left"/>
      <w:pPr>
        <w:ind w:left="720" w:hanging="360"/>
      </w:pPr>
      <w:rPr>
        <w:rFonts w:hint="default"/>
        <w:b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550FBC"/>
    <w:multiLevelType w:val="hybridMultilevel"/>
    <w:tmpl w:val="952EB2CA"/>
    <w:lvl w:ilvl="0" w:tplc="ED7C620A">
      <w:start w:val="1"/>
      <w:numFmt w:val="lowerRoman"/>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1B57"/>
    <w:rsid w:val="00014168"/>
    <w:rsid w:val="0001634B"/>
    <w:rsid w:val="00017A16"/>
    <w:rsid w:val="00022957"/>
    <w:rsid w:val="00026E09"/>
    <w:rsid w:val="00037CE0"/>
    <w:rsid w:val="00047B1D"/>
    <w:rsid w:val="0005116A"/>
    <w:rsid w:val="00053929"/>
    <w:rsid w:val="000575AC"/>
    <w:rsid w:val="00074DE8"/>
    <w:rsid w:val="00083207"/>
    <w:rsid w:val="000933B2"/>
    <w:rsid w:val="00094814"/>
    <w:rsid w:val="00095BDB"/>
    <w:rsid w:val="000A0CE7"/>
    <w:rsid w:val="000A3E3E"/>
    <w:rsid w:val="000A503C"/>
    <w:rsid w:val="000C2489"/>
    <w:rsid w:val="000D489C"/>
    <w:rsid w:val="000D5C76"/>
    <w:rsid w:val="000E2FA0"/>
    <w:rsid w:val="000E4797"/>
    <w:rsid w:val="000E47E9"/>
    <w:rsid w:val="0010201B"/>
    <w:rsid w:val="001038D2"/>
    <w:rsid w:val="00110906"/>
    <w:rsid w:val="0012096C"/>
    <w:rsid w:val="00127828"/>
    <w:rsid w:val="00151C21"/>
    <w:rsid w:val="00153033"/>
    <w:rsid w:val="00154A04"/>
    <w:rsid w:val="00161BDA"/>
    <w:rsid w:val="00171618"/>
    <w:rsid w:val="00171C51"/>
    <w:rsid w:val="001819B1"/>
    <w:rsid w:val="001A2D10"/>
    <w:rsid w:val="001A582E"/>
    <w:rsid w:val="001B0676"/>
    <w:rsid w:val="001C5E41"/>
    <w:rsid w:val="001C77BC"/>
    <w:rsid w:val="001C7EC9"/>
    <w:rsid w:val="001D48BB"/>
    <w:rsid w:val="001E00E3"/>
    <w:rsid w:val="001F2349"/>
    <w:rsid w:val="001F5870"/>
    <w:rsid w:val="002005D2"/>
    <w:rsid w:val="0020298B"/>
    <w:rsid w:val="00206111"/>
    <w:rsid w:val="00210BC2"/>
    <w:rsid w:val="002137E0"/>
    <w:rsid w:val="002220C3"/>
    <w:rsid w:val="00224915"/>
    <w:rsid w:val="002329D3"/>
    <w:rsid w:val="00244593"/>
    <w:rsid w:val="00245809"/>
    <w:rsid w:val="0025076E"/>
    <w:rsid w:val="0027199F"/>
    <w:rsid w:val="002741AC"/>
    <w:rsid w:val="002812D9"/>
    <w:rsid w:val="002819C0"/>
    <w:rsid w:val="00287C81"/>
    <w:rsid w:val="0029041D"/>
    <w:rsid w:val="00295556"/>
    <w:rsid w:val="00295BB5"/>
    <w:rsid w:val="002979F5"/>
    <w:rsid w:val="00297BC4"/>
    <w:rsid w:val="002A05A3"/>
    <w:rsid w:val="002A5A4D"/>
    <w:rsid w:val="002B24EA"/>
    <w:rsid w:val="002B4262"/>
    <w:rsid w:val="002C3A4D"/>
    <w:rsid w:val="002C6F83"/>
    <w:rsid w:val="002D5A4D"/>
    <w:rsid w:val="002E22AF"/>
    <w:rsid w:val="002E2455"/>
    <w:rsid w:val="002E3F48"/>
    <w:rsid w:val="002F704A"/>
    <w:rsid w:val="003110B0"/>
    <w:rsid w:val="00324398"/>
    <w:rsid w:val="00343DA4"/>
    <w:rsid w:val="003471CC"/>
    <w:rsid w:val="00370BF0"/>
    <w:rsid w:val="0038269D"/>
    <w:rsid w:val="003829C2"/>
    <w:rsid w:val="00384FC3"/>
    <w:rsid w:val="003A3804"/>
    <w:rsid w:val="003A52BE"/>
    <w:rsid w:val="003A5866"/>
    <w:rsid w:val="003A6E9F"/>
    <w:rsid w:val="003D4CD6"/>
    <w:rsid w:val="003D6FFC"/>
    <w:rsid w:val="003E08C1"/>
    <w:rsid w:val="003E13A2"/>
    <w:rsid w:val="003E3F2F"/>
    <w:rsid w:val="003E4B0F"/>
    <w:rsid w:val="003E579F"/>
    <w:rsid w:val="004200EB"/>
    <w:rsid w:val="004228C7"/>
    <w:rsid w:val="0042798B"/>
    <w:rsid w:val="00434913"/>
    <w:rsid w:val="004474F8"/>
    <w:rsid w:val="00451957"/>
    <w:rsid w:val="00471796"/>
    <w:rsid w:val="004728BA"/>
    <w:rsid w:val="00472A34"/>
    <w:rsid w:val="00477550"/>
    <w:rsid w:val="004844A8"/>
    <w:rsid w:val="004946C6"/>
    <w:rsid w:val="00496803"/>
    <w:rsid w:val="004A4753"/>
    <w:rsid w:val="004A665D"/>
    <w:rsid w:val="004B16E7"/>
    <w:rsid w:val="004B21BB"/>
    <w:rsid w:val="004B48F2"/>
    <w:rsid w:val="004B6688"/>
    <w:rsid w:val="004C0003"/>
    <w:rsid w:val="004D1899"/>
    <w:rsid w:val="004E22B8"/>
    <w:rsid w:val="004E33C7"/>
    <w:rsid w:val="004F16FA"/>
    <w:rsid w:val="004F44BE"/>
    <w:rsid w:val="005004AE"/>
    <w:rsid w:val="00506703"/>
    <w:rsid w:val="00522A27"/>
    <w:rsid w:val="005244A4"/>
    <w:rsid w:val="00527248"/>
    <w:rsid w:val="00527783"/>
    <w:rsid w:val="005354AA"/>
    <w:rsid w:val="0053658A"/>
    <w:rsid w:val="0056267D"/>
    <w:rsid w:val="0056372E"/>
    <w:rsid w:val="0056390A"/>
    <w:rsid w:val="00565908"/>
    <w:rsid w:val="005814B5"/>
    <w:rsid w:val="00582DC3"/>
    <w:rsid w:val="005B134A"/>
    <w:rsid w:val="005B4E40"/>
    <w:rsid w:val="005D3B6F"/>
    <w:rsid w:val="005D3E9D"/>
    <w:rsid w:val="005D4808"/>
    <w:rsid w:val="005D5340"/>
    <w:rsid w:val="005D5EB1"/>
    <w:rsid w:val="005D7AB6"/>
    <w:rsid w:val="005E09B2"/>
    <w:rsid w:val="005E5C41"/>
    <w:rsid w:val="005F047F"/>
    <w:rsid w:val="005F28EE"/>
    <w:rsid w:val="005F317D"/>
    <w:rsid w:val="005F7A29"/>
    <w:rsid w:val="006028F4"/>
    <w:rsid w:val="00610D7F"/>
    <w:rsid w:val="00615114"/>
    <w:rsid w:val="006227DF"/>
    <w:rsid w:val="006256D3"/>
    <w:rsid w:val="00627BB7"/>
    <w:rsid w:val="00634C0A"/>
    <w:rsid w:val="00644A13"/>
    <w:rsid w:val="0065136E"/>
    <w:rsid w:val="00654D35"/>
    <w:rsid w:val="00654E8F"/>
    <w:rsid w:val="00663180"/>
    <w:rsid w:val="00664084"/>
    <w:rsid w:val="006669AB"/>
    <w:rsid w:val="00670D71"/>
    <w:rsid w:val="006738AD"/>
    <w:rsid w:val="00681C87"/>
    <w:rsid w:val="006905D1"/>
    <w:rsid w:val="006B7D12"/>
    <w:rsid w:val="006D1EEE"/>
    <w:rsid w:val="006D7E9D"/>
    <w:rsid w:val="006E1127"/>
    <w:rsid w:val="006E3040"/>
    <w:rsid w:val="006E7DCE"/>
    <w:rsid w:val="006F0FCC"/>
    <w:rsid w:val="006F4C40"/>
    <w:rsid w:val="006F5EF5"/>
    <w:rsid w:val="007050FF"/>
    <w:rsid w:val="00715F01"/>
    <w:rsid w:val="00717B8C"/>
    <w:rsid w:val="00752764"/>
    <w:rsid w:val="00754888"/>
    <w:rsid w:val="00766962"/>
    <w:rsid w:val="00766E92"/>
    <w:rsid w:val="007676E1"/>
    <w:rsid w:val="00775287"/>
    <w:rsid w:val="00782CDC"/>
    <w:rsid w:val="007906EE"/>
    <w:rsid w:val="007924FF"/>
    <w:rsid w:val="00795AA2"/>
    <w:rsid w:val="007A314E"/>
    <w:rsid w:val="007C1F68"/>
    <w:rsid w:val="007D33F4"/>
    <w:rsid w:val="007D4647"/>
    <w:rsid w:val="007E53C7"/>
    <w:rsid w:val="007E5425"/>
    <w:rsid w:val="007E691D"/>
    <w:rsid w:val="007F2AE6"/>
    <w:rsid w:val="007F3ABE"/>
    <w:rsid w:val="00800179"/>
    <w:rsid w:val="00800963"/>
    <w:rsid w:val="008047AF"/>
    <w:rsid w:val="0080592E"/>
    <w:rsid w:val="00810FDF"/>
    <w:rsid w:val="0081291B"/>
    <w:rsid w:val="00815BDF"/>
    <w:rsid w:val="00816AE5"/>
    <w:rsid w:val="008328E9"/>
    <w:rsid w:val="008336E7"/>
    <w:rsid w:val="00835BCB"/>
    <w:rsid w:val="00835CDC"/>
    <w:rsid w:val="00837A8F"/>
    <w:rsid w:val="00841230"/>
    <w:rsid w:val="00845C12"/>
    <w:rsid w:val="00850B09"/>
    <w:rsid w:val="0085326D"/>
    <w:rsid w:val="00863B9D"/>
    <w:rsid w:val="00863BE6"/>
    <w:rsid w:val="00871C12"/>
    <w:rsid w:val="00875137"/>
    <w:rsid w:val="0087683E"/>
    <w:rsid w:val="008775BC"/>
    <w:rsid w:val="00882F1B"/>
    <w:rsid w:val="00883B6E"/>
    <w:rsid w:val="00883F15"/>
    <w:rsid w:val="00890579"/>
    <w:rsid w:val="00890DDA"/>
    <w:rsid w:val="00896C5F"/>
    <w:rsid w:val="00897303"/>
    <w:rsid w:val="008A0824"/>
    <w:rsid w:val="008A50BA"/>
    <w:rsid w:val="008A70CE"/>
    <w:rsid w:val="008B3827"/>
    <w:rsid w:val="008C25E4"/>
    <w:rsid w:val="008C2DAE"/>
    <w:rsid w:val="008E03FD"/>
    <w:rsid w:val="009019B0"/>
    <w:rsid w:val="0090391E"/>
    <w:rsid w:val="009059A9"/>
    <w:rsid w:val="00910816"/>
    <w:rsid w:val="009130E8"/>
    <w:rsid w:val="0092515E"/>
    <w:rsid w:val="00925AB6"/>
    <w:rsid w:val="00934E8B"/>
    <w:rsid w:val="009372F6"/>
    <w:rsid w:val="00942FBD"/>
    <w:rsid w:val="00946A28"/>
    <w:rsid w:val="00946B96"/>
    <w:rsid w:val="0094770B"/>
    <w:rsid w:val="00952956"/>
    <w:rsid w:val="00955407"/>
    <w:rsid w:val="00981351"/>
    <w:rsid w:val="00991E07"/>
    <w:rsid w:val="00997ECF"/>
    <w:rsid w:val="009B1081"/>
    <w:rsid w:val="009B2267"/>
    <w:rsid w:val="009C3409"/>
    <w:rsid w:val="009D1F09"/>
    <w:rsid w:val="009E0AE8"/>
    <w:rsid w:val="009E220F"/>
    <w:rsid w:val="009E3D07"/>
    <w:rsid w:val="009E5374"/>
    <w:rsid w:val="009F345D"/>
    <w:rsid w:val="00A13218"/>
    <w:rsid w:val="00A13D95"/>
    <w:rsid w:val="00A227A3"/>
    <w:rsid w:val="00A276DE"/>
    <w:rsid w:val="00A3197F"/>
    <w:rsid w:val="00A406AE"/>
    <w:rsid w:val="00A53C06"/>
    <w:rsid w:val="00A60B73"/>
    <w:rsid w:val="00A6304C"/>
    <w:rsid w:val="00A63303"/>
    <w:rsid w:val="00A66B4A"/>
    <w:rsid w:val="00A678D8"/>
    <w:rsid w:val="00A767B1"/>
    <w:rsid w:val="00A80080"/>
    <w:rsid w:val="00A85FAC"/>
    <w:rsid w:val="00A8789D"/>
    <w:rsid w:val="00A87F36"/>
    <w:rsid w:val="00A914D2"/>
    <w:rsid w:val="00A92AA6"/>
    <w:rsid w:val="00A95372"/>
    <w:rsid w:val="00AA0CA6"/>
    <w:rsid w:val="00AB1B7C"/>
    <w:rsid w:val="00AB4661"/>
    <w:rsid w:val="00AB4951"/>
    <w:rsid w:val="00AF4FFE"/>
    <w:rsid w:val="00B00EF6"/>
    <w:rsid w:val="00B01BB2"/>
    <w:rsid w:val="00B13258"/>
    <w:rsid w:val="00B15484"/>
    <w:rsid w:val="00B315A0"/>
    <w:rsid w:val="00B336FC"/>
    <w:rsid w:val="00B34A18"/>
    <w:rsid w:val="00B41BB9"/>
    <w:rsid w:val="00B43839"/>
    <w:rsid w:val="00B468CE"/>
    <w:rsid w:val="00B56166"/>
    <w:rsid w:val="00B579CB"/>
    <w:rsid w:val="00B626CD"/>
    <w:rsid w:val="00B654F9"/>
    <w:rsid w:val="00B70083"/>
    <w:rsid w:val="00BB28F6"/>
    <w:rsid w:val="00BB6F17"/>
    <w:rsid w:val="00BB7743"/>
    <w:rsid w:val="00BC2070"/>
    <w:rsid w:val="00BC2609"/>
    <w:rsid w:val="00BC4637"/>
    <w:rsid w:val="00BD33B7"/>
    <w:rsid w:val="00BE138E"/>
    <w:rsid w:val="00C13145"/>
    <w:rsid w:val="00C14B9F"/>
    <w:rsid w:val="00C309A7"/>
    <w:rsid w:val="00C54B65"/>
    <w:rsid w:val="00C55BDD"/>
    <w:rsid w:val="00C730DD"/>
    <w:rsid w:val="00CA693E"/>
    <w:rsid w:val="00CB6AE6"/>
    <w:rsid w:val="00CC0FD0"/>
    <w:rsid w:val="00CC6301"/>
    <w:rsid w:val="00CE4CB7"/>
    <w:rsid w:val="00CE750F"/>
    <w:rsid w:val="00CF6F6F"/>
    <w:rsid w:val="00D00DD2"/>
    <w:rsid w:val="00D01BEE"/>
    <w:rsid w:val="00D026DA"/>
    <w:rsid w:val="00D160CB"/>
    <w:rsid w:val="00D2434B"/>
    <w:rsid w:val="00D245A1"/>
    <w:rsid w:val="00D249EF"/>
    <w:rsid w:val="00D306E6"/>
    <w:rsid w:val="00D415E2"/>
    <w:rsid w:val="00D42055"/>
    <w:rsid w:val="00D429C2"/>
    <w:rsid w:val="00D473FE"/>
    <w:rsid w:val="00D55932"/>
    <w:rsid w:val="00D602DE"/>
    <w:rsid w:val="00D647C3"/>
    <w:rsid w:val="00D6657A"/>
    <w:rsid w:val="00D7382B"/>
    <w:rsid w:val="00D9633A"/>
    <w:rsid w:val="00D96B80"/>
    <w:rsid w:val="00DC283C"/>
    <w:rsid w:val="00DC7984"/>
    <w:rsid w:val="00DD458F"/>
    <w:rsid w:val="00DF2386"/>
    <w:rsid w:val="00DF7FE7"/>
    <w:rsid w:val="00E2760F"/>
    <w:rsid w:val="00E3221F"/>
    <w:rsid w:val="00E40EF7"/>
    <w:rsid w:val="00E46367"/>
    <w:rsid w:val="00E556F6"/>
    <w:rsid w:val="00E56A2C"/>
    <w:rsid w:val="00E61531"/>
    <w:rsid w:val="00E63F0B"/>
    <w:rsid w:val="00E77719"/>
    <w:rsid w:val="00E77E02"/>
    <w:rsid w:val="00E80ED1"/>
    <w:rsid w:val="00E81C2D"/>
    <w:rsid w:val="00E83B64"/>
    <w:rsid w:val="00E91CF4"/>
    <w:rsid w:val="00E93C7E"/>
    <w:rsid w:val="00EA05E6"/>
    <w:rsid w:val="00EA3A7F"/>
    <w:rsid w:val="00EA7901"/>
    <w:rsid w:val="00EB0036"/>
    <w:rsid w:val="00EB7C08"/>
    <w:rsid w:val="00EB7DA4"/>
    <w:rsid w:val="00EC04F7"/>
    <w:rsid w:val="00ED2056"/>
    <w:rsid w:val="00EF2A2A"/>
    <w:rsid w:val="00EF380F"/>
    <w:rsid w:val="00EF77EC"/>
    <w:rsid w:val="00F048E3"/>
    <w:rsid w:val="00F04920"/>
    <w:rsid w:val="00F078F1"/>
    <w:rsid w:val="00F32D03"/>
    <w:rsid w:val="00F344DE"/>
    <w:rsid w:val="00F4166F"/>
    <w:rsid w:val="00F73C2E"/>
    <w:rsid w:val="00F73E71"/>
    <w:rsid w:val="00F7608A"/>
    <w:rsid w:val="00F81D37"/>
    <w:rsid w:val="00F93D5E"/>
    <w:rsid w:val="00FA3590"/>
    <w:rsid w:val="00FA53A6"/>
    <w:rsid w:val="00FB4772"/>
    <w:rsid w:val="00FB58FF"/>
    <w:rsid w:val="00FB6172"/>
    <w:rsid w:val="00FC4991"/>
    <w:rsid w:val="00FC5620"/>
    <w:rsid w:val="00FC5E81"/>
    <w:rsid w:val="00FD6B37"/>
    <w:rsid w:val="00FE560F"/>
    <w:rsid w:val="00FE6DF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0" w:defSemiHidden="0" w:defUnhideWhenUsed="0" w:defQFormat="0" w:count="267"/>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A406AE"/>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0" w:defSemiHidden="0" w:defUnhideWhenUsed="0" w:defQFormat="0" w:count="267"/>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A406AE"/>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5296">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02203802">
      <w:bodyDiv w:val="1"/>
      <w:marLeft w:val="0"/>
      <w:marRight w:val="0"/>
      <w:marTop w:val="0"/>
      <w:marBottom w:val="0"/>
      <w:divBdr>
        <w:top w:val="none" w:sz="0" w:space="0" w:color="auto"/>
        <w:left w:val="none" w:sz="0" w:space="0" w:color="auto"/>
        <w:bottom w:val="none" w:sz="0" w:space="0" w:color="auto"/>
        <w:right w:val="none" w:sz="0" w:space="0" w:color="auto"/>
      </w:divBdr>
    </w:div>
    <w:div w:id="1284653989">
      <w:bodyDiv w:val="1"/>
      <w:marLeft w:val="0"/>
      <w:marRight w:val="0"/>
      <w:marTop w:val="0"/>
      <w:marBottom w:val="0"/>
      <w:divBdr>
        <w:top w:val="none" w:sz="0" w:space="0" w:color="auto"/>
        <w:left w:val="none" w:sz="0" w:space="0" w:color="auto"/>
        <w:bottom w:val="none" w:sz="0" w:space="0" w:color="auto"/>
        <w:right w:val="none" w:sz="0" w:space="0" w:color="auto"/>
      </w:divBdr>
    </w:div>
    <w:div w:id="1305543919">
      <w:bodyDiv w:val="1"/>
      <w:marLeft w:val="0"/>
      <w:marRight w:val="0"/>
      <w:marTop w:val="0"/>
      <w:marBottom w:val="0"/>
      <w:divBdr>
        <w:top w:val="none" w:sz="0" w:space="0" w:color="auto"/>
        <w:left w:val="none" w:sz="0" w:space="0" w:color="auto"/>
        <w:bottom w:val="none" w:sz="0" w:space="0" w:color="auto"/>
        <w:right w:val="none" w:sz="0" w:space="0" w:color="auto"/>
      </w:divBdr>
      <w:divsChild>
        <w:div w:id="622690158">
          <w:marLeft w:val="547"/>
          <w:marRight w:val="0"/>
          <w:marTop w:val="0"/>
          <w:marBottom w:val="0"/>
          <w:divBdr>
            <w:top w:val="none" w:sz="0" w:space="0" w:color="auto"/>
            <w:left w:val="none" w:sz="0" w:space="0" w:color="auto"/>
            <w:bottom w:val="none" w:sz="0" w:space="0" w:color="auto"/>
            <w:right w:val="none" w:sz="0" w:space="0" w:color="auto"/>
          </w:divBdr>
        </w:div>
      </w:divsChild>
    </w:div>
    <w:div w:id="1458571501">
      <w:bodyDiv w:val="1"/>
      <w:marLeft w:val="0"/>
      <w:marRight w:val="0"/>
      <w:marTop w:val="0"/>
      <w:marBottom w:val="0"/>
      <w:divBdr>
        <w:top w:val="none" w:sz="0" w:space="0" w:color="auto"/>
        <w:left w:val="none" w:sz="0" w:space="0" w:color="auto"/>
        <w:bottom w:val="none" w:sz="0" w:space="0" w:color="auto"/>
        <w:right w:val="none" w:sz="0" w:space="0" w:color="auto"/>
      </w:divBdr>
    </w:div>
    <w:div w:id="1551839413">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3">
          <w:marLeft w:val="547"/>
          <w:marRight w:val="0"/>
          <w:marTop w:val="0"/>
          <w:marBottom w:val="0"/>
          <w:divBdr>
            <w:top w:val="none" w:sz="0" w:space="0" w:color="auto"/>
            <w:left w:val="none" w:sz="0" w:space="0" w:color="auto"/>
            <w:bottom w:val="none" w:sz="0" w:space="0" w:color="auto"/>
            <w:right w:val="none" w:sz="0" w:space="0" w:color="auto"/>
          </w:divBdr>
        </w:div>
      </w:divsChild>
    </w:div>
    <w:div w:id="1646818454">
      <w:bodyDiv w:val="1"/>
      <w:marLeft w:val="0"/>
      <w:marRight w:val="0"/>
      <w:marTop w:val="0"/>
      <w:marBottom w:val="0"/>
      <w:divBdr>
        <w:top w:val="none" w:sz="0" w:space="0" w:color="auto"/>
        <w:left w:val="none" w:sz="0" w:space="0" w:color="auto"/>
        <w:bottom w:val="none" w:sz="0" w:space="0" w:color="auto"/>
        <w:right w:val="none" w:sz="0" w:space="0" w:color="auto"/>
      </w:divBdr>
    </w:div>
    <w:div w:id="1688944156">
      <w:bodyDiv w:val="1"/>
      <w:marLeft w:val="0"/>
      <w:marRight w:val="0"/>
      <w:marTop w:val="0"/>
      <w:marBottom w:val="0"/>
      <w:divBdr>
        <w:top w:val="none" w:sz="0" w:space="0" w:color="auto"/>
        <w:left w:val="none" w:sz="0" w:space="0" w:color="auto"/>
        <w:bottom w:val="none" w:sz="0" w:space="0" w:color="auto"/>
        <w:right w:val="none" w:sz="0" w:space="0" w:color="auto"/>
      </w:divBdr>
      <w:divsChild>
        <w:div w:id="1013457364">
          <w:marLeft w:val="0"/>
          <w:marRight w:val="0"/>
          <w:marTop w:val="0"/>
          <w:marBottom w:val="0"/>
          <w:divBdr>
            <w:top w:val="none" w:sz="0" w:space="0" w:color="auto"/>
            <w:left w:val="none" w:sz="0" w:space="0" w:color="auto"/>
            <w:bottom w:val="none" w:sz="0" w:space="0" w:color="auto"/>
            <w:right w:val="none" w:sz="0" w:space="0" w:color="auto"/>
          </w:divBdr>
          <w:divsChild>
            <w:div w:id="642542331">
              <w:marLeft w:val="0"/>
              <w:marRight w:val="0"/>
              <w:marTop w:val="0"/>
              <w:marBottom w:val="0"/>
              <w:divBdr>
                <w:top w:val="none" w:sz="0" w:space="0" w:color="auto"/>
                <w:left w:val="none" w:sz="0" w:space="0" w:color="auto"/>
                <w:bottom w:val="none" w:sz="0" w:space="0" w:color="auto"/>
                <w:right w:val="none" w:sz="0" w:space="0" w:color="auto"/>
              </w:divBdr>
              <w:divsChild>
                <w:div w:id="18226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0586">
          <w:marLeft w:val="0"/>
          <w:marRight w:val="0"/>
          <w:marTop w:val="0"/>
          <w:marBottom w:val="0"/>
          <w:divBdr>
            <w:top w:val="none" w:sz="0" w:space="0" w:color="auto"/>
            <w:left w:val="none" w:sz="0" w:space="0" w:color="auto"/>
            <w:bottom w:val="none" w:sz="0" w:space="0" w:color="auto"/>
            <w:right w:val="none" w:sz="0" w:space="0" w:color="auto"/>
          </w:divBdr>
          <w:divsChild>
            <w:div w:id="1590500199">
              <w:marLeft w:val="0"/>
              <w:marRight w:val="0"/>
              <w:marTop w:val="0"/>
              <w:marBottom w:val="0"/>
              <w:divBdr>
                <w:top w:val="none" w:sz="0" w:space="0" w:color="auto"/>
                <w:left w:val="none" w:sz="0" w:space="0" w:color="auto"/>
                <w:bottom w:val="none" w:sz="0" w:space="0" w:color="auto"/>
                <w:right w:val="none" w:sz="0" w:space="0" w:color="auto"/>
              </w:divBdr>
            </w:div>
          </w:divsChild>
        </w:div>
        <w:div w:id="774329509">
          <w:marLeft w:val="0"/>
          <w:marRight w:val="0"/>
          <w:marTop w:val="0"/>
          <w:marBottom w:val="0"/>
          <w:divBdr>
            <w:top w:val="none" w:sz="0" w:space="0" w:color="auto"/>
            <w:left w:val="none" w:sz="0" w:space="0" w:color="auto"/>
            <w:bottom w:val="none" w:sz="0" w:space="0" w:color="auto"/>
            <w:right w:val="none" w:sz="0" w:space="0" w:color="auto"/>
          </w:divBdr>
          <w:divsChild>
            <w:div w:id="41903202">
              <w:marLeft w:val="0"/>
              <w:marRight w:val="0"/>
              <w:marTop w:val="0"/>
              <w:marBottom w:val="0"/>
              <w:divBdr>
                <w:top w:val="none" w:sz="0" w:space="0" w:color="auto"/>
                <w:left w:val="none" w:sz="0" w:space="0" w:color="auto"/>
                <w:bottom w:val="none" w:sz="0" w:space="0" w:color="auto"/>
                <w:right w:val="none" w:sz="0" w:space="0" w:color="auto"/>
              </w:divBdr>
            </w:div>
          </w:divsChild>
        </w:div>
        <w:div w:id="201943524">
          <w:marLeft w:val="0"/>
          <w:marRight w:val="0"/>
          <w:marTop w:val="0"/>
          <w:marBottom w:val="0"/>
          <w:divBdr>
            <w:top w:val="none" w:sz="0" w:space="0" w:color="auto"/>
            <w:left w:val="none" w:sz="0" w:space="0" w:color="auto"/>
            <w:bottom w:val="none" w:sz="0" w:space="0" w:color="auto"/>
            <w:right w:val="none" w:sz="0" w:space="0" w:color="auto"/>
          </w:divBdr>
          <w:divsChild>
            <w:div w:id="1573156943">
              <w:marLeft w:val="0"/>
              <w:marRight w:val="0"/>
              <w:marTop w:val="0"/>
              <w:marBottom w:val="0"/>
              <w:divBdr>
                <w:top w:val="none" w:sz="0" w:space="0" w:color="auto"/>
                <w:left w:val="none" w:sz="0" w:space="0" w:color="auto"/>
                <w:bottom w:val="none" w:sz="0" w:space="0" w:color="auto"/>
                <w:right w:val="none" w:sz="0" w:space="0" w:color="auto"/>
              </w:divBdr>
            </w:div>
          </w:divsChild>
        </w:div>
        <w:div w:id="1576820974">
          <w:marLeft w:val="0"/>
          <w:marRight w:val="0"/>
          <w:marTop w:val="0"/>
          <w:marBottom w:val="0"/>
          <w:divBdr>
            <w:top w:val="none" w:sz="0" w:space="0" w:color="auto"/>
            <w:left w:val="none" w:sz="0" w:space="0" w:color="auto"/>
            <w:bottom w:val="none" w:sz="0" w:space="0" w:color="auto"/>
            <w:right w:val="none" w:sz="0" w:space="0" w:color="auto"/>
          </w:divBdr>
          <w:divsChild>
            <w:div w:id="2118330813">
              <w:marLeft w:val="0"/>
              <w:marRight w:val="0"/>
              <w:marTop w:val="0"/>
              <w:marBottom w:val="0"/>
              <w:divBdr>
                <w:top w:val="none" w:sz="0" w:space="0" w:color="auto"/>
                <w:left w:val="none" w:sz="0" w:space="0" w:color="auto"/>
                <w:bottom w:val="none" w:sz="0" w:space="0" w:color="auto"/>
                <w:right w:val="none" w:sz="0" w:space="0" w:color="auto"/>
              </w:divBdr>
            </w:div>
          </w:divsChild>
        </w:div>
        <w:div w:id="409429286">
          <w:marLeft w:val="0"/>
          <w:marRight w:val="0"/>
          <w:marTop w:val="0"/>
          <w:marBottom w:val="0"/>
          <w:divBdr>
            <w:top w:val="none" w:sz="0" w:space="0" w:color="auto"/>
            <w:left w:val="none" w:sz="0" w:space="0" w:color="auto"/>
            <w:bottom w:val="none" w:sz="0" w:space="0" w:color="auto"/>
            <w:right w:val="none" w:sz="0" w:space="0" w:color="auto"/>
          </w:divBdr>
          <w:divsChild>
            <w:div w:id="829443635">
              <w:marLeft w:val="0"/>
              <w:marRight w:val="0"/>
              <w:marTop w:val="0"/>
              <w:marBottom w:val="0"/>
              <w:divBdr>
                <w:top w:val="none" w:sz="0" w:space="0" w:color="auto"/>
                <w:left w:val="none" w:sz="0" w:space="0" w:color="auto"/>
                <w:bottom w:val="none" w:sz="0" w:space="0" w:color="auto"/>
                <w:right w:val="none" w:sz="0" w:space="0" w:color="auto"/>
              </w:divBdr>
            </w:div>
          </w:divsChild>
        </w:div>
        <w:div w:id="128018064">
          <w:marLeft w:val="0"/>
          <w:marRight w:val="0"/>
          <w:marTop w:val="0"/>
          <w:marBottom w:val="0"/>
          <w:divBdr>
            <w:top w:val="none" w:sz="0" w:space="0" w:color="auto"/>
            <w:left w:val="none" w:sz="0" w:space="0" w:color="auto"/>
            <w:bottom w:val="none" w:sz="0" w:space="0" w:color="auto"/>
            <w:right w:val="none" w:sz="0" w:space="0" w:color="auto"/>
          </w:divBdr>
          <w:divsChild>
            <w:div w:id="65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1994-98A3-401E-83A2-BC9EAA51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3759</Words>
  <Characters>19473</Characters>
  <Application>Microsoft Office Word</Application>
  <DocSecurity>0</DocSecurity>
  <Lines>309</Lines>
  <Paragraphs>49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2017-03-13T09:05:00Z</cp:lastPrinted>
  <dcterms:created xsi:type="dcterms:W3CDTF">2017-03-21T17:17:00Z</dcterms:created>
  <dcterms:modified xsi:type="dcterms:W3CDTF">2017-03-21T17:17:00Z</dcterms:modified>
</cp:coreProperties>
</file>