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4187B" w14:textId="05699683" w:rsidR="00C243C0" w:rsidRPr="00F87C3D" w:rsidRDefault="00531FBA" w:rsidP="00C24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F87C3D">
        <w:rPr>
          <w:rFonts w:asciiTheme="minorHAnsi" w:hAnsiTheme="minorHAnsi" w:cstheme="minorHAnsi"/>
          <w:bCs/>
          <w:sz w:val="24"/>
          <w:szCs w:val="24"/>
          <w:lang w:val="es-ES_tradnl"/>
        </w:rPr>
        <w:t xml:space="preserve">CONVENCIÓN SOBRE LOS HUMEDALES </w:t>
      </w:r>
      <w:r w:rsidR="00AD3B7D" w:rsidRPr="00F87C3D">
        <w:rPr>
          <w:rFonts w:asciiTheme="minorHAnsi" w:hAnsiTheme="minorHAnsi" w:cstheme="minorHAnsi"/>
          <w:bCs/>
          <w:sz w:val="24"/>
          <w:szCs w:val="24"/>
          <w:lang w:val="es-ES_tradnl"/>
        </w:rPr>
        <w:t>(Ramsar, Irá</w:t>
      </w:r>
      <w:r w:rsidR="00C243C0" w:rsidRPr="00F87C3D">
        <w:rPr>
          <w:rFonts w:asciiTheme="minorHAnsi" w:hAnsiTheme="minorHAnsi" w:cstheme="minorHAnsi"/>
          <w:bCs/>
          <w:sz w:val="24"/>
          <w:szCs w:val="24"/>
          <w:lang w:val="es-ES_tradnl"/>
        </w:rPr>
        <w:t>n, 1971)</w:t>
      </w:r>
    </w:p>
    <w:p w14:paraId="3BCBD849" w14:textId="77777777" w:rsidR="00C243C0" w:rsidRPr="00F87C3D" w:rsidRDefault="00293385" w:rsidP="00C24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F87C3D">
        <w:rPr>
          <w:rFonts w:asciiTheme="minorHAnsi" w:hAnsiTheme="minorHAnsi" w:cstheme="minorHAnsi"/>
          <w:bCs/>
          <w:sz w:val="24"/>
          <w:szCs w:val="24"/>
          <w:lang w:val="es-ES_tradnl"/>
        </w:rPr>
        <w:t>5</w:t>
      </w:r>
      <w:r w:rsidR="00672B44" w:rsidRPr="00F87C3D">
        <w:rPr>
          <w:rFonts w:asciiTheme="minorHAnsi" w:hAnsiTheme="minorHAnsi" w:cstheme="minorHAnsi"/>
          <w:bCs/>
          <w:sz w:val="24"/>
          <w:szCs w:val="24"/>
          <w:lang w:val="es-ES_tradnl"/>
        </w:rPr>
        <w:t>2</w:t>
      </w:r>
      <w:r w:rsidR="00531FBA" w:rsidRPr="00F87C3D">
        <w:rPr>
          <w:rFonts w:asciiTheme="minorHAnsi" w:hAnsiTheme="minorHAnsi" w:cstheme="minorHAnsi"/>
          <w:bCs/>
          <w:sz w:val="24"/>
          <w:szCs w:val="24"/>
          <w:lang w:val="es-ES_tradnl"/>
        </w:rPr>
        <w:t>ª Reunión del Comité Permanente</w:t>
      </w:r>
    </w:p>
    <w:p w14:paraId="16354BCD" w14:textId="77777777" w:rsidR="00C243C0" w:rsidRPr="00F87C3D" w:rsidRDefault="00C243C0" w:rsidP="00C24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F87C3D">
        <w:rPr>
          <w:rFonts w:asciiTheme="minorHAnsi" w:hAnsiTheme="minorHAnsi" w:cstheme="minorHAnsi"/>
          <w:bCs/>
          <w:sz w:val="24"/>
          <w:szCs w:val="24"/>
          <w:lang w:val="es-ES_tradnl"/>
        </w:rPr>
        <w:t>Gland, S</w:t>
      </w:r>
      <w:r w:rsidR="00531FBA" w:rsidRPr="00F87C3D">
        <w:rPr>
          <w:rFonts w:asciiTheme="minorHAnsi" w:hAnsiTheme="minorHAnsi" w:cstheme="minorHAnsi"/>
          <w:bCs/>
          <w:sz w:val="24"/>
          <w:szCs w:val="24"/>
          <w:lang w:val="es-ES_tradnl"/>
        </w:rPr>
        <w:t>uiza, 13 a 17 de junio de 2016</w:t>
      </w:r>
    </w:p>
    <w:p w14:paraId="15A9C4CD" w14:textId="77777777" w:rsidR="00C243C0" w:rsidRPr="00F87C3D" w:rsidRDefault="00C243C0" w:rsidP="00293385">
      <w:pPr>
        <w:spacing w:after="0" w:line="240" w:lineRule="auto"/>
        <w:rPr>
          <w:sz w:val="28"/>
          <w:szCs w:val="28"/>
          <w:lang w:val="es-ES_tradnl"/>
        </w:rPr>
      </w:pPr>
    </w:p>
    <w:p w14:paraId="2CEFB155" w14:textId="77777777" w:rsidR="00032148" w:rsidRPr="00F87C3D" w:rsidRDefault="006D4F55" w:rsidP="00293385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  <w:lang w:val="es-ES_tradnl"/>
        </w:rPr>
      </w:pPr>
      <w:r w:rsidRPr="00F87C3D">
        <w:rPr>
          <w:rFonts w:asciiTheme="minorHAnsi" w:hAnsiTheme="minorHAnsi"/>
          <w:b/>
          <w:sz w:val="28"/>
          <w:szCs w:val="28"/>
          <w:lang w:val="es-ES_tradnl"/>
        </w:rPr>
        <w:t>SC52-Inf.Doc.03</w:t>
      </w:r>
    </w:p>
    <w:p w14:paraId="0272E0F3" w14:textId="77777777" w:rsidR="006D4F55" w:rsidRPr="00F87C3D" w:rsidRDefault="006D4F55" w:rsidP="00293385">
      <w:pPr>
        <w:spacing w:after="0" w:line="240" w:lineRule="auto"/>
        <w:jc w:val="right"/>
        <w:rPr>
          <w:rFonts w:ascii="Garamond" w:hAnsi="Garamond" w:cs="Calibri"/>
          <w:b/>
          <w:sz w:val="28"/>
          <w:szCs w:val="28"/>
          <w:lang w:val="es-ES_tradnl"/>
        </w:rPr>
      </w:pPr>
    </w:p>
    <w:p w14:paraId="0C2C804E" w14:textId="6A546F4D" w:rsidR="00032148" w:rsidRPr="00F87C3D" w:rsidRDefault="00AD3B7D" w:rsidP="00293385">
      <w:pPr>
        <w:spacing w:after="0" w:line="240" w:lineRule="auto"/>
        <w:jc w:val="center"/>
        <w:rPr>
          <w:b/>
          <w:bCs/>
          <w:sz w:val="28"/>
          <w:szCs w:val="28"/>
          <w:lang w:val="es-ES_tradnl"/>
        </w:rPr>
      </w:pPr>
      <w:r w:rsidRPr="00F87C3D">
        <w:rPr>
          <w:b/>
          <w:bCs/>
          <w:sz w:val="28"/>
          <w:szCs w:val="28"/>
          <w:lang w:val="es-ES_tradnl"/>
        </w:rPr>
        <w:t>Medidas</w:t>
      </w:r>
      <w:r w:rsidR="00531FBA" w:rsidRPr="00F87C3D">
        <w:rPr>
          <w:b/>
          <w:bCs/>
          <w:sz w:val="28"/>
          <w:szCs w:val="28"/>
          <w:lang w:val="es-ES_tradnl"/>
        </w:rPr>
        <w:t xml:space="preserve"> del C</w:t>
      </w:r>
      <w:r w:rsidR="00A77A82" w:rsidRPr="00F87C3D">
        <w:rPr>
          <w:b/>
          <w:bCs/>
          <w:sz w:val="28"/>
          <w:szCs w:val="28"/>
          <w:lang w:val="es-ES_tradnl"/>
        </w:rPr>
        <w:t>omi</w:t>
      </w:r>
      <w:r w:rsidR="00531FBA" w:rsidRPr="00F87C3D">
        <w:rPr>
          <w:b/>
          <w:bCs/>
          <w:sz w:val="28"/>
          <w:szCs w:val="28"/>
          <w:lang w:val="es-ES_tradnl"/>
        </w:rPr>
        <w:t xml:space="preserve">té Permanente (CP) derivadas de las resoluciones de la </w:t>
      </w:r>
      <w:r w:rsidR="00563BA1" w:rsidRPr="00F87C3D">
        <w:rPr>
          <w:b/>
          <w:bCs/>
          <w:sz w:val="28"/>
          <w:szCs w:val="28"/>
          <w:lang w:val="es-ES_tradnl"/>
        </w:rPr>
        <w:t>COP12</w:t>
      </w:r>
      <w:r w:rsidR="00531FBA" w:rsidRPr="00F87C3D">
        <w:rPr>
          <w:b/>
          <w:bCs/>
          <w:sz w:val="28"/>
          <w:szCs w:val="28"/>
          <w:lang w:val="es-ES_tradnl"/>
        </w:rPr>
        <w:t xml:space="preserve"> y las decisiones de la 50ª reunión del CP</w:t>
      </w:r>
    </w:p>
    <w:p w14:paraId="2242E264" w14:textId="77777777" w:rsidR="00563BA1" w:rsidRPr="00F87C3D" w:rsidRDefault="00563BA1" w:rsidP="00293385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lang w:val="es-ES_tradnl"/>
        </w:rPr>
      </w:pPr>
    </w:p>
    <w:p w14:paraId="7AF3EDAF" w14:textId="2188CB7F" w:rsidR="00032148" w:rsidRPr="00F87C3D" w:rsidRDefault="00032148" w:rsidP="00293385">
      <w:pPr>
        <w:spacing w:after="0" w:line="240" w:lineRule="auto"/>
        <w:ind w:left="426" w:hanging="426"/>
        <w:rPr>
          <w:rFonts w:asciiTheme="minorHAnsi" w:hAnsiTheme="minorHAnsi" w:cs="Calibri"/>
          <w:lang w:val="es-ES_tradnl"/>
        </w:rPr>
      </w:pPr>
      <w:r w:rsidRPr="00F87C3D">
        <w:rPr>
          <w:rFonts w:asciiTheme="minorHAnsi" w:hAnsiTheme="minorHAnsi" w:cs="Calibri"/>
          <w:lang w:val="es-ES_tradnl"/>
        </w:rPr>
        <w:t>1.</w:t>
      </w:r>
      <w:r w:rsidRPr="00F87C3D">
        <w:rPr>
          <w:rFonts w:asciiTheme="minorHAnsi" w:hAnsiTheme="minorHAnsi" w:cs="Calibri"/>
          <w:lang w:val="es-ES_tradnl"/>
        </w:rPr>
        <w:tab/>
      </w:r>
      <w:r w:rsidR="00531FBA" w:rsidRPr="00F87C3D">
        <w:rPr>
          <w:rFonts w:asciiTheme="minorHAnsi" w:hAnsiTheme="minorHAnsi" w:cs="Calibri"/>
          <w:lang w:val="es-ES_tradnl"/>
        </w:rPr>
        <w:t xml:space="preserve">La tabla que se presenta más abajo contiene una lista de los párrafos dispositivos de las resoluciones de la COP12 en las que se solicita al Comité Permanente que realice </w:t>
      </w:r>
      <w:r w:rsidR="00691C45" w:rsidRPr="00F87C3D">
        <w:rPr>
          <w:rFonts w:asciiTheme="minorHAnsi" w:hAnsiTheme="minorHAnsi" w:cs="Calibri"/>
          <w:lang w:val="es-ES_tradnl"/>
        </w:rPr>
        <w:t>alguna acción.</w:t>
      </w:r>
    </w:p>
    <w:p w14:paraId="7AF23B95" w14:textId="77777777" w:rsidR="00032148" w:rsidRPr="00F87C3D" w:rsidRDefault="00032148" w:rsidP="00293385">
      <w:pPr>
        <w:spacing w:after="0" w:line="240" w:lineRule="auto"/>
        <w:ind w:left="426" w:hanging="426"/>
        <w:rPr>
          <w:rFonts w:asciiTheme="minorHAnsi" w:hAnsiTheme="minorHAnsi" w:cs="Calibri"/>
          <w:lang w:val="es-ES_tradnl"/>
        </w:rPr>
      </w:pPr>
    </w:p>
    <w:p w14:paraId="39E4C608" w14:textId="4F5EA19C" w:rsidR="00032148" w:rsidRPr="00F87C3D" w:rsidRDefault="00032148" w:rsidP="00293385">
      <w:pPr>
        <w:spacing w:after="0" w:line="240" w:lineRule="auto"/>
        <w:ind w:left="426" w:hanging="426"/>
        <w:rPr>
          <w:rFonts w:asciiTheme="minorHAnsi" w:hAnsiTheme="minorHAnsi" w:cs="Calibri"/>
          <w:lang w:val="es-ES_tradnl"/>
        </w:rPr>
      </w:pPr>
      <w:r w:rsidRPr="00F87C3D">
        <w:rPr>
          <w:rFonts w:asciiTheme="minorHAnsi" w:hAnsiTheme="minorHAnsi" w:cs="Calibri"/>
          <w:lang w:val="es-ES_tradnl"/>
        </w:rPr>
        <w:t>2.</w:t>
      </w:r>
      <w:r w:rsidRPr="00F87C3D">
        <w:rPr>
          <w:rFonts w:asciiTheme="minorHAnsi" w:hAnsiTheme="minorHAnsi" w:cs="Calibri"/>
          <w:lang w:val="es-ES_tradnl"/>
        </w:rPr>
        <w:tab/>
      </w:r>
      <w:r w:rsidR="00691C45" w:rsidRPr="00F87C3D">
        <w:rPr>
          <w:rFonts w:asciiTheme="minorHAnsi" w:hAnsiTheme="minorHAnsi" w:cs="Calibri"/>
          <w:lang w:val="es-ES_tradnl"/>
        </w:rPr>
        <w:t xml:space="preserve">La Secretaría ha destacado los </w:t>
      </w:r>
      <w:r w:rsidR="00A77A82" w:rsidRPr="00F87C3D">
        <w:rPr>
          <w:rFonts w:asciiTheme="minorHAnsi" w:hAnsiTheme="minorHAnsi" w:cs="Calibri"/>
          <w:lang w:val="es-ES_tradnl"/>
        </w:rPr>
        <w:t>principales</w:t>
      </w:r>
      <w:r w:rsidR="00691C45" w:rsidRPr="00F87C3D">
        <w:rPr>
          <w:rFonts w:asciiTheme="minorHAnsi" w:hAnsiTheme="minorHAnsi" w:cs="Calibri"/>
          <w:lang w:val="es-ES_tradnl"/>
        </w:rPr>
        <w:t xml:space="preserve"> aspectos de cada tarea en negrita</w:t>
      </w:r>
      <w:r w:rsidRPr="00F87C3D">
        <w:rPr>
          <w:rFonts w:asciiTheme="minorHAnsi" w:hAnsiTheme="minorHAnsi" w:cs="Calibri"/>
          <w:lang w:val="es-ES_tradnl"/>
        </w:rPr>
        <w:t>.</w:t>
      </w:r>
    </w:p>
    <w:p w14:paraId="188DE0F9" w14:textId="77777777" w:rsidR="00032148" w:rsidRPr="00F87C3D" w:rsidRDefault="00032148" w:rsidP="00293385">
      <w:pPr>
        <w:spacing w:after="0" w:line="240" w:lineRule="auto"/>
        <w:ind w:left="426" w:hanging="426"/>
        <w:rPr>
          <w:rFonts w:asciiTheme="minorHAnsi" w:hAnsiTheme="minorHAnsi" w:cs="Calibri"/>
          <w:lang w:val="es-ES_tradnl"/>
        </w:rPr>
      </w:pPr>
    </w:p>
    <w:p w14:paraId="10502574" w14:textId="25102258" w:rsidR="0012183D" w:rsidRPr="00F87C3D" w:rsidRDefault="00032148" w:rsidP="00691C45">
      <w:pPr>
        <w:spacing w:after="0" w:line="240" w:lineRule="auto"/>
        <w:ind w:left="426" w:hanging="426"/>
        <w:rPr>
          <w:rFonts w:cs="Calibri"/>
          <w:lang w:val="es-ES_tradnl"/>
        </w:rPr>
      </w:pPr>
      <w:r w:rsidRPr="00F87C3D">
        <w:rPr>
          <w:rFonts w:asciiTheme="minorHAnsi" w:hAnsiTheme="minorHAnsi" w:cs="Calibri"/>
          <w:lang w:val="es-ES_tradnl"/>
        </w:rPr>
        <w:t>3.</w:t>
      </w:r>
      <w:r w:rsidRPr="00F87C3D">
        <w:rPr>
          <w:rFonts w:asciiTheme="minorHAnsi" w:hAnsiTheme="minorHAnsi" w:cs="Calibri"/>
          <w:lang w:val="es-ES_tradnl"/>
        </w:rPr>
        <w:tab/>
      </w:r>
      <w:r w:rsidR="00691C45" w:rsidRPr="00F87C3D">
        <w:rPr>
          <w:rFonts w:cs="Calibri"/>
          <w:lang w:val="es-ES_tradnl"/>
        </w:rPr>
        <w:t>En la tabla también se indica</w:t>
      </w:r>
      <w:r w:rsidR="00797E86" w:rsidRPr="00F87C3D">
        <w:rPr>
          <w:rFonts w:cs="Calibri"/>
          <w:lang w:val="es-ES_tradnl"/>
        </w:rPr>
        <w:t>n</w:t>
      </w:r>
      <w:r w:rsidR="00691C45" w:rsidRPr="00F87C3D">
        <w:rPr>
          <w:rFonts w:cs="Calibri"/>
          <w:lang w:val="es-ES_tradnl"/>
        </w:rPr>
        <w:t xml:space="preserve"> el punto del orden del día de la 52ª reunión del Comité Permanente en el que se tratará cada asunto y los documentos relacionados con dichos asuntos, si los hay.</w:t>
      </w:r>
    </w:p>
    <w:p w14:paraId="490FBFFB" w14:textId="77777777" w:rsidR="00691C45" w:rsidRPr="00F87C3D" w:rsidRDefault="00691C45" w:rsidP="00691C45">
      <w:pPr>
        <w:spacing w:after="0" w:line="240" w:lineRule="auto"/>
        <w:ind w:left="426" w:hanging="426"/>
        <w:rPr>
          <w:rFonts w:asciiTheme="minorHAnsi" w:hAnsiTheme="minorHAnsi" w:cs="Calibri"/>
          <w:lang w:val="es-ES_tradnl"/>
        </w:rPr>
      </w:pPr>
    </w:p>
    <w:p w14:paraId="6DB99394" w14:textId="77777777" w:rsidR="00293385" w:rsidRPr="00F87C3D" w:rsidRDefault="00293385" w:rsidP="00032148">
      <w:pPr>
        <w:spacing w:after="0" w:line="240" w:lineRule="auto"/>
        <w:ind w:left="567" w:hanging="567"/>
        <w:rPr>
          <w:rFonts w:asciiTheme="minorHAnsi" w:hAnsiTheme="minorHAnsi" w:cs="Calibri"/>
          <w:lang w:val="es-ES_tradnl"/>
        </w:rPr>
      </w:pPr>
    </w:p>
    <w:p w14:paraId="035F76B3" w14:textId="713F74B7" w:rsidR="00981CDC" w:rsidRPr="00F87C3D" w:rsidRDefault="00691C45" w:rsidP="00032148">
      <w:pPr>
        <w:spacing w:after="0" w:line="240" w:lineRule="auto"/>
        <w:ind w:left="567" w:hanging="567"/>
        <w:rPr>
          <w:rFonts w:asciiTheme="minorHAnsi" w:hAnsiTheme="minorHAnsi" w:cs="Calibri"/>
          <w:b/>
          <w:lang w:val="es-ES_tradnl"/>
        </w:rPr>
      </w:pPr>
      <w:r w:rsidRPr="00F87C3D">
        <w:rPr>
          <w:rFonts w:asciiTheme="minorHAnsi" w:hAnsiTheme="minorHAnsi" w:cs="Calibri"/>
          <w:b/>
          <w:lang w:val="es-ES_tradnl"/>
        </w:rPr>
        <w:t>Párrafos dispositivos de las resoluciones de la COP señalados a la atención de la reunión SC52</w:t>
      </w:r>
    </w:p>
    <w:p w14:paraId="00597418" w14:textId="77777777" w:rsidR="00E44198" w:rsidRPr="00F87C3D" w:rsidRDefault="00E44198" w:rsidP="00032148">
      <w:pPr>
        <w:spacing w:after="0" w:line="240" w:lineRule="auto"/>
        <w:ind w:left="567" w:hanging="567"/>
        <w:rPr>
          <w:rFonts w:asciiTheme="minorHAnsi" w:hAnsiTheme="minorHAnsi" w:cs="Calibri"/>
          <w:lang w:val="es-ES_tradn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713D58" w:rsidRPr="00B554C4" w14:paraId="3EC532AC" w14:textId="77777777" w:rsidTr="000B0C9B">
        <w:trPr>
          <w:cantSplit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FA4" w14:textId="2C3B4D3E" w:rsidR="00713D58" w:rsidRPr="00F87C3D" w:rsidRDefault="00797E86" w:rsidP="000B0C9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b/>
                <w:i/>
                <w:sz w:val="20"/>
                <w:szCs w:val="20"/>
                <w:lang w:val="es-ES_tradnl"/>
              </w:rPr>
              <w:t>Medidas</w:t>
            </w:r>
            <w:r w:rsidR="00691C45" w:rsidRPr="00F87C3D">
              <w:rPr>
                <w:rFonts w:asciiTheme="minorHAnsi" w:hAnsiTheme="minorHAnsi" w:cs="Calibri"/>
                <w:b/>
                <w:i/>
                <w:sz w:val="20"/>
                <w:szCs w:val="20"/>
                <w:lang w:val="es-ES_tradnl"/>
              </w:rPr>
              <w:t xml:space="preserve"> derivadas de las resoluciones pertinentes de la COP12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BC6B" w14:textId="544B15ED" w:rsidR="00713D58" w:rsidRPr="00F87C3D" w:rsidRDefault="00691C45" w:rsidP="00691C4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b/>
                <w:i/>
                <w:sz w:val="20"/>
                <w:szCs w:val="20"/>
                <w:lang w:val="es-ES_tradnl"/>
              </w:rPr>
              <w:t xml:space="preserve">Punto del orden del día y documentos de la reunión </w:t>
            </w:r>
            <w:r w:rsidR="00773B01" w:rsidRPr="00F87C3D">
              <w:rPr>
                <w:rFonts w:asciiTheme="minorHAnsi" w:hAnsiTheme="minorHAnsi" w:cs="Calibri"/>
                <w:b/>
                <w:i/>
                <w:sz w:val="20"/>
                <w:szCs w:val="20"/>
                <w:lang w:val="es-ES_tradnl"/>
              </w:rPr>
              <w:t>SC52</w:t>
            </w:r>
          </w:p>
        </w:tc>
      </w:tr>
      <w:tr w:rsidR="00713D58" w:rsidRPr="00F87C3D" w14:paraId="5D442A7E" w14:textId="77777777" w:rsidTr="00691C4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3EC" w14:textId="0D0043BD" w:rsidR="00713D58" w:rsidRPr="00F87C3D" w:rsidRDefault="00691C45" w:rsidP="00713D58">
            <w:pPr>
              <w:spacing w:before="240"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Asuntos financieros y presupuestarios</w:t>
            </w:r>
          </w:p>
        </w:tc>
      </w:tr>
      <w:tr w:rsidR="005F3645" w:rsidRPr="00B554C4" w14:paraId="1E6A36BA" w14:textId="77777777" w:rsidTr="00CF70A1">
        <w:trPr>
          <w:cantSplit/>
        </w:trPr>
        <w:tc>
          <w:tcPr>
            <w:tcW w:w="6663" w:type="dxa"/>
            <w:tcBorders>
              <w:top w:val="single" w:sz="4" w:space="0" w:color="auto"/>
            </w:tcBorders>
          </w:tcPr>
          <w:p w14:paraId="1B1F01BC" w14:textId="3614BD4F" w:rsidR="005F3645" w:rsidRPr="00F87C3D" w:rsidRDefault="00691C45" w:rsidP="00971BB0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XII.1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85170A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Cuestiones financieras y presupuestaria</w:t>
            </w:r>
            <w:r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s.</w:t>
            </w:r>
          </w:p>
          <w:p w14:paraId="0F925A99" w14:textId="7FF8883C" w:rsidR="005F3645" w:rsidRPr="00F87C3D" w:rsidRDefault="005F3645" w:rsidP="0085170A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XII.1. 10: </w:t>
            </w:r>
            <w:r w:rsidR="0085170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DECIDE TAMBIÉN que el </w:t>
            </w:r>
            <w:r w:rsidR="0085170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Subgrupo de Finanzas</w:t>
            </w:r>
            <w:r w:rsidR="0085170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, establecido por la </w:t>
            </w:r>
            <w:r w:rsidR="00A77A82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85170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VI.17, </w:t>
            </w:r>
            <w:r w:rsidR="0085170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debe continuar sus operaciones bajo los auspicios del Comité Permanente</w:t>
            </w:r>
            <w:r w:rsidR="0085170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y con las funciones y responsabilidades especificadas en dicha Resolución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7CAA5620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DB712D2" w14:textId="77777777" w:rsidR="005F3645" w:rsidRPr="00F87C3D" w:rsidRDefault="005F3645" w:rsidP="00B4106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6359CC3E" w14:textId="492C1666" w:rsidR="005F3645" w:rsidRPr="00F87C3D" w:rsidRDefault="00FC2D81" w:rsidP="00B4106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Reunión del Subgrupo de Finanzas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</w:p>
          <w:p w14:paraId="06FD4B15" w14:textId="77777777" w:rsidR="005F3645" w:rsidRPr="00F87C3D" w:rsidRDefault="005F3645" w:rsidP="00B4106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3E360EF7" w14:textId="77777777" w:rsidR="005F3645" w:rsidRPr="00F87C3D" w:rsidRDefault="005F3645" w:rsidP="00B4106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3AE8E542" w14:textId="13990F43" w:rsidR="005F3645" w:rsidRPr="00F87C3D" w:rsidRDefault="00FC2D81" w:rsidP="005F36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Subgrupo de Finanzas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</w:p>
          <w:p w14:paraId="13AFF26A" w14:textId="7A0F0EF9" w:rsidR="005F3645" w:rsidRPr="00F87C3D" w:rsidRDefault="00FC2D81" w:rsidP="00B4106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b. Doc.SC52-18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773B0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 xml:space="preserve">Actualización sobre </w:t>
            </w:r>
            <w:r w:rsidR="00562121"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los asuntos financieros de Ramsar</w:t>
            </w:r>
          </w:p>
          <w:p w14:paraId="5FF39363" w14:textId="77777777" w:rsidR="005F3645" w:rsidRPr="00F87C3D" w:rsidRDefault="005F3645" w:rsidP="00B4106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</w:tc>
      </w:tr>
      <w:tr w:rsidR="005F3645" w:rsidRPr="00B554C4" w14:paraId="40D81414" w14:textId="77777777" w:rsidTr="00CF70A1">
        <w:trPr>
          <w:cantSplit/>
        </w:trPr>
        <w:tc>
          <w:tcPr>
            <w:tcW w:w="6663" w:type="dxa"/>
          </w:tcPr>
          <w:p w14:paraId="6BC2376A" w14:textId="206F2560" w:rsidR="005F3645" w:rsidRPr="00F87C3D" w:rsidRDefault="005F3645" w:rsidP="0085170A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XII.1.14. </w:t>
            </w:r>
            <w:r w:rsidR="0085170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AUTORIZA al </w:t>
            </w:r>
            <w:r w:rsidR="0085170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Comité Permanente</w:t>
            </w:r>
            <w:r w:rsidR="0085170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a que, con el asesoramiento de su Subgrupo de Finanzas, </w:t>
            </w:r>
            <w:r w:rsidR="0085170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revise las asignaciones del presupuesto básico a las líneas presupuestarias con arreglo a cambios significativos positivos o negativos durante el ciclo </w:t>
            </w:r>
            <w:r w:rsidR="0085170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en los costos, las tasas de inflación, los intereses y los ingresos impositivos proyectados en el presupuesto, sin incrementar las contribuciones de las Partes ni los cargos abonados a la UICN por encima del máximo presupuestado del 13 %;</w:t>
            </w:r>
          </w:p>
        </w:tc>
        <w:tc>
          <w:tcPr>
            <w:tcW w:w="2551" w:type="dxa"/>
            <w:vMerge/>
          </w:tcPr>
          <w:p w14:paraId="14D4C00B" w14:textId="77777777" w:rsidR="005F3645" w:rsidRPr="00F87C3D" w:rsidRDefault="005F3645" w:rsidP="00B4106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713D58" w:rsidRPr="00F87C3D" w14:paraId="696436EA" w14:textId="77777777" w:rsidTr="00CF70A1">
        <w:trPr>
          <w:cantSplit/>
        </w:trPr>
        <w:tc>
          <w:tcPr>
            <w:tcW w:w="6663" w:type="dxa"/>
          </w:tcPr>
          <w:p w14:paraId="3C8711F1" w14:textId="0837254C" w:rsidR="00713D58" w:rsidRPr="00F87C3D" w:rsidRDefault="00713D58" w:rsidP="008B018F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XII.1.15. </w:t>
            </w:r>
            <w:r w:rsidR="008B018F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AUTORIZA al </w:t>
            </w:r>
            <w:r w:rsidR="008B018F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Comité Permanente</w:t>
            </w:r>
            <w:r w:rsidR="008B018F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a que, con el asesoramiento de su Subgrupo de Finanzas, </w:t>
            </w:r>
            <w:r w:rsidR="008B018F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revise las asignaciones y prioridades del presupuesto no básico con arreglo a los logros de la Secretaría en la obtención de financiación voluntaria</w:t>
            </w:r>
            <w:r w:rsidR="008B018F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destinada a esas actividades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2B90B45E" w14:textId="58F3D909" w:rsidR="00713D58" w:rsidRPr="00F87C3D" w:rsidRDefault="00773B01" w:rsidP="005F36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Sub</w:t>
            </w:r>
            <w:r w:rsidR="0056212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grupo de Finanzas y Grupo de trabajo sobre la movilización de recursos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 Doc.SC52-20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, </w:t>
            </w:r>
            <w:r w:rsidR="00562121"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Informe sobre la movilización de recursos</w:t>
            </w:r>
          </w:p>
        </w:tc>
      </w:tr>
      <w:tr w:rsidR="00713D58" w:rsidRPr="00F87C3D" w14:paraId="33614014" w14:textId="77777777" w:rsidTr="00CF70A1">
        <w:trPr>
          <w:cantSplit/>
        </w:trPr>
        <w:tc>
          <w:tcPr>
            <w:tcW w:w="6663" w:type="dxa"/>
          </w:tcPr>
          <w:p w14:paraId="449B94C3" w14:textId="51F363C6" w:rsidR="00713D58" w:rsidRPr="00F87C3D" w:rsidRDefault="00713D58" w:rsidP="008B018F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XII.1.22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. </w:t>
            </w:r>
            <w:r w:rsidR="008B018F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PIDE que el Comité Permanente examine el funcionamiento del programa durante el trienio</w:t>
            </w:r>
            <w:r w:rsidR="008B018F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y llegue a una conclusión definitiva sobre si las Partes deben continuar el Fondo de Pequeñas Subvenciones o ponerle fin, y presente dicha conclusión para su examen por la </w:t>
            </w:r>
            <w:r w:rsidR="00F87C3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13ª</w:t>
            </w:r>
            <w:r w:rsidR="008B018F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reunión de la Conferencia de las Partes Contratantes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1FA6C9F1" w14:textId="77777777" w:rsidR="00321E5E" w:rsidRPr="00F87C3D" w:rsidRDefault="00321E5E" w:rsidP="00321E5E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5C9DF8DE" w14:textId="6A78AFC8" w:rsidR="00713D58" w:rsidRPr="00F87C3D" w:rsidRDefault="00562121" w:rsidP="00321E5E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Grupo de trabajo sobre la movilización de recursos</w:t>
            </w:r>
            <w:r w:rsidR="00773B0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Doc.SC52-20 </w:t>
            </w:r>
          </w:p>
        </w:tc>
      </w:tr>
      <w:tr w:rsidR="00713D58" w:rsidRPr="00F87C3D" w14:paraId="34A6A29D" w14:textId="77777777" w:rsidTr="00CF70A1">
        <w:trPr>
          <w:cantSplit/>
        </w:trPr>
        <w:tc>
          <w:tcPr>
            <w:tcW w:w="6663" w:type="dxa"/>
          </w:tcPr>
          <w:p w14:paraId="34E41A87" w14:textId="76EA321B" w:rsidR="00713D58" w:rsidRPr="00F87C3D" w:rsidRDefault="00713D58" w:rsidP="00293385">
            <w:pPr>
              <w:pStyle w:val="Default"/>
              <w:ind w:left="317" w:hanging="283"/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 xml:space="preserve">XII.1.24. </w:t>
            </w:r>
            <w:r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>REAF</w:t>
            </w:r>
            <w:r w:rsidR="008B018F"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>IRMA la decisión adoptada por la C</w:t>
            </w:r>
            <w:r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>OP11 (</w:t>
            </w:r>
            <w:r w:rsidR="00691C45"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>Resolución</w:t>
            </w:r>
            <w:r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 X1.2) </w:t>
            </w:r>
            <w:r w:rsidR="008B018F"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de que el </w:t>
            </w:r>
            <w:r w:rsidR="008B018F" w:rsidRPr="00F87C3D">
              <w:rPr>
                <w:rFonts w:asciiTheme="minorHAnsi" w:hAnsiTheme="minorHAnsi"/>
                <w:b/>
                <w:color w:val="auto"/>
                <w:sz w:val="20"/>
                <w:szCs w:val="20"/>
                <w:lang w:val="es-ES_tradnl"/>
              </w:rPr>
              <w:t>Fondo de Reserva</w:t>
            </w:r>
            <w:r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: </w:t>
            </w:r>
          </w:p>
          <w:p w14:paraId="2DDA9006" w14:textId="2D9C3851" w:rsidR="00713D58" w:rsidRPr="00F87C3D" w:rsidRDefault="008B018F" w:rsidP="006A2EC8">
            <w:pPr>
              <w:pStyle w:val="Default"/>
              <w:numPr>
                <w:ilvl w:val="0"/>
                <w:numId w:val="2"/>
              </w:numPr>
              <w:ind w:hanging="403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>cubra los gastos imprevistos e inevitables</w:t>
            </w:r>
            <w:r w:rsidR="00713D58"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; </w:t>
            </w:r>
          </w:p>
          <w:p w14:paraId="34D40DFF" w14:textId="6F93FED7" w:rsidR="00713D58" w:rsidRPr="00F87C3D" w:rsidRDefault="008B018F" w:rsidP="006A2EC8">
            <w:pPr>
              <w:pStyle w:val="Default"/>
              <w:numPr>
                <w:ilvl w:val="0"/>
                <w:numId w:val="2"/>
              </w:numPr>
              <w:ind w:hanging="403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>absorba los excedentes (o déficits) del presupuesto básico</w:t>
            </w:r>
            <w:r w:rsidR="00713D58"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>;</w:t>
            </w:r>
          </w:p>
          <w:p w14:paraId="4629C4FB" w14:textId="25E68490" w:rsidR="00713D58" w:rsidRPr="00F87C3D" w:rsidRDefault="008B018F" w:rsidP="006A2EC8">
            <w:pPr>
              <w:pStyle w:val="Default"/>
              <w:numPr>
                <w:ilvl w:val="0"/>
                <w:numId w:val="2"/>
              </w:numPr>
              <w:ind w:hanging="403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no sea inferior al 6 % del presupuesto básico </w:t>
            </w:r>
            <w:r w:rsidR="00A77A82"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>anual</w:t>
            </w:r>
            <w:r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 de la Convención y no supere el 15 % de este</w:t>
            </w:r>
            <w:r w:rsidR="00713D58" w:rsidRPr="00F87C3D">
              <w:rPr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; </w:t>
            </w:r>
          </w:p>
          <w:p w14:paraId="4B76A6C0" w14:textId="5C92C22E" w:rsidR="00713D58" w:rsidRPr="00F87C3D" w:rsidRDefault="00713D58" w:rsidP="00554EE7">
            <w:pPr>
              <w:pStyle w:val="ListParagraph"/>
              <w:numPr>
                <w:ilvl w:val="0"/>
                <w:numId w:val="2"/>
              </w:numPr>
              <w:tabs>
                <w:tab w:val="left" w:pos="890"/>
              </w:tabs>
              <w:spacing w:after="0" w:line="240" w:lineRule="auto"/>
              <w:ind w:hanging="403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s</w:t>
            </w:r>
            <w:r w:rsidR="008B018F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ea administrado por el Secretario General </w:t>
            </w:r>
            <w:r w:rsidR="00554EE7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con la aprobación del Subgrupo de Finanzas establecido por el Comité Permanente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21E7FE3A" w14:textId="0F9572FE" w:rsidR="00B41065" w:rsidRPr="00F87C3D" w:rsidRDefault="00562121" w:rsidP="00B4106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Reunión del Subgrupo de Finanzas, punto </w:t>
            </w:r>
            <w:r w:rsidR="00773B0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a</w:t>
            </w:r>
            <w:r w:rsidR="00B4106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</w:t>
            </w:r>
          </w:p>
          <w:p w14:paraId="5C10AED1" w14:textId="77777777" w:rsidR="00B41065" w:rsidRPr="00F87C3D" w:rsidRDefault="00B41065" w:rsidP="00B4106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Doc.SC52-18</w:t>
            </w:r>
            <w:r w:rsidR="00773B0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</w:p>
          <w:p w14:paraId="070F672A" w14:textId="77777777" w:rsidR="00B41065" w:rsidRPr="00F87C3D" w:rsidRDefault="00B41065" w:rsidP="00B4106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74F56490" w14:textId="77777777" w:rsidR="00B41065" w:rsidRPr="00F87C3D" w:rsidRDefault="00B41065" w:rsidP="00B4106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051FCBE5" w14:textId="77777777" w:rsidR="00B41065" w:rsidRPr="00F87C3D" w:rsidRDefault="00B41065" w:rsidP="00B4106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2FDDD31B" w14:textId="77777777" w:rsidR="00B41065" w:rsidRPr="00F87C3D" w:rsidRDefault="00B41065" w:rsidP="00B4106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6BF86E26" w14:textId="77777777" w:rsidR="00713D58" w:rsidRPr="00F87C3D" w:rsidRDefault="00713D58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713D58" w:rsidRPr="00F87C3D" w14:paraId="38CDD0BE" w14:textId="77777777" w:rsidTr="00CF70A1">
        <w:trPr>
          <w:cantSplit/>
        </w:trPr>
        <w:tc>
          <w:tcPr>
            <w:tcW w:w="6663" w:type="dxa"/>
          </w:tcPr>
          <w:p w14:paraId="77B92FC8" w14:textId="310F534A" w:rsidR="00713D58" w:rsidRPr="00F87C3D" w:rsidRDefault="00713D58" w:rsidP="00B33EB1">
            <w:pPr>
              <w:pStyle w:val="Default"/>
              <w:ind w:left="317" w:hanging="283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val="es-ES_tradnl"/>
              </w:rPr>
              <w:t xml:space="preserve">XII.1.25. </w:t>
            </w:r>
            <w:r w:rsidR="007A65AF" w:rsidRPr="00F87C3D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  <w:lang w:val="es-ES_tradnl"/>
              </w:rPr>
              <w:t>PIDE a la Secretaría que haga lo posible por mantener el Fondo de Reserva</w:t>
            </w:r>
            <w:r w:rsidR="007A65AF" w:rsidRPr="00F87C3D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val="es-ES_tradnl"/>
              </w:rPr>
              <w:t xml:space="preserve"> durante el trienio 2016-2018 con arreglo a este presupuesto, </w:t>
            </w:r>
            <w:r w:rsidR="007A65AF" w:rsidRPr="00F87C3D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  <w:lang w:val="es-ES_tradnl"/>
              </w:rPr>
              <w:t>presente al Comité Permanente informes anuales sobre la situación</w:t>
            </w:r>
            <w:r w:rsidR="007A65AF" w:rsidRPr="00F87C3D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val="es-ES_tradnl"/>
              </w:rPr>
              <w:t xml:space="preserve"> y, antes de utilizar el Fondo, presente la propuesta correspondiente al Subgrupo de Finanzas para que dé su aprobación</w:t>
            </w:r>
            <w:r w:rsidRPr="00F87C3D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166B0831" w14:textId="7C50E11F" w:rsidR="00773B01" w:rsidRPr="00F87C3D" w:rsidRDefault="00562121" w:rsidP="00773B01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Reunión del Subgrupo de Finanzas, punto </w:t>
            </w:r>
            <w:r w:rsidR="00773B0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a.</w:t>
            </w:r>
          </w:p>
          <w:p w14:paraId="2325EF15" w14:textId="77777777" w:rsidR="00773B01" w:rsidRPr="00F87C3D" w:rsidRDefault="00321E5E" w:rsidP="00773B01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Doc.SC52-18</w:t>
            </w:r>
          </w:p>
          <w:p w14:paraId="0151C3B6" w14:textId="77777777" w:rsidR="00713D58" w:rsidRPr="00F87C3D" w:rsidRDefault="00713D58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F3645" w:rsidRPr="00F87C3D" w14:paraId="58626B76" w14:textId="77777777" w:rsidTr="00691C45">
        <w:trPr>
          <w:cantSplit/>
        </w:trPr>
        <w:tc>
          <w:tcPr>
            <w:tcW w:w="9214" w:type="dxa"/>
            <w:gridSpan w:val="2"/>
          </w:tcPr>
          <w:p w14:paraId="4ACDE8A2" w14:textId="7114AFD6" w:rsidR="005F3645" w:rsidRPr="00F87C3D" w:rsidRDefault="00B33EB1" w:rsidP="00691C45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Preparación de la COP13</w:t>
            </w:r>
          </w:p>
        </w:tc>
      </w:tr>
      <w:tr w:rsidR="005F3645" w:rsidRPr="00B554C4" w14:paraId="24AB26B2" w14:textId="77777777" w:rsidTr="00691C45">
        <w:tc>
          <w:tcPr>
            <w:tcW w:w="6663" w:type="dxa"/>
          </w:tcPr>
          <w:p w14:paraId="27FF48E4" w14:textId="77777777" w:rsidR="00B33EB1" w:rsidRPr="00F87C3D" w:rsidRDefault="00691C45" w:rsidP="00B33EB1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</w:t>
            </w:r>
            <w:r w:rsidR="00B33EB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, </w:t>
            </w:r>
            <w:r w:rsidR="00B33EB1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 xml:space="preserve">Responsabilidades, funciones y composición del Comité Permanente 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[…]</w:t>
            </w:r>
          </w:p>
          <w:p w14:paraId="639FBACD" w14:textId="29985A12" w:rsidR="005F3645" w:rsidRPr="00F87C3D" w:rsidRDefault="005F3645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XII.4.7. </w:t>
            </w:r>
            <w:r w:rsidR="00B33EB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SOLICITA al Comité Permanente que preste una atención especial a las decisiones adoptadas por la </w:t>
            </w:r>
            <w:r w:rsidR="00F87C3D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12ª</w:t>
            </w:r>
            <w:r w:rsidR="00B33EB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reunión de la Conferencia de las Partes y a todas las decisiones adoptadas por la COP con anterioridad, mediante las siguientes acciones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: </w:t>
            </w:r>
          </w:p>
          <w:p w14:paraId="01CE2690" w14:textId="00996D2D" w:rsidR="005F3645" w:rsidRPr="00F87C3D" w:rsidRDefault="005F3645" w:rsidP="00B33EB1">
            <w:pPr>
              <w:spacing w:after="0" w:line="240" w:lineRule="auto"/>
              <w:ind w:left="545" w:hanging="22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d. </w:t>
            </w:r>
            <w:r w:rsidR="00B33EB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Supervisar los preparativos para la 13ª Conferencia de las Partes</w:t>
            </w:r>
            <w:r w:rsidR="00B33EB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entre el país anfitrión de la Conferencia de las Partes de 2018 y la Secretaría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5CAA1EDA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056E886A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7C73EE3F" w14:textId="2CEC7F4B" w:rsidR="005F3645" w:rsidRPr="00F87C3D" w:rsidRDefault="0056212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Subgrupo sobre la COP13</w:t>
            </w:r>
            <w:r w:rsidR="00773B0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</w:t>
            </w:r>
          </w:p>
          <w:p w14:paraId="0687D962" w14:textId="1DDA0F3B" w:rsidR="00773B01" w:rsidRPr="00F87C3D" w:rsidRDefault="00773B01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highlight w:val="yellow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Doc.SC52-02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562121"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t>Progresos realizados en los preparativos para la</w:t>
            </w:r>
            <w:r w:rsidR="00562121" w:rsidRPr="00F87C3D"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562121"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t>COP13</w:t>
            </w:r>
          </w:p>
        </w:tc>
      </w:tr>
      <w:tr w:rsidR="00713D58" w:rsidRPr="00B554C4" w14:paraId="53C661F1" w14:textId="77777777" w:rsidTr="00691C45">
        <w:trPr>
          <w:cantSplit/>
        </w:trPr>
        <w:tc>
          <w:tcPr>
            <w:tcW w:w="9214" w:type="dxa"/>
            <w:gridSpan w:val="2"/>
          </w:tcPr>
          <w:p w14:paraId="54F846F1" w14:textId="61B1220A" w:rsidR="00713D58" w:rsidRPr="00F87C3D" w:rsidRDefault="00B33EB1" w:rsidP="00713D58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Plan Estratégico: Informes nacionales e indicadores</w:t>
            </w:r>
          </w:p>
        </w:tc>
      </w:tr>
      <w:tr w:rsidR="00713D58" w:rsidRPr="00B554C4" w14:paraId="585BA6C7" w14:textId="77777777" w:rsidTr="00CF70A1">
        <w:trPr>
          <w:cantSplit/>
        </w:trPr>
        <w:tc>
          <w:tcPr>
            <w:tcW w:w="6663" w:type="dxa"/>
          </w:tcPr>
          <w:p w14:paraId="7CA844F2" w14:textId="36EC9936" w:rsidR="00713D58" w:rsidRPr="00F87C3D" w:rsidRDefault="00691C45" w:rsidP="001B703A">
            <w:pPr>
              <w:tabs>
                <w:tab w:val="left" w:pos="1815"/>
              </w:tabs>
              <w:spacing w:after="0" w:line="240" w:lineRule="auto"/>
              <w:ind w:left="317" w:hanging="317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713D58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713D58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XII.2: </w:t>
            </w:r>
            <w:r w:rsidR="00FC3A50"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 xml:space="preserve">El Plan Estratégico de Ramsar para </w:t>
            </w:r>
            <w:r w:rsidR="00713D58"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2016-2024</w:t>
            </w:r>
            <w:r w:rsidR="00713D58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:</w:t>
            </w:r>
          </w:p>
          <w:p w14:paraId="5E69F56B" w14:textId="2D511156" w:rsidR="00713D58" w:rsidRPr="00F87C3D" w:rsidRDefault="00713D58" w:rsidP="00E25D07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XII.2.17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.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FC3A50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a la Secretaría y al Comité Permanente que elaboren el modelo de Informe Nacional para la COP13 de forma que sea un instrumento de más fácil uso que refleje los objetivos y metas del nuevo Plan Estratégico de Ramsar, para su examen en la </w:t>
            </w:r>
            <w:r w:rsidR="00F87C3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51ª</w:t>
            </w:r>
            <w:r w:rsidR="00FC3A50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Reunión del Comité Permanente (SC51)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21F8ED4E" w14:textId="26B140ED" w:rsidR="009D184C" w:rsidRPr="00F87C3D" w:rsidRDefault="00562121" w:rsidP="00B41065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Punto 16 del orden del día</w:t>
            </w:r>
            <w:r w:rsidR="00B4106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: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Actualización sobre la preparación del modelo de informe nacional para la COP13</w:t>
            </w:r>
          </w:p>
          <w:p w14:paraId="65B47E3C" w14:textId="3A29126B" w:rsidR="00713D58" w:rsidRPr="00F87C3D" w:rsidRDefault="00B41065" w:rsidP="00B41065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Doc. SC52-13</w:t>
            </w:r>
            <w:r w:rsidR="009D184C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 </w:t>
            </w:r>
            <w:r w:rsidR="00562121"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t>Proyecto de modelo de informe nacional para la COP13</w:t>
            </w:r>
          </w:p>
        </w:tc>
      </w:tr>
      <w:tr w:rsidR="00713D58" w:rsidRPr="00B554C4" w14:paraId="46D5E085" w14:textId="77777777" w:rsidTr="00CF70A1">
        <w:trPr>
          <w:cantSplit/>
        </w:trPr>
        <w:tc>
          <w:tcPr>
            <w:tcW w:w="6663" w:type="dxa"/>
          </w:tcPr>
          <w:p w14:paraId="4F19F81C" w14:textId="37C237B6" w:rsidR="00713D58" w:rsidRPr="00F87C3D" w:rsidRDefault="00713D58" w:rsidP="00E25D07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XII.2.28. </w:t>
            </w:r>
            <w:r w:rsidR="00E25D07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al grupo de expertos que informe sobre los posibles indicadores al Comité Permanente; y </w:t>
            </w:r>
            <w:r w:rsidR="00E25D07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ENCARGA al Comité Permanente que perfeccione los posibles indicadores con carácter prioritario y presente la propuesta a la COP13 para su aprobación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551" w:type="dxa"/>
          </w:tcPr>
          <w:p w14:paraId="32501F84" w14:textId="4306E279" w:rsidR="00713D58" w:rsidRPr="00F87C3D" w:rsidRDefault="00562121" w:rsidP="00562121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Finalizado</w:t>
            </w:r>
            <w:r w:rsidR="009D184C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  SC51 Inf.Doc.05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9D184C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Resumen de la reunión de un grupo de expertos sobre indicadores para el Plan Estratégico de Ramsar</w:t>
            </w:r>
          </w:p>
        </w:tc>
      </w:tr>
      <w:tr w:rsidR="00713D58" w:rsidRPr="00B554C4" w14:paraId="7A767B7D" w14:textId="77777777" w:rsidTr="00691C45">
        <w:trPr>
          <w:cantSplit/>
        </w:trPr>
        <w:tc>
          <w:tcPr>
            <w:tcW w:w="9214" w:type="dxa"/>
            <w:gridSpan w:val="2"/>
          </w:tcPr>
          <w:p w14:paraId="161338CB" w14:textId="7A2B0768" w:rsidR="00713D58" w:rsidRPr="00F87C3D" w:rsidRDefault="00E25D07" w:rsidP="00E25D07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Incorporación de </w:t>
            </w:r>
            <w:r w:rsidR="00797E86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los 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idiomas de las Naciones Unidas</w:t>
            </w:r>
          </w:p>
        </w:tc>
      </w:tr>
      <w:tr w:rsidR="005F3645" w:rsidRPr="00B554C4" w14:paraId="2D227CDB" w14:textId="77777777" w:rsidTr="00CF70A1">
        <w:trPr>
          <w:cantSplit/>
        </w:trPr>
        <w:tc>
          <w:tcPr>
            <w:tcW w:w="6663" w:type="dxa"/>
          </w:tcPr>
          <w:p w14:paraId="2E6C7002" w14:textId="0ADD130D" w:rsidR="005F3645" w:rsidRPr="00F87C3D" w:rsidRDefault="00691C45" w:rsidP="001B703A">
            <w:pPr>
              <w:tabs>
                <w:tab w:val="left" w:pos="1815"/>
              </w:tabs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XII.3: </w:t>
            </w:r>
            <w:r w:rsidR="00E25D07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 xml:space="preserve">Mejora de los idiomas, la visibilidad y la envergadura de la Convención </w:t>
            </w:r>
            <w:r w:rsidR="005F3645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[…]</w:t>
            </w:r>
          </w:p>
          <w:p w14:paraId="1111D179" w14:textId="77A0265A" w:rsidR="005F3645" w:rsidRPr="00F87C3D" w:rsidRDefault="005F3645" w:rsidP="00E25D07">
            <w:pPr>
              <w:spacing w:after="0" w:line="240" w:lineRule="auto"/>
              <w:ind w:left="317" w:hanging="317"/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XII.3.26. </w:t>
            </w:r>
            <w:r w:rsidR="00E25D07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a la Secretaría que formule una estrategia para ser presentada al Comité Permanente en su 51ª reunión, y </w:t>
            </w:r>
            <w:r w:rsidR="00E25D07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PIDE al Comité Permanente que dé seguimiento a los progresos realizados y preste asesoramiento según sea necesario, con sujeción a la disponibilidad de recursos, donde se describa la posible introducción escalonada del árabe u otros idiomas de las Naciones Unidas en la labor de la Convención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. </w:t>
            </w:r>
          </w:p>
        </w:tc>
        <w:tc>
          <w:tcPr>
            <w:tcW w:w="2551" w:type="dxa"/>
            <w:vMerge w:val="restart"/>
          </w:tcPr>
          <w:p w14:paraId="739DD324" w14:textId="5FC81D9C" w:rsidR="005F3645" w:rsidRPr="00F87C3D" w:rsidRDefault="00562121" w:rsidP="008573D0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Grupo de Trabajo Administrativo, punto 6 del orden del día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: </w:t>
            </w:r>
            <w:r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Aprobación del mandato para una estrategia futura sobre los idiomas de la Convención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br/>
            </w:r>
            <w:r w:rsidR="005F3645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Doc. 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SC52-03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t xml:space="preserve">Apoyo de una consultoría para desarrollar </w:t>
            </w:r>
            <w:r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lastRenderedPageBreak/>
              <w:t>una estrategia que defina la posible introducción progresiva del árabe u otros idiomas de las Naciones Unidas en el trabajo de la Convención</w:t>
            </w:r>
          </w:p>
          <w:p w14:paraId="08B9F129" w14:textId="77777777" w:rsidR="005F3645" w:rsidRPr="00F87C3D" w:rsidRDefault="005F3645" w:rsidP="008573D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606566B8" w14:textId="77777777" w:rsidR="005F3645" w:rsidRPr="00F87C3D" w:rsidRDefault="005F3645" w:rsidP="008573D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F3645" w:rsidRPr="00B554C4" w14:paraId="59946EE6" w14:textId="77777777" w:rsidTr="00CF70A1">
        <w:trPr>
          <w:cantSplit/>
        </w:trPr>
        <w:tc>
          <w:tcPr>
            <w:tcW w:w="6663" w:type="dxa"/>
          </w:tcPr>
          <w:p w14:paraId="1F1CB97F" w14:textId="715DFC91" w:rsidR="005F3645" w:rsidRPr="00F87C3D" w:rsidRDefault="005F3645" w:rsidP="002871F8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 xml:space="preserve">XII.3.28. </w:t>
            </w:r>
            <w:r w:rsidR="00E25D07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ENCARGA al Comité Permanente que </w:t>
            </w:r>
            <w:r w:rsidR="00E25D07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supervise, a través del Grupo de Trabajo Administrativo, los progresos logrados en la formulación de una estrategia </w:t>
            </w:r>
            <w:r w:rsidR="00E25D07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relativa a un enfoque escalonado hacia la integración del idioma árabe, incluyendo esfuerzos para la integración total del español y el francés en la labor de la Convención de conformidad con las decisiones de la COP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2C05121B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F3645" w:rsidRPr="00B554C4" w14:paraId="3A23F7D1" w14:textId="77777777" w:rsidTr="00CF70A1">
        <w:trPr>
          <w:cantSplit/>
        </w:trPr>
        <w:tc>
          <w:tcPr>
            <w:tcW w:w="6663" w:type="dxa"/>
          </w:tcPr>
          <w:p w14:paraId="2E6F4645" w14:textId="1CE013F4" w:rsidR="005F3645" w:rsidRPr="00F87C3D" w:rsidRDefault="005F3645" w:rsidP="002871F8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 xml:space="preserve">XII.3.29. </w:t>
            </w:r>
            <w:r w:rsidR="002871F8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TAMBIÉN al Comité Permanente que </w:t>
            </w:r>
            <w:r w:rsidR="002871F8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presente a la Conferencia de las Partes Contratantes en su 13ª reunión un informe</w:t>
            </w:r>
            <w:r w:rsidR="002871F8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y sus recomendaciones que contengan la estrategia para abordar la incorporación del idioma árabe en la Convención con el apoyo de un mecanismo financiero y opciones para la introducción escalonada del árabe en la labor de la Convención, con sujeción a la disponibilidad de recursos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7DE7A14D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F3645" w:rsidRPr="00B554C4" w14:paraId="06EFD797" w14:textId="77777777" w:rsidTr="00CF70A1">
        <w:trPr>
          <w:cantSplit/>
        </w:trPr>
        <w:tc>
          <w:tcPr>
            <w:tcW w:w="6663" w:type="dxa"/>
          </w:tcPr>
          <w:p w14:paraId="4EDF4230" w14:textId="77777777" w:rsidR="00BE5446" w:rsidRPr="00F87C3D" w:rsidRDefault="00691C45" w:rsidP="00BE5446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</w:t>
            </w:r>
            <w:r w:rsidR="00BE544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, </w:t>
            </w:r>
            <w:r w:rsidR="00BE5446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 xml:space="preserve">Responsabilidades, funciones y composición del Comité Permanente 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[…]</w:t>
            </w:r>
          </w:p>
          <w:p w14:paraId="02A05C5E" w14:textId="077A4256" w:rsidR="005F3645" w:rsidRPr="00F87C3D" w:rsidRDefault="005F3645" w:rsidP="00DC4D7F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XII.4.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7.  </w:t>
            </w:r>
            <w:r w:rsidR="00BE5446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SOLICITA al Comité Permanente que preste una atención especial a las decisiones adoptadas por la </w:t>
            </w:r>
            <w:r w:rsidR="00F87C3D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>12ª</w:t>
            </w:r>
            <w:r w:rsidR="00BE5446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 reunión de la Conferencia de las Partes y a todas las decisiones adoptadas por la COP con anterioridad, mediante las siguientes acciones: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</w:p>
          <w:p w14:paraId="5D0421B1" w14:textId="1F7260E6" w:rsidR="005F3645" w:rsidRPr="00F87C3D" w:rsidRDefault="005F3645" w:rsidP="00BE5446">
            <w:pPr>
              <w:spacing w:after="0" w:line="240" w:lineRule="auto"/>
              <w:ind w:left="601" w:hanging="317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h.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</w:t>
            </w:r>
            <w:r w:rsidR="00BE5446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Orientar el desarrollo por el Secretario General de la estrategia </w:t>
            </w:r>
            <w:r w:rsidR="00BE5446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para definir la posible integración progresiva del árabe u otros idiomas de la ONU en el trabajo de la Convención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028D6F34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F3645" w:rsidRPr="00F87C3D" w14:paraId="21A8C199" w14:textId="77777777" w:rsidTr="00691C45">
        <w:trPr>
          <w:cantSplit/>
        </w:trPr>
        <w:tc>
          <w:tcPr>
            <w:tcW w:w="9214" w:type="dxa"/>
            <w:gridSpan w:val="2"/>
          </w:tcPr>
          <w:p w14:paraId="3A2E6A17" w14:textId="143D23B0" w:rsidR="005F3645" w:rsidRPr="00F87C3D" w:rsidRDefault="00BE5446" w:rsidP="00691C45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Movilización de recursos</w:t>
            </w:r>
          </w:p>
        </w:tc>
      </w:tr>
      <w:tr w:rsidR="005F3645" w:rsidRPr="00B554C4" w14:paraId="1E121657" w14:textId="77777777" w:rsidTr="00691C45">
        <w:trPr>
          <w:cantSplit/>
        </w:trPr>
        <w:tc>
          <w:tcPr>
            <w:tcW w:w="6663" w:type="dxa"/>
          </w:tcPr>
          <w:p w14:paraId="6217DF8D" w14:textId="062A4663" w:rsidR="005F3645" w:rsidRPr="00F87C3D" w:rsidRDefault="00691C45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XII.7</w:t>
            </w:r>
            <w:r w:rsidR="00970DF0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5F3645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 </w:t>
            </w:r>
            <w:r w:rsidR="00970DF0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Marco de la Convención de Ramsar para la movilización de recursos y las asociaciones de colaboración</w:t>
            </w:r>
          </w:p>
          <w:p w14:paraId="48E7FD50" w14:textId="24B8298D" w:rsidR="005F3645" w:rsidRPr="00F87C3D" w:rsidRDefault="005F3645" w:rsidP="00970DF0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11. </w:t>
            </w:r>
            <w:r w:rsidR="00970DF0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PIDE al Secretario General que priorice las actividades de recaudación de fondos para financiar actividades con cargo al presupuesto no básico a través de todo tipo de fuentes, con miras a incrementar considerablemente las contribuciones de entidades que no sean Partes, y que informe periódicamente al Comité Permanente, en particular sobre el estado de la financiación obtenida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 w:val="restart"/>
          </w:tcPr>
          <w:p w14:paraId="06EDBEC8" w14:textId="367C9698" w:rsidR="005F3645" w:rsidRPr="00F87C3D" w:rsidRDefault="005B2804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Grupo de Trabajo Administrativo</w:t>
            </w:r>
          </w:p>
          <w:p w14:paraId="69BCB487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07668FE4" w14:textId="1B24DB31" w:rsidR="009E151D" w:rsidRPr="00F87C3D" w:rsidRDefault="009E151D" w:rsidP="009E151D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Doc.SC52-04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5B2804"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Informe de la Secretaria General en funciones</w:t>
            </w:r>
          </w:p>
          <w:p w14:paraId="04AAC013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5974CC1" w14:textId="326F8B01" w:rsidR="005F3645" w:rsidRPr="00F87C3D" w:rsidRDefault="005B2804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Informe del Grupo de trabajo sobre la movilización de recursos</w:t>
            </w:r>
          </w:p>
          <w:p w14:paraId="38685644" w14:textId="77777777" w:rsidR="009E151D" w:rsidRPr="00F87C3D" w:rsidRDefault="009E151D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15C2337D" w14:textId="77777777" w:rsidR="009E151D" w:rsidRPr="00F87C3D" w:rsidRDefault="009E151D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563E1282" w14:textId="77777777" w:rsidR="009E151D" w:rsidRPr="00F87C3D" w:rsidRDefault="009E151D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2658E5BC" w14:textId="77777777" w:rsidR="009E151D" w:rsidRPr="00F87C3D" w:rsidRDefault="009E151D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3B723557" w14:textId="77777777" w:rsidR="009E151D" w:rsidRPr="00F87C3D" w:rsidRDefault="009E151D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27750E7E" w14:textId="4676DB57" w:rsidR="009E151D" w:rsidRPr="00F87C3D" w:rsidRDefault="00D57F35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Documento del Equipo Ejecutivo sobre </w:t>
            </w:r>
            <w:r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Arreglos provisionales para la Secretaría de Ramsar</w:t>
            </w:r>
          </w:p>
          <w:p w14:paraId="50B9C0FA" w14:textId="77777777" w:rsidR="009E151D" w:rsidRPr="00F87C3D" w:rsidRDefault="009E151D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012D226C" w14:textId="4BDAB737" w:rsidR="009E151D" w:rsidRPr="00F87C3D" w:rsidRDefault="009E151D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Doc.SC52-20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D57F35" w:rsidRPr="00F87C3D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Informe sobre la movilización de recursos</w:t>
            </w:r>
          </w:p>
          <w:p w14:paraId="3B8E366B" w14:textId="77777777" w:rsidR="009E151D" w:rsidRPr="00F87C3D" w:rsidRDefault="009E151D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</w:p>
          <w:p w14:paraId="4603E26C" w14:textId="61AA623A" w:rsidR="009E151D" w:rsidRPr="00F87C3D" w:rsidRDefault="00D57F35" w:rsidP="00691C45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Grupo de trabajo sobre la movilización de recursos </w:t>
            </w:r>
          </w:p>
        </w:tc>
      </w:tr>
      <w:tr w:rsidR="005F3645" w:rsidRPr="00B554C4" w14:paraId="1BE9F381" w14:textId="77777777" w:rsidTr="00691C45">
        <w:trPr>
          <w:cantSplit/>
        </w:trPr>
        <w:tc>
          <w:tcPr>
            <w:tcW w:w="6663" w:type="dxa"/>
          </w:tcPr>
          <w:p w14:paraId="36EFB78F" w14:textId="173BBE6A" w:rsidR="005F3645" w:rsidRPr="00F87C3D" w:rsidRDefault="00691C45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</w:t>
            </w:r>
            <w:r w:rsidR="00114B2E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, </w:t>
            </w:r>
            <w:r w:rsidR="00114B2E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Responsabilidades, funciones y composición del Comité Permanente</w:t>
            </w:r>
            <w:r w:rsidR="00114B2E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[…]</w:t>
            </w:r>
          </w:p>
          <w:p w14:paraId="02A5BFCA" w14:textId="2069C944" w:rsidR="00114B2E" w:rsidRPr="00F87C3D" w:rsidRDefault="005F3645" w:rsidP="00114B2E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7.   </w:t>
            </w:r>
            <w:r w:rsidR="00114B2E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SOLICITA al Comité Permanente que preste una atención especial a las decisiones adoptadas por la </w:t>
            </w:r>
            <w:r w:rsidR="00F87C3D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>12ª</w:t>
            </w:r>
            <w:r w:rsidR="00114B2E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 reunión de la Conferencia de las Partes y a todas las decisiones adoptadas por la COP con anterioridad, mediante las siguientes acciones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: </w:t>
            </w:r>
          </w:p>
          <w:p w14:paraId="33EA8081" w14:textId="61AED3D6" w:rsidR="005F3645" w:rsidRPr="00F87C3D" w:rsidRDefault="005F3645" w:rsidP="00114B2E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e.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</w:t>
            </w:r>
            <w:r w:rsidR="00114B2E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Orientar las actividades de la Secretaría</w:t>
            </w:r>
            <w:r w:rsidR="00114B2E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 incluyendo la captación de fondos para la ejecución del Plan Estratégico, las actividades del GECT y el plan de acción de CECoP, las Misiones RAMSAR de Asesoramiento y otras actividades aprobadas no financiadas con cargo al presupuesto básico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4650917B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F3645" w:rsidRPr="00B554C4" w14:paraId="5CEDB3E0" w14:textId="77777777" w:rsidTr="00691C45">
        <w:trPr>
          <w:cantSplit/>
        </w:trPr>
        <w:tc>
          <w:tcPr>
            <w:tcW w:w="6663" w:type="dxa"/>
          </w:tcPr>
          <w:p w14:paraId="792F4AD7" w14:textId="6FF9A164" w:rsidR="005F3645" w:rsidRPr="00F87C3D" w:rsidRDefault="00691C45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5F364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XII.7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5F3645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 </w:t>
            </w:r>
            <w:r w:rsidR="006552DB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Marco de la Convención de Ramsar para la movilización de recursos y las asociaciones de colaboración</w:t>
            </w:r>
          </w:p>
          <w:p w14:paraId="2657160A" w14:textId="35CCEB9E" w:rsidR="005F3645" w:rsidRPr="00F87C3D" w:rsidRDefault="005F3645" w:rsidP="006552DB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13. </w:t>
            </w:r>
            <w:r w:rsidR="006552DB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que el </w:t>
            </w:r>
            <w:r w:rsidR="006552DB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Comité Permanente, en su 50ª reunión, establezca un mecanismo de las Partes Contratantes y la Secretaría para preparar un “Marco y plan de trabajo para la movilización de recursos y las asociaciones de colaboración”</w:t>
            </w:r>
            <w:r w:rsidR="006552DB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, que incluya el desarrollo de metas y calendarios de recaudación de fondos para que la Secretaría lleve a cabo las prioridades con cargo al presupuesto no básico establecidas en el Anexo 3 de la Resolución XII.1 </w:t>
            </w:r>
            <w:r w:rsidR="006552DB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y lo presente a la 51ª reunión del Comité Permanente para su examen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75F541E4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F3645" w:rsidRPr="00B554C4" w14:paraId="0F0CF0FF" w14:textId="77777777" w:rsidTr="00691C45">
        <w:trPr>
          <w:cantSplit/>
        </w:trPr>
        <w:tc>
          <w:tcPr>
            <w:tcW w:w="6663" w:type="dxa"/>
          </w:tcPr>
          <w:p w14:paraId="261A6F85" w14:textId="60ED78D9" w:rsidR="005F3645" w:rsidRPr="00F87C3D" w:rsidRDefault="003F19CA" w:rsidP="00797E86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 xml:space="preserve">Decisión </w:t>
            </w:r>
            <w:r w:rsidR="00797E86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SC50-4 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del Comité Permanente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: </w:t>
            </w:r>
            <w:r w:rsidR="00F01F3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El Comité Permanente acordó dirigir un grupo de trabajo de composición abierta para examinar la movilización de recursos y el marco y plan para las asociaciones de colaboración y presentar un informe al CP en su </w:t>
            </w:r>
            <w:r w:rsidR="00F87C3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51ª</w:t>
            </w:r>
            <w:r w:rsidR="00F01F3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reunión</w:t>
            </w:r>
            <w:r w:rsidR="005F3645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551" w:type="dxa"/>
            <w:vMerge/>
          </w:tcPr>
          <w:p w14:paraId="5F34FE4E" w14:textId="77777777" w:rsidR="005F3645" w:rsidRPr="00F87C3D" w:rsidRDefault="005F3645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713D58" w:rsidRPr="00B554C4" w14:paraId="7BA16550" w14:textId="77777777" w:rsidTr="00691C45">
        <w:trPr>
          <w:cantSplit/>
        </w:trPr>
        <w:tc>
          <w:tcPr>
            <w:tcW w:w="9214" w:type="dxa"/>
            <w:gridSpan w:val="2"/>
          </w:tcPr>
          <w:p w14:paraId="7E86275F" w14:textId="69B338AD" w:rsidR="00713D58" w:rsidRPr="00F87C3D" w:rsidRDefault="00713D58" w:rsidP="00797E86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S</w:t>
            </w:r>
            <w:r w:rsidR="00797E86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inergias con otros AMMA e </w:t>
            </w:r>
            <w:r w:rsidR="00F01F33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instituciones internacionales</w:t>
            </w:r>
          </w:p>
        </w:tc>
      </w:tr>
      <w:tr w:rsidR="005D496A" w:rsidRPr="00B554C4" w14:paraId="3AD07E40" w14:textId="77777777" w:rsidTr="00747E92">
        <w:trPr>
          <w:cantSplit/>
        </w:trPr>
        <w:tc>
          <w:tcPr>
            <w:tcW w:w="6663" w:type="dxa"/>
          </w:tcPr>
          <w:p w14:paraId="79B8AD5D" w14:textId="77D4E569" w:rsidR="005D496A" w:rsidRPr="00F87C3D" w:rsidRDefault="00691C45" w:rsidP="006466E7">
            <w:pPr>
              <w:tabs>
                <w:tab w:val="left" w:pos="1815"/>
              </w:tabs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D496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XII.3</w:t>
            </w:r>
            <w:r w:rsidR="00F01F3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</w:t>
            </w:r>
            <w:r w:rsidR="005D496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F01F33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Mejora de los idiomas, la visibilidad y la envergadura de la Convención</w:t>
            </w:r>
            <w:r w:rsidR="005D496A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 xml:space="preserve"> […]</w:t>
            </w:r>
          </w:p>
          <w:p w14:paraId="3CDFBA01" w14:textId="0766724F" w:rsidR="005D496A" w:rsidRPr="00F87C3D" w:rsidRDefault="005D496A" w:rsidP="00950F40">
            <w:pPr>
              <w:spacing w:after="0" w:line="240" w:lineRule="auto"/>
              <w:ind w:left="317" w:hanging="317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XII.3.42. </w:t>
            </w:r>
            <w:r w:rsidR="00950F40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ENCARGA a la Secretaría que informe anualmente al Comité Permanente sobre los progresos en la aplicación de la Resolución XI.6 sobre Asociaciones de colaboración y sinergias con acuerdos multilaterales sobre el medio ambiente y otras instituciones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 w:val="restart"/>
          </w:tcPr>
          <w:p w14:paraId="6DEF7D85" w14:textId="649FB514" w:rsidR="005055AB" w:rsidRPr="00F87C3D" w:rsidRDefault="00562121" w:rsidP="005754C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D57F35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19 de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l orden del día</w:t>
            </w:r>
            <w:r w:rsidR="009E151D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a. </w:t>
            </w:r>
            <w:r w:rsidR="000B39DC" w:rsidRPr="00F87C3D"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  <w:t>Progresos realizados en la aplicación de la Resolución XI.6 sobre Asociaciones de colaboración y sinergias con acuerdos multilaterales sobre el medio ambiente y otras instituciones</w:t>
            </w:r>
          </w:p>
          <w:p w14:paraId="17AF4A42" w14:textId="6088F15B" w:rsidR="005D496A" w:rsidRPr="00F87C3D" w:rsidRDefault="005D496A" w:rsidP="005754C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Doc.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SC52-15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274F90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8922F8" w:rsidRPr="008922F8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Progresos en la aplicación de la Resolución XI.6 sobre las asociaciones de colaboración y sinergias con acuerdos multilaterales sobre el medio ambiente y otras instituciones</w:t>
            </w:r>
          </w:p>
          <w:p w14:paraId="3AC09208" w14:textId="1C9D08BD" w:rsidR="005D496A" w:rsidRPr="00F87C3D" w:rsidRDefault="000B39DC" w:rsidP="008573D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Finalizado</w:t>
            </w:r>
            <w:r w:rsidR="009E151D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="0056212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Punto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20</w:t>
            </w:r>
            <w:r w:rsidR="0056212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del orden del día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de la reunión SC51</w:t>
            </w:r>
          </w:p>
          <w:p w14:paraId="08AEFE66" w14:textId="77777777" w:rsidR="005D496A" w:rsidRPr="00F87C3D" w:rsidRDefault="005D496A" w:rsidP="008573D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1F34FD60" w14:textId="34093FCE" w:rsidR="005D496A" w:rsidRPr="00F87C3D" w:rsidRDefault="0061444C" w:rsidP="0061444C">
            <w:pPr>
              <w:spacing w:after="0" w:line="240" w:lineRule="auto"/>
              <w:ind w:left="33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La Secretaría envió la Nota Diplomática 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2015/4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de 30 de julio de 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2015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5D496A"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R</w:t>
            </w:r>
            <w:r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espuesta a la Decisión XII/30 – Mecanismo financiero – del Convenio sobre la Diversidad Biológica</w:t>
            </w:r>
          </w:p>
          <w:p w14:paraId="4EE9136E" w14:textId="77777777" w:rsidR="0035554F" w:rsidRPr="00F87C3D" w:rsidRDefault="0035554F" w:rsidP="0035554F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5E9B4EB5" w14:textId="77777777" w:rsidR="0035554F" w:rsidRPr="00F87C3D" w:rsidRDefault="0035554F" w:rsidP="0035554F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0727573D" w14:textId="77777777" w:rsidR="0035554F" w:rsidRPr="00F87C3D" w:rsidRDefault="0035554F" w:rsidP="0035554F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0B4A7EB4" w14:textId="77777777" w:rsidR="0035554F" w:rsidRPr="00F87C3D" w:rsidRDefault="0035554F" w:rsidP="0035554F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43EB7411" w14:textId="2253E823" w:rsidR="0035554F" w:rsidRPr="00F87C3D" w:rsidRDefault="0061444C" w:rsidP="0061444C">
            <w:pPr>
              <w:spacing w:after="0" w:line="240" w:lineRule="auto"/>
              <w:ind w:left="33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Nota Diplomática 2015/4 de 30 de julio de 2015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>Respuesta a la Decisión XII/30 – Mecanismo financiero – del Convenio sobre la Diversidad Biológica</w:t>
            </w:r>
          </w:p>
        </w:tc>
      </w:tr>
      <w:tr w:rsidR="005D496A" w:rsidRPr="00B554C4" w14:paraId="42ADEA63" w14:textId="77777777" w:rsidTr="00CF70A1">
        <w:trPr>
          <w:cantSplit/>
        </w:trPr>
        <w:tc>
          <w:tcPr>
            <w:tcW w:w="6663" w:type="dxa"/>
          </w:tcPr>
          <w:p w14:paraId="6B88416D" w14:textId="4A9CFF60" w:rsidR="005D496A" w:rsidRPr="00F87C3D" w:rsidRDefault="005D496A" w:rsidP="00950F40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XII.3.46. </w:t>
            </w:r>
            <w:r w:rsidR="00950F40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PIDE a la Secretaría General y al Comité Permanente que faciliten la selección de los representantes para participar en los talleres dirigidos por la Convención de biodiversidad para buscar las sinergias entre las Convenciones;</w:t>
            </w:r>
          </w:p>
          <w:p w14:paraId="6542ED2E" w14:textId="77777777" w:rsidR="00E053F4" w:rsidRPr="00F87C3D" w:rsidRDefault="00E053F4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5391DDD8" w14:textId="77777777" w:rsidR="00E053F4" w:rsidRDefault="00E053F4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00A00748" w14:textId="77777777" w:rsidR="008922F8" w:rsidRDefault="008922F8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1643F2C1" w14:textId="77777777" w:rsidR="008922F8" w:rsidRDefault="008922F8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47C4A64A" w14:textId="77777777" w:rsidR="008922F8" w:rsidRDefault="008922F8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5E2C317F" w14:textId="77777777" w:rsidR="008922F8" w:rsidRDefault="008922F8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6073B7BE" w14:textId="77777777" w:rsidR="008922F8" w:rsidRDefault="008922F8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525CCF5C" w14:textId="77777777" w:rsidR="008922F8" w:rsidRDefault="008922F8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4D8BE65F" w14:textId="77777777" w:rsidR="008922F8" w:rsidRPr="00F87C3D" w:rsidRDefault="008922F8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1DF88309" w14:textId="77777777" w:rsidR="00E053F4" w:rsidRPr="00F87C3D" w:rsidRDefault="00E053F4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1C7A265" w14:textId="77777777" w:rsidR="005D496A" w:rsidRPr="00F87C3D" w:rsidRDefault="005D496A" w:rsidP="00691C45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274F90" w:rsidRPr="00B554C4" w14:paraId="33101C84" w14:textId="77777777" w:rsidTr="00274F90">
        <w:trPr>
          <w:cantSplit/>
        </w:trPr>
        <w:tc>
          <w:tcPr>
            <w:tcW w:w="6663" w:type="dxa"/>
          </w:tcPr>
          <w:p w14:paraId="2505AECF" w14:textId="6332EF0A" w:rsidR="00274F90" w:rsidRPr="00F87C3D" w:rsidRDefault="00691C45" w:rsidP="00747E92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274F90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274F90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XII.7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274F90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 </w:t>
            </w:r>
            <w:r w:rsidR="006552DB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Marco de la Convención de Ramsar para la movilización de recursos y las asociaciones de colaboración</w:t>
            </w:r>
          </w:p>
          <w:p w14:paraId="661002AE" w14:textId="4D47B616" w:rsidR="00274F90" w:rsidRPr="00F87C3D" w:rsidRDefault="00274F90" w:rsidP="00950F40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XII.7.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14. </w:t>
            </w:r>
            <w:r w:rsidR="00950F40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que el Comité Permanente, como tarea de alta prioridad y con el compromiso de la ayuda de la Secretaría y del Grupo de Examen Científico y Técnico, </w:t>
            </w:r>
            <w:r w:rsidR="00950F40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responda a la invitación de las Partes en el CDB de proporcionar asesoramiento, según proceda, sobre la financiación de iniciativas sobre los humedales nacionales y transfronterizos</w:t>
            </w:r>
            <w:r w:rsidR="00950F40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 que se pueda remitir al FMAM a través de la Conferencia de las Partes en el CDB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  <w:shd w:val="clear" w:color="auto" w:fill="auto"/>
          </w:tcPr>
          <w:p w14:paraId="0F43B1FE" w14:textId="77777777" w:rsidR="00274F90" w:rsidRPr="00F87C3D" w:rsidRDefault="00274F90" w:rsidP="00691C45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</w:tc>
      </w:tr>
      <w:tr w:rsidR="005D496A" w:rsidRPr="00B554C4" w14:paraId="78BF7F10" w14:textId="77777777" w:rsidTr="005D496A">
        <w:trPr>
          <w:cantSplit/>
        </w:trPr>
        <w:tc>
          <w:tcPr>
            <w:tcW w:w="6663" w:type="dxa"/>
          </w:tcPr>
          <w:p w14:paraId="0C22B31F" w14:textId="20B38722" w:rsidR="005D496A" w:rsidRPr="00F87C3D" w:rsidRDefault="00691C45" w:rsidP="005D496A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D496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A2704F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Responsabilidades, funciones y composición del Comité Permanente</w:t>
            </w:r>
            <w:r w:rsidR="005D496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[…]</w:t>
            </w:r>
          </w:p>
          <w:p w14:paraId="2B5DC1DA" w14:textId="5F64F0B4" w:rsidR="00D303E1" w:rsidRPr="00F87C3D" w:rsidRDefault="005D496A" w:rsidP="00D303E1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7.   </w:t>
            </w:r>
            <w:r w:rsidR="00D20835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SOLICITA al Comité Permanente que preste una atención especial a las decisiones adoptadas por la </w:t>
            </w:r>
            <w:r w:rsidR="00F87C3D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>12ª</w:t>
            </w:r>
            <w:r w:rsidR="00D20835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 reunión de la Conferencia de las Partes y a todas las decisiones adoptadas por la COP con anterioridad, mediante las siguientes acciones</w:t>
            </w:r>
            <w:r w:rsidR="00D303E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:</w:t>
            </w:r>
          </w:p>
          <w:p w14:paraId="36A0BF2F" w14:textId="0128135C" w:rsidR="005D496A" w:rsidRPr="00F87C3D" w:rsidRDefault="005D496A" w:rsidP="00D303E1">
            <w:pPr>
              <w:spacing w:after="0" w:line="240" w:lineRule="auto"/>
              <w:ind w:left="634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g. </w:t>
            </w:r>
            <w:r w:rsidR="00D303E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Responder a la petición formulada por el Convenio sobre la Diversidad Biológica (CDB) solicitando asesoramiento, según proceda, </w:t>
            </w:r>
            <w:r w:rsidR="00D303E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relativo a la financiación que se pueda solicitar al Fondo para el Medio Ambiente Mundial a través de la Conferencia de las Partes del CDB, y supervisar que el Secretario General envíe dicho asesoramiento de manera oportuna al Secretario Ejecutivo del CDB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; </w:t>
            </w:r>
            <w:r w:rsidR="00D303E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y</w:t>
            </w:r>
          </w:p>
        </w:tc>
        <w:tc>
          <w:tcPr>
            <w:tcW w:w="2551" w:type="dxa"/>
            <w:vMerge/>
          </w:tcPr>
          <w:p w14:paraId="4FD35061" w14:textId="77777777" w:rsidR="005D496A" w:rsidRPr="00F87C3D" w:rsidRDefault="005D496A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5D496A" w:rsidRPr="00B554C4" w14:paraId="37A34CA7" w14:textId="77777777" w:rsidTr="00691C45">
        <w:trPr>
          <w:cantSplit/>
        </w:trPr>
        <w:tc>
          <w:tcPr>
            <w:tcW w:w="6663" w:type="dxa"/>
          </w:tcPr>
          <w:p w14:paraId="657A833E" w14:textId="69337A18" w:rsidR="005D496A" w:rsidRPr="00F87C3D" w:rsidRDefault="005D496A" w:rsidP="00D303E1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lastRenderedPageBreak/>
              <w:t>XII.7.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21. </w:t>
            </w:r>
            <w:r w:rsidR="00D303E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a la Secretaría que fortalezca las alianzas con otros acuerdos multilaterales sobre el medio ambiente (AMMA), tales como la Convención de las Naciones Unidas de Lucha contra la Desertificación (CNULD), el CDB y otros, con el fin de desarrollar sinergias e intercambiar recursos, evitar la duplicación de esfuerzos y mejorar la aplicación, respetando el mandato de cada Convención; y </w:t>
            </w:r>
            <w:r w:rsidR="00D303E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PIDE a la Secretaría que facilite al Comité Permanente en su 51ª reunión un plan sobre cómo aumentar la cooperación con otros AMMA y que informe periódicamente de las actividades al Comité Permanente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2809DA3C" w14:textId="77777777" w:rsidR="005D496A" w:rsidRPr="00F87C3D" w:rsidRDefault="005D496A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1D05FB2D" w14:textId="77777777" w:rsidR="005D496A" w:rsidRPr="00F87C3D" w:rsidRDefault="005D496A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0981BCDA" w14:textId="520FB873" w:rsidR="0035554F" w:rsidRPr="00F87C3D" w:rsidRDefault="0035554F" w:rsidP="0035554F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Doc.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SC52-15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E053F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8922F8" w:rsidRPr="008922F8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Progresos en la aplicación de la Resolución XI.6 sobre las asociaciones de colaboración y sinergias con acuerdos multilaterales sobre el medio ambiente y otras instituciones</w:t>
            </w:r>
          </w:p>
          <w:p w14:paraId="51369FF5" w14:textId="77777777" w:rsidR="005D496A" w:rsidRPr="00F87C3D" w:rsidRDefault="005D496A" w:rsidP="0035554F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713D58" w:rsidRPr="00F87C3D" w14:paraId="05B823F8" w14:textId="77777777" w:rsidTr="00691C45">
        <w:trPr>
          <w:cantSplit/>
        </w:trPr>
        <w:tc>
          <w:tcPr>
            <w:tcW w:w="9214" w:type="dxa"/>
            <w:gridSpan w:val="2"/>
          </w:tcPr>
          <w:p w14:paraId="0EC0638F" w14:textId="07C93585" w:rsidR="00713D58" w:rsidRPr="00F87C3D" w:rsidRDefault="00797E86" w:rsidP="00797E86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Instrumentos de manejo</w:t>
            </w:r>
          </w:p>
        </w:tc>
      </w:tr>
      <w:tr w:rsidR="00CF70A1" w:rsidRPr="00B554C4" w14:paraId="7519E582" w14:textId="77777777" w:rsidTr="00CF70A1">
        <w:trPr>
          <w:cantSplit/>
        </w:trPr>
        <w:tc>
          <w:tcPr>
            <w:tcW w:w="6663" w:type="dxa"/>
          </w:tcPr>
          <w:p w14:paraId="04488B5B" w14:textId="60A5859E" w:rsidR="00CF70A1" w:rsidRPr="00F87C3D" w:rsidRDefault="00691C45" w:rsidP="006466E7">
            <w:pPr>
              <w:tabs>
                <w:tab w:val="left" w:pos="1815"/>
              </w:tabs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XII.3</w:t>
            </w:r>
            <w:r w:rsidR="00F01F3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F01F33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Mejora de los idiomas, la visibilidad y la envergadura de la Convención</w:t>
            </w:r>
            <w:r w:rsidR="00CF70A1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 xml:space="preserve"> […]</w:t>
            </w:r>
          </w:p>
          <w:p w14:paraId="6E16E69E" w14:textId="31B4A4CE" w:rsidR="00CF70A1" w:rsidRPr="00F87C3D" w:rsidRDefault="005F3645" w:rsidP="00D303E1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XII.3.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57. </w:t>
            </w:r>
            <w:r w:rsidR="00D303E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RECONOCE la colaboración entre la Secretaría y la UICN y los progresos realizados para evaluar la labor ya realizada </w:t>
            </w:r>
            <w:r w:rsidR="00D303E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 INSTA a la Secretaría a que actualice todos los acuerdos y lineamientos con la UICN en colaboración con el Grupo de Trabajo Administrativo y de conformidad con la Resolución IX.24 sobre la Mejora de la administración de la Convención</w:t>
            </w:r>
            <w:r w:rsidR="00D303E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de Ramsar y ALIENTA a ambas a que sigan colaborando para potenciar la aplicación de la Convención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 w:val="restart"/>
          </w:tcPr>
          <w:p w14:paraId="7F9A1CF4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5655A9A9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F5A9D53" w14:textId="69F57C78" w:rsidR="00CF70A1" w:rsidRPr="00F87C3D" w:rsidRDefault="005B2804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Grupo de Trabajo Administrativo</w:t>
            </w:r>
          </w:p>
          <w:p w14:paraId="42524654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6960E1CD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44C354C8" w14:textId="77777777" w:rsidR="00274F90" w:rsidRPr="00F87C3D" w:rsidRDefault="00274F90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1498584C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338014B5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53A726F7" w14:textId="77777777" w:rsidR="00747E92" w:rsidRPr="00F87C3D" w:rsidRDefault="00747E92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51F4363D" w14:textId="1311A834" w:rsidR="0035554F" w:rsidRPr="00F87C3D" w:rsidRDefault="0061444C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Reunión del Grupo de trabajo sobre la mejora de los instrumentos de manejo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</w:p>
          <w:p w14:paraId="20D19256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2E7AE5B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D18ACFB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6B0DD72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6A2C2418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3A71AA13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35967052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675FD653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62AE1481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4B557759" w14:textId="77777777" w:rsidR="00274F90" w:rsidRPr="00F87C3D" w:rsidRDefault="00274F90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5EF4256C" w14:textId="70BE0022" w:rsidR="0035554F" w:rsidRPr="00F87C3D" w:rsidRDefault="0061444C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Reunión del Grupo de trabajo sobre la mejora de los instrumentos de manejo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</w:p>
          <w:p w14:paraId="574C85B0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DB18888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0ECF89D9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4AE80566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42240367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7AA36F17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6AE9BC0A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3DFC10C" w14:textId="77777777" w:rsidR="0035554F" w:rsidRPr="00F87C3D" w:rsidRDefault="0035554F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59FDB51C" w14:textId="7220324A" w:rsidR="0035554F" w:rsidRPr="00F87C3D" w:rsidRDefault="0061444C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Reunión del Grupo de trabajo sobre la mejora de los instrumentos de manejo</w:t>
            </w:r>
          </w:p>
        </w:tc>
      </w:tr>
      <w:tr w:rsidR="00CF70A1" w:rsidRPr="00B554C4" w14:paraId="1BCEE6E9" w14:textId="77777777" w:rsidTr="00CF70A1">
        <w:trPr>
          <w:cantSplit/>
        </w:trPr>
        <w:tc>
          <w:tcPr>
            <w:tcW w:w="6663" w:type="dxa"/>
          </w:tcPr>
          <w:p w14:paraId="7D86B378" w14:textId="23DE0EF0" w:rsidR="00CF70A1" w:rsidRPr="00F87C3D" w:rsidRDefault="005F3645" w:rsidP="00D303E1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XII.3.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58. </w:t>
            </w:r>
            <w:r w:rsidR="00D303E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al Comité Permanente, a fin de facilitar una </w:t>
            </w:r>
            <w:r w:rsidR="00D303E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mayor colaboración entre la Secretaría y la UICN, que establezca en su 50ª reunión un mecanismo de las Partes Contratantes que tenga una participación regional equilibrada y facilite las discusiones entre la Secretaría de Ramsar y la UICN, teniendo en cuenta las necesidades de las Partes Contratantes y de la Secretaría de Ramsar</w:t>
            </w:r>
            <w:r w:rsidR="00D303E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, con miras a buscar formas de mejorar el funcionamiento actual de la Secretaría y potenciar la aplicación de la Convención de Ramsar, </w:t>
            </w:r>
            <w:r w:rsidR="00D303E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y que proporcione al Comité Permanente un informe sobre dichas discusiones en su 51ª reunión y en todas sus reuniones ulteriores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339FFD8D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CF70A1" w:rsidRPr="00B554C4" w14:paraId="4BB53027" w14:textId="77777777" w:rsidTr="00CF70A1">
        <w:trPr>
          <w:cantSplit/>
        </w:trPr>
        <w:tc>
          <w:tcPr>
            <w:tcW w:w="6663" w:type="dxa"/>
          </w:tcPr>
          <w:p w14:paraId="6B7D4691" w14:textId="07FD56D1" w:rsidR="00CF70A1" w:rsidRPr="00F87C3D" w:rsidRDefault="00691C45" w:rsidP="004A0921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CF70A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CF70A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A2704F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Responsabilidades, funciones y composición del Comité Permanente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[…]</w:t>
            </w:r>
          </w:p>
          <w:p w14:paraId="40092548" w14:textId="60691C69" w:rsidR="00CF70A1" w:rsidRPr="00F87C3D" w:rsidRDefault="005F3645" w:rsidP="00CF0CE7">
            <w:pPr>
              <w:spacing w:after="0" w:line="240" w:lineRule="auto"/>
              <w:ind w:left="317" w:hanging="317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XII.4.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7.   </w:t>
            </w:r>
            <w:r w:rsidR="00CF0CE7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SOLICITA al Comité Permanente que preste una atención especial a las decisiones adoptadas por la </w:t>
            </w:r>
            <w:r w:rsidR="00F87C3D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12ª</w:t>
            </w:r>
            <w:r w:rsidR="00CF0CE7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reunión de la Conferencia de las Partes y a todas las decisiones adoptadas por la COP con anterioridad, mediante las siguientes acciones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: […]</w:t>
            </w:r>
          </w:p>
          <w:p w14:paraId="39E817B2" w14:textId="4B659D09" w:rsidR="00CF70A1" w:rsidRPr="00F87C3D" w:rsidRDefault="00CF70A1" w:rsidP="003F19CA">
            <w:pPr>
              <w:spacing w:after="0" w:line="240" w:lineRule="auto"/>
              <w:ind w:left="743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b.</w:t>
            </w:r>
            <w:r w:rsidR="003F19CA" w:rsidRPr="00F87C3D">
              <w:rPr>
                <w:rFonts w:asciiTheme="minorHAnsi" w:eastAsiaTheme="minorHAnsi" w:hAnsiTheme="minorHAnsi"/>
                <w:sz w:val="20"/>
                <w:szCs w:val="20"/>
                <w:lang w:val="es-ES_tradnl" w:eastAsia="es-ES"/>
              </w:rPr>
              <w:t xml:space="preserve"> </w:t>
            </w:r>
            <w:r w:rsidR="003F19C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Mejorar los instrumentos actuales de gestión entre la UICN, el Comité Permanente y la Secretaría General para facilitar que la Secretaría sirva de forma eficaz a las Partes Contratantes en sus actividades</w:t>
            </w:r>
            <w:r w:rsidR="003F19C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y en la aplicación de la Convención mediante normas y procedimientos claros, eficaces y comprensibles como continuación de una decisión adoptada por la </w:t>
            </w:r>
            <w:r w:rsidR="00F87C3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48ª</w:t>
            </w:r>
            <w:r w:rsidR="003F19C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reunión del Comité Permanente para “iniciar un procedimiento dirigido por el Grupo de Trabajo Administrativo con el fin de examinar los acuerdos, las políticas, las directrices y otros mecanismos que regulan las relaciones entre el Comité Permanente, el Equipo Ejecutivo, la Presidencia del Comité Permanente, el Secretario General y la UICN, y el reparto de responsabilidades de los mismos en relación con la gestión de la Secretaría, in</w:t>
            </w:r>
            <w:r w:rsidR="00797E86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cluida la gestión del personal”;</w:t>
            </w:r>
          </w:p>
        </w:tc>
        <w:tc>
          <w:tcPr>
            <w:tcW w:w="2551" w:type="dxa"/>
            <w:vMerge/>
          </w:tcPr>
          <w:p w14:paraId="17E1C7A8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CF70A1" w:rsidRPr="00B554C4" w14:paraId="1B5611B7" w14:textId="77777777" w:rsidTr="00CF70A1">
        <w:trPr>
          <w:cantSplit/>
        </w:trPr>
        <w:tc>
          <w:tcPr>
            <w:tcW w:w="6663" w:type="dxa"/>
          </w:tcPr>
          <w:p w14:paraId="010523E2" w14:textId="14CA6C66" w:rsidR="00CF70A1" w:rsidRPr="00F87C3D" w:rsidRDefault="003F19CA" w:rsidP="003F19CA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>Decisión SC50-8 del Comité Permanente</w:t>
            </w:r>
            <w:r w:rsidR="00CF70A1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: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El Comité Permanente acordó establecer 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un grupo de trabajo para supervisar la aplicación de la CECoP y 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un grupo de trabajo para mejorar los instrumentos existentes de manejo entre la UICN, el Comité Permanente y el Secretario General</w:t>
            </w:r>
            <w:r w:rsidR="00CF70A1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.  </w:t>
            </w:r>
          </w:p>
        </w:tc>
        <w:tc>
          <w:tcPr>
            <w:tcW w:w="2551" w:type="dxa"/>
            <w:vMerge/>
          </w:tcPr>
          <w:p w14:paraId="3D3E552A" w14:textId="77777777" w:rsidR="00CF70A1" w:rsidRPr="00F87C3D" w:rsidRDefault="00CF70A1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713D58" w:rsidRPr="00B554C4" w14:paraId="1EE0B4C5" w14:textId="77777777" w:rsidTr="00691C45">
        <w:trPr>
          <w:cantSplit/>
        </w:trPr>
        <w:tc>
          <w:tcPr>
            <w:tcW w:w="9214" w:type="dxa"/>
            <w:gridSpan w:val="2"/>
          </w:tcPr>
          <w:p w14:paraId="4FF2562C" w14:textId="3B30616E" w:rsidR="00713D58" w:rsidRPr="00F87C3D" w:rsidRDefault="003F19CA" w:rsidP="003F19CA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Presentación de informes y planificación del trabajo de la Secretaría</w:t>
            </w:r>
          </w:p>
        </w:tc>
      </w:tr>
      <w:tr w:rsidR="00713D58" w:rsidRPr="00B554C4" w14:paraId="7FC27790" w14:textId="77777777" w:rsidTr="00CF70A1">
        <w:tc>
          <w:tcPr>
            <w:tcW w:w="6663" w:type="dxa"/>
          </w:tcPr>
          <w:p w14:paraId="2D83BACA" w14:textId="48B19D49" w:rsidR="00713D58" w:rsidRPr="00F87C3D" w:rsidRDefault="00691C45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713D58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713D58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</w:t>
            </w:r>
            <w:r w:rsidR="00797E8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713D58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A2704F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Responsabilidades, funciones y composición del Comité Permanente</w:t>
            </w:r>
            <w:r w:rsidR="00713D58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[…]</w:t>
            </w:r>
          </w:p>
          <w:p w14:paraId="31A1AD54" w14:textId="64D9DBB7" w:rsidR="00713D58" w:rsidRPr="00F87C3D" w:rsidRDefault="005F3645" w:rsidP="0029338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XII.4.</w:t>
            </w:r>
            <w:r w:rsidR="00713D58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7.   </w:t>
            </w:r>
            <w:r w:rsidR="003F19C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SOLICITA al Comité Permanente que preste una atención especial a las decisiones adoptadas por la </w:t>
            </w:r>
            <w:r w:rsidR="00F87C3D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12ª</w:t>
            </w:r>
            <w:r w:rsidR="003F19C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reunión de la Conferencia de las Partes y a todas las decisiones adoptadas por la COP con anterioridad, mediante las siguientes acciones</w:t>
            </w:r>
            <w:r w:rsidR="00713D58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: </w:t>
            </w:r>
          </w:p>
          <w:p w14:paraId="2283301B" w14:textId="06F892CC" w:rsidR="00713D58" w:rsidRPr="00F87C3D" w:rsidRDefault="00713D58" w:rsidP="00EB4FC7">
            <w:pPr>
              <w:spacing w:after="0" w:line="240" w:lineRule="auto"/>
              <w:ind w:left="545" w:hanging="22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c. </w:t>
            </w:r>
            <w:r w:rsidR="003F19C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Desarrollar e implantar de forma inmediata un sistema de presentación de informes</w:t>
            </w:r>
            <w:r w:rsidR="003F19C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—el primero de los cuales se enviará antes del 15 de septiembre de 2015 y la frecuencia de los mismos será determinad</w:t>
            </w:r>
            <w:r w:rsidR="00EB4FC7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a</w:t>
            </w:r>
            <w:r w:rsidR="003F19C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por el Equipo Ejecutivo—que se enviarán por el Secretario General al Equipo Ejecutivo, al Director General de la UICN y a los miembros del Comité Permanente y las Partes observadoras que estuviesen interesados en recibir dichos informes que contendrán información sobre el progreso del trabajo de la Secretaría y especialmente sobre las principales prioridades adoptadas por la COP, los viajes y reuniones, etc., de la Secretaría, así como el estado de los presupuestos básico y no básico, y un resumen de los contrato</w:t>
            </w:r>
            <w:r w:rsidR="00D86E5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s de personal y de consultoría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; </w:t>
            </w:r>
          </w:p>
        </w:tc>
        <w:tc>
          <w:tcPr>
            <w:tcW w:w="2551" w:type="dxa"/>
          </w:tcPr>
          <w:p w14:paraId="1DD94551" w14:textId="77777777" w:rsidR="00713D58" w:rsidRPr="00F87C3D" w:rsidRDefault="00713D58" w:rsidP="00E205B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3344EF2C" w14:textId="77777777" w:rsidR="00CF70A1" w:rsidRPr="00F87C3D" w:rsidRDefault="00CF70A1" w:rsidP="00E205B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76982E0B" w14:textId="77777777" w:rsidR="00CF70A1" w:rsidRPr="00F87C3D" w:rsidRDefault="00CF70A1" w:rsidP="00E205B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472B4BA4" w14:textId="77777777" w:rsidR="00CF70A1" w:rsidRPr="00F87C3D" w:rsidRDefault="00CF70A1" w:rsidP="00E205B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63019EEE" w14:textId="77777777" w:rsidR="00CF70A1" w:rsidRPr="00F87C3D" w:rsidRDefault="00CF70A1" w:rsidP="00E205B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  <w:p w14:paraId="1B417C90" w14:textId="77777777" w:rsidR="0061444C" w:rsidRPr="00F87C3D" w:rsidRDefault="00562121" w:rsidP="0061444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61444C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7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CF70A1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61444C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Informe de la Secretaria General en funciones</w:t>
            </w:r>
          </w:p>
          <w:p w14:paraId="75DC3FA8" w14:textId="09245A74" w:rsidR="0061444C" w:rsidRPr="00F87C3D" w:rsidRDefault="00CF70A1" w:rsidP="0061444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 SC52-04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61444C"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t>Informe de la Secretaria General en funciones</w:t>
            </w:r>
          </w:p>
          <w:p w14:paraId="503AEDD2" w14:textId="71FC447C" w:rsidR="00CF70A1" w:rsidRPr="00F87C3D" w:rsidRDefault="00CF70A1" w:rsidP="0061444C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highlight w:val="yellow"/>
                <w:lang w:val="es-ES_tradnl"/>
              </w:rPr>
            </w:pPr>
          </w:p>
        </w:tc>
      </w:tr>
      <w:tr w:rsidR="00D74B4F" w:rsidRPr="00B554C4" w14:paraId="345A1CE8" w14:textId="77777777" w:rsidTr="00CF70A1">
        <w:tc>
          <w:tcPr>
            <w:tcW w:w="6663" w:type="dxa"/>
          </w:tcPr>
          <w:p w14:paraId="6271CD31" w14:textId="2ABF24C3" w:rsidR="00D74B4F" w:rsidRPr="00F87C3D" w:rsidRDefault="00D74B4F" w:rsidP="00D86E5D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8. </w:t>
            </w:r>
            <w:r w:rsidR="00D86E5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al Secretario General que confeccione un plan de trabajo, basado en estas decisiones de la COP12, para ser presentado al Comité Permanente antes del final de octubre de 2015 y presentado posteriormente por el Secretario General en la </w:t>
            </w:r>
            <w:r w:rsidR="00F87C3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51ª</w:t>
            </w:r>
            <w:r w:rsidR="00D86E5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reunión del Comité Permanente para su consideración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42D9B0A2" w14:textId="4D381A85" w:rsidR="00D74B4F" w:rsidRPr="00F87C3D" w:rsidRDefault="00562121" w:rsidP="003013D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61444C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12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D74B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3013D2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Planes de trabajo de la Secretaría, punto a</w:t>
            </w:r>
            <w:r w:rsidR="00D74B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</w:t>
            </w:r>
            <w:r w:rsidR="003013D2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 Plan de trabajo para el trienio 2016-2018</w:t>
            </w:r>
            <w:r w:rsidR="00D74B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(</w:t>
            </w:r>
            <w:r w:rsidR="00E356F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</w:t>
            </w:r>
            <w:r w:rsidR="00D74B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SC52-07</w:t>
            </w:r>
            <w:r w:rsidR="00E356F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) </w:t>
            </w:r>
            <w:r w:rsidR="003013D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y punto </w:t>
            </w:r>
            <w:r w:rsidR="00E356F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b. </w:t>
            </w:r>
            <w:r w:rsidR="003013D2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Plan de trabajo para 2016 </w:t>
            </w:r>
            <w:r w:rsidR="00D74B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(</w:t>
            </w:r>
            <w:r w:rsidR="00E356F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</w:t>
            </w:r>
            <w:r w:rsidR="00D74B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SC52-08)</w:t>
            </w:r>
          </w:p>
        </w:tc>
      </w:tr>
      <w:tr w:rsidR="004C0D53" w:rsidRPr="00B554C4" w14:paraId="0EC2C107" w14:textId="77777777" w:rsidTr="003950C4">
        <w:trPr>
          <w:cantSplit/>
        </w:trPr>
        <w:tc>
          <w:tcPr>
            <w:tcW w:w="9214" w:type="dxa"/>
            <w:gridSpan w:val="2"/>
            <w:tcBorders>
              <w:bottom w:val="single" w:sz="4" w:space="0" w:color="000000"/>
            </w:tcBorders>
          </w:tcPr>
          <w:p w14:paraId="0013B2E6" w14:textId="77D426D0" w:rsidR="004C0D53" w:rsidRPr="00F87C3D" w:rsidRDefault="00D86E5D" w:rsidP="00D86E5D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Calendario de reuniones del Comité permanente</w:t>
            </w:r>
          </w:p>
        </w:tc>
      </w:tr>
      <w:tr w:rsidR="00713D58" w:rsidRPr="00B554C4" w14:paraId="0DF9FD51" w14:textId="77777777" w:rsidTr="003950C4">
        <w:trPr>
          <w:cantSplit/>
        </w:trPr>
        <w:tc>
          <w:tcPr>
            <w:tcW w:w="6663" w:type="dxa"/>
            <w:tcBorders>
              <w:bottom w:val="single" w:sz="4" w:space="0" w:color="auto"/>
            </w:tcBorders>
          </w:tcPr>
          <w:p w14:paraId="6073E81C" w14:textId="52AECC69" w:rsidR="00E356F2" w:rsidRPr="00F87C3D" w:rsidRDefault="00691C45" w:rsidP="00E356F2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E356F2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E356F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E356F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A2704F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Responsabilidades, funciones y composición del Comité Permanente</w:t>
            </w:r>
            <w:r w:rsidR="00E356F2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[…]</w:t>
            </w:r>
          </w:p>
          <w:p w14:paraId="599C5501" w14:textId="406F8225" w:rsidR="00713D58" w:rsidRPr="00F87C3D" w:rsidRDefault="00713D58" w:rsidP="002A1D69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10. </w:t>
            </w:r>
            <w:r w:rsidR="002A1D69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DECIDE que la </w:t>
            </w:r>
            <w:r w:rsidR="00F87C3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51ª</w:t>
            </w:r>
            <w:r w:rsidR="002A1D69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reunión del Comité Permanente se celebre antes de finales del 2015 y PIDE que el Comité Permanente prepare un calendario provisional para las reuniones del Comité Permanente durante el próximo trienio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75DF07" w14:textId="0B7CEF99" w:rsidR="00713D58" w:rsidRPr="00F87C3D" w:rsidRDefault="003013D2" w:rsidP="003013D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Finalizado</w:t>
            </w:r>
            <w:r w:rsidR="003555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Reunión</w:t>
            </w:r>
            <w:r w:rsidR="003555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SC51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celebrada del 23 al </w:t>
            </w:r>
            <w:r w:rsidR="003555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27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 noviembre de</w:t>
            </w:r>
            <w:r w:rsidR="003555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2015.</w:t>
            </w:r>
          </w:p>
        </w:tc>
      </w:tr>
      <w:tr w:rsidR="00713D58" w:rsidRPr="00B554C4" w14:paraId="6FA22BBC" w14:textId="77777777" w:rsidTr="003950C4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14:paraId="4A77C3DF" w14:textId="3A34111A" w:rsidR="00713D58" w:rsidRPr="00F87C3D" w:rsidRDefault="00A77A82" w:rsidP="00A77A82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Provisión de asesoramiento y orientaciones de carácter científico y técnico</w:t>
            </w:r>
            <w:r w:rsidR="00713D58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713D58" w:rsidRPr="00F87C3D" w14:paraId="24F9387A" w14:textId="77777777" w:rsidTr="00CF70A1">
        <w:trPr>
          <w:cantSplit/>
        </w:trPr>
        <w:tc>
          <w:tcPr>
            <w:tcW w:w="6663" w:type="dxa"/>
          </w:tcPr>
          <w:p w14:paraId="3A8868AF" w14:textId="16E4C1CC" w:rsidR="002A1D69" w:rsidRPr="00F87C3D" w:rsidRDefault="002A1D69" w:rsidP="002A1D69">
            <w:pPr>
              <w:spacing w:after="0" w:line="240" w:lineRule="auto"/>
              <w:ind w:left="317" w:hanging="317"/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Resolución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XII.5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Nuevo marco para la provisión de asesoramiento y orientaciones de carácter científico y técnico a la Convención</w:t>
            </w:r>
          </w:p>
          <w:p w14:paraId="06A20E03" w14:textId="17277868" w:rsidR="00713D58" w:rsidRPr="00F87C3D" w:rsidRDefault="002A1D69" w:rsidP="002A1D69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17. CONFIRMA asimismo que la Conferencia de las Partes aprobará las áreas de trabajo temáticas prioritarias del GECT para cada trienio, 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que el Comité Permanente seguirá teniendo la responsabilidad general sobre la prestación de dicho programa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 y que el Presidente del GECT presentará un informe a cada reunión del Comité Permanente sobre los progresos del Grupo en sus tareas, y propondrá cualquier ajuste al programa que el Grupo considere necesario para que lo considere el Comité Permanente</w:t>
            </w:r>
            <w:r w:rsidR="00713D58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  <w:p w14:paraId="12004197" w14:textId="77777777" w:rsidR="00E053F4" w:rsidRPr="00F87C3D" w:rsidRDefault="00E053F4" w:rsidP="006A2EC8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2EE0EFAF" w14:textId="77777777" w:rsidR="00E053F4" w:rsidRDefault="00E053F4" w:rsidP="006A2EC8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416C42AC" w14:textId="77777777" w:rsidR="008922F8" w:rsidRPr="00F87C3D" w:rsidRDefault="008922F8" w:rsidP="008922F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14:paraId="0657DE66" w14:textId="77777777" w:rsidR="00E053F4" w:rsidRPr="00F87C3D" w:rsidRDefault="00E053F4" w:rsidP="006A2EC8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Merge w:val="restart"/>
          </w:tcPr>
          <w:p w14:paraId="73FBB004" w14:textId="7E1ECFA0" w:rsidR="00713D58" w:rsidRPr="00F87C3D" w:rsidRDefault="005B2804" w:rsidP="00655071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Grupo de Trabajo Administrativo</w:t>
            </w:r>
          </w:p>
          <w:p w14:paraId="22600620" w14:textId="41D89EAA" w:rsidR="00713D58" w:rsidRPr="00F87C3D" w:rsidRDefault="00562121" w:rsidP="00EB4FC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3013D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14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4C0D53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="00FC5D66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Informe de la Presidencia del GECT</w:t>
            </w:r>
            <w:r w:rsidR="005E60CB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, incluido el punto 14.a, Plan de trabajo del GECT para 2016-2018</w:t>
            </w:r>
          </w:p>
          <w:p w14:paraId="58D7CC7F" w14:textId="60EB66EE" w:rsidR="004C0D53" w:rsidRPr="008922F8" w:rsidRDefault="004C0D53" w:rsidP="004C0D53">
            <w:pPr>
              <w:spacing w:after="0" w:line="240" w:lineRule="auto"/>
              <w:rPr>
                <w:rFonts w:asciiTheme="minorHAnsi" w:hAnsiTheme="minorHAnsi" w:cs="Calibri"/>
                <w:spacing w:val="-4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Doc.SC52-10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E053F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5E60CB" w:rsidRPr="008922F8">
              <w:rPr>
                <w:rFonts w:asciiTheme="minorHAnsi" w:hAnsiTheme="minorHAnsi"/>
                <w:bCs/>
                <w:i/>
                <w:spacing w:val="-4"/>
                <w:sz w:val="20"/>
                <w:szCs w:val="20"/>
                <w:lang w:val="es-ES_tradnl"/>
              </w:rPr>
              <w:t>Informe de la Presidencia del Grupo de Examen Científico y Técnico (GECT) y proyecto modificado de plan de trabajo del GECT para 2016-2018</w:t>
            </w:r>
          </w:p>
          <w:p w14:paraId="69CCF9ED" w14:textId="77777777" w:rsidR="0035554F" w:rsidRPr="00F87C3D" w:rsidRDefault="0035554F" w:rsidP="0035554F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779CF879" w14:textId="2C3A2F29" w:rsidR="0035554F" w:rsidRPr="00F87C3D" w:rsidRDefault="005B2804" w:rsidP="0035554F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Grupo de Trabajo Administrativo</w:t>
            </w:r>
          </w:p>
          <w:p w14:paraId="2E4BB04F" w14:textId="77777777" w:rsidR="00EB4FC7" w:rsidRDefault="00EB4FC7" w:rsidP="005E60C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79172205" w14:textId="77777777" w:rsidR="008922F8" w:rsidRPr="00F87C3D" w:rsidRDefault="008922F8" w:rsidP="005E60C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33C196FF" w14:textId="068435A1" w:rsidR="00EB4FC7" w:rsidRPr="00F87C3D" w:rsidRDefault="00562121" w:rsidP="005E60C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5E60CB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14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35554F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</w:t>
            </w:r>
          </w:p>
          <w:p w14:paraId="43ABBA25" w14:textId="649B4561" w:rsidR="005E60CB" w:rsidRPr="00F87C3D" w:rsidRDefault="005E60CB" w:rsidP="005E60C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Informe de la Presidencia del GECT, incluido el punto 14.a, Plan de trabajo del GECT para 2016-2018</w:t>
            </w:r>
          </w:p>
          <w:p w14:paraId="1D46FA65" w14:textId="77777777" w:rsidR="0035554F" w:rsidRPr="00F87C3D" w:rsidRDefault="0035554F" w:rsidP="0035554F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Doc.SC52-10</w:t>
            </w:r>
          </w:p>
          <w:p w14:paraId="4700BD86" w14:textId="77777777" w:rsidR="0035554F" w:rsidRPr="00F87C3D" w:rsidRDefault="0035554F" w:rsidP="00E205B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02738670" w14:textId="77777777" w:rsidR="0035554F" w:rsidRPr="00F87C3D" w:rsidRDefault="0035554F" w:rsidP="00E205B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713D58" w:rsidRPr="00B554C4" w14:paraId="69FC2D72" w14:textId="77777777" w:rsidTr="00CF70A1">
        <w:trPr>
          <w:cantSplit/>
        </w:trPr>
        <w:tc>
          <w:tcPr>
            <w:tcW w:w="6663" w:type="dxa"/>
          </w:tcPr>
          <w:p w14:paraId="07F8663C" w14:textId="4D90B32A" w:rsidR="00713D58" w:rsidRPr="00F87C3D" w:rsidRDefault="00713D58" w:rsidP="002A1D69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 xml:space="preserve">19. </w:t>
            </w:r>
            <w:r w:rsidR="002A1D69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DECIDE disolver el Comité de Supervisión del GECT y </w:t>
            </w:r>
            <w:r w:rsidR="002A1D69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ENCARGA al Grupo de Trabajo Administrativo del Comité Permanente que se haga cargo de la función del Comité de Supervisión del GECT</w:t>
            </w:r>
            <w:r w:rsidR="002A1D69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 establecido en la Resolución IX.11, y que supervise la labor del GECT según se indica en el Anexo 1 de la presente Resolución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5F76C1F8" w14:textId="77777777" w:rsidR="00713D58" w:rsidRPr="00F87C3D" w:rsidRDefault="00713D58" w:rsidP="00655071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713D58" w:rsidRPr="00B554C4" w14:paraId="6199EA21" w14:textId="77777777" w:rsidTr="00CF70A1">
        <w:trPr>
          <w:cantSplit/>
        </w:trPr>
        <w:tc>
          <w:tcPr>
            <w:tcW w:w="6663" w:type="dxa"/>
          </w:tcPr>
          <w:p w14:paraId="0A684CE7" w14:textId="125D0C14" w:rsidR="00713D58" w:rsidRPr="00F87C3D" w:rsidRDefault="00713D58" w:rsidP="002A1D69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 xml:space="preserve">21. </w:t>
            </w:r>
            <w:r w:rsidR="002A1D69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DECIDE que el Comité Permanente apruebe en su </w:t>
            </w:r>
            <w:r w:rsidR="00F87C3D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51ª</w:t>
            </w:r>
            <w:r w:rsidR="002A1D69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reunión el programa de trabajo del GECT para el próximo trienio</w:t>
            </w:r>
            <w:r w:rsidR="002A1D69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 elaborado a partir de las áreas de trabajo temáticas establecidas y aprobadas por la Conferencia de las Partes, en consonancia con el Plan Estratégico para 2016- 2024;</w:t>
            </w:r>
          </w:p>
        </w:tc>
        <w:tc>
          <w:tcPr>
            <w:tcW w:w="2551" w:type="dxa"/>
            <w:vMerge/>
          </w:tcPr>
          <w:p w14:paraId="5E5AEF44" w14:textId="77777777" w:rsidR="00713D58" w:rsidRPr="00F87C3D" w:rsidRDefault="00713D58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713D58" w:rsidRPr="00B554C4" w14:paraId="3AE8C961" w14:textId="77777777" w:rsidTr="00CF70A1">
        <w:trPr>
          <w:cantSplit/>
        </w:trPr>
        <w:tc>
          <w:tcPr>
            <w:tcW w:w="6663" w:type="dxa"/>
          </w:tcPr>
          <w:p w14:paraId="68B7D970" w14:textId="13103569" w:rsidR="00713D58" w:rsidRPr="00F87C3D" w:rsidRDefault="00713D58" w:rsidP="009026F3">
            <w:pPr>
              <w:spacing w:after="0" w:line="240" w:lineRule="auto"/>
              <w:ind w:left="317" w:hanging="317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27. </w:t>
            </w:r>
            <w:r w:rsidR="002A1D69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APRUEBA la lista de órganos y organizaciones que se pueden invitar a participar en calidad de observadores en las reuniones y los procesos del GECT, que figura en el Anexo 2 de la presente Resolución, y </w:t>
            </w:r>
            <w:r w:rsidR="002A1D69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ENCARGA al Comité Permanente que modifique la lista du</w:t>
            </w:r>
            <w:r w:rsidR="009026F3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rante el trienio según proceda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; </w:t>
            </w:r>
          </w:p>
        </w:tc>
        <w:tc>
          <w:tcPr>
            <w:tcW w:w="2551" w:type="dxa"/>
            <w:vMerge/>
          </w:tcPr>
          <w:p w14:paraId="701D9BA4" w14:textId="77777777" w:rsidR="00713D58" w:rsidRPr="00F87C3D" w:rsidRDefault="00713D58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1469ED" w:rsidRPr="00F87C3D" w14:paraId="1A160AF9" w14:textId="77777777" w:rsidTr="00691C45">
        <w:trPr>
          <w:cantSplit/>
        </w:trPr>
        <w:tc>
          <w:tcPr>
            <w:tcW w:w="9214" w:type="dxa"/>
            <w:gridSpan w:val="2"/>
          </w:tcPr>
          <w:p w14:paraId="0F82702C" w14:textId="394681A8" w:rsidR="001469ED" w:rsidRPr="00F87C3D" w:rsidRDefault="009026F3" w:rsidP="009026F3">
            <w:pPr>
              <w:tabs>
                <w:tab w:val="left" w:pos="2700"/>
              </w:tabs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Iniciativas regionales de </w:t>
            </w:r>
            <w:r w:rsidR="001469ED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Ramsar</w:t>
            </w:r>
          </w:p>
        </w:tc>
      </w:tr>
      <w:tr w:rsidR="001469ED" w:rsidRPr="00B554C4" w14:paraId="72F8F573" w14:textId="77777777" w:rsidTr="00CF70A1">
        <w:trPr>
          <w:cantSplit/>
        </w:trPr>
        <w:tc>
          <w:tcPr>
            <w:tcW w:w="6663" w:type="dxa"/>
          </w:tcPr>
          <w:p w14:paraId="5AAFB4C4" w14:textId="62957944" w:rsidR="001469ED" w:rsidRPr="00F87C3D" w:rsidRDefault="00691C45" w:rsidP="008573D0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1469ED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XII.8</w:t>
            </w:r>
            <w:r w:rsidR="00F87C3D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, </w:t>
            </w:r>
            <w:r w:rsidR="00F87C3D" w:rsidRPr="00F87C3D"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  <w:t xml:space="preserve">Iniciativas regionales para </w:t>
            </w:r>
            <w:r w:rsidR="001469ED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 xml:space="preserve">2016-2018 </w:t>
            </w:r>
            <w:r w:rsidR="00F87C3D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en el marco de la Convención de Ramsar</w:t>
            </w:r>
          </w:p>
          <w:p w14:paraId="21B6B9E4" w14:textId="5683B190" w:rsidR="001469ED" w:rsidRPr="00F87C3D" w:rsidRDefault="001469ED" w:rsidP="009026F3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9.   </w:t>
            </w:r>
            <w:r w:rsidR="009026F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ENCARGA </w:t>
            </w:r>
            <w:r w:rsidR="009026F3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al Comité Permanente que revise los Lineamientos Operativos destinados a las iniciativas regionales</w:t>
            </w:r>
            <w:r w:rsidR="009026F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para apoyar la aplicación de la Convención, según fueron adoptados para 2013-2015 a través de la Decisión SC46-28 del Comité Permanente y publicados en el sitio web de Ramsar, teniendo en cuenta, entre otros, aspectos de gobernanza, capacidad, recaudación de fondos y enfoques basados en programas en consonancia con el Plan Estratégico de Ramsar, </w:t>
            </w:r>
            <w:r w:rsidR="009026F3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y adopte las enmiendas necesarias antes de la </w:t>
            </w:r>
            <w:r w:rsidR="00F87C3D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52ª</w:t>
            </w:r>
            <w:r w:rsidR="009026F3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reunión del Comité Permanente (SC52)</w:t>
            </w: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 w:val="restart"/>
          </w:tcPr>
          <w:p w14:paraId="7A062EE0" w14:textId="35565CC3" w:rsidR="00F924B7" w:rsidRPr="00F87C3D" w:rsidRDefault="004B6FD4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Reunión del Grupo de trabajo sobre las iniciativas regionales de Ramsar</w:t>
            </w:r>
          </w:p>
          <w:p w14:paraId="5A41396A" w14:textId="77777777" w:rsidR="00F924B7" w:rsidRPr="00F87C3D" w:rsidRDefault="00F924B7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13448308" w14:textId="47C2373E" w:rsidR="00F924B7" w:rsidRPr="00F87C3D" w:rsidRDefault="00562121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B554C4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5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de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l orden del día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 Iniciativas regionales de Ramsar</w:t>
            </w:r>
          </w:p>
          <w:p w14:paraId="4663967C" w14:textId="26CD3CA9" w:rsidR="00A55AD8" w:rsidRPr="00F87C3D" w:rsidRDefault="00574163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1</w:t>
            </w:r>
            <w:r w:rsidR="00B554C4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5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a. </w:t>
            </w:r>
            <w:r w:rsidR="004B6FD4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Informe del Grupo de trabajo para examinar los lineamientos operativos actuales para las iniciativas regionales de Ramsar </w:t>
            </w:r>
          </w:p>
          <w:p w14:paraId="7590DEF2" w14:textId="77777777" w:rsidR="00A55AD8" w:rsidRPr="00F87C3D" w:rsidRDefault="00A55AD8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51C5EA31" w14:textId="77777777" w:rsidR="00A55AD8" w:rsidRPr="00F87C3D" w:rsidRDefault="00A55AD8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30B63271" w14:textId="77777777" w:rsidR="00A55AD8" w:rsidRPr="00F87C3D" w:rsidRDefault="00A55AD8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58B9EE51" w14:textId="77777777" w:rsidR="00A55AD8" w:rsidRPr="00F87C3D" w:rsidRDefault="00A55AD8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6FF88E63" w14:textId="1B5A03AA" w:rsidR="00190A82" w:rsidRPr="00F87C3D" w:rsidRDefault="00574163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Doc.SC52-11</w:t>
            </w:r>
            <w:r w:rsidR="00F87C3D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A55AD8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4B6FD4"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t>Actualización sobre las iniciativas regionales de Ramsar</w:t>
            </w:r>
          </w:p>
          <w:p w14:paraId="2D7B5A8F" w14:textId="77777777" w:rsidR="00190A82" w:rsidRPr="00F87C3D" w:rsidRDefault="00190A82" w:rsidP="00574163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704DFDAF" w14:textId="77777777" w:rsidR="00274F90" w:rsidRPr="00F87C3D" w:rsidRDefault="00274F90" w:rsidP="00190A8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7B0A0554" w14:textId="77777777" w:rsidR="00274F90" w:rsidRPr="00F87C3D" w:rsidRDefault="00274F90" w:rsidP="00190A8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4A7B50F0" w14:textId="286E3CED" w:rsidR="00190A82" w:rsidRPr="00F87C3D" w:rsidRDefault="00562121" w:rsidP="00190A8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1</w:t>
            </w:r>
            <w:r w:rsidR="00B554C4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5.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</w:t>
            </w:r>
            <w:r w:rsidR="00B554C4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.</w:t>
            </w:r>
            <w:bookmarkStart w:id="0" w:name="_GoBack"/>
            <w:bookmarkEnd w:id="0"/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190A8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="004B6FD4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Examen de las nuevas iniciativas regionales</w:t>
            </w:r>
          </w:p>
          <w:p w14:paraId="77DCF6E7" w14:textId="54B3F2CA" w:rsidR="00190A82" w:rsidRPr="00F87C3D" w:rsidRDefault="00190A82" w:rsidP="00190A8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Doc.SC52-12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4B6FD4"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t>Propuestas de nuevas iniciativas regionales de Ramsar</w:t>
            </w:r>
          </w:p>
        </w:tc>
      </w:tr>
      <w:tr w:rsidR="001469ED" w:rsidRPr="00B554C4" w14:paraId="129731D1" w14:textId="77777777" w:rsidTr="00CF70A1">
        <w:trPr>
          <w:cantSplit/>
        </w:trPr>
        <w:tc>
          <w:tcPr>
            <w:tcW w:w="6663" w:type="dxa"/>
          </w:tcPr>
          <w:p w14:paraId="53ED2E98" w14:textId="6F30D3C1" w:rsidR="001469ED" w:rsidRPr="00F87C3D" w:rsidRDefault="001469ED" w:rsidP="009026F3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10. </w:t>
            </w:r>
            <w:r w:rsidR="009026F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APRUEBA la validez y el uso de los Lineamientos Operativos destinados a las iniciativas regionales, que fueron adoptados para 2013-2015, durante el período 2016-2018, hasta tanto las modificaciones solicitadas sean aprobadas por el Comité Permanente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4D2153C3" w14:textId="77777777" w:rsidR="001469ED" w:rsidRPr="00F87C3D" w:rsidRDefault="001469ED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1469ED" w:rsidRPr="00B554C4" w14:paraId="304E66B6" w14:textId="77777777" w:rsidTr="00CF70A1">
        <w:trPr>
          <w:cantSplit/>
        </w:trPr>
        <w:tc>
          <w:tcPr>
            <w:tcW w:w="6663" w:type="dxa"/>
          </w:tcPr>
          <w:p w14:paraId="4D5EC776" w14:textId="3BC0EFFD" w:rsidR="001469ED" w:rsidRPr="00F87C3D" w:rsidRDefault="001469ED" w:rsidP="00080F66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12. </w:t>
            </w:r>
            <w:r w:rsidR="00080F66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PIDE al Comité Permanente que </w:t>
            </w:r>
            <w:r w:rsidR="00080F66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continúe evaluando cada año, a partir de los informes presentados y siguiendo el formato adoptado a través de la Decisión SC41-21 del Comité Permanente, el funcionamiento de las iniciativas regionales </w:t>
            </w:r>
            <w:r w:rsidR="00080F66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con respecto a los Lineamientos Operativos y la aplicación de la Convención y el Plan Estratégico de Ramsar para 2016-2024, solicitando el apoyo del Grupo de supervisión de las actividades de CECoP cuando proceda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4816DDF9" w14:textId="77777777" w:rsidR="001469ED" w:rsidRPr="00F87C3D" w:rsidRDefault="001469ED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1469ED" w:rsidRPr="00B554C4" w14:paraId="7F583A04" w14:textId="77777777" w:rsidTr="00CF70A1">
        <w:trPr>
          <w:cantSplit/>
        </w:trPr>
        <w:tc>
          <w:tcPr>
            <w:tcW w:w="6663" w:type="dxa"/>
          </w:tcPr>
          <w:p w14:paraId="4AC71202" w14:textId="50FADFD6" w:rsidR="001469ED" w:rsidRPr="00F87C3D" w:rsidRDefault="001469ED" w:rsidP="00996F53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15. </w:t>
            </w:r>
            <w:r w:rsidR="00080F66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DECIDE ADEMÁS que los niveles de apoyo financiero destinado a las iniciativas regionales con cargo al presupuesto básico de la Convención para los años 2016, 2017 y 2018 los determine el Comité Permanente cada año</w:t>
            </w:r>
            <w:r w:rsidR="00080F66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, basándose en los informes más recientes y los planes de trabajo actualizados que se deben presentar en el formato y el calendario requeridos y teniendo en cuenta las recomendaciones con</w:t>
            </w:r>
            <w:r w:rsidR="00996F5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cretas del Subgrupo de Finanzas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520AB1EA" w14:textId="77777777" w:rsidR="001469ED" w:rsidRPr="00F87C3D" w:rsidRDefault="001469ED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1469ED" w:rsidRPr="00B554C4" w14:paraId="520AD0AA" w14:textId="77777777" w:rsidTr="00CF70A1">
        <w:trPr>
          <w:cantSplit/>
        </w:trPr>
        <w:tc>
          <w:tcPr>
            <w:tcW w:w="6663" w:type="dxa"/>
          </w:tcPr>
          <w:p w14:paraId="76B6ADC0" w14:textId="74C51505" w:rsidR="001469ED" w:rsidRPr="00F87C3D" w:rsidRDefault="001469ED" w:rsidP="00996F53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24. </w:t>
            </w:r>
            <w:r w:rsidR="00996F5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ENCARGA al Comité Permanente que </w:t>
            </w:r>
            <w:r w:rsidR="00996F53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prepare un informe resumido de sus evaluaciones anuales en el que examine las actividades y los logros de las iniciativas regionales durante el período 2016-2018</w:t>
            </w:r>
            <w:r w:rsidR="00996F5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para someterlo a la consideración de las Partes Contratantes en la </w:t>
            </w:r>
            <w:r w:rsidR="00F87C3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13ª</w:t>
            </w:r>
            <w:r w:rsidR="00996F53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reunión de la Conferencia de las Partes Contratantes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/>
          </w:tcPr>
          <w:p w14:paraId="59349A28" w14:textId="77777777" w:rsidR="001469ED" w:rsidRPr="00F87C3D" w:rsidRDefault="001469ED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1469ED" w:rsidRPr="00F87C3D" w14:paraId="3EB15348" w14:textId="77777777" w:rsidTr="00691C45">
        <w:trPr>
          <w:cantSplit/>
        </w:trPr>
        <w:tc>
          <w:tcPr>
            <w:tcW w:w="9214" w:type="dxa"/>
            <w:gridSpan w:val="2"/>
          </w:tcPr>
          <w:p w14:paraId="03F3E553" w14:textId="2F0AFE3A" w:rsidR="001469ED" w:rsidRPr="00F87C3D" w:rsidRDefault="00996F53" w:rsidP="00713D58">
            <w:pPr>
              <w:spacing w:before="240" w:after="0" w:line="24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CECoP</w:t>
            </w:r>
          </w:p>
        </w:tc>
      </w:tr>
      <w:tr w:rsidR="001469ED" w:rsidRPr="00B554C4" w14:paraId="4870A195" w14:textId="77777777" w:rsidTr="00CF70A1">
        <w:trPr>
          <w:cantSplit/>
        </w:trPr>
        <w:tc>
          <w:tcPr>
            <w:tcW w:w="6663" w:type="dxa"/>
          </w:tcPr>
          <w:p w14:paraId="33D4B87D" w14:textId="167617FC" w:rsidR="001469ED" w:rsidRPr="00F87C3D" w:rsidRDefault="00691C45" w:rsidP="008573D0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>Resolución</w:t>
            </w:r>
            <w:r w:rsidR="001469ED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XII.9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1469ED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4E7F06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Programa de la Convención de Ramsar sobre comunicación, fomento de capacidad, educación, concienciación y participación (CECoP</w:t>
            </w:r>
            <w:r w:rsidR="001469ED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 xml:space="preserve">) </w:t>
            </w:r>
            <w:r w:rsidR="004E7F06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para 2</w:t>
            </w:r>
            <w:r w:rsidR="001469ED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016-2024</w:t>
            </w:r>
          </w:p>
          <w:p w14:paraId="02B66A42" w14:textId="60FCB846" w:rsidR="001469ED" w:rsidRPr="00F87C3D" w:rsidRDefault="00190A82" w:rsidP="004E7F06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XII.9.</w:t>
            </w:r>
            <w:r w:rsidR="001469ED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11. </w:t>
            </w:r>
            <w:r w:rsidR="004E7F06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PIDE al Grupo de supervisión de las actividades de CECoP que continúe supervisando las cuestiones de CECoP en el plano nacional en el marco de la Convención y los progresos realizados en la aplicación del Programa de CECoP e informando al respecto, según se establece en la presente Resolución, y siga asesorando al Comité Permanente y a la Secretaría sobre las prioridades en la labor de CECoP en los planos nacional e internacional</w:t>
            </w:r>
            <w:r w:rsidR="001469ED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</w:tcPr>
          <w:p w14:paraId="4F6CD5AC" w14:textId="77777777" w:rsidR="004B6FD4" w:rsidRPr="00F87C3D" w:rsidRDefault="00562121" w:rsidP="004B6FD4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20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190A8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="004B6FD4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CECoP y comunicaciones de la Secretaría</w:t>
            </w:r>
          </w:p>
          <w:p w14:paraId="2B170719" w14:textId="24FE6B73" w:rsidR="00190A82" w:rsidRPr="00F87C3D" w:rsidRDefault="00190A82" w:rsidP="00190A8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2D780880" w14:textId="77777777" w:rsidR="00190A82" w:rsidRPr="00F87C3D" w:rsidRDefault="00190A82" w:rsidP="00190A8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70EAECBD" w14:textId="2CE5BA62" w:rsidR="00190A82" w:rsidRPr="00F87C3D" w:rsidRDefault="00562121" w:rsidP="00190A8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20.a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190A8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="004B6FD4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Informe del </w:t>
            </w:r>
            <w:r w:rsidR="004B6FD4" w:rsidRPr="00F87C3D">
              <w:rPr>
                <w:rFonts w:asciiTheme="minorHAnsi" w:eastAsia="Garamond" w:hAnsiTheme="minorHAnsi" w:cs="Garamond"/>
                <w:sz w:val="20"/>
                <w:szCs w:val="20"/>
                <w:lang w:val="es-ES_tradnl"/>
              </w:rPr>
              <w:t>Grupo de supervisión de las actividades de CECoP</w:t>
            </w:r>
          </w:p>
          <w:p w14:paraId="7F89117B" w14:textId="77777777" w:rsidR="001469ED" w:rsidRPr="00F87C3D" w:rsidRDefault="001469ED" w:rsidP="00190A8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D496A" w:rsidRPr="00B554C4" w14:paraId="70F9000E" w14:textId="77777777" w:rsidTr="00691C45">
        <w:trPr>
          <w:cantSplit/>
        </w:trPr>
        <w:tc>
          <w:tcPr>
            <w:tcW w:w="6663" w:type="dxa"/>
          </w:tcPr>
          <w:p w14:paraId="23F39B63" w14:textId="05EA581F" w:rsidR="005D496A" w:rsidRPr="00F87C3D" w:rsidRDefault="005D496A" w:rsidP="0030194B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XII.9.</w:t>
            </w:r>
            <w:r w:rsidR="0030194B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27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="003F5E12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PIDE al Secretario General que presente un informe sobre los progresos en la mejora del sitio web de Ramsar al</w:t>
            </w:r>
            <w:r w:rsidR="0030194B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Comité Permanente y a la COP13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;</w:t>
            </w:r>
          </w:p>
        </w:tc>
        <w:tc>
          <w:tcPr>
            <w:tcW w:w="2551" w:type="dxa"/>
            <w:vMerge w:val="restart"/>
          </w:tcPr>
          <w:p w14:paraId="539CD8AA" w14:textId="4B82E7E7" w:rsidR="00A55AD8" w:rsidRPr="00F87C3D" w:rsidRDefault="00A55AD8" w:rsidP="005D496A">
            <w:pPr>
              <w:spacing w:after="0" w:line="240" w:lineRule="auto"/>
              <w:rPr>
                <w:rFonts w:asciiTheme="minorHAnsi" w:hAnsiTheme="minorHAnsi" w:cs="Calibri"/>
                <w:i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Doc.SC52-04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4B6FD4" w:rsidRPr="00F87C3D">
              <w:rPr>
                <w:rFonts w:asciiTheme="minorHAnsi" w:hAnsiTheme="minorHAnsi"/>
                <w:bCs/>
                <w:i/>
                <w:sz w:val="20"/>
                <w:szCs w:val="20"/>
                <w:lang w:val="es-ES_tradnl"/>
              </w:rPr>
              <w:t>Informe de la Secretaria General en funciones</w:t>
            </w:r>
          </w:p>
          <w:p w14:paraId="4330D856" w14:textId="29CD8100" w:rsidR="00372EDE" w:rsidRPr="00F87C3D" w:rsidRDefault="00562121" w:rsidP="004B6F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12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EB4FC7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372EDE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 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Planes de trabajo de la Secretaría</w:t>
            </w:r>
            <w:r w:rsidR="00372EDE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, 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372EDE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a.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4B6FD4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 xml:space="preserve">Plan de trabajo para el trienio 2016-2018 </w:t>
            </w:r>
            <w:r w:rsidR="00372EDE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(Doc.SC52-07) </w:t>
            </w:r>
          </w:p>
          <w:p w14:paraId="43E82845" w14:textId="77777777" w:rsidR="00372EDE" w:rsidRPr="00F87C3D" w:rsidRDefault="00372EDE" w:rsidP="005D496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3C5DAE6B" w14:textId="539C259E" w:rsidR="00372EDE" w:rsidRPr="00F87C3D" w:rsidRDefault="00562121" w:rsidP="004B6FD4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20.e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372EDE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="004B6FD4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Actualización sobre el sitio web de Ramsar y el sitio del Servicio de Información sobre Sitios Ramsar (SISR)</w:t>
            </w:r>
          </w:p>
        </w:tc>
      </w:tr>
      <w:tr w:rsidR="005D496A" w:rsidRPr="00B554C4" w14:paraId="7FF456C5" w14:textId="77777777" w:rsidTr="00691C45">
        <w:trPr>
          <w:cantSplit/>
        </w:trPr>
        <w:tc>
          <w:tcPr>
            <w:tcW w:w="6663" w:type="dxa"/>
          </w:tcPr>
          <w:p w14:paraId="1B841A57" w14:textId="07D80F10" w:rsidR="005D496A" w:rsidRPr="00F87C3D" w:rsidRDefault="00691C45" w:rsidP="005D496A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Resolución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XII.3</w:t>
            </w:r>
            <w:r w:rsidR="00F01F33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F01F33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Mejora de los idiomas, la visibilidad y la envergadura de la Convención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[…]</w:t>
            </w:r>
          </w:p>
          <w:p w14:paraId="35F33BD2" w14:textId="0B6F35CF" w:rsidR="005D496A" w:rsidRPr="00F87C3D" w:rsidRDefault="005D496A" w:rsidP="008A57AA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XII.3.31. </w:t>
            </w:r>
            <w:r w:rsidR="008A57A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ENCARGA a la Secretaría que, con sujeción a la disponibilidad de recursos y con la asistencia de las Partes Contratantes y los Centros Regionales, bajo la dirección del Grupo de Trabajo Administrativo, establezca una biblioteca online de traducciones oficiales y no oficiales realizadas por los gobiernos de los documentos de Ramsar que sea públicamente accesible e informe a la COP13 sobre los progresos alcanzados y PIDE a las Partes que proporcionen esos documentos a la Secretaría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;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ab/>
            </w:r>
          </w:p>
        </w:tc>
        <w:tc>
          <w:tcPr>
            <w:tcW w:w="2551" w:type="dxa"/>
            <w:vMerge/>
          </w:tcPr>
          <w:p w14:paraId="4F4AB451" w14:textId="77777777" w:rsidR="005D496A" w:rsidRPr="00F87C3D" w:rsidRDefault="005D496A" w:rsidP="005D496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D496A" w:rsidRPr="00B554C4" w14:paraId="18EBFA77" w14:textId="77777777" w:rsidTr="00691C45">
        <w:trPr>
          <w:cantSplit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1D17B" w14:textId="63C3F636" w:rsidR="005D496A" w:rsidRPr="00F87C3D" w:rsidRDefault="00691C45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Resolución</w:t>
            </w:r>
            <w:r w:rsidR="005D496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XII.4 </w:t>
            </w:r>
            <w:r w:rsidR="008A57AA" w:rsidRPr="00F87C3D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Responsabilidades, funciones y composición del Comité Permanente</w:t>
            </w:r>
            <w:r w:rsidR="005D496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[…]</w:t>
            </w:r>
          </w:p>
          <w:p w14:paraId="4FBE36B9" w14:textId="5F8F68CD" w:rsidR="005D496A" w:rsidRPr="00F87C3D" w:rsidRDefault="005D496A" w:rsidP="00691C45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XII.4.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7.   </w:t>
            </w:r>
            <w:r w:rsidR="003F19C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SOLICITA al Comité Permanente que preste una atención especial a las decisiones adoptadas por la </w:t>
            </w:r>
            <w:r w:rsidR="00F87C3D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12ª</w:t>
            </w:r>
            <w:r w:rsidR="003F19C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 reunión de la Conferencia de las Partes y a todas las decisiones adoptadas por la COP con anterioridad, mediante las siguientes acciones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: </w:t>
            </w:r>
          </w:p>
          <w:p w14:paraId="4F462548" w14:textId="74921DD3" w:rsidR="005D496A" w:rsidRPr="00F87C3D" w:rsidRDefault="005D496A" w:rsidP="008A57AA">
            <w:pPr>
              <w:spacing w:after="0" w:line="240" w:lineRule="auto"/>
              <w:ind w:left="545" w:hanging="22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f. </w:t>
            </w:r>
            <w:r w:rsidR="008A57A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Dirigir el trabajo de la Secretaría para mejorar el sitio web de Ramsar</w:t>
            </w:r>
            <w:r w:rsidR="008A57A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y los servicios conexos, así como la utilización de la base de datos del SISR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; 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51111F56" w14:textId="77777777" w:rsidR="005D496A" w:rsidRPr="00F87C3D" w:rsidRDefault="005D496A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  <w:tr w:rsidR="005D496A" w:rsidRPr="00B554C4" w14:paraId="233B0C70" w14:textId="77777777" w:rsidTr="00CF70A1">
        <w:trPr>
          <w:cantSplit/>
        </w:trPr>
        <w:tc>
          <w:tcPr>
            <w:tcW w:w="6663" w:type="dxa"/>
          </w:tcPr>
          <w:p w14:paraId="2FF46100" w14:textId="30A6A0C6" w:rsidR="005D496A" w:rsidRPr="00F87C3D" w:rsidRDefault="005D496A" w:rsidP="008A57AA">
            <w:pPr>
              <w:spacing w:after="0" w:line="240" w:lineRule="auto"/>
              <w:ind w:left="317" w:hanging="317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XII.9.9. </w:t>
            </w:r>
            <w:r w:rsidR="008A57A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PIDE que el Comité Permanente, en su 51ª reunión, </w:t>
            </w:r>
            <w:r w:rsidR="008A57AA" w:rsidRPr="00F87C3D">
              <w:rPr>
                <w:rFonts w:asciiTheme="minorHAnsi" w:hAnsiTheme="minorHAnsi" w:cs="Calibri"/>
                <w:b/>
                <w:sz w:val="20"/>
                <w:szCs w:val="20"/>
                <w:lang w:val="es-ES_tradnl"/>
              </w:rPr>
              <w:t>cree un mecanismo de las Partes Contratantes y de la Secretaría que guíe las actividades de comunicación de la Secretaría</w:t>
            </w:r>
            <w:r w:rsidR="008A57A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, en particular fijando prioridades y orientando el diseño del Plan de Acción de CECoP de la Secretaría, haga un seguimiento de la eficacia del Plan y presente un informe al Grupo de Trabajo Administrativo en cada una de sus reuniones, y PIDE ASIMISMO que la función del mecanismo sea establecer, con el asesoramiento del Grupo de Examen Científico y Técnico (GECT), un nuevo enfoque para asesorar y apoyar las actividades de CECoP en la Convención que habrá de presentarse a la 13ª reunión de la Conferencia de las Partes (COP13)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551" w:type="dxa"/>
            <w:vMerge w:val="restart"/>
          </w:tcPr>
          <w:p w14:paraId="4D3A1890" w14:textId="4F61C782" w:rsidR="005D496A" w:rsidRPr="00F87C3D" w:rsidRDefault="004B6FD4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Informe del Grupo de trabajo sobre la aplicación de la CECoP al Grup</w:t>
            </w:r>
            <w:r w:rsidR="005B280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o de Trabajo Administrativo</w:t>
            </w:r>
          </w:p>
          <w:p w14:paraId="48CD24CD" w14:textId="77777777" w:rsidR="005D496A" w:rsidRPr="00F87C3D" w:rsidRDefault="005D496A" w:rsidP="005D496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0109BA2C" w14:textId="3EA1CC99" w:rsidR="005D496A" w:rsidRPr="00F87C3D" w:rsidRDefault="00562121" w:rsidP="005D496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Punto </w:t>
            </w:r>
            <w:r w:rsidR="004B6FD4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20.b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del orden del día</w:t>
            </w:r>
            <w:r w:rsidR="005D496A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. </w:t>
            </w:r>
            <w:r w:rsidR="004B6FD4" w:rsidRPr="00F87C3D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Plan de acción de CECoP revisado para la Secretaría de Ramsar 2016-2018</w:t>
            </w:r>
          </w:p>
          <w:p w14:paraId="6D37DA76" w14:textId="77777777" w:rsidR="00372EDE" w:rsidRPr="00F87C3D" w:rsidRDefault="00372EDE" w:rsidP="005D496A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  <w:p w14:paraId="12C4CEB7" w14:textId="28A144B1" w:rsidR="00372EDE" w:rsidRPr="00F87C3D" w:rsidRDefault="00321C3F" w:rsidP="00274F90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Reunión del</w:t>
            </w:r>
            <w:r w:rsidR="00372EDE"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F87C3D">
              <w:rPr>
                <w:rFonts w:asciiTheme="minorHAnsi" w:hAnsiTheme="minorHAnsi" w:cs="Calibri"/>
                <w:sz w:val="20"/>
                <w:szCs w:val="20"/>
                <w:lang w:val="es-ES_tradnl"/>
              </w:rPr>
              <w:t>Grupo de trabajo sobre la aplicación de la CECoP</w:t>
            </w:r>
          </w:p>
        </w:tc>
      </w:tr>
      <w:tr w:rsidR="005D496A" w:rsidRPr="00B554C4" w14:paraId="28D86E38" w14:textId="77777777" w:rsidTr="00CF70A1">
        <w:trPr>
          <w:cantSplit/>
        </w:trPr>
        <w:tc>
          <w:tcPr>
            <w:tcW w:w="6663" w:type="dxa"/>
          </w:tcPr>
          <w:p w14:paraId="2B58E2E1" w14:textId="63FD8ED9" w:rsidR="005D496A" w:rsidRPr="00F87C3D" w:rsidRDefault="003F19CA" w:rsidP="008A57AA">
            <w:pPr>
              <w:spacing w:after="0" w:line="240" w:lineRule="auto"/>
              <w:ind w:left="317" w:hanging="317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Decisión </w:t>
            </w:r>
            <w:r w:rsidR="008A57A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SC50-8 d</w:t>
            </w:r>
            <w:r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el Comité Permanente</w:t>
            </w:r>
            <w:r w:rsidR="005D496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: </w:t>
            </w:r>
            <w:r w:rsidR="008A57AA" w:rsidRPr="00F87C3D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El Comité Permanente acordó establecer un grupo de trabajo para supervisar la aplicación de la CECoP</w:t>
            </w:r>
            <w:r w:rsidR="008A57A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y un grupo de trabajo para mejorar los instrumentos existentes de manejo entre la UICN, el Comité Permanente y el Secretario General</w:t>
            </w:r>
            <w:r w:rsidR="005D496A" w:rsidRPr="00F87C3D">
              <w:rPr>
                <w:rFonts w:asciiTheme="minorHAnsi" w:hAnsiTheme="minorHAnsi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551" w:type="dxa"/>
            <w:vMerge/>
          </w:tcPr>
          <w:p w14:paraId="0C04A271" w14:textId="77777777" w:rsidR="005D496A" w:rsidRPr="00F87C3D" w:rsidRDefault="005D496A" w:rsidP="00691C4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s-ES_tradnl"/>
              </w:rPr>
            </w:pPr>
          </w:p>
        </w:tc>
      </w:tr>
    </w:tbl>
    <w:p w14:paraId="1209116B" w14:textId="77777777" w:rsidR="00032148" w:rsidRPr="00F87C3D" w:rsidRDefault="00032148" w:rsidP="00032148">
      <w:pPr>
        <w:spacing w:after="0" w:line="240" w:lineRule="auto"/>
        <w:rPr>
          <w:rFonts w:asciiTheme="minorHAnsi" w:hAnsiTheme="minorHAnsi" w:cs="Calibri"/>
          <w:b/>
          <w:sz w:val="20"/>
          <w:szCs w:val="20"/>
          <w:lang w:val="es-ES_tradnl"/>
        </w:rPr>
      </w:pPr>
    </w:p>
    <w:p w14:paraId="00EDFCC2" w14:textId="77777777" w:rsidR="00032148" w:rsidRPr="00F87C3D" w:rsidRDefault="00032148" w:rsidP="00032148">
      <w:pPr>
        <w:spacing w:after="0" w:line="240" w:lineRule="auto"/>
        <w:rPr>
          <w:rFonts w:asciiTheme="minorHAnsi" w:hAnsiTheme="minorHAnsi" w:cs="Calibri"/>
          <w:b/>
          <w:sz w:val="20"/>
          <w:szCs w:val="20"/>
          <w:lang w:val="es-ES_tradnl"/>
        </w:rPr>
      </w:pPr>
    </w:p>
    <w:p w14:paraId="45064B82" w14:textId="77777777" w:rsidR="0012096C" w:rsidRPr="00F87C3D" w:rsidRDefault="0012096C" w:rsidP="00295556">
      <w:pPr>
        <w:spacing w:after="0" w:line="240" w:lineRule="auto"/>
        <w:rPr>
          <w:rFonts w:asciiTheme="minorHAnsi" w:hAnsiTheme="minorHAnsi" w:cs="Arial"/>
          <w:sz w:val="20"/>
          <w:szCs w:val="20"/>
          <w:lang w:val="es-ES_tradnl"/>
        </w:rPr>
      </w:pPr>
    </w:p>
    <w:sectPr w:rsidR="0012096C" w:rsidRPr="00F87C3D" w:rsidSect="00691C45">
      <w:footerReference w:type="default" r:id="rId8"/>
      <w:pgSz w:w="11907" w:h="16839" w:code="9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E78F7" w14:textId="77777777" w:rsidR="00EB4FC7" w:rsidRDefault="00EB4FC7">
      <w:pPr>
        <w:spacing w:after="0" w:line="240" w:lineRule="auto"/>
      </w:pPr>
      <w:r>
        <w:separator/>
      </w:r>
    </w:p>
  </w:endnote>
  <w:endnote w:type="continuationSeparator" w:id="0">
    <w:p w14:paraId="1450E3F0" w14:textId="77777777" w:rsidR="00EB4FC7" w:rsidRDefault="00E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CD031" w14:textId="77777777" w:rsidR="00EB4FC7" w:rsidRPr="00293385" w:rsidRDefault="00EB4FC7" w:rsidP="00293385">
    <w:pPr>
      <w:pStyle w:val="Footer"/>
      <w:rPr>
        <w:sz w:val="20"/>
        <w:szCs w:val="20"/>
      </w:rPr>
    </w:pPr>
    <w:r w:rsidRPr="006D4F55">
      <w:rPr>
        <w:sz w:val="20"/>
        <w:szCs w:val="20"/>
      </w:rPr>
      <w:t>SC52-Inf.Doc.03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293385">
      <w:rPr>
        <w:sz w:val="20"/>
        <w:szCs w:val="20"/>
      </w:rPr>
      <w:fldChar w:fldCharType="begin"/>
    </w:r>
    <w:r w:rsidRPr="00293385">
      <w:rPr>
        <w:sz w:val="20"/>
        <w:szCs w:val="20"/>
      </w:rPr>
      <w:instrText xml:space="preserve"> PAGE   \* MERGEFORMAT </w:instrText>
    </w:r>
    <w:r w:rsidRPr="00293385">
      <w:rPr>
        <w:sz w:val="20"/>
        <w:szCs w:val="20"/>
      </w:rPr>
      <w:fldChar w:fldCharType="separate"/>
    </w:r>
    <w:r w:rsidR="00B554C4">
      <w:rPr>
        <w:noProof/>
        <w:sz w:val="20"/>
        <w:szCs w:val="20"/>
      </w:rPr>
      <w:t>8</w:t>
    </w:r>
    <w:r w:rsidRPr="0029338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B9A70" w14:textId="77777777" w:rsidR="00EB4FC7" w:rsidRDefault="00EB4FC7">
      <w:pPr>
        <w:spacing w:after="0" w:line="240" w:lineRule="auto"/>
      </w:pPr>
      <w:r>
        <w:separator/>
      </w:r>
    </w:p>
  </w:footnote>
  <w:footnote w:type="continuationSeparator" w:id="0">
    <w:p w14:paraId="01845025" w14:textId="77777777" w:rsidR="00EB4FC7" w:rsidRDefault="00E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2A5"/>
    <w:multiLevelType w:val="multilevel"/>
    <w:tmpl w:val="3B36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347A4"/>
    <w:multiLevelType w:val="multilevel"/>
    <w:tmpl w:val="5E0211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A2CA9"/>
    <w:multiLevelType w:val="multilevel"/>
    <w:tmpl w:val="0FC0B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030BF"/>
    <w:multiLevelType w:val="hybridMultilevel"/>
    <w:tmpl w:val="1CDC8EEE"/>
    <w:lvl w:ilvl="0" w:tplc="B040007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F3704"/>
    <w:multiLevelType w:val="multilevel"/>
    <w:tmpl w:val="ABA099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35191"/>
    <w:multiLevelType w:val="multilevel"/>
    <w:tmpl w:val="FADA0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23AF6"/>
    <w:multiLevelType w:val="multilevel"/>
    <w:tmpl w:val="795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25EF6"/>
    <w:multiLevelType w:val="hybridMultilevel"/>
    <w:tmpl w:val="5CC8E3BA"/>
    <w:lvl w:ilvl="0" w:tplc="BB48421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C6708"/>
    <w:multiLevelType w:val="multilevel"/>
    <w:tmpl w:val="EB34D9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06795"/>
    <w:multiLevelType w:val="multilevel"/>
    <w:tmpl w:val="28464A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62F67"/>
    <w:multiLevelType w:val="multilevel"/>
    <w:tmpl w:val="6FF68F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61DF8"/>
    <w:multiLevelType w:val="multilevel"/>
    <w:tmpl w:val="CAD8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265A4"/>
    <w:multiLevelType w:val="hybridMultilevel"/>
    <w:tmpl w:val="86F0054A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82480"/>
    <w:multiLevelType w:val="hybridMultilevel"/>
    <w:tmpl w:val="B6DC8398"/>
    <w:lvl w:ilvl="0" w:tplc="F21475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508"/>
    <w:multiLevelType w:val="multilevel"/>
    <w:tmpl w:val="DF42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E5D31"/>
    <w:multiLevelType w:val="multilevel"/>
    <w:tmpl w:val="C124FB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D7C27"/>
    <w:multiLevelType w:val="multilevel"/>
    <w:tmpl w:val="498871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12AA7"/>
    <w:multiLevelType w:val="multilevel"/>
    <w:tmpl w:val="F1B6551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3029F8"/>
    <w:multiLevelType w:val="multilevel"/>
    <w:tmpl w:val="72D26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313EA"/>
    <w:multiLevelType w:val="multilevel"/>
    <w:tmpl w:val="702004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C73C9"/>
    <w:multiLevelType w:val="multilevel"/>
    <w:tmpl w:val="8A4E3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D599E"/>
    <w:multiLevelType w:val="multilevel"/>
    <w:tmpl w:val="96641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74E85"/>
    <w:multiLevelType w:val="multilevel"/>
    <w:tmpl w:val="F768EE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495501"/>
    <w:multiLevelType w:val="multilevel"/>
    <w:tmpl w:val="A538E6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C101C"/>
    <w:multiLevelType w:val="multilevel"/>
    <w:tmpl w:val="7A44F0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E54925"/>
    <w:multiLevelType w:val="multilevel"/>
    <w:tmpl w:val="96BE64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F01ED6"/>
    <w:multiLevelType w:val="multilevel"/>
    <w:tmpl w:val="7182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0052E"/>
    <w:multiLevelType w:val="hybridMultilevel"/>
    <w:tmpl w:val="DBF291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C0CFF"/>
    <w:multiLevelType w:val="multilevel"/>
    <w:tmpl w:val="A89E4E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5D4B02"/>
    <w:multiLevelType w:val="multilevel"/>
    <w:tmpl w:val="7F568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E0786"/>
    <w:multiLevelType w:val="multilevel"/>
    <w:tmpl w:val="AF281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21"/>
  </w:num>
  <w:num w:numId="5">
    <w:abstractNumId w:val="30"/>
  </w:num>
  <w:num w:numId="6">
    <w:abstractNumId w:val="24"/>
  </w:num>
  <w:num w:numId="7">
    <w:abstractNumId w:val="19"/>
  </w:num>
  <w:num w:numId="8">
    <w:abstractNumId w:val="17"/>
  </w:num>
  <w:num w:numId="9">
    <w:abstractNumId w:val="11"/>
  </w:num>
  <w:num w:numId="10">
    <w:abstractNumId w:val="18"/>
  </w:num>
  <w:num w:numId="11">
    <w:abstractNumId w:val="23"/>
  </w:num>
  <w:num w:numId="12">
    <w:abstractNumId w:val="1"/>
  </w:num>
  <w:num w:numId="13">
    <w:abstractNumId w:val="6"/>
  </w:num>
  <w:num w:numId="14">
    <w:abstractNumId w:val="5"/>
  </w:num>
  <w:num w:numId="15">
    <w:abstractNumId w:val="29"/>
  </w:num>
  <w:num w:numId="16">
    <w:abstractNumId w:val="20"/>
  </w:num>
  <w:num w:numId="17">
    <w:abstractNumId w:val="14"/>
  </w:num>
  <w:num w:numId="18">
    <w:abstractNumId w:val="26"/>
  </w:num>
  <w:num w:numId="19">
    <w:abstractNumId w:val="22"/>
  </w:num>
  <w:num w:numId="20">
    <w:abstractNumId w:val="15"/>
  </w:num>
  <w:num w:numId="21">
    <w:abstractNumId w:val="8"/>
  </w:num>
  <w:num w:numId="22">
    <w:abstractNumId w:val="25"/>
  </w:num>
  <w:num w:numId="23">
    <w:abstractNumId w:val="28"/>
  </w:num>
  <w:num w:numId="24">
    <w:abstractNumId w:val="0"/>
  </w:num>
  <w:num w:numId="25">
    <w:abstractNumId w:val="4"/>
  </w:num>
  <w:num w:numId="26">
    <w:abstractNumId w:val="10"/>
  </w:num>
  <w:num w:numId="27">
    <w:abstractNumId w:val="16"/>
  </w:num>
  <w:num w:numId="28">
    <w:abstractNumId w:val="9"/>
  </w:num>
  <w:num w:numId="29">
    <w:abstractNumId w:val="3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8"/>
    <w:rsid w:val="00032148"/>
    <w:rsid w:val="00080F66"/>
    <w:rsid w:val="00087FD5"/>
    <w:rsid w:val="000B0C9B"/>
    <w:rsid w:val="000B39DC"/>
    <w:rsid w:val="000E4113"/>
    <w:rsid w:val="000E4991"/>
    <w:rsid w:val="000E7C1C"/>
    <w:rsid w:val="00113498"/>
    <w:rsid w:val="00114B2E"/>
    <w:rsid w:val="00120753"/>
    <w:rsid w:val="0012096C"/>
    <w:rsid w:val="0012183D"/>
    <w:rsid w:val="00133C61"/>
    <w:rsid w:val="001469ED"/>
    <w:rsid w:val="00190A82"/>
    <w:rsid w:val="001A5353"/>
    <w:rsid w:val="001B703A"/>
    <w:rsid w:val="001B7C11"/>
    <w:rsid w:val="001E0A17"/>
    <w:rsid w:val="00221204"/>
    <w:rsid w:val="0022512C"/>
    <w:rsid w:val="00274F90"/>
    <w:rsid w:val="0028118D"/>
    <w:rsid w:val="002871F8"/>
    <w:rsid w:val="00293385"/>
    <w:rsid w:val="00295556"/>
    <w:rsid w:val="002A1D69"/>
    <w:rsid w:val="002A3F75"/>
    <w:rsid w:val="002A6B51"/>
    <w:rsid w:val="002B0266"/>
    <w:rsid w:val="003013D2"/>
    <w:rsid w:val="0030194B"/>
    <w:rsid w:val="00301B72"/>
    <w:rsid w:val="00315481"/>
    <w:rsid w:val="00321C3F"/>
    <w:rsid w:val="00321E5E"/>
    <w:rsid w:val="0035554F"/>
    <w:rsid w:val="00372EDE"/>
    <w:rsid w:val="00376F5B"/>
    <w:rsid w:val="003950C4"/>
    <w:rsid w:val="003D2317"/>
    <w:rsid w:val="003E3442"/>
    <w:rsid w:val="003F19CA"/>
    <w:rsid w:val="003F5E12"/>
    <w:rsid w:val="00400599"/>
    <w:rsid w:val="004A0921"/>
    <w:rsid w:val="004B6FD4"/>
    <w:rsid w:val="004C0D53"/>
    <w:rsid w:val="004C5856"/>
    <w:rsid w:val="004E7F06"/>
    <w:rsid w:val="005055AB"/>
    <w:rsid w:val="00506419"/>
    <w:rsid w:val="00512FED"/>
    <w:rsid w:val="00527783"/>
    <w:rsid w:val="00531FBA"/>
    <w:rsid w:val="00554EE7"/>
    <w:rsid w:val="00562121"/>
    <w:rsid w:val="00563BA1"/>
    <w:rsid w:val="00574163"/>
    <w:rsid w:val="005754CA"/>
    <w:rsid w:val="005B090A"/>
    <w:rsid w:val="005B2804"/>
    <w:rsid w:val="005D496A"/>
    <w:rsid w:val="005E08D2"/>
    <w:rsid w:val="005E60CB"/>
    <w:rsid w:val="005F0B6F"/>
    <w:rsid w:val="005F3645"/>
    <w:rsid w:val="0060434E"/>
    <w:rsid w:val="0061444C"/>
    <w:rsid w:val="006466E7"/>
    <w:rsid w:val="00647FFA"/>
    <w:rsid w:val="00655071"/>
    <w:rsid w:val="006552DB"/>
    <w:rsid w:val="00664202"/>
    <w:rsid w:val="00672B44"/>
    <w:rsid w:val="00684309"/>
    <w:rsid w:val="00691C45"/>
    <w:rsid w:val="006A2EC8"/>
    <w:rsid w:val="006A72C2"/>
    <w:rsid w:val="006D4F55"/>
    <w:rsid w:val="006E0F70"/>
    <w:rsid w:val="006F4C23"/>
    <w:rsid w:val="00713D58"/>
    <w:rsid w:val="007228B8"/>
    <w:rsid w:val="00747E92"/>
    <w:rsid w:val="00773B01"/>
    <w:rsid w:val="00797E86"/>
    <w:rsid w:val="007A65AF"/>
    <w:rsid w:val="007F0581"/>
    <w:rsid w:val="008113C7"/>
    <w:rsid w:val="00830B0B"/>
    <w:rsid w:val="0085170A"/>
    <w:rsid w:val="00852320"/>
    <w:rsid w:val="00853293"/>
    <w:rsid w:val="008573D0"/>
    <w:rsid w:val="00870E01"/>
    <w:rsid w:val="0088692F"/>
    <w:rsid w:val="008922F8"/>
    <w:rsid w:val="008A57AA"/>
    <w:rsid w:val="008B018F"/>
    <w:rsid w:val="008B793D"/>
    <w:rsid w:val="009026F3"/>
    <w:rsid w:val="00916F96"/>
    <w:rsid w:val="00950F40"/>
    <w:rsid w:val="0095419F"/>
    <w:rsid w:val="00970DF0"/>
    <w:rsid w:val="00971BB0"/>
    <w:rsid w:val="00981CDC"/>
    <w:rsid w:val="009937E0"/>
    <w:rsid w:val="00996F53"/>
    <w:rsid w:val="009D184C"/>
    <w:rsid w:val="009E151D"/>
    <w:rsid w:val="00A11C39"/>
    <w:rsid w:val="00A204BE"/>
    <w:rsid w:val="00A23D5E"/>
    <w:rsid w:val="00A2481B"/>
    <w:rsid w:val="00A2704F"/>
    <w:rsid w:val="00A33DB9"/>
    <w:rsid w:val="00A55AD8"/>
    <w:rsid w:val="00A61463"/>
    <w:rsid w:val="00A75668"/>
    <w:rsid w:val="00A77A82"/>
    <w:rsid w:val="00A80BE1"/>
    <w:rsid w:val="00A96AC0"/>
    <w:rsid w:val="00AB1046"/>
    <w:rsid w:val="00AB5D17"/>
    <w:rsid w:val="00AC70E9"/>
    <w:rsid w:val="00AD3B7D"/>
    <w:rsid w:val="00AF4DE3"/>
    <w:rsid w:val="00B1733C"/>
    <w:rsid w:val="00B33EB1"/>
    <w:rsid w:val="00B41065"/>
    <w:rsid w:val="00B42788"/>
    <w:rsid w:val="00B518A2"/>
    <w:rsid w:val="00B52FB2"/>
    <w:rsid w:val="00B53CA8"/>
    <w:rsid w:val="00B554C4"/>
    <w:rsid w:val="00B85448"/>
    <w:rsid w:val="00BE091B"/>
    <w:rsid w:val="00BE5446"/>
    <w:rsid w:val="00BF077C"/>
    <w:rsid w:val="00C243C0"/>
    <w:rsid w:val="00C8122E"/>
    <w:rsid w:val="00C95B87"/>
    <w:rsid w:val="00CE18E0"/>
    <w:rsid w:val="00CF0CE7"/>
    <w:rsid w:val="00CF70A1"/>
    <w:rsid w:val="00D20281"/>
    <w:rsid w:val="00D20835"/>
    <w:rsid w:val="00D303E1"/>
    <w:rsid w:val="00D57F35"/>
    <w:rsid w:val="00D67E9C"/>
    <w:rsid w:val="00D74B4F"/>
    <w:rsid w:val="00D828FC"/>
    <w:rsid w:val="00D86E5D"/>
    <w:rsid w:val="00D930B5"/>
    <w:rsid w:val="00DB0E4A"/>
    <w:rsid w:val="00DC4D7F"/>
    <w:rsid w:val="00E053F4"/>
    <w:rsid w:val="00E06925"/>
    <w:rsid w:val="00E14489"/>
    <w:rsid w:val="00E14E99"/>
    <w:rsid w:val="00E205B8"/>
    <w:rsid w:val="00E25D07"/>
    <w:rsid w:val="00E356F2"/>
    <w:rsid w:val="00E44198"/>
    <w:rsid w:val="00EA19A1"/>
    <w:rsid w:val="00EB4FC7"/>
    <w:rsid w:val="00EE3430"/>
    <w:rsid w:val="00F01F33"/>
    <w:rsid w:val="00F87C3D"/>
    <w:rsid w:val="00F924B7"/>
    <w:rsid w:val="00FC2D81"/>
    <w:rsid w:val="00FC3A50"/>
    <w:rsid w:val="00FC5D66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41E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48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B7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2148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214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32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48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7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F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F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FA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E06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9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703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170A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qFormat/>
    <w:rsid w:val="003F5E12"/>
    <w:pPr>
      <w:widowControl w:val="0"/>
      <w:autoSpaceDE w:val="0"/>
      <w:autoSpaceDN w:val="0"/>
      <w:adjustRightInd w:val="0"/>
      <w:spacing w:after="0" w:line="240" w:lineRule="auto"/>
      <w:ind w:left="1010" w:hanging="566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F5E1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48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B7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2148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214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32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48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7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F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F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FA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E06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9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703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170A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qFormat/>
    <w:rsid w:val="003F5E12"/>
    <w:pPr>
      <w:widowControl w:val="0"/>
      <w:autoSpaceDE w:val="0"/>
      <w:autoSpaceDN w:val="0"/>
      <w:adjustRightInd w:val="0"/>
      <w:spacing w:after="0" w:line="240" w:lineRule="auto"/>
      <w:ind w:left="1010" w:hanging="566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F5E1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Ramsar\RiveraMa</dc:creator>
  <cp:lastModifiedBy>Ramsar\JenningsE</cp:lastModifiedBy>
  <cp:revision>2</cp:revision>
  <cp:lastPrinted>2016-03-08T08:45:00Z</cp:lastPrinted>
  <dcterms:created xsi:type="dcterms:W3CDTF">2016-03-21T14:41:00Z</dcterms:created>
  <dcterms:modified xsi:type="dcterms:W3CDTF">2016-03-21T14:41:00Z</dcterms:modified>
</cp:coreProperties>
</file>