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F903C" w14:textId="77777777" w:rsidR="00AC55E6" w:rsidRPr="00F40D9E" w:rsidRDefault="00AC55E6" w:rsidP="00AC55E6">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bookmarkStart w:id="0" w:name="OLE_LINK1"/>
      <w:r w:rsidRPr="00F40D9E">
        <w:rPr>
          <w:rFonts w:asciiTheme="minorHAnsi" w:hAnsiTheme="minorHAnsi" w:cstheme="minorHAnsi"/>
          <w:bCs/>
          <w:lang w:val="es-ES_tradnl"/>
        </w:rPr>
        <w:t>CONVENCIÓN SOBRE LOS HUMEDALES (Ramsar, Irán, 1971)</w:t>
      </w:r>
    </w:p>
    <w:p w14:paraId="353D3533" w14:textId="4BA40E7C" w:rsidR="00AC55E6" w:rsidRPr="00F40D9E" w:rsidRDefault="00AC55E6" w:rsidP="00AC55E6">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r w:rsidRPr="00F40D9E">
        <w:rPr>
          <w:rFonts w:asciiTheme="minorHAnsi" w:hAnsiTheme="minorHAnsi" w:cstheme="minorHAnsi"/>
          <w:bCs/>
          <w:lang w:val="es-ES_tradnl"/>
        </w:rPr>
        <w:t xml:space="preserve">52ª Reunión del Comité Permanente </w:t>
      </w:r>
    </w:p>
    <w:p w14:paraId="082EB27C" w14:textId="332FD9AA" w:rsidR="00AC55E6" w:rsidRPr="00F40D9E" w:rsidRDefault="00AC55E6" w:rsidP="00AC55E6">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r w:rsidRPr="00F40D9E">
        <w:rPr>
          <w:rFonts w:asciiTheme="minorHAnsi" w:hAnsiTheme="minorHAnsi" w:cstheme="minorHAnsi"/>
          <w:bCs/>
          <w:lang w:val="es-ES_tradnl"/>
        </w:rPr>
        <w:t>Gland, Suiza, 13 a 17 de junio de 2016</w:t>
      </w:r>
    </w:p>
    <w:p w14:paraId="5224B88B" w14:textId="77777777" w:rsidR="000B26D3" w:rsidRPr="00F40D9E" w:rsidRDefault="000B26D3" w:rsidP="000B26D3">
      <w:pPr>
        <w:keepNext/>
        <w:suppressAutoHyphens/>
        <w:outlineLvl w:val="0"/>
        <w:rPr>
          <w:rFonts w:ascii="Calibri" w:hAnsi="Calibri"/>
          <w:b/>
          <w:sz w:val="28"/>
          <w:szCs w:val="28"/>
          <w:lang w:val="es-ES_tradnl"/>
        </w:rPr>
      </w:pPr>
    </w:p>
    <w:p w14:paraId="65C87E8A" w14:textId="77777777" w:rsidR="000B26D3" w:rsidRPr="00F40D9E" w:rsidRDefault="000B26D3" w:rsidP="000B26D3">
      <w:pPr>
        <w:keepNext/>
        <w:suppressAutoHyphens/>
        <w:jc w:val="right"/>
        <w:outlineLvl w:val="0"/>
        <w:rPr>
          <w:rFonts w:ascii="Calibri" w:hAnsi="Calibri"/>
          <w:b/>
          <w:sz w:val="28"/>
          <w:szCs w:val="28"/>
          <w:lang w:val="es-ES_tradnl"/>
        </w:rPr>
      </w:pPr>
      <w:r w:rsidRPr="00F40D9E">
        <w:rPr>
          <w:rFonts w:ascii="Calibri" w:hAnsi="Calibri"/>
          <w:b/>
          <w:sz w:val="28"/>
          <w:szCs w:val="28"/>
          <w:lang w:val="es-ES_tradnl"/>
        </w:rPr>
        <w:t>SC</w:t>
      </w:r>
      <w:r w:rsidR="00BF2CA4" w:rsidRPr="00F40D9E">
        <w:rPr>
          <w:rFonts w:ascii="Calibri" w:hAnsi="Calibri"/>
          <w:b/>
          <w:sz w:val="28"/>
          <w:szCs w:val="28"/>
          <w:lang w:val="es-ES_tradnl"/>
        </w:rPr>
        <w:t>5</w:t>
      </w:r>
      <w:r w:rsidR="00241FA1" w:rsidRPr="00F40D9E">
        <w:rPr>
          <w:rFonts w:ascii="Calibri" w:hAnsi="Calibri"/>
          <w:b/>
          <w:sz w:val="28"/>
          <w:szCs w:val="28"/>
          <w:lang w:val="es-ES_tradnl"/>
        </w:rPr>
        <w:t>2</w:t>
      </w:r>
      <w:r w:rsidRPr="00F40D9E">
        <w:rPr>
          <w:rFonts w:ascii="Calibri" w:hAnsi="Calibri"/>
          <w:b/>
          <w:sz w:val="28"/>
          <w:szCs w:val="28"/>
          <w:lang w:val="es-ES_tradnl"/>
        </w:rPr>
        <w:t>-</w:t>
      </w:r>
      <w:r w:rsidR="00133C00" w:rsidRPr="00F40D9E">
        <w:rPr>
          <w:rFonts w:ascii="Calibri" w:hAnsi="Calibri"/>
          <w:b/>
          <w:sz w:val="28"/>
          <w:szCs w:val="28"/>
          <w:lang w:val="es-ES_tradnl"/>
        </w:rPr>
        <w:t>19</w:t>
      </w:r>
    </w:p>
    <w:bookmarkEnd w:id="0"/>
    <w:p w14:paraId="57AB705D" w14:textId="77777777" w:rsidR="000B26D3" w:rsidRPr="00F40D9E" w:rsidRDefault="000B26D3" w:rsidP="000B26D3">
      <w:pPr>
        <w:keepNext/>
        <w:suppressAutoHyphens/>
        <w:jc w:val="right"/>
        <w:outlineLvl w:val="0"/>
        <w:rPr>
          <w:rFonts w:ascii="Calibri" w:hAnsi="Calibri" w:cs="Calibri"/>
          <w:b/>
          <w:sz w:val="28"/>
          <w:szCs w:val="28"/>
          <w:lang w:val="es-ES_tradnl"/>
        </w:rPr>
      </w:pPr>
    </w:p>
    <w:p w14:paraId="2D2FD308" w14:textId="77777777" w:rsidR="00AC55E6" w:rsidRPr="00F40D9E" w:rsidRDefault="00AC55E6" w:rsidP="00AC55E6">
      <w:pPr>
        <w:jc w:val="center"/>
        <w:rPr>
          <w:rFonts w:ascii="Calibri" w:hAnsi="Calibri" w:cs="Calibri"/>
          <w:b/>
          <w:sz w:val="28"/>
          <w:szCs w:val="28"/>
          <w:lang w:val="es-ES_tradnl"/>
        </w:rPr>
      </w:pPr>
      <w:r w:rsidRPr="00F40D9E">
        <w:rPr>
          <w:rFonts w:ascii="Calibri" w:hAnsi="Calibri" w:cs="Calibri"/>
          <w:b/>
          <w:sz w:val="28"/>
          <w:szCs w:val="28"/>
          <w:lang w:val="es-ES_tradnl"/>
        </w:rPr>
        <w:t>Partes Contratantes con contribuciones anuales pendientes de pago</w:t>
      </w:r>
    </w:p>
    <w:p w14:paraId="65EC7631" w14:textId="77777777" w:rsidR="000B26D3" w:rsidRPr="00F40D9E" w:rsidRDefault="000B26D3" w:rsidP="000B26D3">
      <w:pPr>
        <w:autoSpaceDE w:val="0"/>
        <w:autoSpaceDN w:val="0"/>
        <w:adjustRightInd w:val="0"/>
        <w:rPr>
          <w:rFonts w:ascii="Calibri" w:hAnsi="Calibri" w:cs="Calibri"/>
          <w:sz w:val="28"/>
          <w:szCs w:val="28"/>
          <w:lang w:val="es-ES_tradnl"/>
        </w:rPr>
      </w:pPr>
    </w:p>
    <w:p w14:paraId="3B7F1689" w14:textId="24C5060B" w:rsidR="000B26D3" w:rsidRPr="00F40D9E" w:rsidRDefault="000A30EF" w:rsidP="000B26D3">
      <w:pPr>
        <w:autoSpaceDE w:val="0"/>
        <w:autoSpaceDN w:val="0"/>
        <w:adjustRightInd w:val="0"/>
        <w:rPr>
          <w:rFonts w:ascii="Calibri" w:hAnsi="Calibri" w:cs="Calibri"/>
          <w:sz w:val="20"/>
          <w:szCs w:val="20"/>
          <w:lang w:val="es-ES_tradnl"/>
        </w:rPr>
      </w:pPr>
      <w:r w:rsidRPr="00F40D9E">
        <w:rPr>
          <w:noProof/>
          <w:szCs w:val="20"/>
          <w:lang w:val="en-GB" w:eastAsia="en-GB"/>
        </w:rPr>
        <mc:AlternateContent>
          <mc:Choice Requires="wps">
            <w:drawing>
              <wp:inline distT="0" distB="0" distL="0" distR="0" wp14:anchorId="1DE4323A" wp14:editId="7D63BC11">
                <wp:extent cx="5842635" cy="2126974"/>
                <wp:effectExtent l="0" t="0" r="24765" b="3238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126974"/>
                        </a:xfrm>
                        <a:prstGeom prst="rect">
                          <a:avLst/>
                        </a:prstGeom>
                        <a:solidFill>
                          <a:srgbClr val="FFFFFF"/>
                        </a:solidFill>
                        <a:ln w="9525">
                          <a:solidFill>
                            <a:srgbClr val="000000"/>
                          </a:solidFill>
                          <a:miter lim="800000"/>
                          <a:headEnd/>
                          <a:tailEnd/>
                        </a:ln>
                      </wps:spPr>
                      <wps:txbx>
                        <w:txbxContent>
                          <w:p w14:paraId="39E5ABF0" w14:textId="2A69D188" w:rsidR="000365D7" w:rsidRPr="00FC5F81" w:rsidRDefault="000365D7" w:rsidP="000B26D3">
                            <w:pPr>
                              <w:rPr>
                                <w:rFonts w:ascii="Calibri" w:hAnsi="Calibri"/>
                                <w:b/>
                                <w:bCs/>
                                <w:sz w:val="22"/>
                                <w:szCs w:val="22"/>
                                <w:lang w:val="es-ES_tradnl"/>
                              </w:rPr>
                            </w:pPr>
                            <w:r w:rsidRPr="00FC5F81">
                              <w:rPr>
                                <w:rFonts w:ascii="Calibri" w:hAnsi="Calibri"/>
                                <w:b/>
                                <w:bCs/>
                                <w:sz w:val="22"/>
                                <w:szCs w:val="22"/>
                                <w:lang w:val="es-ES_tradnl"/>
                              </w:rPr>
                              <w:t>Ac</w:t>
                            </w:r>
                            <w:r>
                              <w:rPr>
                                <w:rFonts w:ascii="Calibri" w:hAnsi="Calibri"/>
                                <w:b/>
                                <w:bCs/>
                                <w:sz w:val="22"/>
                                <w:szCs w:val="22"/>
                                <w:lang w:val="es-ES_tradnl"/>
                              </w:rPr>
                              <w:t>cio</w:t>
                            </w:r>
                            <w:r w:rsidRPr="00FC5F81">
                              <w:rPr>
                                <w:rFonts w:ascii="Calibri" w:hAnsi="Calibri"/>
                                <w:b/>
                                <w:bCs/>
                                <w:sz w:val="22"/>
                                <w:szCs w:val="22"/>
                                <w:lang w:val="es-ES_tradnl"/>
                              </w:rPr>
                              <w:t>n</w:t>
                            </w:r>
                            <w:r>
                              <w:rPr>
                                <w:rFonts w:ascii="Calibri" w:hAnsi="Calibri"/>
                                <w:b/>
                                <w:bCs/>
                                <w:sz w:val="22"/>
                                <w:szCs w:val="22"/>
                                <w:lang w:val="es-ES_tradnl"/>
                              </w:rPr>
                              <w:t>es</w:t>
                            </w:r>
                            <w:r w:rsidRPr="00FC5F81">
                              <w:rPr>
                                <w:rFonts w:ascii="Calibri" w:hAnsi="Calibri"/>
                                <w:b/>
                                <w:bCs/>
                                <w:sz w:val="22"/>
                                <w:szCs w:val="22"/>
                                <w:lang w:val="es-ES_tradnl"/>
                              </w:rPr>
                              <w:t xml:space="preserve"> solicitada</w:t>
                            </w:r>
                            <w:r>
                              <w:rPr>
                                <w:rFonts w:ascii="Calibri" w:hAnsi="Calibri"/>
                                <w:b/>
                                <w:bCs/>
                                <w:sz w:val="22"/>
                                <w:szCs w:val="22"/>
                                <w:lang w:val="es-ES_tradnl"/>
                              </w:rPr>
                              <w:t>s</w:t>
                            </w:r>
                            <w:r w:rsidRPr="00FC5F81">
                              <w:rPr>
                                <w:rFonts w:ascii="Calibri" w:hAnsi="Calibri"/>
                                <w:b/>
                                <w:bCs/>
                                <w:sz w:val="22"/>
                                <w:szCs w:val="22"/>
                                <w:lang w:val="es-ES_tradnl"/>
                              </w:rPr>
                              <w:t xml:space="preserve">: </w:t>
                            </w:r>
                          </w:p>
                          <w:p w14:paraId="6EBCBEEB" w14:textId="77777777" w:rsidR="000365D7" w:rsidRPr="00FC5F81" w:rsidRDefault="000365D7" w:rsidP="00FC5F81">
                            <w:pPr>
                              <w:pStyle w:val="ColorfulList-Accent11"/>
                              <w:spacing w:after="0" w:line="240" w:lineRule="auto"/>
                              <w:ind w:left="0"/>
                              <w:rPr>
                                <w:rFonts w:cs="Calibri"/>
                                <w:lang w:val="es-ES_tradnl"/>
                              </w:rPr>
                            </w:pPr>
                            <w:r w:rsidRPr="00FC5F81">
                              <w:rPr>
                                <w:lang w:val="es-ES_tradnl"/>
                              </w:rPr>
                              <w:t>Se invita al Comité Permanente a tomar nota del estado actual de las contribuciones anuales pendientes de las Partes Contratantes y aprobar las siguientes medidas propuestas por la Secretaría para promover el pago de las cantidades en mora:</w:t>
                            </w:r>
                          </w:p>
                          <w:p w14:paraId="50FB1566" w14:textId="755A86DA" w:rsidR="000365D7" w:rsidRPr="00FC5F81" w:rsidRDefault="000365D7" w:rsidP="00150DBB">
                            <w:pPr>
                              <w:pStyle w:val="ColorfulList-Accent11"/>
                              <w:numPr>
                                <w:ilvl w:val="0"/>
                                <w:numId w:val="44"/>
                              </w:numPr>
                              <w:spacing w:after="0" w:line="240" w:lineRule="auto"/>
                              <w:rPr>
                                <w:rFonts w:cs="Calibri"/>
                                <w:lang w:val="es-ES_tradnl"/>
                              </w:rPr>
                            </w:pPr>
                            <w:r w:rsidRPr="00FC5F81">
                              <w:rPr>
                                <w:rFonts w:cs="Calibri"/>
                                <w:lang w:val="es-ES_tradnl"/>
                              </w:rPr>
                              <w:t>Obtener un plan específico de pago, por escrito, del mayor número posible de aquellas Partes con atrasos de más d</w:t>
                            </w:r>
                            <w:r>
                              <w:rPr>
                                <w:rFonts w:cs="Calibri"/>
                                <w:lang w:val="es-ES_tradnl"/>
                              </w:rPr>
                              <w:t xml:space="preserve">e tres años, </w:t>
                            </w:r>
                            <w:r w:rsidRPr="00FC5F81">
                              <w:rPr>
                                <w:rFonts w:cs="Calibri"/>
                                <w:lang w:val="es-ES_tradnl"/>
                              </w:rPr>
                              <w:t>especial</w:t>
                            </w:r>
                            <w:r>
                              <w:rPr>
                                <w:rFonts w:cs="Calibri"/>
                                <w:lang w:val="es-ES_tradnl"/>
                              </w:rPr>
                              <w:t>mente de</w:t>
                            </w:r>
                            <w:r w:rsidRPr="00FC5F81">
                              <w:rPr>
                                <w:rFonts w:cs="Calibri"/>
                                <w:lang w:val="es-ES_tradnl"/>
                              </w:rPr>
                              <w:t xml:space="preserve"> las Partes que nunca han pagado sus contribuciones desde su adhesión</w:t>
                            </w:r>
                            <w:r>
                              <w:rPr>
                                <w:rFonts w:cs="Calibri"/>
                                <w:lang w:val="es-ES_tradnl"/>
                              </w:rPr>
                              <w:t xml:space="preserve"> y </w:t>
                            </w:r>
                            <w:r w:rsidRPr="00FC5F81">
                              <w:rPr>
                                <w:rFonts w:cs="Calibri"/>
                                <w:lang w:val="es-ES_tradnl"/>
                              </w:rPr>
                              <w:t>las que tienen impagos más antiguos que suman más de</w:t>
                            </w:r>
                            <w:r>
                              <w:rPr>
                                <w:rFonts w:cs="Calibri"/>
                                <w:lang w:val="es-ES_tradnl"/>
                              </w:rPr>
                              <w:t xml:space="preserve"> </w:t>
                            </w:r>
                            <w:r w:rsidRPr="00FC5F81">
                              <w:rPr>
                                <w:rFonts w:cs="Calibri"/>
                                <w:lang w:val="es-ES_tradnl"/>
                              </w:rPr>
                              <w:t xml:space="preserve">50.000 francos suizos; </w:t>
                            </w:r>
                          </w:p>
                          <w:p w14:paraId="4B70D880" w14:textId="02C20579" w:rsidR="000365D7" w:rsidRPr="00FC5F81" w:rsidRDefault="000365D7" w:rsidP="00150DBB">
                            <w:pPr>
                              <w:pStyle w:val="ColorfulList-Accent11"/>
                              <w:numPr>
                                <w:ilvl w:val="0"/>
                                <w:numId w:val="44"/>
                              </w:numPr>
                              <w:spacing w:after="0" w:line="240" w:lineRule="auto"/>
                              <w:rPr>
                                <w:rFonts w:cs="Calibri"/>
                                <w:lang w:val="es-ES_tradnl"/>
                              </w:rPr>
                            </w:pPr>
                            <w:r w:rsidRPr="00FC5F81">
                              <w:rPr>
                                <w:rFonts w:cs="Calibri"/>
                                <w:lang w:val="es-ES_tradnl"/>
                              </w:rPr>
                              <w:t xml:space="preserve">Informar del progreso de cada una de las Partes a la 53ª reunión del Comité Permanente; y </w:t>
                            </w:r>
                          </w:p>
                          <w:p w14:paraId="432E764C" w14:textId="394891A9" w:rsidR="000365D7" w:rsidRPr="00FC5F81" w:rsidRDefault="000365D7" w:rsidP="00150DBB">
                            <w:pPr>
                              <w:pStyle w:val="ColorfulList-Accent11"/>
                              <w:numPr>
                                <w:ilvl w:val="0"/>
                                <w:numId w:val="44"/>
                              </w:numPr>
                              <w:spacing w:after="0" w:line="240" w:lineRule="auto"/>
                              <w:rPr>
                                <w:lang w:val="es-ES_tradnl"/>
                              </w:rPr>
                            </w:pPr>
                            <w:r w:rsidRPr="00FC5F81">
                              <w:rPr>
                                <w:rFonts w:cs="Calibri"/>
                                <w:lang w:val="es-ES_tradnl"/>
                              </w:rPr>
                              <w:t xml:space="preserve">Conseguir la participación de los nuevos representantes regionales del Subgrupo </w:t>
                            </w:r>
                            <w:r w:rsidR="00A273C0">
                              <w:rPr>
                                <w:rFonts w:cs="Calibri"/>
                                <w:lang w:val="es-ES_tradnl"/>
                              </w:rPr>
                              <w:t>de</w:t>
                            </w:r>
                            <w:r w:rsidRPr="00FC5F81">
                              <w:rPr>
                                <w:rFonts w:cs="Calibri"/>
                                <w:lang w:val="es-ES_tradnl"/>
                              </w:rPr>
                              <w:t xml:space="preserve"> Finanzas en esta actividad.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0.0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VF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">
                <v:textbox>
                  <w:txbxContent>
                    <w:p w14:paraId="39E5ABF0" w14:textId="2A69D188" w:rsidR="000365D7" w:rsidRPr="00FC5F81" w:rsidRDefault="000365D7" w:rsidP="000B26D3">
                      <w:pPr>
                        <w:rPr>
                          <w:rFonts w:ascii="Calibri" w:hAnsi="Calibri"/>
                          <w:b/>
                          <w:bCs/>
                          <w:sz w:val="22"/>
                          <w:szCs w:val="22"/>
                          <w:lang w:val="es-ES_tradnl"/>
                        </w:rPr>
                      </w:pPr>
                      <w:r w:rsidRPr="00FC5F81">
                        <w:rPr>
                          <w:rFonts w:ascii="Calibri" w:hAnsi="Calibri"/>
                          <w:b/>
                          <w:bCs/>
                          <w:sz w:val="22"/>
                          <w:szCs w:val="22"/>
                          <w:lang w:val="es-ES_tradnl"/>
                        </w:rPr>
                        <w:t>Ac</w:t>
                      </w:r>
                      <w:r>
                        <w:rPr>
                          <w:rFonts w:ascii="Calibri" w:hAnsi="Calibri"/>
                          <w:b/>
                          <w:bCs/>
                          <w:sz w:val="22"/>
                          <w:szCs w:val="22"/>
                          <w:lang w:val="es-ES_tradnl"/>
                        </w:rPr>
                        <w:t>cio</w:t>
                      </w:r>
                      <w:r w:rsidRPr="00FC5F81">
                        <w:rPr>
                          <w:rFonts w:ascii="Calibri" w:hAnsi="Calibri"/>
                          <w:b/>
                          <w:bCs/>
                          <w:sz w:val="22"/>
                          <w:szCs w:val="22"/>
                          <w:lang w:val="es-ES_tradnl"/>
                        </w:rPr>
                        <w:t>n</w:t>
                      </w:r>
                      <w:r>
                        <w:rPr>
                          <w:rFonts w:ascii="Calibri" w:hAnsi="Calibri"/>
                          <w:b/>
                          <w:bCs/>
                          <w:sz w:val="22"/>
                          <w:szCs w:val="22"/>
                          <w:lang w:val="es-ES_tradnl"/>
                        </w:rPr>
                        <w:t>es</w:t>
                      </w:r>
                      <w:r w:rsidRPr="00FC5F81">
                        <w:rPr>
                          <w:rFonts w:ascii="Calibri" w:hAnsi="Calibri"/>
                          <w:b/>
                          <w:bCs/>
                          <w:sz w:val="22"/>
                          <w:szCs w:val="22"/>
                          <w:lang w:val="es-ES_tradnl"/>
                        </w:rPr>
                        <w:t xml:space="preserve"> solicitada</w:t>
                      </w:r>
                      <w:r>
                        <w:rPr>
                          <w:rFonts w:ascii="Calibri" w:hAnsi="Calibri"/>
                          <w:b/>
                          <w:bCs/>
                          <w:sz w:val="22"/>
                          <w:szCs w:val="22"/>
                          <w:lang w:val="es-ES_tradnl"/>
                        </w:rPr>
                        <w:t>s</w:t>
                      </w:r>
                      <w:r w:rsidRPr="00FC5F81">
                        <w:rPr>
                          <w:rFonts w:ascii="Calibri" w:hAnsi="Calibri"/>
                          <w:b/>
                          <w:bCs/>
                          <w:sz w:val="22"/>
                          <w:szCs w:val="22"/>
                          <w:lang w:val="es-ES_tradnl"/>
                        </w:rPr>
                        <w:t xml:space="preserve">: </w:t>
                      </w:r>
                    </w:p>
                    <w:p w14:paraId="6EBCBEEB" w14:textId="77777777" w:rsidR="000365D7" w:rsidRPr="00FC5F81" w:rsidRDefault="000365D7" w:rsidP="00FC5F81">
                      <w:pPr>
                        <w:pStyle w:val="ColorfulList-Accent11"/>
                        <w:spacing w:after="0" w:line="240" w:lineRule="auto"/>
                        <w:ind w:left="0"/>
                        <w:rPr>
                          <w:rFonts w:cs="Calibri"/>
                          <w:lang w:val="es-ES_tradnl"/>
                        </w:rPr>
                      </w:pPr>
                      <w:r w:rsidRPr="00FC5F81">
                        <w:rPr>
                          <w:lang w:val="es-ES_tradnl"/>
                        </w:rPr>
                        <w:t>Se invita al Comité Permanente a tomar nota del estado actual de las contribuciones anuales pendientes de las Partes Contratantes y aprobar las siguientes medidas propuestas por la Secretaría para promover el pago de las cantidades en mora:</w:t>
                      </w:r>
                    </w:p>
                    <w:p w14:paraId="50FB1566" w14:textId="755A86DA" w:rsidR="000365D7" w:rsidRPr="00FC5F81" w:rsidRDefault="000365D7" w:rsidP="00150DBB">
                      <w:pPr>
                        <w:pStyle w:val="ColorfulList-Accent11"/>
                        <w:numPr>
                          <w:ilvl w:val="0"/>
                          <w:numId w:val="44"/>
                        </w:numPr>
                        <w:spacing w:after="0" w:line="240" w:lineRule="auto"/>
                        <w:rPr>
                          <w:rFonts w:cs="Calibri"/>
                          <w:lang w:val="es-ES_tradnl"/>
                        </w:rPr>
                      </w:pPr>
                      <w:r w:rsidRPr="00FC5F81">
                        <w:rPr>
                          <w:rFonts w:cs="Calibri"/>
                          <w:lang w:val="es-ES_tradnl"/>
                        </w:rPr>
                        <w:t>Obtener un plan específico de pago, por escrito, del mayor número posible de aquellas Partes con atrasos de más d</w:t>
                      </w:r>
                      <w:r>
                        <w:rPr>
                          <w:rFonts w:cs="Calibri"/>
                          <w:lang w:val="es-ES_tradnl"/>
                        </w:rPr>
                        <w:t xml:space="preserve">e tres años, </w:t>
                      </w:r>
                      <w:r w:rsidRPr="00FC5F81">
                        <w:rPr>
                          <w:rFonts w:cs="Calibri"/>
                          <w:lang w:val="es-ES_tradnl"/>
                        </w:rPr>
                        <w:t>especial</w:t>
                      </w:r>
                      <w:r>
                        <w:rPr>
                          <w:rFonts w:cs="Calibri"/>
                          <w:lang w:val="es-ES_tradnl"/>
                        </w:rPr>
                        <w:t>mente de</w:t>
                      </w:r>
                      <w:r w:rsidRPr="00FC5F81">
                        <w:rPr>
                          <w:rFonts w:cs="Calibri"/>
                          <w:lang w:val="es-ES_tradnl"/>
                        </w:rPr>
                        <w:t xml:space="preserve"> las Partes que nunca han pagado sus contribuciones desde su adhesión</w:t>
                      </w:r>
                      <w:r>
                        <w:rPr>
                          <w:rFonts w:cs="Calibri"/>
                          <w:lang w:val="es-ES_tradnl"/>
                        </w:rPr>
                        <w:t xml:space="preserve"> y </w:t>
                      </w:r>
                      <w:r w:rsidRPr="00FC5F81">
                        <w:rPr>
                          <w:rFonts w:cs="Calibri"/>
                          <w:lang w:val="es-ES_tradnl"/>
                        </w:rPr>
                        <w:t>las que tienen impagos más antiguos que suman más de</w:t>
                      </w:r>
                      <w:r>
                        <w:rPr>
                          <w:rFonts w:cs="Calibri"/>
                          <w:lang w:val="es-ES_tradnl"/>
                        </w:rPr>
                        <w:t xml:space="preserve"> </w:t>
                      </w:r>
                      <w:r w:rsidRPr="00FC5F81">
                        <w:rPr>
                          <w:rFonts w:cs="Calibri"/>
                          <w:lang w:val="es-ES_tradnl"/>
                        </w:rPr>
                        <w:t xml:space="preserve">50.000 francos suizos; </w:t>
                      </w:r>
                    </w:p>
                    <w:p w14:paraId="4B70D880" w14:textId="02C20579" w:rsidR="000365D7" w:rsidRPr="00FC5F81" w:rsidRDefault="000365D7" w:rsidP="00150DBB">
                      <w:pPr>
                        <w:pStyle w:val="ColorfulList-Accent11"/>
                        <w:numPr>
                          <w:ilvl w:val="0"/>
                          <w:numId w:val="44"/>
                        </w:numPr>
                        <w:spacing w:after="0" w:line="240" w:lineRule="auto"/>
                        <w:rPr>
                          <w:rFonts w:cs="Calibri"/>
                          <w:lang w:val="es-ES_tradnl"/>
                        </w:rPr>
                      </w:pPr>
                      <w:r w:rsidRPr="00FC5F81">
                        <w:rPr>
                          <w:rFonts w:cs="Calibri"/>
                          <w:lang w:val="es-ES_tradnl"/>
                        </w:rPr>
                        <w:t xml:space="preserve">Informar del progreso de cada una de las Partes a la 53ª reunión del Comité Permanente; y </w:t>
                      </w:r>
                    </w:p>
                    <w:p w14:paraId="432E764C" w14:textId="394891A9" w:rsidR="000365D7" w:rsidRPr="00FC5F81" w:rsidRDefault="000365D7" w:rsidP="00150DBB">
                      <w:pPr>
                        <w:pStyle w:val="ColorfulList-Accent11"/>
                        <w:numPr>
                          <w:ilvl w:val="0"/>
                          <w:numId w:val="44"/>
                        </w:numPr>
                        <w:spacing w:after="0" w:line="240" w:lineRule="auto"/>
                        <w:rPr>
                          <w:lang w:val="es-ES_tradnl"/>
                        </w:rPr>
                      </w:pPr>
                      <w:r w:rsidRPr="00FC5F81">
                        <w:rPr>
                          <w:rFonts w:cs="Calibri"/>
                          <w:lang w:val="es-ES_tradnl"/>
                        </w:rPr>
                        <w:t xml:space="preserve">Conseguir la participación de los nuevos representantes regionales del Subgrupo </w:t>
                      </w:r>
                      <w:r w:rsidR="00A273C0">
                        <w:rPr>
                          <w:rFonts w:cs="Calibri"/>
                          <w:lang w:val="es-ES_tradnl"/>
                        </w:rPr>
                        <w:t>de</w:t>
                      </w:r>
                      <w:r w:rsidRPr="00FC5F81">
                        <w:rPr>
                          <w:rFonts w:cs="Calibri"/>
                          <w:lang w:val="es-ES_tradnl"/>
                        </w:rPr>
                        <w:t xml:space="preserve"> Finanzas en esta actividad. </w:t>
                      </w:r>
                    </w:p>
                  </w:txbxContent>
                </v:textbox>
                <w10:anchorlock/>
              </v:shape>
            </w:pict>
          </mc:Fallback>
        </mc:AlternateContent>
      </w:r>
    </w:p>
    <w:p w14:paraId="15904C5B" w14:textId="77777777" w:rsidR="000B26D3" w:rsidRPr="00F40D9E" w:rsidRDefault="000B26D3" w:rsidP="000B26D3">
      <w:pPr>
        <w:autoSpaceDE w:val="0"/>
        <w:autoSpaceDN w:val="0"/>
        <w:adjustRightInd w:val="0"/>
        <w:rPr>
          <w:rFonts w:ascii="Calibri" w:hAnsi="Calibri" w:cs="Calibri"/>
          <w:sz w:val="20"/>
          <w:szCs w:val="20"/>
          <w:lang w:val="es-ES_tradnl"/>
        </w:rPr>
      </w:pPr>
    </w:p>
    <w:p w14:paraId="5BCDF694" w14:textId="77777777" w:rsidR="00314C1E" w:rsidRPr="00F40D9E" w:rsidRDefault="00314C1E" w:rsidP="000B26D3">
      <w:pPr>
        <w:autoSpaceDE w:val="0"/>
        <w:autoSpaceDN w:val="0"/>
        <w:adjustRightInd w:val="0"/>
        <w:rPr>
          <w:rFonts w:ascii="Calibri" w:hAnsi="Calibri" w:cs="Calibri"/>
          <w:sz w:val="20"/>
          <w:szCs w:val="20"/>
          <w:lang w:val="es-ES_tradnl"/>
        </w:rPr>
      </w:pPr>
    </w:p>
    <w:p w14:paraId="5AA87589" w14:textId="0ABFAAE0" w:rsidR="000B26D3" w:rsidRPr="00F40D9E" w:rsidRDefault="008C71B1" w:rsidP="000B26D3">
      <w:pPr>
        <w:autoSpaceDE w:val="0"/>
        <w:autoSpaceDN w:val="0"/>
        <w:adjustRightInd w:val="0"/>
        <w:rPr>
          <w:rFonts w:ascii="Calibri" w:hAnsi="Calibri" w:cs="Calibri"/>
          <w:b/>
          <w:sz w:val="22"/>
          <w:szCs w:val="22"/>
          <w:lang w:val="es-ES_tradnl"/>
        </w:rPr>
      </w:pPr>
      <w:r w:rsidRPr="00F40D9E">
        <w:rPr>
          <w:rFonts w:ascii="Calibri" w:hAnsi="Calibri" w:cs="Calibri"/>
          <w:b/>
          <w:sz w:val="22"/>
          <w:szCs w:val="22"/>
          <w:lang w:val="es-ES_tradnl"/>
        </w:rPr>
        <w:t>Antecedentes</w:t>
      </w:r>
    </w:p>
    <w:p w14:paraId="760B03ED" w14:textId="77777777" w:rsidR="008C71B1" w:rsidRPr="00F40D9E" w:rsidRDefault="008C71B1" w:rsidP="000B26D3">
      <w:pPr>
        <w:autoSpaceDE w:val="0"/>
        <w:autoSpaceDN w:val="0"/>
        <w:adjustRightInd w:val="0"/>
        <w:rPr>
          <w:rFonts w:ascii="Calibri" w:hAnsi="Calibri" w:cs="Calibri"/>
          <w:sz w:val="22"/>
          <w:szCs w:val="22"/>
          <w:lang w:val="es-ES_tradnl"/>
        </w:rPr>
      </w:pPr>
    </w:p>
    <w:p w14:paraId="42F7E2F3" w14:textId="189827EC" w:rsidR="00AC55E6" w:rsidRPr="00F40D9E" w:rsidRDefault="00AC55E6" w:rsidP="00AC55E6">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 xml:space="preserve">El Artículo 6.6 de la Convención establece </w:t>
      </w:r>
      <w:r w:rsidR="008C71B1" w:rsidRPr="00F40D9E">
        <w:rPr>
          <w:rFonts w:ascii="Calibri" w:hAnsi="Calibri" w:cs="Calibri"/>
          <w:sz w:val="22"/>
          <w:szCs w:val="22"/>
          <w:lang w:val="es-ES_tradnl"/>
        </w:rPr>
        <w:t>que</w:t>
      </w:r>
      <w:r w:rsidRPr="00F40D9E">
        <w:rPr>
          <w:rFonts w:ascii="Calibri" w:hAnsi="Calibri" w:cs="Calibri"/>
          <w:sz w:val="22"/>
          <w:szCs w:val="22"/>
          <w:lang w:val="es-ES_tradnl"/>
        </w:rPr>
        <w:t>: “Cada Parte Contratante contribuirá al presupuesto según la escala de contribuciones aprobada por unanimidad por las Partes Contratantes presentes y votantes en una reunión ordinaria de la Confere</w:t>
      </w:r>
      <w:r w:rsidR="008C71B1" w:rsidRPr="00F40D9E">
        <w:rPr>
          <w:rFonts w:ascii="Calibri" w:hAnsi="Calibri" w:cs="Calibri"/>
          <w:sz w:val="22"/>
          <w:szCs w:val="22"/>
          <w:lang w:val="es-ES_tradnl"/>
        </w:rPr>
        <w:t>ncia de las Partes Contratantes.</w:t>
      </w:r>
      <w:r w:rsidR="00FC5F81" w:rsidRPr="00F40D9E">
        <w:rPr>
          <w:rFonts w:ascii="Calibri" w:hAnsi="Calibri" w:cs="Calibri"/>
          <w:sz w:val="22"/>
          <w:szCs w:val="22"/>
          <w:lang w:val="es-ES_tradnl"/>
        </w:rPr>
        <w:t>”</w:t>
      </w:r>
    </w:p>
    <w:p w14:paraId="4399DD79" w14:textId="77777777" w:rsidR="000B26D3" w:rsidRPr="00F40D9E" w:rsidRDefault="000B26D3" w:rsidP="000B26D3">
      <w:pPr>
        <w:autoSpaceDE w:val="0"/>
        <w:autoSpaceDN w:val="0"/>
        <w:adjustRightInd w:val="0"/>
        <w:rPr>
          <w:rFonts w:ascii="Calibri" w:hAnsi="Calibri" w:cs="Calibri"/>
          <w:sz w:val="22"/>
          <w:szCs w:val="22"/>
          <w:highlight w:val="yellow"/>
          <w:lang w:val="es-ES_tradnl"/>
        </w:rPr>
      </w:pPr>
    </w:p>
    <w:p w14:paraId="679CFD90" w14:textId="77777777" w:rsidR="00AC55E6" w:rsidRPr="00F40D9E" w:rsidRDefault="00AC55E6" w:rsidP="00AC55E6">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 xml:space="preserve">Las contribuciones (cuotas) anuales de las Partes se emplean para financiar el presupuesto básico de la Convención. Cada año, la Secretaría envía a las Partes una factura por sus contribuciones anuales. La facturación en francos suizos se basa en el presupuesto básico aprobado y en la Escala de Cuotas vigente de las Naciones Unidas. (La Escala de Cuotas vigente de las Naciones Unidas se prorratea para reflejar el número real de miembros de la Convención al comienzo del ejercicio.) Los ingresos se consignan en la fecha de facturación y se registra el recibo, en la hipótesis de que el pago se recibirá íntegramente. </w:t>
      </w:r>
    </w:p>
    <w:p w14:paraId="1B8C8FF8" w14:textId="77777777" w:rsidR="000B26D3" w:rsidRPr="00F40D9E" w:rsidRDefault="000B26D3" w:rsidP="000B26D3">
      <w:pPr>
        <w:autoSpaceDE w:val="0"/>
        <w:autoSpaceDN w:val="0"/>
        <w:adjustRightInd w:val="0"/>
        <w:rPr>
          <w:rFonts w:ascii="Calibri" w:hAnsi="Calibri" w:cs="Calibri"/>
          <w:sz w:val="22"/>
          <w:szCs w:val="22"/>
          <w:lang w:val="es-ES_tradnl"/>
        </w:rPr>
      </w:pPr>
    </w:p>
    <w:p w14:paraId="1000424F" w14:textId="6670DE01" w:rsidR="00AC55E6" w:rsidRPr="00F40D9E" w:rsidRDefault="00AC55E6" w:rsidP="00AC55E6">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En la R</w:t>
      </w:r>
      <w:r w:rsidR="008C71B1" w:rsidRPr="00F40D9E">
        <w:rPr>
          <w:rFonts w:ascii="Calibri" w:hAnsi="Calibri" w:cs="Calibri"/>
          <w:sz w:val="22"/>
          <w:szCs w:val="22"/>
          <w:lang w:val="es-ES_tradnl"/>
        </w:rPr>
        <w:t>esolución XI.2</w:t>
      </w:r>
      <w:r w:rsidRPr="00F40D9E">
        <w:rPr>
          <w:rFonts w:ascii="Calibri" w:hAnsi="Calibri" w:cs="Calibri"/>
          <w:sz w:val="22"/>
          <w:szCs w:val="22"/>
          <w:lang w:val="es-ES_tradnl"/>
        </w:rPr>
        <w:t>,</w:t>
      </w:r>
      <w:r w:rsidR="008C71B1" w:rsidRPr="00F40D9E">
        <w:rPr>
          <w:rFonts w:ascii="Calibri" w:hAnsi="Calibri" w:cs="Calibri"/>
          <w:sz w:val="22"/>
          <w:szCs w:val="22"/>
          <w:lang w:val="es-ES_tradnl"/>
        </w:rPr>
        <w:t xml:space="preserve"> párrafo 17, </w:t>
      </w:r>
      <w:r w:rsidRPr="00F40D9E">
        <w:rPr>
          <w:rFonts w:ascii="Calibri" w:hAnsi="Calibri" w:cs="Calibri"/>
          <w:sz w:val="22"/>
          <w:szCs w:val="22"/>
          <w:lang w:val="es-ES_tradnl"/>
        </w:rPr>
        <w:t xml:space="preserve">la Conferencia de las Partes Contratantes decidió lo siguiente: “Insta a todas las Partes Contratantes cuyas contribuciones están pendientes de pago a que hagan nuevos esfuerzos por saldarlas lo antes posible a fin de mejorar la sostenibilidad financiera de la Convención con contribuciones de todas las Partes Contratantes, y pide a la Secretaría que se ponga en contacto con las Partes Contratantes que tengan contribuciones pendientes de pago durante más de tres años y colabore con ellas para encontrar opciones y medidas apropiadas a fin de resolver la situación e iniciar un plan para abonar las contribuciones, y que presente informes en todas las reuniones del Comité Permanente y de las Conferencias de las Partes sobre las actividades realizadas a este respecto y los resultados logrados”. </w:t>
      </w:r>
    </w:p>
    <w:p w14:paraId="7B6D692A" w14:textId="77777777" w:rsidR="0094312C" w:rsidRPr="00F40D9E" w:rsidRDefault="0094312C" w:rsidP="000B26D3">
      <w:pPr>
        <w:autoSpaceDE w:val="0"/>
        <w:autoSpaceDN w:val="0"/>
        <w:adjustRightInd w:val="0"/>
        <w:rPr>
          <w:rFonts w:ascii="Calibri" w:hAnsi="Calibri" w:cs="Calibri"/>
          <w:sz w:val="22"/>
          <w:szCs w:val="22"/>
          <w:lang w:val="es-ES_tradnl"/>
        </w:rPr>
      </w:pPr>
    </w:p>
    <w:p w14:paraId="2F687781" w14:textId="605C3AEF" w:rsidR="000B26D3" w:rsidRPr="00F40D9E" w:rsidRDefault="008C71B1" w:rsidP="000B26D3">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lastRenderedPageBreak/>
        <w:t>Antes de</w:t>
      </w:r>
      <w:r w:rsidR="003603D0">
        <w:rPr>
          <w:rFonts w:ascii="Calibri" w:hAnsi="Calibri" w:cs="Calibri"/>
          <w:sz w:val="22"/>
          <w:szCs w:val="22"/>
          <w:lang w:val="es-ES_tradnl"/>
        </w:rPr>
        <w:t>l cierre de</w:t>
      </w:r>
      <w:r w:rsidRPr="00F40D9E">
        <w:rPr>
          <w:rFonts w:ascii="Calibri" w:hAnsi="Calibri" w:cs="Calibri"/>
          <w:sz w:val="22"/>
          <w:szCs w:val="22"/>
          <w:lang w:val="es-ES_tradnl"/>
        </w:rPr>
        <w:t xml:space="preserve"> cada ejercicio económico, la Secretaría evalúa el estado de las contribuciones pendientes</w:t>
      </w:r>
      <w:r w:rsidR="003603D0">
        <w:rPr>
          <w:rFonts w:ascii="Calibri" w:hAnsi="Calibri" w:cs="Calibri"/>
          <w:sz w:val="22"/>
          <w:szCs w:val="22"/>
          <w:lang w:val="es-ES_tradnl"/>
        </w:rPr>
        <w:t>,</w:t>
      </w:r>
      <w:r w:rsidRPr="00F40D9E">
        <w:rPr>
          <w:rFonts w:ascii="Calibri" w:hAnsi="Calibri" w:cs="Calibri"/>
          <w:sz w:val="22"/>
          <w:szCs w:val="22"/>
          <w:lang w:val="es-ES_tradnl"/>
        </w:rPr>
        <w:t xml:space="preserve"> teniendo en cuenta los importes y el período de mora, y consigna una provisión adecuada. Todo incremento anual en dicha provisión reduce los fondos básicos disponibles para gastar</w:t>
      </w:r>
      <w:r w:rsidR="000B26D3" w:rsidRPr="00F40D9E">
        <w:rPr>
          <w:rFonts w:ascii="Calibri" w:hAnsi="Calibri" w:cs="Calibri"/>
          <w:sz w:val="22"/>
          <w:szCs w:val="22"/>
          <w:lang w:val="es-ES_tradnl"/>
        </w:rPr>
        <w:t>.</w:t>
      </w:r>
      <w:r w:rsidR="000B26D3" w:rsidRPr="00F40D9E">
        <w:rPr>
          <w:rFonts w:ascii="Calibri" w:hAnsi="Calibri"/>
          <w:sz w:val="22"/>
          <w:szCs w:val="22"/>
          <w:vertAlign w:val="superscript"/>
          <w:lang w:val="es-ES_tradnl"/>
        </w:rPr>
        <w:footnoteReference w:id="1"/>
      </w:r>
    </w:p>
    <w:p w14:paraId="55BD6475" w14:textId="77777777" w:rsidR="000B26D3" w:rsidRPr="00F40D9E" w:rsidRDefault="000B26D3" w:rsidP="000B26D3">
      <w:pPr>
        <w:autoSpaceDE w:val="0"/>
        <w:autoSpaceDN w:val="0"/>
        <w:adjustRightInd w:val="0"/>
        <w:rPr>
          <w:rFonts w:ascii="Calibri" w:hAnsi="Calibri" w:cs="Calibri"/>
          <w:sz w:val="22"/>
          <w:szCs w:val="22"/>
          <w:lang w:val="es-ES_tradnl"/>
        </w:rPr>
      </w:pPr>
    </w:p>
    <w:p w14:paraId="38A17ADB" w14:textId="548AA16D" w:rsidR="0094312C" w:rsidRPr="00F40D9E" w:rsidRDefault="008C71B1" w:rsidP="000B26D3">
      <w:pPr>
        <w:autoSpaceDE w:val="0"/>
        <w:autoSpaceDN w:val="0"/>
        <w:adjustRightInd w:val="0"/>
        <w:rPr>
          <w:rFonts w:ascii="Calibri" w:hAnsi="Calibri" w:cs="Calibri"/>
          <w:b/>
          <w:color w:val="000000"/>
          <w:sz w:val="22"/>
          <w:szCs w:val="22"/>
          <w:lang w:val="es-ES_tradnl"/>
        </w:rPr>
      </w:pPr>
      <w:r w:rsidRPr="00F40D9E">
        <w:rPr>
          <w:rFonts w:ascii="Calibri" w:hAnsi="Calibri" w:cs="Calibri"/>
          <w:b/>
          <w:color w:val="000000"/>
          <w:sz w:val="22"/>
          <w:szCs w:val="22"/>
          <w:lang w:val="es-ES_tradnl"/>
        </w:rPr>
        <w:t xml:space="preserve">Información actualizada respecto de 2016 </w:t>
      </w:r>
    </w:p>
    <w:p w14:paraId="0F18B237" w14:textId="77777777" w:rsidR="008C71B1" w:rsidRPr="00F40D9E" w:rsidRDefault="008C71B1" w:rsidP="000B26D3">
      <w:pPr>
        <w:autoSpaceDE w:val="0"/>
        <w:autoSpaceDN w:val="0"/>
        <w:adjustRightInd w:val="0"/>
        <w:rPr>
          <w:rFonts w:ascii="Calibri" w:hAnsi="Calibri" w:cs="Calibri"/>
          <w:sz w:val="22"/>
          <w:szCs w:val="22"/>
          <w:lang w:val="es-ES_tradnl"/>
        </w:rPr>
      </w:pPr>
    </w:p>
    <w:p w14:paraId="25F2FDED" w14:textId="25BBDBFC" w:rsidR="000334A3" w:rsidRPr="00F40D9E" w:rsidRDefault="009A3217" w:rsidP="00494E10">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La situación de cada una de las Partes Contratantes, al 29 de febrero de 2016, se muestra en el cuadro del Anexo 1.</w:t>
      </w:r>
      <w:r w:rsidR="00F40D9E">
        <w:rPr>
          <w:rFonts w:ascii="Calibri" w:hAnsi="Calibri" w:cs="Calibri"/>
          <w:sz w:val="22"/>
          <w:szCs w:val="22"/>
          <w:lang w:val="es-ES_tradnl"/>
        </w:rPr>
        <w:t xml:space="preserve"> </w:t>
      </w:r>
    </w:p>
    <w:p w14:paraId="760422D1" w14:textId="77777777" w:rsidR="000334A3" w:rsidRPr="00F40D9E" w:rsidRDefault="000334A3" w:rsidP="000334A3">
      <w:pPr>
        <w:autoSpaceDE w:val="0"/>
        <w:autoSpaceDN w:val="0"/>
        <w:adjustRightInd w:val="0"/>
        <w:ind w:left="426"/>
        <w:rPr>
          <w:rFonts w:ascii="Calibri" w:hAnsi="Calibri" w:cs="Calibri"/>
          <w:sz w:val="22"/>
          <w:szCs w:val="22"/>
          <w:lang w:val="es-ES_tradnl"/>
        </w:rPr>
      </w:pPr>
    </w:p>
    <w:p w14:paraId="17B8B532" w14:textId="0E442DDF" w:rsidR="00494E10" w:rsidRPr="00F40D9E" w:rsidRDefault="009A3217" w:rsidP="00494E10">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Las contribuciones básicas, las contribuciones pendientes y la provisión consignada para ellas han aumentado gradualmente con el tiempo;</w:t>
      </w:r>
      <w:r w:rsidR="00F40D9E">
        <w:rPr>
          <w:rFonts w:ascii="Calibri" w:hAnsi="Calibri" w:cs="Calibri"/>
          <w:sz w:val="22"/>
          <w:szCs w:val="22"/>
          <w:lang w:val="es-ES_tradnl"/>
        </w:rPr>
        <w:t xml:space="preserve"> </w:t>
      </w:r>
      <w:r w:rsidRPr="00F40D9E">
        <w:rPr>
          <w:rFonts w:ascii="Calibri" w:hAnsi="Calibri" w:cs="Calibri"/>
          <w:sz w:val="22"/>
          <w:szCs w:val="22"/>
          <w:lang w:val="es-ES_tradnl"/>
        </w:rPr>
        <w:t>el Cuadro 1 muestra los importes totales respectivos al final de cada ejercicio desde 2012 hasta 2015. Al 31 de diciembre de 2015,</w:t>
      </w:r>
      <w:r w:rsidR="0041167B" w:rsidRPr="00F40D9E">
        <w:rPr>
          <w:rFonts w:ascii="Calibri" w:hAnsi="Calibri" w:cs="Calibri"/>
          <w:sz w:val="22"/>
          <w:szCs w:val="22"/>
          <w:lang w:val="es-ES_tradnl"/>
        </w:rPr>
        <w:t xml:space="preserve"> </w:t>
      </w:r>
      <w:r w:rsidR="00945F1C" w:rsidRPr="00F40D9E">
        <w:rPr>
          <w:rFonts w:ascii="Calibri" w:hAnsi="Calibri" w:cs="Calibri"/>
          <w:sz w:val="22"/>
          <w:szCs w:val="22"/>
          <w:lang w:val="es-ES_tradnl"/>
        </w:rPr>
        <w:t>las contribuciones anuales pendientes correspondientes a los años 2015 y anteriores sumaban</w:t>
      </w:r>
      <w:r w:rsidR="00F40D9E">
        <w:rPr>
          <w:rFonts w:ascii="Calibri" w:hAnsi="Calibri" w:cs="Calibri"/>
          <w:sz w:val="22"/>
          <w:szCs w:val="22"/>
          <w:lang w:val="es-ES_tradnl"/>
        </w:rPr>
        <w:t xml:space="preserve"> </w:t>
      </w:r>
      <w:r w:rsidR="00494E10" w:rsidRPr="00F40D9E">
        <w:rPr>
          <w:rFonts w:ascii="Calibri" w:hAnsi="Calibri" w:cs="Calibri"/>
          <w:sz w:val="22"/>
          <w:szCs w:val="22"/>
          <w:lang w:val="es-ES_tradnl"/>
        </w:rPr>
        <w:t>1</w:t>
      </w:r>
      <w:r w:rsidR="00945F1C" w:rsidRPr="00F40D9E">
        <w:rPr>
          <w:rFonts w:ascii="Calibri" w:hAnsi="Calibri" w:cs="Calibri"/>
          <w:sz w:val="22"/>
          <w:szCs w:val="22"/>
          <w:lang w:val="es-ES_tradnl"/>
        </w:rPr>
        <w:t>.</w:t>
      </w:r>
      <w:r w:rsidR="00494E10" w:rsidRPr="00F40D9E">
        <w:rPr>
          <w:rFonts w:ascii="Calibri" w:hAnsi="Calibri" w:cs="Calibri"/>
          <w:sz w:val="22"/>
          <w:szCs w:val="22"/>
          <w:lang w:val="es-ES_tradnl"/>
        </w:rPr>
        <w:t>260</w:t>
      </w:r>
      <w:r w:rsidR="00945F1C" w:rsidRPr="00F40D9E">
        <w:rPr>
          <w:rFonts w:ascii="Calibri" w:hAnsi="Calibri" w:cs="Calibri"/>
          <w:sz w:val="22"/>
          <w:szCs w:val="22"/>
          <w:lang w:val="es-ES_tradnl"/>
        </w:rPr>
        <w:t>.</w:t>
      </w:r>
      <w:r w:rsidR="00494E10" w:rsidRPr="00F40D9E">
        <w:rPr>
          <w:rFonts w:ascii="Calibri" w:hAnsi="Calibri" w:cs="Calibri"/>
          <w:sz w:val="22"/>
          <w:szCs w:val="22"/>
          <w:lang w:val="es-ES_tradnl"/>
        </w:rPr>
        <w:t xml:space="preserve">000 </w:t>
      </w:r>
      <w:r w:rsidR="00945F1C" w:rsidRPr="00F40D9E">
        <w:rPr>
          <w:rFonts w:ascii="Calibri" w:hAnsi="Calibri" w:cs="Calibri"/>
          <w:sz w:val="22"/>
          <w:szCs w:val="22"/>
          <w:lang w:val="es-ES_tradnl"/>
        </w:rPr>
        <w:t xml:space="preserve">francos suizos. </w:t>
      </w:r>
    </w:p>
    <w:p w14:paraId="240C1004" w14:textId="77777777" w:rsidR="00494E10" w:rsidRPr="00F40D9E" w:rsidRDefault="00494E10" w:rsidP="00494E10">
      <w:pPr>
        <w:autoSpaceDE w:val="0"/>
        <w:autoSpaceDN w:val="0"/>
        <w:adjustRightInd w:val="0"/>
        <w:ind w:left="426"/>
        <w:rPr>
          <w:rFonts w:ascii="Calibri" w:hAnsi="Calibri" w:cs="Calibri"/>
          <w:sz w:val="22"/>
          <w:szCs w:val="22"/>
          <w:lang w:val="es-ES_tradnl"/>
        </w:rPr>
      </w:pPr>
    </w:p>
    <w:p w14:paraId="7DCF1C8D" w14:textId="11AD9BAC" w:rsidR="005410BE" w:rsidRPr="00F40D9E" w:rsidRDefault="00945F1C" w:rsidP="005410BE">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 xml:space="preserve">El Cuadro 1 también incluye las contribuciones pendientes al 29 de febrero de 2016. </w:t>
      </w:r>
      <w:r w:rsidR="004B597B" w:rsidRPr="00F40D9E">
        <w:rPr>
          <w:rFonts w:ascii="Calibri" w:hAnsi="Calibri" w:cs="Calibri"/>
          <w:sz w:val="22"/>
          <w:szCs w:val="22"/>
          <w:lang w:val="es-ES_tradnl"/>
        </w:rPr>
        <w:t xml:space="preserve">Se debe tener en cuenta que las facturas de las contribuciones del 2016 fueron enviadas a las Partes con fecha 20 de enero de 2016, con fecha de vencimiento al 20 de </w:t>
      </w:r>
      <w:r w:rsidR="003603D0">
        <w:rPr>
          <w:rFonts w:ascii="Calibri" w:hAnsi="Calibri" w:cs="Calibri"/>
          <w:sz w:val="22"/>
          <w:szCs w:val="22"/>
          <w:lang w:val="es-ES_tradnl"/>
        </w:rPr>
        <w:t>febrero</w:t>
      </w:r>
      <w:r w:rsidR="004B597B" w:rsidRPr="00F40D9E">
        <w:rPr>
          <w:rFonts w:ascii="Calibri" w:hAnsi="Calibri" w:cs="Calibri"/>
          <w:sz w:val="22"/>
          <w:szCs w:val="22"/>
          <w:lang w:val="es-ES_tradnl"/>
        </w:rPr>
        <w:t xml:space="preserve"> de 2016.</w:t>
      </w:r>
      <w:r w:rsidR="00F40D9E">
        <w:rPr>
          <w:rFonts w:ascii="Calibri" w:hAnsi="Calibri" w:cs="Calibri"/>
          <w:sz w:val="22"/>
          <w:szCs w:val="22"/>
          <w:lang w:val="es-ES_tradnl"/>
        </w:rPr>
        <w:t xml:space="preserve"> </w:t>
      </w:r>
      <w:r w:rsidR="009F25C5" w:rsidRPr="00F40D9E">
        <w:rPr>
          <w:rFonts w:ascii="Calibri" w:hAnsi="Calibri" w:cs="Calibri"/>
          <w:sz w:val="22"/>
          <w:szCs w:val="22"/>
          <w:lang w:val="es-ES_tradnl"/>
        </w:rPr>
        <w:t>El número elevado de contribuciones</w:t>
      </w:r>
      <w:r w:rsidR="003603D0">
        <w:rPr>
          <w:rFonts w:ascii="Calibri" w:hAnsi="Calibri" w:cs="Calibri"/>
          <w:sz w:val="22"/>
          <w:szCs w:val="22"/>
          <w:lang w:val="es-ES_tradnl"/>
        </w:rPr>
        <w:t xml:space="preserve"> correspondientes al año 2016 que figuran como pendientes</w:t>
      </w:r>
      <w:r w:rsidR="009F25C5" w:rsidRPr="00F40D9E">
        <w:rPr>
          <w:rFonts w:ascii="Calibri" w:hAnsi="Calibri" w:cs="Calibri"/>
          <w:sz w:val="22"/>
          <w:szCs w:val="22"/>
          <w:lang w:val="es-ES_tradnl"/>
        </w:rPr>
        <w:t xml:space="preserve"> se puede justificar por el corto plazo transcurrido entre la fecha de vencimiento del 20 de febrero y el 29 de febrero de 2016. </w:t>
      </w:r>
    </w:p>
    <w:p w14:paraId="0D8748C8" w14:textId="77777777" w:rsidR="005410BE" w:rsidRPr="00F40D9E" w:rsidRDefault="005410BE" w:rsidP="005410BE">
      <w:pPr>
        <w:pStyle w:val="ListParagraph"/>
        <w:rPr>
          <w:rFonts w:ascii="Calibri" w:hAnsi="Calibri" w:cs="Calibri"/>
          <w:b/>
          <w:sz w:val="22"/>
          <w:szCs w:val="22"/>
          <w:lang w:val="es-ES_tradnl"/>
        </w:rPr>
      </w:pPr>
    </w:p>
    <w:p w14:paraId="19FFE85E" w14:textId="7AE85334" w:rsidR="005410BE" w:rsidRPr="00F40D9E" w:rsidRDefault="009C1EC5" w:rsidP="005410BE">
      <w:pPr>
        <w:autoSpaceDE w:val="0"/>
        <w:autoSpaceDN w:val="0"/>
        <w:adjustRightInd w:val="0"/>
        <w:rPr>
          <w:rFonts w:ascii="Calibri" w:hAnsi="Calibri" w:cs="Calibri"/>
          <w:sz w:val="22"/>
          <w:szCs w:val="22"/>
          <w:lang w:val="es-ES_tradnl"/>
        </w:rPr>
      </w:pPr>
      <w:r>
        <w:rPr>
          <w:rFonts w:ascii="Calibri" w:hAnsi="Calibri" w:cs="Calibri"/>
          <w:b/>
          <w:sz w:val="22"/>
          <w:szCs w:val="22"/>
          <w:lang w:val="es-ES_tradnl"/>
        </w:rPr>
        <w:t>Cuadro</w:t>
      </w:r>
      <w:r w:rsidR="005410BE" w:rsidRPr="00F40D9E">
        <w:rPr>
          <w:rFonts w:ascii="Calibri" w:hAnsi="Calibri" w:cs="Calibri"/>
          <w:b/>
          <w:sz w:val="22"/>
          <w:szCs w:val="22"/>
          <w:lang w:val="es-ES_tradnl"/>
        </w:rPr>
        <w:t xml:space="preserve"> 1</w:t>
      </w:r>
      <w:r w:rsidR="005410BE" w:rsidRPr="00F40D9E">
        <w:rPr>
          <w:rFonts w:ascii="Calibri" w:hAnsi="Calibri" w:cs="Calibri"/>
          <w:sz w:val="22"/>
          <w:szCs w:val="22"/>
          <w:lang w:val="es-ES_tradnl"/>
        </w:rPr>
        <w:t xml:space="preserve">: </w:t>
      </w:r>
      <w:r w:rsidR="004B597B" w:rsidRPr="00F40D9E">
        <w:rPr>
          <w:rFonts w:ascii="Calibri" w:hAnsi="Calibri" w:cs="Calibri"/>
          <w:sz w:val="22"/>
          <w:szCs w:val="22"/>
          <w:lang w:val="es-ES_tradnl"/>
        </w:rPr>
        <w:t xml:space="preserve">Contribuciones pendientes y provisión </w:t>
      </w:r>
      <w:r w:rsidR="003603D0">
        <w:rPr>
          <w:rFonts w:ascii="Calibri" w:hAnsi="Calibri" w:cs="Calibri"/>
          <w:sz w:val="22"/>
          <w:szCs w:val="22"/>
          <w:lang w:val="es-ES_tradnl"/>
        </w:rPr>
        <w:t>por</w:t>
      </w:r>
      <w:r w:rsidR="004B597B" w:rsidRPr="00F40D9E">
        <w:rPr>
          <w:rFonts w:ascii="Calibri" w:hAnsi="Calibri" w:cs="Calibri"/>
          <w:sz w:val="22"/>
          <w:szCs w:val="22"/>
          <w:lang w:val="es-ES_tradnl"/>
        </w:rPr>
        <w:t xml:space="preserve"> mora, 2012-2016 (en miles de francos suizos)</w:t>
      </w:r>
    </w:p>
    <w:p w14:paraId="09820B1C" w14:textId="77777777" w:rsidR="005410BE" w:rsidRPr="00F40D9E" w:rsidRDefault="005410BE" w:rsidP="005410BE">
      <w:pPr>
        <w:pStyle w:val="ListParagraph"/>
        <w:autoSpaceDE w:val="0"/>
        <w:autoSpaceDN w:val="0"/>
        <w:adjustRightInd w:val="0"/>
        <w:rPr>
          <w:rFonts w:ascii="Calibri" w:hAnsi="Calibri" w:cs="Calibri"/>
          <w:sz w:val="22"/>
          <w:szCs w:val="22"/>
          <w:lang w:val="es-ES_tradnl"/>
        </w:rPr>
      </w:pPr>
    </w:p>
    <w:tbl>
      <w:tblPr>
        <w:tblW w:w="8794" w:type="dxa"/>
        <w:tblInd w:w="103" w:type="dxa"/>
        <w:tblLook w:val="04A0" w:firstRow="1" w:lastRow="0" w:firstColumn="1" w:lastColumn="0" w:noHBand="0" w:noVBand="1"/>
      </w:tblPr>
      <w:tblGrid>
        <w:gridCol w:w="3580"/>
        <w:gridCol w:w="960"/>
        <w:gridCol w:w="960"/>
        <w:gridCol w:w="960"/>
        <w:gridCol w:w="960"/>
        <w:gridCol w:w="1374"/>
      </w:tblGrid>
      <w:tr w:rsidR="00AC55E6" w:rsidRPr="00F40D9E" w14:paraId="32BB1B18" w14:textId="77777777" w:rsidTr="00AC55E6">
        <w:trPr>
          <w:trHeight w:val="300"/>
        </w:trPr>
        <w:tc>
          <w:tcPr>
            <w:tcW w:w="3580" w:type="dxa"/>
            <w:tcBorders>
              <w:top w:val="single" w:sz="4" w:space="0" w:color="auto"/>
              <w:left w:val="single" w:sz="4" w:space="0" w:color="auto"/>
              <w:bottom w:val="single" w:sz="4" w:space="0" w:color="auto"/>
              <w:right w:val="single" w:sz="4" w:space="0" w:color="auto"/>
            </w:tcBorders>
            <w:shd w:val="clear" w:color="000000" w:fill="8DB4E2"/>
            <w:vAlign w:val="bottom"/>
          </w:tcPr>
          <w:p w14:paraId="76D0C3F8" w14:textId="4DE5A952" w:rsidR="00AC55E6" w:rsidRPr="00F40D9E" w:rsidRDefault="00AC55E6" w:rsidP="008C71B1">
            <w:pPr>
              <w:rPr>
                <w:rFonts w:asciiTheme="minorHAnsi" w:eastAsia="Times New Roman" w:hAnsiTheme="minorHAnsi" w:cs="Arial"/>
                <w:b/>
                <w:bCs/>
                <w:sz w:val="22"/>
                <w:szCs w:val="22"/>
                <w:lang w:val="es-ES_tradnl" w:eastAsia="en-GB"/>
              </w:rPr>
            </w:pPr>
            <w:r w:rsidRPr="00F40D9E">
              <w:rPr>
                <w:rFonts w:asciiTheme="minorHAnsi" w:eastAsia="Times New Roman" w:hAnsiTheme="minorHAnsi" w:cs="Arial"/>
                <w:b/>
                <w:bCs/>
                <w:sz w:val="22"/>
                <w:szCs w:val="22"/>
                <w:lang w:val="es-ES_tradnl" w:eastAsia="en-GB"/>
              </w:rPr>
              <w:t>Descripción</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14:paraId="20698703" w14:textId="77777777" w:rsidR="00AC55E6" w:rsidRPr="00F40D9E" w:rsidRDefault="00AC55E6" w:rsidP="008C71B1">
            <w:pPr>
              <w:jc w:val="right"/>
              <w:rPr>
                <w:rFonts w:asciiTheme="minorHAnsi" w:eastAsia="Times New Roman" w:hAnsiTheme="minorHAnsi" w:cs="Arial"/>
                <w:b/>
                <w:bCs/>
                <w:sz w:val="22"/>
                <w:szCs w:val="22"/>
                <w:lang w:val="es-ES_tradnl" w:eastAsia="en-GB"/>
              </w:rPr>
            </w:pPr>
            <w:r w:rsidRPr="00F40D9E">
              <w:rPr>
                <w:rFonts w:asciiTheme="minorHAnsi" w:eastAsia="Times New Roman" w:hAnsiTheme="minorHAnsi" w:cs="Arial"/>
                <w:b/>
                <w:bCs/>
                <w:sz w:val="22"/>
                <w:szCs w:val="22"/>
                <w:lang w:val="es-ES_tradnl" w:eastAsia="en-GB"/>
              </w:rPr>
              <w:t>2012</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14:paraId="0B6D5217" w14:textId="77777777" w:rsidR="00AC55E6" w:rsidRPr="00F40D9E" w:rsidRDefault="00AC55E6" w:rsidP="008C71B1">
            <w:pPr>
              <w:jc w:val="right"/>
              <w:rPr>
                <w:rFonts w:asciiTheme="minorHAnsi" w:eastAsia="Times New Roman" w:hAnsiTheme="minorHAnsi" w:cs="Arial"/>
                <w:b/>
                <w:bCs/>
                <w:sz w:val="22"/>
                <w:szCs w:val="22"/>
                <w:lang w:val="es-ES_tradnl" w:eastAsia="en-GB"/>
              </w:rPr>
            </w:pPr>
            <w:r w:rsidRPr="00F40D9E">
              <w:rPr>
                <w:rFonts w:asciiTheme="minorHAnsi" w:eastAsia="Times New Roman" w:hAnsiTheme="minorHAnsi" w:cs="Arial"/>
                <w:b/>
                <w:bCs/>
                <w:sz w:val="22"/>
                <w:szCs w:val="22"/>
                <w:lang w:val="es-ES_tradnl" w:eastAsia="en-GB"/>
              </w:rPr>
              <w:t>2013</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14:paraId="7BF2E138" w14:textId="77777777" w:rsidR="00AC55E6" w:rsidRPr="00F40D9E" w:rsidRDefault="00AC55E6" w:rsidP="008C71B1">
            <w:pPr>
              <w:jc w:val="right"/>
              <w:rPr>
                <w:rFonts w:asciiTheme="minorHAnsi" w:eastAsia="Times New Roman" w:hAnsiTheme="minorHAnsi" w:cs="Arial"/>
                <w:b/>
                <w:bCs/>
                <w:sz w:val="22"/>
                <w:szCs w:val="22"/>
                <w:lang w:val="es-ES_tradnl" w:eastAsia="en-GB"/>
              </w:rPr>
            </w:pPr>
            <w:r w:rsidRPr="00F40D9E">
              <w:rPr>
                <w:rFonts w:asciiTheme="minorHAnsi" w:eastAsia="Times New Roman" w:hAnsiTheme="minorHAnsi" w:cs="Arial"/>
                <w:b/>
                <w:bCs/>
                <w:sz w:val="22"/>
                <w:szCs w:val="22"/>
                <w:lang w:val="es-ES_tradnl" w:eastAsia="en-GB"/>
              </w:rPr>
              <w:t>2014</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14:paraId="2FB70945" w14:textId="77777777" w:rsidR="00AC55E6" w:rsidRPr="00F40D9E" w:rsidRDefault="00AC55E6" w:rsidP="008C71B1">
            <w:pPr>
              <w:jc w:val="right"/>
              <w:rPr>
                <w:rFonts w:asciiTheme="minorHAnsi" w:eastAsia="Times New Roman" w:hAnsiTheme="minorHAnsi" w:cs="Arial"/>
                <w:b/>
                <w:bCs/>
                <w:sz w:val="22"/>
                <w:szCs w:val="22"/>
                <w:lang w:val="es-ES_tradnl" w:eastAsia="en-GB"/>
              </w:rPr>
            </w:pPr>
            <w:r w:rsidRPr="00F40D9E">
              <w:rPr>
                <w:rFonts w:asciiTheme="minorHAnsi" w:eastAsia="Times New Roman" w:hAnsiTheme="minorHAnsi" w:cs="Arial"/>
                <w:b/>
                <w:bCs/>
                <w:sz w:val="22"/>
                <w:szCs w:val="22"/>
                <w:lang w:val="es-ES_tradnl" w:eastAsia="en-GB"/>
              </w:rPr>
              <w:t>2015</w:t>
            </w:r>
          </w:p>
        </w:tc>
        <w:tc>
          <w:tcPr>
            <w:tcW w:w="1374" w:type="dxa"/>
            <w:tcBorders>
              <w:top w:val="single" w:sz="4" w:space="0" w:color="auto"/>
              <w:left w:val="nil"/>
              <w:bottom w:val="single" w:sz="4" w:space="0" w:color="auto"/>
              <w:right w:val="single" w:sz="4" w:space="0" w:color="auto"/>
            </w:tcBorders>
            <w:shd w:val="clear" w:color="000000" w:fill="8DB4E2"/>
            <w:noWrap/>
            <w:vAlign w:val="bottom"/>
            <w:hideMark/>
          </w:tcPr>
          <w:p w14:paraId="1BEB7383" w14:textId="77777777" w:rsidR="00AC55E6" w:rsidRPr="00F40D9E" w:rsidRDefault="00AC55E6" w:rsidP="008C71B1">
            <w:pPr>
              <w:jc w:val="right"/>
              <w:rPr>
                <w:rFonts w:asciiTheme="minorHAnsi" w:eastAsia="Times New Roman" w:hAnsiTheme="minorHAnsi" w:cs="Arial"/>
                <w:b/>
                <w:bCs/>
                <w:sz w:val="22"/>
                <w:szCs w:val="22"/>
                <w:lang w:val="es-ES_tradnl" w:eastAsia="en-GB"/>
              </w:rPr>
            </w:pPr>
            <w:r w:rsidRPr="00F40D9E">
              <w:rPr>
                <w:rFonts w:asciiTheme="minorHAnsi" w:eastAsia="Times New Roman" w:hAnsiTheme="minorHAnsi" w:cs="Arial"/>
                <w:b/>
                <w:bCs/>
                <w:sz w:val="22"/>
                <w:szCs w:val="22"/>
                <w:lang w:val="es-ES_tradnl" w:eastAsia="en-GB"/>
              </w:rPr>
              <w:t>29/02/2016</w:t>
            </w:r>
          </w:p>
        </w:tc>
      </w:tr>
      <w:tr w:rsidR="00AC55E6" w:rsidRPr="00F40D9E" w14:paraId="35F34214" w14:textId="77777777" w:rsidTr="00AC55E6">
        <w:trPr>
          <w:trHeight w:val="300"/>
        </w:trPr>
        <w:tc>
          <w:tcPr>
            <w:tcW w:w="3580" w:type="dxa"/>
            <w:tcBorders>
              <w:top w:val="nil"/>
              <w:left w:val="single" w:sz="4" w:space="0" w:color="auto"/>
              <w:bottom w:val="single" w:sz="4" w:space="0" w:color="auto"/>
              <w:right w:val="single" w:sz="4" w:space="0" w:color="auto"/>
            </w:tcBorders>
            <w:vAlign w:val="center"/>
          </w:tcPr>
          <w:p w14:paraId="556D925B" w14:textId="7E9D8104" w:rsidR="00AC55E6" w:rsidRPr="00F40D9E" w:rsidRDefault="00AC55E6" w:rsidP="008C71B1">
            <w:pPr>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Contribuciones de las Partes</w:t>
            </w:r>
          </w:p>
        </w:tc>
        <w:tc>
          <w:tcPr>
            <w:tcW w:w="960" w:type="dxa"/>
            <w:tcBorders>
              <w:top w:val="nil"/>
              <w:left w:val="nil"/>
              <w:bottom w:val="single" w:sz="4" w:space="0" w:color="auto"/>
              <w:right w:val="single" w:sz="4" w:space="0" w:color="auto"/>
            </w:tcBorders>
            <w:shd w:val="clear" w:color="auto" w:fill="auto"/>
            <w:noWrap/>
            <w:vAlign w:val="bottom"/>
            <w:hideMark/>
          </w:tcPr>
          <w:p w14:paraId="7A91C2A4" w14:textId="49384E90"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3</w:t>
            </w:r>
            <w:r w:rsidR="009F25C5" w:rsidRPr="00F40D9E">
              <w:rPr>
                <w:rFonts w:asciiTheme="minorHAnsi" w:eastAsia="Times New Roman" w:hAnsiTheme="minorHAnsi" w:cs="Arial"/>
                <w:sz w:val="22"/>
                <w:szCs w:val="22"/>
                <w:lang w:val="es-ES_tradnl" w:eastAsia="en-GB"/>
              </w:rPr>
              <w:t>.</w:t>
            </w:r>
            <w:r w:rsidRPr="00F40D9E">
              <w:rPr>
                <w:rFonts w:asciiTheme="minorHAnsi" w:eastAsia="Times New Roman" w:hAnsiTheme="minorHAnsi" w:cs="Arial"/>
                <w:sz w:val="22"/>
                <w:szCs w:val="22"/>
                <w:lang w:val="es-ES_tradnl" w:eastAsia="en-GB"/>
              </w:rPr>
              <w:t>780</w:t>
            </w:r>
          </w:p>
        </w:tc>
        <w:tc>
          <w:tcPr>
            <w:tcW w:w="960" w:type="dxa"/>
            <w:tcBorders>
              <w:top w:val="nil"/>
              <w:left w:val="nil"/>
              <w:bottom w:val="single" w:sz="4" w:space="0" w:color="auto"/>
              <w:right w:val="single" w:sz="4" w:space="0" w:color="auto"/>
            </w:tcBorders>
            <w:shd w:val="clear" w:color="auto" w:fill="auto"/>
            <w:noWrap/>
            <w:vAlign w:val="bottom"/>
            <w:hideMark/>
          </w:tcPr>
          <w:p w14:paraId="44E4FD4C" w14:textId="102ACBDF"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3</w:t>
            </w:r>
            <w:r w:rsidR="009F25C5" w:rsidRPr="00F40D9E">
              <w:rPr>
                <w:rFonts w:asciiTheme="minorHAnsi" w:eastAsia="Times New Roman" w:hAnsiTheme="minorHAnsi" w:cs="Arial"/>
                <w:sz w:val="22"/>
                <w:szCs w:val="22"/>
                <w:lang w:val="es-ES_tradnl" w:eastAsia="en-GB"/>
              </w:rPr>
              <w:t>.</w:t>
            </w:r>
            <w:r w:rsidRPr="00F40D9E">
              <w:rPr>
                <w:rFonts w:asciiTheme="minorHAnsi" w:eastAsia="Times New Roman" w:hAnsiTheme="minorHAnsi" w:cs="Arial"/>
                <w:sz w:val="22"/>
                <w:szCs w:val="22"/>
                <w:lang w:val="es-ES_tradnl" w:eastAsia="en-GB"/>
              </w:rPr>
              <w:t>782</w:t>
            </w:r>
          </w:p>
        </w:tc>
        <w:tc>
          <w:tcPr>
            <w:tcW w:w="960" w:type="dxa"/>
            <w:tcBorders>
              <w:top w:val="nil"/>
              <w:left w:val="nil"/>
              <w:bottom w:val="single" w:sz="4" w:space="0" w:color="auto"/>
              <w:right w:val="single" w:sz="4" w:space="0" w:color="auto"/>
            </w:tcBorders>
            <w:shd w:val="clear" w:color="auto" w:fill="auto"/>
            <w:noWrap/>
            <w:vAlign w:val="bottom"/>
            <w:hideMark/>
          </w:tcPr>
          <w:p w14:paraId="1FD61FDB" w14:textId="54DBF085"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3</w:t>
            </w:r>
            <w:r w:rsidR="009F25C5" w:rsidRPr="00F40D9E">
              <w:rPr>
                <w:rFonts w:asciiTheme="minorHAnsi" w:eastAsia="Times New Roman" w:hAnsiTheme="minorHAnsi" w:cs="Arial"/>
                <w:sz w:val="22"/>
                <w:szCs w:val="22"/>
                <w:lang w:val="es-ES_tradnl" w:eastAsia="en-GB"/>
              </w:rPr>
              <w:t>.</w:t>
            </w:r>
            <w:r w:rsidRPr="00F40D9E">
              <w:rPr>
                <w:rFonts w:asciiTheme="minorHAnsi" w:eastAsia="Times New Roman" w:hAnsiTheme="minorHAnsi" w:cs="Arial"/>
                <w:sz w:val="22"/>
                <w:szCs w:val="22"/>
                <w:lang w:val="es-ES_tradnl" w:eastAsia="en-GB"/>
              </w:rPr>
              <w:t>779</w:t>
            </w:r>
          </w:p>
        </w:tc>
        <w:tc>
          <w:tcPr>
            <w:tcW w:w="960" w:type="dxa"/>
            <w:tcBorders>
              <w:top w:val="nil"/>
              <w:left w:val="nil"/>
              <w:bottom w:val="single" w:sz="4" w:space="0" w:color="auto"/>
              <w:right w:val="single" w:sz="4" w:space="0" w:color="auto"/>
            </w:tcBorders>
            <w:shd w:val="clear" w:color="auto" w:fill="auto"/>
            <w:noWrap/>
            <w:vAlign w:val="bottom"/>
            <w:hideMark/>
          </w:tcPr>
          <w:p w14:paraId="7490E6D4" w14:textId="14A6F53C"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3</w:t>
            </w:r>
            <w:r w:rsidR="009F25C5" w:rsidRPr="00F40D9E">
              <w:rPr>
                <w:rFonts w:asciiTheme="minorHAnsi" w:eastAsia="Times New Roman" w:hAnsiTheme="minorHAnsi" w:cs="Arial"/>
                <w:sz w:val="22"/>
                <w:szCs w:val="22"/>
                <w:lang w:val="es-ES_tradnl" w:eastAsia="en-GB"/>
              </w:rPr>
              <w:t>.</w:t>
            </w:r>
            <w:r w:rsidRPr="00F40D9E">
              <w:rPr>
                <w:rFonts w:asciiTheme="minorHAnsi" w:eastAsia="Times New Roman" w:hAnsiTheme="minorHAnsi" w:cs="Arial"/>
                <w:sz w:val="22"/>
                <w:szCs w:val="22"/>
                <w:lang w:val="es-ES_tradnl" w:eastAsia="en-GB"/>
              </w:rPr>
              <w:t>779</w:t>
            </w:r>
          </w:p>
        </w:tc>
        <w:tc>
          <w:tcPr>
            <w:tcW w:w="1374" w:type="dxa"/>
            <w:tcBorders>
              <w:top w:val="nil"/>
              <w:left w:val="nil"/>
              <w:bottom w:val="single" w:sz="4" w:space="0" w:color="auto"/>
              <w:right w:val="single" w:sz="4" w:space="0" w:color="auto"/>
            </w:tcBorders>
            <w:shd w:val="clear" w:color="auto" w:fill="auto"/>
            <w:noWrap/>
            <w:vAlign w:val="bottom"/>
            <w:hideMark/>
          </w:tcPr>
          <w:p w14:paraId="75F43DC9" w14:textId="641ACD3F"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3</w:t>
            </w:r>
            <w:r w:rsidR="009F25C5" w:rsidRPr="00F40D9E">
              <w:rPr>
                <w:rFonts w:asciiTheme="minorHAnsi" w:eastAsia="Times New Roman" w:hAnsiTheme="minorHAnsi" w:cs="Arial"/>
                <w:sz w:val="22"/>
                <w:szCs w:val="22"/>
                <w:lang w:val="es-ES_tradnl" w:eastAsia="en-GB"/>
              </w:rPr>
              <w:t>.</w:t>
            </w:r>
            <w:r w:rsidRPr="00F40D9E">
              <w:rPr>
                <w:rFonts w:asciiTheme="minorHAnsi" w:eastAsia="Times New Roman" w:hAnsiTheme="minorHAnsi" w:cs="Arial"/>
                <w:sz w:val="22"/>
                <w:szCs w:val="22"/>
                <w:lang w:val="es-ES_tradnl" w:eastAsia="en-GB"/>
              </w:rPr>
              <w:t>779</w:t>
            </w:r>
          </w:p>
        </w:tc>
      </w:tr>
      <w:tr w:rsidR="00AC55E6" w:rsidRPr="00F40D9E" w14:paraId="0B101D7D" w14:textId="77777777" w:rsidTr="00AC55E6">
        <w:trPr>
          <w:trHeight w:val="300"/>
        </w:trPr>
        <w:tc>
          <w:tcPr>
            <w:tcW w:w="3580" w:type="dxa"/>
            <w:tcBorders>
              <w:top w:val="nil"/>
              <w:left w:val="single" w:sz="4" w:space="0" w:color="auto"/>
              <w:bottom w:val="single" w:sz="4" w:space="0" w:color="auto"/>
              <w:right w:val="single" w:sz="4" w:space="0" w:color="auto"/>
            </w:tcBorders>
            <w:vAlign w:val="center"/>
          </w:tcPr>
          <w:p w14:paraId="49020BFA" w14:textId="7B6B8051" w:rsidR="00AC55E6" w:rsidRPr="00F40D9E" w:rsidRDefault="00AC55E6" w:rsidP="008C71B1">
            <w:pPr>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 xml:space="preserve">Contribución voluntaria de los Estados Unidos </w:t>
            </w:r>
          </w:p>
        </w:tc>
        <w:tc>
          <w:tcPr>
            <w:tcW w:w="960" w:type="dxa"/>
            <w:tcBorders>
              <w:top w:val="nil"/>
              <w:left w:val="nil"/>
              <w:bottom w:val="single" w:sz="4" w:space="0" w:color="auto"/>
              <w:right w:val="single" w:sz="4" w:space="0" w:color="auto"/>
            </w:tcBorders>
            <w:shd w:val="clear" w:color="auto" w:fill="auto"/>
            <w:noWrap/>
            <w:vAlign w:val="bottom"/>
            <w:hideMark/>
          </w:tcPr>
          <w:p w14:paraId="7B264B76" w14:textId="77777777"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930</w:t>
            </w:r>
          </w:p>
        </w:tc>
        <w:tc>
          <w:tcPr>
            <w:tcW w:w="960" w:type="dxa"/>
            <w:tcBorders>
              <w:top w:val="nil"/>
              <w:left w:val="nil"/>
              <w:bottom w:val="single" w:sz="4" w:space="0" w:color="auto"/>
              <w:right w:val="single" w:sz="4" w:space="0" w:color="auto"/>
            </w:tcBorders>
            <w:shd w:val="clear" w:color="auto" w:fill="auto"/>
            <w:noWrap/>
            <w:vAlign w:val="bottom"/>
            <w:hideMark/>
          </w:tcPr>
          <w:p w14:paraId="0729E5FB" w14:textId="7340CA8B"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1</w:t>
            </w:r>
            <w:r w:rsidR="009F25C5" w:rsidRPr="00F40D9E">
              <w:rPr>
                <w:rFonts w:asciiTheme="minorHAnsi" w:eastAsia="Times New Roman" w:hAnsiTheme="minorHAnsi" w:cs="Arial"/>
                <w:sz w:val="22"/>
                <w:szCs w:val="22"/>
                <w:lang w:val="es-ES_tradnl" w:eastAsia="en-GB"/>
              </w:rPr>
              <w:t>.</w:t>
            </w:r>
            <w:r w:rsidRPr="00F40D9E">
              <w:rPr>
                <w:rFonts w:asciiTheme="minorHAnsi" w:eastAsia="Times New Roman" w:hAnsiTheme="minorHAnsi" w:cs="Arial"/>
                <w:sz w:val="22"/>
                <w:szCs w:val="22"/>
                <w:lang w:val="es-ES_tradnl" w:eastAsia="en-GB"/>
              </w:rPr>
              <w:t>048</w:t>
            </w:r>
          </w:p>
        </w:tc>
        <w:tc>
          <w:tcPr>
            <w:tcW w:w="960" w:type="dxa"/>
            <w:tcBorders>
              <w:top w:val="nil"/>
              <w:left w:val="nil"/>
              <w:bottom w:val="single" w:sz="4" w:space="0" w:color="auto"/>
              <w:right w:val="single" w:sz="4" w:space="0" w:color="auto"/>
            </w:tcBorders>
            <w:shd w:val="clear" w:color="auto" w:fill="auto"/>
            <w:noWrap/>
            <w:vAlign w:val="bottom"/>
            <w:hideMark/>
          </w:tcPr>
          <w:p w14:paraId="6D688840" w14:textId="17A71C7A"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1</w:t>
            </w:r>
            <w:r w:rsidR="009F25C5" w:rsidRPr="00F40D9E">
              <w:rPr>
                <w:rFonts w:asciiTheme="minorHAnsi" w:eastAsia="Times New Roman" w:hAnsiTheme="minorHAnsi" w:cs="Arial"/>
                <w:sz w:val="22"/>
                <w:szCs w:val="22"/>
                <w:lang w:val="es-ES_tradnl" w:eastAsia="en-GB"/>
              </w:rPr>
              <w:t>.</w:t>
            </w:r>
            <w:r w:rsidRPr="00F40D9E">
              <w:rPr>
                <w:rFonts w:asciiTheme="minorHAnsi" w:eastAsia="Times New Roman" w:hAnsiTheme="minorHAnsi" w:cs="Arial"/>
                <w:sz w:val="22"/>
                <w:szCs w:val="22"/>
                <w:lang w:val="es-ES_tradnl" w:eastAsia="en-GB"/>
              </w:rPr>
              <w:t>066</w:t>
            </w:r>
          </w:p>
        </w:tc>
        <w:tc>
          <w:tcPr>
            <w:tcW w:w="960" w:type="dxa"/>
            <w:tcBorders>
              <w:top w:val="nil"/>
              <w:left w:val="nil"/>
              <w:bottom w:val="single" w:sz="4" w:space="0" w:color="auto"/>
              <w:right w:val="single" w:sz="4" w:space="0" w:color="auto"/>
            </w:tcBorders>
            <w:shd w:val="clear" w:color="auto" w:fill="auto"/>
            <w:noWrap/>
            <w:vAlign w:val="bottom"/>
            <w:hideMark/>
          </w:tcPr>
          <w:p w14:paraId="5E3FF6AF" w14:textId="00FC300B"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1</w:t>
            </w:r>
            <w:r w:rsidR="009F25C5" w:rsidRPr="00F40D9E">
              <w:rPr>
                <w:rFonts w:asciiTheme="minorHAnsi" w:eastAsia="Times New Roman" w:hAnsiTheme="minorHAnsi" w:cs="Arial"/>
                <w:sz w:val="22"/>
                <w:szCs w:val="22"/>
                <w:lang w:val="es-ES_tradnl" w:eastAsia="en-GB"/>
              </w:rPr>
              <w:t>.</w:t>
            </w:r>
            <w:r w:rsidRPr="00F40D9E">
              <w:rPr>
                <w:rFonts w:asciiTheme="minorHAnsi" w:eastAsia="Times New Roman" w:hAnsiTheme="minorHAnsi" w:cs="Arial"/>
                <w:sz w:val="22"/>
                <w:szCs w:val="22"/>
                <w:lang w:val="es-ES_tradnl" w:eastAsia="en-GB"/>
              </w:rPr>
              <w:t>065</w:t>
            </w:r>
          </w:p>
        </w:tc>
        <w:tc>
          <w:tcPr>
            <w:tcW w:w="1374" w:type="dxa"/>
            <w:tcBorders>
              <w:top w:val="nil"/>
              <w:left w:val="nil"/>
              <w:bottom w:val="single" w:sz="4" w:space="0" w:color="auto"/>
              <w:right w:val="single" w:sz="4" w:space="0" w:color="auto"/>
            </w:tcBorders>
            <w:shd w:val="clear" w:color="auto" w:fill="auto"/>
            <w:noWrap/>
            <w:vAlign w:val="bottom"/>
            <w:hideMark/>
          </w:tcPr>
          <w:p w14:paraId="56E78618" w14:textId="65CBC08E"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1</w:t>
            </w:r>
            <w:r w:rsidR="009F25C5" w:rsidRPr="00F40D9E">
              <w:rPr>
                <w:rFonts w:asciiTheme="minorHAnsi" w:eastAsia="Times New Roman" w:hAnsiTheme="minorHAnsi" w:cs="Arial"/>
                <w:sz w:val="22"/>
                <w:szCs w:val="22"/>
                <w:lang w:val="es-ES_tradnl" w:eastAsia="en-GB"/>
              </w:rPr>
              <w:t>.</w:t>
            </w:r>
            <w:r w:rsidRPr="00F40D9E">
              <w:rPr>
                <w:rFonts w:asciiTheme="minorHAnsi" w:eastAsia="Times New Roman" w:hAnsiTheme="minorHAnsi" w:cs="Arial"/>
                <w:sz w:val="22"/>
                <w:szCs w:val="22"/>
                <w:lang w:val="es-ES_tradnl" w:eastAsia="en-GB"/>
              </w:rPr>
              <w:t>065</w:t>
            </w:r>
          </w:p>
        </w:tc>
      </w:tr>
      <w:tr w:rsidR="00AC55E6" w:rsidRPr="00F40D9E" w14:paraId="654C484A" w14:textId="77777777" w:rsidTr="00AC55E6">
        <w:trPr>
          <w:trHeight w:val="300"/>
        </w:trPr>
        <w:tc>
          <w:tcPr>
            <w:tcW w:w="3580" w:type="dxa"/>
            <w:tcBorders>
              <w:top w:val="nil"/>
              <w:left w:val="single" w:sz="4" w:space="0" w:color="auto"/>
              <w:bottom w:val="single" w:sz="4" w:space="0" w:color="auto"/>
              <w:right w:val="single" w:sz="4" w:space="0" w:color="auto"/>
            </w:tcBorders>
            <w:vAlign w:val="bottom"/>
          </w:tcPr>
          <w:p w14:paraId="7BF8CFBB" w14:textId="6626AC05" w:rsidR="00AC55E6" w:rsidRPr="00F40D9E" w:rsidRDefault="00AC55E6" w:rsidP="008C71B1">
            <w:pPr>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 xml:space="preserve">Contribuciones pendientes acumuladas </w:t>
            </w:r>
          </w:p>
        </w:tc>
        <w:tc>
          <w:tcPr>
            <w:tcW w:w="960" w:type="dxa"/>
            <w:tcBorders>
              <w:top w:val="nil"/>
              <w:left w:val="nil"/>
              <w:bottom w:val="single" w:sz="4" w:space="0" w:color="auto"/>
              <w:right w:val="single" w:sz="4" w:space="0" w:color="auto"/>
            </w:tcBorders>
            <w:shd w:val="clear" w:color="auto" w:fill="auto"/>
            <w:noWrap/>
            <w:vAlign w:val="bottom"/>
            <w:hideMark/>
          </w:tcPr>
          <w:p w14:paraId="59F1BAA2" w14:textId="77777777"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759</w:t>
            </w:r>
          </w:p>
        </w:tc>
        <w:tc>
          <w:tcPr>
            <w:tcW w:w="960" w:type="dxa"/>
            <w:tcBorders>
              <w:top w:val="nil"/>
              <w:left w:val="nil"/>
              <w:bottom w:val="single" w:sz="4" w:space="0" w:color="auto"/>
              <w:right w:val="single" w:sz="4" w:space="0" w:color="auto"/>
            </w:tcBorders>
            <w:shd w:val="clear" w:color="auto" w:fill="auto"/>
            <w:noWrap/>
            <w:vAlign w:val="bottom"/>
            <w:hideMark/>
          </w:tcPr>
          <w:p w14:paraId="2991BE15" w14:textId="77777777"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759</w:t>
            </w:r>
          </w:p>
        </w:tc>
        <w:tc>
          <w:tcPr>
            <w:tcW w:w="960" w:type="dxa"/>
            <w:tcBorders>
              <w:top w:val="nil"/>
              <w:left w:val="nil"/>
              <w:bottom w:val="single" w:sz="4" w:space="0" w:color="auto"/>
              <w:right w:val="single" w:sz="4" w:space="0" w:color="auto"/>
            </w:tcBorders>
            <w:shd w:val="clear" w:color="auto" w:fill="auto"/>
            <w:noWrap/>
            <w:vAlign w:val="bottom"/>
            <w:hideMark/>
          </w:tcPr>
          <w:p w14:paraId="5735EE50" w14:textId="77777777"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943</w:t>
            </w:r>
          </w:p>
        </w:tc>
        <w:tc>
          <w:tcPr>
            <w:tcW w:w="960" w:type="dxa"/>
            <w:tcBorders>
              <w:top w:val="nil"/>
              <w:left w:val="nil"/>
              <w:bottom w:val="single" w:sz="4" w:space="0" w:color="auto"/>
              <w:right w:val="single" w:sz="4" w:space="0" w:color="auto"/>
            </w:tcBorders>
            <w:shd w:val="clear" w:color="auto" w:fill="auto"/>
            <w:noWrap/>
            <w:vAlign w:val="bottom"/>
            <w:hideMark/>
          </w:tcPr>
          <w:p w14:paraId="4B04663A" w14:textId="54A6E805"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1260</w:t>
            </w:r>
          </w:p>
        </w:tc>
        <w:tc>
          <w:tcPr>
            <w:tcW w:w="1374" w:type="dxa"/>
            <w:tcBorders>
              <w:top w:val="nil"/>
              <w:left w:val="nil"/>
              <w:bottom w:val="single" w:sz="4" w:space="0" w:color="auto"/>
              <w:right w:val="single" w:sz="4" w:space="0" w:color="auto"/>
            </w:tcBorders>
            <w:shd w:val="clear" w:color="auto" w:fill="auto"/>
            <w:noWrap/>
            <w:vAlign w:val="bottom"/>
            <w:hideMark/>
          </w:tcPr>
          <w:p w14:paraId="02D29FE2" w14:textId="221FE45B"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4</w:t>
            </w:r>
            <w:r w:rsidR="009F25C5" w:rsidRPr="00F40D9E">
              <w:rPr>
                <w:rFonts w:asciiTheme="minorHAnsi" w:eastAsia="Times New Roman" w:hAnsiTheme="minorHAnsi" w:cs="Arial"/>
                <w:sz w:val="22"/>
                <w:szCs w:val="22"/>
                <w:lang w:val="es-ES_tradnl" w:eastAsia="en-GB"/>
              </w:rPr>
              <w:t>.</w:t>
            </w:r>
            <w:r w:rsidRPr="00F40D9E">
              <w:rPr>
                <w:rFonts w:asciiTheme="minorHAnsi" w:eastAsia="Times New Roman" w:hAnsiTheme="minorHAnsi" w:cs="Arial"/>
                <w:sz w:val="22"/>
                <w:szCs w:val="22"/>
                <w:lang w:val="es-ES_tradnl" w:eastAsia="en-GB"/>
              </w:rPr>
              <w:t>226</w:t>
            </w:r>
          </w:p>
        </w:tc>
      </w:tr>
      <w:tr w:rsidR="00AC55E6" w:rsidRPr="00F40D9E" w14:paraId="4E711237" w14:textId="77777777" w:rsidTr="00AC55E6">
        <w:trPr>
          <w:trHeight w:val="300"/>
        </w:trPr>
        <w:tc>
          <w:tcPr>
            <w:tcW w:w="3580" w:type="dxa"/>
            <w:tcBorders>
              <w:top w:val="nil"/>
              <w:left w:val="single" w:sz="4" w:space="0" w:color="auto"/>
              <w:bottom w:val="single" w:sz="4" w:space="0" w:color="auto"/>
              <w:right w:val="single" w:sz="4" w:space="0" w:color="auto"/>
            </w:tcBorders>
            <w:vAlign w:val="bottom"/>
          </w:tcPr>
          <w:p w14:paraId="06055CBE" w14:textId="7A1178CE" w:rsidR="00AC55E6" w:rsidRPr="00F40D9E" w:rsidRDefault="00AC55E6" w:rsidP="003603D0">
            <w:pPr>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 xml:space="preserve">Provisión </w:t>
            </w:r>
            <w:r w:rsidR="003603D0">
              <w:rPr>
                <w:rFonts w:asciiTheme="minorHAnsi" w:eastAsia="Times New Roman" w:hAnsiTheme="minorHAnsi" w:cs="Arial"/>
                <w:sz w:val="22"/>
                <w:szCs w:val="22"/>
                <w:lang w:val="es-ES_tradnl" w:eastAsia="en-GB"/>
              </w:rPr>
              <w:t xml:space="preserve">por </w:t>
            </w:r>
            <w:r w:rsidRPr="00F40D9E">
              <w:rPr>
                <w:rFonts w:asciiTheme="minorHAnsi" w:eastAsia="Times New Roman" w:hAnsiTheme="minorHAnsi" w:cs="Arial"/>
                <w:sz w:val="22"/>
                <w:szCs w:val="22"/>
                <w:lang w:val="es-ES_tradnl" w:eastAsia="en-GB"/>
              </w:rPr>
              <w:t>mora</w:t>
            </w:r>
          </w:p>
        </w:tc>
        <w:tc>
          <w:tcPr>
            <w:tcW w:w="960" w:type="dxa"/>
            <w:tcBorders>
              <w:top w:val="nil"/>
              <w:left w:val="nil"/>
              <w:bottom w:val="single" w:sz="4" w:space="0" w:color="auto"/>
              <w:right w:val="single" w:sz="4" w:space="0" w:color="auto"/>
            </w:tcBorders>
            <w:shd w:val="clear" w:color="auto" w:fill="auto"/>
            <w:noWrap/>
            <w:vAlign w:val="bottom"/>
            <w:hideMark/>
          </w:tcPr>
          <w:p w14:paraId="12847A04" w14:textId="77777777"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361</w:t>
            </w:r>
          </w:p>
        </w:tc>
        <w:tc>
          <w:tcPr>
            <w:tcW w:w="960" w:type="dxa"/>
            <w:tcBorders>
              <w:top w:val="nil"/>
              <w:left w:val="nil"/>
              <w:bottom w:val="single" w:sz="4" w:space="0" w:color="auto"/>
              <w:right w:val="single" w:sz="4" w:space="0" w:color="auto"/>
            </w:tcBorders>
            <w:shd w:val="clear" w:color="auto" w:fill="auto"/>
            <w:noWrap/>
            <w:vAlign w:val="bottom"/>
            <w:hideMark/>
          </w:tcPr>
          <w:p w14:paraId="7F499988" w14:textId="77777777"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385</w:t>
            </w:r>
          </w:p>
        </w:tc>
        <w:tc>
          <w:tcPr>
            <w:tcW w:w="960" w:type="dxa"/>
            <w:tcBorders>
              <w:top w:val="nil"/>
              <w:left w:val="nil"/>
              <w:bottom w:val="single" w:sz="4" w:space="0" w:color="auto"/>
              <w:right w:val="single" w:sz="4" w:space="0" w:color="auto"/>
            </w:tcBorders>
            <w:shd w:val="clear" w:color="auto" w:fill="auto"/>
            <w:noWrap/>
            <w:vAlign w:val="bottom"/>
            <w:hideMark/>
          </w:tcPr>
          <w:p w14:paraId="4593EB72" w14:textId="77777777"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511</w:t>
            </w:r>
          </w:p>
        </w:tc>
        <w:tc>
          <w:tcPr>
            <w:tcW w:w="960" w:type="dxa"/>
            <w:tcBorders>
              <w:top w:val="nil"/>
              <w:left w:val="nil"/>
              <w:bottom w:val="single" w:sz="4" w:space="0" w:color="auto"/>
              <w:right w:val="single" w:sz="4" w:space="0" w:color="auto"/>
            </w:tcBorders>
            <w:shd w:val="clear" w:color="auto" w:fill="auto"/>
            <w:noWrap/>
            <w:vAlign w:val="bottom"/>
            <w:hideMark/>
          </w:tcPr>
          <w:p w14:paraId="56BC43C3" w14:textId="77777777" w:rsidR="00AC55E6" w:rsidRPr="00F40D9E" w:rsidRDefault="00AC55E6"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644</w:t>
            </w:r>
          </w:p>
        </w:tc>
        <w:tc>
          <w:tcPr>
            <w:tcW w:w="1374" w:type="dxa"/>
            <w:tcBorders>
              <w:top w:val="nil"/>
              <w:left w:val="nil"/>
              <w:bottom w:val="single" w:sz="4" w:space="0" w:color="auto"/>
              <w:right w:val="single" w:sz="4" w:space="0" w:color="auto"/>
            </w:tcBorders>
            <w:shd w:val="clear" w:color="auto" w:fill="auto"/>
            <w:noWrap/>
            <w:vAlign w:val="bottom"/>
            <w:hideMark/>
          </w:tcPr>
          <w:p w14:paraId="0F807765" w14:textId="3C88370C" w:rsidR="00AC55E6" w:rsidRPr="00F40D9E" w:rsidRDefault="004A3A9B" w:rsidP="008C71B1">
            <w:pPr>
              <w:jc w:val="right"/>
              <w:rPr>
                <w:rFonts w:asciiTheme="minorHAnsi" w:eastAsia="Times New Roman" w:hAnsiTheme="minorHAnsi" w:cs="Arial"/>
                <w:sz w:val="22"/>
                <w:szCs w:val="22"/>
                <w:lang w:val="es-ES_tradnl" w:eastAsia="en-GB"/>
              </w:rPr>
            </w:pPr>
            <w:r w:rsidRPr="00F40D9E">
              <w:rPr>
                <w:rFonts w:asciiTheme="minorHAnsi" w:eastAsia="Times New Roman" w:hAnsiTheme="minorHAnsi" w:cs="Arial"/>
                <w:sz w:val="22"/>
                <w:szCs w:val="22"/>
                <w:lang w:val="es-ES_tradnl" w:eastAsia="en-GB"/>
              </w:rPr>
              <w:t>P</w:t>
            </w:r>
            <w:r w:rsidR="00AC55E6" w:rsidRPr="00F40D9E">
              <w:rPr>
                <w:rFonts w:asciiTheme="minorHAnsi" w:eastAsia="Times New Roman" w:hAnsiTheme="minorHAnsi" w:cs="Arial"/>
                <w:sz w:val="22"/>
                <w:szCs w:val="22"/>
                <w:lang w:val="es-ES_tradnl" w:eastAsia="en-GB"/>
              </w:rPr>
              <w:t>D</w:t>
            </w:r>
            <w:r w:rsidR="00AC55E6" w:rsidRPr="00F40D9E">
              <w:rPr>
                <w:rStyle w:val="FootnoteReference"/>
                <w:rFonts w:asciiTheme="minorHAnsi" w:eastAsia="Times New Roman" w:hAnsiTheme="minorHAnsi" w:cs="Arial"/>
                <w:sz w:val="22"/>
                <w:szCs w:val="22"/>
                <w:lang w:val="es-ES_tradnl" w:eastAsia="en-GB"/>
              </w:rPr>
              <w:footnoteReference w:id="2"/>
            </w:r>
          </w:p>
        </w:tc>
      </w:tr>
    </w:tbl>
    <w:p w14:paraId="62D4AE7B" w14:textId="77777777" w:rsidR="005410BE" w:rsidRPr="00F40D9E" w:rsidRDefault="005410BE" w:rsidP="005410BE">
      <w:pPr>
        <w:autoSpaceDE w:val="0"/>
        <w:autoSpaceDN w:val="0"/>
        <w:adjustRightInd w:val="0"/>
        <w:rPr>
          <w:rFonts w:ascii="Calibri" w:hAnsi="Calibri" w:cs="Calibri"/>
          <w:sz w:val="22"/>
          <w:szCs w:val="22"/>
          <w:lang w:val="es-ES_tradnl"/>
        </w:rPr>
      </w:pPr>
    </w:p>
    <w:p w14:paraId="1436911C" w14:textId="77777777" w:rsidR="003C6AAA" w:rsidRPr="00F40D9E" w:rsidRDefault="003C6AAA" w:rsidP="00AC55E6">
      <w:pPr>
        <w:rPr>
          <w:rFonts w:ascii="Calibri" w:hAnsi="Calibri" w:cs="Calibri"/>
          <w:sz w:val="22"/>
          <w:szCs w:val="22"/>
          <w:lang w:val="es-ES_tradnl"/>
        </w:rPr>
      </w:pPr>
    </w:p>
    <w:p w14:paraId="0C698C48" w14:textId="44F03943" w:rsidR="003C6AAA" w:rsidRPr="00F40D9E" w:rsidRDefault="003C6AAA" w:rsidP="00494E10">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A</w:t>
      </w:r>
      <w:r w:rsidR="004A3A9B" w:rsidRPr="00F40D9E">
        <w:rPr>
          <w:rFonts w:ascii="Calibri" w:hAnsi="Calibri" w:cs="Calibri"/>
          <w:sz w:val="22"/>
          <w:szCs w:val="22"/>
          <w:lang w:val="es-ES_tradnl"/>
        </w:rPr>
        <w:t xml:space="preserve">l 29 de febrero de 2016, 90 de las Partes Contratantes habían pagado todas </w:t>
      </w:r>
      <w:r w:rsidR="00F97811" w:rsidRPr="00F40D9E">
        <w:rPr>
          <w:rFonts w:ascii="Calibri" w:hAnsi="Calibri" w:cs="Calibri"/>
          <w:sz w:val="22"/>
          <w:szCs w:val="22"/>
          <w:lang w:val="es-ES_tradnl"/>
        </w:rPr>
        <w:t>sus</w:t>
      </w:r>
      <w:r w:rsidR="004A3A9B" w:rsidRPr="00F40D9E">
        <w:rPr>
          <w:rFonts w:ascii="Calibri" w:hAnsi="Calibri" w:cs="Calibri"/>
          <w:sz w:val="22"/>
          <w:szCs w:val="22"/>
          <w:lang w:val="es-ES_tradnl"/>
        </w:rPr>
        <w:t xml:space="preserve"> contribuciones hasta </w:t>
      </w:r>
      <w:r w:rsidR="00F97811" w:rsidRPr="00F40D9E">
        <w:rPr>
          <w:rFonts w:ascii="Calibri" w:hAnsi="Calibri" w:cs="Calibri"/>
          <w:sz w:val="22"/>
          <w:szCs w:val="22"/>
          <w:lang w:val="es-ES_tradnl"/>
        </w:rPr>
        <w:t xml:space="preserve">el año </w:t>
      </w:r>
      <w:r w:rsidR="004A3A9B" w:rsidRPr="00F40D9E">
        <w:rPr>
          <w:rFonts w:ascii="Calibri" w:hAnsi="Calibri" w:cs="Calibri"/>
          <w:sz w:val="22"/>
          <w:szCs w:val="22"/>
          <w:lang w:val="es-ES_tradnl"/>
        </w:rPr>
        <w:t>2015 inclusive</w:t>
      </w:r>
      <w:r w:rsidR="00F97811" w:rsidRPr="00F40D9E">
        <w:rPr>
          <w:rFonts w:ascii="Calibri" w:hAnsi="Calibri" w:cs="Calibri"/>
          <w:sz w:val="22"/>
          <w:szCs w:val="22"/>
          <w:lang w:val="es-ES_tradnl"/>
        </w:rPr>
        <w:t>, y 26</w:t>
      </w:r>
      <w:r w:rsidR="005441CE">
        <w:rPr>
          <w:rFonts w:ascii="Calibri" w:hAnsi="Calibri" w:cs="Calibri"/>
          <w:sz w:val="22"/>
          <w:szCs w:val="22"/>
          <w:lang w:val="es-ES_tradnl"/>
        </w:rPr>
        <w:t xml:space="preserve"> de ellas</w:t>
      </w:r>
      <w:r w:rsidR="00F97811" w:rsidRPr="00F40D9E">
        <w:rPr>
          <w:rFonts w:ascii="Calibri" w:hAnsi="Calibri" w:cs="Calibri"/>
          <w:sz w:val="22"/>
          <w:szCs w:val="22"/>
          <w:lang w:val="es-ES_tradnl"/>
        </w:rPr>
        <w:t xml:space="preserve"> habían pagado sus contribuciones correspondientes a 2016</w:t>
      </w:r>
      <w:r w:rsidR="004A3A9B" w:rsidRPr="00F40D9E">
        <w:rPr>
          <w:rFonts w:ascii="Calibri" w:hAnsi="Calibri" w:cs="Calibri"/>
          <w:sz w:val="22"/>
          <w:szCs w:val="22"/>
          <w:lang w:val="es-ES_tradnl"/>
        </w:rPr>
        <w:t>.</w:t>
      </w:r>
      <w:r w:rsidR="00F40D9E">
        <w:rPr>
          <w:rFonts w:ascii="Calibri" w:hAnsi="Calibri" w:cs="Calibri"/>
          <w:sz w:val="22"/>
          <w:szCs w:val="22"/>
          <w:lang w:val="es-ES_tradnl"/>
        </w:rPr>
        <w:t xml:space="preserve"> </w:t>
      </w:r>
      <w:r w:rsidR="00F97811" w:rsidRPr="00F40D9E">
        <w:rPr>
          <w:rFonts w:ascii="Calibri" w:hAnsi="Calibri" w:cs="Calibri"/>
          <w:sz w:val="22"/>
          <w:szCs w:val="22"/>
          <w:lang w:val="es-ES_tradnl"/>
        </w:rPr>
        <w:t>La Secretaría agradece el apoyo</w:t>
      </w:r>
      <w:r w:rsidR="00875E2A" w:rsidRPr="00F40D9E">
        <w:rPr>
          <w:rFonts w:ascii="Calibri" w:hAnsi="Calibri" w:cs="Calibri"/>
          <w:sz w:val="22"/>
          <w:szCs w:val="22"/>
          <w:lang w:val="es-ES_tradnl"/>
        </w:rPr>
        <w:t xml:space="preserve"> consistente y diligente</w:t>
      </w:r>
      <w:r w:rsidR="00F97811" w:rsidRPr="00F40D9E">
        <w:rPr>
          <w:rFonts w:ascii="Calibri" w:hAnsi="Calibri" w:cs="Calibri"/>
          <w:sz w:val="22"/>
          <w:szCs w:val="22"/>
          <w:lang w:val="es-ES_tradnl"/>
        </w:rPr>
        <w:t xml:space="preserve"> recibido de dichas Partes. </w:t>
      </w:r>
    </w:p>
    <w:p w14:paraId="483766F8" w14:textId="77777777" w:rsidR="00044588" w:rsidRPr="00F40D9E" w:rsidRDefault="00044588" w:rsidP="00044588">
      <w:pPr>
        <w:autoSpaceDE w:val="0"/>
        <w:autoSpaceDN w:val="0"/>
        <w:adjustRightInd w:val="0"/>
        <w:rPr>
          <w:rFonts w:ascii="Calibri" w:hAnsi="Calibri" w:cs="Calibri"/>
          <w:sz w:val="22"/>
          <w:szCs w:val="22"/>
          <w:lang w:val="es-ES_tradnl"/>
        </w:rPr>
      </w:pPr>
    </w:p>
    <w:p w14:paraId="10761682" w14:textId="47A5E912" w:rsidR="00044588" w:rsidRPr="00F40D9E" w:rsidRDefault="00875E2A" w:rsidP="00044588">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 xml:space="preserve">El importe total </w:t>
      </w:r>
      <w:r w:rsidR="00524E57" w:rsidRPr="00F40D9E">
        <w:rPr>
          <w:rFonts w:ascii="Calibri" w:hAnsi="Calibri" w:cs="Calibri"/>
          <w:sz w:val="22"/>
          <w:szCs w:val="22"/>
          <w:lang w:val="es-ES_tradnl"/>
        </w:rPr>
        <w:t>de las contribuciones atrasadas, al 29 de febrero de 2016, desglosado por año de vencimiento inicial, figura en el Cuadro 2.</w:t>
      </w:r>
      <w:r w:rsidR="00F40D9E">
        <w:rPr>
          <w:rFonts w:ascii="Calibri" w:hAnsi="Calibri" w:cs="Calibri"/>
          <w:sz w:val="22"/>
          <w:szCs w:val="22"/>
          <w:lang w:val="es-ES_tradnl"/>
        </w:rPr>
        <w:t xml:space="preserve"> </w:t>
      </w:r>
    </w:p>
    <w:p w14:paraId="1D4A279C" w14:textId="77777777" w:rsidR="00044588" w:rsidRPr="00F40D9E" w:rsidRDefault="00044588" w:rsidP="00044588">
      <w:pPr>
        <w:rPr>
          <w:rFonts w:ascii="Calibri" w:hAnsi="Calibri" w:cs="Calibri"/>
          <w:sz w:val="22"/>
          <w:szCs w:val="22"/>
          <w:lang w:val="es-ES_tradnl"/>
        </w:rPr>
      </w:pPr>
    </w:p>
    <w:p w14:paraId="5A83BE99" w14:textId="77777777" w:rsidR="00FC5F81" w:rsidRPr="00F40D9E" w:rsidRDefault="00FC5F81">
      <w:pPr>
        <w:rPr>
          <w:rFonts w:ascii="Calibri" w:hAnsi="Calibri" w:cs="Calibri"/>
          <w:b/>
          <w:sz w:val="22"/>
          <w:szCs w:val="22"/>
          <w:lang w:val="es-ES_tradnl"/>
        </w:rPr>
      </w:pPr>
      <w:r w:rsidRPr="00F40D9E">
        <w:rPr>
          <w:rFonts w:ascii="Calibri" w:hAnsi="Calibri" w:cs="Calibri"/>
          <w:b/>
          <w:sz w:val="22"/>
          <w:szCs w:val="22"/>
          <w:lang w:val="es-ES_tradnl"/>
        </w:rPr>
        <w:br w:type="page"/>
      </w:r>
    </w:p>
    <w:p w14:paraId="40DE4FDB" w14:textId="204036D1" w:rsidR="00044588" w:rsidRPr="00F40D9E" w:rsidRDefault="00875E2A" w:rsidP="00044588">
      <w:pPr>
        <w:autoSpaceDE w:val="0"/>
        <w:autoSpaceDN w:val="0"/>
        <w:adjustRightInd w:val="0"/>
        <w:rPr>
          <w:rFonts w:ascii="Calibri" w:hAnsi="Calibri" w:cs="Calibri"/>
          <w:sz w:val="22"/>
          <w:szCs w:val="22"/>
          <w:lang w:val="es-ES_tradnl"/>
        </w:rPr>
      </w:pPr>
      <w:r w:rsidRPr="00F40D9E">
        <w:rPr>
          <w:rFonts w:ascii="Calibri" w:hAnsi="Calibri" w:cs="Calibri"/>
          <w:b/>
          <w:sz w:val="22"/>
          <w:szCs w:val="22"/>
          <w:lang w:val="es-ES_tradnl"/>
        </w:rPr>
        <w:lastRenderedPageBreak/>
        <w:t>Cuadro</w:t>
      </w:r>
      <w:r w:rsidR="00044588" w:rsidRPr="00F40D9E">
        <w:rPr>
          <w:rFonts w:ascii="Calibri" w:hAnsi="Calibri" w:cs="Calibri"/>
          <w:b/>
          <w:sz w:val="22"/>
          <w:szCs w:val="22"/>
          <w:lang w:val="es-ES_tradnl"/>
        </w:rPr>
        <w:t xml:space="preserve"> </w:t>
      </w:r>
      <w:r w:rsidR="000334A3" w:rsidRPr="00F40D9E">
        <w:rPr>
          <w:rFonts w:ascii="Calibri" w:hAnsi="Calibri" w:cs="Calibri"/>
          <w:b/>
          <w:sz w:val="22"/>
          <w:szCs w:val="22"/>
          <w:lang w:val="es-ES_tradnl"/>
        </w:rPr>
        <w:t>2</w:t>
      </w:r>
      <w:r w:rsidR="00044588" w:rsidRPr="00F40D9E">
        <w:rPr>
          <w:rFonts w:ascii="Calibri" w:hAnsi="Calibri" w:cs="Calibri"/>
          <w:sz w:val="22"/>
          <w:szCs w:val="22"/>
          <w:lang w:val="es-ES_tradnl"/>
        </w:rPr>
        <w:t xml:space="preserve">: </w:t>
      </w:r>
      <w:r w:rsidRPr="00F40D9E">
        <w:rPr>
          <w:rFonts w:ascii="Calibri" w:hAnsi="Calibri" w:cs="Calibri"/>
          <w:sz w:val="22"/>
          <w:szCs w:val="22"/>
          <w:lang w:val="es-ES_tradnl"/>
        </w:rPr>
        <w:t xml:space="preserve">Contribuciones pendientes de pago al 29 de febrero de 2016 y número de años de atraso </w:t>
      </w:r>
    </w:p>
    <w:p w14:paraId="0B33E926" w14:textId="77777777" w:rsidR="00FC5F81" w:rsidRPr="00F40D9E" w:rsidRDefault="00FC5F81" w:rsidP="00044588">
      <w:pPr>
        <w:autoSpaceDE w:val="0"/>
        <w:autoSpaceDN w:val="0"/>
        <w:adjustRightInd w:val="0"/>
        <w:rPr>
          <w:rFonts w:ascii="Calibri" w:hAnsi="Calibri" w:cs="Calibri"/>
          <w:sz w:val="22"/>
          <w:szCs w:val="22"/>
          <w:lang w:val="es-ES_tradnl"/>
        </w:rPr>
      </w:pPr>
    </w:p>
    <w:tbl>
      <w:tblPr>
        <w:tblW w:w="8789" w:type="dxa"/>
        <w:tblInd w:w="108" w:type="dxa"/>
        <w:tblLayout w:type="fixed"/>
        <w:tblLook w:val="04A0" w:firstRow="1" w:lastRow="0" w:firstColumn="1" w:lastColumn="0" w:noHBand="0" w:noVBand="1"/>
      </w:tblPr>
      <w:tblGrid>
        <w:gridCol w:w="1701"/>
        <w:gridCol w:w="1843"/>
        <w:gridCol w:w="2693"/>
        <w:gridCol w:w="2552"/>
      </w:tblGrid>
      <w:tr w:rsidR="00AC55E6" w:rsidRPr="00641DA3" w14:paraId="66C2B678" w14:textId="77777777" w:rsidTr="00524E57">
        <w:trPr>
          <w:trHeight w:val="690"/>
        </w:trPr>
        <w:tc>
          <w:tcPr>
            <w:tcW w:w="170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4D1AB81" w14:textId="786529A4" w:rsidR="00AC55E6" w:rsidRPr="00F40D9E" w:rsidRDefault="00524E57" w:rsidP="00524E57">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 xml:space="preserve">Año </w:t>
            </w:r>
            <w:r w:rsidR="00AC55E6" w:rsidRPr="00F40D9E">
              <w:rPr>
                <w:rFonts w:ascii="Calibri" w:eastAsia="Times New Roman" w:hAnsi="Calibri"/>
                <w:b/>
                <w:bCs/>
                <w:sz w:val="22"/>
                <w:szCs w:val="22"/>
                <w:lang w:val="es-ES_tradnl" w:eastAsia="en-GB"/>
              </w:rPr>
              <w:t>de</w:t>
            </w:r>
            <w:r w:rsidRPr="00F40D9E">
              <w:rPr>
                <w:rFonts w:ascii="Calibri" w:eastAsia="Times New Roman" w:hAnsi="Calibri"/>
                <w:b/>
                <w:bCs/>
                <w:sz w:val="22"/>
                <w:szCs w:val="22"/>
                <w:lang w:val="es-ES_tradnl" w:eastAsia="en-GB"/>
              </w:rPr>
              <w:t xml:space="preserve"> vencimiento</w:t>
            </w:r>
          </w:p>
        </w:tc>
        <w:tc>
          <w:tcPr>
            <w:tcW w:w="1843" w:type="dxa"/>
            <w:tcBorders>
              <w:top w:val="single" w:sz="4" w:space="0" w:color="auto"/>
              <w:left w:val="nil"/>
              <w:bottom w:val="single" w:sz="4" w:space="0" w:color="auto"/>
              <w:right w:val="single" w:sz="4" w:space="0" w:color="auto"/>
            </w:tcBorders>
            <w:shd w:val="clear" w:color="000000" w:fill="8DB4E2"/>
            <w:vAlign w:val="center"/>
            <w:hideMark/>
          </w:tcPr>
          <w:p w14:paraId="7AAD1B1F" w14:textId="5BFB7FF9" w:rsidR="00AC55E6" w:rsidRPr="00F40D9E" w:rsidRDefault="00AC55E6" w:rsidP="00524E57">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 xml:space="preserve">Años de atraso </w:t>
            </w:r>
          </w:p>
        </w:tc>
        <w:tc>
          <w:tcPr>
            <w:tcW w:w="2693" w:type="dxa"/>
            <w:tcBorders>
              <w:top w:val="single" w:sz="4" w:space="0" w:color="auto"/>
              <w:left w:val="nil"/>
              <w:bottom w:val="single" w:sz="4" w:space="0" w:color="auto"/>
              <w:right w:val="single" w:sz="4" w:space="0" w:color="auto"/>
            </w:tcBorders>
            <w:shd w:val="clear" w:color="000000" w:fill="8DB4E2"/>
            <w:vAlign w:val="center"/>
            <w:hideMark/>
          </w:tcPr>
          <w:p w14:paraId="5DF67B5B" w14:textId="00B672F2" w:rsidR="00AC55E6" w:rsidRPr="00F40D9E" w:rsidRDefault="00AC55E6" w:rsidP="00524E57">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 xml:space="preserve">Importe </w:t>
            </w:r>
            <w:r w:rsidR="00524E57" w:rsidRPr="00F40D9E">
              <w:rPr>
                <w:rFonts w:ascii="Calibri" w:eastAsia="Times New Roman" w:hAnsi="Calibri"/>
                <w:b/>
                <w:bCs/>
                <w:sz w:val="22"/>
                <w:szCs w:val="22"/>
                <w:lang w:val="es-ES_tradnl" w:eastAsia="en-GB"/>
              </w:rPr>
              <w:t>de las contribuciones impagadas</w:t>
            </w:r>
            <w:r w:rsidRPr="00F40D9E">
              <w:rPr>
                <w:rFonts w:ascii="Calibri" w:eastAsia="Times New Roman" w:hAnsi="Calibri"/>
                <w:b/>
                <w:bCs/>
                <w:sz w:val="22"/>
                <w:szCs w:val="22"/>
                <w:lang w:val="es-ES_tradnl" w:eastAsia="en-GB"/>
              </w:rPr>
              <w:br/>
              <w:t xml:space="preserve">(miles de </w:t>
            </w:r>
            <w:r w:rsidR="00524E57" w:rsidRPr="00F40D9E">
              <w:rPr>
                <w:rFonts w:ascii="Calibri" w:eastAsia="Times New Roman" w:hAnsi="Calibri"/>
                <w:b/>
                <w:bCs/>
                <w:sz w:val="22"/>
                <w:szCs w:val="22"/>
                <w:lang w:val="es-ES_tradnl" w:eastAsia="en-GB"/>
              </w:rPr>
              <w:t>francos suizos</w:t>
            </w:r>
            <w:r w:rsidRPr="00F40D9E">
              <w:rPr>
                <w:rFonts w:ascii="Calibri" w:eastAsia="Times New Roman" w:hAnsi="Calibri"/>
                <w:b/>
                <w:bCs/>
                <w:sz w:val="22"/>
                <w:szCs w:val="22"/>
                <w:lang w:val="es-ES_tradnl" w:eastAsia="en-GB"/>
              </w:rPr>
              <w:t>)</w:t>
            </w:r>
          </w:p>
        </w:tc>
        <w:tc>
          <w:tcPr>
            <w:tcW w:w="2552" w:type="dxa"/>
            <w:tcBorders>
              <w:top w:val="single" w:sz="4" w:space="0" w:color="auto"/>
              <w:left w:val="nil"/>
              <w:bottom w:val="single" w:sz="4" w:space="0" w:color="auto"/>
              <w:right w:val="single" w:sz="4" w:space="0" w:color="auto"/>
            </w:tcBorders>
            <w:shd w:val="clear" w:color="000000" w:fill="8DB4E2"/>
            <w:vAlign w:val="center"/>
            <w:hideMark/>
          </w:tcPr>
          <w:p w14:paraId="4E327F92" w14:textId="77777777" w:rsidR="00524E57" w:rsidRPr="00F40D9E" w:rsidRDefault="00524E57" w:rsidP="00524E57">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Total acumulado</w:t>
            </w:r>
          </w:p>
          <w:p w14:paraId="696BC71E" w14:textId="0254EEAB" w:rsidR="00AC55E6" w:rsidRPr="00F40D9E" w:rsidRDefault="00AC55E6" w:rsidP="00524E57">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 xml:space="preserve">(miles de </w:t>
            </w:r>
            <w:r w:rsidR="00524E57" w:rsidRPr="00F40D9E">
              <w:rPr>
                <w:rFonts w:ascii="Calibri" w:eastAsia="Times New Roman" w:hAnsi="Calibri"/>
                <w:b/>
                <w:bCs/>
                <w:sz w:val="22"/>
                <w:szCs w:val="22"/>
                <w:lang w:val="es-ES_tradnl" w:eastAsia="en-GB"/>
              </w:rPr>
              <w:t>francos suizos</w:t>
            </w:r>
            <w:r w:rsidRPr="00F40D9E">
              <w:rPr>
                <w:rFonts w:ascii="Calibri" w:eastAsia="Times New Roman" w:hAnsi="Calibri"/>
                <w:b/>
                <w:bCs/>
                <w:sz w:val="22"/>
                <w:szCs w:val="22"/>
                <w:lang w:val="es-ES_tradnl" w:eastAsia="en-GB"/>
              </w:rPr>
              <w:t>)</w:t>
            </w:r>
          </w:p>
        </w:tc>
      </w:tr>
      <w:tr w:rsidR="00FE4BDA" w:rsidRPr="00F40D9E" w14:paraId="61EE7BE7" w14:textId="77777777" w:rsidTr="00524E57">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9DC8B28" w14:textId="5017AAAE" w:rsidR="00044588" w:rsidRPr="00F40D9E" w:rsidRDefault="00044588" w:rsidP="00152E3C">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2008 o</w:t>
            </w:r>
            <w:r w:rsidR="00152E3C" w:rsidRPr="00F40D9E">
              <w:rPr>
                <w:rFonts w:ascii="Calibri" w:eastAsia="Times New Roman" w:hAnsi="Calibri"/>
                <w:b/>
                <w:bCs/>
                <w:sz w:val="22"/>
                <w:szCs w:val="22"/>
                <w:lang w:val="es-ES_tradnl" w:eastAsia="en-GB"/>
              </w:rPr>
              <w:t xml:space="preserve"> años anteriores</w:t>
            </w:r>
          </w:p>
        </w:tc>
        <w:tc>
          <w:tcPr>
            <w:tcW w:w="1843" w:type="dxa"/>
            <w:tcBorders>
              <w:top w:val="nil"/>
              <w:left w:val="nil"/>
              <w:bottom w:val="single" w:sz="4" w:space="0" w:color="auto"/>
              <w:right w:val="single" w:sz="4" w:space="0" w:color="auto"/>
            </w:tcBorders>
            <w:shd w:val="clear" w:color="auto" w:fill="auto"/>
            <w:noWrap/>
            <w:vAlign w:val="bottom"/>
            <w:hideMark/>
          </w:tcPr>
          <w:p w14:paraId="0CD358A6" w14:textId="77777777" w:rsidR="00044588" w:rsidRPr="00F40D9E" w:rsidRDefault="00044588" w:rsidP="008C71B1">
            <w:pPr>
              <w:jc w:val="center"/>
              <w:rPr>
                <w:rFonts w:ascii="Calibri" w:eastAsia="Times New Roman" w:hAnsi="Calibri"/>
                <w:sz w:val="22"/>
                <w:szCs w:val="22"/>
                <w:lang w:val="es-ES_tradnl" w:eastAsia="en-GB"/>
              </w:rPr>
            </w:pPr>
            <w:r w:rsidRPr="00F40D9E">
              <w:rPr>
                <w:rFonts w:ascii="Calibri" w:eastAsia="Times New Roman" w:hAnsi="Calibri"/>
                <w:sz w:val="22"/>
                <w:szCs w:val="22"/>
                <w:lang w:val="es-ES_tradnl" w:eastAsia="en-GB"/>
              </w:rPr>
              <w:t>&gt;8</w:t>
            </w:r>
          </w:p>
        </w:tc>
        <w:tc>
          <w:tcPr>
            <w:tcW w:w="2693" w:type="dxa"/>
            <w:tcBorders>
              <w:top w:val="nil"/>
              <w:left w:val="nil"/>
              <w:bottom w:val="single" w:sz="4" w:space="0" w:color="auto"/>
              <w:right w:val="single" w:sz="4" w:space="0" w:color="auto"/>
            </w:tcBorders>
            <w:shd w:val="clear" w:color="auto" w:fill="auto"/>
            <w:noWrap/>
            <w:vAlign w:val="bottom"/>
            <w:hideMark/>
          </w:tcPr>
          <w:p w14:paraId="22FC86FD" w14:textId="77777777" w:rsidR="00044588" w:rsidRPr="00F40D9E" w:rsidRDefault="00044588" w:rsidP="00FE4BDA">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91</w:t>
            </w:r>
          </w:p>
        </w:tc>
        <w:tc>
          <w:tcPr>
            <w:tcW w:w="2552" w:type="dxa"/>
            <w:tcBorders>
              <w:top w:val="nil"/>
              <w:left w:val="nil"/>
              <w:bottom w:val="single" w:sz="4" w:space="0" w:color="auto"/>
              <w:right w:val="single" w:sz="4" w:space="0" w:color="auto"/>
            </w:tcBorders>
            <w:shd w:val="clear" w:color="auto" w:fill="auto"/>
            <w:noWrap/>
            <w:vAlign w:val="bottom"/>
            <w:hideMark/>
          </w:tcPr>
          <w:p w14:paraId="4CD3519B" w14:textId="77777777" w:rsidR="00044588" w:rsidRPr="00F40D9E" w:rsidRDefault="00044588" w:rsidP="00044588">
            <w:pPr>
              <w:ind w:right="884"/>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 </w:t>
            </w:r>
          </w:p>
        </w:tc>
      </w:tr>
      <w:tr w:rsidR="00FE4BDA" w:rsidRPr="00F40D9E" w14:paraId="4FDF21BC" w14:textId="77777777" w:rsidTr="00524E57">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5142988" w14:textId="77777777" w:rsidR="00044588" w:rsidRPr="00F40D9E" w:rsidRDefault="00044588" w:rsidP="008C71B1">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2009</w:t>
            </w:r>
          </w:p>
        </w:tc>
        <w:tc>
          <w:tcPr>
            <w:tcW w:w="1843" w:type="dxa"/>
            <w:tcBorders>
              <w:top w:val="nil"/>
              <w:left w:val="nil"/>
              <w:bottom w:val="single" w:sz="4" w:space="0" w:color="auto"/>
              <w:right w:val="single" w:sz="4" w:space="0" w:color="auto"/>
            </w:tcBorders>
            <w:shd w:val="clear" w:color="auto" w:fill="auto"/>
            <w:noWrap/>
            <w:vAlign w:val="bottom"/>
            <w:hideMark/>
          </w:tcPr>
          <w:p w14:paraId="418A0D5D" w14:textId="77777777" w:rsidR="00044588" w:rsidRPr="00F40D9E" w:rsidRDefault="00044588" w:rsidP="008C71B1">
            <w:pPr>
              <w:jc w:val="center"/>
              <w:rPr>
                <w:rFonts w:ascii="Calibri" w:eastAsia="Times New Roman" w:hAnsi="Calibri"/>
                <w:sz w:val="22"/>
                <w:szCs w:val="22"/>
                <w:lang w:val="es-ES_tradnl" w:eastAsia="en-GB"/>
              </w:rPr>
            </w:pPr>
            <w:r w:rsidRPr="00F40D9E">
              <w:rPr>
                <w:rFonts w:ascii="Calibri" w:eastAsia="Times New Roman" w:hAnsi="Calibri"/>
                <w:sz w:val="22"/>
                <w:szCs w:val="22"/>
                <w:lang w:val="es-ES_tradnl" w:eastAsia="en-GB"/>
              </w:rPr>
              <w:t>8</w:t>
            </w:r>
          </w:p>
        </w:tc>
        <w:tc>
          <w:tcPr>
            <w:tcW w:w="2693" w:type="dxa"/>
            <w:tcBorders>
              <w:top w:val="nil"/>
              <w:left w:val="nil"/>
              <w:bottom w:val="single" w:sz="4" w:space="0" w:color="auto"/>
              <w:right w:val="single" w:sz="4" w:space="0" w:color="auto"/>
            </w:tcBorders>
            <w:shd w:val="clear" w:color="auto" w:fill="auto"/>
            <w:noWrap/>
            <w:vAlign w:val="bottom"/>
            <w:hideMark/>
          </w:tcPr>
          <w:p w14:paraId="682F8326" w14:textId="77777777" w:rsidR="00044588" w:rsidRPr="00F40D9E" w:rsidRDefault="00044588" w:rsidP="00FE4BDA">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22</w:t>
            </w:r>
          </w:p>
        </w:tc>
        <w:tc>
          <w:tcPr>
            <w:tcW w:w="2552" w:type="dxa"/>
            <w:tcBorders>
              <w:top w:val="nil"/>
              <w:left w:val="nil"/>
              <w:bottom w:val="single" w:sz="4" w:space="0" w:color="auto"/>
              <w:right w:val="single" w:sz="4" w:space="0" w:color="auto"/>
            </w:tcBorders>
            <w:shd w:val="clear" w:color="auto" w:fill="auto"/>
            <w:noWrap/>
            <w:vAlign w:val="bottom"/>
            <w:hideMark/>
          </w:tcPr>
          <w:p w14:paraId="01C724E5" w14:textId="77777777" w:rsidR="00044588" w:rsidRPr="00F40D9E" w:rsidRDefault="00044588" w:rsidP="00044588">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113</w:t>
            </w:r>
          </w:p>
        </w:tc>
      </w:tr>
      <w:tr w:rsidR="00FE4BDA" w:rsidRPr="00F40D9E" w14:paraId="01172D3F" w14:textId="77777777" w:rsidTr="00524E57">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1DFA26" w14:textId="77777777" w:rsidR="00044588" w:rsidRPr="00F40D9E" w:rsidRDefault="00044588" w:rsidP="008C71B1">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2010</w:t>
            </w:r>
          </w:p>
        </w:tc>
        <w:tc>
          <w:tcPr>
            <w:tcW w:w="1843" w:type="dxa"/>
            <w:tcBorders>
              <w:top w:val="nil"/>
              <w:left w:val="nil"/>
              <w:bottom w:val="single" w:sz="4" w:space="0" w:color="auto"/>
              <w:right w:val="single" w:sz="4" w:space="0" w:color="auto"/>
            </w:tcBorders>
            <w:shd w:val="clear" w:color="auto" w:fill="auto"/>
            <w:noWrap/>
            <w:vAlign w:val="bottom"/>
            <w:hideMark/>
          </w:tcPr>
          <w:p w14:paraId="1F124DE9" w14:textId="77777777" w:rsidR="00044588" w:rsidRPr="00F40D9E" w:rsidRDefault="00044588" w:rsidP="008C71B1">
            <w:pPr>
              <w:jc w:val="center"/>
              <w:rPr>
                <w:rFonts w:ascii="Calibri" w:eastAsia="Times New Roman" w:hAnsi="Calibri"/>
                <w:sz w:val="22"/>
                <w:szCs w:val="22"/>
                <w:lang w:val="es-ES_tradnl" w:eastAsia="en-GB"/>
              </w:rPr>
            </w:pPr>
            <w:r w:rsidRPr="00F40D9E">
              <w:rPr>
                <w:rFonts w:ascii="Calibri" w:eastAsia="Times New Roman" w:hAnsi="Calibri"/>
                <w:sz w:val="22"/>
                <w:szCs w:val="22"/>
                <w:lang w:val="es-ES_tradnl" w:eastAsia="en-GB"/>
              </w:rPr>
              <w:t>7</w:t>
            </w:r>
          </w:p>
        </w:tc>
        <w:tc>
          <w:tcPr>
            <w:tcW w:w="2693" w:type="dxa"/>
            <w:tcBorders>
              <w:top w:val="nil"/>
              <w:left w:val="nil"/>
              <w:bottom w:val="single" w:sz="4" w:space="0" w:color="auto"/>
              <w:right w:val="single" w:sz="4" w:space="0" w:color="auto"/>
            </w:tcBorders>
            <w:shd w:val="clear" w:color="auto" w:fill="auto"/>
            <w:noWrap/>
            <w:vAlign w:val="bottom"/>
            <w:hideMark/>
          </w:tcPr>
          <w:p w14:paraId="1C43AFC6" w14:textId="77777777" w:rsidR="00044588" w:rsidRPr="00F40D9E" w:rsidRDefault="00044588" w:rsidP="00FE4BDA">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28</w:t>
            </w:r>
          </w:p>
        </w:tc>
        <w:tc>
          <w:tcPr>
            <w:tcW w:w="2552" w:type="dxa"/>
            <w:tcBorders>
              <w:top w:val="nil"/>
              <w:left w:val="nil"/>
              <w:bottom w:val="single" w:sz="4" w:space="0" w:color="auto"/>
              <w:right w:val="single" w:sz="4" w:space="0" w:color="auto"/>
            </w:tcBorders>
            <w:shd w:val="clear" w:color="auto" w:fill="auto"/>
            <w:noWrap/>
            <w:vAlign w:val="bottom"/>
            <w:hideMark/>
          </w:tcPr>
          <w:p w14:paraId="6BBB0762" w14:textId="77777777" w:rsidR="00044588" w:rsidRPr="00F40D9E" w:rsidRDefault="00044588" w:rsidP="00044588">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141</w:t>
            </w:r>
          </w:p>
        </w:tc>
      </w:tr>
      <w:tr w:rsidR="00FE4BDA" w:rsidRPr="00F40D9E" w14:paraId="6860C18C" w14:textId="77777777" w:rsidTr="00524E57">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12F7A10" w14:textId="77777777" w:rsidR="00044588" w:rsidRPr="00F40D9E" w:rsidRDefault="00044588" w:rsidP="008C71B1">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2011</w:t>
            </w:r>
          </w:p>
        </w:tc>
        <w:tc>
          <w:tcPr>
            <w:tcW w:w="1843" w:type="dxa"/>
            <w:tcBorders>
              <w:top w:val="nil"/>
              <w:left w:val="nil"/>
              <w:bottom w:val="single" w:sz="4" w:space="0" w:color="auto"/>
              <w:right w:val="single" w:sz="4" w:space="0" w:color="auto"/>
            </w:tcBorders>
            <w:shd w:val="clear" w:color="auto" w:fill="auto"/>
            <w:noWrap/>
            <w:vAlign w:val="bottom"/>
            <w:hideMark/>
          </w:tcPr>
          <w:p w14:paraId="456AB026" w14:textId="77777777" w:rsidR="00044588" w:rsidRPr="00F40D9E" w:rsidRDefault="00044588" w:rsidP="008C71B1">
            <w:pPr>
              <w:jc w:val="center"/>
              <w:rPr>
                <w:rFonts w:ascii="Calibri" w:eastAsia="Times New Roman" w:hAnsi="Calibri"/>
                <w:sz w:val="22"/>
                <w:szCs w:val="22"/>
                <w:lang w:val="es-ES_tradnl" w:eastAsia="en-GB"/>
              </w:rPr>
            </w:pPr>
            <w:r w:rsidRPr="00F40D9E">
              <w:rPr>
                <w:rFonts w:ascii="Calibri" w:eastAsia="Times New Roman" w:hAnsi="Calibri"/>
                <w:sz w:val="22"/>
                <w:szCs w:val="22"/>
                <w:lang w:val="es-ES_tradnl" w:eastAsia="en-GB"/>
              </w:rPr>
              <w:t>6</w:t>
            </w:r>
          </w:p>
        </w:tc>
        <w:tc>
          <w:tcPr>
            <w:tcW w:w="2693" w:type="dxa"/>
            <w:tcBorders>
              <w:top w:val="nil"/>
              <w:left w:val="nil"/>
              <w:bottom w:val="single" w:sz="4" w:space="0" w:color="auto"/>
              <w:right w:val="single" w:sz="4" w:space="0" w:color="auto"/>
            </w:tcBorders>
            <w:shd w:val="clear" w:color="auto" w:fill="auto"/>
            <w:noWrap/>
            <w:vAlign w:val="bottom"/>
            <w:hideMark/>
          </w:tcPr>
          <w:p w14:paraId="28F47C3F" w14:textId="77777777" w:rsidR="00044588" w:rsidRPr="00F40D9E" w:rsidRDefault="00044588" w:rsidP="00FE4BDA">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44</w:t>
            </w:r>
          </w:p>
        </w:tc>
        <w:tc>
          <w:tcPr>
            <w:tcW w:w="2552" w:type="dxa"/>
            <w:tcBorders>
              <w:top w:val="nil"/>
              <w:left w:val="nil"/>
              <w:bottom w:val="single" w:sz="4" w:space="0" w:color="auto"/>
              <w:right w:val="single" w:sz="4" w:space="0" w:color="auto"/>
            </w:tcBorders>
            <w:shd w:val="clear" w:color="auto" w:fill="auto"/>
            <w:noWrap/>
            <w:vAlign w:val="bottom"/>
            <w:hideMark/>
          </w:tcPr>
          <w:p w14:paraId="464F3994" w14:textId="77777777" w:rsidR="00044588" w:rsidRPr="00F40D9E" w:rsidRDefault="00044588" w:rsidP="00044588">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185</w:t>
            </w:r>
          </w:p>
        </w:tc>
      </w:tr>
      <w:tr w:rsidR="00FE4BDA" w:rsidRPr="00F40D9E" w14:paraId="4023A453" w14:textId="77777777" w:rsidTr="00524E57">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2EE0F71" w14:textId="77777777" w:rsidR="00044588" w:rsidRPr="00F40D9E" w:rsidRDefault="00044588" w:rsidP="008C71B1">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2012</w:t>
            </w:r>
          </w:p>
        </w:tc>
        <w:tc>
          <w:tcPr>
            <w:tcW w:w="1843" w:type="dxa"/>
            <w:tcBorders>
              <w:top w:val="nil"/>
              <w:left w:val="nil"/>
              <w:bottom w:val="single" w:sz="4" w:space="0" w:color="auto"/>
              <w:right w:val="single" w:sz="4" w:space="0" w:color="auto"/>
            </w:tcBorders>
            <w:shd w:val="clear" w:color="auto" w:fill="auto"/>
            <w:noWrap/>
            <w:vAlign w:val="bottom"/>
            <w:hideMark/>
          </w:tcPr>
          <w:p w14:paraId="61D35E5B" w14:textId="77777777" w:rsidR="00044588" w:rsidRPr="00F40D9E" w:rsidRDefault="00044588" w:rsidP="008C71B1">
            <w:pPr>
              <w:jc w:val="center"/>
              <w:rPr>
                <w:rFonts w:ascii="Calibri" w:eastAsia="Times New Roman" w:hAnsi="Calibri"/>
                <w:sz w:val="22"/>
                <w:szCs w:val="22"/>
                <w:lang w:val="es-ES_tradnl" w:eastAsia="en-GB"/>
              </w:rPr>
            </w:pPr>
            <w:r w:rsidRPr="00F40D9E">
              <w:rPr>
                <w:rFonts w:ascii="Calibri" w:eastAsia="Times New Roman" w:hAnsi="Calibri"/>
                <w:sz w:val="22"/>
                <w:szCs w:val="22"/>
                <w:lang w:val="es-ES_tradnl" w:eastAsia="en-GB"/>
              </w:rPr>
              <w:t>5</w:t>
            </w:r>
          </w:p>
        </w:tc>
        <w:tc>
          <w:tcPr>
            <w:tcW w:w="2693" w:type="dxa"/>
            <w:tcBorders>
              <w:top w:val="nil"/>
              <w:left w:val="nil"/>
              <w:bottom w:val="single" w:sz="4" w:space="0" w:color="auto"/>
              <w:right w:val="single" w:sz="4" w:space="0" w:color="auto"/>
            </w:tcBorders>
            <w:shd w:val="clear" w:color="auto" w:fill="auto"/>
            <w:noWrap/>
            <w:vAlign w:val="bottom"/>
            <w:hideMark/>
          </w:tcPr>
          <w:p w14:paraId="04D7B004" w14:textId="77777777" w:rsidR="00044588" w:rsidRPr="00F40D9E" w:rsidRDefault="00044588" w:rsidP="00FE4BDA">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53</w:t>
            </w:r>
          </w:p>
        </w:tc>
        <w:tc>
          <w:tcPr>
            <w:tcW w:w="2552" w:type="dxa"/>
            <w:tcBorders>
              <w:top w:val="nil"/>
              <w:left w:val="nil"/>
              <w:bottom w:val="single" w:sz="4" w:space="0" w:color="auto"/>
              <w:right w:val="single" w:sz="4" w:space="0" w:color="auto"/>
            </w:tcBorders>
            <w:shd w:val="clear" w:color="auto" w:fill="auto"/>
            <w:noWrap/>
            <w:vAlign w:val="bottom"/>
            <w:hideMark/>
          </w:tcPr>
          <w:p w14:paraId="61882C98" w14:textId="77777777" w:rsidR="00044588" w:rsidRPr="00F40D9E" w:rsidRDefault="00044588" w:rsidP="00044588">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238</w:t>
            </w:r>
          </w:p>
        </w:tc>
      </w:tr>
      <w:tr w:rsidR="00FE4BDA" w:rsidRPr="00F40D9E" w14:paraId="639CB9D0" w14:textId="77777777" w:rsidTr="00524E57">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263ED94" w14:textId="77777777" w:rsidR="00044588" w:rsidRPr="00F40D9E" w:rsidRDefault="00044588" w:rsidP="008C71B1">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2013</w:t>
            </w:r>
          </w:p>
        </w:tc>
        <w:tc>
          <w:tcPr>
            <w:tcW w:w="1843" w:type="dxa"/>
            <w:tcBorders>
              <w:top w:val="nil"/>
              <w:left w:val="nil"/>
              <w:bottom w:val="single" w:sz="4" w:space="0" w:color="auto"/>
              <w:right w:val="single" w:sz="4" w:space="0" w:color="auto"/>
            </w:tcBorders>
            <w:shd w:val="clear" w:color="auto" w:fill="auto"/>
            <w:noWrap/>
            <w:vAlign w:val="bottom"/>
            <w:hideMark/>
          </w:tcPr>
          <w:p w14:paraId="3E9E100C" w14:textId="77777777" w:rsidR="00044588" w:rsidRPr="00F40D9E" w:rsidRDefault="00044588" w:rsidP="008C71B1">
            <w:pPr>
              <w:jc w:val="center"/>
              <w:rPr>
                <w:rFonts w:ascii="Calibri" w:eastAsia="Times New Roman" w:hAnsi="Calibri"/>
                <w:sz w:val="22"/>
                <w:szCs w:val="22"/>
                <w:lang w:val="es-ES_tradnl" w:eastAsia="en-GB"/>
              </w:rPr>
            </w:pPr>
            <w:r w:rsidRPr="00F40D9E">
              <w:rPr>
                <w:rFonts w:ascii="Calibri" w:eastAsia="Times New Roman" w:hAnsi="Calibri"/>
                <w:sz w:val="22"/>
                <w:szCs w:val="22"/>
                <w:lang w:val="es-ES_tradnl" w:eastAsia="en-GB"/>
              </w:rPr>
              <w:t>4</w:t>
            </w:r>
          </w:p>
        </w:tc>
        <w:tc>
          <w:tcPr>
            <w:tcW w:w="2693" w:type="dxa"/>
            <w:tcBorders>
              <w:top w:val="nil"/>
              <w:left w:val="nil"/>
              <w:bottom w:val="single" w:sz="4" w:space="0" w:color="auto"/>
              <w:right w:val="single" w:sz="4" w:space="0" w:color="auto"/>
            </w:tcBorders>
            <w:shd w:val="clear" w:color="auto" w:fill="auto"/>
            <w:noWrap/>
            <w:vAlign w:val="bottom"/>
            <w:hideMark/>
          </w:tcPr>
          <w:p w14:paraId="50DA6890" w14:textId="77777777" w:rsidR="00044588" w:rsidRPr="00F40D9E" w:rsidRDefault="00044588" w:rsidP="00FE4BDA">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226</w:t>
            </w:r>
          </w:p>
        </w:tc>
        <w:tc>
          <w:tcPr>
            <w:tcW w:w="2552" w:type="dxa"/>
            <w:tcBorders>
              <w:top w:val="nil"/>
              <w:left w:val="nil"/>
              <w:bottom w:val="single" w:sz="4" w:space="0" w:color="auto"/>
              <w:right w:val="single" w:sz="4" w:space="0" w:color="auto"/>
            </w:tcBorders>
            <w:shd w:val="clear" w:color="auto" w:fill="auto"/>
            <w:noWrap/>
            <w:vAlign w:val="bottom"/>
            <w:hideMark/>
          </w:tcPr>
          <w:p w14:paraId="65EA2BBC" w14:textId="77777777" w:rsidR="00044588" w:rsidRPr="00F40D9E" w:rsidRDefault="00044588" w:rsidP="00044588">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464</w:t>
            </w:r>
          </w:p>
        </w:tc>
      </w:tr>
      <w:tr w:rsidR="00FE4BDA" w:rsidRPr="00F40D9E" w14:paraId="4DB0ACA9" w14:textId="77777777" w:rsidTr="00524E57">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E915DB2" w14:textId="77777777" w:rsidR="00044588" w:rsidRPr="00F40D9E" w:rsidRDefault="00044588" w:rsidP="008C71B1">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2014</w:t>
            </w:r>
          </w:p>
        </w:tc>
        <w:tc>
          <w:tcPr>
            <w:tcW w:w="1843" w:type="dxa"/>
            <w:tcBorders>
              <w:top w:val="nil"/>
              <w:left w:val="nil"/>
              <w:bottom w:val="single" w:sz="4" w:space="0" w:color="auto"/>
              <w:right w:val="single" w:sz="4" w:space="0" w:color="auto"/>
            </w:tcBorders>
            <w:shd w:val="clear" w:color="auto" w:fill="auto"/>
            <w:noWrap/>
            <w:vAlign w:val="bottom"/>
            <w:hideMark/>
          </w:tcPr>
          <w:p w14:paraId="79C4362D" w14:textId="77777777" w:rsidR="00044588" w:rsidRPr="00F40D9E" w:rsidRDefault="00044588" w:rsidP="008C71B1">
            <w:pPr>
              <w:jc w:val="center"/>
              <w:rPr>
                <w:rFonts w:ascii="Calibri" w:eastAsia="Times New Roman" w:hAnsi="Calibri"/>
                <w:sz w:val="22"/>
                <w:szCs w:val="22"/>
                <w:lang w:val="es-ES_tradnl" w:eastAsia="en-GB"/>
              </w:rPr>
            </w:pPr>
            <w:r w:rsidRPr="00F40D9E">
              <w:rPr>
                <w:rFonts w:ascii="Calibri" w:eastAsia="Times New Roman" w:hAnsi="Calibri"/>
                <w:sz w:val="22"/>
                <w:szCs w:val="22"/>
                <w:lang w:val="es-ES_tradnl" w:eastAsia="en-GB"/>
              </w:rPr>
              <w:t>3</w:t>
            </w:r>
          </w:p>
        </w:tc>
        <w:tc>
          <w:tcPr>
            <w:tcW w:w="2693" w:type="dxa"/>
            <w:tcBorders>
              <w:top w:val="nil"/>
              <w:left w:val="nil"/>
              <w:bottom w:val="single" w:sz="4" w:space="0" w:color="auto"/>
              <w:right w:val="single" w:sz="4" w:space="0" w:color="auto"/>
            </w:tcBorders>
            <w:shd w:val="clear" w:color="auto" w:fill="auto"/>
            <w:noWrap/>
            <w:vAlign w:val="bottom"/>
            <w:hideMark/>
          </w:tcPr>
          <w:p w14:paraId="775F453F" w14:textId="77777777" w:rsidR="00044588" w:rsidRPr="00F40D9E" w:rsidRDefault="00044588" w:rsidP="00FE4BDA">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269</w:t>
            </w:r>
          </w:p>
        </w:tc>
        <w:tc>
          <w:tcPr>
            <w:tcW w:w="2552" w:type="dxa"/>
            <w:tcBorders>
              <w:top w:val="nil"/>
              <w:left w:val="nil"/>
              <w:bottom w:val="single" w:sz="4" w:space="0" w:color="auto"/>
              <w:right w:val="single" w:sz="4" w:space="0" w:color="auto"/>
            </w:tcBorders>
            <w:shd w:val="clear" w:color="auto" w:fill="auto"/>
            <w:noWrap/>
            <w:vAlign w:val="bottom"/>
            <w:hideMark/>
          </w:tcPr>
          <w:p w14:paraId="1CF0671E" w14:textId="77777777" w:rsidR="00044588" w:rsidRPr="00F40D9E" w:rsidRDefault="00044588" w:rsidP="00044588">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732</w:t>
            </w:r>
          </w:p>
        </w:tc>
      </w:tr>
      <w:tr w:rsidR="00FE4BDA" w:rsidRPr="00F40D9E" w14:paraId="062D77CC" w14:textId="77777777" w:rsidTr="00524E57">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DDCA32B" w14:textId="77777777" w:rsidR="00044588" w:rsidRPr="00F40D9E" w:rsidRDefault="00044588" w:rsidP="008C71B1">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2015</w:t>
            </w:r>
          </w:p>
        </w:tc>
        <w:tc>
          <w:tcPr>
            <w:tcW w:w="1843" w:type="dxa"/>
            <w:tcBorders>
              <w:top w:val="nil"/>
              <w:left w:val="nil"/>
              <w:bottom w:val="single" w:sz="4" w:space="0" w:color="auto"/>
              <w:right w:val="single" w:sz="4" w:space="0" w:color="auto"/>
            </w:tcBorders>
            <w:shd w:val="clear" w:color="auto" w:fill="auto"/>
            <w:noWrap/>
            <w:vAlign w:val="bottom"/>
            <w:hideMark/>
          </w:tcPr>
          <w:p w14:paraId="646C5EF1" w14:textId="77777777" w:rsidR="00044588" w:rsidRPr="00F40D9E" w:rsidRDefault="00044588" w:rsidP="008C71B1">
            <w:pPr>
              <w:jc w:val="center"/>
              <w:rPr>
                <w:rFonts w:ascii="Calibri" w:eastAsia="Times New Roman" w:hAnsi="Calibri"/>
                <w:sz w:val="22"/>
                <w:szCs w:val="22"/>
                <w:lang w:val="es-ES_tradnl" w:eastAsia="en-GB"/>
              </w:rPr>
            </w:pPr>
            <w:r w:rsidRPr="00F40D9E">
              <w:rPr>
                <w:rFonts w:ascii="Calibri" w:eastAsia="Times New Roman" w:hAnsi="Calibri"/>
                <w:sz w:val="22"/>
                <w:szCs w:val="22"/>
                <w:lang w:val="es-ES_tradnl" w:eastAsia="en-GB"/>
              </w:rPr>
              <w:t>2</w:t>
            </w:r>
          </w:p>
        </w:tc>
        <w:tc>
          <w:tcPr>
            <w:tcW w:w="2693" w:type="dxa"/>
            <w:tcBorders>
              <w:top w:val="nil"/>
              <w:left w:val="nil"/>
              <w:bottom w:val="single" w:sz="4" w:space="0" w:color="auto"/>
              <w:right w:val="single" w:sz="4" w:space="0" w:color="auto"/>
            </w:tcBorders>
            <w:shd w:val="clear" w:color="auto" w:fill="auto"/>
            <w:noWrap/>
            <w:vAlign w:val="bottom"/>
            <w:hideMark/>
          </w:tcPr>
          <w:p w14:paraId="2C8337D7" w14:textId="77777777" w:rsidR="00044588" w:rsidRPr="00F40D9E" w:rsidRDefault="00044588" w:rsidP="00FE4BDA">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487</w:t>
            </w:r>
          </w:p>
        </w:tc>
        <w:tc>
          <w:tcPr>
            <w:tcW w:w="2552" w:type="dxa"/>
            <w:tcBorders>
              <w:top w:val="nil"/>
              <w:left w:val="nil"/>
              <w:bottom w:val="single" w:sz="4" w:space="0" w:color="auto"/>
              <w:right w:val="single" w:sz="4" w:space="0" w:color="auto"/>
            </w:tcBorders>
            <w:shd w:val="clear" w:color="auto" w:fill="auto"/>
            <w:noWrap/>
            <w:vAlign w:val="bottom"/>
            <w:hideMark/>
          </w:tcPr>
          <w:p w14:paraId="41020959" w14:textId="36FBA95B" w:rsidR="00044588" w:rsidRPr="00F40D9E" w:rsidRDefault="00044588" w:rsidP="00044588">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1</w:t>
            </w:r>
            <w:r w:rsidR="00152E3C" w:rsidRPr="00F40D9E">
              <w:rPr>
                <w:rFonts w:ascii="Calibri" w:eastAsia="Times New Roman" w:hAnsi="Calibri"/>
                <w:color w:val="000000"/>
                <w:sz w:val="22"/>
                <w:szCs w:val="22"/>
                <w:lang w:val="es-ES_tradnl" w:eastAsia="en-GB"/>
              </w:rPr>
              <w:t>.</w:t>
            </w:r>
            <w:r w:rsidRPr="00F40D9E">
              <w:rPr>
                <w:rFonts w:ascii="Calibri" w:eastAsia="Times New Roman" w:hAnsi="Calibri"/>
                <w:color w:val="000000"/>
                <w:sz w:val="22"/>
                <w:szCs w:val="22"/>
                <w:lang w:val="es-ES_tradnl" w:eastAsia="en-GB"/>
              </w:rPr>
              <w:t>220</w:t>
            </w:r>
          </w:p>
        </w:tc>
      </w:tr>
      <w:tr w:rsidR="00FE4BDA" w:rsidRPr="00F40D9E" w14:paraId="2D60E477" w14:textId="77777777" w:rsidTr="00524E57">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9598622" w14:textId="77777777" w:rsidR="00044588" w:rsidRPr="00F40D9E" w:rsidRDefault="00044588" w:rsidP="008C71B1">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2016</w:t>
            </w:r>
          </w:p>
        </w:tc>
        <w:tc>
          <w:tcPr>
            <w:tcW w:w="1843" w:type="dxa"/>
            <w:tcBorders>
              <w:top w:val="nil"/>
              <w:left w:val="nil"/>
              <w:bottom w:val="single" w:sz="4" w:space="0" w:color="auto"/>
              <w:right w:val="single" w:sz="4" w:space="0" w:color="auto"/>
            </w:tcBorders>
            <w:shd w:val="clear" w:color="auto" w:fill="auto"/>
            <w:noWrap/>
            <w:vAlign w:val="bottom"/>
            <w:hideMark/>
          </w:tcPr>
          <w:p w14:paraId="1A7B8299" w14:textId="77777777" w:rsidR="00044588" w:rsidRPr="00F40D9E" w:rsidRDefault="00044588" w:rsidP="008C71B1">
            <w:pPr>
              <w:jc w:val="center"/>
              <w:rPr>
                <w:rFonts w:ascii="Calibri" w:eastAsia="Times New Roman" w:hAnsi="Calibri"/>
                <w:sz w:val="22"/>
                <w:szCs w:val="22"/>
                <w:lang w:val="es-ES_tradnl" w:eastAsia="en-GB"/>
              </w:rPr>
            </w:pPr>
            <w:r w:rsidRPr="00F40D9E">
              <w:rPr>
                <w:rFonts w:ascii="Calibri" w:eastAsia="Times New Roman" w:hAnsi="Calibri"/>
                <w:sz w:val="22"/>
                <w:szCs w:val="22"/>
                <w:lang w:val="es-ES_tradnl" w:eastAsia="en-GB"/>
              </w:rPr>
              <w:t>1</w:t>
            </w:r>
          </w:p>
        </w:tc>
        <w:tc>
          <w:tcPr>
            <w:tcW w:w="2693" w:type="dxa"/>
            <w:tcBorders>
              <w:top w:val="nil"/>
              <w:left w:val="nil"/>
              <w:bottom w:val="single" w:sz="4" w:space="0" w:color="auto"/>
              <w:right w:val="single" w:sz="4" w:space="0" w:color="auto"/>
            </w:tcBorders>
            <w:shd w:val="clear" w:color="auto" w:fill="auto"/>
            <w:noWrap/>
            <w:vAlign w:val="bottom"/>
            <w:hideMark/>
          </w:tcPr>
          <w:p w14:paraId="0F4DDC8F" w14:textId="6F9CE138" w:rsidR="00044588" w:rsidRPr="00F40D9E" w:rsidRDefault="00044588" w:rsidP="00FE4BDA">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3</w:t>
            </w:r>
            <w:r w:rsidR="00152E3C" w:rsidRPr="00F40D9E">
              <w:rPr>
                <w:rFonts w:ascii="Calibri" w:eastAsia="Times New Roman" w:hAnsi="Calibri"/>
                <w:color w:val="000000"/>
                <w:sz w:val="22"/>
                <w:szCs w:val="22"/>
                <w:lang w:val="es-ES_tradnl" w:eastAsia="en-GB"/>
              </w:rPr>
              <w:t>.</w:t>
            </w:r>
            <w:r w:rsidRPr="00F40D9E">
              <w:rPr>
                <w:rFonts w:ascii="Calibri" w:eastAsia="Times New Roman" w:hAnsi="Calibri"/>
                <w:color w:val="000000"/>
                <w:sz w:val="22"/>
                <w:szCs w:val="22"/>
                <w:lang w:val="es-ES_tradnl" w:eastAsia="en-GB"/>
              </w:rPr>
              <w:t>006</w:t>
            </w:r>
          </w:p>
        </w:tc>
        <w:tc>
          <w:tcPr>
            <w:tcW w:w="2552" w:type="dxa"/>
            <w:tcBorders>
              <w:top w:val="nil"/>
              <w:left w:val="nil"/>
              <w:bottom w:val="single" w:sz="4" w:space="0" w:color="auto"/>
              <w:right w:val="single" w:sz="4" w:space="0" w:color="auto"/>
            </w:tcBorders>
            <w:shd w:val="clear" w:color="auto" w:fill="auto"/>
            <w:noWrap/>
            <w:vAlign w:val="bottom"/>
            <w:hideMark/>
          </w:tcPr>
          <w:p w14:paraId="39131D89" w14:textId="70792763" w:rsidR="00044588" w:rsidRPr="00F40D9E" w:rsidRDefault="00044588" w:rsidP="00044588">
            <w:pPr>
              <w:ind w:right="884"/>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4</w:t>
            </w:r>
            <w:r w:rsidR="00152E3C" w:rsidRPr="00F40D9E">
              <w:rPr>
                <w:rFonts w:ascii="Calibri" w:eastAsia="Times New Roman" w:hAnsi="Calibri"/>
                <w:color w:val="000000"/>
                <w:sz w:val="22"/>
                <w:szCs w:val="22"/>
                <w:lang w:val="es-ES_tradnl" w:eastAsia="en-GB"/>
              </w:rPr>
              <w:t>.</w:t>
            </w:r>
            <w:r w:rsidRPr="00F40D9E">
              <w:rPr>
                <w:rFonts w:ascii="Calibri" w:eastAsia="Times New Roman" w:hAnsi="Calibri"/>
                <w:color w:val="000000"/>
                <w:sz w:val="22"/>
                <w:szCs w:val="22"/>
                <w:lang w:val="es-ES_tradnl" w:eastAsia="en-GB"/>
              </w:rPr>
              <w:t>226</w:t>
            </w:r>
          </w:p>
        </w:tc>
      </w:tr>
      <w:tr w:rsidR="00044588" w:rsidRPr="00F40D9E" w14:paraId="5BECB2FD" w14:textId="77777777" w:rsidTr="00524E57">
        <w:trPr>
          <w:trHeight w:val="288"/>
        </w:trPr>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79297EF2" w14:textId="77777777" w:rsidR="00044588" w:rsidRPr="00F40D9E" w:rsidRDefault="00044588" w:rsidP="008C71B1">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Total</w:t>
            </w:r>
          </w:p>
        </w:tc>
        <w:tc>
          <w:tcPr>
            <w:tcW w:w="1843" w:type="dxa"/>
            <w:tcBorders>
              <w:top w:val="single" w:sz="4" w:space="0" w:color="auto"/>
              <w:left w:val="nil"/>
              <w:bottom w:val="single" w:sz="4" w:space="0" w:color="auto"/>
              <w:right w:val="nil"/>
            </w:tcBorders>
            <w:shd w:val="clear" w:color="000000" w:fill="D9D9D9"/>
            <w:noWrap/>
            <w:vAlign w:val="bottom"/>
            <w:hideMark/>
          </w:tcPr>
          <w:p w14:paraId="47F80253" w14:textId="77777777" w:rsidR="00044588" w:rsidRPr="00F40D9E" w:rsidRDefault="00044588" w:rsidP="008C71B1">
            <w:pPr>
              <w:jc w:val="center"/>
              <w:rPr>
                <w:rFonts w:ascii="Calibri" w:eastAsia="Times New Roman" w:hAnsi="Calibri"/>
                <w:sz w:val="22"/>
                <w:szCs w:val="22"/>
                <w:lang w:val="es-ES_tradnl" w:eastAsia="en-GB"/>
              </w:rPr>
            </w:pPr>
            <w:r w:rsidRPr="00F40D9E">
              <w:rPr>
                <w:rFonts w:ascii="Calibri" w:eastAsia="Times New Roman" w:hAnsi="Calibri"/>
                <w:sz w:val="22"/>
                <w:szCs w:val="22"/>
                <w:lang w:val="es-ES_tradnl" w:eastAsia="en-GB"/>
              </w:rPr>
              <w:t> </w:t>
            </w:r>
          </w:p>
        </w:tc>
        <w:tc>
          <w:tcPr>
            <w:tcW w:w="2693" w:type="dxa"/>
            <w:tcBorders>
              <w:top w:val="nil"/>
              <w:left w:val="single" w:sz="4" w:space="0" w:color="auto"/>
              <w:bottom w:val="single" w:sz="4" w:space="0" w:color="auto"/>
              <w:right w:val="single" w:sz="4" w:space="0" w:color="auto"/>
            </w:tcBorders>
            <w:shd w:val="clear" w:color="000000" w:fill="D9D9D9"/>
            <w:noWrap/>
            <w:vAlign w:val="bottom"/>
            <w:hideMark/>
          </w:tcPr>
          <w:p w14:paraId="107E0019" w14:textId="72E8FF84" w:rsidR="00044588" w:rsidRPr="00F40D9E" w:rsidRDefault="00044588" w:rsidP="00FE4BDA">
            <w:pPr>
              <w:ind w:right="884"/>
              <w:jc w:val="right"/>
              <w:rPr>
                <w:rFonts w:ascii="Calibri" w:eastAsia="Times New Roman" w:hAnsi="Calibri"/>
                <w:b/>
                <w:bCs/>
                <w:color w:val="000000"/>
                <w:sz w:val="22"/>
                <w:szCs w:val="22"/>
                <w:lang w:val="es-ES_tradnl" w:eastAsia="en-GB"/>
              </w:rPr>
            </w:pPr>
            <w:r w:rsidRPr="00F40D9E">
              <w:rPr>
                <w:rFonts w:ascii="Calibri" w:eastAsia="Times New Roman" w:hAnsi="Calibri"/>
                <w:b/>
                <w:bCs/>
                <w:color w:val="000000"/>
                <w:sz w:val="22"/>
                <w:szCs w:val="22"/>
                <w:lang w:val="es-ES_tradnl" w:eastAsia="en-GB"/>
              </w:rPr>
              <w:t>4</w:t>
            </w:r>
            <w:r w:rsidR="00152E3C" w:rsidRPr="00F40D9E">
              <w:rPr>
                <w:rFonts w:ascii="Calibri" w:eastAsia="Times New Roman" w:hAnsi="Calibri"/>
                <w:b/>
                <w:bCs/>
                <w:color w:val="000000"/>
                <w:sz w:val="22"/>
                <w:szCs w:val="22"/>
                <w:lang w:val="es-ES_tradnl" w:eastAsia="en-GB"/>
              </w:rPr>
              <w:t>.</w:t>
            </w:r>
            <w:r w:rsidRPr="00F40D9E">
              <w:rPr>
                <w:rFonts w:ascii="Calibri" w:eastAsia="Times New Roman" w:hAnsi="Calibri"/>
                <w:b/>
                <w:bCs/>
                <w:color w:val="000000"/>
                <w:sz w:val="22"/>
                <w:szCs w:val="22"/>
                <w:lang w:val="es-ES_tradnl" w:eastAsia="en-GB"/>
              </w:rPr>
              <w:t>226</w:t>
            </w:r>
          </w:p>
        </w:tc>
        <w:tc>
          <w:tcPr>
            <w:tcW w:w="2552" w:type="dxa"/>
            <w:tcBorders>
              <w:top w:val="nil"/>
              <w:left w:val="nil"/>
              <w:bottom w:val="single" w:sz="4" w:space="0" w:color="auto"/>
              <w:right w:val="single" w:sz="4" w:space="0" w:color="auto"/>
            </w:tcBorders>
            <w:shd w:val="clear" w:color="000000" w:fill="D9D9D9"/>
            <w:noWrap/>
            <w:vAlign w:val="bottom"/>
            <w:hideMark/>
          </w:tcPr>
          <w:p w14:paraId="4CD67FAB" w14:textId="6F9F6336" w:rsidR="00044588" w:rsidRPr="00F40D9E" w:rsidRDefault="00044588" w:rsidP="00044588">
            <w:pPr>
              <w:ind w:right="884"/>
              <w:jc w:val="right"/>
              <w:rPr>
                <w:rFonts w:ascii="Calibri" w:eastAsia="Times New Roman" w:hAnsi="Calibri"/>
                <w:b/>
                <w:bCs/>
                <w:color w:val="000000"/>
                <w:sz w:val="22"/>
                <w:szCs w:val="22"/>
                <w:lang w:val="es-ES_tradnl" w:eastAsia="en-GB"/>
              </w:rPr>
            </w:pPr>
            <w:r w:rsidRPr="00F40D9E">
              <w:rPr>
                <w:rFonts w:ascii="Calibri" w:eastAsia="Times New Roman" w:hAnsi="Calibri"/>
                <w:b/>
                <w:bCs/>
                <w:color w:val="000000"/>
                <w:sz w:val="22"/>
                <w:szCs w:val="22"/>
                <w:lang w:val="es-ES_tradnl" w:eastAsia="en-GB"/>
              </w:rPr>
              <w:t> 4</w:t>
            </w:r>
            <w:r w:rsidR="00152E3C" w:rsidRPr="00F40D9E">
              <w:rPr>
                <w:rFonts w:ascii="Calibri" w:eastAsia="Times New Roman" w:hAnsi="Calibri"/>
                <w:b/>
                <w:bCs/>
                <w:color w:val="000000"/>
                <w:sz w:val="22"/>
                <w:szCs w:val="22"/>
                <w:lang w:val="es-ES_tradnl" w:eastAsia="en-GB"/>
              </w:rPr>
              <w:t>.</w:t>
            </w:r>
            <w:r w:rsidRPr="00F40D9E">
              <w:rPr>
                <w:rFonts w:ascii="Calibri" w:eastAsia="Times New Roman" w:hAnsi="Calibri"/>
                <w:b/>
                <w:bCs/>
                <w:color w:val="000000"/>
                <w:sz w:val="22"/>
                <w:szCs w:val="22"/>
                <w:lang w:val="es-ES_tradnl" w:eastAsia="en-GB"/>
              </w:rPr>
              <w:t>226</w:t>
            </w:r>
          </w:p>
        </w:tc>
      </w:tr>
    </w:tbl>
    <w:p w14:paraId="229B7505" w14:textId="77777777" w:rsidR="00044588" w:rsidRPr="00F40D9E" w:rsidRDefault="00044588" w:rsidP="00044588">
      <w:pPr>
        <w:autoSpaceDE w:val="0"/>
        <w:autoSpaceDN w:val="0"/>
        <w:adjustRightInd w:val="0"/>
        <w:ind w:left="426"/>
        <w:rPr>
          <w:rFonts w:ascii="Calibri" w:hAnsi="Calibri" w:cs="Calibri"/>
          <w:sz w:val="22"/>
          <w:szCs w:val="22"/>
          <w:lang w:val="es-ES_tradnl"/>
        </w:rPr>
      </w:pPr>
    </w:p>
    <w:p w14:paraId="40E503E1" w14:textId="77777777" w:rsidR="00C37DBB" w:rsidRPr="00F40D9E" w:rsidRDefault="00C37DBB" w:rsidP="00C37DBB">
      <w:pPr>
        <w:autoSpaceDE w:val="0"/>
        <w:autoSpaceDN w:val="0"/>
        <w:adjustRightInd w:val="0"/>
        <w:ind w:left="426"/>
        <w:rPr>
          <w:rFonts w:ascii="Calibri" w:hAnsi="Calibri" w:cs="Calibri"/>
          <w:sz w:val="22"/>
          <w:szCs w:val="22"/>
          <w:lang w:val="es-ES_tradnl"/>
        </w:rPr>
      </w:pPr>
    </w:p>
    <w:p w14:paraId="2CD29805" w14:textId="5A9680FB" w:rsidR="006018B5" w:rsidRPr="00F40D9E" w:rsidRDefault="00152E3C" w:rsidP="000334A3">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 xml:space="preserve">Los atrasos pendientes del año 2015 y anteriores, al 29 de febrero de 2016, sumaban un total de </w:t>
      </w:r>
      <w:r w:rsidR="00044588" w:rsidRPr="00F40D9E">
        <w:rPr>
          <w:rFonts w:ascii="Calibri" w:hAnsi="Calibri" w:cs="Calibri"/>
          <w:sz w:val="22"/>
          <w:szCs w:val="22"/>
          <w:lang w:val="es-ES_tradnl"/>
        </w:rPr>
        <w:t>1</w:t>
      </w:r>
      <w:r w:rsidRPr="00F40D9E">
        <w:rPr>
          <w:rFonts w:ascii="Calibri" w:hAnsi="Calibri" w:cs="Calibri"/>
          <w:sz w:val="22"/>
          <w:szCs w:val="22"/>
          <w:lang w:val="es-ES_tradnl"/>
        </w:rPr>
        <w:t>.</w:t>
      </w:r>
      <w:r w:rsidR="00044588" w:rsidRPr="00F40D9E">
        <w:rPr>
          <w:rFonts w:ascii="Calibri" w:hAnsi="Calibri" w:cs="Calibri"/>
          <w:sz w:val="22"/>
          <w:szCs w:val="22"/>
          <w:lang w:val="es-ES_tradnl"/>
        </w:rPr>
        <w:t>220</w:t>
      </w:r>
      <w:r w:rsidRPr="00F40D9E">
        <w:rPr>
          <w:rFonts w:ascii="Calibri" w:hAnsi="Calibri" w:cs="Calibri"/>
          <w:sz w:val="22"/>
          <w:szCs w:val="22"/>
          <w:lang w:val="es-ES_tradnl"/>
        </w:rPr>
        <w:t>.</w:t>
      </w:r>
      <w:r w:rsidR="00044588" w:rsidRPr="00F40D9E">
        <w:rPr>
          <w:rFonts w:ascii="Calibri" w:hAnsi="Calibri" w:cs="Calibri"/>
          <w:sz w:val="22"/>
          <w:szCs w:val="22"/>
          <w:lang w:val="es-ES_tradnl"/>
        </w:rPr>
        <w:t>000</w:t>
      </w:r>
      <w:r w:rsidRPr="00F40D9E">
        <w:rPr>
          <w:rFonts w:ascii="Calibri" w:hAnsi="Calibri" w:cs="Calibri"/>
          <w:sz w:val="22"/>
          <w:szCs w:val="22"/>
          <w:lang w:val="es-ES_tradnl"/>
        </w:rPr>
        <w:t xml:space="preserve"> francos suizos y correspondían a 78 de las Partes.</w:t>
      </w:r>
    </w:p>
    <w:p w14:paraId="261EC405" w14:textId="77777777" w:rsidR="003C6AAA" w:rsidRPr="00F40D9E" w:rsidRDefault="003C6AAA" w:rsidP="000B26D3">
      <w:pPr>
        <w:autoSpaceDE w:val="0"/>
        <w:autoSpaceDN w:val="0"/>
        <w:adjustRightInd w:val="0"/>
        <w:rPr>
          <w:rFonts w:ascii="Calibri" w:hAnsi="Calibri" w:cs="Calibri"/>
          <w:sz w:val="22"/>
          <w:szCs w:val="22"/>
          <w:lang w:val="es-ES_tradnl"/>
        </w:rPr>
      </w:pPr>
    </w:p>
    <w:p w14:paraId="0552C33F" w14:textId="19C26B1A" w:rsidR="00290A83" w:rsidRPr="00F40D9E" w:rsidRDefault="00152E3C" w:rsidP="0075705E">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 xml:space="preserve">El Cuadro 3 muestra el número de Partes de cada región </w:t>
      </w:r>
      <w:r w:rsidR="00743901" w:rsidRPr="00F40D9E">
        <w:rPr>
          <w:rFonts w:ascii="Calibri" w:hAnsi="Calibri" w:cs="Calibri"/>
          <w:sz w:val="22"/>
          <w:szCs w:val="22"/>
          <w:lang w:val="es-ES_tradnl"/>
        </w:rPr>
        <w:t xml:space="preserve">con </w:t>
      </w:r>
      <w:r w:rsidRPr="00F40D9E">
        <w:rPr>
          <w:rFonts w:ascii="Calibri" w:hAnsi="Calibri" w:cs="Calibri"/>
          <w:sz w:val="22"/>
          <w:szCs w:val="22"/>
          <w:lang w:val="es-ES_tradnl"/>
        </w:rPr>
        <w:t>más de tres años de atraso</w:t>
      </w:r>
      <w:r w:rsidR="00743901" w:rsidRPr="00F40D9E">
        <w:rPr>
          <w:rFonts w:ascii="Calibri" w:hAnsi="Calibri" w:cs="Calibri"/>
          <w:sz w:val="22"/>
          <w:szCs w:val="22"/>
          <w:lang w:val="es-ES_tradnl"/>
        </w:rPr>
        <w:t xml:space="preserve"> al cierre de los ejercicios 2014 y 2015, así como el importe total de su atraso. </w:t>
      </w:r>
      <w:r w:rsidR="00C24FE1" w:rsidRPr="00F40D9E">
        <w:rPr>
          <w:rFonts w:ascii="Calibri" w:hAnsi="Calibri" w:cs="Calibri"/>
          <w:sz w:val="22"/>
          <w:szCs w:val="22"/>
          <w:lang w:val="es-ES_tradnl"/>
        </w:rPr>
        <w:t xml:space="preserve">Al final de 2015, 30 de las Partes </w:t>
      </w:r>
      <w:r w:rsidR="000E0323" w:rsidRPr="00F40D9E">
        <w:rPr>
          <w:rFonts w:ascii="Calibri" w:hAnsi="Calibri" w:cs="Calibri"/>
          <w:sz w:val="22"/>
          <w:szCs w:val="22"/>
          <w:lang w:val="es-ES_tradnl"/>
        </w:rPr>
        <w:t xml:space="preserve">tenían atrasos de más de tres años, por </w:t>
      </w:r>
      <w:r w:rsidR="005441CE">
        <w:rPr>
          <w:rFonts w:ascii="Calibri" w:hAnsi="Calibri" w:cs="Calibri"/>
          <w:sz w:val="22"/>
          <w:szCs w:val="22"/>
          <w:lang w:val="es-ES_tradnl"/>
        </w:rPr>
        <w:t xml:space="preserve">un </w:t>
      </w:r>
      <w:r w:rsidR="000E0323" w:rsidRPr="00F40D9E">
        <w:rPr>
          <w:rFonts w:ascii="Calibri" w:hAnsi="Calibri" w:cs="Calibri"/>
          <w:sz w:val="22"/>
          <w:szCs w:val="22"/>
          <w:lang w:val="es-ES_tradnl"/>
        </w:rPr>
        <w:t xml:space="preserve">valor de </w:t>
      </w:r>
      <w:r w:rsidR="000334A3" w:rsidRPr="00F40D9E">
        <w:rPr>
          <w:rFonts w:ascii="Calibri" w:hAnsi="Calibri" w:cs="Calibri"/>
          <w:sz w:val="22"/>
          <w:szCs w:val="22"/>
          <w:lang w:val="es-ES_tradnl"/>
        </w:rPr>
        <w:t>241</w:t>
      </w:r>
      <w:r w:rsidR="000E0323" w:rsidRPr="00F40D9E">
        <w:rPr>
          <w:rFonts w:ascii="Calibri" w:hAnsi="Calibri" w:cs="Calibri"/>
          <w:sz w:val="22"/>
          <w:szCs w:val="22"/>
          <w:lang w:val="es-ES_tradnl"/>
        </w:rPr>
        <w:t>.</w:t>
      </w:r>
      <w:r w:rsidR="000334A3" w:rsidRPr="00F40D9E">
        <w:rPr>
          <w:rFonts w:ascii="Calibri" w:hAnsi="Calibri" w:cs="Calibri"/>
          <w:sz w:val="22"/>
          <w:szCs w:val="22"/>
          <w:lang w:val="es-ES_tradnl"/>
        </w:rPr>
        <w:t>977</w:t>
      </w:r>
      <w:r w:rsidR="000E0323" w:rsidRPr="00F40D9E">
        <w:rPr>
          <w:rFonts w:ascii="Calibri" w:hAnsi="Calibri" w:cs="Calibri"/>
          <w:sz w:val="22"/>
          <w:szCs w:val="22"/>
          <w:lang w:val="es-ES_tradnl"/>
        </w:rPr>
        <w:t xml:space="preserve"> francos suizos</w:t>
      </w:r>
      <w:r w:rsidR="000334A3" w:rsidRPr="00F40D9E">
        <w:rPr>
          <w:rFonts w:ascii="Calibri" w:hAnsi="Calibri" w:cs="Calibri"/>
          <w:sz w:val="22"/>
          <w:szCs w:val="22"/>
          <w:lang w:val="es-ES_tradnl"/>
        </w:rPr>
        <w:t>.</w:t>
      </w:r>
    </w:p>
    <w:p w14:paraId="5318E9AE" w14:textId="77777777" w:rsidR="00A91525" w:rsidRPr="00F40D9E" w:rsidRDefault="00A91525" w:rsidP="00A91525">
      <w:pPr>
        <w:pStyle w:val="ListParagraph"/>
        <w:rPr>
          <w:rFonts w:ascii="Calibri" w:hAnsi="Calibri" w:cs="Calibri"/>
          <w:color w:val="000000"/>
          <w:sz w:val="22"/>
          <w:szCs w:val="22"/>
          <w:lang w:val="es-ES_tradnl"/>
        </w:rPr>
      </w:pPr>
    </w:p>
    <w:p w14:paraId="7DC98EF9" w14:textId="129E4336" w:rsidR="00A91525" w:rsidRPr="00F40D9E" w:rsidRDefault="009C1EC5" w:rsidP="00AD3D9E">
      <w:pPr>
        <w:rPr>
          <w:rFonts w:ascii="Calibri" w:hAnsi="Calibri" w:cs="Calibri"/>
          <w:color w:val="000000"/>
          <w:sz w:val="22"/>
          <w:szCs w:val="22"/>
          <w:lang w:val="es-ES_tradnl"/>
        </w:rPr>
      </w:pPr>
      <w:r>
        <w:rPr>
          <w:rFonts w:ascii="Calibri" w:hAnsi="Calibri" w:cs="Calibri"/>
          <w:b/>
          <w:color w:val="000000"/>
          <w:sz w:val="22"/>
          <w:szCs w:val="22"/>
          <w:lang w:val="es-ES_tradnl"/>
        </w:rPr>
        <w:t>Cuadro</w:t>
      </w:r>
      <w:r w:rsidR="0070040D" w:rsidRPr="00F40D9E">
        <w:rPr>
          <w:rFonts w:ascii="Calibri" w:hAnsi="Calibri" w:cs="Calibri"/>
          <w:b/>
          <w:color w:val="000000"/>
          <w:sz w:val="22"/>
          <w:szCs w:val="22"/>
          <w:lang w:val="es-ES_tradnl"/>
        </w:rPr>
        <w:t xml:space="preserve"> </w:t>
      </w:r>
      <w:r w:rsidR="000334A3" w:rsidRPr="00F40D9E">
        <w:rPr>
          <w:rFonts w:ascii="Calibri" w:hAnsi="Calibri" w:cs="Calibri"/>
          <w:b/>
          <w:color w:val="000000"/>
          <w:sz w:val="22"/>
          <w:szCs w:val="22"/>
          <w:lang w:val="es-ES_tradnl"/>
        </w:rPr>
        <w:t>3</w:t>
      </w:r>
      <w:r w:rsidR="00AD3D9E" w:rsidRPr="00F40D9E">
        <w:rPr>
          <w:rFonts w:ascii="Calibri" w:hAnsi="Calibri" w:cs="Calibri"/>
          <w:color w:val="000000"/>
          <w:sz w:val="22"/>
          <w:szCs w:val="22"/>
          <w:lang w:val="es-ES_tradnl"/>
        </w:rPr>
        <w:t xml:space="preserve">: </w:t>
      </w:r>
      <w:r w:rsidR="00AC55E6" w:rsidRPr="00F40D9E">
        <w:rPr>
          <w:rFonts w:ascii="Calibri" w:hAnsi="Calibri" w:cs="Calibri"/>
          <w:color w:val="000000"/>
          <w:sz w:val="22"/>
          <w:szCs w:val="22"/>
          <w:lang w:val="es-ES_tradnl"/>
        </w:rPr>
        <w:t>Partes Contratantes con más de tres años de atraso, por regiones</w:t>
      </w:r>
    </w:p>
    <w:p w14:paraId="61840A0E" w14:textId="77777777" w:rsidR="00FC5F81" w:rsidRPr="00F40D9E" w:rsidRDefault="00FC5F81" w:rsidP="00AD3D9E">
      <w:pPr>
        <w:rPr>
          <w:rFonts w:ascii="Calibri" w:hAnsi="Calibri" w:cs="Calibri"/>
          <w:color w:val="000000"/>
          <w:sz w:val="22"/>
          <w:szCs w:val="22"/>
          <w:lang w:val="es-ES_tradnl"/>
        </w:rPr>
      </w:pPr>
    </w:p>
    <w:tbl>
      <w:tblPr>
        <w:tblW w:w="7513" w:type="dxa"/>
        <w:tblInd w:w="108" w:type="dxa"/>
        <w:tblLayout w:type="fixed"/>
        <w:tblLook w:val="04A0" w:firstRow="1" w:lastRow="0" w:firstColumn="1" w:lastColumn="0" w:noHBand="0" w:noVBand="1"/>
      </w:tblPr>
      <w:tblGrid>
        <w:gridCol w:w="3001"/>
        <w:gridCol w:w="1128"/>
        <w:gridCol w:w="1128"/>
        <w:gridCol w:w="1128"/>
        <w:gridCol w:w="1128"/>
      </w:tblGrid>
      <w:tr w:rsidR="00C31D14" w:rsidRPr="00F40D9E" w14:paraId="54FB5014" w14:textId="77777777" w:rsidTr="00AC55E6">
        <w:trPr>
          <w:trHeight w:val="288"/>
        </w:trPr>
        <w:tc>
          <w:tcPr>
            <w:tcW w:w="3001" w:type="dxa"/>
            <w:tcBorders>
              <w:top w:val="nil"/>
              <w:left w:val="nil"/>
              <w:bottom w:val="nil"/>
              <w:right w:val="single" w:sz="4" w:space="0" w:color="auto"/>
            </w:tcBorders>
            <w:shd w:val="clear" w:color="auto" w:fill="auto"/>
            <w:noWrap/>
            <w:hideMark/>
          </w:tcPr>
          <w:p w14:paraId="7957DCA3" w14:textId="77777777" w:rsidR="00C31D14" w:rsidRPr="00F40D9E" w:rsidRDefault="00C31D14" w:rsidP="00FB72DE">
            <w:pPr>
              <w:jc w:val="center"/>
              <w:rPr>
                <w:rFonts w:ascii="Calibri" w:eastAsia="Times New Roman" w:hAnsi="Calibri"/>
                <w:color w:val="000000"/>
                <w:sz w:val="22"/>
                <w:szCs w:val="22"/>
                <w:lang w:val="es-ES_tradnl" w:eastAsia="en-GB"/>
              </w:rPr>
            </w:pPr>
          </w:p>
        </w:tc>
        <w:tc>
          <w:tcPr>
            <w:tcW w:w="2256" w:type="dxa"/>
            <w:gridSpan w:val="2"/>
            <w:tcBorders>
              <w:top w:val="single" w:sz="4" w:space="0" w:color="auto"/>
              <w:left w:val="single" w:sz="4" w:space="0" w:color="auto"/>
              <w:bottom w:val="single" w:sz="4" w:space="0" w:color="auto"/>
              <w:right w:val="single" w:sz="4" w:space="0" w:color="auto"/>
            </w:tcBorders>
            <w:shd w:val="clear" w:color="000000" w:fill="8DB4E2"/>
          </w:tcPr>
          <w:p w14:paraId="3AB84569" w14:textId="7FC17E8F" w:rsidR="00C31D14" w:rsidRPr="00F40D9E" w:rsidRDefault="000E0323" w:rsidP="00FB72DE">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Final de</w:t>
            </w:r>
            <w:r w:rsidR="00C31D14" w:rsidRPr="00F40D9E">
              <w:rPr>
                <w:rFonts w:ascii="Calibri" w:eastAsia="Times New Roman" w:hAnsi="Calibri"/>
                <w:b/>
                <w:bCs/>
                <w:sz w:val="22"/>
                <w:szCs w:val="22"/>
                <w:lang w:val="es-ES_tradnl" w:eastAsia="en-GB"/>
              </w:rPr>
              <w:t xml:space="preserve"> 2014</w:t>
            </w:r>
          </w:p>
        </w:tc>
        <w:tc>
          <w:tcPr>
            <w:tcW w:w="2256" w:type="dxa"/>
            <w:gridSpan w:val="2"/>
            <w:tcBorders>
              <w:top w:val="single" w:sz="4" w:space="0" w:color="auto"/>
              <w:left w:val="single" w:sz="4" w:space="0" w:color="auto"/>
              <w:bottom w:val="single" w:sz="4" w:space="0" w:color="auto"/>
              <w:right w:val="single" w:sz="4" w:space="0" w:color="000000"/>
            </w:tcBorders>
            <w:shd w:val="clear" w:color="000000" w:fill="8DB4E2"/>
            <w:noWrap/>
            <w:hideMark/>
          </w:tcPr>
          <w:p w14:paraId="4A4BB213" w14:textId="3D213919" w:rsidR="00C31D14" w:rsidRPr="00F40D9E" w:rsidRDefault="000E0323" w:rsidP="002B2B86">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Final de</w:t>
            </w:r>
            <w:r w:rsidR="00C31D14" w:rsidRPr="00F40D9E">
              <w:rPr>
                <w:rFonts w:ascii="Calibri" w:eastAsia="Times New Roman" w:hAnsi="Calibri"/>
                <w:b/>
                <w:bCs/>
                <w:sz w:val="22"/>
                <w:szCs w:val="22"/>
                <w:lang w:val="es-ES_tradnl" w:eastAsia="en-GB"/>
              </w:rPr>
              <w:t xml:space="preserve"> 2015</w:t>
            </w:r>
          </w:p>
        </w:tc>
      </w:tr>
      <w:tr w:rsidR="00C31D14" w:rsidRPr="00F40D9E" w14:paraId="09BC9CB3" w14:textId="77777777" w:rsidTr="00AC55E6">
        <w:trPr>
          <w:trHeight w:val="288"/>
        </w:trPr>
        <w:tc>
          <w:tcPr>
            <w:tcW w:w="3001"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83BEC8D" w14:textId="3E984561" w:rsidR="00C31D14" w:rsidRPr="00F40D9E" w:rsidRDefault="00C31D14" w:rsidP="00C31D14">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Regi</w:t>
            </w:r>
            <w:r w:rsidR="000E0323" w:rsidRPr="00F40D9E">
              <w:rPr>
                <w:rFonts w:ascii="Calibri" w:eastAsia="Times New Roman" w:hAnsi="Calibri"/>
                <w:b/>
                <w:bCs/>
                <w:sz w:val="22"/>
                <w:szCs w:val="22"/>
                <w:lang w:val="es-ES_tradnl" w:eastAsia="en-GB"/>
              </w:rPr>
              <w:t>ó</w:t>
            </w:r>
            <w:r w:rsidRPr="00F40D9E">
              <w:rPr>
                <w:rFonts w:ascii="Calibri" w:eastAsia="Times New Roman" w:hAnsi="Calibri"/>
                <w:b/>
                <w:bCs/>
                <w:sz w:val="22"/>
                <w:szCs w:val="22"/>
                <w:lang w:val="es-ES_tradnl" w:eastAsia="en-GB"/>
              </w:rPr>
              <w:t>n</w:t>
            </w:r>
          </w:p>
        </w:tc>
        <w:tc>
          <w:tcPr>
            <w:tcW w:w="1128" w:type="dxa"/>
            <w:tcBorders>
              <w:top w:val="single" w:sz="4" w:space="0" w:color="auto"/>
              <w:left w:val="nil"/>
              <w:bottom w:val="single" w:sz="4" w:space="0" w:color="auto"/>
              <w:right w:val="single" w:sz="4" w:space="0" w:color="auto"/>
            </w:tcBorders>
            <w:shd w:val="clear" w:color="000000" w:fill="8DB4E2"/>
            <w:vAlign w:val="center"/>
          </w:tcPr>
          <w:p w14:paraId="3DEEBC88" w14:textId="72AA7726" w:rsidR="00C31D14" w:rsidRPr="00F40D9E" w:rsidRDefault="00AC55E6" w:rsidP="00C31D14">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Número</w:t>
            </w:r>
          </w:p>
        </w:tc>
        <w:tc>
          <w:tcPr>
            <w:tcW w:w="1128" w:type="dxa"/>
            <w:tcBorders>
              <w:top w:val="single" w:sz="4" w:space="0" w:color="auto"/>
              <w:left w:val="single" w:sz="4" w:space="0" w:color="auto"/>
              <w:bottom w:val="single" w:sz="4" w:space="0" w:color="auto"/>
              <w:right w:val="single" w:sz="4" w:space="0" w:color="auto"/>
            </w:tcBorders>
            <w:shd w:val="clear" w:color="000000" w:fill="8DB4E2"/>
            <w:vAlign w:val="center"/>
          </w:tcPr>
          <w:p w14:paraId="5C852FCE" w14:textId="77777777" w:rsidR="009C1EC5" w:rsidRDefault="00AC55E6" w:rsidP="00AC55E6">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Importe</w:t>
            </w:r>
          </w:p>
          <w:p w14:paraId="0AC3890C" w14:textId="7C87CCB8" w:rsidR="00C31D14" w:rsidRPr="00F40D9E" w:rsidRDefault="00C31D14" w:rsidP="00AC55E6">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CHF</w:t>
            </w:r>
          </w:p>
        </w:tc>
        <w:tc>
          <w:tcPr>
            <w:tcW w:w="1128" w:type="dxa"/>
            <w:tcBorders>
              <w:top w:val="nil"/>
              <w:left w:val="single" w:sz="4" w:space="0" w:color="auto"/>
              <w:bottom w:val="single" w:sz="4" w:space="0" w:color="auto"/>
              <w:right w:val="single" w:sz="4" w:space="0" w:color="auto"/>
            </w:tcBorders>
            <w:shd w:val="clear" w:color="000000" w:fill="8DB4E2"/>
            <w:vAlign w:val="center"/>
          </w:tcPr>
          <w:p w14:paraId="0A6D4A75" w14:textId="5D8F6A2B" w:rsidR="00C31D14" w:rsidRPr="00F40D9E" w:rsidRDefault="00AC55E6" w:rsidP="00AC55E6">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Número</w:t>
            </w:r>
          </w:p>
        </w:tc>
        <w:tc>
          <w:tcPr>
            <w:tcW w:w="1128" w:type="dxa"/>
            <w:tcBorders>
              <w:top w:val="nil"/>
              <w:left w:val="single" w:sz="4" w:space="0" w:color="auto"/>
              <w:bottom w:val="single" w:sz="4" w:space="0" w:color="auto"/>
              <w:right w:val="single" w:sz="4" w:space="0" w:color="auto"/>
            </w:tcBorders>
            <w:shd w:val="clear" w:color="000000" w:fill="8DB4E2"/>
            <w:vAlign w:val="center"/>
          </w:tcPr>
          <w:p w14:paraId="1DCE2DB8" w14:textId="3CBA070C" w:rsidR="00C31D14" w:rsidRPr="00F40D9E" w:rsidRDefault="000E0323" w:rsidP="000E0323">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 xml:space="preserve">Importe </w:t>
            </w:r>
            <w:r w:rsidR="00C31D14" w:rsidRPr="00F40D9E">
              <w:rPr>
                <w:rFonts w:ascii="Calibri" w:eastAsia="Times New Roman" w:hAnsi="Calibri"/>
                <w:b/>
                <w:bCs/>
                <w:sz w:val="22"/>
                <w:szCs w:val="22"/>
                <w:lang w:val="es-ES_tradnl" w:eastAsia="en-GB"/>
              </w:rPr>
              <w:t>CHF</w:t>
            </w:r>
          </w:p>
        </w:tc>
      </w:tr>
      <w:tr w:rsidR="00C31D14" w:rsidRPr="00F40D9E" w14:paraId="2A74F1D9" w14:textId="77777777" w:rsidTr="00AC55E6">
        <w:trPr>
          <w:trHeight w:val="288"/>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23D442FD" w14:textId="47AD22E3" w:rsidR="00C31D14" w:rsidRPr="00F40D9E" w:rsidRDefault="000E0323" w:rsidP="00C31D14">
            <w:pP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Á</w:t>
            </w:r>
            <w:r w:rsidR="00C31D14" w:rsidRPr="00F40D9E">
              <w:rPr>
                <w:rFonts w:ascii="Calibri" w:eastAsia="Times New Roman" w:hAnsi="Calibri"/>
                <w:b/>
                <w:bCs/>
                <w:sz w:val="22"/>
                <w:szCs w:val="22"/>
                <w:lang w:val="es-ES_tradnl" w:eastAsia="en-GB"/>
              </w:rPr>
              <w:t>frica</w:t>
            </w:r>
          </w:p>
        </w:tc>
        <w:tc>
          <w:tcPr>
            <w:tcW w:w="1128" w:type="dxa"/>
            <w:tcBorders>
              <w:top w:val="single" w:sz="4" w:space="0" w:color="auto"/>
              <w:left w:val="nil"/>
              <w:bottom w:val="single" w:sz="4" w:space="0" w:color="auto"/>
              <w:right w:val="single" w:sz="4" w:space="0" w:color="auto"/>
            </w:tcBorders>
            <w:vAlign w:val="center"/>
          </w:tcPr>
          <w:p w14:paraId="211AB416" w14:textId="77777777" w:rsidR="00C31D14" w:rsidRPr="00F40D9E" w:rsidRDefault="00C31D14" w:rsidP="00C31D14">
            <w:pPr>
              <w:jc w:val="center"/>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16</w:t>
            </w:r>
          </w:p>
        </w:tc>
        <w:tc>
          <w:tcPr>
            <w:tcW w:w="1128" w:type="dxa"/>
            <w:tcBorders>
              <w:top w:val="single" w:sz="4" w:space="0" w:color="auto"/>
              <w:left w:val="single" w:sz="4" w:space="0" w:color="auto"/>
              <w:bottom w:val="single" w:sz="4" w:space="0" w:color="auto"/>
              <w:right w:val="single" w:sz="4" w:space="0" w:color="auto"/>
            </w:tcBorders>
            <w:vAlign w:val="center"/>
          </w:tcPr>
          <w:p w14:paraId="187B711C" w14:textId="58203BE6" w:rsidR="00C31D14" w:rsidRPr="00F40D9E" w:rsidRDefault="00C31D14" w:rsidP="00C31D14">
            <w:pPr>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134</w:t>
            </w:r>
            <w:r w:rsidR="000E0323" w:rsidRPr="00F40D9E">
              <w:rPr>
                <w:rFonts w:ascii="Calibri" w:eastAsia="Times New Roman" w:hAnsi="Calibri"/>
                <w:color w:val="000000"/>
                <w:sz w:val="22"/>
                <w:szCs w:val="22"/>
                <w:lang w:val="es-ES_tradnl" w:eastAsia="en-GB"/>
              </w:rPr>
              <w:t>.</w:t>
            </w:r>
            <w:r w:rsidRPr="00F40D9E">
              <w:rPr>
                <w:rFonts w:ascii="Calibri" w:eastAsia="Times New Roman" w:hAnsi="Calibri"/>
                <w:color w:val="000000"/>
                <w:sz w:val="22"/>
                <w:szCs w:val="22"/>
                <w:lang w:val="es-ES_tradnl" w:eastAsia="en-GB"/>
              </w:rPr>
              <w:t>000</w:t>
            </w:r>
          </w:p>
        </w:tc>
        <w:tc>
          <w:tcPr>
            <w:tcW w:w="1128" w:type="dxa"/>
            <w:tcBorders>
              <w:top w:val="nil"/>
              <w:left w:val="single" w:sz="4" w:space="0" w:color="auto"/>
              <w:bottom w:val="single" w:sz="4" w:space="0" w:color="auto"/>
              <w:right w:val="single" w:sz="4" w:space="0" w:color="auto"/>
            </w:tcBorders>
            <w:vAlign w:val="center"/>
          </w:tcPr>
          <w:p w14:paraId="52AEECBA" w14:textId="77777777" w:rsidR="00C31D14" w:rsidRPr="00F40D9E" w:rsidRDefault="00C31D14" w:rsidP="00C31D14">
            <w:pPr>
              <w:jc w:val="center"/>
              <w:rPr>
                <w:rFonts w:ascii="Calibri" w:eastAsia="Times New Roman" w:hAnsi="Calibri"/>
                <w:color w:val="000000"/>
                <w:sz w:val="22"/>
                <w:szCs w:val="22"/>
                <w:lang w:val="es-ES_tradnl" w:eastAsia="en-GB"/>
              </w:rPr>
            </w:pPr>
            <w:r w:rsidRPr="00F40D9E">
              <w:rPr>
                <w:rFonts w:ascii="Calibri" w:hAnsi="Calibri"/>
                <w:color w:val="000000"/>
                <w:sz w:val="22"/>
                <w:szCs w:val="22"/>
                <w:lang w:val="es-ES_tradnl"/>
              </w:rPr>
              <w:t>17</w:t>
            </w:r>
          </w:p>
        </w:tc>
        <w:tc>
          <w:tcPr>
            <w:tcW w:w="1128" w:type="dxa"/>
            <w:tcBorders>
              <w:top w:val="nil"/>
              <w:left w:val="single" w:sz="4" w:space="0" w:color="auto"/>
              <w:bottom w:val="single" w:sz="4" w:space="0" w:color="auto"/>
              <w:right w:val="single" w:sz="4" w:space="0" w:color="auto"/>
            </w:tcBorders>
            <w:vAlign w:val="center"/>
          </w:tcPr>
          <w:p w14:paraId="1BBC8632" w14:textId="67A6D3CC" w:rsidR="00C31D14" w:rsidRPr="00F40D9E" w:rsidRDefault="00C31D14" w:rsidP="00C31D14">
            <w:pPr>
              <w:jc w:val="right"/>
              <w:rPr>
                <w:rFonts w:ascii="Calibri" w:eastAsia="Times New Roman" w:hAnsi="Calibri"/>
                <w:color w:val="000000"/>
                <w:sz w:val="22"/>
                <w:szCs w:val="22"/>
                <w:lang w:val="es-ES_tradnl" w:eastAsia="en-GB"/>
              </w:rPr>
            </w:pPr>
            <w:r w:rsidRPr="00F40D9E">
              <w:rPr>
                <w:rFonts w:ascii="Calibri" w:hAnsi="Calibri"/>
                <w:color w:val="000000"/>
                <w:sz w:val="22"/>
                <w:szCs w:val="22"/>
                <w:lang w:val="es-ES_tradnl"/>
              </w:rPr>
              <w:t>147</w:t>
            </w:r>
            <w:r w:rsidR="000E0323" w:rsidRPr="00F40D9E">
              <w:rPr>
                <w:rFonts w:ascii="Calibri" w:hAnsi="Calibri"/>
                <w:color w:val="000000"/>
                <w:sz w:val="22"/>
                <w:szCs w:val="22"/>
                <w:lang w:val="es-ES_tradnl"/>
              </w:rPr>
              <w:t>.</w:t>
            </w:r>
            <w:r w:rsidRPr="00F40D9E">
              <w:rPr>
                <w:rFonts w:ascii="Calibri" w:hAnsi="Calibri"/>
                <w:color w:val="000000"/>
                <w:sz w:val="22"/>
                <w:szCs w:val="22"/>
                <w:lang w:val="es-ES_tradnl"/>
              </w:rPr>
              <w:t xml:space="preserve">983 </w:t>
            </w:r>
          </w:p>
        </w:tc>
      </w:tr>
      <w:tr w:rsidR="00C31D14" w:rsidRPr="00F40D9E" w14:paraId="7BD884CA" w14:textId="77777777" w:rsidTr="00AC55E6">
        <w:trPr>
          <w:trHeight w:val="288"/>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636EE8D2" w14:textId="77777777" w:rsidR="00C31D14" w:rsidRPr="00F40D9E" w:rsidRDefault="00C31D14" w:rsidP="00C31D14">
            <w:pP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Asia</w:t>
            </w:r>
          </w:p>
        </w:tc>
        <w:tc>
          <w:tcPr>
            <w:tcW w:w="1128" w:type="dxa"/>
            <w:tcBorders>
              <w:top w:val="single" w:sz="4" w:space="0" w:color="auto"/>
              <w:left w:val="nil"/>
              <w:bottom w:val="single" w:sz="4" w:space="0" w:color="auto"/>
              <w:right w:val="single" w:sz="4" w:space="0" w:color="auto"/>
            </w:tcBorders>
            <w:vAlign w:val="center"/>
          </w:tcPr>
          <w:p w14:paraId="30E6BC12" w14:textId="77777777" w:rsidR="00C31D14" w:rsidRPr="00F40D9E" w:rsidRDefault="00C31D14" w:rsidP="00C31D14">
            <w:pPr>
              <w:jc w:val="center"/>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4</w:t>
            </w:r>
          </w:p>
        </w:tc>
        <w:tc>
          <w:tcPr>
            <w:tcW w:w="1128" w:type="dxa"/>
            <w:tcBorders>
              <w:top w:val="single" w:sz="4" w:space="0" w:color="auto"/>
              <w:left w:val="single" w:sz="4" w:space="0" w:color="auto"/>
              <w:bottom w:val="single" w:sz="4" w:space="0" w:color="auto"/>
              <w:right w:val="single" w:sz="4" w:space="0" w:color="auto"/>
            </w:tcBorders>
            <w:vAlign w:val="center"/>
          </w:tcPr>
          <w:p w14:paraId="1EC9DB14" w14:textId="061832DF" w:rsidR="00C31D14" w:rsidRPr="00F40D9E" w:rsidRDefault="00C31D14" w:rsidP="00C31D14">
            <w:pPr>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14</w:t>
            </w:r>
            <w:r w:rsidR="000E0323" w:rsidRPr="00F40D9E">
              <w:rPr>
                <w:rFonts w:ascii="Calibri" w:eastAsia="Times New Roman" w:hAnsi="Calibri"/>
                <w:color w:val="000000"/>
                <w:sz w:val="22"/>
                <w:szCs w:val="22"/>
                <w:lang w:val="es-ES_tradnl" w:eastAsia="en-GB"/>
              </w:rPr>
              <w:t>.</w:t>
            </w:r>
            <w:r w:rsidRPr="00F40D9E">
              <w:rPr>
                <w:rFonts w:ascii="Calibri" w:eastAsia="Times New Roman" w:hAnsi="Calibri"/>
                <w:color w:val="000000"/>
                <w:sz w:val="22"/>
                <w:szCs w:val="22"/>
                <w:lang w:val="es-ES_tradnl" w:eastAsia="en-GB"/>
              </w:rPr>
              <w:t>000</w:t>
            </w:r>
          </w:p>
        </w:tc>
        <w:tc>
          <w:tcPr>
            <w:tcW w:w="1128" w:type="dxa"/>
            <w:tcBorders>
              <w:top w:val="nil"/>
              <w:left w:val="single" w:sz="4" w:space="0" w:color="auto"/>
              <w:bottom w:val="single" w:sz="4" w:space="0" w:color="auto"/>
              <w:right w:val="single" w:sz="4" w:space="0" w:color="auto"/>
            </w:tcBorders>
            <w:vAlign w:val="center"/>
          </w:tcPr>
          <w:p w14:paraId="40E64E41" w14:textId="77777777" w:rsidR="00C31D14" w:rsidRPr="00F40D9E" w:rsidRDefault="00C31D14" w:rsidP="00C31D14">
            <w:pPr>
              <w:jc w:val="center"/>
              <w:rPr>
                <w:rFonts w:ascii="Calibri" w:eastAsia="Times New Roman" w:hAnsi="Calibri"/>
                <w:color w:val="000000"/>
                <w:sz w:val="22"/>
                <w:szCs w:val="22"/>
                <w:lang w:val="es-ES_tradnl" w:eastAsia="en-GB"/>
              </w:rPr>
            </w:pPr>
            <w:r w:rsidRPr="00F40D9E">
              <w:rPr>
                <w:rFonts w:ascii="Calibri" w:hAnsi="Calibri"/>
                <w:color w:val="000000"/>
                <w:sz w:val="22"/>
                <w:szCs w:val="22"/>
                <w:lang w:val="es-ES_tradnl"/>
              </w:rPr>
              <w:t>4</w:t>
            </w:r>
          </w:p>
        </w:tc>
        <w:tc>
          <w:tcPr>
            <w:tcW w:w="1128" w:type="dxa"/>
            <w:tcBorders>
              <w:top w:val="nil"/>
              <w:left w:val="single" w:sz="4" w:space="0" w:color="auto"/>
              <w:bottom w:val="single" w:sz="4" w:space="0" w:color="auto"/>
              <w:right w:val="single" w:sz="4" w:space="0" w:color="auto"/>
            </w:tcBorders>
            <w:vAlign w:val="center"/>
          </w:tcPr>
          <w:p w14:paraId="5E54F219" w14:textId="69644EDB" w:rsidR="00C31D14" w:rsidRPr="00F40D9E" w:rsidRDefault="00C31D14" w:rsidP="00C31D14">
            <w:pPr>
              <w:jc w:val="right"/>
              <w:rPr>
                <w:rFonts w:ascii="Calibri" w:eastAsia="Times New Roman" w:hAnsi="Calibri"/>
                <w:color w:val="000000"/>
                <w:sz w:val="22"/>
                <w:szCs w:val="22"/>
                <w:lang w:val="es-ES_tradnl" w:eastAsia="en-GB"/>
              </w:rPr>
            </w:pPr>
            <w:r w:rsidRPr="00F40D9E">
              <w:rPr>
                <w:rFonts w:ascii="Calibri" w:hAnsi="Calibri"/>
                <w:color w:val="000000"/>
                <w:sz w:val="22"/>
                <w:szCs w:val="22"/>
                <w:lang w:val="es-ES_tradnl"/>
              </w:rPr>
              <w:t>19</w:t>
            </w:r>
            <w:r w:rsidR="000E0323" w:rsidRPr="00F40D9E">
              <w:rPr>
                <w:rFonts w:ascii="Calibri" w:hAnsi="Calibri"/>
                <w:color w:val="000000"/>
                <w:sz w:val="22"/>
                <w:szCs w:val="22"/>
                <w:lang w:val="es-ES_tradnl"/>
              </w:rPr>
              <w:t>.</w:t>
            </w:r>
            <w:r w:rsidRPr="00F40D9E">
              <w:rPr>
                <w:rFonts w:ascii="Calibri" w:hAnsi="Calibri"/>
                <w:color w:val="000000"/>
                <w:sz w:val="22"/>
                <w:szCs w:val="22"/>
                <w:lang w:val="es-ES_tradnl"/>
              </w:rPr>
              <w:t xml:space="preserve">203 </w:t>
            </w:r>
          </w:p>
        </w:tc>
      </w:tr>
      <w:tr w:rsidR="00C31D14" w:rsidRPr="00F40D9E" w14:paraId="2B28004E" w14:textId="77777777" w:rsidTr="00AC55E6">
        <w:trPr>
          <w:trHeight w:val="288"/>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3C6B462C" w14:textId="48320A17" w:rsidR="00C31D14" w:rsidRPr="00F40D9E" w:rsidRDefault="00C31D14" w:rsidP="000E0323">
            <w:pP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Europ</w:t>
            </w:r>
            <w:r w:rsidR="000E0323" w:rsidRPr="00F40D9E">
              <w:rPr>
                <w:rFonts w:ascii="Calibri" w:eastAsia="Times New Roman" w:hAnsi="Calibri"/>
                <w:b/>
                <w:bCs/>
                <w:sz w:val="22"/>
                <w:szCs w:val="22"/>
                <w:lang w:val="es-ES_tradnl" w:eastAsia="en-GB"/>
              </w:rPr>
              <w:t>a</w:t>
            </w:r>
          </w:p>
        </w:tc>
        <w:tc>
          <w:tcPr>
            <w:tcW w:w="1128" w:type="dxa"/>
            <w:tcBorders>
              <w:top w:val="single" w:sz="4" w:space="0" w:color="auto"/>
              <w:left w:val="nil"/>
              <w:bottom w:val="single" w:sz="4" w:space="0" w:color="auto"/>
              <w:right w:val="single" w:sz="4" w:space="0" w:color="auto"/>
            </w:tcBorders>
            <w:vAlign w:val="center"/>
          </w:tcPr>
          <w:p w14:paraId="7A6FEB82" w14:textId="77777777" w:rsidR="00C31D14" w:rsidRPr="00F40D9E" w:rsidRDefault="00C31D14" w:rsidP="00C31D14">
            <w:pPr>
              <w:jc w:val="center"/>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1</w:t>
            </w:r>
          </w:p>
        </w:tc>
        <w:tc>
          <w:tcPr>
            <w:tcW w:w="1128" w:type="dxa"/>
            <w:tcBorders>
              <w:top w:val="single" w:sz="4" w:space="0" w:color="auto"/>
              <w:left w:val="single" w:sz="4" w:space="0" w:color="auto"/>
              <w:bottom w:val="single" w:sz="4" w:space="0" w:color="auto"/>
              <w:right w:val="single" w:sz="4" w:space="0" w:color="auto"/>
            </w:tcBorders>
            <w:vAlign w:val="center"/>
          </w:tcPr>
          <w:p w14:paraId="32AADF27" w14:textId="42B9E8BA" w:rsidR="00C31D14" w:rsidRPr="00F40D9E" w:rsidRDefault="00C31D14" w:rsidP="00C31D14">
            <w:pPr>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2</w:t>
            </w:r>
            <w:r w:rsidR="000E0323" w:rsidRPr="00F40D9E">
              <w:rPr>
                <w:rFonts w:ascii="Calibri" w:eastAsia="Times New Roman" w:hAnsi="Calibri"/>
                <w:color w:val="000000"/>
                <w:sz w:val="22"/>
                <w:szCs w:val="22"/>
                <w:lang w:val="es-ES_tradnl" w:eastAsia="en-GB"/>
              </w:rPr>
              <w:t>.</w:t>
            </w:r>
            <w:r w:rsidRPr="00F40D9E">
              <w:rPr>
                <w:rFonts w:ascii="Calibri" w:eastAsia="Times New Roman" w:hAnsi="Calibri"/>
                <w:color w:val="000000"/>
                <w:sz w:val="22"/>
                <w:szCs w:val="22"/>
                <w:lang w:val="es-ES_tradnl" w:eastAsia="en-GB"/>
              </w:rPr>
              <w:t>000</w:t>
            </w:r>
          </w:p>
        </w:tc>
        <w:tc>
          <w:tcPr>
            <w:tcW w:w="1128" w:type="dxa"/>
            <w:tcBorders>
              <w:top w:val="nil"/>
              <w:left w:val="single" w:sz="4" w:space="0" w:color="auto"/>
              <w:bottom w:val="single" w:sz="4" w:space="0" w:color="auto"/>
              <w:right w:val="single" w:sz="4" w:space="0" w:color="auto"/>
            </w:tcBorders>
            <w:vAlign w:val="center"/>
          </w:tcPr>
          <w:p w14:paraId="603F97A2" w14:textId="77777777" w:rsidR="00C31D14" w:rsidRPr="00F40D9E" w:rsidRDefault="00C31D14" w:rsidP="00C31D14">
            <w:pPr>
              <w:jc w:val="center"/>
              <w:rPr>
                <w:rFonts w:ascii="Calibri" w:eastAsia="Times New Roman" w:hAnsi="Calibri"/>
                <w:color w:val="000000"/>
                <w:sz w:val="22"/>
                <w:szCs w:val="22"/>
                <w:lang w:val="es-ES_tradnl" w:eastAsia="en-GB"/>
              </w:rPr>
            </w:pPr>
            <w:r w:rsidRPr="00F40D9E">
              <w:rPr>
                <w:rFonts w:ascii="Calibri" w:hAnsi="Calibri"/>
                <w:color w:val="000000"/>
                <w:sz w:val="22"/>
                <w:szCs w:val="22"/>
                <w:lang w:val="es-ES_tradnl"/>
              </w:rPr>
              <w:t>1</w:t>
            </w:r>
          </w:p>
        </w:tc>
        <w:tc>
          <w:tcPr>
            <w:tcW w:w="1128" w:type="dxa"/>
            <w:tcBorders>
              <w:top w:val="nil"/>
              <w:left w:val="single" w:sz="4" w:space="0" w:color="auto"/>
              <w:bottom w:val="single" w:sz="4" w:space="0" w:color="auto"/>
              <w:right w:val="single" w:sz="4" w:space="0" w:color="auto"/>
            </w:tcBorders>
            <w:vAlign w:val="center"/>
          </w:tcPr>
          <w:p w14:paraId="02A91219" w14:textId="7121EF46" w:rsidR="00C31D14" w:rsidRPr="00F40D9E" w:rsidRDefault="00C31D14" w:rsidP="00C31D14">
            <w:pPr>
              <w:jc w:val="right"/>
              <w:rPr>
                <w:rFonts w:ascii="Calibri" w:eastAsia="Times New Roman" w:hAnsi="Calibri"/>
                <w:color w:val="000000"/>
                <w:sz w:val="22"/>
                <w:szCs w:val="22"/>
                <w:lang w:val="es-ES_tradnl" w:eastAsia="en-GB"/>
              </w:rPr>
            </w:pPr>
            <w:r w:rsidRPr="00F40D9E">
              <w:rPr>
                <w:rFonts w:ascii="Calibri" w:hAnsi="Calibri"/>
                <w:color w:val="000000"/>
                <w:sz w:val="22"/>
                <w:szCs w:val="22"/>
                <w:lang w:val="es-ES_tradnl"/>
              </w:rPr>
              <w:t>3</w:t>
            </w:r>
            <w:r w:rsidR="000E0323" w:rsidRPr="00F40D9E">
              <w:rPr>
                <w:rFonts w:ascii="Calibri" w:hAnsi="Calibri"/>
                <w:color w:val="000000"/>
                <w:sz w:val="22"/>
                <w:szCs w:val="22"/>
                <w:lang w:val="es-ES_tradnl"/>
              </w:rPr>
              <w:t>.</w:t>
            </w:r>
            <w:r w:rsidRPr="00F40D9E">
              <w:rPr>
                <w:rFonts w:ascii="Calibri" w:hAnsi="Calibri"/>
                <w:color w:val="000000"/>
                <w:sz w:val="22"/>
                <w:szCs w:val="22"/>
                <w:lang w:val="es-ES_tradnl"/>
              </w:rPr>
              <w:t xml:space="preserve">000 </w:t>
            </w:r>
          </w:p>
        </w:tc>
      </w:tr>
      <w:tr w:rsidR="00C31D14" w:rsidRPr="00F40D9E" w14:paraId="08E45C4D" w14:textId="77777777" w:rsidTr="00AC55E6">
        <w:trPr>
          <w:trHeight w:val="288"/>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38A08528" w14:textId="14587996" w:rsidR="00C31D14" w:rsidRPr="00F40D9E" w:rsidRDefault="00C31D14" w:rsidP="000E0323">
            <w:pP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Am</w:t>
            </w:r>
            <w:r w:rsidR="000E0323" w:rsidRPr="00F40D9E">
              <w:rPr>
                <w:rFonts w:ascii="Calibri" w:eastAsia="Times New Roman" w:hAnsi="Calibri"/>
                <w:b/>
                <w:bCs/>
                <w:sz w:val="22"/>
                <w:szCs w:val="22"/>
                <w:lang w:val="es-ES_tradnl" w:eastAsia="en-GB"/>
              </w:rPr>
              <w:t>é</w:t>
            </w:r>
            <w:r w:rsidRPr="00F40D9E">
              <w:rPr>
                <w:rFonts w:ascii="Calibri" w:eastAsia="Times New Roman" w:hAnsi="Calibri"/>
                <w:b/>
                <w:bCs/>
                <w:sz w:val="22"/>
                <w:szCs w:val="22"/>
                <w:lang w:val="es-ES_tradnl" w:eastAsia="en-GB"/>
              </w:rPr>
              <w:t>rica</w:t>
            </w:r>
            <w:r w:rsidR="000E0323" w:rsidRPr="00F40D9E">
              <w:rPr>
                <w:rFonts w:ascii="Calibri" w:eastAsia="Times New Roman" w:hAnsi="Calibri"/>
                <w:b/>
                <w:bCs/>
                <w:sz w:val="22"/>
                <w:szCs w:val="22"/>
                <w:lang w:val="es-ES_tradnl" w:eastAsia="en-GB"/>
              </w:rPr>
              <w:t xml:space="preserve"> Latina y el Caribe</w:t>
            </w:r>
          </w:p>
        </w:tc>
        <w:tc>
          <w:tcPr>
            <w:tcW w:w="1128" w:type="dxa"/>
            <w:tcBorders>
              <w:top w:val="single" w:sz="4" w:space="0" w:color="auto"/>
              <w:left w:val="nil"/>
              <w:bottom w:val="single" w:sz="4" w:space="0" w:color="auto"/>
              <w:right w:val="single" w:sz="4" w:space="0" w:color="auto"/>
            </w:tcBorders>
            <w:vAlign w:val="center"/>
          </w:tcPr>
          <w:p w14:paraId="012131B1" w14:textId="77777777" w:rsidR="00C31D14" w:rsidRPr="00F40D9E" w:rsidRDefault="00C31D14" w:rsidP="00C31D14">
            <w:pPr>
              <w:jc w:val="center"/>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3</w:t>
            </w:r>
          </w:p>
        </w:tc>
        <w:tc>
          <w:tcPr>
            <w:tcW w:w="1128" w:type="dxa"/>
            <w:tcBorders>
              <w:top w:val="single" w:sz="4" w:space="0" w:color="auto"/>
              <w:left w:val="single" w:sz="4" w:space="0" w:color="auto"/>
              <w:bottom w:val="single" w:sz="4" w:space="0" w:color="auto"/>
              <w:right w:val="single" w:sz="4" w:space="0" w:color="auto"/>
            </w:tcBorders>
            <w:vAlign w:val="center"/>
          </w:tcPr>
          <w:p w14:paraId="717C04D3" w14:textId="213D1D20" w:rsidR="00C31D14" w:rsidRPr="00F40D9E" w:rsidRDefault="00C31D14" w:rsidP="00C31D14">
            <w:pPr>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41</w:t>
            </w:r>
            <w:r w:rsidR="000E0323" w:rsidRPr="00F40D9E">
              <w:rPr>
                <w:rFonts w:ascii="Calibri" w:eastAsia="Times New Roman" w:hAnsi="Calibri"/>
                <w:color w:val="000000"/>
                <w:sz w:val="22"/>
                <w:szCs w:val="22"/>
                <w:lang w:val="es-ES_tradnl" w:eastAsia="en-GB"/>
              </w:rPr>
              <w:t>.</w:t>
            </w:r>
            <w:r w:rsidRPr="00F40D9E">
              <w:rPr>
                <w:rFonts w:ascii="Calibri" w:eastAsia="Times New Roman" w:hAnsi="Calibri"/>
                <w:color w:val="000000"/>
                <w:sz w:val="22"/>
                <w:szCs w:val="22"/>
                <w:lang w:val="es-ES_tradnl" w:eastAsia="en-GB"/>
              </w:rPr>
              <w:t>000</w:t>
            </w:r>
          </w:p>
        </w:tc>
        <w:tc>
          <w:tcPr>
            <w:tcW w:w="1128" w:type="dxa"/>
            <w:tcBorders>
              <w:top w:val="nil"/>
              <w:left w:val="single" w:sz="4" w:space="0" w:color="auto"/>
              <w:bottom w:val="single" w:sz="4" w:space="0" w:color="auto"/>
              <w:right w:val="single" w:sz="4" w:space="0" w:color="auto"/>
            </w:tcBorders>
            <w:vAlign w:val="center"/>
          </w:tcPr>
          <w:p w14:paraId="3DD21554" w14:textId="77777777" w:rsidR="00C31D14" w:rsidRPr="00F40D9E" w:rsidRDefault="00C31D14" w:rsidP="00C31D14">
            <w:pPr>
              <w:jc w:val="center"/>
              <w:rPr>
                <w:rFonts w:ascii="Calibri" w:eastAsia="Times New Roman" w:hAnsi="Calibri"/>
                <w:color w:val="000000"/>
                <w:sz w:val="22"/>
                <w:szCs w:val="22"/>
                <w:lang w:val="es-ES_tradnl" w:eastAsia="en-GB"/>
              </w:rPr>
            </w:pPr>
            <w:r w:rsidRPr="00F40D9E">
              <w:rPr>
                <w:rFonts w:ascii="Calibri" w:hAnsi="Calibri"/>
                <w:color w:val="000000"/>
                <w:sz w:val="22"/>
                <w:szCs w:val="22"/>
                <w:lang w:val="es-ES_tradnl"/>
              </w:rPr>
              <w:t>6</w:t>
            </w:r>
          </w:p>
        </w:tc>
        <w:tc>
          <w:tcPr>
            <w:tcW w:w="1128" w:type="dxa"/>
            <w:tcBorders>
              <w:top w:val="nil"/>
              <w:left w:val="single" w:sz="4" w:space="0" w:color="auto"/>
              <w:bottom w:val="single" w:sz="4" w:space="0" w:color="auto"/>
              <w:right w:val="single" w:sz="4" w:space="0" w:color="auto"/>
            </w:tcBorders>
            <w:vAlign w:val="center"/>
          </w:tcPr>
          <w:p w14:paraId="3F891481" w14:textId="40931FDA" w:rsidR="00C31D14" w:rsidRPr="00F40D9E" w:rsidRDefault="00C31D14" w:rsidP="00C31D14">
            <w:pPr>
              <w:jc w:val="right"/>
              <w:rPr>
                <w:rFonts w:ascii="Calibri" w:eastAsia="Times New Roman" w:hAnsi="Calibri"/>
                <w:color w:val="000000"/>
                <w:sz w:val="22"/>
                <w:szCs w:val="22"/>
                <w:lang w:val="es-ES_tradnl" w:eastAsia="en-GB"/>
              </w:rPr>
            </w:pPr>
            <w:r w:rsidRPr="00F40D9E">
              <w:rPr>
                <w:rFonts w:ascii="Calibri" w:hAnsi="Calibri"/>
                <w:color w:val="000000"/>
                <w:sz w:val="22"/>
                <w:szCs w:val="22"/>
                <w:lang w:val="es-ES_tradnl"/>
              </w:rPr>
              <w:t>48</w:t>
            </w:r>
            <w:r w:rsidR="000E0323" w:rsidRPr="00F40D9E">
              <w:rPr>
                <w:rFonts w:ascii="Calibri" w:hAnsi="Calibri"/>
                <w:color w:val="000000"/>
                <w:sz w:val="22"/>
                <w:szCs w:val="22"/>
                <w:lang w:val="es-ES_tradnl"/>
              </w:rPr>
              <w:t>.</w:t>
            </w:r>
            <w:r w:rsidRPr="00F40D9E">
              <w:rPr>
                <w:rFonts w:ascii="Calibri" w:hAnsi="Calibri"/>
                <w:color w:val="000000"/>
                <w:sz w:val="22"/>
                <w:szCs w:val="22"/>
                <w:lang w:val="es-ES_tradnl"/>
              </w:rPr>
              <w:t xml:space="preserve">586 </w:t>
            </w:r>
          </w:p>
        </w:tc>
      </w:tr>
      <w:tr w:rsidR="00C31D14" w:rsidRPr="00F40D9E" w14:paraId="6D9C0DA3" w14:textId="77777777" w:rsidTr="00AC55E6">
        <w:trPr>
          <w:trHeight w:val="288"/>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14:paraId="3BB5BBBB" w14:textId="6739D61E" w:rsidR="00C31D14" w:rsidRPr="00F40D9E" w:rsidRDefault="00AC55E6" w:rsidP="00C31D14">
            <w:pP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Oceanía</w:t>
            </w:r>
          </w:p>
        </w:tc>
        <w:tc>
          <w:tcPr>
            <w:tcW w:w="1128" w:type="dxa"/>
            <w:tcBorders>
              <w:top w:val="single" w:sz="4" w:space="0" w:color="auto"/>
              <w:left w:val="nil"/>
              <w:bottom w:val="single" w:sz="4" w:space="0" w:color="auto"/>
              <w:right w:val="single" w:sz="4" w:space="0" w:color="auto"/>
            </w:tcBorders>
            <w:vAlign w:val="center"/>
          </w:tcPr>
          <w:p w14:paraId="45EFD2E5" w14:textId="77777777" w:rsidR="00C31D14" w:rsidRPr="00F40D9E" w:rsidRDefault="00C31D14" w:rsidP="00C31D14">
            <w:pPr>
              <w:jc w:val="center"/>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4</w:t>
            </w:r>
          </w:p>
        </w:tc>
        <w:tc>
          <w:tcPr>
            <w:tcW w:w="1128" w:type="dxa"/>
            <w:tcBorders>
              <w:top w:val="single" w:sz="4" w:space="0" w:color="auto"/>
              <w:left w:val="single" w:sz="4" w:space="0" w:color="auto"/>
              <w:bottom w:val="single" w:sz="4" w:space="0" w:color="auto"/>
              <w:right w:val="single" w:sz="4" w:space="0" w:color="auto"/>
            </w:tcBorders>
            <w:vAlign w:val="center"/>
          </w:tcPr>
          <w:p w14:paraId="1C7A6C7E" w14:textId="30D83AA1" w:rsidR="00C31D14" w:rsidRPr="00F40D9E" w:rsidRDefault="00C31D14" w:rsidP="00C31D14">
            <w:pPr>
              <w:jc w:val="right"/>
              <w:rPr>
                <w:rFonts w:ascii="Calibri" w:eastAsia="Times New Roman" w:hAnsi="Calibri"/>
                <w:color w:val="000000"/>
                <w:sz w:val="22"/>
                <w:szCs w:val="22"/>
                <w:lang w:val="es-ES_tradnl" w:eastAsia="en-GB"/>
              </w:rPr>
            </w:pPr>
            <w:r w:rsidRPr="00F40D9E">
              <w:rPr>
                <w:rFonts w:ascii="Calibri" w:eastAsia="Times New Roman" w:hAnsi="Calibri"/>
                <w:color w:val="000000"/>
                <w:sz w:val="22"/>
                <w:szCs w:val="22"/>
                <w:lang w:val="es-ES_tradnl" w:eastAsia="en-GB"/>
              </w:rPr>
              <w:t>27</w:t>
            </w:r>
            <w:r w:rsidR="000E0323" w:rsidRPr="00F40D9E">
              <w:rPr>
                <w:rFonts w:ascii="Calibri" w:eastAsia="Times New Roman" w:hAnsi="Calibri"/>
                <w:color w:val="000000"/>
                <w:sz w:val="22"/>
                <w:szCs w:val="22"/>
                <w:lang w:val="es-ES_tradnl" w:eastAsia="en-GB"/>
              </w:rPr>
              <w:t>.</w:t>
            </w:r>
            <w:r w:rsidRPr="00F40D9E">
              <w:rPr>
                <w:rFonts w:ascii="Calibri" w:eastAsia="Times New Roman" w:hAnsi="Calibri"/>
                <w:color w:val="000000"/>
                <w:sz w:val="22"/>
                <w:szCs w:val="22"/>
                <w:lang w:val="es-ES_tradnl" w:eastAsia="en-GB"/>
              </w:rPr>
              <w:t>000</w:t>
            </w:r>
          </w:p>
        </w:tc>
        <w:tc>
          <w:tcPr>
            <w:tcW w:w="1128" w:type="dxa"/>
            <w:tcBorders>
              <w:top w:val="nil"/>
              <w:left w:val="single" w:sz="4" w:space="0" w:color="auto"/>
              <w:bottom w:val="single" w:sz="4" w:space="0" w:color="auto"/>
              <w:right w:val="single" w:sz="4" w:space="0" w:color="auto"/>
            </w:tcBorders>
            <w:vAlign w:val="center"/>
          </w:tcPr>
          <w:p w14:paraId="1FA0D453" w14:textId="77777777" w:rsidR="00C31D14" w:rsidRPr="00F40D9E" w:rsidRDefault="00C31D14" w:rsidP="00C31D14">
            <w:pPr>
              <w:jc w:val="center"/>
              <w:rPr>
                <w:rFonts w:ascii="Calibri" w:eastAsia="Times New Roman" w:hAnsi="Calibri"/>
                <w:color w:val="000000"/>
                <w:sz w:val="22"/>
                <w:szCs w:val="22"/>
                <w:lang w:val="es-ES_tradnl" w:eastAsia="en-GB"/>
              </w:rPr>
            </w:pPr>
            <w:r w:rsidRPr="00F40D9E">
              <w:rPr>
                <w:rFonts w:ascii="Calibri" w:hAnsi="Calibri"/>
                <w:color w:val="000000"/>
                <w:sz w:val="22"/>
                <w:szCs w:val="22"/>
                <w:lang w:val="es-ES_tradnl"/>
              </w:rPr>
              <w:t>2</w:t>
            </w:r>
          </w:p>
        </w:tc>
        <w:tc>
          <w:tcPr>
            <w:tcW w:w="1128" w:type="dxa"/>
            <w:tcBorders>
              <w:top w:val="nil"/>
              <w:left w:val="single" w:sz="4" w:space="0" w:color="auto"/>
              <w:bottom w:val="single" w:sz="4" w:space="0" w:color="auto"/>
              <w:right w:val="single" w:sz="4" w:space="0" w:color="auto"/>
            </w:tcBorders>
            <w:vAlign w:val="center"/>
          </w:tcPr>
          <w:p w14:paraId="77FE309E" w14:textId="724E0462" w:rsidR="00C31D14" w:rsidRPr="00F40D9E" w:rsidRDefault="00C31D14" w:rsidP="00C31D14">
            <w:pPr>
              <w:jc w:val="right"/>
              <w:rPr>
                <w:rFonts w:ascii="Calibri" w:eastAsia="Times New Roman" w:hAnsi="Calibri"/>
                <w:color w:val="000000"/>
                <w:sz w:val="22"/>
                <w:szCs w:val="22"/>
                <w:lang w:val="es-ES_tradnl" w:eastAsia="en-GB"/>
              </w:rPr>
            </w:pPr>
            <w:r w:rsidRPr="00F40D9E">
              <w:rPr>
                <w:rFonts w:ascii="Calibri" w:hAnsi="Calibri"/>
                <w:color w:val="000000"/>
                <w:sz w:val="22"/>
                <w:szCs w:val="22"/>
                <w:lang w:val="es-ES_tradnl"/>
              </w:rPr>
              <w:t>23</w:t>
            </w:r>
            <w:r w:rsidR="000E0323" w:rsidRPr="00F40D9E">
              <w:rPr>
                <w:rFonts w:ascii="Calibri" w:hAnsi="Calibri"/>
                <w:color w:val="000000"/>
                <w:sz w:val="22"/>
                <w:szCs w:val="22"/>
                <w:lang w:val="es-ES_tradnl"/>
              </w:rPr>
              <w:t>.</w:t>
            </w:r>
            <w:r w:rsidRPr="00F40D9E">
              <w:rPr>
                <w:rFonts w:ascii="Calibri" w:hAnsi="Calibri"/>
                <w:color w:val="000000"/>
                <w:sz w:val="22"/>
                <w:szCs w:val="22"/>
                <w:lang w:val="es-ES_tradnl"/>
              </w:rPr>
              <w:t xml:space="preserve">205 </w:t>
            </w:r>
          </w:p>
        </w:tc>
      </w:tr>
      <w:tr w:rsidR="00C31D14" w:rsidRPr="00F40D9E" w14:paraId="5CD75C59" w14:textId="77777777" w:rsidTr="00AC55E6">
        <w:trPr>
          <w:trHeight w:val="288"/>
        </w:trPr>
        <w:tc>
          <w:tcPr>
            <w:tcW w:w="3001" w:type="dxa"/>
            <w:tcBorders>
              <w:top w:val="nil"/>
              <w:left w:val="single" w:sz="4" w:space="0" w:color="auto"/>
              <w:bottom w:val="single" w:sz="4" w:space="0" w:color="auto"/>
              <w:right w:val="single" w:sz="4" w:space="0" w:color="auto"/>
            </w:tcBorders>
            <w:shd w:val="clear" w:color="000000" w:fill="D9D9D9"/>
            <w:noWrap/>
            <w:vAlign w:val="center"/>
            <w:hideMark/>
          </w:tcPr>
          <w:p w14:paraId="16C42A51" w14:textId="77777777" w:rsidR="00C31D14" w:rsidRPr="00F40D9E" w:rsidRDefault="00C31D14" w:rsidP="00C31D14">
            <w:pP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Total</w:t>
            </w:r>
          </w:p>
        </w:tc>
        <w:tc>
          <w:tcPr>
            <w:tcW w:w="1128" w:type="dxa"/>
            <w:tcBorders>
              <w:top w:val="single" w:sz="4" w:space="0" w:color="auto"/>
              <w:left w:val="nil"/>
              <w:bottom w:val="single" w:sz="4" w:space="0" w:color="auto"/>
              <w:right w:val="single" w:sz="4" w:space="0" w:color="auto"/>
            </w:tcBorders>
            <w:shd w:val="clear" w:color="000000" w:fill="D9D9D9"/>
            <w:vAlign w:val="center"/>
          </w:tcPr>
          <w:p w14:paraId="7E9821E4" w14:textId="77777777" w:rsidR="00C31D14" w:rsidRPr="00F40D9E" w:rsidRDefault="00C31D14" w:rsidP="00C31D14">
            <w:pPr>
              <w:jc w:val="center"/>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28</w:t>
            </w:r>
          </w:p>
        </w:tc>
        <w:tc>
          <w:tcPr>
            <w:tcW w:w="1128" w:type="dxa"/>
            <w:tcBorders>
              <w:top w:val="single" w:sz="4" w:space="0" w:color="auto"/>
              <w:left w:val="single" w:sz="4" w:space="0" w:color="auto"/>
              <w:bottom w:val="single" w:sz="4" w:space="0" w:color="auto"/>
              <w:right w:val="single" w:sz="4" w:space="0" w:color="auto"/>
            </w:tcBorders>
            <w:shd w:val="clear" w:color="000000" w:fill="D9D9D9"/>
            <w:vAlign w:val="center"/>
          </w:tcPr>
          <w:p w14:paraId="2D591812" w14:textId="360B11E6" w:rsidR="00C31D14" w:rsidRPr="00F40D9E" w:rsidRDefault="00C31D14" w:rsidP="00C31D14">
            <w:pPr>
              <w:jc w:val="right"/>
              <w:rPr>
                <w:rFonts w:ascii="Calibri" w:eastAsia="Times New Roman" w:hAnsi="Calibri"/>
                <w:b/>
                <w:bCs/>
                <w:sz w:val="22"/>
                <w:szCs w:val="22"/>
                <w:lang w:val="es-ES_tradnl" w:eastAsia="en-GB"/>
              </w:rPr>
            </w:pPr>
            <w:r w:rsidRPr="00F40D9E">
              <w:rPr>
                <w:rFonts w:ascii="Calibri" w:eastAsia="Times New Roman" w:hAnsi="Calibri"/>
                <w:b/>
                <w:bCs/>
                <w:sz w:val="22"/>
                <w:szCs w:val="22"/>
                <w:lang w:val="es-ES_tradnl" w:eastAsia="en-GB"/>
              </w:rPr>
              <w:t>218</w:t>
            </w:r>
            <w:r w:rsidR="000E0323" w:rsidRPr="00F40D9E">
              <w:rPr>
                <w:rFonts w:ascii="Calibri" w:eastAsia="Times New Roman" w:hAnsi="Calibri"/>
                <w:b/>
                <w:bCs/>
                <w:sz w:val="22"/>
                <w:szCs w:val="22"/>
                <w:lang w:val="es-ES_tradnl" w:eastAsia="en-GB"/>
              </w:rPr>
              <w:t>.</w:t>
            </w:r>
            <w:r w:rsidRPr="00F40D9E">
              <w:rPr>
                <w:rFonts w:ascii="Calibri" w:eastAsia="Times New Roman" w:hAnsi="Calibri"/>
                <w:b/>
                <w:bCs/>
                <w:sz w:val="22"/>
                <w:szCs w:val="22"/>
                <w:lang w:val="es-ES_tradnl" w:eastAsia="en-GB"/>
              </w:rPr>
              <w:t>000</w:t>
            </w:r>
          </w:p>
        </w:tc>
        <w:tc>
          <w:tcPr>
            <w:tcW w:w="1128" w:type="dxa"/>
            <w:tcBorders>
              <w:top w:val="nil"/>
              <w:left w:val="single" w:sz="4" w:space="0" w:color="auto"/>
              <w:bottom w:val="single" w:sz="4" w:space="0" w:color="auto"/>
              <w:right w:val="single" w:sz="4" w:space="0" w:color="auto"/>
            </w:tcBorders>
            <w:shd w:val="clear" w:color="000000" w:fill="D9D9D9"/>
            <w:vAlign w:val="center"/>
          </w:tcPr>
          <w:p w14:paraId="4DFD4846" w14:textId="77777777" w:rsidR="00C31D14" w:rsidRPr="00F40D9E" w:rsidRDefault="00C31D14" w:rsidP="00C31D14">
            <w:pPr>
              <w:jc w:val="center"/>
              <w:rPr>
                <w:rFonts w:ascii="Calibri" w:eastAsia="Times New Roman" w:hAnsi="Calibri"/>
                <w:b/>
                <w:bCs/>
                <w:sz w:val="22"/>
                <w:szCs w:val="22"/>
                <w:lang w:val="es-ES_tradnl" w:eastAsia="en-GB"/>
              </w:rPr>
            </w:pPr>
            <w:r w:rsidRPr="00F40D9E">
              <w:rPr>
                <w:rFonts w:ascii="Calibri" w:hAnsi="Calibri"/>
                <w:b/>
                <w:bCs/>
                <w:sz w:val="22"/>
                <w:szCs w:val="22"/>
                <w:lang w:val="es-ES_tradnl"/>
              </w:rPr>
              <w:t>30</w:t>
            </w:r>
          </w:p>
        </w:tc>
        <w:tc>
          <w:tcPr>
            <w:tcW w:w="1128" w:type="dxa"/>
            <w:tcBorders>
              <w:top w:val="nil"/>
              <w:left w:val="single" w:sz="4" w:space="0" w:color="auto"/>
              <w:bottom w:val="single" w:sz="4" w:space="0" w:color="auto"/>
              <w:right w:val="single" w:sz="4" w:space="0" w:color="auto"/>
            </w:tcBorders>
            <w:shd w:val="clear" w:color="000000" w:fill="D9D9D9"/>
            <w:vAlign w:val="center"/>
          </w:tcPr>
          <w:p w14:paraId="08CA8830" w14:textId="61BA666A" w:rsidR="00C31D14" w:rsidRPr="00F40D9E" w:rsidRDefault="00C31D14" w:rsidP="00C31D14">
            <w:pPr>
              <w:jc w:val="right"/>
              <w:rPr>
                <w:rFonts w:ascii="Calibri" w:eastAsia="Times New Roman" w:hAnsi="Calibri"/>
                <w:b/>
                <w:bCs/>
                <w:sz w:val="22"/>
                <w:szCs w:val="22"/>
                <w:lang w:val="es-ES_tradnl" w:eastAsia="en-GB"/>
              </w:rPr>
            </w:pPr>
            <w:r w:rsidRPr="00F40D9E">
              <w:rPr>
                <w:rFonts w:ascii="Calibri" w:hAnsi="Calibri"/>
                <w:b/>
                <w:bCs/>
                <w:sz w:val="22"/>
                <w:szCs w:val="22"/>
                <w:lang w:val="es-ES_tradnl"/>
              </w:rPr>
              <w:t>241</w:t>
            </w:r>
            <w:r w:rsidR="000E0323" w:rsidRPr="00F40D9E">
              <w:rPr>
                <w:rFonts w:ascii="Calibri" w:hAnsi="Calibri"/>
                <w:b/>
                <w:bCs/>
                <w:sz w:val="22"/>
                <w:szCs w:val="22"/>
                <w:lang w:val="es-ES_tradnl"/>
              </w:rPr>
              <w:t>.</w:t>
            </w:r>
            <w:r w:rsidRPr="00F40D9E">
              <w:rPr>
                <w:rFonts w:ascii="Calibri" w:hAnsi="Calibri"/>
                <w:b/>
                <w:bCs/>
                <w:sz w:val="22"/>
                <w:szCs w:val="22"/>
                <w:lang w:val="es-ES_tradnl"/>
              </w:rPr>
              <w:t xml:space="preserve">977 </w:t>
            </w:r>
          </w:p>
        </w:tc>
      </w:tr>
    </w:tbl>
    <w:p w14:paraId="4CFEA40A" w14:textId="77777777" w:rsidR="0070040D" w:rsidRPr="00F40D9E" w:rsidRDefault="0070040D" w:rsidP="006018B5">
      <w:pPr>
        <w:rPr>
          <w:rFonts w:ascii="Calibri" w:hAnsi="Calibri" w:cs="Calibri"/>
          <w:color w:val="000000"/>
          <w:sz w:val="22"/>
          <w:szCs w:val="22"/>
          <w:lang w:val="es-ES_tradnl"/>
        </w:rPr>
      </w:pPr>
    </w:p>
    <w:p w14:paraId="5FE7E813" w14:textId="77777777" w:rsidR="00496282" w:rsidRPr="00F40D9E" w:rsidRDefault="00496282" w:rsidP="006018B5">
      <w:pPr>
        <w:rPr>
          <w:rFonts w:ascii="Calibri" w:hAnsi="Calibri" w:cs="Calibri"/>
          <w:color w:val="000000"/>
          <w:sz w:val="22"/>
          <w:szCs w:val="22"/>
          <w:lang w:val="es-ES_tradnl"/>
        </w:rPr>
      </w:pPr>
    </w:p>
    <w:p w14:paraId="5EBF15F0" w14:textId="0E8B6585" w:rsidR="00496282" w:rsidRPr="00F40D9E" w:rsidRDefault="000365D7" w:rsidP="00496282">
      <w:pPr>
        <w:rPr>
          <w:rFonts w:ascii="Calibri" w:hAnsi="Calibri" w:cs="Calibri"/>
          <w:b/>
          <w:sz w:val="22"/>
          <w:szCs w:val="22"/>
          <w:lang w:val="es-ES_tradnl"/>
        </w:rPr>
      </w:pPr>
      <w:r w:rsidRPr="00971341">
        <w:rPr>
          <w:rFonts w:ascii="Calibri" w:hAnsi="Calibri" w:cs="Calibri"/>
          <w:b/>
          <w:sz w:val="22"/>
          <w:szCs w:val="22"/>
          <w:lang w:val="es-ES_tradnl"/>
        </w:rPr>
        <w:t>Respuesta propuesta por la Secretaría</w:t>
      </w:r>
    </w:p>
    <w:p w14:paraId="63B98DC0" w14:textId="77777777" w:rsidR="00792244" w:rsidRPr="00F40D9E" w:rsidRDefault="00792244" w:rsidP="00792244">
      <w:pPr>
        <w:ind w:left="426"/>
        <w:rPr>
          <w:rFonts w:ascii="Calibri" w:hAnsi="Calibri" w:cs="Calibri"/>
          <w:color w:val="000000"/>
          <w:sz w:val="22"/>
          <w:szCs w:val="22"/>
          <w:lang w:val="es-ES_tradnl"/>
        </w:rPr>
      </w:pPr>
    </w:p>
    <w:p w14:paraId="6654EFF2" w14:textId="3CBEFB2D" w:rsidR="00AC55E6" w:rsidRPr="00F40D9E" w:rsidRDefault="000E0323" w:rsidP="00AC55E6">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t>En su</w:t>
      </w:r>
      <w:r w:rsidR="00AC55E6" w:rsidRPr="00F40D9E">
        <w:rPr>
          <w:rFonts w:ascii="Calibri" w:hAnsi="Calibri" w:cs="Calibri"/>
          <w:sz w:val="22"/>
          <w:szCs w:val="22"/>
          <w:lang w:val="es-ES_tradnl"/>
        </w:rPr>
        <w:t xml:space="preserve"> </w:t>
      </w:r>
      <w:r w:rsidRPr="00F40D9E">
        <w:rPr>
          <w:rFonts w:ascii="Calibri" w:hAnsi="Calibri" w:cs="Calibri"/>
          <w:sz w:val="22"/>
          <w:szCs w:val="22"/>
          <w:lang w:val="es-ES_tradnl"/>
        </w:rPr>
        <w:t xml:space="preserve">48ª </w:t>
      </w:r>
      <w:r w:rsidR="00AC55E6" w:rsidRPr="00F40D9E">
        <w:rPr>
          <w:rFonts w:ascii="Calibri" w:hAnsi="Calibri" w:cs="Calibri"/>
          <w:sz w:val="22"/>
          <w:szCs w:val="22"/>
          <w:lang w:val="es-ES_tradnl"/>
        </w:rPr>
        <w:t>reunión</w:t>
      </w:r>
      <w:r w:rsidRPr="00F40D9E">
        <w:rPr>
          <w:rFonts w:ascii="Calibri" w:hAnsi="Calibri" w:cs="Calibri"/>
          <w:sz w:val="22"/>
          <w:szCs w:val="22"/>
          <w:lang w:val="es-ES_tradnl"/>
        </w:rPr>
        <w:t>, el Comité Permanente</w:t>
      </w:r>
      <w:r w:rsidR="00F40D9E">
        <w:rPr>
          <w:rFonts w:ascii="Calibri" w:hAnsi="Calibri" w:cs="Calibri"/>
          <w:sz w:val="22"/>
          <w:szCs w:val="22"/>
          <w:lang w:val="es-ES_tradnl"/>
        </w:rPr>
        <w:t xml:space="preserve"> </w:t>
      </w:r>
      <w:r w:rsidR="00AC55E6" w:rsidRPr="00F40D9E">
        <w:rPr>
          <w:rFonts w:ascii="Calibri" w:hAnsi="Calibri" w:cs="Calibri"/>
          <w:sz w:val="22"/>
          <w:szCs w:val="22"/>
          <w:lang w:val="es-ES_tradnl"/>
        </w:rPr>
        <w:t>decidió</w:t>
      </w:r>
      <w:r w:rsidRPr="00F40D9E">
        <w:rPr>
          <w:rFonts w:ascii="Calibri" w:hAnsi="Calibri" w:cs="Calibri"/>
          <w:sz w:val="22"/>
          <w:szCs w:val="22"/>
          <w:lang w:val="es-ES_tradnl"/>
        </w:rPr>
        <w:t xml:space="preserve">, mediante la Decisión SC48-12, </w:t>
      </w:r>
      <w:r w:rsidR="00AC55E6" w:rsidRPr="00F40D9E">
        <w:rPr>
          <w:rFonts w:ascii="Calibri" w:hAnsi="Calibri" w:cs="Calibri"/>
          <w:sz w:val="22"/>
          <w:szCs w:val="22"/>
          <w:lang w:val="es-ES_tradnl"/>
        </w:rPr>
        <w:t>no aplicar medidas punitivas a las Partes con co</w:t>
      </w:r>
      <w:r w:rsidR="009C1EC5">
        <w:rPr>
          <w:rFonts w:ascii="Calibri" w:hAnsi="Calibri" w:cs="Calibri"/>
          <w:sz w:val="22"/>
          <w:szCs w:val="22"/>
          <w:lang w:val="es-ES_tradnl"/>
        </w:rPr>
        <w:t>ntribuciones pendientes de pago.</w:t>
      </w:r>
    </w:p>
    <w:p w14:paraId="239C4AEB" w14:textId="77777777" w:rsidR="000B26D3" w:rsidRPr="00F40D9E" w:rsidRDefault="000B26D3" w:rsidP="000B26D3">
      <w:pPr>
        <w:autoSpaceDE w:val="0"/>
        <w:autoSpaceDN w:val="0"/>
        <w:adjustRightInd w:val="0"/>
        <w:rPr>
          <w:rFonts w:ascii="Calibri" w:hAnsi="Calibri" w:cs="Calibri"/>
          <w:sz w:val="22"/>
          <w:szCs w:val="22"/>
          <w:highlight w:val="yellow"/>
          <w:lang w:val="es-ES_tradnl"/>
        </w:rPr>
      </w:pPr>
    </w:p>
    <w:p w14:paraId="27A808CD" w14:textId="20445072" w:rsidR="00AC55E6" w:rsidRPr="00F40D9E" w:rsidRDefault="005441CE" w:rsidP="00AC55E6">
      <w:pPr>
        <w:numPr>
          <w:ilvl w:val="0"/>
          <w:numId w:val="39"/>
        </w:numPr>
        <w:autoSpaceDE w:val="0"/>
        <w:autoSpaceDN w:val="0"/>
        <w:adjustRightInd w:val="0"/>
        <w:ind w:left="426" w:hanging="426"/>
        <w:rPr>
          <w:rFonts w:ascii="Calibri" w:hAnsi="Calibri" w:cs="Calibri"/>
          <w:sz w:val="22"/>
          <w:szCs w:val="22"/>
          <w:lang w:val="es-ES_tradnl"/>
        </w:rPr>
      </w:pPr>
      <w:r>
        <w:rPr>
          <w:rFonts w:ascii="Calibri" w:hAnsi="Calibri" w:cs="Calibri"/>
          <w:sz w:val="22"/>
          <w:szCs w:val="22"/>
          <w:lang w:val="es-ES_tradnl"/>
        </w:rPr>
        <w:t>No obstante, la Secretaría</w:t>
      </w:r>
      <w:r w:rsidR="00AC55E6" w:rsidRPr="00F40D9E">
        <w:rPr>
          <w:rFonts w:ascii="Calibri" w:hAnsi="Calibri" w:cs="Calibri"/>
          <w:sz w:val="22"/>
          <w:szCs w:val="22"/>
          <w:lang w:val="es-ES_tradnl"/>
        </w:rPr>
        <w:t xml:space="preserve"> General </w:t>
      </w:r>
      <w:r>
        <w:rPr>
          <w:rFonts w:ascii="Calibri" w:hAnsi="Calibri" w:cs="Calibri"/>
          <w:sz w:val="22"/>
          <w:szCs w:val="22"/>
          <w:lang w:val="es-ES_tradnl"/>
        </w:rPr>
        <w:t xml:space="preserve">en funciones </w:t>
      </w:r>
      <w:r w:rsidR="00AC55E6" w:rsidRPr="00F40D9E">
        <w:rPr>
          <w:rFonts w:ascii="Calibri" w:hAnsi="Calibri" w:cs="Calibri"/>
          <w:sz w:val="22"/>
          <w:szCs w:val="22"/>
          <w:lang w:val="es-ES_tradnl"/>
        </w:rPr>
        <w:t xml:space="preserve">considera que </w:t>
      </w:r>
      <w:r w:rsidR="00DD62A1" w:rsidRPr="00F40D9E">
        <w:rPr>
          <w:rFonts w:ascii="Calibri" w:hAnsi="Calibri" w:cs="Calibri"/>
          <w:sz w:val="22"/>
          <w:szCs w:val="22"/>
          <w:lang w:val="es-ES_tradnl"/>
        </w:rPr>
        <w:t xml:space="preserve">los logros respecto de la liquidación de </w:t>
      </w:r>
      <w:r w:rsidR="00AC55E6" w:rsidRPr="00F40D9E">
        <w:rPr>
          <w:rFonts w:ascii="Calibri" w:hAnsi="Calibri" w:cs="Calibri"/>
          <w:sz w:val="22"/>
          <w:szCs w:val="22"/>
          <w:lang w:val="es-ES_tradnl"/>
        </w:rPr>
        <w:t xml:space="preserve">los atrasos, junto con </w:t>
      </w:r>
      <w:r w:rsidR="00DD62A1" w:rsidRPr="00F40D9E">
        <w:rPr>
          <w:rFonts w:ascii="Calibri" w:hAnsi="Calibri" w:cs="Calibri"/>
          <w:sz w:val="22"/>
          <w:szCs w:val="22"/>
          <w:lang w:val="es-ES_tradnl"/>
        </w:rPr>
        <w:t xml:space="preserve">una mayor </w:t>
      </w:r>
      <w:r w:rsidR="00AC55E6" w:rsidRPr="00F40D9E">
        <w:rPr>
          <w:rFonts w:ascii="Calibri" w:hAnsi="Calibri" w:cs="Calibri"/>
          <w:sz w:val="22"/>
          <w:szCs w:val="22"/>
          <w:lang w:val="es-ES_tradnl"/>
        </w:rPr>
        <w:t xml:space="preserve">participación </w:t>
      </w:r>
      <w:r w:rsidR="00DD62A1" w:rsidRPr="00F40D9E">
        <w:rPr>
          <w:rFonts w:ascii="Calibri" w:hAnsi="Calibri" w:cs="Calibri"/>
          <w:sz w:val="22"/>
          <w:szCs w:val="22"/>
          <w:lang w:val="es-ES_tradnl"/>
        </w:rPr>
        <w:t xml:space="preserve">y </w:t>
      </w:r>
      <w:r w:rsidR="00AC55E6" w:rsidRPr="00F40D9E">
        <w:rPr>
          <w:rFonts w:ascii="Calibri" w:hAnsi="Calibri" w:cs="Calibri"/>
          <w:sz w:val="22"/>
          <w:szCs w:val="22"/>
          <w:lang w:val="es-ES_tradnl"/>
        </w:rPr>
        <w:t xml:space="preserve">compromiso financiero de todas las Partes en la Convención, </w:t>
      </w:r>
      <w:r w:rsidR="00DD62A1" w:rsidRPr="00F40D9E">
        <w:rPr>
          <w:rFonts w:ascii="Calibri" w:hAnsi="Calibri" w:cs="Calibri"/>
          <w:sz w:val="22"/>
          <w:szCs w:val="22"/>
          <w:lang w:val="es-ES_tradnl"/>
        </w:rPr>
        <w:t>transmiti</w:t>
      </w:r>
      <w:r w:rsidR="00AC55E6" w:rsidRPr="00F40D9E">
        <w:rPr>
          <w:rFonts w:ascii="Calibri" w:hAnsi="Calibri" w:cs="Calibri"/>
          <w:sz w:val="22"/>
          <w:szCs w:val="22"/>
          <w:lang w:val="es-ES_tradnl"/>
        </w:rPr>
        <w:t>rían mensajes positivos sobre la gobernanza de la Convención y permitirían a la Secretaría ejecutar plenamente las tareas establecidas por la C</w:t>
      </w:r>
      <w:r w:rsidR="00DD62A1" w:rsidRPr="00F40D9E">
        <w:rPr>
          <w:rFonts w:ascii="Calibri" w:hAnsi="Calibri" w:cs="Calibri"/>
          <w:sz w:val="22"/>
          <w:szCs w:val="22"/>
          <w:lang w:val="es-ES_tradnl"/>
        </w:rPr>
        <w:t>onferencia de las Partes</w:t>
      </w:r>
      <w:r w:rsidR="00AC55E6" w:rsidRPr="00F40D9E">
        <w:rPr>
          <w:rFonts w:ascii="Calibri" w:hAnsi="Calibri" w:cs="Calibri"/>
          <w:sz w:val="22"/>
          <w:szCs w:val="22"/>
          <w:lang w:val="es-ES_tradnl"/>
        </w:rPr>
        <w:t xml:space="preserve">. </w:t>
      </w:r>
    </w:p>
    <w:p w14:paraId="28727DF1" w14:textId="77777777" w:rsidR="000334A3" w:rsidRPr="00F40D9E" w:rsidRDefault="000334A3" w:rsidP="000334A3">
      <w:pPr>
        <w:pStyle w:val="ListParagraph"/>
        <w:rPr>
          <w:rFonts w:ascii="Calibri" w:hAnsi="Calibri" w:cs="Calibri"/>
          <w:sz w:val="22"/>
          <w:szCs w:val="22"/>
          <w:lang w:val="es-ES_tradnl"/>
        </w:rPr>
      </w:pPr>
    </w:p>
    <w:p w14:paraId="4B565CDE" w14:textId="2552557A" w:rsidR="000334A3" w:rsidRPr="00F40D9E" w:rsidRDefault="00DD62A1" w:rsidP="000334A3">
      <w:pPr>
        <w:numPr>
          <w:ilvl w:val="0"/>
          <w:numId w:val="39"/>
        </w:numPr>
        <w:autoSpaceDE w:val="0"/>
        <w:autoSpaceDN w:val="0"/>
        <w:adjustRightInd w:val="0"/>
        <w:ind w:left="426" w:hanging="426"/>
        <w:rPr>
          <w:rFonts w:ascii="Calibri" w:hAnsi="Calibri" w:cs="Calibri"/>
          <w:sz w:val="22"/>
          <w:szCs w:val="22"/>
          <w:lang w:val="es-ES_tradnl"/>
        </w:rPr>
      </w:pPr>
      <w:r w:rsidRPr="00F40D9E">
        <w:rPr>
          <w:rFonts w:ascii="Calibri" w:hAnsi="Calibri" w:cs="Calibri"/>
          <w:sz w:val="22"/>
          <w:szCs w:val="22"/>
          <w:lang w:val="es-ES_tradnl"/>
        </w:rPr>
        <w:lastRenderedPageBreak/>
        <w:t xml:space="preserve">Las acciones prioritarias para 2016 se centrarán en las 41 Partes con atrasos de más de tres años al final de </w:t>
      </w:r>
      <w:r w:rsidR="000334A3" w:rsidRPr="00F40D9E">
        <w:rPr>
          <w:rFonts w:ascii="Calibri" w:hAnsi="Calibri" w:cs="Calibri"/>
          <w:sz w:val="22"/>
          <w:szCs w:val="22"/>
          <w:lang w:val="es-ES_tradnl"/>
        </w:rPr>
        <w:t xml:space="preserve">2015. </w:t>
      </w:r>
      <w:r w:rsidR="00D860E9" w:rsidRPr="00F40D9E">
        <w:rPr>
          <w:rFonts w:ascii="Calibri" w:hAnsi="Calibri" w:cs="Calibri"/>
          <w:sz w:val="22"/>
          <w:szCs w:val="22"/>
          <w:lang w:val="es-ES_tradnl"/>
        </w:rPr>
        <w:t xml:space="preserve">La Secretaría </w:t>
      </w:r>
      <w:r w:rsidR="00326AD1" w:rsidRPr="00F40D9E">
        <w:rPr>
          <w:rFonts w:ascii="Calibri" w:hAnsi="Calibri" w:cs="Calibri"/>
          <w:sz w:val="22"/>
          <w:szCs w:val="22"/>
          <w:lang w:val="es-ES_tradnl"/>
        </w:rPr>
        <w:t>se basará en</w:t>
      </w:r>
      <w:r w:rsidR="000334A3" w:rsidRPr="00F40D9E">
        <w:rPr>
          <w:rFonts w:ascii="Calibri" w:hAnsi="Calibri" w:cs="Calibri"/>
          <w:sz w:val="22"/>
          <w:szCs w:val="22"/>
          <w:lang w:val="es-ES_tradnl"/>
        </w:rPr>
        <w:t xml:space="preserve"> </w:t>
      </w:r>
      <w:r w:rsidR="00D860E9" w:rsidRPr="00F40D9E">
        <w:rPr>
          <w:rFonts w:ascii="Calibri" w:hAnsi="Calibri" w:cs="Calibri"/>
          <w:sz w:val="22"/>
          <w:szCs w:val="22"/>
          <w:lang w:val="es-ES_tradnl"/>
        </w:rPr>
        <w:t xml:space="preserve">la Resolución </w:t>
      </w:r>
      <w:r w:rsidR="00496282" w:rsidRPr="00F40D9E">
        <w:rPr>
          <w:rFonts w:ascii="Calibri" w:hAnsi="Calibri" w:cs="Calibri"/>
          <w:sz w:val="22"/>
          <w:szCs w:val="22"/>
          <w:lang w:val="es-ES_tradnl"/>
        </w:rPr>
        <w:t>XI.2</w:t>
      </w:r>
      <w:r w:rsidR="00D860E9" w:rsidRPr="00F40D9E">
        <w:rPr>
          <w:rFonts w:ascii="Calibri" w:hAnsi="Calibri" w:cs="Calibri"/>
          <w:sz w:val="22"/>
          <w:szCs w:val="22"/>
          <w:lang w:val="es-ES_tradnl"/>
        </w:rPr>
        <w:t xml:space="preserve">, párrafo 17, </w:t>
      </w:r>
      <w:r w:rsidR="00326AD1" w:rsidRPr="00F40D9E">
        <w:rPr>
          <w:rFonts w:ascii="Calibri" w:hAnsi="Calibri" w:cs="Calibri"/>
          <w:sz w:val="22"/>
          <w:szCs w:val="22"/>
          <w:lang w:val="es-ES_tradnl"/>
        </w:rPr>
        <w:t xml:space="preserve">para </w:t>
      </w:r>
      <w:r w:rsidR="00D860E9" w:rsidRPr="00F40D9E">
        <w:rPr>
          <w:rFonts w:ascii="Calibri" w:hAnsi="Calibri" w:cs="Calibri"/>
          <w:sz w:val="22"/>
          <w:szCs w:val="22"/>
          <w:lang w:val="es-ES_tradnl"/>
        </w:rPr>
        <w:t>obtener un plan específico de pago</w:t>
      </w:r>
      <w:r w:rsidR="00173FA7">
        <w:rPr>
          <w:rFonts w:ascii="Calibri" w:hAnsi="Calibri" w:cs="Calibri"/>
          <w:sz w:val="22"/>
          <w:szCs w:val="22"/>
          <w:lang w:val="es-ES_tradnl"/>
        </w:rPr>
        <w:t>,</w:t>
      </w:r>
      <w:r w:rsidR="00D860E9" w:rsidRPr="00F40D9E">
        <w:rPr>
          <w:rFonts w:ascii="Calibri" w:hAnsi="Calibri" w:cs="Calibri"/>
          <w:sz w:val="22"/>
          <w:szCs w:val="22"/>
          <w:lang w:val="es-ES_tradnl"/>
        </w:rPr>
        <w:t xml:space="preserve"> por escrito</w:t>
      </w:r>
      <w:r w:rsidR="00173FA7">
        <w:rPr>
          <w:rFonts w:ascii="Calibri" w:hAnsi="Calibri" w:cs="Calibri"/>
          <w:sz w:val="22"/>
          <w:szCs w:val="22"/>
          <w:lang w:val="es-ES_tradnl"/>
        </w:rPr>
        <w:t>,</w:t>
      </w:r>
      <w:r w:rsidR="00D860E9" w:rsidRPr="00F40D9E">
        <w:rPr>
          <w:rFonts w:ascii="Calibri" w:hAnsi="Calibri" w:cs="Calibri"/>
          <w:sz w:val="22"/>
          <w:szCs w:val="22"/>
          <w:lang w:val="es-ES_tradnl"/>
        </w:rPr>
        <w:t xml:space="preserve"> del mayor número posible de estas 41 Partes</w:t>
      </w:r>
      <w:r w:rsidR="00326AD1" w:rsidRPr="00F40D9E">
        <w:rPr>
          <w:rFonts w:ascii="Calibri" w:hAnsi="Calibri" w:cs="Calibri"/>
          <w:sz w:val="22"/>
          <w:szCs w:val="22"/>
          <w:lang w:val="es-ES_tradnl"/>
        </w:rPr>
        <w:t>,</w:t>
      </w:r>
      <w:r w:rsidR="00D860E9" w:rsidRPr="00F40D9E">
        <w:rPr>
          <w:rFonts w:ascii="Calibri" w:hAnsi="Calibri" w:cs="Calibri"/>
          <w:sz w:val="22"/>
          <w:szCs w:val="22"/>
          <w:lang w:val="es-ES_tradnl"/>
        </w:rPr>
        <w:t xml:space="preserve"> e informará a la 53ª reunión del Comité Permanente sobre </w:t>
      </w:r>
      <w:r w:rsidR="00326AD1" w:rsidRPr="00F40D9E">
        <w:rPr>
          <w:rFonts w:ascii="Calibri" w:hAnsi="Calibri" w:cs="Calibri"/>
          <w:sz w:val="22"/>
          <w:szCs w:val="22"/>
          <w:lang w:val="es-ES_tradnl"/>
        </w:rPr>
        <w:t xml:space="preserve">el progreso </w:t>
      </w:r>
      <w:r w:rsidR="00173FA7">
        <w:rPr>
          <w:rFonts w:ascii="Calibri" w:hAnsi="Calibri" w:cs="Calibri"/>
          <w:sz w:val="22"/>
          <w:szCs w:val="22"/>
          <w:lang w:val="es-ES_tradnl"/>
        </w:rPr>
        <w:t xml:space="preserve">de </w:t>
      </w:r>
      <w:r w:rsidR="00D860E9" w:rsidRPr="00F40D9E">
        <w:rPr>
          <w:rFonts w:ascii="Calibri" w:hAnsi="Calibri" w:cs="Calibri"/>
          <w:sz w:val="22"/>
          <w:szCs w:val="22"/>
          <w:lang w:val="es-ES_tradnl"/>
        </w:rPr>
        <w:t xml:space="preserve">cada una de las Partes Contratantes. </w:t>
      </w:r>
      <w:r w:rsidR="00326AD1" w:rsidRPr="00F40D9E">
        <w:rPr>
          <w:rFonts w:ascii="Calibri" w:hAnsi="Calibri" w:cs="Calibri"/>
          <w:sz w:val="22"/>
          <w:szCs w:val="22"/>
          <w:lang w:val="es-ES_tradnl"/>
        </w:rPr>
        <w:t xml:space="preserve">También, conseguirá la participación de los nuevos representantes regionales del </w:t>
      </w:r>
      <w:r w:rsidR="000334A3" w:rsidRPr="00F40D9E">
        <w:rPr>
          <w:rFonts w:ascii="Calibri" w:hAnsi="Calibri" w:cs="Calibri"/>
          <w:sz w:val="22"/>
          <w:szCs w:val="22"/>
          <w:lang w:val="es-ES_tradnl"/>
        </w:rPr>
        <w:t>Subgr</w:t>
      </w:r>
      <w:r w:rsidR="00326AD1" w:rsidRPr="00F40D9E">
        <w:rPr>
          <w:rFonts w:ascii="Calibri" w:hAnsi="Calibri" w:cs="Calibri"/>
          <w:sz w:val="22"/>
          <w:szCs w:val="22"/>
          <w:lang w:val="es-ES_tradnl"/>
        </w:rPr>
        <w:t>upo sobre Finanzas en esta actividad</w:t>
      </w:r>
      <w:r w:rsidR="000334A3" w:rsidRPr="00F40D9E">
        <w:rPr>
          <w:rFonts w:ascii="Calibri" w:hAnsi="Calibri" w:cs="Calibri"/>
          <w:sz w:val="22"/>
          <w:szCs w:val="22"/>
          <w:lang w:val="es-ES_tradnl"/>
        </w:rPr>
        <w:t xml:space="preserve">. </w:t>
      </w:r>
    </w:p>
    <w:p w14:paraId="4B359414" w14:textId="77777777" w:rsidR="00FE4BDA" w:rsidRPr="00F40D9E" w:rsidRDefault="00FE4BDA" w:rsidP="00FE4BDA">
      <w:pPr>
        <w:pStyle w:val="ListParagraph"/>
        <w:rPr>
          <w:rFonts w:ascii="Calibri" w:hAnsi="Calibri" w:cs="Calibri"/>
          <w:sz w:val="22"/>
          <w:szCs w:val="22"/>
          <w:lang w:val="es-ES_tradnl"/>
        </w:rPr>
      </w:pPr>
    </w:p>
    <w:p w14:paraId="617E9E87" w14:textId="66EED170" w:rsidR="00DC3520" w:rsidRPr="00F40D9E" w:rsidRDefault="00FE4BDA" w:rsidP="00FE4BDA">
      <w:pPr>
        <w:numPr>
          <w:ilvl w:val="0"/>
          <w:numId w:val="39"/>
        </w:numPr>
        <w:autoSpaceDE w:val="0"/>
        <w:autoSpaceDN w:val="0"/>
        <w:adjustRightInd w:val="0"/>
        <w:ind w:left="426" w:hanging="426"/>
        <w:rPr>
          <w:rFonts w:ascii="Calibri" w:hAnsi="Calibri" w:cs="Calibri"/>
          <w:b/>
          <w:color w:val="000000"/>
          <w:sz w:val="26"/>
          <w:szCs w:val="26"/>
          <w:lang w:val="es-ES_tradnl"/>
        </w:rPr>
      </w:pPr>
      <w:r w:rsidRPr="00F40D9E">
        <w:rPr>
          <w:rFonts w:ascii="Calibri" w:hAnsi="Calibri" w:cs="Calibri"/>
          <w:sz w:val="22"/>
          <w:szCs w:val="22"/>
          <w:lang w:val="es-ES_tradnl"/>
        </w:rPr>
        <w:t>S</w:t>
      </w:r>
      <w:r w:rsidR="00326AD1" w:rsidRPr="00F40D9E">
        <w:rPr>
          <w:rFonts w:ascii="Calibri" w:hAnsi="Calibri" w:cs="Calibri"/>
          <w:sz w:val="22"/>
          <w:szCs w:val="22"/>
          <w:lang w:val="es-ES_tradnl"/>
        </w:rPr>
        <w:t xml:space="preserve">e prestará una atención especial a las ocho Partes que nunca </w:t>
      </w:r>
      <w:r w:rsidR="000A7D7F" w:rsidRPr="00F40D9E">
        <w:rPr>
          <w:rFonts w:ascii="Calibri" w:hAnsi="Calibri" w:cs="Calibri"/>
          <w:sz w:val="22"/>
          <w:szCs w:val="22"/>
          <w:lang w:val="es-ES_tradnl"/>
        </w:rPr>
        <w:t>han pagado y a las cuatro Partes</w:t>
      </w:r>
      <w:r w:rsidR="00293728">
        <w:rPr>
          <w:rFonts w:ascii="Calibri" w:hAnsi="Calibri" w:cs="Calibri"/>
          <w:sz w:val="22"/>
          <w:szCs w:val="22"/>
          <w:lang w:val="es-ES_tradnl"/>
        </w:rPr>
        <w:t xml:space="preserve"> que tienen </w:t>
      </w:r>
      <w:r w:rsidR="000A7D7F" w:rsidRPr="00F40D9E">
        <w:rPr>
          <w:rFonts w:ascii="Calibri" w:hAnsi="Calibri" w:cs="Calibri"/>
          <w:sz w:val="22"/>
          <w:szCs w:val="22"/>
          <w:lang w:val="es-ES_tradnl"/>
        </w:rPr>
        <w:t>atrasos de más de tres años</w:t>
      </w:r>
      <w:r w:rsidR="000365D7">
        <w:rPr>
          <w:rFonts w:ascii="Calibri" w:hAnsi="Calibri" w:cs="Calibri"/>
          <w:sz w:val="22"/>
          <w:szCs w:val="22"/>
          <w:lang w:val="es-ES_tradnl"/>
        </w:rPr>
        <w:t xml:space="preserve"> por un</w:t>
      </w:r>
      <w:r w:rsidR="00293728">
        <w:rPr>
          <w:rFonts w:ascii="Calibri" w:hAnsi="Calibri" w:cs="Calibri"/>
          <w:sz w:val="22"/>
          <w:szCs w:val="22"/>
          <w:lang w:val="es-ES_tradnl"/>
        </w:rPr>
        <w:t xml:space="preserve"> </w:t>
      </w:r>
      <w:r w:rsidR="000A7D7F" w:rsidRPr="00F40D9E">
        <w:rPr>
          <w:rFonts w:ascii="Calibri" w:hAnsi="Calibri" w:cs="Calibri"/>
          <w:sz w:val="22"/>
          <w:szCs w:val="22"/>
          <w:lang w:val="es-ES_tradnl"/>
        </w:rPr>
        <w:t xml:space="preserve">total </w:t>
      </w:r>
      <w:r w:rsidR="00293728">
        <w:rPr>
          <w:rFonts w:ascii="Calibri" w:hAnsi="Calibri" w:cs="Calibri"/>
          <w:sz w:val="22"/>
          <w:szCs w:val="22"/>
          <w:lang w:val="es-ES_tradnl"/>
        </w:rPr>
        <w:t xml:space="preserve">superior </w:t>
      </w:r>
      <w:r w:rsidR="000365D7">
        <w:rPr>
          <w:rFonts w:ascii="Calibri" w:hAnsi="Calibri" w:cs="Calibri"/>
          <w:sz w:val="22"/>
          <w:szCs w:val="22"/>
          <w:lang w:val="es-ES_tradnl"/>
        </w:rPr>
        <w:t>a</w:t>
      </w:r>
      <w:r w:rsidR="000A7D7F" w:rsidRPr="00F40D9E">
        <w:rPr>
          <w:rFonts w:ascii="Calibri" w:hAnsi="Calibri" w:cs="Calibri"/>
          <w:sz w:val="22"/>
          <w:szCs w:val="22"/>
          <w:lang w:val="es-ES_tradnl"/>
        </w:rPr>
        <w:t xml:space="preserve"> </w:t>
      </w:r>
      <w:r w:rsidRPr="00F40D9E">
        <w:rPr>
          <w:rFonts w:ascii="Calibri" w:hAnsi="Calibri" w:cs="Calibri"/>
          <w:sz w:val="22"/>
          <w:szCs w:val="22"/>
          <w:lang w:val="es-ES_tradnl"/>
        </w:rPr>
        <w:t>50</w:t>
      </w:r>
      <w:r w:rsidR="000A7D7F" w:rsidRPr="00F40D9E">
        <w:rPr>
          <w:rFonts w:ascii="Calibri" w:hAnsi="Calibri" w:cs="Calibri"/>
          <w:sz w:val="22"/>
          <w:szCs w:val="22"/>
          <w:lang w:val="es-ES_tradnl"/>
        </w:rPr>
        <w:t>.</w:t>
      </w:r>
      <w:r w:rsidRPr="00F40D9E">
        <w:rPr>
          <w:rFonts w:ascii="Calibri" w:hAnsi="Calibri" w:cs="Calibri"/>
          <w:sz w:val="22"/>
          <w:szCs w:val="22"/>
          <w:lang w:val="es-ES_tradnl"/>
        </w:rPr>
        <w:t>000</w:t>
      </w:r>
      <w:r w:rsidR="000A7D7F" w:rsidRPr="00F40D9E">
        <w:rPr>
          <w:rFonts w:ascii="Calibri" w:hAnsi="Calibri" w:cs="Calibri"/>
          <w:sz w:val="22"/>
          <w:szCs w:val="22"/>
          <w:lang w:val="es-ES_tradnl"/>
        </w:rPr>
        <w:t xml:space="preserve"> francos suizos</w:t>
      </w:r>
      <w:r w:rsidRPr="00F40D9E">
        <w:rPr>
          <w:rFonts w:ascii="Calibri" w:hAnsi="Calibri" w:cs="Calibri"/>
          <w:sz w:val="22"/>
          <w:szCs w:val="22"/>
          <w:lang w:val="es-ES_tradnl"/>
        </w:rPr>
        <w:t>.</w:t>
      </w:r>
    </w:p>
    <w:p w14:paraId="51948406" w14:textId="77777777" w:rsidR="00235D06" w:rsidRPr="00F40D9E" w:rsidRDefault="00235D06" w:rsidP="00235D06">
      <w:pPr>
        <w:pStyle w:val="ListParagraph"/>
        <w:rPr>
          <w:rFonts w:ascii="Calibri" w:hAnsi="Calibri" w:cs="Calibri"/>
          <w:b/>
          <w:color w:val="000000"/>
          <w:sz w:val="26"/>
          <w:szCs w:val="26"/>
          <w:lang w:val="es-ES_tradnl"/>
        </w:rPr>
      </w:pPr>
    </w:p>
    <w:p w14:paraId="4999B1FF" w14:textId="77777777" w:rsidR="00235D06" w:rsidRPr="00F40D9E" w:rsidRDefault="00235D06">
      <w:pPr>
        <w:rPr>
          <w:rFonts w:ascii="Calibri" w:hAnsi="Calibri" w:cs="Calibri"/>
          <w:b/>
          <w:sz w:val="22"/>
          <w:szCs w:val="22"/>
          <w:lang w:val="es-ES_tradnl"/>
        </w:rPr>
      </w:pPr>
      <w:r w:rsidRPr="00F40D9E">
        <w:rPr>
          <w:rFonts w:ascii="Calibri" w:hAnsi="Calibri" w:cs="Calibri"/>
          <w:b/>
          <w:sz w:val="22"/>
          <w:szCs w:val="22"/>
          <w:lang w:val="es-ES_tradnl"/>
        </w:rPr>
        <w:br w:type="page"/>
      </w:r>
    </w:p>
    <w:p w14:paraId="60B86AC0" w14:textId="3358E96C" w:rsidR="00D93924" w:rsidRPr="00641DA3" w:rsidRDefault="00235D06" w:rsidP="00641DA3">
      <w:pPr>
        <w:rPr>
          <w:rFonts w:ascii="Calibri" w:hAnsi="Calibri" w:cs="Calibri"/>
          <w:b/>
          <w:sz w:val="22"/>
          <w:szCs w:val="22"/>
          <w:lang w:val="en-GB"/>
        </w:rPr>
      </w:pPr>
      <w:r w:rsidRPr="00F40D9E">
        <w:rPr>
          <w:rFonts w:ascii="Calibri" w:hAnsi="Calibri" w:cs="Calibri"/>
          <w:b/>
          <w:sz w:val="22"/>
          <w:szCs w:val="22"/>
          <w:lang w:val="es-ES_tradnl"/>
        </w:rPr>
        <w:t>An</w:t>
      </w:r>
      <w:r w:rsidR="000A7D7F" w:rsidRPr="00F40D9E">
        <w:rPr>
          <w:rFonts w:ascii="Calibri" w:hAnsi="Calibri" w:cs="Calibri"/>
          <w:b/>
          <w:sz w:val="22"/>
          <w:szCs w:val="22"/>
          <w:lang w:val="es-ES_tradnl"/>
        </w:rPr>
        <w:t>exo 1</w:t>
      </w:r>
      <w:r w:rsidR="009C1EC5">
        <w:rPr>
          <w:rFonts w:ascii="Calibri" w:hAnsi="Calibri" w:cs="Calibri"/>
          <w:b/>
          <w:sz w:val="22"/>
          <w:szCs w:val="22"/>
          <w:lang w:val="es-ES_tradnl"/>
        </w:rPr>
        <w:t xml:space="preserve"> –</w:t>
      </w:r>
      <w:r w:rsidR="000A7D7F" w:rsidRPr="00F40D9E">
        <w:rPr>
          <w:rFonts w:ascii="Calibri" w:hAnsi="Calibri" w:cs="Calibri"/>
          <w:b/>
          <w:sz w:val="22"/>
          <w:szCs w:val="22"/>
          <w:lang w:val="es-ES_tradnl"/>
        </w:rPr>
        <w:t xml:space="preserve"> </w:t>
      </w:r>
      <w:r w:rsidR="00875E2A" w:rsidRPr="00F40D9E">
        <w:rPr>
          <w:rFonts w:ascii="Calibri" w:hAnsi="Calibri" w:cs="Calibri"/>
          <w:b/>
          <w:sz w:val="22"/>
          <w:szCs w:val="22"/>
          <w:lang w:val="es-ES_tradnl"/>
        </w:rPr>
        <w:t>Contrib</w:t>
      </w:r>
      <w:r w:rsidR="000A7D7F" w:rsidRPr="00F40D9E">
        <w:rPr>
          <w:rFonts w:ascii="Calibri" w:hAnsi="Calibri" w:cs="Calibri"/>
          <w:b/>
          <w:sz w:val="22"/>
          <w:szCs w:val="22"/>
          <w:lang w:val="es-ES_tradnl"/>
        </w:rPr>
        <w:t>uciones de los miembros, de 2016</w:t>
      </w:r>
      <w:r w:rsidR="00875E2A" w:rsidRPr="00F40D9E">
        <w:rPr>
          <w:rFonts w:ascii="Calibri" w:hAnsi="Calibri" w:cs="Calibri"/>
          <w:b/>
          <w:sz w:val="22"/>
          <w:szCs w:val="22"/>
          <w:lang w:val="es-ES_tradnl"/>
        </w:rPr>
        <w:t xml:space="preserve"> y años anteriores, pendientes a</w:t>
      </w:r>
      <w:r w:rsidR="00641DA3">
        <w:rPr>
          <w:rFonts w:ascii="Calibri" w:hAnsi="Calibri" w:cs="Calibri"/>
          <w:b/>
          <w:sz w:val="22"/>
          <w:szCs w:val="22"/>
          <w:lang w:val="es-ES_tradnl"/>
        </w:rPr>
        <w:t>l 29 de febrero de 2016</w:t>
      </w:r>
      <w:r w:rsidR="009C1EC5">
        <w:rPr>
          <w:rFonts w:ascii="Calibri" w:hAnsi="Calibri" w:cs="Calibri"/>
          <w:b/>
          <w:noProof/>
          <w:sz w:val="22"/>
          <w:szCs w:val="22"/>
          <w:lang w:val="en-GB" w:eastAsia="en-GB"/>
        </w:rPr>
        <mc:AlternateContent>
          <mc:Choice Requires="wps">
            <w:drawing>
              <wp:inline distT="0" distB="0" distL="0" distR="0" wp14:anchorId="18993274" wp14:editId="48314802">
                <wp:extent cx="6016625" cy="8709025"/>
                <wp:effectExtent l="0" t="0" r="0" b="3810"/>
                <wp:docPr id="2" name="Cuadro de texto 2"/>
                <wp:cNvGraphicFramePr/>
                <a:graphic xmlns:a="http://schemas.openxmlformats.org/drawingml/2006/main">
                  <a:graphicData uri="http://schemas.microsoft.com/office/word/2010/wordprocessingShape">
                    <wps:wsp>
                      <wps:cNvSpPr txBox="1"/>
                      <wps:spPr>
                        <a:xfrm>
                          <a:off x="0" y="0"/>
                          <a:ext cx="6016625" cy="8709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B44BA4" w14:textId="6D00CDA4" w:rsidR="000365D7" w:rsidRDefault="000365D7" w:rsidP="00641DA3">
                            <w:r>
                              <w:rPr>
                                <w:noProof/>
                                <w:lang w:val="en-GB" w:eastAsia="en-GB"/>
                              </w:rPr>
                              <w:drawing>
                                <wp:inline distT="0" distB="0" distL="0" distR="0" wp14:anchorId="4005938F" wp14:editId="286B52BA">
                                  <wp:extent cx="5640779" cy="83874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abennettbaxter:Desktop:Captura de pantalla 2016-03-16 a las 19.27.59.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56714" cy="841114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Cuadro de texto 2" o:spid="_x0000_s1027" type="#_x0000_t202" style="width:473.75pt;height:685.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" filled="f" stroked="f">
                <v:textbox style="mso-fit-shape-to-text:t">
                  <w:txbxContent>
                    <w:p w14:paraId="13B44BA4" w14:textId="6D00CDA4" w:rsidR="000365D7" w:rsidRDefault="000365D7" w:rsidP="00641DA3">
                      <w:r>
                        <w:rPr>
                          <w:noProof/>
                          <w:lang w:val="en-GB" w:eastAsia="en-GB"/>
                        </w:rPr>
                        <w:drawing>
                          <wp:inline distT="0" distB="0" distL="0" distR="0" wp14:anchorId="4005938F" wp14:editId="286B52BA">
                            <wp:extent cx="5640779" cy="83874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abennettbaxter:Desktop:Captura de pantalla 2016-03-16 a las 19.27.59.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56714" cy="8411142"/>
                                    </a:xfrm>
                                    <a:prstGeom prst="rect">
                                      <a:avLst/>
                                    </a:prstGeom>
                                    <a:noFill/>
                                    <a:ln>
                                      <a:noFill/>
                                    </a:ln>
                                  </pic:spPr>
                                </pic:pic>
                              </a:graphicData>
                            </a:graphic>
                          </wp:inline>
                        </w:drawing>
                      </w:r>
                    </w:p>
                  </w:txbxContent>
                </v:textbox>
                <w10:anchorlock/>
              </v:shape>
            </w:pict>
          </mc:Fallback>
        </mc:AlternateContent>
      </w:r>
      <w:bookmarkStart w:id="1" w:name="_GoBack"/>
      <w:bookmarkEnd w:id="1"/>
    </w:p>
    <w:sectPr w:rsidR="00D93924" w:rsidRPr="00641DA3" w:rsidSect="00641DA3">
      <w:footerReference w:type="default" r:id="rId10"/>
      <w:type w:val="continuous"/>
      <w:pgSz w:w="11907" w:h="16840" w:code="9"/>
      <w:pgMar w:top="1440" w:right="1440" w:bottom="1440" w:left="1440"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993A8" w14:textId="77777777" w:rsidR="000365D7" w:rsidRDefault="000365D7">
      <w:r>
        <w:separator/>
      </w:r>
    </w:p>
  </w:endnote>
  <w:endnote w:type="continuationSeparator" w:id="0">
    <w:p w14:paraId="68D369EA" w14:textId="77777777" w:rsidR="000365D7" w:rsidRDefault="0003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D1B68" w14:textId="77777777" w:rsidR="000365D7" w:rsidRPr="00F4142F" w:rsidRDefault="000365D7" w:rsidP="00F4142F">
    <w:pPr>
      <w:pStyle w:val="Footer"/>
      <w:tabs>
        <w:tab w:val="clear" w:pos="8640"/>
        <w:tab w:val="right" w:pos="9072"/>
      </w:tabs>
      <w:rPr>
        <w:rFonts w:asciiTheme="minorHAnsi" w:hAnsiTheme="minorHAnsi"/>
        <w:sz w:val="20"/>
        <w:szCs w:val="20"/>
        <w:lang w:val="en-GB"/>
      </w:rPr>
    </w:pPr>
    <w:r w:rsidRPr="00F4142F">
      <w:rPr>
        <w:rFonts w:asciiTheme="minorHAnsi" w:hAnsiTheme="minorHAnsi"/>
        <w:sz w:val="20"/>
        <w:szCs w:val="20"/>
      </w:rPr>
      <w:t>SC5</w:t>
    </w:r>
    <w:r>
      <w:rPr>
        <w:rFonts w:asciiTheme="minorHAnsi" w:hAnsiTheme="minorHAnsi"/>
        <w:sz w:val="20"/>
        <w:szCs w:val="20"/>
      </w:rPr>
      <w:t>2</w:t>
    </w:r>
    <w:r w:rsidRPr="00F4142F">
      <w:rPr>
        <w:rFonts w:asciiTheme="minorHAnsi" w:hAnsiTheme="minorHAnsi"/>
        <w:sz w:val="20"/>
        <w:szCs w:val="20"/>
        <w:lang w:val="en-GB"/>
      </w:rPr>
      <w:t>-</w:t>
    </w:r>
    <w:r>
      <w:rPr>
        <w:rFonts w:asciiTheme="minorHAnsi" w:hAnsiTheme="minorHAnsi"/>
        <w:sz w:val="20"/>
        <w:szCs w:val="20"/>
        <w:lang w:val="en-GB"/>
      </w:rPr>
      <w:t>19</w:t>
    </w:r>
    <w:r w:rsidRPr="00F4142F">
      <w:rPr>
        <w:rFonts w:asciiTheme="minorHAnsi" w:hAnsiTheme="minorHAnsi"/>
        <w:sz w:val="20"/>
        <w:szCs w:val="20"/>
      </w:rPr>
      <w:tab/>
    </w:r>
    <w:r w:rsidRPr="00F4142F">
      <w:rPr>
        <w:rFonts w:asciiTheme="minorHAnsi" w:hAnsiTheme="minorHAnsi"/>
        <w:sz w:val="20"/>
        <w:szCs w:val="20"/>
      </w:rPr>
      <w:tab/>
    </w:r>
    <w:r w:rsidRPr="00F4142F">
      <w:rPr>
        <w:rFonts w:asciiTheme="minorHAnsi" w:hAnsiTheme="minorHAnsi"/>
        <w:sz w:val="20"/>
        <w:szCs w:val="20"/>
      </w:rPr>
      <w:fldChar w:fldCharType="begin"/>
    </w:r>
    <w:r w:rsidRPr="00F4142F">
      <w:rPr>
        <w:rFonts w:asciiTheme="minorHAnsi" w:hAnsiTheme="minorHAnsi"/>
        <w:sz w:val="20"/>
        <w:szCs w:val="20"/>
      </w:rPr>
      <w:instrText xml:space="preserve"> PAGE   \* MERGEFORMAT </w:instrText>
    </w:r>
    <w:r w:rsidRPr="00F4142F">
      <w:rPr>
        <w:rFonts w:asciiTheme="minorHAnsi" w:hAnsiTheme="minorHAnsi"/>
        <w:sz w:val="20"/>
        <w:szCs w:val="20"/>
      </w:rPr>
      <w:fldChar w:fldCharType="separate"/>
    </w:r>
    <w:r w:rsidR="00641DA3">
      <w:rPr>
        <w:rFonts w:asciiTheme="minorHAnsi" w:hAnsiTheme="minorHAnsi"/>
        <w:noProof/>
        <w:sz w:val="20"/>
        <w:szCs w:val="20"/>
      </w:rPr>
      <w:t>5</w:t>
    </w:r>
    <w:r w:rsidRPr="00F4142F">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23FE5" w14:textId="77777777" w:rsidR="000365D7" w:rsidRDefault="000365D7">
      <w:r>
        <w:separator/>
      </w:r>
    </w:p>
  </w:footnote>
  <w:footnote w:type="continuationSeparator" w:id="0">
    <w:p w14:paraId="75D6A247" w14:textId="77777777" w:rsidR="000365D7" w:rsidRDefault="000365D7">
      <w:r>
        <w:continuationSeparator/>
      </w:r>
    </w:p>
  </w:footnote>
  <w:footnote w:id="1">
    <w:p w14:paraId="36E04114" w14:textId="27945C6E" w:rsidR="000365D7" w:rsidRPr="00641DA3" w:rsidRDefault="000365D7" w:rsidP="000B26D3">
      <w:pPr>
        <w:autoSpaceDE w:val="0"/>
        <w:autoSpaceDN w:val="0"/>
        <w:adjustRightInd w:val="0"/>
        <w:rPr>
          <w:rFonts w:ascii="Calibri" w:hAnsi="Calibri" w:cs="Calibri"/>
          <w:color w:val="000000"/>
          <w:sz w:val="18"/>
          <w:szCs w:val="18"/>
          <w:lang w:val="es-ES"/>
        </w:rPr>
      </w:pPr>
      <w:r w:rsidRPr="00314C1E">
        <w:rPr>
          <w:rStyle w:val="FootnoteReference"/>
          <w:rFonts w:ascii="Calibri" w:hAnsi="Calibri" w:cs="Calibri"/>
          <w:sz w:val="18"/>
          <w:szCs w:val="18"/>
        </w:rPr>
        <w:footnoteRef/>
      </w:r>
      <w:r w:rsidRPr="00641DA3">
        <w:rPr>
          <w:rFonts w:ascii="Calibri" w:hAnsi="Calibri" w:cs="Calibri"/>
          <w:sz w:val="18"/>
          <w:szCs w:val="18"/>
          <w:lang w:val="es-ES"/>
        </w:rPr>
        <w:t xml:space="preserve"> </w:t>
      </w:r>
      <w:r w:rsidRPr="00A71E11">
        <w:rPr>
          <w:rFonts w:asciiTheme="minorHAnsi" w:hAnsiTheme="minorHAnsi"/>
          <w:sz w:val="18"/>
          <w:szCs w:val="18"/>
          <w:lang w:val="es-ES_tradnl"/>
        </w:rPr>
        <w:t>Las contribuciones pendientes no se pasan a pérdidas y ganancias. El Comité Permanente recibe aviso si una Parte indica expresamente que no reconoce sus contribuciones pendientes o no tiene intención de abonarlas.</w:t>
      </w:r>
      <w:r w:rsidRPr="00641DA3">
        <w:rPr>
          <w:rFonts w:ascii="Calibri" w:hAnsi="Calibri" w:cs="Calibri"/>
          <w:sz w:val="18"/>
          <w:szCs w:val="18"/>
          <w:lang w:val="es-ES"/>
        </w:rPr>
        <w:t xml:space="preserve"> </w:t>
      </w:r>
    </w:p>
    <w:p w14:paraId="542D79B3" w14:textId="77777777" w:rsidR="000365D7" w:rsidRPr="00641DA3" w:rsidRDefault="000365D7">
      <w:pPr>
        <w:pStyle w:val="FootnoteText"/>
        <w:rPr>
          <w:lang w:val="es-ES"/>
        </w:rPr>
      </w:pPr>
    </w:p>
  </w:footnote>
  <w:footnote w:id="2">
    <w:p w14:paraId="6FA2B545" w14:textId="6AC225FA" w:rsidR="000365D7" w:rsidRPr="00641DA3" w:rsidRDefault="000365D7" w:rsidP="00AC55E6">
      <w:pPr>
        <w:pStyle w:val="FootnoteText"/>
        <w:rPr>
          <w:lang w:val="es-ES"/>
        </w:rPr>
      </w:pPr>
      <w:r w:rsidRPr="004E33DC">
        <w:rPr>
          <w:rStyle w:val="FootnoteReference"/>
          <w:rFonts w:asciiTheme="minorHAnsi" w:hAnsiTheme="minorHAnsi"/>
          <w:sz w:val="18"/>
          <w:szCs w:val="18"/>
        </w:rPr>
        <w:footnoteRef/>
      </w:r>
      <w:r w:rsidRPr="00641DA3">
        <w:rPr>
          <w:rFonts w:asciiTheme="minorHAnsi" w:hAnsiTheme="minorHAnsi"/>
          <w:sz w:val="18"/>
          <w:szCs w:val="18"/>
          <w:lang w:val="es-ES"/>
        </w:rPr>
        <w:t xml:space="preserve"> </w:t>
      </w:r>
      <w:r w:rsidRPr="00A71E11">
        <w:rPr>
          <w:rFonts w:asciiTheme="minorHAnsi" w:hAnsiTheme="minorHAnsi"/>
          <w:sz w:val="18"/>
          <w:szCs w:val="18"/>
          <w:lang w:val="es-ES_tradnl"/>
        </w:rPr>
        <w:t>Por determinar: se determinará</w:t>
      </w:r>
      <w:r>
        <w:rPr>
          <w:rFonts w:asciiTheme="minorHAnsi" w:hAnsiTheme="minorHAnsi"/>
          <w:sz w:val="18"/>
          <w:szCs w:val="18"/>
          <w:lang w:val="es-ES_tradnl"/>
        </w:rPr>
        <w:t xml:space="preserve"> a finales del ejercicio de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FBE"/>
    <w:multiLevelType w:val="hybridMultilevel"/>
    <w:tmpl w:val="58E24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761D"/>
    <w:multiLevelType w:val="multilevel"/>
    <w:tmpl w:val="3062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F7C17"/>
    <w:multiLevelType w:val="hybridMultilevel"/>
    <w:tmpl w:val="9886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C17C83"/>
    <w:multiLevelType w:val="hybridMultilevel"/>
    <w:tmpl w:val="76EEF44C"/>
    <w:lvl w:ilvl="0" w:tplc="82E651E0">
      <w:start w:val="23"/>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FD1B35"/>
    <w:multiLevelType w:val="multilevel"/>
    <w:tmpl w:val="06FA16E6"/>
    <w:lvl w:ilvl="0">
      <w:start w:val="1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A70034"/>
    <w:multiLevelType w:val="multilevel"/>
    <w:tmpl w:val="13E47EEC"/>
    <w:lvl w:ilvl="0">
      <w:start w:val="14"/>
      <w:numFmt w:val="decimal"/>
      <w:lvlText w:val="%1"/>
      <w:lvlJc w:val="left"/>
      <w:pPr>
        <w:tabs>
          <w:tab w:val="num" w:pos="495"/>
        </w:tabs>
        <w:ind w:left="495" w:hanging="495"/>
      </w:pPr>
    </w:lvl>
    <w:lvl w:ilvl="1">
      <w:start w:val="9"/>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12D81EF7"/>
    <w:multiLevelType w:val="hybridMultilevel"/>
    <w:tmpl w:val="511646B2"/>
    <w:lvl w:ilvl="0" w:tplc="504CD46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46F1EBA"/>
    <w:multiLevelType w:val="hybridMultilevel"/>
    <w:tmpl w:val="CAA24B7A"/>
    <w:lvl w:ilvl="0" w:tplc="64D6D068">
      <w:start w:val="1"/>
      <w:numFmt w:val="lowerLetter"/>
      <w:lvlText w:val="%1."/>
      <w:lvlJc w:val="left"/>
      <w:pPr>
        <w:tabs>
          <w:tab w:val="num" w:pos="900"/>
        </w:tabs>
        <w:ind w:left="900" w:hanging="360"/>
      </w:pPr>
      <w:rPr>
        <w:rFonts w:hint="default"/>
        <w:color w:val="008000"/>
      </w:rPr>
    </w:lvl>
    <w:lvl w:ilvl="1" w:tplc="0504CCC4">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161F57F9"/>
    <w:multiLevelType w:val="hybridMultilevel"/>
    <w:tmpl w:val="539E6BDA"/>
    <w:lvl w:ilvl="0" w:tplc="85127A6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8825C01"/>
    <w:multiLevelType w:val="multilevel"/>
    <w:tmpl w:val="B48E5A44"/>
    <w:lvl w:ilvl="0">
      <w:start w:val="14"/>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B04305E"/>
    <w:multiLevelType w:val="hybridMultilevel"/>
    <w:tmpl w:val="AA5C1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A65BF"/>
    <w:multiLevelType w:val="hybridMultilevel"/>
    <w:tmpl w:val="2C24EDF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Aria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Arial"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Arial" w:hint="default"/>
      </w:rPr>
    </w:lvl>
    <w:lvl w:ilvl="8" w:tplc="04090005" w:tentative="1">
      <w:start w:val="1"/>
      <w:numFmt w:val="bullet"/>
      <w:lvlText w:val=""/>
      <w:lvlJc w:val="left"/>
      <w:pPr>
        <w:ind w:left="7254" w:hanging="360"/>
      </w:pPr>
      <w:rPr>
        <w:rFonts w:ascii="Wingdings" w:hAnsi="Wingdings" w:hint="default"/>
      </w:rPr>
    </w:lvl>
  </w:abstractNum>
  <w:abstractNum w:abstractNumId="12">
    <w:nsid w:val="1ECD656B"/>
    <w:multiLevelType w:val="multilevel"/>
    <w:tmpl w:val="0826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605F69"/>
    <w:multiLevelType w:val="multilevel"/>
    <w:tmpl w:val="0A7EE9E2"/>
    <w:lvl w:ilvl="0">
      <w:start w:val="1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263045C4"/>
    <w:multiLevelType w:val="hybridMultilevel"/>
    <w:tmpl w:val="6F0E0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7936A9"/>
    <w:multiLevelType w:val="hybridMultilevel"/>
    <w:tmpl w:val="CF14BF58"/>
    <w:lvl w:ilvl="0" w:tplc="76FE7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973689"/>
    <w:multiLevelType w:val="hybridMultilevel"/>
    <w:tmpl w:val="DD0A4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2A3ADA"/>
    <w:multiLevelType w:val="multilevel"/>
    <w:tmpl w:val="EEEC887E"/>
    <w:lvl w:ilvl="0">
      <w:start w:val="14"/>
      <w:numFmt w:val="decimal"/>
      <w:lvlText w:val="%1"/>
      <w:lvlJc w:val="left"/>
      <w:pPr>
        <w:tabs>
          <w:tab w:val="num" w:pos="384"/>
        </w:tabs>
        <w:ind w:left="384" w:hanging="384"/>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0D764BD"/>
    <w:multiLevelType w:val="hybridMultilevel"/>
    <w:tmpl w:val="9E7A4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207D05"/>
    <w:multiLevelType w:val="hybridMultilevel"/>
    <w:tmpl w:val="D0F4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5161F"/>
    <w:multiLevelType w:val="hybridMultilevel"/>
    <w:tmpl w:val="4006B224"/>
    <w:lvl w:ilvl="0" w:tplc="B44657EA">
      <w:start w:val="2"/>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3A5C1222"/>
    <w:multiLevelType w:val="hybridMultilevel"/>
    <w:tmpl w:val="9FCCD8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C16FF4"/>
    <w:multiLevelType w:val="hybridMultilevel"/>
    <w:tmpl w:val="E3CE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9818F4"/>
    <w:multiLevelType w:val="hybridMultilevel"/>
    <w:tmpl w:val="06FC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27D5A"/>
    <w:multiLevelType w:val="hybridMultilevel"/>
    <w:tmpl w:val="8174A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CA4CBC"/>
    <w:multiLevelType w:val="multilevel"/>
    <w:tmpl w:val="12FA60AE"/>
    <w:lvl w:ilvl="0">
      <w:start w:val="26"/>
      <w:numFmt w:val="decimal"/>
      <w:lvlText w:val="%1"/>
      <w:lvlJc w:val="left"/>
      <w:pPr>
        <w:tabs>
          <w:tab w:val="num" w:pos="495"/>
        </w:tabs>
        <w:ind w:left="495" w:hanging="495"/>
      </w:pPr>
    </w:lvl>
    <w:lvl w:ilvl="1">
      <w:start w:val="9"/>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nsid w:val="528A4890"/>
    <w:multiLevelType w:val="multilevel"/>
    <w:tmpl w:val="212E694A"/>
    <w:lvl w:ilvl="0">
      <w:start w:val="26"/>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768043C"/>
    <w:multiLevelType w:val="hybridMultilevel"/>
    <w:tmpl w:val="9B626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6C20E6"/>
    <w:multiLevelType w:val="hybridMultilevel"/>
    <w:tmpl w:val="A008FC14"/>
    <w:lvl w:ilvl="0" w:tplc="F38036C6">
      <w:start w:val="1"/>
      <w:numFmt w:val="bullet"/>
      <w:lvlText w:val=""/>
      <w:lvlJc w:val="left"/>
      <w:pPr>
        <w:ind w:left="1494" w:hanging="360"/>
      </w:pPr>
      <w:rPr>
        <w:rFonts w:ascii="Symbol" w:hAnsi="Symbol" w:hint="default"/>
        <w:sz w:val="20"/>
      </w:rPr>
    </w:lvl>
    <w:lvl w:ilvl="1" w:tplc="04090003" w:tentative="1">
      <w:start w:val="1"/>
      <w:numFmt w:val="bullet"/>
      <w:lvlText w:val="o"/>
      <w:lvlJc w:val="left"/>
      <w:pPr>
        <w:ind w:left="2214" w:hanging="360"/>
      </w:pPr>
      <w:rPr>
        <w:rFonts w:ascii="Courier New" w:hAnsi="Courier New" w:cs="Aria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Arial"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Arial" w:hint="default"/>
      </w:rPr>
    </w:lvl>
    <w:lvl w:ilvl="8" w:tplc="04090005" w:tentative="1">
      <w:start w:val="1"/>
      <w:numFmt w:val="bullet"/>
      <w:lvlText w:val=""/>
      <w:lvlJc w:val="left"/>
      <w:pPr>
        <w:ind w:left="7254" w:hanging="360"/>
      </w:pPr>
      <w:rPr>
        <w:rFonts w:ascii="Wingdings" w:hAnsi="Wingdings" w:hint="default"/>
      </w:rPr>
    </w:lvl>
  </w:abstractNum>
  <w:abstractNum w:abstractNumId="29">
    <w:nsid w:val="59642D21"/>
    <w:multiLevelType w:val="hybridMultilevel"/>
    <w:tmpl w:val="35BA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5B7E6B"/>
    <w:multiLevelType w:val="hybridMultilevel"/>
    <w:tmpl w:val="137E156E"/>
    <w:lvl w:ilvl="0" w:tplc="83A49FB4">
      <w:start w:val="1"/>
      <w:numFmt w:val="decimal"/>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815CFA"/>
    <w:multiLevelType w:val="hybridMultilevel"/>
    <w:tmpl w:val="485E9A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nsid w:val="5DD2120D"/>
    <w:multiLevelType w:val="multilevel"/>
    <w:tmpl w:val="B256FCD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842707"/>
    <w:multiLevelType w:val="multilevel"/>
    <w:tmpl w:val="FABE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DA1EDD"/>
    <w:multiLevelType w:val="hybridMultilevel"/>
    <w:tmpl w:val="3C0289CA"/>
    <w:lvl w:ilvl="0" w:tplc="73CE434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nsid w:val="64C34945"/>
    <w:multiLevelType w:val="multilevel"/>
    <w:tmpl w:val="59E28AAA"/>
    <w:lvl w:ilvl="0">
      <w:start w:val="16"/>
      <w:numFmt w:val="decimal"/>
      <w:lvlText w:val="%1"/>
      <w:lvlJc w:val="left"/>
      <w:pPr>
        <w:tabs>
          <w:tab w:val="num" w:pos="384"/>
        </w:tabs>
        <w:ind w:left="384" w:hanging="384"/>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7143EAF"/>
    <w:multiLevelType w:val="hybridMultilevel"/>
    <w:tmpl w:val="859AC33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BC82AFE"/>
    <w:multiLevelType w:val="hybridMultilevel"/>
    <w:tmpl w:val="3CC0EF2E"/>
    <w:lvl w:ilvl="0" w:tplc="0D5858EE">
      <w:start w:val="12"/>
      <w:numFmt w:val="bullet"/>
      <w:lvlText w:val="-"/>
      <w:lvlJc w:val="left"/>
      <w:pPr>
        <w:tabs>
          <w:tab w:val="num" w:pos="1143"/>
        </w:tabs>
        <w:ind w:left="1143" w:hanging="576"/>
      </w:pPr>
      <w:rPr>
        <w:rFonts w:ascii="Garamond" w:eastAsia="Times New Roman" w:hAnsi="Garamond" w:cs="Times New Roman" w:hint="default"/>
      </w:rPr>
    </w:lvl>
    <w:lvl w:ilvl="1" w:tplc="04090003" w:tentative="1">
      <w:start w:val="1"/>
      <w:numFmt w:val="bullet"/>
      <w:lvlText w:val="o"/>
      <w:lvlJc w:val="left"/>
      <w:pPr>
        <w:tabs>
          <w:tab w:val="num" w:pos="1647"/>
        </w:tabs>
        <w:ind w:left="1647" w:hanging="360"/>
      </w:pPr>
      <w:rPr>
        <w:rFonts w:ascii="Courier New" w:hAnsi="Courier New" w:cs="Symbol"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Symbol"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Symbol"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8">
    <w:nsid w:val="6E935187"/>
    <w:multiLevelType w:val="hybridMultilevel"/>
    <w:tmpl w:val="1BC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8440FA"/>
    <w:multiLevelType w:val="multilevel"/>
    <w:tmpl w:val="082CC884"/>
    <w:lvl w:ilvl="0">
      <w:start w:val="14"/>
      <w:numFmt w:val="decimal"/>
      <w:lvlText w:val="%1"/>
      <w:lvlJc w:val="left"/>
      <w:pPr>
        <w:tabs>
          <w:tab w:val="num" w:pos="495"/>
        </w:tabs>
        <w:ind w:left="495" w:hanging="495"/>
      </w:pPr>
    </w:lvl>
    <w:lvl w:ilvl="1">
      <w:start w:val="5"/>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0">
    <w:nsid w:val="73001EA3"/>
    <w:multiLevelType w:val="hybridMultilevel"/>
    <w:tmpl w:val="5470B1F4"/>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115637"/>
    <w:multiLevelType w:val="hybridMultilevel"/>
    <w:tmpl w:val="12767A9A"/>
    <w:lvl w:ilvl="0" w:tplc="CB481C54">
      <w:start w:val="1"/>
      <w:numFmt w:val="lowerLetter"/>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nsid w:val="7E3B665A"/>
    <w:multiLevelType w:val="multilevel"/>
    <w:tmpl w:val="BF584558"/>
    <w:lvl w:ilvl="0">
      <w:start w:val="14"/>
      <w:numFmt w:val="decimal"/>
      <w:lvlText w:val="%1"/>
      <w:lvlJc w:val="left"/>
      <w:pPr>
        <w:tabs>
          <w:tab w:val="num" w:pos="600"/>
        </w:tabs>
        <w:ind w:left="600" w:hanging="600"/>
      </w:pPr>
    </w:lvl>
    <w:lvl w:ilvl="1">
      <w:start w:val="15"/>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40"/>
  </w:num>
  <w:num w:numId="2">
    <w:abstractNumId w:val="21"/>
  </w:num>
  <w:num w:numId="3">
    <w:abstractNumId w:val="24"/>
  </w:num>
  <w:num w:numId="4">
    <w:abstractNumId w:val="16"/>
  </w:num>
  <w:num w:numId="5">
    <w:abstractNumId w:val="32"/>
  </w:num>
  <w:num w:numId="6">
    <w:abstractNumId w:val="37"/>
  </w:num>
  <w:num w:numId="7">
    <w:abstractNumId w:val="9"/>
  </w:num>
  <w:num w:numId="8">
    <w:abstractNumId w:val="7"/>
  </w:num>
  <w:num w:numId="9">
    <w:abstractNumId w:val="15"/>
  </w:num>
  <w:num w:numId="10">
    <w:abstractNumId w:val="4"/>
  </w:num>
  <w:num w:numId="11">
    <w:abstractNumId w:val="36"/>
  </w:num>
  <w:num w:numId="12">
    <w:abstractNumId w:val="41"/>
  </w:num>
  <w:num w:numId="13">
    <w:abstractNumId w:val="8"/>
  </w:num>
  <w:num w:numId="14">
    <w:abstractNumId w:val="6"/>
  </w:num>
  <w:num w:numId="15">
    <w:abstractNumId w:val="17"/>
  </w:num>
  <w:num w:numId="16">
    <w:abstractNumId w:val="35"/>
  </w:num>
  <w:num w:numId="17">
    <w:abstractNumId w:val="26"/>
  </w:num>
  <w:num w:numId="18">
    <w:abstractNumId w:val="3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2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 w:numId="26">
    <w:abstractNumId w:val="1"/>
  </w:num>
  <w:num w:numId="27">
    <w:abstractNumId w:val="33"/>
  </w:num>
  <w:num w:numId="28">
    <w:abstractNumId w:val="12"/>
  </w:num>
  <w:num w:numId="29">
    <w:abstractNumId w:val="18"/>
  </w:num>
  <w:num w:numId="30">
    <w:abstractNumId w:val="14"/>
  </w:num>
  <w:num w:numId="31">
    <w:abstractNumId w:val="29"/>
  </w:num>
  <w:num w:numId="32">
    <w:abstractNumId w:val="19"/>
  </w:num>
  <w:num w:numId="33">
    <w:abstractNumId w:val="34"/>
  </w:num>
  <w:num w:numId="34">
    <w:abstractNumId w:val="22"/>
  </w:num>
  <w:num w:numId="35">
    <w:abstractNumId w:val="0"/>
  </w:num>
  <w:num w:numId="36">
    <w:abstractNumId w:val="10"/>
  </w:num>
  <w:num w:numId="37">
    <w:abstractNumId w:val="38"/>
  </w:num>
  <w:num w:numId="38">
    <w:abstractNumId w:val="23"/>
  </w:num>
  <w:num w:numId="39">
    <w:abstractNumId w:val="30"/>
  </w:num>
  <w:num w:numId="40">
    <w:abstractNumId w:val="11"/>
  </w:num>
  <w:num w:numId="41">
    <w:abstractNumId w:val="28"/>
  </w:num>
  <w:num w:numId="42">
    <w:abstractNumId w:val="27"/>
  </w:num>
  <w:num w:numId="43">
    <w:abstractNumId w:val="31"/>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D9D"/>
    <w:rsid w:val="00004FD1"/>
    <w:rsid w:val="00006AED"/>
    <w:rsid w:val="0002556B"/>
    <w:rsid w:val="000334A3"/>
    <w:rsid w:val="000365D7"/>
    <w:rsid w:val="00044588"/>
    <w:rsid w:val="000A30EF"/>
    <w:rsid w:val="000A7157"/>
    <w:rsid w:val="000A7CDB"/>
    <w:rsid w:val="000A7D7F"/>
    <w:rsid w:val="000B26D3"/>
    <w:rsid w:val="000C3E5D"/>
    <w:rsid w:val="000E0323"/>
    <w:rsid w:val="000F729D"/>
    <w:rsid w:val="0010113F"/>
    <w:rsid w:val="00133C00"/>
    <w:rsid w:val="00150DBB"/>
    <w:rsid w:val="00152E3C"/>
    <w:rsid w:val="0015666F"/>
    <w:rsid w:val="001667B3"/>
    <w:rsid w:val="00167933"/>
    <w:rsid w:val="00173FA7"/>
    <w:rsid w:val="001923A5"/>
    <w:rsid w:val="0019401F"/>
    <w:rsid w:val="001C7D04"/>
    <w:rsid w:val="001D03B1"/>
    <w:rsid w:val="001E78AC"/>
    <w:rsid w:val="001F24FA"/>
    <w:rsid w:val="00204E8C"/>
    <w:rsid w:val="00211D5E"/>
    <w:rsid w:val="00223492"/>
    <w:rsid w:val="00235D06"/>
    <w:rsid w:val="00241FA1"/>
    <w:rsid w:val="002521E9"/>
    <w:rsid w:val="0025756D"/>
    <w:rsid w:val="002604E6"/>
    <w:rsid w:val="00260AF4"/>
    <w:rsid w:val="00262C9D"/>
    <w:rsid w:val="00285449"/>
    <w:rsid w:val="00290A83"/>
    <w:rsid w:val="00293728"/>
    <w:rsid w:val="002B2B86"/>
    <w:rsid w:val="002D0441"/>
    <w:rsid w:val="002E257F"/>
    <w:rsid w:val="002E3881"/>
    <w:rsid w:val="002E73A8"/>
    <w:rsid w:val="00314C1E"/>
    <w:rsid w:val="00326AD1"/>
    <w:rsid w:val="00341D40"/>
    <w:rsid w:val="003603D0"/>
    <w:rsid w:val="00370EDC"/>
    <w:rsid w:val="00391E0E"/>
    <w:rsid w:val="00393420"/>
    <w:rsid w:val="003B7B1C"/>
    <w:rsid w:val="003C6AAA"/>
    <w:rsid w:val="003E3C96"/>
    <w:rsid w:val="003F309D"/>
    <w:rsid w:val="003F7A3B"/>
    <w:rsid w:val="0041167B"/>
    <w:rsid w:val="00427F1F"/>
    <w:rsid w:val="00494E10"/>
    <w:rsid w:val="00496282"/>
    <w:rsid w:val="004A3A9B"/>
    <w:rsid w:val="004B597B"/>
    <w:rsid w:val="004E33DC"/>
    <w:rsid w:val="005100CD"/>
    <w:rsid w:val="00520248"/>
    <w:rsid w:val="00524E57"/>
    <w:rsid w:val="00537DC2"/>
    <w:rsid w:val="005410BE"/>
    <w:rsid w:val="005441CE"/>
    <w:rsid w:val="00554FED"/>
    <w:rsid w:val="00564EE8"/>
    <w:rsid w:val="005826E0"/>
    <w:rsid w:val="005A05B9"/>
    <w:rsid w:val="005C1815"/>
    <w:rsid w:val="005F2612"/>
    <w:rsid w:val="005F6979"/>
    <w:rsid w:val="006018B5"/>
    <w:rsid w:val="00607E86"/>
    <w:rsid w:val="0062018C"/>
    <w:rsid w:val="00641C7B"/>
    <w:rsid w:val="00641DA3"/>
    <w:rsid w:val="00667479"/>
    <w:rsid w:val="00684539"/>
    <w:rsid w:val="0069724F"/>
    <w:rsid w:val="006B5AD8"/>
    <w:rsid w:val="006F53E8"/>
    <w:rsid w:val="0070040D"/>
    <w:rsid w:val="0072177A"/>
    <w:rsid w:val="007242AE"/>
    <w:rsid w:val="0073092B"/>
    <w:rsid w:val="00743901"/>
    <w:rsid w:val="0075705E"/>
    <w:rsid w:val="007654CB"/>
    <w:rsid w:val="00766996"/>
    <w:rsid w:val="00770B39"/>
    <w:rsid w:val="00771A59"/>
    <w:rsid w:val="007826E0"/>
    <w:rsid w:val="00792244"/>
    <w:rsid w:val="007B728C"/>
    <w:rsid w:val="007B7C95"/>
    <w:rsid w:val="007C5B75"/>
    <w:rsid w:val="007E1DC6"/>
    <w:rsid w:val="007E4D5D"/>
    <w:rsid w:val="007F00A9"/>
    <w:rsid w:val="007F2E09"/>
    <w:rsid w:val="00811D49"/>
    <w:rsid w:val="00812D10"/>
    <w:rsid w:val="00856D0E"/>
    <w:rsid w:val="00866C39"/>
    <w:rsid w:val="00875E2A"/>
    <w:rsid w:val="00876450"/>
    <w:rsid w:val="00882A11"/>
    <w:rsid w:val="00897531"/>
    <w:rsid w:val="008B2880"/>
    <w:rsid w:val="008C40C7"/>
    <w:rsid w:val="008C71B1"/>
    <w:rsid w:val="008D6FBA"/>
    <w:rsid w:val="008E3EAD"/>
    <w:rsid w:val="008E5000"/>
    <w:rsid w:val="00920234"/>
    <w:rsid w:val="0094312C"/>
    <w:rsid w:val="00945D26"/>
    <w:rsid w:val="00945F1C"/>
    <w:rsid w:val="00950216"/>
    <w:rsid w:val="00964BCB"/>
    <w:rsid w:val="00971341"/>
    <w:rsid w:val="009773EC"/>
    <w:rsid w:val="009832C2"/>
    <w:rsid w:val="00990872"/>
    <w:rsid w:val="009A3217"/>
    <w:rsid w:val="009A5BF0"/>
    <w:rsid w:val="009B0F1E"/>
    <w:rsid w:val="009B1070"/>
    <w:rsid w:val="009C1EC5"/>
    <w:rsid w:val="009F25C5"/>
    <w:rsid w:val="00A072F1"/>
    <w:rsid w:val="00A14A5A"/>
    <w:rsid w:val="00A273C0"/>
    <w:rsid w:val="00A5446F"/>
    <w:rsid w:val="00A7416E"/>
    <w:rsid w:val="00A86E76"/>
    <w:rsid w:val="00A91525"/>
    <w:rsid w:val="00AA1F6B"/>
    <w:rsid w:val="00AA4A7C"/>
    <w:rsid w:val="00AA5278"/>
    <w:rsid w:val="00AA66B9"/>
    <w:rsid w:val="00AC55E6"/>
    <w:rsid w:val="00AD067B"/>
    <w:rsid w:val="00AD3D9E"/>
    <w:rsid w:val="00AE6E7B"/>
    <w:rsid w:val="00AF520E"/>
    <w:rsid w:val="00B306C4"/>
    <w:rsid w:val="00B40201"/>
    <w:rsid w:val="00B44A64"/>
    <w:rsid w:val="00B469E0"/>
    <w:rsid w:val="00B51787"/>
    <w:rsid w:val="00B6362D"/>
    <w:rsid w:val="00B6767E"/>
    <w:rsid w:val="00BA1BFB"/>
    <w:rsid w:val="00BC697D"/>
    <w:rsid w:val="00BD4BC8"/>
    <w:rsid w:val="00BF2CA4"/>
    <w:rsid w:val="00C0756D"/>
    <w:rsid w:val="00C160EF"/>
    <w:rsid w:val="00C24E73"/>
    <w:rsid w:val="00C24FE1"/>
    <w:rsid w:val="00C31D14"/>
    <w:rsid w:val="00C34133"/>
    <w:rsid w:val="00C37DBB"/>
    <w:rsid w:val="00C60110"/>
    <w:rsid w:val="00C87DC0"/>
    <w:rsid w:val="00C94FA8"/>
    <w:rsid w:val="00CA0CD7"/>
    <w:rsid w:val="00CA2889"/>
    <w:rsid w:val="00CE5A84"/>
    <w:rsid w:val="00D12369"/>
    <w:rsid w:val="00D20DBE"/>
    <w:rsid w:val="00D2373F"/>
    <w:rsid w:val="00D628EC"/>
    <w:rsid w:val="00D860E9"/>
    <w:rsid w:val="00D93924"/>
    <w:rsid w:val="00DA678C"/>
    <w:rsid w:val="00DB7369"/>
    <w:rsid w:val="00DC3520"/>
    <w:rsid w:val="00DC7529"/>
    <w:rsid w:val="00DD29C8"/>
    <w:rsid w:val="00DD62A1"/>
    <w:rsid w:val="00DF4E55"/>
    <w:rsid w:val="00E10E30"/>
    <w:rsid w:val="00E12DD0"/>
    <w:rsid w:val="00E223AA"/>
    <w:rsid w:val="00E24952"/>
    <w:rsid w:val="00E33904"/>
    <w:rsid w:val="00E60DC9"/>
    <w:rsid w:val="00E7310F"/>
    <w:rsid w:val="00EA549C"/>
    <w:rsid w:val="00EB63F1"/>
    <w:rsid w:val="00ED12DF"/>
    <w:rsid w:val="00ED3823"/>
    <w:rsid w:val="00ED7B50"/>
    <w:rsid w:val="00F36482"/>
    <w:rsid w:val="00F40D9E"/>
    <w:rsid w:val="00F4142F"/>
    <w:rsid w:val="00F7129C"/>
    <w:rsid w:val="00F841FC"/>
    <w:rsid w:val="00F97811"/>
    <w:rsid w:val="00FB72DE"/>
    <w:rsid w:val="00FC5F81"/>
    <w:rsid w:val="00FE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1D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64A"/>
    <w:rPr>
      <w:sz w:val="24"/>
      <w:szCs w:val="24"/>
      <w:lang w:val="en-US" w:eastAsia="en-US"/>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link w:val="FooterChar"/>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basedOn w:val="DefaultParagraphFont"/>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basedOn w:val="DefaultParagraphFont"/>
    <w:semiHidden/>
    <w:rsid w:val="00C22C92"/>
    <w:rPr>
      <w:vertAlign w:val="superscript"/>
    </w:rPr>
  </w:style>
  <w:style w:type="paragraph" w:styleId="Header">
    <w:name w:val="header"/>
    <w:basedOn w:val="Normal"/>
    <w:link w:val="HeaderChar"/>
    <w:uiPriority w:val="99"/>
    <w:rsid w:val="002F381C"/>
    <w:pPr>
      <w:tabs>
        <w:tab w:val="center" w:pos="4320"/>
        <w:tab w:val="right" w:pos="8640"/>
      </w:tabs>
    </w:pPr>
  </w:style>
  <w:style w:type="paragraph" w:styleId="EndnoteText">
    <w:name w:val="endnote text"/>
    <w:basedOn w:val="Normal"/>
    <w:link w:val="EndnoteTextChar"/>
    <w:rsid w:val="00E536CA"/>
    <w:rPr>
      <w:sz w:val="20"/>
      <w:szCs w:val="20"/>
    </w:rPr>
  </w:style>
  <w:style w:type="character" w:customStyle="1" w:styleId="EndnoteTextChar">
    <w:name w:val="Endnote Text Char"/>
    <w:basedOn w:val="DefaultParagraphFont"/>
    <w:link w:val="EndnoteText"/>
    <w:rsid w:val="00E536CA"/>
  </w:style>
  <w:style w:type="character" w:styleId="EndnoteReference">
    <w:name w:val="endnote reference"/>
    <w:basedOn w:val="DefaultParagraphFont"/>
    <w:rsid w:val="00E536CA"/>
    <w:rPr>
      <w:vertAlign w:val="superscript"/>
    </w:rPr>
  </w:style>
  <w:style w:type="paragraph" w:customStyle="1" w:styleId="Default">
    <w:name w:val="Default"/>
    <w:rsid w:val="00E536CA"/>
    <w:pPr>
      <w:autoSpaceDE w:val="0"/>
      <w:autoSpaceDN w:val="0"/>
      <w:adjustRightInd w:val="0"/>
    </w:pPr>
    <w:rPr>
      <w:color w:val="000000"/>
      <w:sz w:val="24"/>
      <w:szCs w:val="24"/>
      <w:lang w:val="en-US" w:eastAsia="en-US"/>
    </w:rPr>
  </w:style>
  <w:style w:type="paragraph" w:customStyle="1" w:styleId="MediumGrid1-Accent21">
    <w:name w:val="Medium Grid 1 - Accent 21"/>
    <w:basedOn w:val="Normal"/>
    <w:uiPriority w:val="34"/>
    <w:qFormat/>
    <w:rsid w:val="00FF77D6"/>
    <w:pPr>
      <w:ind w:left="720"/>
    </w:pPr>
  </w:style>
  <w:style w:type="table" w:styleId="TableGrid">
    <w:name w:val="Table Grid"/>
    <w:basedOn w:val="TableNormal"/>
    <w:rsid w:val="000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6EFC"/>
    <w:rPr>
      <w:b/>
      <w:bCs/>
      <w:i w:val="0"/>
      <w:iCs w:val="0"/>
    </w:rPr>
  </w:style>
  <w:style w:type="character" w:customStyle="1" w:styleId="st1">
    <w:name w:val="st1"/>
    <w:basedOn w:val="DefaultParagraphFont"/>
    <w:rsid w:val="00326EFC"/>
  </w:style>
  <w:style w:type="character" w:styleId="Hyperlink">
    <w:name w:val="Hyperlink"/>
    <w:basedOn w:val="DefaultParagraphFont"/>
    <w:rsid w:val="00326EFC"/>
    <w:rPr>
      <w:color w:val="0000FF"/>
      <w:u w:val="single"/>
    </w:rPr>
  </w:style>
  <w:style w:type="paragraph" w:customStyle="1" w:styleId="ColorfulList-Accent11">
    <w:name w:val="Colorful List - Accent 11"/>
    <w:basedOn w:val="Normal"/>
    <w:uiPriority w:val="34"/>
    <w:qFormat/>
    <w:rsid w:val="00DF5A86"/>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99"/>
    <w:semiHidden/>
    <w:rsid w:val="002E2A6A"/>
    <w:rPr>
      <w:sz w:val="24"/>
      <w:szCs w:val="24"/>
      <w:lang w:val="en-US" w:eastAsia="en-US"/>
    </w:rPr>
  </w:style>
  <w:style w:type="paragraph" w:styleId="Revision">
    <w:name w:val="Revision"/>
    <w:hidden/>
    <w:uiPriority w:val="99"/>
    <w:semiHidden/>
    <w:rsid w:val="007242AE"/>
    <w:rPr>
      <w:sz w:val="24"/>
      <w:szCs w:val="24"/>
      <w:lang w:val="en-US" w:eastAsia="en-US"/>
    </w:rPr>
  </w:style>
  <w:style w:type="paragraph" w:styleId="ListParagraph">
    <w:name w:val="List Paragraph"/>
    <w:basedOn w:val="Normal"/>
    <w:uiPriority w:val="34"/>
    <w:qFormat/>
    <w:rsid w:val="00E33904"/>
    <w:pPr>
      <w:ind w:left="720"/>
    </w:pPr>
  </w:style>
  <w:style w:type="character" w:customStyle="1" w:styleId="HeaderChar">
    <w:name w:val="Header Char"/>
    <w:basedOn w:val="DefaultParagraphFont"/>
    <w:link w:val="Header"/>
    <w:uiPriority w:val="99"/>
    <w:rsid w:val="00C94FA8"/>
    <w:rPr>
      <w:sz w:val="24"/>
      <w:szCs w:val="24"/>
    </w:rPr>
  </w:style>
  <w:style w:type="character" w:customStyle="1" w:styleId="FooterChar">
    <w:name w:val="Footer Char"/>
    <w:basedOn w:val="DefaultParagraphFont"/>
    <w:link w:val="Footer"/>
    <w:rsid w:val="00F4142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64A"/>
    <w:rPr>
      <w:sz w:val="24"/>
      <w:szCs w:val="24"/>
      <w:lang w:val="en-US" w:eastAsia="en-US"/>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link w:val="FooterChar"/>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basedOn w:val="DefaultParagraphFont"/>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basedOn w:val="DefaultParagraphFont"/>
    <w:semiHidden/>
    <w:rsid w:val="00C22C92"/>
    <w:rPr>
      <w:vertAlign w:val="superscript"/>
    </w:rPr>
  </w:style>
  <w:style w:type="paragraph" w:styleId="Header">
    <w:name w:val="header"/>
    <w:basedOn w:val="Normal"/>
    <w:link w:val="HeaderChar"/>
    <w:uiPriority w:val="99"/>
    <w:rsid w:val="002F381C"/>
    <w:pPr>
      <w:tabs>
        <w:tab w:val="center" w:pos="4320"/>
        <w:tab w:val="right" w:pos="8640"/>
      </w:tabs>
    </w:pPr>
  </w:style>
  <w:style w:type="paragraph" w:styleId="EndnoteText">
    <w:name w:val="endnote text"/>
    <w:basedOn w:val="Normal"/>
    <w:link w:val="EndnoteTextChar"/>
    <w:rsid w:val="00E536CA"/>
    <w:rPr>
      <w:sz w:val="20"/>
      <w:szCs w:val="20"/>
    </w:rPr>
  </w:style>
  <w:style w:type="character" w:customStyle="1" w:styleId="EndnoteTextChar">
    <w:name w:val="Endnote Text Char"/>
    <w:basedOn w:val="DefaultParagraphFont"/>
    <w:link w:val="EndnoteText"/>
    <w:rsid w:val="00E536CA"/>
  </w:style>
  <w:style w:type="character" w:styleId="EndnoteReference">
    <w:name w:val="endnote reference"/>
    <w:basedOn w:val="DefaultParagraphFont"/>
    <w:rsid w:val="00E536CA"/>
    <w:rPr>
      <w:vertAlign w:val="superscript"/>
    </w:rPr>
  </w:style>
  <w:style w:type="paragraph" w:customStyle="1" w:styleId="Default">
    <w:name w:val="Default"/>
    <w:rsid w:val="00E536CA"/>
    <w:pPr>
      <w:autoSpaceDE w:val="0"/>
      <w:autoSpaceDN w:val="0"/>
      <w:adjustRightInd w:val="0"/>
    </w:pPr>
    <w:rPr>
      <w:color w:val="000000"/>
      <w:sz w:val="24"/>
      <w:szCs w:val="24"/>
      <w:lang w:val="en-US" w:eastAsia="en-US"/>
    </w:rPr>
  </w:style>
  <w:style w:type="paragraph" w:customStyle="1" w:styleId="MediumGrid1-Accent21">
    <w:name w:val="Medium Grid 1 - Accent 21"/>
    <w:basedOn w:val="Normal"/>
    <w:uiPriority w:val="34"/>
    <w:qFormat/>
    <w:rsid w:val="00FF77D6"/>
    <w:pPr>
      <w:ind w:left="720"/>
    </w:pPr>
  </w:style>
  <w:style w:type="table" w:styleId="TableGrid">
    <w:name w:val="Table Grid"/>
    <w:basedOn w:val="TableNormal"/>
    <w:rsid w:val="000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6EFC"/>
    <w:rPr>
      <w:b/>
      <w:bCs/>
      <w:i w:val="0"/>
      <w:iCs w:val="0"/>
    </w:rPr>
  </w:style>
  <w:style w:type="character" w:customStyle="1" w:styleId="st1">
    <w:name w:val="st1"/>
    <w:basedOn w:val="DefaultParagraphFont"/>
    <w:rsid w:val="00326EFC"/>
  </w:style>
  <w:style w:type="character" w:styleId="Hyperlink">
    <w:name w:val="Hyperlink"/>
    <w:basedOn w:val="DefaultParagraphFont"/>
    <w:rsid w:val="00326EFC"/>
    <w:rPr>
      <w:color w:val="0000FF"/>
      <w:u w:val="single"/>
    </w:rPr>
  </w:style>
  <w:style w:type="paragraph" w:customStyle="1" w:styleId="ColorfulList-Accent11">
    <w:name w:val="Colorful List - Accent 11"/>
    <w:basedOn w:val="Normal"/>
    <w:uiPriority w:val="34"/>
    <w:qFormat/>
    <w:rsid w:val="00DF5A86"/>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99"/>
    <w:semiHidden/>
    <w:rsid w:val="002E2A6A"/>
    <w:rPr>
      <w:sz w:val="24"/>
      <w:szCs w:val="24"/>
      <w:lang w:val="en-US" w:eastAsia="en-US"/>
    </w:rPr>
  </w:style>
  <w:style w:type="paragraph" w:styleId="Revision">
    <w:name w:val="Revision"/>
    <w:hidden/>
    <w:uiPriority w:val="99"/>
    <w:semiHidden/>
    <w:rsid w:val="007242AE"/>
    <w:rPr>
      <w:sz w:val="24"/>
      <w:szCs w:val="24"/>
      <w:lang w:val="en-US" w:eastAsia="en-US"/>
    </w:rPr>
  </w:style>
  <w:style w:type="paragraph" w:styleId="ListParagraph">
    <w:name w:val="List Paragraph"/>
    <w:basedOn w:val="Normal"/>
    <w:uiPriority w:val="34"/>
    <w:qFormat/>
    <w:rsid w:val="00E33904"/>
    <w:pPr>
      <w:ind w:left="720"/>
    </w:pPr>
  </w:style>
  <w:style w:type="character" w:customStyle="1" w:styleId="HeaderChar">
    <w:name w:val="Header Char"/>
    <w:basedOn w:val="DefaultParagraphFont"/>
    <w:link w:val="Header"/>
    <w:uiPriority w:val="99"/>
    <w:rsid w:val="00C94FA8"/>
    <w:rPr>
      <w:sz w:val="24"/>
      <w:szCs w:val="24"/>
    </w:rPr>
  </w:style>
  <w:style w:type="character" w:customStyle="1" w:styleId="FooterChar">
    <w:name w:val="Footer Char"/>
    <w:basedOn w:val="DefaultParagraphFont"/>
    <w:link w:val="Footer"/>
    <w:rsid w:val="00F4142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4290">
      <w:bodyDiv w:val="1"/>
      <w:marLeft w:val="0"/>
      <w:marRight w:val="0"/>
      <w:marTop w:val="0"/>
      <w:marBottom w:val="0"/>
      <w:divBdr>
        <w:top w:val="none" w:sz="0" w:space="0" w:color="auto"/>
        <w:left w:val="none" w:sz="0" w:space="0" w:color="auto"/>
        <w:bottom w:val="none" w:sz="0" w:space="0" w:color="auto"/>
        <w:right w:val="none" w:sz="0" w:space="0" w:color="auto"/>
      </w:divBdr>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200752381">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17009150">
      <w:bodyDiv w:val="1"/>
      <w:marLeft w:val="0"/>
      <w:marRight w:val="0"/>
      <w:marTop w:val="0"/>
      <w:marBottom w:val="0"/>
      <w:divBdr>
        <w:top w:val="none" w:sz="0" w:space="0" w:color="auto"/>
        <w:left w:val="none" w:sz="0" w:space="0" w:color="auto"/>
        <w:bottom w:val="none" w:sz="0" w:space="0" w:color="auto"/>
        <w:right w:val="none" w:sz="0" w:space="0" w:color="auto"/>
      </w:divBdr>
    </w:div>
    <w:div w:id="264307518">
      <w:bodyDiv w:val="1"/>
      <w:marLeft w:val="0"/>
      <w:marRight w:val="0"/>
      <w:marTop w:val="0"/>
      <w:marBottom w:val="0"/>
      <w:divBdr>
        <w:top w:val="none" w:sz="0" w:space="0" w:color="auto"/>
        <w:left w:val="none" w:sz="0" w:space="0" w:color="auto"/>
        <w:bottom w:val="none" w:sz="0" w:space="0" w:color="auto"/>
        <w:right w:val="none" w:sz="0" w:space="0" w:color="auto"/>
      </w:divBdr>
    </w:div>
    <w:div w:id="281348213">
      <w:bodyDiv w:val="1"/>
      <w:marLeft w:val="0"/>
      <w:marRight w:val="0"/>
      <w:marTop w:val="0"/>
      <w:marBottom w:val="0"/>
      <w:divBdr>
        <w:top w:val="none" w:sz="0" w:space="0" w:color="auto"/>
        <w:left w:val="none" w:sz="0" w:space="0" w:color="auto"/>
        <w:bottom w:val="none" w:sz="0" w:space="0" w:color="auto"/>
        <w:right w:val="none" w:sz="0" w:space="0" w:color="auto"/>
      </w:divBdr>
    </w:div>
    <w:div w:id="282543176">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65181108">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10590676">
      <w:bodyDiv w:val="1"/>
      <w:marLeft w:val="0"/>
      <w:marRight w:val="0"/>
      <w:marTop w:val="0"/>
      <w:marBottom w:val="0"/>
      <w:divBdr>
        <w:top w:val="none" w:sz="0" w:space="0" w:color="auto"/>
        <w:left w:val="none" w:sz="0" w:space="0" w:color="auto"/>
        <w:bottom w:val="none" w:sz="0" w:space="0" w:color="auto"/>
        <w:right w:val="none" w:sz="0" w:space="0" w:color="auto"/>
      </w:divBdr>
    </w:div>
    <w:div w:id="430593577">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522549165">
      <w:bodyDiv w:val="1"/>
      <w:marLeft w:val="0"/>
      <w:marRight w:val="0"/>
      <w:marTop w:val="0"/>
      <w:marBottom w:val="0"/>
      <w:divBdr>
        <w:top w:val="none" w:sz="0" w:space="0" w:color="auto"/>
        <w:left w:val="none" w:sz="0" w:space="0" w:color="auto"/>
        <w:bottom w:val="none" w:sz="0" w:space="0" w:color="auto"/>
        <w:right w:val="none" w:sz="0" w:space="0" w:color="auto"/>
      </w:divBdr>
    </w:div>
    <w:div w:id="557086509">
      <w:bodyDiv w:val="1"/>
      <w:marLeft w:val="0"/>
      <w:marRight w:val="0"/>
      <w:marTop w:val="0"/>
      <w:marBottom w:val="0"/>
      <w:divBdr>
        <w:top w:val="none" w:sz="0" w:space="0" w:color="auto"/>
        <w:left w:val="none" w:sz="0" w:space="0" w:color="auto"/>
        <w:bottom w:val="none" w:sz="0" w:space="0" w:color="auto"/>
        <w:right w:val="none" w:sz="0" w:space="0" w:color="auto"/>
      </w:divBdr>
    </w:div>
    <w:div w:id="573515209">
      <w:bodyDiv w:val="1"/>
      <w:marLeft w:val="0"/>
      <w:marRight w:val="0"/>
      <w:marTop w:val="0"/>
      <w:marBottom w:val="0"/>
      <w:divBdr>
        <w:top w:val="none" w:sz="0" w:space="0" w:color="auto"/>
        <w:left w:val="none" w:sz="0" w:space="0" w:color="auto"/>
        <w:bottom w:val="none" w:sz="0" w:space="0" w:color="auto"/>
        <w:right w:val="none" w:sz="0" w:space="0" w:color="auto"/>
      </w:divBdr>
    </w:div>
    <w:div w:id="581333202">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30794511">
      <w:bodyDiv w:val="1"/>
      <w:marLeft w:val="0"/>
      <w:marRight w:val="0"/>
      <w:marTop w:val="0"/>
      <w:marBottom w:val="0"/>
      <w:divBdr>
        <w:top w:val="none" w:sz="0" w:space="0" w:color="auto"/>
        <w:left w:val="none" w:sz="0" w:space="0" w:color="auto"/>
        <w:bottom w:val="none" w:sz="0" w:space="0" w:color="auto"/>
        <w:right w:val="none" w:sz="0" w:space="0" w:color="auto"/>
      </w:divBdr>
    </w:div>
    <w:div w:id="655492615">
      <w:bodyDiv w:val="1"/>
      <w:marLeft w:val="0"/>
      <w:marRight w:val="0"/>
      <w:marTop w:val="0"/>
      <w:marBottom w:val="0"/>
      <w:divBdr>
        <w:top w:val="none" w:sz="0" w:space="0" w:color="auto"/>
        <w:left w:val="none" w:sz="0" w:space="0" w:color="auto"/>
        <w:bottom w:val="none" w:sz="0" w:space="0" w:color="auto"/>
        <w:right w:val="none" w:sz="0" w:space="0" w:color="auto"/>
      </w:divBdr>
    </w:div>
    <w:div w:id="676929600">
      <w:bodyDiv w:val="1"/>
      <w:marLeft w:val="0"/>
      <w:marRight w:val="0"/>
      <w:marTop w:val="0"/>
      <w:marBottom w:val="0"/>
      <w:divBdr>
        <w:top w:val="none" w:sz="0" w:space="0" w:color="auto"/>
        <w:left w:val="none" w:sz="0" w:space="0" w:color="auto"/>
        <w:bottom w:val="none" w:sz="0" w:space="0" w:color="auto"/>
        <w:right w:val="none" w:sz="0" w:space="0" w:color="auto"/>
      </w:divBdr>
    </w:div>
    <w:div w:id="697124263">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812991381">
      <w:bodyDiv w:val="1"/>
      <w:marLeft w:val="0"/>
      <w:marRight w:val="0"/>
      <w:marTop w:val="0"/>
      <w:marBottom w:val="0"/>
      <w:divBdr>
        <w:top w:val="none" w:sz="0" w:space="0" w:color="auto"/>
        <w:left w:val="none" w:sz="0" w:space="0" w:color="auto"/>
        <w:bottom w:val="none" w:sz="0" w:space="0" w:color="auto"/>
        <w:right w:val="none" w:sz="0" w:space="0" w:color="auto"/>
      </w:divBdr>
    </w:div>
    <w:div w:id="867986603">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47008464">
      <w:bodyDiv w:val="1"/>
      <w:marLeft w:val="0"/>
      <w:marRight w:val="0"/>
      <w:marTop w:val="0"/>
      <w:marBottom w:val="0"/>
      <w:divBdr>
        <w:top w:val="none" w:sz="0" w:space="0" w:color="auto"/>
        <w:left w:val="none" w:sz="0" w:space="0" w:color="auto"/>
        <w:bottom w:val="none" w:sz="0" w:space="0" w:color="auto"/>
        <w:right w:val="none" w:sz="0" w:space="0" w:color="auto"/>
      </w:divBdr>
    </w:div>
    <w:div w:id="958605121">
      <w:bodyDiv w:val="1"/>
      <w:marLeft w:val="0"/>
      <w:marRight w:val="0"/>
      <w:marTop w:val="0"/>
      <w:marBottom w:val="0"/>
      <w:divBdr>
        <w:top w:val="none" w:sz="0" w:space="0" w:color="auto"/>
        <w:left w:val="none" w:sz="0" w:space="0" w:color="auto"/>
        <w:bottom w:val="none" w:sz="0" w:space="0" w:color="auto"/>
        <w:right w:val="none" w:sz="0" w:space="0" w:color="auto"/>
      </w:divBdr>
    </w:div>
    <w:div w:id="960575162">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018001293">
      <w:bodyDiv w:val="1"/>
      <w:marLeft w:val="0"/>
      <w:marRight w:val="0"/>
      <w:marTop w:val="0"/>
      <w:marBottom w:val="0"/>
      <w:divBdr>
        <w:top w:val="none" w:sz="0" w:space="0" w:color="auto"/>
        <w:left w:val="none" w:sz="0" w:space="0" w:color="auto"/>
        <w:bottom w:val="none" w:sz="0" w:space="0" w:color="auto"/>
        <w:right w:val="none" w:sz="0" w:space="0" w:color="auto"/>
      </w:divBdr>
    </w:div>
    <w:div w:id="1028141021">
      <w:bodyDiv w:val="1"/>
      <w:marLeft w:val="0"/>
      <w:marRight w:val="0"/>
      <w:marTop w:val="0"/>
      <w:marBottom w:val="0"/>
      <w:divBdr>
        <w:top w:val="none" w:sz="0" w:space="0" w:color="auto"/>
        <w:left w:val="none" w:sz="0" w:space="0" w:color="auto"/>
        <w:bottom w:val="none" w:sz="0" w:space="0" w:color="auto"/>
        <w:right w:val="none" w:sz="0" w:space="0" w:color="auto"/>
      </w:divBdr>
    </w:div>
    <w:div w:id="1068303164">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235123282">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7423137">
      <w:bodyDiv w:val="1"/>
      <w:marLeft w:val="0"/>
      <w:marRight w:val="0"/>
      <w:marTop w:val="0"/>
      <w:marBottom w:val="0"/>
      <w:divBdr>
        <w:top w:val="none" w:sz="0" w:space="0" w:color="auto"/>
        <w:left w:val="none" w:sz="0" w:space="0" w:color="auto"/>
        <w:bottom w:val="none" w:sz="0" w:space="0" w:color="auto"/>
        <w:right w:val="none" w:sz="0" w:space="0" w:color="auto"/>
      </w:divBdr>
    </w:div>
    <w:div w:id="1268544948">
      <w:bodyDiv w:val="1"/>
      <w:marLeft w:val="0"/>
      <w:marRight w:val="0"/>
      <w:marTop w:val="0"/>
      <w:marBottom w:val="0"/>
      <w:divBdr>
        <w:top w:val="none" w:sz="0" w:space="0" w:color="auto"/>
        <w:left w:val="none" w:sz="0" w:space="0" w:color="auto"/>
        <w:bottom w:val="none" w:sz="0" w:space="0" w:color="auto"/>
        <w:right w:val="none" w:sz="0" w:space="0" w:color="auto"/>
      </w:divBdr>
    </w:div>
    <w:div w:id="1302150161">
      <w:bodyDiv w:val="1"/>
      <w:marLeft w:val="0"/>
      <w:marRight w:val="0"/>
      <w:marTop w:val="0"/>
      <w:marBottom w:val="0"/>
      <w:divBdr>
        <w:top w:val="none" w:sz="0" w:space="0" w:color="auto"/>
        <w:left w:val="none" w:sz="0" w:space="0" w:color="auto"/>
        <w:bottom w:val="none" w:sz="0" w:space="0" w:color="auto"/>
        <w:right w:val="none" w:sz="0" w:space="0" w:color="auto"/>
      </w:divBdr>
    </w:div>
    <w:div w:id="1307588712">
      <w:bodyDiv w:val="1"/>
      <w:marLeft w:val="0"/>
      <w:marRight w:val="0"/>
      <w:marTop w:val="0"/>
      <w:marBottom w:val="0"/>
      <w:divBdr>
        <w:top w:val="none" w:sz="0" w:space="0" w:color="auto"/>
        <w:left w:val="none" w:sz="0" w:space="0" w:color="auto"/>
        <w:bottom w:val="none" w:sz="0" w:space="0" w:color="auto"/>
        <w:right w:val="none" w:sz="0" w:space="0" w:color="auto"/>
      </w:divBdr>
    </w:div>
    <w:div w:id="1308587521">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3025853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356228259">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487746370">
      <w:bodyDiv w:val="1"/>
      <w:marLeft w:val="0"/>
      <w:marRight w:val="0"/>
      <w:marTop w:val="0"/>
      <w:marBottom w:val="0"/>
      <w:divBdr>
        <w:top w:val="none" w:sz="0" w:space="0" w:color="auto"/>
        <w:left w:val="none" w:sz="0" w:space="0" w:color="auto"/>
        <w:bottom w:val="none" w:sz="0" w:space="0" w:color="auto"/>
        <w:right w:val="none" w:sz="0" w:space="0" w:color="auto"/>
      </w:divBdr>
    </w:div>
    <w:div w:id="1519150281">
      <w:bodyDiv w:val="1"/>
      <w:marLeft w:val="0"/>
      <w:marRight w:val="0"/>
      <w:marTop w:val="0"/>
      <w:marBottom w:val="0"/>
      <w:divBdr>
        <w:top w:val="none" w:sz="0" w:space="0" w:color="auto"/>
        <w:left w:val="none" w:sz="0" w:space="0" w:color="auto"/>
        <w:bottom w:val="none" w:sz="0" w:space="0" w:color="auto"/>
        <w:right w:val="none" w:sz="0" w:space="0" w:color="auto"/>
      </w:divBdr>
    </w:div>
    <w:div w:id="1601717442">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4230679">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755930457">
      <w:bodyDiv w:val="1"/>
      <w:marLeft w:val="0"/>
      <w:marRight w:val="0"/>
      <w:marTop w:val="0"/>
      <w:marBottom w:val="0"/>
      <w:divBdr>
        <w:top w:val="none" w:sz="0" w:space="0" w:color="auto"/>
        <w:left w:val="none" w:sz="0" w:space="0" w:color="auto"/>
        <w:bottom w:val="none" w:sz="0" w:space="0" w:color="auto"/>
        <w:right w:val="none" w:sz="0" w:space="0" w:color="auto"/>
      </w:divBdr>
    </w:div>
    <w:div w:id="1888178797">
      <w:bodyDiv w:val="1"/>
      <w:marLeft w:val="0"/>
      <w:marRight w:val="0"/>
      <w:marTop w:val="0"/>
      <w:marBottom w:val="0"/>
      <w:divBdr>
        <w:top w:val="none" w:sz="0" w:space="0" w:color="auto"/>
        <w:left w:val="none" w:sz="0" w:space="0" w:color="auto"/>
        <w:bottom w:val="none" w:sz="0" w:space="0" w:color="auto"/>
        <w:right w:val="none" w:sz="0" w:space="0" w:color="auto"/>
      </w:divBdr>
    </w:div>
    <w:div w:id="1896157825">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3169484">
      <w:bodyDiv w:val="1"/>
      <w:marLeft w:val="0"/>
      <w:marRight w:val="0"/>
      <w:marTop w:val="0"/>
      <w:marBottom w:val="0"/>
      <w:divBdr>
        <w:top w:val="none" w:sz="0" w:space="0" w:color="auto"/>
        <w:left w:val="none" w:sz="0" w:space="0" w:color="auto"/>
        <w:bottom w:val="none" w:sz="0" w:space="0" w:color="auto"/>
        <w:right w:val="none" w:sz="0" w:space="0" w:color="auto"/>
      </w:divBdr>
    </w:div>
    <w:div w:id="2028865395">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 w:id="21425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AF8F7-1BB7-48A4-8B62-32E6A93C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5677</Characters>
  <Application>Microsoft Office Word</Application>
  <DocSecurity>0</DocSecurity>
  <Lines>107</Lines>
  <Paragraphs>36</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IUCN</Company>
  <LinksUpToDate>false</LinksUpToDate>
  <CharactersWithSpaces>6662</CharactersWithSpaces>
  <SharedDoc>false</SharedDoc>
  <HLinks>
    <vt:vector size="6" baseType="variant">
      <vt:variant>
        <vt:i4>2949183</vt:i4>
      </vt:variant>
      <vt:variant>
        <vt:i4>3</vt:i4>
      </vt:variant>
      <vt:variant>
        <vt:i4>0</vt:i4>
      </vt:variant>
      <vt:variant>
        <vt:i4>5</vt:i4>
      </vt:variant>
      <vt:variant>
        <vt:lpwstr>http://apps.who.int/gb/fctc/PDF/cop5/FCTC_COP5_21-en.pdf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Marsel Kuzyakov</dc:creator>
  <cp:lastModifiedBy>Ramsar\JenningsE</cp:lastModifiedBy>
  <cp:revision>2</cp:revision>
  <cp:lastPrinted>2016-03-17T09:23:00Z</cp:lastPrinted>
  <dcterms:created xsi:type="dcterms:W3CDTF">2016-03-18T10:22:00Z</dcterms:created>
  <dcterms:modified xsi:type="dcterms:W3CDTF">2016-03-18T10:22:00Z</dcterms:modified>
</cp:coreProperties>
</file>