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CE" w:rsidRPr="00F538E8" w:rsidRDefault="00613FCE" w:rsidP="00613FC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bookmarkStart w:id="0" w:name="OLE_LINK1"/>
      <w:r w:rsidRPr="00F538E8">
        <w:rPr>
          <w:rFonts w:ascii="Calibri" w:hAnsi="Calibri"/>
          <w:bCs/>
          <w:lang w:val="fr-FR"/>
        </w:rPr>
        <w:t>CONVENTION SUR LES ZONES HUMIDES (Ramsar, Iran, 1971)</w:t>
      </w:r>
    </w:p>
    <w:p w:rsidR="00613FCE" w:rsidRPr="00F538E8" w:rsidRDefault="00613FCE" w:rsidP="00613FC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F538E8">
        <w:rPr>
          <w:rFonts w:ascii="Calibri" w:hAnsi="Calibri"/>
          <w:bCs/>
          <w:lang w:val="fr-FR"/>
        </w:rPr>
        <w:t>5</w:t>
      </w:r>
      <w:r w:rsidR="00462401" w:rsidRPr="00F538E8">
        <w:rPr>
          <w:rFonts w:ascii="Calibri" w:hAnsi="Calibri"/>
          <w:bCs/>
          <w:lang w:val="fr-FR"/>
        </w:rPr>
        <w:t>2</w:t>
      </w:r>
      <w:r w:rsidRPr="00F538E8">
        <w:rPr>
          <w:rFonts w:ascii="Calibri" w:hAnsi="Calibri"/>
          <w:bCs/>
          <w:vertAlign w:val="superscript"/>
          <w:lang w:val="fr-FR"/>
        </w:rPr>
        <w:t>e</w:t>
      </w:r>
      <w:r w:rsidRPr="00F538E8">
        <w:rPr>
          <w:rFonts w:ascii="Calibri" w:hAnsi="Calibri"/>
          <w:bCs/>
          <w:lang w:val="fr-FR"/>
        </w:rPr>
        <w:t xml:space="preserve"> Réunion du Comité permanent</w:t>
      </w:r>
    </w:p>
    <w:p w:rsidR="00613FCE" w:rsidRPr="00F538E8" w:rsidRDefault="00613FCE" w:rsidP="00613FC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F538E8">
        <w:rPr>
          <w:rFonts w:ascii="Calibri" w:hAnsi="Calibri"/>
          <w:bCs/>
          <w:lang w:val="fr-FR"/>
        </w:rPr>
        <w:t>Gland, Suisse, 13 au 17 juin 2016</w:t>
      </w:r>
    </w:p>
    <w:p w:rsidR="000B26D3" w:rsidRPr="00F538E8" w:rsidRDefault="000B26D3" w:rsidP="000B26D3">
      <w:pPr>
        <w:keepNext/>
        <w:suppressAutoHyphens/>
        <w:outlineLvl w:val="0"/>
        <w:rPr>
          <w:rFonts w:ascii="Calibri" w:hAnsi="Calibri"/>
          <w:b/>
          <w:sz w:val="28"/>
          <w:szCs w:val="28"/>
          <w:lang w:val="fr-FR"/>
        </w:rPr>
      </w:pPr>
    </w:p>
    <w:p w:rsidR="000B26D3" w:rsidRPr="00F538E8" w:rsidRDefault="000B26D3" w:rsidP="000B26D3">
      <w:pPr>
        <w:keepNext/>
        <w:suppressAutoHyphens/>
        <w:jc w:val="right"/>
        <w:outlineLvl w:val="0"/>
        <w:rPr>
          <w:rFonts w:ascii="Calibri" w:hAnsi="Calibri"/>
          <w:b/>
          <w:sz w:val="28"/>
          <w:szCs w:val="28"/>
          <w:lang w:val="fr-FR"/>
        </w:rPr>
      </w:pPr>
      <w:r w:rsidRPr="00F538E8">
        <w:rPr>
          <w:rFonts w:ascii="Calibri" w:hAnsi="Calibri"/>
          <w:b/>
          <w:sz w:val="28"/>
          <w:szCs w:val="28"/>
          <w:lang w:val="fr-FR"/>
        </w:rPr>
        <w:t>SC</w:t>
      </w:r>
      <w:r w:rsidR="00BF2CA4" w:rsidRPr="00F538E8">
        <w:rPr>
          <w:rFonts w:ascii="Calibri" w:hAnsi="Calibri"/>
          <w:b/>
          <w:sz w:val="28"/>
          <w:szCs w:val="28"/>
          <w:lang w:val="fr-FR"/>
        </w:rPr>
        <w:t>5</w:t>
      </w:r>
      <w:r w:rsidR="00241FA1" w:rsidRPr="00F538E8">
        <w:rPr>
          <w:rFonts w:ascii="Calibri" w:hAnsi="Calibri"/>
          <w:b/>
          <w:sz w:val="28"/>
          <w:szCs w:val="28"/>
          <w:lang w:val="fr-FR"/>
        </w:rPr>
        <w:t>2</w:t>
      </w:r>
      <w:r w:rsidRPr="00F538E8">
        <w:rPr>
          <w:rFonts w:ascii="Calibri" w:hAnsi="Calibri"/>
          <w:b/>
          <w:sz w:val="28"/>
          <w:szCs w:val="28"/>
          <w:lang w:val="fr-FR"/>
        </w:rPr>
        <w:t>-</w:t>
      </w:r>
      <w:r w:rsidR="00133C00" w:rsidRPr="00F538E8">
        <w:rPr>
          <w:rFonts w:ascii="Calibri" w:hAnsi="Calibri"/>
          <w:b/>
          <w:sz w:val="28"/>
          <w:szCs w:val="28"/>
          <w:lang w:val="fr-FR"/>
        </w:rPr>
        <w:t>19</w:t>
      </w:r>
    </w:p>
    <w:bookmarkEnd w:id="0"/>
    <w:p w:rsidR="000B26D3" w:rsidRPr="00F538E8" w:rsidRDefault="000B26D3" w:rsidP="000B26D3">
      <w:pPr>
        <w:keepNext/>
        <w:suppressAutoHyphens/>
        <w:jc w:val="right"/>
        <w:outlineLvl w:val="0"/>
        <w:rPr>
          <w:rFonts w:ascii="Calibri" w:hAnsi="Calibri" w:cs="Calibri"/>
          <w:b/>
          <w:sz w:val="28"/>
          <w:szCs w:val="28"/>
          <w:lang w:val="fr-FR"/>
        </w:rPr>
      </w:pPr>
    </w:p>
    <w:p w:rsidR="00613FCE" w:rsidRPr="00F538E8" w:rsidRDefault="00613FCE" w:rsidP="00613FCE">
      <w:pPr>
        <w:jc w:val="center"/>
        <w:rPr>
          <w:rFonts w:ascii="Calibri" w:hAnsi="Calibri" w:cs="Calibri"/>
          <w:b/>
          <w:sz w:val="28"/>
          <w:szCs w:val="28"/>
          <w:lang w:val="fr-FR"/>
        </w:rPr>
      </w:pPr>
      <w:r w:rsidRPr="00F538E8">
        <w:rPr>
          <w:rFonts w:ascii="Calibri" w:hAnsi="Calibri" w:cs="Calibri"/>
          <w:b/>
          <w:sz w:val="28"/>
          <w:szCs w:val="28"/>
          <w:lang w:val="fr-FR"/>
        </w:rPr>
        <w:t>Parties contractantes ayant des arriérés de contributions annuelles</w:t>
      </w:r>
    </w:p>
    <w:p w:rsidR="000B26D3" w:rsidRPr="00F538E8" w:rsidRDefault="000B26D3" w:rsidP="000B26D3">
      <w:pPr>
        <w:autoSpaceDE w:val="0"/>
        <w:autoSpaceDN w:val="0"/>
        <w:adjustRightInd w:val="0"/>
        <w:rPr>
          <w:rFonts w:ascii="Calibri" w:hAnsi="Calibri" w:cs="Calibri"/>
          <w:sz w:val="28"/>
          <w:szCs w:val="28"/>
          <w:lang w:val="fr-FR"/>
        </w:rPr>
      </w:pPr>
    </w:p>
    <w:p w:rsidR="000B26D3" w:rsidRPr="00F538E8" w:rsidRDefault="000A30EF" w:rsidP="000B26D3">
      <w:pPr>
        <w:autoSpaceDE w:val="0"/>
        <w:autoSpaceDN w:val="0"/>
        <w:adjustRightInd w:val="0"/>
        <w:rPr>
          <w:rFonts w:ascii="Calibri" w:hAnsi="Calibri" w:cs="Calibri"/>
          <w:sz w:val="20"/>
          <w:szCs w:val="20"/>
          <w:lang w:val="fr-FR"/>
        </w:rPr>
      </w:pPr>
      <w:r w:rsidRPr="00F538E8">
        <w:rPr>
          <w:noProof/>
          <w:szCs w:val="20"/>
          <w:lang w:val="en-GB" w:eastAsia="en-GB"/>
        </w:rPr>
        <mc:AlternateContent>
          <mc:Choice Requires="wps">
            <w:drawing>
              <wp:inline distT="0" distB="0" distL="0" distR="0" wp14:anchorId="6363FFDE" wp14:editId="0E5BE276">
                <wp:extent cx="5924550" cy="1962150"/>
                <wp:effectExtent l="0" t="0" r="19050" b="1905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62150"/>
                        </a:xfrm>
                        <a:prstGeom prst="rect">
                          <a:avLst/>
                        </a:prstGeom>
                        <a:solidFill>
                          <a:srgbClr val="FFFFFF"/>
                        </a:solidFill>
                        <a:ln w="9525">
                          <a:solidFill>
                            <a:srgbClr val="000000"/>
                          </a:solidFill>
                          <a:miter lim="800000"/>
                          <a:headEnd/>
                          <a:tailEnd/>
                        </a:ln>
                      </wps:spPr>
                      <wps:txbx>
                        <w:txbxContent>
                          <w:p w:rsidR="00C0756D" w:rsidRPr="00462401" w:rsidRDefault="00C0756D" w:rsidP="000B26D3">
                            <w:pPr>
                              <w:rPr>
                                <w:rFonts w:ascii="Calibri" w:hAnsi="Calibri"/>
                                <w:b/>
                                <w:bCs/>
                                <w:sz w:val="22"/>
                                <w:szCs w:val="22"/>
                                <w:lang w:val="fr-CH"/>
                              </w:rPr>
                            </w:pPr>
                            <w:r w:rsidRPr="000037A8">
                              <w:rPr>
                                <w:rFonts w:ascii="Calibri" w:hAnsi="Calibri"/>
                                <w:b/>
                                <w:bCs/>
                                <w:sz w:val="22"/>
                                <w:szCs w:val="22"/>
                                <w:lang w:val="fr-CH"/>
                              </w:rPr>
                              <w:t>Actions requ</w:t>
                            </w:r>
                            <w:r w:rsidR="00462401" w:rsidRPr="000037A8">
                              <w:rPr>
                                <w:rFonts w:ascii="Calibri" w:hAnsi="Calibri"/>
                                <w:b/>
                                <w:bCs/>
                                <w:sz w:val="22"/>
                                <w:szCs w:val="22"/>
                                <w:lang w:val="fr-CH"/>
                              </w:rPr>
                              <w:t xml:space="preserve">ises </w:t>
                            </w:r>
                            <w:r w:rsidRPr="000037A8">
                              <w:rPr>
                                <w:rFonts w:ascii="Calibri" w:hAnsi="Calibri"/>
                                <w:b/>
                                <w:bCs/>
                                <w:sz w:val="22"/>
                                <w:szCs w:val="22"/>
                                <w:lang w:val="fr-CH"/>
                              </w:rPr>
                              <w:t>:</w:t>
                            </w:r>
                            <w:r w:rsidRPr="00462401">
                              <w:rPr>
                                <w:rFonts w:ascii="Calibri" w:hAnsi="Calibri"/>
                                <w:b/>
                                <w:bCs/>
                                <w:sz w:val="22"/>
                                <w:szCs w:val="22"/>
                                <w:lang w:val="fr-CH"/>
                              </w:rPr>
                              <w:t xml:space="preserve"> </w:t>
                            </w:r>
                          </w:p>
                          <w:p w:rsidR="00613FCE" w:rsidRPr="00CF17CC" w:rsidRDefault="00613FCE" w:rsidP="00613FCE">
                            <w:pPr>
                              <w:pStyle w:val="ColorfulList-Accent11"/>
                              <w:spacing w:after="0" w:line="240" w:lineRule="auto"/>
                              <w:ind w:left="360"/>
                              <w:rPr>
                                <w:lang w:val="fr-CA"/>
                              </w:rPr>
                            </w:pPr>
                            <w:r>
                              <w:rPr>
                                <w:lang w:val="fr-CA"/>
                              </w:rPr>
                              <w:t xml:space="preserve">Le Comité permanent est invité à prendre note de l’état actuel des arriérés de contributions annuelles des Parties </w:t>
                            </w:r>
                            <w:r w:rsidR="000037A8">
                              <w:rPr>
                                <w:lang w:val="fr-CA"/>
                              </w:rPr>
                              <w:t>et à approuver</w:t>
                            </w:r>
                            <w:r>
                              <w:rPr>
                                <w:lang w:val="fr-CA"/>
                              </w:rPr>
                              <w:t xml:space="preserve"> </w:t>
                            </w:r>
                            <w:r w:rsidR="000037A8">
                              <w:rPr>
                                <w:lang w:val="fr-CA"/>
                              </w:rPr>
                              <w:t>l</w:t>
                            </w:r>
                            <w:r>
                              <w:rPr>
                                <w:lang w:val="fr-CA"/>
                              </w:rPr>
                              <w:t>es mesures pr</w:t>
                            </w:r>
                            <w:r w:rsidR="000037A8">
                              <w:rPr>
                                <w:lang w:val="fr-CA"/>
                              </w:rPr>
                              <w:t>oposées</w:t>
                            </w:r>
                            <w:r>
                              <w:rPr>
                                <w:lang w:val="fr-CA"/>
                              </w:rPr>
                              <w:t xml:space="preserve"> par le Secrétariat </w:t>
                            </w:r>
                            <w:r>
                              <w:rPr>
                                <w:rFonts w:cs="Calibri"/>
                                <w:lang w:val="fr-CA"/>
                              </w:rPr>
                              <w:t xml:space="preserve">pour favoriser leur paiement, soit : </w:t>
                            </w:r>
                          </w:p>
                          <w:p w:rsidR="00150DBB" w:rsidRPr="000037A8" w:rsidRDefault="00462401" w:rsidP="00462401">
                            <w:pPr>
                              <w:pStyle w:val="ColorfulList-Accent11"/>
                              <w:numPr>
                                <w:ilvl w:val="0"/>
                                <w:numId w:val="46"/>
                              </w:numPr>
                              <w:spacing w:after="0" w:line="240" w:lineRule="auto"/>
                              <w:ind w:left="720"/>
                              <w:rPr>
                                <w:rFonts w:cs="Calibri"/>
                                <w:lang w:val="fr-CH"/>
                              </w:rPr>
                            </w:pPr>
                            <w:r w:rsidRPr="000037A8">
                              <w:rPr>
                                <w:rFonts w:cs="Calibri"/>
                                <w:lang w:val="fr-CH"/>
                              </w:rPr>
                              <w:t>Obtenir un plan de paiement écrit et explicite du plus grand nombre possible de Parties ayant des arriérés de plus de trois ans, en se concentrant sur les Parties qui n’ont jamais versé de contribution depuis leur adhésion</w:t>
                            </w:r>
                            <w:r w:rsidR="00150DBB" w:rsidRPr="000037A8">
                              <w:rPr>
                                <w:rFonts w:cs="Calibri"/>
                                <w:lang w:val="fr-CH"/>
                              </w:rPr>
                              <w:t xml:space="preserve"> </w:t>
                            </w:r>
                            <w:r w:rsidRPr="000037A8">
                              <w:rPr>
                                <w:rFonts w:cs="Calibri"/>
                                <w:lang w:val="fr-CH"/>
                              </w:rPr>
                              <w:t xml:space="preserve">et celles qui ont des arriérés d’aussi longue durée, atteignant plus de  </w:t>
                            </w:r>
                            <w:r w:rsidR="007E4D5D" w:rsidRPr="000037A8">
                              <w:rPr>
                                <w:rFonts w:cs="Calibri"/>
                                <w:lang w:val="fr-CH"/>
                              </w:rPr>
                              <w:t>50</w:t>
                            </w:r>
                            <w:r w:rsidRPr="000037A8">
                              <w:rPr>
                                <w:rFonts w:cs="Calibri"/>
                                <w:lang w:val="fr-CH"/>
                              </w:rPr>
                              <w:t> </w:t>
                            </w:r>
                            <w:r w:rsidR="007E4D5D" w:rsidRPr="000037A8">
                              <w:rPr>
                                <w:rFonts w:cs="Calibri"/>
                                <w:lang w:val="fr-CH"/>
                              </w:rPr>
                              <w:t>000</w:t>
                            </w:r>
                            <w:r w:rsidRPr="000037A8">
                              <w:rPr>
                                <w:rFonts w:cs="Calibri"/>
                                <w:lang w:val="fr-CH"/>
                              </w:rPr>
                              <w:t> CHF</w:t>
                            </w:r>
                            <w:r w:rsidR="005100CD" w:rsidRPr="000037A8">
                              <w:rPr>
                                <w:rFonts w:cs="Calibri"/>
                                <w:lang w:val="fr-CH"/>
                              </w:rPr>
                              <w:t>;</w:t>
                            </w:r>
                            <w:r w:rsidR="00150DBB" w:rsidRPr="000037A8">
                              <w:rPr>
                                <w:rFonts w:cs="Calibri"/>
                                <w:lang w:val="fr-CH"/>
                              </w:rPr>
                              <w:t xml:space="preserve"> </w:t>
                            </w:r>
                          </w:p>
                          <w:p w:rsidR="00150DBB" w:rsidRPr="000037A8" w:rsidRDefault="00462401" w:rsidP="00462401">
                            <w:pPr>
                              <w:pStyle w:val="ColorfulList-Accent11"/>
                              <w:numPr>
                                <w:ilvl w:val="0"/>
                                <w:numId w:val="46"/>
                              </w:numPr>
                              <w:spacing w:after="0" w:line="240" w:lineRule="auto"/>
                              <w:ind w:left="720"/>
                              <w:rPr>
                                <w:rFonts w:cs="Calibri"/>
                                <w:lang w:val="fr-CH"/>
                              </w:rPr>
                            </w:pPr>
                            <w:r w:rsidRPr="000037A8">
                              <w:rPr>
                                <w:rFonts w:cs="Calibri"/>
                                <w:lang w:val="fr-CH"/>
                              </w:rPr>
                              <w:t>Faire rapport sur les progrès de chaque Partie à la 53</w:t>
                            </w:r>
                            <w:r w:rsidRPr="000037A8">
                              <w:rPr>
                                <w:rFonts w:cs="Calibri"/>
                                <w:vertAlign w:val="superscript"/>
                                <w:lang w:val="fr-CH"/>
                              </w:rPr>
                              <w:t>e</w:t>
                            </w:r>
                            <w:r w:rsidRPr="000037A8">
                              <w:rPr>
                                <w:rFonts w:cs="Calibri"/>
                                <w:lang w:val="fr-CH"/>
                              </w:rPr>
                              <w:t xml:space="preserve"> Réunion du Comité permanent</w:t>
                            </w:r>
                            <w:r w:rsidR="005100CD" w:rsidRPr="000037A8">
                              <w:rPr>
                                <w:rFonts w:cs="Calibri"/>
                                <w:lang w:val="fr-CH"/>
                              </w:rPr>
                              <w:t xml:space="preserve">; </w:t>
                            </w:r>
                            <w:r w:rsidRPr="000037A8">
                              <w:rPr>
                                <w:rFonts w:cs="Calibri"/>
                                <w:lang w:val="fr-CH"/>
                              </w:rPr>
                              <w:t>et</w:t>
                            </w:r>
                          </w:p>
                          <w:p w:rsidR="00150DBB" w:rsidRPr="000037A8" w:rsidRDefault="00462401" w:rsidP="00462401">
                            <w:pPr>
                              <w:pStyle w:val="ColorfulList-Accent11"/>
                              <w:numPr>
                                <w:ilvl w:val="0"/>
                                <w:numId w:val="46"/>
                              </w:numPr>
                              <w:spacing w:after="0" w:line="240" w:lineRule="auto"/>
                              <w:ind w:left="720"/>
                              <w:rPr>
                                <w:lang w:val="fr-CH"/>
                              </w:rPr>
                            </w:pPr>
                            <w:r w:rsidRPr="000037A8">
                              <w:rPr>
                                <w:rFonts w:cs="Calibri"/>
                                <w:lang w:val="fr-CH"/>
                              </w:rPr>
                              <w:t>Faire participer les nouveaux représentants régionaux au Sous-groupe sur les finances à cette activité</w:t>
                            </w:r>
                            <w:r w:rsidR="005100CD" w:rsidRPr="000037A8">
                              <w:rPr>
                                <w:rFonts w:cs="Calibri"/>
                                <w:lang w:val="fr-CH"/>
                              </w:rPr>
                              <w: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363FFDE" id="_x0000_t202" coordsize="21600,21600" o:spt="202" path="m,l,21600r21600,l21600,xe">
                <v:stroke joinstyle="miter"/>
                <v:path gradientshapeok="t" o:connecttype="rect"/>
              </v:shapetype>
              <v:shape id="Text Box 5" o:spid="_x0000_s1026" type="#_x0000_t202" style="width:466.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">
                <v:textbox>
                  <w:txbxContent>
                    <w:p w:rsidR="00C0756D" w:rsidRPr="00462401" w:rsidRDefault="00C0756D" w:rsidP="000B26D3">
                      <w:pPr>
                        <w:rPr>
                          <w:rFonts w:ascii="Calibri" w:hAnsi="Calibri"/>
                          <w:b/>
                          <w:bCs/>
                          <w:sz w:val="22"/>
                          <w:szCs w:val="22"/>
                          <w:lang w:val="fr-CH"/>
                        </w:rPr>
                      </w:pPr>
                      <w:r w:rsidRPr="000037A8">
                        <w:rPr>
                          <w:rFonts w:ascii="Calibri" w:hAnsi="Calibri"/>
                          <w:b/>
                          <w:bCs/>
                          <w:sz w:val="22"/>
                          <w:szCs w:val="22"/>
                          <w:lang w:val="fr-CH"/>
                        </w:rPr>
                        <w:t>Actions requ</w:t>
                      </w:r>
                      <w:r w:rsidR="00462401" w:rsidRPr="000037A8">
                        <w:rPr>
                          <w:rFonts w:ascii="Calibri" w:hAnsi="Calibri"/>
                          <w:b/>
                          <w:bCs/>
                          <w:sz w:val="22"/>
                          <w:szCs w:val="22"/>
                          <w:lang w:val="fr-CH"/>
                        </w:rPr>
                        <w:t xml:space="preserve">ises </w:t>
                      </w:r>
                      <w:r w:rsidRPr="000037A8">
                        <w:rPr>
                          <w:rFonts w:ascii="Calibri" w:hAnsi="Calibri"/>
                          <w:b/>
                          <w:bCs/>
                          <w:sz w:val="22"/>
                          <w:szCs w:val="22"/>
                          <w:lang w:val="fr-CH"/>
                        </w:rPr>
                        <w:t>:</w:t>
                      </w:r>
                      <w:r w:rsidRPr="00462401">
                        <w:rPr>
                          <w:rFonts w:ascii="Calibri" w:hAnsi="Calibri"/>
                          <w:b/>
                          <w:bCs/>
                          <w:sz w:val="22"/>
                          <w:szCs w:val="22"/>
                          <w:lang w:val="fr-CH"/>
                        </w:rPr>
                        <w:t xml:space="preserve"> </w:t>
                      </w:r>
                    </w:p>
                    <w:p w:rsidR="00613FCE" w:rsidRPr="00CF17CC" w:rsidRDefault="00613FCE" w:rsidP="00613FCE">
                      <w:pPr>
                        <w:pStyle w:val="ColorfulList-Accent11"/>
                        <w:spacing w:after="0" w:line="240" w:lineRule="auto"/>
                        <w:ind w:left="360"/>
                        <w:rPr>
                          <w:lang w:val="fr-CA"/>
                        </w:rPr>
                      </w:pPr>
                      <w:r>
                        <w:rPr>
                          <w:lang w:val="fr-CA"/>
                        </w:rPr>
                        <w:t xml:space="preserve">Le Comité permanent est invité à prendre note de l’état actuel des arriérés de contributions annuelles des Parties </w:t>
                      </w:r>
                      <w:r w:rsidR="000037A8">
                        <w:rPr>
                          <w:lang w:val="fr-CA"/>
                        </w:rPr>
                        <w:t>et à approuver</w:t>
                      </w:r>
                      <w:r>
                        <w:rPr>
                          <w:lang w:val="fr-CA"/>
                        </w:rPr>
                        <w:t xml:space="preserve"> </w:t>
                      </w:r>
                      <w:r w:rsidR="000037A8">
                        <w:rPr>
                          <w:lang w:val="fr-CA"/>
                        </w:rPr>
                        <w:t>l</w:t>
                      </w:r>
                      <w:r>
                        <w:rPr>
                          <w:lang w:val="fr-CA"/>
                        </w:rPr>
                        <w:t>es mesures pr</w:t>
                      </w:r>
                      <w:r w:rsidR="000037A8">
                        <w:rPr>
                          <w:lang w:val="fr-CA"/>
                        </w:rPr>
                        <w:t>oposées</w:t>
                      </w:r>
                      <w:r>
                        <w:rPr>
                          <w:lang w:val="fr-CA"/>
                        </w:rPr>
                        <w:t xml:space="preserve"> par le Secrétariat </w:t>
                      </w:r>
                      <w:r>
                        <w:rPr>
                          <w:rFonts w:cs="Calibri"/>
                          <w:lang w:val="fr-CA"/>
                        </w:rPr>
                        <w:t xml:space="preserve">pour favoriser leur paiement, soit : </w:t>
                      </w:r>
                    </w:p>
                    <w:p w:rsidR="00150DBB" w:rsidRPr="000037A8" w:rsidRDefault="00462401" w:rsidP="00462401">
                      <w:pPr>
                        <w:pStyle w:val="ColorfulList-Accent11"/>
                        <w:numPr>
                          <w:ilvl w:val="0"/>
                          <w:numId w:val="46"/>
                        </w:numPr>
                        <w:spacing w:after="0" w:line="240" w:lineRule="auto"/>
                        <w:ind w:left="720"/>
                        <w:rPr>
                          <w:rFonts w:cs="Calibri"/>
                          <w:lang w:val="fr-CH"/>
                        </w:rPr>
                      </w:pPr>
                      <w:r w:rsidRPr="000037A8">
                        <w:rPr>
                          <w:rFonts w:cs="Calibri"/>
                          <w:lang w:val="fr-CH"/>
                        </w:rPr>
                        <w:t>Obtenir un plan de paiement écrit et explicite du plus grand nombre possible de Parties ayant des arriérés de plus de trois ans, en se concentrant sur les Parties qui n’ont jamais versé de contribution depuis leur adhésion</w:t>
                      </w:r>
                      <w:r w:rsidR="00150DBB" w:rsidRPr="000037A8">
                        <w:rPr>
                          <w:rFonts w:cs="Calibri"/>
                          <w:lang w:val="fr-CH"/>
                        </w:rPr>
                        <w:t xml:space="preserve"> </w:t>
                      </w:r>
                      <w:r w:rsidRPr="000037A8">
                        <w:rPr>
                          <w:rFonts w:cs="Calibri"/>
                          <w:lang w:val="fr-CH"/>
                        </w:rPr>
                        <w:t xml:space="preserve">et celles qui ont des arriérés d’aussi longue durée, atteignant plus de  </w:t>
                      </w:r>
                      <w:r w:rsidR="007E4D5D" w:rsidRPr="000037A8">
                        <w:rPr>
                          <w:rFonts w:cs="Calibri"/>
                          <w:lang w:val="fr-CH"/>
                        </w:rPr>
                        <w:t>50</w:t>
                      </w:r>
                      <w:r w:rsidRPr="000037A8">
                        <w:rPr>
                          <w:rFonts w:cs="Calibri"/>
                          <w:lang w:val="fr-CH"/>
                        </w:rPr>
                        <w:t> </w:t>
                      </w:r>
                      <w:r w:rsidR="007E4D5D" w:rsidRPr="000037A8">
                        <w:rPr>
                          <w:rFonts w:cs="Calibri"/>
                          <w:lang w:val="fr-CH"/>
                        </w:rPr>
                        <w:t>000</w:t>
                      </w:r>
                      <w:r w:rsidRPr="000037A8">
                        <w:rPr>
                          <w:rFonts w:cs="Calibri"/>
                          <w:lang w:val="fr-CH"/>
                        </w:rPr>
                        <w:t> CHF</w:t>
                      </w:r>
                      <w:r w:rsidR="005100CD" w:rsidRPr="000037A8">
                        <w:rPr>
                          <w:rFonts w:cs="Calibri"/>
                          <w:lang w:val="fr-CH"/>
                        </w:rPr>
                        <w:t>;</w:t>
                      </w:r>
                      <w:r w:rsidR="00150DBB" w:rsidRPr="000037A8">
                        <w:rPr>
                          <w:rFonts w:cs="Calibri"/>
                          <w:lang w:val="fr-CH"/>
                        </w:rPr>
                        <w:t xml:space="preserve"> </w:t>
                      </w:r>
                    </w:p>
                    <w:p w:rsidR="00150DBB" w:rsidRPr="000037A8" w:rsidRDefault="00462401" w:rsidP="00462401">
                      <w:pPr>
                        <w:pStyle w:val="ColorfulList-Accent11"/>
                        <w:numPr>
                          <w:ilvl w:val="0"/>
                          <w:numId w:val="46"/>
                        </w:numPr>
                        <w:spacing w:after="0" w:line="240" w:lineRule="auto"/>
                        <w:ind w:left="720"/>
                        <w:rPr>
                          <w:rFonts w:cs="Calibri"/>
                          <w:lang w:val="fr-CH"/>
                        </w:rPr>
                      </w:pPr>
                      <w:r w:rsidRPr="000037A8">
                        <w:rPr>
                          <w:rFonts w:cs="Calibri"/>
                          <w:lang w:val="fr-CH"/>
                        </w:rPr>
                        <w:t>Faire rapport sur les progrès de chaque Partie à la 53</w:t>
                      </w:r>
                      <w:r w:rsidRPr="000037A8">
                        <w:rPr>
                          <w:rFonts w:cs="Calibri"/>
                          <w:vertAlign w:val="superscript"/>
                          <w:lang w:val="fr-CH"/>
                        </w:rPr>
                        <w:t>e</w:t>
                      </w:r>
                      <w:r w:rsidRPr="000037A8">
                        <w:rPr>
                          <w:rFonts w:cs="Calibri"/>
                          <w:lang w:val="fr-CH"/>
                        </w:rPr>
                        <w:t xml:space="preserve"> Réunion du Comité permanent</w:t>
                      </w:r>
                      <w:r w:rsidR="005100CD" w:rsidRPr="000037A8">
                        <w:rPr>
                          <w:rFonts w:cs="Calibri"/>
                          <w:lang w:val="fr-CH"/>
                        </w:rPr>
                        <w:t xml:space="preserve">; </w:t>
                      </w:r>
                      <w:r w:rsidRPr="000037A8">
                        <w:rPr>
                          <w:rFonts w:cs="Calibri"/>
                          <w:lang w:val="fr-CH"/>
                        </w:rPr>
                        <w:t>et</w:t>
                      </w:r>
                    </w:p>
                    <w:p w:rsidR="00150DBB" w:rsidRPr="000037A8" w:rsidRDefault="00462401" w:rsidP="00462401">
                      <w:pPr>
                        <w:pStyle w:val="ColorfulList-Accent11"/>
                        <w:numPr>
                          <w:ilvl w:val="0"/>
                          <w:numId w:val="46"/>
                        </w:numPr>
                        <w:spacing w:after="0" w:line="240" w:lineRule="auto"/>
                        <w:ind w:left="720"/>
                        <w:rPr>
                          <w:lang w:val="fr-CH"/>
                        </w:rPr>
                      </w:pPr>
                      <w:r w:rsidRPr="000037A8">
                        <w:rPr>
                          <w:rFonts w:cs="Calibri"/>
                          <w:lang w:val="fr-CH"/>
                        </w:rPr>
                        <w:t>Faire participer les nouveaux représentants régionaux au Sous-groupe sur les finances à cette activité</w:t>
                      </w:r>
                      <w:r w:rsidR="005100CD" w:rsidRPr="000037A8">
                        <w:rPr>
                          <w:rFonts w:cs="Calibri"/>
                          <w:lang w:val="fr-CH"/>
                        </w:rPr>
                        <w:t>.</w:t>
                      </w:r>
                    </w:p>
                  </w:txbxContent>
                </v:textbox>
                <w10:anchorlock/>
              </v:shape>
            </w:pict>
          </mc:Fallback>
        </mc:AlternateContent>
      </w:r>
    </w:p>
    <w:p w:rsidR="000B26D3" w:rsidRPr="00F538E8" w:rsidRDefault="000B26D3" w:rsidP="000B26D3">
      <w:pPr>
        <w:autoSpaceDE w:val="0"/>
        <w:autoSpaceDN w:val="0"/>
        <w:adjustRightInd w:val="0"/>
        <w:rPr>
          <w:rFonts w:ascii="Calibri" w:hAnsi="Calibri" w:cs="Calibri"/>
          <w:sz w:val="20"/>
          <w:szCs w:val="20"/>
          <w:lang w:val="fr-FR"/>
        </w:rPr>
      </w:pPr>
    </w:p>
    <w:p w:rsidR="00314C1E" w:rsidRPr="00F538E8" w:rsidRDefault="00314C1E" w:rsidP="000B26D3">
      <w:pPr>
        <w:autoSpaceDE w:val="0"/>
        <w:autoSpaceDN w:val="0"/>
        <w:adjustRightInd w:val="0"/>
        <w:rPr>
          <w:rFonts w:ascii="Calibri" w:hAnsi="Calibri" w:cs="Calibri"/>
          <w:sz w:val="20"/>
          <w:szCs w:val="20"/>
          <w:lang w:val="fr-FR"/>
        </w:rPr>
      </w:pPr>
    </w:p>
    <w:p w:rsidR="00055B73" w:rsidRPr="00F538E8" w:rsidRDefault="00055B73" w:rsidP="00055B73">
      <w:pPr>
        <w:autoSpaceDE w:val="0"/>
        <w:autoSpaceDN w:val="0"/>
        <w:adjustRightInd w:val="0"/>
        <w:rPr>
          <w:rFonts w:ascii="Calibri" w:hAnsi="Calibri" w:cs="Calibri"/>
          <w:b/>
          <w:sz w:val="22"/>
          <w:szCs w:val="22"/>
          <w:lang w:val="fr-FR"/>
        </w:rPr>
      </w:pPr>
      <w:r w:rsidRPr="00F538E8">
        <w:rPr>
          <w:rFonts w:ascii="Calibri" w:hAnsi="Calibri" w:cs="Calibri"/>
          <w:b/>
          <w:sz w:val="22"/>
          <w:szCs w:val="22"/>
          <w:lang w:val="fr-FR"/>
        </w:rPr>
        <w:t>Contexte</w:t>
      </w:r>
    </w:p>
    <w:p w:rsidR="000B26D3" w:rsidRPr="00F538E8" w:rsidRDefault="000B26D3" w:rsidP="000B26D3">
      <w:pPr>
        <w:autoSpaceDE w:val="0"/>
        <w:autoSpaceDN w:val="0"/>
        <w:adjustRightInd w:val="0"/>
        <w:rPr>
          <w:rFonts w:ascii="Calibri" w:hAnsi="Calibri" w:cs="Calibri"/>
          <w:sz w:val="22"/>
          <w:szCs w:val="22"/>
          <w:lang w:val="fr-FR"/>
        </w:rPr>
      </w:pPr>
    </w:p>
    <w:p w:rsidR="00055B73" w:rsidRPr="00F538E8" w:rsidRDefault="00055B73" w:rsidP="00055B73">
      <w:pPr>
        <w:numPr>
          <w:ilvl w:val="0"/>
          <w:numId w:val="39"/>
        </w:numPr>
        <w:autoSpaceDE w:val="0"/>
        <w:autoSpaceDN w:val="0"/>
        <w:adjustRightInd w:val="0"/>
        <w:ind w:left="450" w:hanging="450"/>
        <w:rPr>
          <w:rFonts w:ascii="Calibri" w:hAnsi="Calibri" w:cs="Calibri"/>
          <w:sz w:val="22"/>
          <w:szCs w:val="22"/>
          <w:lang w:val="fr-FR"/>
        </w:rPr>
      </w:pPr>
      <w:r w:rsidRPr="00F538E8">
        <w:rPr>
          <w:rFonts w:ascii="Calibri" w:hAnsi="Calibri" w:cs="Calibri"/>
          <w:sz w:val="22"/>
          <w:szCs w:val="22"/>
          <w:lang w:val="fr-FR"/>
        </w:rPr>
        <w:t xml:space="preserve">L’article 6.6 de la Convention stipule : « Chaque Partie contractante contribue [au] budget selon un barème des contributions adopté à l'unanimité des Parties contractantes présentes et votantes à une session ordinaire de la Conférence des Parties contractantes ». </w:t>
      </w:r>
    </w:p>
    <w:p w:rsidR="00055B73" w:rsidRPr="00F538E8" w:rsidRDefault="00055B73" w:rsidP="00055B73">
      <w:pPr>
        <w:autoSpaceDE w:val="0"/>
        <w:autoSpaceDN w:val="0"/>
        <w:adjustRightInd w:val="0"/>
        <w:rPr>
          <w:rFonts w:ascii="Calibri" w:hAnsi="Calibri" w:cs="Calibri"/>
          <w:sz w:val="22"/>
          <w:szCs w:val="22"/>
          <w:lang w:val="fr-FR"/>
        </w:rPr>
      </w:pPr>
    </w:p>
    <w:p w:rsidR="00055B73" w:rsidRPr="00F538E8" w:rsidRDefault="00055B73" w:rsidP="00055B73">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Les contributions annuelles (fixées) des Parties servent à financer le budget administratif de la Convention. Chaque année, les contributions annuelles sont facturées aux Parties par le Secrétariat. La facture en francs suisses est calculée en fonction du budget administratif approuvé et du barème des quotes-parts des Nations Unies en vigueur (ce-dernier étant proportionnellement ajusté de façon à tenir compte du véritable nombre de membres de la Convention au début de l’exercice). Le revenu est indiqué sur la facture et une créance est enregistrée, présumant un recouvrement complet.</w:t>
      </w:r>
    </w:p>
    <w:p w:rsidR="000B26D3" w:rsidRPr="00F538E8" w:rsidRDefault="000B26D3" w:rsidP="000B26D3">
      <w:pPr>
        <w:autoSpaceDE w:val="0"/>
        <w:autoSpaceDN w:val="0"/>
        <w:adjustRightInd w:val="0"/>
        <w:rPr>
          <w:rFonts w:ascii="Calibri" w:hAnsi="Calibri" w:cs="Calibri"/>
          <w:sz w:val="22"/>
          <w:szCs w:val="22"/>
          <w:lang w:val="fr-FR"/>
        </w:rPr>
      </w:pPr>
    </w:p>
    <w:p w:rsidR="0094312C" w:rsidRPr="00F538E8" w:rsidRDefault="00055B73" w:rsidP="00A549CD">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 xml:space="preserve">Dans la Résolution XI.2 (2012), paragraphe 17, la Conférence des Parties contractantes : « Prie instamment les Parties contractantes ayant des contributions impayées de redoubler d’efforts pour les régler le plus rapidement possible, afin de renforcer la viabilité financière de la Convention de Ramsar grâce aux contributions de toutes les Parties contractantes et demande au Secrétariat de prendre contact avec les Parties contractantes ayant des contributions impayées depuis plus de trois ans afin de les aider à définir les options et mesures appropriées pour remédier à la situation et établir un plan de paiement des contributions, et de faire rapport à chaque réunion du Comité permanent et session de la Conférence des Parties sur les activités entreprises en la matière et les résultats obtenus ». </w:t>
      </w:r>
    </w:p>
    <w:p w:rsidR="00055B73" w:rsidRPr="00F538E8" w:rsidRDefault="00055B73" w:rsidP="00055B73">
      <w:pPr>
        <w:pStyle w:val="ListParagraph"/>
        <w:rPr>
          <w:rFonts w:ascii="Calibri" w:hAnsi="Calibri" w:cs="Calibri"/>
          <w:sz w:val="22"/>
          <w:szCs w:val="22"/>
          <w:lang w:val="fr-FR"/>
        </w:rPr>
      </w:pPr>
    </w:p>
    <w:p w:rsidR="00055B73" w:rsidRPr="00F538E8" w:rsidRDefault="00055B73" w:rsidP="00055B73">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 xml:space="preserve">Avant la fin de chaque exercice, le Secrétariat évalue l’état des contributions impayées, d’après les montants et la durée des arriérés, et enregistre une provision en conséquence. Chaque </w:t>
      </w:r>
      <w:r w:rsidRPr="00F538E8">
        <w:rPr>
          <w:rFonts w:ascii="Calibri" w:hAnsi="Calibri" w:cs="Calibri"/>
          <w:sz w:val="22"/>
          <w:szCs w:val="22"/>
          <w:lang w:val="fr-FR"/>
        </w:rPr>
        <w:lastRenderedPageBreak/>
        <w:t>augmentation annuelle de la provision entraîne une diminution des fonds du budget administratif disponibles.</w:t>
      </w:r>
      <w:r w:rsidRPr="00F538E8">
        <w:rPr>
          <w:rFonts w:ascii="Calibri" w:hAnsi="Calibri"/>
          <w:sz w:val="22"/>
          <w:szCs w:val="22"/>
          <w:vertAlign w:val="superscript"/>
          <w:lang w:val="fr-FR"/>
        </w:rPr>
        <w:footnoteReference w:id="1"/>
      </w:r>
    </w:p>
    <w:p w:rsidR="000B26D3" w:rsidRPr="00F538E8" w:rsidRDefault="000B26D3" w:rsidP="000B26D3">
      <w:pPr>
        <w:autoSpaceDE w:val="0"/>
        <w:autoSpaceDN w:val="0"/>
        <w:adjustRightInd w:val="0"/>
        <w:rPr>
          <w:rFonts w:ascii="Calibri" w:hAnsi="Calibri" w:cs="Calibri"/>
          <w:sz w:val="22"/>
          <w:szCs w:val="22"/>
          <w:lang w:val="fr-FR"/>
        </w:rPr>
      </w:pPr>
    </w:p>
    <w:p w:rsidR="004431CD" w:rsidRPr="00F538E8" w:rsidRDefault="004431CD" w:rsidP="004431CD">
      <w:pPr>
        <w:ind w:left="539" w:hanging="539"/>
        <w:rPr>
          <w:rFonts w:ascii="Calibri" w:hAnsi="Calibri" w:cs="Calibri"/>
          <w:b/>
          <w:color w:val="000000"/>
          <w:sz w:val="22"/>
          <w:szCs w:val="22"/>
          <w:lang w:val="fr-FR"/>
        </w:rPr>
      </w:pPr>
      <w:r w:rsidRPr="00F538E8">
        <w:rPr>
          <w:rFonts w:ascii="Calibri" w:hAnsi="Calibri" w:cs="Calibri"/>
          <w:b/>
          <w:color w:val="000000"/>
          <w:sz w:val="22"/>
          <w:szCs w:val="22"/>
          <w:lang w:val="fr-FR"/>
        </w:rPr>
        <w:t>Mise à jour 2016</w:t>
      </w:r>
    </w:p>
    <w:p w:rsidR="0094312C" w:rsidRPr="00F538E8" w:rsidRDefault="0094312C" w:rsidP="000B26D3">
      <w:pPr>
        <w:autoSpaceDE w:val="0"/>
        <w:autoSpaceDN w:val="0"/>
        <w:adjustRightInd w:val="0"/>
        <w:rPr>
          <w:rFonts w:ascii="Calibri" w:hAnsi="Calibri" w:cs="Calibri"/>
          <w:sz w:val="22"/>
          <w:szCs w:val="22"/>
          <w:lang w:val="fr-FR"/>
        </w:rPr>
      </w:pPr>
    </w:p>
    <w:p w:rsidR="000334A3" w:rsidRPr="00F538E8" w:rsidRDefault="00462401" w:rsidP="00494E10">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La</w:t>
      </w:r>
      <w:r w:rsidR="000334A3" w:rsidRPr="00F538E8">
        <w:rPr>
          <w:rFonts w:ascii="Calibri" w:hAnsi="Calibri" w:cs="Calibri"/>
          <w:sz w:val="22"/>
          <w:szCs w:val="22"/>
          <w:lang w:val="fr-FR"/>
        </w:rPr>
        <w:t xml:space="preserve"> position </w:t>
      </w:r>
      <w:r w:rsidRPr="00F538E8">
        <w:rPr>
          <w:rFonts w:ascii="Calibri" w:hAnsi="Calibri" w:cs="Calibri"/>
          <w:sz w:val="22"/>
          <w:szCs w:val="22"/>
          <w:lang w:val="fr-FR"/>
        </w:rPr>
        <w:t>de chaque Partie co</w:t>
      </w:r>
      <w:r w:rsidR="000334A3" w:rsidRPr="00F538E8">
        <w:rPr>
          <w:rFonts w:ascii="Calibri" w:hAnsi="Calibri" w:cs="Calibri"/>
          <w:sz w:val="22"/>
          <w:szCs w:val="22"/>
          <w:lang w:val="fr-FR"/>
        </w:rPr>
        <w:t>ntract</w:t>
      </w:r>
      <w:r w:rsidRPr="00F538E8">
        <w:rPr>
          <w:rFonts w:ascii="Calibri" w:hAnsi="Calibri" w:cs="Calibri"/>
          <w:sz w:val="22"/>
          <w:szCs w:val="22"/>
          <w:lang w:val="fr-FR"/>
        </w:rPr>
        <w:t>ante au 29 février 2016</w:t>
      </w:r>
      <w:r w:rsidR="000334A3" w:rsidRPr="00F538E8">
        <w:rPr>
          <w:rFonts w:ascii="Calibri" w:hAnsi="Calibri" w:cs="Calibri"/>
          <w:sz w:val="22"/>
          <w:szCs w:val="22"/>
          <w:lang w:val="fr-FR"/>
        </w:rPr>
        <w:t xml:space="preserve"> </w:t>
      </w:r>
      <w:r w:rsidRPr="00F538E8">
        <w:rPr>
          <w:rFonts w:ascii="Calibri" w:hAnsi="Calibri" w:cs="Calibri"/>
          <w:sz w:val="22"/>
          <w:szCs w:val="22"/>
          <w:lang w:val="fr-FR"/>
        </w:rPr>
        <w:t>figure dans le tableau de l’annexe</w:t>
      </w:r>
      <w:r w:rsidR="00107AD4" w:rsidRPr="00F538E8">
        <w:rPr>
          <w:rFonts w:ascii="Calibri" w:hAnsi="Calibri" w:cs="Calibri"/>
          <w:sz w:val="22"/>
          <w:szCs w:val="22"/>
          <w:lang w:val="fr-FR"/>
        </w:rPr>
        <w:t> </w:t>
      </w:r>
      <w:r w:rsidRPr="00F538E8">
        <w:rPr>
          <w:rFonts w:ascii="Calibri" w:hAnsi="Calibri" w:cs="Calibri"/>
          <w:sz w:val="22"/>
          <w:szCs w:val="22"/>
          <w:lang w:val="fr-FR"/>
        </w:rPr>
        <w:t>1</w:t>
      </w:r>
      <w:r w:rsidR="000334A3" w:rsidRPr="00F538E8">
        <w:rPr>
          <w:rFonts w:ascii="Calibri" w:hAnsi="Calibri" w:cs="Calibri"/>
          <w:sz w:val="22"/>
          <w:szCs w:val="22"/>
          <w:lang w:val="fr-FR"/>
        </w:rPr>
        <w:t>.</w:t>
      </w:r>
    </w:p>
    <w:p w:rsidR="000334A3" w:rsidRPr="00F538E8" w:rsidRDefault="000334A3" w:rsidP="000334A3">
      <w:pPr>
        <w:autoSpaceDE w:val="0"/>
        <w:autoSpaceDN w:val="0"/>
        <w:adjustRightInd w:val="0"/>
        <w:ind w:left="426"/>
        <w:rPr>
          <w:rFonts w:ascii="Calibri" w:hAnsi="Calibri" w:cs="Calibri"/>
          <w:sz w:val="22"/>
          <w:szCs w:val="22"/>
          <w:lang w:val="fr-FR"/>
        </w:rPr>
      </w:pPr>
    </w:p>
    <w:p w:rsidR="00494E10" w:rsidRPr="00F538E8" w:rsidRDefault="00462401" w:rsidP="00494E10">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Les</w:t>
      </w:r>
      <w:r w:rsidR="000B26D3" w:rsidRPr="00F538E8">
        <w:rPr>
          <w:rFonts w:ascii="Calibri" w:hAnsi="Calibri" w:cs="Calibri"/>
          <w:sz w:val="22"/>
          <w:szCs w:val="22"/>
          <w:lang w:val="fr-FR"/>
        </w:rPr>
        <w:t xml:space="preserve"> contributions</w:t>
      </w:r>
      <w:r w:rsidRPr="00F538E8">
        <w:rPr>
          <w:rFonts w:ascii="Calibri" w:hAnsi="Calibri" w:cs="Calibri"/>
          <w:sz w:val="22"/>
          <w:szCs w:val="22"/>
          <w:lang w:val="fr-FR"/>
        </w:rPr>
        <w:t xml:space="preserve"> </w:t>
      </w:r>
      <w:r w:rsidR="00F13FED" w:rsidRPr="00F538E8">
        <w:rPr>
          <w:rFonts w:ascii="Calibri" w:hAnsi="Calibri" w:cs="Calibri"/>
          <w:sz w:val="22"/>
          <w:szCs w:val="22"/>
          <w:lang w:val="fr-FR"/>
        </w:rPr>
        <w:t>fixées</w:t>
      </w:r>
      <w:r w:rsidR="000B26D3" w:rsidRPr="00F538E8">
        <w:rPr>
          <w:rFonts w:ascii="Calibri" w:hAnsi="Calibri" w:cs="Calibri"/>
          <w:sz w:val="22"/>
          <w:szCs w:val="22"/>
          <w:lang w:val="fr-FR"/>
        </w:rPr>
        <w:t xml:space="preserve">, </w:t>
      </w:r>
      <w:r w:rsidRPr="00F538E8">
        <w:rPr>
          <w:rFonts w:ascii="Calibri" w:hAnsi="Calibri" w:cs="Calibri"/>
          <w:sz w:val="22"/>
          <w:szCs w:val="22"/>
          <w:lang w:val="fr-FR"/>
        </w:rPr>
        <w:t xml:space="preserve">les </w:t>
      </w:r>
      <w:r w:rsidR="000B26D3" w:rsidRPr="00F538E8">
        <w:rPr>
          <w:rFonts w:ascii="Calibri" w:hAnsi="Calibri" w:cs="Calibri"/>
          <w:sz w:val="22"/>
          <w:szCs w:val="22"/>
          <w:lang w:val="fr-FR"/>
        </w:rPr>
        <w:t>contributions</w:t>
      </w:r>
      <w:r w:rsidR="00F13FED" w:rsidRPr="00F538E8">
        <w:rPr>
          <w:rFonts w:ascii="Calibri" w:hAnsi="Calibri" w:cs="Calibri"/>
          <w:sz w:val="22"/>
          <w:szCs w:val="22"/>
          <w:lang w:val="fr-FR"/>
        </w:rPr>
        <w:t xml:space="preserve"> impayées et la </w:t>
      </w:r>
      <w:r w:rsidR="000B26D3" w:rsidRPr="00F538E8">
        <w:rPr>
          <w:rFonts w:ascii="Calibri" w:hAnsi="Calibri" w:cs="Calibri"/>
          <w:sz w:val="22"/>
          <w:szCs w:val="22"/>
          <w:lang w:val="fr-FR"/>
        </w:rPr>
        <w:t xml:space="preserve">provision </w:t>
      </w:r>
      <w:r w:rsidR="00F13FED" w:rsidRPr="00F538E8">
        <w:rPr>
          <w:rFonts w:ascii="Calibri" w:hAnsi="Calibri" w:cs="Calibri"/>
          <w:sz w:val="22"/>
          <w:szCs w:val="22"/>
          <w:lang w:val="fr-FR"/>
        </w:rPr>
        <w:t xml:space="preserve">pour non-recouvrement ont progressivement augmenté avec le temps et les totaux respectifs à la fin de chaque année, de </w:t>
      </w:r>
      <w:r w:rsidR="000B26D3" w:rsidRPr="00F538E8">
        <w:rPr>
          <w:rFonts w:ascii="Calibri" w:hAnsi="Calibri" w:cs="Calibri"/>
          <w:sz w:val="22"/>
          <w:szCs w:val="22"/>
          <w:lang w:val="fr-FR"/>
        </w:rPr>
        <w:t>20</w:t>
      </w:r>
      <w:r w:rsidR="002521E9" w:rsidRPr="00F538E8">
        <w:rPr>
          <w:rFonts w:ascii="Calibri" w:hAnsi="Calibri" w:cs="Calibri"/>
          <w:sz w:val="22"/>
          <w:szCs w:val="22"/>
          <w:lang w:val="fr-FR"/>
        </w:rPr>
        <w:t>1</w:t>
      </w:r>
      <w:r w:rsidR="00BD4BC8" w:rsidRPr="00F538E8">
        <w:rPr>
          <w:rFonts w:ascii="Calibri" w:hAnsi="Calibri" w:cs="Calibri"/>
          <w:sz w:val="22"/>
          <w:szCs w:val="22"/>
          <w:lang w:val="fr-FR"/>
        </w:rPr>
        <w:t>2</w:t>
      </w:r>
      <w:r w:rsidR="000B26D3" w:rsidRPr="00F538E8">
        <w:rPr>
          <w:rFonts w:ascii="Calibri" w:hAnsi="Calibri" w:cs="Calibri"/>
          <w:sz w:val="22"/>
          <w:szCs w:val="22"/>
          <w:lang w:val="fr-FR"/>
        </w:rPr>
        <w:t xml:space="preserve"> </w:t>
      </w:r>
      <w:r w:rsidR="00F13FED" w:rsidRPr="00F538E8">
        <w:rPr>
          <w:rFonts w:ascii="Calibri" w:hAnsi="Calibri" w:cs="Calibri"/>
          <w:sz w:val="22"/>
          <w:szCs w:val="22"/>
          <w:lang w:val="fr-FR"/>
        </w:rPr>
        <w:t>à</w:t>
      </w:r>
      <w:r w:rsidR="00494E10" w:rsidRPr="00F538E8">
        <w:rPr>
          <w:rFonts w:ascii="Calibri" w:hAnsi="Calibri" w:cs="Calibri"/>
          <w:sz w:val="22"/>
          <w:szCs w:val="22"/>
          <w:lang w:val="fr-FR"/>
        </w:rPr>
        <w:t xml:space="preserve"> 2015</w:t>
      </w:r>
      <w:r w:rsidR="00444AF0" w:rsidRPr="00F538E8">
        <w:rPr>
          <w:rFonts w:ascii="Calibri" w:hAnsi="Calibri" w:cs="Calibri"/>
          <w:sz w:val="22"/>
          <w:szCs w:val="22"/>
          <w:lang w:val="fr-FR"/>
        </w:rPr>
        <w:t>,</w:t>
      </w:r>
      <w:r w:rsidR="00494E10" w:rsidRPr="00F538E8">
        <w:rPr>
          <w:rFonts w:ascii="Calibri" w:hAnsi="Calibri" w:cs="Calibri"/>
          <w:sz w:val="22"/>
          <w:szCs w:val="22"/>
          <w:lang w:val="fr-FR"/>
        </w:rPr>
        <w:t xml:space="preserve"> </w:t>
      </w:r>
      <w:r w:rsidR="00F13FED" w:rsidRPr="00F538E8">
        <w:rPr>
          <w:rFonts w:ascii="Calibri" w:hAnsi="Calibri" w:cs="Calibri"/>
          <w:sz w:val="22"/>
          <w:szCs w:val="22"/>
          <w:lang w:val="fr-FR"/>
        </w:rPr>
        <w:t>figurent au tableau 1</w:t>
      </w:r>
      <w:r w:rsidR="00A7416E" w:rsidRPr="00F538E8">
        <w:rPr>
          <w:rFonts w:ascii="Calibri" w:hAnsi="Calibri" w:cs="Calibri"/>
          <w:sz w:val="22"/>
          <w:szCs w:val="22"/>
          <w:lang w:val="fr-FR"/>
        </w:rPr>
        <w:t>.</w:t>
      </w:r>
      <w:r w:rsidR="00494E10" w:rsidRPr="00F538E8">
        <w:rPr>
          <w:rFonts w:ascii="Calibri" w:hAnsi="Calibri" w:cs="Calibri"/>
          <w:sz w:val="22"/>
          <w:szCs w:val="22"/>
          <w:lang w:val="fr-FR"/>
        </w:rPr>
        <w:t xml:space="preserve"> A</w:t>
      </w:r>
      <w:r w:rsidR="00F13FED" w:rsidRPr="00F538E8">
        <w:rPr>
          <w:rFonts w:ascii="Calibri" w:hAnsi="Calibri" w:cs="Calibri"/>
          <w:sz w:val="22"/>
          <w:szCs w:val="22"/>
          <w:lang w:val="fr-FR"/>
        </w:rPr>
        <w:t>u</w:t>
      </w:r>
      <w:r w:rsidR="00494E10" w:rsidRPr="00F538E8">
        <w:rPr>
          <w:rFonts w:ascii="Calibri" w:hAnsi="Calibri" w:cs="Calibri"/>
          <w:sz w:val="22"/>
          <w:szCs w:val="22"/>
          <w:lang w:val="fr-FR"/>
        </w:rPr>
        <w:t xml:space="preserve"> 31 </w:t>
      </w:r>
      <w:r w:rsidR="00F13FED" w:rsidRPr="00F538E8">
        <w:rPr>
          <w:rFonts w:ascii="Calibri" w:hAnsi="Calibri" w:cs="Calibri"/>
          <w:sz w:val="22"/>
          <w:szCs w:val="22"/>
          <w:lang w:val="fr-FR"/>
        </w:rPr>
        <w:t>décembre</w:t>
      </w:r>
      <w:r w:rsidR="00494E10" w:rsidRPr="00F538E8">
        <w:rPr>
          <w:rFonts w:ascii="Calibri" w:hAnsi="Calibri" w:cs="Calibri"/>
          <w:sz w:val="22"/>
          <w:szCs w:val="22"/>
          <w:lang w:val="fr-FR"/>
        </w:rPr>
        <w:t xml:space="preserve"> 2015, </w:t>
      </w:r>
      <w:r w:rsidR="00F13FED" w:rsidRPr="00F538E8">
        <w:rPr>
          <w:rFonts w:ascii="Calibri" w:hAnsi="Calibri" w:cs="Calibri"/>
          <w:sz w:val="22"/>
          <w:szCs w:val="22"/>
          <w:lang w:val="fr-FR"/>
        </w:rPr>
        <w:t xml:space="preserve">un montant de </w:t>
      </w:r>
      <w:r w:rsidR="00494E10" w:rsidRPr="00F538E8">
        <w:rPr>
          <w:rFonts w:ascii="Calibri" w:hAnsi="Calibri" w:cs="Calibri"/>
          <w:sz w:val="22"/>
          <w:szCs w:val="22"/>
          <w:lang w:val="fr-FR"/>
        </w:rPr>
        <w:t>1</w:t>
      </w:r>
      <w:r w:rsidR="00F13FED" w:rsidRPr="00F538E8">
        <w:rPr>
          <w:rFonts w:ascii="Calibri" w:hAnsi="Calibri" w:cs="Calibri"/>
          <w:sz w:val="22"/>
          <w:szCs w:val="22"/>
          <w:lang w:val="fr-FR"/>
        </w:rPr>
        <w:t xml:space="preserve"> </w:t>
      </w:r>
      <w:r w:rsidR="00494E10" w:rsidRPr="00F538E8">
        <w:rPr>
          <w:rFonts w:ascii="Calibri" w:hAnsi="Calibri" w:cs="Calibri"/>
          <w:sz w:val="22"/>
          <w:szCs w:val="22"/>
          <w:lang w:val="fr-FR"/>
        </w:rPr>
        <w:t>260</w:t>
      </w:r>
      <w:r w:rsidR="00F13FED" w:rsidRPr="00F538E8">
        <w:rPr>
          <w:rFonts w:ascii="Calibri" w:hAnsi="Calibri" w:cs="Calibri"/>
          <w:sz w:val="22"/>
          <w:szCs w:val="22"/>
          <w:lang w:val="fr-FR"/>
        </w:rPr>
        <w:t> </w:t>
      </w:r>
      <w:r w:rsidR="00494E10" w:rsidRPr="00F538E8">
        <w:rPr>
          <w:rFonts w:ascii="Calibri" w:hAnsi="Calibri" w:cs="Calibri"/>
          <w:sz w:val="22"/>
          <w:szCs w:val="22"/>
          <w:lang w:val="fr-FR"/>
        </w:rPr>
        <w:t>000</w:t>
      </w:r>
      <w:r w:rsidR="00F13FED" w:rsidRPr="00F538E8">
        <w:rPr>
          <w:rFonts w:ascii="Calibri" w:hAnsi="Calibri" w:cs="Calibri"/>
          <w:sz w:val="22"/>
          <w:szCs w:val="22"/>
          <w:lang w:val="fr-FR"/>
        </w:rPr>
        <w:t xml:space="preserve"> CHF</w:t>
      </w:r>
      <w:r w:rsidR="00494E10" w:rsidRPr="00F538E8">
        <w:rPr>
          <w:rFonts w:ascii="Calibri" w:hAnsi="Calibri" w:cs="Calibri"/>
          <w:sz w:val="22"/>
          <w:szCs w:val="22"/>
          <w:lang w:val="fr-FR"/>
        </w:rPr>
        <w:t xml:space="preserve"> </w:t>
      </w:r>
      <w:r w:rsidR="00F13FED" w:rsidRPr="00F538E8">
        <w:rPr>
          <w:rFonts w:ascii="Calibri" w:hAnsi="Calibri" w:cs="Calibri"/>
          <w:sz w:val="22"/>
          <w:szCs w:val="22"/>
          <w:lang w:val="fr-FR"/>
        </w:rPr>
        <w:t xml:space="preserve">restait impayé de </w:t>
      </w:r>
      <w:r w:rsidR="00494E10" w:rsidRPr="00F538E8">
        <w:rPr>
          <w:rFonts w:ascii="Calibri" w:hAnsi="Calibri" w:cs="Calibri"/>
          <w:sz w:val="22"/>
          <w:szCs w:val="22"/>
          <w:lang w:val="fr-FR"/>
        </w:rPr>
        <w:t xml:space="preserve">2015 </w:t>
      </w:r>
      <w:r w:rsidR="00F13FED" w:rsidRPr="00F538E8">
        <w:rPr>
          <w:rFonts w:ascii="Calibri" w:hAnsi="Calibri" w:cs="Calibri"/>
          <w:sz w:val="22"/>
          <w:szCs w:val="22"/>
          <w:lang w:val="fr-FR"/>
        </w:rPr>
        <w:t xml:space="preserve">et </w:t>
      </w:r>
      <w:r w:rsidR="00444AF0" w:rsidRPr="00F538E8">
        <w:rPr>
          <w:rFonts w:ascii="Calibri" w:hAnsi="Calibri" w:cs="Calibri"/>
          <w:sz w:val="22"/>
          <w:szCs w:val="22"/>
          <w:lang w:val="fr-FR"/>
        </w:rPr>
        <w:t>d</w:t>
      </w:r>
      <w:r w:rsidR="00C84686" w:rsidRPr="00F538E8">
        <w:rPr>
          <w:rFonts w:ascii="Calibri" w:hAnsi="Calibri" w:cs="Calibri"/>
          <w:sz w:val="22"/>
          <w:szCs w:val="22"/>
          <w:lang w:val="fr-FR"/>
        </w:rPr>
        <w:t>es années antérieures</w:t>
      </w:r>
      <w:r w:rsidR="00494E10" w:rsidRPr="00F538E8">
        <w:rPr>
          <w:rFonts w:ascii="Calibri" w:hAnsi="Calibri" w:cs="Calibri"/>
          <w:sz w:val="22"/>
          <w:szCs w:val="22"/>
          <w:lang w:val="fr-FR"/>
        </w:rPr>
        <w:t>.</w:t>
      </w:r>
    </w:p>
    <w:p w:rsidR="00494E10" w:rsidRPr="00F538E8" w:rsidRDefault="00494E10" w:rsidP="00494E10">
      <w:pPr>
        <w:autoSpaceDE w:val="0"/>
        <w:autoSpaceDN w:val="0"/>
        <w:adjustRightInd w:val="0"/>
        <w:ind w:left="426"/>
        <w:rPr>
          <w:rFonts w:ascii="Calibri" w:hAnsi="Calibri" w:cs="Calibri"/>
          <w:sz w:val="22"/>
          <w:szCs w:val="22"/>
          <w:lang w:val="fr-FR"/>
        </w:rPr>
      </w:pPr>
    </w:p>
    <w:p w:rsidR="005410BE" w:rsidRPr="00F538E8" w:rsidRDefault="00F13FED" w:rsidP="005410BE">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Le tableau</w:t>
      </w:r>
      <w:r w:rsidR="00494E10" w:rsidRPr="00F538E8">
        <w:rPr>
          <w:rFonts w:ascii="Calibri" w:hAnsi="Calibri" w:cs="Calibri"/>
          <w:sz w:val="22"/>
          <w:szCs w:val="22"/>
          <w:lang w:val="fr-FR"/>
        </w:rPr>
        <w:t xml:space="preserve"> 1 </w:t>
      </w:r>
      <w:r w:rsidRPr="00F538E8">
        <w:rPr>
          <w:rFonts w:ascii="Calibri" w:hAnsi="Calibri" w:cs="Calibri"/>
          <w:sz w:val="22"/>
          <w:szCs w:val="22"/>
          <w:lang w:val="fr-FR"/>
        </w:rPr>
        <w:t xml:space="preserve">montre aussi les </w:t>
      </w:r>
      <w:r w:rsidR="00494E10" w:rsidRPr="00F538E8">
        <w:rPr>
          <w:rFonts w:ascii="Calibri" w:hAnsi="Calibri" w:cs="Calibri"/>
          <w:sz w:val="22"/>
          <w:szCs w:val="22"/>
          <w:lang w:val="fr-FR"/>
        </w:rPr>
        <w:t>contributions</w:t>
      </w:r>
      <w:r w:rsidRPr="00F538E8">
        <w:rPr>
          <w:rFonts w:ascii="Calibri" w:hAnsi="Calibri" w:cs="Calibri"/>
          <w:sz w:val="22"/>
          <w:szCs w:val="22"/>
          <w:lang w:val="fr-FR"/>
        </w:rPr>
        <w:t xml:space="preserve"> impayées au</w:t>
      </w:r>
      <w:r w:rsidR="00494E10" w:rsidRPr="00F538E8">
        <w:rPr>
          <w:rFonts w:ascii="Calibri" w:hAnsi="Calibri" w:cs="Calibri"/>
          <w:sz w:val="22"/>
          <w:szCs w:val="22"/>
          <w:lang w:val="fr-FR"/>
        </w:rPr>
        <w:t xml:space="preserve"> 29 </w:t>
      </w:r>
      <w:r w:rsidRPr="00F538E8">
        <w:rPr>
          <w:rFonts w:ascii="Calibri" w:hAnsi="Calibri" w:cs="Calibri"/>
          <w:sz w:val="22"/>
          <w:szCs w:val="22"/>
          <w:lang w:val="fr-FR"/>
        </w:rPr>
        <w:t>février</w:t>
      </w:r>
      <w:r w:rsidR="00494E10" w:rsidRPr="00F538E8">
        <w:rPr>
          <w:rFonts w:ascii="Calibri" w:hAnsi="Calibri" w:cs="Calibri"/>
          <w:sz w:val="22"/>
          <w:szCs w:val="22"/>
          <w:lang w:val="fr-FR"/>
        </w:rPr>
        <w:t xml:space="preserve"> 2016. </w:t>
      </w:r>
      <w:r w:rsidRPr="00F538E8">
        <w:rPr>
          <w:rFonts w:ascii="Calibri" w:hAnsi="Calibri" w:cs="Calibri"/>
          <w:sz w:val="22"/>
          <w:szCs w:val="22"/>
          <w:lang w:val="fr-FR"/>
        </w:rPr>
        <w:t xml:space="preserve">Il convient de noter que les factures pour les contributions de 2016 ont été envoyées aux Parties le 20 janvier </w:t>
      </w:r>
      <w:r w:rsidR="00044588" w:rsidRPr="00F538E8">
        <w:rPr>
          <w:rFonts w:ascii="Calibri" w:hAnsi="Calibri" w:cs="Calibri"/>
          <w:sz w:val="22"/>
          <w:szCs w:val="22"/>
          <w:lang w:val="fr-FR"/>
        </w:rPr>
        <w:t xml:space="preserve">2016 </w:t>
      </w:r>
      <w:r w:rsidRPr="00F538E8">
        <w:rPr>
          <w:rFonts w:ascii="Calibri" w:hAnsi="Calibri" w:cs="Calibri"/>
          <w:sz w:val="22"/>
          <w:szCs w:val="22"/>
          <w:lang w:val="fr-FR"/>
        </w:rPr>
        <w:t xml:space="preserve">et qu’elles étaient dues au </w:t>
      </w:r>
      <w:r w:rsidR="00444AF0" w:rsidRPr="00F538E8">
        <w:rPr>
          <w:rFonts w:ascii="Calibri" w:hAnsi="Calibri" w:cs="Calibri"/>
          <w:sz w:val="22"/>
          <w:szCs w:val="22"/>
          <w:lang w:val="fr-FR"/>
        </w:rPr>
        <w:t xml:space="preserve">20 </w:t>
      </w:r>
      <w:r w:rsidRPr="00F538E8">
        <w:rPr>
          <w:rFonts w:ascii="Calibri" w:hAnsi="Calibri" w:cs="Calibri"/>
          <w:sz w:val="22"/>
          <w:szCs w:val="22"/>
          <w:lang w:val="fr-FR"/>
        </w:rPr>
        <w:t>février</w:t>
      </w:r>
      <w:r w:rsidR="00044588" w:rsidRPr="00F538E8">
        <w:rPr>
          <w:rFonts w:ascii="Calibri" w:hAnsi="Calibri" w:cs="Calibri"/>
          <w:sz w:val="22"/>
          <w:szCs w:val="22"/>
          <w:lang w:val="fr-FR"/>
        </w:rPr>
        <w:t xml:space="preserve"> 2016</w:t>
      </w:r>
      <w:r w:rsidR="007B728C" w:rsidRPr="00F538E8">
        <w:rPr>
          <w:rFonts w:ascii="Calibri" w:hAnsi="Calibri" w:cs="Calibri"/>
          <w:sz w:val="22"/>
          <w:szCs w:val="22"/>
          <w:lang w:val="fr-FR"/>
        </w:rPr>
        <w:t xml:space="preserve">. </w:t>
      </w:r>
      <w:r w:rsidR="00444AF0" w:rsidRPr="00F538E8">
        <w:rPr>
          <w:rFonts w:ascii="Calibri" w:hAnsi="Calibri" w:cs="Calibri"/>
          <w:sz w:val="22"/>
          <w:szCs w:val="22"/>
          <w:lang w:val="fr-FR"/>
        </w:rPr>
        <w:t>La courte période de temps</w:t>
      </w:r>
      <w:r w:rsidRPr="00F538E8">
        <w:rPr>
          <w:rFonts w:ascii="Calibri" w:hAnsi="Calibri" w:cs="Calibri"/>
          <w:sz w:val="22"/>
          <w:szCs w:val="22"/>
          <w:lang w:val="fr-FR"/>
        </w:rPr>
        <w:t xml:space="preserve"> </w:t>
      </w:r>
      <w:r w:rsidR="00444AF0" w:rsidRPr="00F538E8">
        <w:rPr>
          <w:rFonts w:ascii="Calibri" w:hAnsi="Calibri" w:cs="Calibri"/>
          <w:sz w:val="22"/>
          <w:szCs w:val="22"/>
          <w:lang w:val="fr-FR"/>
        </w:rPr>
        <w:t xml:space="preserve">écoulée </w:t>
      </w:r>
      <w:r w:rsidRPr="00F538E8">
        <w:rPr>
          <w:rFonts w:ascii="Calibri" w:hAnsi="Calibri" w:cs="Calibri"/>
          <w:sz w:val="22"/>
          <w:szCs w:val="22"/>
          <w:lang w:val="fr-FR"/>
        </w:rPr>
        <w:t>entre la date du 20 février 2016 où les contributions étaient dues et le</w:t>
      </w:r>
      <w:r w:rsidR="007B728C" w:rsidRPr="00F538E8">
        <w:rPr>
          <w:rFonts w:ascii="Calibri" w:hAnsi="Calibri" w:cs="Calibri"/>
          <w:sz w:val="22"/>
          <w:szCs w:val="22"/>
          <w:lang w:val="fr-FR"/>
        </w:rPr>
        <w:t xml:space="preserve"> 29 </w:t>
      </w:r>
      <w:r w:rsidRPr="00F538E8">
        <w:rPr>
          <w:rFonts w:ascii="Calibri" w:hAnsi="Calibri" w:cs="Calibri"/>
          <w:sz w:val="22"/>
          <w:szCs w:val="22"/>
          <w:lang w:val="fr-FR"/>
        </w:rPr>
        <w:t xml:space="preserve">février </w:t>
      </w:r>
      <w:r w:rsidR="007B728C" w:rsidRPr="00F538E8">
        <w:rPr>
          <w:rFonts w:ascii="Calibri" w:hAnsi="Calibri" w:cs="Calibri"/>
          <w:sz w:val="22"/>
          <w:szCs w:val="22"/>
          <w:lang w:val="fr-FR"/>
        </w:rPr>
        <w:t xml:space="preserve">2016 </w:t>
      </w:r>
      <w:r w:rsidRPr="00F538E8">
        <w:rPr>
          <w:rFonts w:ascii="Calibri" w:hAnsi="Calibri" w:cs="Calibri"/>
          <w:sz w:val="22"/>
          <w:szCs w:val="22"/>
          <w:lang w:val="fr-FR"/>
        </w:rPr>
        <w:t xml:space="preserve">peut expliquer le montant élevé de </w:t>
      </w:r>
      <w:r w:rsidR="00044588" w:rsidRPr="00F538E8">
        <w:rPr>
          <w:rFonts w:ascii="Calibri" w:hAnsi="Calibri" w:cs="Calibri"/>
          <w:sz w:val="22"/>
          <w:szCs w:val="22"/>
          <w:lang w:val="fr-FR"/>
        </w:rPr>
        <w:t xml:space="preserve">contributions </w:t>
      </w:r>
      <w:r w:rsidRPr="00F538E8">
        <w:rPr>
          <w:rFonts w:ascii="Calibri" w:hAnsi="Calibri" w:cs="Calibri"/>
          <w:sz w:val="22"/>
          <w:szCs w:val="22"/>
          <w:lang w:val="fr-FR"/>
        </w:rPr>
        <w:t>impayées pour</w:t>
      </w:r>
      <w:r w:rsidR="00044588" w:rsidRPr="00F538E8">
        <w:rPr>
          <w:rFonts w:ascii="Calibri" w:hAnsi="Calibri" w:cs="Calibri"/>
          <w:sz w:val="22"/>
          <w:szCs w:val="22"/>
          <w:lang w:val="fr-FR"/>
        </w:rPr>
        <w:t xml:space="preserve"> 2016.</w:t>
      </w:r>
    </w:p>
    <w:p w:rsidR="005410BE" w:rsidRPr="00F538E8" w:rsidRDefault="005410BE" w:rsidP="005410BE">
      <w:pPr>
        <w:pStyle w:val="ListParagraph"/>
        <w:rPr>
          <w:rFonts w:ascii="Calibri" w:hAnsi="Calibri" w:cs="Calibri"/>
          <w:b/>
          <w:sz w:val="22"/>
          <w:szCs w:val="22"/>
          <w:lang w:val="fr-FR"/>
        </w:rPr>
      </w:pPr>
    </w:p>
    <w:p w:rsidR="004431CD" w:rsidRPr="00F538E8" w:rsidRDefault="005410BE" w:rsidP="004431CD">
      <w:pPr>
        <w:autoSpaceDE w:val="0"/>
        <w:autoSpaceDN w:val="0"/>
        <w:adjustRightInd w:val="0"/>
        <w:rPr>
          <w:rFonts w:ascii="Calibri" w:hAnsi="Calibri" w:cs="Calibri"/>
          <w:sz w:val="22"/>
          <w:szCs w:val="22"/>
          <w:lang w:val="fr-FR"/>
        </w:rPr>
      </w:pPr>
      <w:r w:rsidRPr="00F538E8">
        <w:rPr>
          <w:rFonts w:ascii="Calibri" w:hAnsi="Calibri" w:cs="Calibri"/>
          <w:b/>
          <w:sz w:val="22"/>
          <w:szCs w:val="22"/>
          <w:lang w:val="fr-FR"/>
        </w:rPr>
        <w:t>Table</w:t>
      </w:r>
      <w:r w:rsidR="004431CD" w:rsidRPr="00F538E8">
        <w:rPr>
          <w:rFonts w:ascii="Calibri" w:hAnsi="Calibri" w:cs="Calibri"/>
          <w:b/>
          <w:sz w:val="22"/>
          <w:szCs w:val="22"/>
          <w:lang w:val="fr-FR"/>
        </w:rPr>
        <w:t>au</w:t>
      </w:r>
      <w:r w:rsidRPr="00F538E8">
        <w:rPr>
          <w:rFonts w:ascii="Calibri" w:hAnsi="Calibri" w:cs="Calibri"/>
          <w:b/>
          <w:sz w:val="22"/>
          <w:szCs w:val="22"/>
          <w:lang w:val="fr-FR"/>
        </w:rPr>
        <w:t xml:space="preserve"> 1</w:t>
      </w:r>
      <w:r w:rsidRPr="00F538E8">
        <w:rPr>
          <w:rFonts w:ascii="Calibri" w:hAnsi="Calibri" w:cs="Calibri"/>
          <w:sz w:val="22"/>
          <w:szCs w:val="22"/>
          <w:lang w:val="fr-FR"/>
        </w:rPr>
        <w:t xml:space="preserve">: </w:t>
      </w:r>
      <w:r w:rsidR="004431CD" w:rsidRPr="00F538E8">
        <w:rPr>
          <w:rFonts w:ascii="Calibri" w:hAnsi="Calibri" w:cs="Calibri"/>
          <w:sz w:val="22"/>
          <w:szCs w:val="22"/>
          <w:lang w:val="fr-FR"/>
        </w:rPr>
        <w:t>Contributions impayées et provision pour non-recouvrement, 2012-2016 (en milliers de CHF)</w:t>
      </w:r>
    </w:p>
    <w:p w:rsidR="005410BE" w:rsidRPr="00F538E8" w:rsidRDefault="005410BE" w:rsidP="005410BE">
      <w:pPr>
        <w:pStyle w:val="ListParagraph"/>
        <w:autoSpaceDE w:val="0"/>
        <w:autoSpaceDN w:val="0"/>
        <w:adjustRightInd w:val="0"/>
        <w:rPr>
          <w:rFonts w:ascii="Calibri" w:hAnsi="Calibri" w:cs="Calibri"/>
          <w:sz w:val="22"/>
          <w:szCs w:val="22"/>
          <w:lang w:val="fr-FR"/>
        </w:rPr>
      </w:pPr>
    </w:p>
    <w:tbl>
      <w:tblPr>
        <w:tblW w:w="8794" w:type="dxa"/>
        <w:tblInd w:w="103" w:type="dxa"/>
        <w:tblLook w:val="04A0" w:firstRow="1" w:lastRow="0" w:firstColumn="1" w:lastColumn="0" w:noHBand="0" w:noVBand="1"/>
      </w:tblPr>
      <w:tblGrid>
        <w:gridCol w:w="3580"/>
        <w:gridCol w:w="960"/>
        <w:gridCol w:w="960"/>
        <w:gridCol w:w="960"/>
        <w:gridCol w:w="960"/>
        <w:gridCol w:w="1374"/>
      </w:tblGrid>
      <w:tr w:rsidR="005410BE" w:rsidRPr="00F538E8" w:rsidTr="002E128B">
        <w:trPr>
          <w:trHeight w:val="300"/>
        </w:trPr>
        <w:tc>
          <w:tcPr>
            <w:tcW w:w="358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410BE" w:rsidRPr="00F538E8" w:rsidRDefault="005410BE" w:rsidP="002E128B">
            <w:pPr>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Description</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5410BE" w:rsidRPr="00F538E8" w:rsidRDefault="005410BE" w:rsidP="002E128B">
            <w:pPr>
              <w:jc w:val="right"/>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2012</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5410BE" w:rsidRPr="00F538E8" w:rsidRDefault="005410BE" w:rsidP="002E128B">
            <w:pPr>
              <w:jc w:val="right"/>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2013</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5410BE" w:rsidRPr="00F538E8" w:rsidRDefault="005410BE" w:rsidP="002E128B">
            <w:pPr>
              <w:jc w:val="right"/>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2014</w:t>
            </w:r>
          </w:p>
        </w:tc>
        <w:tc>
          <w:tcPr>
            <w:tcW w:w="960" w:type="dxa"/>
            <w:tcBorders>
              <w:top w:val="single" w:sz="4" w:space="0" w:color="auto"/>
              <w:left w:val="nil"/>
              <w:bottom w:val="single" w:sz="4" w:space="0" w:color="auto"/>
              <w:right w:val="single" w:sz="4" w:space="0" w:color="auto"/>
            </w:tcBorders>
            <w:shd w:val="clear" w:color="000000" w:fill="8DB4E2"/>
            <w:noWrap/>
            <w:vAlign w:val="bottom"/>
            <w:hideMark/>
          </w:tcPr>
          <w:p w:rsidR="005410BE" w:rsidRPr="00F538E8" w:rsidRDefault="005410BE" w:rsidP="002E128B">
            <w:pPr>
              <w:jc w:val="right"/>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2015</w:t>
            </w:r>
          </w:p>
        </w:tc>
        <w:tc>
          <w:tcPr>
            <w:tcW w:w="1374" w:type="dxa"/>
            <w:tcBorders>
              <w:top w:val="single" w:sz="4" w:space="0" w:color="auto"/>
              <w:left w:val="nil"/>
              <w:bottom w:val="single" w:sz="4" w:space="0" w:color="auto"/>
              <w:right w:val="single" w:sz="4" w:space="0" w:color="auto"/>
            </w:tcBorders>
            <w:shd w:val="clear" w:color="000000" w:fill="8DB4E2"/>
            <w:noWrap/>
            <w:vAlign w:val="bottom"/>
            <w:hideMark/>
          </w:tcPr>
          <w:p w:rsidR="005410BE" w:rsidRPr="00F538E8" w:rsidRDefault="005410BE" w:rsidP="002E128B">
            <w:pPr>
              <w:jc w:val="right"/>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29/02/2016</w:t>
            </w:r>
          </w:p>
        </w:tc>
      </w:tr>
      <w:tr w:rsidR="004431CD" w:rsidRPr="00F538E8" w:rsidTr="002E128B">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431CD" w:rsidRPr="00F538E8" w:rsidRDefault="004431CD" w:rsidP="004431CD">
            <w:pPr>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Contributions fixées des Parties</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3,780</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3,782</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3,779</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3,779</w:t>
            </w:r>
          </w:p>
        </w:tc>
        <w:tc>
          <w:tcPr>
            <w:tcW w:w="1374"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3,779</w:t>
            </w:r>
          </w:p>
        </w:tc>
      </w:tr>
      <w:tr w:rsidR="004431CD" w:rsidRPr="00F538E8" w:rsidTr="002E128B">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431CD" w:rsidRPr="00F538E8" w:rsidRDefault="004431CD" w:rsidP="004431CD">
            <w:pPr>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Contribution volontaire des États-Unis d’Amérique</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930</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1,048</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1,066</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1,065</w:t>
            </w:r>
          </w:p>
        </w:tc>
        <w:tc>
          <w:tcPr>
            <w:tcW w:w="1374"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1,065</w:t>
            </w:r>
          </w:p>
        </w:tc>
      </w:tr>
      <w:tr w:rsidR="004431CD" w:rsidRPr="00F538E8" w:rsidTr="002E128B">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431CD" w:rsidRPr="00F538E8" w:rsidRDefault="004431CD" w:rsidP="004431CD">
            <w:pPr>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Montant cumulatif des arriérés</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759</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759</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943</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1,260</w:t>
            </w:r>
          </w:p>
        </w:tc>
        <w:tc>
          <w:tcPr>
            <w:tcW w:w="1374"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4,226</w:t>
            </w:r>
          </w:p>
        </w:tc>
      </w:tr>
      <w:tr w:rsidR="004431CD" w:rsidRPr="00F538E8" w:rsidTr="002E128B">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4431CD" w:rsidRPr="00F538E8" w:rsidRDefault="004431CD" w:rsidP="004431CD">
            <w:pPr>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Provision pour non-recouvrement</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361</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385</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511</w:t>
            </w:r>
          </w:p>
        </w:tc>
        <w:tc>
          <w:tcPr>
            <w:tcW w:w="960"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644</w:t>
            </w:r>
          </w:p>
        </w:tc>
        <w:tc>
          <w:tcPr>
            <w:tcW w:w="1374" w:type="dxa"/>
            <w:tcBorders>
              <w:top w:val="nil"/>
              <w:left w:val="nil"/>
              <w:bottom w:val="single" w:sz="4" w:space="0" w:color="auto"/>
              <w:right w:val="single" w:sz="4" w:space="0" w:color="auto"/>
            </w:tcBorders>
            <w:shd w:val="clear" w:color="auto" w:fill="auto"/>
            <w:noWrap/>
            <w:vAlign w:val="bottom"/>
            <w:hideMark/>
          </w:tcPr>
          <w:p w:rsidR="004431CD" w:rsidRPr="00F538E8" w:rsidRDefault="004431CD" w:rsidP="004431CD">
            <w:pPr>
              <w:jc w:val="right"/>
              <w:rPr>
                <w:rFonts w:asciiTheme="minorHAnsi" w:eastAsia="Times New Roman" w:hAnsiTheme="minorHAnsi" w:cs="Arial"/>
                <w:sz w:val="22"/>
                <w:szCs w:val="22"/>
                <w:lang w:val="fr-FR" w:eastAsia="en-GB"/>
              </w:rPr>
            </w:pPr>
            <w:r w:rsidRPr="00F538E8">
              <w:rPr>
                <w:rFonts w:asciiTheme="minorHAnsi" w:eastAsia="Times New Roman" w:hAnsiTheme="minorHAnsi" w:cs="Arial"/>
                <w:sz w:val="22"/>
                <w:szCs w:val="22"/>
                <w:lang w:val="fr-FR" w:eastAsia="en-GB"/>
              </w:rPr>
              <w:t>TBD</w:t>
            </w:r>
            <w:r w:rsidRPr="00F538E8">
              <w:rPr>
                <w:rStyle w:val="FootnoteReference"/>
                <w:rFonts w:asciiTheme="minorHAnsi" w:eastAsia="Times New Roman" w:hAnsiTheme="minorHAnsi" w:cs="Arial"/>
                <w:sz w:val="22"/>
                <w:szCs w:val="22"/>
                <w:lang w:val="fr-FR" w:eastAsia="en-GB"/>
              </w:rPr>
              <w:footnoteReference w:id="2"/>
            </w:r>
          </w:p>
        </w:tc>
      </w:tr>
    </w:tbl>
    <w:p w:rsidR="005410BE" w:rsidRPr="00F538E8" w:rsidRDefault="005410BE" w:rsidP="005410BE">
      <w:pPr>
        <w:autoSpaceDE w:val="0"/>
        <w:autoSpaceDN w:val="0"/>
        <w:adjustRightInd w:val="0"/>
        <w:rPr>
          <w:rFonts w:ascii="Calibri" w:hAnsi="Calibri" w:cs="Calibri"/>
          <w:sz w:val="22"/>
          <w:szCs w:val="22"/>
          <w:lang w:val="fr-FR"/>
        </w:rPr>
      </w:pPr>
    </w:p>
    <w:p w:rsidR="003C6AAA" w:rsidRPr="00F538E8" w:rsidRDefault="003C6AAA" w:rsidP="003C6AAA">
      <w:pPr>
        <w:pStyle w:val="ListParagraph"/>
        <w:rPr>
          <w:rFonts w:ascii="Calibri" w:hAnsi="Calibri" w:cs="Calibri"/>
          <w:sz w:val="22"/>
          <w:szCs w:val="22"/>
          <w:lang w:val="fr-FR"/>
        </w:rPr>
      </w:pPr>
    </w:p>
    <w:p w:rsidR="003C6AAA" w:rsidRPr="00F538E8" w:rsidRDefault="003C6AAA" w:rsidP="00494E10">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A</w:t>
      </w:r>
      <w:r w:rsidR="00F13FED" w:rsidRPr="00F538E8">
        <w:rPr>
          <w:rFonts w:ascii="Calibri" w:hAnsi="Calibri" w:cs="Calibri"/>
          <w:sz w:val="22"/>
          <w:szCs w:val="22"/>
          <w:lang w:val="fr-FR"/>
        </w:rPr>
        <w:t>u</w:t>
      </w:r>
      <w:r w:rsidRPr="00F538E8">
        <w:rPr>
          <w:rFonts w:ascii="Calibri" w:hAnsi="Calibri" w:cs="Calibri"/>
          <w:sz w:val="22"/>
          <w:szCs w:val="22"/>
          <w:lang w:val="fr-FR"/>
        </w:rPr>
        <w:t xml:space="preserve"> 29 </w:t>
      </w:r>
      <w:r w:rsidR="00F13FED" w:rsidRPr="00F538E8">
        <w:rPr>
          <w:rFonts w:ascii="Calibri" w:hAnsi="Calibri" w:cs="Calibri"/>
          <w:sz w:val="22"/>
          <w:szCs w:val="22"/>
          <w:lang w:val="fr-FR"/>
        </w:rPr>
        <w:t xml:space="preserve">février </w:t>
      </w:r>
      <w:r w:rsidR="00537DC2" w:rsidRPr="00F538E8">
        <w:rPr>
          <w:rFonts w:ascii="Calibri" w:hAnsi="Calibri" w:cs="Calibri"/>
          <w:sz w:val="22"/>
          <w:szCs w:val="22"/>
          <w:lang w:val="fr-FR"/>
        </w:rPr>
        <w:t xml:space="preserve">2016, </w:t>
      </w:r>
      <w:r w:rsidR="00D628EC" w:rsidRPr="00F538E8">
        <w:rPr>
          <w:rFonts w:ascii="Calibri" w:hAnsi="Calibri" w:cs="Calibri"/>
          <w:sz w:val="22"/>
          <w:szCs w:val="22"/>
          <w:lang w:val="fr-FR"/>
        </w:rPr>
        <w:t>90</w:t>
      </w:r>
      <w:r w:rsidR="00537DC2" w:rsidRPr="00F538E8">
        <w:rPr>
          <w:rFonts w:ascii="Calibri" w:hAnsi="Calibri" w:cs="Calibri"/>
          <w:sz w:val="22"/>
          <w:szCs w:val="22"/>
          <w:lang w:val="fr-FR"/>
        </w:rPr>
        <w:t xml:space="preserve"> </w:t>
      </w:r>
      <w:r w:rsidR="00107AD4" w:rsidRPr="00F538E8">
        <w:rPr>
          <w:rFonts w:ascii="Calibri" w:hAnsi="Calibri" w:cs="Calibri"/>
          <w:sz w:val="22"/>
          <w:szCs w:val="22"/>
          <w:lang w:val="fr-FR"/>
        </w:rPr>
        <w:t>Parties c</w:t>
      </w:r>
      <w:r w:rsidR="00537DC2" w:rsidRPr="00F538E8">
        <w:rPr>
          <w:rFonts w:ascii="Calibri" w:hAnsi="Calibri" w:cs="Calibri"/>
          <w:sz w:val="22"/>
          <w:szCs w:val="22"/>
          <w:lang w:val="fr-FR"/>
        </w:rPr>
        <w:t>ontract</w:t>
      </w:r>
      <w:r w:rsidR="00107AD4" w:rsidRPr="00F538E8">
        <w:rPr>
          <w:rFonts w:ascii="Calibri" w:hAnsi="Calibri" w:cs="Calibri"/>
          <w:sz w:val="22"/>
          <w:szCs w:val="22"/>
          <w:lang w:val="fr-FR"/>
        </w:rPr>
        <w:t>antes avaient versé la totalité de leurs</w:t>
      </w:r>
      <w:r w:rsidR="00537DC2" w:rsidRPr="00F538E8">
        <w:rPr>
          <w:rFonts w:ascii="Calibri" w:hAnsi="Calibri" w:cs="Calibri"/>
          <w:sz w:val="22"/>
          <w:szCs w:val="22"/>
          <w:lang w:val="fr-FR"/>
        </w:rPr>
        <w:t xml:space="preserve"> contributions due</w:t>
      </w:r>
      <w:r w:rsidR="00107AD4" w:rsidRPr="00F538E8">
        <w:rPr>
          <w:rFonts w:ascii="Calibri" w:hAnsi="Calibri" w:cs="Calibri"/>
          <w:sz w:val="22"/>
          <w:szCs w:val="22"/>
          <w:lang w:val="fr-FR"/>
        </w:rPr>
        <w:t>s</w:t>
      </w:r>
      <w:r w:rsidR="00537DC2" w:rsidRPr="00F538E8">
        <w:rPr>
          <w:rFonts w:ascii="Calibri" w:hAnsi="Calibri" w:cs="Calibri"/>
          <w:sz w:val="22"/>
          <w:szCs w:val="22"/>
          <w:lang w:val="fr-FR"/>
        </w:rPr>
        <w:t xml:space="preserve"> </w:t>
      </w:r>
      <w:r w:rsidR="00107AD4" w:rsidRPr="00F538E8">
        <w:rPr>
          <w:rFonts w:ascii="Calibri" w:hAnsi="Calibri" w:cs="Calibri"/>
          <w:sz w:val="22"/>
          <w:szCs w:val="22"/>
          <w:lang w:val="fr-FR"/>
        </w:rPr>
        <w:t>jusqu’en</w:t>
      </w:r>
      <w:r w:rsidR="00537DC2" w:rsidRPr="00F538E8">
        <w:rPr>
          <w:rFonts w:ascii="Calibri" w:hAnsi="Calibri" w:cs="Calibri"/>
          <w:sz w:val="22"/>
          <w:szCs w:val="22"/>
          <w:lang w:val="fr-FR"/>
        </w:rPr>
        <w:t xml:space="preserve"> 2015</w:t>
      </w:r>
      <w:r w:rsidR="00107AD4" w:rsidRPr="00F538E8">
        <w:rPr>
          <w:rFonts w:ascii="Calibri" w:hAnsi="Calibri" w:cs="Calibri"/>
          <w:sz w:val="22"/>
          <w:szCs w:val="22"/>
          <w:lang w:val="fr-FR"/>
        </w:rPr>
        <w:t xml:space="preserve"> inclus</w:t>
      </w:r>
      <w:r w:rsidR="00537DC2" w:rsidRPr="00F538E8">
        <w:rPr>
          <w:rFonts w:ascii="Calibri" w:hAnsi="Calibri" w:cs="Calibri"/>
          <w:sz w:val="22"/>
          <w:szCs w:val="22"/>
          <w:lang w:val="fr-FR"/>
        </w:rPr>
        <w:t xml:space="preserve">. 26 </w:t>
      </w:r>
      <w:r w:rsidR="00107AD4" w:rsidRPr="00F538E8">
        <w:rPr>
          <w:rFonts w:ascii="Calibri" w:hAnsi="Calibri" w:cs="Calibri"/>
          <w:sz w:val="22"/>
          <w:szCs w:val="22"/>
          <w:lang w:val="fr-FR"/>
        </w:rPr>
        <w:t>d’entre elles avaient déjà versé leurs</w:t>
      </w:r>
      <w:r w:rsidR="00537DC2" w:rsidRPr="00F538E8">
        <w:rPr>
          <w:rFonts w:ascii="Calibri" w:hAnsi="Calibri" w:cs="Calibri"/>
          <w:sz w:val="22"/>
          <w:szCs w:val="22"/>
          <w:lang w:val="fr-FR"/>
        </w:rPr>
        <w:t xml:space="preserve"> contributions </w:t>
      </w:r>
      <w:r w:rsidR="00107AD4" w:rsidRPr="00F538E8">
        <w:rPr>
          <w:rFonts w:ascii="Calibri" w:hAnsi="Calibri" w:cs="Calibri"/>
          <w:sz w:val="22"/>
          <w:szCs w:val="22"/>
          <w:lang w:val="fr-FR"/>
        </w:rPr>
        <w:t>pour</w:t>
      </w:r>
      <w:r w:rsidR="00537DC2" w:rsidRPr="00F538E8">
        <w:rPr>
          <w:rFonts w:ascii="Calibri" w:hAnsi="Calibri" w:cs="Calibri"/>
          <w:sz w:val="22"/>
          <w:szCs w:val="22"/>
          <w:lang w:val="fr-FR"/>
        </w:rPr>
        <w:t xml:space="preserve"> 2016. </w:t>
      </w:r>
      <w:r w:rsidR="00107AD4" w:rsidRPr="00F538E8">
        <w:rPr>
          <w:rFonts w:ascii="Calibri" w:hAnsi="Calibri" w:cs="Calibri"/>
          <w:sz w:val="22"/>
          <w:szCs w:val="22"/>
          <w:lang w:val="fr-FR"/>
        </w:rPr>
        <w:t>Le Secrétariat est reconnaissant à ces Parties pour leur appui constant et diligent</w:t>
      </w:r>
      <w:r w:rsidR="00537DC2" w:rsidRPr="00F538E8">
        <w:rPr>
          <w:rFonts w:ascii="Calibri" w:hAnsi="Calibri" w:cs="Calibri"/>
          <w:sz w:val="22"/>
          <w:szCs w:val="22"/>
          <w:lang w:val="fr-FR"/>
        </w:rPr>
        <w:t>.</w:t>
      </w:r>
    </w:p>
    <w:p w:rsidR="00044588" w:rsidRPr="00F538E8" w:rsidRDefault="00044588" w:rsidP="00044588">
      <w:pPr>
        <w:autoSpaceDE w:val="0"/>
        <w:autoSpaceDN w:val="0"/>
        <w:adjustRightInd w:val="0"/>
        <w:rPr>
          <w:rFonts w:ascii="Calibri" w:hAnsi="Calibri" w:cs="Calibri"/>
          <w:sz w:val="22"/>
          <w:szCs w:val="22"/>
          <w:lang w:val="fr-FR"/>
        </w:rPr>
      </w:pPr>
    </w:p>
    <w:p w:rsidR="00044588" w:rsidRPr="00F538E8" w:rsidRDefault="00107AD4" w:rsidP="00044588">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 xml:space="preserve">Le montant total des contributions impayées au </w:t>
      </w:r>
      <w:r w:rsidR="00044588" w:rsidRPr="00F538E8">
        <w:rPr>
          <w:rFonts w:ascii="Calibri" w:hAnsi="Calibri" w:cs="Calibri"/>
          <w:sz w:val="22"/>
          <w:szCs w:val="22"/>
          <w:lang w:val="fr-FR"/>
        </w:rPr>
        <w:t xml:space="preserve">29 </w:t>
      </w:r>
      <w:r w:rsidR="00F13FED" w:rsidRPr="00F538E8">
        <w:rPr>
          <w:rFonts w:ascii="Calibri" w:hAnsi="Calibri" w:cs="Calibri"/>
          <w:sz w:val="22"/>
          <w:szCs w:val="22"/>
          <w:lang w:val="fr-FR"/>
        </w:rPr>
        <w:t xml:space="preserve">février </w:t>
      </w:r>
      <w:r w:rsidR="00044588" w:rsidRPr="00F538E8">
        <w:rPr>
          <w:rFonts w:ascii="Calibri" w:hAnsi="Calibri" w:cs="Calibri"/>
          <w:sz w:val="22"/>
          <w:szCs w:val="22"/>
          <w:lang w:val="fr-FR"/>
        </w:rPr>
        <w:t xml:space="preserve">2016, </w:t>
      </w:r>
      <w:r w:rsidRPr="00F538E8">
        <w:rPr>
          <w:rFonts w:ascii="Calibri" w:hAnsi="Calibri" w:cs="Calibri"/>
          <w:sz w:val="22"/>
          <w:szCs w:val="22"/>
          <w:lang w:val="fr-FR"/>
        </w:rPr>
        <w:t xml:space="preserve">selon l’année où </w:t>
      </w:r>
      <w:r w:rsidR="00444AF0" w:rsidRPr="00F538E8">
        <w:rPr>
          <w:rFonts w:ascii="Calibri" w:hAnsi="Calibri" w:cs="Calibri"/>
          <w:sz w:val="22"/>
          <w:szCs w:val="22"/>
          <w:lang w:val="fr-FR"/>
        </w:rPr>
        <w:t>elles</w:t>
      </w:r>
      <w:r w:rsidRPr="00F538E8">
        <w:rPr>
          <w:rFonts w:ascii="Calibri" w:hAnsi="Calibri" w:cs="Calibri"/>
          <w:sz w:val="22"/>
          <w:szCs w:val="22"/>
          <w:lang w:val="fr-FR"/>
        </w:rPr>
        <w:t xml:space="preserve"> étaient dues pour la première fois, figure dans le tableau 2</w:t>
      </w:r>
      <w:r w:rsidR="00044588" w:rsidRPr="00F538E8">
        <w:rPr>
          <w:rFonts w:ascii="Calibri" w:hAnsi="Calibri" w:cs="Calibri"/>
          <w:sz w:val="22"/>
          <w:szCs w:val="22"/>
          <w:lang w:val="fr-FR"/>
        </w:rPr>
        <w:t>.</w:t>
      </w:r>
    </w:p>
    <w:p w:rsidR="00044588" w:rsidRPr="00F538E8" w:rsidRDefault="00044588" w:rsidP="00044588">
      <w:pPr>
        <w:rPr>
          <w:rFonts w:ascii="Calibri" w:hAnsi="Calibri" w:cs="Calibri"/>
          <w:sz w:val="22"/>
          <w:szCs w:val="22"/>
          <w:lang w:val="fr-FR"/>
        </w:rPr>
      </w:pPr>
    </w:p>
    <w:p w:rsidR="00044588" w:rsidRPr="00F538E8" w:rsidRDefault="00044588" w:rsidP="00044588">
      <w:pPr>
        <w:autoSpaceDE w:val="0"/>
        <w:autoSpaceDN w:val="0"/>
        <w:adjustRightInd w:val="0"/>
        <w:rPr>
          <w:rFonts w:ascii="Calibri" w:hAnsi="Calibri" w:cs="Calibri"/>
          <w:sz w:val="22"/>
          <w:szCs w:val="22"/>
          <w:lang w:val="fr-FR"/>
        </w:rPr>
      </w:pPr>
      <w:r w:rsidRPr="00F538E8">
        <w:rPr>
          <w:rFonts w:ascii="Calibri" w:hAnsi="Calibri" w:cs="Calibri"/>
          <w:b/>
          <w:sz w:val="22"/>
          <w:szCs w:val="22"/>
          <w:lang w:val="fr-FR"/>
        </w:rPr>
        <w:t>Table</w:t>
      </w:r>
      <w:r w:rsidR="00107AD4" w:rsidRPr="00F538E8">
        <w:rPr>
          <w:rFonts w:ascii="Calibri" w:hAnsi="Calibri" w:cs="Calibri"/>
          <w:b/>
          <w:sz w:val="22"/>
          <w:szCs w:val="22"/>
          <w:lang w:val="fr-FR"/>
        </w:rPr>
        <w:t>au</w:t>
      </w:r>
      <w:r w:rsidRPr="00F538E8">
        <w:rPr>
          <w:rFonts w:ascii="Calibri" w:hAnsi="Calibri" w:cs="Calibri"/>
          <w:b/>
          <w:sz w:val="22"/>
          <w:szCs w:val="22"/>
          <w:lang w:val="fr-FR"/>
        </w:rPr>
        <w:t xml:space="preserve"> </w:t>
      </w:r>
      <w:r w:rsidR="000334A3" w:rsidRPr="00F538E8">
        <w:rPr>
          <w:rFonts w:ascii="Calibri" w:hAnsi="Calibri" w:cs="Calibri"/>
          <w:b/>
          <w:sz w:val="22"/>
          <w:szCs w:val="22"/>
          <w:lang w:val="fr-FR"/>
        </w:rPr>
        <w:t>2</w:t>
      </w:r>
      <w:r w:rsidRPr="00F538E8">
        <w:rPr>
          <w:rFonts w:ascii="Calibri" w:hAnsi="Calibri" w:cs="Calibri"/>
          <w:sz w:val="22"/>
          <w:szCs w:val="22"/>
          <w:lang w:val="fr-FR"/>
        </w:rPr>
        <w:t xml:space="preserve">: </w:t>
      </w:r>
      <w:r w:rsidR="00107AD4" w:rsidRPr="00F538E8">
        <w:rPr>
          <w:rFonts w:ascii="Calibri" w:hAnsi="Calibri" w:cs="Calibri"/>
          <w:sz w:val="22"/>
          <w:szCs w:val="22"/>
          <w:lang w:val="fr-FR"/>
        </w:rPr>
        <w:t>Contributions impayées au</w:t>
      </w:r>
      <w:r w:rsidRPr="00F538E8">
        <w:rPr>
          <w:rFonts w:ascii="Calibri" w:hAnsi="Calibri" w:cs="Calibri"/>
          <w:sz w:val="22"/>
          <w:szCs w:val="22"/>
          <w:lang w:val="fr-FR"/>
        </w:rPr>
        <w:t xml:space="preserve"> 29 </w:t>
      </w:r>
      <w:r w:rsidR="00F13FED" w:rsidRPr="00F538E8">
        <w:rPr>
          <w:rFonts w:ascii="Calibri" w:hAnsi="Calibri" w:cs="Calibri"/>
          <w:sz w:val="22"/>
          <w:szCs w:val="22"/>
          <w:lang w:val="fr-FR"/>
        </w:rPr>
        <w:t xml:space="preserve">février </w:t>
      </w:r>
      <w:r w:rsidRPr="00F538E8">
        <w:rPr>
          <w:rFonts w:ascii="Calibri" w:hAnsi="Calibri" w:cs="Calibri"/>
          <w:sz w:val="22"/>
          <w:szCs w:val="22"/>
          <w:lang w:val="fr-FR"/>
        </w:rPr>
        <w:t xml:space="preserve">2016 </w:t>
      </w:r>
      <w:r w:rsidR="00107AD4" w:rsidRPr="00F538E8">
        <w:rPr>
          <w:rFonts w:ascii="Calibri" w:hAnsi="Calibri" w:cs="Calibri"/>
          <w:sz w:val="22"/>
          <w:szCs w:val="22"/>
          <w:lang w:val="fr-FR"/>
        </w:rPr>
        <w:t>et nombre d’années d’arriérés</w:t>
      </w:r>
    </w:p>
    <w:p w:rsidR="00044588" w:rsidRPr="00F538E8" w:rsidRDefault="00044588" w:rsidP="00044588">
      <w:pPr>
        <w:autoSpaceDE w:val="0"/>
        <w:autoSpaceDN w:val="0"/>
        <w:adjustRightInd w:val="0"/>
        <w:rPr>
          <w:rFonts w:ascii="Calibri" w:hAnsi="Calibri" w:cs="Calibri"/>
          <w:sz w:val="22"/>
          <w:szCs w:val="22"/>
          <w:lang w:val="fr-FR"/>
        </w:rPr>
      </w:pPr>
    </w:p>
    <w:tbl>
      <w:tblPr>
        <w:tblW w:w="8789" w:type="dxa"/>
        <w:tblInd w:w="108" w:type="dxa"/>
        <w:tblLayout w:type="fixed"/>
        <w:tblLook w:val="04A0" w:firstRow="1" w:lastRow="0" w:firstColumn="1" w:lastColumn="0" w:noHBand="0" w:noVBand="1"/>
      </w:tblPr>
      <w:tblGrid>
        <w:gridCol w:w="1985"/>
        <w:gridCol w:w="1984"/>
        <w:gridCol w:w="2410"/>
        <w:gridCol w:w="2410"/>
      </w:tblGrid>
      <w:tr w:rsidR="00044588" w:rsidRPr="00726B60" w:rsidTr="00FE4BDA">
        <w:trPr>
          <w:trHeight w:val="690"/>
        </w:trPr>
        <w:tc>
          <w:tcPr>
            <w:tcW w:w="198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044588" w:rsidRPr="00F538E8" w:rsidRDefault="00107AD4" w:rsidP="00107AD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Année due</w:t>
            </w:r>
          </w:p>
        </w:tc>
        <w:tc>
          <w:tcPr>
            <w:tcW w:w="1984" w:type="dxa"/>
            <w:tcBorders>
              <w:top w:val="single" w:sz="4" w:space="0" w:color="auto"/>
              <w:left w:val="nil"/>
              <w:bottom w:val="single" w:sz="4" w:space="0" w:color="auto"/>
              <w:right w:val="single" w:sz="4" w:space="0" w:color="auto"/>
            </w:tcBorders>
            <w:shd w:val="clear" w:color="000000" w:fill="8DB4E2"/>
            <w:vAlign w:val="center"/>
            <w:hideMark/>
          </w:tcPr>
          <w:p w:rsidR="00044588" w:rsidRPr="00F538E8" w:rsidRDefault="00107AD4" w:rsidP="00107AD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Années impayées</w:t>
            </w:r>
          </w:p>
        </w:tc>
        <w:tc>
          <w:tcPr>
            <w:tcW w:w="2410" w:type="dxa"/>
            <w:tcBorders>
              <w:top w:val="single" w:sz="4" w:space="0" w:color="auto"/>
              <w:left w:val="nil"/>
              <w:bottom w:val="single" w:sz="4" w:space="0" w:color="auto"/>
              <w:right w:val="single" w:sz="4" w:space="0" w:color="auto"/>
            </w:tcBorders>
            <w:shd w:val="clear" w:color="000000" w:fill="8DB4E2"/>
            <w:vAlign w:val="center"/>
            <w:hideMark/>
          </w:tcPr>
          <w:p w:rsidR="00044588" w:rsidRPr="00F538E8" w:rsidRDefault="00044588" w:rsidP="00107AD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 xml:space="preserve">Total </w:t>
            </w:r>
            <w:r w:rsidR="00107AD4" w:rsidRPr="00F538E8">
              <w:rPr>
                <w:rFonts w:ascii="Calibri" w:eastAsia="Times New Roman" w:hAnsi="Calibri"/>
                <w:b/>
                <w:bCs/>
                <w:sz w:val="22"/>
                <w:szCs w:val="22"/>
                <w:lang w:val="fr-FR" w:eastAsia="en-GB"/>
              </w:rPr>
              <w:t>des</w:t>
            </w:r>
            <w:r w:rsidRPr="00F538E8">
              <w:rPr>
                <w:rFonts w:ascii="Calibri" w:eastAsia="Times New Roman" w:hAnsi="Calibri"/>
                <w:b/>
                <w:bCs/>
                <w:sz w:val="22"/>
                <w:szCs w:val="22"/>
                <w:lang w:val="fr-FR" w:eastAsia="en-GB"/>
              </w:rPr>
              <w:t xml:space="preserve"> contributions</w:t>
            </w:r>
            <w:r w:rsidR="00107AD4" w:rsidRPr="00F538E8">
              <w:rPr>
                <w:rFonts w:ascii="Calibri" w:eastAsia="Times New Roman" w:hAnsi="Calibri"/>
                <w:b/>
                <w:bCs/>
                <w:sz w:val="22"/>
                <w:szCs w:val="22"/>
                <w:lang w:val="fr-FR" w:eastAsia="en-GB"/>
              </w:rPr>
              <w:t xml:space="preserve"> impayées</w:t>
            </w:r>
            <w:r w:rsidRPr="00F538E8">
              <w:rPr>
                <w:rFonts w:ascii="Calibri" w:eastAsia="Times New Roman" w:hAnsi="Calibri"/>
                <w:b/>
                <w:bCs/>
                <w:sz w:val="22"/>
                <w:szCs w:val="22"/>
                <w:lang w:val="fr-FR" w:eastAsia="en-GB"/>
              </w:rPr>
              <w:t xml:space="preserve"> </w:t>
            </w:r>
            <w:r w:rsidRPr="00F538E8">
              <w:rPr>
                <w:rFonts w:ascii="Calibri" w:eastAsia="Times New Roman" w:hAnsi="Calibri"/>
                <w:b/>
                <w:bCs/>
                <w:sz w:val="22"/>
                <w:szCs w:val="22"/>
                <w:lang w:val="fr-FR" w:eastAsia="en-GB"/>
              </w:rPr>
              <w:br/>
              <w:t>(000</w:t>
            </w:r>
            <w:r w:rsidR="00107AD4" w:rsidRPr="00F538E8">
              <w:rPr>
                <w:rFonts w:ascii="Calibri" w:eastAsia="Times New Roman" w:hAnsi="Calibri"/>
                <w:b/>
                <w:bCs/>
                <w:sz w:val="22"/>
                <w:szCs w:val="22"/>
                <w:lang w:val="fr-FR" w:eastAsia="en-GB"/>
              </w:rPr>
              <w:t xml:space="preserve"> CHF</w:t>
            </w:r>
            <w:r w:rsidRPr="00F538E8">
              <w:rPr>
                <w:rFonts w:ascii="Calibri" w:eastAsia="Times New Roman" w:hAnsi="Calibri"/>
                <w:b/>
                <w:bCs/>
                <w:sz w:val="22"/>
                <w:szCs w:val="22"/>
                <w:lang w:val="fr-FR" w:eastAsia="en-GB"/>
              </w:rPr>
              <w:t>)</w:t>
            </w:r>
          </w:p>
        </w:tc>
        <w:tc>
          <w:tcPr>
            <w:tcW w:w="2410" w:type="dxa"/>
            <w:tcBorders>
              <w:top w:val="single" w:sz="4" w:space="0" w:color="auto"/>
              <w:left w:val="nil"/>
              <w:bottom w:val="single" w:sz="4" w:space="0" w:color="auto"/>
              <w:right w:val="single" w:sz="4" w:space="0" w:color="auto"/>
            </w:tcBorders>
            <w:shd w:val="clear" w:color="000000" w:fill="8DB4E2"/>
            <w:vAlign w:val="center"/>
            <w:hideMark/>
          </w:tcPr>
          <w:p w:rsidR="00044588" w:rsidRPr="00F538E8" w:rsidRDefault="00044588" w:rsidP="00107AD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Total d</w:t>
            </w:r>
            <w:r w:rsidR="00107AD4" w:rsidRPr="00F538E8">
              <w:rPr>
                <w:rFonts w:ascii="Calibri" w:eastAsia="Times New Roman" w:hAnsi="Calibri"/>
                <w:b/>
                <w:bCs/>
                <w:sz w:val="22"/>
                <w:szCs w:val="22"/>
                <w:lang w:val="fr-FR" w:eastAsia="en-GB"/>
              </w:rPr>
              <w:t>û</w:t>
            </w:r>
            <w:r w:rsidRPr="00F538E8">
              <w:rPr>
                <w:rFonts w:ascii="Calibri" w:eastAsia="Times New Roman" w:hAnsi="Calibri"/>
                <w:b/>
                <w:bCs/>
                <w:sz w:val="22"/>
                <w:szCs w:val="22"/>
                <w:lang w:val="fr-FR" w:eastAsia="en-GB"/>
              </w:rPr>
              <w:t xml:space="preserve"> </w:t>
            </w:r>
            <w:r w:rsidR="00107AD4" w:rsidRPr="00F538E8">
              <w:rPr>
                <w:rFonts w:ascii="Calibri" w:eastAsia="Times New Roman" w:hAnsi="Calibri"/>
                <w:b/>
                <w:bCs/>
                <w:sz w:val="22"/>
                <w:szCs w:val="22"/>
                <w:lang w:val="fr-FR" w:eastAsia="en-GB"/>
              </w:rPr>
              <w:t xml:space="preserve">pour cette </w:t>
            </w:r>
            <w:r w:rsidR="00C84686" w:rsidRPr="00F538E8">
              <w:rPr>
                <w:rFonts w:ascii="Calibri" w:eastAsia="Times New Roman" w:hAnsi="Calibri"/>
                <w:b/>
                <w:bCs/>
                <w:sz w:val="22"/>
                <w:szCs w:val="22"/>
                <w:lang w:val="fr-FR" w:eastAsia="en-GB"/>
              </w:rPr>
              <w:t>année-là</w:t>
            </w:r>
            <w:r w:rsidR="00107AD4" w:rsidRPr="00F538E8">
              <w:rPr>
                <w:rFonts w:ascii="Calibri" w:eastAsia="Times New Roman" w:hAnsi="Calibri"/>
                <w:b/>
                <w:bCs/>
                <w:sz w:val="22"/>
                <w:szCs w:val="22"/>
                <w:lang w:val="fr-FR" w:eastAsia="en-GB"/>
              </w:rPr>
              <w:t xml:space="preserve"> ou avant</w:t>
            </w:r>
            <w:r w:rsidRPr="00F538E8">
              <w:rPr>
                <w:rFonts w:ascii="Calibri" w:eastAsia="Times New Roman" w:hAnsi="Calibri"/>
                <w:b/>
                <w:bCs/>
                <w:sz w:val="22"/>
                <w:szCs w:val="22"/>
                <w:lang w:val="fr-FR" w:eastAsia="en-GB"/>
              </w:rPr>
              <w:t xml:space="preserve"> </w:t>
            </w:r>
            <w:r w:rsidRPr="00F538E8">
              <w:rPr>
                <w:rFonts w:ascii="Calibri" w:eastAsia="Times New Roman" w:hAnsi="Calibri"/>
                <w:b/>
                <w:bCs/>
                <w:sz w:val="22"/>
                <w:szCs w:val="22"/>
                <w:lang w:val="fr-FR" w:eastAsia="en-GB"/>
              </w:rPr>
              <w:br/>
              <w:t>(</w:t>
            </w:r>
            <w:r w:rsidR="00107AD4" w:rsidRPr="00F538E8">
              <w:rPr>
                <w:rFonts w:ascii="Calibri" w:eastAsia="Times New Roman" w:hAnsi="Calibri"/>
                <w:b/>
                <w:bCs/>
                <w:sz w:val="22"/>
                <w:szCs w:val="22"/>
                <w:lang w:val="fr-FR" w:eastAsia="en-GB"/>
              </w:rPr>
              <w:t>000 CHF</w:t>
            </w:r>
            <w:r w:rsidRPr="00F538E8">
              <w:rPr>
                <w:rFonts w:ascii="Calibri" w:eastAsia="Times New Roman" w:hAnsi="Calibri"/>
                <w:b/>
                <w:bCs/>
                <w:sz w:val="22"/>
                <w:szCs w:val="22"/>
                <w:lang w:val="fr-FR" w:eastAsia="en-GB"/>
              </w:rPr>
              <w:t>)</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107AD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 xml:space="preserve">2008 </w:t>
            </w:r>
            <w:r w:rsidR="00107AD4" w:rsidRPr="00F538E8">
              <w:rPr>
                <w:rFonts w:ascii="Calibri" w:eastAsia="Times New Roman" w:hAnsi="Calibri"/>
                <w:b/>
                <w:bCs/>
                <w:sz w:val="22"/>
                <w:szCs w:val="22"/>
                <w:lang w:val="fr-FR" w:eastAsia="en-GB"/>
              </w:rPr>
              <w:t>ou avant</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&gt;8</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91</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 </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2009</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8</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22</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113</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2010</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7</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28</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141</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2011</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6</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44</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185</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lastRenderedPageBreak/>
              <w:t>2012</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5</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53</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238</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2013</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4</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226</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464</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2014</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3</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269</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732</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2015</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2</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487</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1,220</w:t>
            </w:r>
          </w:p>
        </w:tc>
      </w:tr>
      <w:tr w:rsidR="00FE4BDA" w:rsidRPr="00F538E8" w:rsidTr="00FE4BDA">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2016</w:t>
            </w:r>
          </w:p>
        </w:tc>
        <w:tc>
          <w:tcPr>
            <w:tcW w:w="1984"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1</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FE4BDA">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3,006</w:t>
            </w:r>
          </w:p>
        </w:tc>
        <w:tc>
          <w:tcPr>
            <w:tcW w:w="2410" w:type="dxa"/>
            <w:tcBorders>
              <w:top w:val="nil"/>
              <w:left w:val="nil"/>
              <w:bottom w:val="single" w:sz="4" w:space="0" w:color="auto"/>
              <w:right w:val="single" w:sz="4" w:space="0" w:color="auto"/>
            </w:tcBorders>
            <w:shd w:val="clear" w:color="auto" w:fill="auto"/>
            <w:noWrap/>
            <w:vAlign w:val="bottom"/>
            <w:hideMark/>
          </w:tcPr>
          <w:p w:rsidR="00044588" w:rsidRPr="00F538E8" w:rsidRDefault="00044588" w:rsidP="00044588">
            <w:pPr>
              <w:ind w:right="884"/>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4,226</w:t>
            </w:r>
          </w:p>
        </w:tc>
      </w:tr>
      <w:tr w:rsidR="00044588" w:rsidRPr="00F538E8" w:rsidTr="00FE4BDA">
        <w:trPr>
          <w:trHeight w:val="288"/>
        </w:trPr>
        <w:tc>
          <w:tcPr>
            <w:tcW w:w="1985" w:type="dxa"/>
            <w:tcBorders>
              <w:top w:val="nil"/>
              <w:left w:val="single" w:sz="4" w:space="0" w:color="auto"/>
              <w:bottom w:val="single" w:sz="4" w:space="0" w:color="auto"/>
              <w:right w:val="single" w:sz="4" w:space="0" w:color="auto"/>
            </w:tcBorders>
            <w:shd w:val="clear" w:color="000000" w:fill="D9D9D9"/>
            <w:noWrap/>
            <w:vAlign w:val="bottom"/>
            <w:hideMark/>
          </w:tcPr>
          <w:p w:rsidR="00044588" w:rsidRPr="00F538E8" w:rsidRDefault="00044588" w:rsidP="00294F5E">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Total</w:t>
            </w:r>
          </w:p>
        </w:tc>
        <w:tc>
          <w:tcPr>
            <w:tcW w:w="1984" w:type="dxa"/>
            <w:tcBorders>
              <w:top w:val="single" w:sz="4" w:space="0" w:color="auto"/>
              <w:left w:val="nil"/>
              <w:bottom w:val="single" w:sz="4" w:space="0" w:color="auto"/>
              <w:right w:val="nil"/>
            </w:tcBorders>
            <w:shd w:val="clear" w:color="000000" w:fill="D9D9D9"/>
            <w:noWrap/>
            <w:vAlign w:val="bottom"/>
            <w:hideMark/>
          </w:tcPr>
          <w:p w:rsidR="00044588" w:rsidRPr="00F538E8" w:rsidRDefault="00044588" w:rsidP="00294F5E">
            <w:pPr>
              <w:jc w:val="center"/>
              <w:rPr>
                <w:rFonts w:ascii="Calibri" w:eastAsia="Times New Roman" w:hAnsi="Calibri"/>
                <w:sz w:val="22"/>
                <w:szCs w:val="22"/>
                <w:lang w:val="fr-FR" w:eastAsia="en-GB"/>
              </w:rPr>
            </w:pPr>
            <w:r w:rsidRPr="00F538E8">
              <w:rPr>
                <w:rFonts w:ascii="Calibri" w:eastAsia="Times New Roman" w:hAnsi="Calibri"/>
                <w:sz w:val="22"/>
                <w:szCs w:val="22"/>
                <w:lang w:val="fr-FR" w:eastAsia="en-GB"/>
              </w:rPr>
              <w:t> </w:t>
            </w:r>
          </w:p>
        </w:tc>
        <w:tc>
          <w:tcPr>
            <w:tcW w:w="2410" w:type="dxa"/>
            <w:tcBorders>
              <w:top w:val="nil"/>
              <w:left w:val="single" w:sz="4" w:space="0" w:color="auto"/>
              <w:bottom w:val="single" w:sz="4" w:space="0" w:color="auto"/>
              <w:right w:val="single" w:sz="4" w:space="0" w:color="auto"/>
            </w:tcBorders>
            <w:shd w:val="clear" w:color="000000" w:fill="D9D9D9"/>
            <w:noWrap/>
            <w:vAlign w:val="bottom"/>
            <w:hideMark/>
          </w:tcPr>
          <w:p w:rsidR="00044588" w:rsidRPr="00F538E8" w:rsidRDefault="00044588" w:rsidP="00FE4BDA">
            <w:pPr>
              <w:ind w:right="884"/>
              <w:jc w:val="right"/>
              <w:rPr>
                <w:rFonts w:ascii="Calibri" w:eastAsia="Times New Roman" w:hAnsi="Calibri"/>
                <w:b/>
                <w:bCs/>
                <w:color w:val="000000"/>
                <w:sz w:val="22"/>
                <w:szCs w:val="22"/>
                <w:lang w:val="fr-FR" w:eastAsia="en-GB"/>
              </w:rPr>
            </w:pPr>
            <w:r w:rsidRPr="00F538E8">
              <w:rPr>
                <w:rFonts w:ascii="Calibri" w:eastAsia="Times New Roman" w:hAnsi="Calibri"/>
                <w:b/>
                <w:bCs/>
                <w:color w:val="000000"/>
                <w:sz w:val="22"/>
                <w:szCs w:val="22"/>
                <w:lang w:val="fr-FR" w:eastAsia="en-GB"/>
              </w:rPr>
              <w:t>4,226</w:t>
            </w:r>
          </w:p>
        </w:tc>
        <w:tc>
          <w:tcPr>
            <w:tcW w:w="2410" w:type="dxa"/>
            <w:tcBorders>
              <w:top w:val="nil"/>
              <w:left w:val="nil"/>
              <w:bottom w:val="single" w:sz="4" w:space="0" w:color="auto"/>
              <w:right w:val="single" w:sz="4" w:space="0" w:color="auto"/>
            </w:tcBorders>
            <w:shd w:val="clear" w:color="000000" w:fill="D9D9D9"/>
            <w:noWrap/>
            <w:vAlign w:val="bottom"/>
            <w:hideMark/>
          </w:tcPr>
          <w:p w:rsidR="00044588" w:rsidRPr="00F538E8" w:rsidRDefault="00044588" w:rsidP="00044588">
            <w:pPr>
              <w:ind w:right="884"/>
              <w:jc w:val="right"/>
              <w:rPr>
                <w:rFonts w:ascii="Calibri" w:eastAsia="Times New Roman" w:hAnsi="Calibri"/>
                <w:b/>
                <w:bCs/>
                <w:color w:val="000000"/>
                <w:sz w:val="22"/>
                <w:szCs w:val="22"/>
                <w:lang w:val="fr-FR" w:eastAsia="en-GB"/>
              </w:rPr>
            </w:pPr>
            <w:r w:rsidRPr="00F538E8">
              <w:rPr>
                <w:rFonts w:ascii="Calibri" w:eastAsia="Times New Roman" w:hAnsi="Calibri"/>
                <w:b/>
                <w:bCs/>
                <w:color w:val="000000"/>
                <w:sz w:val="22"/>
                <w:szCs w:val="22"/>
                <w:lang w:val="fr-FR" w:eastAsia="en-GB"/>
              </w:rPr>
              <w:t> 4,226</w:t>
            </w:r>
          </w:p>
        </w:tc>
      </w:tr>
    </w:tbl>
    <w:p w:rsidR="00044588" w:rsidRPr="00F538E8" w:rsidRDefault="00044588" w:rsidP="00044588">
      <w:pPr>
        <w:autoSpaceDE w:val="0"/>
        <w:autoSpaceDN w:val="0"/>
        <w:adjustRightInd w:val="0"/>
        <w:ind w:left="426"/>
        <w:rPr>
          <w:rFonts w:ascii="Calibri" w:hAnsi="Calibri" w:cs="Calibri"/>
          <w:sz w:val="22"/>
          <w:szCs w:val="22"/>
          <w:lang w:val="fr-FR"/>
        </w:rPr>
      </w:pPr>
    </w:p>
    <w:p w:rsidR="00C37DBB" w:rsidRPr="00F538E8" w:rsidRDefault="00C37DBB" w:rsidP="00C37DBB">
      <w:pPr>
        <w:autoSpaceDE w:val="0"/>
        <w:autoSpaceDN w:val="0"/>
        <w:adjustRightInd w:val="0"/>
        <w:ind w:left="426"/>
        <w:rPr>
          <w:rFonts w:ascii="Calibri" w:hAnsi="Calibri" w:cs="Calibri"/>
          <w:sz w:val="22"/>
          <w:szCs w:val="22"/>
          <w:lang w:val="fr-FR"/>
        </w:rPr>
      </w:pPr>
    </w:p>
    <w:p w:rsidR="006018B5" w:rsidRPr="00F538E8" w:rsidRDefault="004658B9" w:rsidP="000334A3">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 xml:space="preserve">Le total des contributions impayées depuis </w:t>
      </w:r>
      <w:r w:rsidR="00044588" w:rsidRPr="00F538E8">
        <w:rPr>
          <w:rFonts w:ascii="Calibri" w:hAnsi="Calibri" w:cs="Calibri"/>
          <w:sz w:val="22"/>
          <w:szCs w:val="22"/>
          <w:lang w:val="fr-FR"/>
        </w:rPr>
        <w:t>2015 o</w:t>
      </w:r>
      <w:r w:rsidRPr="00F538E8">
        <w:rPr>
          <w:rFonts w:ascii="Calibri" w:hAnsi="Calibri" w:cs="Calibri"/>
          <w:sz w:val="22"/>
          <w:szCs w:val="22"/>
          <w:lang w:val="fr-FR"/>
        </w:rPr>
        <w:t xml:space="preserve">u </w:t>
      </w:r>
      <w:r w:rsidR="00C84686" w:rsidRPr="00F538E8">
        <w:rPr>
          <w:rFonts w:ascii="Calibri" w:hAnsi="Calibri" w:cs="Calibri"/>
          <w:sz w:val="22"/>
          <w:szCs w:val="22"/>
          <w:lang w:val="fr-FR"/>
        </w:rPr>
        <w:t>les années antérieures</w:t>
      </w:r>
      <w:r w:rsidR="00044588" w:rsidRPr="00F538E8">
        <w:rPr>
          <w:rFonts w:ascii="Calibri" w:hAnsi="Calibri" w:cs="Calibri"/>
          <w:sz w:val="22"/>
          <w:szCs w:val="22"/>
          <w:lang w:val="fr-FR"/>
        </w:rPr>
        <w:t xml:space="preserve">, </w:t>
      </w:r>
      <w:r w:rsidRPr="00F538E8">
        <w:rPr>
          <w:rFonts w:ascii="Calibri" w:hAnsi="Calibri" w:cs="Calibri"/>
          <w:sz w:val="22"/>
          <w:szCs w:val="22"/>
          <w:lang w:val="fr-FR"/>
        </w:rPr>
        <w:t>au</w:t>
      </w:r>
      <w:r w:rsidR="00044588" w:rsidRPr="00F538E8">
        <w:rPr>
          <w:rFonts w:ascii="Calibri" w:hAnsi="Calibri" w:cs="Calibri"/>
          <w:sz w:val="22"/>
          <w:szCs w:val="22"/>
          <w:lang w:val="fr-FR"/>
        </w:rPr>
        <w:t xml:space="preserve"> 29 </w:t>
      </w:r>
      <w:r w:rsidR="00F13FED" w:rsidRPr="00F538E8">
        <w:rPr>
          <w:rFonts w:ascii="Calibri" w:hAnsi="Calibri" w:cs="Calibri"/>
          <w:sz w:val="22"/>
          <w:szCs w:val="22"/>
          <w:lang w:val="fr-FR"/>
        </w:rPr>
        <w:t xml:space="preserve">février </w:t>
      </w:r>
      <w:r w:rsidR="00044588" w:rsidRPr="00F538E8">
        <w:rPr>
          <w:rFonts w:ascii="Calibri" w:hAnsi="Calibri" w:cs="Calibri"/>
          <w:sz w:val="22"/>
          <w:szCs w:val="22"/>
          <w:lang w:val="fr-FR"/>
        </w:rPr>
        <w:t xml:space="preserve">2016, </w:t>
      </w:r>
      <w:r w:rsidRPr="00F538E8">
        <w:rPr>
          <w:rFonts w:ascii="Calibri" w:hAnsi="Calibri" w:cs="Calibri"/>
          <w:sz w:val="22"/>
          <w:szCs w:val="22"/>
          <w:lang w:val="fr-FR"/>
        </w:rPr>
        <w:t xml:space="preserve">s’élevait à </w:t>
      </w:r>
      <w:r w:rsidR="00044588" w:rsidRPr="00F538E8">
        <w:rPr>
          <w:rFonts w:ascii="Calibri" w:hAnsi="Calibri" w:cs="Calibri"/>
          <w:sz w:val="22"/>
          <w:szCs w:val="22"/>
          <w:lang w:val="fr-FR"/>
        </w:rPr>
        <w:t>1</w:t>
      </w:r>
      <w:r w:rsidRPr="00F538E8">
        <w:rPr>
          <w:rFonts w:ascii="Calibri" w:hAnsi="Calibri" w:cs="Calibri"/>
          <w:sz w:val="22"/>
          <w:szCs w:val="22"/>
          <w:lang w:val="fr-FR"/>
        </w:rPr>
        <w:t> </w:t>
      </w:r>
      <w:r w:rsidR="00044588" w:rsidRPr="00F538E8">
        <w:rPr>
          <w:rFonts w:ascii="Calibri" w:hAnsi="Calibri" w:cs="Calibri"/>
          <w:sz w:val="22"/>
          <w:szCs w:val="22"/>
          <w:lang w:val="fr-FR"/>
        </w:rPr>
        <w:t>220</w:t>
      </w:r>
      <w:r w:rsidRPr="00F538E8">
        <w:rPr>
          <w:rFonts w:ascii="Calibri" w:hAnsi="Calibri" w:cs="Calibri"/>
          <w:sz w:val="22"/>
          <w:szCs w:val="22"/>
          <w:lang w:val="fr-FR"/>
        </w:rPr>
        <w:t> </w:t>
      </w:r>
      <w:r w:rsidR="00044588" w:rsidRPr="00F538E8">
        <w:rPr>
          <w:rFonts w:ascii="Calibri" w:hAnsi="Calibri" w:cs="Calibri"/>
          <w:sz w:val="22"/>
          <w:szCs w:val="22"/>
          <w:lang w:val="fr-FR"/>
        </w:rPr>
        <w:t>000</w:t>
      </w:r>
      <w:r w:rsidRPr="00F538E8">
        <w:rPr>
          <w:rFonts w:ascii="Calibri" w:hAnsi="Calibri" w:cs="Calibri"/>
          <w:sz w:val="22"/>
          <w:szCs w:val="22"/>
          <w:lang w:val="fr-FR"/>
        </w:rPr>
        <w:t> CHF</w:t>
      </w:r>
      <w:r w:rsidR="00044588" w:rsidRPr="00F538E8">
        <w:rPr>
          <w:rFonts w:ascii="Calibri" w:hAnsi="Calibri" w:cs="Calibri"/>
          <w:sz w:val="22"/>
          <w:szCs w:val="22"/>
          <w:lang w:val="fr-FR"/>
        </w:rPr>
        <w:t xml:space="preserve">. </w:t>
      </w:r>
      <w:r w:rsidRPr="00F538E8">
        <w:rPr>
          <w:rFonts w:ascii="Calibri" w:hAnsi="Calibri" w:cs="Calibri"/>
          <w:sz w:val="22"/>
          <w:szCs w:val="22"/>
          <w:lang w:val="fr-FR"/>
        </w:rPr>
        <w:t xml:space="preserve">Ce montant était dû par </w:t>
      </w:r>
      <w:r w:rsidR="00C31D14" w:rsidRPr="00F538E8">
        <w:rPr>
          <w:rFonts w:ascii="Calibri" w:hAnsi="Calibri" w:cs="Calibri"/>
          <w:sz w:val="22"/>
          <w:szCs w:val="22"/>
          <w:lang w:val="fr-FR"/>
        </w:rPr>
        <w:t xml:space="preserve">78 </w:t>
      </w:r>
      <w:r w:rsidR="00C37DBB" w:rsidRPr="00F538E8">
        <w:rPr>
          <w:rFonts w:ascii="Calibri" w:hAnsi="Calibri" w:cs="Calibri"/>
          <w:sz w:val="22"/>
          <w:szCs w:val="22"/>
          <w:lang w:val="fr-FR"/>
        </w:rPr>
        <w:t>Parties</w:t>
      </w:r>
      <w:r w:rsidR="000334A3" w:rsidRPr="00F538E8">
        <w:rPr>
          <w:rFonts w:ascii="Calibri" w:hAnsi="Calibri" w:cs="Calibri"/>
          <w:sz w:val="22"/>
          <w:szCs w:val="22"/>
          <w:lang w:val="fr-FR"/>
        </w:rPr>
        <w:t>.</w:t>
      </w:r>
      <w:r w:rsidR="00C37DBB" w:rsidRPr="00F538E8">
        <w:rPr>
          <w:rFonts w:ascii="Calibri" w:hAnsi="Calibri" w:cs="Calibri"/>
          <w:sz w:val="22"/>
          <w:szCs w:val="22"/>
          <w:lang w:val="fr-FR"/>
        </w:rPr>
        <w:t xml:space="preserve"> </w:t>
      </w:r>
    </w:p>
    <w:p w:rsidR="003C6AAA" w:rsidRPr="00F538E8" w:rsidRDefault="003C6AAA" w:rsidP="000B26D3">
      <w:pPr>
        <w:autoSpaceDE w:val="0"/>
        <w:autoSpaceDN w:val="0"/>
        <w:adjustRightInd w:val="0"/>
        <w:rPr>
          <w:rFonts w:ascii="Calibri" w:hAnsi="Calibri" w:cs="Calibri"/>
          <w:sz w:val="22"/>
          <w:szCs w:val="22"/>
          <w:lang w:val="fr-FR"/>
        </w:rPr>
      </w:pPr>
    </w:p>
    <w:p w:rsidR="00290A83" w:rsidRPr="00F538E8" w:rsidRDefault="004658B9" w:rsidP="0075705E">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Le</w:t>
      </w:r>
      <w:r w:rsidR="00AD3D9E" w:rsidRPr="00F538E8">
        <w:rPr>
          <w:rFonts w:ascii="Calibri" w:hAnsi="Calibri" w:cs="Calibri"/>
          <w:sz w:val="22"/>
          <w:szCs w:val="22"/>
          <w:lang w:val="fr-FR"/>
        </w:rPr>
        <w:t xml:space="preserve"> n</w:t>
      </w:r>
      <w:r w:rsidRPr="00F538E8">
        <w:rPr>
          <w:rFonts w:ascii="Calibri" w:hAnsi="Calibri" w:cs="Calibri"/>
          <w:sz w:val="22"/>
          <w:szCs w:val="22"/>
          <w:lang w:val="fr-FR"/>
        </w:rPr>
        <w:t>o</w:t>
      </w:r>
      <w:r w:rsidR="00AD3D9E" w:rsidRPr="00F538E8">
        <w:rPr>
          <w:rFonts w:ascii="Calibri" w:hAnsi="Calibri" w:cs="Calibri"/>
          <w:sz w:val="22"/>
          <w:szCs w:val="22"/>
          <w:lang w:val="fr-FR"/>
        </w:rPr>
        <w:t>mb</w:t>
      </w:r>
      <w:r w:rsidRPr="00F538E8">
        <w:rPr>
          <w:rFonts w:ascii="Calibri" w:hAnsi="Calibri" w:cs="Calibri"/>
          <w:sz w:val="22"/>
          <w:szCs w:val="22"/>
          <w:lang w:val="fr-FR"/>
        </w:rPr>
        <w:t>re</w:t>
      </w:r>
      <w:r w:rsidR="00AD3D9E" w:rsidRPr="00F538E8">
        <w:rPr>
          <w:rFonts w:ascii="Calibri" w:hAnsi="Calibri" w:cs="Calibri"/>
          <w:sz w:val="22"/>
          <w:szCs w:val="22"/>
          <w:lang w:val="fr-FR"/>
        </w:rPr>
        <w:t xml:space="preserve"> </w:t>
      </w:r>
      <w:r w:rsidRPr="00F538E8">
        <w:rPr>
          <w:rFonts w:ascii="Calibri" w:hAnsi="Calibri" w:cs="Calibri"/>
          <w:sz w:val="22"/>
          <w:szCs w:val="22"/>
          <w:lang w:val="fr-FR"/>
        </w:rPr>
        <w:t>de</w:t>
      </w:r>
      <w:r w:rsidR="00AD3D9E" w:rsidRPr="00F538E8">
        <w:rPr>
          <w:rFonts w:ascii="Calibri" w:hAnsi="Calibri" w:cs="Calibri"/>
          <w:sz w:val="22"/>
          <w:szCs w:val="22"/>
          <w:lang w:val="fr-FR"/>
        </w:rPr>
        <w:t xml:space="preserve"> </w:t>
      </w:r>
      <w:r w:rsidR="00A91525" w:rsidRPr="00F538E8">
        <w:rPr>
          <w:rFonts w:ascii="Calibri" w:hAnsi="Calibri" w:cs="Calibri"/>
          <w:sz w:val="22"/>
          <w:szCs w:val="22"/>
          <w:lang w:val="fr-FR"/>
        </w:rPr>
        <w:t xml:space="preserve">Parties </w:t>
      </w:r>
      <w:r w:rsidRPr="00F538E8">
        <w:rPr>
          <w:rFonts w:ascii="Calibri" w:hAnsi="Calibri" w:cs="Calibri"/>
          <w:sz w:val="22"/>
          <w:szCs w:val="22"/>
          <w:lang w:val="fr-FR"/>
        </w:rPr>
        <w:t>de chaque</w:t>
      </w:r>
      <w:r w:rsidR="003C6AAA" w:rsidRPr="00F538E8">
        <w:rPr>
          <w:rFonts w:ascii="Calibri" w:hAnsi="Calibri" w:cs="Calibri"/>
          <w:sz w:val="22"/>
          <w:szCs w:val="22"/>
          <w:lang w:val="fr-FR"/>
        </w:rPr>
        <w:t xml:space="preserve"> </w:t>
      </w:r>
      <w:r w:rsidRPr="00F538E8">
        <w:rPr>
          <w:rFonts w:ascii="Calibri" w:hAnsi="Calibri" w:cs="Calibri"/>
          <w:sz w:val="22"/>
          <w:szCs w:val="22"/>
          <w:lang w:val="fr-FR"/>
        </w:rPr>
        <w:t>région, ayant des arriérés</w:t>
      </w:r>
      <w:r w:rsidR="003C6AAA" w:rsidRPr="00F538E8">
        <w:rPr>
          <w:rFonts w:ascii="Calibri" w:hAnsi="Calibri" w:cs="Calibri"/>
          <w:sz w:val="22"/>
          <w:szCs w:val="22"/>
          <w:lang w:val="fr-FR"/>
        </w:rPr>
        <w:t xml:space="preserve"> </w:t>
      </w:r>
      <w:r w:rsidRPr="00F538E8">
        <w:rPr>
          <w:rFonts w:ascii="Calibri" w:hAnsi="Calibri" w:cs="Calibri"/>
          <w:sz w:val="22"/>
          <w:szCs w:val="22"/>
          <w:lang w:val="fr-FR"/>
        </w:rPr>
        <w:t xml:space="preserve">de plus de trois ans à la fin de </w:t>
      </w:r>
      <w:r w:rsidR="002B2B86" w:rsidRPr="00F538E8">
        <w:rPr>
          <w:rFonts w:ascii="Calibri" w:hAnsi="Calibri" w:cs="Calibri"/>
          <w:sz w:val="22"/>
          <w:szCs w:val="22"/>
          <w:lang w:val="fr-FR"/>
        </w:rPr>
        <w:t xml:space="preserve">2014 </w:t>
      </w:r>
      <w:r w:rsidRPr="00F538E8">
        <w:rPr>
          <w:rFonts w:ascii="Calibri" w:hAnsi="Calibri" w:cs="Calibri"/>
          <w:sz w:val="22"/>
          <w:szCs w:val="22"/>
          <w:lang w:val="fr-FR"/>
        </w:rPr>
        <w:t>et</w:t>
      </w:r>
      <w:r w:rsidR="002B2B86" w:rsidRPr="00F538E8">
        <w:rPr>
          <w:rFonts w:ascii="Calibri" w:hAnsi="Calibri" w:cs="Calibri"/>
          <w:sz w:val="22"/>
          <w:szCs w:val="22"/>
          <w:lang w:val="fr-FR"/>
        </w:rPr>
        <w:t xml:space="preserve"> </w:t>
      </w:r>
      <w:r w:rsidR="00444AF0" w:rsidRPr="00F538E8">
        <w:rPr>
          <w:rFonts w:ascii="Calibri" w:hAnsi="Calibri" w:cs="Calibri"/>
          <w:sz w:val="22"/>
          <w:szCs w:val="22"/>
          <w:lang w:val="fr-FR"/>
        </w:rPr>
        <w:t xml:space="preserve">de </w:t>
      </w:r>
      <w:r w:rsidR="002B2B86" w:rsidRPr="00F538E8">
        <w:rPr>
          <w:rFonts w:ascii="Calibri" w:hAnsi="Calibri" w:cs="Calibri"/>
          <w:sz w:val="22"/>
          <w:szCs w:val="22"/>
          <w:lang w:val="fr-FR"/>
        </w:rPr>
        <w:t>201</w:t>
      </w:r>
      <w:r w:rsidR="003C6AAA" w:rsidRPr="00F538E8">
        <w:rPr>
          <w:rFonts w:ascii="Calibri" w:hAnsi="Calibri" w:cs="Calibri"/>
          <w:sz w:val="22"/>
          <w:szCs w:val="22"/>
          <w:lang w:val="fr-FR"/>
        </w:rPr>
        <w:t>5,</w:t>
      </w:r>
      <w:r w:rsidR="00AD3D9E" w:rsidRPr="00F538E8">
        <w:rPr>
          <w:rFonts w:ascii="Calibri" w:hAnsi="Calibri" w:cs="Calibri"/>
          <w:sz w:val="22"/>
          <w:szCs w:val="22"/>
          <w:lang w:val="fr-FR"/>
        </w:rPr>
        <w:t xml:space="preserve"> </w:t>
      </w:r>
      <w:r w:rsidRPr="00F538E8">
        <w:rPr>
          <w:rFonts w:ascii="Calibri" w:hAnsi="Calibri" w:cs="Calibri"/>
          <w:sz w:val="22"/>
          <w:szCs w:val="22"/>
          <w:lang w:val="fr-FR"/>
        </w:rPr>
        <w:t xml:space="preserve">et le montant </w:t>
      </w:r>
      <w:r w:rsidR="003C6AAA" w:rsidRPr="00F538E8">
        <w:rPr>
          <w:rFonts w:ascii="Calibri" w:hAnsi="Calibri" w:cs="Calibri"/>
          <w:sz w:val="22"/>
          <w:szCs w:val="22"/>
          <w:lang w:val="fr-FR"/>
        </w:rPr>
        <w:t xml:space="preserve">total </w:t>
      </w:r>
      <w:r w:rsidRPr="00F538E8">
        <w:rPr>
          <w:rFonts w:ascii="Calibri" w:hAnsi="Calibri" w:cs="Calibri"/>
          <w:sz w:val="22"/>
          <w:szCs w:val="22"/>
          <w:lang w:val="fr-FR"/>
        </w:rPr>
        <w:t>de ces contributions impayées figurent dans le t</w:t>
      </w:r>
      <w:r w:rsidR="00AD3D9E" w:rsidRPr="00F538E8">
        <w:rPr>
          <w:rFonts w:ascii="Calibri" w:hAnsi="Calibri" w:cs="Calibri"/>
          <w:sz w:val="22"/>
          <w:szCs w:val="22"/>
          <w:lang w:val="fr-FR"/>
        </w:rPr>
        <w:t>able</w:t>
      </w:r>
      <w:r w:rsidRPr="00F538E8">
        <w:rPr>
          <w:rFonts w:ascii="Calibri" w:hAnsi="Calibri" w:cs="Calibri"/>
          <w:sz w:val="22"/>
          <w:szCs w:val="22"/>
          <w:lang w:val="fr-FR"/>
        </w:rPr>
        <w:t>au</w:t>
      </w:r>
      <w:r w:rsidR="00AD3D9E" w:rsidRPr="00F538E8">
        <w:rPr>
          <w:rFonts w:ascii="Calibri" w:hAnsi="Calibri" w:cs="Calibri"/>
          <w:sz w:val="22"/>
          <w:szCs w:val="22"/>
          <w:lang w:val="fr-FR"/>
        </w:rPr>
        <w:t xml:space="preserve"> </w:t>
      </w:r>
      <w:r w:rsidR="000334A3" w:rsidRPr="00F538E8">
        <w:rPr>
          <w:rFonts w:ascii="Calibri" w:hAnsi="Calibri" w:cs="Calibri"/>
          <w:sz w:val="22"/>
          <w:szCs w:val="22"/>
          <w:lang w:val="fr-FR"/>
        </w:rPr>
        <w:t>3</w:t>
      </w:r>
      <w:r w:rsidR="00AD3D9E" w:rsidRPr="00F538E8">
        <w:rPr>
          <w:rFonts w:ascii="Calibri" w:hAnsi="Calibri" w:cs="Calibri"/>
          <w:sz w:val="22"/>
          <w:szCs w:val="22"/>
          <w:lang w:val="fr-FR"/>
        </w:rPr>
        <w:t>.</w:t>
      </w:r>
      <w:r w:rsidR="00DD29C8" w:rsidRPr="00F538E8">
        <w:rPr>
          <w:rFonts w:ascii="Calibri" w:hAnsi="Calibri" w:cs="Calibri"/>
          <w:sz w:val="22"/>
          <w:szCs w:val="22"/>
          <w:lang w:val="fr-FR"/>
        </w:rPr>
        <w:t xml:space="preserve"> </w:t>
      </w:r>
      <w:r w:rsidRPr="00F538E8">
        <w:rPr>
          <w:rFonts w:ascii="Calibri" w:hAnsi="Calibri" w:cs="Calibri"/>
          <w:sz w:val="22"/>
          <w:szCs w:val="22"/>
          <w:lang w:val="fr-FR"/>
        </w:rPr>
        <w:t xml:space="preserve">À la fin de </w:t>
      </w:r>
      <w:r w:rsidR="000334A3" w:rsidRPr="00F538E8">
        <w:rPr>
          <w:rFonts w:ascii="Calibri" w:hAnsi="Calibri" w:cs="Calibri"/>
          <w:sz w:val="22"/>
          <w:szCs w:val="22"/>
          <w:lang w:val="fr-FR"/>
        </w:rPr>
        <w:t xml:space="preserve"> 2015</w:t>
      </w:r>
      <w:r w:rsidR="00D628EC" w:rsidRPr="00F538E8">
        <w:rPr>
          <w:rFonts w:ascii="Calibri" w:hAnsi="Calibri" w:cs="Calibri"/>
          <w:sz w:val="22"/>
          <w:szCs w:val="22"/>
          <w:lang w:val="fr-FR"/>
        </w:rPr>
        <w:t>, 30</w:t>
      </w:r>
      <w:r w:rsidR="000334A3" w:rsidRPr="00F538E8">
        <w:rPr>
          <w:rFonts w:ascii="Calibri" w:hAnsi="Calibri" w:cs="Calibri"/>
          <w:sz w:val="22"/>
          <w:szCs w:val="22"/>
          <w:lang w:val="fr-FR"/>
        </w:rPr>
        <w:t xml:space="preserve"> Parties </w:t>
      </w:r>
      <w:r w:rsidRPr="00F538E8">
        <w:rPr>
          <w:rFonts w:ascii="Calibri" w:hAnsi="Calibri" w:cs="Calibri"/>
          <w:sz w:val="22"/>
          <w:szCs w:val="22"/>
          <w:lang w:val="fr-FR"/>
        </w:rPr>
        <w:t>avaient des contributions impayées depuis plus de trois ans</w:t>
      </w:r>
      <w:r w:rsidR="000334A3" w:rsidRPr="00F538E8">
        <w:rPr>
          <w:rFonts w:ascii="Calibri" w:hAnsi="Calibri" w:cs="Calibri"/>
          <w:sz w:val="22"/>
          <w:szCs w:val="22"/>
          <w:lang w:val="fr-FR"/>
        </w:rPr>
        <w:t xml:space="preserve">, </w:t>
      </w:r>
      <w:r w:rsidRPr="00F538E8">
        <w:rPr>
          <w:rFonts w:ascii="Calibri" w:hAnsi="Calibri" w:cs="Calibri"/>
          <w:sz w:val="22"/>
          <w:szCs w:val="22"/>
          <w:lang w:val="fr-FR"/>
        </w:rPr>
        <w:t xml:space="preserve">pour un montant de </w:t>
      </w:r>
      <w:r w:rsidR="000334A3" w:rsidRPr="00F538E8">
        <w:rPr>
          <w:rFonts w:ascii="Calibri" w:hAnsi="Calibri" w:cs="Calibri"/>
          <w:sz w:val="22"/>
          <w:szCs w:val="22"/>
          <w:lang w:val="fr-FR"/>
        </w:rPr>
        <w:t>241</w:t>
      </w:r>
      <w:r w:rsidRPr="00F538E8">
        <w:rPr>
          <w:rFonts w:ascii="Calibri" w:hAnsi="Calibri" w:cs="Calibri"/>
          <w:sz w:val="22"/>
          <w:szCs w:val="22"/>
          <w:lang w:val="fr-FR"/>
        </w:rPr>
        <w:t> </w:t>
      </w:r>
      <w:r w:rsidR="000334A3" w:rsidRPr="00F538E8">
        <w:rPr>
          <w:rFonts w:ascii="Calibri" w:hAnsi="Calibri" w:cs="Calibri"/>
          <w:sz w:val="22"/>
          <w:szCs w:val="22"/>
          <w:lang w:val="fr-FR"/>
        </w:rPr>
        <w:t>977</w:t>
      </w:r>
      <w:r w:rsidRPr="00F538E8">
        <w:rPr>
          <w:rFonts w:ascii="Calibri" w:hAnsi="Calibri" w:cs="Calibri"/>
          <w:sz w:val="22"/>
          <w:szCs w:val="22"/>
          <w:lang w:val="fr-FR"/>
        </w:rPr>
        <w:t> CHF</w:t>
      </w:r>
      <w:r w:rsidR="000334A3" w:rsidRPr="00F538E8">
        <w:rPr>
          <w:rFonts w:ascii="Calibri" w:hAnsi="Calibri" w:cs="Calibri"/>
          <w:sz w:val="22"/>
          <w:szCs w:val="22"/>
          <w:lang w:val="fr-FR"/>
        </w:rPr>
        <w:t>.</w:t>
      </w:r>
    </w:p>
    <w:p w:rsidR="00A91525" w:rsidRPr="00F538E8" w:rsidRDefault="00A91525" w:rsidP="00A91525">
      <w:pPr>
        <w:pStyle w:val="ListParagraph"/>
        <w:rPr>
          <w:rFonts w:ascii="Calibri" w:hAnsi="Calibri" w:cs="Calibri"/>
          <w:color w:val="000000"/>
          <w:sz w:val="22"/>
          <w:szCs w:val="22"/>
          <w:lang w:val="fr-FR"/>
        </w:rPr>
      </w:pPr>
    </w:p>
    <w:p w:rsidR="006979B1" w:rsidRPr="00F538E8" w:rsidRDefault="0070040D" w:rsidP="006979B1">
      <w:pPr>
        <w:rPr>
          <w:rFonts w:ascii="Calibri" w:hAnsi="Calibri" w:cs="Calibri"/>
          <w:color w:val="000000"/>
          <w:sz w:val="22"/>
          <w:szCs w:val="22"/>
          <w:lang w:val="fr-FR"/>
        </w:rPr>
      </w:pPr>
      <w:r w:rsidRPr="00F538E8">
        <w:rPr>
          <w:rFonts w:ascii="Calibri" w:hAnsi="Calibri" w:cs="Calibri"/>
          <w:b/>
          <w:color w:val="000000"/>
          <w:sz w:val="22"/>
          <w:szCs w:val="22"/>
          <w:lang w:val="fr-FR"/>
        </w:rPr>
        <w:t>Table</w:t>
      </w:r>
      <w:r w:rsidR="006979B1" w:rsidRPr="00F538E8">
        <w:rPr>
          <w:rFonts w:ascii="Calibri" w:hAnsi="Calibri" w:cs="Calibri"/>
          <w:b/>
          <w:color w:val="000000"/>
          <w:sz w:val="22"/>
          <w:szCs w:val="22"/>
          <w:lang w:val="fr-FR"/>
        </w:rPr>
        <w:t>au</w:t>
      </w:r>
      <w:r w:rsidRPr="00F538E8">
        <w:rPr>
          <w:rFonts w:ascii="Calibri" w:hAnsi="Calibri" w:cs="Calibri"/>
          <w:b/>
          <w:color w:val="000000"/>
          <w:sz w:val="22"/>
          <w:szCs w:val="22"/>
          <w:lang w:val="fr-FR"/>
        </w:rPr>
        <w:t xml:space="preserve"> </w:t>
      </w:r>
      <w:r w:rsidR="000334A3" w:rsidRPr="00F538E8">
        <w:rPr>
          <w:rFonts w:ascii="Calibri" w:hAnsi="Calibri" w:cs="Calibri"/>
          <w:b/>
          <w:color w:val="000000"/>
          <w:sz w:val="22"/>
          <w:szCs w:val="22"/>
          <w:lang w:val="fr-FR"/>
        </w:rPr>
        <w:t>3</w:t>
      </w:r>
      <w:r w:rsidR="00AD3D9E" w:rsidRPr="00F538E8">
        <w:rPr>
          <w:rFonts w:ascii="Calibri" w:hAnsi="Calibri" w:cs="Calibri"/>
          <w:color w:val="000000"/>
          <w:sz w:val="22"/>
          <w:szCs w:val="22"/>
          <w:lang w:val="fr-FR"/>
        </w:rPr>
        <w:t xml:space="preserve"> </w:t>
      </w:r>
      <w:r w:rsidR="006979B1" w:rsidRPr="00F538E8">
        <w:rPr>
          <w:rFonts w:ascii="Calibri" w:hAnsi="Calibri" w:cs="Calibri"/>
          <w:color w:val="000000"/>
          <w:sz w:val="22"/>
          <w:szCs w:val="22"/>
          <w:lang w:val="fr-FR"/>
        </w:rPr>
        <w:t>: Parties contractantes ayant des arriérés de contributions supérieurs à trois ans, par région</w:t>
      </w:r>
    </w:p>
    <w:p w:rsidR="0070040D" w:rsidRPr="00F538E8" w:rsidRDefault="0070040D" w:rsidP="00A91525">
      <w:pPr>
        <w:pStyle w:val="ListParagraph"/>
        <w:rPr>
          <w:rFonts w:asciiTheme="minorHAnsi" w:hAnsiTheme="minorHAnsi" w:cs="Calibri"/>
          <w:color w:val="000000"/>
          <w:sz w:val="22"/>
          <w:szCs w:val="22"/>
          <w:lang w:val="fr-FR"/>
        </w:rPr>
      </w:pPr>
    </w:p>
    <w:tbl>
      <w:tblPr>
        <w:tblW w:w="7513" w:type="dxa"/>
        <w:tblInd w:w="108" w:type="dxa"/>
        <w:tblLayout w:type="fixed"/>
        <w:tblLook w:val="04A0" w:firstRow="1" w:lastRow="0" w:firstColumn="1" w:lastColumn="0" w:noHBand="0" w:noVBand="1"/>
      </w:tblPr>
      <w:tblGrid>
        <w:gridCol w:w="3001"/>
        <w:gridCol w:w="1128"/>
        <w:gridCol w:w="1128"/>
        <w:gridCol w:w="1128"/>
        <w:gridCol w:w="1128"/>
      </w:tblGrid>
      <w:tr w:rsidR="00C31D14" w:rsidRPr="00F538E8" w:rsidTr="00C31D14">
        <w:trPr>
          <w:trHeight w:val="288"/>
        </w:trPr>
        <w:tc>
          <w:tcPr>
            <w:tcW w:w="3001" w:type="dxa"/>
            <w:tcBorders>
              <w:top w:val="nil"/>
              <w:left w:val="nil"/>
              <w:bottom w:val="nil"/>
              <w:right w:val="single" w:sz="4" w:space="0" w:color="auto"/>
            </w:tcBorders>
            <w:shd w:val="clear" w:color="auto" w:fill="auto"/>
            <w:noWrap/>
            <w:hideMark/>
          </w:tcPr>
          <w:p w:rsidR="00C31D14" w:rsidRPr="00F538E8" w:rsidRDefault="00C31D14" w:rsidP="00FB72DE">
            <w:pPr>
              <w:jc w:val="center"/>
              <w:rPr>
                <w:rFonts w:ascii="Calibri" w:eastAsia="Times New Roman" w:hAnsi="Calibri"/>
                <w:color w:val="000000"/>
                <w:sz w:val="22"/>
                <w:szCs w:val="22"/>
                <w:lang w:val="fr-FR"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000000" w:fill="8DB4E2"/>
          </w:tcPr>
          <w:p w:rsidR="00C31D14" w:rsidRPr="00F538E8" w:rsidRDefault="006979B1" w:rsidP="006979B1">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 xml:space="preserve">Fin </w:t>
            </w:r>
            <w:r w:rsidR="00C31D14" w:rsidRPr="00F538E8">
              <w:rPr>
                <w:rFonts w:ascii="Calibri" w:eastAsia="Times New Roman" w:hAnsi="Calibri"/>
                <w:b/>
                <w:bCs/>
                <w:sz w:val="22"/>
                <w:szCs w:val="22"/>
                <w:lang w:val="fr-FR" w:eastAsia="en-GB"/>
              </w:rPr>
              <w:t>2014</w:t>
            </w:r>
          </w:p>
        </w:tc>
        <w:tc>
          <w:tcPr>
            <w:tcW w:w="2256" w:type="dxa"/>
            <w:gridSpan w:val="2"/>
            <w:tcBorders>
              <w:top w:val="single" w:sz="4" w:space="0" w:color="auto"/>
              <w:left w:val="single" w:sz="4" w:space="0" w:color="auto"/>
              <w:bottom w:val="single" w:sz="4" w:space="0" w:color="auto"/>
              <w:right w:val="single" w:sz="4" w:space="0" w:color="000000"/>
            </w:tcBorders>
            <w:shd w:val="clear" w:color="000000" w:fill="8DB4E2"/>
            <w:noWrap/>
            <w:hideMark/>
          </w:tcPr>
          <w:p w:rsidR="00C31D14" w:rsidRPr="00F538E8" w:rsidRDefault="006979B1" w:rsidP="006979B1">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 xml:space="preserve">Fin </w:t>
            </w:r>
            <w:r w:rsidR="00C31D14" w:rsidRPr="00F538E8">
              <w:rPr>
                <w:rFonts w:ascii="Calibri" w:eastAsia="Times New Roman" w:hAnsi="Calibri"/>
                <w:b/>
                <w:bCs/>
                <w:sz w:val="22"/>
                <w:szCs w:val="22"/>
                <w:lang w:val="fr-FR" w:eastAsia="en-GB"/>
              </w:rPr>
              <w:t>2015</w:t>
            </w:r>
          </w:p>
        </w:tc>
      </w:tr>
      <w:tr w:rsidR="006979B1" w:rsidRPr="00F538E8" w:rsidTr="006B706C">
        <w:trPr>
          <w:trHeight w:val="288"/>
        </w:trPr>
        <w:tc>
          <w:tcPr>
            <w:tcW w:w="3001"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79B1" w:rsidRPr="00F538E8" w:rsidRDefault="006979B1" w:rsidP="006979B1">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Région</w:t>
            </w:r>
          </w:p>
        </w:tc>
        <w:tc>
          <w:tcPr>
            <w:tcW w:w="1128" w:type="dxa"/>
            <w:tcBorders>
              <w:top w:val="single" w:sz="4" w:space="0" w:color="auto"/>
              <w:left w:val="nil"/>
              <w:bottom w:val="single" w:sz="4" w:space="0" w:color="auto"/>
              <w:right w:val="single" w:sz="4" w:space="0" w:color="auto"/>
            </w:tcBorders>
            <w:shd w:val="clear" w:color="000000" w:fill="8DB4E2"/>
            <w:vAlign w:val="bottom"/>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Nombre</w:t>
            </w:r>
          </w:p>
        </w:tc>
        <w:tc>
          <w:tcPr>
            <w:tcW w:w="1128" w:type="dxa"/>
            <w:tcBorders>
              <w:top w:val="single" w:sz="4" w:space="0" w:color="auto"/>
              <w:left w:val="single" w:sz="4" w:space="0" w:color="auto"/>
              <w:bottom w:val="single" w:sz="4" w:space="0" w:color="auto"/>
              <w:right w:val="single" w:sz="4" w:space="0" w:color="auto"/>
            </w:tcBorders>
            <w:shd w:val="clear" w:color="000000" w:fill="8DB4E2"/>
            <w:vAlign w:val="bottom"/>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Montant CHF</w:t>
            </w:r>
          </w:p>
        </w:tc>
        <w:tc>
          <w:tcPr>
            <w:tcW w:w="1128" w:type="dxa"/>
            <w:tcBorders>
              <w:top w:val="nil"/>
              <w:left w:val="single" w:sz="4" w:space="0" w:color="auto"/>
              <w:bottom w:val="single" w:sz="4" w:space="0" w:color="auto"/>
              <w:right w:val="single" w:sz="4" w:space="0" w:color="auto"/>
            </w:tcBorders>
            <w:shd w:val="clear" w:color="000000" w:fill="8DB4E2"/>
            <w:vAlign w:val="bottom"/>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Nombre</w:t>
            </w:r>
          </w:p>
        </w:tc>
        <w:tc>
          <w:tcPr>
            <w:tcW w:w="1128" w:type="dxa"/>
            <w:tcBorders>
              <w:top w:val="nil"/>
              <w:left w:val="single" w:sz="4" w:space="0" w:color="auto"/>
              <w:bottom w:val="single" w:sz="4" w:space="0" w:color="auto"/>
              <w:right w:val="single" w:sz="4" w:space="0" w:color="auto"/>
            </w:tcBorders>
            <w:shd w:val="clear" w:color="000000" w:fill="8DB4E2"/>
            <w:vAlign w:val="bottom"/>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Montant CHF</w:t>
            </w:r>
          </w:p>
        </w:tc>
      </w:tr>
      <w:tr w:rsidR="006979B1" w:rsidRPr="00F538E8" w:rsidTr="002616DA">
        <w:trPr>
          <w:trHeight w:val="288"/>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Afrique</w:t>
            </w:r>
          </w:p>
        </w:tc>
        <w:tc>
          <w:tcPr>
            <w:tcW w:w="1128" w:type="dxa"/>
            <w:tcBorders>
              <w:top w:val="single" w:sz="4" w:space="0" w:color="auto"/>
              <w:left w:val="nil"/>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16</w:t>
            </w:r>
          </w:p>
        </w:tc>
        <w:tc>
          <w:tcPr>
            <w:tcW w:w="1128" w:type="dxa"/>
            <w:tcBorders>
              <w:top w:val="single" w:sz="4" w:space="0" w:color="auto"/>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134,000</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hAnsi="Calibri"/>
                <w:color w:val="000000"/>
                <w:sz w:val="22"/>
                <w:szCs w:val="22"/>
                <w:lang w:val="fr-FR"/>
              </w:rPr>
              <w:t>17</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hAnsi="Calibri"/>
                <w:color w:val="000000"/>
                <w:sz w:val="22"/>
                <w:szCs w:val="22"/>
                <w:lang w:val="fr-FR"/>
              </w:rPr>
              <w:t xml:space="preserve">147,983 </w:t>
            </w:r>
          </w:p>
        </w:tc>
      </w:tr>
      <w:tr w:rsidR="006979B1" w:rsidRPr="00F538E8" w:rsidTr="002616DA">
        <w:trPr>
          <w:trHeight w:val="288"/>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Asie</w:t>
            </w:r>
          </w:p>
        </w:tc>
        <w:tc>
          <w:tcPr>
            <w:tcW w:w="1128" w:type="dxa"/>
            <w:tcBorders>
              <w:top w:val="single" w:sz="4" w:space="0" w:color="auto"/>
              <w:left w:val="nil"/>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w:t>
            </w:r>
          </w:p>
        </w:tc>
        <w:tc>
          <w:tcPr>
            <w:tcW w:w="1128" w:type="dxa"/>
            <w:tcBorders>
              <w:top w:val="single" w:sz="4" w:space="0" w:color="auto"/>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14,000</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hAnsi="Calibri"/>
                <w:color w:val="000000"/>
                <w:sz w:val="22"/>
                <w:szCs w:val="22"/>
                <w:lang w:val="fr-FR"/>
              </w:rPr>
              <w:t>4</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hAnsi="Calibri"/>
                <w:color w:val="000000"/>
                <w:sz w:val="22"/>
                <w:szCs w:val="22"/>
                <w:lang w:val="fr-FR"/>
              </w:rPr>
              <w:t xml:space="preserve">19,203 </w:t>
            </w:r>
          </w:p>
        </w:tc>
      </w:tr>
      <w:tr w:rsidR="006979B1" w:rsidRPr="00F538E8" w:rsidTr="002616DA">
        <w:trPr>
          <w:trHeight w:val="288"/>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Europe</w:t>
            </w:r>
          </w:p>
        </w:tc>
        <w:tc>
          <w:tcPr>
            <w:tcW w:w="1128" w:type="dxa"/>
            <w:tcBorders>
              <w:top w:val="single" w:sz="4" w:space="0" w:color="auto"/>
              <w:left w:val="nil"/>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1</w:t>
            </w:r>
          </w:p>
        </w:tc>
        <w:tc>
          <w:tcPr>
            <w:tcW w:w="1128" w:type="dxa"/>
            <w:tcBorders>
              <w:top w:val="single" w:sz="4" w:space="0" w:color="auto"/>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2,000</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hAnsi="Calibri"/>
                <w:color w:val="000000"/>
                <w:sz w:val="22"/>
                <w:szCs w:val="22"/>
                <w:lang w:val="fr-FR"/>
              </w:rPr>
              <w:t>1</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hAnsi="Calibri"/>
                <w:color w:val="000000"/>
                <w:sz w:val="22"/>
                <w:szCs w:val="22"/>
                <w:lang w:val="fr-FR"/>
              </w:rPr>
              <w:t xml:space="preserve">3,000 </w:t>
            </w:r>
          </w:p>
        </w:tc>
      </w:tr>
      <w:tr w:rsidR="006979B1" w:rsidRPr="00F538E8" w:rsidTr="002616DA">
        <w:trPr>
          <w:trHeight w:val="288"/>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6979B1" w:rsidRPr="00F538E8" w:rsidRDefault="00C84686" w:rsidP="00C84686">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Amérique latine et Caraïbes</w:t>
            </w:r>
          </w:p>
        </w:tc>
        <w:tc>
          <w:tcPr>
            <w:tcW w:w="1128" w:type="dxa"/>
            <w:tcBorders>
              <w:top w:val="single" w:sz="4" w:space="0" w:color="auto"/>
              <w:left w:val="nil"/>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3</w:t>
            </w:r>
          </w:p>
        </w:tc>
        <w:tc>
          <w:tcPr>
            <w:tcW w:w="1128" w:type="dxa"/>
            <w:tcBorders>
              <w:top w:val="single" w:sz="4" w:space="0" w:color="auto"/>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41,000</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hAnsi="Calibri"/>
                <w:color w:val="000000"/>
                <w:sz w:val="22"/>
                <w:szCs w:val="22"/>
                <w:lang w:val="fr-FR"/>
              </w:rPr>
              <w:t>6</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hAnsi="Calibri"/>
                <w:color w:val="000000"/>
                <w:sz w:val="22"/>
                <w:szCs w:val="22"/>
                <w:lang w:val="fr-FR"/>
              </w:rPr>
              <w:t xml:space="preserve">48,586 </w:t>
            </w:r>
          </w:p>
        </w:tc>
      </w:tr>
      <w:tr w:rsidR="006979B1" w:rsidRPr="00F538E8" w:rsidTr="002616DA">
        <w:trPr>
          <w:trHeight w:val="288"/>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6979B1" w:rsidRPr="00F538E8" w:rsidRDefault="006979B1" w:rsidP="006979B1">
            <w:pPr>
              <w:rPr>
                <w:rFonts w:asciiTheme="minorHAnsi" w:eastAsia="Times New Roman" w:hAnsiTheme="minorHAnsi" w:cs="Arial"/>
                <w:b/>
                <w:bCs/>
                <w:sz w:val="20"/>
                <w:szCs w:val="20"/>
                <w:lang w:val="fr-FR" w:eastAsia="en-GB"/>
              </w:rPr>
            </w:pPr>
            <w:r w:rsidRPr="00F538E8">
              <w:rPr>
                <w:rFonts w:asciiTheme="minorHAnsi" w:eastAsia="Times New Roman" w:hAnsiTheme="minorHAnsi" w:cs="Arial"/>
                <w:b/>
                <w:bCs/>
                <w:sz w:val="20"/>
                <w:szCs w:val="20"/>
                <w:lang w:val="fr-FR" w:eastAsia="en-GB"/>
              </w:rPr>
              <w:t>Océanie</w:t>
            </w:r>
          </w:p>
        </w:tc>
        <w:tc>
          <w:tcPr>
            <w:tcW w:w="1128" w:type="dxa"/>
            <w:tcBorders>
              <w:top w:val="single" w:sz="4" w:space="0" w:color="auto"/>
              <w:left w:val="nil"/>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4</w:t>
            </w:r>
          </w:p>
        </w:tc>
        <w:tc>
          <w:tcPr>
            <w:tcW w:w="1128" w:type="dxa"/>
            <w:tcBorders>
              <w:top w:val="single" w:sz="4" w:space="0" w:color="auto"/>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eastAsia="Times New Roman" w:hAnsi="Calibri"/>
                <w:color w:val="000000"/>
                <w:sz w:val="22"/>
                <w:szCs w:val="22"/>
                <w:lang w:val="fr-FR" w:eastAsia="en-GB"/>
              </w:rPr>
              <w:t>27,000</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center"/>
              <w:rPr>
                <w:rFonts w:ascii="Calibri" w:eastAsia="Times New Roman" w:hAnsi="Calibri"/>
                <w:color w:val="000000"/>
                <w:sz w:val="22"/>
                <w:szCs w:val="22"/>
                <w:lang w:val="fr-FR" w:eastAsia="en-GB"/>
              </w:rPr>
            </w:pPr>
            <w:r w:rsidRPr="00F538E8">
              <w:rPr>
                <w:rFonts w:ascii="Calibri" w:hAnsi="Calibri"/>
                <w:color w:val="000000"/>
                <w:sz w:val="22"/>
                <w:szCs w:val="22"/>
                <w:lang w:val="fr-FR"/>
              </w:rPr>
              <w:t>2</w:t>
            </w:r>
          </w:p>
        </w:tc>
        <w:tc>
          <w:tcPr>
            <w:tcW w:w="1128" w:type="dxa"/>
            <w:tcBorders>
              <w:top w:val="nil"/>
              <w:left w:val="single" w:sz="4" w:space="0" w:color="auto"/>
              <w:bottom w:val="single" w:sz="4" w:space="0" w:color="auto"/>
              <w:right w:val="single" w:sz="4" w:space="0" w:color="auto"/>
            </w:tcBorders>
            <w:vAlign w:val="center"/>
          </w:tcPr>
          <w:p w:rsidR="006979B1" w:rsidRPr="00F538E8" w:rsidRDefault="006979B1" w:rsidP="006979B1">
            <w:pPr>
              <w:jc w:val="right"/>
              <w:rPr>
                <w:rFonts w:ascii="Calibri" w:eastAsia="Times New Roman" w:hAnsi="Calibri"/>
                <w:color w:val="000000"/>
                <w:sz w:val="22"/>
                <w:szCs w:val="22"/>
                <w:lang w:val="fr-FR" w:eastAsia="en-GB"/>
              </w:rPr>
            </w:pPr>
            <w:r w:rsidRPr="00F538E8">
              <w:rPr>
                <w:rFonts w:ascii="Calibri" w:hAnsi="Calibri"/>
                <w:color w:val="000000"/>
                <w:sz w:val="22"/>
                <w:szCs w:val="22"/>
                <w:lang w:val="fr-FR"/>
              </w:rPr>
              <w:t xml:space="preserve">23,205 </w:t>
            </w:r>
          </w:p>
        </w:tc>
      </w:tr>
      <w:tr w:rsidR="00C31D14" w:rsidRPr="00F538E8" w:rsidTr="00C31D14">
        <w:trPr>
          <w:trHeight w:val="288"/>
        </w:trPr>
        <w:tc>
          <w:tcPr>
            <w:tcW w:w="3001" w:type="dxa"/>
            <w:tcBorders>
              <w:top w:val="nil"/>
              <w:left w:val="single" w:sz="4" w:space="0" w:color="auto"/>
              <w:bottom w:val="single" w:sz="4" w:space="0" w:color="auto"/>
              <w:right w:val="single" w:sz="4" w:space="0" w:color="auto"/>
            </w:tcBorders>
            <w:shd w:val="clear" w:color="000000" w:fill="D9D9D9"/>
            <w:noWrap/>
            <w:vAlign w:val="center"/>
            <w:hideMark/>
          </w:tcPr>
          <w:p w:rsidR="00C31D14" w:rsidRPr="00F538E8" w:rsidRDefault="00C31D14" w:rsidP="00C31D14">
            <w:pP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Total</w:t>
            </w:r>
          </w:p>
        </w:tc>
        <w:tc>
          <w:tcPr>
            <w:tcW w:w="1128" w:type="dxa"/>
            <w:tcBorders>
              <w:top w:val="single" w:sz="4" w:space="0" w:color="auto"/>
              <w:left w:val="nil"/>
              <w:bottom w:val="single" w:sz="4" w:space="0" w:color="auto"/>
              <w:right w:val="single" w:sz="4" w:space="0" w:color="auto"/>
            </w:tcBorders>
            <w:shd w:val="clear" w:color="000000" w:fill="D9D9D9"/>
            <w:vAlign w:val="center"/>
          </w:tcPr>
          <w:p w:rsidR="00C31D14" w:rsidRPr="00F538E8" w:rsidRDefault="00C31D14" w:rsidP="00C31D14">
            <w:pPr>
              <w:jc w:val="center"/>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28</w:t>
            </w:r>
          </w:p>
        </w:tc>
        <w:tc>
          <w:tcPr>
            <w:tcW w:w="1128" w:type="dxa"/>
            <w:tcBorders>
              <w:top w:val="single" w:sz="4" w:space="0" w:color="auto"/>
              <w:left w:val="single" w:sz="4" w:space="0" w:color="auto"/>
              <w:bottom w:val="single" w:sz="4" w:space="0" w:color="auto"/>
              <w:right w:val="single" w:sz="4" w:space="0" w:color="auto"/>
            </w:tcBorders>
            <w:shd w:val="clear" w:color="000000" w:fill="D9D9D9"/>
            <w:vAlign w:val="center"/>
          </w:tcPr>
          <w:p w:rsidR="00C31D14" w:rsidRPr="00F538E8" w:rsidRDefault="00C31D14" w:rsidP="00C31D14">
            <w:pPr>
              <w:jc w:val="right"/>
              <w:rPr>
                <w:rFonts w:ascii="Calibri" w:eastAsia="Times New Roman" w:hAnsi="Calibri"/>
                <w:b/>
                <w:bCs/>
                <w:sz w:val="22"/>
                <w:szCs w:val="22"/>
                <w:lang w:val="fr-FR" w:eastAsia="en-GB"/>
              </w:rPr>
            </w:pPr>
            <w:r w:rsidRPr="00F538E8">
              <w:rPr>
                <w:rFonts w:ascii="Calibri" w:eastAsia="Times New Roman" w:hAnsi="Calibri"/>
                <w:b/>
                <w:bCs/>
                <w:sz w:val="22"/>
                <w:szCs w:val="22"/>
                <w:lang w:val="fr-FR" w:eastAsia="en-GB"/>
              </w:rPr>
              <w:t>218,000</w:t>
            </w:r>
          </w:p>
        </w:tc>
        <w:tc>
          <w:tcPr>
            <w:tcW w:w="1128" w:type="dxa"/>
            <w:tcBorders>
              <w:top w:val="nil"/>
              <w:left w:val="single" w:sz="4" w:space="0" w:color="auto"/>
              <w:bottom w:val="single" w:sz="4" w:space="0" w:color="auto"/>
              <w:right w:val="single" w:sz="4" w:space="0" w:color="auto"/>
            </w:tcBorders>
            <w:shd w:val="clear" w:color="000000" w:fill="D9D9D9"/>
            <w:vAlign w:val="center"/>
          </w:tcPr>
          <w:p w:rsidR="00C31D14" w:rsidRPr="00F538E8" w:rsidRDefault="00C31D14" w:rsidP="00C31D14">
            <w:pPr>
              <w:jc w:val="center"/>
              <w:rPr>
                <w:rFonts w:ascii="Calibri" w:eastAsia="Times New Roman" w:hAnsi="Calibri"/>
                <w:b/>
                <w:bCs/>
                <w:sz w:val="22"/>
                <w:szCs w:val="22"/>
                <w:lang w:val="fr-FR" w:eastAsia="en-GB"/>
              </w:rPr>
            </w:pPr>
            <w:r w:rsidRPr="00F538E8">
              <w:rPr>
                <w:rFonts w:ascii="Calibri" w:hAnsi="Calibri"/>
                <w:b/>
                <w:bCs/>
                <w:sz w:val="22"/>
                <w:szCs w:val="22"/>
                <w:lang w:val="fr-FR"/>
              </w:rPr>
              <w:t>30</w:t>
            </w:r>
          </w:p>
        </w:tc>
        <w:tc>
          <w:tcPr>
            <w:tcW w:w="1128" w:type="dxa"/>
            <w:tcBorders>
              <w:top w:val="nil"/>
              <w:left w:val="single" w:sz="4" w:space="0" w:color="auto"/>
              <w:bottom w:val="single" w:sz="4" w:space="0" w:color="auto"/>
              <w:right w:val="single" w:sz="4" w:space="0" w:color="auto"/>
            </w:tcBorders>
            <w:shd w:val="clear" w:color="000000" w:fill="D9D9D9"/>
            <w:vAlign w:val="center"/>
          </w:tcPr>
          <w:p w:rsidR="00C31D14" w:rsidRPr="00F538E8" w:rsidRDefault="00C31D14" w:rsidP="00C31D14">
            <w:pPr>
              <w:jc w:val="right"/>
              <w:rPr>
                <w:rFonts w:ascii="Calibri" w:eastAsia="Times New Roman" w:hAnsi="Calibri"/>
                <w:b/>
                <w:bCs/>
                <w:sz w:val="22"/>
                <w:szCs w:val="22"/>
                <w:lang w:val="fr-FR" w:eastAsia="en-GB"/>
              </w:rPr>
            </w:pPr>
            <w:r w:rsidRPr="00F538E8">
              <w:rPr>
                <w:rFonts w:ascii="Calibri" w:hAnsi="Calibri"/>
                <w:b/>
                <w:bCs/>
                <w:sz w:val="22"/>
                <w:szCs w:val="22"/>
                <w:lang w:val="fr-FR"/>
              </w:rPr>
              <w:t xml:space="preserve">241,977 </w:t>
            </w:r>
          </w:p>
        </w:tc>
      </w:tr>
    </w:tbl>
    <w:p w:rsidR="0070040D" w:rsidRPr="00F538E8" w:rsidRDefault="0070040D" w:rsidP="006018B5">
      <w:pPr>
        <w:rPr>
          <w:rFonts w:ascii="Calibri" w:hAnsi="Calibri" w:cs="Calibri"/>
          <w:color w:val="000000"/>
          <w:sz w:val="22"/>
          <w:szCs w:val="22"/>
          <w:lang w:val="fr-FR"/>
        </w:rPr>
      </w:pPr>
    </w:p>
    <w:p w:rsidR="00496282" w:rsidRPr="00F538E8" w:rsidRDefault="00496282" w:rsidP="006018B5">
      <w:pPr>
        <w:rPr>
          <w:rFonts w:ascii="Calibri" w:hAnsi="Calibri" w:cs="Calibri"/>
          <w:color w:val="000000"/>
          <w:sz w:val="22"/>
          <w:szCs w:val="22"/>
          <w:lang w:val="fr-FR"/>
        </w:rPr>
      </w:pPr>
    </w:p>
    <w:p w:rsidR="00496282" w:rsidRPr="00F538E8" w:rsidRDefault="004658B9" w:rsidP="00496282">
      <w:pPr>
        <w:rPr>
          <w:rFonts w:ascii="Calibri" w:hAnsi="Calibri" w:cs="Calibri"/>
          <w:b/>
          <w:sz w:val="22"/>
          <w:szCs w:val="22"/>
          <w:lang w:val="fr-FR"/>
        </w:rPr>
      </w:pPr>
      <w:r w:rsidRPr="00F538E8">
        <w:rPr>
          <w:rFonts w:ascii="Calibri" w:hAnsi="Calibri" w:cs="Calibri"/>
          <w:b/>
          <w:sz w:val="22"/>
          <w:szCs w:val="22"/>
          <w:lang w:val="fr-FR"/>
        </w:rPr>
        <w:t xml:space="preserve">Réponse proposée par le </w:t>
      </w:r>
      <w:r w:rsidR="00496282" w:rsidRPr="00F538E8">
        <w:rPr>
          <w:rFonts w:ascii="Calibri" w:hAnsi="Calibri" w:cs="Calibri"/>
          <w:b/>
          <w:sz w:val="22"/>
          <w:szCs w:val="22"/>
          <w:lang w:val="fr-FR"/>
        </w:rPr>
        <w:t>Secr</w:t>
      </w:r>
      <w:r w:rsidRPr="00F538E8">
        <w:rPr>
          <w:rFonts w:ascii="Calibri" w:hAnsi="Calibri" w:cs="Calibri"/>
          <w:b/>
          <w:sz w:val="22"/>
          <w:szCs w:val="22"/>
          <w:lang w:val="fr-FR"/>
        </w:rPr>
        <w:t>é</w:t>
      </w:r>
      <w:r w:rsidR="00496282" w:rsidRPr="00F538E8">
        <w:rPr>
          <w:rFonts w:ascii="Calibri" w:hAnsi="Calibri" w:cs="Calibri"/>
          <w:b/>
          <w:sz w:val="22"/>
          <w:szCs w:val="22"/>
          <w:lang w:val="fr-FR"/>
        </w:rPr>
        <w:t xml:space="preserve">tariat </w:t>
      </w:r>
    </w:p>
    <w:p w:rsidR="00792244" w:rsidRPr="00F538E8" w:rsidRDefault="00792244" w:rsidP="00792244">
      <w:pPr>
        <w:ind w:left="426"/>
        <w:rPr>
          <w:rFonts w:ascii="Calibri" w:hAnsi="Calibri" w:cs="Calibri"/>
          <w:color w:val="000000"/>
          <w:sz w:val="22"/>
          <w:szCs w:val="22"/>
          <w:lang w:val="fr-FR"/>
        </w:rPr>
      </w:pPr>
    </w:p>
    <w:p w:rsidR="006979B1" w:rsidRPr="00F538E8" w:rsidRDefault="006979B1" w:rsidP="006979B1">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color w:val="000000"/>
          <w:sz w:val="22"/>
          <w:szCs w:val="22"/>
          <w:lang w:val="fr-FR"/>
        </w:rPr>
        <w:t>À sa 48</w:t>
      </w:r>
      <w:r w:rsidRPr="00F538E8">
        <w:rPr>
          <w:rFonts w:ascii="Calibri" w:hAnsi="Calibri" w:cs="Calibri"/>
          <w:color w:val="000000"/>
          <w:sz w:val="22"/>
          <w:szCs w:val="22"/>
          <w:vertAlign w:val="superscript"/>
          <w:lang w:val="fr-FR"/>
        </w:rPr>
        <w:t>e</w:t>
      </w:r>
      <w:r w:rsidRPr="00F538E8">
        <w:rPr>
          <w:rFonts w:ascii="Calibri" w:hAnsi="Calibri" w:cs="Calibri"/>
          <w:color w:val="000000"/>
          <w:sz w:val="22"/>
          <w:szCs w:val="22"/>
          <w:lang w:val="fr-FR"/>
        </w:rPr>
        <w:t> </w:t>
      </w:r>
      <w:r w:rsidR="00444AF0" w:rsidRPr="00F538E8">
        <w:rPr>
          <w:rFonts w:ascii="Calibri" w:hAnsi="Calibri" w:cs="Calibri"/>
          <w:color w:val="000000"/>
          <w:sz w:val="22"/>
          <w:szCs w:val="22"/>
          <w:lang w:val="fr-FR"/>
        </w:rPr>
        <w:t>R</w:t>
      </w:r>
      <w:r w:rsidRPr="00F538E8">
        <w:rPr>
          <w:rFonts w:ascii="Calibri" w:hAnsi="Calibri" w:cs="Calibri"/>
          <w:color w:val="000000"/>
          <w:sz w:val="22"/>
          <w:szCs w:val="22"/>
          <w:lang w:val="fr-FR"/>
        </w:rPr>
        <w:t>éunion</w:t>
      </w:r>
      <w:r w:rsidRPr="00F538E8">
        <w:rPr>
          <w:rFonts w:ascii="Calibri" w:hAnsi="Calibri" w:cs="Calibri"/>
          <w:sz w:val="22"/>
          <w:szCs w:val="22"/>
          <w:lang w:val="fr-FR"/>
        </w:rPr>
        <w:t xml:space="preserve">, dans la décision SC48-12, le Comité permanent a convenu de ne pas appliquer de sanctions aux Parties ayant des arriérés de contributions. </w:t>
      </w:r>
    </w:p>
    <w:p w:rsidR="000B26D3" w:rsidRPr="00F538E8" w:rsidRDefault="000B26D3" w:rsidP="000B26D3">
      <w:pPr>
        <w:autoSpaceDE w:val="0"/>
        <w:autoSpaceDN w:val="0"/>
        <w:adjustRightInd w:val="0"/>
        <w:rPr>
          <w:rFonts w:ascii="Calibri" w:hAnsi="Calibri" w:cs="Calibri"/>
          <w:sz w:val="22"/>
          <w:szCs w:val="22"/>
          <w:lang w:val="fr-FR"/>
        </w:rPr>
      </w:pPr>
    </w:p>
    <w:p w:rsidR="006979B1" w:rsidRPr="00F538E8" w:rsidRDefault="00496282" w:rsidP="006979B1">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N</w:t>
      </w:r>
      <w:r w:rsidR="00107AD4" w:rsidRPr="00F538E8">
        <w:rPr>
          <w:rFonts w:ascii="Calibri" w:hAnsi="Calibri" w:cs="Calibri"/>
          <w:sz w:val="22"/>
          <w:szCs w:val="22"/>
          <w:lang w:val="fr-FR"/>
        </w:rPr>
        <w:t>éanmoins, la Secrétaire générale par intérim</w:t>
      </w:r>
      <w:r w:rsidR="000B26D3" w:rsidRPr="00F538E8">
        <w:rPr>
          <w:rFonts w:ascii="Calibri" w:hAnsi="Calibri" w:cs="Calibri"/>
          <w:sz w:val="22"/>
          <w:szCs w:val="22"/>
          <w:lang w:val="fr-FR"/>
        </w:rPr>
        <w:t xml:space="preserve"> </w:t>
      </w:r>
      <w:r w:rsidR="006979B1" w:rsidRPr="00F538E8">
        <w:rPr>
          <w:rFonts w:ascii="Calibri" w:hAnsi="Calibri" w:cs="Calibri"/>
          <w:sz w:val="22"/>
          <w:szCs w:val="22"/>
          <w:lang w:val="fr-FR"/>
        </w:rPr>
        <w:t>estime que progresser en faveur du règlement des contributions impayées et favoriser une mobilisation et un engagement financier plus étroits de toutes les Parties à la Convention enverraient des messages positifs sur la gouvernance de la Convention et permettraient au Secrétariat d’accomplir l’ensemble des tâches fixées par la COP.</w:t>
      </w:r>
    </w:p>
    <w:p w:rsidR="000334A3" w:rsidRPr="00F538E8" w:rsidRDefault="000334A3" w:rsidP="000334A3">
      <w:pPr>
        <w:pStyle w:val="ListParagraph"/>
        <w:rPr>
          <w:rFonts w:ascii="Calibri" w:hAnsi="Calibri" w:cs="Calibri"/>
          <w:sz w:val="22"/>
          <w:szCs w:val="22"/>
          <w:lang w:val="fr-FR"/>
        </w:rPr>
      </w:pPr>
    </w:p>
    <w:p w:rsidR="000334A3" w:rsidRPr="00F538E8" w:rsidRDefault="00C84686" w:rsidP="000334A3">
      <w:pPr>
        <w:numPr>
          <w:ilvl w:val="0"/>
          <w:numId w:val="39"/>
        </w:numPr>
        <w:autoSpaceDE w:val="0"/>
        <w:autoSpaceDN w:val="0"/>
        <w:adjustRightInd w:val="0"/>
        <w:ind w:left="426" w:hanging="426"/>
        <w:rPr>
          <w:rFonts w:ascii="Calibri" w:hAnsi="Calibri" w:cs="Calibri"/>
          <w:sz w:val="22"/>
          <w:szCs w:val="22"/>
          <w:lang w:val="fr-FR"/>
        </w:rPr>
      </w:pPr>
      <w:r w:rsidRPr="00F538E8">
        <w:rPr>
          <w:rFonts w:ascii="Calibri" w:hAnsi="Calibri" w:cs="Calibri"/>
          <w:sz w:val="22"/>
          <w:szCs w:val="22"/>
          <w:lang w:val="fr-FR"/>
        </w:rPr>
        <w:t xml:space="preserve">En 2016, les mesures </w:t>
      </w:r>
      <w:r w:rsidRPr="00F538E8">
        <w:rPr>
          <w:rFonts w:asciiTheme="minorHAnsi" w:hAnsiTheme="minorHAnsi" w:cs="Calibri"/>
          <w:sz w:val="22"/>
          <w:szCs w:val="22"/>
          <w:lang w:val="fr-FR"/>
        </w:rPr>
        <w:t xml:space="preserve">prioritaires seront axées sur les </w:t>
      </w:r>
      <w:r w:rsidR="000334A3" w:rsidRPr="00F538E8">
        <w:rPr>
          <w:rFonts w:asciiTheme="minorHAnsi" w:hAnsiTheme="minorHAnsi" w:cs="Calibri"/>
          <w:sz w:val="22"/>
          <w:szCs w:val="22"/>
          <w:lang w:val="fr-FR"/>
        </w:rPr>
        <w:t xml:space="preserve"> 41 Parties </w:t>
      </w:r>
      <w:r w:rsidRPr="00F538E8">
        <w:rPr>
          <w:rFonts w:asciiTheme="minorHAnsi" w:hAnsiTheme="minorHAnsi" w:cs="Calibri"/>
          <w:sz w:val="22"/>
          <w:szCs w:val="22"/>
          <w:lang w:val="fr-FR"/>
        </w:rPr>
        <w:t xml:space="preserve">ayant des arriérés de contributions depuis plus de trois ans à la fin de </w:t>
      </w:r>
      <w:r w:rsidR="000334A3" w:rsidRPr="00F538E8">
        <w:rPr>
          <w:rFonts w:asciiTheme="minorHAnsi" w:hAnsiTheme="minorHAnsi" w:cs="Calibri"/>
          <w:sz w:val="22"/>
          <w:szCs w:val="22"/>
          <w:lang w:val="fr-FR"/>
        </w:rPr>
        <w:t xml:space="preserve">2015. </w:t>
      </w:r>
      <w:r w:rsidRPr="00F538E8">
        <w:rPr>
          <w:rFonts w:asciiTheme="minorHAnsi" w:hAnsiTheme="minorHAnsi" w:cs="Calibri"/>
          <w:sz w:val="22"/>
          <w:szCs w:val="22"/>
          <w:lang w:val="fr-FR"/>
        </w:rPr>
        <w:t>Le</w:t>
      </w:r>
      <w:r w:rsidR="000334A3" w:rsidRPr="00F538E8">
        <w:rPr>
          <w:rFonts w:asciiTheme="minorHAnsi" w:hAnsiTheme="minorHAnsi" w:cs="Calibri"/>
          <w:sz w:val="22"/>
          <w:szCs w:val="22"/>
          <w:lang w:val="fr-FR"/>
        </w:rPr>
        <w:t xml:space="preserve"> Secr</w:t>
      </w:r>
      <w:r w:rsidRPr="00F538E8">
        <w:rPr>
          <w:rFonts w:asciiTheme="minorHAnsi" w:hAnsiTheme="minorHAnsi" w:cs="Calibri"/>
          <w:sz w:val="22"/>
          <w:szCs w:val="22"/>
          <w:lang w:val="fr-FR"/>
        </w:rPr>
        <w:t>é</w:t>
      </w:r>
      <w:r w:rsidR="000334A3" w:rsidRPr="00F538E8">
        <w:rPr>
          <w:rFonts w:asciiTheme="minorHAnsi" w:hAnsiTheme="minorHAnsi" w:cs="Calibri"/>
          <w:sz w:val="22"/>
          <w:szCs w:val="22"/>
          <w:lang w:val="fr-FR"/>
        </w:rPr>
        <w:t xml:space="preserve">tariat </w:t>
      </w:r>
      <w:r w:rsidRPr="00F538E8">
        <w:rPr>
          <w:rFonts w:asciiTheme="minorHAnsi" w:hAnsiTheme="minorHAnsi" w:cs="Calibri"/>
          <w:sz w:val="22"/>
          <w:szCs w:val="22"/>
          <w:lang w:val="fr-FR"/>
        </w:rPr>
        <w:t>appliquera le paragraphe 17 de la</w:t>
      </w:r>
      <w:r w:rsidR="000334A3" w:rsidRPr="00F538E8">
        <w:rPr>
          <w:rFonts w:asciiTheme="minorHAnsi" w:hAnsiTheme="minorHAnsi" w:cs="Calibri"/>
          <w:sz w:val="22"/>
          <w:szCs w:val="22"/>
          <w:lang w:val="fr-FR"/>
        </w:rPr>
        <w:t xml:space="preserve"> </w:t>
      </w:r>
      <w:r w:rsidR="00496282" w:rsidRPr="00F538E8">
        <w:rPr>
          <w:rFonts w:asciiTheme="minorHAnsi" w:hAnsiTheme="minorHAnsi" w:cs="Calibri"/>
          <w:sz w:val="22"/>
          <w:szCs w:val="22"/>
          <w:lang w:val="fr-FR"/>
        </w:rPr>
        <w:t>R</w:t>
      </w:r>
      <w:r w:rsidRPr="00F538E8">
        <w:rPr>
          <w:rFonts w:asciiTheme="minorHAnsi" w:hAnsiTheme="minorHAnsi" w:cs="Calibri"/>
          <w:sz w:val="22"/>
          <w:szCs w:val="22"/>
          <w:lang w:val="fr-FR"/>
        </w:rPr>
        <w:t>é</w:t>
      </w:r>
      <w:r w:rsidR="00496282" w:rsidRPr="00F538E8">
        <w:rPr>
          <w:rFonts w:asciiTheme="minorHAnsi" w:hAnsiTheme="minorHAnsi" w:cs="Calibri"/>
          <w:sz w:val="22"/>
          <w:szCs w:val="22"/>
          <w:lang w:val="fr-FR"/>
        </w:rPr>
        <w:t xml:space="preserve">solution XI.2 </w:t>
      </w:r>
      <w:r w:rsidRPr="00F538E8">
        <w:rPr>
          <w:rFonts w:asciiTheme="minorHAnsi" w:hAnsiTheme="minorHAnsi" w:cs="Calibri"/>
          <w:sz w:val="22"/>
          <w:szCs w:val="22"/>
          <w:lang w:val="fr-FR"/>
        </w:rPr>
        <w:t>pour obtenir un plan de paiement écrit et explicite du plus grand nombre possible de Parties</w:t>
      </w:r>
      <w:r w:rsidR="000334A3" w:rsidRPr="00F538E8">
        <w:rPr>
          <w:rFonts w:asciiTheme="minorHAnsi" w:hAnsiTheme="minorHAnsi" w:cs="Calibri"/>
          <w:sz w:val="22"/>
          <w:szCs w:val="22"/>
          <w:lang w:val="fr-FR"/>
        </w:rPr>
        <w:t xml:space="preserve">, </w:t>
      </w:r>
      <w:r w:rsidRPr="00F538E8">
        <w:rPr>
          <w:rFonts w:asciiTheme="minorHAnsi" w:hAnsiTheme="minorHAnsi" w:cs="Calibri"/>
          <w:sz w:val="22"/>
          <w:szCs w:val="22"/>
          <w:lang w:val="fr-FR"/>
        </w:rPr>
        <w:t>et fera rapport sur les progrès de chaque Partie à la 53</w:t>
      </w:r>
      <w:r w:rsidRPr="00F538E8">
        <w:rPr>
          <w:rFonts w:asciiTheme="minorHAnsi" w:hAnsiTheme="minorHAnsi" w:cs="Calibri"/>
          <w:sz w:val="22"/>
          <w:szCs w:val="22"/>
          <w:vertAlign w:val="superscript"/>
          <w:lang w:val="fr-FR"/>
        </w:rPr>
        <w:t>e</w:t>
      </w:r>
      <w:r w:rsidRPr="00F538E8">
        <w:rPr>
          <w:rFonts w:asciiTheme="minorHAnsi" w:hAnsiTheme="minorHAnsi" w:cs="Calibri"/>
          <w:sz w:val="22"/>
          <w:szCs w:val="22"/>
          <w:lang w:val="fr-FR"/>
        </w:rPr>
        <w:t xml:space="preserve"> Réunion du Comité permanent. Il fera aussi participer les nouveaux représentants régionaux au Sous-groupe sur les finances à cette activité.</w:t>
      </w:r>
      <w:r w:rsidR="000334A3" w:rsidRPr="00F538E8">
        <w:rPr>
          <w:rFonts w:ascii="Calibri" w:hAnsi="Calibri" w:cs="Calibri"/>
          <w:sz w:val="22"/>
          <w:szCs w:val="22"/>
          <w:lang w:val="fr-FR"/>
        </w:rPr>
        <w:t xml:space="preserve"> </w:t>
      </w:r>
    </w:p>
    <w:p w:rsidR="00FE4BDA" w:rsidRPr="00F538E8" w:rsidRDefault="00FE4BDA" w:rsidP="00FE4BDA">
      <w:pPr>
        <w:pStyle w:val="ListParagraph"/>
        <w:rPr>
          <w:rFonts w:ascii="Calibri" w:hAnsi="Calibri" w:cs="Calibri"/>
          <w:sz w:val="22"/>
          <w:szCs w:val="22"/>
          <w:highlight w:val="yellow"/>
          <w:lang w:val="fr-FR"/>
        </w:rPr>
      </w:pPr>
    </w:p>
    <w:p w:rsidR="00DC3520" w:rsidRPr="00F538E8" w:rsidRDefault="00C84686" w:rsidP="00FE4BDA">
      <w:pPr>
        <w:numPr>
          <w:ilvl w:val="0"/>
          <w:numId w:val="39"/>
        </w:numPr>
        <w:autoSpaceDE w:val="0"/>
        <w:autoSpaceDN w:val="0"/>
        <w:adjustRightInd w:val="0"/>
        <w:ind w:left="426" w:hanging="426"/>
        <w:rPr>
          <w:rFonts w:ascii="Calibri" w:hAnsi="Calibri" w:cs="Calibri"/>
          <w:b/>
          <w:color w:val="000000"/>
          <w:sz w:val="26"/>
          <w:szCs w:val="26"/>
          <w:lang w:val="fr-FR"/>
        </w:rPr>
      </w:pPr>
      <w:r w:rsidRPr="00F538E8">
        <w:rPr>
          <w:rFonts w:ascii="Calibri" w:hAnsi="Calibri" w:cs="Calibri"/>
          <w:sz w:val="22"/>
          <w:szCs w:val="22"/>
          <w:lang w:val="fr-FR"/>
        </w:rPr>
        <w:t>Des efforts particuliers seront ax</w:t>
      </w:r>
      <w:r w:rsidR="00444AF0" w:rsidRPr="00F538E8">
        <w:rPr>
          <w:rFonts w:ascii="Calibri" w:hAnsi="Calibri" w:cs="Calibri"/>
          <w:sz w:val="22"/>
          <w:szCs w:val="22"/>
          <w:lang w:val="fr-FR"/>
        </w:rPr>
        <w:t>é</w:t>
      </w:r>
      <w:r w:rsidRPr="00F538E8">
        <w:rPr>
          <w:rFonts w:ascii="Calibri" w:hAnsi="Calibri" w:cs="Calibri"/>
          <w:sz w:val="22"/>
          <w:szCs w:val="22"/>
          <w:lang w:val="fr-FR"/>
        </w:rPr>
        <w:t xml:space="preserve">s sur les huit </w:t>
      </w:r>
      <w:r w:rsidR="00FE4BDA" w:rsidRPr="00F538E8">
        <w:rPr>
          <w:rFonts w:ascii="Calibri" w:hAnsi="Calibri" w:cs="Calibri"/>
          <w:sz w:val="22"/>
          <w:szCs w:val="22"/>
          <w:lang w:val="fr-FR"/>
        </w:rPr>
        <w:t xml:space="preserve">Parties </w:t>
      </w:r>
      <w:r w:rsidRPr="00F538E8">
        <w:rPr>
          <w:rFonts w:ascii="Calibri" w:hAnsi="Calibri" w:cs="Calibri"/>
          <w:sz w:val="22"/>
          <w:szCs w:val="22"/>
          <w:lang w:val="fr-FR"/>
        </w:rPr>
        <w:t>qui n’ont jamais payé et les quatre</w:t>
      </w:r>
      <w:r w:rsidR="00FE4BDA" w:rsidRPr="00F538E8">
        <w:rPr>
          <w:rFonts w:ascii="Calibri" w:hAnsi="Calibri" w:cs="Calibri"/>
          <w:sz w:val="22"/>
          <w:szCs w:val="22"/>
          <w:lang w:val="fr-FR"/>
        </w:rPr>
        <w:t xml:space="preserve"> Parties </w:t>
      </w:r>
      <w:r w:rsidRPr="00F538E8">
        <w:rPr>
          <w:rFonts w:ascii="Calibri" w:hAnsi="Calibri" w:cs="Calibri"/>
          <w:sz w:val="22"/>
          <w:szCs w:val="22"/>
          <w:lang w:val="fr-FR"/>
        </w:rPr>
        <w:t xml:space="preserve">ayant des arriérés de plus de trois ans pour un total de plus de </w:t>
      </w:r>
      <w:r w:rsidR="00FE4BDA" w:rsidRPr="00F538E8">
        <w:rPr>
          <w:rFonts w:ascii="Calibri" w:hAnsi="Calibri" w:cs="Calibri"/>
          <w:sz w:val="22"/>
          <w:szCs w:val="22"/>
          <w:lang w:val="fr-FR"/>
        </w:rPr>
        <w:t>50</w:t>
      </w:r>
      <w:r w:rsidRPr="00F538E8">
        <w:rPr>
          <w:rFonts w:ascii="Calibri" w:hAnsi="Calibri" w:cs="Calibri"/>
          <w:sz w:val="22"/>
          <w:szCs w:val="22"/>
          <w:lang w:val="fr-FR"/>
        </w:rPr>
        <w:t> </w:t>
      </w:r>
      <w:r w:rsidR="00FE4BDA" w:rsidRPr="00F538E8">
        <w:rPr>
          <w:rFonts w:ascii="Calibri" w:hAnsi="Calibri" w:cs="Calibri"/>
          <w:sz w:val="22"/>
          <w:szCs w:val="22"/>
          <w:lang w:val="fr-FR"/>
        </w:rPr>
        <w:t>000</w:t>
      </w:r>
      <w:r w:rsidRPr="00F538E8">
        <w:rPr>
          <w:rFonts w:ascii="Calibri" w:hAnsi="Calibri" w:cs="Calibri"/>
          <w:sz w:val="22"/>
          <w:szCs w:val="22"/>
          <w:lang w:val="fr-FR"/>
        </w:rPr>
        <w:t> CHF</w:t>
      </w:r>
      <w:r w:rsidR="00FE4BDA" w:rsidRPr="00F538E8">
        <w:rPr>
          <w:rFonts w:ascii="Calibri" w:hAnsi="Calibri" w:cs="Calibri"/>
          <w:sz w:val="22"/>
          <w:szCs w:val="22"/>
          <w:lang w:val="fr-FR"/>
        </w:rPr>
        <w:t>.</w:t>
      </w:r>
    </w:p>
    <w:p w:rsidR="00235D06" w:rsidRPr="005F560E" w:rsidRDefault="005F560E" w:rsidP="005F560E">
      <w:pPr>
        <w:rPr>
          <w:rFonts w:ascii="Calibri" w:hAnsi="Calibri" w:cs="Calibri"/>
          <w:b/>
          <w:sz w:val="22"/>
          <w:szCs w:val="22"/>
        </w:rPr>
      </w:pPr>
      <w:r w:rsidRPr="005F560E">
        <w:rPr>
          <w:rFonts w:ascii="Calibri" w:hAnsi="Calibri" w:cs="Calibri"/>
          <w:b/>
          <w:sz w:val="22"/>
          <w:szCs w:val="22"/>
        </w:rPr>
        <w:lastRenderedPageBreak/>
        <w:t>Annexe 1   Contributions impayées pour 2016 et les années antérieures, au 29 février 2</w:t>
      </w:r>
      <w:bookmarkStart w:id="1" w:name="_GoBack"/>
      <w:bookmarkEnd w:id="1"/>
      <w:r w:rsidRPr="005F560E">
        <w:rPr>
          <w:rFonts w:ascii="Calibri" w:hAnsi="Calibri" w:cs="Calibri"/>
          <w:b/>
          <w:sz w:val="22"/>
          <w:szCs w:val="22"/>
        </w:rPr>
        <w:t>016</w:t>
      </w:r>
    </w:p>
    <w:p w:rsidR="00D93924" w:rsidRPr="00F538E8" w:rsidRDefault="005F560E" w:rsidP="00554FED">
      <w:pPr>
        <w:rPr>
          <w:b/>
          <w:lang w:val="fr-FR"/>
        </w:rPr>
      </w:pPr>
      <w:r w:rsidRPr="005F560E">
        <w:drawing>
          <wp:inline distT="0" distB="0" distL="0" distR="0" wp14:anchorId="1FB9DE3B" wp14:editId="388F50E8">
            <wp:extent cx="5426266" cy="8626944"/>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266" cy="8626944"/>
                    </a:xfrm>
                    <a:prstGeom prst="rect">
                      <a:avLst/>
                    </a:prstGeom>
                    <a:noFill/>
                    <a:ln>
                      <a:noFill/>
                    </a:ln>
                  </pic:spPr>
                </pic:pic>
              </a:graphicData>
            </a:graphic>
          </wp:inline>
        </w:drawing>
      </w:r>
    </w:p>
    <w:sectPr w:rsidR="00D93924" w:rsidRPr="00F538E8" w:rsidSect="00C31D14">
      <w:footerReference w:type="default" r:id="rId10"/>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E4" w:rsidRDefault="00DD57E4">
      <w:r>
        <w:separator/>
      </w:r>
    </w:p>
  </w:endnote>
  <w:endnote w:type="continuationSeparator" w:id="0">
    <w:p w:rsidR="00DD57E4" w:rsidRDefault="00DD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6D" w:rsidRPr="00F4142F" w:rsidRDefault="00C0756D" w:rsidP="00F4142F">
    <w:pPr>
      <w:pStyle w:val="Footer"/>
      <w:tabs>
        <w:tab w:val="clear" w:pos="8640"/>
        <w:tab w:val="right" w:pos="9072"/>
      </w:tabs>
      <w:rPr>
        <w:rFonts w:asciiTheme="minorHAnsi" w:hAnsiTheme="minorHAnsi"/>
        <w:sz w:val="20"/>
        <w:szCs w:val="20"/>
        <w:lang w:val="en-GB"/>
      </w:rPr>
    </w:pPr>
    <w:r w:rsidRPr="00F4142F">
      <w:rPr>
        <w:rFonts w:asciiTheme="minorHAnsi" w:hAnsiTheme="minorHAnsi"/>
        <w:sz w:val="20"/>
        <w:szCs w:val="20"/>
      </w:rPr>
      <w:t>SC5</w:t>
    </w:r>
    <w:r w:rsidR="00133C00">
      <w:rPr>
        <w:rFonts w:asciiTheme="minorHAnsi" w:hAnsiTheme="minorHAnsi"/>
        <w:sz w:val="20"/>
        <w:szCs w:val="20"/>
      </w:rPr>
      <w:t>2</w:t>
    </w:r>
    <w:r w:rsidRPr="00F4142F">
      <w:rPr>
        <w:rFonts w:asciiTheme="minorHAnsi" w:hAnsiTheme="minorHAnsi"/>
        <w:sz w:val="20"/>
        <w:szCs w:val="20"/>
        <w:lang w:val="en-GB"/>
      </w:rPr>
      <w:t>-</w:t>
    </w:r>
    <w:r>
      <w:rPr>
        <w:rFonts w:asciiTheme="minorHAnsi" w:hAnsiTheme="minorHAnsi"/>
        <w:sz w:val="20"/>
        <w:szCs w:val="20"/>
        <w:lang w:val="en-GB"/>
      </w:rPr>
      <w:t>19</w:t>
    </w:r>
    <w:r w:rsidRPr="00F4142F">
      <w:rPr>
        <w:rFonts w:asciiTheme="minorHAnsi" w:hAnsiTheme="minorHAnsi"/>
        <w:sz w:val="20"/>
        <w:szCs w:val="20"/>
      </w:rPr>
      <w:tab/>
    </w:r>
    <w:r w:rsidRPr="00F4142F">
      <w:rPr>
        <w:rFonts w:asciiTheme="minorHAnsi" w:hAnsiTheme="minorHAnsi"/>
        <w:sz w:val="20"/>
        <w:szCs w:val="20"/>
      </w:rPr>
      <w:tab/>
    </w:r>
    <w:r w:rsidRPr="00F4142F">
      <w:rPr>
        <w:rFonts w:asciiTheme="minorHAnsi" w:hAnsiTheme="minorHAnsi"/>
        <w:sz w:val="20"/>
        <w:szCs w:val="20"/>
      </w:rPr>
      <w:fldChar w:fldCharType="begin"/>
    </w:r>
    <w:r w:rsidRPr="00F4142F">
      <w:rPr>
        <w:rFonts w:asciiTheme="minorHAnsi" w:hAnsiTheme="minorHAnsi"/>
        <w:sz w:val="20"/>
        <w:szCs w:val="20"/>
      </w:rPr>
      <w:instrText xml:space="preserve"> PAGE   \* MERGEFORMAT </w:instrText>
    </w:r>
    <w:r w:rsidRPr="00F4142F">
      <w:rPr>
        <w:rFonts w:asciiTheme="minorHAnsi" w:hAnsiTheme="minorHAnsi"/>
        <w:sz w:val="20"/>
        <w:szCs w:val="20"/>
      </w:rPr>
      <w:fldChar w:fldCharType="separate"/>
    </w:r>
    <w:r w:rsidR="005F560E">
      <w:rPr>
        <w:rFonts w:asciiTheme="minorHAnsi" w:hAnsiTheme="minorHAnsi"/>
        <w:noProof/>
        <w:sz w:val="20"/>
        <w:szCs w:val="20"/>
      </w:rPr>
      <w:t>4</w:t>
    </w:r>
    <w:r w:rsidRPr="00F4142F">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E4" w:rsidRDefault="00DD57E4">
      <w:r>
        <w:separator/>
      </w:r>
    </w:p>
  </w:footnote>
  <w:footnote w:type="continuationSeparator" w:id="0">
    <w:p w:rsidR="00DD57E4" w:rsidRDefault="00DD57E4">
      <w:r>
        <w:continuationSeparator/>
      </w:r>
    </w:p>
  </w:footnote>
  <w:footnote w:id="1">
    <w:p w:rsidR="00055B73" w:rsidRPr="00055B73" w:rsidRDefault="00055B73" w:rsidP="00055B73">
      <w:pPr>
        <w:autoSpaceDE w:val="0"/>
        <w:autoSpaceDN w:val="0"/>
        <w:adjustRightInd w:val="0"/>
        <w:rPr>
          <w:rFonts w:ascii="Calibri" w:hAnsi="Calibri" w:cs="Calibri"/>
          <w:color w:val="000000"/>
          <w:sz w:val="18"/>
          <w:szCs w:val="18"/>
          <w:lang w:val="fr-CH"/>
        </w:rPr>
      </w:pPr>
      <w:r w:rsidRPr="001B3B53">
        <w:rPr>
          <w:rStyle w:val="FootnoteReference"/>
          <w:rFonts w:ascii="Calibri" w:hAnsi="Calibri" w:cs="Calibri"/>
          <w:sz w:val="18"/>
          <w:szCs w:val="18"/>
        </w:rPr>
        <w:footnoteRef/>
      </w:r>
      <w:r w:rsidRPr="00055B73">
        <w:rPr>
          <w:rFonts w:ascii="Calibri" w:hAnsi="Calibri" w:cs="Calibri"/>
          <w:sz w:val="18"/>
          <w:szCs w:val="18"/>
          <w:lang w:val="fr-CH"/>
        </w:rPr>
        <w:t xml:space="preserve">  </w:t>
      </w:r>
      <w:r w:rsidRPr="001B3B53">
        <w:rPr>
          <w:rFonts w:asciiTheme="minorHAnsi" w:hAnsiTheme="minorHAnsi" w:cs="Calibri"/>
          <w:sz w:val="18"/>
          <w:szCs w:val="18"/>
          <w:lang w:val="fr-CA"/>
        </w:rPr>
        <w:t xml:space="preserve">Aucune contribution impayée n’est </w:t>
      </w:r>
      <w:r>
        <w:rPr>
          <w:rFonts w:asciiTheme="minorHAnsi" w:hAnsiTheme="minorHAnsi" w:cs="Calibri"/>
          <w:sz w:val="18"/>
          <w:szCs w:val="18"/>
          <w:lang w:val="fr-CA"/>
        </w:rPr>
        <w:t>annulée</w:t>
      </w:r>
      <w:r w:rsidRPr="001B3B53">
        <w:rPr>
          <w:rFonts w:asciiTheme="minorHAnsi" w:hAnsiTheme="minorHAnsi" w:cs="Calibri"/>
          <w:sz w:val="18"/>
          <w:szCs w:val="18"/>
          <w:lang w:val="fr-CA"/>
        </w:rPr>
        <w:t xml:space="preserve">. </w:t>
      </w:r>
      <w:r>
        <w:rPr>
          <w:rFonts w:asciiTheme="minorHAnsi" w:hAnsiTheme="minorHAnsi" w:cs="Calibri"/>
          <w:sz w:val="18"/>
          <w:szCs w:val="18"/>
          <w:lang w:val="fr-CA"/>
        </w:rPr>
        <w:t>Dès l</w:t>
      </w:r>
      <w:r w:rsidRPr="001B3B53">
        <w:rPr>
          <w:rFonts w:asciiTheme="minorHAnsi" w:hAnsiTheme="minorHAnsi" w:cs="Calibri"/>
          <w:sz w:val="18"/>
          <w:szCs w:val="18"/>
          <w:lang w:val="fr-CA"/>
        </w:rPr>
        <w:t>ors</w:t>
      </w:r>
      <w:r>
        <w:rPr>
          <w:rFonts w:asciiTheme="minorHAnsi" w:hAnsiTheme="minorHAnsi" w:cs="Calibri"/>
          <w:sz w:val="18"/>
          <w:szCs w:val="18"/>
          <w:lang w:val="fr-CA"/>
        </w:rPr>
        <w:t xml:space="preserve"> </w:t>
      </w:r>
      <w:r w:rsidRPr="001B3B53">
        <w:rPr>
          <w:rFonts w:asciiTheme="minorHAnsi" w:hAnsiTheme="minorHAnsi" w:cs="Calibri"/>
          <w:sz w:val="18"/>
          <w:szCs w:val="18"/>
          <w:lang w:val="fr-CA"/>
        </w:rPr>
        <w:t xml:space="preserve">qu’une Partie indique expressément qu’elle ne reconnaît pas ses arriérés de contribution et/ou qu’elle n’a pas l’intention de les payer, le Comité permanent </w:t>
      </w:r>
      <w:r>
        <w:rPr>
          <w:rFonts w:asciiTheme="minorHAnsi" w:hAnsiTheme="minorHAnsi" w:cs="Calibri"/>
          <w:sz w:val="18"/>
          <w:szCs w:val="18"/>
          <w:lang w:val="fr-CA"/>
        </w:rPr>
        <w:t xml:space="preserve">en </w:t>
      </w:r>
      <w:r w:rsidRPr="001B3B53">
        <w:rPr>
          <w:rFonts w:asciiTheme="minorHAnsi" w:hAnsiTheme="minorHAnsi" w:cs="Calibri"/>
          <w:sz w:val="18"/>
          <w:szCs w:val="18"/>
          <w:lang w:val="fr-CA"/>
        </w:rPr>
        <w:t>est informé</w:t>
      </w:r>
      <w:r w:rsidRPr="00055B73">
        <w:rPr>
          <w:rFonts w:ascii="Calibri" w:hAnsi="Calibri" w:cs="Calibri"/>
          <w:sz w:val="18"/>
          <w:szCs w:val="18"/>
          <w:lang w:val="fr-CH"/>
        </w:rPr>
        <w:t>.</w:t>
      </w:r>
    </w:p>
    <w:p w:rsidR="00055B73" w:rsidRPr="00055B73" w:rsidRDefault="00055B73" w:rsidP="00055B73">
      <w:pPr>
        <w:pStyle w:val="FootnoteText"/>
        <w:rPr>
          <w:sz w:val="18"/>
          <w:szCs w:val="18"/>
          <w:lang w:val="fr-CH"/>
        </w:rPr>
      </w:pPr>
    </w:p>
  </w:footnote>
  <w:footnote w:id="2">
    <w:p w:rsidR="004431CD" w:rsidRPr="00107AD4" w:rsidRDefault="004431CD" w:rsidP="005410BE">
      <w:pPr>
        <w:pStyle w:val="FootnoteText"/>
        <w:rPr>
          <w:lang w:val="fr-CH"/>
        </w:rPr>
      </w:pPr>
      <w:r w:rsidRPr="004E33DC">
        <w:rPr>
          <w:rStyle w:val="FootnoteReference"/>
          <w:rFonts w:asciiTheme="minorHAnsi" w:hAnsiTheme="minorHAnsi"/>
          <w:sz w:val="18"/>
          <w:szCs w:val="18"/>
        </w:rPr>
        <w:footnoteRef/>
      </w:r>
      <w:r w:rsidRPr="00107AD4">
        <w:rPr>
          <w:rFonts w:asciiTheme="minorHAnsi" w:hAnsiTheme="minorHAnsi"/>
          <w:sz w:val="18"/>
          <w:szCs w:val="18"/>
          <w:lang w:val="fr-CH"/>
        </w:rPr>
        <w:t xml:space="preserve"> </w:t>
      </w:r>
      <w:r w:rsidR="00107AD4" w:rsidRPr="00107AD4">
        <w:rPr>
          <w:rFonts w:asciiTheme="minorHAnsi" w:hAnsiTheme="minorHAnsi"/>
          <w:sz w:val="18"/>
          <w:szCs w:val="18"/>
          <w:lang w:val="fr-CH"/>
        </w:rPr>
        <w:t>À</w:t>
      </w:r>
      <w:r w:rsidRPr="00107AD4">
        <w:rPr>
          <w:rFonts w:asciiTheme="minorHAnsi" w:hAnsiTheme="minorHAnsi"/>
          <w:sz w:val="18"/>
          <w:szCs w:val="18"/>
          <w:lang w:val="fr-CH"/>
        </w:rPr>
        <w:t xml:space="preserve"> d</w:t>
      </w:r>
      <w:r w:rsidR="00107AD4" w:rsidRPr="00107AD4">
        <w:rPr>
          <w:rFonts w:asciiTheme="minorHAnsi" w:hAnsiTheme="minorHAnsi"/>
          <w:sz w:val="18"/>
          <w:szCs w:val="18"/>
          <w:lang w:val="fr-CH"/>
        </w:rPr>
        <w:t>é</w:t>
      </w:r>
      <w:r w:rsidRPr="00107AD4">
        <w:rPr>
          <w:rFonts w:asciiTheme="minorHAnsi" w:hAnsiTheme="minorHAnsi"/>
          <w:sz w:val="18"/>
          <w:szCs w:val="18"/>
          <w:lang w:val="fr-CH"/>
        </w:rPr>
        <w:t>termine</w:t>
      </w:r>
      <w:r w:rsidR="00107AD4" w:rsidRPr="00107AD4">
        <w:rPr>
          <w:rFonts w:asciiTheme="minorHAnsi" w:hAnsiTheme="minorHAnsi"/>
          <w:sz w:val="18"/>
          <w:szCs w:val="18"/>
          <w:lang w:val="fr-CH"/>
        </w:rPr>
        <w:t>r</w:t>
      </w:r>
      <w:r w:rsidRPr="00107AD4">
        <w:rPr>
          <w:rFonts w:asciiTheme="minorHAnsi" w:hAnsiTheme="minorHAnsi"/>
          <w:sz w:val="18"/>
          <w:szCs w:val="18"/>
          <w:lang w:val="fr-CH"/>
        </w:rPr>
        <w:t xml:space="preserve"> </w:t>
      </w:r>
      <w:r w:rsidR="00107AD4" w:rsidRPr="00107AD4">
        <w:rPr>
          <w:rFonts w:asciiTheme="minorHAnsi" w:hAnsiTheme="minorHAnsi"/>
          <w:sz w:val="18"/>
          <w:szCs w:val="18"/>
          <w:lang w:val="fr-CH"/>
        </w:rPr>
        <w:t xml:space="preserve">à la fin de </w:t>
      </w:r>
      <w:r w:rsidRPr="00107AD4">
        <w:rPr>
          <w:rFonts w:asciiTheme="minorHAnsi" w:hAnsiTheme="minorHAnsi"/>
          <w:sz w:val="18"/>
          <w:szCs w:val="18"/>
          <w:lang w:val="fr-CH"/>
        </w:rPr>
        <w:t>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FBE"/>
    <w:multiLevelType w:val="hybridMultilevel"/>
    <w:tmpl w:val="58E2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761D"/>
    <w:multiLevelType w:val="multilevel"/>
    <w:tmpl w:val="306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F7C17"/>
    <w:multiLevelType w:val="hybridMultilevel"/>
    <w:tmpl w:val="9886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17C83"/>
    <w:multiLevelType w:val="hybridMultilevel"/>
    <w:tmpl w:val="76EEF44C"/>
    <w:lvl w:ilvl="0" w:tplc="82E651E0">
      <w:start w:val="23"/>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FD1B35"/>
    <w:multiLevelType w:val="multilevel"/>
    <w:tmpl w:val="06FA16E6"/>
    <w:lvl w:ilvl="0">
      <w:start w:val="1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A70034"/>
    <w:multiLevelType w:val="multilevel"/>
    <w:tmpl w:val="13E47EEC"/>
    <w:lvl w:ilvl="0">
      <w:start w:val="14"/>
      <w:numFmt w:val="decimal"/>
      <w:lvlText w:val="%1"/>
      <w:lvlJc w:val="left"/>
      <w:pPr>
        <w:tabs>
          <w:tab w:val="num" w:pos="495"/>
        </w:tabs>
        <w:ind w:left="495" w:hanging="495"/>
      </w:pPr>
    </w:lvl>
    <w:lvl w:ilvl="1">
      <w:start w:val="9"/>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12D81EF7"/>
    <w:multiLevelType w:val="hybridMultilevel"/>
    <w:tmpl w:val="511646B2"/>
    <w:lvl w:ilvl="0" w:tplc="504CD46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46F1EBA"/>
    <w:multiLevelType w:val="hybridMultilevel"/>
    <w:tmpl w:val="CAA24B7A"/>
    <w:lvl w:ilvl="0" w:tplc="64D6D068">
      <w:start w:val="1"/>
      <w:numFmt w:val="lowerLetter"/>
      <w:lvlText w:val="%1."/>
      <w:lvlJc w:val="left"/>
      <w:pPr>
        <w:tabs>
          <w:tab w:val="num" w:pos="900"/>
        </w:tabs>
        <w:ind w:left="900" w:hanging="360"/>
      </w:pPr>
      <w:rPr>
        <w:rFonts w:hint="default"/>
        <w:color w:val="008000"/>
      </w:rPr>
    </w:lvl>
    <w:lvl w:ilvl="1" w:tplc="0504CCC4">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61F57F9"/>
    <w:multiLevelType w:val="hybridMultilevel"/>
    <w:tmpl w:val="539E6BDA"/>
    <w:lvl w:ilvl="0" w:tplc="85127A6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8825C01"/>
    <w:multiLevelType w:val="multilevel"/>
    <w:tmpl w:val="B48E5A44"/>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B04305E"/>
    <w:multiLevelType w:val="hybridMultilevel"/>
    <w:tmpl w:val="AA5C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A65BF"/>
    <w:multiLevelType w:val="hybridMultilevel"/>
    <w:tmpl w:val="2C24ED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Aria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Arial"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Arial"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1ECD656B"/>
    <w:multiLevelType w:val="multilevel"/>
    <w:tmpl w:val="0826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605F69"/>
    <w:multiLevelType w:val="multilevel"/>
    <w:tmpl w:val="0A7EE9E2"/>
    <w:lvl w:ilvl="0">
      <w:start w:val="1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263045C4"/>
    <w:multiLevelType w:val="hybridMultilevel"/>
    <w:tmpl w:val="6F0E0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7936A9"/>
    <w:multiLevelType w:val="hybridMultilevel"/>
    <w:tmpl w:val="CF14BF58"/>
    <w:lvl w:ilvl="0" w:tplc="76FE7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973689"/>
    <w:multiLevelType w:val="hybridMultilevel"/>
    <w:tmpl w:val="DD0A4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2A3ADA"/>
    <w:multiLevelType w:val="multilevel"/>
    <w:tmpl w:val="EEEC887E"/>
    <w:lvl w:ilvl="0">
      <w:start w:val="14"/>
      <w:numFmt w:val="decimal"/>
      <w:lvlText w:val="%1"/>
      <w:lvlJc w:val="left"/>
      <w:pPr>
        <w:tabs>
          <w:tab w:val="num" w:pos="384"/>
        </w:tabs>
        <w:ind w:left="384" w:hanging="384"/>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D764BD"/>
    <w:multiLevelType w:val="hybridMultilevel"/>
    <w:tmpl w:val="9E7A4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07D05"/>
    <w:multiLevelType w:val="hybridMultilevel"/>
    <w:tmpl w:val="D0F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5161F"/>
    <w:multiLevelType w:val="hybridMultilevel"/>
    <w:tmpl w:val="4006B224"/>
    <w:lvl w:ilvl="0" w:tplc="B44657EA">
      <w:start w:val="2"/>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A5C1222"/>
    <w:multiLevelType w:val="hybridMultilevel"/>
    <w:tmpl w:val="9FCCD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C16FF4"/>
    <w:multiLevelType w:val="hybridMultilevel"/>
    <w:tmpl w:val="E3CE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818F4"/>
    <w:multiLevelType w:val="hybridMultilevel"/>
    <w:tmpl w:val="06FC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27D5A"/>
    <w:multiLevelType w:val="hybridMultilevel"/>
    <w:tmpl w:val="8174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CA4CBC"/>
    <w:multiLevelType w:val="multilevel"/>
    <w:tmpl w:val="12FA60AE"/>
    <w:lvl w:ilvl="0">
      <w:start w:val="26"/>
      <w:numFmt w:val="decimal"/>
      <w:lvlText w:val="%1"/>
      <w:lvlJc w:val="left"/>
      <w:pPr>
        <w:tabs>
          <w:tab w:val="num" w:pos="495"/>
        </w:tabs>
        <w:ind w:left="495" w:hanging="495"/>
      </w:pPr>
    </w:lvl>
    <w:lvl w:ilvl="1">
      <w:start w:val="9"/>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48064D1A"/>
    <w:multiLevelType w:val="hybridMultilevel"/>
    <w:tmpl w:val="F586BB92"/>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nsid w:val="528A4890"/>
    <w:multiLevelType w:val="multilevel"/>
    <w:tmpl w:val="212E694A"/>
    <w:lvl w:ilvl="0">
      <w:start w:val="26"/>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768043C"/>
    <w:multiLevelType w:val="hybridMultilevel"/>
    <w:tmpl w:val="9B626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6C20E6"/>
    <w:multiLevelType w:val="hybridMultilevel"/>
    <w:tmpl w:val="A008FC14"/>
    <w:lvl w:ilvl="0" w:tplc="F38036C6">
      <w:start w:val="1"/>
      <w:numFmt w:val="bullet"/>
      <w:lvlText w:val=""/>
      <w:lvlJc w:val="left"/>
      <w:pPr>
        <w:ind w:left="1494" w:hanging="360"/>
      </w:pPr>
      <w:rPr>
        <w:rFonts w:ascii="Symbol" w:hAnsi="Symbol" w:hint="default"/>
        <w:sz w:val="20"/>
      </w:rPr>
    </w:lvl>
    <w:lvl w:ilvl="1" w:tplc="04090003" w:tentative="1">
      <w:start w:val="1"/>
      <w:numFmt w:val="bullet"/>
      <w:lvlText w:val="o"/>
      <w:lvlJc w:val="left"/>
      <w:pPr>
        <w:ind w:left="2214" w:hanging="360"/>
      </w:pPr>
      <w:rPr>
        <w:rFonts w:ascii="Courier New" w:hAnsi="Courier New" w:cs="Aria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Arial"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Arial"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59642D21"/>
    <w:multiLevelType w:val="hybridMultilevel"/>
    <w:tmpl w:val="35BA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B7E6B"/>
    <w:multiLevelType w:val="hybridMultilevel"/>
    <w:tmpl w:val="137E156E"/>
    <w:lvl w:ilvl="0" w:tplc="83A49FB4">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15CFA"/>
    <w:multiLevelType w:val="hybridMultilevel"/>
    <w:tmpl w:val="485E9A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5DD2120D"/>
    <w:multiLevelType w:val="multilevel"/>
    <w:tmpl w:val="B256FCD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842707"/>
    <w:multiLevelType w:val="multilevel"/>
    <w:tmpl w:val="FAB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A1EDD"/>
    <w:multiLevelType w:val="hybridMultilevel"/>
    <w:tmpl w:val="3C0289CA"/>
    <w:lvl w:ilvl="0" w:tplc="73CE434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64C34945"/>
    <w:multiLevelType w:val="multilevel"/>
    <w:tmpl w:val="59E28AAA"/>
    <w:lvl w:ilvl="0">
      <w:start w:val="16"/>
      <w:numFmt w:val="decimal"/>
      <w:lvlText w:val="%1"/>
      <w:lvlJc w:val="left"/>
      <w:pPr>
        <w:tabs>
          <w:tab w:val="num" w:pos="384"/>
        </w:tabs>
        <w:ind w:left="384" w:hanging="384"/>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7143EAF"/>
    <w:multiLevelType w:val="hybridMultilevel"/>
    <w:tmpl w:val="859AC33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82AFE"/>
    <w:multiLevelType w:val="hybridMultilevel"/>
    <w:tmpl w:val="3CC0EF2E"/>
    <w:lvl w:ilvl="0" w:tplc="0D5858EE">
      <w:start w:val="12"/>
      <w:numFmt w:val="bullet"/>
      <w:lvlText w:val="-"/>
      <w:lvlJc w:val="left"/>
      <w:pPr>
        <w:tabs>
          <w:tab w:val="num" w:pos="1143"/>
        </w:tabs>
        <w:ind w:left="1143" w:hanging="576"/>
      </w:pPr>
      <w:rPr>
        <w:rFonts w:ascii="Garamond" w:eastAsia="Times New Roman" w:hAnsi="Garamond" w:cs="Times New Roman" w:hint="default"/>
      </w:rPr>
    </w:lvl>
    <w:lvl w:ilvl="1" w:tplc="04090003" w:tentative="1">
      <w:start w:val="1"/>
      <w:numFmt w:val="bullet"/>
      <w:lvlText w:val="o"/>
      <w:lvlJc w:val="left"/>
      <w:pPr>
        <w:tabs>
          <w:tab w:val="num" w:pos="1647"/>
        </w:tabs>
        <w:ind w:left="1647" w:hanging="360"/>
      </w:pPr>
      <w:rPr>
        <w:rFonts w:ascii="Courier New" w:hAnsi="Courier New" w:cs="Symbol"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Symbol"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Symbol"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nsid w:val="6E935187"/>
    <w:multiLevelType w:val="hybridMultilevel"/>
    <w:tmpl w:val="1BC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440FA"/>
    <w:multiLevelType w:val="multilevel"/>
    <w:tmpl w:val="082CC884"/>
    <w:lvl w:ilvl="0">
      <w:start w:val="14"/>
      <w:numFmt w:val="decimal"/>
      <w:lvlText w:val="%1"/>
      <w:lvlJc w:val="left"/>
      <w:pPr>
        <w:tabs>
          <w:tab w:val="num" w:pos="495"/>
        </w:tabs>
        <w:ind w:left="495" w:hanging="495"/>
      </w:pPr>
    </w:lvl>
    <w:lvl w:ilvl="1">
      <w:start w:val="5"/>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nsid w:val="73001EA3"/>
    <w:multiLevelType w:val="hybridMultilevel"/>
    <w:tmpl w:val="5470B1F4"/>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115637"/>
    <w:multiLevelType w:val="hybridMultilevel"/>
    <w:tmpl w:val="12767A9A"/>
    <w:lvl w:ilvl="0" w:tplc="CB481C54">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7E3B665A"/>
    <w:multiLevelType w:val="multilevel"/>
    <w:tmpl w:val="BF584558"/>
    <w:lvl w:ilvl="0">
      <w:start w:val="14"/>
      <w:numFmt w:val="decimal"/>
      <w:lvlText w:val="%1"/>
      <w:lvlJc w:val="left"/>
      <w:pPr>
        <w:tabs>
          <w:tab w:val="num" w:pos="600"/>
        </w:tabs>
        <w:ind w:left="600" w:hanging="600"/>
      </w:pPr>
    </w:lvl>
    <w:lvl w:ilvl="1">
      <w:start w:val="15"/>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42"/>
  </w:num>
  <w:num w:numId="2">
    <w:abstractNumId w:val="21"/>
  </w:num>
  <w:num w:numId="3">
    <w:abstractNumId w:val="24"/>
  </w:num>
  <w:num w:numId="4">
    <w:abstractNumId w:val="16"/>
  </w:num>
  <w:num w:numId="5">
    <w:abstractNumId w:val="33"/>
  </w:num>
  <w:num w:numId="6">
    <w:abstractNumId w:val="39"/>
  </w:num>
  <w:num w:numId="7">
    <w:abstractNumId w:val="9"/>
  </w:num>
  <w:num w:numId="8">
    <w:abstractNumId w:val="7"/>
  </w:num>
  <w:num w:numId="9">
    <w:abstractNumId w:val="15"/>
  </w:num>
  <w:num w:numId="10">
    <w:abstractNumId w:val="4"/>
  </w:num>
  <w:num w:numId="11">
    <w:abstractNumId w:val="37"/>
  </w:num>
  <w:num w:numId="12">
    <w:abstractNumId w:val="43"/>
  </w:num>
  <w:num w:numId="13">
    <w:abstractNumId w:val="8"/>
  </w:num>
  <w:num w:numId="14">
    <w:abstractNumId w:val="6"/>
  </w:num>
  <w:num w:numId="15">
    <w:abstractNumId w:val="17"/>
  </w:num>
  <w:num w:numId="16">
    <w:abstractNumId w:val="36"/>
  </w:num>
  <w:num w:numId="17">
    <w:abstractNumId w:val="27"/>
  </w:num>
  <w:num w:numId="18">
    <w:abstractNumId w:val="4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
  </w:num>
  <w:num w:numId="27">
    <w:abstractNumId w:val="34"/>
  </w:num>
  <w:num w:numId="28">
    <w:abstractNumId w:val="12"/>
  </w:num>
  <w:num w:numId="29">
    <w:abstractNumId w:val="18"/>
  </w:num>
  <w:num w:numId="30">
    <w:abstractNumId w:val="14"/>
  </w:num>
  <w:num w:numId="31">
    <w:abstractNumId w:val="30"/>
  </w:num>
  <w:num w:numId="32">
    <w:abstractNumId w:val="19"/>
  </w:num>
  <w:num w:numId="33">
    <w:abstractNumId w:val="35"/>
  </w:num>
  <w:num w:numId="34">
    <w:abstractNumId w:val="22"/>
  </w:num>
  <w:num w:numId="35">
    <w:abstractNumId w:val="0"/>
  </w:num>
  <w:num w:numId="36">
    <w:abstractNumId w:val="10"/>
  </w:num>
  <w:num w:numId="37">
    <w:abstractNumId w:val="40"/>
  </w:num>
  <w:num w:numId="38">
    <w:abstractNumId w:val="23"/>
  </w:num>
  <w:num w:numId="39">
    <w:abstractNumId w:val="31"/>
  </w:num>
  <w:num w:numId="40">
    <w:abstractNumId w:val="11"/>
  </w:num>
  <w:num w:numId="41">
    <w:abstractNumId w:val="29"/>
  </w:num>
  <w:num w:numId="42">
    <w:abstractNumId w:val="28"/>
  </w:num>
  <w:num w:numId="43">
    <w:abstractNumId w:val="32"/>
  </w:num>
  <w:num w:numId="44">
    <w:abstractNumId w:val="2"/>
  </w:num>
  <w:num w:numId="45">
    <w:abstractNumId w:val="3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D9D"/>
    <w:rsid w:val="000037A8"/>
    <w:rsid w:val="00004FD1"/>
    <w:rsid w:val="00006AED"/>
    <w:rsid w:val="0002556B"/>
    <w:rsid w:val="000334A3"/>
    <w:rsid w:val="00044588"/>
    <w:rsid w:val="00055B73"/>
    <w:rsid w:val="000A30EF"/>
    <w:rsid w:val="000A7157"/>
    <w:rsid w:val="000A7CDB"/>
    <w:rsid w:val="000B26D3"/>
    <w:rsid w:val="000C3E5D"/>
    <w:rsid w:val="000F729D"/>
    <w:rsid w:val="0010113F"/>
    <w:rsid w:val="00107AD4"/>
    <w:rsid w:val="00133C00"/>
    <w:rsid w:val="00150DBB"/>
    <w:rsid w:val="0015666F"/>
    <w:rsid w:val="001667B3"/>
    <w:rsid w:val="00167933"/>
    <w:rsid w:val="001923A5"/>
    <w:rsid w:val="0019401F"/>
    <w:rsid w:val="001C7D04"/>
    <w:rsid w:val="001D03B1"/>
    <w:rsid w:val="001E78AC"/>
    <w:rsid w:val="001F24FA"/>
    <w:rsid w:val="00204E8C"/>
    <w:rsid w:val="00211D5E"/>
    <w:rsid w:val="00223492"/>
    <w:rsid w:val="00235D06"/>
    <w:rsid w:val="00241FA1"/>
    <w:rsid w:val="002521E9"/>
    <w:rsid w:val="0025756D"/>
    <w:rsid w:val="002604E6"/>
    <w:rsid w:val="00260AF4"/>
    <w:rsid w:val="00262C9D"/>
    <w:rsid w:val="00285449"/>
    <w:rsid w:val="00290A83"/>
    <w:rsid w:val="002B2B86"/>
    <w:rsid w:val="002D0441"/>
    <w:rsid w:val="002E257F"/>
    <w:rsid w:val="002E3881"/>
    <w:rsid w:val="002E73A8"/>
    <w:rsid w:val="00307203"/>
    <w:rsid w:val="00314C1E"/>
    <w:rsid w:val="00370EDC"/>
    <w:rsid w:val="00391E0E"/>
    <w:rsid w:val="00393420"/>
    <w:rsid w:val="003A3265"/>
    <w:rsid w:val="003B7B1C"/>
    <w:rsid w:val="003C6AAA"/>
    <w:rsid w:val="003E3C96"/>
    <w:rsid w:val="003F309D"/>
    <w:rsid w:val="003F7A3B"/>
    <w:rsid w:val="00427F1F"/>
    <w:rsid w:val="004431CD"/>
    <w:rsid w:val="00444AF0"/>
    <w:rsid w:val="00462401"/>
    <w:rsid w:val="004658B9"/>
    <w:rsid w:val="004750CC"/>
    <w:rsid w:val="00494E10"/>
    <w:rsid w:val="00495BDD"/>
    <w:rsid w:val="00496282"/>
    <w:rsid w:val="004E33DC"/>
    <w:rsid w:val="005100CD"/>
    <w:rsid w:val="00520248"/>
    <w:rsid w:val="00537DC2"/>
    <w:rsid w:val="005410BE"/>
    <w:rsid w:val="00554FED"/>
    <w:rsid w:val="005A05B9"/>
    <w:rsid w:val="005C1815"/>
    <w:rsid w:val="005F2612"/>
    <w:rsid w:val="005F560E"/>
    <w:rsid w:val="005F6979"/>
    <w:rsid w:val="006018B5"/>
    <w:rsid w:val="00607E86"/>
    <w:rsid w:val="00613FCE"/>
    <w:rsid w:val="0062018C"/>
    <w:rsid w:val="00641C7B"/>
    <w:rsid w:val="00667479"/>
    <w:rsid w:val="006740B2"/>
    <w:rsid w:val="00684539"/>
    <w:rsid w:val="0069724F"/>
    <w:rsid w:val="006979B1"/>
    <w:rsid w:val="006B5AD8"/>
    <w:rsid w:val="006F53E8"/>
    <w:rsid w:val="0070040D"/>
    <w:rsid w:val="0072177A"/>
    <w:rsid w:val="007242AE"/>
    <w:rsid w:val="00726B60"/>
    <w:rsid w:val="0073092B"/>
    <w:rsid w:val="0075705E"/>
    <w:rsid w:val="007654CB"/>
    <w:rsid w:val="00766996"/>
    <w:rsid w:val="00770B39"/>
    <w:rsid w:val="00771A59"/>
    <w:rsid w:val="007826E0"/>
    <w:rsid w:val="00792244"/>
    <w:rsid w:val="00795C84"/>
    <w:rsid w:val="007B728C"/>
    <w:rsid w:val="007B7C95"/>
    <w:rsid w:val="007C5B75"/>
    <w:rsid w:val="007E1DC6"/>
    <w:rsid w:val="007E4D5D"/>
    <w:rsid w:val="007F00A9"/>
    <w:rsid w:val="007F2E09"/>
    <w:rsid w:val="00811D49"/>
    <w:rsid w:val="00812D10"/>
    <w:rsid w:val="00856D0E"/>
    <w:rsid w:val="00866C39"/>
    <w:rsid w:val="00876450"/>
    <w:rsid w:val="00882A11"/>
    <w:rsid w:val="008B2880"/>
    <w:rsid w:val="008C40C7"/>
    <w:rsid w:val="008D6FBA"/>
    <w:rsid w:val="008E3EAD"/>
    <w:rsid w:val="008E5000"/>
    <w:rsid w:val="00920234"/>
    <w:rsid w:val="0094312C"/>
    <w:rsid w:val="00945D26"/>
    <w:rsid w:val="00950216"/>
    <w:rsid w:val="00964BCB"/>
    <w:rsid w:val="009773EC"/>
    <w:rsid w:val="009832C2"/>
    <w:rsid w:val="00990872"/>
    <w:rsid w:val="009A5BF0"/>
    <w:rsid w:val="009B1070"/>
    <w:rsid w:val="00A072F1"/>
    <w:rsid w:val="00A14A5A"/>
    <w:rsid w:val="00A5446F"/>
    <w:rsid w:val="00A7416E"/>
    <w:rsid w:val="00A86E76"/>
    <w:rsid w:val="00A91525"/>
    <w:rsid w:val="00AA1F6B"/>
    <w:rsid w:val="00AA4A7C"/>
    <w:rsid w:val="00AA5278"/>
    <w:rsid w:val="00AA66B9"/>
    <w:rsid w:val="00AD067B"/>
    <w:rsid w:val="00AD3D9E"/>
    <w:rsid w:val="00AE6E7B"/>
    <w:rsid w:val="00AF520E"/>
    <w:rsid w:val="00B306C4"/>
    <w:rsid w:val="00B40201"/>
    <w:rsid w:val="00B44A64"/>
    <w:rsid w:val="00B469E0"/>
    <w:rsid w:val="00B51787"/>
    <w:rsid w:val="00B6362D"/>
    <w:rsid w:val="00B6767E"/>
    <w:rsid w:val="00BA1BFB"/>
    <w:rsid w:val="00BC697D"/>
    <w:rsid w:val="00BD4BC8"/>
    <w:rsid w:val="00BF2CA4"/>
    <w:rsid w:val="00C0756D"/>
    <w:rsid w:val="00C160EF"/>
    <w:rsid w:val="00C24E73"/>
    <w:rsid w:val="00C31D14"/>
    <w:rsid w:val="00C34133"/>
    <w:rsid w:val="00C37DBB"/>
    <w:rsid w:val="00C60110"/>
    <w:rsid w:val="00C84686"/>
    <w:rsid w:val="00C87DC0"/>
    <w:rsid w:val="00C94FA8"/>
    <w:rsid w:val="00CA0CD7"/>
    <w:rsid w:val="00CA2889"/>
    <w:rsid w:val="00D12369"/>
    <w:rsid w:val="00D20DBE"/>
    <w:rsid w:val="00D2373F"/>
    <w:rsid w:val="00D628EC"/>
    <w:rsid w:val="00D93924"/>
    <w:rsid w:val="00DA678C"/>
    <w:rsid w:val="00DB7369"/>
    <w:rsid w:val="00DC3520"/>
    <w:rsid w:val="00DC7529"/>
    <w:rsid w:val="00DD29C8"/>
    <w:rsid w:val="00DD57E4"/>
    <w:rsid w:val="00DF4E55"/>
    <w:rsid w:val="00E10E30"/>
    <w:rsid w:val="00E12DD0"/>
    <w:rsid w:val="00E223AA"/>
    <w:rsid w:val="00E24952"/>
    <w:rsid w:val="00E33904"/>
    <w:rsid w:val="00E60DC9"/>
    <w:rsid w:val="00E7310F"/>
    <w:rsid w:val="00EA549C"/>
    <w:rsid w:val="00EB63F1"/>
    <w:rsid w:val="00ED12DF"/>
    <w:rsid w:val="00ED3823"/>
    <w:rsid w:val="00ED7B50"/>
    <w:rsid w:val="00F13FED"/>
    <w:rsid w:val="00F36482"/>
    <w:rsid w:val="00F4142F"/>
    <w:rsid w:val="00F538E8"/>
    <w:rsid w:val="00F7129C"/>
    <w:rsid w:val="00F80621"/>
    <w:rsid w:val="00F841FC"/>
    <w:rsid w:val="00FB72DE"/>
    <w:rsid w:val="00FE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4A"/>
    <w:rPr>
      <w:sz w:val="24"/>
      <w:szCs w:val="24"/>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sz w:val="24"/>
      <w:szCs w:val="24"/>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sz w:val="24"/>
      <w:szCs w:val="24"/>
      <w:lang w:val="en-US" w:eastAsia="en-US"/>
    </w:rPr>
  </w:style>
  <w:style w:type="paragraph" w:styleId="Revision">
    <w:name w:val="Revision"/>
    <w:hidden/>
    <w:uiPriority w:val="99"/>
    <w:semiHidden/>
    <w:rsid w:val="007242AE"/>
    <w:rPr>
      <w:sz w:val="24"/>
      <w:szCs w:val="24"/>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4A"/>
    <w:rPr>
      <w:sz w:val="24"/>
      <w:szCs w:val="24"/>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sz w:val="24"/>
      <w:szCs w:val="24"/>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sz w:val="24"/>
      <w:szCs w:val="24"/>
      <w:lang w:val="en-US" w:eastAsia="en-US"/>
    </w:rPr>
  </w:style>
  <w:style w:type="paragraph" w:styleId="Revision">
    <w:name w:val="Revision"/>
    <w:hidden/>
    <w:uiPriority w:val="99"/>
    <w:semiHidden/>
    <w:rsid w:val="007242AE"/>
    <w:rPr>
      <w:sz w:val="24"/>
      <w:szCs w:val="24"/>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290">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17009150">
      <w:bodyDiv w:val="1"/>
      <w:marLeft w:val="0"/>
      <w:marRight w:val="0"/>
      <w:marTop w:val="0"/>
      <w:marBottom w:val="0"/>
      <w:divBdr>
        <w:top w:val="none" w:sz="0" w:space="0" w:color="auto"/>
        <w:left w:val="none" w:sz="0" w:space="0" w:color="auto"/>
        <w:bottom w:val="none" w:sz="0" w:space="0" w:color="auto"/>
        <w:right w:val="none" w:sz="0" w:space="0" w:color="auto"/>
      </w:divBdr>
    </w:div>
    <w:div w:id="264307518">
      <w:bodyDiv w:val="1"/>
      <w:marLeft w:val="0"/>
      <w:marRight w:val="0"/>
      <w:marTop w:val="0"/>
      <w:marBottom w:val="0"/>
      <w:divBdr>
        <w:top w:val="none" w:sz="0" w:space="0" w:color="auto"/>
        <w:left w:val="none" w:sz="0" w:space="0" w:color="auto"/>
        <w:bottom w:val="none" w:sz="0" w:space="0" w:color="auto"/>
        <w:right w:val="none" w:sz="0" w:space="0" w:color="auto"/>
      </w:divBdr>
    </w:div>
    <w:div w:id="281348213">
      <w:bodyDiv w:val="1"/>
      <w:marLeft w:val="0"/>
      <w:marRight w:val="0"/>
      <w:marTop w:val="0"/>
      <w:marBottom w:val="0"/>
      <w:divBdr>
        <w:top w:val="none" w:sz="0" w:space="0" w:color="auto"/>
        <w:left w:val="none" w:sz="0" w:space="0" w:color="auto"/>
        <w:bottom w:val="none" w:sz="0" w:space="0" w:color="auto"/>
        <w:right w:val="none" w:sz="0" w:space="0" w:color="auto"/>
      </w:divBdr>
    </w:div>
    <w:div w:id="282543176">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65181108">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10590676">
      <w:bodyDiv w:val="1"/>
      <w:marLeft w:val="0"/>
      <w:marRight w:val="0"/>
      <w:marTop w:val="0"/>
      <w:marBottom w:val="0"/>
      <w:divBdr>
        <w:top w:val="none" w:sz="0" w:space="0" w:color="auto"/>
        <w:left w:val="none" w:sz="0" w:space="0" w:color="auto"/>
        <w:bottom w:val="none" w:sz="0" w:space="0" w:color="auto"/>
        <w:right w:val="none" w:sz="0" w:space="0" w:color="auto"/>
      </w:divBdr>
    </w:div>
    <w:div w:id="430593577">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522549165">
      <w:bodyDiv w:val="1"/>
      <w:marLeft w:val="0"/>
      <w:marRight w:val="0"/>
      <w:marTop w:val="0"/>
      <w:marBottom w:val="0"/>
      <w:divBdr>
        <w:top w:val="none" w:sz="0" w:space="0" w:color="auto"/>
        <w:left w:val="none" w:sz="0" w:space="0" w:color="auto"/>
        <w:bottom w:val="none" w:sz="0" w:space="0" w:color="auto"/>
        <w:right w:val="none" w:sz="0" w:space="0" w:color="auto"/>
      </w:divBdr>
    </w:div>
    <w:div w:id="557086509">
      <w:bodyDiv w:val="1"/>
      <w:marLeft w:val="0"/>
      <w:marRight w:val="0"/>
      <w:marTop w:val="0"/>
      <w:marBottom w:val="0"/>
      <w:divBdr>
        <w:top w:val="none" w:sz="0" w:space="0" w:color="auto"/>
        <w:left w:val="none" w:sz="0" w:space="0" w:color="auto"/>
        <w:bottom w:val="none" w:sz="0" w:space="0" w:color="auto"/>
        <w:right w:val="none" w:sz="0" w:space="0" w:color="auto"/>
      </w:divBdr>
    </w:div>
    <w:div w:id="573515209">
      <w:bodyDiv w:val="1"/>
      <w:marLeft w:val="0"/>
      <w:marRight w:val="0"/>
      <w:marTop w:val="0"/>
      <w:marBottom w:val="0"/>
      <w:divBdr>
        <w:top w:val="none" w:sz="0" w:space="0" w:color="auto"/>
        <w:left w:val="none" w:sz="0" w:space="0" w:color="auto"/>
        <w:bottom w:val="none" w:sz="0" w:space="0" w:color="auto"/>
        <w:right w:val="none" w:sz="0" w:space="0" w:color="auto"/>
      </w:divBdr>
    </w:div>
    <w:div w:id="581333202">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30794511">
      <w:bodyDiv w:val="1"/>
      <w:marLeft w:val="0"/>
      <w:marRight w:val="0"/>
      <w:marTop w:val="0"/>
      <w:marBottom w:val="0"/>
      <w:divBdr>
        <w:top w:val="none" w:sz="0" w:space="0" w:color="auto"/>
        <w:left w:val="none" w:sz="0" w:space="0" w:color="auto"/>
        <w:bottom w:val="none" w:sz="0" w:space="0" w:color="auto"/>
        <w:right w:val="none" w:sz="0" w:space="0" w:color="auto"/>
      </w:divBdr>
    </w:div>
    <w:div w:id="655492615">
      <w:bodyDiv w:val="1"/>
      <w:marLeft w:val="0"/>
      <w:marRight w:val="0"/>
      <w:marTop w:val="0"/>
      <w:marBottom w:val="0"/>
      <w:divBdr>
        <w:top w:val="none" w:sz="0" w:space="0" w:color="auto"/>
        <w:left w:val="none" w:sz="0" w:space="0" w:color="auto"/>
        <w:bottom w:val="none" w:sz="0" w:space="0" w:color="auto"/>
        <w:right w:val="none" w:sz="0" w:space="0" w:color="auto"/>
      </w:divBdr>
    </w:div>
    <w:div w:id="676929600">
      <w:bodyDiv w:val="1"/>
      <w:marLeft w:val="0"/>
      <w:marRight w:val="0"/>
      <w:marTop w:val="0"/>
      <w:marBottom w:val="0"/>
      <w:divBdr>
        <w:top w:val="none" w:sz="0" w:space="0" w:color="auto"/>
        <w:left w:val="none" w:sz="0" w:space="0" w:color="auto"/>
        <w:bottom w:val="none" w:sz="0" w:space="0" w:color="auto"/>
        <w:right w:val="none" w:sz="0" w:space="0" w:color="auto"/>
      </w:divBdr>
    </w:div>
    <w:div w:id="697124263">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812991381">
      <w:bodyDiv w:val="1"/>
      <w:marLeft w:val="0"/>
      <w:marRight w:val="0"/>
      <w:marTop w:val="0"/>
      <w:marBottom w:val="0"/>
      <w:divBdr>
        <w:top w:val="none" w:sz="0" w:space="0" w:color="auto"/>
        <w:left w:val="none" w:sz="0" w:space="0" w:color="auto"/>
        <w:bottom w:val="none" w:sz="0" w:space="0" w:color="auto"/>
        <w:right w:val="none" w:sz="0" w:space="0" w:color="auto"/>
      </w:divBdr>
    </w:div>
    <w:div w:id="867986603">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47008464">
      <w:bodyDiv w:val="1"/>
      <w:marLeft w:val="0"/>
      <w:marRight w:val="0"/>
      <w:marTop w:val="0"/>
      <w:marBottom w:val="0"/>
      <w:divBdr>
        <w:top w:val="none" w:sz="0" w:space="0" w:color="auto"/>
        <w:left w:val="none" w:sz="0" w:space="0" w:color="auto"/>
        <w:bottom w:val="none" w:sz="0" w:space="0" w:color="auto"/>
        <w:right w:val="none" w:sz="0" w:space="0" w:color="auto"/>
      </w:divBdr>
    </w:div>
    <w:div w:id="958605121">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8001293">
      <w:bodyDiv w:val="1"/>
      <w:marLeft w:val="0"/>
      <w:marRight w:val="0"/>
      <w:marTop w:val="0"/>
      <w:marBottom w:val="0"/>
      <w:divBdr>
        <w:top w:val="none" w:sz="0" w:space="0" w:color="auto"/>
        <w:left w:val="none" w:sz="0" w:space="0" w:color="auto"/>
        <w:bottom w:val="none" w:sz="0" w:space="0" w:color="auto"/>
        <w:right w:val="none" w:sz="0" w:space="0" w:color="auto"/>
      </w:divBdr>
    </w:div>
    <w:div w:id="1028141021">
      <w:bodyDiv w:val="1"/>
      <w:marLeft w:val="0"/>
      <w:marRight w:val="0"/>
      <w:marTop w:val="0"/>
      <w:marBottom w:val="0"/>
      <w:divBdr>
        <w:top w:val="none" w:sz="0" w:space="0" w:color="auto"/>
        <w:left w:val="none" w:sz="0" w:space="0" w:color="auto"/>
        <w:bottom w:val="none" w:sz="0" w:space="0" w:color="auto"/>
        <w:right w:val="none" w:sz="0" w:space="0" w:color="auto"/>
      </w:divBdr>
    </w:div>
    <w:div w:id="1068303164">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23512328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7423137">
      <w:bodyDiv w:val="1"/>
      <w:marLeft w:val="0"/>
      <w:marRight w:val="0"/>
      <w:marTop w:val="0"/>
      <w:marBottom w:val="0"/>
      <w:divBdr>
        <w:top w:val="none" w:sz="0" w:space="0" w:color="auto"/>
        <w:left w:val="none" w:sz="0" w:space="0" w:color="auto"/>
        <w:bottom w:val="none" w:sz="0" w:space="0" w:color="auto"/>
        <w:right w:val="none" w:sz="0" w:space="0" w:color="auto"/>
      </w:divBdr>
    </w:div>
    <w:div w:id="1268544948">
      <w:bodyDiv w:val="1"/>
      <w:marLeft w:val="0"/>
      <w:marRight w:val="0"/>
      <w:marTop w:val="0"/>
      <w:marBottom w:val="0"/>
      <w:divBdr>
        <w:top w:val="none" w:sz="0" w:space="0" w:color="auto"/>
        <w:left w:val="none" w:sz="0" w:space="0" w:color="auto"/>
        <w:bottom w:val="none" w:sz="0" w:space="0" w:color="auto"/>
        <w:right w:val="none" w:sz="0" w:space="0" w:color="auto"/>
      </w:divBdr>
    </w:div>
    <w:div w:id="1302150161">
      <w:bodyDiv w:val="1"/>
      <w:marLeft w:val="0"/>
      <w:marRight w:val="0"/>
      <w:marTop w:val="0"/>
      <w:marBottom w:val="0"/>
      <w:divBdr>
        <w:top w:val="none" w:sz="0" w:space="0" w:color="auto"/>
        <w:left w:val="none" w:sz="0" w:space="0" w:color="auto"/>
        <w:bottom w:val="none" w:sz="0" w:space="0" w:color="auto"/>
        <w:right w:val="none" w:sz="0" w:space="0" w:color="auto"/>
      </w:divBdr>
    </w:div>
    <w:div w:id="1307588712">
      <w:bodyDiv w:val="1"/>
      <w:marLeft w:val="0"/>
      <w:marRight w:val="0"/>
      <w:marTop w:val="0"/>
      <w:marBottom w:val="0"/>
      <w:divBdr>
        <w:top w:val="none" w:sz="0" w:space="0" w:color="auto"/>
        <w:left w:val="none" w:sz="0" w:space="0" w:color="auto"/>
        <w:bottom w:val="none" w:sz="0" w:space="0" w:color="auto"/>
        <w:right w:val="none" w:sz="0" w:space="0" w:color="auto"/>
      </w:divBdr>
    </w:div>
    <w:div w:id="1308587521">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025853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356228259">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487746370">
      <w:bodyDiv w:val="1"/>
      <w:marLeft w:val="0"/>
      <w:marRight w:val="0"/>
      <w:marTop w:val="0"/>
      <w:marBottom w:val="0"/>
      <w:divBdr>
        <w:top w:val="none" w:sz="0" w:space="0" w:color="auto"/>
        <w:left w:val="none" w:sz="0" w:space="0" w:color="auto"/>
        <w:bottom w:val="none" w:sz="0" w:space="0" w:color="auto"/>
        <w:right w:val="none" w:sz="0" w:space="0" w:color="auto"/>
      </w:divBdr>
    </w:div>
    <w:div w:id="1519150281">
      <w:bodyDiv w:val="1"/>
      <w:marLeft w:val="0"/>
      <w:marRight w:val="0"/>
      <w:marTop w:val="0"/>
      <w:marBottom w:val="0"/>
      <w:divBdr>
        <w:top w:val="none" w:sz="0" w:space="0" w:color="auto"/>
        <w:left w:val="none" w:sz="0" w:space="0" w:color="auto"/>
        <w:bottom w:val="none" w:sz="0" w:space="0" w:color="auto"/>
        <w:right w:val="none" w:sz="0" w:space="0" w:color="auto"/>
      </w:divBdr>
    </w:div>
    <w:div w:id="1601717442">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4230679">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55930457">
      <w:bodyDiv w:val="1"/>
      <w:marLeft w:val="0"/>
      <w:marRight w:val="0"/>
      <w:marTop w:val="0"/>
      <w:marBottom w:val="0"/>
      <w:divBdr>
        <w:top w:val="none" w:sz="0" w:space="0" w:color="auto"/>
        <w:left w:val="none" w:sz="0" w:space="0" w:color="auto"/>
        <w:bottom w:val="none" w:sz="0" w:space="0" w:color="auto"/>
        <w:right w:val="none" w:sz="0" w:space="0" w:color="auto"/>
      </w:divBdr>
    </w:div>
    <w:div w:id="1888178797">
      <w:bodyDiv w:val="1"/>
      <w:marLeft w:val="0"/>
      <w:marRight w:val="0"/>
      <w:marTop w:val="0"/>
      <w:marBottom w:val="0"/>
      <w:divBdr>
        <w:top w:val="none" w:sz="0" w:space="0" w:color="auto"/>
        <w:left w:val="none" w:sz="0" w:space="0" w:color="auto"/>
        <w:bottom w:val="none" w:sz="0" w:space="0" w:color="auto"/>
        <w:right w:val="none" w:sz="0" w:space="0" w:color="auto"/>
      </w:divBdr>
    </w:div>
    <w:div w:id="1896157825">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3169484">
      <w:bodyDiv w:val="1"/>
      <w:marLeft w:val="0"/>
      <w:marRight w:val="0"/>
      <w:marTop w:val="0"/>
      <w:marBottom w:val="0"/>
      <w:divBdr>
        <w:top w:val="none" w:sz="0" w:space="0" w:color="auto"/>
        <w:left w:val="none" w:sz="0" w:space="0" w:color="auto"/>
        <w:bottom w:val="none" w:sz="0" w:space="0" w:color="auto"/>
        <w:right w:val="none" w:sz="0" w:space="0" w:color="auto"/>
      </w:divBdr>
    </w:div>
    <w:div w:id="2028865395">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 w:id="2142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4CC2E-1876-40C5-9A06-B2CFEA08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5484</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Memorandum of Understanding</vt:lpstr>
      <vt:lpstr>Memorandum of Understanding</vt:lpstr>
    </vt:vector>
  </TitlesOfParts>
  <Company>IUCN</Company>
  <LinksUpToDate>false</LinksUpToDate>
  <CharactersWithSpaces>6433</CharactersWithSpaces>
  <SharedDoc>false</SharedDoc>
  <HLinks>
    <vt:vector size="6" baseType="variant">
      <vt:variant>
        <vt:i4>2949183</vt:i4>
      </vt:variant>
      <vt:variant>
        <vt:i4>3</vt:i4>
      </vt:variant>
      <vt:variant>
        <vt:i4>0</vt:i4>
      </vt:variant>
      <vt:variant>
        <vt:i4>5</vt:i4>
      </vt:variant>
      <vt:variant>
        <vt:lpwstr>http://apps.who.int/gb/fctc/PDF/cop5/FCTC_COP5_21-en.pdf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Marsel Kuzyakov</dc:creator>
  <cp:lastModifiedBy>Ramsar\JenningsE</cp:lastModifiedBy>
  <cp:revision>2</cp:revision>
  <cp:lastPrinted>2016-03-10T10:05:00Z</cp:lastPrinted>
  <dcterms:created xsi:type="dcterms:W3CDTF">2016-03-14T15:24:00Z</dcterms:created>
  <dcterms:modified xsi:type="dcterms:W3CDTF">2016-03-14T15:24:00Z</dcterms:modified>
</cp:coreProperties>
</file>