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D3" w:rsidRPr="00684539" w:rsidRDefault="000B26D3" w:rsidP="000B26D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</w:rPr>
      </w:pPr>
      <w:bookmarkStart w:id="0" w:name="OLE_LINK1"/>
      <w:r w:rsidRPr="00684539">
        <w:rPr>
          <w:rFonts w:ascii="Calibri" w:hAnsi="Calibri"/>
          <w:bCs/>
        </w:rPr>
        <w:t>CONVENTION ON WETLANDS (Ramsar, Iran, 1971)</w:t>
      </w:r>
    </w:p>
    <w:p w:rsidR="000B26D3" w:rsidRPr="00684539" w:rsidRDefault="005100CD" w:rsidP="000B26D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</w:rPr>
      </w:pPr>
      <w:r>
        <w:rPr>
          <w:rFonts w:ascii="Calibri" w:hAnsi="Calibri"/>
          <w:bCs/>
        </w:rPr>
        <w:t>52</w:t>
      </w:r>
      <w:r w:rsidRPr="005100CD">
        <w:rPr>
          <w:rFonts w:ascii="Calibri" w:hAnsi="Calibri"/>
          <w:bCs/>
          <w:vertAlign w:val="superscript"/>
        </w:rPr>
        <w:t>nd</w:t>
      </w:r>
      <w:r>
        <w:rPr>
          <w:rFonts w:ascii="Calibri" w:hAnsi="Calibri"/>
          <w:bCs/>
        </w:rPr>
        <w:t xml:space="preserve"> </w:t>
      </w:r>
      <w:r w:rsidR="000B26D3" w:rsidRPr="00684539">
        <w:rPr>
          <w:rFonts w:ascii="Calibri" w:hAnsi="Calibri"/>
          <w:bCs/>
        </w:rPr>
        <w:t>Meeting of the Standing Committee</w:t>
      </w:r>
    </w:p>
    <w:p w:rsidR="000B26D3" w:rsidRPr="00684539" w:rsidRDefault="000B26D3" w:rsidP="000B26D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</w:rPr>
      </w:pPr>
      <w:r w:rsidRPr="00684539">
        <w:rPr>
          <w:rFonts w:ascii="Calibri" w:hAnsi="Calibri"/>
          <w:bCs/>
        </w:rPr>
        <w:t xml:space="preserve">Gland, Switzerland, </w:t>
      </w:r>
      <w:r w:rsidR="00DD29C8">
        <w:rPr>
          <w:rFonts w:ascii="Calibri" w:hAnsi="Calibri"/>
          <w:bCs/>
        </w:rPr>
        <w:t>13</w:t>
      </w:r>
      <w:r w:rsidR="00866C39">
        <w:rPr>
          <w:rFonts w:ascii="Calibri" w:hAnsi="Calibri"/>
          <w:bCs/>
        </w:rPr>
        <w:t>-</w:t>
      </w:r>
      <w:r w:rsidR="00DD29C8">
        <w:rPr>
          <w:rFonts w:ascii="Calibri" w:hAnsi="Calibri"/>
          <w:bCs/>
        </w:rPr>
        <w:t>1</w:t>
      </w:r>
      <w:r w:rsidR="00BF2CA4">
        <w:rPr>
          <w:rFonts w:ascii="Calibri" w:hAnsi="Calibri"/>
          <w:bCs/>
        </w:rPr>
        <w:t xml:space="preserve">7 </w:t>
      </w:r>
      <w:r w:rsidR="00DD29C8">
        <w:rPr>
          <w:rFonts w:ascii="Calibri" w:hAnsi="Calibri"/>
          <w:bCs/>
        </w:rPr>
        <w:t>June 2016</w:t>
      </w:r>
    </w:p>
    <w:p w:rsidR="000B26D3" w:rsidRPr="00C31D14" w:rsidRDefault="000B26D3" w:rsidP="000B26D3">
      <w:pPr>
        <w:keepNext/>
        <w:suppressAutoHyphens/>
        <w:outlineLvl w:val="0"/>
        <w:rPr>
          <w:rFonts w:ascii="Calibri" w:hAnsi="Calibri"/>
          <w:b/>
          <w:sz w:val="28"/>
          <w:szCs w:val="28"/>
        </w:rPr>
      </w:pPr>
    </w:p>
    <w:p w:rsidR="000B26D3" w:rsidRPr="00C31D14" w:rsidRDefault="000B26D3" w:rsidP="000B26D3">
      <w:pPr>
        <w:keepNext/>
        <w:suppressAutoHyphens/>
        <w:jc w:val="right"/>
        <w:outlineLvl w:val="0"/>
        <w:rPr>
          <w:rFonts w:ascii="Calibri" w:hAnsi="Calibri"/>
          <w:b/>
          <w:sz w:val="28"/>
          <w:szCs w:val="28"/>
        </w:rPr>
      </w:pPr>
      <w:r w:rsidRPr="00C31D14">
        <w:rPr>
          <w:rFonts w:ascii="Calibri" w:hAnsi="Calibri"/>
          <w:b/>
          <w:sz w:val="28"/>
          <w:szCs w:val="28"/>
        </w:rPr>
        <w:t>SC</w:t>
      </w:r>
      <w:r w:rsidR="00BF2CA4" w:rsidRPr="00C31D14">
        <w:rPr>
          <w:rFonts w:ascii="Calibri" w:hAnsi="Calibri"/>
          <w:b/>
          <w:sz w:val="28"/>
          <w:szCs w:val="28"/>
        </w:rPr>
        <w:t>5</w:t>
      </w:r>
      <w:r w:rsidR="00241FA1" w:rsidRPr="00C31D14">
        <w:rPr>
          <w:rFonts w:ascii="Calibri" w:hAnsi="Calibri"/>
          <w:b/>
          <w:sz w:val="28"/>
          <w:szCs w:val="28"/>
        </w:rPr>
        <w:t>2</w:t>
      </w:r>
      <w:r w:rsidRPr="00C31D14">
        <w:rPr>
          <w:rFonts w:ascii="Calibri" w:hAnsi="Calibri"/>
          <w:b/>
          <w:sz w:val="28"/>
          <w:szCs w:val="28"/>
        </w:rPr>
        <w:t>-</w:t>
      </w:r>
      <w:r w:rsidR="00133C00" w:rsidRPr="00C31D14">
        <w:rPr>
          <w:rFonts w:ascii="Calibri" w:hAnsi="Calibri"/>
          <w:b/>
          <w:sz w:val="28"/>
          <w:szCs w:val="28"/>
        </w:rPr>
        <w:t>19</w:t>
      </w:r>
    </w:p>
    <w:bookmarkEnd w:id="0"/>
    <w:p w:rsidR="000B26D3" w:rsidRPr="00C31D14" w:rsidRDefault="000B26D3" w:rsidP="000B26D3">
      <w:pPr>
        <w:keepNext/>
        <w:suppressAutoHyphens/>
        <w:jc w:val="right"/>
        <w:outlineLvl w:val="0"/>
        <w:rPr>
          <w:rFonts w:ascii="Calibri" w:hAnsi="Calibri" w:cs="Calibri"/>
          <w:b/>
          <w:sz w:val="28"/>
          <w:szCs w:val="28"/>
        </w:rPr>
      </w:pPr>
    </w:p>
    <w:p w:rsidR="000B26D3" w:rsidRPr="00C31D14" w:rsidRDefault="000B26D3" w:rsidP="00684539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C31D14">
        <w:rPr>
          <w:rFonts w:ascii="Calibri" w:hAnsi="Calibri" w:cs="Calibri"/>
          <w:b/>
          <w:sz w:val="28"/>
          <w:szCs w:val="28"/>
          <w:lang w:val="en-GB"/>
        </w:rPr>
        <w:t>Contracting Parties with outstanding annual contributions</w:t>
      </w:r>
    </w:p>
    <w:p w:rsidR="000B26D3" w:rsidRPr="00C31D14" w:rsidRDefault="000B26D3" w:rsidP="000B26D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B26D3" w:rsidRDefault="000A30EF" w:rsidP="000B26D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noProof/>
          <w:szCs w:val="20"/>
          <w:lang w:val="en-GB" w:eastAsia="en-GB"/>
        </w:rPr>
        <mc:AlternateContent>
          <mc:Choice Requires="wps">
            <w:drawing>
              <wp:inline distT="0" distB="0" distL="0" distR="0" wp14:anchorId="6363FFDE" wp14:editId="0E5BE276">
                <wp:extent cx="5842635" cy="1735666"/>
                <wp:effectExtent l="0" t="0" r="24765" b="17145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173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56D" w:rsidRPr="00DF5A86" w:rsidRDefault="00C0756D" w:rsidP="000B26D3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F5A8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Actions requested: </w:t>
                            </w:r>
                          </w:p>
                          <w:p w:rsidR="00C0756D" w:rsidRDefault="00C0756D" w:rsidP="003B7B1C">
                            <w:pPr>
                              <w:pStyle w:val="ColorfulList-Accent11"/>
                              <w:spacing w:after="0" w:line="240" w:lineRule="auto"/>
                              <w:ind w:left="0"/>
                            </w:pPr>
                            <w:r w:rsidRPr="00DF5A86">
                              <w:t xml:space="preserve">The Standing Committee is </w:t>
                            </w:r>
                            <w:r w:rsidRPr="00DF5A86">
                              <w:rPr>
                                <w:rFonts w:cs="Calibri"/>
                              </w:rPr>
                              <w:t xml:space="preserve">invited to note the current status of </w:t>
                            </w:r>
                            <w:r w:rsidR="005100CD">
                              <w:rPr>
                                <w:rFonts w:cs="Calibri"/>
                              </w:rPr>
                              <w:t xml:space="preserve">Contracting </w:t>
                            </w:r>
                            <w:r w:rsidRPr="00DF5A86">
                              <w:rPr>
                                <w:rFonts w:cs="Calibri"/>
                              </w:rPr>
                              <w:t>Parties’ outst</w:t>
                            </w:r>
                            <w:r w:rsidR="00150DBB">
                              <w:rPr>
                                <w:rFonts w:cs="Calibri"/>
                              </w:rPr>
                              <w:t>anding annual contributions</w:t>
                            </w:r>
                            <w:r w:rsidR="005100CD">
                              <w:rPr>
                                <w:rFonts w:cs="Calibri"/>
                              </w:rPr>
                              <w:t xml:space="preserve">, and </w:t>
                            </w:r>
                            <w:r w:rsidR="00E12DD0">
                              <w:rPr>
                                <w:rFonts w:cs="Calibri"/>
                              </w:rPr>
                              <w:t xml:space="preserve">to approve the </w:t>
                            </w:r>
                            <w:r w:rsidRPr="00DF5A86">
                              <w:rPr>
                                <w:rFonts w:cs="Calibri"/>
                              </w:rPr>
                              <w:t xml:space="preserve">actions </w:t>
                            </w:r>
                            <w:r w:rsidR="00FE4BDA">
                              <w:rPr>
                                <w:rFonts w:cs="Calibri"/>
                              </w:rPr>
                              <w:t>proposed</w:t>
                            </w:r>
                            <w:r w:rsidRPr="00DF5A86">
                              <w:rPr>
                                <w:rFonts w:cs="Calibri"/>
                              </w:rPr>
                              <w:t xml:space="preserve"> by the Secretariat to </w:t>
                            </w:r>
                            <w:r w:rsidR="005100CD">
                              <w:rPr>
                                <w:rFonts w:cs="Calibri"/>
                              </w:rPr>
                              <w:t>encourage</w:t>
                            </w:r>
                            <w:r w:rsidR="005100CD" w:rsidRPr="00DF5A86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F5A86">
                              <w:rPr>
                                <w:rFonts w:cs="Calibri"/>
                              </w:rPr>
                              <w:t>the payment of arrears</w:t>
                            </w:r>
                            <w:r w:rsidR="00150DBB">
                              <w:t xml:space="preserve">, namely: </w:t>
                            </w:r>
                          </w:p>
                          <w:p w:rsidR="00150DBB" w:rsidRDefault="00150DBB" w:rsidP="00150DBB">
                            <w:pPr>
                              <w:pStyle w:val="ColorfulList-Accent11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Securing </w:t>
                            </w:r>
                            <w:r w:rsidRPr="0094312C">
                              <w:rPr>
                                <w:rFonts w:cs="Calibri"/>
                              </w:rPr>
                              <w:t xml:space="preserve">explicit written payment plans from as many </w:t>
                            </w:r>
                            <w:r w:rsidR="00FE4BDA">
                              <w:rPr>
                                <w:rFonts w:cs="Calibri"/>
                              </w:rPr>
                              <w:t>Parties with arrears of more than three years</w:t>
                            </w:r>
                            <w:r w:rsidR="00FE4BDA" w:rsidRPr="0094312C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94312C">
                              <w:rPr>
                                <w:rFonts w:cs="Calibri"/>
                              </w:rPr>
                              <w:t>as poss</w:t>
                            </w:r>
                            <w:r>
                              <w:rPr>
                                <w:rFonts w:cs="Calibri"/>
                              </w:rPr>
                              <w:t>ible, focusing upon Parties</w:t>
                            </w:r>
                            <w:r w:rsidR="00FE4BDA">
                              <w:rPr>
                                <w:rFonts w:cs="Calibri"/>
                              </w:rPr>
                              <w:t xml:space="preserve"> which</w:t>
                            </w:r>
                            <w:r>
                              <w:rPr>
                                <w:rFonts w:cs="Calibri"/>
                              </w:rPr>
                              <w:t xml:space="preserve"> have never paid since </w:t>
                            </w:r>
                            <w:r w:rsidR="005100CD">
                              <w:rPr>
                                <w:rFonts w:cs="Calibri"/>
                              </w:rPr>
                              <w:t>acceding</w:t>
                            </w:r>
                            <w:r>
                              <w:rPr>
                                <w:rFonts w:cs="Calibri"/>
                              </w:rPr>
                              <w:t xml:space="preserve"> and</w:t>
                            </w:r>
                            <w:r w:rsidR="007E4D5D">
                              <w:rPr>
                                <w:rFonts w:cs="Calibri"/>
                              </w:rPr>
                              <w:t xml:space="preserve"> those with </w:t>
                            </w:r>
                            <w:r w:rsidR="00FE4BDA">
                              <w:rPr>
                                <w:rFonts w:cs="Calibri"/>
                              </w:rPr>
                              <w:t xml:space="preserve">such longer-term </w:t>
                            </w:r>
                            <w:r w:rsidR="007E4D5D">
                              <w:rPr>
                                <w:rFonts w:cs="Calibri"/>
                              </w:rPr>
                              <w:t xml:space="preserve">arrears </w:t>
                            </w:r>
                            <w:r w:rsidR="00FE4BDA">
                              <w:rPr>
                                <w:rFonts w:cs="Calibri"/>
                              </w:rPr>
                              <w:t xml:space="preserve">of more </w:t>
                            </w:r>
                            <w:r w:rsidR="007E4D5D">
                              <w:rPr>
                                <w:rFonts w:cs="Calibri"/>
                              </w:rPr>
                              <w:t>than CHF 50,000</w:t>
                            </w:r>
                            <w:r w:rsidR="005100CD">
                              <w:rPr>
                                <w:rFonts w:cs="Calibri"/>
                              </w:rPr>
                              <w:t>;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:rsidR="00150DBB" w:rsidRDefault="00150DBB" w:rsidP="00150DBB">
                            <w:pPr>
                              <w:pStyle w:val="ColorfulList-Accent11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R</w:t>
                            </w:r>
                            <w:r w:rsidRPr="0094312C">
                              <w:rPr>
                                <w:rFonts w:cs="Calibri"/>
                              </w:rPr>
                              <w:t>eport</w:t>
                            </w:r>
                            <w:r>
                              <w:rPr>
                                <w:rFonts w:cs="Calibri"/>
                              </w:rPr>
                              <w:t>ing</w:t>
                            </w:r>
                            <w:r w:rsidRPr="0094312C">
                              <w:rPr>
                                <w:rFonts w:cs="Calibri"/>
                              </w:rPr>
                              <w:t xml:space="preserve"> progress </w:t>
                            </w:r>
                            <w:r w:rsidR="00C37DBB">
                              <w:rPr>
                                <w:rFonts w:cs="Calibri"/>
                              </w:rPr>
                              <w:t>of each</w:t>
                            </w:r>
                            <w:r w:rsidR="00C37DBB" w:rsidRPr="0094312C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94312C">
                              <w:rPr>
                                <w:rFonts w:cs="Calibri"/>
                              </w:rPr>
                              <w:t>Party to the Standing Committ</w:t>
                            </w:r>
                            <w:r>
                              <w:rPr>
                                <w:rFonts w:cs="Calibri"/>
                              </w:rPr>
                              <w:t xml:space="preserve">ee’s </w:t>
                            </w:r>
                            <w:r w:rsidR="005100CD">
                              <w:rPr>
                                <w:rFonts w:cs="Calibri"/>
                              </w:rPr>
                              <w:t>53</w:t>
                            </w:r>
                            <w:r w:rsidR="005100CD" w:rsidRPr="005100CD">
                              <w:rPr>
                                <w:rFonts w:cs="Calibri"/>
                                <w:vertAlign w:val="superscript"/>
                              </w:rPr>
                              <w:t>rd</w:t>
                            </w:r>
                            <w:r w:rsidR="005100CD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meeting</w:t>
                            </w:r>
                            <w:r w:rsidR="005100CD">
                              <w:rPr>
                                <w:rFonts w:cs="Calibri"/>
                              </w:rPr>
                              <w:t>; and</w:t>
                            </w:r>
                          </w:p>
                          <w:p w:rsidR="00150DBB" w:rsidRPr="00DF5A86" w:rsidRDefault="00150DBB" w:rsidP="00150DBB">
                            <w:pPr>
                              <w:pStyle w:val="ColorfulList-Accent11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="Calibri"/>
                              </w:rPr>
                              <w:t>Engaging</w:t>
                            </w:r>
                            <w:r w:rsidRPr="0094312C">
                              <w:rPr>
                                <w:rFonts w:cs="Calibri"/>
                              </w:rPr>
                              <w:t xml:space="preserve"> the new regional representatives on the Subgr</w:t>
                            </w:r>
                            <w:r>
                              <w:rPr>
                                <w:rFonts w:cs="Calibri"/>
                              </w:rPr>
                              <w:t>oup on Finance in this activity</w:t>
                            </w:r>
                            <w:r w:rsidR="005100CD"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0.05pt;height:1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">
                <v:textbox>
                  <w:txbxContent>
                    <w:p w:rsidR="00C0756D" w:rsidRPr="00DF5A86" w:rsidRDefault="00C0756D" w:rsidP="000B26D3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DF5A8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Actions requested: </w:t>
                      </w:r>
                    </w:p>
                    <w:p w:rsidR="00C0756D" w:rsidRDefault="00C0756D" w:rsidP="003B7B1C">
                      <w:pPr>
                        <w:pStyle w:val="ColorfulList-Accent11"/>
                        <w:spacing w:after="0" w:line="240" w:lineRule="auto"/>
                        <w:ind w:left="0"/>
                      </w:pPr>
                      <w:r w:rsidRPr="00DF5A86">
                        <w:t xml:space="preserve">The Standing Committee is </w:t>
                      </w:r>
                      <w:r w:rsidRPr="00DF5A86">
                        <w:rPr>
                          <w:rFonts w:cs="Calibri"/>
                        </w:rPr>
                        <w:t xml:space="preserve">invited to note the current status of </w:t>
                      </w:r>
                      <w:r w:rsidR="005100CD">
                        <w:rPr>
                          <w:rFonts w:cs="Calibri"/>
                        </w:rPr>
                        <w:t xml:space="preserve">Contracting </w:t>
                      </w:r>
                      <w:r w:rsidRPr="00DF5A86">
                        <w:rPr>
                          <w:rFonts w:cs="Calibri"/>
                        </w:rPr>
                        <w:t>Parties’ outst</w:t>
                      </w:r>
                      <w:r w:rsidR="00150DBB">
                        <w:rPr>
                          <w:rFonts w:cs="Calibri"/>
                        </w:rPr>
                        <w:t>anding annual contributions</w:t>
                      </w:r>
                      <w:r w:rsidR="005100CD">
                        <w:rPr>
                          <w:rFonts w:cs="Calibri"/>
                        </w:rPr>
                        <w:t xml:space="preserve">, and </w:t>
                      </w:r>
                      <w:r w:rsidR="00E12DD0">
                        <w:rPr>
                          <w:rFonts w:cs="Calibri"/>
                        </w:rPr>
                        <w:t xml:space="preserve">to approve the </w:t>
                      </w:r>
                      <w:r w:rsidRPr="00DF5A86">
                        <w:rPr>
                          <w:rFonts w:cs="Calibri"/>
                        </w:rPr>
                        <w:t xml:space="preserve">actions </w:t>
                      </w:r>
                      <w:r w:rsidR="00FE4BDA">
                        <w:rPr>
                          <w:rFonts w:cs="Calibri"/>
                        </w:rPr>
                        <w:t>proposed</w:t>
                      </w:r>
                      <w:r w:rsidRPr="00DF5A86">
                        <w:rPr>
                          <w:rFonts w:cs="Calibri"/>
                        </w:rPr>
                        <w:t xml:space="preserve"> by the Secretariat to </w:t>
                      </w:r>
                      <w:r w:rsidR="005100CD">
                        <w:rPr>
                          <w:rFonts w:cs="Calibri"/>
                        </w:rPr>
                        <w:t>encourage</w:t>
                      </w:r>
                      <w:r w:rsidR="005100CD" w:rsidRPr="00DF5A86">
                        <w:rPr>
                          <w:rFonts w:cs="Calibri"/>
                        </w:rPr>
                        <w:t xml:space="preserve"> </w:t>
                      </w:r>
                      <w:r w:rsidRPr="00DF5A86">
                        <w:rPr>
                          <w:rFonts w:cs="Calibri"/>
                        </w:rPr>
                        <w:t>the payment of arrears</w:t>
                      </w:r>
                      <w:r w:rsidR="00150DBB">
                        <w:t xml:space="preserve">, namely: </w:t>
                      </w:r>
                    </w:p>
                    <w:p w:rsidR="00150DBB" w:rsidRDefault="00150DBB" w:rsidP="00150DBB">
                      <w:pPr>
                        <w:pStyle w:val="ColorfulList-Accent11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Securing </w:t>
                      </w:r>
                      <w:r w:rsidRPr="0094312C">
                        <w:rPr>
                          <w:rFonts w:cs="Calibri"/>
                        </w:rPr>
                        <w:t xml:space="preserve">explicit written payment plans from as many </w:t>
                      </w:r>
                      <w:r w:rsidR="00FE4BDA">
                        <w:rPr>
                          <w:rFonts w:cs="Calibri"/>
                        </w:rPr>
                        <w:t>Parties with arrears of more than three years</w:t>
                      </w:r>
                      <w:r w:rsidR="00FE4BDA" w:rsidRPr="0094312C">
                        <w:rPr>
                          <w:rFonts w:cs="Calibri"/>
                        </w:rPr>
                        <w:t xml:space="preserve"> </w:t>
                      </w:r>
                      <w:r w:rsidRPr="0094312C">
                        <w:rPr>
                          <w:rFonts w:cs="Calibri"/>
                        </w:rPr>
                        <w:t>as poss</w:t>
                      </w:r>
                      <w:r>
                        <w:rPr>
                          <w:rFonts w:cs="Calibri"/>
                        </w:rPr>
                        <w:t>ible, focusing upon Parties</w:t>
                      </w:r>
                      <w:r w:rsidR="00FE4BDA">
                        <w:rPr>
                          <w:rFonts w:cs="Calibri"/>
                        </w:rPr>
                        <w:t xml:space="preserve"> which</w:t>
                      </w:r>
                      <w:r>
                        <w:rPr>
                          <w:rFonts w:cs="Calibri"/>
                        </w:rPr>
                        <w:t xml:space="preserve"> have never paid since </w:t>
                      </w:r>
                      <w:r w:rsidR="005100CD">
                        <w:rPr>
                          <w:rFonts w:cs="Calibri"/>
                        </w:rPr>
                        <w:t>acceding</w:t>
                      </w:r>
                      <w:r>
                        <w:rPr>
                          <w:rFonts w:cs="Calibri"/>
                        </w:rPr>
                        <w:t xml:space="preserve"> and</w:t>
                      </w:r>
                      <w:r w:rsidR="007E4D5D">
                        <w:rPr>
                          <w:rFonts w:cs="Calibri"/>
                        </w:rPr>
                        <w:t xml:space="preserve"> those with </w:t>
                      </w:r>
                      <w:r w:rsidR="00FE4BDA">
                        <w:rPr>
                          <w:rFonts w:cs="Calibri"/>
                        </w:rPr>
                        <w:t xml:space="preserve">such longer-term </w:t>
                      </w:r>
                      <w:r w:rsidR="007E4D5D">
                        <w:rPr>
                          <w:rFonts w:cs="Calibri"/>
                        </w:rPr>
                        <w:t xml:space="preserve">arrears </w:t>
                      </w:r>
                      <w:r w:rsidR="00FE4BDA">
                        <w:rPr>
                          <w:rFonts w:cs="Calibri"/>
                        </w:rPr>
                        <w:t xml:space="preserve">of more </w:t>
                      </w:r>
                      <w:r w:rsidR="007E4D5D">
                        <w:rPr>
                          <w:rFonts w:cs="Calibri"/>
                        </w:rPr>
                        <w:t>than CHF 50,000</w:t>
                      </w:r>
                      <w:r w:rsidR="005100CD">
                        <w:rPr>
                          <w:rFonts w:cs="Calibri"/>
                        </w:rPr>
                        <w:t>;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  <w:p w:rsidR="00150DBB" w:rsidRDefault="00150DBB" w:rsidP="00150DBB">
                      <w:pPr>
                        <w:pStyle w:val="ColorfulList-Accent11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R</w:t>
                      </w:r>
                      <w:r w:rsidRPr="0094312C">
                        <w:rPr>
                          <w:rFonts w:cs="Calibri"/>
                        </w:rPr>
                        <w:t>eport</w:t>
                      </w:r>
                      <w:r>
                        <w:rPr>
                          <w:rFonts w:cs="Calibri"/>
                        </w:rPr>
                        <w:t>ing</w:t>
                      </w:r>
                      <w:r w:rsidRPr="0094312C">
                        <w:rPr>
                          <w:rFonts w:cs="Calibri"/>
                        </w:rPr>
                        <w:t xml:space="preserve"> progress </w:t>
                      </w:r>
                      <w:r w:rsidR="00C37DBB">
                        <w:rPr>
                          <w:rFonts w:cs="Calibri"/>
                        </w:rPr>
                        <w:t>of each</w:t>
                      </w:r>
                      <w:r w:rsidR="00C37DBB" w:rsidRPr="0094312C">
                        <w:rPr>
                          <w:rFonts w:cs="Calibri"/>
                        </w:rPr>
                        <w:t xml:space="preserve"> </w:t>
                      </w:r>
                      <w:r w:rsidRPr="0094312C">
                        <w:rPr>
                          <w:rFonts w:cs="Calibri"/>
                        </w:rPr>
                        <w:t>Party to the Standing Committ</w:t>
                      </w:r>
                      <w:r>
                        <w:rPr>
                          <w:rFonts w:cs="Calibri"/>
                        </w:rPr>
                        <w:t xml:space="preserve">ee’s </w:t>
                      </w:r>
                      <w:r w:rsidR="005100CD">
                        <w:rPr>
                          <w:rFonts w:cs="Calibri"/>
                        </w:rPr>
                        <w:t>53</w:t>
                      </w:r>
                      <w:r w:rsidR="005100CD" w:rsidRPr="005100CD">
                        <w:rPr>
                          <w:rFonts w:cs="Calibri"/>
                          <w:vertAlign w:val="superscript"/>
                        </w:rPr>
                        <w:t>rd</w:t>
                      </w:r>
                      <w:r w:rsidR="005100CD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meeting</w:t>
                      </w:r>
                      <w:r w:rsidR="005100CD">
                        <w:rPr>
                          <w:rFonts w:cs="Calibri"/>
                        </w:rPr>
                        <w:t>; and</w:t>
                      </w:r>
                    </w:p>
                    <w:p w:rsidR="00150DBB" w:rsidRPr="00DF5A86" w:rsidRDefault="00150DBB" w:rsidP="00150DBB">
                      <w:pPr>
                        <w:pStyle w:val="ColorfulList-Accent11"/>
                        <w:numPr>
                          <w:ilvl w:val="0"/>
                          <w:numId w:val="44"/>
                        </w:numPr>
                        <w:spacing w:after="0" w:line="240" w:lineRule="auto"/>
                      </w:pPr>
                      <w:r>
                        <w:rPr>
                          <w:rFonts w:cs="Calibri"/>
                        </w:rPr>
                        <w:t>Engaging</w:t>
                      </w:r>
                      <w:r w:rsidRPr="0094312C">
                        <w:rPr>
                          <w:rFonts w:cs="Calibri"/>
                        </w:rPr>
                        <w:t xml:space="preserve"> the new regional representatives on the Subgr</w:t>
                      </w:r>
                      <w:r>
                        <w:rPr>
                          <w:rFonts w:cs="Calibri"/>
                        </w:rPr>
                        <w:t>oup on Finance in this activity</w:t>
                      </w:r>
                      <w:r w:rsidR="005100CD"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26D3" w:rsidRDefault="000B26D3" w:rsidP="000B26D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314C1E" w:rsidRDefault="00314C1E" w:rsidP="000B26D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B26D3" w:rsidRPr="00DF5A86" w:rsidRDefault="000B26D3" w:rsidP="000B26D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F5A86">
        <w:rPr>
          <w:rFonts w:ascii="Calibri" w:hAnsi="Calibri" w:cs="Calibri"/>
          <w:b/>
          <w:sz w:val="22"/>
          <w:szCs w:val="22"/>
        </w:rPr>
        <w:t>Background</w:t>
      </w:r>
    </w:p>
    <w:p w:rsidR="000B26D3" w:rsidRPr="00DF5A86" w:rsidRDefault="000B26D3" w:rsidP="000B26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B26D3" w:rsidRPr="00DF5A86" w:rsidRDefault="00A5446F" w:rsidP="000B26D3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130463">
        <w:rPr>
          <w:rFonts w:ascii="Calibri" w:hAnsi="Calibri" w:cs="Calibri"/>
          <w:sz w:val="22"/>
          <w:szCs w:val="22"/>
        </w:rPr>
        <w:t xml:space="preserve">Article 6.6 of the Convention </w:t>
      </w:r>
      <w:r w:rsidR="00950216">
        <w:rPr>
          <w:rFonts w:ascii="Calibri" w:hAnsi="Calibri" w:cs="Calibri"/>
          <w:sz w:val="22"/>
          <w:szCs w:val="22"/>
        </w:rPr>
        <w:t>states:</w:t>
      </w:r>
      <w:r w:rsidRPr="00130463">
        <w:rPr>
          <w:rFonts w:ascii="Calibri" w:hAnsi="Calibri" w:cs="Calibri"/>
          <w:sz w:val="22"/>
          <w:szCs w:val="22"/>
        </w:rPr>
        <w:t xml:space="preserve"> “Each Contracting Party shall contribute to the budget according to a scale of contributions adopted by unanimity of the Contracting Parties present and voting at a meeting of the ordinary Conference of the Contracting Parties</w:t>
      </w:r>
      <w:r w:rsidR="00A7416E">
        <w:rPr>
          <w:rFonts w:ascii="Calibri" w:hAnsi="Calibri" w:cs="Calibri"/>
          <w:sz w:val="22"/>
          <w:szCs w:val="22"/>
        </w:rPr>
        <w:t>.</w:t>
      </w:r>
      <w:r w:rsidRPr="00130463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B26D3" w:rsidRPr="00DF5A86" w:rsidRDefault="000B26D3" w:rsidP="000B26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B26D3" w:rsidRPr="00DF5A86" w:rsidRDefault="00A5446F" w:rsidP="000B26D3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DF5A86">
        <w:rPr>
          <w:rFonts w:ascii="Calibri" w:hAnsi="Calibri" w:cs="Calibri"/>
          <w:sz w:val="22"/>
          <w:szCs w:val="22"/>
        </w:rPr>
        <w:t>Annual (assessed) contributions from Parties are us</w:t>
      </w:r>
      <w:r w:rsidR="00950216">
        <w:rPr>
          <w:rFonts w:ascii="Calibri" w:hAnsi="Calibri" w:cs="Calibri"/>
          <w:sz w:val="22"/>
          <w:szCs w:val="22"/>
        </w:rPr>
        <w:t xml:space="preserve">ed to finance the Conventions’ </w:t>
      </w:r>
      <w:r w:rsidR="005100CD">
        <w:rPr>
          <w:rFonts w:ascii="Calibri" w:hAnsi="Calibri" w:cs="Calibri"/>
          <w:sz w:val="22"/>
          <w:szCs w:val="22"/>
        </w:rPr>
        <w:t>c</w:t>
      </w:r>
      <w:r w:rsidR="005100CD" w:rsidRPr="00DF5A86">
        <w:rPr>
          <w:rFonts w:ascii="Calibri" w:hAnsi="Calibri" w:cs="Calibri"/>
          <w:sz w:val="22"/>
          <w:szCs w:val="22"/>
        </w:rPr>
        <w:t xml:space="preserve">ore </w:t>
      </w:r>
      <w:r w:rsidRPr="00DF5A86">
        <w:rPr>
          <w:rFonts w:ascii="Calibri" w:hAnsi="Calibri" w:cs="Calibri"/>
          <w:sz w:val="22"/>
          <w:szCs w:val="22"/>
        </w:rPr>
        <w:t>budget.</w:t>
      </w:r>
      <w:r>
        <w:rPr>
          <w:rFonts w:ascii="Calibri" w:hAnsi="Calibri" w:cs="Calibri"/>
          <w:sz w:val="22"/>
          <w:szCs w:val="22"/>
        </w:rPr>
        <w:t xml:space="preserve"> </w:t>
      </w:r>
      <w:r w:rsidR="000B26D3" w:rsidRPr="00DF5A86">
        <w:rPr>
          <w:rFonts w:ascii="Calibri" w:hAnsi="Calibri" w:cs="Calibri"/>
          <w:sz w:val="22"/>
          <w:szCs w:val="22"/>
        </w:rPr>
        <w:t xml:space="preserve">Each year, the Secretariat invoices Parties for their annual contributions. Swiss franc invoicing is based upon the approved </w:t>
      </w:r>
      <w:r w:rsidR="005100CD">
        <w:rPr>
          <w:rFonts w:ascii="Calibri" w:hAnsi="Calibri" w:cs="Calibri"/>
          <w:sz w:val="22"/>
          <w:szCs w:val="22"/>
        </w:rPr>
        <w:t>c</w:t>
      </w:r>
      <w:r w:rsidR="000B26D3" w:rsidRPr="00DF5A86">
        <w:rPr>
          <w:rFonts w:ascii="Calibri" w:hAnsi="Calibri" w:cs="Calibri"/>
          <w:sz w:val="22"/>
          <w:szCs w:val="22"/>
        </w:rPr>
        <w:t>ore budget and the current UN Scale of Assessments. (The current UN Scale of Assessments is adjusted on a pro rata basis to reflect the actual membership of the Convention at the beginning of the year</w:t>
      </w:r>
      <w:r w:rsidR="00314C1E">
        <w:rPr>
          <w:rFonts w:ascii="Calibri" w:hAnsi="Calibri" w:cs="Calibri"/>
          <w:sz w:val="22"/>
          <w:szCs w:val="22"/>
        </w:rPr>
        <w:t>.</w:t>
      </w:r>
      <w:r w:rsidR="000B26D3" w:rsidRPr="00DF5A86">
        <w:rPr>
          <w:rFonts w:ascii="Calibri" w:hAnsi="Calibri" w:cs="Calibri"/>
          <w:sz w:val="22"/>
          <w:szCs w:val="22"/>
        </w:rPr>
        <w:t xml:space="preserve">) Income is recognized on invoicing and a receivable </w:t>
      </w:r>
      <w:r w:rsidR="00DF4E55">
        <w:rPr>
          <w:rFonts w:ascii="Calibri" w:hAnsi="Calibri" w:cs="Calibri"/>
          <w:sz w:val="22"/>
          <w:szCs w:val="22"/>
        </w:rPr>
        <w:t xml:space="preserve">is </w:t>
      </w:r>
      <w:r w:rsidR="000B26D3" w:rsidRPr="00DF5A86">
        <w:rPr>
          <w:rFonts w:ascii="Calibri" w:hAnsi="Calibri" w:cs="Calibri"/>
          <w:sz w:val="22"/>
          <w:szCs w:val="22"/>
        </w:rPr>
        <w:t>recorded, assuming full collection.</w:t>
      </w:r>
    </w:p>
    <w:p w:rsidR="000B26D3" w:rsidRDefault="000B26D3" w:rsidP="000B26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4312C" w:rsidRDefault="0094312C" w:rsidP="0094312C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2E2A6A">
        <w:rPr>
          <w:rFonts w:ascii="Calibri" w:hAnsi="Calibri" w:cs="Calibri"/>
          <w:sz w:val="22"/>
          <w:szCs w:val="22"/>
        </w:rPr>
        <w:t xml:space="preserve">In Resolution </w:t>
      </w:r>
      <w:r>
        <w:rPr>
          <w:rFonts w:ascii="Calibri" w:hAnsi="Calibri" w:cs="Calibri"/>
          <w:sz w:val="22"/>
          <w:szCs w:val="22"/>
        </w:rPr>
        <w:t>XI</w:t>
      </w:r>
      <w:r w:rsidRPr="002E2A6A">
        <w:rPr>
          <w:rFonts w:ascii="Calibri" w:hAnsi="Calibri" w:cs="Calibri"/>
          <w:sz w:val="22"/>
          <w:szCs w:val="22"/>
        </w:rPr>
        <w:t>.2</w:t>
      </w:r>
      <w:r w:rsidR="00496282">
        <w:rPr>
          <w:rFonts w:ascii="Calibri" w:hAnsi="Calibri" w:cs="Calibri"/>
          <w:sz w:val="22"/>
          <w:szCs w:val="22"/>
        </w:rPr>
        <w:t xml:space="preserve"> paragraph 17</w:t>
      </w:r>
      <w:r w:rsidRPr="002E2A6A">
        <w:rPr>
          <w:rFonts w:ascii="Calibri" w:hAnsi="Calibri" w:cs="Calibri"/>
          <w:sz w:val="22"/>
          <w:szCs w:val="22"/>
        </w:rPr>
        <w:t>, the Conference of the Contracting Parties</w:t>
      </w:r>
      <w:r w:rsidR="005100CD">
        <w:rPr>
          <w:rFonts w:ascii="Calibri" w:hAnsi="Calibri" w:cs="Calibri"/>
          <w:sz w:val="22"/>
          <w:szCs w:val="22"/>
        </w:rPr>
        <w:t>:</w:t>
      </w:r>
      <w:r w:rsidRPr="002E2A6A">
        <w:rPr>
          <w:rFonts w:ascii="Calibri" w:hAnsi="Calibri" w:cs="Calibri"/>
          <w:sz w:val="22"/>
          <w:szCs w:val="22"/>
        </w:rPr>
        <w:t xml:space="preserve"> “</w:t>
      </w:r>
      <w:r>
        <w:rPr>
          <w:rFonts w:ascii="Calibri" w:hAnsi="Calibri" w:cs="Calibri"/>
          <w:sz w:val="22"/>
          <w:szCs w:val="22"/>
        </w:rPr>
        <w:t>Urges</w:t>
      </w:r>
      <w:r w:rsidRPr="002E2A6A">
        <w:rPr>
          <w:rFonts w:ascii="Calibri" w:hAnsi="Calibri" w:cs="Calibri"/>
          <w:sz w:val="22"/>
          <w:szCs w:val="22"/>
        </w:rPr>
        <w:t xml:space="preserve"> Contracting Parties with outstanding contributions to make a renewed effort to settle them as expeditiously as possible to enhance the financial sustainability of the Convention through contributions by all Contracting Parties, and </w:t>
      </w:r>
      <w:r>
        <w:rPr>
          <w:rFonts w:ascii="Calibri" w:hAnsi="Calibri" w:cs="Calibri"/>
          <w:sz w:val="22"/>
          <w:szCs w:val="22"/>
        </w:rPr>
        <w:t>requests</w:t>
      </w:r>
      <w:r w:rsidRPr="002E2A6A">
        <w:rPr>
          <w:rFonts w:ascii="Calibri" w:hAnsi="Calibri" w:cs="Calibri"/>
          <w:sz w:val="22"/>
          <w:szCs w:val="22"/>
        </w:rPr>
        <w:t xml:space="preserve"> the Secretariat to contact Contracting Parties with outstanding contributions in excess of three years and work with them to identify appropriate options and actions for addressing the situation and initiating a plan for making payment of contributions, and to report back to each Standing Committee meeting and COP on activities taken and results achieved”. </w:t>
      </w:r>
    </w:p>
    <w:p w:rsidR="0094312C" w:rsidRDefault="0094312C" w:rsidP="000B26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B26D3" w:rsidRPr="00DF5A86" w:rsidRDefault="000B26D3" w:rsidP="000B26D3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Before</w:t>
      </w:r>
      <w:r w:rsidR="00FE4BDA">
        <w:rPr>
          <w:rFonts w:ascii="Calibri" w:hAnsi="Calibri" w:cs="Calibri"/>
          <w:sz w:val="22"/>
          <w:szCs w:val="22"/>
        </w:rPr>
        <w:t xml:space="preserve"> the end of</w:t>
      </w:r>
      <w:r w:rsidRPr="00DF5A86">
        <w:rPr>
          <w:rFonts w:ascii="Calibri" w:hAnsi="Calibri" w:cs="Calibri"/>
          <w:sz w:val="22"/>
          <w:szCs w:val="22"/>
        </w:rPr>
        <w:t xml:space="preserve"> each financial year, the Secretariat </w:t>
      </w:r>
      <w:r>
        <w:rPr>
          <w:rFonts w:ascii="Calibri" w:hAnsi="Calibri" w:cs="Calibri"/>
          <w:sz w:val="22"/>
          <w:szCs w:val="22"/>
        </w:rPr>
        <w:t xml:space="preserve">assesses the </w:t>
      </w:r>
      <w:r w:rsidR="00DF4E55">
        <w:rPr>
          <w:rFonts w:ascii="Calibri" w:hAnsi="Calibri" w:cs="Calibri"/>
          <w:sz w:val="22"/>
          <w:szCs w:val="22"/>
        </w:rPr>
        <w:t xml:space="preserve">status </w:t>
      </w:r>
      <w:r>
        <w:rPr>
          <w:rFonts w:ascii="Calibri" w:hAnsi="Calibri" w:cs="Calibri"/>
          <w:sz w:val="22"/>
          <w:szCs w:val="22"/>
        </w:rPr>
        <w:t xml:space="preserve">of outstanding contributions, </w:t>
      </w:r>
      <w:r w:rsidRPr="00DF5A86">
        <w:rPr>
          <w:rFonts w:ascii="Calibri" w:hAnsi="Calibri" w:cs="Calibri"/>
          <w:sz w:val="22"/>
          <w:szCs w:val="22"/>
        </w:rPr>
        <w:t>based on the amount</w:t>
      </w:r>
      <w:r>
        <w:rPr>
          <w:rFonts w:ascii="Calibri" w:hAnsi="Calibri" w:cs="Calibri"/>
          <w:sz w:val="22"/>
          <w:szCs w:val="22"/>
        </w:rPr>
        <w:t>s</w:t>
      </w:r>
      <w:r w:rsidRPr="00DF5A86">
        <w:rPr>
          <w:rFonts w:ascii="Calibri" w:hAnsi="Calibri" w:cs="Calibri"/>
          <w:sz w:val="22"/>
          <w:szCs w:val="22"/>
        </w:rPr>
        <w:t xml:space="preserve"> and length</w:t>
      </w:r>
      <w:r>
        <w:rPr>
          <w:rFonts w:ascii="Calibri" w:hAnsi="Calibri" w:cs="Calibri"/>
          <w:sz w:val="22"/>
          <w:szCs w:val="22"/>
        </w:rPr>
        <w:t>s</w:t>
      </w:r>
      <w:r w:rsidRPr="00DF5A86">
        <w:rPr>
          <w:rFonts w:ascii="Calibri" w:hAnsi="Calibri" w:cs="Calibri"/>
          <w:sz w:val="22"/>
          <w:szCs w:val="22"/>
        </w:rPr>
        <w:t xml:space="preserve"> of time outstanding, and records a provision </w:t>
      </w:r>
      <w:r>
        <w:rPr>
          <w:rFonts w:ascii="Calibri" w:hAnsi="Calibri" w:cs="Calibri"/>
          <w:sz w:val="22"/>
          <w:szCs w:val="22"/>
        </w:rPr>
        <w:t>accordingly</w:t>
      </w:r>
      <w:r w:rsidRPr="00DF5A86">
        <w:rPr>
          <w:rFonts w:ascii="Calibri" w:hAnsi="Calibri" w:cs="Calibri"/>
          <w:sz w:val="22"/>
          <w:szCs w:val="22"/>
        </w:rPr>
        <w:t xml:space="preserve">. Every annual increase in the provision reduces the </w:t>
      </w:r>
      <w:r w:rsidR="005100CD">
        <w:rPr>
          <w:rFonts w:ascii="Calibri" w:hAnsi="Calibri" w:cs="Calibri"/>
          <w:sz w:val="22"/>
          <w:szCs w:val="22"/>
        </w:rPr>
        <w:t>c</w:t>
      </w:r>
      <w:r w:rsidR="005100CD" w:rsidRPr="00DF5A86">
        <w:rPr>
          <w:rFonts w:ascii="Calibri" w:hAnsi="Calibri" w:cs="Calibri"/>
          <w:sz w:val="22"/>
          <w:szCs w:val="22"/>
        </w:rPr>
        <w:t xml:space="preserve">ore </w:t>
      </w:r>
      <w:r w:rsidRPr="00DF5A86">
        <w:rPr>
          <w:rFonts w:ascii="Calibri" w:hAnsi="Calibri" w:cs="Calibri"/>
          <w:sz w:val="22"/>
          <w:szCs w:val="22"/>
        </w:rPr>
        <w:t>funds available to spend.</w:t>
      </w:r>
      <w:r w:rsidRPr="00314C1E">
        <w:rPr>
          <w:rFonts w:ascii="Calibri" w:hAnsi="Calibri"/>
          <w:sz w:val="22"/>
          <w:szCs w:val="22"/>
          <w:vertAlign w:val="superscript"/>
        </w:rPr>
        <w:footnoteReference w:id="1"/>
      </w:r>
    </w:p>
    <w:p w:rsidR="000B26D3" w:rsidRDefault="000B26D3" w:rsidP="000B26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4312C" w:rsidRPr="00DF5A86" w:rsidRDefault="0094312C" w:rsidP="0094312C">
      <w:pPr>
        <w:ind w:left="539" w:hanging="539"/>
        <w:rPr>
          <w:rFonts w:ascii="Calibri" w:hAnsi="Calibri" w:cs="Calibri"/>
          <w:b/>
          <w:color w:val="000000"/>
          <w:sz w:val="22"/>
          <w:szCs w:val="22"/>
        </w:rPr>
      </w:pPr>
      <w:r w:rsidRPr="00DF5A86">
        <w:rPr>
          <w:rFonts w:ascii="Calibri" w:hAnsi="Calibri" w:cs="Calibri"/>
          <w:b/>
          <w:color w:val="000000"/>
          <w:sz w:val="22"/>
          <w:szCs w:val="22"/>
        </w:rPr>
        <w:lastRenderedPageBreak/>
        <w:t>201</w:t>
      </w:r>
      <w:r>
        <w:rPr>
          <w:rFonts w:ascii="Calibri" w:hAnsi="Calibri" w:cs="Calibri"/>
          <w:b/>
          <w:color w:val="000000"/>
          <w:sz w:val="22"/>
          <w:szCs w:val="22"/>
        </w:rPr>
        <w:t>6</w:t>
      </w:r>
      <w:r w:rsidRPr="00DF5A86">
        <w:rPr>
          <w:rFonts w:ascii="Calibri" w:hAnsi="Calibri" w:cs="Calibri"/>
          <w:b/>
          <w:color w:val="000000"/>
          <w:sz w:val="22"/>
          <w:szCs w:val="22"/>
        </w:rPr>
        <w:t xml:space="preserve"> update</w:t>
      </w:r>
    </w:p>
    <w:p w:rsidR="0094312C" w:rsidRPr="00DF5A86" w:rsidRDefault="0094312C" w:rsidP="000B26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334A3" w:rsidRDefault="000334A3" w:rsidP="00494E10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position of each Contracting Party as at 29 February 2016 is shown in the table at Annex 1.</w:t>
      </w:r>
    </w:p>
    <w:p w:rsidR="000334A3" w:rsidRDefault="000334A3" w:rsidP="000334A3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</w:p>
    <w:p w:rsidR="00494E10" w:rsidRDefault="000B26D3" w:rsidP="00494E10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DF5A86">
        <w:rPr>
          <w:rFonts w:ascii="Calibri" w:hAnsi="Calibri" w:cs="Calibri"/>
          <w:sz w:val="22"/>
          <w:szCs w:val="22"/>
        </w:rPr>
        <w:t xml:space="preserve">Core contributions, outstanding contributions and the provision against them have been gradually increasing over time, </w:t>
      </w:r>
      <w:r>
        <w:rPr>
          <w:rFonts w:ascii="Calibri" w:hAnsi="Calibri" w:cs="Calibri"/>
          <w:sz w:val="22"/>
          <w:szCs w:val="22"/>
        </w:rPr>
        <w:t>and</w:t>
      </w:r>
      <w:r w:rsidR="00A7416E">
        <w:rPr>
          <w:rFonts w:ascii="Calibri" w:hAnsi="Calibri" w:cs="Calibri"/>
          <w:sz w:val="22"/>
          <w:szCs w:val="22"/>
        </w:rPr>
        <w:t xml:space="preserve"> </w:t>
      </w:r>
      <w:r w:rsidR="00494E10">
        <w:rPr>
          <w:rFonts w:ascii="Calibri" w:hAnsi="Calibri" w:cs="Calibri"/>
          <w:sz w:val="22"/>
          <w:szCs w:val="22"/>
        </w:rPr>
        <w:t xml:space="preserve">their respective totals at the end of each year from </w:t>
      </w:r>
      <w:r>
        <w:rPr>
          <w:rFonts w:ascii="Calibri" w:hAnsi="Calibri" w:cs="Calibri"/>
          <w:sz w:val="22"/>
          <w:szCs w:val="22"/>
        </w:rPr>
        <w:t>20</w:t>
      </w:r>
      <w:r w:rsidR="002521E9">
        <w:rPr>
          <w:rFonts w:ascii="Calibri" w:hAnsi="Calibri" w:cs="Calibri"/>
          <w:sz w:val="22"/>
          <w:szCs w:val="22"/>
        </w:rPr>
        <w:t>1</w:t>
      </w:r>
      <w:r w:rsidR="00BD4BC8">
        <w:rPr>
          <w:rFonts w:ascii="Calibri" w:hAnsi="Calibri" w:cs="Calibri"/>
          <w:sz w:val="22"/>
          <w:szCs w:val="22"/>
        </w:rPr>
        <w:t>2</w:t>
      </w:r>
      <w:r w:rsidRPr="00DF5A86">
        <w:rPr>
          <w:rFonts w:ascii="Calibri" w:hAnsi="Calibri" w:cs="Calibri"/>
          <w:sz w:val="22"/>
          <w:szCs w:val="22"/>
        </w:rPr>
        <w:t xml:space="preserve"> </w:t>
      </w:r>
      <w:r w:rsidR="00494E10">
        <w:rPr>
          <w:rFonts w:ascii="Calibri" w:hAnsi="Calibri" w:cs="Calibri"/>
          <w:sz w:val="22"/>
          <w:szCs w:val="22"/>
        </w:rPr>
        <w:t xml:space="preserve">to 2015 </w:t>
      </w:r>
      <w:r w:rsidR="00EB63F1">
        <w:rPr>
          <w:rFonts w:ascii="Calibri" w:hAnsi="Calibri" w:cs="Calibri"/>
          <w:sz w:val="22"/>
          <w:szCs w:val="22"/>
        </w:rPr>
        <w:t>are</w:t>
      </w:r>
      <w:r w:rsidR="00EB63F1" w:rsidRPr="00DF5A8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shown in Table 1</w:t>
      </w:r>
      <w:r w:rsidR="00A7416E">
        <w:rPr>
          <w:rFonts w:ascii="Calibri" w:hAnsi="Calibri" w:cs="Calibri"/>
          <w:sz w:val="22"/>
          <w:szCs w:val="22"/>
        </w:rPr>
        <w:t>.</w:t>
      </w:r>
      <w:r w:rsidR="00494E10">
        <w:rPr>
          <w:rFonts w:ascii="Calibri" w:hAnsi="Calibri" w:cs="Calibri"/>
          <w:sz w:val="22"/>
          <w:szCs w:val="22"/>
        </w:rPr>
        <w:t xml:space="preserve"> </w:t>
      </w:r>
      <w:r w:rsidR="00494E10" w:rsidRPr="0094312C">
        <w:rPr>
          <w:rFonts w:ascii="Calibri" w:hAnsi="Calibri" w:cs="Calibri"/>
          <w:sz w:val="22"/>
          <w:szCs w:val="22"/>
        </w:rPr>
        <w:t xml:space="preserve">As of </w:t>
      </w:r>
      <w:r w:rsidR="00494E10">
        <w:rPr>
          <w:rFonts w:ascii="Calibri" w:hAnsi="Calibri" w:cs="Calibri"/>
          <w:sz w:val="22"/>
          <w:szCs w:val="22"/>
        </w:rPr>
        <w:t>31 December 2015,</w:t>
      </w:r>
      <w:r w:rsidR="00494E10" w:rsidRPr="0094312C">
        <w:rPr>
          <w:rFonts w:ascii="Calibri" w:hAnsi="Calibri" w:cs="Calibri"/>
          <w:sz w:val="22"/>
          <w:szCs w:val="22"/>
        </w:rPr>
        <w:t xml:space="preserve"> CHF</w:t>
      </w:r>
      <w:r w:rsidR="00494E10">
        <w:rPr>
          <w:rFonts w:ascii="Calibri" w:hAnsi="Calibri" w:cs="Calibri"/>
          <w:sz w:val="22"/>
          <w:szCs w:val="22"/>
        </w:rPr>
        <w:t xml:space="preserve"> </w:t>
      </w:r>
      <w:r w:rsidR="00494E10" w:rsidRPr="0094312C">
        <w:rPr>
          <w:rFonts w:ascii="Calibri" w:hAnsi="Calibri" w:cs="Calibri"/>
          <w:sz w:val="22"/>
          <w:szCs w:val="22"/>
        </w:rPr>
        <w:t>1,260,000 of annual contributions</w:t>
      </w:r>
      <w:r w:rsidR="00FE4BDA">
        <w:rPr>
          <w:rFonts w:ascii="Calibri" w:hAnsi="Calibri" w:cs="Calibri"/>
          <w:sz w:val="22"/>
          <w:szCs w:val="22"/>
        </w:rPr>
        <w:t xml:space="preserve"> was outstanding</w:t>
      </w:r>
      <w:r w:rsidR="00494E10" w:rsidRPr="0094312C">
        <w:rPr>
          <w:rFonts w:ascii="Calibri" w:hAnsi="Calibri" w:cs="Calibri"/>
          <w:sz w:val="22"/>
          <w:szCs w:val="22"/>
        </w:rPr>
        <w:t xml:space="preserve"> from 2015 and earlier.</w:t>
      </w:r>
    </w:p>
    <w:p w:rsidR="00494E10" w:rsidRDefault="00494E10" w:rsidP="00494E10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</w:p>
    <w:p w:rsidR="005410BE" w:rsidRDefault="00494E10" w:rsidP="005410BE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Table 1 also shows the outstanding contributions at 29 February 2016. </w:t>
      </w:r>
      <w:r w:rsidR="00FE4BDA">
        <w:rPr>
          <w:rFonts w:ascii="Calibri" w:hAnsi="Calibri" w:cs="Calibri"/>
          <w:sz w:val="22"/>
          <w:szCs w:val="22"/>
        </w:rPr>
        <w:t xml:space="preserve">It should be noted that </w:t>
      </w:r>
      <w:r w:rsidR="00044588" w:rsidRPr="00393420">
        <w:rPr>
          <w:rFonts w:ascii="Calibri" w:hAnsi="Calibri" w:cs="Calibri"/>
          <w:sz w:val="22"/>
          <w:szCs w:val="22"/>
        </w:rPr>
        <w:t>2016 contribution invoices were sent to the Parties on 20 January 2016 with a due date of 20 February 2016</w:t>
      </w:r>
      <w:r w:rsidR="007B728C">
        <w:rPr>
          <w:rFonts w:ascii="Calibri" w:hAnsi="Calibri" w:cs="Calibri"/>
          <w:sz w:val="22"/>
          <w:szCs w:val="22"/>
        </w:rPr>
        <w:t>. The short time frame from due date of 20 February to 29 February 2016 can</w:t>
      </w:r>
      <w:r w:rsidR="00044588" w:rsidRPr="00393420">
        <w:rPr>
          <w:rFonts w:ascii="Calibri" w:hAnsi="Calibri" w:cs="Calibri"/>
          <w:sz w:val="22"/>
          <w:szCs w:val="22"/>
        </w:rPr>
        <w:t xml:space="preserve"> explain the significant amount of contributions outstanding for 2016.</w:t>
      </w:r>
    </w:p>
    <w:p w:rsidR="005410BE" w:rsidRDefault="005410BE" w:rsidP="005410BE">
      <w:pPr>
        <w:pStyle w:val="ListParagraph"/>
        <w:rPr>
          <w:rFonts w:ascii="Calibri" w:hAnsi="Calibri" w:cs="Calibri"/>
          <w:b/>
          <w:sz w:val="22"/>
          <w:szCs w:val="22"/>
        </w:rPr>
      </w:pPr>
    </w:p>
    <w:p w:rsidR="005410BE" w:rsidRPr="005410BE" w:rsidRDefault="005410BE" w:rsidP="005410B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410BE">
        <w:rPr>
          <w:rFonts w:ascii="Calibri" w:hAnsi="Calibri" w:cs="Calibri"/>
          <w:b/>
          <w:sz w:val="22"/>
          <w:szCs w:val="22"/>
        </w:rPr>
        <w:t>Table 1</w:t>
      </w:r>
      <w:r w:rsidRPr="005410BE">
        <w:rPr>
          <w:rFonts w:ascii="Calibri" w:hAnsi="Calibri" w:cs="Calibri"/>
          <w:sz w:val="22"/>
          <w:szCs w:val="22"/>
        </w:rPr>
        <w:t>: Outstanding contributions and provision for non-collection, 2012-2016 (CHF ‘000s)</w:t>
      </w:r>
    </w:p>
    <w:p w:rsidR="005410BE" w:rsidRPr="005410BE" w:rsidRDefault="005410BE" w:rsidP="005410BE">
      <w:pPr>
        <w:pStyle w:val="ListParagraph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8794" w:type="dxa"/>
        <w:tblInd w:w="103" w:type="dxa"/>
        <w:tblLook w:val="04A0" w:firstRow="1" w:lastRow="0" w:firstColumn="1" w:lastColumn="0" w:noHBand="0" w:noVBand="1"/>
      </w:tblPr>
      <w:tblGrid>
        <w:gridCol w:w="3580"/>
        <w:gridCol w:w="960"/>
        <w:gridCol w:w="960"/>
        <w:gridCol w:w="960"/>
        <w:gridCol w:w="960"/>
        <w:gridCol w:w="1374"/>
      </w:tblGrid>
      <w:tr w:rsidR="005410BE" w:rsidRPr="002E257F" w:rsidTr="002E128B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10BE" w:rsidRPr="006018B5" w:rsidRDefault="005410BE" w:rsidP="002E128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2015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29/02/</w:t>
            </w:r>
            <w:r w:rsidRPr="006018B5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2016</w:t>
            </w:r>
          </w:p>
        </w:tc>
      </w:tr>
      <w:tr w:rsidR="005410BE" w:rsidRPr="002E257F" w:rsidTr="002E128B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Assessed contributions from Parties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3,780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3,779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3,779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3,779</w:t>
            </w:r>
          </w:p>
        </w:tc>
      </w:tr>
      <w:tr w:rsidR="005410BE" w:rsidRPr="002E257F" w:rsidTr="002E128B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Voluntary contribution from USA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1,065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1,065</w:t>
            </w:r>
          </w:p>
        </w:tc>
      </w:tr>
      <w:tr w:rsidR="005410BE" w:rsidRPr="002E257F" w:rsidTr="002E128B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Cumulative outstanding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1,260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4,226</w:t>
            </w:r>
          </w:p>
        </w:tc>
      </w:tr>
      <w:tr w:rsidR="005410BE" w:rsidRPr="002E257F" w:rsidTr="002E128B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Provision for non-collection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644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BE" w:rsidRPr="006018B5" w:rsidRDefault="005410BE" w:rsidP="002E128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6018B5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TBD</w:t>
            </w:r>
            <w:r w:rsidRPr="006018B5">
              <w:rPr>
                <w:rStyle w:val="FootnoteReference"/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footnoteReference w:id="2"/>
            </w:r>
          </w:p>
        </w:tc>
      </w:tr>
    </w:tbl>
    <w:p w:rsidR="005410BE" w:rsidRPr="005410BE" w:rsidRDefault="005410BE" w:rsidP="005410B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C6AAA" w:rsidRDefault="003C6AAA" w:rsidP="003C6AAA">
      <w:pPr>
        <w:pStyle w:val="ListParagraph"/>
        <w:rPr>
          <w:rFonts w:ascii="Calibri" w:hAnsi="Calibri" w:cs="Calibri"/>
          <w:sz w:val="22"/>
          <w:szCs w:val="22"/>
        </w:rPr>
      </w:pPr>
    </w:p>
    <w:p w:rsidR="003C6AAA" w:rsidRDefault="003C6AAA" w:rsidP="00494E10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of 29 February</w:t>
      </w:r>
      <w:r w:rsidR="00537DC2">
        <w:rPr>
          <w:rFonts w:ascii="Calibri" w:hAnsi="Calibri" w:cs="Calibri"/>
          <w:sz w:val="22"/>
          <w:szCs w:val="22"/>
        </w:rPr>
        <w:t xml:space="preserve"> 2016, </w:t>
      </w:r>
      <w:r w:rsidR="00D628EC">
        <w:rPr>
          <w:rFonts w:ascii="Calibri" w:hAnsi="Calibri" w:cs="Calibri"/>
          <w:sz w:val="22"/>
          <w:szCs w:val="22"/>
        </w:rPr>
        <w:t>90</w:t>
      </w:r>
      <w:r w:rsidR="00537DC2">
        <w:rPr>
          <w:rFonts w:ascii="Calibri" w:hAnsi="Calibri" w:cs="Calibri"/>
          <w:sz w:val="22"/>
          <w:szCs w:val="22"/>
        </w:rPr>
        <w:t xml:space="preserve"> Contracting Parties had paid all their contributions due up to and including 2015. 26 </w:t>
      </w:r>
      <w:r w:rsidR="00FE4BDA">
        <w:rPr>
          <w:rFonts w:ascii="Calibri" w:hAnsi="Calibri" w:cs="Calibri"/>
          <w:sz w:val="22"/>
          <w:szCs w:val="22"/>
        </w:rPr>
        <w:t xml:space="preserve">of them </w:t>
      </w:r>
      <w:r w:rsidR="00537DC2">
        <w:rPr>
          <w:rFonts w:ascii="Calibri" w:hAnsi="Calibri" w:cs="Calibri"/>
          <w:sz w:val="22"/>
          <w:szCs w:val="22"/>
        </w:rPr>
        <w:t xml:space="preserve">had already paid their contributions for 2016. The Secretariat acknowledges the consistent </w:t>
      </w:r>
      <w:r w:rsidR="00044588">
        <w:rPr>
          <w:rFonts w:ascii="Calibri" w:hAnsi="Calibri" w:cs="Calibri"/>
          <w:sz w:val="22"/>
          <w:szCs w:val="22"/>
        </w:rPr>
        <w:t xml:space="preserve">and prompt support </w:t>
      </w:r>
      <w:r w:rsidR="00537DC2">
        <w:rPr>
          <w:rFonts w:ascii="Calibri" w:hAnsi="Calibri" w:cs="Calibri"/>
          <w:sz w:val="22"/>
          <w:szCs w:val="22"/>
        </w:rPr>
        <w:t>of these Parties.</w:t>
      </w:r>
    </w:p>
    <w:p w:rsidR="00044588" w:rsidRDefault="00044588" w:rsidP="000445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44588" w:rsidRPr="0075705E" w:rsidRDefault="00044588" w:rsidP="00044588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total global amount of unpaid arrears</w:t>
      </w:r>
      <w:r w:rsidRPr="003C6A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as of 29 February 2016, by the year at which they were first due, </w:t>
      </w:r>
      <w:r w:rsidRPr="0075705E">
        <w:rPr>
          <w:rFonts w:ascii="Calibri" w:hAnsi="Calibri" w:cs="Calibri"/>
          <w:sz w:val="22"/>
          <w:szCs w:val="22"/>
        </w:rPr>
        <w:t xml:space="preserve">is shown at Table </w:t>
      </w:r>
      <w:r w:rsidR="000334A3">
        <w:rPr>
          <w:rFonts w:ascii="Calibri" w:hAnsi="Calibri" w:cs="Calibri"/>
          <w:sz w:val="22"/>
          <w:szCs w:val="22"/>
        </w:rPr>
        <w:t>2</w:t>
      </w:r>
      <w:r w:rsidRPr="0075705E">
        <w:rPr>
          <w:rFonts w:ascii="Calibri" w:hAnsi="Calibri" w:cs="Calibri"/>
          <w:sz w:val="22"/>
          <w:szCs w:val="22"/>
        </w:rPr>
        <w:t>.</w:t>
      </w:r>
    </w:p>
    <w:p w:rsidR="00044588" w:rsidRDefault="00044588" w:rsidP="00044588">
      <w:pPr>
        <w:rPr>
          <w:rFonts w:ascii="Calibri" w:hAnsi="Calibri" w:cs="Calibri"/>
          <w:sz w:val="22"/>
          <w:szCs w:val="22"/>
        </w:rPr>
      </w:pPr>
    </w:p>
    <w:p w:rsidR="00044588" w:rsidRDefault="00044588" w:rsidP="000445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018B5">
        <w:rPr>
          <w:rFonts w:ascii="Calibri" w:hAnsi="Calibri" w:cs="Calibri"/>
          <w:b/>
          <w:sz w:val="22"/>
          <w:szCs w:val="22"/>
        </w:rPr>
        <w:t xml:space="preserve">Table </w:t>
      </w:r>
      <w:r w:rsidR="000334A3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: Outstanding contributions at 29 February 2016 and number of years in arrears</w:t>
      </w:r>
    </w:p>
    <w:p w:rsidR="00044588" w:rsidRDefault="00044588" w:rsidP="000445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410"/>
        <w:gridCol w:w="2410"/>
      </w:tblGrid>
      <w:tr w:rsidR="00044588" w:rsidRPr="001C7D04" w:rsidTr="00FE4BDA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Year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 xml:space="preserve"> due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Years in arrears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4588" w:rsidRPr="001C7D04" w:rsidRDefault="00044588" w:rsidP="00044588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Total u</w:t>
            </w: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 xml:space="preserve">npaid 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 xml:space="preserve">contributions 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br/>
            </w: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(CHF '000s)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 xml:space="preserve">Total due at or before each year 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br/>
            </w: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(CHF '000s)</w:t>
            </w:r>
          </w:p>
        </w:tc>
      </w:tr>
      <w:tr w:rsidR="00FE4BDA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2008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 xml:space="preserve"> or before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&gt;8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E4BDA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113</w:t>
            </w:r>
          </w:p>
        </w:tc>
      </w:tr>
      <w:tr w:rsidR="00FE4BDA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141</w:t>
            </w:r>
          </w:p>
        </w:tc>
      </w:tr>
      <w:tr w:rsidR="00FE4BDA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185</w:t>
            </w:r>
          </w:p>
        </w:tc>
      </w:tr>
      <w:tr w:rsidR="00FE4BDA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238</w:t>
            </w:r>
          </w:p>
        </w:tc>
      </w:tr>
      <w:tr w:rsidR="00FE4BDA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464</w:t>
            </w:r>
          </w:p>
        </w:tc>
      </w:tr>
      <w:tr w:rsidR="00FE4BDA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732</w:t>
            </w:r>
          </w:p>
        </w:tc>
      </w:tr>
      <w:tr w:rsidR="00FE4BDA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1,220</w:t>
            </w:r>
          </w:p>
        </w:tc>
      </w:tr>
      <w:tr w:rsidR="00FE4BDA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3,006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4,226</w:t>
            </w:r>
          </w:p>
        </w:tc>
      </w:tr>
      <w:tr w:rsidR="00044588" w:rsidRPr="001C7D04" w:rsidTr="00FE4BD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4588" w:rsidRPr="001C7D04" w:rsidRDefault="00044588" w:rsidP="00294F5E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588" w:rsidRPr="001C7D04" w:rsidRDefault="00044588" w:rsidP="00FE4BDA">
            <w:pPr>
              <w:ind w:right="884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4,226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4588" w:rsidRPr="001C7D04" w:rsidRDefault="00044588" w:rsidP="00044588">
            <w:pPr>
              <w:ind w:right="884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C7D0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  <w:r w:rsidRPr="0004458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4,226</w:t>
            </w:r>
          </w:p>
        </w:tc>
      </w:tr>
    </w:tbl>
    <w:p w:rsidR="00044588" w:rsidRDefault="00044588" w:rsidP="00044588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</w:p>
    <w:p w:rsidR="00C37DBB" w:rsidRDefault="00C37DBB" w:rsidP="00C37DBB">
      <w:pPr>
        <w:autoSpaceDE w:val="0"/>
        <w:autoSpaceDN w:val="0"/>
        <w:adjustRightInd w:val="0"/>
        <w:ind w:left="426"/>
        <w:rPr>
          <w:rFonts w:ascii="Calibri" w:hAnsi="Calibri" w:cs="Calibri"/>
          <w:sz w:val="22"/>
          <w:szCs w:val="22"/>
        </w:rPr>
      </w:pPr>
    </w:p>
    <w:p w:rsidR="006018B5" w:rsidRDefault="00044588" w:rsidP="000334A3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The total arrears due from 2015 or before, as at 29 February 2016, </w:t>
      </w:r>
      <w:r w:rsidR="005A05B9">
        <w:rPr>
          <w:rFonts w:ascii="Calibri" w:hAnsi="Calibri" w:cs="Calibri"/>
          <w:sz w:val="22"/>
          <w:szCs w:val="22"/>
        </w:rPr>
        <w:t>were</w:t>
      </w:r>
      <w:r>
        <w:rPr>
          <w:rFonts w:ascii="Calibri" w:hAnsi="Calibri" w:cs="Calibri"/>
          <w:sz w:val="22"/>
          <w:szCs w:val="22"/>
        </w:rPr>
        <w:t xml:space="preserve"> CHF 1,220,000. Such arrears were due from </w:t>
      </w:r>
      <w:r w:rsidR="00C31D14">
        <w:rPr>
          <w:rFonts w:ascii="Calibri" w:hAnsi="Calibri" w:cs="Calibri"/>
          <w:sz w:val="22"/>
          <w:szCs w:val="22"/>
        </w:rPr>
        <w:t>78</w:t>
      </w:r>
      <w:r w:rsidR="00C31D14" w:rsidRPr="0094312C">
        <w:rPr>
          <w:rFonts w:ascii="Calibri" w:hAnsi="Calibri" w:cs="Calibri"/>
          <w:sz w:val="22"/>
          <w:szCs w:val="22"/>
        </w:rPr>
        <w:t xml:space="preserve"> </w:t>
      </w:r>
      <w:r w:rsidR="00C37DBB" w:rsidRPr="0094312C">
        <w:rPr>
          <w:rFonts w:ascii="Calibri" w:hAnsi="Calibri" w:cs="Calibri"/>
          <w:sz w:val="22"/>
          <w:szCs w:val="22"/>
        </w:rPr>
        <w:t>Parties</w:t>
      </w:r>
      <w:r w:rsidR="000334A3">
        <w:rPr>
          <w:rFonts w:ascii="Calibri" w:hAnsi="Calibri" w:cs="Calibri"/>
          <w:sz w:val="22"/>
          <w:szCs w:val="22"/>
        </w:rPr>
        <w:t>.</w:t>
      </w:r>
      <w:r w:rsidR="00C37DBB" w:rsidRPr="0094312C">
        <w:rPr>
          <w:rFonts w:ascii="Calibri" w:hAnsi="Calibri" w:cs="Calibri"/>
          <w:sz w:val="22"/>
          <w:szCs w:val="22"/>
        </w:rPr>
        <w:t xml:space="preserve"> </w:t>
      </w:r>
    </w:p>
    <w:p w:rsidR="003C6AAA" w:rsidRPr="00DF5A86" w:rsidRDefault="003C6AAA" w:rsidP="000B26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90A83" w:rsidRPr="0075705E" w:rsidRDefault="00AD3D9E" w:rsidP="0075705E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75705E">
        <w:rPr>
          <w:rFonts w:ascii="Calibri" w:hAnsi="Calibri" w:cs="Calibri"/>
          <w:sz w:val="22"/>
          <w:szCs w:val="22"/>
        </w:rPr>
        <w:t xml:space="preserve">The number of </w:t>
      </w:r>
      <w:r w:rsidR="00A91525" w:rsidRPr="0075705E">
        <w:rPr>
          <w:rFonts w:ascii="Calibri" w:hAnsi="Calibri" w:cs="Calibri"/>
          <w:sz w:val="22"/>
          <w:szCs w:val="22"/>
        </w:rPr>
        <w:t xml:space="preserve">Parties </w:t>
      </w:r>
      <w:r w:rsidR="003C6AAA">
        <w:rPr>
          <w:rFonts w:ascii="Calibri" w:hAnsi="Calibri" w:cs="Calibri"/>
          <w:sz w:val="22"/>
          <w:szCs w:val="22"/>
        </w:rPr>
        <w:t xml:space="preserve">in each region </w:t>
      </w:r>
      <w:r w:rsidR="00A91525" w:rsidRPr="0075705E">
        <w:rPr>
          <w:rFonts w:ascii="Calibri" w:hAnsi="Calibri" w:cs="Calibri"/>
          <w:sz w:val="22"/>
          <w:szCs w:val="22"/>
        </w:rPr>
        <w:t xml:space="preserve">with arrears </w:t>
      </w:r>
      <w:r w:rsidR="003C6AAA">
        <w:rPr>
          <w:rFonts w:ascii="Calibri" w:hAnsi="Calibri" w:cs="Calibri"/>
          <w:sz w:val="22"/>
          <w:szCs w:val="22"/>
        </w:rPr>
        <w:t xml:space="preserve">due </w:t>
      </w:r>
      <w:r w:rsidR="00A91525" w:rsidRPr="0075705E">
        <w:rPr>
          <w:rFonts w:ascii="Calibri" w:hAnsi="Calibri" w:cs="Calibri"/>
          <w:sz w:val="22"/>
          <w:szCs w:val="22"/>
        </w:rPr>
        <w:t xml:space="preserve">for more than </w:t>
      </w:r>
      <w:r w:rsidR="003C6AAA">
        <w:rPr>
          <w:rFonts w:ascii="Calibri" w:hAnsi="Calibri" w:cs="Calibri"/>
          <w:sz w:val="22"/>
          <w:szCs w:val="22"/>
        </w:rPr>
        <w:t>three</w:t>
      </w:r>
      <w:r w:rsidR="003C6AAA" w:rsidRPr="0075705E">
        <w:rPr>
          <w:rFonts w:ascii="Calibri" w:hAnsi="Calibri" w:cs="Calibri"/>
          <w:sz w:val="22"/>
          <w:szCs w:val="22"/>
        </w:rPr>
        <w:t xml:space="preserve"> </w:t>
      </w:r>
      <w:r w:rsidR="00A91525" w:rsidRPr="0075705E">
        <w:rPr>
          <w:rFonts w:ascii="Calibri" w:hAnsi="Calibri" w:cs="Calibri"/>
          <w:sz w:val="22"/>
          <w:szCs w:val="22"/>
        </w:rPr>
        <w:t>years</w:t>
      </w:r>
      <w:r w:rsidR="002B2B86">
        <w:rPr>
          <w:rFonts w:ascii="Calibri" w:hAnsi="Calibri" w:cs="Calibri"/>
          <w:sz w:val="22"/>
          <w:szCs w:val="22"/>
        </w:rPr>
        <w:t xml:space="preserve"> at the end of 2014 and 201</w:t>
      </w:r>
      <w:r w:rsidR="003C6AAA">
        <w:rPr>
          <w:rFonts w:ascii="Calibri" w:hAnsi="Calibri" w:cs="Calibri"/>
          <w:sz w:val="22"/>
          <w:szCs w:val="22"/>
        </w:rPr>
        <w:t>5,</w:t>
      </w:r>
      <w:r w:rsidRPr="0075705E">
        <w:rPr>
          <w:rFonts w:ascii="Calibri" w:hAnsi="Calibri" w:cs="Calibri"/>
          <w:sz w:val="22"/>
          <w:szCs w:val="22"/>
        </w:rPr>
        <w:t xml:space="preserve"> </w:t>
      </w:r>
      <w:r w:rsidR="003C6AAA">
        <w:rPr>
          <w:rFonts w:ascii="Calibri" w:hAnsi="Calibri" w:cs="Calibri"/>
          <w:sz w:val="22"/>
          <w:szCs w:val="22"/>
        </w:rPr>
        <w:t xml:space="preserve">and the total amounts of those arrears, are </w:t>
      </w:r>
      <w:r w:rsidRPr="0075705E">
        <w:rPr>
          <w:rFonts w:ascii="Calibri" w:hAnsi="Calibri" w:cs="Calibri"/>
          <w:sz w:val="22"/>
          <w:szCs w:val="22"/>
        </w:rPr>
        <w:t xml:space="preserve">shown at Table </w:t>
      </w:r>
      <w:r w:rsidR="000334A3">
        <w:rPr>
          <w:rFonts w:ascii="Calibri" w:hAnsi="Calibri" w:cs="Calibri"/>
          <w:sz w:val="22"/>
          <w:szCs w:val="22"/>
        </w:rPr>
        <w:t>3</w:t>
      </w:r>
      <w:r w:rsidRPr="0075705E">
        <w:rPr>
          <w:rFonts w:ascii="Calibri" w:hAnsi="Calibri" w:cs="Calibri"/>
          <w:sz w:val="22"/>
          <w:szCs w:val="22"/>
        </w:rPr>
        <w:t>.</w:t>
      </w:r>
      <w:r w:rsidR="00DD29C8">
        <w:rPr>
          <w:rFonts w:ascii="Calibri" w:hAnsi="Calibri" w:cs="Calibri"/>
          <w:sz w:val="22"/>
          <w:szCs w:val="22"/>
        </w:rPr>
        <w:t xml:space="preserve"> </w:t>
      </w:r>
      <w:r w:rsidR="000334A3">
        <w:rPr>
          <w:rFonts w:ascii="Calibri" w:hAnsi="Calibri" w:cs="Calibri"/>
          <w:sz w:val="22"/>
          <w:szCs w:val="22"/>
        </w:rPr>
        <w:t>At the end of 2015</w:t>
      </w:r>
      <w:r w:rsidR="00D628EC">
        <w:rPr>
          <w:rFonts w:ascii="Calibri" w:hAnsi="Calibri" w:cs="Calibri"/>
          <w:sz w:val="22"/>
          <w:szCs w:val="22"/>
        </w:rPr>
        <w:t>, 30</w:t>
      </w:r>
      <w:r w:rsidR="000334A3">
        <w:rPr>
          <w:rFonts w:ascii="Calibri" w:hAnsi="Calibri" w:cs="Calibri"/>
          <w:sz w:val="22"/>
          <w:szCs w:val="22"/>
        </w:rPr>
        <w:t xml:space="preserve"> Parties had arrears due for more than three years, to a value of CHF 241,977.</w:t>
      </w:r>
    </w:p>
    <w:p w:rsidR="00A91525" w:rsidRDefault="00A91525" w:rsidP="00A91525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:rsidR="00A91525" w:rsidRPr="00AD3D9E" w:rsidRDefault="0070040D" w:rsidP="00AD3D9E">
      <w:pPr>
        <w:rPr>
          <w:rFonts w:ascii="Calibri" w:hAnsi="Calibri" w:cs="Calibri"/>
          <w:color w:val="000000"/>
          <w:sz w:val="22"/>
          <w:szCs w:val="22"/>
        </w:rPr>
      </w:pPr>
      <w:r w:rsidRPr="006018B5">
        <w:rPr>
          <w:rFonts w:ascii="Calibri" w:hAnsi="Calibri" w:cs="Calibri"/>
          <w:b/>
          <w:color w:val="000000"/>
          <w:sz w:val="22"/>
          <w:szCs w:val="22"/>
        </w:rPr>
        <w:t xml:space="preserve">Table </w:t>
      </w:r>
      <w:r w:rsidR="000334A3">
        <w:rPr>
          <w:rFonts w:ascii="Calibri" w:hAnsi="Calibri" w:cs="Calibri"/>
          <w:b/>
          <w:color w:val="000000"/>
          <w:sz w:val="22"/>
          <w:szCs w:val="22"/>
        </w:rPr>
        <w:t>3</w:t>
      </w:r>
      <w:r w:rsidR="00AD3D9E">
        <w:rPr>
          <w:rFonts w:ascii="Calibri" w:hAnsi="Calibri" w:cs="Calibri"/>
          <w:color w:val="000000"/>
          <w:sz w:val="22"/>
          <w:szCs w:val="22"/>
        </w:rPr>
        <w:t>: C</w:t>
      </w:r>
      <w:r w:rsidR="00AD3D9E" w:rsidRPr="00A91525">
        <w:rPr>
          <w:rFonts w:ascii="Calibri" w:hAnsi="Calibri" w:cs="Calibri"/>
          <w:color w:val="000000"/>
          <w:sz w:val="22"/>
          <w:szCs w:val="22"/>
        </w:rPr>
        <w:t xml:space="preserve">ontracting Parties with arrears </w:t>
      </w:r>
      <w:r w:rsidR="00AD3D9E">
        <w:rPr>
          <w:rFonts w:ascii="Calibri" w:hAnsi="Calibri" w:cs="Calibri"/>
          <w:color w:val="000000"/>
          <w:sz w:val="22"/>
          <w:szCs w:val="22"/>
        </w:rPr>
        <w:t xml:space="preserve">for </w:t>
      </w:r>
      <w:r w:rsidR="00AD3D9E" w:rsidRPr="00A91525">
        <w:rPr>
          <w:rFonts w:ascii="Calibri" w:hAnsi="Calibri" w:cs="Calibri"/>
          <w:color w:val="000000"/>
          <w:sz w:val="22"/>
          <w:szCs w:val="22"/>
        </w:rPr>
        <w:t xml:space="preserve">more than </w:t>
      </w:r>
      <w:r w:rsidR="003C6AAA">
        <w:rPr>
          <w:rFonts w:ascii="Calibri" w:hAnsi="Calibri" w:cs="Calibri"/>
          <w:color w:val="000000"/>
          <w:sz w:val="22"/>
          <w:szCs w:val="22"/>
        </w:rPr>
        <w:t>three</w:t>
      </w:r>
      <w:r w:rsidR="003C6AAA" w:rsidRPr="00A915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3D9E" w:rsidRPr="00A91525">
        <w:rPr>
          <w:rFonts w:ascii="Calibri" w:hAnsi="Calibri" w:cs="Calibri"/>
          <w:color w:val="000000"/>
          <w:sz w:val="22"/>
          <w:szCs w:val="22"/>
        </w:rPr>
        <w:t>years</w:t>
      </w:r>
      <w:r w:rsidR="00AD3D9E">
        <w:rPr>
          <w:rFonts w:ascii="Calibri" w:hAnsi="Calibri" w:cs="Calibri"/>
          <w:color w:val="000000"/>
          <w:sz w:val="22"/>
          <w:szCs w:val="22"/>
        </w:rPr>
        <w:t>, by region</w:t>
      </w:r>
    </w:p>
    <w:p w:rsidR="0070040D" w:rsidRPr="002E257F" w:rsidRDefault="0070040D" w:rsidP="00A91525">
      <w:pPr>
        <w:pStyle w:val="ListParagrap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1"/>
        <w:gridCol w:w="1128"/>
        <w:gridCol w:w="1128"/>
        <w:gridCol w:w="1128"/>
        <w:gridCol w:w="1128"/>
      </w:tblGrid>
      <w:tr w:rsidR="00C31D14" w:rsidRPr="00DD29C8" w:rsidTr="00C31D14">
        <w:trPr>
          <w:trHeight w:val="288"/>
        </w:trPr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D14" w:rsidRPr="00DD29C8" w:rsidRDefault="00C31D14" w:rsidP="00FB72D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:rsidR="00C31D14" w:rsidRPr="00DD29C8" w:rsidRDefault="00C31D14" w:rsidP="00FB72D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 xml:space="preserve">End </w:t>
            </w: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2014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hideMark/>
          </w:tcPr>
          <w:p w:rsidR="00C31D14" w:rsidRPr="00DD29C8" w:rsidRDefault="00C31D14" w:rsidP="002B2B86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 xml:space="preserve">End </w:t>
            </w: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201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5</w:t>
            </w:r>
          </w:p>
        </w:tc>
      </w:tr>
      <w:tr w:rsidR="00C31D14" w:rsidRPr="00DD29C8" w:rsidTr="00C31D14">
        <w:trPr>
          <w:trHeight w:val="288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Region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Count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Amount CHF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Count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Amount</w:t>
            </w:r>
            <w:r w:rsidRPr="00DD29C8" w:rsidDel="003B26DC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CHF</w:t>
            </w:r>
          </w:p>
        </w:tc>
      </w:tr>
      <w:tr w:rsidR="00C31D14" w:rsidRPr="00DD29C8" w:rsidTr="00C31D14">
        <w:trPr>
          <w:trHeight w:val="288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14" w:rsidRPr="00DD29C8" w:rsidRDefault="00C31D14" w:rsidP="00C31D14">
            <w:pP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134,000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147,983 </w:t>
            </w:r>
          </w:p>
        </w:tc>
      </w:tr>
      <w:tr w:rsidR="00C31D14" w:rsidRPr="00DD29C8" w:rsidTr="00C31D14">
        <w:trPr>
          <w:trHeight w:val="288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14" w:rsidRPr="00DD29C8" w:rsidRDefault="00C31D14" w:rsidP="00C31D14">
            <w:pP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Asia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14,000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19,203 </w:t>
            </w:r>
          </w:p>
        </w:tc>
      </w:tr>
      <w:tr w:rsidR="00C31D14" w:rsidRPr="00DD29C8" w:rsidTr="00C31D14">
        <w:trPr>
          <w:trHeight w:val="288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14" w:rsidRPr="00DD29C8" w:rsidRDefault="00C31D14" w:rsidP="00C31D14">
            <w:pP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Europe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2,000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3,000 </w:t>
            </w:r>
          </w:p>
        </w:tc>
      </w:tr>
      <w:tr w:rsidR="00C31D14" w:rsidRPr="00DD29C8" w:rsidTr="00C31D14">
        <w:trPr>
          <w:trHeight w:val="288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14" w:rsidRPr="00DD29C8" w:rsidRDefault="00C31D14" w:rsidP="00C31D14">
            <w:pP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Latin America and Caribbean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41,000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48,586 </w:t>
            </w:r>
          </w:p>
        </w:tc>
      </w:tr>
      <w:tr w:rsidR="00C31D14" w:rsidRPr="00DD29C8" w:rsidTr="00C31D14">
        <w:trPr>
          <w:trHeight w:val="288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14" w:rsidRPr="00DD29C8" w:rsidRDefault="00C31D14" w:rsidP="00C31D14">
            <w:pP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Oceania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  <w:t>27,000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23,205 </w:t>
            </w:r>
          </w:p>
        </w:tc>
      </w:tr>
      <w:tr w:rsidR="00C31D14" w:rsidRPr="00DD29C8" w:rsidTr="00C31D14">
        <w:trPr>
          <w:trHeight w:val="288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1D14" w:rsidRPr="00DD29C8" w:rsidRDefault="00C31D14" w:rsidP="00C31D14">
            <w:pP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 w:rsidRPr="00DD29C8"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  <w:t>218,000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D14" w:rsidRPr="00DD29C8" w:rsidRDefault="00C31D14" w:rsidP="00C31D14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31D14" w:rsidRPr="00DD29C8" w:rsidRDefault="00C31D14" w:rsidP="00C31D14">
            <w:pPr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241,977 </w:t>
            </w:r>
          </w:p>
        </w:tc>
      </w:tr>
    </w:tbl>
    <w:p w:rsidR="0070040D" w:rsidRDefault="0070040D" w:rsidP="006018B5">
      <w:pPr>
        <w:rPr>
          <w:rFonts w:ascii="Calibri" w:hAnsi="Calibri" w:cs="Calibri"/>
          <w:color w:val="000000"/>
          <w:sz w:val="22"/>
          <w:szCs w:val="22"/>
        </w:rPr>
      </w:pPr>
    </w:p>
    <w:p w:rsidR="00496282" w:rsidRDefault="00496282" w:rsidP="006018B5">
      <w:pPr>
        <w:rPr>
          <w:rFonts w:ascii="Calibri" w:hAnsi="Calibri" w:cs="Calibri"/>
          <w:color w:val="000000"/>
          <w:sz w:val="22"/>
          <w:szCs w:val="22"/>
        </w:rPr>
      </w:pPr>
    </w:p>
    <w:p w:rsidR="00496282" w:rsidRPr="00496282" w:rsidRDefault="00496282" w:rsidP="00496282">
      <w:pPr>
        <w:rPr>
          <w:rFonts w:ascii="Calibri" w:hAnsi="Calibri" w:cs="Calibri"/>
          <w:b/>
          <w:sz w:val="22"/>
          <w:szCs w:val="22"/>
        </w:rPr>
      </w:pPr>
      <w:r w:rsidRPr="00496282">
        <w:rPr>
          <w:rFonts w:ascii="Calibri" w:hAnsi="Calibri" w:cs="Calibri"/>
          <w:b/>
          <w:sz w:val="22"/>
          <w:szCs w:val="22"/>
        </w:rPr>
        <w:t>Proposed Secretariat response</w:t>
      </w:r>
    </w:p>
    <w:p w:rsidR="00792244" w:rsidRPr="00DF5A86" w:rsidRDefault="00792244" w:rsidP="00792244">
      <w:pPr>
        <w:ind w:left="426"/>
        <w:rPr>
          <w:rFonts w:ascii="Calibri" w:hAnsi="Calibri" w:cs="Calibri"/>
          <w:color w:val="000000"/>
          <w:sz w:val="22"/>
          <w:szCs w:val="22"/>
        </w:rPr>
      </w:pPr>
    </w:p>
    <w:p w:rsidR="000B26D3" w:rsidRPr="007B7C95" w:rsidRDefault="0002556B" w:rsidP="000B26D3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 w:rsidRPr="007B7C95">
        <w:rPr>
          <w:rFonts w:ascii="Calibri" w:hAnsi="Calibri" w:cs="Calibri"/>
          <w:sz w:val="22"/>
          <w:szCs w:val="22"/>
        </w:rPr>
        <w:t>At SC</w:t>
      </w:r>
      <w:r w:rsidR="001C7D04" w:rsidRPr="007B7C95">
        <w:rPr>
          <w:rFonts w:ascii="Calibri" w:hAnsi="Calibri" w:cs="Calibri"/>
          <w:sz w:val="22"/>
          <w:szCs w:val="22"/>
        </w:rPr>
        <w:t>48</w:t>
      </w:r>
      <w:r w:rsidRPr="007B7C95">
        <w:rPr>
          <w:rFonts w:ascii="Calibri" w:hAnsi="Calibri" w:cs="Calibri"/>
          <w:sz w:val="22"/>
          <w:szCs w:val="22"/>
        </w:rPr>
        <w:t xml:space="preserve">, </w:t>
      </w:r>
      <w:r w:rsidR="00AD3D9E" w:rsidRPr="007B7C95">
        <w:rPr>
          <w:rFonts w:ascii="Calibri" w:hAnsi="Calibri" w:cs="Calibri"/>
          <w:sz w:val="22"/>
          <w:szCs w:val="22"/>
        </w:rPr>
        <w:t xml:space="preserve">through </w:t>
      </w:r>
      <w:r w:rsidRPr="007B7C95">
        <w:rPr>
          <w:rFonts w:ascii="Calibri" w:hAnsi="Calibri" w:cs="Calibri"/>
          <w:sz w:val="22"/>
          <w:szCs w:val="22"/>
        </w:rPr>
        <w:t>Decision SC48-12, the</w:t>
      </w:r>
      <w:r w:rsidR="001667B3" w:rsidRPr="007B7C95">
        <w:rPr>
          <w:rFonts w:ascii="Calibri" w:hAnsi="Calibri" w:cs="Calibri"/>
          <w:sz w:val="22"/>
          <w:szCs w:val="22"/>
        </w:rPr>
        <w:t xml:space="preserve"> </w:t>
      </w:r>
      <w:r w:rsidR="000B26D3" w:rsidRPr="007B7C95">
        <w:rPr>
          <w:rFonts w:ascii="Calibri" w:hAnsi="Calibri" w:cs="Calibri"/>
          <w:sz w:val="22"/>
          <w:szCs w:val="22"/>
        </w:rPr>
        <w:t xml:space="preserve">Standing Committee </w:t>
      </w:r>
      <w:r w:rsidRPr="007B7C95">
        <w:rPr>
          <w:rFonts w:ascii="Calibri" w:hAnsi="Calibri" w:cs="Calibri"/>
          <w:sz w:val="22"/>
          <w:szCs w:val="22"/>
        </w:rPr>
        <w:t xml:space="preserve">decided not to apply punitive measures to Parties with outstanding contributions. </w:t>
      </w:r>
    </w:p>
    <w:p w:rsidR="000B26D3" w:rsidRDefault="000B26D3" w:rsidP="000B26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B26D3" w:rsidRDefault="00496282" w:rsidP="000B26D3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Nonetheless, t</w:t>
      </w:r>
      <w:r w:rsidRPr="002E2A6A">
        <w:rPr>
          <w:rFonts w:ascii="Calibri" w:hAnsi="Calibri" w:cs="Calibri"/>
          <w:sz w:val="22"/>
          <w:szCs w:val="22"/>
        </w:rPr>
        <w:t xml:space="preserve">he </w:t>
      </w:r>
      <w:r w:rsidR="00AE6E7B">
        <w:rPr>
          <w:rFonts w:ascii="Calibri" w:hAnsi="Calibri" w:cs="Calibri"/>
          <w:sz w:val="22"/>
          <w:szCs w:val="22"/>
        </w:rPr>
        <w:t xml:space="preserve">Acting </w:t>
      </w:r>
      <w:r w:rsidR="000B26D3" w:rsidRPr="002E2A6A">
        <w:rPr>
          <w:rFonts w:ascii="Calibri" w:hAnsi="Calibri" w:cs="Calibri"/>
          <w:sz w:val="22"/>
          <w:szCs w:val="22"/>
        </w:rPr>
        <w:t xml:space="preserve">Secretary General believes progress on clearing arrears and fuller engagement and financial commitment </w:t>
      </w:r>
      <w:r w:rsidR="00EB63F1">
        <w:rPr>
          <w:rFonts w:ascii="Calibri" w:hAnsi="Calibri" w:cs="Calibri"/>
          <w:sz w:val="22"/>
          <w:szCs w:val="22"/>
        </w:rPr>
        <w:t>by</w:t>
      </w:r>
      <w:r w:rsidR="00EB63F1" w:rsidRPr="002E2A6A">
        <w:rPr>
          <w:rFonts w:ascii="Calibri" w:hAnsi="Calibri" w:cs="Calibri"/>
          <w:sz w:val="22"/>
          <w:szCs w:val="22"/>
        </w:rPr>
        <w:t xml:space="preserve"> all Parties </w:t>
      </w:r>
      <w:r w:rsidR="000B26D3" w:rsidRPr="002E2A6A">
        <w:rPr>
          <w:rFonts w:ascii="Calibri" w:hAnsi="Calibri" w:cs="Calibri"/>
          <w:sz w:val="22"/>
          <w:szCs w:val="22"/>
        </w:rPr>
        <w:t xml:space="preserve">to the Convention would send positive messages about the governance of the Convention and </w:t>
      </w:r>
      <w:r w:rsidR="000B26D3">
        <w:rPr>
          <w:rFonts w:ascii="Calibri" w:hAnsi="Calibri" w:cs="Calibri"/>
          <w:sz w:val="22"/>
          <w:szCs w:val="22"/>
        </w:rPr>
        <w:t>enable the Secretariat</w:t>
      </w:r>
      <w:r w:rsidR="000B26D3" w:rsidRPr="002E2A6A">
        <w:rPr>
          <w:rFonts w:ascii="Calibri" w:hAnsi="Calibri" w:cs="Calibri"/>
          <w:sz w:val="22"/>
          <w:szCs w:val="22"/>
        </w:rPr>
        <w:t xml:space="preserve"> to fully achieve the </w:t>
      </w:r>
      <w:r w:rsidR="000B26D3">
        <w:rPr>
          <w:rFonts w:ascii="Calibri" w:hAnsi="Calibri" w:cs="Calibri"/>
          <w:sz w:val="22"/>
          <w:szCs w:val="22"/>
        </w:rPr>
        <w:t xml:space="preserve">tasks </w:t>
      </w:r>
      <w:r w:rsidR="000B26D3" w:rsidRPr="002E2A6A">
        <w:rPr>
          <w:rFonts w:ascii="Calibri" w:hAnsi="Calibri" w:cs="Calibri"/>
          <w:sz w:val="22"/>
          <w:szCs w:val="22"/>
        </w:rPr>
        <w:t xml:space="preserve">set by the COP. </w:t>
      </w:r>
    </w:p>
    <w:p w:rsidR="000334A3" w:rsidRDefault="000334A3" w:rsidP="000334A3">
      <w:pPr>
        <w:pStyle w:val="ListParagraph"/>
        <w:rPr>
          <w:rFonts w:ascii="Calibri" w:hAnsi="Calibri" w:cs="Calibri"/>
          <w:sz w:val="22"/>
          <w:szCs w:val="22"/>
        </w:rPr>
      </w:pPr>
    </w:p>
    <w:p w:rsidR="000334A3" w:rsidRDefault="000334A3" w:rsidP="000334A3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94312C">
        <w:rPr>
          <w:rFonts w:ascii="Calibri" w:hAnsi="Calibri" w:cs="Calibri"/>
          <w:sz w:val="22"/>
          <w:szCs w:val="22"/>
        </w:rPr>
        <w:t xml:space="preserve">riority actions in 2016 will focus on the 41 </w:t>
      </w:r>
      <w:r>
        <w:rPr>
          <w:rFonts w:ascii="Calibri" w:hAnsi="Calibri" w:cs="Calibri"/>
          <w:sz w:val="22"/>
          <w:szCs w:val="22"/>
        </w:rPr>
        <w:t xml:space="preserve">Parties </w:t>
      </w:r>
      <w:r w:rsidRPr="0094312C">
        <w:rPr>
          <w:rFonts w:ascii="Calibri" w:hAnsi="Calibri" w:cs="Calibri"/>
          <w:sz w:val="22"/>
          <w:szCs w:val="22"/>
        </w:rPr>
        <w:t xml:space="preserve">with arrears of </w:t>
      </w:r>
      <w:r>
        <w:rPr>
          <w:rFonts w:ascii="Calibri" w:hAnsi="Calibri" w:cs="Calibri"/>
          <w:sz w:val="22"/>
          <w:szCs w:val="22"/>
        </w:rPr>
        <w:t>more than three</w:t>
      </w:r>
      <w:r w:rsidRPr="0094312C">
        <w:rPr>
          <w:rFonts w:ascii="Calibri" w:hAnsi="Calibri" w:cs="Calibri"/>
          <w:sz w:val="22"/>
          <w:szCs w:val="22"/>
        </w:rPr>
        <w:t xml:space="preserve"> years</w:t>
      </w:r>
      <w:r>
        <w:rPr>
          <w:rFonts w:ascii="Calibri" w:hAnsi="Calibri" w:cs="Calibri"/>
          <w:sz w:val="22"/>
          <w:szCs w:val="22"/>
        </w:rPr>
        <w:t xml:space="preserve"> at the end of 2015. </w:t>
      </w:r>
      <w:r w:rsidRPr="0094312C">
        <w:rPr>
          <w:rFonts w:ascii="Calibri" w:hAnsi="Calibri" w:cs="Calibri"/>
          <w:sz w:val="22"/>
          <w:szCs w:val="22"/>
        </w:rPr>
        <w:t xml:space="preserve">The Secretariat will use </w:t>
      </w:r>
      <w:r w:rsidR="00496282" w:rsidRPr="002E2A6A">
        <w:rPr>
          <w:rFonts w:ascii="Calibri" w:hAnsi="Calibri" w:cs="Calibri"/>
          <w:sz w:val="22"/>
          <w:szCs w:val="22"/>
        </w:rPr>
        <w:t xml:space="preserve">Resolution </w:t>
      </w:r>
      <w:r w:rsidR="00496282">
        <w:rPr>
          <w:rFonts w:ascii="Calibri" w:hAnsi="Calibri" w:cs="Calibri"/>
          <w:sz w:val="22"/>
          <w:szCs w:val="22"/>
        </w:rPr>
        <w:t>XI</w:t>
      </w:r>
      <w:r w:rsidR="00496282" w:rsidRPr="002E2A6A">
        <w:rPr>
          <w:rFonts w:ascii="Calibri" w:hAnsi="Calibri" w:cs="Calibri"/>
          <w:sz w:val="22"/>
          <w:szCs w:val="22"/>
        </w:rPr>
        <w:t>.2</w:t>
      </w:r>
      <w:r w:rsidR="00496282">
        <w:rPr>
          <w:rFonts w:ascii="Calibri" w:hAnsi="Calibri" w:cs="Calibri"/>
          <w:sz w:val="22"/>
          <w:szCs w:val="22"/>
        </w:rPr>
        <w:t xml:space="preserve"> para</w:t>
      </w:r>
      <w:r w:rsidR="00204E8C">
        <w:rPr>
          <w:rFonts w:ascii="Calibri" w:hAnsi="Calibri" w:cs="Calibri"/>
          <w:sz w:val="22"/>
          <w:szCs w:val="22"/>
        </w:rPr>
        <w:t xml:space="preserve">graph </w:t>
      </w:r>
      <w:r w:rsidR="00496282">
        <w:rPr>
          <w:rFonts w:ascii="Calibri" w:hAnsi="Calibri" w:cs="Calibri"/>
          <w:sz w:val="22"/>
          <w:szCs w:val="22"/>
        </w:rPr>
        <w:t xml:space="preserve">17 </w:t>
      </w:r>
      <w:r w:rsidRPr="0094312C">
        <w:rPr>
          <w:rFonts w:ascii="Calibri" w:hAnsi="Calibri" w:cs="Calibri"/>
          <w:sz w:val="22"/>
          <w:szCs w:val="22"/>
        </w:rPr>
        <w:t xml:space="preserve">to help in securing explicit written payment plans from as many of these as possible, and will report </w:t>
      </w:r>
      <w:r>
        <w:rPr>
          <w:rFonts w:ascii="Calibri" w:hAnsi="Calibri" w:cs="Calibri"/>
          <w:sz w:val="22"/>
          <w:szCs w:val="22"/>
        </w:rPr>
        <w:t xml:space="preserve">the </w:t>
      </w:r>
      <w:r w:rsidRPr="0094312C">
        <w:rPr>
          <w:rFonts w:ascii="Calibri" w:hAnsi="Calibri" w:cs="Calibri"/>
          <w:sz w:val="22"/>
          <w:szCs w:val="22"/>
        </w:rPr>
        <w:t xml:space="preserve">progress </w:t>
      </w:r>
      <w:r>
        <w:rPr>
          <w:rFonts w:ascii="Calibri" w:hAnsi="Calibri" w:cs="Calibri"/>
          <w:sz w:val="22"/>
          <w:szCs w:val="22"/>
        </w:rPr>
        <w:t xml:space="preserve">of each Contracting </w:t>
      </w:r>
      <w:r w:rsidRPr="0094312C">
        <w:rPr>
          <w:rFonts w:ascii="Calibri" w:hAnsi="Calibri" w:cs="Calibri"/>
          <w:sz w:val="22"/>
          <w:szCs w:val="22"/>
        </w:rPr>
        <w:t>Party to the Standing Committee’s 53</w:t>
      </w:r>
      <w:r w:rsidRPr="003C6AAA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  <w:r w:rsidRPr="0094312C">
        <w:rPr>
          <w:rFonts w:ascii="Calibri" w:hAnsi="Calibri" w:cs="Calibri"/>
          <w:sz w:val="22"/>
          <w:szCs w:val="22"/>
        </w:rPr>
        <w:t xml:space="preserve">meeting. It will also engage the new regional representatives on the Subgroup on Finance in this activity. </w:t>
      </w:r>
    </w:p>
    <w:p w:rsidR="00FE4BDA" w:rsidRDefault="00FE4BDA" w:rsidP="00FE4BDA">
      <w:pPr>
        <w:pStyle w:val="ListParagraph"/>
        <w:rPr>
          <w:rFonts w:ascii="Calibri" w:hAnsi="Calibri" w:cs="Calibri"/>
          <w:sz w:val="22"/>
          <w:szCs w:val="22"/>
        </w:rPr>
      </w:pPr>
    </w:p>
    <w:p w:rsidR="00DC3520" w:rsidRPr="00235D06" w:rsidRDefault="00FE4BDA" w:rsidP="00FE4BDA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Special efforts will be focused on the eight Parties which have never paid, </w:t>
      </w:r>
      <w:r w:rsidRPr="0094312C">
        <w:rPr>
          <w:rFonts w:ascii="Calibri" w:hAnsi="Calibri" w:cs="Calibri"/>
          <w:sz w:val="22"/>
          <w:szCs w:val="22"/>
        </w:rPr>
        <w:t>and t</w:t>
      </w:r>
      <w:r>
        <w:rPr>
          <w:rFonts w:ascii="Calibri" w:hAnsi="Calibri" w:cs="Calibri"/>
          <w:sz w:val="22"/>
          <w:szCs w:val="22"/>
        </w:rPr>
        <w:t xml:space="preserve">he four Parties </w:t>
      </w:r>
      <w:r w:rsidRPr="0094312C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 xml:space="preserve">arrears of more than three years </w:t>
      </w:r>
      <w:r w:rsidR="005A05B9">
        <w:rPr>
          <w:rFonts w:ascii="Calibri" w:hAnsi="Calibri" w:cs="Calibri"/>
          <w:sz w:val="22"/>
          <w:szCs w:val="22"/>
        </w:rPr>
        <w:t>tota</w:t>
      </w:r>
      <w:r w:rsidR="00C31D14">
        <w:rPr>
          <w:rFonts w:ascii="Calibri" w:hAnsi="Calibri" w:cs="Calibri"/>
          <w:sz w:val="22"/>
          <w:szCs w:val="22"/>
        </w:rPr>
        <w:t>l</w:t>
      </w:r>
      <w:r w:rsidR="005A05B9">
        <w:rPr>
          <w:rFonts w:ascii="Calibri" w:hAnsi="Calibri" w:cs="Calibri"/>
          <w:sz w:val="22"/>
          <w:szCs w:val="22"/>
        </w:rPr>
        <w:t>ling</w:t>
      </w:r>
      <w:r>
        <w:rPr>
          <w:rFonts w:ascii="Calibri" w:hAnsi="Calibri" w:cs="Calibri"/>
          <w:sz w:val="22"/>
          <w:szCs w:val="22"/>
        </w:rPr>
        <w:t xml:space="preserve"> over </w:t>
      </w:r>
      <w:r w:rsidRPr="0094312C">
        <w:rPr>
          <w:rFonts w:ascii="Calibri" w:hAnsi="Calibri" w:cs="Calibri"/>
          <w:sz w:val="22"/>
          <w:szCs w:val="22"/>
        </w:rPr>
        <w:t>CHF</w:t>
      </w:r>
      <w:r>
        <w:rPr>
          <w:rFonts w:ascii="Calibri" w:hAnsi="Calibri" w:cs="Calibri"/>
          <w:sz w:val="22"/>
          <w:szCs w:val="22"/>
        </w:rPr>
        <w:t xml:space="preserve"> </w:t>
      </w:r>
      <w:r w:rsidRPr="0094312C">
        <w:rPr>
          <w:rFonts w:ascii="Calibri" w:hAnsi="Calibri" w:cs="Calibri"/>
          <w:sz w:val="22"/>
          <w:szCs w:val="22"/>
        </w:rPr>
        <w:t>50,000.</w:t>
      </w:r>
    </w:p>
    <w:p w:rsidR="00235D06" w:rsidRDefault="00235D06" w:rsidP="00235D06">
      <w:pPr>
        <w:pStyle w:val="ListParagraph"/>
        <w:rPr>
          <w:rFonts w:ascii="Calibri" w:hAnsi="Calibri" w:cs="Calibri"/>
          <w:b/>
          <w:color w:val="000000"/>
          <w:sz w:val="26"/>
          <w:szCs w:val="26"/>
        </w:rPr>
      </w:pPr>
    </w:p>
    <w:p w:rsidR="00235D06" w:rsidRDefault="00235D0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D93924" w:rsidRPr="00D93924" w:rsidRDefault="00235D06" w:rsidP="00554FED">
      <w:pPr>
        <w:rPr>
          <w:b/>
        </w:rPr>
      </w:pPr>
      <w:r w:rsidRPr="00235D06">
        <w:rPr>
          <w:rFonts w:ascii="Calibri" w:hAnsi="Calibri" w:cs="Calibri"/>
          <w:b/>
          <w:sz w:val="22"/>
          <w:szCs w:val="22"/>
        </w:rPr>
        <w:lastRenderedPageBreak/>
        <w:t>Annex 1 Membership receivables, 2016 and prior, outstanding as at 29 February 2016</w:t>
      </w:r>
      <w:bookmarkStart w:id="1" w:name="_GoBack"/>
      <w:r w:rsidR="003A09A4" w:rsidRPr="003A09A4">
        <w:drawing>
          <wp:inline distT="0" distB="0" distL="0" distR="0" wp14:anchorId="4CE4A30A" wp14:editId="7A4F90B2">
            <wp:extent cx="5274263" cy="8526483"/>
            <wp:effectExtent l="19050" t="19050" r="22225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318" cy="859285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1"/>
    </w:p>
    <w:sectPr w:rsidR="00D93924" w:rsidRPr="00D93924" w:rsidSect="00C31D14">
      <w:footerReference w:type="default" r:id="rId10"/>
      <w:pgSz w:w="11907" w:h="16840" w:code="9"/>
      <w:pgMar w:top="1440" w:right="1440" w:bottom="1440" w:left="144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FA" w:rsidRDefault="001F24FA">
      <w:r>
        <w:separator/>
      </w:r>
    </w:p>
  </w:endnote>
  <w:endnote w:type="continuationSeparator" w:id="0">
    <w:p w:rsidR="001F24FA" w:rsidRDefault="001F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6D" w:rsidRPr="00F4142F" w:rsidRDefault="00C0756D" w:rsidP="00F4142F">
    <w:pPr>
      <w:pStyle w:val="Footer"/>
      <w:tabs>
        <w:tab w:val="clear" w:pos="8640"/>
        <w:tab w:val="right" w:pos="9072"/>
      </w:tabs>
      <w:rPr>
        <w:rFonts w:asciiTheme="minorHAnsi" w:hAnsiTheme="minorHAnsi"/>
        <w:sz w:val="20"/>
        <w:szCs w:val="20"/>
        <w:lang w:val="en-GB"/>
      </w:rPr>
    </w:pPr>
    <w:r w:rsidRPr="00F4142F">
      <w:rPr>
        <w:rFonts w:asciiTheme="minorHAnsi" w:hAnsiTheme="minorHAnsi"/>
        <w:sz w:val="20"/>
        <w:szCs w:val="20"/>
      </w:rPr>
      <w:t>SC5</w:t>
    </w:r>
    <w:r w:rsidR="00133C00">
      <w:rPr>
        <w:rFonts w:asciiTheme="minorHAnsi" w:hAnsiTheme="minorHAnsi"/>
        <w:sz w:val="20"/>
        <w:szCs w:val="20"/>
      </w:rPr>
      <w:t>2</w:t>
    </w:r>
    <w:r w:rsidRPr="00F4142F">
      <w:rPr>
        <w:rFonts w:asciiTheme="minorHAnsi" w:hAnsiTheme="minorHAnsi"/>
        <w:sz w:val="20"/>
        <w:szCs w:val="20"/>
        <w:lang w:val="en-GB"/>
      </w:rPr>
      <w:t>-</w:t>
    </w:r>
    <w:r>
      <w:rPr>
        <w:rFonts w:asciiTheme="minorHAnsi" w:hAnsiTheme="minorHAnsi"/>
        <w:sz w:val="20"/>
        <w:szCs w:val="20"/>
        <w:lang w:val="en-GB"/>
      </w:rPr>
      <w:t>19</w:t>
    </w:r>
    <w:r w:rsidRPr="00F4142F">
      <w:rPr>
        <w:rFonts w:asciiTheme="minorHAnsi" w:hAnsiTheme="minorHAnsi"/>
        <w:sz w:val="20"/>
        <w:szCs w:val="20"/>
      </w:rPr>
      <w:tab/>
    </w:r>
    <w:r w:rsidRPr="00F4142F">
      <w:rPr>
        <w:rFonts w:asciiTheme="minorHAnsi" w:hAnsiTheme="minorHAnsi"/>
        <w:sz w:val="20"/>
        <w:szCs w:val="20"/>
      </w:rPr>
      <w:tab/>
    </w:r>
    <w:r w:rsidRPr="00F4142F">
      <w:rPr>
        <w:rFonts w:asciiTheme="minorHAnsi" w:hAnsiTheme="minorHAnsi"/>
        <w:sz w:val="20"/>
        <w:szCs w:val="20"/>
      </w:rPr>
      <w:fldChar w:fldCharType="begin"/>
    </w:r>
    <w:r w:rsidRPr="00F4142F">
      <w:rPr>
        <w:rFonts w:asciiTheme="minorHAnsi" w:hAnsiTheme="minorHAnsi"/>
        <w:sz w:val="20"/>
        <w:szCs w:val="20"/>
      </w:rPr>
      <w:instrText xml:space="preserve"> PAGE   \* MERGEFORMAT </w:instrText>
    </w:r>
    <w:r w:rsidRPr="00F4142F">
      <w:rPr>
        <w:rFonts w:asciiTheme="minorHAnsi" w:hAnsiTheme="minorHAnsi"/>
        <w:sz w:val="20"/>
        <w:szCs w:val="20"/>
      </w:rPr>
      <w:fldChar w:fldCharType="separate"/>
    </w:r>
    <w:r w:rsidR="003A09A4">
      <w:rPr>
        <w:rFonts w:asciiTheme="minorHAnsi" w:hAnsiTheme="minorHAnsi"/>
        <w:noProof/>
        <w:sz w:val="20"/>
        <w:szCs w:val="20"/>
      </w:rPr>
      <w:t>4</w:t>
    </w:r>
    <w:r w:rsidRPr="00F4142F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FA" w:rsidRDefault="001F24FA">
      <w:r>
        <w:separator/>
      </w:r>
    </w:p>
  </w:footnote>
  <w:footnote w:type="continuationSeparator" w:id="0">
    <w:p w:rsidR="001F24FA" w:rsidRDefault="001F24FA">
      <w:r>
        <w:continuationSeparator/>
      </w:r>
    </w:p>
  </w:footnote>
  <w:footnote w:id="1">
    <w:p w:rsidR="00C0756D" w:rsidRPr="00314C1E" w:rsidRDefault="00C0756D" w:rsidP="000B26D3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314C1E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14C1E">
        <w:rPr>
          <w:rFonts w:ascii="Calibri" w:hAnsi="Calibri" w:cs="Calibri"/>
          <w:sz w:val="18"/>
          <w:szCs w:val="18"/>
        </w:rPr>
        <w:t xml:space="preserve">  No outstanding contributions are written off. The Standing Committee is advised if a Party expressly advises that it does not recognize their outstanding contributions and/or h</w:t>
      </w:r>
      <w:r>
        <w:rPr>
          <w:rFonts w:ascii="Calibri" w:hAnsi="Calibri" w:cs="Calibri"/>
          <w:sz w:val="18"/>
          <w:szCs w:val="18"/>
        </w:rPr>
        <w:t>as</w:t>
      </w:r>
      <w:r w:rsidRPr="00314C1E">
        <w:rPr>
          <w:rFonts w:ascii="Calibri" w:hAnsi="Calibri" w:cs="Calibri"/>
          <w:sz w:val="18"/>
          <w:szCs w:val="18"/>
        </w:rPr>
        <w:t xml:space="preserve"> no intention of paying them.</w:t>
      </w:r>
    </w:p>
    <w:p w:rsidR="00C0756D" w:rsidRPr="00F322D4" w:rsidRDefault="00C0756D">
      <w:pPr>
        <w:pStyle w:val="FootnoteText"/>
        <w:rPr>
          <w:lang w:val="en-GB"/>
        </w:rPr>
      </w:pPr>
    </w:p>
  </w:footnote>
  <w:footnote w:id="2">
    <w:p w:rsidR="005410BE" w:rsidRPr="002521E9" w:rsidRDefault="005410BE" w:rsidP="005410BE">
      <w:pPr>
        <w:pStyle w:val="FootnoteText"/>
        <w:rPr>
          <w:lang w:val="en-GB"/>
        </w:rPr>
      </w:pPr>
      <w:r w:rsidRPr="004E33DC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4E33DC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  <w:lang w:val="en-GB"/>
        </w:rPr>
        <w:t xml:space="preserve">To be determined at 2016 </w:t>
      </w:r>
      <w:r w:rsidRPr="004E33DC">
        <w:rPr>
          <w:rFonts w:asciiTheme="minorHAnsi" w:hAnsiTheme="minorHAnsi"/>
          <w:sz w:val="18"/>
          <w:szCs w:val="18"/>
          <w:lang w:val="en-GB"/>
        </w:rPr>
        <w:t>year end.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FBE"/>
    <w:multiLevelType w:val="hybridMultilevel"/>
    <w:tmpl w:val="58E2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761D"/>
    <w:multiLevelType w:val="multilevel"/>
    <w:tmpl w:val="3062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F7C17"/>
    <w:multiLevelType w:val="hybridMultilevel"/>
    <w:tmpl w:val="9886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C83"/>
    <w:multiLevelType w:val="hybridMultilevel"/>
    <w:tmpl w:val="76EEF44C"/>
    <w:lvl w:ilvl="0" w:tplc="82E651E0">
      <w:start w:val="23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D1B35"/>
    <w:multiLevelType w:val="multilevel"/>
    <w:tmpl w:val="06FA16E6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A70034"/>
    <w:multiLevelType w:val="multilevel"/>
    <w:tmpl w:val="13E47EEC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9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12D81EF7"/>
    <w:multiLevelType w:val="hybridMultilevel"/>
    <w:tmpl w:val="511646B2"/>
    <w:lvl w:ilvl="0" w:tplc="504CD46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46F1EBA"/>
    <w:multiLevelType w:val="hybridMultilevel"/>
    <w:tmpl w:val="CAA24B7A"/>
    <w:lvl w:ilvl="0" w:tplc="64D6D06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8000"/>
      </w:rPr>
    </w:lvl>
    <w:lvl w:ilvl="1" w:tplc="0504CCC4">
      <w:start w:val="27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61F57F9"/>
    <w:multiLevelType w:val="hybridMultilevel"/>
    <w:tmpl w:val="539E6BDA"/>
    <w:lvl w:ilvl="0" w:tplc="85127A6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8825C01"/>
    <w:multiLevelType w:val="multilevel"/>
    <w:tmpl w:val="B48E5A4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B04305E"/>
    <w:multiLevelType w:val="hybridMultilevel"/>
    <w:tmpl w:val="AA5C1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A65BF"/>
    <w:multiLevelType w:val="hybridMultilevel"/>
    <w:tmpl w:val="2C24EDF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ECD656B"/>
    <w:multiLevelType w:val="multilevel"/>
    <w:tmpl w:val="0826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05F69"/>
    <w:multiLevelType w:val="multilevel"/>
    <w:tmpl w:val="0A7EE9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263045C4"/>
    <w:multiLevelType w:val="hybridMultilevel"/>
    <w:tmpl w:val="6F0E07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7936A9"/>
    <w:multiLevelType w:val="hybridMultilevel"/>
    <w:tmpl w:val="CF14BF58"/>
    <w:lvl w:ilvl="0" w:tplc="76FE7E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73689"/>
    <w:multiLevelType w:val="hybridMultilevel"/>
    <w:tmpl w:val="DD0A4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A3ADA"/>
    <w:multiLevelType w:val="multilevel"/>
    <w:tmpl w:val="EEEC887E"/>
    <w:lvl w:ilvl="0">
      <w:start w:val="14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0D764BD"/>
    <w:multiLevelType w:val="hybridMultilevel"/>
    <w:tmpl w:val="9E7A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07D05"/>
    <w:multiLevelType w:val="hybridMultilevel"/>
    <w:tmpl w:val="D0F4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5161F"/>
    <w:multiLevelType w:val="hybridMultilevel"/>
    <w:tmpl w:val="4006B224"/>
    <w:lvl w:ilvl="0" w:tplc="B44657EA">
      <w:start w:val="2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A5C1222"/>
    <w:multiLevelType w:val="hybridMultilevel"/>
    <w:tmpl w:val="9FCCD8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C16FF4"/>
    <w:multiLevelType w:val="hybridMultilevel"/>
    <w:tmpl w:val="E3CE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818F4"/>
    <w:multiLevelType w:val="hybridMultilevel"/>
    <w:tmpl w:val="06FC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27D5A"/>
    <w:multiLevelType w:val="hybridMultilevel"/>
    <w:tmpl w:val="8174A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CA4CBC"/>
    <w:multiLevelType w:val="multilevel"/>
    <w:tmpl w:val="12FA60AE"/>
    <w:lvl w:ilvl="0">
      <w:start w:val="26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9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6">
    <w:nsid w:val="528A4890"/>
    <w:multiLevelType w:val="multilevel"/>
    <w:tmpl w:val="212E694A"/>
    <w:lvl w:ilvl="0">
      <w:start w:val="2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768043C"/>
    <w:multiLevelType w:val="hybridMultilevel"/>
    <w:tmpl w:val="9B626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C20E6"/>
    <w:multiLevelType w:val="hybridMultilevel"/>
    <w:tmpl w:val="A008FC14"/>
    <w:lvl w:ilvl="0" w:tplc="F38036C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59642D21"/>
    <w:multiLevelType w:val="hybridMultilevel"/>
    <w:tmpl w:val="35BA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B7E6B"/>
    <w:multiLevelType w:val="hybridMultilevel"/>
    <w:tmpl w:val="137E156E"/>
    <w:lvl w:ilvl="0" w:tplc="83A49F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15CFA"/>
    <w:multiLevelType w:val="hybridMultilevel"/>
    <w:tmpl w:val="485E9A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DD2120D"/>
    <w:multiLevelType w:val="multilevel"/>
    <w:tmpl w:val="B256FC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842707"/>
    <w:multiLevelType w:val="multilevel"/>
    <w:tmpl w:val="FAB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DA1EDD"/>
    <w:multiLevelType w:val="hybridMultilevel"/>
    <w:tmpl w:val="3C0289CA"/>
    <w:lvl w:ilvl="0" w:tplc="73CE43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64C34945"/>
    <w:multiLevelType w:val="multilevel"/>
    <w:tmpl w:val="59E28AAA"/>
    <w:lvl w:ilvl="0">
      <w:start w:val="16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7143EAF"/>
    <w:multiLevelType w:val="hybridMultilevel"/>
    <w:tmpl w:val="859AC33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C82AFE"/>
    <w:multiLevelType w:val="hybridMultilevel"/>
    <w:tmpl w:val="3CC0EF2E"/>
    <w:lvl w:ilvl="0" w:tplc="0D5858EE">
      <w:start w:val="12"/>
      <w:numFmt w:val="bullet"/>
      <w:lvlText w:val="-"/>
      <w:lvlJc w:val="left"/>
      <w:pPr>
        <w:tabs>
          <w:tab w:val="num" w:pos="1143"/>
        </w:tabs>
        <w:ind w:left="1143" w:hanging="576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6E935187"/>
    <w:multiLevelType w:val="hybridMultilevel"/>
    <w:tmpl w:val="1BC0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440FA"/>
    <w:multiLevelType w:val="multilevel"/>
    <w:tmpl w:val="082CC88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>
    <w:nsid w:val="73001EA3"/>
    <w:multiLevelType w:val="hybridMultilevel"/>
    <w:tmpl w:val="5470B1F4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115637"/>
    <w:multiLevelType w:val="hybridMultilevel"/>
    <w:tmpl w:val="12767A9A"/>
    <w:lvl w:ilvl="0" w:tplc="CB481C5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E3B665A"/>
    <w:multiLevelType w:val="multilevel"/>
    <w:tmpl w:val="BF584558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40"/>
  </w:num>
  <w:num w:numId="2">
    <w:abstractNumId w:val="21"/>
  </w:num>
  <w:num w:numId="3">
    <w:abstractNumId w:val="24"/>
  </w:num>
  <w:num w:numId="4">
    <w:abstractNumId w:val="16"/>
  </w:num>
  <w:num w:numId="5">
    <w:abstractNumId w:val="32"/>
  </w:num>
  <w:num w:numId="6">
    <w:abstractNumId w:val="37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36"/>
  </w:num>
  <w:num w:numId="12">
    <w:abstractNumId w:val="41"/>
  </w:num>
  <w:num w:numId="13">
    <w:abstractNumId w:val="8"/>
  </w:num>
  <w:num w:numId="14">
    <w:abstractNumId w:val="6"/>
  </w:num>
  <w:num w:numId="15">
    <w:abstractNumId w:val="17"/>
  </w:num>
  <w:num w:numId="16">
    <w:abstractNumId w:val="35"/>
  </w:num>
  <w:num w:numId="17">
    <w:abstractNumId w:val="26"/>
  </w:num>
  <w:num w:numId="18">
    <w:abstractNumId w:val="39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0"/>
  </w:num>
  <w:num w:numId="26">
    <w:abstractNumId w:val="1"/>
  </w:num>
  <w:num w:numId="27">
    <w:abstractNumId w:val="33"/>
  </w:num>
  <w:num w:numId="28">
    <w:abstractNumId w:val="12"/>
  </w:num>
  <w:num w:numId="29">
    <w:abstractNumId w:val="18"/>
  </w:num>
  <w:num w:numId="30">
    <w:abstractNumId w:val="14"/>
  </w:num>
  <w:num w:numId="31">
    <w:abstractNumId w:val="29"/>
  </w:num>
  <w:num w:numId="32">
    <w:abstractNumId w:val="19"/>
  </w:num>
  <w:num w:numId="33">
    <w:abstractNumId w:val="34"/>
  </w:num>
  <w:num w:numId="34">
    <w:abstractNumId w:val="22"/>
  </w:num>
  <w:num w:numId="35">
    <w:abstractNumId w:val="0"/>
  </w:num>
  <w:num w:numId="36">
    <w:abstractNumId w:val="10"/>
  </w:num>
  <w:num w:numId="37">
    <w:abstractNumId w:val="38"/>
  </w:num>
  <w:num w:numId="38">
    <w:abstractNumId w:val="23"/>
  </w:num>
  <w:num w:numId="39">
    <w:abstractNumId w:val="30"/>
  </w:num>
  <w:num w:numId="40">
    <w:abstractNumId w:val="11"/>
  </w:num>
  <w:num w:numId="41">
    <w:abstractNumId w:val="28"/>
  </w:num>
  <w:num w:numId="42">
    <w:abstractNumId w:val="27"/>
  </w:num>
  <w:num w:numId="43">
    <w:abstractNumId w:val="3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33"/>
    <w:rsid w:val="00000D9D"/>
    <w:rsid w:val="00004FD1"/>
    <w:rsid w:val="00006AED"/>
    <w:rsid w:val="0002556B"/>
    <w:rsid w:val="000334A3"/>
    <w:rsid w:val="00044588"/>
    <w:rsid w:val="000A30EF"/>
    <w:rsid w:val="000A7157"/>
    <w:rsid w:val="000A7CDB"/>
    <w:rsid w:val="000B26D3"/>
    <w:rsid w:val="000C3E5D"/>
    <w:rsid w:val="000F729D"/>
    <w:rsid w:val="0010113F"/>
    <w:rsid w:val="00133C00"/>
    <w:rsid w:val="00150DBB"/>
    <w:rsid w:val="0015666F"/>
    <w:rsid w:val="001667B3"/>
    <w:rsid w:val="00167933"/>
    <w:rsid w:val="001923A5"/>
    <w:rsid w:val="0019401F"/>
    <w:rsid w:val="001C7D04"/>
    <w:rsid w:val="001D03B1"/>
    <w:rsid w:val="001E78AC"/>
    <w:rsid w:val="001F24FA"/>
    <w:rsid w:val="00204E8C"/>
    <w:rsid w:val="00211D5E"/>
    <w:rsid w:val="00223492"/>
    <w:rsid w:val="00235D06"/>
    <w:rsid w:val="00241FA1"/>
    <w:rsid w:val="002521E9"/>
    <w:rsid w:val="0025756D"/>
    <w:rsid w:val="002604E6"/>
    <w:rsid w:val="00260AF4"/>
    <w:rsid w:val="00262C9D"/>
    <w:rsid w:val="00285449"/>
    <w:rsid w:val="00290A83"/>
    <w:rsid w:val="002B2B86"/>
    <w:rsid w:val="002D0441"/>
    <w:rsid w:val="002E257F"/>
    <w:rsid w:val="002E3881"/>
    <w:rsid w:val="002E73A8"/>
    <w:rsid w:val="00314C1E"/>
    <w:rsid w:val="00370EDC"/>
    <w:rsid w:val="00391E0E"/>
    <w:rsid w:val="00393420"/>
    <w:rsid w:val="003A09A4"/>
    <w:rsid w:val="003B7B1C"/>
    <w:rsid w:val="003C6AAA"/>
    <w:rsid w:val="003E3C96"/>
    <w:rsid w:val="003F309D"/>
    <w:rsid w:val="003F7A3B"/>
    <w:rsid w:val="00427F1F"/>
    <w:rsid w:val="00494E10"/>
    <w:rsid w:val="00496282"/>
    <w:rsid w:val="004E33DC"/>
    <w:rsid w:val="005100CD"/>
    <w:rsid w:val="00520248"/>
    <w:rsid w:val="00537DC2"/>
    <w:rsid w:val="005410BE"/>
    <w:rsid w:val="00554FED"/>
    <w:rsid w:val="005A05B9"/>
    <w:rsid w:val="005C1815"/>
    <w:rsid w:val="005F2612"/>
    <w:rsid w:val="005F6979"/>
    <w:rsid w:val="006018B5"/>
    <w:rsid w:val="00607E86"/>
    <w:rsid w:val="0062018C"/>
    <w:rsid w:val="00641C7B"/>
    <w:rsid w:val="00667479"/>
    <w:rsid w:val="00684539"/>
    <w:rsid w:val="0069724F"/>
    <w:rsid w:val="006B5AD8"/>
    <w:rsid w:val="006F53E8"/>
    <w:rsid w:val="0070040D"/>
    <w:rsid w:val="0072177A"/>
    <w:rsid w:val="007242AE"/>
    <w:rsid w:val="0073092B"/>
    <w:rsid w:val="0075705E"/>
    <w:rsid w:val="007654CB"/>
    <w:rsid w:val="00766996"/>
    <w:rsid w:val="00770B39"/>
    <w:rsid w:val="00771A59"/>
    <w:rsid w:val="007826E0"/>
    <w:rsid w:val="00792244"/>
    <w:rsid w:val="007B728C"/>
    <w:rsid w:val="007B7C95"/>
    <w:rsid w:val="007C5B75"/>
    <w:rsid w:val="007E1DC6"/>
    <w:rsid w:val="007E4D5D"/>
    <w:rsid w:val="007F00A9"/>
    <w:rsid w:val="007F2E09"/>
    <w:rsid w:val="00811D49"/>
    <w:rsid w:val="00812D10"/>
    <w:rsid w:val="00856D0E"/>
    <w:rsid w:val="00866C39"/>
    <w:rsid w:val="00876450"/>
    <w:rsid w:val="00882A11"/>
    <w:rsid w:val="008B2880"/>
    <w:rsid w:val="008C40C7"/>
    <w:rsid w:val="008D6FBA"/>
    <w:rsid w:val="008E3EAD"/>
    <w:rsid w:val="008E5000"/>
    <w:rsid w:val="00920234"/>
    <w:rsid w:val="0094312C"/>
    <w:rsid w:val="00945D26"/>
    <w:rsid w:val="00950216"/>
    <w:rsid w:val="00964BCB"/>
    <w:rsid w:val="009773EC"/>
    <w:rsid w:val="009832C2"/>
    <w:rsid w:val="00990872"/>
    <w:rsid w:val="009A5BF0"/>
    <w:rsid w:val="009B1070"/>
    <w:rsid w:val="00A072F1"/>
    <w:rsid w:val="00A14A5A"/>
    <w:rsid w:val="00A5446F"/>
    <w:rsid w:val="00A7416E"/>
    <w:rsid w:val="00A86E76"/>
    <w:rsid w:val="00A91525"/>
    <w:rsid w:val="00AA1F6B"/>
    <w:rsid w:val="00AA4A7C"/>
    <w:rsid w:val="00AA5278"/>
    <w:rsid w:val="00AA66B9"/>
    <w:rsid w:val="00AD067B"/>
    <w:rsid w:val="00AD3D9E"/>
    <w:rsid w:val="00AE6E7B"/>
    <w:rsid w:val="00AF520E"/>
    <w:rsid w:val="00B306C4"/>
    <w:rsid w:val="00B40201"/>
    <w:rsid w:val="00B44A64"/>
    <w:rsid w:val="00B469E0"/>
    <w:rsid w:val="00B51787"/>
    <w:rsid w:val="00B6362D"/>
    <w:rsid w:val="00B6767E"/>
    <w:rsid w:val="00BA1BFB"/>
    <w:rsid w:val="00BC697D"/>
    <w:rsid w:val="00BD4BC8"/>
    <w:rsid w:val="00BF2CA4"/>
    <w:rsid w:val="00C0756D"/>
    <w:rsid w:val="00C160EF"/>
    <w:rsid w:val="00C24E73"/>
    <w:rsid w:val="00C31D14"/>
    <w:rsid w:val="00C34133"/>
    <w:rsid w:val="00C37DBB"/>
    <w:rsid w:val="00C60110"/>
    <w:rsid w:val="00C87DC0"/>
    <w:rsid w:val="00C94FA8"/>
    <w:rsid w:val="00CA0CD7"/>
    <w:rsid w:val="00CA2889"/>
    <w:rsid w:val="00D12369"/>
    <w:rsid w:val="00D20DBE"/>
    <w:rsid w:val="00D2373F"/>
    <w:rsid w:val="00D628EC"/>
    <w:rsid w:val="00D93924"/>
    <w:rsid w:val="00DA678C"/>
    <w:rsid w:val="00DB7369"/>
    <w:rsid w:val="00DC3520"/>
    <w:rsid w:val="00DC7529"/>
    <w:rsid w:val="00DD29C8"/>
    <w:rsid w:val="00DF4E55"/>
    <w:rsid w:val="00E10E30"/>
    <w:rsid w:val="00E12DD0"/>
    <w:rsid w:val="00E223AA"/>
    <w:rsid w:val="00E24952"/>
    <w:rsid w:val="00E33904"/>
    <w:rsid w:val="00E60DC9"/>
    <w:rsid w:val="00E7310F"/>
    <w:rsid w:val="00EA549C"/>
    <w:rsid w:val="00EB63F1"/>
    <w:rsid w:val="00ED12DF"/>
    <w:rsid w:val="00ED3823"/>
    <w:rsid w:val="00ED7B50"/>
    <w:rsid w:val="00F36482"/>
    <w:rsid w:val="00F4142F"/>
    <w:rsid w:val="00F7129C"/>
    <w:rsid w:val="00F841FC"/>
    <w:rsid w:val="00FB72DE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64A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D63F69"/>
    <w:pPr>
      <w:keepNext/>
      <w:jc w:val="right"/>
      <w:outlineLvl w:val="2"/>
    </w:pPr>
    <w:rPr>
      <w:rFonts w:ascii="Garamond" w:eastAsia="Times New Roman" w:hAnsi="Garamond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6CF8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semiHidden/>
    <w:rsid w:val="00E45C25"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rsid w:val="006F4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4F21"/>
  </w:style>
  <w:style w:type="character" w:styleId="CommentReference">
    <w:name w:val="annotation reference"/>
    <w:basedOn w:val="DefaultParagraphFont"/>
    <w:semiHidden/>
    <w:rsid w:val="001F2842"/>
    <w:rPr>
      <w:sz w:val="16"/>
      <w:szCs w:val="16"/>
    </w:rPr>
  </w:style>
  <w:style w:type="paragraph" w:styleId="CommentText">
    <w:name w:val="annotation text"/>
    <w:basedOn w:val="Normal"/>
    <w:semiHidden/>
    <w:rsid w:val="001F28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842"/>
    <w:rPr>
      <w:b/>
      <w:bCs/>
    </w:rPr>
  </w:style>
  <w:style w:type="paragraph" w:styleId="FootnoteText">
    <w:name w:val="footnote text"/>
    <w:basedOn w:val="Normal"/>
    <w:semiHidden/>
    <w:rsid w:val="00C22C9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22C9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F381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E536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536CA"/>
  </w:style>
  <w:style w:type="character" w:styleId="EndnoteReference">
    <w:name w:val="endnote reference"/>
    <w:basedOn w:val="DefaultParagraphFont"/>
    <w:rsid w:val="00E536CA"/>
    <w:rPr>
      <w:vertAlign w:val="superscript"/>
    </w:rPr>
  </w:style>
  <w:style w:type="paragraph" w:customStyle="1" w:styleId="Default">
    <w:name w:val="Default"/>
    <w:rsid w:val="00E536C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FF77D6"/>
    <w:pPr>
      <w:ind w:left="720"/>
    </w:pPr>
  </w:style>
  <w:style w:type="table" w:styleId="TableGrid">
    <w:name w:val="Table Grid"/>
    <w:basedOn w:val="TableNormal"/>
    <w:rsid w:val="0005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26EFC"/>
    <w:rPr>
      <w:b/>
      <w:bCs/>
      <w:i w:val="0"/>
      <w:iCs w:val="0"/>
    </w:rPr>
  </w:style>
  <w:style w:type="character" w:customStyle="1" w:styleId="st1">
    <w:name w:val="st1"/>
    <w:basedOn w:val="DefaultParagraphFont"/>
    <w:rsid w:val="00326EFC"/>
  </w:style>
  <w:style w:type="character" w:styleId="Hyperlink">
    <w:name w:val="Hyperlink"/>
    <w:basedOn w:val="DefaultParagraphFont"/>
    <w:rsid w:val="00326EFC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F5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2E2A6A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242A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33904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C94FA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4142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64A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D63F69"/>
    <w:pPr>
      <w:keepNext/>
      <w:jc w:val="right"/>
      <w:outlineLvl w:val="2"/>
    </w:pPr>
    <w:rPr>
      <w:rFonts w:ascii="Garamond" w:eastAsia="Times New Roman" w:hAnsi="Garamond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6CF8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semiHidden/>
    <w:rsid w:val="00E45C25"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rsid w:val="006F4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4F21"/>
  </w:style>
  <w:style w:type="character" w:styleId="CommentReference">
    <w:name w:val="annotation reference"/>
    <w:basedOn w:val="DefaultParagraphFont"/>
    <w:semiHidden/>
    <w:rsid w:val="001F2842"/>
    <w:rPr>
      <w:sz w:val="16"/>
      <w:szCs w:val="16"/>
    </w:rPr>
  </w:style>
  <w:style w:type="paragraph" w:styleId="CommentText">
    <w:name w:val="annotation text"/>
    <w:basedOn w:val="Normal"/>
    <w:semiHidden/>
    <w:rsid w:val="001F28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842"/>
    <w:rPr>
      <w:b/>
      <w:bCs/>
    </w:rPr>
  </w:style>
  <w:style w:type="paragraph" w:styleId="FootnoteText">
    <w:name w:val="footnote text"/>
    <w:basedOn w:val="Normal"/>
    <w:semiHidden/>
    <w:rsid w:val="00C22C9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22C9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F381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E536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536CA"/>
  </w:style>
  <w:style w:type="character" w:styleId="EndnoteReference">
    <w:name w:val="endnote reference"/>
    <w:basedOn w:val="DefaultParagraphFont"/>
    <w:rsid w:val="00E536CA"/>
    <w:rPr>
      <w:vertAlign w:val="superscript"/>
    </w:rPr>
  </w:style>
  <w:style w:type="paragraph" w:customStyle="1" w:styleId="Default">
    <w:name w:val="Default"/>
    <w:rsid w:val="00E536C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FF77D6"/>
    <w:pPr>
      <w:ind w:left="720"/>
    </w:pPr>
  </w:style>
  <w:style w:type="table" w:styleId="TableGrid">
    <w:name w:val="Table Grid"/>
    <w:basedOn w:val="TableNormal"/>
    <w:rsid w:val="0005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26EFC"/>
    <w:rPr>
      <w:b/>
      <w:bCs/>
      <w:i w:val="0"/>
      <w:iCs w:val="0"/>
    </w:rPr>
  </w:style>
  <w:style w:type="character" w:customStyle="1" w:styleId="st1">
    <w:name w:val="st1"/>
    <w:basedOn w:val="DefaultParagraphFont"/>
    <w:rsid w:val="00326EFC"/>
  </w:style>
  <w:style w:type="character" w:styleId="Hyperlink">
    <w:name w:val="Hyperlink"/>
    <w:basedOn w:val="DefaultParagraphFont"/>
    <w:rsid w:val="00326EFC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F5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2E2A6A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242A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33904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C94FA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4142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D4F89-AF95-45A4-AE3A-7BF68DC9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936</Words>
  <Characters>4813</Characters>
  <Application>Microsoft Office Word</Application>
  <DocSecurity>0</DocSecurity>
  <Lines>209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IUCN</Company>
  <LinksUpToDate>false</LinksUpToDate>
  <CharactersWithSpaces>5606</CharactersWithSpaces>
  <SharedDoc>false</SharedDoc>
  <HLinks>
    <vt:vector size="6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http://apps.who.int/gb/fctc/PDF/cop5/FCTC_COP5_21-en.pdf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Marsel Kuzyakov</dc:creator>
  <cp:lastModifiedBy>Ramsar\JenningsE</cp:lastModifiedBy>
  <cp:revision>4</cp:revision>
  <cp:lastPrinted>2016-03-10T10:05:00Z</cp:lastPrinted>
  <dcterms:created xsi:type="dcterms:W3CDTF">2016-03-10T18:49:00Z</dcterms:created>
  <dcterms:modified xsi:type="dcterms:W3CDTF">2016-03-14T15:27:00Z</dcterms:modified>
</cp:coreProperties>
</file>