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A8224" w14:textId="1EE48565" w:rsidR="00FA0A55" w:rsidRPr="00701888" w:rsidRDefault="00FA0A55" w:rsidP="00FA0A55">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bookmarkStart w:id="0" w:name="OLE_LINK1"/>
      <w:r w:rsidRPr="00701888">
        <w:rPr>
          <w:rFonts w:asciiTheme="minorHAnsi" w:hAnsiTheme="minorHAnsi" w:cstheme="minorHAnsi"/>
          <w:bCs/>
          <w:lang w:val="es-ES_tradnl"/>
        </w:rPr>
        <w:t>CONVENCIÓN SOBRE LOS HUMEDALES (Ramsar, Irán, 1971)</w:t>
      </w:r>
    </w:p>
    <w:p w14:paraId="141F6DAE" w14:textId="77777777" w:rsidR="00FA0A55" w:rsidRPr="00701888" w:rsidRDefault="00FA0A55" w:rsidP="00FA0A55">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r w:rsidRPr="00701888">
        <w:rPr>
          <w:rFonts w:asciiTheme="minorHAnsi" w:hAnsiTheme="minorHAnsi" w:cstheme="minorHAnsi"/>
          <w:bCs/>
          <w:lang w:val="es-ES_tradnl"/>
        </w:rPr>
        <w:t xml:space="preserve">52ª Reunión del Comité Permanente </w:t>
      </w:r>
    </w:p>
    <w:p w14:paraId="03F772BE" w14:textId="0199B95F" w:rsidR="0056312E" w:rsidRPr="00701888" w:rsidRDefault="00FA0A55" w:rsidP="00FA0A55">
      <w:pPr>
        <w:pBdr>
          <w:top w:val="single" w:sz="12" w:space="0" w:color="auto" w:shadow="1"/>
          <w:left w:val="single" w:sz="12" w:space="4" w:color="auto" w:shadow="1"/>
          <w:bottom w:val="single" w:sz="12" w:space="0" w:color="auto" w:shadow="1"/>
          <w:right w:val="single" w:sz="12" w:space="0" w:color="auto" w:shadow="1"/>
        </w:pBdr>
        <w:ind w:right="2790"/>
        <w:rPr>
          <w:rFonts w:asciiTheme="minorHAnsi" w:hAnsiTheme="minorHAnsi" w:cstheme="minorHAnsi"/>
          <w:bCs/>
          <w:lang w:val="es-ES_tradnl"/>
        </w:rPr>
      </w:pPr>
      <w:r w:rsidRPr="00701888">
        <w:rPr>
          <w:rFonts w:asciiTheme="minorHAnsi" w:hAnsiTheme="minorHAnsi" w:cstheme="minorHAnsi"/>
          <w:bCs/>
          <w:lang w:val="es-ES_tradnl"/>
        </w:rPr>
        <w:t>Gland, Suiza, 13 a 17 de junio de 2016</w:t>
      </w:r>
    </w:p>
    <w:p w14:paraId="6D2CBF68" w14:textId="77777777" w:rsidR="0056312E" w:rsidRPr="00701888" w:rsidRDefault="0056312E" w:rsidP="0056312E">
      <w:pPr>
        <w:keepNext/>
        <w:suppressAutoHyphens/>
        <w:outlineLvl w:val="0"/>
        <w:rPr>
          <w:rFonts w:ascii="Calibri" w:hAnsi="Calibri"/>
          <w:b/>
          <w:sz w:val="22"/>
          <w:szCs w:val="22"/>
          <w:lang w:val="es-ES_tradnl"/>
        </w:rPr>
      </w:pPr>
    </w:p>
    <w:p w14:paraId="68B7E979" w14:textId="33D2B15F" w:rsidR="0056312E" w:rsidRPr="00701888" w:rsidRDefault="0056312E" w:rsidP="0056312E">
      <w:pPr>
        <w:keepNext/>
        <w:suppressAutoHyphens/>
        <w:jc w:val="right"/>
        <w:outlineLvl w:val="0"/>
        <w:rPr>
          <w:rFonts w:asciiTheme="minorHAnsi" w:hAnsiTheme="minorHAnsi"/>
          <w:b/>
          <w:sz w:val="28"/>
          <w:szCs w:val="28"/>
          <w:lang w:val="es-ES_tradnl"/>
        </w:rPr>
      </w:pPr>
      <w:r w:rsidRPr="00701888">
        <w:rPr>
          <w:rFonts w:asciiTheme="minorHAnsi" w:hAnsiTheme="minorHAnsi"/>
          <w:b/>
          <w:sz w:val="28"/>
          <w:szCs w:val="28"/>
          <w:lang w:val="es-ES_tradnl"/>
        </w:rPr>
        <w:t>SC</w:t>
      </w:r>
      <w:r w:rsidR="00E72D40" w:rsidRPr="00701888">
        <w:rPr>
          <w:rFonts w:asciiTheme="minorHAnsi" w:hAnsiTheme="minorHAnsi"/>
          <w:b/>
          <w:sz w:val="28"/>
          <w:szCs w:val="28"/>
          <w:lang w:val="es-ES_tradnl"/>
        </w:rPr>
        <w:t>52</w:t>
      </w:r>
      <w:r w:rsidRPr="00701888">
        <w:rPr>
          <w:rFonts w:asciiTheme="minorHAnsi" w:hAnsiTheme="minorHAnsi"/>
          <w:b/>
          <w:sz w:val="28"/>
          <w:szCs w:val="28"/>
          <w:lang w:val="es-ES_tradnl"/>
        </w:rPr>
        <w:t>-</w:t>
      </w:r>
      <w:bookmarkEnd w:id="0"/>
      <w:r w:rsidR="00E72D40" w:rsidRPr="00701888">
        <w:rPr>
          <w:rFonts w:asciiTheme="minorHAnsi" w:hAnsiTheme="minorHAnsi"/>
          <w:b/>
          <w:sz w:val="28"/>
          <w:szCs w:val="28"/>
          <w:lang w:val="es-ES_tradnl"/>
        </w:rPr>
        <w:t>18</w:t>
      </w:r>
      <w:r w:rsidR="00F937F1" w:rsidRPr="00701888">
        <w:rPr>
          <w:rFonts w:asciiTheme="minorHAnsi" w:hAnsiTheme="minorHAnsi"/>
          <w:b/>
          <w:sz w:val="28"/>
          <w:szCs w:val="28"/>
          <w:lang w:val="es-ES_tradnl"/>
        </w:rPr>
        <w:t xml:space="preserve"> R</w:t>
      </w:r>
      <w:r w:rsidR="002524D9">
        <w:rPr>
          <w:rFonts w:asciiTheme="minorHAnsi" w:hAnsiTheme="minorHAnsi"/>
          <w:b/>
          <w:sz w:val="28"/>
          <w:szCs w:val="28"/>
          <w:lang w:val="es-ES_tradnl"/>
        </w:rPr>
        <w:t>ev</w:t>
      </w:r>
      <w:r w:rsidR="00F937F1" w:rsidRPr="00701888">
        <w:rPr>
          <w:rFonts w:asciiTheme="minorHAnsi" w:hAnsiTheme="minorHAnsi"/>
          <w:b/>
          <w:sz w:val="28"/>
          <w:szCs w:val="28"/>
          <w:lang w:val="es-ES_tradnl"/>
        </w:rPr>
        <w:t>.1</w:t>
      </w:r>
    </w:p>
    <w:p w14:paraId="7284A7FD" w14:textId="77777777" w:rsidR="0056312E" w:rsidRPr="00701888" w:rsidRDefault="0056312E" w:rsidP="0056312E">
      <w:pPr>
        <w:rPr>
          <w:rFonts w:asciiTheme="minorHAnsi" w:hAnsiTheme="minorHAnsi"/>
          <w:sz w:val="28"/>
          <w:szCs w:val="28"/>
          <w:lang w:val="es-ES_tradnl"/>
        </w:rPr>
      </w:pPr>
    </w:p>
    <w:p w14:paraId="662D775D" w14:textId="1DA732E0" w:rsidR="0056312E" w:rsidRPr="00701888" w:rsidRDefault="00FA0A55" w:rsidP="00CD1518">
      <w:pPr>
        <w:jc w:val="center"/>
        <w:rPr>
          <w:rFonts w:asciiTheme="minorHAnsi" w:eastAsia="Times New Roman" w:hAnsiTheme="minorHAnsi" w:cs="Calibri"/>
          <w:b/>
          <w:bCs/>
          <w:color w:val="000000"/>
          <w:sz w:val="28"/>
          <w:szCs w:val="28"/>
          <w:lang w:val="es-ES_tradnl"/>
        </w:rPr>
      </w:pPr>
      <w:r w:rsidRPr="00701888">
        <w:rPr>
          <w:rFonts w:asciiTheme="minorHAnsi" w:eastAsia="Times New Roman" w:hAnsiTheme="minorHAnsi" w:cs="Calibri"/>
          <w:b/>
          <w:bCs/>
          <w:color w:val="000000"/>
          <w:sz w:val="28"/>
          <w:szCs w:val="28"/>
          <w:lang w:val="es-ES_tradnl"/>
        </w:rPr>
        <w:t>Cuestiones financieras de R</w:t>
      </w:r>
      <w:r w:rsidR="0056312E" w:rsidRPr="00701888">
        <w:rPr>
          <w:rFonts w:asciiTheme="minorHAnsi" w:eastAsia="Times New Roman" w:hAnsiTheme="minorHAnsi" w:cs="Calibri"/>
          <w:b/>
          <w:bCs/>
          <w:color w:val="000000"/>
          <w:sz w:val="28"/>
          <w:szCs w:val="28"/>
          <w:lang w:val="es-ES_tradnl"/>
        </w:rPr>
        <w:t xml:space="preserve">amsar </w:t>
      </w:r>
      <w:r w:rsidR="00BC59B6" w:rsidRPr="00701888">
        <w:rPr>
          <w:rFonts w:asciiTheme="minorHAnsi" w:eastAsia="Times New Roman" w:hAnsiTheme="minorHAnsi" w:cs="Calibri"/>
          <w:b/>
          <w:bCs/>
          <w:color w:val="000000"/>
          <w:sz w:val="28"/>
          <w:szCs w:val="28"/>
          <w:lang w:val="es-ES_tradnl"/>
        </w:rPr>
        <w:t>2014/</w:t>
      </w:r>
      <w:r w:rsidR="0056312E" w:rsidRPr="00701888">
        <w:rPr>
          <w:rFonts w:asciiTheme="minorHAnsi" w:eastAsia="Times New Roman" w:hAnsiTheme="minorHAnsi" w:cs="Calibri"/>
          <w:b/>
          <w:bCs/>
          <w:color w:val="000000"/>
          <w:sz w:val="28"/>
          <w:szCs w:val="28"/>
          <w:lang w:val="es-ES_tradnl"/>
        </w:rPr>
        <w:t>20</w:t>
      </w:r>
      <w:r w:rsidR="009D28C3" w:rsidRPr="00701888">
        <w:rPr>
          <w:rFonts w:asciiTheme="minorHAnsi" w:eastAsia="Times New Roman" w:hAnsiTheme="minorHAnsi" w:cs="Calibri"/>
          <w:b/>
          <w:bCs/>
          <w:color w:val="000000"/>
          <w:sz w:val="28"/>
          <w:szCs w:val="28"/>
          <w:lang w:val="es-ES_tradnl"/>
        </w:rPr>
        <w:t>15</w:t>
      </w:r>
    </w:p>
    <w:p w14:paraId="79491EB2" w14:textId="77777777" w:rsidR="00CD1518" w:rsidRPr="00701888" w:rsidRDefault="00CD1518" w:rsidP="0056312E">
      <w:pPr>
        <w:rPr>
          <w:rFonts w:ascii="Calibri" w:hAnsi="Calibri"/>
          <w:b/>
          <w:iCs/>
          <w:sz w:val="22"/>
          <w:szCs w:val="22"/>
          <w:highlight w:val="yellow"/>
          <w:lang w:val="es-ES_tradnl"/>
        </w:rPr>
      </w:pPr>
    </w:p>
    <w:p w14:paraId="052B92CC" w14:textId="77777777" w:rsidR="0056312E" w:rsidRPr="00701888" w:rsidRDefault="00432445" w:rsidP="0056312E">
      <w:pPr>
        <w:ind w:left="540" w:hanging="540"/>
        <w:rPr>
          <w:rFonts w:ascii="Calibri" w:hAnsi="Calibri"/>
          <w:sz w:val="22"/>
          <w:szCs w:val="22"/>
          <w:lang w:val="es-ES_tradnl"/>
        </w:rPr>
      </w:pPr>
      <w:r w:rsidRPr="00701888">
        <w:rPr>
          <w:rFonts w:ascii="Calibri" w:hAnsi="Calibri"/>
          <w:noProof/>
          <w:sz w:val="22"/>
          <w:szCs w:val="22"/>
          <w:lang w:val="en-GB" w:eastAsia="en-GB"/>
        </w:rPr>
        <mc:AlternateContent>
          <mc:Choice Requires="wps">
            <w:drawing>
              <wp:inline distT="0" distB="0" distL="0" distR="0" wp14:anchorId="15E02780" wp14:editId="46AB17A6">
                <wp:extent cx="5728970" cy="1440873"/>
                <wp:effectExtent l="0" t="0" r="36830" b="323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1440873"/>
                        </a:xfrm>
                        <a:prstGeom prst="rect">
                          <a:avLst/>
                        </a:prstGeom>
                        <a:solidFill>
                          <a:srgbClr val="FFFFFF"/>
                        </a:solidFill>
                        <a:ln w="9525">
                          <a:solidFill>
                            <a:srgbClr val="000000"/>
                          </a:solidFill>
                          <a:miter lim="800000"/>
                          <a:headEnd/>
                          <a:tailEnd/>
                        </a:ln>
                      </wps:spPr>
                      <wps:txbx>
                        <w:txbxContent>
                          <w:p w14:paraId="564F7E57" w14:textId="77777777" w:rsidR="000476A8" w:rsidRPr="0016691A" w:rsidRDefault="000476A8" w:rsidP="00FA0A55">
                            <w:pPr>
                              <w:rPr>
                                <w:rFonts w:ascii="Calibri" w:hAnsi="Calibri"/>
                                <w:b/>
                                <w:bCs/>
                                <w:sz w:val="22"/>
                                <w:szCs w:val="22"/>
                                <w:lang w:val="es-ES_tradnl"/>
                              </w:rPr>
                            </w:pPr>
                            <w:r w:rsidRPr="0016691A">
                              <w:rPr>
                                <w:rFonts w:ascii="Calibri" w:hAnsi="Calibri"/>
                                <w:b/>
                                <w:bCs/>
                                <w:sz w:val="22"/>
                                <w:szCs w:val="22"/>
                                <w:lang w:val="es-ES_tradnl"/>
                              </w:rPr>
                              <w:t xml:space="preserve">Acciones solicitadas: </w:t>
                            </w:r>
                          </w:p>
                          <w:p w14:paraId="5A9AE9F0" w14:textId="77777777" w:rsidR="000476A8" w:rsidRPr="0016691A" w:rsidRDefault="000476A8" w:rsidP="004F0663">
                            <w:pPr>
                              <w:ind w:left="1135" w:hanging="1135"/>
                              <w:rPr>
                                <w:rFonts w:ascii="Calibri" w:hAnsi="Calibri"/>
                                <w:sz w:val="22"/>
                                <w:szCs w:val="22"/>
                                <w:lang w:val="es-ES_tradnl"/>
                              </w:rPr>
                            </w:pPr>
                            <w:r w:rsidRPr="0016691A">
                              <w:rPr>
                                <w:rFonts w:ascii="Calibri" w:hAnsi="Calibri"/>
                                <w:sz w:val="22"/>
                                <w:szCs w:val="22"/>
                                <w:lang w:val="es-ES_tradnl"/>
                              </w:rPr>
                              <w:t>Se invita al Comité Permanente a tomar nota del contenido del presente informe y a:</w:t>
                            </w:r>
                          </w:p>
                          <w:p w14:paraId="0E490376" w14:textId="3691DF9D" w:rsidR="000476A8" w:rsidRPr="0016691A" w:rsidRDefault="000476A8" w:rsidP="00102FC1">
                            <w:pPr>
                              <w:pStyle w:val="ListParagraph"/>
                              <w:numPr>
                                <w:ilvl w:val="1"/>
                                <w:numId w:val="1"/>
                              </w:numPr>
                              <w:ind w:left="851" w:hanging="425"/>
                              <w:rPr>
                                <w:rFonts w:ascii="Calibri" w:hAnsi="Calibri"/>
                                <w:sz w:val="22"/>
                                <w:szCs w:val="22"/>
                                <w:lang w:val="es-ES_tradnl"/>
                              </w:rPr>
                            </w:pPr>
                            <w:r w:rsidRPr="0016691A">
                              <w:rPr>
                                <w:rFonts w:ascii="Calibri" w:hAnsi="Calibri"/>
                                <w:sz w:val="22"/>
                                <w:szCs w:val="22"/>
                                <w:lang w:val="es-ES_tradnl"/>
                              </w:rPr>
                              <w:t xml:space="preserve"> revisar las asignaciones del excedente de 2014 y aprobar la aplicación del excedente restante de 6.000 francos suizos; y</w:t>
                            </w:r>
                          </w:p>
                          <w:p w14:paraId="221687F5" w14:textId="1F6542E8" w:rsidR="000476A8" w:rsidRPr="0016691A" w:rsidRDefault="000476A8" w:rsidP="00450ADD">
                            <w:pPr>
                              <w:pStyle w:val="ListParagraph"/>
                              <w:numPr>
                                <w:ilvl w:val="1"/>
                                <w:numId w:val="1"/>
                              </w:numPr>
                              <w:ind w:left="851" w:hanging="425"/>
                              <w:rPr>
                                <w:rFonts w:ascii="Calibri" w:hAnsi="Calibri"/>
                                <w:sz w:val="22"/>
                                <w:szCs w:val="22"/>
                                <w:lang w:val="es-ES_tradnl"/>
                              </w:rPr>
                            </w:pPr>
                            <w:r w:rsidRPr="0016691A">
                              <w:rPr>
                                <w:rFonts w:ascii="Calibri" w:hAnsi="Calibri"/>
                                <w:sz w:val="22"/>
                                <w:szCs w:val="22"/>
                                <w:lang w:val="es-ES_tradnl"/>
                              </w:rPr>
                              <w:t>estudiar el proyecto</w:t>
                            </w:r>
                            <w:r>
                              <w:rPr>
                                <w:rFonts w:ascii="Calibri" w:hAnsi="Calibri"/>
                                <w:sz w:val="22"/>
                                <w:szCs w:val="22"/>
                                <w:lang w:val="es-ES_tradnl"/>
                              </w:rPr>
                              <w:t xml:space="preserve"> adjunto</w:t>
                            </w:r>
                            <w:r w:rsidRPr="0016691A">
                              <w:rPr>
                                <w:rFonts w:ascii="Calibri" w:hAnsi="Calibri"/>
                                <w:sz w:val="22"/>
                                <w:szCs w:val="22"/>
                                <w:lang w:val="es-ES_tradnl"/>
                              </w:rPr>
                              <w:t xml:space="preserve"> de estados financieros de 2015, a 31 de diciembre de 2015, tomar nota del déficit de 2015 y aprobar las propuestas de la Secretaría General en funciones para eliminar el déficit del 2015.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1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">
                <v:textbox>
                  <w:txbxContent>
                    <w:p w14:paraId="564F7E57" w14:textId="77777777" w:rsidR="000476A8" w:rsidRPr="0016691A" w:rsidRDefault="000476A8" w:rsidP="00FA0A55">
                      <w:pPr>
                        <w:rPr>
                          <w:rFonts w:ascii="Calibri" w:hAnsi="Calibri"/>
                          <w:b/>
                          <w:bCs/>
                          <w:sz w:val="22"/>
                          <w:szCs w:val="22"/>
                          <w:lang w:val="es-ES_tradnl"/>
                        </w:rPr>
                      </w:pPr>
                      <w:r w:rsidRPr="0016691A">
                        <w:rPr>
                          <w:rFonts w:ascii="Calibri" w:hAnsi="Calibri"/>
                          <w:b/>
                          <w:bCs/>
                          <w:sz w:val="22"/>
                          <w:szCs w:val="22"/>
                          <w:lang w:val="es-ES_tradnl"/>
                        </w:rPr>
                        <w:t xml:space="preserve">Acciones solicitadas: </w:t>
                      </w:r>
                    </w:p>
                    <w:p w14:paraId="5A9AE9F0" w14:textId="77777777" w:rsidR="000476A8" w:rsidRPr="0016691A" w:rsidRDefault="000476A8" w:rsidP="004F0663">
                      <w:pPr>
                        <w:ind w:left="1135" w:hanging="1135"/>
                        <w:rPr>
                          <w:rFonts w:ascii="Calibri" w:hAnsi="Calibri"/>
                          <w:sz w:val="22"/>
                          <w:szCs w:val="22"/>
                          <w:lang w:val="es-ES_tradnl"/>
                        </w:rPr>
                      </w:pPr>
                      <w:r w:rsidRPr="0016691A">
                        <w:rPr>
                          <w:rFonts w:ascii="Calibri" w:hAnsi="Calibri"/>
                          <w:sz w:val="22"/>
                          <w:szCs w:val="22"/>
                          <w:lang w:val="es-ES_tradnl"/>
                        </w:rPr>
                        <w:t>Se invita al Comité Permanente a tomar nota del contenido del presente informe y a:</w:t>
                      </w:r>
                    </w:p>
                    <w:p w14:paraId="0E490376" w14:textId="3691DF9D" w:rsidR="000476A8" w:rsidRPr="0016691A" w:rsidRDefault="000476A8" w:rsidP="00102FC1">
                      <w:pPr>
                        <w:pStyle w:val="ListParagraph"/>
                        <w:numPr>
                          <w:ilvl w:val="1"/>
                          <w:numId w:val="1"/>
                        </w:numPr>
                        <w:ind w:left="851" w:hanging="425"/>
                        <w:rPr>
                          <w:rFonts w:ascii="Calibri" w:hAnsi="Calibri"/>
                          <w:sz w:val="22"/>
                          <w:szCs w:val="22"/>
                          <w:lang w:val="es-ES_tradnl"/>
                        </w:rPr>
                      </w:pPr>
                      <w:r w:rsidRPr="0016691A">
                        <w:rPr>
                          <w:rFonts w:ascii="Calibri" w:hAnsi="Calibri"/>
                          <w:sz w:val="22"/>
                          <w:szCs w:val="22"/>
                          <w:lang w:val="es-ES_tradnl"/>
                        </w:rPr>
                        <w:t xml:space="preserve"> revisar las asignaciones del excedente de 2014 y aprobar la aplicación del excedente restante de 6.000 francos suizos; y</w:t>
                      </w:r>
                    </w:p>
                    <w:p w14:paraId="221687F5" w14:textId="1F6542E8" w:rsidR="000476A8" w:rsidRPr="0016691A" w:rsidRDefault="000476A8" w:rsidP="00450ADD">
                      <w:pPr>
                        <w:pStyle w:val="ListParagraph"/>
                        <w:numPr>
                          <w:ilvl w:val="1"/>
                          <w:numId w:val="1"/>
                        </w:numPr>
                        <w:ind w:left="851" w:hanging="425"/>
                        <w:rPr>
                          <w:rFonts w:ascii="Calibri" w:hAnsi="Calibri"/>
                          <w:sz w:val="22"/>
                          <w:szCs w:val="22"/>
                          <w:lang w:val="es-ES_tradnl"/>
                        </w:rPr>
                      </w:pPr>
                      <w:r w:rsidRPr="0016691A">
                        <w:rPr>
                          <w:rFonts w:ascii="Calibri" w:hAnsi="Calibri"/>
                          <w:sz w:val="22"/>
                          <w:szCs w:val="22"/>
                          <w:lang w:val="es-ES_tradnl"/>
                        </w:rPr>
                        <w:t>estudiar el proyecto</w:t>
                      </w:r>
                      <w:r>
                        <w:rPr>
                          <w:rFonts w:ascii="Calibri" w:hAnsi="Calibri"/>
                          <w:sz w:val="22"/>
                          <w:szCs w:val="22"/>
                          <w:lang w:val="es-ES_tradnl"/>
                        </w:rPr>
                        <w:t xml:space="preserve"> adjunto</w:t>
                      </w:r>
                      <w:r w:rsidRPr="0016691A">
                        <w:rPr>
                          <w:rFonts w:ascii="Calibri" w:hAnsi="Calibri"/>
                          <w:sz w:val="22"/>
                          <w:szCs w:val="22"/>
                          <w:lang w:val="es-ES_tradnl"/>
                        </w:rPr>
                        <w:t xml:space="preserve"> de estados financieros de 2015, a 31 de diciembre de 2015, tomar nota del déficit de 2015 y aprobar las propuestas de la Secretaría General en funciones para eliminar el déficit del 2015. </w:t>
                      </w:r>
                    </w:p>
                  </w:txbxContent>
                </v:textbox>
                <w10:anchorlock/>
              </v:shape>
            </w:pict>
          </mc:Fallback>
        </mc:AlternateContent>
      </w:r>
    </w:p>
    <w:p w14:paraId="0BDA1908" w14:textId="4AF269C9" w:rsidR="00024785" w:rsidRPr="00701888" w:rsidRDefault="002B5322" w:rsidP="008F0473">
      <w:pPr>
        <w:ind w:left="540" w:hanging="540"/>
        <w:rPr>
          <w:rFonts w:ascii="Calibri" w:hAnsi="Calibri"/>
          <w:sz w:val="22"/>
          <w:szCs w:val="22"/>
          <w:lang w:val="es-ES_tradnl"/>
        </w:rPr>
      </w:pPr>
      <w:r w:rsidRPr="00701888">
        <w:rPr>
          <w:rFonts w:ascii="Calibri" w:hAnsi="Calibri"/>
          <w:sz w:val="22"/>
          <w:szCs w:val="22"/>
          <w:lang w:val="es-ES_tradnl"/>
        </w:rPr>
        <w:t xml:space="preserve"> </w:t>
      </w:r>
    </w:p>
    <w:p w14:paraId="48FF0DAA" w14:textId="5E2CB546" w:rsidR="00CE5742" w:rsidRPr="00701888" w:rsidRDefault="009D16D5" w:rsidP="00842399">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 xml:space="preserve">La auditoría de las cuentas de 2015 por PricewaterhouseCoopers </w:t>
      </w:r>
      <w:r w:rsidR="001640AB" w:rsidRPr="00701888">
        <w:rPr>
          <w:rFonts w:ascii="Calibri" w:hAnsi="Calibri" w:cs="Calibri"/>
          <w:bCs/>
          <w:sz w:val="22"/>
          <w:szCs w:val="22"/>
          <w:lang w:val="es-ES_tradnl"/>
        </w:rPr>
        <w:t>finalizó</w:t>
      </w:r>
      <w:r w:rsidRPr="00701888">
        <w:rPr>
          <w:rFonts w:ascii="Calibri" w:hAnsi="Calibri" w:cs="Calibri"/>
          <w:bCs/>
          <w:sz w:val="22"/>
          <w:szCs w:val="22"/>
          <w:lang w:val="es-ES_tradnl"/>
        </w:rPr>
        <w:t xml:space="preserve"> el 26 de abril de 2016. </w:t>
      </w:r>
      <w:r w:rsidR="00FA0A55" w:rsidRPr="00701888">
        <w:rPr>
          <w:rFonts w:ascii="Calibri" w:hAnsi="Calibri" w:cs="Calibri"/>
          <w:bCs/>
          <w:sz w:val="22"/>
          <w:szCs w:val="22"/>
          <w:lang w:val="es-ES_tradnl"/>
        </w:rPr>
        <w:t xml:space="preserve">El Anexo 1 </w:t>
      </w:r>
      <w:r w:rsidR="00C42DCD">
        <w:rPr>
          <w:rFonts w:ascii="Calibri" w:hAnsi="Calibri" w:cs="Calibri"/>
          <w:bCs/>
          <w:sz w:val="22"/>
          <w:szCs w:val="22"/>
          <w:lang w:val="es-ES_tradnl"/>
        </w:rPr>
        <w:t xml:space="preserve">adjunto </w:t>
      </w:r>
      <w:r w:rsidR="00FA0A55" w:rsidRPr="00701888">
        <w:rPr>
          <w:rFonts w:ascii="Calibri" w:hAnsi="Calibri" w:cs="Calibri"/>
          <w:bCs/>
          <w:sz w:val="22"/>
          <w:szCs w:val="22"/>
          <w:lang w:val="es-ES_tradnl"/>
        </w:rPr>
        <w:t xml:space="preserve">contiene los estados financieros de 2015 </w:t>
      </w:r>
      <w:r w:rsidR="00FA3E1C" w:rsidRPr="00701888">
        <w:rPr>
          <w:rFonts w:ascii="Calibri" w:hAnsi="Calibri" w:cs="Calibri"/>
          <w:bCs/>
          <w:sz w:val="22"/>
          <w:szCs w:val="22"/>
          <w:lang w:val="es-ES_tradnl"/>
        </w:rPr>
        <w:t>(</w:t>
      </w:r>
      <w:r w:rsidR="005F01AA" w:rsidRPr="00701888">
        <w:rPr>
          <w:rFonts w:ascii="Calibri" w:hAnsi="Calibri" w:cs="Calibri"/>
          <w:bCs/>
          <w:sz w:val="22"/>
          <w:szCs w:val="22"/>
          <w:lang w:val="es-ES_tradnl"/>
        </w:rPr>
        <w:t>según el formato de presentación de informe</w:t>
      </w:r>
      <w:r w:rsidR="00976D3F" w:rsidRPr="00701888">
        <w:rPr>
          <w:rFonts w:ascii="Calibri" w:hAnsi="Calibri" w:cs="Calibri"/>
          <w:bCs/>
          <w:sz w:val="22"/>
          <w:szCs w:val="22"/>
          <w:lang w:val="es-ES_tradnl"/>
        </w:rPr>
        <w:t>s financieros aplicable en Suiza</w:t>
      </w:r>
      <w:r w:rsidR="00FA3E1C" w:rsidRPr="00701888">
        <w:rPr>
          <w:rFonts w:ascii="Calibri" w:hAnsi="Calibri" w:cs="Calibri"/>
          <w:bCs/>
          <w:sz w:val="22"/>
          <w:szCs w:val="22"/>
          <w:lang w:val="es-ES_tradnl"/>
        </w:rPr>
        <w:t>)</w:t>
      </w:r>
      <w:r w:rsidR="009D28C3" w:rsidRPr="00701888">
        <w:rPr>
          <w:rFonts w:ascii="Calibri" w:hAnsi="Calibri" w:cs="Calibri"/>
          <w:bCs/>
          <w:sz w:val="22"/>
          <w:szCs w:val="22"/>
          <w:lang w:val="es-ES_tradnl"/>
        </w:rPr>
        <w:t xml:space="preserve"> a</w:t>
      </w:r>
      <w:r w:rsidR="00976D3F" w:rsidRPr="00701888">
        <w:rPr>
          <w:rFonts w:ascii="Calibri" w:hAnsi="Calibri" w:cs="Calibri"/>
          <w:bCs/>
          <w:sz w:val="22"/>
          <w:szCs w:val="22"/>
          <w:lang w:val="es-ES_tradnl"/>
        </w:rPr>
        <w:t xml:space="preserve"> 31 de diciembre de </w:t>
      </w:r>
      <w:r w:rsidR="00E72D40" w:rsidRPr="00701888">
        <w:rPr>
          <w:rFonts w:ascii="Calibri" w:hAnsi="Calibri" w:cs="Calibri"/>
          <w:bCs/>
          <w:sz w:val="22"/>
          <w:szCs w:val="22"/>
          <w:lang w:val="es-ES_tradnl"/>
        </w:rPr>
        <w:t>2015</w:t>
      </w:r>
      <w:r w:rsidR="00515D38" w:rsidRPr="00701888">
        <w:rPr>
          <w:rFonts w:ascii="Calibri" w:hAnsi="Calibri" w:cs="Calibri"/>
          <w:bCs/>
          <w:sz w:val="22"/>
          <w:szCs w:val="22"/>
          <w:lang w:val="es-ES_tradnl"/>
        </w:rPr>
        <w:t>.</w:t>
      </w:r>
      <w:r w:rsidR="000538AA" w:rsidRPr="00701888">
        <w:rPr>
          <w:rFonts w:ascii="Calibri" w:hAnsi="Calibri" w:cs="Calibri"/>
          <w:bCs/>
          <w:sz w:val="22"/>
          <w:szCs w:val="22"/>
          <w:lang w:val="es-ES_tradnl"/>
        </w:rPr>
        <w:t xml:space="preserve"> </w:t>
      </w:r>
    </w:p>
    <w:p w14:paraId="7BBC10B7" w14:textId="77777777" w:rsidR="00CE5742" w:rsidRPr="00701888" w:rsidRDefault="00CE5742" w:rsidP="00CE5742">
      <w:pPr>
        <w:pStyle w:val="ListParagraph"/>
        <w:ind w:left="426"/>
        <w:rPr>
          <w:rFonts w:ascii="Calibri" w:hAnsi="Calibri" w:cs="Calibri"/>
          <w:bCs/>
          <w:sz w:val="22"/>
          <w:szCs w:val="22"/>
          <w:lang w:val="es-ES_tradnl"/>
        </w:rPr>
      </w:pPr>
    </w:p>
    <w:p w14:paraId="78DA3423" w14:textId="197A1D3B" w:rsidR="00FF69BF" w:rsidRPr="00701888" w:rsidRDefault="00850BCE" w:rsidP="00842399">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 xml:space="preserve">En el Anexo 2 se adjunta un resumen del presupuesto básico aprobado para 2015 y de los ingresos y gastos reales </w:t>
      </w:r>
      <w:r w:rsidR="004F0663" w:rsidRPr="00701888">
        <w:rPr>
          <w:rFonts w:ascii="Calibri" w:hAnsi="Calibri" w:cs="Calibri"/>
          <w:bCs/>
          <w:sz w:val="22"/>
          <w:szCs w:val="22"/>
          <w:lang w:val="es-ES_tradnl"/>
        </w:rPr>
        <w:t>a</w:t>
      </w:r>
      <w:r w:rsidRPr="00701888">
        <w:rPr>
          <w:rFonts w:ascii="Calibri" w:hAnsi="Calibri" w:cs="Calibri"/>
          <w:bCs/>
          <w:sz w:val="22"/>
          <w:szCs w:val="22"/>
          <w:lang w:val="es-ES_tradnl"/>
        </w:rPr>
        <w:t xml:space="preserve"> 31 de diciembre de 2015 comparados con los presupuestados en la 48ª reunión del Comité Permanente. Dicha información se presenta en el formato utilizado por Ramsar para la presentación de cuentas. </w:t>
      </w:r>
    </w:p>
    <w:p w14:paraId="660F2610" w14:textId="77777777" w:rsidR="00515D38" w:rsidRPr="00701888" w:rsidRDefault="00515D38" w:rsidP="00842399">
      <w:pPr>
        <w:ind w:left="540" w:hanging="540"/>
        <w:rPr>
          <w:rFonts w:ascii="Calibri" w:hAnsi="Calibri" w:cs="Calibri"/>
          <w:b/>
          <w:bCs/>
          <w:sz w:val="22"/>
          <w:szCs w:val="22"/>
          <w:lang w:val="es-ES_tradnl"/>
        </w:rPr>
      </w:pPr>
    </w:p>
    <w:p w14:paraId="6E341DAF" w14:textId="1905C587" w:rsidR="00770D8F" w:rsidRPr="00701888" w:rsidRDefault="00850BCE" w:rsidP="00770D8F">
      <w:pPr>
        <w:ind w:left="540" w:hanging="540"/>
        <w:rPr>
          <w:rFonts w:ascii="Calibri" w:hAnsi="Calibri"/>
          <w:b/>
          <w:sz w:val="22"/>
          <w:lang w:val="es-ES_tradnl"/>
        </w:rPr>
      </w:pPr>
      <w:r w:rsidRPr="00701888">
        <w:rPr>
          <w:rFonts w:ascii="Calibri" w:hAnsi="Calibri"/>
          <w:b/>
          <w:sz w:val="22"/>
          <w:lang w:val="es-ES_tradnl"/>
        </w:rPr>
        <w:t xml:space="preserve">Asignaciones del excedente de </w:t>
      </w:r>
      <w:r w:rsidR="00770D8F" w:rsidRPr="00701888">
        <w:rPr>
          <w:rFonts w:ascii="Calibri" w:hAnsi="Calibri"/>
          <w:b/>
          <w:sz w:val="22"/>
          <w:lang w:val="es-ES_tradnl"/>
        </w:rPr>
        <w:t>2014</w:t>
      </w:r>
    </w:p>
    <w:p w14:paraId="6063B5AA" w14:textId="77777777" w:rsidR="00770D8F" w:rsidRPr="00701888" w:rsidRDefault="00770D8F" w:rsidP="00770D8F">
      <w:pPr>
        <w:ind w:left="426" w:hanging="426"/>
        <w:rPr>
          <w:rFonts w:ascii="Calibri" w:hAnsi="Calibri"/>
          <w:sz w:val="22"/>
          <w:lang w:val="es-ES_tradnl"/>
        </w:rPr>
      </w:pPr>
    </w:p>
    <w:p w14:paraId="6C3D1498" w14:textId="3AE38E05" w:rsidR="00770D8F" w:rsidRPr="00701888" w:rsidRDefault="00850BCE" w:rsidP="00770D8F">
      <w:pPr>
        <w:numPr>
          <w:ilvl w:val="0"/>
          <w:numId w:val="2"/>
        </w:numPr>
        <w:ind w:left="426" w:hanging="426"/>
        <w:rPr>
          <w:rFonts w:ascii="Calibri" w:hAnsi="Calibri" w:cs="Calibri"/>
          <w:bCs/>
          <w:sz w:val="22"/>
          <w:szCs w:val="22"/>
          <w:lang w:val="es-ES_tradnl"/>
        </w:rPr>
      </w:pPr>
      <w:r w:rsidRPr="00701888">
        <w:rPr>
          <w:rFonts w:ascii="Calibri" w:hAnsi="Calibri" w:cs="Calibri"/>
          <w:sz w:val="22"/>
          <w:szCs w:val="22"/>
          <w:lang w:val="es-ES_tradnl"/>
        </w:rPr>
        <w:t>El Cuadro</w:t>
      </w:r>
      <w:r w:rsidR="00770D8F" w:rsidRPr="00701888">
        <w:rPr>
          <w:rFonts w:ascii="Calibri" w:hAnsi="Calibri" w:cs="Calibri"/>
          <w:sz w:val="22"/>
          <w:szCs w:val="22"/>
          <w:lang w:val="es-ES_tradnl"/>
        </w:rPr>
        <w:t xml:space="preserve"> </w:t>
      </w:r>
      <w:r w:rsidR="008A77C9" w:rsidRPr="00701888">
        <w:rPr>
          <w:rFonts w:ascii="Calibri" w:hAnsi="Calibri" w:cs="Calibri"/>
          <w:sz w:val="22"/>
          <w:szCs w:val="22"/>
          <w:lang w:val="es-ES_tradnl"/>
        </w:rPr>
        <w:t>1</w:t>
      </w:r>
      <w:r w:rsidR="00770D8F" w:rsidRPr="00701888">
        <w:rPr>
          <w:rFonts w:ascii="Calibri" w:hAnsi="Calibri" w:cs="Calibri"/>
          <w:sz w:val="22"/>
          <w:szCs w:val="22"/>
          <w:lang w:val="es-ES_tradnl"/>
        </w:rPr>
        <w:t xml:space="preserve"> </w:t>
      </w:r>
      <w:r w:rsidRPr="00701888">
        <w:rPr>
          <w:rFonts w:ascii="Calibri" w:hAnsi="Calibri" w:cs="Calibri"/>
          <w:sz w:val="22"/>
          <w:szCs w:val="22"/>
          <w:lang w:val="es-ES_tradnl"/>
        </w:rPr>
        <w:t xml:space="preserve">muestra las asignaciones del excedente de 2014 </w:t>
      </w:r>
      <w:r w:rsidR="004F0663" w:rsidRPr="00701888">
        <w:rPr>
          <w:rFonts w:ascii="Calibri" w:hAnsi="Calibri" w:cs="Calibri"/>
          <w:sz w:val="22"/>
          <w:szCs w:val="22"/>
          <w:lang w:val="es-ES_tradnl"/>
        </w:rPr>
        <w:t>aprobad</w:t>
      </w:r>
      <w:r w:rsidR="00A87A26" w:rsidRPr="00701888">
        <w:rPr>
          <w:rFonts w:ascii="Calibri" w:hAnsi="Calibri" w:cs="Calibri"/>
          <w:sz w:val="22"/>
          <w:szCs w:val="22"/>
          <w:lang w:val="es-ES_tradnl"/>
        </w:rPr>
        <w:t>as</w:t>
      </w:r>
      <w:r w:rsidR="004F0663" w:rsidRPr="00701888">
        <w:rPr>
          <w:rFonts w:ascii="Calibri" w:hAnsi="Calibri" w:cs="Calibri"/>
          <w:sz w:val="22"/>
          <w:szCs w:val="22"/>
          <w:lang w:val="es-ES_tradnl"/>
        </w:rPr>
        <w:t xml:space="preserve"> mediante</w:t>
      </w:r>
      <w:r w:rsidRPr="00701888">
        <w:rPr>
          <w:rFonts w:ascii="Calibri" w:hAnsi="Calibri" w:cs="Calibri"/>
          <w:sz w:val="22"/>
          <w:szCs w:val="22"/>
          <w:lang w:val="es-ES_tradnl"/>
        </w:rPr>
        <w:t xml:space="preserve"> la Decisión </w:t>
      </w:r>
      <w:r w:rsidR="00770D8F" w:rsidRPr="00701888">
        <w:rPr>
          <w:rFonts w:ascii="Calibri" w:hAnsi="Calibri" w:cs="Calibri"/>
          <w:sz w:val="22"/>
          <w:szCs w:val="22"/>
          <w:lang w:val="es-ES_tradnl"/>
        </w:rPr>
        <w:t xml:space="preserve">SC51-22, </w:t>
      </w:r>
      <w:r w:rsidR="00E218BB" w:rsidRPr="00701888">
        <w:rPr>
          <w:rFonts w:ascii="Calibri" w:hAnsi="Calibri" w:cs="Calibri"/>
          <w:sz w:val="22"/>
          <w:szCs w:val="22"/>
          <w:lang w:val="es-ES_tradnl"/>
        </w:rPr>
        <w:t xml:space="preserve">los gastos reales </w:t>
      </w:r>
      <w:r w:rsidR="004F0663" w:rsidRPr="00701888">
        <w:rPr>
          <w:rFonts w:ascii="Calibri" w:hAnsi="Calibri" w:cs="Calibri"/>
          <w:sz w:val="22"/>
          <w:szCs w:val="22"/>
          <w:lang w:val="es-ES_tradnl"/>
        </w:rPr>
        <w:t xml:space="preserve">relativos a cada actividad y </w:t>
      </w:r>
      <w:r w:rsidR="00E218BB" w:rsidRPr="00701888">
        <w:rPr>
          <w:rFonts w:ascii="Calibri" w:hAnsi="Calibri" w:cs="Calibri"/>
          <w:sz w:val="22"/>
          <w:szCs w:val="22"/>
          <w:lang w:val="es-ES_tradnl"/>
        </w:rPr>
        <w:t xml:space="preserve">saldo restante de </w:t>
      </w:r>
      <w:r w:rsidR="00770D8F" w:rsidRPr="00701888">
        <w:rPr>
          <w:rFonts w:ascii="Calibri" w:hAnsi="Calibri" w:cs="Calibri"/>
          <w:sz w:val="22"/>
          <w:szCs w:val="22"/>
          <w:lang w:val="es-ES_tradnl"/>
        </w:rPr>
        <w:t>6</w:t>
      </w:r>
      <w:r w:rsidR="00E218BB" w:rsidRPr="00701888">
        <w:rPr>
          <w:rFonts w:ascii="Calibri" w:hAnsi="Calibri" w:cs="Calibri"/>
          <w:sz w:val="22"/>
          <w:szCs w:val="22"/>
          <w:lang w:val="es-ES_tradnl"/>
        </w:rPr>
        <w:t>.</w:t>
      </w:r>
      <w:r w:rsidR="00770D8F" w:rsidRPr="00701888">
        <w:rPr>
          <w:rFonts w:ascii="Calibri" w:hAnsi="Calibri" w:cs="Calibri"/>
          <w:sz w:val="22"/>
          <w:szCs w:val="22"/>
          <w:lang w:val="es-ES_tradnl"/>
        </w:rPr>
        <w:t>000</w:t>
      </w:r>
      <w:r w:rsidR="00E218BB" w:rsidRPr="00701888">
        <w:rPr>
          <w:rFonts w:ascii="Calibri" w:hAnsi="Calibri" w:cs="Calibri"/>
          <w:sz w:val="22"/>
          <w:szCs w:val="22"/>
          <w:lang w:val="es-ES_tradnl"/>
        </w:rPr>
        <w:t xml:space="preserve"> francos suizos</w:t>
      </w:r>
      <w:r w:rsidR="00770D8F" w:rsidRPr="00701888">
        <w:rPr>
          <w:rFonts w:ascii="Calibri" w:hAnsi="Calibri" w:cs="Calibri"/>
          <w:sz w:val="22"/>
          <w:szCs w:val="22"/>
          <w:lang w:val="es-ES_tradnl"/>
        </w:rPr>
        <w:t xml:space="preserve">. </w:t>
      </w:r>
      <w:r w:rsidR="00E218BB" w:rsidRPr="00701888">
        <w:rPr>
          <w:rFonts w:ascii="Calibri" w:hAnsi="Calibri" w:cs="Calibri"/>
          <w:sz w:val="22"/>
          <w:szCs w:val="22"/>
          <w:lang w:val="es-ES_tradnl"/>
        </w:rPr>
        <w:t xml:space="preserve">Se presenta una propuesta para la aplicación del saldo restante en el párrafo 7. </w:t>
      </w:r>
    </w:p>
    <w:p w14:paraId="7E4C0340" w14:textId="77777777" w:rsidR="00770D8F" w:rsidRPr="00701888" w:rsidRDefault="00770D8F" w:rsidP="00770D8F">
      <w:pPr>
        <w:rPr>
          <w:rFonts w:ascii="Calibri" w:hAnsi="Calibri" w:cs="Calibri"/>
          <w:sz w:val="22"/>
          <w:szCs w:val="22"/>
          <w:lang w:val="es-ES_tradnl"/>
        </w:rPr>
      </w:pPr>
    </w:p>
    <w:p w14:paraId="4525AE27" w14:textId="54731718" w:rsidR="00770D8F" w:rsidRPr="003267FF" w:rsidRDefault="00E218BB" w:rsidP="00770D8F">
      <w:pPr>
        <w:rPr>
          <w:rFonts w:ascii="Calibri" w:hAnsi="Calibri"/>
          <w:b/>
          <w:sz w:val="22"/>
          <w:lang w:val="es-ES_tradnl"/>
        </w:rPr>
      </w:pPr>
      <w:r w:rsidRPr="003267FF">
        <w:rPr>
          <w:rFonts w:ascii="Calibri" w:hAnsi="Calibri" w:cs="Calibri"/>
          <w:b/>
          <w:sz w:val="22"/>
          <w:szCs w:val="22"/>
          <w:lang w:val="es-ES_tradnl"/>
        </w:rPr>
        <w:t>Cuadro</w:t>
      </w:r>
      <w:r w:rsidR="00770D8F" w:rsidRPr="003267FF">
        <w:rPr>
          <w:rFonts w:ascii="Calibri" w:hAnsi="Calibri" w:cs="Calibri"/>
          <w:b/>
          <w:sz w:val="22"/>
          <w:szCs w:val="22"/>
          <w:lang w:val="es-ES_tradnl"/>
        </w:rPr>
        <w:t xml:space="preserve"> 1</w:t>
      </w:r>
      <w:r w:rsidR="002C53F9" w:rsidRPr="003267FF">
        <w:rPr>
          <w:rFonts w:ascii="Calibri" w:hAnsi="Calibri" w:cs="Calibri"/>
          <w:b/>
          <w:sz w:val="22"/>
          <w:szCs w:val="22"/>
          <w:lang w:val="es-ES_tradnl"/>
        </w:rPr>
        <w:t>:</w:t>
      </w:r>
      <w:r w:rsidR="00CF35B0" w:rsidRPr="003267FF">
        <w:rPr>
          <w:rFonts w:ascii="Calibri" w:hAnsi="Calibri" w:cs="Calibri"/>
          <w:b/>
          <w:sz w:val="22"/>
          <w:szCs w:val="22"/>
          <w:lang w:val="es-ES_tradnl"/>
        </w:rPr>
        <w:t xml:space="preserve"> </w:t>
      </w:r>
      <w:r w:rsidRPr="003267FF">
        <w:rPr>
          <w:rFonts w:ascii="Calibri" w:hAnsi="Calibri" w:cs="Calibri"/>
          <w:b/>
          <w:sz w:val="22"/>
          <w:szCs w:val="22"/>
          <w:lang w:val="es-ES_tradnl"/>
        </w:rPr>
        <w:t>Asignaciones del excedente de 2014 aprobadas por la 51ª reunión del Comité Permanente</w:t>
      </w:r>
      <w:r w:rsidR="00A87A26" w:rsidRPr="003267FF">
        <w:rPr>
          <w:rFonts w:ascii="Calibri" w:hAnsi="Calibri" w:cs="Calibri"/>
          <w:b/>
          <w:sz w:val="22"/>
          <w:szCs w:val="22"/>
          <w:lang w:val="es-ES_tradnl"/>
        </w:rPr>
        <w:t xml:space="preserve"> (en </w:t>
      </w:r>
      <w:r w:rsidR="00061D63">
        <w:rPr>
          <w:rFonts w:ascii="Calibri" w:hAnsi="Calibri" w:cs="Calibri"/>
          <w:b/>
          <w:sz w:val="22"/>
          <w:szCs w:val="22"/>
          <w:lang w:val="es-ES_tradnl"/>
        </w:rPr>
        <w:t>miles de francos suizos, con</w:t>
      </w:r>
      <w:r w:rsidR="00A87A26" w:rsidRPr="003267FF">
        <w:rPr>
          <w:rFonts w:ascii="Calibri" w:hAnsi="Calibri" w:cs="Calibri"/>
          <w:b/>
          <w:sz w:val="22"/>
          <w:szCs w:val="22"/>
          <w:lang w:val="es-ES_tradnl"/>
        </w:rPr>
        <w:t xml:space="preserve"> errores por redondeo)</w:t>
      </w:r>
      <w:r w:rsidR="00A87A26" w:rsidRPr="003267FF">
        <w:rPr>
          <w:rFonts w:ascii="Calibri" w:eastAsia="Times New Roman" w:hAnsi="Calibri"/>
          <w:b/>
          <w:bCs/>
          <w:color w:val="000000"/>
          <w:sz w:val="22"/>
          <w:szCs w:val="22"/>
          <w:lang w:val="es-ES_tradnl" w:eastAsia="en-GB"/>
        </w:rPr>
        <w:t xml:space="preserve"> </w:t>
      </w:r>
    </w:p>
    <w:tbl>
      <w:tblPr>
        <w:tblW w:w="8840" w:type="dxa"/>
        <w:tblInd w:w="93" w:type="dxa"/>
        <w:tblLayout w:type="fixed"/>
        <w:tblLook w:val="04A0" w:firstRow="1" w:lastRow="0" w:firstColumn="1" w:lastColumn="0" w:noHBand="0" w:noVBand="1"/>
      </w:tblPr>
      <w:tblGrid>
        <w:gridCol w:w="5118"/>
        <w:gridCol w:w="1418"/>
        <w:gridCol w:w="1063"/>
        <w:gridCol w:w="1241"/>
      </w:tblGrid>
      <w:tr w:rsidR="00F127C1" w:rsidRPr="008006D0" w14:paraId="0E915A22" w14:textId="77777777" w:rsidTr="00FA0A55">
        <w:trPr>
          <w:trHeight w:val="288"/>
        </w:trPr>
        <w:tc>
          <w:tcPr>
            <w:tcW w:w="5118"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25AB6243" w14:textId="7150E947" w:rsidR="00F127C1" w:rsidRPr="00701888" w:rsidRDefault="00F127C1" w:rsidP="00E218BB">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Ap</w:t>
            </w:r>
            <w:r w:rsidR="00E218BB" w:rsidRPr="00701888">
              <w:rPr>
                <w:rFonts w:ascii="Calibri" w:eastAsia="Times New Roman" w:hAnsi="Calibri"/>
                <w:b/>
                <w:bCs/>
                <w:color w:val="000000"/>
                <w:sz w:val="22"/>
                <w:szCs w:val="22"/>
                <w:lang w:val="es-ES_tradnl" w:eastAsia="en-GB"/>
              </w:rPr>
              <w:t>robado por la 51ª reunión del Comité Permanente</w:t>
            </w:r>
          </w:p>
        </w:tc>
        <w:tc>
          <w:tcPr>
            <w:tcW w:w="3722" w:type="dxa"/>
            <w:gridSpan w:val="3"/>
            <w:tcBorders>
              <w:top w:val="single" w:sz="4" w:space="0" w:color="auto"/>
              <w:left w:val="nil"/>
              <w:bottom w:val="single" w:sz="4" w:space="0" w:color="auto"/>
              <w:right w:val="single" w:sz="4" w:space="0" w:color="auto"/>
            </w:tcBorders>
            <w:shd w:val="clear" w:color="000000" w:fill="8DB4E2"/>
            <w:vAlign w:val="bottom"/>
            <w:hideMark/>
          </w:tcPr>
          <w:p w14:paraId="3AE56CF2" w14:textId="42B221B0" w:rsidR="00F127C1" w:rsidRPr="00701888" w:rsidRDefault="00F127C1" w:rsidP="00E218BB">
            <w:pPr>
              <w:rPr>
                <w:rFonts w:ascii="Calibri" w:hAnsi="Calibri"/>
                <w:sz w:val="22"/>
                <w:lang w:val="es-ES_tradnl"/>
              </w:rPr>
            </w:pPr>
          </w:p>
        </w:tc>
      </w:tr>
      <w:tr w:rsidR="00F127C1" w:rsidRPr="00701888" w14:paraId="6092CADD" w14:textId="77777777" w:rsidTr="004F0663">
        <w:trPr>
          <w:trHeight w:val="288"/>
        </w:trPr>
        <w:tc>
          <w:tcPr>
            <w:tcW w:w="5118" w:type="dxa"/>
            <w:tcBorders>
              <w:top w:val="nil"/>
              <w:left w:val="single" w:sz="4" w:space="0" w:color="auto"/>
              <w:bottom w:val="single" w:sz="4" w:space="0" w:color="auto"/>
              <w:right w:val="single" w:sz="4" w:space="0" w:color="auto"/>
            </w:tcBorders>
            <w:shd w:val="clear" w:color="000000" w:fill="8DB4E2"/>
            <w:noWrap/>
            <w:vAlign w:val="bottom"/>
            <w:hideMark/>
          </w:tcPr>
          <w:p w14:paraId="793B7223" w14:textId="346E61C4" w:rsidR="00770D8F" w:rsidRPr="00701888" w:rsidRDefault="00770D8F" w:rsidP="00E218BB">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Descrip</w:t>
            </w:r>
            <w:r w:rsidR="00E218BB" w:rsidRPr="00701888">
              <w:rPr>
                <w:rFonts w:ascii="Calibri" w:eastAsia="Times New Roman" w:hAnsi="Calibri"/>
                <w:b/>
                <w:bCs/>
                <w:color w:val="000000"/>
                <w:sz w:val="22"/>
                <w:szCs w:val="22"/>
                <w:lang w:val="es-ES_tradnl" w:eastAsia="en-GB"/>
              </w:rPr>
              <w:t>ción</w:t>
            </w:r>
          </w:p>
        </w:tc>
        <w:tc>
          <w:tcPr>
            <w:tcW w:w="1418" w:type="dxa"/>
            <w:tcBorders>
              <w:top w:val="nil"/>
              <w:left w:val="nil"/>
              <w:bottom w:val="single" w:sz="4" w:space="0" w:color="auto"/>
              <w:right w:val="single" w:sz="4" w:space="0" w:color="auto"/>
            </w:tcBorders>
            <w:shd w:val="clear" w:color="000000" w:fill="8DB4E2"/>
            <w:noWrap/>
            <w:vAlign w:val="bottom"/>
            <w:hideMark/>
          </w:tcPr>
          <w:p w14:paraId="789693DC" w14:textId="09A95AC6" w:rsidR="00770D8F" w:rsidRPr="00701888" w:rsidRDefault="00E218BB" w:rsidP="0044625F">
            <w:pPr>
              <w:jc w:val="cente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Presupuesto</w:t>
            </w:r>
          </w:p>
        </w:tc>
        <w:tc>
          <w:tcPr>
            <w:tcW w:w="1063" w:type="dxa"/>
            <w:tcBorders>
              <w:top w:val="nil"/>
              <w:left w:val="nil"/>
              <w:bottom w:val="single" w:sz="4" w:space="0" w:color="auto"/>
              <w:right w:val="single" w:sz="4" w:space="0" w:color="auto"/>
            </w:tcBorders>
            <w:shd w:val="clear" w:color="000000" w:fill="8DB4E2"/>
            <w:noWrap/>
            <w:vAlign w:val="bottom"/>
            <w:hideMark/>
          </w:tcPr>
          <w:p w14:paraId="43B35589" w14:textId="410C04BE" w:rsidR="00770D8F" w:rsidRPr="00701888" w:rsidRDefault="00E218BB" w:rsidP="0044625F">
            <w:pPr>
              <w:jc w:val="cente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Real</w:t>
            </w:r>
          </w:p>
        </w:tc>
        <w:tc>
          <w:tcPr>
            <w:tcW w:w="1241" w:type="dxa"/>
            <w:tcBorders>
              <w:top w:val="nil"/>
              <w:left w:val="nil"/>
              <w:bottom w:val="single" w:sz="4" w:space="0" w:color="auto"/>
              <w:right w:val="single" w:sz="4" w:space="0" w:color="auto"/>
            </w:tcBorders>
            <w:shd w:val="clear" w:color="000000" w:fill="8DB4E2"/>
            <w:noWrap/>
            <w:vAlign w:val="bottom"/>
            <w:hideMark/>
          </w:tcPr>
          <w:p w14:paraId="51E530ED" w14:textId="051ECA50" w:rsidR="00770D8F" w:rsidRPr="00701888" w:rsidRDefault="004F0663" w:rsidP="0044625F">
            <w:pPr>
              <w:jc w:val="cente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Variación</w:t>
            </w:r>
          </w:p>
        </w:tc>
      </w:tr>
      <w:tr w:rsidR="00F127C1" w:rsidRPr="00701888" w14:paraId="65402507" w14:textId="77777777" w:rsidTr="004F0663">
        <w:trPr>
          <w:trHeight w:val="288"/>
        </w:trPr>
        <w:tc>
          <w:tcPr>
            <w:tcW w:w="5118" w:type="dxa"/>
            <w:tcBorders>
              <w:top w:val="nil"/>
              <w:left w:val="single" w:sz="4" w:space="0" w:color="auto"/>
              <w:bottom w:val="nil"/>
              <w:right w:val="nil"/>
            </w:tcBorders>
            <w:shd w:val="clear" w:color="auto" w:fill="auto"/>
            <w:noWrap/>
            <w:vAlign w:val="bottom"/>
            <w:hideMark/>
          </w:tcPr>
          <w:p w14:paraId="7A7D6729" w14:textId="09441803" w:rsidR="00770D8F" w:rsidRPr="00701888" w:rsidRDefault="00E218BB" w:rsidP="00E218BB">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Excedente del presupuesto básico</w:t>
            </w:r>
          </w:p>
        </w:tc>
        <w:tc>
          <w:tcPr>
            <w:tcW w:w="1418" w:type="dxa"/>
            <w:tcBorders>
              <w:top w:val="nil"/>
              <w:left w:val="single" w:sz="4" w:space="0" w:color="auto"/>
              <w:bottom w:val="nil"/>
              <w:right w:val="single" w:sz="4" w:space="0" w:color="auto"/>
            </w:tcBorders>
            <w:shd w:val="clear" w:color="000000" w:fill="D9D9D9"/>
            <w:noWrap/>
            <w:vAlign w:val="bottom"/>
            <w:hideMark/>
          </w:tcPr>
          <w:p w14:paraId="37EB78CC" w14:textId="77777777" w:rsidR="00770D8F" w:rsidRPr="00701888" w:rsidRDefault="00770D8F" w:rsidP="0044625F">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459</w:t>
            </w:r>
          </w:p>
        </w:tc>
        <w:tc>
          <w:tcPr>
            <w:tcW w:w="1063" w:type="dxa"/>
            <w:tcBorders>
              <w:top w:val="nil"/>
              <w:left w:val="nil"/>
              <w:bottom w:val="nil"/>
              <w:right w:val="single" w:sz="4" w:space="0" w:color="auto"/>
            </w:tcBorders>
            <w:shd w:val="clear" w:color="000000" w:fill="D9D9D9"/>
            <w:noWrap/>
            <w:vAlign w:val="bottom"/>
            <w:hideMark/>
          </w:tcPr>
          <w:p w14:paraId="5F85E8F9" w14:textId="77777777" w:rsidR="00770D8F" w:rsidRPr="00701888" w:rsidRDefault="00770D8F" w:rsidP="0044625F">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459</w:t>
            </w:r>
          </w:p>
        </w:tc>
        <w:tc>
          <w:tcPr>
            <w:tcW w:w="1241" w:type="dxa"/>
            <w:tcBorders>
              <w:top w:val="nil"/>
              <w:left w:val="nil"/>
              <w:bottom w:val="nil"/>
              <w:right w:val="single" w:sz="4" w:space="0" w:color="auto"/>
            </w:tcBorders>
            <w:shd w:val="clear" w:color="000000" w:fill="D9D9D9"/>
            <w:noWrap/>
            <w:vAlign w:val="bottom"/>
            <w:hideMark/>
          </w:tcPr>
          <w:p w14:paraId="2F478182" w14:textId="77777777" w:rsidR="00770D8F" w:rsidRPr="00701888" w:rsidRDefault="00770D8F" w:rsidP="0044625F">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0</w:t>
            </w:r>
          </w:p>
        </w:tc>
      </w:tr>
      <w:tr w:rsidR="00F127C1" w:rsidRPr="00701888" w14:paraId="61A110C3" w14:textId="77777777" w:rsidTr="004F0663">
        <w:trPr>
          <w:trHeight w:val="288"/>
        </w:trPr>
        <w:tc>
          <w:tcPr>
            <w:tcW w:w="5118" w:type="dxa"/>
            <w:tcBorders>
              <w:top w:val="nil"/>
              <w:left w:val="single" w:sz="4" w:space="0" w:color="auto"/>
              <w:bottom w:val="nil"/>
              <w:right w:val="nil"/>
            </w:tcBorders>
            <w:shd w:val="clear" w:color="auto" w:fill="auto"/>
            <w:noWrap/>
            <w:vAlign w:val="bottom"/>
            <w:hideMark/>
          </w:tcPr>
          <w:p w14:paraId="68D95E59" w14:textId="69DC6FF6" w:rsidR="00770D8F" w:rsidRPr="00701888" w:rsidRDefault="00DE6A03" w:rsidP="0044625F">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Asignado</w:t>
            </w:r>
            <w:r w:rsidR="00770D8F" w:rsidRPr="00701888">
              <w:rPr>
                <w:rFonts w:ascii="Calibri" w:eastAsia="Times New Roman" w:hAnsi="Calibri"/>
                <w:b/>
                <w:bCs/>
                <w:color w:val="000000"/>
                <w:sz w:val="22"/>
                <w:szCs w:val="22"/>
                <w:lang w:val="es-ES_tradnl" w:eastAsia="en-GB"/>
              </w:rPr>
              <w:t>:</w:t>
            </w:r>
          </w:p>
        </w:tc>
        <w:tc>
          <w:tcPr>
            <w:tcW w:w="1418" w:type="dxa"/>
            <w:tcBorders>
              <w:top w:val="nil"/>
              <w:left w:val="single" w:sz="4" w:space="0" w:color="auto"/>
              <w:bottom w:val="nil"/>
              <w:right w:val="single" w:sz="4" w:space="0" w:color="auto"/>
            </w:tcBorders>
            <w:shd w:val="clear" w:color="auto" w:fill="auto"/>
            <w:noWrap/>
            <w:vAlign w:val="bottom"/>
            <w:hideMark/>
          </w:tcPr>
          <w:p w14:paraId="7605703E" w14:textId="77777777" w:rsidR="00770D8F" w:rsidRPr="00701888" w:rsidRDefault="00770D8F" w:rsidP="0044625F">
            <w:pPr>
              <w:jc w:val="cente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w:t>
            </w:r>
          </w:p>
        </w:tc>
        <w:tc>
          <w:tcPr>
            <w:tcW w:w="1063" w:type="dxa"/>
            <w:tcBorders>
              <w:top w:val="nil"/>
              <w:left w:val="nil"/>
              <w:bottom w:val="nil"/>
              <w:right w:val="single" w:sz="4" w:space="0" w:color="auto"/>
            </w:tcBorders>
            <w:shd w:val="clear" w:color="auto" w:fill="auto"/>
            <w:noWrap/>
            <w:vAlign w:val="bottom"/>
            <w:hideMark/>
          </w:tcPr>
          <w:p w14:paraId="49AFFAA7" w14:textId="77777777" w:rsidR="00770D8F" w:rsidRPr="00701888" w:rsidRDefault="00770D8F" w:rsidP="0044625F">
            <w:pPr>
              <w:jc w:val="cente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w:t>
            </w:r>
          </w:p>
        </w:tc>
        <w:tc>
          <w:tcPr>
            <w:tcW w:w="1241" w:type="dxa"/>
            <w:tcBorders>
              <w:top w:val="nil"/>
              <w:left w:val="nil"/>
              <w:bottom w:val="nil"/>
              <w:right w:val="single" w:sz="4" w:space="0" w:color="auto"/>
            </w:tcBorders>
            <w:shd w:val="clear" w:color="auto" w:fill="auto"/>
            <w:noWrap/>
            <w:vAlign w:val="bottom"/>
            <w:hideMark/>
          </w:tcPr>
          <w:p w14:paraId="7F2FA385" w14:textId="77777777" w:rsidR="00770D8F" w:rsidRPr="00701888" w:rsidRDefault="00770D8F" w:rsidP="0044625F">
            <w:pPr>
              <w:jc w:val="cente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w:t>
            </w:r>
          </w:p>
        </w:tc>
      </w:tr>
      <w:tr w:rsidR="00F127C1" w:rsidRPr="00701888" w14:paraId="6FA77A91" w14:textId="77777777" w:rsidTr="004F0663">
        <w:trPr>
          <w:trHeight w:val="288"/>
        </w:trPr>
        <w:tc>
          <w:tcPr>
            <w:tcW w:w="5118" w:type="dxa"/>
            <w:tcBorders>
              <w:top w:val="nil"/>
              <w:left w:val="single" w:sz="4" w:space="0" w:color="auto"/>
              <w:bottom w:val="nil"/>
              <w:right w:val="nil"/>
            </w:tcBorders>
            <w:shd w:val="clear" w:color="auto" w:fill="auto"/>
            <w:noWrap/>
            <w:vAlign w:val="bottom"/>
            <w:hideMark/>
          </w:tcPr>
          <w:p w14:paraId="7B0CF4F5" w14:textId="57012F3E" w:rsidR="00770D8F" w:rsidRPr="00701888" w:rsidRDefault="00770D8F" w:rsidP="0044625F">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ENB (</w:t>
            </w:r>
            <w:r w:rsidR="00926A09" w:rsidRPr="00701888">
              <w:rPr>
                <w:rFonts w:ascii="Calibri" w:eastAsia="Times New Roman" w:hAnsi="Calibri"/>
                <w:color w:val="000000"/>
                <w:sz w:val="22"/>
                <w:szCs w:val="22"/>
                <w:lang w:val="es-ES_tradnl" w:eastAsia="en-GB"/>
              </w:rPr>
              <w:t xml:space="preserve">apoyo para la </w:t>
            </w:r>
            <w:r w:rsidRPr="00701888">
              <w:rPr>
                <w:rFonts w:ascii="Calibri" w:eastAsia="Times New Roman" w:hAnsi="Calibri"/>
                <w:color w:val="000000"/>
                <w:sz w:val="22"/>
                <w:szCs w:val="22"/>
                <w:lang w:val="es-ES_tradnl" w:eastAsia="en-GB"/>
              </w:rPr>
              <w:t>COP12)</w:t>
            </w:r>
          </w:p>
        </w:tc>
        <w:tc>
          <w:tcPr>
            <w:tcW w:w="1418" w:type="dxa"/>
            <w:tcBorders>
              <w:top w:val="nil"/>
              <w:left w:val="single" w:sz="4" w:space="0" w:color="auto"/>
              <w:bottom w:val="nil"/>
              <w:right w:val="single" w:sz="4" w:space="0" w:color="auto"/>
            </w:tcBorders>
            <w:shd w:val="clear" w:color="auto" w:fill="auto"/>
            <w:noWrap/>
            <w:vAlign w:val="bottom"/>
            <w:hideMark/>
          </w:tcPr>
          <w:p w14:paraId="3B1E5F54"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50</w:t>
            </w:r>
          </w:p>
        </w:tc>
        <w:tc>
          <w:tcPr>
            <w:tcW w:w="1063" w:type="dxa"/>
            <w:tcBorders>
              <w:top w:val="nil"/>
              <w:left w:val="nil"/>
              <w:bottom w:val="nil"/>
              <w:right w:val="single" w:sz="4" w:space="0" w:color="auto"/>
            </w:tcBorders>
            <w:shd w:val="clear" w:color="auto" w:fill="auto"/>
            <w:noWrap/>
            <w:vAlign w:val="bottom"/>
            <w:hideMark/>
          </w:tcPr>
          <w:p w14:paraId="173BEAF7" w14:textId="46C346A9"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4</w:t>
            </w:r>
            <w:r w:rsidR="00A87A26" w:rsidRPr="00701888">
              <w:rPr>
                <w:rFonts w:ascii="Calibri" w:eastAsia="Times New Roman" w:hAnsi="Calibri"/>
                <w:color w:val="000000"/>
                <w:sz w:val="22"/>
                <w:szCs w:val="22"/>
                <w:lang w:val="es-ES_tradnl" w:eastAsia="en-GB"/>
              </w:rPr>
              <w:t>9</w:t>
            </w:r>
          </w:p>
        </w:tc>
        <w:tc>
          <w:tcPr>
            <w:tcW w:w="1241" w:type="dxa"/>
            <w:tcBorders>
              <w:top w:val="nil"/>
              <w:left w:val="nil"/>
              <w:bottom w:val="nil"/>
              <w:right w:val="single" w:sz="4" w:space="0" w:color="auto"/>
            </w:tcBorders>
            <w:shd w:val="clear" w:color="auto" w:fill="auto"/>
            <w:noWrap/>
            <w:vAlign w:val="bottom"/>
            <w:hideMark/>
          </w:tcPr>
          <w:p w14:paraId="70B1CA36" w14:textId="4C7AA68C"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w:t>
            </w:r>
            <w:r w:rsidR="00A87A26" w:rsidRPr="00701888">
              <w:rPr>
                <w:rFonts w:ascii="Calibri" w:eastAsia="Times New Roman" w:hAnsi="Calibri"/>
                <w:color w:val="000000"/>
                <w:sz w:val="22"/>
                <w:szCs w:val="22"/>
                <w:lang w:val="es-ES_tradnl" w:eastAsia="en-GB"/>
              </w:rPr>
              <w:t>1</w:t>
            </w:r>
          </w:p>
        </w:tc>
      </w:tr>
      <w:tr w:rsidR="00F127C1" w:rsidRPr="00701888" w14:paraId="3585B90E" w14:textId="77777777" w:rsidTr="004F0663">
        <w:trPr>
          <w:trHeight w:val="288"/>
        </w:trPr>
        <w:tc>
          <w:tcPr>
            <w:tcW w:w="5118" w:type="dxa"/>
            <w:tcBorders>
              <w:top w:val="nil"/>
              <w:left w:val="single" w:sz="4" w:space="0" w:color="auto"/>
              <w:bottom w:val="nil"/>
              <w:right w:val="nil"/>
            </w:tcBorders>
            <w:shd w:val="clear" w:color="auto" w:fill="auto"/>
            <w:noWrap/>
            <w:vAlign w:val="bottom"/>
            <w:hideMark/>
          </w:tcPr>
          <w:p w14:paraId="0715FDBF" w14:textId="637E4718" w:rsidR="00770D8F" w:rsidRPr="00701888" w:rsidRDefault="00926A09" w:rsidP="00926A09">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Misiones Ramsar de Asesoramiento</w:t>
            </w:r>
            <w:r w:rsidR="00770D8F" w:rsidRPr="00701888">
              <w:rPr>
                <w:rFonts w:ascii="Calibri" w:eastAsia="Times New Roman" w:hAnsi="Calibri"/>
                <w:color w:val="000000"/>
                <w:sz w:val="22"/>
                <w:szCs w:val="22"/>
                <w:lang w:val="es-ES_tradnl" w:eastAsia="en-GB"/>
              </w:rPr>
              <w:t xml:space="preserve"> (Nicaragua)</w:t>
            </w:r>
          </w:p>
        </w:tc>
        <w:tc>
          <w:tcPr>
            <w:tcW w:w="1418" w:type="dxa"/>
            <w:tcBorders>
              <w:top w:val="nil"/>
              <w:left w:val="single" w:sz="4" w:space="0" w:color="auto"/>
              <w:bottom w:val="nil"/>
              <w:right w:val="single" w:sz="4" w:space="0" w:color="auto"/>
            </w:tcBorders>
            <w:shd w:val="clear" w:color="auto" w:fill="auto"/>
            <w:noWrap/>
            <w:vAlign w:val="bottom"/>
            <w:hideMark/>
          </w:tcPr>
          <w:p w14:paraId="71B43F9B"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25</w:t>
            </w:r>
          </w:p>
        </w:tc>
        <w:tc>
          <w:tcPr>
            <w:tcW w:w="1063" w:type="dxa"/>
            <w:tcBorders>
              <w:top w:val="nil"/>
              <w:left w:val="nil"/>
              <w:bottom w:val="nil"/>
              <w:right w:val="single" w:sz="4" w:space="0" w:color="auto"/>
            </w:tcBorders>
            <w:shd w:val="clear" w:color="auto" w:fill="auto"/>
            <w:noWrap/>
            <w:vAlign w:val="bottom"/>
            <w:hideMark/>
          </w:tcPr>
          <w:p w14:paraId="2AF9187E"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25</w:t>
            </w:r>
          </w:p>
        </w:tc>
        <w:tc>
          <w:tcPr>
            <w:tcW w:w="1241" w:type="dxa"/>
            <w:tcBorders>
              <w:top w:val="nil"/>
              <w:left w:val="nil"/>
              <w:bottom w:val="nil"/>
              <w:right w:val="single" w:sz="4" w:space="0" w:color="auto"/>
            </w:tcBorders>
            <w:shd w:val="clear" w:color="auto" w:fill="auto"/>
            <w:noWrap/>
            <w:vAlign w:val="bottom"/>
            <w:hideMark/>
          </w:tcPr>
          <w:p w14:paraId="312D64EE"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0</w:t>
            </w:r>
          </w:p>
        </w:tc>
      </w:tr>
      <w:tr w:rsidR="00F127C1" w:rsidRPr="00701888" w14:paraId="57E3A440" w14:textId="77777777" w:rsidTr="004F0663">
        <w:trPr>
          <w:trHeight w:val="288"/>
        </w:trPr>
        <w:tc>
          <w:tcPr>
            <w:tcW w:w="5118" w:type="dxa"/>
            <w:tcBorders>
              <w:top w:val="nil"/>
              <w:left w:val="single" w:sz="4" w:space="0" w:color="auto"/>
              <w:bottom w:val="nil"/>
              <w:right w:val="nil"/>
            </w:tcBorders>
            <w:shd w:val="clear" w:color="auto" w:fill="auto"/>
            <w:noWrap/>
            <w:vAlign w:val="bottom"/>
            <w:hideMark/>
          </w:tcPr>
          <w:p w14:paraId="66192992" w14:textId="7E7A614C" w:rsidR="00770D8F" w:rsidRPr="00701888" w:rsidRDefault="00926A09" w:rsidP="00926A09">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Provisión para el personal</w:t>
            </w:r>
          </w:p>
        </w:tc>
        <w:tc>
          <w:tcPr>
            <w:tcW w:w="1418" w:type="dxa"/>
            <w:tcBorders>
              <w:top w:val="nil"/>
              <w:left w:val="single" w:sz="4" w:space="0" w:color="auto"/>
              <w:bottom w:val="nil"/>
              <w:right w:val="single" w:sz="4" w:space="0" w:color="auto"/>
            </w:tcBorders>
            <w:shd w:val="clear" w:color="auto" w:fill="auto"/>
            <w:noWrap/>
            <w:vAlign w:val="bottom"/>
            <w:hideMark/>
          </w:tcPr>
          <w:p w14:paraId="6E5CBDEC"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94</w:t>
            </w:r>
          </w:p>
        </w:tc>
        <w:tc>
          <w:tcPr>
            <w:tcW w:w="1063" w:type="dxa"/>
            <w:tcBorders>
              <w:top w:val="nil"/>
              <w:left w:val="nil"/>
              <w:bottom w:val="nil"/>
              <w:right w:val="single" w:sz="4" w:space="0" w:color="auto"/>
            </w:tcBorders>
            <w:shd w:val="clear" w:color="auto" w:fill="auto"/>
            <w:noWrap/>
            <w:vAlign w:val="bottom"/>
            <w:hideMark/>
          </w:tcPr>
          <w:p w14:paraId="76EEF88C"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94</w:t>
            </w:r>
          </w:p>
        </w:tc>
        <w:tc>
          <w:tcPr>
            <w:tcW w:w="1241" w:type="dxa"/>
            <w:tcBorders>
              <w:top w:val="nil"/>
              <w:left w:val="nil"/>
              <w:bottom w:val="nil"/>
              <w:right w:val="single" w:sz="4" w:space="0" w:color="auto"/>
            </w:tcBorders>
            <w:shd w:val="clear" w:color="auto" w:fill="auto"/>
            <w:noWrap/>
            <w:vAlign w:val="bottom"/>
            <w:hideMark/>
          </w:tcPr>
          <w:p w14:paraId="48C20FC4"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0</w:t>
            </w:r>
          </w:p>
        </w:tc>
      </w:tr>
      <w:tr w:rsidR="00F127C1" w:rsidRPr="00701888" w14:paraId="3E6920EB" w14:textId="77777777" w:rsidTr="004F0663">
        <w:trPr>
          <w:trHeight w:val="288"/>
        </w:trPr>
        <w:tc>
          <w:tcPr>
            <w:tcW w:w="5118" w:type="dxa"/>
            <w:tcBorders>
              <w:top w:val="nil"/>
              <w:left w:val="single" w:sz="4" w:space="0" w:color="auto"/>
              <w:bottom w:val="nil"/>
              <w:right w:val="nil"/>
            </w:tcBorders>
            <w:shd w:val="clear" w:color="auto" w:fill="auto"/>
            <w:noWrap/>
            <w:vAlign w:val="bottom"/>
            <w:hideMark/>
          </w:tcPr>
          <w:p w14:paraId="5321011E" w14:textId="011ABB07" w:rsidR="00770D8F" w:rsidRPr="00701888" w:rsidRDefault="00926A09" w:rsidP="00926A09">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xml:space="preserve">Patrocinio de </w:t>
            </w:r>
            <w:r w:rsidR="00836CCF" w:rsidRPr="00701888">
              <w:rPr>
                <w:rFonts w:ascii="Calibri" w:eastAsia="Times New Roman" w:hAnsi="Calibri"/>
                <w:color w:val="000000"/>
                <w:sz w:val="22"/>
                <w:szCs w:val="22"/>
                <w:lang w:val="es-ES_tradnl" w:eastAsia="en-GB"/>
              </w:rPr>
              <w:t xml:space="preserve">la asistencia de </w:t>
            </w:r>
            <w:r w:rsidRPr="00701888">
              <w:rPr>
                <w:rFonts w:ascii="Calibri" w:eastAsia="Times New Roman" w:hAnsi="Calibri"/>
                <w:color w:val="000000"/>
                <w:sz w:val="22"/>
                <w:szCs w:val="22"/>
                <w:lang w:val="es-ES_tradnl" w:eastAsia="en-GB"/>
              </w:rPr>
              <w:t xml:space="preserve">delegados </w:t>
            </w:r>
            <w:r w:rsidR="00A87A26" w:rsidRPr="00701888">
              <w:rPr>
                <w:rFonts w:ascii="Calibri" w:eastAsia="Times New Roman" w:hAnsi="Calibri"/>
                <w:color w:val="000000"/>
                <w:sz w:val="22"/>
                <w:szCs w:val="22"/>
                <w:lang w:val="es-ES_tradnl" w:eastAsia="en-GB"/>
              </w:rPr>
              <w:t xml:space="preserve">a la COP12 </w:t>
            </w:r>
            <w:r w:rsidRPr="00701888">
              <w:rPr>
                <w:rFonts w:ascii="Calibri" w:eastAsia="Times New Roman" w:hAnsi="Calibri"/>
                <w:color w:val="000000"/>
                <w:sz w:val="22"/>
                <w:szCs w:val="22"/>
                <w:lang w:val="es-ES_tradnl" w:eastAsia="en-GB"/>
              </w:rPr>
              <w:t>(devolución importe al fondo de reserva</w:t>
            </w:r>
            <w:r w:rsidR="00770D8F" w:rsidRPr="00701888">
              <w:rPr>
                <w:rFonts w:ascii="Calibri" w:eastAsia="Times New Roman" w:hAnsi="Calibri"/>
                <w:color w:val="000000"/>
                <w:sz w:val="22"/>
                <w:szCs w:val="22"/>
                <w:lang w:val="es-ES_tradnl" w:eastAsia="en-GB"/>
              </w:rPr>
              <w:t>)</w:t>
            </w:r>
          </w:p>
        </w:tc>
        <w:tc>
          <w:tcPr>
            <w:tcW w:w="1418" w:type="dxa"/>
            <w:tcBorders>
              <w:top w:val="nil"/>
              <w:left w:val="single" w:sz="4" w:space="0" w:color="auto"/>
              <w:bottom w:val="nil"/>
              <w:right w:val="single" w:sz="4" w:space="0" w:color="auto"/>
            </w:tcBorders>
            <w:shd w:val="clear" w:color="auto" w:fill="auto"/>
            <w:noWrap/>
            <w:vAlign w:val="bottom"/>
            <w:hideMark/>
          </w:tcPr>
          <w:p w14:paraId="3434BBE2"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125</w:t>
            </w:r>
          </w:p>
        </w:tc>
        <w:tc>
          <w:tcPr>
            <w:tcW w:w="1063" w:type="dxa"/>
            <w:tcBorders>
              <w:top w:val="nil"/>
              <w:left w:val="nil"/>
              <w:bottom w:val="nil"/>
              <w:right w:val="single" w:sz="4" w:space="0" w:color="auto"/>
            </w:tcBorders>
            <w:shd w:val="clear" w:color="auto" w:fill="auto"/>
            <w:noWrap/>
            <w:vAlign w:val="bottom"/>
            <w:hideMark/>
          </w:tcPr>
          <w:p w14:paraId="66189ABA"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129</w:t>
            </w:r>
          </w:p>
        </w:tc>
        <w:tc>
          <w:tcPr>
            <w:tcW w:w="1241" w:type="dxa"/>
            <w:tcBorders>
              <w:top w:val="nil"/>
              <w:left w:val="nil"/>
              <w:bottom w:val="nil"/>
              <w:right w:val="single" w:sz="4" w:space="0" w:color="auto"/>
            </w:tcBorders>
            <w:shd w:val="clear" w:color="auto" w:fill="auto"/>
            <w:noWrap/>
            <w:vAlign w:val="bottom"/>
            <w:hideMark/>
          </w:tcPr>
          <w:p w14:paraId="58F4B24D"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4</w:t>
            </w:r>
          </w:p>
        </w:tc>
      </w:tr>
      <w:tr w:rsidR="00F127C1" w:rsidRPr="00701888" w14:paraId="1BFF23B6" w14:textId="77777777" w:rsidTr="004F0663">
        <w:trPr>
          <w:trHeight w:val="324"/>
        </w:trPr>
        <w:tc>
          <w:tcPr>
            <w:tcW w:w="5118" w:type="dxa"/>
            <w:tcBorders>
              <w:top w:val="nil"/>
              <w:left w:val="single" w:sz="4" w:space="0" w:color="auto"/>
              <w:bottom w:val="nil"/>
              <w:right w:val="nil"/>
            </w:tcBorders>
            <w:shd w:val="clear" w:color="auto" w:fill="auto"/>
            <w:noWrap/>
            <w:vAlign w:val="bottom"/>
            <w:hideMark/>
          </w:tcPr>
          <w:p w14:paraId="6220B541" w14:textId="475BF732" w:rsidR="00770D8F" w:rsidRPr="00701888" w:rsidRDefault="00926A09" w:rsidP="00926A09">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51ª reunión del CP,</w:t>
            </w:r>
            <w:r w:rsidR="00770D8F" w:rsidRPr="00701888">
              <w:rPr>
                <w:rFonts w:ascii="Calibri" w:eastAsia="Times New Roman" w:hAnsi="Calibri"/>
                <w:color w:val="000000"/>
                <w:sz w:val="22"/>
                <w:szCs w:val="22"/>
                <w:lang w:val="es-ES_tradnl" w:eastAsia="en-GB"/>
              </w:rPr>
              <w:t xml:space="preserve"> 23</w:t>
            </w:r>
            <w:r w:rsidR="004F0663" w:rsidRPr="00701888">
              <w:rPr>
                <w:rFonts w:ascii="Calibri" w:eastAsia="Times New Roman" w:hAnsi="Calibri"/>
                <w:color w:val="000000"/>
                <w:sz w:val="22"/>
                <w:szCs w:val="22"/>
                <w:lang w:val="es-ES_tradnl" w:eastAsia="en-GB"/>
              </w:rPr>
              <w:t xml:space="preserve"> a</w:t>
            </w:r>
            <w:r w:rsidRPr="00701888">
              <w:rPr>
                <w:rFonts w:ascii="Calibri" w:eastAsia="Times New Roman" w:hAnsi="Calibri"/>
                <w:color w:val="000000"/>
                <w:sz w:val="22"/>
                <w:szCs w:val="22"/>
                <w:lang w:val="es-ES_tradnl" w:eastAsia="en-GB"/>
              </w:rPr>
              <w:t xml:space="preserve"> </w:t>
            </w:r>
            <w:r w:rsidR="00770D8F" w:rsidRPr="00701888">
              <w:rPr>
                <w:rFonts w:ascii="Calibri" w:eastAsia="Times New Roman" w:hAnsi="Calibri"/>
                <w:color w:val="000000"/>
                <w:sz w:val="22"/>
                <w:szCs w:val="22"/>
                <w:lang w:val="es-ES_tradnl" w:eastAsia="en-GB"/>
              </w:rPr>
              <w:t xml:space="preserve">27 </w:t>
            </w:r>
            <w:r w:rsidRPr="00701888">
              <w:rPr>
                <w:rFonts w:ascii="Calibri" w:eastAsia="Times New Roman" w:hAnsi="Calibri"/>
                <w:color w:val="000000"/>
                <w:sz w:val="22"/>
                <w:szCs w:val="22"/>
                <w:lang w:val="es-ES_tradnl" w:eastAsia="en-GB"/>
              </w:rPr>
              <w:t>de noviembre de</w:t>
            </w:r>
            <w:r w:rsidR="002C53F9" w:rsidRPr="00701888">
              <w:rPr>
                <w:rFonts w:ascii="Calibri" w:eastAsia="Times New Roman" w:hAnsi="Calibri"/>
                <w:color w:val="000000"/>
                <w:sz w:val="22"/>
                <w:szCs w:val="22"/>
                <w:lang w:val="es-ES_tradnl" w:eastAsia="en-GB"/>
              </w:rPr>
              <w:t xml:space="preserve"> </w:t>
            </w:r>
            <w:r w:rsidR="00770D8F" w:rsidRPr="00701888">
              <w:rPr>
                <w:rFonts w:ascii="Calibri" w:eastAsia="Times New Roman" w:hAnsi="Calibri"/>
                <w:color w:val="000000"/>
                <w:sz w:val="22"/>
                <w:szCs w:val="22"/>
                <w:lang w:val="es-ES_tradnl" w:eastAsia="en-GB"/>
              </w:rPr>
              <w:t>2015</w:t>
            </w:r>
          </w:p>
        </w:tc>
        <w:tc>
          <w:tcPr>
            <w:tcW w:w="1418" w:type="dxa"/>
            <w:tcBorders>
              <w:top w:val="nil"/>
              <w:left w:val="single" w:sz="4" w:space="0" w:color="auto"/>
              <w:bottom w:val="nil"/>
              <w:right w:val="single" w:sz="4" w:space="0" w:color="auto"/>
            </w:tcBorders>
            <w:shd w:val="clear" w:color="auto" w:fill="auto"/>
            <w:noWrap/>
            <w:vAlign w:val="bottom"/>
            <w:hideMark/>
          </w:tcPr>
          <w:p w14:paraId="1BD66F4F"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155</w:t>
            </w:r>
          </w:p>
        </w:tc>
        <w:tc>
          <w:tcPr>
            <w:tcW w:w="1063" w:type="dxa"/>
            <w:tcBorders>
              <w:top w:val="nil"/>
              <w:left w:val="nil"/>
              <w:bottom w:val="nil"/>
              <w:right w:val="single" w:sz="4" w:space="0" w:color="auto"/>
            </w:tcBorders>
            <w:shd w:val="clear" w:color="auto" w:fill="auto"/>
            <w:noWrap/>
            <w:vAlign w:val="bottom"/>
            <w:hideMark/>
          </w:tcPr>
          <w:p w14:paraId="0C78E45F" w14:textId="18542AF1"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w:t>
            </w:r>
            <w:r w:rsidR="00A87A26" w:rsidRPr="00701888">
              <w:rPr>
                <w:rFonts w:ascii="Calibri" w:eastAsia="Times New Roman" w:hAnsi="Calibri"/>
                <w:color w:val="000000"/>
                <w:sz w:val="22"/>
                <w:szCs w:val="22"/>
                <w:lang w:val="es-ES_tradnl" w:eastAsia="en-GB"/>
              </w:rPr>
              <w:t>4</w:t>
            </w:r>
            <w:r w:rsidRPr="00701888">
              <w:rPr>
                <w:rFonts w:ascii="Calibri" w:eastAsia="Times New Roman" w:hAnsi="Calibri"/>
                <w:color w:val="000000"/>
                <w:sz w:val="22"/>
                <w:szCs w:val="22"/>
                <w:lang w:val="es-ES_tradnl" w:eastAsia="en-GB"/>
              </w:rPr>
              <w:t>6</w:t>
            </w:r>
          </w:p>
        </w:tc>
        <w:tc>
          <w:tcPr>
            <w:tcW w:w="1241" w:type="dxa"/>
            <w:tcBorders>
              <w:top w:val="nil"/>
              <w:left w:val="nil"/>
              <w:bottom w:val="nil"/>
              <w:right w:val="single" w:sz="4" w:space="0" w:color="auto"/>
            </w:tcBorders>
            <w:shd w:val="clear" w:color="auto" w:fill="auto"/>
            <w:noWrap/>
            <w:vAlign w:val="bottom"/>
            <w:hideMark/>
          </w:tcPr>
          <w:p w14:paraId="14DDCC9B" w14:textId="70003079"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-9</w:t>
            </w:r>
          </w:p>
        </w:tc>
      </w:tr>
      <w:tr w:rsidR="00F127C1" w:rsidRPr="00701888" w14:paraId="1D7C0DB8" w14:textId="77777777" w:rsidTr="004F0663">
        <w:trPr>
          <w:trHeight w:val="288"/>
        </w:trPr>
        <w:tc>
          <w:tcPr>
            <w:tcW w:w="5118" w:type="dxa"/>
            <w:tcBorders>
              <w:top w:val="nil"/>
              <w:left w:val="single" w:sz="4" w:space="0" w:color="auto"/>
              <w:bottom w:val="nil"/>
              <w:right w:val="nil"/>
            </w:tcBorders>
            <w:shd w:val="clear" w:color="auto" w:fill="auto"/>
            <w:noWrap/>
            <w:vAlign w:val="bottom"/>
            <w:hideMark/>
          </w:tcPr>
          <w:p w14:paraId="2609C8F2" w14:textId="2E270538" w:rsidR="00770D8F" w:rsidRPr="00701888" w:rsidRDefault="00926A09" w:rsidP="00926A09">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Apoyo para el desarrollo del sitio web</w:t>
            </w:r>
          </w:p>
        </w:tc>
        <w:tc>
          <w:tcPr>
            <w:tcW w:w="1418" w:type="dxa"/>
            <w:tcBorders>
              <w:top w:val="nil"/>
              <w:left w:val="single" w:sz="4" w:space="0" w:color="auto"/>
              <w:bottom w:val="nil"/>
              <w:right w:val="single" w:sz="4" w:space="0" w:color="auto"/>
            </w:tcBorders>
            <w:shd w:val="clear" w:color="auto" w:fill="auto"/>
            <w:noWrap/>
            <w:vAlign w:val="bottom"/>
            <w:hideMark/>
          </w:tcPr>
          <w:p w14:paraId="606EBEDC"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10</w:t>
            </w:r>
          </w:p>
        </w:tc>
        <w:tc>
          <w:tcPr>
            <w:tcW w:w="1063" w:type="dxa"/>
            <w:tcBorders>
              <w:top w:val="nil"/>
              <w:left w:val="nil"/>
              <w:bottom w:val="nil"/>
              <w:right w:val="single" w:sz="4" w:space="0" w:color="auto"/>
            </w:tcBorders>
            <w:shd w:val="clear" w:color="auto" w:fill="auto"/>
            <w:noWrap/>
            <w:vAlign w:val="bottom"/>
            <w:hideMark/>
          </w:tcPr>
          <w:p w14:paraId="139CDAB0"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10</w:t>
            </w:r>
          </w:p>
        </w:tc>
        <w:tc>
          <w:tcPr>
            <w:tcW w:w="1241" w:type="dxa"/>
            <w:tcBorders>
              <w:top w:val="nil"/>
              <w:left w:val="nil"/>
              <w:bottom w:val="nil"/>
              <w:right w:val="single" w:sz="4" w:space="0" w:color="auto"/>
            </w:tcBorders>
            <w:shd w:val="clear" w:color="auto" w:fill="auto"/>
            <w:noWrap/>
            <w:vAlign w:val="bottom"/>
            <w:hideMark/>
          </w:tcPr>
          <w:p w14:paraId="037E4079" w14:textId="77777777" w:rsidR="00770D8F" w:rsidRPr="00701888" w:rsidRDefault="00770D8F" w:rsidP="0044625F">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0</w:t>
            </w:r>
          </w:p>
        </w:tc>
      </w:tr>
      <w:tr w:rsidR="00F127C1" w:rsidRPr="00701888" w14:paraId="68466567" w14:textId="77777777" w:rsidTr="004F0663">
        <w:trPr>
          <w:trHeight w:val="300"/>
        </w:trPr>
        <w:tc>
          <w:tcPr>
            <w:tcW w:w="5118" w:type="dxa"/>
            <w:tcBorders>
              <w:top w:val="nil"/>
              <w:left w:val="single" w:sz="4" w:space="0" w:color="auto"/>
              <w:bottom w:val="single" w:sz="4" w:space="0" w:color="auto"/>
              <w:right w:val="nil"/>
            </w:tcBorders>
            <w:shd w:val="clear" w:color="auto" w:fill="auto"/>
            <w:noWrap/>
            <w:vAlign w:val="bottom"/>
            <w:hideMark/>
          </w:tcPr>
          <w:p w14:paraId="3B270251" w14:textId="29FFF6D5" w:rsidR="00770D8F" w:rsidRPr="00701888" w:rsidRDefault="00926A09" w:rsidP="0044625F">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Saldo restante</w:t>
            </w:r>
          </w:p>
        </w:tc>
        <w:tc>
          <w:tcPr>
            <w:tcW w:w="1418"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6290B949" w14:textId="77777777" w:rsidR="00770D8F" w:rsidRPr="00701888" w:rsidRDefault="00770D8F" w:rsidP="0044625F">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0</w:t>
            </w:r>
          </w:p>
        </w:tc>
        <w:tc>
          <w:tcPr>
            <w:tcW w:w="1063" w:type="dxa"/>
            <w:tcBorders>
              <w:top w:val="single" w:sz="4" w:space="0" w:color="auto"/>
              <w:left w:val="nil"/>
              <w:bottom w:val="double" w:sz="6" w:space="0" w:color="auto"/>
              <w:right w:val="single" w:sz="4" w:space="0" w:color="auto"/>
            </w:tcBorders>
            <w:shd w:val="clear" w:color="000000" w:fill="D9D9D9"/>
            <w:noWrap/>
            <w:vAlign w:val="bottom"/>
            <w:hideMark/>
          </w:tcPr>
          <w:p w14:paraId="652119E2" w14:textId="52507264" w:rsidR="00770D8F" w:rsidRPr="00701888" w:rsidRDefault="00770D8F" w:rsidP="0044625F">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6</w:t>
            </w:r>
          </w:p>
        </w:tc>
        <w:tc>
          <w:tcPr>
            <w:tcW w:w="1241" w:type="dxa"/>
            <w:tcBorders>
              <w:top w:val="single" w:sz="4" w:space="0" w:color="auto"/>
              <w:left w:val="nil"/>
              <w:bottom w:val="double" w:sz="6" w:space="0" w:color="auto"/>
              <w:right w:val="single" w:sz="4" w:space="0" w:color="auto"/>
            </w:tcBorders>
            <w:shd w:val="clear" w:color="000000" w:fill="D9D9D9"/>
            <w:noWrap/>
            <w:vAlign w:val="bottom"/>
            <w:hideMark/>
          </w:tcPr>
          <w:p w14:paraId="41EAD050" w14:textId="73413779" w:rsidR="00770D8F" w:rsidRPr="00701888" w:rsidRDefault="00770D8F" w:rsidP="0044625F">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6</w:t>
            </w:r>
          </w:p>
        </w:tc>
      </w:tr>
    </w:tbl>
    <w:p w14:paraId="56A433A5" w14:textId="77777777" w:rsidR="008F0473" w:rsidRPr="00701888" w:rsidRDefault="008F0473" w:rsidP="00842399">
      <w:pPr>
        <w:rPr>
          <w:rFonts w:ascii="Calibri" w:hAnsi="Calibri" w:cs="Calibri"/>
          <w:b/>
          <w:bCs/>
          <w:sz w:val="22"/>
          <w:szCs w:val="22"/>
          <w:lang w:val="es-ES_tradnl"/>
        </w:rPr>
      </w:pPr>
    </w:p>
    <w:p w14:paraId="2B4B0FA6" w14:textId="77777777" w:rsidR="00DF7FE8" w:rsidRDefault="00DF7FE8" w:rsidP="00842399">
      <w:pPr>
        <w:rPr>
          <w:rFonts w:ascii="Calibri" w:hAnsi="Calibri" w:cs="Calibri"/>
          <w:b/>
          <w:bCs/>
          <w:sz w:val="22"/>
          <w:szCs w:val="22"/>
          <w:lang w:val="es-ES_tradnl"/>
        </w:rPr>
      </w:pPr>
    </w:p>
    <w:p w14:paraId="5AEC9D6E" w14:textId="4D97BDD0" w:rsidR="009966E8" w:rsidRPr="00701888" w:rsidRDefault="00580189" w:rsidP="00842399">
      <w:pPr>
        <w:rPr>
          <w:rFonts w:ascii="Calibri" w:hAnsi="Calibri" w:cs="Calibri"/>
          <w:b/>
          <w:bCs/>
          <w:sz w:val="22"/>
          <w:szCs w:val="22"/>
          <w:lang w:val="es-ES_tradnl"/>
        </w:rPr>
      </w:pPr>
      <w:r w:rsidRPr="00701888">
        <w:rPr>
          <w:rFonts w:ascii="Calibri" w:hAnsi="Calibri" w:cs="Calibri"/>
          <w:b/>
          <w:bCs/>
          <w:sz w:val="22"/>
          <w:szCs w:val="22"/>
          <w:lang w:val="es-ES_tradnl"/>
        </w:rPr>
        <w:lastRenderedPageBreak/>
        <w:t xml:space="preserve">Resultados de </w:t>
      </w:r>
      <w:r w:rsidR="00E50BEF" w:rsidRPr="00701888">
        <w:rPr>
          <w:rFonts w:ascii="Calibri" w:hAnsi="Calibri" w:cs="Calibri"/>
          <w:b/>
          <w:bCs/>
          <w:sz w:val="22"/>
          <w:szCs w:val="22"/>
          <w:lang w:val="es-ES_tradnl"/>
        </w:rPr>
        <w:t>201</w:t>
      </w:r>
      <w:r w:rsidR="00E72D40" w:rsidRPr="00701888">
        <w:rPr>
          <w:rFonts w:ascii="Calibri" w:hAnsi="Calibri" w:cs="Calibri"/>
          <w:b/>
          <w:bCs/>
          <w:sz w:val="22"/>
          <w:szCs w:val="22"/>
          <w:lang w:val="es-ES_tradnl"/>
        </w:rPr>
        <w:t>5</w:t>
      </w:r>
      <w:r w:rsidR="00214BBE">
        <w:rPr>
          <w:rFonts w:ascii="Calibri" w:hAnsi="Calibri" w:cs="Calibri"/>
          <w:b/>
          <w:bCs/>
          <w:sz w:val="22"/>
          <w:szCs w:val="22"/>
          <w:lang w:val="es-ES_tradnl"/>
        </w:rPr>
        <w:t>:</w:t>
      </w:r>
      <w:r w:rsidR="00DF7FE8">
        <w:rPr>
          <w:rFonts w:ascii="Calibri" w:hAnsi="Calibri" w:cs="Calibri"/>
          <w:b/>
          <w:bCs/>
          <w:sz w:val="22"/>
          <w:szCs w:val="22"/>
          <w:lang w:val="es-ES_tradnl"/>
        </w:rPr>
        <w:t xml:space="preserve"> presupuesto básico</w:t>
      </w:r>
    </w:p>
    <w:p w14:paraId="42607222" w14:textId="77777777" w:rsidR="009966E8" w:rsidRPr="00701888" w:rsidRDefault="009966E8" w:rsidP="00842399">
      <w:pPr>
        <w:ind w:left="540" w:hanging="540"/>
        <w:rPr>
          <w:rFonts w:ascii="Calibri" w:hAnsi="Calibri" w:cs="Calibri"/>
          <w:bCs/>
          <w:sz w:val="22"/>
          <w:szCs w:val="22"/>
          <w:lang w:val="es-ES_tradnl"/>
        </w:rPr>
      </w:pPr>
    </w:p>
    <w:p w14:paraId="09074EC8" w14:textId="5F66CE5E" w:rsidR="002464F2" w:rsidRPr="00701888" w:rsidRDefault="00024785" w:rsidP="00842399">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Not</w:t>
      </w:r>
      <w:r w:rsidR="00580189" w:rsidRPr="00701888">
        <w:rPr>
          <w:rFonts w:ascii="Calibri" w:hAnsi="Calibri" w:cs="Calibri"/>
          <w:bCs/>
          <w:sz w:val="22"/>
          <w:szCs w:val="22"/>
          <w:lang w:val="es-ES_tradnl"/>
        </w:rPr>
        <w:t>a</w:t>
      </w:r>
      <w:r w:rsidRPr="00701888">
        <w:rPr>
          <w:rFonts w:ascii="Calibri" w:hAnsi="Calibri" w:cs="Calibri"/>
          <w:bCs/>
          <w:sz w:val="22"/>
          <w:szCs w:val="22"/>
          <w:lang w:val="es-ES_tradnl"/>
        </w:rPr>
        <w:t xml:space="preserve">: </w:t>
      </w:r>
      <w:r w:rsidR="00580189" w:rsidRPr="00701888">
        <w:rPr>
          <w:rFonts w:ascii="Calibri" w:hAnsi="Calibri" w:cs="Calibri"/>
          <w:bCs/>
          <w:sz w:val="22"/>
          <w:szCs w:val="22"/>
          <w:lang w:val="es-ES_tradnl"/>
        </w:rPr>
        <w:t>los estados financieros ref</w:t>
      </w:r>
      <w:r w:rsidR="004F0663" w:rsidRPr="00701888">
        <w:rPr>
          <w:rFonts w:ascii="Calibri" w:hAnsi="Calibri" w:cs="Calibri"/>
          <w:bCs/>
          <w:sz w:val="22"/>
          <w:szCs w:val="22"/>
          <w:lang w:val="es-ES_tradnl"/>
        </w:rPr>
        <w:t>lejan la situación financiera a</w:t>
      </w:r>
      <w:r w:rsidR="00580189" w:rsidRPr="00701888">
        <w:rPr>
          <w:rFonts w:ascii="Calibri" w:hAnsi="Calibri" w:cs="Calibri"/>
          <w:bCs/>
          <w:sz w:val="22"/>
          <w:szCs w:val="22"/>
          <w:lang w:val="es-ES_tradnl"/>
        </w:rPr>
        <w:t xml:space="preserve"> 31 de diciembre de </w:t>
      </w:r>
      <w:r w:rsidRPr="00701888">
        <w:rPr>
          <w:rFonts w:ascii="Calibri" w:hAnsi="Calibri" w:cs="Calibri"/>
          <w:bCs/>
          <w:sz w:val="22"/>
          <w:szCs w:val="22"/>
          <w:lang w:val="es-ES_tradnl"/>
        </w:rPr>
        <w:t>201</w:t>
      </w:r>
      <w:r w:rsidR="00E72D40" w:rsidRPr="00701888">
        <w:rPr>
          <w:rFonts w:ascii="Calibri" w:hAnsi="Calibri" w:cs="Calibri"/>
          <w:bCs/>
          <w:sz w:val="22"/>
          <w:szCs w:val="22"/>
          <w:lang w:val="es-ES_tradnl"/>
        </w:rPr>
        <w:t>5</w:t>
      </w:r>
      <w:r w:rsidRPr="00701888">
        <w:rPr>
          <w:rFonts w:ascii="Calibri" w:hAnsi="Calibri" w:cs="Calibri"/>
          <w:bCs/>
          <w:sz w:val="22"/>
          <w:szCs w:val="22"/>
          <w:lang w:val="es-ES_tradnl"/>
        </w:rPr>
        <w:t>.</w:t>
      </w:r>
      <w:r w:rsidR="000B330F" w:rsidRPr="00701888">
        <w:rPr>
          <w:rFonts w:ascii="Calibri" w:hAnsi="Calibri" w:cs="Calibri"/>
          <w:bCs/>
          <w:sz w:val="22"/>
          <w:szCs w:val="22"/>
          <w:lang w:val="es-ES_tradnl"/>
        </w:rPr>
        <w:t xml:space="preserve"> </w:t>
      </w:r>
    </w:p>
    <w:p w14:paraId="78660C9E" w14:textId="77777777" w:rsidR="002464F2" w:rsidRPr="00701888" w:rsidRDefault="002464F2" w:rsidP="00842399">
      <w:pPr>
        <w:pStyle w:val="ListParagraph"/>
        <w:ind w:left="426" w:hanging="426"/>
        <w:rPr>
          <w:rFonts w:ascii="Calibri" w:hAnsi="Calibri" w:cs="Calibri"/>
          <w:bCs/>
          <w:sz w:val="22"/>
          <w:szCs w:val="22"/>
          <w:lang w:val="es-ES_tradnl"/>
        </w:rPr>
      </w:pPr>
    </w:p>
    <w:p w14:paraId="025505C9" w14:textId="77777777" w:rsidR="00A87A26" w:rsidRPr="00701888" w:rsidRDefault="00580189" w:rsidP="00842399">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Se adjunta el resumen del presupuesto básico de 2015 en el Anexo 2. Incluye el presupuesto aprobado, los</w:t>
      </w:r>
      <w:r w:rsidR="00B76412" w:rsidRPr="00701888">
        <w:rPr>
          <w:rFonts w:ascii="Calibri" w:hAnsi="Calibri" w:cs="Calibri"/>
          <w:bCs/>
          <w:sz w:val="22"/>
          <w:szCs w:val="22"/>
          <w:lang w:val="es-ES_tradnl"/>
        </w:rPr>
        <w:t xml:space="preserve"> gastos e ingresos</w:t>
      </w:r>
      <w:r w:rsidR="002B5322" w:rsidRPr="00701888">
        <w:rPr>
          <w:rFonts w:ascii="Calibri" w:hAnsi="Calibri" w:cs="Calibri"/>
          <w:bCs/>
          <w:sz w:val="22"/>
          <w:szCs w:val="22"/>
          <w:lang w:val="es-ES_tradnl"/>
        </w:rPr>
        <w:t xml:space="preserve"> </w:t>
      </w:r>
      <w:r w:rsidRPr="00701888">
        <w:rPr>
          <w:rFonts w:ascii="Calibri" w:hAnsi="Calibri" w:cs="Calibri"/>
          <w:bCs/>
          <w:sz w:val="22"/>
          <w:szCs w:val="22"/>
          <w:lang w:val="es-ES_tradnl"/>
        </w:rPr>
        <w:t xml:space="preserve">reales y la </w:t>
      </w:r>
      <w:r w:rsidR="00B76412" w:rsidRPr="00701888">
        <w:rPr>
          <w:rFonts w:ascii="Calibri" w:hAnsi="Calibri" w:cs="Calibri"/>
          <w:bCs/>
          <w:sz w:val="22"/>
          <w:szCs w:val="22"/>
          <w:lang w:val="es-ES_tradnl"/>
        </w:rPr>
        <w:t>variación</w:t>
      </w:r>
      <w:r w:rsidRPr="00701888">
        <w:rPr>
          <w:rFonts w:ascii="Calibri" w:hAnsi="Calibri" w:cs="Calibri"/>
          <w:bCs/>
          <w:sz w:val="22"/>
          <w:szCs w:val="22"/>
          <w:lang w:val="es-ES_tradnl"/>
        </w:rPr>
        <w:t xml:space="preserve"> entre los importes reales y las previsiones presupuestarias. </w:t>
      </w:r>
    </w:p>
    <w:p w14:paraId="464F1265" w14:textId="77777777" w:rsidR="00A87A26" w:rsidRPr="00701888" w:rsidRDefault="00A87A26" w:rsidP="00A87A26">
      <w:pPr>
        <w:rPr>
          <w:rFonts w:ascii="Calibri" w:hAnsi="Calibri" w:cs="Calibri"/>
          <w:bCs/>
          <w:sz w:val="22"/>
          <w:szCs w:val="22"/>
          <w:lang w:val="es-ES_tradnl"/>
        </w:rPr>
      </w:pPr>
    </w:p>
    <w:p w14:paraId="54FA84B7" w14:textId="56A87B6D" w:rsidR="00C95454" w:rsidRPr="00701888" w:rsidRDefault="00044530" w:rsidP="00842399">
      <w:pPr>
        <w:pStyle w:val="ListParagraph"/>
        <w:numPr>
          <w:ilvl w:val="0"/>
          <w:numId w:val="2"/>
        </w:numPr>
        <w:ind w:left="426" w:hanging="426"/>
        <w:rPr>
          <w:rFonts w:ascii="Calibri" w:hAnsi="Calibri" w:cs="Calibri"/>
          <w:bCs/>
          <w:sz w:val="22"/>
          <w:szCs w:val="22"/>
          <w:lang w:val="es-ES_tradnl"/>
        </w:rPr>
      </w:pPr>
      <w:r>
        <w:rPr>
          <w:rFonts w:ascii="Calibri" w:hAnsi="Calibri" w:cs="Calibri"/>
          <w:bCs/>
          <w:sz w:val="22"/>
          <w:szCs w:val="22"/>
          <w:lang w:val="es-ES_tradnl"/>
        </w:rPr>
        <w:t>Antes de</w:t>
      </w:r>
      <w:r w:rsidR="004674D2" w:rsidRPr="00701888">
        <w:rPr>
          <w:rFonts w:ascii="Calibri" w:hAnsi="Calibri" w:cs="Calibri"/>
          <w:bCs/>
          <w:sz w:val="22"/>
          <w:szCs w:val="22"/>
          <w:lang w:val="es-ES_tradnl"/>
        </w:rPr>
        <w:t xml:space="preserve"> </w:t>
      </w:r>
      <w:r w:rsidR="008057F7">
        <w:rPr>
          <w:rFonts w:ascii="Calibri" w:hAnsi="Calibri" w:cs="Calibri"/>
          <w:bCs/>
          <w:sz w:val="22"/>
          <w:szCs w:val="22"/>
          <w:lang w:val="es-ES_tradnl"/>
        </w:rPr>
        <w:t xml:space="preserve">aplicar </w:t>
      </w:r>
      <w:r w:rsidR="00BB3638" w:rsidRPr="00701888">
        <w:rPr>
          <w:rFonts w:ascii="Calibri" w:hAnsi="Calibri" w:cs="Calibri"/>
          <w:bCs/>
          <w:sz w:val="22"/>
          <w:szCs w:val="22"/>
          <w:lang w:val="es-ES_tradnl"/>
        </w:rPr>
        <w:t xml:space="preserve">las provisiones, </w:t>
      </w:r>
      <w:r w:rsidR="004674D2" w:rsidRPr="00701888">
        <w:rPr>
          <w:rFonts w:ascii="Calibri" w:hAnsi="Calibri" w:cs="Calibri"/>
          <w:bCs/>
          <w:sz w:val="22"/>
          <w:szCs w:val="22"/>
          <w:lang w:val="es-ES_tradnl"/>
        </w:rPr>
        <w:t>el presupuesto básico arrojaba un superávit global de 238.000 francos suizos. No obstante, la partida K del presupuesto básico de 2015 (Gastos diversos – Fondo de reserva) muestra unos gastos reales de 685.000 francos suizos</w:t>
      </w:r>
      <w:r w:rsidR="00C95454" w:rsidRPr="00701888">
        <w:rPr>
          <w:rFonts w:ascii="Calibri" w:hAnsi="Calibri" w:cs="Calibri"/>
          <w:bCs/>
          <w:sz w:val="22"/>
          <w:szCs w:val="22"/>
          <w:lang w:val="es-ES_tradnl"/>
        </w:rPr>
        <w:t>, comparados con la previsión de 110.000 francos suizos, lo que supone un déficit de 575.000 francos suizos en esta partida</w:t>
      </w:r>
      <w:r w:rsidR="008057F7">
        <w:rPr>
          <w:rFonts w:ascii="Calibri" w:hAnsi="Calibri" w:cs="Calibri"/>
          <w:bCs/>
          <w:sz w:val="22"/>
          <w:szCs w:val="22"/>
          <w:lang w:val="es-ES_tradnl"/>
        </w:rPr>
        <w:t xml:space="preserve">. Por consiguiente, el Anexo 2 refleja </w:t>
      </w:r>
      <w:r w:rsidR="00C95454" w:rsidRPr="00701888">
        <w:rPr>
          <w:rFonts w:ascii="Calibri" w:hAnsi="Calibri" w:cs="Calibri"/>
          <w:bCs/>
          <w:sz w:val="22"/>
          <w:szCs w:val="22"/>
          <w:lang w:val="es-ES_tradnl"/>
        </w:rPr>
        <w:t>un déficit global del presupuesto básico de 2015 de 337.000 francos s</w:t>
      </w:r>
      <w:r w:rsidR="008057F7">
        <w:rPr>
          <w:rFonts w:ascii="Calibri" w:hAnsi="Calibri" w:cs="Calibri"/>
          <w:bCs/>
          <w:sz w:val="22"/>
          <w:szCs w:val="22"/>
          <w:lang w:val="es-ES_tradnl"/>
        </w:rPr>
        <w:t>uizos, que se resume en el Cuadro</w:t>
      </w:r>
      <w:r w:rsidR="00C95454" w:rsidRPr="00701888">
        <w:rPr>
          <w:rFonts w:ascii="Calibri" w:hAnsi="Calibri" w:cs="Calibri"/>
          <w:bCs/>
          <w:sz w:val="22"/>
          <w:szCs w:val="22"/>
          <w:lang w:val="es-ES_tradnl"/>
        </w:rPr>
        <w:t xml:space="preserve"> 2</w:t>
      </w:r>
      <w:r w:rsidR="008057F7">
        <w:rPr>
          <w:rFonts w:ascii="Calibri" w:hAnsi="Calibri" w:cs="Calibri"/>
          <w:bCs/>
          <w:sz w:val="22"/>
          <w:szCs w:val="22"/>
          <w:lang w:val="es-ES_tradnl"/>
        </w:rPr>
        <w:t xml:space="preserve"> a continuación</w:t>
      </w:r>
      <w:r w:rsidR="00C95454" w:rsidRPr="00701888">
        <w:rPr>
          <w:rFonts w:ascii="Calibri" w:hAnsi="Calibri" w:cs="Calibri"/>
          <w:bCs/>
          <w:sz w:val="22"/>
          <w:szCs w:val="22"/>
          <w:lang w:val="es-ES_tradnl"/>
        </w:rPr>
        <w:t>.</w:t>
      </w:r>
    </w:p>
    <w:p w14:paraId="1F603E21" w14:textId="77777777" w:rsidR="00C95454" w:rsidRPr="00701888" w:rsidRDefault="00C95454" w:rsidP="00C95454">
      <w:pPr>
        <w:rPr>
          <w:rFonts w:ascii="Calibri" w:hAnsi="Calibri" w:cs="Calibri"/>
          <w:bCs/>
          <w:sz w:val="22"/>
          <w:szCs w:val="22"/>
          <w:lang w:val="es-ES_tradnl"/>
        </w:rPr>
      </w:pPr>
    </w:p>
    <w:p w14:paraId="1EB09796" w14:textId="77777777" w:rsidR="00D27A32" w:rsidRPr="00701888" w:rsidRDefault="008418BA" w:rsidP="00D27A32">
      <w:pPr>
        <w:pStyle w:val="ListParagraph"/>
        <w:ind w:left="426" w:hanging="426"/>
        <w:rPr>
          <w:rFonts w:ascii="Calibri" w:hAnsi="Calibri" w:cs="Calibri"/>
          <w:bCs/>
          <w:sz w:val="22"/>
          <w:szCs w:val="22"/>
          <w:lang w:val="es-ES_tradnl"/>
        </w:rPr>
      </w:pPr>
      <w:r w:rsidRPr="00C53165">
        <w:rPr>
          <w:rFonts w:ascii="Calibri" w:hAnsi="Calibri" w:cs="Calibri"/>
          <w:b/>
          <w:bCs/>
          <w:sz w:val="22"/>
          <w:szCs w:val="22"/>
          <w:lang w:val="es-ES_tradnl"/>
        </w:rPr>
        <w:t>Cuadro 2: Resumen del déficit del presupuesto básico</w:t>
      </w:r>
      <w:r w:rsidRPr="00C53165">
        <w:rPr>
          <w:rFonts w:ascii="Calibri" w:hAnsi="Calibri" w:cs="Calibri"/>
          <w:bCs/>
          <w:sz w:val="22"/>
          <w:szCs w:val="22"/>
          <w:lang w:val="es-ES_tradnl"/>
        </w:rPr>
        <w:t xml:space="preserve"> </w:t>
      </w:r>
    </w:p>
    <w:p w14:paraId="7C797C1F" w14:textId="0EC38EC4" w:rsidR="008418BA" w:rsidRPr="00701888" w:rsidRDefault="008418BA" w:rsidP="00D27A32">
      <w:pPr>
        <w:pStyle w:val="ListParagraph"/>
        <w:ind w:left="426" w:hanging="426"/>
        <w:rPr>
          <w:rFonts w:ascii="Calibri" w:hAnsi="Calibri" w:cs="Calibri"/>
          <w:bCs/>
          <w:sz w:val="22"/>
          <w:szCs w:val="22"/>
          <w:lang w:val="es-ES_tradnl"/>
        </w:rPr>
      </w:pPr>
      <w:r w:rsidRPr="00701888">
        <w:rPr>
          <w:rFonts w:ascii="Calibri" w:hAnsi="Calibri" w:cs="Calibri"/>
          <w:bCs/>
          <w:sz w:val="22"/>
          <w:szCs w:val="22"/>
          <w:lang w:val="es-ES_tradnl"/>
        </w:rPr>
        <w:t>(</w:t>
      </w:r>
      <w:r w:rsidR="008057F7">
        <w:rPr>
          <w:rFonts w:ascii="Calibri" w:hAnsi="Calibri" w:cs="Calibri"/>
          <w:bCs/>
          <w:sz w:val="22"/>
          <w:szCs w:val="22"/>
          <w:lang w:val="es-ES_tradnl"/>
        </w:rPr>
        <w:t xml:space="preserve">en </w:t>
      </w:r>
      <w:r w:rsidRPr="00701888">
        <w:rPr>
          <w:rFonts w:ascii="Calibri" w:hAnsi="Calibri" w:cs="Calibri"/>
          <w:b/>
          <w:sz w:val="22"/>
          <w:szCs w:val="22"/>
          <w:lang w:val="es-ES_tradnl"/>
        </w:rPr>
        <w:t>miles de francos suizos,</w:t>
      </w:r>
      <w:r w:rsidR="00061D63">
        <w:rPr>
          <w:rFonts w:ascii="Calibri" w:hAnsi="Calibri" w:cs="Calibri"/>
          <w:b/>
          <w:sz w:val="22"/>
          <w:szCs w:val="22"/>
          <w:lang w:val="es-ES_tradnl"/>
        </w:rPr>
        <w:t xml:space="preserve"> con</w:t>
      </w:r>
      <w:r w:rsidRPr="00701888">
        <w:rPr>
          <w:rFonts w:ascii="Calibri" w:hAnsi="Calibri" w:cs="Calibri"/>
          <w:b/>
          <w:sz w:val="22"/>
          <w:szCs w:val="22"/>
          <w:lang w:val="es-ES_tradnl"/>
        </w:rPr>
        <w:t xml:space="preserve"> errores por redondeo)</w:t>
      </w:r>
    </w:p>
    <w:tbl>
      <w:tblPr>
        <w:tblW w:w="9331" w:type="dxa"/>
        <w:tblInd w:w="103" w:type="dxa"/>
        <w:tblLook w:val="04A0" w:firstRow="1" w:lastRow="0" w:firstColumn="1" w:lastColumn="0" w:noHBand="0" w:noVBand="1"/>
      </w:tblPr>
      <w:tblGrid>
        <w:gridCol w:w="3407"/>
        <w:gridCol w:w="684"/>
        <w:gridCol w:w="960"/>
        <w:gridCol w:w="4280"/>
      </w:tblGrid>
      <w:tr w:rsidR="000D555C" w:rsidRPr="00701888" w14:paraId="60790F83" w14:textId="77777777" w:rsidTr="00C53165">
        <w:trPr>
          <w:trHeight w:val="288"/>
        </w:trPr>
        <w:tc>
          <w:tcPr>
            <w:tcW w:w="3407" w:type="dxa"/>
            <w:tcBorders>
              <w:top w:val="single" w:sz="4" w:space="0" w:color="auto"/>
              <w:left w:val="single" w:sz="4" w:space="0" w:color="auto"/>
              <w:bottom w:val="nil"/>
              <w:right w:val="single" w:sz="4" w:space="0" w:color="auto"/>
            </w:tcBorders>
            <w:shd w:val="clear" w:color="000000" w:fill="8DB4E2"/>
            <w:noWrap/>
            <w:vAlign w:val="bottom"/>
            <w:hideMark/>
          </w:tcPr>
          <w:p w14:paraId="57BAD008" w14:textId="2CAE7874" w:rsidR="000D555C" w:rsidRPr="00701888" w:rsidRDefault="000D555C" w:rsidP="009549FB">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Centro de costos</w:t>
            </w:r>
          </w:p>
        </w:tc>
        <w:tc>
          <w:tcPr>
            <w:tcW w:w="684" w:type="dxa"/>
            <w:tcBorders>
              <w:top w:val="single" w:sz="4" w:space="0" w:color="auto"/>
              <w:left w:val="nil"/>
              <w:bottom w:val="nil"/>
              <w:right w:val="nil"/>
            </w:tcBorders>
            <w:shd w:val="clear" w:color="000000" w:fill="8DB4E2"/>
            <w:noWrap/>
            <w:vAlign w:val="bottom"/>
            <w:hideMark/>
          </w:tcPr>
          <w:p w14:paraId="34CBA729" w14:textId="77777777" w:rsidR="000D555C" w:rsidRPr="00701888" w:rsidRDefault="000D555C" w:rsidP="009549FB">
            <w:pPr>
              <w:jc w:val="cente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w:t>
            </w:r>
          </w:p>
        </w:tc>
        <w:tc>
          <w:tcPr>
            <w:tcW w:w="960" w:type="dxa"/>
            <w:tcBorders>
              <w:top w:val="single" w:sz="4" w:space="0" w:color="auto"/>
              <w:left w:val="nil"/>
              <w:bottom w:val="nil"/>
              <w:right w:val="single" w:sz="4" w:space="0" w:color="auto"/>
            </w:tcBorders>
            <w:shd w:val="clear" w:color="000000" w:fill="8DB4E2"/>
            <w:noWrap/>
            <w:vAlign w:val="bottom"/>
            <w:hideMark/>
          </w:tcPr>
          <w:p w14:paraId="03D8AB16" w14:textId="77777777" w:rsidR="000D555C" w:rsidRPr="00701888" w:rsidRDefault="000D555C" w:rsidP="009549FB">
            <w:pPr>
              <w:jc w:val="cente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w:t>
            </w:r>
          </w:p>
        </w:tc>
        <w:tc>
          <w:tcPr>
            <w:tcW w:w="4280" w:type="dxa"/>
            <w:tcBorders>
              <w:top w:val="single" w:sz="4" w:space="0" w:color="auto"/>
              <w:left w:val="nil"/>
              <w:bottom w:val="nil"/>
              <w:right w:val="single" w:sz="4" w:space="0" w:color="auto"/>
            </w:tcBorders>
            <w:shd w:val="clear" w:color="000000" w:fill="8DB4E2"/>
            <w:noWrap/>
            <w:vAlign w:val="bottom"/>
            <w:hideMark/>
          </w:tcPr>
          <w:p w14:paraId="2A2820A4" w14:textId="40899905" w:rsidR="000D555C" w:rsidRPr="00701888" w:rsidRDefault="000D555C" w:rsidP="009549FB">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Observaciones</w:t>
            </w:r>
          </w:p>
        </w:tc>
      </w:tr>
      <w:tr w:rsidR="000D555C" w:rsidRPr="00701888" w14:paraId="48314672"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1F550FED" w14:textId="65EE61D3"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Ingresos</w:t>
            </w:r>
          </w:p>
        </w:tc>
        <w:tc>
          <w:tcPr>
            <w:tcW w:w="684" w:type="dxa"/>
            <w:tcBorders>
              <w:top w:val="nil"/>
              <w:left w:val="nil"/>
              <w:bottom w:val="nil"/>
              <w:right w:val="nil"/>
            </w:tcBorders>
            <w:shd w:val="clear" w:color="auto" w:fill="auto"/>
            <w:noWrap/>
            <w:vAlign w:val="bottom"/>
            <w:hideMark/>
          </w:tcPr>
          <w:p w14:paraId="1D50A9D4"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3A8FDC5E"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(12)</w:t>
            </w:r>
          </w:p>
        </w:tc>
        <w:tc>
          <w:tcPr>
            <w:tcW w:w="4280" w:type="dxa"/>
            <w:tcBorders>
              <w:top w:val="nil"/>
              <w:left w:val="nil"/>
              <w:bottom w:val="nil"/>
              <w:right w:val="single" w:sz="4" w:space="0" w:color="auto"/>
            </w:tcBorders>
            <w:shd w:val="clear" w:color="auto" w:fill="auto"/>
            <w:noWrap/>
            <w:vAlign w:val="bottom"/>
            <w:hideMark/>
          </w:tcPr>
          <w:p w14:paraId="3C05DE63" w14:textId="7A59E35F"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Intereses</w:t>
            </w:r>
          </w:p>
        </w:tc>
      </w:tr>
      <w:tr w:rsidR="000D555C" w:rsidRPr="008006D0" w14:paraId="142C18E6"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25684C06" w14:textId="18BB1925"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Personal directivo</w:t>
            </w:r>
          </w:p>
        </w:tc>
        <w:tc>
          <w:tcPr>
            <w:tcW w:w="684" w:type="dxa"/>
            <w:tcBorders>
              <w:top w:val="nil"/>
              <w:left w:val="nil"/>
              <w:bottom w:val="nil"/>
              <w:right w:val="nil"/>
            </w:tcBorders>
            <w:shd w:val="clear" w:color="auto" w:fill="auto"/>
            <w:noWrap/>
            <w:vAlign w:val="bottom"/>
            <w:hideMark/>
          </w:tcPr>
          <w:p w14:paraId="2D393608"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06DA9F0F"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48</w:t>
            </w:r>
          </w:p>
        </w:tc>
        <w:tc>
          <w:tcPr>
            <w:tcW w:w="4280" w:type="dxa"/>
            <w:tcBorders>
              <w:top w:val="nil"/>
              <w:left w:val="nil"/>
              <w:bottom w:val="nil"/>
              <w:right w:val="single" w:sz="4" w:space="0" w:color="auto"/>
            </w:tcBorders>
            <w:shd w:val="clear" w:color="auto" w:fill="auto"/>
            <w:noWrap/>
            <w:vAlign w:val="bottom"/>
            <w:hideMark/>
          </w:tcPr>
          <w:p w14:paraId="0C14C73D" w14:textId="3DB349B7" w:rsidR="000D555C" w:rsidRPr="00061D63" w:rsidRDefault="00AE0E56" w:rsidP="00AE0E56">
            <w:pPr>
              <w:rPr>
                <w:rFonts w:ascii="Calibri" w:eastAsia="Times New Roman" w:hAnsi="Calibri"/>
                <w:color w:val="000000"/>
                <w:sz w:val="22"/>
                <w:szCs w:val="22"/>
                <w:lang w:val="es-ES_tradnl" w:eastAsia="en-GB"/>
              </w:rPr>
            </w:pPr>
            <w:r w:rsidRPr="00061D63">
              <w:rPr>
                <w:rFonts w:ascii="Calibri" w:eastAsia="Times New Roman" w:hAnsi="Calibri"/>
                <w:color w:val="000000"/>
                <w:sz w:val="22"/>
                <w:szCs w:val="22"/>
                <w:lang w:val="es-ES_tradnl" w:eastAsia="en-GB"/>
              </w:rPr>
              <w:t>Salarios</w:t>
            </w:r>
            <w:r w:rsidR="000D555C" w:rsidRPr="00061D63">
              <w:rPr>
                <w:rFonts w:ascii="Calibri" w:eastAsia="Times New Roman" w:hAnsi="Calibri"/>
                <w:color w:val="000000"/>
                <w:sz w:val="22"/>
                <w:szCs w:val="22"/>
                <w:lang w:val="es-ES_tradnl" w:eastAsia="en-GB"/>
              </w:rPr>
              <w:t xml:space="preserve"> y subsidio para la educación</w:t>
            </w:r>
          </w:p>
        </w:tc>
      </w:tr>
      <w:tr w:rsidR="000D555C" w:rsidRPr="00701888" w14:paraId="0BCA29F7"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tcPr>
          <w:p w14:paraId="7AC3E9B2" w14:textId="12A10005" w:rsidR="000D555C" w:rsidRPr="00701888" w:rsidRDefault="000D555C" w:rsidP="000D555C">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Asesoramiento y apoyo regionales</w:t>
            </w:r>
          </w:p>
        </w:tc>
        <w:tc>
          <w:tcPr>
            <w:tcW w:w="684" w:type="dxa"/>
            <w:tcBorders>
              <w:top w:val="nil"/>
              <w:left w:val="nil"/>
              <w:bottom w:val="nil"/>
              <w:right w:val="nil"/>
            </w:tcBorders>
            <w:shd w:val="clear" w:color="auto" w:fill="auto"/>
            <w:noWrap/>
            <w:vAlign w:val="bottom"/>
          </w:tcPr>
          <w:p w14:paraId="48E95011" w14:textId="77777777" w:rsidR="000D555C" w:rsidRPr="00701888" w:rsidRDefault="000D555C" w:rsidP="009549FB">
            <w:pPr>
              <w:rPr>
                <w:rFonts w:ascii="Calibri" w:eastAsia="Times New Roman" w:hAnsi="Calibri"/>
                <w:color w:val="000000"/>
                <w:sz w:val="22"/>
                <w:szCs w:val="22"/>
                <w:lang w:val="es-ES_tradnl" w:eastAsia="en-GB"/>
              </w:rPr>
            </w:pPr>
          </w:p>
        </w:tc>
        <w:tc>
          <w:tcPr>
            <w:tcW w:w="960" w:type="dxa"/>
            <w:tcBorders>
              <w:top w:val="nil"/>
              <w:left w:val="nil"/>
              <w:bottom w:val="nil"/>
              <w:right w:val="single" w:sz="4" w:space="0" w:color="auto"/>
            </w:tcBorders>
            <w:shd w:val="clear" w:color="auto" w:fill="auto"/>
            <w:noWrap/>
            <w:vAlign w:val="bottom"/>
          </w:tcPr>
          <w:p w14:paraId="39B18680"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121</w:t>
            </w:r>
          </w:p>
        </w:tc>
        <w:tc>
          <w:tcPr>
            <w:tcW w:w="4280" w:type="dxa"/>
            <w:tcBorders>
              <w:top w:val="nil"/>
              <w:left w:val="nil"/>
              <w:bottom w:val="nil"/>
              <w:right w:val="single" w:sz="4" w:space="0" w:color="auto"/>
            </w:tcBorders>
            <w:shd w:val="clear" w:color="auto" w:fill="auto"/>
            <w:noWrap/>
            <w:vAlign w:val="bottom"/>
          </w:tcPr>
          <w:p w14:paraId="6A81ACAC" w14:textId="581D8403" w:rsidR="000D555C" w:rsidRPr="00061D63" w:rsidRDefault="000D555C" w:rsidP="000D555C">
            <w:pPr>
              <w:rPr>
                <w:rFonts w:ascii="Calibri" w:eastAsia="Times New Roman" w:hAnsi="Calibri"/>
                <w:color w:val="000000"/>
                <w:sz w:val="22"/>
                <w:szCs w:val="22"/>
                <w:lang w:val="es-ES_tradnl" w:eastAsia="en-GB"/>
              </w:rPr>
            </w:pPr>
            <w:r w:rsidRPr="00061D63">
              <w:rPr>
                <w:rFonts w:ascii="Calibri" w:eastAsia="Times New Roman" w:hAnsi="Calibri"/>
                <w:color w:val="000000"/>
                <w:sz w:val="22"/>
                <w:szCs w:val="22"/>
                <w:lang w:val="es-ES_tradnl" w:eastAsia="en-GB"/>
              </w:rPr>
              <w:t>Salarios 106.000;</w:t>
            </w:r>
            <w:r w:rsidR="00701888" w:rsidRPr="00061D63">
              <w:rPr>
                <w:rFonts w:ascii="Calibri" w:eastAsia="Times New Roman" w:hAnsi="Calibri"/>
                <w:color w:val="000000"/>
                <w:sz w:val="22"/>
                <w:szCs w:val="22"/>
                <w:lang w:val="es-ES_tradnl" w:eastAsia="en-GB"/>
              </w:rPr>
              <w:t xml:space="preserve"> v</w:t>
            </w:r>
            <w:r w:rsidRPr="00061D63">
              <w:rPr>
                <w:rFonts w:ascii="Calibri" w:eastAsia="Times New Roman" w:hAnsi="Calibri"/>
                <w:color w:val="000000"/>
                <w:sz w:val="22"/>
                <w:szCs w:val="22"/>
                <w:lang w:val="es-ES_tradnl" w:eastAsia="en-GB"/>
              </w:rPr>
              <w:t>iajes 15.000</w:t>
            </w:r>
          </w:p>
        </w:tc>
      </w:tr>
      <w:tr w:rsidR="000D555C" w:rsidRPr="00701888" w14:paraId="00687290"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65B89649" w14:textId="4AE1C6DC"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Administración</w:t>
            </w:r>
          </w:p>
        </w:tc>
        <w:tc>
          <w:tcPr>
            <w:tcW w:w="684" w:type="dxa"/>
            <w:tcBorders>
              <w:top w:val="nil"/>
              <w:left w:val="nil"/>
              <w:bottom w:val="nil"/>
              <w:right w:val="nil"/>
            </w:tcBorders>
            <w:shd w:val="clear" w:color="auto" w:fill="auto"/>
            <w:noWrap/>
            <w:vAlign w:val="bottom"/>
            <w:hideMark/>
          </w:tcPr>
          <w:p w14:paraId="756A5924"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0BEAA621"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40</w:t>
            </w:r>
          </w:p>
        </w:tc>
        <w:tc>
          <w:tcPr>
            <w:tcW w:w="4280" w:type="dxa"/>
            <w:tcBorders>
              <w:top w:val="nil"/>
              <w:left w:val="nil"/>
              <w:bottom w:val="nil"/>
              <w:right w:val="single" w:sz="4" w:space="0" w:color="auto"/>
            </w:tcBorders>
            <w:shd w:val="clear" w:color="auto" w:fill="auto"/>
            <w:noWrap/>
            <w:vAlign w:val="bottom"/>
            <w:hideMark/>
          </w:tcPr>
          <w:p w14:paraId="43F3F0C4" w14:textId="02DCEC64" w:rsidR="000D555C" w:rsidRPr="00061D63" w:rsidRDefault="000D555C" w:rsidP="009549FB">
            <w:pPr>
              <w:rPr>
                <w:rFonts w:ascii="Calibri" w:eastAsia="Times New Roman" w:hAnsi="Calibri"/>
                <w:color w:val="000000"/>
                <w:sz w:val="22"/>
                <w:szCs w:val="22"/>
                <w:lang w:val="es-ES_tradnl" w:eastAsia="en-GB"/>
              </w:rPr>
            </w:pPr>
            <w:r w:rsidRPr="00061D63">
              <w:rPr>
                <w:rFonts w:ascii="Calibri" w:eastAsia="Times New Roman" w:hAnsi="Calibri"/>
                <w:color w:val="000000"/>
                <w:sz w:val="22"/>
                <w:szCs w:val="22"/>
                <w:lang w:val="es-ES_tradnl" w:eastAsia="en-GB"/>
              </w:rPr>
              <w:t>Salarios</w:t>
            </w:r>
          </w:p>
        </w:tc>
      </w:tr>
      <w:tr w:rsidR="000D555C" w:rsidRPr="00701888" w14:paraId="3B2DE450"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41FFAC3E" w14:textId="716C2B8D"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Otros ingresos</w:t>
            </w:r>
          </w:p>
        </w:tc>
        <w:tc>
          <w:tcPr>
            <w:tcW w:w="684" w:type="dxa"/>
            <w:tcBorders>
              <w:top w:val="nil"/>
              <w:left w:val="nil"/>
              <w:bottom w:val="nil"/>
              <w:right w:val="nil"/>
            </w:tcBorders>
            <w:shd w:val="clear" w:color="auto" w:fill="auto"/>
            <w:noWrap/>
            <w:vAlign w:val="bottom"/>
            <w:hideMark/>
          </w:tcPr>
          <w:p w14:paraId="087FADA1"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534B8F4"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41</w:t>
            </w:r>
          </w:p>
        </w:tc>
        <w:tc>
          <w:tcPr>
            <w:tcW w:w="4280" w:type="dxa"/>
            <w:tcBorders>
              <w:top w:val="nil"/>
              <w:left w:val="nil"/>
              <w:bottom w:val="nil"/>
              <w:right w:val="single" w:sz="4" w:space="0" w:color="auto"/>
            </w:tcBorders>
            <w:shd w:val="clear" w:color="auto" w:fill="auto"/>
            <w:noWrap/>
            <w:vAlign w:val="bottom"/>
            <w:hideMark/>
          </w:tcPr>
          <w:p w14:paraId="72A83CB5"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r>
      <w:tr w:rsidR="000D555C" w:rsidRPr="00701888" w14:paraId="238F81E3"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6A9CB4F1" w14:textId="77777777" w:rsidR="000D555C" w:rsidRPr="00701888" w:rsidRDefault="000D555C" w:rsidP="009549FB">
            <w:pPr>
              <w:rPr>
                <w:rFonts w:ascii="Calibri" w:eastAsia="Times New Roman" w:hAnsi="Calibri"/>
                <w:b/>
                <w:bCs/>
                <w:i/>
                <w:iCs/>
                <w:color w:val="000000"/>
                <w:sz w:val="22"/>
                <w:szCs w:val="22"/>
                <w:lang w:val="es-ES_tradnl" w:eastAsia="en-GB"/>
              </w:rPr>
            </w:pPr>
            <w:r w:rsidRPr="00701888">
              <w:rPr>
                <w:rFonts w:ascii="Calibri" w:eastAsia="Times New Roman" w:hAnsi="Calibri"/>
                <w:b/>
                <w:bCs/>
                <w:i/>
                <w:iCs/>
                <w:color w:val="000000"/>
                <w:sz w:val="22"/>
                <w:szCs w:val="22"/>
                <w:lang w:val="es-ES_tradnl" w:eastAsia="en-GB"/>
              </w:rPr>
              <w:t>Subtotal</w:t>
            </w:r>
          </w:p>
        </w:tc>
        <w:tc>
          <w:tcPr>
            <w:tcW w:w="684" w:type="dxa"/>
            <w:tcBorders>
              <w:top w:val="nil"/>
              <w:left w:val="nil"/>
              <w:bottom w:val="nil"/>
              <w:right w:val="nil"/>
            </w:tcBorders>
            <w:shd w:val="clear" w:color="auto" w:fill="auto"/>
            <w:noWrap/>
            <w:vAlign w:val="bottom"/>
            <w:hideMark/>
          </w:tcPr>
          <w:p w14:paraId="18D66043" w14:textId="77777777" w:rsidR="000D555C" w:rsidRPr="00701888" w:rsidRDefault="000D555C" w:rsidP="009549FB">
            <w:pPr>
              <w:rPr>
                <w:rFonts w:ascii="Calibri" w:eastAsia="Times New Roman" w:hAnsi="Calibri"/>
                <w:b/>
                <w:bCs/>
                <w:i/>
                <w:iCs/>
                <w:color w:val="000000"/>
                <w:sz w:val="22"/>
                <w:szCs w:val="22"/>
                <w:lang w:val="es-ES_tradnl" w:eastAsia="en-GB"/>
              </w:rPr>
            </w:pPr>
            <w:r w:rsidRPr="00701888">
              <w:rPr>
                <w:rFonts w:ascii="Calibri" w:eastAsia="Times New Roman" w:hAnsi="Calibri"/>
                <w:b/>
                <w:bCs/>
                <w:i/>
                <w:iCs/>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7337B497" w14:textId="77777777" w:rsidR="000D555C" w:rsidRPr="00701888" w:rsidRDefault="000D555C" w:rsidP="009549FB">
            <w:pPr>
              <w:jc w:val="right"/>
              <w:rPr>
                <w:rFonts w:ascii="Calibri" w:eastAsia="Times New Roman" w:hAnsi="Calibri"/>
                <w:b/>
                <w:bCs/>
                <w:i/>
                <w:iCs/>
                <w:color w:val="000000"/>
                <w:sz w:val="22"/>
                <w:szCs w:val="22"/>
                <w:lang w:val="es-ES_tradnl" w:eastAsia="en-GB"/>
              </w:rPr>
            </w:pPr>
            <w:r w:rsidRPr="00701888">
              <w:rPr>
                <w:rFonts w:ascii="Calibri" w:eastAsia="Times New Roman" w:hAnsi="Calibri"/>
                <w:b/>
                <w:bCs/>
                <w:i/>
                <w:iCs/>
                <w:color w:val="000000"/>
                <w:sz w:val="22"/>
                <w:szCs w:val="22"/>
                <w:lang w:val="es-ES_tradnl" w:eastAsia="en-GB"/>
              </w:rPr>
              <w:t>238</w:t>
            </w:r>
          </w:p>
        </w:tc>
        <w:tc>
          <w:tcPr>
            <w:tcW w:w="4280" w:type="dxa"/>
            <w:tcBorders>
              <w:top w:val="nil"/>
              <w:left w:val="nil"/>
              <w:bottom w:val="nil"/>
              <w:right w:val="single" w:sz="4" w:space="0" w:color="auto"/>
            </w:tcBorders>
            <w:shd w:val="clear" w:color="auto" w:fill="auto"/>
            <w:noWrap/>
            <w:vAlign w:val="bottom"/>
            <w:hideMark/>
          </w:tcPr>
          <w:p w14:paraId="3B180548" w14:textId="4D4D676E" w:rsidR="000D555C" w:rsidRPr="00701888" w:rsidRDefault="000D555C" w:rsidP="000D555C">
            <w:pPr>
              <w:rPr>
                <w:rFonts w:ascii="Calibri" w:eastAsia="Times New Roman" w:hAnsi="Calibri"/>
                <w:i/>
                <w:iCs/>
                <w:color w:val="000000"/>
                <w:sz w:val="22"/>
                <w:szCs w:val="22"/>
                <w:lang w:val="es-ES_tradnl" w:eastAsia="en-GB"/>
              </w:rPr>
            </w:pPr>
            <w:r w:rsidRPr="00701888">
              <w:rPr>
                <w:rFonts w:ascii="Calibri" w:eastAsia="Times New Roman" w:hAnsi="Calibri"/>
                <w:i/>
                <w:iCs/>
                <w:color w:val="000000"/>
                <w:sz w:val="22"/>
                <w:szCs w:val="22"/>
                <w:lang w:val="es-ES_tradnl" w:eastAsia="en-GB"/>
              </w:rPr>
              <w:t>Excedente antes de provisiones</w:t>
            </w:r>
          </w:p>
        </w:tc>
      </w:tr>
      <w:tr w:rsidR="000D555C" w:rsidRPr="00701888" w14:paraId="0C1D7CFD"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53769610"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684" w:type="dxa"/>
            <w:tcBorders>
              <w:top w:val="nil"/>
              <w:left w:val="nil"/>
              <w:bottom w:val="nil"/>
              <w:right w:val="nil"/>
            </w:tcBorders>
            <w:shd w:val="clear" w:color="auto" w:fill="auto"/>
            <w:noWrap/>
            <w:vAlign w:val="bottom"/>
            <w:hideMark/>
          </w:tcPr>
          <w:p w14:paraId="0767D149"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34D49F75"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4280" w:type="dxa"/>
            <w:tcBorders>
              <w:top w:val="nil"/>
              <w:left w:val="nil"/>
              <w:bottom w:val="nil"/>
              <w:right w:val="single" w:sz="4" w:space="0" w:color="auto"/>
            </w:tcBorders>
            <w:shd w:val="clear" w:color="auto" w:fill="auto"/>
            <w:noWrap/>
            <w:vAlign w:val="bottom"/>
            <w:hideMark/>
          </w:tcPr>
          <w:p w14:paraId="5BF61F59"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r>
      <w:tr w:rsidR="000D555C" w:rsidRPr="00701888" w14:paraId="3570217C"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6250BFB6" w14:textId="315E6FB9" w:rsidR="000D555C" w:rsidRPr="00701888" w:rsidRDefault="000D555C" w:rsidP="000D555C">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KMISC, Provisiones</w:t>
            </w:r>
          </w:p>
        </w:tc>
        <w:tc>
          <w:tcPr>
            <w:tcW w:w="684" w:type="dxa"/>
            <w:tcBorders>
              <w:top w:val="nil"/>
              <w:left w:val="nil"/>
              <w:bottom w:val="nil"/>
              <w:right w:val="nil"/>
            </w:tcBorders>
            <w:shd w:val="clear" w:color="auto" w:fill="auto"/>
            <w:noWrap/>
            <w:vAlign w:val="bottom"/>
            <w:hideMark/>
          </w:tcPr>
          <w:p w14:paraId="4ED7A619"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420BE606"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4280" w:type="dxa"/>
            <w:tcBorders>
              <w:top w:val="nil"/>
              <w:left w:val="nil"/>
              <w:bottom w:val="nil"/>
              <w:right w:val="single" w:sz="4" w:space="0" w:color="auto"/>
            </w:tcBorders>
            <w:shd w:val="clear" w:color="auto" w:fill="auto"/>
            <w:noWrap/>
            <w:vAlign w:val="bottom"/>
            <w:hideMark/>
          </w:tcPr>
          <w:p w14:paraId="5D843EF5"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r>
      <w:tr w:rsidR="000D555C" w:rsidRPr="00701888" w14:paraId="2E76976E"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29C15BC7" w14:textId="5AC0A166"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Rescisión de nombramientos, vacaciones, repatriación</w:t>
            </w:r>
          </w:p>
        </w:tc>
        <w:tc>
          <w:tcPr>
            <w:tcW w:w="684" w:type="dxa"/>
            <w:tcBorders>
              <w:top w:val="nil"/>
              <w:left w:val="nil"/>
              <w:bottom w:val="nil"/>
              <w:right w:val="nil"/>
            </w:tcBorders>
            <w:shd w:val="clear" w:color="auto" w:fill="auto"/>
            <w:noWrap/>
            <w:vAlign w:val="bottom"/>
            <w:hideMark/>
          </w:tcPr>
          <w:p w14:paraId="79EAB0F0"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(95)</w:t>
            </w:r>
          </w:p>
        </w:tc>
        <w:tc>
          <w:tcPr>
            <w:tcW w:w="960" w:type="dxa"/>
            <w:tcBorders>
              <w:top w:val="nil"/>
              <w:left w:val="nil"/>
              <w:bottom w:val="nil"/>
              <w:right w:val="single" w:sz="4" w:space="0" w:color="auto"/>
            </w:tcBorders>
            <w:shd w:val="clear" w:color="auto" w:fill="auto"/>
            <w:noWrap/>
            <w:vAlign w:val="bottom"/>
            <w:hideMark/>
          </w:tcPr>
          <w:p w14:paraId="3B92EA9D"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4280" w:type="dxa"/>
            <w:tcBorders>
              <w:top w:val="nil"/>
              <w:left w:val="nil"/>
              <w:bottom w:val="nil"/>
              <w:right w:val="single" w:sz="4" w:space="0" w:color="auto"/>
            </w:tcBorders>
            <w:shd w:val="clear" w:color="auto" w:fill="auto"/>
            <w:noWrap/>
            <w:vAlign w:val="bottom"/>
            <w:hideMark/>
          </w:tcPr>
          <w:p w14:paraId="0E3F5398"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r>
      <w:tr w:rsidR="000D555C" w:rsidRPr="00701888" w14:paraId="5A309C13"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169C2D0E" w14:textId="39FED54F"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Morosidad</w:t>
            </w:r>
          </w:p>
        </w:tc>
        <w:tc>
          <w:tcPr>
            <w:tcW w:w="684" w:type="dxa"/>
            <w:tcBorders>
              <w:top w:val="nil"/>
              <w:left w:val="nil"/>
              <w:right w:val="nil"/>
            </w:tcBorders>
            <w:shd w:val="clear" w:color="auto" w:fill="auto"/>
            <w:noWrap/>
            <w:vAlign w:val="bottom"/>
            <w:hideMark/>
          </w:tcPr>
          <w:p w14:paraId="0079409D"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(208)</w:t>
            </w:r>
          </w:p>
        </w:tc>
        <w:tc>
          <w:tcPr>
            <w:tcW w:w="960" w:type="dxa"/>
            <w:tcBorders>
              <w:top w:val="nil"/>
              <w:left w:val="nil"/>
              <w:right w:val="single" w:sz="4" w:space="0" w:color="auto"/>
            </w:tcBorders>
            <w:shd w:val="clear" w:color="auto" w:fill="auto"/>
            <w:noWrap/>
            <w:vAlign w:val="bottom"/>
            <w:hideMark/>
          </w:tcPr>
          <w:p w14:paraId="46B0884C"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4280" w:type="dxa"/>
            <w:tcBorders>
              <w:top w:val="nil"/>
              <w:left w:val="nil"/>
              <w:bottom w:val="nil"/>
              <w:right w:val="single" w:sz="4" w:space="0" w:color="auto"/>
            </w:tcBorders>
            <w:shd w:val="clear" w:color="auto" w:fill="auto"/>
            <w:noWrap/>
            <w:vAlign w:val="bottom"/>
            <w:hideMark/>
          </w:tcPr>
          <w:p w14:paraId="7D69AD77"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r>
      <w:tr w:rsidR="000D555C" w:rsidRPr="00701888" w14:paraId="1E5C9C6E"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tcPr>
          <w:p w14:paraId="15E069D5" w14:textId="3F3884F0"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xml:space="preserve">Servicios </w:t>
            </w:r>
            <w:r w:rsidR="001F3546" w:rsidRPr="00701888">
              <w:rPr>
                <w:rFonts w:ascii="Calibri" w:eastAsia="Times New Roman" w:hAnsi="Calibri"/>
                <w:color w:val="000000"/>
                <w:sz w:val="22"/>
                <w:szCs w:val="22"/>
                <w:lang w:val="es-ES_tradnl" w:eastAsia="en-GB"/>
              </w:rPr>
              <w:t>jurídicos</w:t>
            </w:r>
          </w:p>
        </w:tc>
        <w:tc>
          <w:tcPr>
            <w:tcW w:w="684" w:type="dxa"/>
            <w:tcBorders>
              <w:top w:val="nil"/>
              <w:left w:val="nil"/>
              <w:right w:val="nil"/>
            </w:tcBorders>
            <w:shd w:val="clear" w:color="auto" w:fill="auto"/>
            <w:noWrap/>
            <w:vAlign w:val="bottom"/>
          </w:tcPr>
          <w:p w14:paraId="5D48DD8E"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(11)</w:t>
            </w:r>
          </w:p>
        </w:tc>
        <w:tc>
          <w:tcPr>
            <w:tcW w:w="960" w:type="dxa"/>
            <w:tcBorders>
              <w:top w:val="nil"/>
              <w:left w:val="nil"/>
              <w:right w:val="single" w:sz="4" w:space="0" w:color="auto"/>
            </w:tcBorders>
            <w:shd w:val="clear" w:color="auto" w:fill="auto"/>
            <w:noWrap/>
            <w:vAlign w:val="bottom"/>
          </w:tcPr>
          <w:p w14:paraId="4F686DDF" w14:textId="77777777" w:rsidR="000D555C" w:rsidRPr="00701888" w:rsidRDefault="000D555C" w:rsidP="009549FB">
            <w:pPr>
              <w:jc w:val="right"/>
              <w:rPr>
                <w:rFonts w:ascii="Calibri" w:eastAsia="Times New Roman" w:hAnsi="Calibri"/>
                <w:color w:val="000000"/>
                <w:sz w:val="22"/>
                <w:szCs w:val="22"/>
                <w:lang w:val="es-ES_tradnl" w:eastAsia="en-GB"/>
              </w:rPr>
            </w:pPr>
          </w:p>
        </w:tc>
        <w:tc>
          <w:tcPr>
            <w:tcW w:w="4280" w:type="dxa"/>
            <w:tcBorders>
              <w:top w:val="nil"/>
              <w:left w:val="nil"/>
              <w:bottom w:val="nil"/>
              <w:right w:val="single" w:sz="4" w:space="0" w:color="auto"/>
            </w:tcBorders>
            <w:shd w:val="clear" w:color="auto" w:fill="auto"/>
            <w:noWrap/>
            <w:vAlign w:val="bottom"/>
          </w:tcPr>
          <w:p w14:paraId="744BE351" w14:textId="77777777" w:rsidR="000D555C" w:rsidRPr="00701888" w:rsidRDefault="000D555C" w:rsidP="009549FB">
            <w:pPr>
              <w:rPr>
                <w:rFonts w:ascii="Calibri" w:eastAsia="Times New Roman" w:hAnsi="Calibri"/>
                <w:color w:val="000000"/>
                <w:sz w:val="22"/>
                <w:szCs w:val="22"/>
                <w:lang w:val="es-ES_tradnl" w:eastAsia="en-GB"/>
              </w:rPr>
            </w:pPr>
          </w:p>
        </w:tc>
      </w:tr>
      <w:tr w:rsidR="000D555C" w:rsidRPr="00701888" w14:paraId="454A752E"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61E9E121" w14:textId="58872331"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Pérdidas cambiarias no realizadas</w:t>
            </w:r>
          </w:p>
        </w:tc>
        <w:tc>
          <w:tcPr>
            <w:tcW w:w="684" w:type="dxa"/>
            <w:tcBorders>
              <w:left w:val="nil"/>
              <w:bottom w:val="single" w:sz="4" w:space="0" w:color="auto"/>
              <w:right w:val="nil"/>
            </w:tcBorders>
            <w:shd w:val="clear" w:color="auto" w:fill="auto"/>
            <w:noWrap/>
            <w:vAlign w:val="bottom"/>
            <w:hideMark/>
          </w:tcPr>
          <w:p w14:paraId="646E9F87"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(261)</w:t>
            </w:r>
          </w:p>
        </w:tc>
        <w:tc>
          <w:tcPr>
            <w:tcW w:w="960" w:type="dxa"/>
            <w:tcBorders>
              <w:left w:val="nil"/>
              <w:bottom w:val="single" w:sz="4" w:space="0" w:color="auto"/>
              <w:right w:val="single" w:sz="4" w:space="0" w:color="auto"/>
            </w:tcBorders>
            <w:shd w:val="clear" w:color="auto" w:fill="auto"/>
            <w:noWrap/>
            <w:vAlign w:val="bottom"/>
            <w:hideMark/>
          </w:tcPr>
          <w:p w14:paraId="02EAF781" w14:textId="77777777" w:rsidR="000D555C" w:rsidRPr="00701888" w:rsidRDefault="000D555C" w:rsidP="009549FB">
            <w:pPr>
              <w:jc w:val="right"/>
              <w:rPr>
                <w:rFonts w:ascii="Calibri" w:eastAsia="Times New Roman" w:hAnsi="Calibri"/>
                <w:color w:val="000000"/>
                <w:sz w:val="22"/>
                <w:szCs w:val="22"/>
                <w:lang w:val="es-ES_tradnl" w:eastAsia="en-GB"/>
              </w:rPr>
            </w:pPr>
          </w:p>
        </w:tc>
        <w:tc>
          <w:tcPr>
            <w:tcW w:w="4280" w:type="dxa"/>
            <w:tcBorders>
              <w:top w:val="nil"/>
              <w:left w:val="nil"/>
              <w:bottom w:val="nil"/>
              <w:right w:val="single" w:sz="4" w:space="0" w:color="auto"/>
            </w:tcBorders>
            <w:shd w:val="clear" w:color="auto" w:fill="auto"/>
            <w:noWrap/>
            <w:vAlign w:val="bottom"/>
            <w:hideMark/>
          </w:tcPr>
          <w:p w14:paraId="0B25D434"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r>
      <w:tr w:rsidR="000D555C" w:rsidRPr="008006D0" w14:paraId="0F7B3BC8" w14:textId="77777777" w:rsidTr="00C53165">
        <w:trPr>
          <w:trHeight w:val="288"/>
        </w:trPr>
        <w:tc>
          <w:tcPr>
            <w:tcW w:w="3407" w:type="dxa"/>
            <w:tcBorders>
              <w:top w:val="nil"/>
              <w:left w:val="single" w:sz="4" w:space="0" w:color="auto"/>
              <w:bottom w:val="nil"/>
              <w:right w:val="single" w:sz="4" w:space="0" w:color="auto"/>
            </w:tcBorders>
            <w:shd w:val="clear" w:color="auto" w:fill="auto"/>
            <w:noWrap/>
            <w:vAlign w:val="bottom"/>
            <w:hideMark/>
          </w:tcPr>
          <w:p w14:paraId="547E4F93"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r w:rsidRPr="00701888">
              <w:rPr>
                <w:rFonts w:ascii="Calibri" w:eastAsia="Times New Roman" w:hAnsi="Calibri"/>
                <w:b/>
                <w:bCs/>
                <w:i/>
                <w:iCs/>
                <w:color w:val="000000"/>
                <w:sz w:val="22"/>
                <w:szCs w:val="22"/>
                <w:lang w:val="es-ES_tradnl" w:eastAsia="en-GB"/>
              </w:rPr>
              <w:t>Subtotal</w:t>
            </w:r>
          </w:p>
        </w:tc>
        <w:tc>
          <w:tcPr>
            <w:tcW w:w="684" w:type="dxa"/>
            <w:tcBorders>
              <w:top w:val="nil"/>
              <w:left w:val="nil"/>
              <w:bottom w:val="nil"/>
              <w:right w:val="nil"/>
            </w:tcBorders>
            <w:shd w:val="clear" w:color="auto" w:fill="auto"/>
            <w:noWrap/>
            <w:vAlign w:val="bottom"/>
            <w:hideMark/>
          </w:tcPr>
          <w:p w14:paraId="0CBF9E36" w14:textId="77777777" w:rsidR="000D555C" w:rsidRPr="00701888" w:rsidRDefault="000D555C" w:rsidP="009549FB">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2E252EFF" w14:textId="77777777" w:rsidR="000D555C" w:rsidRPr="00701888" w:rsidRDefault="000D555C" w:rsidP="009549FB">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(575)</w:t>
            </w:r>
          </w:p>
        </w:tc>
        <w:tc>
          <w:tcPr>
            <w:tcW w:w="4280" w:type="dxa"/>
            <w:tcBorders>
              <w:top w:val="nil"/>
              <w:left w:val="nil"/>
              <w:bottom w:val="nil"/>
              <w:right w:val="single" w:sz="4" w:space="0" w:color="auto"/>
            </w:tcBorders>
            <w:shd w:val="clear" w:color="auto" w:fill="auto"/>
            <w:noWrap/>
            <w:vAlign w:val="bottom"/>
            <w:hideMark/>
          </w:tcPr>
          <w:p w14:paraId="6388BB03" w14:textId="65918A74" w:rsidR="000D555C" w:rsidRPr="00701888" w:rsidRDefault="000D555C" w:rsidP="000D555C">
            <w:pPr>
              <w:rPr>
                <w:rFonts w:ascii="Calibri" w:eastAsia="Times New Roman" w:hAnsi="Calibri"/>
                <w:i/>
                <w:color w:val="000000"/>
                <w:sz w:val="20"/>
                <w:szCs w:val="20"/>
                <w:lang w:val="es-ES_tradnl" w:eastAsia="en-GB"/>
              </w:rPr>
            </w:pPr>
            <w:r w:rsidRPr="00701888">
              <w:rPr>
                <w:rFonts w:ascii="Calibri" w:eastAsia="Times New Roman" w:hAnsi="Calibri"/>
                <w:color w:val="000000"/>
                <w:sz w:val="22"/>
                <w:szCs w:val="22"/>
                <w:lang w:val="es-ES_tradnl" w:eastAsia="en-GB"/>
              </w:rPr>
              <w:t> </w:t>
            </w:r>
            <w:r w:rsidRPr="00701888">
              <w:rPr>
                <w:rFonts w:ascii="Calibri" w:eastAsia="Times New Roman" w:hAnsi="Calibri"/>
                <w:i/>
                <w:color w:val="000000"/>
                <w:sz w:val="20"/>
                <w:szCs w:val="20"/>
                <w:lang w:val="es-ES_tradnl" w:eastAsia="en-GB"/>
              </w:rPr>
              <w:t>Provisiones y pérdidas cambiarias no realizadas</w:t>
            </w:r>
          </w:p>
        </w:tc>
      </w:tr>
      <w:tr w:rsidR="000D555C" w:rsidRPr="00701888" w14:paraId="4B727258" w14:textId="77777777" w:rsidTr="00C53165">
        <w:trPr>
          <w:trHeight w:val="288"/>
        </w:trPr>
        <w:tc>
          <w:tcPr>
            <w:tcW w:w="3407" w:type="dxa"/>
            <w:tcBorders>
              <w:top w:val="nil"/>
              <w:left w:val="single" w:sz="4" w:space="0" w:color="auto"/>
              <w:bottom w:val="single" w:sz="4" w:space="0" w:color="auto"/>
              <w:right w:val="single" w:sz="4" w:space="0" w:color="auto"/>
            </w:tcBorders>
            <w:shd w:val="clear" w:color="000000" w:fill="C5D9F1"/>
            <w:noWrap/>
            <w:vAlign w:val="bottom"/>
            <w:hideMark/>
          </w:tcPr>
          <w:p w14:paraId="05B12B65" w14:textId="77777777" w:rsidR="000D555C" w:rsidRPr="00701888" w:rsidRDefault="000D555C" w:rsidP="009549FB">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Total</w:t>
            </w:r>
          </w:p>
        </w:tc>
        <w:tc>
          <w:tcPr>
            <w:tcW w:w="684" w:type="dxa"/>
            <w:tcBorders>
              <w:top w:val="nil"/>
              <w:left w:val="nil"/>
              <w:bottom w:val="single" w:sz="4" w:space="0" w:color="auto"/>
              <w:right w:val="nil"/>
            </w:tcBorders>
            <w:shd w:val="clear" w:color="000000" w:fill="C5D9F1"/>
            <w:noWrap/>
            <w:vAlign w:val="bottom"/>
            <w:hideMark/>
          </w:tcPr>
          <w:p w14:paraId="78DA7CF5" w14:textId="77777777" w:rsidR="000D555C" w:rsidRPr="00701888" w:rsidRDefault="000D555C" w:rsidP="009549FB">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w:t>
            </w:r>
          </w:p>
        </w:tc>
        <w:tc>
          <w:tcPr>
            <w:tcW w:w="960" w:type="dxa"/>
            <w:tcBorders>
              <w:top w:val="nil"/>
              <w:left w:val="nil"/>
              <w:bottom w:val="single" w:sz="4" w:space="0" w:color="auto"/>
              <w:right w:val="single" w:sz="4" w:space="0" w:color="auto"/>
            </w:tcBorders>
            <w:shd w:val="clear" w:color="000000" w:fill="C5D9F1"/>
            <w:noWrap/>
            <w:vAlign w:val="bottom"/>
            <w:hideMark/>
          </w:tcPr>
          <w:p w14:paraId="70F8B6D7" w14:textId="77777777" w:rsidR="000D555C" w:rsidRPr="00701888" w:rsidRDefault="000D555C" w:rsidP="009549FB">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(337)</w:t>
            </w:r>
          </w:p>
        </w:tc>
        <w:tc>
          <w:tcPr>
            <w:tcW w:w="4280" w:type="dxa"/>
            <w:tcBorders>
              <w:top w:val="nil"/>
              <w:left w:val="nil"/>
              <w:bottom w:val="single" w:sz="4" w:space="0" w:color="auto"/>
              <w:right w:val="single" w:sz="4" w:space="0" w:color="auto"/>
            </w:tcBorders>
            <w:shd w:val="clear" w:color="000000" w:fill="C5D9F1"/>
            <w:noWrap/>
            <w:vAlign w:val="bottom"/>
            <w:hideMark/>
          </w:tcPr>
          <w:p w14:paraId="108B4F6B" w14:textId="321B52DC" w:rsidR="000D555C" w:rsidRPr="00701888" w:rsidRDefault="000D555C" w:rsidP="000D555C">
            <w:pPr>
              <w:rPr>
                <w:rFonts w:ascii="Calibri" w:eastAsia="Times New Roman" w:hAnsi="Calibri"/>
                <w:i/>
                <w:iCs/>
                <w:color w:val="000000"/>
                <w:sz w:val="22"/>
                <w:szCs w:val="22"/>
                <w:lang w:val="es-ES_tradnl" w:eastAsia="en-GB"/>
              </w:rPr>
            </w:pPr>
            <w:r w:rsidRPr="00701888">
              <w:rPr>
                <w:rFonts w:ascii="Calibri" w:eastAsia="Times New Roman" w:hAnsi="Calibri"/>
                <w:i/>
                <w:iCs/>
                <w:color w:val="000000"/>
                <w:sz w:val="22"/>
                <w:szCs w:val="22"/>
                <w:lang w:val="es-ES_tradnl" w:eastAsia="en-GB"/>
              </w:rPr>
              <w:t xml:space="preserve">Total déficit </w:t>
            </w:r>
          </w:p>
        </w:tc>
      </w:tr>
    </w:tbl>
    <w:p w14:paraId="28DED5BA" w14:textId="77777777" w:rsidR="00A87A26" w:rsidRDefault="00A87A26" w:rsidP="00A87A26">
      <w:pPr>
        <w:rPr>
          <w:rFonts w:ascii="Calibri" w:hAnsi="Calibri" w:cs="Calibri"/>
          <w:bCs/>
          <w:sz w:val="22"/>
          <w:szCs w:val="22"/>
          <w:lang w:val="es-ES_tradnl"/>
        </w:rPr>
      </w:pPr>
    </w:p>
    <w:p w14:paraId="5DA50258" w14:textId="77777777" w:rsidR="002524D9" w:rsidRPr="00701888" w:rsidRDefault="002524D9" w:rsidP="00A87A26">
      <w:pPr>
        <w:rPr>
          <w:rFonts w:ascii="Calibri" w:hAnsi="Calibri" w:cs="Calibri"/>
          <w:bCs/>
          <w:sz w:val="22"/>
          <w:szCs w:val="22"/>
          <w:lang w:val="es-ES_tradnl"/>
        </w:rPr>
      </w:pPr>
    </w:p>
    <w:p w14:paraId="7DFF11EA" w14:textId="12CBA0A7" w:rsidR="002464F2" w:rsidRPr="00701888" w:rsidRDefault="00580189" w:rsidP="00842399">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 xml:space="preserve">Se destacan los siguientes puntos </w:t>
      </w:r>
      <w:r w:rsidR="00A06898" w:rsidRPr="00701888">
        <w:rPr>
          <w:rFonts w:ascii="Calibri" w:hAnsi="Calibri" w:cs="Calibri"/>
          <w:bCs/>
          <w:sz w:val="22"/>
          <w:szCs w:val="22"/>
          <w:lang w:val="es-ES_tradnl"/>
        </w:rPr>
        <w:t xml:space="preserve">para información del Comité Permanente: </w:t>
      </w:r>
    </w:p>
    <w:p w14:paraId="3D5F3C6A" w14:textId="77777777" w:rsidR="002464F2" w:rsidRPr="00701888" w:rsidRDefault="002464F2" w:rsidP="00842399">
      <w:pPr>
        <w:pStyle w:val="ListParagraph"/>
        <w:rPr>
          <w:rFonts w:ascii="Calibri" w:hAnsi="Calibri" w:cs="Calibri"/>
          <w:bCs/>
          <w:sz w:val="22"/>
          <w:szCs w:val="22"/>
          <w:lang w:val="es-ES_tradnl"/>
        </w:rPr>
      </w:pPr>
    </w:p>
    <w:p w14:paraId="099D7279" w14:textId="27FA124C" w:rsidR="00E70296" w:rsidRPr="00701888" w:rsidRDefault="00A06898" w:rsidP="00842399">
      <w:pPr>
        <w:pStyle w:val="ListParagraph"/>
        <w:numPr>
          <w:ilvl w:val="1"/>
          <w:numId w:val="2"/>
        </w:numPr>
        <w:ind w:left="851" w:hanging="425"/>
        <w:rPr>
          <w:rFonts w:ascii="Calibri" w:hAnsi="Calibri" w:cs="Calibri"/>
          <w:bCs/>
          <w:sz w:val="22"/>
          <w:szCs w:val="22"/>
          <w:lang w:val="es-ES_tradnl"/>
        </w:rPr>
      </w:pPr>
      <w:r w:rsidRPr="00701888">
        <w:rPr>
          <w:rFonts w:ascii="Calibri" w:hAnsi="Calibri" w:cs="Calibri"/>
          <w:bCs/>
          <w:sz w:val="22"/>
          <w:szCs w:val="22"/>
          <w:lang w:val="es-ES_tradnl"/>
        </w:rPr>
        <w:t xml:space="preserve">En términos generales, </w:t>
      </w:r>
      <w:r w:rsidR="001B3389" w:rsidRPr="00701888">
        <w:rPr>
          <w:rFonts w:ascii="Calibri" w:hAnsi="Calibri" w:cs="Calibri"/>
          <w:bCs/>
          <w:sz w:val="22"/>
          <w:szCs w:val="22"/>
          <w:lang w:val="es-ES_tradnl"/>
        </w:rPr>
        <w:t xml:space="preserve">se cumplieron las previsiones presupuestarias respecto de </w:t>
      </w:r>
      <w:r w:rsidRPr="00701888">
        <w:rPr>
          <w:rFonts w:ascii="Calibri" w:hAnsi="Calibri" w:cs="Calibri"/>
          <w:bCs/>
          <w:sz w:val="22"/>
          <w:szCs w:val="22"/>
          <w:lang w:val="es-ES_tradnl"/>
        </w:rPr>
        <w:t>los ingresos</w:t>
      </w:r>
      <w:r w:rsidR="001B3389" w:rsidRPr="00701888">
        <w:rPr>
          <w:rFonts w:ascii="Calibri" w:hAnsi="Calibri" w:cs="Calibri"/>
          <w:bCs/>
          <w:sz w:val="22"/>
          <w:szCs w:val="22"/>
          <w:lang w:val="es-ES_tradnl"/>
        </w:rPr>
        <w:t xml:space="preserve">, salvo en el caso de los ingresos por intereses que </w:t>
      </w:r>
      <w:r w:rsidR="00C95454" w:rsidRPr="00701888">
        <w:rPr>
          <w:rFonts w:ascii="Calibri" w:hAnsi="Calibri" w:cs="Calibri"/>
          <w:bCs/>
          <w:sz w:val="22"/>
          <w:szCs w:val="22"/>
          <w:lang w:val="es-ES_tradnl"/>
        </w:rPr>
        <w:t xml:space="preserve">estuvieron </w:t>
      </w:r>
      <w:r w:rsidR="00192EE4" w:rsidRPr="00701888">
        <w:rPr>
          <w:rFonts w:ascii="Calibri" w:hAnsi="Calibri" w:cs="Calibri"/>
          <w:bCs/>
          <w:sz w:val="22"/>
          <w:szCs w:val="22"/>
          <w:lang w:val="es-ES_tradnl"/>
        </w:rPr>
        <w:t xml:space="preserve">11.000 francos suizos por debajo de la cifra presupuestada. </w:t>
      </w:r>
      <w:r w:rsidR="002B13C2" w:rsidRPr="00701888">
        <w:rPr>
          <w:rFonts w:ascii="Calibri" w:hAnsi="Calibri" w:cs="Calibri"/>
          <w:bCs/>
          <w:sz w:val="22"/>
          <w:szCs w:val="22"/>
          <w:lang w:val="es-ES_tradnl"/>
        </w:rPr>
        <w:t xml:space="preserve">Esta diferencia se debe a la situación económica general en Europa y a los tipos de interés bajos. </w:t>
      </w:r>
    </w:p>
    <w:p w14:paraId="783D35C4" w14:textId="77777777" w:rsidR="002464F2" w:rsidRPr="00701888" w:rsidRDefault="009C5E7D" w:rsidP="00842399">
      <w:pPr>
        <w:pStyle w:val="ListParagraph"/>
        <w:ind w:left="851" w:hanging="425"/>
        <w:rPr>
          <w:rFonts w:ascii="Calibri" w:hAnsi="Calibri" w:cs="Calibri"/>
          <w:bCs/>
          <w:sz w:val="22"/>
          <w:szCs w:val="22"/>
          <w:lang w:val="es-ES_tradnl"/>
        </w:rPr>
      </w:pPr>
      <w:r w:rsidRPr="00701888">
        <w:rPr>
          <w:rFonts w:ascii="Calibri" w:hAnsi="Calibri" w:cs="Calibri"/>
          <w:bCs/>
          <w:sz w:val="22"/>
          <w:szCs w:val="22"/>
          <w:lang w:val="es-ES_tradnl"/>
        </w:rPr>
        <w:t xml:space="preserve"> </w:t>
      </w:r>
    </w:p>
    <w:p w14:paraId="69048C34" w14:textId="50983A62" w:rsidR="00347652" w:rsidRPr="00701888" w:rsidRDefault="00347652" w:rsidP="007E3F00">
      <w:pPr>
        <w:pStyle w:val="ListParagraph"/>
        <w:numPr>
          <w:ilvl w:val="1"/>
          <w:numId w:val="2"/>
        </w:numPr>
        <w:ind w:left="851" w:hanging="425"/>
        <w:rPr>
          <w:rFonts w:ascii="Calibri" w:hAnsi="Calibri" w:cs="Calibri"/>
          <w:bCs/>
          <w:sz w:val="22"/>
          <w:szCs w:val="22"/>
          <w:lang w:val="es-ES_tradnl"/>
        </w:rPr>
      </w:pPr>
      <w:r w:rsidRPr="00701888">
        <w:rPr>
          <w:rFonts w:ascii="Calibri" w:hAnsi="Calibri" w:cs="Calibri"/>
          <w:bCs/>
          <w:sz w:val="22"/>
          <w:szCs w:val="22"/>
          <w:lang w:val="es-ES_tradnl"/>
        </w:rPr>
        <w:t>L</w:t>
      </w:r>
      <w:r w:rsidR="004302E5" w:rsidRPr="00701888">
        <w:rPr>
          <w:rFonts w:ascii="Calibri" w:hAnsi="Calibri" w:cs="Calibri"/>
          <w:bCs/>
          <w:sz w:val="22"/>
          <w:szCs w:val="22"/>
          <w:lang w:val="es-ES_tradnl"/>
        </w:rPr>
        <w:t>os cost</w:t>
      </w:r>
      <w:r w:rsidR="002B13C2" w:rsidRPr="00701888">
        <w:rPr>
          <w:rFonts w:ascii="Calibri" w:hAnsi="Calibri" w:cs="Calibri"/>
          <w:bCs/>
          <w:sz w:val="22"/>
          <w:szCs w:val="22"/>
          <w:lang w:val="es-ES_tradnl"/>
        </w:rPr>
        <w:t>os salariales</w:t>
      </w:r>
      <w:r w:rsidRPr="00701888">
        <w:rPr>
          <w:rFonts w:ascii="Calibri" w:hAnsi="Calibri" w:cs="Calibri"/>
          <w:bCs/>
          <w:sz w:val="22"/>
          <w:szCs w:val="22"/>
          <w:lang w:val="es-ES_tradnl"/>
        </w:rPr>
        <w:t xml:space="preserve"> totales</w:t>
      </w:r>
      <w:r w:rsidR="002B13C2" w:rsidRPr="00701888">
        <w:rPr>
          <w:rFonts w:ascii="Calibri" w:hAnsi="Calibri" w:cs="Calibri"/>
          <w:bCs/>
          <w:sz w:val="22"/>
          <w:szCs w:val="22"/>
          <w:lang w:val="es-ES_tradnl"/>
        </w:rPr>
        <w:t xml:space="preserve"> </w:t>
      </w:r>
      <w:r w:rsidRPr="00701888">
        <w:rPr>
          <w:rFonts w:ascii="Calibri" w:hAnsi="Calibri" w:cs="Calibri"/>
          <w:bCs/>
          <w:sz w:val="22"/>
          <w:szCs w:val="22"/>
          <w:lang w:val="es-ES_tradnl"/>
        </w:rPr>
        <w:t xml:space="preserve">fueron inferiores en 218.000 francos suizos a </w:t>
      </w:r>
      <w:r w:rsidR="002B13C2" w:rsidRPr="00701888">
        <w:rPr>
          <w:rFonts w:ascii="Calibri" w:hAnsi="Calibri" w:cs="Calibri"/>
          <w:bCs/>
          <w:sz w:val="22"/>
          <w:szCs w:val="22"/>
          <w:lang w:val="es-ES_tradnl"/>
        </w:rPr>
        <w:t>las previsiones presupuestarias</w:t>
      </w:r>
      <w:r w:rsidR="002B5322" w:rsidRPr="00701888">
        <w:rPr>
          <w:rFonts w:ascii="Calibri" w:hAnsi="Calibri" w:cs="Calibri"/>
          <w:bCs/>
          <w:sz w:val="22"/>
          <w:szCs w:val="22"/>
          <w:lang w:val="es-ES_tradnl"/>
        </w:rPr>
        <w:t xml:space="preserve"> </w:t>
      </w:r>
      <w:r w:rsidR="007E3F00" w:rsidRPr="00701888">
        <w:rPr>
          <w:rFonts w:ascii="Calibri" w:hAnsi="Calibri" w:cs="Calibri"/>
          <w:bCs/>
          <w:sz w:val="22"/>
          <w:szCs w:val="22"/>
          <w:lang w:val="es-ES_tradnl"/>
        </w:rPr>
        <w:t>(</w:t>
      </w:r>
      <w:r w:rsidRPr="00701888">
        <w:rPr>
          <w:rFonts w:ascii="Calibri" w:hAnsi="Calibri" w:cs="Calibri"/>
          <w:bCs/>
          <w:sz w:val="22"/>
          <w:szCs w:val="22"/>
          <w:lang w:val="es-ES_tradnl"/>
        </w:rPr>
        <w:t>7</w:t>
      </w:r>
      <w:r w:rsidR="00937027" w:rsidRPr="00701888">
        <w:rPr>
          <w:rFonts w:ascii="Calibri" w:hAnsi="Calibri" w:cs="Calibri"/>
          <w:bCs/>
          <w:sz w:val="22"/>
          <w:szCs w:val="22"/>
          <w:lang w:val="es-ES_tradnl"/>
        </w:rPr>
        <w:t>% por debajo del presupuesto</w:t>
      </w:r>
      <w:r w:rsidR="007E3F00" w:rsidRPr="00701888">
        <w:rPr>
          <w:rFonts w:ascii="Calibri" w:hAnsi="Calibri" w:cs="Calibri"/>
          <w:bCs/>
          <w:sz w:val="22"/>
          <w:szCs w:val="22"/>
          <w:lang w:val="es-ES_tradnl"/>
        </w:rPr>
        <w:t>)</w:t>
      </w:r>
      <w:r w:rsidR="001F3546">
        <w:rPr>
          <w:rFonts w:ascii="Calibri" w:hAnsi="Calibri" w:cs="Calibri"/>
          <w:bCs/>
          <w:sz w:val="22"/>
          <w:szCs w:val="22"/>
          <w:lang w:val="es-ES_tradnl"/>
        </w:rPr>
        <w:t xml:space="preserve"> como resultado de</w:t>
      </w:r>
      <w:r w:rsidRPr="00701888">
        <w:rPr>
          <w:rFonts w:ascii="Calibri" w:hAnsi="Calibri" w:cs="Calibri"/>
          <w:bCs/>
          <w:sz w:val="22"/>
          <w:szCs w:val="22"/>
          <w:lang w:val="es-ES_tradnl"/>
        </w:rPr>
        <w:t xml:space="preserve">: </w:t>
      </w:r>
    </w:p>
    <w:p w14:paraId="5C719EB1" w14:textId="77777777" w:rsidR="00347652" w:rsidRPr="00701888" w:rsidRDefault="00347652" w:rsidP="00347652">
      <w:pPr>
        <w:rPr>
          <w:rFonts w:ascii="Calibri" w:hAnsi="Calibri" w:cs="Calibri"/>
          <w:bCs/>
          <w:sz w:val="22"/>
          <w:szCs w:val="22"/>
          <w:lang w:val="es-ES_tradnl"/>
        </w:rPr>
      </w:pPr>
    </w:p>
    <w:p w14:paraId="6165BF4A" w14:textId="67AFBA33" w:rsidR="00D844A4" w:rsidRPr="00701888" w:rsidRDefault="00347652" w:rsidP="00563134">
      <w:pPr>
        <w:pStyle w:val="ListParagraph"/>
        <w:numPr>
          <w:ilvl w:val="0"/>
          <w:numId w:val="17"/>
        </w:numPr>
        <w:ind w:left="1418" w:hanging="294"/>
        <w:rPr>
          <w:rFonts w:ascii="Calibri" w:hAnsi="Calibri" w:cs="Calibri"/>
          <w:bCs/>
          <w:sz w:val="22"/>
          <w:szCs w:val="22"/>
          <w:lang w:val="es-ES_tradnl"/>
        </w:rPr>
      </w:pPr>
      <w:r w:rsidRPr="00701888">
        <w:rPr>
          <w:rFonts w:ascii="Calibri" w:hAnsi="Calibri" w:cs="Calibri"/>
          <w:bCs/>
          <w:sz w:val="22"/>
          <w:szCs w:val="22"/>
          <w:lang w:val="es-ES_tradnl"/>
        </w:rPr>
        <w:t>50% de</w:t>
      </w:r>
      <w:r w:rsidR="007D5242" w:rsidRPr="00701888">
        <w:rPr>
          <w:rFonts w:ascii="Calibri" w:hAnsi="Calibri" w:cs="Calibri"/>
          <w:bCs/>
          <w:sz w:val="22"/>
          <w:szCs w:val="22"/>
          <w:lang w:val="es-ES_tradnl"/>
        </w:rPr>
        <w:t xml:space="preserve"> la previsión para el</w:t>
      </w:r>
      <w:r w:rsidR="006C55EF" w:rsidRPr="00701888">
        <w:rPr>
          <w:rFonts w:ascii="Calibri" w:hAnsi="Calibri" w:cs="Calibri"/>
          <w:bCs/>
          <w:sz w:val="22"/>
          <w:szCs w:val="22"/>
          <w:lang w:val="es-ES_tradnl"/>
        </w:rPr>
        <w:t xml:space="preserve"> Oficial Regional de Oceanía</w:t>
      </w:r>
      <w:r w:rsidR="006A280E">
        <w:rPr>
          <w:rFonts w:ascii="Calibri" w:hAnsi="Calibri" w:cs="Calibri"/>
          <w:bCs/>
          <w:sz w:val="22"/>
          <w:szCs w:val="22"/>
          <w:lang w:val="es-ES_tradnl"/>
        </w:rPr>
        <w:t>,</w:t>
      </w:r>
      <w:r w:rsidR="006C55EF" w:rsidRPr="00701888">
        <w:rPr>
          <w:rFonts w:ascii="Calibri" w:hAnsi="Calibri" w:cs="Calibri"/>
          <w:bCs/>
          <w:sz w:val="22"/>
          <w:szCs w:val="22"/>
          <w:lang w:val="es-ES_tradnl"/>
        </w:rPr>
        <w:t xml:space="preserve"> no utilizada en 2015 </w:t>
      </w:r>
      <w:r w:rsidR="00D844A4" w:rsidRPr="00701888">
        <w:rPr>
          <w:rFonts w:ascii="Calibri" w:hAnsi="Calibri" w:cs="Calibri"/>
          <w:bCs/>
          <w:sz w:val="22"/>
          <w:szCs w:val="22"/>
          <w:lang w:val="es-ES_tradnl"/>
        </w:rPr>
        <w:t>(40.000 francos suizos)</w:t>
      </w:r>
      <w:r w:rsidR="00563134" w:rsidRPr="00701888">
        <w:rPr>
          <w:rFonts w:ascii="Calibri" w:hAnsi="Calibri" w:cs="Calibri"/>
          <w:bCs/>
          <w:sz w:val="22"/>
          <w:szCs w:val="22"/>
          <w:lang w:val="es-ES_tradnl"/>
        </w:rPr>
        <w:t>;</w:t>
      </w:r>
    </w:p>
    <w:p w14:paraId="118CAE18" w14:textId="6E51EEB2" w:rsidR="00D844A4" w:rsidRPr="00701888" w:rsidRDefault="00D844A4" w:rsidP="00563134">
      <w:pPr>
        <w:pStyle w:val="ListParagraph"/>
        <w:numPr>
          <w:ilvl w:val="0"/>
          <w:numId w:val="17"/>
        </w:numPr>
        <w:ind w:left="1418" w:hanging="294"/>
        <w:rPr>
          <w:rFonts w:ascii="Calibri" w:hAnsi="Calibri" w:cs="Calibri"/>
          <w:bCs/>
          <w:sz w:val="22"/>
          <w:szCs w:val="22"/>
          <w:lang w:val="es-ES_tradnl"/>
        </w:rPr>
      </w:pPr>
      <w:r w:rsidRPr="00701888">
        <w:rPr>
          <w:rFonts w:ascii="Calibri" w:hAnsi="Calibri" w:cs="Calibri"/>
          <w:bCs/>
          <w:sz w:val="22"/>
          <w:szCs w:val="22"/>
          <w:lang w:val="es-ES_tradnl"/>
        </w:rPr>
        <w:t>importe acumulado correspondiente al Oficial Regional de Oceanía en 2014 (85.000 francos suizos)</w:t>
      </w:r>
      <w:r w:rsidR="00563134" w:rsidRPr="00701888">
        <w:rPr>
          <w:rFonts w:ascii="Calibri" w:hAnsi="Calibri" w:cs="Calibri"/>
          <w:bCs/>
          <w:sz w:val="22"/>
          <w:szCs w:val="22"/>
          <w:lang w:val="es-ES_tradnl"/>
        </w:rPr>
        <w:t>;</w:t>
      </w:r>
    </w:p>
    <w:p w14:paraId="4A035AFA" w14:textId="583F2124" w:rsidR="00681D22" w:rsidRPr="00701888" w:rsidRDefault="00681D22" w:rsidP="00563134">
      <w:pPr>
        <w:pStyle w:val="ListParagraph"/>
        <w:numPr>
          <w:ilvl w:val="0"/>
          <w:numId w:val="17"/>
        </w:numPr>
        <w:ind w:left="1418" w:hanging="294"/>
        <w:rPr>
          <w:rFonts w:ascii="Calibri" w:hAnsi="Calibri" w:cs="Calibri"/>
          <w:bCs/>
          <w:sz w:val="22"/>
          <w:szCs w:val="22"/>
          <w:lang w:val="es-ES_tradnl"/>
        </w:rPr>
      </w:pPr>
      <w:r w:rsidRPr="00701888">
        <w:rPr>
          <w:rFonts w:ascii="Calibri" w:hAnsi="Calibri" w:cs="Calibri"/>
          <w:bCs/>
          <w:sz w:val="22"/>
          <w:szCs w:val="22"/>
          <w:lang w:val="es-ES_tradnl"/>
        </w:rPr>
        <w:lastRenderedPageBreak/>
        <w:t>incorporación tardía del Oficial de Tecnologías de la Información (40.000 francos suizos)</w:t>
      </w:r>
      <w:r w:rsidR="00563134" w:rsidRPr="00701888">
        <w:rPr>
          <w:rFonts w:ascii="Calibri" w:hAnsi="Calibri" w:cs="Calibri"/>
          <w:bCs/>
          <w:sz w:val="22"/>
          <w:szCs w:val="22"/>
          <w:lang w:val="es-ES_tradnl"/>
        </w:rPr>
        <w:t>;</w:t>
      </w:r>
    </w:p>
    <w:p w14:paraId="1532E585" w14:textId="08E7534C" w:rsidR="00D535EE" w:rsidRPr="00701888" w:rsidRDefault="00681D22" w:rsidP="00563134">
      <w:pPr>
        <w:pStyle w:val="ListParagraph"/>
        <w:numPr>
          <w:ilvl w:val="0"/>
          <w:numId w:val="17"/>
        </w:numPr>
        <w:ind w:left="1418" w:hanging="294"/>
        <w:rPr>
          <w:rFonts w:ascii="Calibri" w:hAnsi="Calibri" w:cs="Calibri"/>
          <w:bCs/>
          <w:sz w:val="22"/>
          <w:szCs w:val="22"/>
          <w:lang w:val="es-ES_tradnl"/>
        </w:rPr>
      </w:pPr>
      <w:r w:rsidRPr="00701888">
        <w:rPr>
          <w:rFonts w:ascii="Calibri" w:hAnsi="Calibri" w:cs="Calibri"/>
          <w:bCs/>
          <w:sz w:val="22"/>
          <w:szCs w:val="22"/>
          <w:lang w:val="es-ES_tradnl"/>
        </w:rPr>
        <w:t xml:space="preserve">incorporación tardía </w:t>
      </w:r>
      <w:r w:rsidRPr="00B1278E">
        <w:rPr>
          <w:rFonts w:ascii="Calibri" w:hAnsi="Calibri" w:cs="Calibri"/>
          <w:bCs/>
          <w:sz w:val="22"/>
          <w:szCs w:val="22"/>
          <w:lang w:val="es-ES_tradnl"/>
        </w:rPr>
        <w:t xml:space="preserve">de la </w:t>
      </w:r>
      <w:r w:rsidR="00D535EE" w:rsidRPr="00B1278E">
        <w:rPr>
          <w:rFonts w:ascii="Calibri" w:hAnsi="Calibri" w:cs="Calibri"/>
          <w:bCs/>
          <w:sz w:val="22"/>
          <w:szCs w:val="22"/>
          <w:lang w:val="es-ES_tradnl"/>
        </w:rPr>
        <w:t>Secretaria General Adjunta</w:t>
      </w:r>
      <w:r w:rsidR="00D535EE" w:rsidRPr="00701888">
        <w:rPr>
          <w:rFonts w:ascii="Calibri" w:hAnsi="Calibri" w:cs="Calibri"/>
          <w:bCs/>
          <w:sz w:val="22"/>
          <w:szCs w:val="22"/>
          <w:lang w:val="es-ES_tradnl"/>
        </w:rPr>
        <w:t xml:space="preserve"> (15.000 francos suizos)</w:t>
      </w:r>
      <w:r w:rsidR="00563134" w:rsidRPr="00701888">
        <w:rPr>
          <w:rFonts w:ascii="Calibri" w:hAnsi="Calibri" w:cs="Calibri"/>
          <w:bCs/>
          <w:sz w:val="22"/>
          <w:szCs w:val="22"/>
          <w:lang w:val="es-ES_tradnl"/>
        </w:rPr>
        <w:t>;</w:t>
      </w:r>
    </w:p>
    <w:p w14:paraId="74A8D45D" w14:textId="77777777" w:rsidR="00563134" w:rsidRPr="00701888" w:rsidRDefault="00D535EE" w:rsidP="00563134">
      <w:pPr>
        <w:pStyle w:val="ListParagraph"/>
        <w:numPr>
          <w:ilvl w:val="0"/>
          <w:numId w:val="17"/>
        </w:numPr>
        <w:ind w:left="1418" w:hanging="294"/>
        <w:rPr>
          <w:rFonts w:ascii="Calibri" w:hAnsi="Calibri" w:cs="Calibri"/>
          <w:bCs/>
          <w:sz w:val="22"/>
          <w:szCs w:val="22"/>
          <w:lang w:val="es-ES_tradnl"/>
        </w:rPr>
      </w:pPr>
      <w:r w:rsidRPr="00701888">
        <w:rPr>
          <w:rFonts w:ascii="Calibri" w:hAnsi="Calibri" w:cs="Calibri"/>
          <w:bCs/>
          <w:sz w:val="22"/>
          <w:szCs w:val="22"/>
          <w:lang w:val="es-ES_tradnl"/>
        </w:rPr>
        <w:t xml:space="preserve">subsidio </w:t>
      </w:r>
      <w:r w:rsidR="00C26D06" w:rsidRPr="00701888">
        <w:rPr>
          <w:rFonts w:ascii="Calibri" w:hAnsi="Calibri" w:cs="Calibri"/>
          <w:bCs/>
          <w:sz w:val="22"/>
          <w:szCs w:val="22"/>
          <w:lang w:val="es-ES_tradnl"/>
        </w:rPr>
        <w:t>para la educación no utilizado (40.000 francos suizos); y</w:t>
      </w:r>
    </w:p>
    <w:p w14:paraId="12104673" w14:textId="5E9A7133" w:rsidR="007817F5" w:rsidRPr="00701888" w:rsidRDefault="007817F5" w:rsidP="00563134">
      <w:pPr>
        <w:pStyle w:val="ListParagraph"/>
        <w:numPr>
          <w:ilvl w:val="0"/>
          <w:numId w:val="17"/>
        </w:numPr>
        <w:ind w:left="1418" w:hanging="294"/>
        <w:rPr>
          <w:rFonts w:ascii="Calibri" w:hAnsi="Calibri" w:cs="Calibri"/>
          <w:bCs/>
          <w:sz w:val="22"/>
          <w:szCs w:val="22"/>
          <w:lang w:val="es-ES_tradnl"/>
        </w:rPr>
      </w:pPr>
      <w:r w:rsidRPr="00701888">
        <w:rPr>
          <w:rFonts w:ascii="Calibri" w:hAnsi="Calibri" w:cs="Calibri"/>
          <w:bCs/>
          <w:sz w:val="22"/>
          <w:szCs w:val="22"/>
          <w:lang w:val="es-ES_tradnl"/>
        </w:rPr>
        <w:t>otros ajustes menores (-2.000 francos suizos).</w:t>
      </w:r>
    </w:p>
    <w:p w14:paraId="5F4487AD" w14:textId="59CF8152" w:rsidR="002464F2" w:rsidRPr="00701888" w:rsidRDefault="002464F2" w:rsidP="00347652">
      <w:pPr>
        <w:ind w:left="1080"/>
        <w:rPr>
          <w:rFonts w:ascii="Calibri" w:hAnsi="Calibri" w:cs="Calibri"/>
          <w:bCs/>
          <w:sz w:val="22"/>
          <w:szCs w:val="22"/>
          <w:lang w:val="es-ES_tradnl"/>
        </w:rPr>
      </w:pPr>
    </w:p>
    <w:p w14:paraId="5BF9A67B" w14:textId="644123EE" w:rsidR="002464F2" w:rsidRPr="00701888" w:rsidRDefault="005D0C79" w:rsidP="00842399">
      <w:pPr>
        <w:pStyle w:val="ListParagraph"/>
        <w:numPr>
          <w:ilvl w:val="1"/>
          <w:numId w:val="2"/>
        </w:numPr>
        <w:ind w:left="851" w:hanging="425"/>
        <w:rPr>
          <w:rFonts w:ascii="Calibri" w:hAnsi="Calibri" w:cs="Calibri"/>
          <w:bCs/>
          <w:sz w:val="22"/>
          <w:szCs w:val="22"/>
          <w:lang w:val="es-ES_tradnl"/>
        </w:rPr>
      </w:pPr>
      <w:r w:rsidRPr="00701888">
        <w:rPr>
          <w:rFonts w:ascii="Calibri" w:hAnsi="Calibri" w:cs="Calibri"/>
          <w:bCs/>
          <w:sz w:val="22"/>
          <w:szCs w:val="22"/>
          <w:lang w:val="es-ES_tradnl"/>
        </w:rPr>
        <w:t>No</w:t>
      </w:r>
      <w:r w:rsidR="00937027" w:rsidRPr="00701888">
        <w:rPr>
          <w:rFonts w:ascii="Calibri" w:hAnsi="Calibri" w:cs="Calibri"/>
          <w:bCs/>
          <w:sz w:val="22"/>
          <w:szCs w:val="22"/>
          <w:lang w:val="es-ES_tradnl"/>
        </w:rPr>
        <w:t xml:space="preserve"> ha habido incrementos impuestos por la UICN</w:t>
      </w:r>
      <w:r w:rsidR="002B5322" w:rsidRPr="00701888">
        <w:rPr>
          <w:rFonts w:ascii="Calibri" w:hAnsi="Calibri" w:cs="Calibri"/>
          <w:bCs/>
          <w:sz w:val="22"/>
          <w:szCs w:val="22"/>
          <w:lang w:val="es-ES_tradnl"/>
        </w:rPr>
        <w:t xml:space="preserve"> </w:t>
      </w:r>
      <w:r w:rsidR="00937027" w:rsidRPr="00701888">
        <w:rPr>
          <w:rFonts w:ascii="Calibri" w:hAnsi="Calibri" w:cs="Calibri"/>
          <w:bCs/>
          <w:sz w:val="22"/>
          <w:szCs w:val="22"/>
          <w:lang w:val="es-ES_tradnl"/>
        </w:rPr>
        <w:t xml:space="preserve">por aumento del costo de la vida o por incrementos salariales desde 2011. </w:t>
      </w:r>
    </w:p>
    <w:p w14:paraId="1374A49D" w14:textId="77777777" w:rsidR="002464F2" w:rsidRPr="00701888" w:rsidRDefault="002464F2" w:rsidP="00842399">
      <w:pPr>
        <w:pStyle w:val="ListParagraph"/>
        <w:ind w:left="851" w:hanging="425"/>
        <w:rPr>
          <w:rFonts w:ascii="Calibri" w:hAnsi="Calibri" w:cs="Calibri"/>
          <w:bCs/>
          <w:sz w:val="22"/>
          <w:szCs w:val="22"/>
          <w:lang w:val="es-ES_tradnl"/>
        </w:rPr>
      </w:pPr>
    </w:p>
    <w:p w14:paraId="7CDBCC09" w14:textId="2553FEA2" w:rsidR="002464F2" w:rsidRPr="00701888" w:rsidRDefault="00E128BB" w:rsidP="00387677">
      <w:pPr>
        <w:pStyle w:val="ListParagraph"/>
        <w:numPr>
          <w:ilvl w:val="1"/>
          <w:numId w:val="2"/>
        </w:numPr>
        <w:ind w:left="851" w:hanging="425"/>
        <w:rPr>
          <w:rFonts w:ascii="Calibri" w:hAnsi="Calibri" w:cs="Calibri"/>
          <w:bCs/>
          <w:sz w:val="22"/>
          <w:szCs w:val="22"/>
          <w:lang w:val="es-ES_tradnl"/>
        </w:rPr>
      </w:pPr>
      <w:r w:rsidRPr="00701888">
        <w:rPr>
          <w:rFonts w:ascii="Calibri" w:hAnsi="Calibri" w:cs="Calibri"/>
          <w:bCs/>
          <w:sz w:val="22"/>
          <w:szCs w:val="22"/>
          <w:lang w:val="es-ES_tradnl"/>
        </w:rPr>
        <w:t>Se hicieron l</w:t>
      </w:r>
      <w:r w:rsidR="00937027" w:rsidRPr="00701888">
        <w:rPr>
          <w:rFonts w:ascii="Calibri" w:hAnsi="Calibri" w:cs="Calibri"/>
          <w:bCs/>
          <w:sz w:val="22"/>
          <w:szCs w:val="22"/>
          <w:lang w:val="es-ES_tradnl"/>
        </w:rPr>
        <w:t xml:space="preserve">as asignaciones de </w:t>
      </w:r>
      <w:r w:rsidR="00135B39" w:rsidRPr="00701888">
        <w:rPr>
          <w:rFonts w:ascii="Calibri" w:hAnsi="Calibri" w:cs="Calibri"/>
          <w:bCs/>
          <w:sz w:val="22"/>
          <w:szCs w:val="22"/>
          <w:lang w:val="es-ES_tradnl"/>
        </w:rPr>
        <w:t>1</w:t>
      </w:r>
      <w:r w:rsidR="00912433" w:rsidRPr="00701888">
        <w:rPr>
          <w:rFonts w:ascii="Calibri" w:hAnsi="Calibri" w:cs="Calibri"/>
          <w:bCs/>
          <w:sz w:val="22"/>
          <w:szCs w:val="22"/>
          <w:lang w:val="es-ES_tradnl"/>
        </w:rPr>
        <w:t>0</w:t>
      </w:r>
      <w:r w:rsidR="00387677" w:rsidRPr="00701888">
        <w:rPr>
          <w:rFonts w:ascii="Calibri" w:hAnsi="Calibri" w:cs="Calibri"/>
          <w:bCs/>
          <w:sz w:val="22"/>
          <w:szCs w:val="22"/>
          <w:lang w:val="es-ES_tradnl"/>
        </w:rPr>
        <w:t>6</w:t>
      </w:r>
      <w:r w:rsidR="00937027" w:rsidRPr="00701888">
        <w:rPr>
          <w:rFonts w:ascii="Calibri" w:hAnsi="Calibri" w:cs="Calibri"/>
          <w:bCs/>
          <w:sz w:val="22"/>
          <w:szCs w:val="22"/>
          <w:lang w:val="es-ES_tradnl"/>
        </w:rPr>
        <w:t>.</w:t>
      </w:r>
      <w:r w:rsidR="00387677" w:rsidRPr="00701888">
        <w:rPr>
          <w:rFonts w:ascii="Calibri" w:hAnsi="Calibri" w:cs="Calibri"/>
          <w:bCs/>
          <w:sz w:val="22"/>
          <w:szCs w:val="22"/>
          <w:lang w:val="es-ES_tradnl"/>
        </w:rPr>
        <w:t>8</w:t>
      </w:r>
      <w:r w:rsidR="00912433" w:rsidRPr="00701888">
        <w:rPr>
          <w:rFonts w:ascii="Calibri" w:hAnsi="Calibri" w:cs="Calibri"/>
          <w:bCs/>
          <w:sz w:val="22"/>
          <w:szCs w:val="22"/>
          <w:lang w:val="es-ES_tradnl"/>
        </w:rPr>
        <w:t>00</w:t>
      </w:r>
      <w:r w:rsidR="00937027" w:rsidRPr="00701888">
        <w:rPr>
          <w:rFonts w:ascii="Calibri" w:hAnsi="Calibri" w:cs="Calibri"/>
          <w:bCs/>
          <w:sz w:val="22"/>
          <w:szCs w:val="22"/>
          <w:lang w:val="es-ES_tradnl"/>
        </w:rPr>
        <w:t xml:space="preserve"> francos suizos a las Iniciativas Regionales de </w:t>
      </w:r>
      <w:r w:rsidR="007F7CC8" w:rsidRPr="00701888">
        <w:rPr>
          <w:rFonts w:ascii="Calibri" w:hAnsi="Calibri" w:cs="Calibri"/>
          <w:bCs/>
          <w:sz w:val="22"/>
          <w:szCs w:val="22"/>
          <w:lang w:val="es-ES_tradnl"/>
        </w:rPr>
        <w:t>Ramsar</w:t>
      </w:r>
      <w:r w:rsidRPr="00701888">
        <w:rPr>
          <w:rFonts w:ascii="Calibri" w:hAnsi="Calibri" w:cs="Calibri"/>
          <w:bCs/>
          <w:sz w:val="22"/>
          <w:szCs w:val="22"/>
          <w:lang w:val="es-ES_tradnl"/>
        </w:rPr>
        <w:t>,</w:t>
      </w:r>
      <w:r w:rsidR="008B6013" w:rsidRPr="00701888">
        <w:rPr>
          <w:rFonts w:ascii="Calibri" w:hAnsi="Calibri" w:cs="Calibri"/>
          <w:bCs/>
          <w:sz w:val="22"/>
          <w:szCs w:val="22"/>
          <w:lang w:val="es-ES_tradnl"/>
        </w:rPr>
        <w:t xml:space="preserve"> </w:t>
      </w:r>
      <w:r w:rsidR="00937027" w:rsidRPr="00701888">
        <w:rPr>
          <w:rFonts w:ascii="Calibri" w:hAnsi="Calibri" w:cs="Calibri"/>
          <w:bCs/>
          <w:sz w:val="22"/>
          <w:szCs w:val="22"/>
          <w:lang w:val="es-ES_tradnl"/>
        </w:rPr>
        <w:t xml:space="preserve">conforme a lo acordado por la 49ª reunión del Comité Permanente </w:t>
      </w:r>
      <w:r w:rsidR="00F9381E" w:rsidRPr="00701888">
        <w:rPr>
          <w:rFonts w:ascii="Calibri" w:hAnsi="Calibri" w:cs="Calibri"/>
          <w:bCs/>
          <w:sz w:val="22"/>
          <w:szCs w:val="22"/>
          <w:lang w:val="es-ES_tradnl"/>
        </w:rPr>
        <w:t>(</w:t>
      </w:r>
      <w:r w:rsidR="009C5E7D" w:rsidRPr="00701888">
        <w:rPr>
          <w:rFonts w:ascii="Calibri" w:hAnsi="Calibri" w:cs="Calibri"/>
          <w:bCs/>
          <w:sz w:val="22"/>
          <w:szCs w:val="22"/>
          <w:lang w:val="es-ES_tradnl"/>
        </w:rPr>
        <w:t>Decisi</w:t>
      </w:r>
      <w:r w:rsidR="00937027" w:rsidRPr="00701888">
        <w:rPr>
          <w:rFonts w:ascii="Calibri" w:hAnsi="Calibri" w:cs="Calibri"/>
          <w:bCs/>
          <w:sz w:val="22"/>
          <w:szCs w:val="22"/>
          <w:lang w:val="es-ES_tradnl"/>
        </w:rPr>
        <w:t>ó</w:t>
      </w:r>
      <w:r w:rsidR="009C5E7D" w:rsidRPr="00701888">
        <w:rPr>
          <w:rFonts w:ascii="Calibri" w:hAnsi="Calibri" w:cs="Calibri"/>
          <w:bCs/>
          <w:sz w:val="22"/>
          <w:szCs w:val="22"/>
          <w:lang w:val="es-ES_tradnl"/>
        </w:rPr>
        <w:t>n SC4</w:t>
      </w:r>
      <w:r w:rsidR="00912433" w:rsidRPr="00701888">
        <w:rPr>
          <w:rFonts w:ascii="Calibri" w:hAnsi="Calibri" w:cs="Calibri"/>
          <w:bCs/>
          <w:sz w:val="22"/>
          <w:szCs w:val="22"/>
          <w:lang w:val="es-ES_tradnl"/>
        </w:rPr>
        <w:t>9</w:t>
      </w:r>
      <w:r w:rsidR="009C5E7D" w:rsidRPr="00701888">
        <w:rPr>
          <w:rFonts w:ascii="Calibri" w:hAnsi="Calibri" w:cs="Calibri"/>
          <w:bCs/>
          <w:sz w:val="22"/>
          <w:szCs w:val="22"/>
          <w:lang w:val="es-ES_tradnl"/>
        </w:rPr>
        <w:t>-</w:t>
      </w:r>
      <w:r w:rsidR="00912433" w:rsidRPr="00701888">
        <w:rPr>
          <w:rFonts w:ascii="Calibri" w:hAnsi="Calibri" w:cs="Calibri"/>
          <w:bCs/>
          <w:sz w:val="22"/>
          <w:szCs w:val="22"/>
          <w:lang w:val="es-ES_tradnl"/>
        </w:rPr>
        <w:t>03</w:t>
      </w:r>
      <w:r w:rsidR="00F9381E" w:rsidRPr="00701888">
        <w:rPr>
          <w:rFonts w:ascii="Calibri" w:hAnsi="Calibri" w:cs="Calibri"/>
          <w:bCs/>
          <w:sz w:val="22"/>
          <w:szCs w:val="22"/>
          <w:lang w:val="es-ES_tradnl"/>
        </w:rPr>
        <w:t>)</w:t>
      </w:r>
      <w:r w:rsidR="00912433" w:rsidRPr="00701888">
        <w:rPr>
          <w:rFonts w:ascii="Calibri" w:hAnsi="Calibri" w:cs="Calibri"/>
          <w:bCs/>
          <w:sz w:val="22"/>
          <w:szCs w:val="22"/>
          <w:lang w:val="es-ES_tradnl"/>
        </w:rPr>
        <w:t xml:space="preserve"> </w:t>
      </w:r>
      <w:r w:rsidR="00ED56FB" w:rsidRPr="00701888">
        <w:rPr>
          <w:rFonts w:ascii="Calibri" w:hAnsi="Calibri" w:cs="Calibri"/>
          <w:bCs/>
          <w:sz w:val="22"/>
          <w:szCs w:val="22"/>
          <w:lang w:val="es-ES_tradnl"/>
        </w:rPr>
        <w:t xml:space="preserve">y se presentó el informe correspondiente a la 51ª reunión del Comité </w:t>
      </w:r>
      <w:r w:rsidR="008F0473" w:rsidRPr="00701888">
        <w:rPr>
          <w:rFonts w:ascii="Calibri" w:hAnsi="Calibri" w:cs="Calibri"/>
          <w:bCs/>
          <w:sz w:val="22"/>
          <w:szCs w:val="22"/>
          <w:lang w:val="es-ES_tradnl"/>
        </w:rPr>
        <w:t>P</w:t>
      </w:r>
      <w:r w:rsidR="00ED56FB" w:rsidRPr="00701888">
        <w:rPr>
          <w:rFonts w:ascii="Calibri" w:hAnsi="Calibri" w:cs="Calibri"/>
          <w:bCs/>
          <w:sz w:val="22"/>
          <w:szCs w:val="22"/>
          <w:lang w:val="es-ES_tradnl"/>
        </w:rPr>
        <w:t xml:space="preserve">ermanente. </w:t>
      </w:r>
      <w:r w:rsidR="00387677" w:rsidRPr="00701888">
        <w:rPr>
          <w:rFonts w:ascii="Calibri" w:hAnsi="Calibri" w:cs="Calibri"/>
          <w:bCs/>
          <w:sz w:val="22"/>
          <w:szCs w:val="22"/>
          <w:lang w:val="es-ES_tradnl"/>
        </w:rPr>
        <w:t>Ad</w:t>
      </w:r>
      <w:r w:rsidR="00ED56FB" w:rsidRPr="00701888">
        <w:rPr>
          <w:rFonts w:ascii="Calibri" w:hAnsi="Calibri" w:cs="Calibri"/>
          <w:bCs/>
          <w:sz w:val="22"/>
          <w:szCs w:val="22"/>
          <w:lang w:val="es-ES_tradnl"/>
        </w:rPr>
        <w:t>icionalmente, se destinaron</w:t>
      </w:r>
      <w:r w:rsidR="008F0473" w:rsidRPr="00701888">
        <w:rPr>
          <w:rFonts w:ascii="Calibri" w:hAnsi="Calibri" w:cs="Calibri"/>
          <w:bCs/>
          <w:sz w:val="22"/>
          <w:szCs w:val="22"/>
          <w:lang w:val="es-ES_tradnl"/>
        </w:rPr>
        <w:t xml:space="preserve"> </w:t>
      </w:r>
      <w:r w:rsidR="00387677" w:rsidRPr="00701888">
        <w:rPr>
          <w:rFonts w:ascii="Calibri" w:hAnsi="Calibri" w:cs="Calibri"/>
          <w:bCs/>
          <w:sz w:val="22"/>
          <w:szCs w:val="22"/>
          <w:lang w:val="es-ES_tradnl"/>
        </w:rPr>
        <w:t>13</w:t>
      </w:r>
      <w:r w:rsidR="00ED56FB" w:rsidRPr="00701888">
        <w:rPr>
          <w:rFonts w:ascii="Calibri" w:hAnsi="Calibri" w:cs="Calibri"/>
          <w:bCs/>
          <w:sz w:val="22"/>
          <w:szCs w:val="22"/>
          <w:lang w:val="es-ES_tradnl"/>
        </w:rPr>
        <w:t>.</w:t>
      </w:r>
      <w:r w:rsidR="00387677" w:rsidRPr="00701888">
        <w:rPr>
          <w:rFonts w:ascii="Calibri" w:hAnsi="Calibri" w:cs="Calibri"/>
          <w:bCs/>
          <w:sz w:val="22"/>
          <w:szCs w:val="22"/>
          <w:lang w:val="es-ES_tradnl"/>
        </w:rPr>
        <w:t>200</w:t>
      </w:r>
      <w:r w:rsidR="00ED56FB" w:rsidRPr="00701888">
        <w:rPr>
          <w:rFonts w:ascii="Calibri" w:hAnsi="Calibri" w:cs="Calibri"/>
          <w:bCs/>
          <w:sz w:val="22"/>
          <w:szCs w:val="22"/>
          <w:lang w:val="es-ES_tradnl"/>
        </w:rPr>
        <w:t xml:space="preserve"> francos suizos para la reunión de las Iniciativas Regionales de Ramsar previa a la 51ª reunión del Comité Permanente, conforme a lo acordado por el Equipo Ejecutivo en agosto de 2015. Estas dos partidas suman un total de </w:t>
      </w:r>
      <w:r w:rsidR="00FD2FFC" w:rsidRPr="00701888">
        <w:rPr>
          <w:rFonts w:ascii="Calibri" w:hAnsi="Calibri" w:cs="Calibri"/>
          <w:bCs/>
          <w:sz w:val="22"/>
          <w:szCs w:val="22"/>
          <w:lang w:val="es-ES_tradnl"/>
        </w:rPr>
        <w:t>120</w:t>
      </w:r>
      <w:r w:rsidR="00ED56FB" w:rsidRPr="00701888">
        <w:rPr>
          <w:rFonts w:ascii="Calibri" w:hAnsi="Calibri" w:cs="Calibri"/>
          <w:bCs/>
          <w:sz w:val="22"/>
          <w:szCs w:val="22"/>
          <w:lang w:val="es-ES_tradnl"/>
        </w:rPr>
        <w:t>.</w:t>
      </w:r>
      <w:r w:rsidR="00FD2FFC" w:rsidRPr="00701888">
        <w:rPr>
          <w:rFonts w:ascii="Calibri" w:hAnsi="Calibri" w:cs="Calibri"/>
          <w:bCs/>
          <w:sz w:val="22"/>
          <w:szCs w:val="22"/>
          <w:lang w:val="es-ES_tradnl"/>
        </w:rPr>
        <w:t>000</w:t>
      </w:r>
      <w:r w:rsidR="00ED56FB" w:rsidRPr="00701888">
        <w:rPr>
          <w:rFonts w:ascii="Calibri" w:hAnsi="Calibri" w:cs="Calibri"/>
          <w:bCs/>
          <w:sz w:val="22"/>
          <w:szCs w:val="22"/>
          <w:lang w:val="es-ES_tradnl"/>
        </w:rPr>
        <w:t xml:space="preserve"> francos suizos</w:t>
      </w:r>
      <w:r w:rsidR="00AF0C98" w:rsidRPr="00701888">
        <w:rPr>
          <w:rFonts w:ascii="Calibri" w:hAnsi="Calibri" w:cs="Calibri"/>
          <w:bCs/>
          <w:sz w:val="22"/>
          <w:szCs w:val="22"/>
          <w:lang w:val="es-ES_tradnl"/>
        </w:rPr>
        <w:t>,</w:t>
      </w:r>
      <w:r w:rsidR="00FD2FFC" w:rsidRPr="00701888">
        <w:rPr>
          <w:rFonts w:ascii="Calibri" w:hAnsi="Calibri" w:cs="Calibri"/>
          <w:bCs/>
          <w:sz w:val="22"/>
          <w:szCs w:val="22"/>
          <w:lang w:val="es-ES_tradnl"/>
        </w:rPr>
        <w:t xml:space="preserve"> </w:t>
      </w:r>
      <w:r w:rsidR="00ED56FB" w:rsidRPr="00701888">
        <w:rPr>
          <w:rFonts w:ascii="Calibri" w:hAnsi="Calibri" w:cs="Calibri"/>
          <w:bCs/>
          <w:sz w:val="22"/>
          <w:szCs w:val="22"/>
          <w:lang w:val="es-ES_tradnl"/>
        </w:rPr>
        <w:t>de acuerdo con el presupuesto aprobado por la 48</w:t>
      </w:r>
      <w:r w:rsidR="00FB2D91" w:rsidRPr="00701888">
        <w:rPr>
          <w:rFonts w:ascii="Calibri" w:hAnsi="Calibri" w:cs="Calibri"/>
          <w:bCs/>
          <w:sz w:val="22"/>
          <w:szCs w:val="22"/>
          <w:lang w:val="es-ES_tradnl"/>
        </w:rPr>
        <w:t>ª</w:t>
      </w:r>
      <w:r w:rsidR="00ED56FB" w:rsidRPr="00701888">
        <w:rPr>
          <w:rFonts w:ascii="Calibri" w:hAnsi="Calibri" w:cs="Calibri"/>
          <w:bCs/>
          <w:sz w:val="22"/>
          <w:szCs w:val="22"/>
          <w:lang w:val="es-ES_tradnl"/>
        </w:rPr>
        <w:t xml:space="preserve"> reunión del Comité Permanente. </w:t>
      </w:r>
    </w:p>
    <w:p w14:paraId="172F6D88" w14:textId="77777777" w:rsidR="002464F2" w:rsidRPr="00701888" w:rsidRDefault="002464F2" w:rsidP="00842399">
      <w:pPr>
        <w:pStyle w:val="ListParagraph"/>
        <w:ind w:left="851" w:hanging="425"/>
        <w:rPr>
          <w:rFonts w:ascii="Calibri" w:hAnsi="Calibri" w:cs="Calibri"/>
          <w:bCs/>
          <w:sz w:val="22"/>
          <w:szCs w:val="22"/>
          <w:lang w:val="es-ES_tradnl"/>
        </w:rPr>
      </w:pPr>
    </w:p>
    <w:p w14:paraId="1189C26A" w14:textId="46930B0D" w:rsidR="00E70296" w:rsidRPr="00701888" w:rsidRDefault="00E128BB" w:rsidP="00842399">
      <w:pPr>
        <w:pStyle w:val="ListParagraph"/>
        <w:numPr>
          <w:ilvl w:val="1"/>
          <w:numId w:val="2"/>
        </w:numPr>
        <w:ind w:left="851" w:hanging="425"/>
        <w:rPr>
          <w:rFonts w:ascii="Calibri" w:hAnsi="Calibri" w:cs="Calibri"/>
          <w:bCs/>
          <w:sz w:val="22"/>
          <w:szCs w:val="22"/>
          <w:lang w:val="es-ES_tradnl"/>
        </w:rPr>
      </w:pPr>
      <w:r w:rsidRPr="00701888">
        <w:rPr>
          <w:rFonts w:ascii="Calibri" w:hAnsi="Calibri" w:cs="Calibri"/>
          <w:bCs/>
          <w:sz w:val="22"/>
          <w:szCs w:val="22"/>
          <w:lang w:val="es-ES_tradnl"/>
        </w:rPr>
        <w:t>El déficit de 575.000 francos suizos indicado respecto de l</w:t>
      </w:r>
      <w:r w:rsidR="00ED56FB" w:rsidRPr="00701888">
        <w:rPr>
          <w:rFonts w:ascii="Calibri" w:hAnsi="Calibri" w:cs="Calibri"/>
          <w:bCs/>
          <w:sz w:val="22"/>
          <w:szCs w:val="22"/>
          <w:lang w:val="es-ES_tradnl"/>
        </w:rPr>
        <w:t xml:space="preserve">a partida </w:t>
      </w:r>
      <w:r w:rsidR="00D727A2" w:rsidRPr="00701888">
        <w:rPr>
          <w:rFonts w:ascii="Calibri" w:hAnsi="Calibri" w:cs="Calibri"/>
          <w:bCs/>
          <w:sz w:val="22"/>
          <w:szCs w:val="22"/>
          <w:lang w:val="es-ES_tradnl"/>
        </w:rPr>
        <w:t>K</w:t>
      </w:r>
      <w:r w:rsidRPr="00701888">
        <w:rPr>
          <w:rFonts w:ascii="Calibri" w:hAnsi="Calibri" w:cs="Calibri"/>
          <w:bCs/>
          <w:sz w:val="22"/>
          <w:szCs w:val="22"/>
          <w:lang w:val="es-ES_tradnl"/>
        </w:rPr>
        <w:t xml:space="preserve"> del presupuesto básico de 2015</w:t>
      </w:r>
      <w:r w:rsidR="00E70296" w:rsidRPr="00701888">
        <w:rPr>
          <w:rFonts w:ascii="Calibri" w:hAnsi="Calibri" w:cs="Calibri"/>
          <w:bCs/>
          <w:sz w:val="22"/>
          <w:szCs w:val="22"/>
          <w:lang w:val="es-ES_tradnl"/>
        </w:rPr>
        <w:t xml:space="preserve"> </w:t>
      </w:r>
      <w:r w:rsidRPr="00701888">
        <w:rPr>
          <w:rFonts w:ascii="Calibri" w:hAnsi="Calibri" w:cs="Calibri"/>
          <w:bCs/>
          <w:sz w:val="22"/>
          <w:szCs w:val="22"/>
          <w:lang w:val="es-ES_tradnl"/>
        </w:rPr>
        <w:t>(</w:t>
      </w:r>
      <w:r w:rsidR="00C13413" w:rsidRPr="00701888">
        <w:rPr>
          <w:rFonts w:ascii="Calibri" w:hAnsi="Calibri" w:cs="Calibri"/>
          <w:bCs/>
          <w:sz w:val="22"/>
          <w:szCs w:val="22"/>
          <w:lang w:val="es-ES_tradnl"/>
        </w:rPr>
        <w:t>Gastos diversos</w:t>
      </w:r>
      <w:r w:rsidR="00E70296" w:rsidRPr="00701888">
        <w:rPr>
          <w:rFonts w:ascii="Calibri" w:hAnsi="Calibri" w:cs="Calibri"/>
          <w:bCs/>
          <w:sz w:val="22"/>
          <w:szCs w:val="22"/>
          <w:lang w:val="es-ES_tradnl"/>
        </w:rPr>
        <w:t xml:space="preserve"> – </w:t>
      </w:r>
      <w:r w:rsidR="00C13413" w:rsidRPr="00701888">
        <w:rPr>
          <w:rFonts w:ascii="Calibri" w:hAnsi="Calibri" w:cs="Calibri"/>
          <w:bCs/>
          <w:sz w:val="22"/>
          <w:szCs w:val="22"/>
          <w:lang w:val="es-ES_tradnl"/>
        </w:rPr>
        <w:t>Fondo de reserva</w:t>
      </w:r>
      <w:r w:rsidRPr="00701888">
        <w:rPr>
          <w:rFonts w:ascii="Calibri" w:hAnsi="Calibri" w:cs="Calibri"/>
          <w:bCs/>
          <w:sz w:val="22"/>
          <w:szCs w:val="22"/>
          <w:lang w:val="es-ES_tradnl"/>
        </w:rPr>
        <w:t xml:space="preserve">) refleja una serie de factores contribuyentes: </w:t>
      </w:r>
    </w:p>
    <w:p w14:paraId="6CF42556" w14:textId="77777777" w:rsidR="00E70296" w:rsidRPr="00701888" w:rsidRDefault="00E70296" w:rsidP="008A77C9">
      <w:pPr>
        <w:pStyle w:val="ListParagraph"/>
        <w:ind w:left="1276"/>
        <w:rPr>
          <w:rFonts w:ascii="Calibri" w:hAnsi="Calibri" w:cs="Calibri"/>
          <w:bCs/>
          <w:sz w:val="22"/>
          <w:szCs w:val="22"/>
          <w:lang w:val="es-ES_tradnl"/>
        </w:rPr>
      </w:pPr>
    </w:p>
    <w:p w14:paraId="6D49435C" w14:textId="11C085C4" w:rsidR="008A77C9" w:rsidRPr="00701888" w:rsidRDefault="006C4E3D" w:rsidP="008A77C9">
      <w:pPr>
        <w:pStyle w:val="ListParagraph"/>
        <w:numPr>
          <w:ilvl w:val="2"/>
          <w:numId w:val="2"/>
        </w:numPr>
        <w:ind w:left="1276" w:hanging="425"/>
        <w:rPr>
          <w:rFonts w:ascii="Calibri" w:hAnsi="Calibri" w:cs="Calibri"/>
          <w:bCs/>
          <w:sz w:val="22"/>
          <w:szCs w:val="22"/>
          <w:lang w:val="es-ES_tradnl"/>
        </w:rPr>
      </w:pPr>
      <w:r w:rsidRPr="00701888">
        <w:rPr>
          <w:rFonts w:ascii="Calibri" w:hAnsi="Calibri" w:cs="Calibri"/>
          <w:b/>
          <w:bCs/>
          <w:sz w:val="22"/>
          <w:szCs w:val="22"/>
          <w:lang w:val="es-ES_tradnl"/>
        </w:rPr>
        <w:t>Partida presupuestaria</w:t>
      </w:r>
      <w:r w:rsidR="008A77C9" w:rsidRPr="00701888">
        <w:rPr>
          <w:rFonts w:ascii="Calibri" w:hAnsi="Calibri" w:cs="Calibri"/>
          <w:b/>
          <w:bCs/>
          <w:sz w:val="22"/>
          <w:szCs w:val="22"/>
          <w:lang w:val="es-ES_tradnl"/>
        </w:rPr>
        <w:t xml:space="preserve"> K.ii</w:t>
      </w:r>
      <w:r w:rsidR="00700507" w:rsidRPr="00701888">
        <w:rPr>
          <w:rFonts w:ascii="Calibri" w:hAnsi="Calibri" w:cs="Calibri"/>
          <w:bCs/>
          <w:sz w:val="22"/>
          <w:szCs w:val="22"/>
          <w:lang w:val="es-ES_tradnl"/>
        </w:rPr>
        <w:t>.</w:t>
      </w:r>
      <w:r w:rsidR="008A77C9" w:rsidRPr="00701888">
        <w:rPr>
          <w:rFonts w:ascii="Calibri" w:hAnsi="Calibri" w:cs="Calibri"/>
          <w:bCs/>
          <w:sz w:val="22"/>
          <w:szCs w:val="22"/>
          <w:lang w:val="es-ES_tradnl"/>
        </w:rPr>
        <w:t xml:space="preserve"> </w:t>
      </w:r>
      <w:r w:rsidR="007103EC" w:rsidRPr="00701888">
        <w:rPr>
          <w:rFonts w:ascii="Calibri" w:hAnsi="Calibri" w:cs="Calibri"/>
          <w:bCs/>
          <w:sz w:val="22"/>
          <w:szCs w:val="22"/>
          <w:lang w:val="es-ES_tradnl"/>
        </w:rPr>
        <w:t xml:space="preserve">Hubo pérdidas cambiarias importantes de </w:t>
      </w:r>
      <w:r w:rsidR="008A77C9" w:rsidRPr="00701888">
        <w:rPr>
          <w:rFonts w:ascii="Calibri" w:hAnsi="Calibri" w:cs="Calibri"/>
          <w:bCs/>
          <w:sz w:val="22"/>
          <w:szCs w:val="22"/>
          <w:lang w:val="es-ES_tradnl"/>
        </w:rPr>
        <w:t>26</w:t>
      </w:r>
      <w:r w:rsidR="004620B2" w:rsidRPr="00701888">
        <w:rPr>
          <w:rFonts w:ascii="Calibri" w:hAnsi="Calibri" w:cs="Calibri"/>
          <w:bCs/>
          <w:sz w:val="22"/>
          <w:szCs w:val="22"/>
          <w:lang w:val="es-ES_tradnl"/>
        </w:rPr>
        <w:t>1</w:t>
      </w:r>
      <w:r w:rsidR="007103EC" w:rsidRPr="00701888">
        <w:rPr>
          <w:rFonts w:ascii="Calibri" w:hAnsi="Calibri" w:cs="Calibri"/>
          <w:bCs/>
          <w:sz w:val="22"/>
          <w:szCs w:val="22"/>
          <w:lang w:val="es-ES_tradnl"/>
        </w:rPr>
        <w:t>.</w:t>
      </w:r>
      <w:r w:rsidR="008A77C9" w:rsidRPr="00701888">
        <w:rPr>
          <w:rFonts w:ascii="Calibri" w:hAnsi="Calibri" w:cs="Calibri"/>
          <w:bCs/>
          <w:sz w:val="22"/>
          <w:szCs w:val="22"/>
          <w:lang w:val="es-ES_tradnl"/>
        </w:rPr>
        <w:t>000</w:t>
      </w:r>
      <w:r w:rsidR="007103EC" w:rsidRPr="00701888">
        <w:rPr>
          <w:rFonts w:ascii="Calibri" w:hAnsi="Calibri" w:cs="Calibri"/>
          <w:bCs/>
          <w:sz w:val="22"/>
          <w:szCs w:val="22"/>
          <w:lang w:val="es-ES_tradnl"/>
        </w:rPr>
        <w:t xml:space="preserve"> francos suizos</w:t>
      </w:r>
      <w:r w:rsidR="008A77C9" w:rsidRPr="00701888">
        <w:rPr>
          <w:rFonts w:ascii="Calibri" w:hAnsi="Calibri" w:cs="Calibri"/>
          <w:bCs/>
          <w:sz w:val="22"/>
          <w:szCs w:val="22"/>
          <w:lang w:val="es-ES_tradnl"/>
        </w:rPr>
        <w:t xml:space="preserve">. </w:t>
      </w:r>
      <w:r w:rsidR="00B17C19" w:rsidRPr="00701888">
        <w:rPr>
          <w:rFonts w:ascii="Calibri" w:hAnsi="Calibri" w:cs="Calibri"/>
          <w:bCs/>
          <w:sz w:val="22"/>
          <w:szCs w:val="22"/>
          <w:lang w:val="es-ES_tradnl"/>
        </w:rPr>
        <w:t>Con fecha</w:t>
      </w:r>
      <w:r w:rsidR="007103EC" w:rsidRPr="00701888">
        <w:rPr>
          <w:rFonts w:ascii="Calibri" w:hAnsi="Calibri" w:cs="Calibri"/>
          <w:bCs/>
          <w:sz w:val="22"/>
          <w:szCs w:val="22"/>
          <w:lang w:val="es-ES_tradnl"/>
        </w:rPr>
        <w:t xml:space="preserve"> 15 de enero de 2015, el Banco Nacional Suizo abandonó su política de cambio mínimo del franco suizo con el euro, lo que resultó en un revalorización</w:t>
      </w:r>
      <w:r w:rsidR="0010246A" w:rsidRPr="00701888">
        <w:rPr>
          <w:rFonts w:ascii="Calibri" w:hAnsi="Calibri" w:cs="Calibri"/>
          <w:bCs/>
          <w:sz w:val="22"/>
          <w:szCs w:val="22"/>
          <w:lang w:val="es-ES_tradnl"/>
        </w:rPr>
        <w:t xml:space="preserve"> significativa al alza del franco suizo respecto de otras divisas. Teniendo en cuenta que la Secretaría tenía reservas de </w:t>
      </w:r>
      <w:r w:rsidR="008A77C9" w:rsidRPr="00701888">
        <w:rPr>
          <w:rFonts w:ascii="Calibri" w:hAnsi="Calibri" w:cs="Calibri"/>
          <w:bCs/>
          <w:sz w:val="22"/>
          <w:szCs w:val="22"/>
          <w:lang w:val="es-ES_tradnl"/>
        </w:rPr>
        <w:t>2</w:t>
      </w:r>
      <w:r w:rsidR="0010246A" w:rsidRPr="00701888">
        <w:rPr>
          <w:rFonts w:ascii="Calibri" w:hAnsi="Calibri" w:cs="Calibri"/>
          <w:bCs/>
          <w:sz w:val="22"/>
          <w:szCs w:val="22"/>
          <w:lang w:val="es-ES_tradnl"/>
        </w:rPr>
        <w:t>.</w:t>
      </w:r>
      <w:r w:rsidR="008A77C9" w:rsidRPr="00701888">
        <w:rPr>
          <w:rFonts w:ascii="Calibri" w:hAnsi="Calibri" w:cs="Calibri"/>
          <w:bCs/>
          <w:sz w:val="22"/>
          <w:szCs w:val="22"/>
          <w:lang w:val="es-ES_tradnl"/>
        </w:rPr>
        <w:t>600</w:t>
      </w:r>
      <w:r w:rsidR="0010246A" w:rsidRPr="00701888">
        <w:rPr>
          <w:rFonts w:ascii="Calibri" w:hAnsi="Calibri" w:cs="Calibri"/>
          <w:bCs/>
          <w:sz w:val="22"/>
          <w:szCs w:val="22"/>
          <w:lang w:val="es-ES_tradnl"/>
        </w:rPr>
        <w:t>.</w:t>
      </w:r>
      <w:r w:rsidR="008A77C9" w:rsidRPr="00701888">
        <w:rPr>
          <w:rFonts w:ascii="Calibri" w:hAnsi="Calibri" w:cs="Calibri"/>
          <w:bCs/>
          <w:sz w:val="22"/>
          <w:szCs w:val="22"/>
          <w:lang w:val="es-ES_tradnl"/>
        </w:rPr>
        <w:t>022</w:t>
      </w:r>
      <w:r w:rsidR="0010246A" w:rsidRPr="00701888">
        <w:rPr>
          <w:rFonts w:ascii="Calibri" w:hAnsi="Calibri" w:cs="Calibri"/>
          <w:bCs/>
          <w:sz w:val="22"/>
          <w:szCs w:val="22"/>
          <w:lang w:val="es-ES_tradnl"/>
        </w:rPr>
        <w:t xml:space="preserve"> dólares de los EE.UU., </w:t>
      </w:r>
      <w:r w:rsidR="00700507" w:rsidRPr="00701888">
        <w:rPr>
          <w:rFonts w:ascii="Calibri" w:hAnsi="Calibri" w:cs="Calibri"/>
          <w:bCs/>
          <w:sz w:val="22"/>
          <w:szCs w:val="22"/>
          <w:lang w:val="es-ES_tradnl"/>
        </w:rPr>
        <w:t>828.237</w:t>
      </w:r>
      <w:r w:rsidR="0010246A" w:rsidRPr="00701888">
        <w:rPr>
          <w:rFonts w:ascii="Calibri" w:hAnsi="Calibri" w:cs="Calibri"/>
          <w:bCs/>
          <w:sz w:val="22"/>
          <w:szCs w:val="22"/>
          <w:lang w:val="es-ES_tradnl"/>
        </w:rPr>
        <w:t xml:space="preserve"> euros, y </w:t>
      </w:r>
      <w:r w:rsidR="008A77C9" w:rsidRPr="00701888">
        <w:rPr>
          <w:rFonts w:ascii="Calibri" w:hAnsi="Calibri" w:cs="Calibri"/>
          <w:bCs/>
          <w:sz w:val="22"/>
          <w:szCs w:val="22"/>
          <w:lang w:val="es-ES_tradnl"/>
        </w:rPr>
        <w:t>4</w:t>
      </w:r>
      <w:r w:rsidR="0010246A" w:rsidRPr="00701888">
        <w:rPr>
          <w:rFonts w:ascii="Calibri" w:hAnsi="Calibri" w:cs="Calibri"/>
          <w:bCs/>
          <w:sz w:val="22"/>
          <w:szCs w:val="22"/>
          <w:lang w:val="es-ES_tradnl"/>
        </w:rPr>
        <w:t>.</w:t>
      </w:r>
      <w:r w:rsidR="008A77C9" w:rsidRPr="00701888">
        <w:rPr>
          <w:rFonts w:ascii="Calibri" w:hAnsi="Calibri" w:cs="Calibri"/>
          <w:bCs/>
          <w:sz w:val="22"/>
          <w:szCs w:val="22"/>
          <w:lang w:val="es-ES_tradnl"/>
        </w:rPr>
        <w:t>428</w:t>
      </w:r>
      <w:r w:rsidR="0010246A" w:rsidRPr="00701888">
        <w:rPr>
          <w:rFonts w:ascii="Calibri" w:hAnsi="Calibri" w:cs="Calibri"/>
          <w:bCs/>
          <w:sz w:val="22"/>
          <w:szCs w:val="22"/>
          <w:lang w:val="es-ES_tradnl"/>
        </w:rPr>
        <w:t>.</w:t>
      </w:r>
      <w:r w:rsidR="008A77C9" w:rsidRPr="00701888">
        <w:rPr>
          <w:rFonts w:ascii="Calibri" w:hAnsi="Calibri" w:cs="Calibri"/>
          <w:bCs/>
          <w:sz w:val="22"/>
          <w:szCs w:val="22"/>
          <w:lang w:val="es-ES_tradnl"/>
        </w:rPr>
        <w:t>424</w:t>
      </w:r>
      <w:r w:rsidR="00FD0428" w:rsidRPr="00701888">
        <w:rPr>
          <w:rFonts w:ascii="Calibri" w:hAnsi="Calibri" w:cs="Calibri"/>
          <w:bCs/>
          <w:sz w:val="22"/>
          <w:szCs w:val="22"/>
          <w:lang w:val="es-ES_tradnl"/>
        </w:rPr>
        <w:t xml:space="preserve"> coronas noruegas</w:t>
      </w:r>
      <w:r w:rsidR="008A77C9" w:rsidRPr="00701888">
        <w:rPr>
          <w:rFonts w:ascii="Calibri" w:hAnsi="Calibri" w:cs="Calibri"/>
          <w:bCs/>
          <w:sz w:val="22"/>
          <w:szCs w:val="22"/>
          <w:lang w:val="es-ES_tradnl"/>
        </w:rPr>
        <w:t xml:space="preserve">, </w:t>
      </w:r>
      <w:r w:rsidR="00FD0428" w:rsidRPr="00701888">
        <w:rPr>
          <w:rFonts w:ascii="Calibri" w:hAnsi="Calibri" w:cs="Calibri"/>
          <w:bCs/>
          <w:sz w:val="22"/>
          <w:szCs w:val="22"/>
          <w:lang w:val="es-ES_tradnl"/>
        </w:rPr>
        <w:t xml:space="preserve">hubo una pérdida realizada relativa a estas divisas. </w:t>
      </w:r>
    </w:p>
    <w:p w14:paraId="2EAA08A6" w14:textId="77777777" w:rsidR="008A77C9" w:rsidRPr="00701888" w:rsidRDefault="008A77C9" w:rsidP="008A77C9">
      <w:pPr>
        <w:pStyle w:val="ListParagraph"/>
        <w:ind w:left="1276"/>
        <w:rPr>
          <w:rFonts w:ascii="Calibri" w:hAnsi="Calibri" w:cs="Calibri"/>
          <w:bCs/>
          <w:sz w:val="22"/>
          <w:szCs w:val="22"/>
          <w:lang w:val="es-ES_tradnl"/>
        </w:rPr>
      </w:pPr>
    </w:p>
    <w:p w14:paraId="4C1A9541" w14:textId="4E58EC14" w:rsidR="00960B8F" w:rsidRPr="00701888" w:rsidRDefault="000D1C9D" w:rsidP="003C680B">
      <w:pPr>
        <w:pStyle w:val="ListParagraph"/>
        <w:numPr>
          <w:ilvl w:val="2"/>
          <w:numId w:val="2"/>
        </w:numPr>
        <w:ind w:left="1276" w:hanging="425"/>
        <w:rPr>
          <w:rFonts w:ascii="Calibri" w:hAnsi="Calibri" w:cs="Calibri"/>
          <w:bCs/>
          <w:sz w:val="22"/>
          <w:szCs w:val="22"/>
          <w:lang w:val="es-ES_tradnl"/>
        </w:rPr>
      </w:pPr>
      <w:r w:rsidRPr="00701888">
        <w:rPr>
          <w:rFonts w:ascii="Calibri" w:hAnsi="Calibri" w:cs="Calibri"/>
          <w:b/>
          <w:bCs/>
          <w:sz w:val="22"/>
          <w:szCs w:val="22"/>
          <w:lang w:val="es-ES_tradnl"/>
        </w:rPr>
        <w:t>Partida presupuestaria</w:t>
      </w:r>
      <w:r w:rsidR="008A77C9" w:rsidRPr="00701888">
        <w:rPr>
          <w:rFonts w:ascii="Calibri" w:hAnsi="Calibri" w:cs="Calibri"/>
          <w:b/>
          <w:bCs/>
          <w:sz w:val="22"/>
          <w:szCs w:val="22"/>
          <w:lang w:val="es-ES_tradnl"/>
        </w:rPr>
        <w:t xml:space="preserve"> K.ii</w:t>
      </w:r>
      <w:r w:rsidR="00700507" w:rsidRPr="00701888">
        <w:rPr>
          <w:rFonts w:ascii="Calibri" w:hAnsi="Calibri" w:cs="Calibri"/>
          <w:bCs/>
          <w:sz w:val="22"/>
          <w:szCs w:val="22"/>
          <w:lang w:val="es-ES_tradnl"/>
        </w:rPr>
        <w:t>.</w:t>
      </w:r>
      <w:r w:rsidR="008333C1" w:rsidRPr="00701888">
        <w:rPr>
          <w:rFonts w:ascii="Calibri" w:hAnsi="Calibri"/>
          <w:sz w:val="22"/>
          <w:lang w:val="es-ES_tradnl"/>
        </w:rPr>
        <w:t xml:space="preserve"> </w:t>
      </w:r>
      <w:r w:rsidR="00700507" w:rsidRPr="00701888">
        <w:rPr>
          <w:rFonts w:ascii="Calibri" w:hAnsi="Calibri"/>
          <w:sz w:val="22"/>
          <w:lang w:val="es-ES_tradnl"/>
        </w:rPr>
        <w:t>Las</w:t>
      </w:r>
      <w:r w:rsidR="00701888">
        <w:rPr>
          <w:rFonts w:ascii="Calibri" w:hAnsi="Calibri"/>
          <w:sz w:val="22"/>
          <w:lang w:val="es-ES_tradnl"/>
        </w:rPr>
        <w:t xml:space="preserve"> </w:t>
      </w:r>
      <w:r w:rsidRPr="00701888">
        <w:rPr>
          <w:rFonts w:ascii="Calibri" w:hAnsi="Calibri" w:cs="Calibri"/>
          <w:bCs/>
          <w:sz w:val="22"/>
          <w:szCs w:val="22"/>
          <w:lang w:val="es-ES_tradnl"/>
        </w:rPr>
        <w:t>provisiones</w:t>
      </w:r>
      <w:r w:rsidR="00700507" w:rsidRPr="00701888">
        <w:rPr>
          <w:rFonts w:ascii="Calibri" w:hAnsi="Calibri" w:cs="Calibri"/>
          <w:bCs/>
          <w:sz w:val="22"/>
          <w:szCs w:val="22"/>
          <w:lang w:val="es-ES_tradnl"/>
        </w:rPr>
        <w:t xml:space="preserve"> reales</w:t>
      </w:r>
      <w:r w:rsidRPr="00701888">
        <w:rPr>
          <w:rFonts w:ascii="Calibri" w:hAnsi="Calibri" w:cs="Calibri"/>
          <w:bCs/>
          <w:sz w:val="22"/>
          <w:szCs w:val="22"/>
          <w:lang w:val="es-ES_tradnl"/>
        </w:rPr>
        <w:t xml:space="preserve"> para </w:t>
      </w:r>
      <w:r w:rsidR="00DB2D36" w:rsidRPr="00701888">
        <w:rPr>
          <w:rFonts w:ascii="Calibri" w:hAnsi="Calibri" w:cs="Calibri"/>
          <w:bCs/>
          <w:sz w:val="22"/>
          <w:szCs w:val="22"/>
          <w:lang w:val="es-ES_tradnl"/>
        </w:rPr>
        <w:t xml:space="preserve">rescisiones de nombramiento </w:t>
      </w:r>
      <w:r w:rsidRPr="00701888">
        <w:rPr>
          <w:rFonts w:ascii="Calibri" w:hAnsi="Calibri" w:cs="Calibri"/>
          <w:bCs/>
          <w:sz w:val="22"/>
          <w:szCs w:val="22"/>
          <w:lang w:val="es-ES_tradnl"/>
        </w:rPr>
        <w:t>de</w:t>
      </w:r>
      <w:r w:rsidR="00DB2D36" w:rsidRPr="00701888">
        <w:rPr>
          <w:rFonts w:ascii="Calibri" w:hAnsi="Calibri" w:cs="Calibri"/>
          <w:bCs/>
          <w:sz w:val="22"/>
          <w:szCs w:val="22"/>
          <w:lang w:val="es-ES_tradnl"/>
        </w:rPr>
        <w:t>l</w:t>
      </w:r>
      <w:r w:rsidRPr="00701888">
        <w:rPr>
          <w:rFonts w:ascii="Calibri" w:hAnsi="Calibri" w:cs="Calibri"/>
          <w:bCs/>
          <w:sz w:val="22"/>
          <w:szCs w:val="22"/>
          <w:lang w:val="es-ES_tradnl"/>
        </w:rPr>
        <w:t xml:space="preserve"> personal, vacaciones de</w:t>
      </w:r>
      <w:r w:rsidR="00DB2D36" w:rsidRPr="00701888">
        <w:rPr>
          <w:rFonts w:ascii="Calibri" w:hAnsi="Calibri" w:cs="Calibri"/>
          <w:bCs/>
          <w:sz w:val="22"/>
          <w:szCs w:val="22"/>
          <w:lang w:val="es-ES_tradnl"/>
        </w:rPr>
        <w:t>l</w:t>
      </w:r>
      <w:r w:rsidRPr="00701888">
        <w:rPr>
          <w:rFonts w:ascii="Calibri" w:hAnsi="Calibri" w:cs="Calibri"/>
          <w:bCs/>
          <w:sz w:val="22"/>
          <w:szCs w:val="22"/>
          <w:lang w:val="es-ES_tradnl"/>
        </w:rPr>
        <w:t xml:space="preserve"> personal y repatriación de</w:t>
      </w:r>
      <w:r w:rsidR="00DB2D36" w:rsidRPr="00701888">
        <w:rPr>
          <w:rFonts w:ascii="Calibri" w:hAnsi="Calibri" w:cs="Calibri"/>
          <w:bCs/>
          <w:sz w:val="22"/>
          <w:szCs w:val="22"/>
          <w:lang w:val="es-ES_tradnl"/>
        </w:rPr>
        <w:t>l</w:t>
      </w:r>
      <w:r w:rsidRPr="00701888">
        <w:rPr>
          <w:rFonts w:ascii="Calibri" w:hAnsi="Calibri" w:cs="Calibri"/>
          <w:bCs/>
          <w:sz w:val="22"/>
          <w:szCs w:val="22"/>
          <w:lang w:val="es-ES_tradnl"/>
        </w:rPr>
        <w:t xml:space="preserve"> personal </w:t>
      </w:r>
      <w:r w:rsidR="0064199B" w:rsidRPr="00701888">
        <w:rPr>
          <w:rFonts w:ascii="Calibri" w:hAnsi="Calibri" w:cs="Calibri"/>
          <w:bCs/>
          <w:sz w:val="22"/>
          <w:szCs w:val="22"/>
          <w:lang w:val="es-ES_tradnl"/>
        </w:rPr>
        <w:t xml:space="preserve">superaron el </w:t>
      </w:r>
      <w:r w:rsidR="00DB2D36" w:rsidRPr="00701888">
        <w:rPr>
          <w:rFonts w:ascii="Calibri" w:hAnsi="Calibri" w:cs="Calibri"/>
          <w:bCs/>
          <w:sz w:val="22"/>
          <w:szCs w:val="22"/>
          <w:lang w:val="es-ES_tradnl"/>
        </w:rPr>
        <w:t xml:space="preserve">importe presupuestado de 50.000 francos suizos </w:t>
      </w:r>
      <w:r w:rsidR="0064199B" w:rsidRPr="00701888">
        <w:rPr>
          <w:rFonts w:ascii="Calibri" w:hAnsi="Calibri" w:cs="Calibri"/>
          <w:bCs/>
          <w:sz w:val="22"/>
          <w:szCs w:val="22"/>
          <w:lang w:val="es-ES_tradnl"/>
        </w:rPr>
        <w:t>en 95.000 francos suizos.</w:t>
      </w:r>
      <w:r w:rsidR="002B5322" w:rsidRPr="00701888">
        <w:rPr>
          <w:rFonts w:ascii="Calibri" w:hAnsi="Calibri" w:cs="Calibri"/>
          <w:bCs/>
          <w:sz w:val="22"/>
          <w:szCs w:val="22"/>
          <w:lang w:val="es-ES_tradnl"/>
        </w:rPr>
        <w:t xml:space="preserve"> </w:t>
      </w:r>
      <w:r w:rsidR="00700507" w:rsidRPr="00701888">
        <w:rPr>
          <w:rFonts w:ascii="Calibri" w:hAnsi="Calibri" w:cs="Calibri"/>
          <w:bCs/>
          <w:sz w:val="22"/>
          <w:szCs w:val="22"/>
          <w:lang w:val="es-ES_tradnl"/>
        </w:rPr>
        <w:t>(</w:t>
      </w:r>
      <w:r w:rsidRPr="00701888">
        <w:rPr>
          <w:rFonts w:ascii="Calibri" w:hAnsi="Calibri" w:cs="Calibri"/>
          <w:bCs/>
          <w:sz w:val="22"/>
          <w:szCs w:val="22"/>
          <w:lang w:val="es-ES_tradnl"/>
        </w:rPr>
        <w:t>Un incremento de la</w:t>
      </w:r>
      <w:r w:rsidR="00DA52CB">
        <w:rPr>
          <w:rFonts w:ascii="Calibri" w:hAnsi="Calibri" w:cs="Calibri"/>
          <w:bCs/>
          <w:sz w:val="22"/>
          <w:szCs w:val="22"/>
          <w:lang w:val="es-ES_tradnl"/>
        </w:rPr>
        <w:t>s</w:t>
      </w:r>
      <w:r w:rsidRPr="00701888">
        <w:rPr>
          <w:rFonts w:ascii="Calibri" w:hAnsi="Calibri" w:cs="Calibri"/>
          <w:bCs/>
          <w:sz w:val="22"/>
          <w:szCs w:val="22"/>
          <w:lang w:val="es-ES_tradnl"/>
        </w:rPr>
        <w:t xml:space="preserve"> provisi</w:t>
      </w:r>
      <w:r w:rsidR="00DA52CB">
        <w:rPr>
          <w:rFonts w:ascii="Calibri" w:hAnsi="Calibri" w:cs="Calibri"/>
          <w:bCs/>
          <w:sz w:val="22"/>
          <w:szCs w:val="22"/>
          <w:lang w:val="es-ES_tradnl"/>
        </w:rPr>
        <w:t>ones</w:t>
      </w:r>
      <w:r w:rsidRPr="00701888">
        <w:rPr>
          <w:rFonts w:ascii="Calibri" w:hAnsi="Calibri" w:cs="Calibri"/>
          <w:bCs/>
          <w:sz w:val="22"/>
          <w:szCs w:val="22"/>
          <w:lang w:val="es-ES_tradnl"/>
        </w:rPr>
        <w:t xml:space="preserve"> tiene el mismo impacto que</w:t>
      </w:r>
      <w:r w:rsidR="0064199B" w:rsidRPr="00701888">
        <w:rPr>
          <w:rFonts w:ascii="Calibri" w:hAnsi="Calibri" w:cs="Calibri"/>
          <w:bCs/>
          <w:sz w:val="22"/>
          <w:szCs w:val="22"/>
          <w:lang w:val="es-ES_tradnl"/>
        </w:rPr>
        <w:t xml:space="preserve"> </w:t>
      </w:r>
      <w:r w:rsidRPr="00701888">
        <w:rPr>
          <w:rFonts w:ascii="Calibri" w:hAnsi="Calibri" w:cs="Calibri"/>
          <w:bCs/>
          <w:sz w:val="22"/>
          <w:szCs w:val="22"/>
          <w:lang w:val="es-ES_tradnl"/>
        </w:rPr>
        <w:t>"gastos" en</w:t>
      </w:r>
      <w:r w:rsidR="002B5322" w:rsidRPr="00701888">
        <w:rPr>
          <w:rFonts w:ascii="Calibri" w:hAnsi="Calibri" w:cs="Calibri"/>
          <w:bCs/>
          <w:sz w:val="22"/>
          <w:szCs w:val="22"/>
          <w:lang w:val="es-ES_tradnl"/>
        </w:rPr>
        <w:t xml:space="preserve"> </w:t>
      </w:r>
      <w:r w:rsidR="00583C90" w:rsidRPr="00701888">
        <w:rPr>
          <w:rFonts w:ascii="Calibri" w:hAnsi="Calibri" w:cs="Calibri"/>
          <w:bCs/>
          <w:sz w:val="22"/>
          <w:szCs w:val="22"/>
          <w:lang w:val="es-ES_tradnl"/>
        </w:rPr>
        <w:t>la cuenta de resultados y un efecto negativo sobre el presupuesto.</w:t>
      </w:r>
      <w:r w:rsidR="00700507" w:rsidRPr="00701888">
        <w:rPr>
          <w:rFonts w:ascii="Calibri" w:hAnsi="Calibri" w:cs="Calibri"/>
          <w:bCs/>
          <w:sz w:val="22"/>
          <w:szCs w:val="22"/>
          <w:lang w:val="es-ES_tradnl"/>
        </w:rPr>
        <w:t>)</w:t>
      </w:r>
    </w:p>
    <w:p w14:paraId="32DCCD5C" w14:textId="77777777" w:rsidR="00F31A24" w:rsidRPr="00701888" w:rsidRDefault="00F31A24" w:rsidP="00F31A24">
      <w:pPr>
        <w:pStyle w:val="ListParagraph"/>
        <w:rPr>
          <w:rFonts w:ascii="Calibri" w:hAnsi="Calibri" w:cs="Calibri"/>
          <w:bCs/>
          <w:sz w:val="22"/>
          <w:szCs w:val="22"/>
          <w:lang w:val="es-ES_tradnl"/>
        </w:rPr>
      </w:pPr>
    </w:p>
    <w:p w14:paraId="5BBF07BB" w14:textId="7FCE522D" w:rsidR="00F31A24" w:rsidRPr="00701888" w:rsidRDefault="00583C90" w:rsidP="003C680B">
      <w:pPr>
        <w:pStyle w:val="ListParagraph"/>
        <w:numPr>
          <w:ilvl w:val="2"/>
          <w:numId w:val="2"/>
        </w:numPr>
        <w:ind w:left="1276" w:hanging="425"/>
        <w:rPr>
          <w:rFonts w:ascii="Calibri" w:hAnsi="Calibri" w:cs="Calibri"/>
          <w:bCs/>
          <w:sz w:val="22"/>
          <w:szCs w:val="22"/>
          <w:lang w:val="es-ES_tradnl"/>
        </w:rPr>
      </w:pPr>
      <w:r w:rsidRPr="00701888">
        <w:rPr>
          <w:rFonts w:ascii="Calibri" w:hAnsi="Calibri" w:cs="Calibri"/>
          <w:b/>
          <w:bCs/>
          <w:sz w:val="22"/>
          <w:szCs w:val="22"/>
          <w:lang w:val="es-ES_tradnl"/>
        </w:rPr>
        <w:t>Partida presupuestaria</w:t>
      </w:r>
      <w:r w:rsidR="00F31A24" w:rsidRPr="00701888">
        <w:rPr>
          <w:rFonts w:ascii="Calibri" w:hAnsi="Calibri" w:cs="Calibri"/>
          <w:b/>
          <w:bCs/>
          <w:sz w:val="22"/>
          <w:szCs w:val="22"/>
          <w:lang w:val="es-ES_tradnl"/>
        </w:rPr>
        <w:t xml:space="preserve"> K.ii</w:t>
      </w:r>
      <w:r w:rsidR="00700507" w:rsidRPr="00701888">
        <w:rPr>
          <w:rFonts w:ascii="Calibri" w:hAnsi="Calibri" w:cs="Calibri"/>
          <w:bCs/>
          <w:sz w:val="22"/>
          <w:szCs w:val="22"/>
          <w:lang w:val="es-ES_tradnl"/>
        </w:rPr>
        <w:t>.</w:t>
      </w:r>
      <w:r w:rsidR="00F31A24" w:rsidRPr="00701888">
        <w:rPr>
          <w:rFonts w:ascii="Calibri" w:hAnsi="Calibri"/>
          <w:sz w:val="22"/>
          <w:lang w:val="es-ES_tradnl"/>
        </w:rPr>
        <w:t xml:space="preserve"> </w:t>
      </w:r>
      <w:r w:rsidRPr="00701888">
        <w:rPr>
          <w:rFonts w:ascii="Calibri" w:hAnsi="Calibri"/>
          <w:sz w:val="22"/>
          <w:lang w:val="es-ES_tradnl"/>
        </w:rPr>
        <w:t xml:space="preserve">La suma de las dos provisiones </w:t>
      </w:r>
      <w:r w:rsidR="0064199B" w:rsidRPr="00701888">
        <w:rPr>
          <w:rFonts w:ascii="Calibri" w:hAnsi="Calibri"/>
          <w:sz w:val="22"/>
          <w:lang w:val="es-ES_tradnl"/>
        </w:rPr>
        <w:t xml:space="preserve">antes </w:t>
      </w:r>
      <w:r w:rsidRPr="00701888">
        <w:rPr>
          <w:rFonts w:ascii="Calibri" w:hAnsi="Calibri"/>
          <w:sz w:val="22"/>
          <w:lang w:val="es-ES_tradnl"/>
        </w:rPr>
        <w:t xml:space="preserve">citadas </w:t>
      </w:r>
      <w:r w:rsidR="00700507" w:rsidRPr="00701888">
        <w:rPr>
          <w:rFonts w:ascii="Calibri" w:hAnsi="Calibri"/>
          <w:sz w:val="22"/>
          <w:lang w:val="es-ES_tradnl"/>
        </w:rPr>
        <w:t xml:space="preserve">(261.000 francos suizos y 95.000 francos suizos) </w:t>
      </w:r>
      <w:r w:rsidRPr="00701888">
        <w:rPr>
          <w:rFonts w:ascii="Calibri" w:hAnsi="Calibri"/>
          <w:sz w:val="22"/>
          <w:lang w:val="es-ES_tradnl"/>
        </w:rPr>
        <w:t xml:space="preserve">arrojó un déficit total de 356.000 francos suizos </w:t>
      </w:r>
      <w:r w:rsidR="0065077A">
        <w:rPr>
          <w:rFonts w:ascii="Calibri" w:hAnsi="Calibri"/>
          <w:sz w:val="22"/>
          <w:lang w:val="es-ES_tradnl"/>
        </w:rPr>
        <w:t xml:space="preserve">en </w:t>
      </w:r>
      <w:r w:rsidRPr="00701888">
        <w:rPr>
          <w:rFonts w:ascii="Calibri" w:hAnsi="Calibri"/>
          <w:sz w:val="22"/>
          <w:lang w:val="es-ES_tradnl"/>
        </w:rPr>
        <w:t xml:space="preserve">esta partida presupuestaria. </w:t>
      </w:r>
    </w:p>
    <w:p w14:paraId="4A986B72" w14:textId="77777777" w:rsidR="007B5882" w:rsidRPr="00701888" w:rsidRDefault="007B5882" w:rsidP="007B5882">
      <w:pPr>
        <w:pStyle w:val="ListParagraph"/>
        <w:ind w:left="1276"/>
        <w:rPr>
          <w:rFonts w:ascii="Calibri" w:hAnsi="Calibri" w:cs="Calibri"/>
          <w:bCs/>
          <w:sz w:val="22"/>
          <w:szCs w:val="22"/>
          <w:lang w:val="es-ES_tradnl"/>
        </w:rPr>
      </w:pPr>
    </w:p>
    <w:p w14:paraId="545EDE70" w14:textId="3B6407F4" w:rsidR="00A23967" w:rsidRPr="00701888" w:rsidRDefault="00583C90" w:rsidP="008333C1">
      <w:pPr>
        <w:pStyle w:val="ListParagraph"/>
        <w:numPr>
          <w:ilvl w:val="2"/>
          <w:numId w:val="2"/>
        </w:numPr>
        <w:ind w:left="1276" w:hanging="425"/>
        <w:rPr>
          <w:rFonts w:ascii="Calibri" w:hAnsi="Calibri" w:cs="Calibri"/>
          <w:bCs/>
          <w:sz w:val="22"/>
          <w:szCs w:val="22"/>
          <w:lang w:val="es-ES_tradnl"/>
        </w:rPr>
      </w:pPr>
      <w:r w:rsidRPr="00701888">
        <w:rPr>
          <w:rFonts w:ascii="Calibri" w:hAnsi="Calibri" w:cs="Calibri"/>
          <w:b/>
          <w:bCs/>
          <w:sz w:val="22"/>
          <w:szCs w:val="22"/>
          <w:lang w:val="es-ES_tradnl"/>
        </w:rPr>
        <w:t xml:space="preserve">Partida presupuestaria </w:t>
      </w:r>
      <w:r w:rsidR="00F31A24" w:rsidRPr="00701888">
        <w:rPr>
          <w:rFonts w:ascii="Calibri" w:hAnsi="Calibri" w:cs="Calibri"/>
          <w:b/>
          <w:bCs/>
          <w:sz w:val="22"/>
          <w:szCs w:val="22"/>
          <w:lang w:val="es-ES_tradnl"/>
        </w:rPr>
        <w:t>K.iv</w:t>
      </w:r>
      <w:r w:rsidR="00700507" w:rsidRPr="00701888">
        <w:rPr>
          <w:rFonts w:ascii="Calibri" w:hAnsi="Calibri" w:cs="Calibri"/>
          <w:b/>
          <w:bCs/>
          <w:sz w:val="22"/>
          <w:szCs w:val="22"/>
          <w:lang w:val="es-ES_tradnl"/>
        </w:rPr>
        <w:t>.</w:t>
      </w:r>
      <w:r w:rsidR="008333C1" w:rsidRPr="00701888">
        <w:rPr>
          <w:lang w:val="es-ES_tradnl"/>
        </w:rPr>
        <w:t xml:space="preserve"> </w:t>
      </w:r>
      <w:r w:rsidR="00700507" w:rsidRPr="00701888">
        <w:rPr>
          <w:rFonts w:ascii="Calibri" w:hAnsi="Calibri"/>
          <w:sz w:val="22"/>
          <w:lang w:val="es-ES_tradnl"/>
        </w:rPr>
        <w:t>L</w:t>
      </w:r>
      <w:r w:rsidRPr="00701888">
        <w:rPr>
          <w:rFonts w:ascii="Calibri" w:hAnsi="Calibri"/>
          <w:sz w:val="22"/>
          <w:lang w:val="es-ES_tradnl"/>
        </w:rPr>
        <w:t xml:space="preserve">a provisión para </w:t>
      </w:r>
      <w:r w:rsidR="00150E3A" w:rsidRPr="00701888">
        <w:rPr>
          <w:rFonts w:ascii="Calibri" w:hAnsi="Calibri"/>
          <w:sz w:val="22"/>
          <w:lang w:val="es-ES_tradnl"/>
        </w:rPr>
        <w:t>morosidad</w:t>
      </w:r>
      <w:r w:rsidR="00960B8F" w:rsidRPr="00701888">
        <w:rPr>
          <w:rFonts w:ascii="Calibri" w:hAnsi="Calibri" w:cs="Calibri"/>
          <w:bCs/>
          <w:sz w:val="22"/>
          <w:szCs w:val="22"/>
          <w:lang w:val="es-ES_tradnl"/>
        </w:rPr>
        <w:t xml:space="preserve"> (</w:t>
      </w:r>
      <w:r w:rsidR="00150E3A" w:rsidRPr="00701888">
        <w:rPr>
          <w:rFonts w:ascii="Calibri" w:hAnsi="Calibri" w:cs="Calibri"/>
          <w:bCs/>
          <w:sz w:val="22"/>
          <w:szCs w:val="22"/>
          <w:lang w:val="es-ES_tradnl"/>
        </w:rPr>
        <w:t>contribuciones pendientes de pago</w:t>
      </w:r>
      <w:r w:rsidR="00960B8F" w:rsidRPr="00701888">
        <w:rPr>
          <w:rFonts w:ascii="Calibri" w:hAnsi="Calibri" w:cs="Calibri"/>
          <w:bCs/>
          <w:sz w:val="22"/>
          <w:szCs w:val="22"/>
          <w:lang w:val="es-ES_tradnl"/>
        </w:rPr>
        <w:t xml:space="preserve">) </w:t>
      </w:r>
      <w:r w:rsidR="00700507" w:rsidRPr="00701888">
        <w:rPr>
          <w:rFonts w:ascii="Calibri" w:hAnsi="Calibri" w:cs="Calibri"/>
          <w:bCs/>
          <w:sz w:val="22"/>
          <w:szCs w:val="22"/>
          <w:lang w:val="es-ES_tradnl"/>
        </w:rPr>
        <w:t>se calculó en 691.000 francos suizos, lo que representa un aumento de</w:t>
      </w:r>
      <w:r w:rsidR="00150E3A" w:rsidRPr="00701888">
        <w:rPr>
          <w:rFonts w:ascii="Calibri" w:hAnsi="Calibri" w:cs="Calibri"/>
          <w:bCs/>
          <w:sz w:val="22"/>
          <w:szCs w:val="22"/>
          <w:lang w:val="es-ES_tradnl"/>
        </w:rPr>
        <w:t xml:space="preserve"> </w:t>
      </w:r>
      <w:r w:rsidR="00700507" w:rsidRPr="00701888">
        <w:rPr>
          <w:rFonts w:ascii="Calibri" w:hAnsi="Calibri" w:cs="Calibri"/>
          <w:bCs/>
          <w:sz w:val="22"/>
          <w:szCs w:val="22"/>
          <w:lang w:val="es-ES_tradnl"/>
        </w:rPr>
        <w:t>208</w:t>
      </w:r>
      <w:r w:rsidR="00150E3A" w:rsidRPr="00701888">
        <w:rPr>
          <w:rFonts w:ascii="Calibri" w:hAnsi="Calibri" w:cs="Calibri"/>
          <w:bCs/>
          <w:sz w:val="22"/>
          <w:szCs w:val="22"/>
          <w:lang w:val="es-ES_tradnl"/>
        </w:rPr>
        <w:t>.000 francos suizos</w:t>
      </w:r>
      <w:r w:rsidR="00700507" w:rsidRPr="00701888">
        <w:rPr>
          <w:rFonts w:ascii="Calibri" w:hAnsi="Calibri" w:cs="Calibri"/>
          <w:bCs/>
          <w:sz w:val="22"/>
          <w:szCs w:val="22"/>
          <w:lang w:val="es-ES_tradnl"/>
        </w:rPr>
        <w:t xml:space="preserve"> respecto de la provisión para morosidad</w:t>
      </w:r>
      <w:r w:rsidR="00150B1A" w:rsidRPr="00701888">
        <w:rPr>
          <w:rFonts w:ascii="Calibri" w:hAnsi="Calibri" w:cs="Calibri"/>
          <w:bCs/>
          <w:sz w:val="22"/>
          <w:szCs w:val="22"/>
          <w:lang w:val="es-ES_tradnl"/>
        </w:rPr>
        <w:t xml:space="preserve"> de 483.000 francos suizos</w:t>
      </w:r>
      <w:r w:rsidR="00664464" w:rsidRPr="00664464">
        <w:rPr>
          <w:rFonts w:ascii="Calibri" w:hAnsi="Calibri" w:cs="Calibri"/>
          <w:bCs/>
          <w:sz w:val="22"/>
          <w:szCs w:val="22"/>
          <w:lang w:val="es-ES_tradnl"/>
        </w:rPr>
        <w:t xml:space="preserve"> </w:t>
      </w:r>
      <w:r w:rsidR="00664464" w:rsidRPr="00701888">
        <w:rPr>
          <w:rFonts w:ascii="Calibri" w:hAnsi="Calibri" w:cs="Calibri"/>
          <w:bCs/>
          <w:sz w:val="22"/>
          <w:szCs w:val="22"/>
          <w:lang w:val="es-ES_tradnl"/>
        </w:rPr>
        <w:t>en 2015</w:t>
      </w:r>
      <w:r w:rsidR="00150B1A" w:rsidRPr="00701888">
        <w:rPr>
          <w:rFonts w:ascii="Calibri" w:hAnsi="Calibri" w:cs="Calibri"/>
          <w:bCs/>
          <w:sz w:val="22"/>
          <w:szCs w:val="22"/>
          <w:lang w:val="es-ES_tradnl"/>
        </w:rPr>
        <w:t>.</w:t>
      </w:r>
      <w:r w:rsidR="00150E3A" w:rsidRPr="00701888">
        <w:rPr>
          <w:rFonts w:ascii="Calibri" w:hAnsi="Calibri" w:cs="Calibri"/>
          <w:bCs/>
          <w:sz w:val="22"/>
          <w:szCs w:val="22"/>
          <w:lang w:val="es-ES_tradnl"/>
        </w:rPr>
        <w:t xml:space="preserve"> </w:t>
      </w:r>
      <w:r w:rsidR="0064199B" w:rsidRPr="00701888">
        <w:rPr>
          <w:rFonts w:ascii="Calibri" w:hAnsi="Calibri" w:cs="Calibri"/>
          <w:bCs/>
          <w:sz w:val="22"/>
          <w:szCs w:val="22"/>
          <w:lang w:val="es-ES_tradnl"/>
        </w:rPr>
        <w:t xml:space="preserve">Teniendo en cuenta que no </w:t>
      </w:r>
      <w:r w:rsidR="00150B1A" w:rsidRPr="00701888">
        <w:rPr>
          <w:rFonts w:ascii="Calibri" w:hAnsi="Calibri" w:cs="Calibri"/>
          <w:bCs/>
          <w:sz w:val="22"/>
          <w:szCs w:val="22"/>
          <w:lang w:val="es-ES_tradnl"/>
        </w:rPr>
        <w:t>estaba previsto</w:t>
      </w:r>
      <w:r w:rsidR="0064199B" w:rsidRPr="00701888">
        <w:rPr>
          <w:rFonts w:ascii="Calibri" w:hAnsi="Calibri" w:cs="Calibri"/>
          <w:bCs/>
          <w:sz w:val="22"/>
          <w:szCs w:val="22"/>
          <w:lang w:val="es-ES_tradnl"/>
        </w:rPr>
        <w:t xml:space="preserve"> que las contribuciones impagadas fueran a aumentar durante el ejercicio, n</w:t>
      </w:r>
      <w:r w:rsidR="009D0CC4" w:rsidRPr="00701888">
        <w:rPr>
          <w:rFonts w:ascii="Calibri" w:hAnsi="Calibri" w:cs="Calibri"/>
          <w:bCs/>
          <w:sz w:val="22"/>
          <w:szCs w:val="22"/>
          <w:lang w:val="es-ES_tradnl"/>
        </w:rPr>
        <w:t>o había p</w:t>
      </w:r>
      <w:r w:rsidR="00E736BD" w:rsidRPr="00701888">
        <w:rPr>
          <w:rFonts w:ascii="Calibri" w:hAnsi="Calibri" w:cs="Calibri"/>
          <w:bCs/>
          <w:sz w:val="22"/>
          <w:szCs w:val="22"/>
          <w:lang w:val="es-ES_tradnl"/>
        </w:rPr>
        <w:t>resupuesto para esta provisión</w:t>
      </w:r>
      <w:r w:rsidR="009D0CC4" w:rsidRPr="00701888">
        <w:rPr>
          <w:rFonts w:ascii="Calibri" w:hAnsi="Calibri" w:cs="Calibri"/>
          <w:bCs/>
          <w:sz w:val="22"/>
          <w:szCs w:val="22"/>
          <w:lang w:val="es-ES_tradnl"/>
        </w:rPr>
        <w:t xml:space="preserve">. La Secretaría está tomando esta cuestión muy en serio </w:t>
      </w:r>
      <w:r w:rsidR="00150B1A" w:rsidRPr="00701888">
        <w:rPr>
          <w:rFonts w:ascii="Calibri" w:hAnsi="Calibri" w:cs="Calibri"/>
          <w:bCs/>
          <w:sz w:val="22"/>
          <w:szCs w:val="22"/>
          <w:lang w:val="es-ES_tradnl"/>
        </w:rPr>
        <w:t xml:space="preserve">y trabajará con las Partes </w:t>
      </w:r>
      <w:r w:rsidR="005F783E">
        <w:rPr>
          <w:rFonts w:ascii="Calibri" w:hAnsi="Calibri" w:cs="Calibri"/>
          <w:bCs/>
          <w:sz w:val="22"/>
          <w:szCs w:val="22"/>
          <w:lang w:val="es-ES_tradnl"/>
        </w:rPr>
        <w:t xml:space="preserve">para </w:t>
      </w:r>
      <w:r w:rsidR="00150B1A" w:rsidRPr="00701888">
        <w:rPr>
          <w:rFonts w:ascii="Calibri" w:hAnsi="Calibri" w:cs="Calibri"/>
          <w:bCs/>
          <w:sz w:val="22"/>
          <w:szCs w:val="22"/>
          <w:lang w:val="es-ES_tradnl"/>
        </w:rPr>
        <w:t xml:space="preserve">resolver </w:t>
      </w:r>
      <w:r w:rsidR="009D0CC4" w:rsidRPr="00701888">
        <w:rPr>
          <w:rFonts w:ascii="Calibri" w:hAnsi="Calibri" w:cs="Calibri"/>
          <w:bCs/>
          <w:sz w:val="22"/>
          <w:szCs w:val="22"/>
          <w:lang w:val="es-ES_tradnl"/>
        </w:rPr>
        <w:t xml:space="preserve">la situación </w:t>
      </w:r>
      <w:r w:rsidR="00150B1A" w:rsidRPr="00701888">
        <w:rPr>
          <w:rFonts w:ascii="Calibri" w:hAnsi="Calibri" w:cs="Calibri"/>
          <w:bCs/>
          <w:sz w:val="22"/>
          <w:szCs w:val="22"/>
          <w:lang w:val="es-ES_tradnl"/>
        </w:rPr>
        <w:t xml:space="preserve">a lo largo del próximo año y </w:t>
      </w:r>
      <w:r w:rsidR="009D0CC4" w:rsidRPr="00701888">
        <w:rPr>
          <w:rFonts w:ascii="Calibri" w:hAnsi="Calibri" w:cs="Calibri"/>
          <w:bCs/>
          <w:sz w:val="22"/>
          <w:szCs w:val="22"/>
          <w:lang w:val="es-ES_tradnl"/>
        </w:rPr>
        <w:t>antes de la 53ª reunión del Comité Permanente</w:t>
      </w:r>
      <w:r w:rsidR="00150B1A" w:rsidRPr="00701888">
        <w:rPr>
          <w:rFonts w:ascii="Calibri" w:hAnsi="Calibri" w:cs="Calibri"/>
          <w:bCs/>
          <w:sz w:val="22"/>
          <w:szCs w:val="22"/>
          <w:lang w:val="es-ES_tradnl"/>
        </w:rPr>
        <w:t>.</w:t>
      </w:r>
      <w:r w:rsidR="009D0CC4" w:rsidRPr="00701888">
        <w:rPr>
          <w:rFonts w:ascii="Calibri" w:hAnsi="Calibri" w:cs="Calibri"/>
          <w:bCs/>
          <w:sz w:val="22"/>
          <w:szCs w:val="22"/>
          <w:lang w:val="es-ES_tradnl"/>
        </w:rPr>
        <w:t xml:space="preserve"> </w:t>
      </w:r>
      <w:r w:rsidR="00150B1A" w:rsidRPr="00701888">
        <w:rPr>
          <w:rFonts w:ascii="Calibri" w:hAnsi="Calibri" w:cs="Calibri"/>
          <w:bCs/>
          <w:sz w:val="22"/>
          <w:szCs w:val="22"/>
          <w:lang w:val="es-ES_tradnl"/>
        </w:rPr>
        <w:t>P</w:t>
      </w:r>
      <w:r w:rsidR="009D0CC4" w:rsidRPr="00701888">
        <w:rPr>
          <w:rFonts w:ascii="Calibri" w:hAnsi="Calibri" w:cs="Calibri"/>
          <w:bCs/>
          <w:sz w:val="22"/>
          <w:szCs w:val="22"/>
          <w:lang w:val="es-ES_tradnl"/>
        </w:rPr>
        <w:t>ara más información</w:t>
      </w:r>
      <w:r w:rsidR="00150B1A" w:rsidRPr="00701888">
        <w:rPr>
          <w:rFonts w:ascii="Calibri" w:hAnsi="Calibri" w:cs="Calibri"/>
          <w:bCs/>
          <w:sz w:val="22"/>
          <w:szCs w:val="22"/>
          <w:lang w:val="es-ES_tradnl"/>
        </w:rPr>
        <w:t xml:space="preserve"> al respecto</w:t>
      </w:r>
      <w:r w:rsidR="009D0CC4" w:rsidRPr="00701888">
        <w:rPr>
          <w:rFonts w:ascii="Calibri" w:hAnsi="Calibri" w:cs="Calibri"/>
          <w:bCs/>
          <w:sz w:val="22"/>
          <w:szCs w:val="22"/>
          <w:lang w:val="es-ES_tradnl"/>
        </w:rPr>
        <w:t xml:space="preserve">, véase el documento </w:t>
      </w:r>
      <w:r w:rsidR="007B5882" w:rsidRPr="00701888">
        <w:rPr>
          <w:rFonts w:ascii="Calibri" w:hAnsi="Calibri" w:cs="Calibri"/>
          <w:bCs/>
          <w:sz w:val="22"/>
          <w:szCs w:val="22"/>
          <w:lang w:val="es-ES_tradnl"/>
        </w:rPr>
        <w:t xml:space="preserve">SC52-19 </w:t>
      </w:r>
      <w:r w:rsidR="00C815E8" w:rsidRPr="00701888">
        <w:rPr>
          <w:rFonts w:ascii="Calibri" w:hAnsi="Calibri" w:cs="Calibri"/>
          <w:bCs/>
          <w:i/>
          <w:sz w:val="22"/>
          <w:szCs w:val="22"/>
          <w:lang w:val="es-ES_tradnl"/>
        </w:rPr>
        <w:t>Partes C</w:t>
      </w:r>
      <w:r w:rsidR="008333C1" w:rsidRPr="00701888">
        <w:rPr>
          <w:rFonts w:ascii="Calibri" w:hAnsi="Calibri" w:cs="Calibri"/>
          <w:bCs/>
          <w:i/>
          <w:sz w:val="22"/>
          <w:szCs w:val="22"/>
          <w:lang w:val="es-ES_tradnl"/>
        </w:rPr>
        <w:t>ontra</w:t>
      </w:r>
      <w:r w:rsidR="00C815E8" w:rsidRPr="00701888">
        <w:rPr>
          <w:rFonts w:ascii="Calibri" w:hAnsi="Calibri" w:cs="Calibri"/>
          <w:bCs/>
          <w:i/>
          <w:sz w:val="22"/>
          <w:szCs w:val="22"/>
          <w:lang w:val="es-ES_tradnl"/>
        </w:rPr>
        <w:t>tantes con contribuciones pendientes de pago</w:t>
      </w:r>
      <w:r w:rsidR="007B5882" w:rsidRPr="00701888">
        <w:rPr>
          <w:rFonts w:ascii="Calibri" w:hAnsi="Calibri" w:cs="Calibri"/>
          <w:bCs/>
          <w:sz w:val="22"/>
          <w:szCs w:val="22"/>
          <w:lang w:val="es-ES_tradnl"/>
        </w:rPr>
        <w:t xml:space="preserve">. </w:t>
      </w:r>
    </w:p>
    <w:p w14:paraId="5688495A" w14:textId="77777777" w:rsidR="007B5882" w:rsidRPr="00701888" w:rsidRDefault="007B5882" w:rsidP="007B5882">
      <w:pPr>
        <w:pStyle w:val="ListParagraph"/>
        <w:ind w:left="1276"/>
        <w:rPr>
          <w:rFonts w:ascii="Calibri" w:hAnsi="Calibri" w:cs="Calibri"/>
          <w:bCs/>
          <w:sz w:val="22"/>
          <w:szCs w:val="22"/>
          <w:lang w:val="es-ES_tradnl"/>
        </w:rPr>
      </w:pPr>
    </w:p>
    <w:p w14:paraId="4572D34B" w14:textId="3F56C74E" w:rsidR="002464F2" w:rsidRPr="00701888" w:rsidRDefault="00F41B37" w:rsidP="00150B1A">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lastRenderedPageBreak/>
        <w:t xml:space="preserve">Debido al </w:t>
      </w:r>
      <w:r w:rsidR="00150B1A" w:rsidRPr="00701888">
        <w:rPr>
          <w:rFonts w:ascii="Calibri" w:hAnsi="Calibri" w:cs="Calibri"/>
          <w:bCs/>
          <w:sz w:val="22"/>
          <w:szCs w:val="22"/>
          <w:lang w:val="es-ES_tradnl"/>
        </w:rPr>
        <w:t xml:space="preserve">déficit global de 337.000 francos suizos, </w:t>
      </w:r>
      <w:r w:rsidR="00490532" w:rsidRPr="00701888">
        <w:rPr>
          <w:rFonts w:ascii="Calibri" w:hAnsi="Calibri" w:cs="Calibri"/>
          <w:bCs/>
          <w:sz w:val="22"/>
          <w:szCs w:val="22"/>
          <w:lang w:val="es-ES_tradnl"/>
        </w:rPr>
        <w:t xml:space="preserve">al cierre de 2015, </w:t>
      </w:r>
      <w:r w:rsidR="00150B1A" w:rsidRPr="00701888">
        <w:rPr>
          <w:rFonts w:ascii="Calibri" w:hAnsi="Calibri" w:cs="Calibri"/>
          <w:bCs/>
          <w:sz w:val="22"/>
          <w:szCs w:val="22"/>
          <w:lang w:val="es-ES_tradnl"/>
        </w:rPr>
        <w:t xml:space="preserve">el fondo de </w:t>
      </w:r>
      <w:r w:rsidR="00C815E8" w:rsidRPr="00701888">
        <w:rPr>
          <w:rFonts w:ascii="Calibri" w:hAnsi="Calibri" w:cs="Calibri"/>
          <w:bCs/>
          <w:sz w:val="22"/>
          <w:szCs w:val="22"/>
          <w:lang w:val="es-ES_tradnl"/>
        </w:rPr>
        <w:t xml:space="preserve">reserva se </w:t>
      </w:r>
      <w:r w:rsidR="00490532" w:rsidRPr="00701888">
        <w:rPr>
          <w:rFonts w:ascii="Calibri" w:hAnsi="Calibri" w:cs="Calibri"/>
          <w:bCs/>
          <w:sz w:val="22"/>
          <w:szCs w:val="22"/>
          <w:lang w:val="es-ES_tradnl"/>
        </w:rPr>
        <w:t>redujo a 372.000 francos suizos, lo que representa el 7,3</w:t>
      </w:r>
      <w:r w:rsidR="00FC49AA" w:rsidRPr="00701888">
        <w:rPr>
          <w:rFonts w:ascii="Calibri" w:hAnsi="Calibri" w:cs="Calibri"/>
          <w:bCs/>
          <w:sz w:val="22"/>
          <w:szCs w:val="22"/>
          <w:lang w:val="es-ES_tradnl"/>
        </w:rPr>
        <w:t xml:space="preserve">% </w:t>
      </w:r>
      <w:r w:rsidR="00C815E8" w:rsidRPr="00701888">
        <w:rPr>
          <w:rFonts w:ascii="Calibri" w:hAnsi="Calibri" w:cs="Calibri"/>
          <w:bCs/>
          <w:sz w:val="22"/>
          <w:szCs w:val="22"/>
          <w:lang w:val="es-ES_tradnl"/>
        </w:rPr>
        <w:t>del presupuesto básico anual</w:t>
      </w:r>
      <w:r w:rsidR="00490532" w:rsidRPr="00701888">
        <w:rPr>
          <w:rFonts w:ascii="Calibri" w:hAnsi="Calibri" w:cs="Calibri"/>
          <w:bCs/>
          <w:sz w:val="22"/>
          <w:szCs w:val="22"/>
          <w:lang w:val="es-ES_tradnl"/>
        </w:rPr>
        <w:t xml:space="preserve">. Esta cifra se aproxima al nivel mínimo de </w:t>
      </w:r>
      <w:r w:rsidR="005C0E05" w:rsidRPr="00701888">
        <w:rPr>
          <w:rFonts w:ascii="Calibri" w:hAnsi="Calibri" w:cs="Calibri"/>
          <w:bCs/>
          <w:sz w:val="22"/>
          <w:szCs w:val="22"/>
          <w:lang w:val="es-ES_tradnl"/>
        </w:rPr>
        <w:t>6%</w:t>
      </w:r>
      <w:r w:rsidR="00FC49AA" w:rsidRPr="00701888">
        <w:rPr>
          <w:rFonts w:ascii="Calibri" w:hAnsi="Calibri" w:cs="Calibri"/>
          <w:bCs/>
          <w:sz w:val="22"/>
          <w:szCs w:val="22"/>
          <w:lang w:val="es-ES_tradnl"/>
        </w:rPr>
        <w:t xml:space="preserve"> </w:t>
      </w:r>
      <w:r w:rsidR="00C2502C" w:rsidRPr="00701888">
        <w:rPr>
          <w:rFonts w:ascii="Calibri" w:hAnsi="Calibri" w:cs="Calibri"/>
          <w:bCs/>
          <w:sz w:val="22"/>
          <w:szCs w:val="22"/>
          <w:lang w:val="es-ES_tradnl"/>
        </w:rPr>
        <w:t xml:space="preserve">del presupuesto básico anual </w:t>
      </w:r>
      <w:r w:rsidR="00490532" w:rsidRPr="00701888">
        <w:rPr>
          <w:rFonts w:ascii="Calibri" w:hAnsi="Calibri" w:cs="Calibri"/>
          <w:bCs/>
          <w:sz w:val="22"/>
          <w:szCs w:val="22"/>
          <w:lang w:val="es-ES_tradnl"/>
        </w:rPr>
        <w:t xml:space="preserve">que fue </w:t>
      </w:r>
      <w:r w:rsidR="00C2502C" w:rsidRPr="00701888">
        <w:rPr>
          <w:rFonts w:ascii="Calibri" w:hAnsi="Calibri" w:cs="Calibri"/>
          <w:bCs/>
          <w:sz w:val="22"/>
          <w:szCs w:val="22"/>
          <w:lang w:val="es-ES_tradnl"/>
        </w:rPr>
        <w:t xml:space="preserve">aprobado durante la 11ª reunión de la Conferencia de las Partes </w:t>
      </w:r>
      <w:r w:rsidR="00FC49AA" w:rsidRPr="00701888">
        <w:rPr>
          <w:rFonts w:ascii="Calibri" w:hAnsi="Calibri" w:cs="Calibri"/>
          <w:bCs/>
          <w:sz w:val="22"/>
          <w:szCs w:val="22"/>
          <w:lang w:val="es-ES_tradnl"/>
        </w:rPr>
        <w:t>(Resolu</w:t>
      </w:r>
      <w:r w:rsidR="001B1838" w:rsidRPr="00701888">
        <w:rPr>
          <w:rFonts w:ascii="Calibri" w:hAnsi="Calibri" w:cs="Calibri"/>
          <w:bCs/>
          <w:sz w:val="22"/>
          <w:szCs w:val="22"/>
          <w:lang w:val="es-ES_tradnl"/>
        </w:rPr>
        <w:t>ción</w:t>
      </w:r>
      <w:r w:rsidR="00FC49AA" w:rsidRPr="00701888">
        <w:rPr>
          <w:rFonts w:ascii="Calibri" w:hAnsi="Calibri" w:cs="Calibri"/>
          <w:bCs/>
          <w:sz w:val="22"/>
          <w:szCs w:val="22"/>
          <w:lang w:val="es-ES_tradnl"/>
        </w:rPr>
        <w:t xml:space="preserve"> XI.2 </w:t>
      </w:r>
      <w:r w:rsidR="001B1838" w:rsidRPr="00701888">
        <w:rPr>
          <w:rFonts w:ascii="Calibri" w:hAnsi="Calibri" w:cs="Calibri"/>
          <w:bCs/>
          <w:sz w:val="22"/>
          <w:szCs w:val="22"/>
          <w:lang w:val="es-ES_tradnl"/>
        </w:rPr>
        <w:t>Cuestiones financieras y presupuestarias</w:t>
      </w:r>
      <w:r w:rsidR="00FC49AA" w:rsidRPr="00701888">
        <w:rPr>
          <w:rFonts w:ascii="Calibri" w:hAnsi="Calibri" w:cs="Calibri"/>
          <w:bCs/>
          <w:sz w:val="22"/>
          <w:szCs w:val="22"/>
          <w:lang w:val="es-ES_tradnl"/>
        </w:rPr>
        <w:t>, p</w:t>
      </w:r>
      <w:r w:rsidR="001B1838" w:rsidRPr="00701888">
        <w:rPr>
          <w:rFonts w:ascii="Calibri" w:hAnsi="Calibri" w:cs="Calibri"/>
          <w:bCs/>
          <w:sz w:val="22"/>
          <w:szCs w:val="22"/>
          <w:lang w:val="es-ES_tradnl"/>
        </w:rPr>
        <w:t xml:space="preserve">árrafo </w:t>
      </w:r>
      <w:r w:rsidR="00FC49AA" w:rsidRPr="00701888">
        <w:rPr>
          <w:rFonts w:ascii="Calibri" w:hAnsi="Calibri" w:cs="Calibri"/>
          <w:bCs/>
          <w:sz w:val="22"/>
          <w:szCs w:val="22"/>
          <w:lang w:val="es-ES_tradnl"/>
        </w:rPr>
        <w:t>21.c).</w:t>
      </w:r>
      <w:r w:rsidR="000F4158" w:rsidRPr="00701888">
        <w:rPr>
          <w:rFonts w:ascii="Calibri" w:hAnsi="Calibri" w:cs="Calibri"/>
          <w:bCs/>
          <w:sz w:val="22"/>
          <w:szCs w:val="22"/>
          <w:lang w:val="es-ES_tradnl"/>
        </w:rPr>
        <w:t xml:space="preserve"> </w:t>
      </w:r>
    </w:p>
    <w:p w14:paraId="6120B6AA" w14:textId="77777777" w:rsidR="002464F2" w:rsidRPr="00701888" w:rsidRDefault="002464F2" w:rsidP="00842399">
      <w:pPr>
        <w:pStyle w:val="ListParagraph"/>
        <w:rPr>
          <w:rFonts w:ascii="Calibri" w:hAnsi="Calibri" w:cs="Calibri"/>
          <w:bCs/>
          <w:sz w:val="22"/>
          <w:szCs w:val="22"/>
          <w:highlight w:val="yellow"/>
          <w:lang w:val="es-ES_tradnl"/>
        </w:rPr>
      </w:pPr>
    </w:p>
    <w:p w14:paraId="02720F31" w14:textId="6EB97F98" w:rsidR="00172A5A" w:rsidRPr="002524D9" w:rsidRDefault="00610F66" w:rsidP="00172A5A">
      <w:pPr>
        <w:ind w:left="360" w:hanging="360"/>
        <w:rPr>
          <w:rFonts w:ascii="Calibri" w:hAnsi="Calibri" w:cs="Calibri"/>
          <w:b/>
          <w:bCs/>
          <w:sz w:val="22"/>
          <w:szCs w:val="22"/>
          <w:lang w:val="es-ES_tradnl"/>
        </w:rPr>
      </w:pPr>
      <w:r w:rsidRPr="002524D9">
        <w:rPr>
          <w:rFonts w:ascii="Calibri" w:hAnsi="Calibri" w:cs="Calibri"/>
          <w:b/>
          <w:bCs/>
          <w:sz w:val="22"/>
          <w:szCs w:val="22"/>
          <w:lang w:val="es-ES_tradnl"/>
        </w:rPr>
        <w:t>Resolución d</w:t>
      </w:r>
      <w:r w:rsidR="008E558A" w:rsidRPr="002524D9">
        <w:rPr>
          <w:rFonts w:ascii="Calibri" w:hAnsi="Calibri" w:cs="Calibri"/>
          <w:b/>
          <w:bCs/>
          <w:sz w:val="22"/>
          <w:szCs w:val="22"/>
          <w:lang w:val="es-ES_tradnl"/>
        </w:rPr>
        <w:t xml:space="preserve">el </w:t>
      </w:r>
      <w:r w:rsidR="001B1838" w:rsidRPr="002524D9">
        <w:rPr>
          <w:rFonts w:ascii="Calibri" w:hAnsi="Calibri" w:cs="Calibri"/>
          <w:b/>
          <w:bCs/>
          <w:sz w:val="22"/>
          <w:szCs w:val="22"/>
          <w:lang w:val="es-ES_tradnl"/>
        </w:rPr>
        <w:t xml:space="preserve">déficit de 2015 </w:t>
      </w:r>
      <w:r w:rsidR="008E558A" w:rsidRPr="002524D9">
        <w:rPr>
          <w:rFonts w:ascii="Calibri" w:hAnsi="Calibri" w:cs="Calibri"/>
          <w:b/>
          <w:bCs/>
          <w:sz w:val="22"/>
          <w:szCs w:val="22"/>
          <w:lang w:val="es-ES_tradnl"/>
        </w:rPr>
        <w:t xml:space="preserve">y </w:t>
      </w:r>
      <w:r w:rsidRPr="002524D9">
        <w:rPr>
          <w:rFonts w:ascii="Calibri" w:hAnsi="Calibri" w:cs="Calibri"/>
          <w:b/>
          <w:bCs/>
          <w:sz w:val="22"/>
          <w:szCs w:val="22"/>
          <w:lang w:val="es-ES_tradnl"/>
        </w:rPr>
        <w:t>reposición d</w:t>
      </w:r>
      <w:r w:rsidR="008E558A" w:rsidRPr="002524D9">
        <w:rPr>
          <w:rFonts w:ascii="Calibri" w:hAnsi="Calibri" w:cs="Calibri"/>
          <w:b/>
          <w:bCs/>
          <w:sz w:val="22"/>
          <w:szCs w:val="22"/>
          <w:lang w:val="es-ES_tradnl"/>
        </w:rPr>
        <w:t>el fondo de reserva</w:t>
      </w:r>
      <w:r w:rsidR="00851AF3" w:rsidRPr="002524D9">
        <w:rPr>
          <w:rFonts w:ascii="Calibri" w:hAnsi="Calibri" w:cs="Calibri"/>
          <w:b/>
          <w:bCs/>
          <w:sz w:val="22"/>
          <w:szCs w:val="22"/>
          <w:lang w:val="es-ES_tradnl"/>
        </w:rPr>
        <w:t xml:space="preserve"> </w:t>
      </w:r>
    </w:p>
    <w:p w14:paraId="3C857CC3" w14:textId="77777777" w:rsidR="00172A5A" w:rsidRPr="00701888" w:rsidRDefault="00172A5A" w:rsidP="00172A5A">
      <w:pPr>
        <w:ind w:left="360"/>
        <w:rPr>
          <w:rFonts w:ascii="Calibri" w:hAnsi="Calibri" w:cs="Calibri"/>
          <w:bCs/>
          <w:sz w:val="22"/>
          <w:szCs w:val="22"/>
          <w:lang w:val="es-ES_tradnl"/>
        </w:rPr>
      </w:pPr>
    </w:p>
    <w:p w14:paraId="76A173F8" w14:textId="5ED77816" w:rsidR="004A551A" w:rsidRPr="00701888" w:rsidRDefault="00172A5A" w:rsidP="00842399">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 xml:space="preserve">El Anexo 3 muestra el presupuesto básico para 2016 que fue aprobado por la 51ª reunión del Comité Permanente. El Comité Permanente decidió </w:t>
      </w:r>
      <w:r w:rsidR="00C218A3" w:rsidRPr="00701888">
        <w:rPr>
          <w:rFonts w:ascii="Calibri" w:hAnsi="Calibri" w:cs="Calibri"/>
          <w:bCs/>
          <w:sz w:val="22"/>
          <w:szCs w:val="22"/>
          <w:lang w:val="es-ES_tradnl"/>
        </w:rPr>
        <w:t>incluir</w:t>
      </w:r>
      <w:r w:rsidRPr="00701888">
        <w:rPr>
          <w:rFonts w:ascii="Calibri" w:hAnsi="Calibri" w:cs="Calibri"/>
          <w:bCs/>
          <w:sz w:val="22"/>
          <w:szCs w:val="22"/>
          <w:lang w:val="es-ES_tradnl"/>
        </w:rPr>
        <w:t xml:space="preserve"> </w:t>
      </w:r>
      <w:r w:rsidR="00C218A3" w:rsidRPr="00701888">
        <w:rPr>
          <w:rFonts w:ascii="Calibri" w:hAnsi="Calibri" w:cs="Calibri"/>
          <w:bCs/>
          <w:sz w:val="22"/>
          <w:szCs w:val="22"/>
          <w:lang w:val="es-ES_tradnl"/>
        </w:rPr>
        <w:t xml:space="preserve">278.000 francos suizos en la partida K del presupuesto de 2016 </w:t>
      </w:r>
      <w:r w:rsidR="006067AB">
        <w:rPr>
          <w:rFonts w:ascii="Calibri" w:hAnsi="Calibri" w:cs="Calibri"/>
          <w:bCs/>
          <w:sz w:val="22"/>
          <w:szCs w:val="22"/>
          <w:lang w:val="es-ES_tradnl"/>
        </w:rPr>
        <w:t xml:space="preserve">para </w:t>
      </w:r>
      <w:r w:rsidR="00C218A3" w:rsidRPr="00701888">
        <w:rPr>
          <w:rFonts w:ascii="Calibri" w:hAnsi="Calibri" w:cs="Calibri"/>
          <w:bCs/>
          <w:sz w:val="22"/>
          <w:szCs w:val="22"/>
          <w:lang w:val="es-ES_tradnl"/>
        </w:rPr>
        <w:t>provisiones para el Fondo de reserva (Gastos varios – Fondo de reserv</w:t>
      </w:r>
      <w:r w:rsidR="005F4F95">
        <w:rPr>
          <w:rFonts w:ascii="Calibri" w:hAnsi="Calibri" w:cs="Calibri"/>
          <w:bCs/>
          <w:sz w:val="22"/>
          <w:szCs w:val="22"/>
          <w:lang w:val="es-ES_tradnl"/>
        </w:rPr>
        <w:t>a) (Anexo 3, partida K.i.). La</w:t>
      </w:r>
      <w:r w:rsidR="00C218A3" w:rsidRPr="00701888">
        <w:rPr>
          <w:rFonts w:ascii="Calibri" w:hAnsi="Calibri" w:cs="Calibri"/>
          <w:bCs/>
          <w:sz w:val="22"/>
          <w:szCs w:val="22"/>
          <w:lang w:val="es-ES_tradnl"/>
        </w:rPr>
        <w:t xml:space="preserve"> provisión de una cuantía tan excepcionalmente elevada proviene princ</w:t>
      </w:r>
      <w:r w:rsidR="000A0840">
        <w:rPr>
          <w:rFonts w:ascii="Calibri" w:hAnsi="Calibri" w:cs="Calibri"/>
          <w:bCs/>
          <w:sz w:val="22"/>
          <w:szCs w:val="22"/>
          <w:lang w:val="es-ES_tradnl"/>
        </w:rPr>
        <w:t>ipalmente del ahorro en los cost</w:t>
      </w:r>
      <w:r w:rsidR="00C218A3" w:rsidRPr="00701888">
        <w:rPr>
          <w:rFonts w:ascii="Calibri" w:hAnsi="Calibri" w:cs="Calibri"/>
          <w:bCs/>
          <w:sz w:val="22"/>
          <w:szCs w:val="22"/>
          <w:lang w:val="es-ES_tradnl"/>
        </w:rPr>
        <w:t xml:space="preserve">os salariales del presupuesto básico </w:t>
      </w:r>
      <w:r w:rsidR="000A0840">
        <w:rPr>
          <w:rFonts w:ascii="Calibri" w:hAnsi="Calibri" w:cs="Calibri"/>
          <w:bCs/>
          <w:sz w:val="22"/>
          <w:szCs w:val="22"/>
          <w:lang w:val="es-ES_tradnl"/>
        </w:rPr>
        <w:t>por la existencia de</w:t>
      </w:r>
      <w:r w:rsidR="00C218A3" w:rsidRPr="00701888">
        <w:rPr>
          <w:rFonts w:ascii="Calibri" w:hAnsi="Calibri" w:cs="Calibri"/>
          <w:bCs/>
          <w:sz w:val="22"/>
          <w:szCs w:val="22"/>
          <w:lang w:val="es-ES_tradnl"/>
        </w:rPr>
        <w:t xml:space="preserve"> dos </w:t>
      </w:r>
      <w:r w:rsidR="002406BE" w:rsidRPr="00701888">
        <w:rPr>
          <w:rFonts w:ascii="Calibri" w:hAnsi="Calibri" w:cs="Calibri"/>
          <w:bCs/>
          <w:sz w:val="22"/>
          <w:szCs w:val="22"/>
          <w:lang w:val="es-ES_tradnl"/>
        </w:rPr>
        <w:t>puestos vacantes en 2016 (la Secretaría General y el Responsable de</w:t>
      </w:r>
      <w:r w:rsidR="005F4F95">
        <w:rPr>
          <w:rFonts w:ascii="Calibri" w:hAnsi="Calibri" w:cs="Calibri"/>
          <w:bCs/>
          <w:sz w:val="22"/>
          <w:szCs w:val="22"/>
          <w:lang w:val="es-ES_tradnl"/>
        </w:rPr>
        <w:t xml:space="preserve"> </w:t>
      </w:r>
      <w:r w:rsidR="000A2C45">
        <w:rPr>
          <w:rFonts w:ascii="Calibri" w:hAnsi="Calibri" w:cs="Calibri"/>
          <w:bCs/>
          <w:sz w:val="22"/>
          <w:szCs w:val="22"/>
          <w:lang w:val="es-ES_tradnl"/>
        </w:rPr>
        <w:t xml:space="preserve">las </w:t>
      </w:r>
      <w:r w:rsidR="005F4F95">
        <w:rPr>
          <w:rFonts w:ascii="Calibri" w:hAnsi="Calibri" w:cs="Calibri"/>
          <w:bCs/>
          <w:sz w:val="22"/>
          <w:szCs w:val="22"/>
          <w:lang w:val="es-ES_tradnl"/>
        </w:rPr>
        <w:t>Asociaciones de Colaboración</w:t>
      </w:r>
      <w:r w:rsidR="005A2D2F">
        <w:rPr>
          <w:rFonts w:ascii="Calibri" w:hAnsi="Calibri" w:cs="Calibri"/>
          <w:bCs/>
          <w:sz w:val="22"/>
          <w:szCs w:val="22"/>
          <w:lang w:val="es-ES_tradnl"/>
        </w:rPr>
        <w:t>.</w:t>
      </w:r>
      <w:r w:rsidR="002406BE" w:rsidRPr="00701888">
        <w:rPr>
          <w:rFonts w:ascii="Calibri" w:hAnsi="Calibri" w:cs="Calibri"/>
          <w:bCs/>
          <w:sz w:val="22"/>
          <w:szCs w:val="22"/>
          <w:lang w:val="es-ES_tradnl"/>
        </w:rPr>
        <w:t xml:space="preserve"> </w:t>
      </w:r>
      <w:r w:rsidR="005A2D2F">
        <w:rPr>
          <w:rFonts w:ascii="Calibri" w:hAnsi="Calibri" w:cs="Calibri"/>
          <w:bCs/>
          <w:sz w:val="22"/>
          <w:szCs w:val="22"/>
          <w:lang w:val="es-ES_tradnl"/>
        </w:rPr>
        <w:t xml:space="preserve">Está previsto </w:t>
      </w:r>
      <w:r w:rsidR="002406BE" w:rsidRPr="00701888">
        <w:rPr>
          <w:rFonts w:ascii="Calibri" w:hAnsi="Calibri" w:cs="Calibri"/>
          <w:bCs/>
          <w:sz w:val="22"/>
          <w:szCs w:val="22"/>
          <w:lang w:val="es-ES_tradnl"/>
        </w:rPr>
        <w:t>que una parte importante de estos fondos qued</w:t>
      </w:r>
      <w:r w:rsidR="000A2C45">
        <w:rPr>
          <w:rFonts w:ascii="Calibri" w:hAnsi="Calibri" w:cs="Calibri"/>
          <w:bCs/>
          <w:sz w:val="22"/>
          <w:szCs w:val="22"/>
          <w:lang w:val="es-ES_tradnl"/>
        </w:rPr>
        <w:t>e disponible</w:t>
      </w:r>
      <w:r w:rsidR="002406BE" w:rsidRPr="00701888">
        <w:rPr>
          <w:rFonts w:ascii="Calibri" w:hAnsi="Calibri" w:cs="Calibri"/>
          <w:bCs/>
          <w:sz w:val="22"/>
          <w:szCs w:val="22"/>
          <w:lang w:val="es-ES_tradnl"/>
        </w:rPr>
        <w:t xml:space="preserve"> </w:t>
      </w:r>
      <w:r w:rsidR="005A2D2F" w:rsidRPr="00701888">
        <w:rPr>
          <w:rFonts w:ascii="Calibri" w:hAnsi="Calibri" w:cs="Calibri"/>
          <w:bCs/>
          <w:sz w:val="22"/>
          <w:szCs w:val="22"/>
          <w:lang w:val="es-ES_tradnl"/>
        </w:rPr>
        <w:t>a finales de 2016</w:t>
      </w:r>
      <w:r w:rsidR="005A2D2F">
        <w:rPr>
          <w:rFonts w:ascii="Calibri" w:hAnsi="Calibri" w:cs="Calibri"/>
          <w:bCs/>
          <w:sz w:val="22"/>
          <w:szCs w:val="22"/>
          <w:lang w:val="es-ES_tradnl"/>
        </w:rPr>
        <w:t xml:space="preserve"> </w:t>
      </w:r>
      <w:r w:rsidR="002406BE" w:rsidRPr="00701888">
        <w:rPr>
          <w:rFonts w:ascii="Calibri" w:hAnsi="Calibri" w:cs="Calibri"/>
          <w:bCs/>
          <w:sz w:val="22"/>
          <w:szCs w:val="22"/>
          <w:lang w:val="es-ES_tradnl"/>
        </w:rPr>
        <w:t xml:space="preserve">para reponer el fondo de reserva. </w:t>
      </w:r>
      <w:r w:rsidR="000E36C0">
        <w:rPr>
          <w:rFonts w:ascii="Calibri" w:hAnsi="Calibri" w:cs="Calibri"/>
          <w:bCs/>
          <w:sz w:val="22"/>
          <w:szCs w:val="22"/>
          <w:lang w:val="es-ES_tradnl"/>
        </w:rPr>
        <w:t>Por lo tanto, si se destinan, por ejemplo,</w:t>
      </w:r>
      <w:r w:rsidR="00252A32">
        <w:rPr>
          <w:rFonts w:ascii="Calibri" w:hAnsi="Calibri" w:cs="Calibri"/>
          <w:bCs/>
          <w:sz w:val="22"/>
          <w:szCs w:val="22"/>
          <w:lang w:val="es-ES_tradnl"/>
        </w:rPr>
        <w:t xml:space="preserve"> 40.000 francos suizos para</w:t>
      </w:r>
      <w:r w:rsidR="000E36C0">
        <w:rPr>
          <w:rFonts w:ascii="Calibri" w:hAnsi="Calibri" w:cs="Calibri"/>
          <w:bCs/>
          <w:sz w:val="22"/>
          <w:szCs w:val="22"/>
          <w:lang w:val="es-ES_tradnl"/>
        </w:rPr>
        <w:t xml:space="preserve"> cubrir las provisiones “normales” (para morosidad y</w:t>
      </w:r>
      <w:r w:rsidR="00A94BF1">
        <w:rPr>
          <w:rFonts w:ascii="Calibri" w:hAnsi="Calibri" w:cs="Calibri"/>
          <w:bCs/>
          <w:sz w:val="22"/>
          <w:szCs w:val="22"/>
          <w:lang w:val="es-ES_tradnl"/>
        </w:rPr>
        <w:t xml:space="preserve"> para prestaciones</w:t>
      </w:r>
      <w:r w:rsidR="00CB58C5">
        <w:rPr>
          <w:rFonts w:ascii="Calibri" w:hAnsi="Calibri" w:cs="Calibri"/>
          <w:bCs/>
          <w:sz w:val="22"/>
          <w:szCs w:val="22"/>
          <w:lang w:val="es-ES_tradnl"/>
        </w:rPr>
        <w:t xml:space="preserve"> sociales), quedaría la cantidad de 238.000 fran</w:t>
      </w:r>
      <w:r w:rsidR="00BE74F8">
        <w:rPr>
          <w:rFonts w:ascii="Calibri" w:hAnsi="Calibri" w:cs="Calibri"/>
          <w:bCs/>
          <w:sz w:val="22"/>
          <w:szCs w:val="22"/>
          <w:lang w:val="es-ES_tradnl"/>
        </w:rPr>
        <w:t>cos suizos para reponer el fondo</w:t>
      </w:r>
      <w:r w:rsidR="00CB58C5">
        <w:rPr>
          <w:rFonts w:ascii="Calibri" w:hAnsi="Calibri" w:cs="Calibri"/>
          <w:bCs/>
          <w:sz w:val="22"/>
          <w:szCs w:val="22"/>
          <w:lang w:val="es-ES_tradnl"/>
        </w:rPr>
        <w:t xml:space="preserve"> de reserva a finales de 2016.</w:t>
      </w:r>
      <w:r w:rsidR="00A94BF1">
        <w:rPr>
          <w:rFonts w:ascii="Calibri" w:hAnsi="Calibri" w:cs="Calibri"/>
          <w:bCs/>
          <w:sz w:val="22"/>
          <w:szCs w:val="22"/>
          <w:lang w:val="es-ES_tradnl"/>
        </w:rPr>
        <w:t xml:space="preserve"> </w:t>
      </w:r>
      <w:r w:rsidR="000E36C0">
        <w:rPr>
          <w:rFonts w:ascii="Calibri" w:hAnsi="Calibri" w:cs="Calibri"/>
          <w:bCs/>
          <w:sz w:val="22"/>
          <w:szCs w:val="22"/>
          <w:lang w:val="es-ES_tradnl"/>
        </w:rPr>
        <w:t xml:space="preserve"> </w:t>
      </w:r>
      <w:r w:rsidR="00252A32">
        <w:rPr>
          <w:rFonts w:ascii="Calibri" w:hAnsi="Calibri" w:cs="Calibri"/>
          <w:bCs/>
          <w:sz w:val="22"/>
          <w:szCs w:val="22"/>
          <w:lang w:val="es-ES_tradnl"/>
        </w:rPr>
        <w:t xml:space="preserve">  </w:t>
      </w:r>
    </w:p>
    <w:p w14:paraId="74988AFD" w14:textId="5F98751C" w:rsidR="002406BE" w:rsidRPr="00701888" w:rsidRDefault="002406BE" w:rsidP="002406BE">
      <w:pPr>
        <w:ind w:left="360"/>
        <w:rPr>
          <w:rFonts w:ascii="Calibri" w:hAnsi="Calibri" w:cs="Calibri"/>
          <w:bCs/>
          <w:sz w:val="22"/>
          <w:szCs w:val="22"/>
          <w:lang w:val="es-ES_tradnl"/>
        </w:rPr>
      </w:pPr>
    </w:p>
    <w:p w14:paraId="1B18F5B6" w14:textId="3F3E33CB" w:rsidR="002406BE" w:rsidRPr="00701888" w:rsidRDefault="002406BE" w:rsidP="00842399">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Adicionalmente, el saldo restante del superávit de 2014</w:t>
      </w:r>
      <w:r w:rsidR="00BE74F8">
        <w:rPr>
          <w:rFonts w:ascii="Calibri" w:hAnsi="Calibri" w:cs="Calibri"/>
          <w:bCs/>
          <w:sz w:val="22"/>
          <w:szCs w:val="22"/>
          <w:lang w:val="es-ES_tradnl"/>
        </w:rPr>
        <w:t>,</w:t>
      </w:r>
      <w:r w:rsidRPr="00701888">
        <w:rPr>
          <w:rFonts w:ascii="Calibri" w:hAnsi="Calibri" w:cs="Calibri"/>
          <w:bCs/>
          <w:sz w:val="22"/>
          <w:szCs w:val="22"/>
          <w:lang w:val="es-ES_tradnl"/>
        </w:rPr>
        <w:t xml:space="preserve"> de 6.000 francos suizos, tal y como se indica en el Cuadro 1, se puede utilizar par</w:t>
      </w:r>
      <w:r w:rsidR="00BE74F8">
        <w:rPr>
          <w:rFonts w:ascii="Calibri" w:hAnsi="Calibri" w:cs="Calibri"/>
          <w:bCs/>
          <w:sz w:val="22"/>
          <w:szCs w:val="22"/>
          <w:lang w:val="es-ES_tradnl"/>
        </w:rPr>
        <w:t>a reponer el fondo de reserva para</w:t>
      </w:r>
      <w:r w:rsidRPr="00701888">
        <w:rPr>
          <w:rFonts w:ascii="Calibri" w:hAnsi="Calibri" w:cs="Calibri"/>
          <w:bCs/>
          <w:sz w:val="22"/>
          <w:szCs w:val="22"/>
          <w:lang w:val="es-ES_tradnl"/>
        </w:rPr>
        <w:t xml:space="preserve"> 2016. </w:t>
      </w:r>
    </w:p>
    <w:p w14:paraId="48947E1D" w14:textId="77777777" w:rsidR="002406BE" w:rsidRPr="00701888" w:rsidRDefault="002406BE" w:rsidP="002406BE">
      <w:pPr>
        <w:rPr>
          <w:rFonts w:ascii="Calibri" w:hAnsi="Calibri" w:cs="Calibri"/>
          <w:bCs/>
          <w:sz w:val="22"/>
          <w:szCs w:val="22"/>
          <w:lang w:val="es-ES_tradnl"/>
        </w:rPr>
      </w:pPr>
    </w:p>
    <w:p w14:paraId="1239A5A6" w14:textId="427FC129" w:rsidR="002406BE" w:rsidRPr="00701888" w:rsidRDefault="002406BE" w:rsidP="00842399">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 xml:space="preserve">En este caso, </w:t>
      </w:r>
      <w:r w:rsidR="00315354" w:rsidRPr="00701888">
        <w:rPr>
          <w:rFonts w:ascii="Calibri" w:hAnsi="Calibri" w:cs="Calibri"/>
          <w:bCs/>
          <w:sz w:val="22"/>
          <w:szCs w:val="22"/>
          <w:lang w:val="es-ES_tradnl"/>
        </w:rPr>
        <w:t>el fondo de reserva se repondría con un saldo de 616.000 francos suizos, lo que representa el 12,1% del presupu</w:t>
      </w:r>
      <w:r w:rsidR="00550831">
        <w:rPr>
          <w:rFonts w:ascii="Calibri" w:hAnsi="Calibri" w:cs="Calibri"/>
          <w:bCs/>
          <w:sz w:val="22"/>
          <w:szCs w:val="22"/>
          <w:lang w:val="es-ES_tradnl"/>
        </w:rPr>
        <w:t>esto básico (véase el Cuadro 3)</w:t>
      </w:r>
      <w:r w:rsidR="00BD714F">
        <w:rPr>
          <w:rFonts w:ascii="Calibri" w:hAnsi="Calibri" w:cs="Calibri"/>
          <w:bCs/>
          <w:sz w:val="22"/>
          <w:szCs w:val="22"/>
          <w:lang w:val="es-ES_tradnl"/>
        </w:rPr>
        <w:t xml:space="preserve"> y un nivel más sólido y más sostenible que el saldo de 372.000 francos suizos</w:t>
      </w:r>
      <w:r w:rsidR="00CF2067">
        <w:rPr>
          <w:rFonts w:ascii="Calibri" w:hAnsi="Calibri" w:cs="Calibri"/>
          <w:bCs/>
          <w:sz w:val="22"/>
          <w:szCs w:val="22"/>
          <w:lang w:val="es-ES_tradnl"/>
        </w:rPr>
        <w:t xml:space="preserve"> indicado para el cierre de 2015 en el Anexo 2</w:t>
      </w:r>
      <w:r w:rsidR="00550831">
        <w:rPr>
          <w:rFonts w:ascii="Calibri" w:hAnsi="Calibri" w:cs="Calibri"/>
          <w:bCs/>
          <w:sz w:val="22"/>
          <w:szCs w:val="22"/>
          <w:lang w:val="es-ES_tradnl"/>
        </w:rPr>
        <w:t xml:space="preserve">. </w:t>
      </w:r>
    </w:p>
    <w:p w14:paraId="2119C535" w14:textId="77777777" w:rsidR="00D573ED" w:rsidRPr="00701888" w:rsidRDefault="00D573ED" w:rsidP="00D573ED">
      <w:pPr>
        <w:pStyle w:val="ListParagraph"/>
        <w:rPr>
          <w:rFonts w:ascii="Calibri" w:hAnsi="Calibri" w:cs="Calibri"/>
          <w:bCs/>
          <w:sz w:val="22"/>
          <w:szCs w:val="22"/>
          <w:lang w:val="es-ES_tradnl"/>
        </w:rPr>
      </w:pPr>
    </w:p>
    <w:p w14:paraId="74AF4B02" w14:textId="1F5C475F" w:rsidR="00983438" w:rsidRPr="00214BBE" w:rsidRDefault="00EA5BC7" w:rsidP="0095739C">
      <w:pPr>
        <w:rPr>
          <w:rFonts w:ascii="Calibri" w:hAnsi="Calibri" w:cs="Calibri"/>
          <w:b/>
          <w:bCs/>
          <w:sz w:val="22"/>
          <w:szCs w:val="22"/>
          <w:lang w:val="es-ES_tradnl"/>
        </w:rPr>
      </w:pPr>
      <w:r w:rsidRPr="00701888">
        <w:rPr>
          <w:rFonts w:ascii="Calibri" w:hAnsi="Calibri" w:cs="Calibri"/>
          <w:b/>
          <w:bCs/>
          <w:sz w:val="22"/>
          <w:szCs w:val="22"/>
          <w:lang w:val="es-ES_tradnl"/>
        </w:rPr>
        <w:t>Cuadro</w:t>
      </w:r>
      <w:r w:rsidR="00983438" w:rsidRPr="00701888">
        <w:rPr>
          <w:rFonts w:ascii="Calibri" w:hAnsi="Calibri" w:cs="Calibri"/>
          <w:b/>
          <w:bCs/>
          <w:sz w:val="22"/>
          <w:szCs w:val="22"/>
          <w:lang w:val="es-ES_tradnl"/>
        </w:rPr>
        <w:t xml:space="preserve"> 3</w:t>
      </w:r>
      <w:r w:rsidR="00B34800" w:rsidRPr="00701888">
        <w:rPr>
          <w:rFonts w:ascii="Calibri" w:hAnsi="Calibri" w:cs="Calibri"/>
          <w:b/>
          <w:bCs/>
          <w:sz w:val="22"/>
          <w:szCs w:val="22"/>
          <w:lang w:val="es-ES_tradnl"/>
        </w:rPr>
        <w:t>:</w:t>
      </w:r>
      <w:r w:rsidR="0095739C" w:rsidRPr="00701888">
        <w:rPr>
          <w:rFonts w:ascii="Calibri" w:hAnsi="Calibri" w:cs="Calibri"/>
          <w:b/>
          <w:bCs/>
          <w:sz w:val="22"/>
          <w:szCs w:val="22"/>
          <w:lang w:val="es-ES_tradnl"/>
        </w:rPr>
        <w:t xml:space="preserve"> </w:t>
      </w:r>
      <w:r w:rsidR="0095739C" w:rsidRPr="00214BBE">
        <w:rPr>
          <w:rFonts w:ascii="Calibri" w:hAnsi="Calibri"/>
          <w:b/>
          <w:sz w:val="22"/>
          <w:lang w:val="es-ES_tradnl"/>
        </w:rPr>
        <w:t>Prop</w:t>
      </w:r>
      <w:r w:rsidRPr="00214BBE">
        <w:rPr>
          <w:rFonts w:ascii="Calibri" w:hAnsi="Calibri"/>
          <w:b/>
          <w:sz w:val="22"/>
          <w:lang w:val="es-ES_tradnl"/>
        </w:rPr>
        <w:t xml:space="preserve">uesta para </w:t>
      </w:r>
      <w:r w:rsidR="00B73513" w:rsidRPr="00214BBE">
        <w:rPr>
          <w:rFonts w:ascii="Calibri" w:hAnsi="Calibri"/>
          <w:b/>
          <w:sz w:val="22"/>
          <w:lang w:val="es-ES_tradnl"/>
        </w:rPr>
        <w:t xml:space="preserve">reponer el Fondo de Reserva (en miles de francos suizos) </w:t>
      </w:r>
    </w:p>
    <w:tbl>
      <w:tblPr>
        <w:tblW w:w="5404" w:type="dxa"/>
        <w:tblInd w:w="103" w:type="dxa"/>
        <w:tblLook w:val="04A0" w:firstRow="1" w:lastRow="0" w:firstColumn="1" w:lastColumn="0" w:noHBand="0" w:noVBand="1"/>
      </w:tblPr>
      <w:tblGrid>
        <w:gridCol w:w="3400"/>
        <w:gridCol w:w="1044"/>
        <w:gridCol w:w="960"/>
      </w:tblGrid>
      <w:tr w:rsidR="00C04C0D" w:rsidRPr="00701888" w14:paraId="2494A6B9" w14:textId="77777777" w:rsidTr="00C04C0D">
        <w:trPr>
          <w:trHeight w:val="288"/>
        </w:trPr>
        <w:tc>
          <w:tcPr>
            <w:tcW w:w="3400" w:type="dxa"/>
            <w:tcBorders>
              <w:top w:val="single" w:sz="4" w:space="0" w:color="auto"/>
              <w:left w:val="single" w:sz="4" w:space="0" w:color="auto"/>
              <w:bottom w:val="nil"/>
              <w:right w:val="single" w:sz="4" w:space="0" w:color="auto"/>
            </w:tcBorders>
            <w:shd w:val="clear" w:color="000000" w:fill="8DB4E2"/>
            <w:noWrap/>
            <w:vAlign w:val="bottom"/>
          </w:tcPr>
          <w:p w14:paraId="672AE0F5" w14:textId="411E5F0D" w:rsidR="00C04C0D" w:rsidRPr="00701888" w:rsidRDefault="00D60DC4" w:rsidP="0095739C">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xml:space="preserve">Fondo de reserva al cierre de </w:t>
            </w:r>
            <w:r w:rsidR="00C04C0D" w:rsidRPr="00701888">
              <w:rPr>
                <w:rFonts w:ascii="Calibri" w:eastAsia="Times New Roman" w:hAnsi="Calibri"/>
                <w:b/>
                <w:bCs/>
                <w:color w:val="000000"/>
                <w:sz w:val="22"/>
                <w:szCs w:val="22"/>
                <w:lang w:val="es-ES_tradnl" w:eastAsia="en-GB"/>
              </w:rPr>
              <w:t>2015</w:t>
            </w:r>
          </w:p>
        </w:tc>
        <w:tc>
          <w:tcPr>
            <w:tcW w:w="2004" w:type="dxa"/>
            <w:gridSpan w:val="2"/>
            <w:tcBorders>
              <w:top w:val="single" w:sz="4" w:space="0" w:color="auto"/>
              <w:left w:val="nil"/>
              <w:bottom w:val="nil"/>
              <w:right w:val="single" w:sz="4" w:space="0" w:color="auto"/>
            </w:tcBorders>
            <w:shd w:val="clear" w:color="000000" w:fill="8DB4E2"/>
            <w:noWrap/>
          </w:tcPr>
          <w:p w14:paraId="7305121C" w14:textId="4531491E" w:rsidR="00C04C0D" w:rsidRPr="00701888" w:rsidRDefault="00D60DC4" w:rsidP="00C04C0D">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372</w:t>
            </w:r>
          </w:p>
        </w:tc>
      </w:tr>
      <w:tr w:rsidR="00D573ED" w:rsidRPr="00701888" w14:paraId="1C97F795" w14:textId="77777777" w:rsidTr="00C04C0D">
        <w:trPr>
          <w:trHeight w:val="288"/>
        </w:trPr>
        <w:tc>
          <w:tcPr>
            <w:tcW w:w="3400" w:type="dxa"/>
            <w:tcBorders>
              <w:top w:val="nil"/>
              <w:left w:val="single" w:sz="4" w:space="0" w:color="auto"/>
              <w:bottom w:val="nil"/>
              <w:right w:val="single" w:sz="4" w:space="0" w:color="auto"/>
            </w:tcBorders>
            <w:shd w:val="clear" w:color="auto" w:fill="auto"/>
            <w:noWrap/>
            <w:vAlign w:val="bottom"/>
            <w:hideMark/>
          </w:tcPr>
          <w:p w14:paraId="75CCC612" w14:textId="1AB9B716" w:rsidR="00D573ED" w:rsidRPr="00701888" w:rsidRDefault="007C2073" w:rsidP="007C2073">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Excedente de 2014, saldo restante</w:t>
            </w:r>
          </w:p>
        </w:tc>
        <w:tc>
          <w:tcPr>
            <w:tcW w:w="1044" w:type="dxa"/>
            <w:tcBorders>
              <w:top w:val="nil"/>
              <w:left w:val="nil"/>
              <w:bottom w:val="nil"/>
              <w:right w:val="nil"/>
            </w:tcBorders>
            <w:shd w:val="clear" w:color="auto" w:fill="auto"/>
            <w:noWrap/>
            <w:vAlign w:val="bottom"/>
            <w:hideMark/>
          </w:tcPr>
          <w:p w14:paraId="4BD78997" w14:textId="77777777" w:rsidR="00D573ED" w:rsidRPr="00701888" w:rsidRDefault="00D573ED" w:rsidP="00D573ED">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26C632CF" w14:textId="0ECEE41C" w:rsidR="00D573ED" w:rsidRPr="00701888" w:rsidRDefault="00D573ED" w:rsidP="00D573ED">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6</w:t>
            </w:r>
          </w:p>
        </w:tc>
      </w:tr>
      <w:tr w:rsidR="00D573ED" w:rsidRPr="00701888" w14:paraId="31F2B0E3" w14:textId="77777777" w:rsidTr="00C04C0D">
        <w:trPr>
          <w:trHeight w:val="288"/>
        </w:trPr>
        <w:tc>
          <w:tcPr>
            <w:tcW w:w="3400" w:type="dxa"/>
            <w:tcBorders>
              <w:top w:val="nil"/>
              <w:left w:val="single" w:sz="4" w:space="0" w:color="auto"/>
              <w:bottom w:val="nil"/>
              <w:right w:val="single" w:sz="4" w:space="0" w:color="auto"/>
            </w:tcBorders>
            <w:shd w:val="clear" w:color="auto" w:fill="auto"/>
            <w:noWrap/>
            <w:vAlign w:val="bottom"/>
            <w:hideMark/>
          </w:tcPr>
          <w:p w14:paraId="0D01D471" w14:textId="73F1D71F" w:rsidR="00D573ED" w:rsidRPr="00701888" w:rsidRDefault="007C2073" w:rsidP="008636EF">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xml:space="preserve">Provisión para </w:t>
            </w:r>
            <w:r w:rsidR="008636EF" w:rsidRPr="00701888">
              <w:rPr>
                <w:rFonts w:ascii="Calibri" w:eastAsia="Times New Roman" w:hAnsi="Calibri"/>
                <w:color w:val="000000"/>
                <w:sz w:val="22"/>
                <w:szCs w:val="22"/>
                <w:lang w:val="es-ES_tradnl" w:eastAsia="en-GB"/>
              </w:rPr>
              <w:t>2016 (presupuesto)</w:t>
            </w:r>
          </w:p>
        </w:tc>
        <w:tc>
          <w:tcPr>
            <w:tcW w:w="1044" w:type="dxa"/>
            <w:tcBorders>
              <w:top w:val="nil"/>
              <w:left w:val="nil"/>
              <w:bottom w:val="nil"/>
              <w:right w:val="nil"/>
            </w:tcBorders>
            <w:shd w:val="clear" w:color="auto" w:fill="auto"/>
            <w:noWrap/>
            <w:vAlign w:val="bottom"/>
            <w:hideMark/>
          </w:tcPr>
          <w:p w14:paraId="1A3FA734" w14:textId="77777777" w:rsidR="00D573ED" w:rsidRPr="00701888" w:rsidRDefault="00D573ED" w:rsidP="00D573ED">
            <w:pPr>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 </w:t>
            </w:r>
          </w:p>
        </w:tc>
        <w:tc>
          <w:tcPr>
            <w:tcW w:w="960" w:type="dxa"/>
            <w:tcBorders>
              <w:top w:val="nil"/>
              <w:left w:val="nil"/>
              <w:bottom w:val="nil"/>
              <w:right w:val="single" w:sz="4" w:space="0" w:color="auto"/>
            </w:tcBorders>
            <w:shd w:val="clear" w:color="auto" w:fill="auto"/>
            <w:noWrap/>
            <w:vAlign w:val="bottom"/>
            <w:hideMark/>
          </w:tcPr>
          <w:p w14:paraId="16FE398E" w14:textId="6E5957F9" w:rsidR="00D573ED" w:rsidRPr="00701888" w:rsidRDefault="00D60DC4" w:rsidP="00D573ED">
            <w:pPr>
              <w:jc w:val="right"/>
              <w:rPr>
                <w:rFonts w:ascii="Calibri" w:eastAsia="Times New Roman" w:hAnsi="Calibri"/>
                <w:color w:val="000000"/>
                <w:sz w:val="22"/>
                <w:szCs w:val="22"/>
                <w:lang w:val="es-ES_tradnl" w:eastAsia="en-GB"/>
              </w:rPr>
            </w:pPr>
            <w:r w:rsidRPr="00701888">
              <w:rPr>
                <w:rFonts w:ascii="Calibri" w:eastAsia="Times New Roman" w:hAnsi="Calibri"/>
                <w:color w:val="000000"/>
                <w:sz w:val="22"/>
                <w:szCs w:val="22"/>
                <w:lang w:val="es-ES_tradnl" w:eastAsia="en-GB"/>
              </w:rPr>
              <w:t>238</w:t>
            </w:r>
          </w:p>
        </w:tc>
      </w:tr>
      <w:tr w:rsidR="00D573ED" w:rsidRPr="00701888" w14:paraId="545F7EAB" w14:textId="77777777" w:rsidTr="00C04C0D">
        <w:trPr>
          <w:trHeight w:val="288"/>
        </w:trPr>
        <w:tc>
          <w:tcPr>
            <w:tcW w:w="3400" w:type="dxa"/>
            <w:tcBorders>
              <w:top w:val="nil"/>
              <w:left w:val="single" w:sz="4" w:space="0" w:color="auto"/>
              <w:bottom w:val="single" w:sz="4" w:space="0" w:color="auto"/>
              <w:right w:val="single" w:sz="4" w:space="0" w:color="auto"/>
            </w:tcBorders>
            <w:shd w:val="clear" w:color="000000" w:fill="C5D9F1"/>
            <w:noWrap/>
            <w:vAlign w:val="bottom"/>
            <w:hideMark/>
          </w:tcPr>
          <w:p w14:paraId="2B9993F0" w14:textId="7C7E484B" w:rsidR="00D573ED" w:rsidRPr="00701888" w:rsidRDefault="005F4EB0" w:rsidP="005F4EB0">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xml:space="preserve">Fondo de reserva al cierre de 2016 </w:t>
            </w:r>
          </w:p>
        </w:tc>
        <w:tc>
          <w:tcPr>
            <w:tcW w:w="1044" w:type="dxa"/>
            <w:tcBorders>
              <w:top w:val="nil"/>
              <w:left w:val="nil"/>
              <w:bottom w:val="single" w:sz="4" w:space="0" w:color="auto"/>
              <w:right w:val="nil"/>
            </w:tcBorders>
            <w:shd w:val="clear" w:color="000000" w:fill="C5D9F1"/>
            <w:noWrap/>
            <w:vAlign w:val="bottom"/>
            <w:hideMark/>
          </w:tcPr>
          <w:p w14:paraId="3DCD3B40" w14:textId="77777777" w:rsidR="00D573ED" w:rsidRPr="00701888" w:rsidRDefault="00D573ED" w:rsidP="00D573ED">
            <w:pPr>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 </w:t>
            </w:r>
          </w:p>
        </w:tc>
        <w:tc>
          <w:tcPr>
            <w:tcW w:w="960" w:type="dxa"/>
            <w:tcBorders>
              <w:top w:val="nil"/>
              <w:left w:val="nil"/>
              <w:bottom w:val="single" w:sz="4" w:space="0" w:color="auto"/>
              <w:right w:val="single" w:sz="4" w:space="0" w:color="auto"/>
            </w:tcBorders>
            <w:shd w:val="clear" w:color="000000" w:fill="C5D9F1"/>
            <w:noWrap/>
            <w:vAlign w:val="bottom"/>
            <w:hideMark/>
          </w:tcPr>
          <w:p w14:paraId="0566D0A8" w14:textId="5D570C4E" w:rsidR="00D573ED" w:rsidRPr="00701888" w:rsidRDefault="005F4EB0" w:rsidP="00D573ED">
            <w:pPr>
              <w:jc w:val="right"/>
              <w:rPr>
                <w:rFonts w:ascii="Calibri" w:eastAsia="Times New Roman" w:hAnsi="Calibri"/>
                <w:b/>
                <w:bCs/>
                <w:color w:val="000000"/>
                <w:sz w:val="22"/>
                <w:szCs w:val="22"/>
                <w:lang w:val="es-ES_tradnl" w:eastAsia="en-GB"/>
              </w:rPr>
            </w:pPr>
            <w:r w:rsidRPr="00701888">
              <w:rPr>
                <w:rFonts w:ascii="Calibri" w:eastAsia="Times New Roman" w:hAnsi="Calibri"/>
                <w:b/>
                <w:bCs/>
                <w:color w:val="000000"/>
                <w:sz w:val="22"/>
                <w:szCs w:val="22"/>
                <w:lang w:val="es-ES_tradnl" w:eastAsia="en-GB"/>
              </w:rPr>
              <w:t>616</w:t>
            </w:r>
          </w:p>
        </w:tc>
      </w:tr>
    </w:tbl>
    <w:p w14:paraId="087EE7E7" w14:textId="77777777" w:rsidR="009D4BF0" w:rsidRPr="00701888" w:rsidRDefault="009D4BF0" w:rsidP="00842399">
      <w:pPr>
        <w:rPr>
          <w:rFonts w:ascii="Calibri" w:hAnsi="Calibri" w:cs="Calibri"/>
          <w:b/>
          <w:sz w:val="22"/>
          <w:szCs w:val="22"/>
          <w:lang w:val="es-ES_tradnl"/>
        </w:rPr>
      </w:pPr>
    </w:p>
    <w:p w14:paraId="079339C6" w14:textId="77777777" w:rsidR="009D4BF0" w:rsidRPr="00701888" w:rsidRDefault="009D4BF0" w:rsidP="00842399">
      <w:pPr>
        <w:rPr>
          <w:rFonts w:ascii="Calibri" w:hAnsi="Calibri" w:cs="Calibri"/>
          <w:b/>
          <w:sz w:val="22"/>
          <w:szCs w:val="22"/>
          <w:lang w:val="es-ES_tradnl"/>
        </w:rPr>
      </w:pPr>
    </w:p>
    <w:p w14:paraId="6E8B4474" w14:textId="41257AE2" w:rsidR="00D22F60" w:rsidRPr="00E7158D" w:rsidRDefault="009D4BF0" w:rsidP="00842399">
      <w:pPr>
        <w:rPr>
          <w:rFonts w:ascii="Calibri" w:hAnsi="Calibri"/>
          <w:b/>
          <w:sz w:val="22"/>
          <w:lang w:val="es-ES_tradnl"/>
        </w:rPr>
      </w:pPr>
      <w:r w:rsidRPr="00E7158D">
        <w:rPr>
          <w:rFonts w:ascii="Calibri" w:hAnsi="Calibri" w:cs="Calibri"/>
          <w:b/>
          <w:sz w:val="22"/>
          <w:szCs w:val="22"/>
          <w:lang w:val="es-ES_tradnl"/>
        </w:rPr>
        <w:t xml:space="preserve">Resultados de </w:t>
      </w:r>
      <w:r w:rsidR="00B71BA1" w:rsidRPr="00E7158D">
        <w:rPr>
          <w:rFonts w:ascii="Calibri" w:hAnsi="Calibri" w:cs="Calibri"/>
          <w:b/>
          <w:sz w:val="22"/>
          <w:szCs w:val="22"/>
          <w:lang w:val="es-ES_tradnl"/>
        </w:rPr>
        <w:t>2015</w:t>
      </w:r>
      <w:r w:rsidR="00D22F60" w:rsidRPr="00E7158D">
        <w:rPr>
          <w:rFonts w:ascii="Calibri" w:hAnsi="Calibri" w:cs="Calibri"/>
          <w:b/>
          <w:sz w:val="22"/>
          <w:szCs w:val="22"/>
          <w:lang w:val="es-ES_tradnl"/>
        </w:rPr>
        <w:t xml:space="preserve">: </w:t>
      </w:r>
      <w:r w:rsidRPr="00E7158D">
        <w:rPr>
          <w:rFonts w:ascii="Calibri" w:hAnsi="Calibri" w:cs="Calibri"/>
          <w:b/>
          <w:sz w:val="22"/>
          <w:szCs w:val="22"/>
          <w:lang w:val="es-ES_tradnl"/>
        </w:rPr>
        <w:t>presupuesto no básico</w:t>
      </w:r>
      <w:r w:rsidR="00315354" w:rsidRPr="00E7158D">
        <w:rPr>
          <w:rFonts w:ascii="Calibri" w:hAnsi="Calibri" w:cs="Calibri"/>
          <w:b/>
          <w:sz w:val="22"/>
          <w:szCs w:val="22"/>
          <w:lang w:val="es-ES_tradnl"/>
        </w:rPr>
        <w:t xml:space="preserve"> y contribuciones voluntarias</w:t>
      </w:r>
    </w:p>
    <w:p w14:paraId="6FCE0A47" w14:textId="77777777" w:rsidR="000E650E" w:rsidRPr="00E7158D" w:rsidRDefault="000E650E" w:rsidP="00842399">
      <w:pPr>
        <w:ind w:left="426"/>
        <w:rPr>
          <w:rFonts w:ascii="Calibri" w:hAnsi="Calibri"/>
          <w:sz w:val="22"/>
          <w:lang w:val="es-ES_tradnl"/>
        </w:rPr>
      </w:pPr>
    </w:p>
    <w:p w14:paraId="4E6D349D" w14:textId="274E5FAC" w:rsidR="0098215B" w:rsidRPr="00E7158D" w:rsidRDefault="00E94059" w:rsidP="00C04C0D">
      <w:pPr>
        <w:pStyle w:val="ListParagraph"/>
        <w:numPr>
          <w:ilvl w:val="0"/>
          <w:numId w:val="2"/>
        </w:numPr>
        <w:ind w:left="426" w:hanging="426"/>
        <w:rPr>
          <w:rFonts w:ascii="Calibri" w:hAnsi="Calibri" w:cs="Calibri"/>
          <w:bCs/>
          <w:sz w:val="22"/>
          <w:szCs w:val="22"/>
          <w:lang w:val="es-ES_tradnl"/>
        </w:rPr>
      </w:pPr>
      <w:r w:rsidRPr="00E7158D">
        <w:rPr>
          <w:rFonts w:ascii="Calibri" w:hAnsi="Calibri" w:cs="Calibri"/>
          <w:bCs/>
          <w:sz w:val="22"/>
          <w:szCs w:val="22"/>
          <w:lang w:val="es-ES_tradnl"/>
        </w:rPr>
        <w:t>En 2015, s</w:t>
      </w:r>
      <w:r w:rsidR="003B53AE" w:rsidRPr="00E7158D">
        <w:rPr>
          <w:rFonts w:ascii="Calibri" w:hAnsi="Calibri" w:cs="Calibri"/>
          <w:bCs/>
          <w:sz w:val="22"/>
          <w:szCs w:val="22"/>
          <w:lang w:val="es-ES_tradnl"/>
        </w:rPr>
        <w:t>e recibieron contribuciones voluntarias</w:t>
      </w:r>
      <w:r w:rsidRPr="00E7158D">
        <w:rPr>
          <w:rFonts w:ascii="Calibri" w:hAnsi="Calibri" w:cs="Calibri"/>
          <w:bCs/>
          <w:sz w:val="22"/>
          <w:szCs w:val="22"/>
          <w:lang w:val="es-ES_tradnl"/>
        </w:rPr>
        <w:t xml:space="preserve"> al presupuesto no básico por el importe de</w:t>
      </w:r>
      <w:r w:rsidR="002B5322" w:rsidRPr="00E7158D">
        <w:rPr>
          <w:rFonts w:ascii="Calibri" w:hAnsi="Calibri" w:cs="Calibri"/>
          <w:bCs/>
          <w:sz w:val="22"/>
          <w:szCs w:val="22"/>
          <w:lang w:val="es-ES_tradnl"/>
        </w:rPr>
        <w:t xml:space="preserve"> </w:t>
      </w:r>
      <w:r w:rsidR="0098215B" w:rsidRPr="00E7158D">
        <w:rPr>
          <w:rFonts w:ascii="Calibri" w:hAnsi="Calibri" w:cs="Calibri"/>
          <w:bCs/>
          <w:sz w:val="22"/>
          <w:szCs w:val="22"/>
          <w:lang w:val="es-ES_tradnl"/>
        </w:rPr>
        <w:t>420</w:t>
      </w:r>
      <w:r w:rsidRPr="00E7158D">
        <w:rPr>
          <w:rFonts w:ascii="Calibri" w:hAnsi="Calibri" w:cs="Calibri"/>
          <w:bCs/>
          <w:sz w:val="22"/>
          <w:szCs w:val="22"/>
          <w:lang w:val="es-ES_tradnl"/>
        </w:rPr>
        <w:t>.</w:t>
      </w:r>
      <w:r w:rsidR="0098215B" w:rsidRPr="00E7158D">
        <w:rPr>
          <w:rFonts w:ascii="Calibri" w:hAnsi="Calibri" w:cs="Calibri"/>
          <w:bCs/>
          <w:sz w:val="22"/>
          <w:szCs w:val="22"/>
          <w:lang w:val="es-ES_tradnl"/>
        </w:rPr>
        <w:t>700</w:t>
      </w:r>
      <w:r w:rsidRPr="00E7158D">
        <w:rPr>
          <w:rFonts w:ascii="Calibri" w:hAnsi="Calibri" w:cs="Calibri"/>
          <w:bCs/>
          <w:sz w:val="22"/>
          <w:szCs w:val="22"/>
          <w:lang w:val="es-ES_tradnl"/>
        </w:rPr>
        <w:t xml:space="preserve"> francos suizos</w:t>
      </w:r>
      <w:r w:rsidR="002B5322" w:rsidRPr="00E7158D">
        <w:rPr>
          <w:rFonts w:ascii="Calibri" w:hAnsi="Calibri" w:cs="Calibri"/>
          <w:bCs/>
          <w:sz w:val="22"/>
          <w:szCs w:val="22"/>
          <w:lang w:val="es-ES_tradnl"/>
        </w:rPr>
        <w:t xml:space="preserve"> </w:t>
      </w:r>
      <w:r w:rsidRPr="00E7158D">
        <w:rPr>
          <w:rFonts w:ascii="Calibri" w:hAnsi="Calibri" w:cs="Calibri"/>
          <w:bCs/>
          <w:sz w:val="22"/>
          <w:szCs w:val="22"/>
          <w:lang w:val="es-ES_tradnl"/>
        </w:rPr>
        <w:t xml:space="preserve">para patrocinar la asistencia de delegados a la 12ª reunión de la Conferencia de las Partes en </w:t>
      </w:r>
      <w:r w:rsidR="0098215B" w:rsidRPr="00E7158D">
        <w:rPr>
          <w:rFonts w:ascii="Calibri" w:hAnsi="Calibri" w:cs="Calibri"/>
          <w:bCs/>
          <w:sz w:val="22"/>
          <w:szCs w:val="22"/>
          <w:lang w:val="es-ES_tradnl"/>
        </w:rPr>
        <w:t>Punt</w:t>
      </w:r>
      <w:r w:rsidRPr="00E7158D">
        <w:rPr>
          <w:rFonts w:ascii="Calibri" w:hAnsi="Calibri" w:cs="Calibri"/>
          <w:bCs/>
          <w:sz w:val="22"/>
          <w:szCs w:val="22"/>
          <w:lang w:val="es-ES_tradnl"/>
        </w:rPr>
        <w:t>a</w:t>
      </w:r>
      <w:r w:rsidR="0098215B" w:rsidRPr="00E7158D">
        <w:rPr>
          <w:rFonts w:ascii="Calibri" w:hAnsi="Calibri" w:cs="Calibri"/>
          <w:bCs/>
          <w:sz w:val="22"/>
          <w:szCs w:val="22"/>
          <w:lang w:val="es-ES_tradnl"/>
        </w:rPr>
        <w:t xml:space="preserve"> del Este, Uruguay. </w:t>
      </w:r>
      <w:r w:rsidRPr="00E7158D">
        <w:rPr>
          <w:rFonts w:ascii="Calibri" w:hAnsi="Calibri" w:cs="Calibri"/>
          <w:bCs/>
          <w:sz w:val="22"/>
          <w:szCs w:val="22"/>
          <w:lang w:val="es-ES_tradnl"/>
        </w:rPr>
        <w:t xml:space="preserve">Dichas contribuciones figuran en la lista del Cuadro 4. </w:t>
      </w:r>
    </w:p>
    <w:p w14:paraId="4E883763" w14:textId="77777777" w:rsidR="00F23B0A" w:rsidRPr="00701888" w:rsidRDefault="00F23B0A" w:rsidP="00F23B0A">
      <w:pPr>
        <w:rPr>
          <w:rFonts w:ascii="Calibri" w:hAnsi="Calibri"/>
          <w:sz w:val="22"/>
          <w:lang w:val="es-ES_tradnl"/>
        </w:rPr>
      </w:pPr>
    </w:p>
    <w:p w14:paraId="2A63F254" w14:textId="77777777" w:rsidR="002524D9" w:rsidRDefault="002524D9">
      <w:pPr>
        <w:rPr>
          <w:rFonts w:ascii="Calibri" w:hAnsi="Calibri"/>
          <w:b/>
          <w:sz w:val="22"/>
          <w:lang w:val="es-ES_tradnl"/>
        </w:rPr>
      </w:pPr>
      <w:r>
        <w:rPr>
          <w:rFonts w:ascii="Calibri" w:hAnsi="Calibri"/>
          <w:b/>
          <w:sz w:val="22"/>
          <w:lang w:val="es-ES_tradnl"/>
        </w:rPr>
        <w:br w:type="page"/>
      </w:r>
    </w:p>
    <w:p w14:paraId="5AC1AE53" w14:textId="1E57D3C5" w:rsidR="0098215B" w:rsidRPr="00701888" w:rsidRDefault="003B53AE" w:rsidP="00F23B0A">
      <w:pPr>
        <w:rPr>
          <w:rFonts w:ascii="Calibri" w:hAnsi="Calibri"/>
          <w:b/>
          <w:sz w:val="22"/>
          <w:lang w:val="es-ES_tradnl"/>
        </w:rPr>
      </w:pPr>
      <w:r w:rsidRPr="00701888">
        <w:rPr>
          <w:rFonts w:ascii="Calibri" w:hAnsi="Calibri"/>
          <w:b/>
          <w:sz w:val="22"/>
          <w:lang w:val="es-ES_tradnl"/>
        </w:rPr>
        <w:lastRenderedPageBreak/>
        <w:t>Cuadro</w:t>
      </w:r>
      <w:r w:rsidR="00450ADD" w:rsidRPr="00701888">
        <w:rPr>
          <w:rFonts w:ascii="Calibri" w:hAnsi="Calibri"/>
          <w:b/>
          <w:sz w:val="22"/>
          <w:lang w:val="es-ES_tradnl"/>
        </w:rPr>
        <w:t xml:space="preserve"> 4</w:t>
      </w:r>
      <w:r w:rsidR="00B34800" w:rsidRPr="00701888">
        <w:rPr>
          <w:rFonts w:ascii="Calibri" w:hAnsi="Calibri"/>
          <w:b/>
          <w:sz w:val="22"/>
          <w:lang w:val="es-ES_tradnl"/>
        </w:rPr>
        <w:t>:</w:t>
      </w:r>
      <w:r w:rsidR="00450ADD" w:rsidRPr="00701888">
        <w:rPr>
          <w:rFonts w:ascii="Calibri" w:hAnsi="Calibri"/>
          <w:sz w:val="22"/>
          <w:lang w:val="es-ES_tradnl"/>
        </w:rPr>
        <w:t xml:space="preserve"> </w:t>
      </w:r>
      <w:r w:rsidRPr="00E7158D">
        <w:rPr>
          <w:rFonts w:ascii="Calibri" w:hAnsi="Calibri"/>
          <w:b/>
          <w:sz w:val="22"/>
          <w:lang w:val="es-ES_tradnl"/>
        </w:rPr>
        <w:t xml:space="preserve">Recaudación de fondos para la 12ª reunión de la Conferencia de las Partes, </w:t>
      </w:r>
      <w:r w:rsidR="00315354" w:rsidRPr="00E7158D">
        <w:rPr>
          <w:rFonts w:ascii="Calibri" w:hAnsi="Calibri"/>
          <w:b/>
          <w:sz w:val="22"/>
          <w:lang w:val="es-ES_tradnl"/>
        </w:rPr>
        <w:t>P</w:t>
      </w:r>
      <w:r w:rsidRPr="00E7158D">
        <w:rPr>
          <w:rFonts w:ascii="Calibri" w:hAnsi="Calibri"/>
          <w:b/>
          <w:sz w:val="22"/>
          <w:lang w:val="es-ES_tradnl"/>
        </w:rPr>
        <w:t>atrocinio de delegados</w:t>
      </w:r>
      <w:r w:rsidR="00315354" w:rsidRPr="00E7158D">
        <w:rPr>
          <w:rFonts w:ascii="Calibri" w:hAnsi="Calibri"/>
          <w:b/>
          <w:sz w:val="22"/>
          <w:lang w:val="es-ES_tradnl"/>
        </w:rPr>
        <w:t>, en francos suizos</w:t>
      </w:r>
    </w:p>
    <w:tbl>
      <w:tblPr>
        <w:tblW w:w="8290" w:type="dxa"/>
        <w:tblInd w:w="103" w:type="dxa"/>
        <w:tblLook w:val="04A0" w:firstRow="1" w:lastRow="0" w:firstColumn="1" w:lastColumn="0" w:noHBand="0" w:noVBand="1"/>
      </w:tblPr>
      <w:tblGrid>
        <w:gridCol w:w="3080"/>
        <w:gridCol w:w="2454"/>
        <w:gridCol w:w="2756"/>
      </w:tblGrid>
      <w:tr w:rsidR="0098215B" w:rsidRPr="00701888" w14:paraId="4CE0A678" w14:textId="77777777" w:rsidTr="003B53AE">
        <w:trPr>
          <w:trHeight w:val="288"/>
        </w:trPr>
        <w:tc>
          <w:tcPr>
            <w:tcW w:w="30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79D2F7A" w14:textId="5F3D64DE" w:rsidR="0098215B" w:rsidRPr="00701888" w:rsidRDefault="0098215B" w:rsidP="003B53AE">
            <w:pPr>
              <w:rPr>
                <w:rFonts w:asciiTheme="minorHAnsi" w:eastAsia="Times New Roman" w:hAnsiTheme="minorHAnsi"/>
                <w:b/>
                <w:bCs/>
                <w:color w:val="000000"/>
                <w:sz w:val="20"/>
                <w:szCs w:val="20"/>
                <w:lang w:val="es-ES_tradnl" w:eastAsia="en-GB"/>
              </w:rPr>
            </w:pPr>
            <w:r w:rsidRPr="00701888">
              <w:rPr>
                <w:rFonts w:asciiTheme="minorHAnsi" w:eastAsia="Times New Roman" w:hAnsiTheme="minorHAnsi"/>
                <w:b/>
                <w:bCs/>
                <w:color w:val="000000"/>
                <w:sz w:val="20"/>
                <w:szCs w:val="20"/>
                <w:lang w:val="es-ES_tradnl" w:eastAsia="en-GB"/>
              </w:rPr>
              <w:t>Don</w:t>
            </w:r>
            <w:r w:rsidR="003B53AE" w:rsidRPr="00701888">
              <w:rPr>
                <w:rFonts w:asciiTheme="minorHAnsi" w:eastAsia="Times New Roman" w:hAnsiTheme="minorHAnsi"/>
                <w:b/>
                <w:bCs/>
                <w:color w:val="000000"/>
                <w:sz w:val="20"/>
                <w:szCs w:val="20"/>
                <w:lang w:val="es-ES_tradnl" w:eastAsia="en-GB"/>
              </w:rPr>
              <w:t>ante</w:t>
            </w:r>
          </w:p>
        </w:tc>
        <w:tc>
          <w:tcPr>
            <w:tcW w:w="2454" w:type="dxa"/>
            <w:tcBorders>
              <w:top w:val="single" w:sz="4" w:space="0" w:color="auto"/>
              <w:left w:val="nil"/>
              <w:bottom w:val="single" w:sz="4" w:space="0" w:color="auto"/>
              <w:right w:val="single" w:sz="4" w:space="0" w:color="auto"/>
            </w:tcBorders>
            <w:shd w:val="clear" w:color="000000" w:fill="C5D9F1"/>
            <w:noWrap/>
            <w:vAlign w:val="bottom"/>
            <w:hideMark/>
          </w:tcPr>
          <w:p w14:paraId="74333B27" w14:textId="0F22CD9D" w:rsidR="0098215B" w:rsidRPr="00701888" w:rsidRDefault="003B53AE" w:rsidP="003B53AE">
            <w:pPr>
              <w:jc w:val="center"/>
              <w:rPr>
                <w:rFonts w:asciiTheme="minorHAnsi" w:eastAsia="Times New Roman" w:hAnsiTheme="minorHAnsi"/>
                <w:b/>
                <w:bCs/>
                <w:color w:val="000000"/>
                <w:sz w:val="20"/>
                <w:szCs w:val="20"/>
                <w:lang w:val="es-ES_tradnl" w:eastAsia="en-GB"/>
              </w:rPr>
            </w:pPr>
            <w:r w:rsidRPr="00701888">
              <w:rPr>
                <w:rFonts w:asciiTheme="minorHAnsi" w:eastAsia="Times New Roman" w:hAnsiTheme="minorHAnsi"/>
                <w:b/>
                <w:bCs/>
                <w:color w:val="000000"/>
                <w:sz w:val="20"/>
                <w:szCs w:val="20"/>
                <w:lang w:val="es-ES_tradnl" w:eastAsia="en-GB"/>
              </w:rPr>
              <w:t>Importe</w:t>
            </w:r>
            <w:r w:rsidR="00F32D9A" w:rsidRPr="00701888">
              <w:rPr>
                <w:rFonts w:asciiTheme="minorHAnsi" w:eastAsia="Times New Roman" w:hAnsiTheme="minorHAnsi"/>
                <w:b/>
                <w:bCs/>
                <w:color w:val="000000"/>
                <w:sz w:val="20"/>
                <w:szCs w:val="20"/>
                <w:lang w:val="es-ES_tradnl" w:eastAsia="en-GB"/>
              </w:rPr>
              <w:t xml:space="preserve"> en</w:t>
            </w:r>
            <w:r w:rsidR="0098215B" w:rsidRPr="00701888">
              <w:rPr>
                <w:rFonts w:asciiTheme="minorHAnsi" w:eastAsia="Times New Roman" w:hAnsiTheme="minorHAnsi"/>
                <w:b/>
                <w:bCs/>
                <w:color w:val="000000"/>
                <w:sz w:val="20"/>
                <w:szCs w:val="20"/>
                <w:lang w:val="es-ES_tradnl" w:eastAsia="en-GB"/>
              </w:rPr>
              <w:t xml:space="preserve"> </w:t>
            </w:r>
            <w:r w:rsidRPr="00701888">
              <w:rPr>
                <w:rFonts w:asciiTheme="minorHAnsi" w:eastAsia="Times New Roman" w:hAnsiTheme="minorHAnsi"/>
                <w:b/>
                <w:bCs/>
                <w:color w:val="000000"/>
                <w:sz w:val="20"/>
                <w:szCs w:val="20"/>
                <w:lang w:val="es-ES_tradnl" w:eastAsia="en-GB"/>
              </w:rPr>
              <w:t>francos suizos</w:t>
            </w:r>
          </w:p>
        </w:tc>
        <w:tc>
          <w:tcPr>
            <w:tcW w:w="2756" w:type="dxa"/>
            <w:tcBorders>
              <w:top w:val="single" w:sz="4" w:space="0" w:color="auto"/>
              <w:left w:val="nil"/>
              <w:bottom w:val="single" w:sz="4" w:space="0" w:color="auto"/>
              <w:right w:val="single" w:sz="4" w:space="0" w:color="auto"/>
            </w:tcBorders>
            <w:shd w:val="clear" w:color="000000" w:fill="C5D9F1"/>
            <w:noWrap/>
            <w:vAlign w:val="bottom"/>
            <w:hideMark/>
          </w:tcPr>
          <w:p w14:paraId="6C712D38" w14:textId="0DFF21AC" w:rsidR="0098215B" w:rsidRPr="00701888" w:rsidRDefault="003B53AE" w:rsidP="003B53AE">
            <w:pPr>
              <w:jc w:val="center"/>
              <w:rPr>
                <w:rFonts w:asciiTheme="minorHAnsi" w:eastAsia="Times New Roman" w:hAnsiTheme="minorHAnsi"/>
                <w:b/>
                <w:bCs/>
                <w:color w:val="000000"/>
                <w:sz w:val="20"/>
                <w:szCs w:val="20"/>
                <w:lang w:val="es-ES_tradnl" w:eastAsia="en-GB"/>
              </w:rPr>
            </w:pPr>
            <w:r w:rsidRPr="00701888">
              <w:rPr>
                <w:rFonts w:asciiTheme="minorHAnsi" w:eastAsia="Times New Roman" w:hAnsiTheme="minorHAnsi"/>
                <w:b/>
                <w:bCs/>
                <w:color w:val="000000"/>
                <w:sz w:val="20"/>
                <w:szCs w:val="20"/>
                <w:lang w:val="es-ES_tradnl" w:eastAsia="en-GB"/>
              </w:rPr>
              <w:t>Divisa</w:t>
            </w:r>
          </w:p>
        </w:tc>
      </w:tr>
      <w:tr w:rsidR="0098215B" w:rsidRPr="00701888" w14:paraId="715B948B"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5F1D70" w14:textId="77777777" w:rsidR="0098215B" w:rsidRPr="00701888" w:rsidRDefault="0098215B"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Star Alliance</w:t>
            </w:r>
          </w:p>
        </w:tc>
        <w:tc>
          <w:tcPr>
            <w:tcW w:w="2454" w:type="dxa"/>
            <w:tcBorders>
              <w:top w:val="nil"/>
              <w:left w:val="nil"/>
              <w:bottom w:val="single" w:sz="4" w:space="0" w:color="auto"/>
              <w:right w:val="single" w:sz="4" w:space="0" w:color="auto"/>
            </w:tcBorders>
            <w:shd w:val="clear" w:color="000000" w:fill="C5D9F1"/>
            <w:noWrap/>
            <w:vAlign w:val="bottom"/>
            <w:hideMark/>
          </w:tcPr>
          <w:p w14:paraId="18F93558" w14:textId="0FBB8EDE" w:rsidR="0098215B" w:rsidRPr="00701888" w:rsidRDefault="0098215B"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13</w:t>
            </w:r>
            <w:r w:rsidR="003B53AE" w:rsidRPr="00701888">
              <w:rPr>
                <w:rFonts w:asciiTheme="minorHAnsi" w:eastAsia="Times New Roman" w:hAnsiTheme="minorHAnsi"/>
                <w:sz w:val="20"/>
                <w:szCs w:val="20"/>
                <w:lang w:val="es-ES_tradnl" w:eastAsia="en-GB"/>
              </w:rPr>
              <w:t>.</w:t>
            </w:r>
            <w:r w:rsidRPr="00701888">
              <w:rPr>
                <w:rFonts w:asciiTheme="minorHAnsi" w:eastAsia="Times New Roman" w:hAnsiTheme="minorHAnsi"/>
                <w:sz w:val="20"/>
                <w:szCs w:val="20"/>
                <w:lang w:val="es-ES_tradnl" w:eastAsia="en-GB"/>
              </w:rPr>
              <w:t>566</w:t>
            </w:r>
          </w:p>
        </w:tc>
        <w:tc>
          <w:tcPr>
            <w:tcW w:w="2756" w:type="dxa"/>
            <w:tcBorders>
              <w:top w:val="nil"/>
              <w:left w:val="nil"/>
              <w:bottom w:val="single" w:sz="4" w:space="0" w:color="auto"/>
              <w:right w:val="single" w:sz="4" w:space="0" w:color="auto"/>
            </w:tcBorders>
            <w:shd w:val="clear" w:color="auto" w:fill="auto"/>
            <w:noWrap/>
            <w:vAlign w:val="bottom"/>
            <w:hideMark/>
          </w:tcPr>
          <w:p w14:paraId="2B803AC6" w14:textId="296483C9" w:rsidR="0098215B" w:rsidRPr="00701888" w:rsidRDefault="0098215B"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EUR 12</w:t>
            </w:r>
            <w:r w:rsidR="003B53AE" w:rsidRPr="00701888">
              <w:rPr>
                <w:rFonts w:asciiTheme="minorHAnsi" w:eastAsia="Times New Roman" w:hAnsiTheme="minorHAnsi"/>
                <w:color w:val="000000"/>
                <w:sz w:val="20"/>
                <w:szCs w:val="20"/>
                <w:lang w:val="es-ES_tradnl" w:eastAsia="en-GB"/>
              </w:rPr>
              <w:t>.</w:t>
            </w:r>
            <w:r w:rsidRPr="00701888">
              <w:rPr>
                <w:rFonts w:asciiTheme="minorHAnsi" w:eastAsia="Times New Roman" w:hAnsiTheme="minorHAnsi"/>
                <w:color w:val="000000"/>
                <w:sz w:val="20"/>
                <w:szCs w:val="20"/>
                <w:lang w:val="es-ES_tradnl" w:eastAsia="en-GB"/>
              </w:rPr>
              <w:t>995</w:t>
            </w:r>
          </w:p>
        </w:tc>
      </w:tr>
      <w:tr w:rsidR="00F871E3" w:rsidRPr="00701888" w14:paraId="1F87BB45"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3D1189A" w14:textId="10208526" w:rsidR="00F871E3" w:rsidRPr="00701888" w:rsidRDefault="00F871E3"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Alemania</w:t>
            </w:r>
          </w:p>
        </w:tc>
        <w:tc>
          <w:tcPr>
            <w:tcW w:w="2454" w:type="dxa"/>
            <w:tcBorders>
              <w:top w:val="nil"/>
              <w:left w:val="nil"/>
              <w:bottom w:val="single" w:sz="4" w:space="0" w:color="auto"/>
              <w:right w:val="single" w:sz="4" w:space="0" w:color="auto"/>
            </w:tcBorders>
            <w:shd w:val="clear" w:color="000000" w:fill="C5D9F1"/>
            <w:noWrap/>
            <w:vAlign w:val="bottom"/>
            <w:hideMark/>
          </w:tcPr>
          <w:p w14:paraId="37A9CD0C" w14:textId="4AA0AF16"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10.479 </w:t>
            </w:r>
          </w:p>
        </w:tc>
        <w:tc>
          <w:tcPr>
            <w:tcW w:w="2756" w:type="dxa"/>
            <w:tcBorders>
              <w:top w:val="nil"/>
              <w:left w:val="nil"/>
              <w:bottom w:val="single" w:sz="4" w:space="0" w:color="auto"/>
              <w:right w:val="single" w:sz="4" w:space="0" w:color="auto"/>
            </w:tcBorders>
            <w:shd w:val="clear" w:color="auto" w:fill="auto"/>
            <w:noWrap/>
            <w:vAlign w:val="bottom"/>
            <w:hideMark/>
          </w:tcPr>
          <w:p w14:paraId="082C1E01" w14:textId="1169C63F"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EUR 10.000</w:t>
            </w:r>
          </w:p>
        </w:tc>
      </w:tr>
      <w:tr w:rsidR="00F871E3" w:rsidRPr="00701888" w14:paraId="76641CB7"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52814AB" w14:textId="77777777" w:rsidR="00F871E3" w:rsidRPr="00701888" w:rsidRDefault="00F871E3"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Australia</w:t>
            </w:r>
          </w:p>
        </w:tc>
        <w:tc>
          <w:tcPr>
            <w:tcW w:w="2454" w:type="dxa"/>
            <w:tcBorders>
              <w:top w:val="nil"/>
              <w:left w:val="nil"/>
              <w:bottom w:val="single" w:sz="4" w:space="0" w:color="auto"/>
              <w:right w:val="single" w:sz="4" w:space="0" w:color="auto"/>
            </w:tcBorders>
            <w:shd w:val="clear" w:color="000000" w:fill="C5D9F1"/>
            <w:noWrap/>
            <w:vAlign w:val="bottom"/>
            <w:hideMark/>
          </w:tcPr>
          <w:p w14:paraId="5DADAC5A" w14:textId="21E71DE7"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29.660 </w:t>
            </w:r>
          </w:p>
        </w:tc>
        <w:tc>
          <w:tcPr>
            <w:tcW w:w="2756" w:type="dxa"/>
            <w:tcBorders>
              <w:top w:val="nil"/>
              <w:left w:val="nil"/>
              <w:bottom w:val="single" w:sz="4" w:space="0" w:color="auto"/>
              <w:right w:val="single" w:sz="4" w:space="0" w:color="auto"/>
            </w:tcBorders>
            <w:shd w:val="clear" w:color="auto" w:fill="auto"/>
            <w:noWrap/>
            <w:vAlign w:val="bottom"/>
            <w:hideMark/>
          </w:tcPr>
          <w:p w14:paraId="6AB9D66E" w14:textId="3A72F78B"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AUD 40.000</w:t>
            </w:r>
          </w:p>
        </w:tc>
      </w:tr>
      <w:tr w:rsidR="00F871E3" w:rsidRPr="00701888" w14:paraId="272D5ABC"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9AE81C0" w14:textId="77777777" w:rsidR="00F871E3" w:rsidRPr="00701888" w:rsidRDefault="00F871E3"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Austria</w:t>
            </w:r>
          </w:p>
        </w:tc>
        <w:tc>
          <w:tcPr>
            <w:tcW w:w="2454" w:type="dxa"/>
            <w:tcBorders>
              <w:top w:val="nil"/>
              <w:left w:val="nil"/>
              <w:bottom w:val="single" w:sz="4" w:space="0" w:color="auto"/>
              <w:right w:val="single" w:sz="4" w:space="0" w:color="auto"/>
            </w:tcBorders>
            <w:shd w:val="clear" w:color="000000" w:fill="C5D9F1"/>
            <w:noWrap/>
            <w:vAlign w:val="bottom"/>
            <w:hideMark/>
          </w:tcPr>
          <w:p w14:paraId="36B4AAE5" w14:textId="678F540E"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5.166 </w:t>
            </w:r>
          </w:p>
        </w:tc>
        <w:tc>
          <w:tcPr>
            <w:tcW w:w="2756" w:type="dxa"/>
            <w:tcBorders>
              <w:top w:val="nil"/>
              <w:left w:val="nil"/>
              <w:bottom w:val="single" w:sz="4" w:space="0" w:color="auto"/>
              <w:right w:val="single" w:sz="4" w:space="0" w:color="auto"/>
            </w:tcBorders>
            <w:shd w:val="clear" w:color="auto" w:fill="auto"/>
            <w:noWrap/>
            <w:vAlign w:val="bottom"/>
            <w:hideMark/>
          </w:tcPr>
          <w:p w14:paraId="4C0CEEAE" w14:textId="00987EA6"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EUR 5.000</w:t>
            </w:r>
          </w:p>
        </w:tc>
      </w:tr>
      <w:tr w:rsidR="00F871E3" w:rsidRPr="00701888" w14:paraId="1F9F056E"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FEA9C1" w14:textId="753F4672" w:rsidR="00F871E3" w:rsidRPr="00701888" w:rsidRDefault="00F871E3"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Canadá</w:t>
            </w:r>
          </w:p>
        </w:tc>
        <w:tc>
          <w:tcPr>
            <w:tcW w:w="2454" w:type="dxa"/>
            <w:tcBorders>
              <w:top w:val="nil"/>
              <w:left w:val="nil"/>
              <w:bottom w:val="single" w:sz="4" w:space="0" w:color="auto"/>
              <w:right w:val="single" w:sz="4" w:space="0" w:color="auto"/>
            </w:tcBorders>
            <w:shd w:val="clear" w:color="000000" w:fill="C5D9F1"/>
            <w:noWrap/>
            <w:vAlign w:val="bottom"/>
            <w:hideMark/>
          </w:tcPr>
          <w:p w14:paraId="71C30137" w14:textId="177E80B3"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30.000 </w:t>
            </w:r>
          </w:p>
        </w:tc>
        <w:tc>
          <w:tcPr>
            <w:tcW w:w="2756" w:type="dxa"/>
            <w:tcBorders>
              <w:top w:val="nil"/>
              <w:left w:val="nil"/>
              <w:bottom w:val="single" w:sz="4" w:space="0" w:color="auto"/>
              <w:right w:val="single" w:sz="4" w:space="0" w:color="auto"/>
            </w:tcBorders>
            <w:shd w:val="clear" w:color="auto" w:fill="auto"/>
            <w:noWrap/>
            <w:vAlign w:val="bottom"/>
            <w:hideMark/>
          </w:tcPr>
          <w:p w14:paraId="61128C58" w14:textId="6B1C06A7"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CAD 40.000</w:t>
            </w:r>
          </w:p>
        </w:tc>
      </w:tr>
      <w:tr w:rsidR="00F871E3" w:rsidRPr="00701888" w14:paraId="56073B69"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2A0114C" w14:textId="5B6EB8F0" w:rsidR="00F871E3" w:rsidRPr="00701888" w:rsidRDefault="00F871E3" w:rsidP="00F871E3">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Corea (la República de)</w:t>
            </w:r>
          </w:p>
        </w:tc>
        <w:tc>
          <w:tcPr>
            <w:tcW w:w="2454" w:type="dxa"/>
            <w:tcBorders>
              <w:top w:val="nil"/>
              <w:left w:val="nil"/>
              <w:bottom w:val="single" w:sz="4" w:space="0" w:color="auto"/>
              <w:right w:val="single" w:sz="4" w:space="0" w:color="auto"/>
            </w:tcBorders>
            <w:shd w:val="clear" w:color="000000" w:fill="C5D9F1"/>
            <w:noWrap/>
            <w:vAlign w:val="bottom"/>
            <w:hideMark/>
          </w:tcPr>
          <w:p w14:paraId="41C45D43" w14:textId="41B9C487"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23.750 </w:t>
            </w:r>
          </w:p>
        </w:tc>
        <w:tc>
          <w:tcPr>
            <w:tcW w:w="2756" w:type="dxa"/>
            <w:tcBorders>
              <w:top w:val="nil"/>
              <w:left w:val="nil"/>
              <w:bottom w:val="single" w:sz="4" w:space="0" w:color="auto"/>
              <w:right w:val="single" w:sz="4" w:space="0" w:color="auto"/>
            </w:tcBorders>
            <w:shd w:val="clear" w:color="auto" w:fill="auto"/>
            <w:noWrap/>
            <w:vAlign w:val="bottom"/>
            <w:hideMark/>
          </w:tcPr>
          <w:p w14:paraId="253AA636" w14:textId="0EB533C1"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USD 25.000</w:t>
            </w:r>
          </w:p>
        </w:tc>
      </w:tr>
      <w:tr w:rsidR="00F871E3" w:rsidRPr="00701888" w14:paraId="01FCA22B"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E7F0428" w14:textId="77777777" w:rsidR="00F871E3" w:rsidRPr="00701888" w:rsidRDefault="00F871E3"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Finlandia</w:t>
            </w:r>
          </w:p>
        </w:tc>
        <w:tc>
          <w:tcPr>
            <w:tcW w:w="2454" w:type="dxa"/>
            <w:tcBorders>
              <w:top w:val="nil"/>
              <w:left w:val="nil"/>
              <w:bottom w:val="single" w:sz="4" w:space="0" w:color="auto"/>
              <w:right w:val="single" w:sz="4" w:space="0" w:color="auto"/>
            </w:tcBorders>
            <w:shd w:val="clear" w:color="000000" w:fill="C5D9F1"/>
            <w:noWrap/>
            <w:vAlign w:val="bottom"/>
            <w:hideMark/>
          </w:tcPr>
          <w:p w14:paraId="19CF6AA5" w14:textId="588F3C3E"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20.807 </w:t>
            </w:r>
          </w:p>
        </w:tc>
        <w:tc>
          <w:tcPr>
            <w:tcW w:w="2756" w:type="dxa"/>
            <w:tcBorders>
              <w:top w:val="nil"/>
              <w:left w:val="nil"/>
              <w:bottom w:val="single" w:sz="4" w:space="0" w:color="auto"/>
              <w:right w:val="single" w:sz="4" w:space="0" w:color="auto"/>
            </w:tcBorders>
            <w:shd w:val="clear" w:color="auto" w:fill="auto"/>
            <w:noWrap/>
            <w:vAlign w:val="bottom"/>
            <w:hideMark/>
          </w:tcPr>
          <w:p w14:paraId="453AF603" w14:textId="0A06FB28"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EUR 20.000</w:t>
            </w:r>
          </w:p>
        </w:tc>
      </w:tr>
      <w:tr w:rsidR="00F871E3" w:rsidRPr="00701888" w14:paraId="0911A721"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3E5ED43" w14:textId="48DDDED5" w:rsidR="00F871E3" w:rsidRPr="00701888" w:rsidRDefault="00F871E3"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Noruega</w:t>
            </w:r>
          </w:p>
        </w:tc>
        <w:tc>
          <w:tcPr>
            <w:tcW w:w="2454" w:type="dxa"/>
            <w:tcBorders>
              <w:top w:val="nil"/>
              <w:left w:val="nil"/>
              <w:bottom w:val="single" w:sz="4" w:space="0" w:color="auto"/>
              <w:right w:val="single" w:sz="4" w:space="0" w:color="auto"/>
            </w:tcBorders>
            <w:shd w:val="clear" w:color="000000" w:fill="C5D9F1"/>
            <w:noWrap/>
            <w:vAlign w:val="bottom"/>
            <w:hideMark/>
          </w:tcPr>
          <w:p w14:paraId="36CC1289" w14:textId="02BA7F27"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40.847 </w:t>
            </w:r>
          </w:p>
        </w:tc>
        <w:tc>
          <w:tcPr>
            <w:tcW w:w="2756" w:type="dxa"/>
            <w:tcBorders>
              <w:top w:val="nil"/>
              <w:left w:val="nil"/>
              <w:bottom w:val="single" w:sz="4" w:space="0" w:color="auto"/>
              <w:right w:val="single" w:sz="4" w:space="0" w:color="auto"/>
            </w:tcBorders>
            <w:shd w:val="clear" w:color="auto" w:fill="auto"/>
            <w:noWrap/>
            <w:vAlign w:val="bottom"/>
            <w:hideMark/>
          </w:tcPr>
          <w:p w14:paraId="4DEFF187" w14:textId="47ACB29D"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NOK 340.000</w:t>
            </w:r>
          </w:p>
        </w:tc>
      </w:tr>
      <w:tr w:rsidR="00F871E3" w:rsidRPr="00701888" w14:paraId="4D164A09"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54563B9" w14:textId="474D1AC3" w:rsidR="00F871E3" w:rsidRPr="00701888" w:rsidRDefault="00F871E3" w:rsidP="003B53AE">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Países Bajos</w:t>
            </w:r>
          </w:p>
        </w:tc>
        <w:tc>
          <w:tcPr>
            <w:tcW w:w="2454" w:type="dxa"/>
            <w:tcBorders>
              <w:top w:val="nil"/>
              <w:left w:val="nil"/>
              <w:bottom w:val="single" w:sz="4" w:space="0" w:color="auto"/>
              <w:right w:val="single" w:sz="4" w:space="0" w:color="auto"/>
            </w:tcBorders>
            <w:shd w:val="clear" w:color="000000" w:fill="C5D9F1"/>
            <w:noWrap/>
            <w:vAlign w:val="bottom"/>
            <w:hideMark/>
          </w:tcPr>
          <w:p w14:paraId="520F75AA" w14:textId="740880A1"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8.070 </w:t>
            </w:r>
          </w:p>
        </w:tc>
        <w:tc>
          <w:tcPr>
            <w:tcW w:w="2756" w:type="dxa"/>
            <w:tcBorders>
              <w:top w:val="nil"/>
              <w:left w:val="nil"/>
              <w:bottom w:val="single" w:sz="4" w:space="0" w:color="auto"/>
              <w:right w:val="single" w:sz="4" w:space="0" w:color="auto"/>
            </w:tcBorders>
            <w:shd w:val="clear" w:color="auto" w:fill="auto"/>
            <w:noWrap/>
            <w:vAlign w:val="bottom"/>
            <w:hideMark/>
          </w:tcPr>
          <w:p w14:paraId="3621E335" w14:textId="053B9FDF"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EUR 7.500</w:t>
            </w:r>
          </w:p>
        </w:tc>
      </w:tr>
      <w:tr w:rsidR="00F871E3" w:rsidRPr="00701888" w14:paraId="51B3F946"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B2316AE" w14:textId="5B70D965" w:rsidR="00F871E3" w:rsidRPr="00701888" w:rsidRDefault="00F871E3"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Suecia</w:t>
            </w:r>
          </w:p>
        </w:tc>
        <w:tc>
          <w:tcPr>
            <w:tcW w:w="2454" w:type="dxa"/>
            <w:tcBorders>
              <w:top w:val="nil"/>
              <w:left w:val="nil"/>
              <w:bottom w:val="single" w:sz="4" w:space="0" w:color="auto"/>
              <w:right w:val="single" w:sz="4" w:space="0" w:color="auto"/>
            </w:tcBorders>
            <w:shd w:val="clear" w:color="000000" w:fill="C5D9F1"/>
            <w:noWrap/>
            <w:vAlign w:val="bottom"/>
            <w:hideMark/>
          </w:tcPr>
          <w:p w14:paraId="3C2A0221" w14:textId="1350D80D"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55.684 </w:t>
            </w:r>
          </w:p>
        </w:tc>
        <w:tc>
          <w:tcPr>
            <w:tcW w:w="2756" w:type="dxa"/>
            <w:tcBorders>
              <w:top w:val="nil"/>
              <w:left w:val="nil"/>
              <w:bottom w:val="single" w:sz="4" w:space="0" w:color="auto"/>
              <w:right w:val="single" w:sz="4" w:space="0" w:color="auto"/>
            </w:tcBorders>
            <w:shd w:val="clear" w:color="auto" w:fill="auto"/>
            <w:noWrap/>
            <w:vAlign w:val="bottom"/>
            <w:hideMark/>
          </w:tcPr>
          <w:p w14:paraId="32A07BA3" w14:textId="1F7D34D4"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SEK 500.000</w:t>
            </w:r>
          </w:p>
        </w:tc>
      </w:tr>
      <w:tr w:rsidR="00F871E3" w:rsidRPr="00701888" w14:paraId="72040A75"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06EE333" w14:textId="21607525" w:rsidR="00F871E3" w:rsidRPr="00701888" w:rsidRDefault="00F871E3"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Suiza</w:t>
            </w:r>
          </w:p>
        </w:tc>
        <w:tc>
          <w:tcPr>
            <w:tcW w:w="2454" w:type="dxa"/>
            <w:tcBorders>
              <w:top w:val="nil"/>
              <w:left w:val="nil"/>
              <w:bottom w:val="single" w:sz="4" w:space="0" w:color="auto"/>
              <w:right w:val="single" w:sz="4" w:space="0" w:color="auto"/>
            </w:tcBorders>
            <w:shd w:val="clear" w:color="000000" w:fill="C5D9F1"/>
            <w:noWrap/>
            <w:vAlign w:val="bottom"/>
            <w:hideMark/>
          </w:tcPr>
          <w:p w14:paraId="390EDD2A" w14:textId="0C7AD4E7" w:rsidR="00F871E3" w:rsidRPr="00701888" w:rsidRDefault="00F871E3"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 xml:space="preserve">115.000 </w:t>
            </w:r>
          </w:p>
        </w:tc>
        <w:tc>
          <w:tcPr>
            <w:tcW w:w="2756" w:type="dxa"/>
            <w:tcBorders>
              <w:top w:val="nil"/>
              <w:left w:val="nil"/>
              <w:bottom w:val="single" w:sz="4" w:space="0" w:color="auto"/>
              <w:right w:val="single" w:sz="4" w:space="0" w:color="auto"/>
            </w:tcBorders>
            <w:shd w:val="clear" w:color="auto" w:fill="auto"/>
            <w:noWrap/>
            <w:vAlign w:val="bottom"/>
            <w:hideMark/>
          </w:tcPr>
          <w:p w14:paraId="0A477299" w14:textId="5F4647D5" w:rsidR="00F871E3" w:rsidRPr="00701888" w:rsidRDefault="00F871E3"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CHF 115.000</w:t>
            </w:r>
          </w:p>
        </w:tc>
      </w:tr>
      <w:tr w:rsidR="0098215B" w:rsidRPr="00701888" w14:paraId="31812579"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08E553A" w14:textId="263E8CC6" w:rsidR="0098215B" w:rsidRPr="00701888" w:rsidRDefault="00210057"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PNUMA-ORAO</w:t>
            </w:r>
          </w:p>
        </w:tc>
        <w:tc>
          <w:tcPr>
            <w:tcW w:w="2454" w:type="dxa"/>
            <w:tcBorders>
              <w:top w:val="nil"/>
              <w:left w:val="nil"/>
              <w:bottom w:val="single" w:sz="4" w:space="0" w:color="auto"/>
              <w:right w:val="single" w:sz="4" w:space="0" w:color="auto"/>
            </w:tcBorders>
            <w:shd w:val="clear" w:color="000000" w:fill="C5D9F1"/>
            <w:noWrap/>
            <w:vAlign w:val="bottom"/>
            <w:hideMark/>
          </w:tcPr>
          <w:p w14:paraId="7F6871AD" w14:textId="48AB4BF7" w:rsidR="0098215B" w:rsidRPr="00701888" w:rsidRDefault="0098215B"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12</w:t>
            </w:r>
            <w:r w:rsidR="003B53AE" w:rsidRPr="00701888">
              <w:rPr>
                <w:rFonts w:asciiTheme="minorHAnsi" w:eastAsia="Times New Roman" w:hAnsiTheme="minorHAnsi"/>
                <w:sz w:val="20"/>
                <w:szCs w:val="20"/>
                <w:lang w:val="es-ES_tradnl" w:eastAsia="en-GB"/>
              </w:rPr>
              <w:t>.</w:t>
            </w:r>
            <w:r w:rsidRPr="00701888">
              <w:rPr>
                <w:rFonts w:asciiTheme="minorHAnsi" w:eastAsia="Times New Roman" w:hAnsiTheme="minorHAnsi"/>
                <w:sz w:val="20"/>
                <w:szCs w:val="20"/>
                <w:lang w:val="es-ES_tradnl" w:eastAsia="en-GB"/>
              </w:rPr>
              <w:t xml:space="preserve">949 </w:t>
            </w:r>
          </w:p>
        </w:tc>
        <w:tc>
          <w:tcPr>
            <w:tcW w:w="2756" w:type="dxa"/>
            <w:tcBorders>
              <w:top w:val="nil"/>
              <w:left w:val="nil"/>
              <w:bottom w:val="single" w:sz="4" w:space="0" w:color="auto"/>
              <w:right w:val="single" w:sz="4" w:space="0" w:color="auto"/>
            </w:tcBorders>
            <w:shd w:val="clear" w:color="auto" w:fill="auto"/>
            <w:noWrap/>
            <w:vAlign w:val="bottom"/>
            <w:hideMark/>
          </w:tcPr>
          <w:p w14:paraId="64DDF15B" w14:textId="6E8E19DF" w:rsidR="0098215B" w:rsidRPr="00701888" w:rsidRDefault="0098215B"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CHF 12</w:t>
            </w:r>
            <w:r w:rsidR="003B53AE" w:rsidRPr="00701888">
              <w:rPr>
                <w:rFonts w:asciiTheme="minorHAnsi" w:eastAsia="Times New Roman" w:hAnsiTheme="minorHAnsi"/>
                <w:color w:val="000000"/>
                <w:sz w:val="20"/>
                <w:szCs w:val="20"/>
                <w:lang w:val="es-ES_tradnl" w:eastAsia="en-GB"/>
              </w:rPr>
              <w:t>.</w:t>
            </w:r>
            <w:r w:rsidRPr="00701888">
              <w:rPr>
                <w:rFonts w:asciiTheme="minorHAnsi" w:eastAsia="Times New Roman" w:hAnsiTheme="minorHAnsi"/>
                <w:color w:val="000000"/>
                <w:sz w:val="20"/>
                <w:szCs w:val="20"/>
                <w:lang w:val="es-ES_tradnl" w:eastAsia="en-GB"/>
              </w:rPr>
              <w:t>950</w:t>
            </w:r>
          </w:p>
        </w:tc>
      </w:tr>
      <w:tr w:rsidR="0098215B" w:rsidRPr="00701888" w14:paraId="3C9E8543" w14:textId="77777777" w:rsidTr="003B53AE">
        <w:trPr>
          <w:trHeight w:val="288"/>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2875EA3" w14:textId="5C83635D" w:rsidR="0098215B" w:rsidRPr="00701888" w:rsidRDefault="0098215B" w:rsidP="003B53AE">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Ot</w:t>
            </w:r>
            <w:r w:rsidR="003B53AE" w:rsidRPr="00701888">
              <w:rPr>
                <w:rFonts w:asciiTheme="minorHAnsi" w:eastAsia="Times New Roman" w:hAnsiTheme="minorHAnsi"/>
                <w:color w:val="000000"/>
                <w:sz w:val="20"/>
                <w:szCs w:val="20"/>
                <w:lang w:val="es-ES_tradnl" w:eastAsia="en-GB"/>
              </w:rPr>
              <w:t>ros fondos</w:t>
            </w:r>
            <w:r w:rsidRPr="00701888">
              <w:rPr>
                <w:rFonts w:asciiTheme="minorHAnsi" w:eastAsia="Times New Roman" w:hAnsiTheme="minorHAnsi"/>
                <w:color w:val="000000"/>
                <w:sz w:val="20"/>
                <w:szCs w:val="20"/>
                <w:lang w:val="es-ES_tradnl" w:eastAsia="en-GB"/>
              </w:rPr>
              <w:t xml:space="preserve"> (</w:t>
            </w:r>
            <w:r w:rsidR="003B53AE" w:rsidRPr="00701888">
              <w:rPr>
                <w:rFonts w:asciiTheme="minorHAnsi" w:eastAsia="Times New Roman" w:hAnsiTheme="minorHAnsi"/>
                <w:color w:val="000000"/>
                <w:sz w:val="20"/>
                <w:szCs w:val="20"/>
                <w:lang w:val="es-ES_tradnl" w:eastAsia="en-GB"/>
              </w:rPr>
              <w:t>Nota 1</w:t>
            </w:r>
            <w:r w:rsidRPr="00701888">
              <w:rPr>
                <w:rFonts w:asciiTheme="minorHAnsi" w:eastAsia="Times New Roman" w:hAnsiTheme="minorHAnsi"/>
                <w:color w:val="000000"/>
                <w:sz w:val="20"/>
                <w:szCs w:val="20"/>
                <w:lang w:val="es-ES_tradnl" w:eastAsia="en-GB"/>
              </w:rPr>
              <w:t>)</w:t>
            </w:r>
          </w:p>
        </w:tc>
        <w:tc>
          <w:tcPr>
            <w:tcW w:w="2454" w:type="dxa"/>
            <w:tcBorders>
              <w:top w:val="nil"/>
              <w:left w:val="nil"/>
              <w:bottom w:val="single" w:sz="4" w:space="0" w:color="auto"/>
              <w:right w:val="single" w:sz="4" w:space="0" w:color="auto"/>
            </w:tcBorders>
            <w:shd w:val="clear" w:color="000000" w:fill="C5D9F1"/>
            <w:noWrap/>
            <w:vAlign w:val="bottom"/>
            <w:hideMark/>
          </w:tcPr>
          <w:p w14:paraId="5E465839" w14:textId="3787E198" w:rsidR="0098215B" w:rsidRPr="00701888" w:rsidRDefault="0098215B" w:rsidP="0098215B">
            <w:pPr>
              <w:jc w:val="right"/>
              <w:rPr>
                <w:rFonts w:asciiTheme="minorHAnsi" w:eastAsia="Times New Roman" w:hAnsiTheme="minorHAnsi"/>
                <w:sz w:val="20"/>
                <w:szCs w:val="20"/>
                <w:lang w:val="es-ES_tradnl" w:eastAsia="en-GB"/>
              </w:rPr>
            </w:pPr>
            <w:r w:rsidRPr="00701888">
              <w:rPr>
                <w:rFonts w:asciiTheme="minorHAnsi" w:eastAsia="Times New Roman" w:hAnsiTheme="minorHAnsi"/>
                <w:sz w:val="20"/>
                <w:szCs w:val="20"/>
                <w:lang w:val="es-ES_tradnl" w:eastAsia="en-GB"/>
              </w:rPr>
              <w:t>54</w:t>
            </w:r>
            <w:r w:rsidR="003B53AE" w:rsidRPr="00701888">
              <w:rPr>
                <w:rFonts w:asciiTheme="minorHAnsi" w:eastAsia="Times New Roman" w:hAnsiTheme="minorHAnsi"/>
                <w:sz w:val="20"/>
                <w:szCs w:val="20"/>
                <w:lang w:val="es-ES_tradnl" w:eastAsia="en-GB"/>
              </w:rPr>
              <w:t>.</w:t>
            </w:r>
            <w:r w:rsidRPr="00701888">
              <w:rPr>
                <w:rFonts w:asciiTheme="minorHAnsi" w:eastAsia="Times New Roman" w:hAnsiTheme="minorHAnsi"/>
                <w:sz w:val="20"/>
                <w:szCs w:val="20"/>
                <w:lang w:val="es-ES_tradnl" w:eastAsia="en-GB"/>
              </w:rPr>
              <w:t xml:space="preserve">711 </w:t>
            </w:r>
          </w:p>
        </w:tc>
        <w:tc>
          <w:tcPr>
            <w:tcW w:w="2756" w:type="dxa"/>
            <w:tcBorders>
              <w:top w:val="nil"/>
              <w:left w:val="nil"/>
              <w:bottom w:val="single" w:sz="4" w:space="0" w:color="auto"/>
              <w:right w:val="single" w:sz="4" w:space="0" w:color="auto"/>
            </w:tcBorders>
            <w:shd w:val="clear" w:color="auto" w:fill="auto"/>
            <w:noWrap/>
            <w:vAlign w:val="bottom"/>
            <w:hideMark/>
          </w:tcPr>
          <w:p w14:paraId="4BB367B6" w14:textId="72E652E4" w:rsidR="0098215B" w:rsidRPr="00701888" w:rsidRDefault="0098215B" w:rsidP="0098215B">
            <w:pPr>
              <w:jc w:val="right"/>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CHF 54</w:t>
            </w:r>
            <w:r w:rsidR="003B53AE" w:rsidRPr="00701888">
              <w:rPr>
                <w:rFonts w:asciiTheme="minorHAnsi" w:eastAsia="Times New Roman" w:hAnsiTheme="minorHAnsi"/>
                <w:color w:val="000000"/>
                <w:sz w:val="20"/>
                <w:szCs w:val="20"/>
                <w:lang w:val="es-ES_tradnl" w:eastAsia="en-GB"/>
              </w:rPr>
              <w:t>.</w:t>
            </w:r>
            <w:r w:rsidRPr="00701888">
              <w:rPr>
                <w:rFonts w:asciiTheme="minorHAnsi" w:eastAsia="Times New Roman" w:hAnsiTheme="minorHAnsi"/>
                <w:color w:val="000000"/>
                <w:sz w:val="20"/>
                <w:szCs w:val="20"/>
                <w:lang w:val="es-ES_tradnl" w:eastAsia="en-GB"/>
              </w:rPr>
              <w:t>700</w:t>
            </w:r>
          </w:p>
        </w:tc>
      </w:tr>
      <w:tr w:rsidR="0098215B" w:rsidRPr="00701888" w14:paraId="410C63AD" w14:textId="77777777" w:rsidTr="003B53AE">
        <w:trPr>
          <w:trHeight w:val="288"/>
        </w:trPr>
        <w:tc>
          <w:tcPr>
            <w:tcW w:w="3080" w:type="dxa"/>
            <w:tcBorders>
              <w:top w:val="single" w:sz="4" w:space="0" w:color="auto"/>
              <w:left w:val="single" w:sz="4" w:space="0" w:color="auto"/>
              <w:bottom w:val="single" w:sz="4" w:space="0" w:color="auto"/>
              <w:right w:val="nil"/>
            </w:tcBorders>
            <w:shd w:val="clear" w:color="000000" w:fill="8DB4E2"/>
            <w:noWrap/>
            <w:vAlign w:val="bottom"/>
            <w:hideMark/>
          </w:tcPr>
          <w:p w14:paraId="286B3482" w14:textId="77777777" w:rsidR="0098215B" w:rsidRPr="00701888" w:rsidRDefault="0098215B" w:rsidP="0098215B">
            <w:pPr>
              <w:rPr>
                <w:rFonts w:asciiTheme="minorHAnsi" w:eastAsia="Times New Roman" w:hAnsiTheme="minorHAnsi"/>
                <w:b/>
                <w:bCs/>
                <w:color w:val="000000"/>
                <w:sz w:val="20"/>
                <w:szCs w:val="20"/>
                <w:lang w:val="es-ES_tradnl" w:eastAsia="en-GB"/>
              </w:rPr>
            </w:pPr>
            <w:r w:rsidRPr="00701888">
              <w:rPr>
                <w:rFonts w:asciiTheme="minorHAnsi" w:eastAsia="Times New Roman" w:hAnsiTheme="minorHAnsi"/>
                <w:b/>
                <w:bCs/>
                <w:color w:val="000000"/>
                <w:sz w:val="20"/>
                <w:szCs w:val="20"/>
                <w:lang w:val="es-ES_tradnl" w:eastAsia="en-GB"/>
              </w:rPr>
              <w:t>Total</w:t>
            </w:r>
          </w:p>
        </w:tc>
        <w:tc>
          <w:tcPr>
            <w:tcW w:w="2454" w:type="dxa"/>
            <w:tcBorders>
              <w:top w:val="nil"/>
              <w:left w:val="nil"/>
              <w:bottom w:val="single" w:sz="4" w:space="0" w:color="auto"/>
              <w:right w:val="single" w:sz="4" w:space="0" w:color="auto"/>
            </w:tcBorders>
            <w:shd w:val="clear" w:color="000000" w:fill="D9D9D9"/>
            <w:noWrap/>
            <w:vAlign w:val="bottom"/>
            <w:hideMark/>
          </w:tcPr>
          <w:p w14:paraId="33CA188C" w14:textId="0906EA65" w:rsidR="0098215B" w:rsidRPr="00701888" w:rsidRDefault="0098215B" w:rsidP="0098215B">
            <w:pPr>
              <w:jc w:val="right"/>
              <w:rPr>
                <w:rFonts w:asciiTheme="minorHAnsi" w:eastAsia="Times New Roman" w:hAnsiTheme="minorHAnsi"/>
                <w:b/>
                <w:bCs/>
                <w:color w:val="000000"/>
                <w:sz w:val="20"/>
                <w:szCs w:val="20"/>
                <w:lang w:val="es-ES_tradnl" w:eastAsia="en-GB"/>
              </w:rPr>
            </w:pPr>
            <w:r w:rsidRPr="00701888">
              <w:rPr>
                <w:rFonts w:asciiTheme="minorHAnsi" w:eastAsia="Times New Roman" w:hAnsiTheme="minorHAnsi"/>
                <w:b/>
                <w:bCs/>
                <w:color w:val="000000"/>
                <w:sz w:val="20"/>
                <w:szCs w:val="20"/>
                <w:lang w:val="es-ES_tradnl" w:eastAsia="en-GB"/>
              </w:rPr>
              <w:t>420</w:t>
            </w:r>
            <w:r w:rsidR="003B53AE" w:rsidRPr="00701888">
              <w:rPr>
                <w:rFonts w:asciiTheme="minorHAnsi" w:eastAsia="Times New Roman" w:hAnsiTheme="minorHAnsi"/>
                <w:b/>
                <w:bCs/>
                <w:color w:val="000000"/>
                <w:sz w:val="20"/>
                <w:szCs w:val="20"/>
                <w:lang w:val="es-ES_tradnl" w:eastAsia="en-GB"/>
              </w:rPr>
              <w:t>.</w:t>
            </w:r>
            <w:r w:rsidRPr="00701888">
              <w:rPr>
                <w:rFonts w:asciiTheme="minorHAnsi" w:eastAsia="Times New Roman" w:hAnsiTheme="minorHAnsi"/>
                <w:b/>
                <w:bCs/>
                <w:color w:val="000000"/>
                <w:sz w:val="20"/>
                <w:szCs w:val="20"/>
                <w:lang w:val="es-ES_tradnl" w:eastAsia="en-GB"/>
              </w:rPr>
              <w:t xml:space="preserve">688 </w:t>
            </w:r>
          </w:p>
        </w:tc>
        <w:tc>
          <w:tcPr>
            <w:tcW w:w="2756" w:type="dxa"/>
            <w:tcBorders>
              <w:top w:val="nil"/>
              <w:left w:val="nil"/>
              <w:bottom w:val="nil"/>
              <w:right w:val="nil"/>
            </w:tcBorders>
            <w:shd w:val="clear" w:color="000000" w:fill="FFFFFF"/>
            <w:noWrap/>
            <w:vAlign w:val="bottom"/>
            <w:hideMark/>
          </w:tcPr>
          <w:p w14:paraId="6B1C8AF9" w14:textId="77777777" w:rsidR="0098215B" w:rsidRPr="00701888" w:rsidRDefault="0098215B" w:rsidP="0098215B">
            <w:pPr>
              <w:rPr>
                <w:rFonts w:asciiTheme="minorHAnsi" w:eastAsia="Times New Roman" w:hAnsiTheme="minorHAnsi"/>
                <w:color w:val="000000"/>
                <w:sz w:val="20"/>
                <w:szCs w:val="20"/>
                <w:lang w:val="es-ES_tradnl" w:eastAsia="en-GB"/>
              </w:rPr>
            </w:pPr>
            <w:r w:rsidRPr="00701888">
              <w:rPr>
                <w:rFonts w:asciiTheme="minorHAnsi" w:eastAsia="Times New Roman" w:hAnsiTheme="minorHAnsi"/>
                <w:color w:val="000000"/>
                <w:sz w:val="20"/>
                <w:szCs w:val="20"/>
                <w:lang w:val="es-ES_tradnl" w:eastAsia="en-GB"/>
              </w:rPr>
              <w:t> </w:t>
            </w:r>
          </w:p>
        </w:tc>
      </w:tr>
    </w:tbl>
    <w:p w14:paraId="5754381C" w14:textId="77777777" w:rsidR="002524D9" w:rsidRDefault="002524D9" w:rsidP="00C669C7">
      <w:pPr>
        <w:rPr>
          <w:rFonts w:asciiTheme="minorHAnsi" w:hAnsiTheme="minorHAnsi"/>
          <w:sz w:val="20"/>
          <w:lang w:val="es-ES_tradnl"/>
        </w:rPr>
      </w:pPr>
    </w:p>
    <w:p w14:paraId="1358A902" w14:textId="624831DA" w:rsidR="0098215B" w:rsidRPr="00701888" w:rsidRDefault="0098215B" w:rsidP="00C669C7">
      <w:pPr>
        <w:rPr>
          <w:rFonts w:asciiTheme="minorHAnsi" w:hAnsiTheme="minorHAnsi"/>
          <w:sz w:val="20"/>
          <w:lang w:val="es-ES_tradnl"/>
        </w:rPr>
      </w:pPr>
      <w:r w:rsidRPr="00701888">
        <w:rPr>
          <w:rFonts w:asciiTheme="minorHAnsi" w:hAnsiTheme="minorHAnsi"/>
          <w:sz w:val="20"/>
          <w:lang w:val="es-ES_tradnl"/>
        </w:rPr>
        <w:t>Not</w:t>
      </w:r>
      <w:r w:rsidR="003B53AE" w:rsidRPr="00701888">
        <w:rPr>
          <w:rFonts w:asciiTheme="minorHAnsi" w:hAnsiTheme="minorHAnsi"/>
          <w:sz w:val="20"/>
          <w:lang w:val="es-ES_tradnl"/>
        </w:rPr>
        <w:t>a</w:t>
      </w:r>
      <w:r w:rsidRPr="00701888">
        <w:rPr>
          <w:rFonts w:asciiTheme="minorHAnsi" w:hAnsiTheme="minorHAnsi"/>
          <w:sz w:val="20"/>
          <w:lang w:val="es-ES_tradnl"/>
        </w:rPr>
        <w:t xml:space="preserve"> 1: Ot</w:t>
      </w:r>
      <w:r w:rsidR="003B53AE" w:rsidRPr="00701888">
        <w:rPr>
          <w:rFonts w:asciiTheme="minorHAnsi" w:hAnsiTheme="minorHAnsi"/>
          <w:sz w:val="20"/>
          <w:lang w:val="es-ES_tradnl"/>
        </w:rPr>
        <w:t>ros fondos</w:t>
      </w:r>
      <w:r w:rsidRPr="00701888">
        <w:rPr>
          <w:rFonts w:asciiTheme="minorHAnsi" w:hAnsiTheme="minorHAnsi"/>
          <w:sz w:val="20"/>
          <w:lang w:val="es-ES_tradnl"/>
        </w:rPr>
        <w:t xml:space="preserve"> = </w:t>
      </w:r>
      <w:r w:rsidR="003B53AE" w:rsidRPr="00701888">
        <w:rPr>
          <w:rFonts w:asciiTheme="minorHAnsi" w:hAnsiTheme="minorHAnsi"/>
          <w:sz w:val="20"/>
          <w:lang w:val="es-ES_tradnl"/>
        </w:rPr>
        <w:t>cantidades restantes de otros fondos que se hubiesen acordado destinar al patrocinio de delegados.</w:t>
      </w:r>
    </w:p>
    <w:p w14:paraId="4B587E4E" w14:textId="77777777" w:rsidR="0098215B" w:rsidRPr="00701888" w:rsidRDefault="0098215B" w:rsidP="0098215B">
      <w:pPr>
        <w:pStyle w:val="ListParagraph"/>
        <w:rPr>
          <w:rFonts w:ascii="Helvetica" w:hAnsi="Helvetica" w:cs="Arial"/>
          <w:sz w:val="18"/>
          <w:szCs w:val="18"/>
          <w:lang w:val="es-ES_tradnl"/>
        </w:rPr>
      </w:pPr>
    </w:p>
    <w:p w14:paraId="1CF2423E" w14:textId="77777777" w:rsidR="00550BE1" w:rsidRPr="00701888" w:rsidRDefault="00550BE1" w:rsidP="0098215B">
      <w:pPr>
        <w:pStyle w:val="ListParagraph"/>
        <w:rPr>
          <w:rFonts w:ascii="Helvetica" w:hAnsi="Helvetica" w:cs="Arial"/>
          <w:sz w:val="18"/>
          <w:szCs w:val="18"/>
          <w:lang w:val="es-ES_tradnl"/>
        </w:rPr>
      </w:pPr>
    </w:p>
    <w:p w14:paraId="14E3F814" w14:textId="4B2B943E" w:rsidR="000876AD" w:rsidRPr="00701888" w:rsidRDefault="003B53AE" w:rsidP="00C04C0D">
      <w:pPr>
        <w:numPr>
          <w:ilvl w:val="0"/>
          <w:numId w:val="2"/>
        </w:numPr>
        <w:ind w:left="426" w:hanging="426"/>
        <w:rPr>
          <w:rFonts w:ascii="Calibri" w:hAnsi="Calibri" w:cs="Calibri"/>
          <w:bCs/>
          <w:sz w:val="22"/>
          <w:szCs w:val="22"/>
          <w:lang w:val="es-ES_tradnl"/>
        </w:rPr>
      </w:pPr>
      <w:r w:rsidRPr="00701888">
        <w:rPr>
          <w:rFonts w:ascii="Calibri" w:hAnsi="Calibri"/>
          <w:sz w:val="22"/>
          <w:lang w:val="es-ES_tradnl"/>
        </w:rPr>
        <w:t xml:space="preserve">Los Estados Unidos de América hizo una contribución voluntaria de </w:t>
      </w:r>
      <w:r w:rsidR="000876AD" w:rsidRPr="00701888">
        <w:rPr>
          <w:rFonts w:ascii="Calibri" w:hAnsi="Calibri"/>
          <w:sz w:val="22"/>
          <w:lang w:val="es-ES_tradnl"/>
        </w:rPr>
        <w:t>1</w:t>
      </w:r>
      <w:r w:rsidRPr="00701888">
        <w:rPr>
          <w:rFonts w:ascii="Calibri" w:hAnsi="Calibri"/>
          <w:sz w:val="22"/>
          <w:lang w:val="es-ES_tradnl"/>
        </w:rPr>
        <w:t>.</w:t>
      </w:r>
      <w:r w:rsidR="000876AD" w:rsidRPr="00701888">
        <w:rPr>
          <w:rFonts w:ascii="Calibri" w:hAnsi="Calibri"/>
          <w:sz w:val="22"/>
          <w:lang w:val="es-ES_tradnl"/>
        </w:rPr>
        <w:t>149</w:t>
      </w:r>
      <w:r w:rsidRPr="00701888">
        <w:rPr>
          <w:rFonts w:ascii="Calibri" w:hAnsi="Calibri"/>
          <w:sz w:val="22"/>
          <w:lang w:val="es-ES_tradnl"/>
        </w:rPr>
        <w:t>.</w:t>
      </w:r>
      <w:r w:rsidR="000876AD" w:rsidRPr="00701888">
        <w:rPr>
          <w:rFonts w:ascii="Calibri" w:hAnsi="Calibri"/>
          <w:sz w:val="22"/>
          <w:lang w:val="es-ES_tradnl"/>
        </w:rPr>
        <w:t>575</w:t>
      </w:r>
      <w:r w:rsidRPr="00701888">
        <w:rPr>
          <w:rFonts w:ascii="Calibri" w:hAnsi="Calibri"/>
          <w:sz w:val="22"/>
          <w:lang w:val="es-ES_tradnl"/>
        </w:rPr>
        <w:t xml:space="preserve"> francos suizos</w:t>
      </w:r>
      <w:r w:rsidR="002D0871" w:rsidRPr="00701888">
        <w:rPr>
          <w:rFonts w:ascii="Calibri" w:hAnsi="Calibri"/>
          <w:sz w:val="22"/>
          <w:lang w:val="es-ES_tradnl"/>
        </w:rPr>
        <w:t xml:space="preserve"> (1</w:t>
      </w:r>
      <w:r w:rsidRPr="00701888">
        <w:rPr>
          <w:rFonts w:ascii="Calibri" w:hAnsi="Calibri"/>
          <w:sz w:val="22"/>
          <w:lang w:val="es-ES_tradnl"/>
        </w:rPr>
        <w:t>.</w:t>
      </w:r>
      <w:r w:rsidR="002D0871" w:rsidRPr="00701888">
        <w:rPr>
          <w:rFonts w:ascii="Calibri" w:hAnsi="Calibri"/>
          <w:sz w:val="22"/>
          <w:lang w:val="es-ES_tradnl"/>
        </w:rPr>
        <w:t>150</w:t>
      </w:r>
      <w:r w:rsidRPr="00701888">
        <w:rPr>
          <w:rFonts w:ascii="Calibri" w:hAnsi="Calibri"/>
          <w:sz w:val="22"/>
          <w:lang w:val="es-ES_tradnl"/>
        </w:rPr>
        <w:t>.</w:t>
      </w:r>
      <w:r w:rsidR="002D0871" w:rsidRPr="00701888">
        <w:rPr>
          <w:rFonts w:ascii="Calibri" w:hAnsi="Calibri"/>
          <w:sz w:val="22"/>
          <w:lang w:val="es-ES_tradnl"/>
        </w:rPr>
        <w:t>000</w:t>
      </w:r>
      <w:r w:rsidRPr="00701888">
        <w:rPr>
          <w:rFonts w:ascii="Calibri" w:hAnsi="Calibri"/>
          <w:sz w:val="22"/>
          <w:lang w:val="es-ES_tradnl"/>
        </w:rPr>
        <w:t xml:space="preserve"> dólares de los EE.UU.</w:t>
      </w:r>
      <w:r w:rsidR="002D0871" w:rsidRPr="00701888">
        <w:rPr>
          <w:rFonts w:ascii="Calibri" w:hAnsi="Calibri"/>
          <w:sz w:val="22"/>
          <w:lang w:val="es-ES_tradnl"/>
        </w:rPr>
        <w:t>)</w:t>
      </w:r>
      <w:r w:rsidRPr="00701888">
        <w:rPr>
          <w:rFonts w:ascii="Calibri" w:hAnsi="Calibri"/>
          <w:sz w:val="22"/>
          <w:lang w:val="es-ES_tradnl"/>
        </w:rPr>
        <w:t xml:space="preserve">, de los cuales </w:t>
      </w:r>
      <w:r w:rsidR="000876AD" w:rsidRPr="00701888">
        <w:rPr>
          <w:rFonts w:ascii="Calibri" w:hAnsi="Calibri"/>
          <w:sz w:val="22"/>
          <w:lang w:val="es-ES_tradnl"/>
        </w:rPr>
        <w:t>1</w:t>
      </w:r>
      <w:r w:rsidRPr="00701888">
        <w:rPr>
          <w:rFonts w:ascii="Calibri" w:hAnsi="Calibri"/>
          <w:sz w:val="22"/>
          <w:lang w:val="es-ES_tradnl"/>
        </w:rPr>
        <w:t>.</w:t>
      </w:r>
      <w:r w:rsidR="000876AD" w:rsidRPr="00701888">
        <w:rPr>
          <w:rFonts w:ascii="Calibri" w:hAnsi="Calibri"/>
          <w:sz w:val="22"/>
          <w:lang w:val="es-ES_tradnl"/>
        </w:rPr>
        <w:t>065</w:t>
      </w:r>
      <w:r w:rsidRPr="00701888">
        <w:rPr>
          <w:rFonts w:ascii="Calibri" w:hAnsi="Calibri"/>
          <w:sz w:val="22"/>
          <w:lang w:val="es-ES_tradnl"/>
        </w:rPr>
        <w:t>.</w:t>
      </w:r>
      <w:r w:rsidR="000876AD" w:rsidRPr="00701888">
        <w:rPr>
          <w:rFonts w:ascii="Calibri" w:hAnsi="Calibri"/>
          <w:sz w:val="22"/>
          <w:lang w:val="es-ES_tradnl"/>
        </w:rPr>
        <w:t>800</w:t>
      </w:r>
      <w:r w:rsidRPr="00701888">
        <w:rPr>
          <w:rFonts w:ascii="Calibri" w:hAnsi="Calibri"/>
          <w:sz w:val="22"/>
          <w:lang w:val="es-ES_tradnl"/>
        </w:rPr>
        <w:t xml:space="preserve"> francos suizos</w:t>
      </w:r>
      <w:r w:rsidR="000876AD" w:rsidRPr="00701888">
        <w:rPr>
          <w:rFonts w:ascii="Calibri" w:hAnsi="Calibri"/>
          <w:sz w:val="22"/>
          <w:lang w:val="es-ES_tradnl"/>
        </w:rPr>
        <w:t xml:space="preserve"> </w:t>
      </w:r>
      <w:r w:rsidRPr="00701888">
        <w:rPr>
          <w:rFonts w:ascii="Calibri" w:hAnsi="Calibri"/>
          <w:sz w:val="22"/>
          <w:lang w:val="es-ES_tradnl"/>
        </w:rPr>
        <w:t xml:space="preserve">fueron destinados al presupuesto básico de la Secretaría y </w:t>
      </w:r>
      <w:r w:rsidR="000876AD" w:rsidRPr="00701888">
        <w:rPr>
          <w:rFonts w:ascii="Calibri" w:hAnsi="Calibri"/>
          <w:sz w:val="22"/>
          <w:lang w:val="es-ES_tradnl"/>
        </w:rPr>
        <w:t>83</w:t>
      </w:r>
      <w:r w:rsidR="00E94059" w:rsidRPr="00701888">
        <w:rPr>
          <w:rFonts w:ascii="Calibri" w:hAnsi="Calibri"/>
          <w:sz w:val="22"/>
          <w:lang w:val="es-ES_tradnl"/>
        </w:rPr>
        <w:t>.</w:t>
      </w:r>
      <w:r w:rsidR="000876AD" w:rsidRPr="00701888">
        <w:rPr>
          <w:rFonts w:ascii="Calibri" w:hAnsi="Calibri"/>
          <w:sz w:val="22"/>
          <w:lang w:val="es-ES_tradnl"/>
        </w:rPr>
        <w:t>775</w:t>
      </w:r>
      <w:r w:rsidR="00E94059" w:rsidRPr="00701888">
        <w:rPr>
          <w:rFonts w:ascii="Calibri" w:hAnsi="Calibri"/>
          <w:sz w:val="22"/>
          <w:lang w:val="es-ES_tradnl"/>
        </w:rPr>
        <w:t xml:space="preserve"> francos suizos se destinaron a proyectos no financiados del presupuesto básico a través del Fondo</w:t>
      </w:r>
      <w:r w:rsidR="002B5322" w:rsidRPr="00701888">
        <w:rPr>
          <w:rFonts w:ascii="Calibri" w:hAnsi="Calibri"/>
          <w:sz w:val="22"/>
          <w:lang w:val="es-ES_tradnl"/>
        </w:rPr>
        <w:t xml:space="preserve"> </w:t>
      </w:r>
      <w:r w:rsidR="00E94059" w:rsidRPr="00701888">
        <w:rPr>
          <w:rFonts w:ascii="Calibri" w:hAnsi="Calibri"/>
          <w:sz w:val="22"/>
          <w:lang w:val="es-ES_tradnl"/>
        </w:rPr>
        <w:t xml:space="preserve">Humedales para el Futuro. </w:t>
      </w:r>
    </w:p>
    <w:p w14:paraId="08B0C98C" w14:textId="77777777" w:rsidR="000876AD" w:rsidRPr="00701888" w:rsidRDefault="000876AD" w:rsidP="00C04C0D">
      <w:pPr>
        <w:pStyle w:val="ListParagraph"/>
        <w:ind w:left="426"/>
        <w:rPr>
          <w:rFonts w:ascii="Calibri" w:hAnsi="Calibri"/>
          <w:sz w:val="22"/>
          <w:lang w:val="es-ES_tradnl"/>
        </w:rPr>
      </w:pPr>
    </w:p>
    <w:p w14:paraId="0130AEC5" w14:textId="689294D8" w:rsidR="00015175" w:rsidRPr="00701888" w:rsidRDefault="00543A58" w:rsidP="00C04C0D">
      <w:pPr>
        <w:pStyle w:val="ListParagraph"/>
        <w:numPr>
          <w:ilvl w:val="0"/>
          <w:numId w:val="2"/>
        </w:numPr>
        <w:ind w:left="426" w:hanging="426"/>
        <w:rPr>
          <w:rFonts w:ascii="Calibri" w:hAnsi="Calibri"/>
          <w:sz w:val="22"/>
          <w:lang w:val="es-ES_tradnl"/>
        </w:rPr>
      </w:pPr>
      <w:r w:rsidRPr="00701888">
        <w:rPr>
          <w:rFonts w:ascii="Calibri" w:hAnsi="Calibri"/>
          <w:sz w:val="22"/>
          <w:lang w:val="es-ES_tradnl"/>
        </w:rPr>
        <w:t>En 2015, s</w:t>
      </w:r>
      <w:r w:rsidR="00E94059" w:rsidRPr="00701888">
        <w:rPr>
          <w:rFonts w:ascii="Calibri" w:hAnsi="Calibri"/>
          <w:sz w:val="22"/>
          <w:lang w:val="es-ES_tradnl"/>
        </w:rPr>
        <w:t xml:space="preserve">e recibieron otras contribuciones voluntarias </w:t>
      </w:r>
      <w:r w:rsidR="003E59C5" w:rsidRPr="00701888">
        <w:rPr>
          <w:rFonts w:ascii="Calibri" w:hAnsi="Calibri"/>
          <w:sz w:val="22"/>
          <w:lang w:val="es-ES_tradnl"/>
        </w:rPr>
        <w:t xml:space="preserve">en efectivo </w:t>
      </w:r>
      <w:r w:rsidRPr="00701888">
        <w:rPr>
          <w:rFonts w:ascii="Calibri" w:hAnsi="Calibri"/>
          <w:sz w:val="22"/>
          <w:lang w:val="es-ES_tradnl"/>
        </w:rPr>
        <w:t xml:space="preserve">por un importe de </w:t>
      </w:r>
      <w:r w:rsidR="007D6396" w:rsidRPr="00701888">
        <w:rPr>
          <w:rFonts w:ascii="Calibri" w:hAnsi="Calibri"/>
          <w:sz w:val="22"/>
          <w:lang w:val="es-ES_tradnl"/>
        </w:rPr>
        <w:t>618</w:t>
      </w:r>
      <w:r w:rsidRPr="00701888">
        <w:rPr>
          <w:rFonts w:ascii="Calibri" w:hAnsi="Calibri"/>
          <w:sz w:val="22"/>
          <w:lang w:val="es-ES_tradnl"/>
        </w:rPr>
        <w:t>.</w:t>
      </w:r>
      <w:r w:rsidR="000E650E" w:rsidRPr="00701888">
        <w:rPr>
          <w:rFonts w:ascii="Calibri" w:hAnsi="Calibri"/>
          <w:sz w:val="22"/>
          <w:lang w:val="es-ES_tradnl"/>
        </w:rPr>
        <w:t>000</w:t>
      </w:r>
      <w:r w:rsidRPr="00701888">
        <w:rPr>
          <w:rFonts w:ascii="Calibri" w:hAnsi="Calibri"/>
          <w:sz w:val="22"/>
          <w:lang w:val="es-ES_tradnl"/>
        </w:rPr>
        <w:t xml:space="preserve"> francos suizos que se desglosa de la forma siguiente:</w:t>
      </w:r>
      <w:r w:rsidR="002B5322" w:rsidRPr="00701888">
        <w:rPr>
          <w:rFonts w:ascii="Calibri" w:hAnsi="Calibri"/>
          <w:sz w:val="22"/>
          <w:lang w:val="es-ES_tradnl"/>
        </w:rPr>
        <w:t xml:space="preserve"> </w:t>
      </w:r>
      <w:r w:rsidR="007D6396" w:rsidRPr="00701888">
        <w:rPr>
          <w:rFonts w:ascii="Calibri" w:hAnsi="Calibri"/>
          <w:sz w:val="22"/>
          <w:lang w:val="es-ES_tradnl"/>
        </w:rPr>
        <w:t>259</w:t>
      </w:r>
      <w:r w:rsidRPr="00701888">
        <w:rPr>
          <w:rFonts w:ascii="Calibri" w:hAnsi="Calibri"/>
          <w:sz w:val="22"/>
          <w:lang w:val="es-ES_tradnl"/>
        </w:rPr>
        <w:t>.</w:t>
      </w:r>
      <w:r w:rsidR="000E650E" w:rsidRPr="00701888">
        <w:rPr>
          <w:rFonts w:ascii="Calibri" w:hAnsi="Calibri"/>
          <w:sz w:val="22"/>
          <w:lang w:val="es-ES_tradnl"/>
        </w:rPr>
        <w:t>000</w:t>
      </w:r>
      <w:r w:rsidRPr="00701888">
        <w:rPr>
          <w:rFonts w:ascii="Calibri" w:hAnsi="Calibri"/>
          <w:sz w:val="22"/>
          <w:lang w:val="es-ES_tradnl"/>
        </w:rPr>
        <w:t xml:space="preserve"> francos suizos </w:t>
      </w:r>
      <w:r w:rsidR="00F95DE6" w:rsidRPr="00701888">
        <w:rPr>
          <w:rFonts w:ascii="Calibri" w:hAnsi="Calibri"/>
          <w:sz w:val="22"/>
          <w:lang w:val="es-ES_tradnl"/>
        </w:rPr>
        <w:t xml:space="preserve">de </w:t>
      </w:r>
      <w:r w:rsidRPr="00701888">
        <w:rPr>
          <w:rFonts w:ascii="Calibri" w:hAnsi="Calibri"/>
          <w:sz w:val="22"/>
          <w:lang w:val="es-ES_tradnl"/>
        </w:rPr>
        <w:t>Danone</w:t>
      </w:r>
      <w:r w:rsidR="006467EE" w:rsidRPr="00701888">
        <w:rPr>
          <w:rFonts w:ascii="Calibri" w:hAnsi="Calibri"/>
          <w:sz w:val="22"/>
          <w:lang w:val="es-ES_tradnl"/>
        </w:rPr>
        <w:t xml:space="preserve"> en señal de </w:t>
      </w:r>
      <w:r w:rsidR="00F95DE6" w:rsidRPr="00701888">
        <w:rPr>
          <w:rFonts w:ascii="Calibri" w:hAnsi="Calibri"/>
          <w:sz w:val="22"/>
          <w:lang w:val="es-ES_tradnl"/>
        </w:rPr>
        <w:t xml:space="preserve">su compromiso </w:t>
      </w:r>
      <w:r w:rsidR="006467EE" w:rsidRPr="00701888">
        <w:rPr>
          <w:rFonts w:ascii="Calibri" w:hAnsi="Calibri"/>
          <w:sz w:val="22"/>
          <w:lang w:val="es-ES_tradnl"/>
        </w:rPr>
        <w:t>constante para ayudar a Ramsar a comunicar su misión (específicamente,</w:t>
      </w:r>
      <w:r w:rsidR="002B5322" w:rsidRPr="00701888">
        <w:rPr>
          <w:rFonts w:ascii="Calibri" w:hAnsi="Calibri"/>
          <w:sz w:val="22"/>
          <w:lang w:val="es-ES_tradnl"/>
        </w:rPr>
        <w:t xml:space="preserve"> </w:t>
      </w:r>
      <w:r w:rsidR="006467EE" w:rsidRPr="00701888">
        <w:rPr>
          <w:rFonts w:ascii="Calibri" w:hAnsi="Calibri"/>
          <w:sz w:val="22"/>
          <w:lang w:val="es-ES_tradnl"/>
        </w:rPr>
        <w:t>p</w:t>
      </w:r>
      <w:r w:rsidR="00210057" w:rsidRPr="00701888">
        <w:rPr>
          <w:rFonts w:ascii="Calibri" w:hAnsi="Calibri"/>
          <w:sz w:val="22"/>
          <w:lang w:val="es-ES_tradnl"/>
        </w:rPr>
        <w:t>ara p</w:t>
      </w:r>
      <w:r w:rsidR="006467EE" w:rsidRPr="00701888">
        <w:rPr>
          <w:rFonts w:ascii="Calibri" w:hAnsi="Calibri"/>
          <w:sz w:val="22"/>
          <w:lang w:val="es-ES_tradnl"/>
        </w:rPr>
        <w:t xml:space="preserve">romover el bienestar humano y </w:t>
      </w:r>
      <w:r w:rsidR="00C94FD0" w:rsidRPr="00701888">
        <w:rPr>
          <w:rFonts w:ascii="Calibri" w:hAnsi="Calibri"/>
          <w:sz w:val="22"/>
          <w:lang w:val="es-ES_tradnl"/>
        </w:rPr>
        <w:t xml:space="preserve">los humedales saludables); </w:t>
      </w:r>
      <w:r w:rsidR="007D6396" w:rsidRPr="00701888">
        <w:rPr>
          <w:rFonts w:ascii="Calibri" w:hAnsi="Calibri"/>
          <w:sz w:val="22"/>
          <w:lang w:val="es-ES_tradnl"/>
        </w:rPr>
        <w:t>100</w:t>
      </w:r>
      <w:r w:rsidR="00F95DE6" w:rsidRPr="00701888">
        <w:rPr>
          <w:rFonts w:ascii="Calibri" w:hAnsi="Calibri"/>
          <w:sz w:val="22"/>
          <w:lang w:val="es-ES_tradnl"/>
        </w:rPr>
        <w:t>.</w:t>
      </w:r>
      <w:r w:rsidR="000E650E" w:rsidRPr="00701888">
        <w:rPr>
          <w:rFonts w:ascii="Calibri" w:hAnsi="Calibri"/>
          <w:sz w:val="22"/>
          <w:lang w:val="es-ES_tradnl"/>
        </w:rPr>
        <w:t>000</w:t>
      </w:r>
      <w:r w:rsidR="00F95DE6" w:rsidRPr="00701888">
        <w:rPr>
          <w:rFonts w:ascii="Calibri" w:hAnsi="Calibri"/>
          <w:sz w:val="22"/>
          <w:lang w:val="es-ES_tradnl"/>
        </w:rPr>
        <w:t xml:space="preserve"> francos suizos del Gobierno de Suiza para las traducciones para la 12ª reunión de la Conferencia de las Partes;</w:t>
      </w:r>
      <w:r w:rsidR="000E650E" w:rsidRPr="00701888">
        <w:rPr>
          <w:rFonts w:ascii="Calibri" w:hAnsi="Calibri"/>
          <w:sz w:val="22"/>
          <w:lang w:val="es-ES_tradnl"/>
        </w:rPr>
        <w:t xml:space="preserve"> </w:t>
      </w:r>
      <w:r w:rsidR="007D6396" w:rsidRPr="00701888">
        <w:rPr>
          <w:rFonts w:ascii="Calibri" w:hAnsi="Calibri"/>
          <w:sz w:val="22"/>
          <w:lang w:val="es-ES_tradnl"/>
        </w:rPr>
        <w:t>177</w:t>
      </w:r>
      <w:r w:rsidR="00C94FD0" w:rsidRPr="00701888">
        <w:rPr>
          <w:rFonts w:ascii="Calibri" w:hAnsi="Calibri"/>
          <w:sz w:val="22"/>
          <w:lang w:val="es-ES_tradnl"/>
        </w:rPr>
        <w:t>.</w:t>
      </w:r>
      <w:r w:rsidR="007D6396" w:rsidRPr="00701888">
        <w:rPr>
          <w:rFonts w:ascii="Calibri" w:hAnsi="Calibri"/>
          <w:sz w:val="22"/>
          <w:lang w:val="es-ES_tradnl"/>
        </w:rPr>
        <w:t>000</w:t>
      </w:r>
      <w:r w:rsidR="00C94FD0" w:rsidRPr="00701888">
        <w:rPr>
          <w:rFonts w:ascii="Calibri" w:hAnsi="Calibri"/>
          <w:sz w:val="22"/>
          <w:lang w:val="es-ES_tradnl"/>
        </w:rPr>
        <w:t xml:space="preserve"> francos suizos de </w:t>
      </w:r>
      <w:r w:rsidR="007D6396" w:rsidRPr="00701888">
        <w:rPr>
          <w:rFonts w:ascii="Calibri" w:hAnsi="Calibri"/>
          <w:sz w:val="22"/>
          <w:lang w:val="es-ES_tradnl"/>
        </w:rPr>
        <w:t xml:space="preserve">MAVA </w:t>
      </w:r>
      <w:r w:rsidR="009F4E0B" w:rsidRPr="00701888">
        <w:rPr>
          <w:rFonts w:ascii="Calibri" w:hAnsi="Calibri"/>
          <w:sz w:val="22"/>
          <w:lang w:val="es-ES_tradnl"/>
        </w:rPr>
        <w:t xml:space="preserve">para la conservación del patrimonio natural y cultural de los humedales; </w:t>
      </w:r>
      <w:r w:rsidR="0071064E" w:rsidRPr="00701888">
        <w:rPr>
          <w:rFonts w:ascii="Calibri" w:hAnsi="Calibri"/>
          <w:sz w:val="22"/>
          <w:lang w:val="es-ES_tradnl"/>
        </w:rPr>
        <w:t xml:space="preserve">y </w:t>
      </w:r>
      <w:r w:rsidR="007D6396" w:rsidRPr="00701888">
        <w:rPr>
          <w:rFonts w:ascii="Calibri" w:hAnsi="Calibri"/>
          <w:sz w:val="22"/>
          <w:lang w:val="es-ES_tradnl"/>
        </w:rPr>
        <w:t>41</w:t>
      </w:r>
      <w:r w:rsidR="0091031C">
        <w:rPr>
          <w:rFonts w:ascii="Calibri" w:hAnsi="Calibri"/>
          <w:sz w:val="22"/>
          <w:lang w:val="es-ES_tradnl"/>
        </w:rPr>
        <w:t>.</w:t>
      </w:r>
      <w:r w:rsidR="007D6396" w:rsidRPr="00701888">
        <w:rPr>
          <w:rFonts w:ascii="Calibri" w:hAnsi="Calibri"/>
          <w:sz w:val="22"/>
          <w:lang w:val="es-ES_tradnl"/>
        </w:rPr>
        <w:t>000</w:t>
      </w:r>
      <w:r w:rsidR="009F4E0B" w:rsidRPr="00701888">
        <w:rPr>
          <w:rFonts w:ascii="Calibri" w:hAnsi="Calibri"/>
          <w:sz w:val="22"/>
          <w:lang w:val="es-ES_tradnl"/>
        </w:rPr>
        <w:t xml:space="preserve"> francos suizos de la Convenio sobre la Diversidad Biológica para una publicación sobre </w:t>
      </w:r>
      <w:r w:rsidR="00315354" w:rsidRPr="00701888">
        <w:rPr>
          <w:rFonts w:ascii="Calibri" w:hAnsi="Calibri"/>
          <w:sz w:val="22"/>
          <w:lang w:val="es-ES_tradnl"/>
        </w:rPr>
        <w:t xml:space="preserve">el mantenimiento de </w:t>
      </w:r>
      <w:r w:rsidR="00D001E5" w:rsidRPr="00701888">
        <w:rPr>
          <w:rFonts w:ascii="Calibri" w:hAnsi="Calibri"/>
          <w:sz w:val="22"/>
          <w:lang w:val="es-ES_tradnl"/>
        </w:rPr>
        <w:t>la capacidad de la diversidad biológica para continuar sustentando el ciclo hidrológico</w:t>
      </w:r>
      <w:r w:rsidR="00122AF1" w:rsidRPr="00701888">
        <w:rPr>
          <w:rFonts w:ascii="Calibri" w:hAnsi="Calibri"/>
          <w:sz w:val="22"/>
          <w:lang w:val="es-ES_tradnl"/>
        </w:rPr>
        <w:t>.</w:t>
      </w:r>
      <w:r w:rsidR="00D001E5" w:rsidRPr="00701888">
        <w:rPr>
          <w:lang w:val="es-ES_tradnl"/>
        </w:rPr>
        <w:t xml:space="preserve"> </w:t>
      </w:r>
      <w:r w:rsidR="009F4E0B" w:rsidRPr="00701888">
        <w:rPr>
          <w:rFonts w:ascii="Calibri" w:hAnsi="Calibri"/>
          <w:sz w:val="22"/>
          <w:lang w:val="es-ES_tradnl"/>
        </w:rPr>
        <w:t>Corea del Sur</w:t>
      </w:r>
      <w:r w:rsidR="00015175" w:rsidRPr="00701888">
        <w:rPr>
          <w:rFonts w:ascii="Calibri" w:hAnsi="Calibri"/>
          <w:sz w:val="22"/>
          <w:lang w:val="es-ES_tradnl"/>
        </w:rPr>
        <w:t xml:space="preserve"> (7</w:t>
      </w:r>
      <w:r w:rsidR="009F4E0B" w:rsidRPr="00701888">
        <w:rPr>
          <w:rFonts w:ascii="Calibri" w:hAnsi="Calibri"/>
          <w:sz w:val="22"/>
          <w:lang w:val="es-ES_tradnl"/>
        </w:rPr>
        <w:t>.</w:t>
      </w:r>
      <w:r w:rsidR="00015175" w:rsidRPr="00701888">
        <w:rPr>
          <w:rFonts w:ascii="Calibri" w:hAnsi="Calibri"/>
          <w:sz w:val="22"/>
          <w:lang w:val="es-ES_tradnl"/>
        </w:rPr>
        <w:t>680</w:t>
      </w:r>
      <w:r w:rsidR="009F4E0B" w:rsidRPr="00701888">
        <w:rPr>
          <w:rFonts w:ascii="Calibri" w:hAnsi="Calibri"/>
          <w:sz w:val="22"/>
          <w:lang w:val="es-ES_tradnl"/>
        </w:rPr>
        <w:t xml:space="preserve"> francos suizos</w:t>
      </w:r>
      <w:r w:rsidR="00015175" w:rsidRPr="00701888">
        <w:rPr>
          <w:rFonts w:ascii="Calibri" w:hAnsi="Calibri"/>
          <w:sz w:val="22"/>
          <w:lang w:val="es-ES_tradnl"/>
        </w:rPr>
        <w:t>)</w:t>
      </w:r>
      <w:r w:rsidR="00380039" w:rsidRPr="00701888">
        <w:rPr>
          <w:rFonts w:ascii="Calibri" w:hAnsi="Calibri"/>
          <w:sz w:val="22"/>
          <w:lang w:val="es-ES_tradnl"/>
        </w:rPr>
        <w:t>, Jap</w:t>
      </w:r>
      <w:r w:rsidR="009F4E0B" w:rsidRPr="00701888">
        <w:rPr>
          <w:rFonts w:ascii="Calibri" w:hAnsi="Calibri"/>
          <w:sz w:val="22"/>
          <w:lang w:val="es-ES_tradnl"/>
        </w:rPr>
        <w:t>ó</w:t>
      </w:r>
      <w:r w:rsidR="00380039" w:rsidRPr="00701888">
        <w:rPr>
          <w:rFonts w:ascii="Calibri" w:hAnsi="Calibri"/>
          <w:sz w:val="22"/>
          <w:lang w:val="es-ES_tradnl"/>
        </w:rPr>
        <w:t>n</w:t>
      </w:r>
      <w:r w:rsidR="00015175" w:rsidRPr="00701888">
        <w:rPr>
          <w:rFonts w:ascii="Calibri" w:hAnsi="Calibri"/>
          <w:sz w:val="22"/>
          <w:lang w:val="es-ES_tradnl"/>
        </w:rPr>
        <w:t xml:space="preserve"> (24</w:t>
      </w:r>
      <w:r w:rsidR="009F4E0B" w:rsidRPr="00701888">
        <w:rPr>
          <w:rFonts w:ascii="Calibri" w:hAnsi="Calibri"/>
          <w:sz w:val="22"/>
          <w:lang w:val="es-ES_tradnl"/>
        </w:rPr>
        <w:t>.</w:t>
      </w:r>
      <w:r w:rsidR="00015175" w:rsidRPr="00701888">
        <w:rPr>
          <w:rFonts w:ascii="Calibri" w:hAnsi="Calibri"/>
          <w:sz w:val="22"/>
          <w:lang w:val="es-ES_tradnl"/>
        </w:rPr>
        <w:t>300</w:t>
      </w:r>
      <w:r w:rsidR="009F4E0B" w:rsidRPr="00701888">
        <w:rPr>
          <w:rFonts w:ascii="Calibri" w:hAnsi="Calibri"/>
          <w:sz w:val="22"/>
          <w:lang w:val="es-ES_tradnl"/>
        </w:rPr>
        <w:t xml:space="preserve"> francos suizos</w:t>
      </w:r>
      <w:r w:rsidR="00015175" w:rsidRPr="00701888">
        <w:rPr>
          <w:rFonts w:ascii="Calibri" w:hAnsi="Calibri"/>
          <w:sz w:val="22"/>
          <w:lang w:val="es-ES_tradnl"/>
        </w:rPr>
        <w:t>)</w:t>
      </w:r>
      <w:r w:rsidR="00380039" w:rsidRPr="00701888">
        <w:rPr>
          <w:rFonts w:ascii="Calibri" w:hAnsi="Calibri"/>
          <w:sz w:val="22"/>
          <w:lang w:val="es-ES_tradnl"/>
        </w:rPr>
        <w:t xml:space="preserve">, </w:t>
      </w:r>
      <w:r w:rsidR="002F7D7B" w:rsidRPr="00701888">
        <w:rPr>
          <w:rFonts w:ascii="Calibri" w:hAnsi="Calibri"/>
          <w:sz w:val="22"/>
          <w:lang w:val="es-ES_tradnl"/>
        </w:rPr>
        <w:t>Nor</w:t>
      </w:r>
      <w:r w:rsidR="009F4E0B" w:rsidRPr="00701888">
        <w:rPr>
          <w:rFonts w:ascii="Calibri" w:hAnsi="Calibri"/>
          <w:sz w:val="22"/>
          <w:lang w:val="es-ES_tradnl"/>
        </w:rPr>
        <w:t>uega</w:t>
      </w:r>
      <w:r w:rsidR="00015175" w:rsidRPr="00701888">
        <w:rPr>
          <w:rFonts w:ascii="Calibri" w:hAnsi="Calibri"/>
          <w:sz w:val="22"/>
          <w:lang w:val="es-ES_tradnl"/>
        </w:rPr>
        <w:t xml:space="preserve"> ( 8</w:t>
      </w:r>
      <w:r w:rsidR="009F4E0B" w:rsidRPr="00701888">
        <w:rPr>
          <w:rFonts w:ascii="Calibri" w:hAnsi="Calibri"/>
          <w:sz w:val="22"/>
          <w:lang w:val="es-ES_tradnl"/>
        </w:rPr>
        <w:t>.</w:t>
      </w:r>
      <w:r w:rsidR="00015175" w:rsidRPr="00701888">
        <w:rPr>
          <w:rFonts w:ascii="Calibri" w:hAnsi="Calibri"/>
          <w:sz w:val="22"/>
          <w:lang w:val="es-ES_tradnl"/>
        </w:rPr>
        <w:t>500</w:t>
      </w:r>
      <w:r w:rsidR="009F4E0B" w:rsidRPr="00701888">
        <w:rPr>
          <w:rFonts w:ascii="Calibri" w:hAnsi="Calibri"/>
          <w:sz w:val="22"/>
          <w:lang w:val="es-ES_tradnl"/>
        </w:rPr>
        <w:t xml:space="preserve"> francos suizos</w:t>
      </w:r>
      <w:r w:rsidR="00015175" w:rsidRPr="00701888">
        <w:rPr>
          <w:rFonts w:ascii="Calibri" w:hAnsi="Calibri"/>
          <w:sz w:val="22"/>
          <w:lang w:val="es-ES_tradnl"/>
        </w:rPr>
        <w:t xml:space="preserve">) </w:t>
      </w:r>
      <w:r w:rsidR="009F4E0B" w:rsidRPr="00701888">
        <w:rPr>
          <w:rFonts w:ascii="Calibri" w:hAnsi="Calibri"/>
          <w:sz w:val="22"/>
          <w:lang w:val="es-ES_tradnl"/>
        </w:rPr>
        <w:t>y</w:t>
      </w:r>
      <w:r w:rsidR="002F7D7B" w:rsidRPr="00701888">
        <w:rPr>
          <w:rFonts w:ascii="Calibri" w:hAnsi="Calibri"/>
          <w:sz w:val="22"/>
          <w:lang w:val="es-ES_tradnl"/>
        </w:rPr>
        <w:t xml:space="preserve"> Star Alliance</w:t>
      </w:r>
      <w:r w:rsidR="00015175" w:rsidRPr="00701888">
        <w:rPr>
          <w:rFonts w:ascii="Calibri" w:hAnsi="Calibri"/>
          <w:sz w:val="22"/>
          <w:lang w:val="es-ES_tradnl"/>
        </w:rPr>
        <w:t xml:space="preserve"> (17</w:t>
      </w:r>
      <w:r w:rsidR="009F4E0B" w:rsidRPr="00701888">
        <w:rPr>
          <w:rFonts w:ascii="Calibri" w:hAnsi="Calibri"/>
          <w:sz w:val="22"/>
          <w:lang w:val="es-ES_tradnl"/>
        </w:rPr>
        <w:t>.</w:t>
      </w:r>
      <w:r w:rsidR="00015175" w:rsidRPr="00701888">
        <w:rPr>
          <w:rFonts w:ascii="Calibri" w:hAnsi="Calibri"/>
          <w:sz w:val="22"/>
          <w:lang w:val="es-ES_tradnl"/>
        </w:rPr>
        <w:t xml:space="preserve">000) </w:t>
      </w:r>
      <w:r w:rsidR="006F0AF6" w:rsidRPr="00701888">
        <w:rPr>
          <w:rFonts w:ascii="Calibri" w:hAnsi="Calibri"/>
          <w:sz w:val="22"/>
          <w:lang w:val="es-ES_tradnl"/>
        </w:rPr>
        <w:t xml:space="preserve">apoyaron diversas reuniones regionales. </w:t>
      </w:r>
    </w:p>
    <w:p w14:paraId="43AD63CE" w14:textId="77777777" w:rsidR="004D335B" w:rsidRPr="00701888" w:rsidRDefault="004D335B" w:rsidP="00C04C0D">
      <w:pPr>
        <w:pStyle w:val="ListParagraph"/>
        <w:ind w:left="426"/>
        <w:rPr>
          <w:rFonts w:ascii="Calibri" w:hAnsi="Calibri"/>
          <w:sz w:val="22"/>
          <w:lang w:val="es-ES_tradnl"/>
        </w:rPr>
      </w:pPr>
    </w:p>
    <w:p w14:paraId="6DDA9E11" w14:textId="4B1E749F" w:rsidR="00046784" w:rsidRPr="00701888" w:rsidRDefault="006F0AF6" w:rsidP="00C04C0D">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El presupuesto aprobado por la 11ª reunión de la Conferencia de las Partes incluía contribuciones voluntarias</w:t>
      </w:r>
      <w:r w:rsidR="00315354" w:rsidRPr="00701888">
        <w:rPr>
          <w:rFonts w:ascii="Calibri" w:hAnsi="Calibri" w:cs="Calibri"/>
          <w:bCs/>
          <w:sz w:val="22"/>
          <w:szCs w:val="22"/>
          <w:lang w:val="es-ES_tradnl"/>
        </w:rPr>
        <w:t xml:space="preserve"> al presupuesto no básico</w:t>
      </w:r>
      <w:r w:rsidRPr="00701888">
        <w:rPr>
          <w:rFonts w:ascii="Calibri" w:hAnsi="Calibri" w:cs="Calibri"/>
          <w:bCs/>
          <w:sz w:val="22"/>
          <w:szCs w:val="22"/>
          <w:lang w:val="es-ES_tradnl"/>
        </w:rPr>
        <w:t xml:space="preserve"> de </w:t>
      </w:r>
      <w:r w:rsidR="004D335B" w:rsidRPr="00701888">
        <w:rPr>
          <w:rFonts w:ascii="Calibri" w:hAnsi="Calibri" w:cs="Calibri"/>
          <w:bCs/>
          <w:sz w:val="22"/>
          <w:szCs w:val="22"/>
          <w:lang w:val="es-ES_tradnl"/>
        </w:rPr>
        <w:t>13</w:t>
      </w:r>
      <w:r w:rsidRPr="00701888">
        <w:rPr>
          <w:rFonts w:ascii="Calibri" w:hAnsi="Calibri" w:cs="Calibri"/>
          <w:bCs/>
          <w:sz w:val="22"/>
          <w:szCs w:val="22"/>
          <w:lang w:val="es-ES_tradnl"/>
        </w:rPr>
        <w:t>,</w:t>
      </w:r>
      <w:r w:rsidR="004D335B" w:rsidRPr="00701888">
        <w:rPr>
          <w:rFonts w:ascii="Calibri" w:hAnsi="Calibri" w:cs="Calibri"/>
          <w:bCs/>
          <w:sz w:val="22"/>
          <w:szCs w:val="22"/>
          <w:lang w:val="es-ES_tradnl"/>
        </w:rPr>
        <w:t>4</w:t>
      </w:r>
      <w:r w:rsidRPr="00701888">
        <w:rPr>
          <w:rFonts w:ascii="Calibri" w:hAnsi="Calibri" w:cs="Calibri"/>
          <w:bCs/>
          <w:sz w:val="22"/>
          <w:szCs w:val="22"/>
          <w:lang w:val="es-ES_tradnl"/>
        </w:rPr>
        <w:t xml:space="preserve"> millones de francos suizos durante el trienio para financiar las actividades prioritarias</w:t>
      </w:r>
      <w:r w:rsidR="00365F90" w:rsidRPr="00701888">
        <w:rPr>
          <w:rFonts w:ascii="Calibri" w:hAnsi="Calibri" w:cs="Calibri"/>
          <w:bCs/>
          <w:sz w:val="22"/>
          <w:szCs w:val="22"/>
          <w:lang w:val="es-ES_tradnl"/>
        </w:rPr>
        <w:t xml:space="preserve"> para 2013-2015 (véase</w:t>
      </w:r>
      <w:r w:rsidRPr="00701888">
        <w:rPr>
          <w:rFonts w:ascii="Calibri" w:hAnsi="Calibri" w:cs="Calibri"/>
          <w:bCs/>
          <w:sz w:val="22"/>
          <w:szCs w:val="22"/>
          <w:lang w:val="es-ES_tradnl"/>
        </w:rPr>
        <w:t xml:space="preserve"> el Anexo 4</w:t>
      </w:r>
      <w:r w:rsidR="00365F90" w:rsidRPr="00701888">
        <w:rPr>
          <w:rFonts w:ascii="Calibri" w:hAnsi="Calibri" w:cs="Calibri"/>
          <w:bCs/>
          <w:sz w:val="22"/>
          <w:szCs w:val="22"/>
          <w:lang w:val="es-ES_tradnl"/>
        </w:rPr>
        <w:t>)</w:t>
      </w:r>
      <w:r w:rsidRPr="00701888">
        <w:rPr>
          <w:rFonts w:ascii="Calibri" w:hAnsi="Calibri" w:cs="Calibri"/>
          <w:bCs/>
          <w:sz w:val="22"/>
          <w:szCs w:val="22"/>
          <w:lang w:val="es-ES_tradnl"/>
        </w:rPr>
        <w:t>.</w:t>
      </w:r>
      <w:r w:rsidR="002B5322" w:rsidRPr="00701888">
        <w:rPr>
          <w:rFonts w:ascii="Calibri" w:hAnsi="Calibri" w:cs="Calibri"/>
          <w:bCs/>
          <w:sz w:val="22"/>
          <w:szCs w:val="22"/>
          <w:lang w:val="es-ES_tradnl"/>
        </w:rPr>
        <w:t xml:space="preserve"> </w:t>
      </w:r>
      <w:r w:rsidRPr="00701888">
        <w:rPr>
          <w:rFonts w:ascii="Calibri" w:hAnsi="Calibri" w:cs="Calibri"/>
          <w:bCs/>
          <w:sz w:val="22"/>
          <w:szCs w:val="22"/>
          <w:lang w:val="es-ES_tradnl"/>
        </w:rPr>
        <w:t>Aunque estaba previsto que se recibi</w:t>
      </w:r>
      <w:r w:rsidR="0071064E" w:rsidRPr="00701888">
        <w:rPr>
          <w:rFonts w:ascii="Calibri" w:hAnsi="Calibri" w:cs="Calibri"/>
          <w:bCs/>
          <w:sz w:val="22"/>
          <w:szCs w:val="22"/>
          <w:lang w:val="es-ES_tradnl"/>
        </w:rPr>
        <w:t>eran</w:t>
      </w:r>
      <w:r w:rsidRPr="00701888">
        <w:rPr>
          <w:rFonts w:ascii="Calibri" w:hAnsi="Calibri" w:cs="Calibri"/>
          <w:bCs/>
          <w:sz w:val="22"/>
          <w:szCs w:val="22"/>
          <w:lang w:val="es-ES_tradnl"/>
        </w:rPr>
        <w:t xml:space="preserve"> 5,3 millones de francos suizo</w:t>
      </w:r>
      <w:r w:rsidR="0071064E" w:rsidRPr="00701888">
        <w:rPr>
          <w:rFonts w:ascii="Calibri" w:hAnsi="Calibri" w:cs="Calibri"/>
          <w:bCs/>
          <w:sz w:val="22"/>
          <w:szCs w:val="22"/>
          <w:lang w:val="es-ES_tradnl"/>
        </w:rPr>
        <w:t xml:space="preserve"> por este concepto</w:t>
      </w:r>
      <w:r w:rsidRPr="00701888">
        <w:rPr>
          <w:rFonts w:ascii="Calibri" w:hAnsi="Calibri" w:cs="Calibri"/>
          <w:bCs/>
          <w:sz w:val="22"/>
          <w:szCs w:val="22"/>
          <w:lang w:val="es-ES_tradnl"/>
        </w:rPr>
        <w:t xml:space="preserve"> durante el año 2015, </w:t>
      </w:r>
      <w:r w:rsidR="00084AB1" w:rsidRPr="00701888">
        <w:rPr>
          <w:rFonts w:ascii="Calibri" w:hAnsi="Calibri" w:cs="Calibri"/>
          <w:bCs/>
          <w:sz w:val="22"/>
          <w:szCs w:val="22"/>
          <w:lang w:val="es-ES_tradnl"/>
        </w:rPr>
        <w:t xml:space="preserve">la realidad es que </w:t>
      </w:r>
      <w:r w:rsidR="00365F90" w:rsidRPr="00701888">
        <w:rPr>
          <w:rFonts w:ascii="Calibri" w:hAnsi="Calibri" w:cs="Calibri"/>
          <w:bCs/>
          <w:sz w:val="22"/>
          <w:szCs w:val="22"/>
          <w:lang w:val="es-ES_tradnl"/>
        </w:rPr>
        <w:t xml:space="preserve">las contribuciones voluntarias al presupuesto no básico </w:t>
      </w:r>
      <w:r w:rsidR="00084AB1" w:rsidRPr="00701888">
        <w:rPr>
          <w:rFonts w:ascii="Calibri" w:hAnsi="Calibri" w:cs="Calibri"/>
          <w:bCs/>
          <w:sz w:val="22"/>
          <w:szCs w:val="22"/>
          <w:lang w:val="es-ES_tradnl"/>
        </w:rPr>
        <w:t>fueron mucho más bajas</w:t>
      </w:r>
      <w:r w:rsidR="00847321" w:rsidRPr="00701888">
        <w:rPr>
          <w:rFonts w:ascii="Calibri" w:hAnsi="Calibri" w:cs="Calibri"/>
          <w:bCs/>
          <w:sz w:val="22"/>
          <w:szCs w:val="22"/>
          <w:lang w:val="es-ES_tradnl"/>
        </w:rPr>
        <w:t xml:space="preserve"> de lo previsto </w:t>
      </w:r>
      <w:r w:rsidR="00084AB1" w:rsidRPr="00701888">
        <w:rPr>
          <w:rFonts w:ascii="Calibri" w:hAnsi="Calibri" w:cs="Calibri"/>
          <w:bCs/>
          <w:sz w:val="22"/>
          <w:szCs w:val="22"/>
          <w:lang w:val="es-ES_tradnl"/>
        </w:rPr>
        <w:t>y</w:t>
      </w:r>
      <w:r w:rsidR="008C6C4D">
        <w:rPr>
          <w:rFonts w:ascii="Calibri" w:hAnsi="Calibri" w:cs="Calibri"/>
          <w:bCs/>
          <w:sz w:val="22"/>
          <w:szCs w:val="22"/>
          <w:lang w:val="es-ES_tradnl"/>
        </w:rPr>
        <w:t xml:space="preserve"> llegaron a 1,</w:t>
      </w:r>
      <w:r w:rsidR="00847321" w:rsidRPr="00701888">
        <w:rPr>
          <w:rFonts w:ascii="Calibri" w:hAnsi="Calibri" w:cs="Calibri"/>
          <w:bCs/>
          <w:sz w:val="22"/>
          <w:szCs w:val="22"/>
          <w:lang w:val="es-ES_tradnl"/>
        </w:rPr>
        <w:t xml:space="preserve">2 millones de francos suizos, tal y como se puede apreciar en el Anexo 1, Apéndice A. </w:t>
      </w:r>
    </w:p>
    <w:p w14:paraId="76EEDB5F" w14:textId="77777777" w:rsidR="004D335B" w:rsidRPr="00701888" w:rsidRDefault="004D335B" w:rsidP="004D335B">
      <w:pPr>
        <w:ind w:left="540"/>
        <w:rPr>
          <w:rFonts w:ascii="Calibri" w:hAnsi="Calibri"/>
          <w:b/>
          <w:sz w:val="22"/>
          <w:lang w:val="es-ES_tradnl"/>
        </w:rPr>
      </w:pPr>
    </w:p>
    <w:p w14:paraId="4462CC9D" w14:textId="5DB54181" w:rsidR="00D22F60" w:rsidRPr="00701888" w:rsidRDefault="006F0AF6" w:rsidP="00842399">
      <w:pPr>
        <w:ind w:left="540" w:hanging="540"/>
        <w:rPr>
          <w:rFonts w:ascii="Calibri" w:hAnsi="Calibri"/>
          <w:b/>
          <w:sz w:val="22"/>
          <w:lang w:val="es-ES_tradnl"/>
        </w:rPr>
      </w:pPr>
      <w:r w:rsidRPr="00701888">
        <w:rPr>
          <w:rFonts w:ascii="Calibri" w:hAnsi="Calibri"/>
          <w:b/>
          <w:sz w:val="22"/>
          <w:lang w:val="es-ES_tradnl"/>
        </w:rPr>
        <w:t xml:space="preserve">Balance del </w:t>
      </w:r>
      <w:r w:rsidR="000E650E" w:rsidRPr="00701888">
        <w:rPr>
          <w:rFonts w:ascii="Calibri" w:hAnsi="Calibri"/>
          <w:b/>
          <w:sz w:val="22"/>
          <w:lang w:val="es-ES_tradnl"/>
        </w:rPr>
        <w:t>201</w:t>
      </w:r>
      <w:r w:rsidR="00314CBB" w:rsidRPr="00701888">
        <w:rPr>
          <w:rFonts w:ascii="Calibri" w:hAnsi="Calibri"/>
          <w:b/>
          <w:sz w:val="22"/>
          <w:lang w:val="es-ES_tradnl"/>
        </w:rPr>
        <w:t>5</w:t>
      </w:r>
    </w:p>
    <w:p w14:paraId="1D507BAE" w14:textId="77777777" w:rsidR="000E650E" w:rsidRPr="00701888" w:rsidRDefault="000E650E" w:rsidP="00842399">
      <w:pPr>
        <w:ind w:left="426" w:hanging="426"/>
        <w:rPr>
          <w:rFonts w:ascii="Calibri" w:hAnsi="Calibri"/>
          <w:sz w:val="22"/>
          <w:lang w:val="es-ES_tradnl"/>
        </w:rPr>
      </w:pPr>
    </w:p>
    <w:p w14:paraId="33A5711E" w14:textId="0CC40F2F" w:rsidR="00314CBB" w:rsidRPr="00701888" w:rsidRDefault="00DA07CB" w:rsidP="00C04C0D">
      <w:pPr>
        <w:pStyle w:val="ListParagraph"/>
        <w:numPr>
          <w:ilvl w:val="0"/>
          <w:numId w:val="2"/>
        </w:numPr>
        <w:ind w:left="426" w:hanging="426"/>
        <w:rPr>
          <w:rFonts w:ascii="Calibri" w:hAnsi="Calibri" w:cs="Calibri"/>
          <w:bCs/>
          <w:sz w:val="22"/>
          <w:szCs w:val="22"/>
          <w:lang w:val="es-ES_tradnl"/>
        </w:rPr>
      </w:pPr>
      <w:r w:rsidRPr="00701888">
        <w:rPr>
          <w:rFonts w:ascii="Calibri" w:hAnsi="Calibri" w:cs="Calibri"/>
          <w:bCs/>
          <w:sz w:val="22"/>
          <w:szCs w:val="22"/>
          <w:lang w:val="es-ES_tradnl"/>
        </w:rPr>
        <w:t xml:space="preserve">El Anexo 1 </w:t>
      </w:r>
      <w:r w:rsidR="00DE57E0" w:rsidRPr="00701888">
        <w:rPr>
          <w:rFonts w:ascii="Calibri" w:hAnsi="Calibri" w:cs="Calibri"/>
          <w:bCs/>
          <w:sz w:val="22"/>
          <w:szCs w:val="22"/>
          <w:lang w:val="es-ES_tradnl"/>
        </w:rPr>
        <w:t>corresponde al Balance a</w:t>
      </w:r>
      <w:r w:rsidRPr="00701888">
        <w:rPr>
          <w:rFonts w:ascii="Calibri" w:hAnsi="Calibri" w:cs="Calibri"/>
          <w:bCs/>
          <w:sz w:val="22"/>
          <w:szCs w:val="22"/>
          <w:lang w:val="es-ES_tradnl"/>
        </w:rPr>
        <w:t xml:space="preserve"> 31 de diciembre de 2015. </w:t>
      </w:r>
      <w:r w:rsidR="00DE57E0" w:rsidRPr="00701888">
        <w:rPr>
          <w:rFonts w:ascii="Calibri" w:hAnsi="Calibri" w:cs="Calibri"/>
          <w:bCs/>
          <w:sz w:val="22"/>
          <w:szCs w:val="22"/>
          <w:lang w:val="es-ES_tradnl"/>
        </w:rPr>
        <w:t>La Secretaría t</w:t>
      </w:r>
      <w:r w:rsidR="00847321" w:rsidRPr="00701888">
        <w:rPr>
          <w:rFonts w:ascii="Calibri" w:hAnsi="Calibri" w:cs="Calibri"/>
          <w:bCs/>
          <w:sz w:val="22"/>
          <w:szCs w:val="22"/>
          <w:lang w:val="es-ES_tradnl"/>
        </w:rPr>
        <w:t>enía</w:t>
      </w:r>
      <w:r w:rsidR="00DE57E0" w:rsidRPr="00701888">
        <w:rPr>
          <w:rFonts w:ascii="Calibri" w:hAnsi="Calibri" w:cs="Calibri"/>
          <w:bCs/>
          <w:sz w:val="22"/>
          <w:szCs w:val="22"/>
          <w:lang w:val="es-ES_tradnl"/>
        </w:rPr>
        <w:t xml:space="preserve"> un total de 4.</w:t>
      </w:r>
      <w:r w:rsidR="00752590" w:rsidRPr="00701888">
        <w:rPr>
          <w:rFonts w:ascii="Calibri" w:hAnsi="Calibri" w:cs="Calibri"/>
          <w:bCs/>
          <w:sz w:val="22"/>
          <w:szCs w:val="22"/>
          <w:lang w:val="es-ES_tradnl"/>
        </w:rPr>
        <w:t>652.368</w:t>
      </w:r>
      <w:r w:rsidR="00DE57E0" w:rsidRPr="00701888">
        <w:rPr>
          <w:rFonts w:ascii="Calibri" w:hAnsi="Calibri" w:cs="Calibri"/>
          <w:bCs/>
          <w:sz w:val="22"/>
          <w:szCs w:val="22"/>
          <w:lang w:val="es-ES_tradnl"/>
        </w:rPr>
        <w:t xml:space="preserve"> francos suizos</w:t>
      </w:r>
      <w:r w:rsidR="00935049" w:rsidRPr="00701888">
        <w:rPr>
          <w:rFonts w:ascii="Calibri" w:hAnsi="Calibri" w:cs="Calibri"/>
          <w:bCs/>
          <w:sz w:val="22"/>
          <w:szCs w:val="22"/>
          <w:lang w:val="es-ES_tradnl"/>
        </w:rPr>
        <w:t xml:space="preserve"> en</w:t>
      </w:r>
      <w:r w:rsidR="00DE57E0" w:rsidRPr="00701888">
        <w:rPr>
          <w:rFonts w:ascii="Calibri" w:hAnsi="Calibri" w:cs="Calibri"/>
          <w:bCs/>
          <w:sz w:val="22"/>
          <w:szCs w:val="22"/>
          <w:lang w:val="es-ES_tradnl"/>
        </w:rPr>
        <w:t xml:space="preserve"> efectivo equivalente </w:t>
      </w:r>
      <w:r w:rsidR="00935049" w:rsidRPr="00701888">
        <w:rPr>
          <w:rFonts w:ascii="Calibri" w:hAnsi="Calibri" w:cs="Calibri"/>
          <w:bCs/>
          <w:sz w:val="22"/>
          <w:szCs w:val="22"/>
          <w:lang w:val="es-ES_tradnl"/>
        </w:rPr>
        <w:t xml:space="preserve">correspondiente a las siguientes cantidades de </w:t>
      </w:r>
      <w:r w:rsidR="00935049" w:rsidRPr="00701888">
        <w:rPr>
          <w:rFonts w:ascii="Calibri" w:hAnsi="Calibri" w:cs="Calibri"/>
          <w:bCs/>
          <w:sz w:val="22"/>
          <w:szCs w:val="22"/>
          <w:lang w:val="es-ES_tradnl"/>
        </w:rPr>
        <w:lastRenderedPageBreak/>
        <w:t xml:space="preserve">divisas: </w:t>
      </w:r>
      <w:r w:rsidR="00314CBB" w:rsidRPr="00701888">
        <w:rPr>
          <w:rFonts w:ascii="Calibri" w:hAnsi="Calibri" w:cs="Calibri"/>
          <w:bCs/>
          <w:sz w:val="22"/>
          <w:szCs w:val="22"/>
          <w:lang w:val="es-ES_tradnl"/>
        </w:rPr>
        <w:t>678</w:t>
      </w:r>
      <w:r w:rsidR="00935049" w:rsidRPr="00701888">
        <w:rPr>
          <w:rFonts w:ascii="Calibri" w:hAnsi="Calibri" w:cs="Calibri"/>
          <w:bCs/>
          <w:sz w:val="22"/>
          <w:szCs w:val="22"/>
          <w:lang w:val="es-ES_tradnl"/>
        </w:rPr>
        <w:t>.</w:t>
      </w:r>
      <w:r w:rsidR="00314CBB" w:rsidRPr="00701888">
        <w:rPr>
          <w:rFonts w:ascii="Calibri" w:hAnsi="Calibri" w:cs="Calibri"/>
          <w:bCs/>
          <w:sz w:val="22"/>
          <w:szCs w:val="22"/>
          <w:lang w:val="es-ES_tradnl"/>
        </w:rPr>
        <w:t>5</w:t>
      </w:r>
      <w:r w:rsidR="00752590" w:rsidRPr="00701888">
        <w:rPr>
          <w:rFonts w:ascii="Calibri" w:hAnsi="Calibri" w:cs="Calibri"/>
          <w:bCs/>
          <w:sz w:val="22"/>
          <w:szCs w:val="22"/>
          <w:lang w:val="es-ES_tradnl"/>
        </w:rPr>
        <w:t>4</w:t>
      </w:r>
      <w:r w:rsidR="00314CBB" w:rsidRPr="00701888">
        <w:rPr>
          <w:rFonts w:ascii="Calibri" w:hAnsi="Calibri" w:cs="Calibri"/>
          <w:bCs/>
          <w:sz w:val="22"/>
          <w:szCs w:val="22"/>
          <w:lang w:val="es-ES_tradnl"/>
        </w:rPr>
        <w:t>2</w:t>
      </w:r>
      <w:r w:rsidR="00935049" w:rsidRPr="00701888">
        <w:rPr>
          <w:rFonts w:ascii="Calibri" w:hAnsi="Calibri" w:cs="Calibri"/>
          <w:bCs/>
          <w:sz w:val="22"/>
          <w:szCs w:val="22"/>
          <w:lang w:val="es-ES_tradnl"/>
        </w:rPr>
        <w:t xml:space="preserve"> francos suizos</w:t>
      </w:r>
      <w:r w:rsidR="00314CBB" w:rsidRPr="00701888">
        <w:rPr>
          <w:rFonts w:ascii="Calibri" w:hAnsi="Calibri" w:cs="Calibri"/>
          <w:bCs/>
          <w:sz w:val="22"/>
          <w:szCs w:val="22"/>
          <w:lang w:val="es-ES_tradnl"/>
        </w:rPr>
        <w:t xml:space="preserve">, </w:t>
      </w:r>
      <w:r w:rsidR="00752590" w:rsidRPr="00701888">
        <w:rPr>
          <w:rFonts w:ascii="Calibri" w:hAnsi="Calibri" w:cs="Calibri"/>
          <w:bCs/>
          <w:sz w:val="22"/>
          <w:szCs w:val="22"/>
          <w:lang w:val="es-ES_tradnl"/>
        </w:rPr>
        <w:t>828.237</w:t>
      </w:r>
      <w:r w:rsidR="00935049" w:rsidRPr="00701888">
        <w:rPr>
          <w:rFonts w:ascii="Calibri" w:hAnsi="Calibri" w:cs="Calibri"/>
          <w:bCs/>
          <w:sz w:val="22"/>
          <w:szCs w:val="22"/>
          <w:lang w:val="es-ES_tradnl"/>
        </w:rPr>
        <w:t xml:space="preserve"> euros</w:t>
      </w:r>
      <w:r w:rsidR="00314CBB" w:rsidRPr="00701888">
        <w:rPr>
          <w:rFonts w:ascii="Calibri" w:hAnsi="Calibri" w:cs="Calibri"/>
          <w:bCs/>
          <w:sz w:val="22"/>
          <w:szCs w:val="22"/>
          <w:lang w:val="es-ES_tradnl"/>
        </w:rPr>
        <w:t xml:space="preserve"> (</w:t>
      </w:r>
      <w:r w:rsidR="00935049" w:rsidRPr="00701888">
        <w:rPr>
          <w:rFonts w:ascii="Calibri" w:hAnsi="Calibri" w:cs="Calibri"/>
          <w:bCs/>
          <w:sz w:val="22"/>
          <w:szCs w:val="22"/>
          <w:lang w:val="es-ES_tradnl"/>
        </w:rPr>
        <w:t xml:space="preserve">equivalente a </w:t>
      </w:r>
      <w:r w:rsidR="00524A0A" w:rsidRPr="00701888">
        <w:rPr>
          <w:rFonts w:ascii="Calibri" w:hAnsi="Calibri" w:cs="Calibri"/>
          <w:bCs/>
          <w:sz w:val="22"/>
          <w:szCs w:val="22"/>
          <w:lang w:val="es-ES_tradnl"/>
        </w:rPr>
        <w:t>896.657</w:t>
      </w:r>
      <w:r w:rsidR="00935049" w:rsidRPr="00701888">
        <w:rPr>
          <w:rFonts w:ascii="Calibri" w:hAnsi="Calibri" w:cs="Calibri"/>
          <w:bCs/>
          <w:sz w:val="22"/>
          <w:szCs w:val="22"/>
          <w:lang w:val="es-ES_tradnl"/>
        </w:rPr>
        <w:t xml:space="preserve"> francos suizos</w:t>
      </w:r>
      <w:r w:rsidR="00314CBB" w:rsidRPr="00701888">
        <w:rPr>
          <w:rFonts w:ascii="Calibri" w:hAnsi="Calibri" w:cs="Calibri"/>
          <w:bCs/>
          <w:sz w:val="22"/>
          <w:szCs w:val="22"/>
          <w:lang w:val="es-ES_tradnl"/>
        </w:rPr>
        <w:t>),</w:t>
      </w:r>
      <w:r w:rsidR="002B5322" w:rsidRPr="00701888">
        <w:rPr>
          <w:rFonts w:ascii="Calibri" w:hAnsi="Calibri" w:cs="Calibri"/>
          <w:bCs/>
          <w:sz w:val="22"/>
          <w:szCs w:val="22"/>
          <w:lang w:val="es-ES_tradnl"/>
        </w:rPr>
        <w:t xml:space="preserve"> </w:t>
      </w:r>
      <w:r w:rsidR="00314CBB" w:rsidRPr="00701888">
        <w:rPr>
          <w:rFonts w:ascii="Calibri" w:hAnsi="Calibri" w:cs="Calibri"/>
          <w:bCs/>
          <w:sz w:val="22"/>
          <w:szCs w:val="22"/>
          <w:lang w:val="es-ES_tradnl"/>
        </w:rPr>
        <w:t>2</w:t>
      </w:r>
      <w:r w:rsidR="00935049" w:rsidRPr="00701888">
        <w:rPr>
          <w:rFonts w:ascii="Calibri" w:hAnsi="Calibri" w:cs="Calibri"/>
          <w:bCs/>
          <w:sz w:val="22"/>
          <w:szCs w:val="22"/>
          <w:lang w:val="es-ES_tradnl"/>
        </w:rPr>
        <w:t>.</w:t>
      </w:r>
      <w:r w:rsidR="00314CBB" w:rsidRPr="00701888">
        <w:rPr>
          <w:rFonts w:ascii="Calibri" w:hAnsi="Calibri" w:cs="Calibri"/>
          <w:bCs/>
          <w:sz w:val="22"/>
          <w:szCs w:val="22"/>
          <w:lang w:val="es-ES_tradnl"/>
        </w:rPr>
        <w:t>600</w:t>
      </w:r>
      <w:r w:rsidR="00935049" w:rsidRPr="00701888">
        <w:rPr>
          <w:rFonts w:ascii="Calibri" w:hAnsi="Calibri" w:cs="Calibri"/>
          <w:bCs/>
          <w:sz w:val="22"/>
          <w:szCs w:val="22"/>
          <w:lang w:val="es-ES_tradnl"/>
        </w:rPr>
        <w:t>.</w:t>
      </w:r>
      <w:r w:rsidR="00314CBB" w:rsidRPr="00701888">
        <w:rPr>
          <w:rFonts w:ascii="Calibri" w:hAnsi="Calibri" w:cs="Calibri"/>
          <w:bCs/>
          <w:sz w:val="22"/>
          <w:szCs w:val="22"/>
          <w:lang w:val="es-ES_tradnl"/>
        </w:rPr>
        <w:t>022</w:t>
      </w:r>
      <w:r w:rsidR="00935049" w:rsidRPr="00701888">
        <w:rPr>
          <w:rFonts w:ascii="Calibri" w:hAnsi="Calibri" w:cs="Calibri"/>
          <w:bCs/>
          <w:sz w:val="22"/>
          <w:szCs w:val="22"/>
          <w:lang w:val="es-ES_tradnl"/>
        </w:rPr>
        <w:t xml:space="preserve"> dólares de los EE.UU.</w:t>
      </w:r>
      <w:r w:rsidR="00314CBB" w:rsidRPr="00701888">
        <w:rPr>
          <w:rFonts w:ascii="Calibri" w:hAnsi="Calibri" w:cs="Calibri"/>
          <w:bCs/>
          <w:sz w:val="22"/>
          <w:szCs w:val="22"/>
          <w:lang w:val="es-ES_tradnl"/>
        </w:rPr>
        <w:t xml:space="preserve"> (</w:t>
      </w:r>
      <w:r w:rsidR="00935049" w:rsidRPr="00701888">
        <w:rPr>
          <w:rFonts w:ascii="Calibri" w:hAnsi="Calibri" w:cs="Calibri"/>
          <w:bCs/>
          <w:sz w:val="22"/>
          <w:szCs w:val="22"/>
          <w:lang w:val="es-ES_tradnl"/>
        </w:rPr>
        <w:t xml:space="preserve">equivalente a </w:t>
      </w:r>
      <w:r w:rsidR="00314CBB" w:rsidRPr="00701888">
        <w:rPr>
          <w:rFonts w:ascii="Calibri" w:hAnsi="Calibri" w:cs="Calibri"/>
          <w:bCs/>
          <w:sz w:val="22"/>
          <w:szCs w:val="22"/>
          <w:lang w:val="es-ES_tradnl"/>
        </w:rPr>
        <w:t>2</w:t>
      </w:r>
      <w:r w:rsidR="00935049" w:rsidRPr="00701888">
        <w:rPr>
          <w:rFonts w:ascii="Calibri" w:hAnsi="Calibri" w:cs="Calibri"/>
          <w:bCs/>
          <w:sz w:val="22"/>
          <w:szCs w:val="22"/>
          <w:lang w:val="es-ES_tradnl"/>
        </w:rPr>
        <w:t>.</w:t>
      </w:r>
      <w:r w:rsidR="00524A0A" w:rsidRPr="00701888">
        <w:rPr>
          <w:rFonts w:ascii="Calibri" w:hAnsi="Calibri" w:cs="Calibri"/>
          <w:bCs/>
          <w:sz w:val="22"/>
          <w:szCs w:val="22"/>
          <w:lang w:val="es-ES_tradnl"/>
        </w:rPr>
        <w:t>576.115</w:t>
      </w:r>
      <w:r w:rsidR="00935049" w:rsidRPr="00701888">
        <w:rPr>
          <w:rFonts w:ascii="Calibri" w:hAnsi="Calibri" w:cs="Calibri"/>
          <w:bCs/>
          <w:sz w:val="22"/>
          <w:szCs w:val="22"/>
          <w:lang w:val="es-ES_tradnl"/>
        </w:rPr>
        <w:t xml:space="preserve"> francos suizos</w:t>
      </w:r>
      <w:r w:rsidR="00314CBB" w:rsidRPr="00701888">
        <w:rPr>
          <w:rFonts w:ascii="Calibri" w:hAnsi="Calibri" w:cs="Calibri"/>
          <w:bCs/>
          <w:sz w:val="22"/>
          <w:szCs w:val="22"/>
          <w:lang w:val="es-ES_tradnl"/>
        </w:rPr>
        <w:t xml:space="preserve">) </w:t>
      </w:r>
      <w:r w:rsidR="00935049" w:rsidRPr="00701888">
        <w:rPr>
          <w:rFonts w:ascii="Calibri" w:hAnsi="Calibri" w:cs="Calibri"/>
          <w:bCs/>
          <w:sz w:val="22"/>
          <w:szCs w:val="22"/>
          <w:lang w:val="es-ES_tradnl"/>
        </w:rPr>
        <w:t>y</w:t>
      </w:r>
      <w:r w:rsidR="002B5322" w:rsidRPr="00701888">
        <w:rPr>
          <w:rFonts w:ascii="Calibri" w:hAnsi="Calibri" w:cs="Calibri"/>
          <w:bCs/>
          <w:sz w:val="22"/>
          <w:szCs w:val="22"/>
          <w:lang w:val="es-ES_tradnl"/>
        </w:rPr>
        <w:t xml:space="preserve"> </w:t>
      </w:r>
      <w:r w:rsidR="00314CBB" w:rsidRPr="00701888">
        <w:rPr>
          <w:rFonts w:ascii="Calibri" w:hAnsi="Calibri" w:cs="Calibri"/>
          <w:bCs/>
          <w:sz w:val="22"/>
          <w:szCs w:val="22"/>
          <w:lang w:val="es-ES_tradnl"/>
        </w:rPr>
        <w:t>4</w:t>
      </w:r>
      <w:r w:rsidR="00935049" w:rsidRPr="00701888">
        <w:rPr>
          <w:rFonts w:ascii="Calibri" w:hAnsi="Calibri" w:cs="Calibri"/>
          <w:bCs/>
          <w:sz w:val="22"/>
          <w:szCs w:val="22"/>
          <w:lang w:val="es-ES_tradnl"/>
        </w:rPr>
        <w:t>.</w:t>
      </w:r>
      <w:r w:rsidR="00314CBB" w:rsidRPr="00701888">
        <w:rPr>
          <w:rFonts w:ascii="Calibri" w:hAnsi="Calibri" w:cs="Calibri"/>
          <w:bCs/>
          <w:sz w:val="22"/>
          <w:szCs w:val="22"/>
          <w:lang w:val="es-ES_tradnl"/>
        </w:rPr>
        <w:t>428</w:t>
      </w:r>
      <w:r w:rsidR="00935049" w:rsidRPr="00701888">
        <w:rPr>
          <w:rFonts w:ascii="Calibri" w:hAnsi="Calibri" w:cs="Calibri"/>
          <w:bCs/>
          <w:sz w:val="22"/>
          <w:szCs w:val="22"/>
          <w:lang w:val="es-ES_tradnl"/>
        </w:rPr>
        <w:t>.</w:t>
      </w:r>
      <w:r w:rsidR="00314CBB" w:rsidRPr="00701888">
        <w:rPr>
          <w:rFonts w:ascii="Calibri" w:hAnsi="Calibri" w:cs="Calibri"/>
          <w:bCs/>
          <w:sz w:val="22"/>
          <w:szCs w:val="22"/>
          <w:lang w:val="es-ES_tradnl"/>
        </w:rPr>
        <w:t>424</w:t>
      </w:r>
      <w:r w:rsidR="00935049" w:rsidRPr="00701888">
        <w:rPr>
          <w:rFonts w:ascii="Calibri" w:hAnsi="Calibri" w:cs="Calibri"/>
          <w:bCs/>
          <w:sz w:val="22"/>
          <w:szCs w:val="22"/>
          <w:lang w:val="es-ES_tradnl"/>
        </w:rPr>
        <w:t xml:space="preserve"> coronas noruegas</w:t>
      </w:r>
      <w:r w:rsidR="00314CBB" w:rsidRPr="00701888">
        <w:rPr>
          <w:rFonts w:ascii="Calibri" w:hAnsi="Calibri" w:cs="Calibri"/>
          <w:bCs/>
          <w:sz w:val="22"/>
          <w:szCs w:val="22"/>
          <w:lang w:val="es-ES_tradnl"/>
        </w:rPr>
        <w:t xml:space="preserve"> (equivalent</w:t>
      </w:r>
      <w:r w:rsidR="00935049" w:rsidRPr="00701888">
        <w:rPr>
          <w:rFonts w:ascii="Calibri" w:hAnsi="Calibri" w:cs="Calibri"/>
          <w:bCs/>
          <w:sz w:val="22"/>
          <w:szCs w:val="22"/>
          <w:lang w:val="es-ES_tradnl"/>
        </w:rPr>
        <w:t>e a</w:t>
      </w:r>
      <w:r w:rsidR="00314CBB" w:rsidRPr="00701888">
        <w:rPr>
          <w:rFonts w:ascii="Calibri" w:hAnsi="Calibri" w:cs="Calibri"/>
          <w:bCs/>
          <w:sz w:val="22"/>
          <w:szCs w:val="22"/>
          <w:lang w:val="es-ES_tradnl"/>
        </w:rPr>
        <w:t xml:space="preserve"> </w:t>
      </w:r>
      <w:r w:rsidR="00524A0A" w:rsidRPr="00701888">
        <w:rPr>
          <w:rFonts w:ascii="Calibri" w:hAnsi="Calibri" w:cs="Calibri"/>
          <w:bCs/>
          <w:sz w:val="22"/>
          <w:szCs w:val="22"/>
          <w:lang w:val="es-ES_tradnl"/>
        </w:rPr>
        <w:t>501.052</w:t>
      </w:r>
      <w:r w:rsidR="00935049" w:rsidRPr="00701888">
        <w:rPr>
          <w:rFonts w:ascii="Calibri" w:hAnsi="Calibri" w:cs="Calibri"/>
          <w:bCs/>
          <w:sz w:val="22"/>
          <w:szCs w:val="22"/>
          <w:lang w:val="es-ES_tradnl"/>
        </w:rPr>
        <w:t xml:space="preserve"> francos suizos</w:t>
      </w:r>
      <w:r w:rsidR="00314CBB" w:rsidRPr="00701888">
        <w:rPr>
          <w:rFonts w:ascii="Calibri" w:hAnsi="Calibri" w:cs="Calibri"/>
          <w:bCs/>
          <w:sz w:val="22"/>
          <w:szCs w:val="22"/>
          <w:lang w:val="es-ES_tradnl"/>
        </w:rPr>
        <w:t xml:space="preserve">). </w:t>
      </w:r>
      <w:r w:rsidR="00935049" w:rsidRPr="00701888">
        <w:rPr>
          <w:rFonts w:ascii="Calibri" w:hAnsi="Calibri" w:cs="Calibri"/>
          <w:bCs/>
          <w:sz w:val="22"/>
          <w:szCs w:val="22"/>
          <w:lang w:val="es-ES_tradnl"/>
        </w:rPr>
        <w:t>Al tener cantidades de divisas, l</w:t>
      </w:r>
      <w:r w:rsidR="00FA5512" w:rsidRPr="00701888">
        <w:rPr>
          <w:rFonts w:ascii="Calibri" w:hAnsi="Calibri" w:cs="Calibri"/>
          <w:bCs/>
          <w:sz w:val="22"/>
          <w:szCs w:val="22"/>
          <w:lang w:val="es-ES_tradnl"/>
        </w:rPr>
        <w:t>a apreciación de</w:t>
      </w:r>
      <w:r w:rsidRPr="00701888">
        <w:rPr>
          <w:rFonts w:ascii="Calibri" w:hAnsi="Calibri" w:cs="Calibri"/>
          <w:bCs/>
          <w:sz w:val="22"/>
          <w:szCs w:val="22"/>
          <w:lang w:val="es-ES_tradnl"/>
        </w:rPr>
        <w:t xml:space="preserve">l </w:t>
      </w:r>
      <w:r w:rsidR="00526FBB" w:rsidRPr="00701888">
        <w:rPr>
          <w:rFonts w:ascii="Calibri" w:hAnsi="Calibri" w:cs="Calibri"/>
          <w:bCs/>
          <w:sz w:val="22"/>
          <w:szCs w:val="22"/>
          <w:lang w:val="es-ES_tradnl"/>
        </w:rPr>
        <w:t>tipo de cambio d</w:t>
      </w:r>
      <w:r w:rsidR="00FA5512" w:rsidRPr="00701888">
        <w:rPr>
          <w:rFonts w:ascii="Calibri" w:hAnsi="Calibri" w:cs="Calibri"/>
          <w:bCs/>
          <w:sz w:val="22"/>
          <w:szCs w:val="22"/>
          <w:lang w:val="es-ES_tradnl"/>
        </w:rPr>
        <w:t xml:space="preserve">el </w:t>
      </w:r>
      <w:r w:rsidRPr="00701888">
        <w:rPr>
          <w:rFonts w:ascii="Calibri" w:hAnsi="Calibri" w:cs="Calibri"/>
          <w:bCs/>
          <w:sz w:val="22"/>
          <w:szCs w:val="22"/>
          <w:lang w:val="es-ES_tradnl"/>
        </w:rPr>
        <w:t xml:space="preserve">franco suizo </w:t>
      </w:r>
      <w:r w:rsidR="00FA5512" w:rsidRPr="00701888">
        <w:rPr>
          <w:rFonts w:ascii="Calibri" w:hAnsi="Calibri" w:cs="Calibri"/>
          <w:bCs/>
          <w:sz w:val="22"/>
          <w:szCs w:val="22"/>
          <w:lang w:val="es-ES_tradnl"/>
        </w:rPr>
        <w:t>frente a la mayoría de las divisas mundiales en enero de 2015</w:t>
      </w:r>
      <w:r w:rsidR="00935049" w:rsidRPr="00701888">
        <w:rPr>
          <w:rFonts w:ascii="Calibri" w:hAnsi="Calibri" w:cs="Calibri"/>
          <w:bCs/>
          <w:sz w:val="22"/>
          <w:szCs w:val="22"/>
          <w:lang w:val="es-ES_tradnl"/>
        </w:rPr>
        <w:t xml:space="preserve"> supuso una pérdida cambiaria importante de </w:t>
      </w:r>
      <w:r w:rsidR="00547115" w:rsidRPr="00701888">
        <w:rPr>
          <w:rFonts w:ascii="Calibri" w:hAnsi="Calibri" w:cs="Calibri"/>
          <w:bCs/>
          <w:sz w:val="22"/>
          <w:szCs w:val="22"/>
          <w:lang w:val="es-ES_tradnl"/>
        </w:rPr>
        <w:t>26</w:t>
      </w:r>
      <w:r w:rsidR="003B6B57" w:rsidRPr="00701888">
        <w:rPr>
          <w:rFonts w:ascii="Calibri" w:hAnsi="Calibri" w:cs="Calibri"/>
          <w:bCs/>
          <w:sz w:val="22"/>
          <w:szCs w:val="22"/>
          <w:lang w:val="es-ES_tradnl"/>
        </w:rPr>
        <w:t>1</w:t>
      </w:r>
      <w:r w:rsidR="00935049" w:rsidRPr="00701888">
        <w:rPr>
          <w:rFonts w:ascii="Calibri" w:hAnsi="Calibri" w:cs="Calibri"/>
          <w:bCs/>
          <w:sz w:val="22"/>
          <w:szCs w:val="22"/>
          <w:lang w:val="es-ES_tradnl"/>
        </w:rPr>
        <w:t>.</w:t>
      </w:r>
      <w:r w:rsidR="00547115" w:rsidRPr="00701888">
        <w:rPr>
          <w:rFonts w:ascii="Calibri" w:hAnsi="Calibri" w:cs="Calibri"/>
          <w:bCs/>
          <w:sz w:val="22"/>
          <w:szCs w:val="22"/>
          <w:lang w:val="es-ES_tradnl"/>
        </w:rPr>
        <w:t>000</w:t>
      </w:r>
      <w:r w:rsidR="00935049" w:rsidRPr="00701888">
        <w:rPr>
          <w:rFonts w:ascii="Calibri" w:hAnsi="Calibri" w:cs="Calibri"/>
          <w:bCs/>
          <w:sz w:val="22"/>
          <w:szCs w:val="22"/>
          <w:lang w:val="es-ES_tradnl"/>
        </w:rPr>
        <w:t xml:space="preserve"> francos suizos</w:t>
      </w:r>
      <w:r w:rsidR="00547115" w:rsidRPr="00701888">
        <w:rPr>
          <w:rFonts w:ascii="Calibri" w:hAnsi="Calibri" w:cs="Calibri"/>
          <w:bCs/>
          <w:sz w:val="22"/>
          <w:szCs w:val="22"/>
          <w:lang w:val="es-ES_tradnl"/>
        </w:rPr>
        <w:t>.</w:t>
      </w:r>
      <w:r w:rsidR="002B5322" w:rsidRPr="00701888">
        <w:rPr>
          <w:rFonts w:ascii="Calibri" w:hAnsi="Calibri" w:cs="Calibri"/>
          <w:bCs/>
          <w:sz w:val="22"/>
          <w:szCs w:val="22"/>
          <w:lang w:val="es-ES_tradnl"/>
        </w:rPr>
        <w:t xml:space="preserve"> </w:t>
      </w:r>
    </w:p>
    <w:p w14:paraId="6CF15A7F" w14:textId="77777777" w:rsidR="00314CBB" w:rsidRPr="00701888" w:rsidRDefault="00314CBB" w:rsidP="00C04C0D">
      <w:pPr>
        <w:pStyle w:val="ListParagraph"/>
        <w:ind w:left="426"/>
        <w:rPr>
          <w:rFonts w:ascii="Calibri" w:hAnsi="Calibri" w:cs="Calibri"/>
          <w:bCs/>
          <w:sz w:val="22"/>
          <w:szCs w:val="22"/>
          <w:lang w:val="es-ES_tradnl"/>
        </w:rPr>
      </w:pPr>
    </w:p>
    <w:p w14:paraId="0229A8BC" w14:textId="408FC0A1" w:rsidR="00A727D8" w:rsidRPr="00701888" w:rsidRDefault="003B6B57" w:rsidP="00C04C0D">
      <w:pPr>
        <w:pStyle w:val="ListParagraph"/>
        <w:numPr>
          <w:ilvl w:val="0"/>
          <w:numId w:val="2"/>
        </w:numPr>
        <w:ind w:left="426" w:hanging="426"/>
        <w:rPr>
          <w:rFonts w:ascii="Calibri" w:hAnsi="Calibri"/>
          <w:sz w:val="22"/>
          <w:lang w:val="es-ES_tradnl"/>
        </w:rPr>
      </w:pPr>
      <w:r w:rsidRPr="00701888">
        <w:rPr>
          <w:rFonts w:ascii="Calibri" w:hAnsi="Calibri" w:cs="Calibri"/>
          <w:bCs/>
          <w:sz w:val="22"/>
          <w:szCs w:val="22"/>
          <w:lang w:val="es-ES_tradnl"/>
        </w:rPr>
        <w:t>La</w:t>
      </w:r>
      <w:r w:rsidR="00273725" w:rsidRPr="00701888">
        <w:rPr>
          <w:rFonts w:ascii="Calibri" w:hAnsi="Calibri" w:cs="Calibri"/>
          <w:bCs/>
          <w:sz w:val="22"/>
          <w:szCs w:val="22"/>
          <w:lang w:val="es-ES_tradnl"/>
        </w:rPr>
        <w:t xml:space="preserve"> suma</w:t>
      </w:r>
      <w:r w:rsidRPr="00701888">
        <w:rPr>
          <w:rFonts w:ascii="Calibri" w:hAnsi="Calibri" w:cs="Calibri"/>
          <w:bCs/>
          <w:sz w:val="22"/>
          <w:szCs w:val="22"/>
          <w:lang w:val="es-ES_tradnl"/>
        </w:rPr>
        <w:t xml:space="preserve"> de</w:t>
      </w:r>
      <w:r w:rsidR="00273725" w:rsidRPr="00701888">
        <w:rPr>
          <w:rFonts w:ascii="Calibri" w:hAnsi="Calibri" w:cs="Calibri"/>
          <w:bCs/>
          <w:sz w:val="22"/>
          <w:szCs w:val="22"/>
          <w:lang w:val="es-ES_tradnl"/>
        </w:rPr>
        <w:t xml:space="preserve"> los saldos de efectivo y de las cuentas por cobrar</w:t>
      </w:r>
      <w:r w:rsidR="003C33DA" w:rsidRPr="00701888">
        <w:rPr>
          <w:rFonts w:ascii="Calibri" w:hAnsi="Calibri" w:cs="Calibri"/>
          <w:bCs/>
          <w:sz w:val="22"/>
          <w:szCs w:val="22"/>
          <w:lang w:val="es-ES_tradnl"/>
        </w:rPr>
        <w:t xml:space="preserve"> fue</w:t>
      </w:r>
      <w:r w:rsidR="00273725" w:rsidRPr="00701888">
        <w:rPr>
          <w:rFonts w:ascii="Calibri" w:hAnsi="Calibri" w:cs="Calibri"/>
          <w:bCs/>
          <w:sz w:val="22"/>
          <w:szCs w:val="22"/>
          <w:lang w:val="es-ES_tradnl"/>
        </w:rPr>
        <w:t xml:space="preserve"> suficiente para cubrir</w:t>
      </w:r>
      <w:r w:rsidR="002B5322" w:rsidRPr="00701888">
        <w:rPr>
          <w:rFonts w:ascii="Calibri" w:hAnsi="Calibri" w:cs="Calibri"/>
          <w:bCs/>
          <w:sz w:val="22"/>
          <w:szCs w:val="22"/>
          <w:lang w:val="es-ES_tradnl"/>
        </w:rPr>
        <w:t xml:space="preserve"> </w:t>
      </w:r>
      <w:r w:rsidR="00273725" w:rsidRPr="00701888">
        <w:rPr>
          <w:rFonts w:ascii="Calibri" w:hAnsi="Calibri" w:cs="Calibri"/>
          <w:bCs/>
          <w:sz w:val="22"/>
          <w:szCs w:val="22"/>
          <w:lang w:val="es-ES_tradnl"/>
        </w:rPr>
        <w:t xml:space="preserve">todas las obligaciones financieras (pasivo) de la Secretaría al cierre de 2015. A la vista de la tendencia al alza de la morosidad relativa a las contribuciones pendientes, la Secretaría controlará la situación de caja con el fin de garantizar </w:t>
      </w:r>
      <w:r w:rsidR="00F66A6C" w:rsidRPr="00701888">
        <w:rPr>
          <w:rFonts w:ascii="Calibri" w:hAnsi="Calibri" w:cs="Calibri"/>
          <w:bCs/>
          <w:sz w:val="22"/>
          <w:szCs w:val="22"/>
          <w:lang w:val="es-ES_tradnl"/>
        </w:rPr>
        <w:t xml:space="preserve">que pueda seguir desempeñando sus actividades. </w:t>
      </w:r>
    </w:p>
    <w:p w14:paraId="133AEBAC" w14:textId="77777777" w:rsidR="00A727D8" w:rsidRPr="00701888" w:rsidRDefault="00A727D8" w:rsidP="00C04C0D">
      <w:pPr>
        <w:pStyle w:val="ListParagraph"/>
        <w:ind w:left="426"/>
        <w:rPr>
          <w:rFonts w:ascii="Calibri" w:hAnsi="Calibri"/>
          <w:sz w:val="22"/>
          <w:lang w:val="es-ES_tradnl"/>
        </w:rPr>
      </w:pPr>
    </w:p>
    <w:p w14:paraId="566FE1E1" w14:textId="75F7AD05" w:rsidR="00A8357F" w:rsidRPr="00701888" w:rsidRDefault="00364098" w:rsidP="00C04C0D">
      <w:pPr>
        <w:pStyle w:val="ListParagraph"/>
        <w:numPr>
          <w:ilvl w:val="0"/>
          <w:numId w:val="2"/>
        </w:numPr>
        <w:ind w:left="426" w:hanging="426"/>
        <w:rPr>
          <w:rFonts w:ascii="Calibri" w:hAnsi="Calibri"/>
          <w:sz w:val="22"/>
          <w:lang w:val="es-ES_tradnl"/>
        </w:rPr>
      </w:pPr>
      <w:r w:rsidRPr="00701888">
        <w:rPr>
          <w:rFonts w:ascii="Calibri" w:hAnsi="Calibri"/>
          <w:sz w:val="22"/>
          <w:lang w:val="es-ES_tradnl"/>
        </w:rPr>
        <w:t xml:space="preserve">Las propuestas para resolver la cuestión de las contribuciones pendientes de pago se tratan en mayor detalle en el documento </w:t>
      </w:r>
      <w:r w:rsidR="00A8357F" w:rsidRPr="00701888">
        <w:rPr>
          <w:rFonts w:ascii="Calibri" w:hAnsi="Calibri"/>
          <w:sz w:val="22"/>
          <w:lang w:val="es-ES_tradnl"/>
        </w:rPr>
        <w:t>DOC SC</w:t>
      </w:r>
      <w:r w:rsidR="0002611D" w:rsidRPr="00701888">
        <w:rPr>
          <w:rFonts w:ascii="Calibri" w:hAnsi="Calibri"/>
          <w:sz w:val="22"/>
          <w:lang w:val="es-ES_tradnl"/>
        </w:rPr>
        <w:t>52</w:t>
      </w:r>
      <w:r w:rsidR="00A8357F" w:rsidRPr="00701888">
        <w:rPr>
          <w:rFonts w:ascii="Calibri" w:hAnsi="Calibri"/>
          <w:sz w:val="22"/>
          <w:lang w:val="es-ES_tradnl"/>
        </w:rPr>
        <w:t>-</w:t>
      </w:r>
      <w:r w:rsidR="0002611D" w:rsidRPr="00701888">
        <w:rPr>
          <w:rFonts w:ascii="Calibri" w:hAnsi="Calibri"/>
          <w:sz w:val="22"/>
          <w:lang w:val="es-ES_tradnl"/>
        </w:rPr>
        <w:t>19</w:t>
      </w:r>
      <w:r w:rsidR="00A8357F" w:rsidRPr="00701888">
        <w:rPr>
          <w:rFonts w:ascii="Calibri" w:hAnsi="Calibri"/>
          <w:sz w:val="22"/>
          <w:lang w:val="es-ES_tradnl"/>
        </w:rPr>
        <w:t>.</w:t>
      </w:r>
    </w:p>
    <w:p w14:paraId="1D394EA8" w14:textId="77777777" w:rsidR="00BC59B6" w:rsidRPr="00701888" w:rsidRDefault="00BC59B6" w:rsidP="00BC59B6">
      <w:pPr>
        <w:rPr>
          <w:rFonts w:ascii="Calibri" w:hAnsi="Calibri" w:cs="Calibri"/>
          <w:bCs/>
          <w:sz w:val="22"/>
          <w:szCs w:val="22"/>
          <w:lang w:val="es-ES_tradnl"/>
        </w:rPr>
      </w:pPr>
    </w:p>
    <w:p w14:paraId="0988ECF9" w14:textId="3B174B91" w:rsidR="0044433D" w:rsidRPr="00C76A9F" w:rsidRDefault="0044433D" w:rsidP="00842399">
      <w:pPr>
        <w:ind w:left="567" w:hanging="567"/>
        <w:rPr>
          <w:rFonts w:ascii="Calibri" w:hAnsi="Calibri" w:cs="Calibri"/>
          <w:b/>
          <w:sz w:val="22"/>
          <w:szCs w:val="22"/>
          <w:lang w:val="es-ES_tradnl"/>
        </w:rPr>
      </w:pPr>
      <w:r w:rsidRPr="00C76A9F">
        <w:rPr>
          <w:rFonts w:ascii="Calibri" w:hAnsi="Calibri" w:cs="Calibri"/>
          <w:b/>
          <w:sz w:val="22"/>
          <w:szCs w:val="22"/>
          <w:lang w:val="es-ES_tradnl"/>
        </w:rPr>
        <w:t>An</w:t>
      </w:r>
      <w:r w:rsidR="00F66A6C" w:rsidRPr="00C76A9F">
        <w:rPr>
          <w:rFonts w:ascii="Calibri" w:hAnsi="Calibri" w:cs="Calibri"/>
          <w:b/>
          <w:sz w:val="22"/>
          <w:szCs w:val="22"/>
          <w:lang w:val="es-ES_tradnl"/>
        </w:rPr>
        <w:t>exos</w:t>
      </w:r>
    </w:p>
    <w:p w14:paraId="64F7B4B1" w14:textId="77777777" w:rsidR="008532A7" w:rsidRPr="00C76A9F" w:rsidRDefault="008532A7" w:rsidP="00842399">
      <w:pPr>
        <w:ind w:left="567" w:hanging="567"/>
        <w:rPr>
          <w:rFonts w:ascii="Calibri" w:hAnsi="Calibri" w:cs="Calibri"/>
          <w:b/>
          <w:sz w:val="22"/>
          <w:szCs w:val="22"/>
          <w:lang w:val="es-ES_tradnl"/>
        </w:rPr>
      </w:pPr>
    </w:p>
    <w:p w14:paraId="0DDBD8E6" w14:textId="0079D1D5" w:rsidR="008532A7" w:rsidRPr="00C76A9F" w:rsidRDefault="001640AB" w:rsidP="00F31CEB">
      <w:pPr>
        <w:pStyle w:val="ListParagraph"/>
        <w:numPr>
          <w:ilvl w:val="0"/>
          <w:numId w:val="3"/>
        </w:numPr>
        <w:rPr>
          <w:rFonts w:ascii="Calibri" w:hAnsi="Calibri" w:cs="Calibri"/>
          <w:sz w:val="22"/>
          <w:szCs w:val="22"/>
          <w:lang w:val="es-ES_tradnl"/>
        </w:rPr>
      </w:pPr>
      <w:r w:rsidRPr="00C76A9F">
        <w:rPr>
          <w:rFonts w:ascii="Calibri" w:hAnsi="Calibri" w:cs="Calibri"/>
          <w:sz w:val="22"/>
          <w:szCs w:val="22"/>
          <w:lang w:val="es-ES_tradnl"/>
        </w:rPr>
        <w:t xml:space="preserve">Estados financieros </w:t>
      </w:r>
      <w:r w:rsidR="00F66A6C" w:rsidRPr="00C76A9F">
        <w:rPr>
          <w:rFonts w:ascii="Calibri" w:hAnsi="Calibri" w:cs="Calibri"/>
          <w:sz w:val="22"/>
          <w:szCs w:val="22"/>
          <w:lang w:val="es-ES_tradnl"/>
        </w:rPr>
        <w:t xml:space="preserve">a 31 de diciembre de 2015, </w:t>
      </w:r>
      <w:r w:rsidRPr="00C76A9F">
        <w:rPr>
          <w:rFonts w:ascii="Calibri" w:hAnsi="Calibri" w:cs="Calibri"/>
          <w:sz w:val="22"/>
          <w:szCs w:val="22"/>
          <w:lang w:val="es-ES_tradnl"/>
        </w:rPr>
        <w:t>auditados</w:t>
      </w:r>
      <w:r w:rsidR="00F66A6C" w:rsidRPr="00C76A9F">
        <w:rPr>
          <w:rFonts w:ascii="Calibri" w:hAnsi="Calibri" w:cs="Calibri"/>
          <w:sz w:val="22"/>
          <w:szCs w:val="22"/>
          <w:lang w:val="es-ES_tradnl"/>
        </w:rPr>
        <w:t xml:space="preserve"> </w:t>
      </w:r>
      <w:r w:rsidR="00550BE1" w:rsidRPr="00C76A9F">
        <w:rPr>
          <w:rFonts w:ascii="Calibri" w:hAnsi="Calibri" w:cs="Calibri"/>
          <w:sz w:val="22"/>
          <w:szCs w:val="22"/>
          <w:lang w:val="es-ES_tradnl"/>
        </w:rPr>
        <w:t>(</w:t>
      </w:r>
      <w:r w:rsidR="00526FBB" w:rsidRPr="00C76A9F">
        <w:rPr>
          <w:rFonts w:ascii="Calibri" w:hAnsi="Calibri" w:cs="Calibri"/>
          <w:sz w:val="22"/>
          <w:szCs w:val="22"/>
          <w:lang w:val="es-ES_tradnl"/>
        </w:rPr>
        <w:t>preparado</w:t>
      </w:r>
      <w:r w:rsidR="00BE5A8D" w:rsidRPr="00C76A9F">
        <w:rPr>
          <w:rFonts w:ascii="Calibri" w:hAnsi="Calibri" w:cs="Calibri"/>
          <w:sz w:val="22"/>
          <w:szCs w:val="22"/>
          <w:lang w:val="es-ES_tradnl"/>
        </w:rPr>
        <w:t>s</w:t>
      </w:r>
      <w:r w:rsidR="00526FBB" w:rsidRPr="00C76A9F">
        <w:rPr>
          <w:rFonts w:ascii="Calibri" w:hAnsi="Calibri" w:cs="Calibri"/>
          <w:sz w:val="22"/>
          <w:szCs w:val="22"/>
          <w:lang w:val="es-ES_tradnl"/>
        </w:rPr>
        <w:t xml:space="preserve"> según </w:t>
      </w:r>
      <w:r w:rsidR="002B4DD4" w:rsidRPr="00C76A9F">
        <w:rPr>
          <w:rFonts w:ascii="Calibri" w:hAnsi="Calibri" w:cs="Calibri"/>
          <w:sz w:val="22"/>
          <w:szCs w:val="22"/>
          <w:lang w:val="es-ES_tradnl"/>
        </w:rPr>
        <w:t xml:space="preserve">                           </w:t>
      </w:r>
      <w:r w:rsidR="00526FBB" w:rsidRPr="00C76A9F">
        <w:rPr>
          <w:rFonts w:ascii="Calibri" w:hAnsi="Calibri" w:cs="Calibri"/>
          <w:sz w:val="22"/>
          <w:szCs w:val="22"/>
          <w:lang w:val="es-ES_tradnl"/>
        </w:rPr>
        <w:t>formato de presentación de estados financieros aplicable en Suiza</w:t>
      </w:r>
      <w:r w:rsidR="00550BE1" w:rsidRPr="00C76A9F">
        <w:rPr>
          <w:rFonts w:ascii="Calibri" w:hAnsi="Calibri" w:cs="Calibri"/>
          <w:sz w:val="22"/>
          <w:szCs w:val="22"/>
          <w:lang w:val="es-ES_tradnl"/>
        </w:rPr>
        <w:t>)</w:t>
      </w:r>
      <w:r w:rsidR="00B07ABC" w:rsidRPr="00C76A9F">
        <w:rPr>
          <w:rFonts w:ascii="Calibri" w:hAnsi="Calibri" w:cs="Calibri"/>
          <w:sz w:val="22"/>
          <w:szCs w:val="22"/>
          <w:lang w:val="es-ES_tradnl"/>
        </w:rPr>
        <w:tab/>
      </w:r>
      <w:r w:rsidR="00B07ABC" w:rsidRPr="00C76A9F">
        <w:rPr>
          <w:rFonts w:ascii="Calibri" w:hAnsi="Calibri" w:cs="Calibri"/>
          <w:sz w:val="22"/>
          <w:szCs w:val="22"/>
          <w:lang w:val="es-ES_tradnl"/>
        </w:rPr>
        <w:tab/>
        <w:t xml:space="preserve">Página </w:t>
      </w:r>
      <w:r w:rsidR="00C76A9F" w:rsidRPr="00C76A9F">
        <w:rPr>
          <w:rFonts w:ascii="Calibri" w:hAnsi="Calibri" w:cs="Calibri"/>
          <w:sz w:val="22"/>
          <w:szCs w:val="22"/>
          <w:lang w:val="es-ES_tradnl"/>
        </w:rPr>
        <w:t>7</w:t>
      </w:r>
    </w:p>
    <w:p w14:paraId="461CA6ED" w14:textId="77777777" w:rsidR="00550BE1" w:rsidRPr="00C76A9F" w:rsidRDefault="00550BE1" w:rsidP="00550BE1">
      <w:pPr>
        <w:pStyle w:val="ListParagraph"/>
        <w:ind w:left="360"/>
        <w:rPr>
          <w:rFonts w:ascii="Calibri" w:hAnsi="Calibri" w:cs="Calibri"/>
          <w:sz w:val="22"/>
          <w:szCs w:val="22"/>
          <w:lang w:val="es-ES_tradnl"/>
        </w:rPr>
      </w:pPr>
    </w:p>
    <w:p w14:paraId="543CB4DA" w14:textId="0DF5C0E0" w:rsidR="00550BE1" w:rsidRPr="00C76A9F" w:rsidRDefault="00F66A6C" w:rsidP="00701888">
      <w:pPr>
        <w:pStyle w:val="ListParagraph"/>
        <w:numPr>
          <w:ilvl w:val="0"/>
          <w:numId w:val="3"/>
        </w:numPr>
        <w:rPr>
          <w:rFonts w:ascii="Calibri" w:hAnsi="Calibri" w:cs="Calibri"/>
          <w:sz w:val="22"/>
          <w:szCs w:val="22"/>
          <w:lang w:val="es-ES_tradnl"/>
        </w:rPr>
      </w:pPr>
      <w:r w:rsidRPr="00C76A9F">
        <w:rPr>
          <w:rFonts w:ascii="Calibri" w:hAnsi="Calibri" w:cs="Calibri"/>
          <w:sz w:val="22"/>
          <w:szCs w:val="22"/>
          <w:lang w:val="es-ES_tradnl"/>
        </w:rPr>
        <w:t xml:space="preserve">Resultados del presupuesto básico de </w:t>
      </w:r>
      <w:r w:rsidR="008532A7" w:rsidRPr="00C76A9F">
        <w:rPr>
          <w:rFonts w:ascii="Calibri" w:hAnsi="Calibri" w:cs="Calibri"/>
          <w:sz w:val="22"/>
          <w:szCs w:val="22"/>
          <w:lang w:val="es-ES_tradnl"/>
        </w:rPr>
        <w:t>201</w:t>
      </w:r>
      <w:r w:rsidR="00C4435F" w:rsidRPr="00C76A9F">
        <w:rPr>
          <w:rFonts w:ascii="Calibri" w:hAnsi="Calibri" w:cs="Calibri"/>
          <w:sz w:val="22"/>
          <w:szCs w:val="22"/>
          <w:lang w:val="es-ES_tradnl"/>
        </w:rPr>
        <w:t>5</w:t>
      </w:r>
      <w:r w:rsidRPr="00C76A9F">
        <w:rPr>
          <w:rFonts w:ascii="Calibri" w:hAnsi="Calibri" w:cs="Calibri"/>
          <w:sz w:val="22"/>
          <w:szCs w:val="22"/>
          <w:lang w:val="es-ES_tradnl"/>
        </w:rPr>
        <w:t xml:space="preserve">, con el presupuesto aprobado por </w:t>
      </w:r>
      <w:r w:rsidR="00701888" w:rsidRPr="00C76A9F">
        <w:rPr>
          <w:rFonts w:ascii="Calibri" w:hAnsi="Calibri" w:cs="Calibri"/>
          <w:sz w:val="22"/>
          <w:szCs w:val="22"/>
          <w:lang w:val="es-ES_tradnl"/>
        </w:rPr>
        <w:t xml:space="preserve">                                  </w:t>
      </w:r>
      <w:r w:rsidRPr="00C76A9F">
        <w:rPr>
          <w:rFonts w:ascii="Calibri" w:hAnsi="Calibri" w:cs="Calibri"/>
          <w:sz w:val="22"/>
          <w:szCs w:val="22"/>
          <w:lang w:val="es-ES_tradnl"/>
        </w:rPr>
        <w:t>la 48ª reunión del Comité</w:t>
      </w:r>
      <w:r w:rsidR="00526FBB" w:rsidRPr="00C76A9F">
        <w:rPr>
          <w:rFonts w:ascii="Calibri" w:hAnsi="Calibri" w:cs="Calibri"/>
          <w:sz w:val="22"/>
          <w:szCs w:val="22"/>
          <w:lang w:val="es-ES_tradnl"/>
        </w:rPr>
        <w:t xml:space="preserve"> Permanente, </w:t>
      </w:r>
      <w:r w:rsidRPr="00C76A9F">
        <w:rPr>
          <w:rFonts w:ascii="Calibri" w:hAnsi="Calibri" w:cs="Calibri"/>
          <w:sz w:val="22"/>
          <w:szCs w:val="22"/>
          <w:lang w:val="es-ES_tradnl"/>
        </w:rPr>
        <w:t xml:space="preserve">ingresos y gastos reales y variación </w:t>
      </w:r>
      <w:r w:rsidR="00701888" w:rsidRPr="00C76A9F">
        <w:rPr>
          <w:rFonts w:ascii="Calibri" w:hAnsi="Calibri" w:cs="Calibri"/>
          <w:sz w:val="22"/>
          <w:szCs w:val="22"/>
          <w:lang w:val="es-ES_tradnl"/>
        </w:rPr>
        <w:tab/>
        <w:t xml:space="preserve">        </w:t>
      </w:r>
      <w:r w:rsidR="002B4DD4" w:rsidRPr="00C76A9F">
        <w:rPr>
          <w:rFonts w:ascii="Calibri" w:hAnsi="Calibri" w:cs="Calibri"/>
          <w:sz w:val="22"/>
          <w:szCs w:val="22"/>
          <w:lang w:val="es-ES_tradnl"/>
        </w:rPr>
        <w:t xml:space="preserve">     </w:t>
      </w:r>
      <w:r w:rsidR="00701888" w:rsidRPr="00C76A9F">
        <w:rPr>
          <w:rFonts w:ascii="Calibri" w:hAnsi="Calibri" w:cs="Calibri"/>
          <w:sz w:val="22"/>
          <w:szCs w:val="22"/>
          <w:lang w:val="es-ES_tradnl"/>
        </w:rPr>
        <w:t xml:space="preserve">    </w:t>
      </w:r>
      <w:r w:rsidR="00122AF1" w:rsidRPr="00C76A9F">
        <w:rPr>
          <w:rFonts w:ascii="Calibri" w:hAnsi="Calibri" w:cs="Calibri"/>
          <w:sz w:val="22"/>
          <w:szCs w:val="22"/>
          <w:lang w:val="es-ES_tradnl"/>
        </w:rPr>
        <w:t>re</w:t>
      </w:r>
      <w:r w:rsidR="002D76A2" w:rsidRPr="00C76A9F">
        <w:rPr>
          <w:rFonts w:ascii="Calibri" w:hAnsi="Calibri" w:cs="Calibri"/>
          <w:sz w:val="22"/>
          <w:szCs w:val="22"/>
          <w:lang w:val="es-ES_tradnl"/>
        </w:rPr>
        <w:t>specto del presupuesto aprobado</w:t>
      </w:r>
      <w:r w:rsidR="00135E3B" w:rsidRPr="00C76A9F">
        <w:rPr>
          <w:rFonts w:ascii="Calibri" w:hAnsi="Calibri" w:cs="Calibri"/>
          <w:sz w:val="22"/>
          <w:szCs w:val="22"/>
          <w:lang w:val="es-ES_tradnl"/>
        </w:rPr>
        <w:t xml:space="preserve"> </w:t>
      </w:r>
      <w:r w:rsidR="006D7B2A" w:rsidRPr="00C76A9F">
        <w:rPr>
          <w:rFonts w:ascii="Calibri" w:hAnsi="Calibri" w:cs="Calibri"/>
          <w:sz w:val="22"/>
          <w:szCs w:val="22"/>
          <w:lang w:val="es-ES_tradnl"/>
        </w:rPr>
        <w:tab/>
      </w:r>
      <w:r w:rsidR="006D7B2A" w:rsidRPr="00C76A9F">
        <w:rPr>
          <w:rFonts w:ascii="Calibri" w:hAnsi="Calibri" w:cs="Calibri"/>
          <w:sz w:val="22"/>
          <w:szCs w:val="22"/>
          <w:lang w:val="es-ES_tradnl"/>
        </w:rPr>
        <w:tab/>
      </w:r>
      <w:r w:rsidR="006D7B2A" w:rsidRPr="00C76A9F">
        <w:rPr>
          <w:rFonts w:ascii="Calibri" w:hAnsi="Calibri" w:cs="Calibri"/>
          <w:sz w:val="22"/>
          <w:szCs w:val="22"/>
          <w:lang w:val="es-ES_tradnl"/>
        </w:rPr>
        <w:tab/>
      </w:r>
      <w:r w:rsidR="006D7B2A" w:rsidRPr="00C76A9F">
        <w:rPr>
          <w:rFonts w:ascii="Calibri" w:hAnsi="Calibri" w:cs="Calibri"/>
          <w:sz w:val="22"/>
          <w:szCs w:val="22"/>
          <w:lang w:val="es-ES_tradnl"/>
        </w:rPr>
        <w:tab/>
      </w:r>
      <w:r w:rsidR="006D7B2A" w:rsidRPr="00C76A9F">
        <w:rPr>
          <w:rFonts w:ascii="Calibri" w:hAnsi="Calibri" w:cs="Calibri"/>
          <w:sz w:val="22"/>
          <w:szCs w:val="22"/>
          <w:lang w:val="es-ES_tradnl"/>
        </w:rPr>
        <w:tab/>
      </w:r>
      <w:r w:rsidR="00B07ABC" w:rsidRPr="00C76A9F">
        <w:rPr>
          <w:rFonts w:ascii="Calibri" w:hAnsi="Calibri" w:cs="Calibri"/>
          <w:sz w:val="22"/>
          <w:szCs w:val="22"/>
          <w:lang w:val="es-ES_tradnl"/>
        </w:rPr>
        <w:t>Página</w:t>
      </w:r>
      <w:r w:rsidR="00C76A9F" w:rsidRPr="00C76A9F">
        <w:rPr>
          <w:rFonts w:ascii="Calibri" w:hAnsi="Calibri" w:cs="Calibri"/>
          <w:sz w:val="22"/>
          <w:szCs w:val="22"/>
          <w:lang w:val="es-ES_tradnl"/>
        </w:rPr>
        <w:t xml:space="preserve"> 11</w:t>
      </w:r>
    </w:p>
    <w:p w14:paraId="37F2F878" w14:textId="77777777" w:rsidR="00550BE1" w:rsidRPr="00C76A9F" w:rsidRDefault="00550BE1" w:rsidP="00550BE1">
      <w:pPr>
        <w:pStyle w:val="ListParagraph"/>
        <w:rPr>
          <w:rFonts w:ascii="Calibri" w:hAnsi="Calibri" w:cs="Calibri"/>
          <w:sz w:val="22"/>
          <w:szCs w:val="22"/>
          <w:lang w:val="es-ES_tradnl"/>
        </w:rPr>
      </w:pPr>
    </w:p>
    <w:p w14:paraId="7F32F54C" w14:textId="605165E1" w:rsidR="00584EE3" w:rsidRPr="00C76A9F" w:rsidRDefault="00F66A6C" w:rsidP="00584EE3">
      <w:pPr>
        <w:pStyle w:val="ListParagraph"/>
        <w:numPr>
          <w:ilvl w:val="0"/>
          <w:numId w:val="3"/>
        </w:numPr>
        <w:rPr>
          <w:rFonts w:ascii="Calibri" w:hAnsi="Calibri" w:cs="Calibri"/>
          <w:sz w:val="22"/>
          <w:szCs w:val="22"/>
          <w:lang w:val="es-ES_tradnl"/>
        </w:rPr>
      </w:pPr>
      <w:r w:rsidRPr="00C76A9F">
        <w:rPr>
          <w:rFonts w:ascii="Calibri" w:hAnsi="Calibri" w:cs="Calibri"/>
          <w:sz w:val="22"/>
          <w:szCs w:val="22"/>
          <w:lang w:val="es-ES_tradnl"/>
        </w:rPr>
        <w:t>Presupuesto para 2016 aprobado por la 51ª reunión del Comité Permanente</w:t>
      </w:r>
      <w:r w:rsidR="00B07ABC" w:rsidRPr="00C76A9F">
        <w:rPr>
          <w:rFonts w:ascii="Calibri" w:hAnsi="Calibri" w:cs="Calibri"/>
          <w:sz w:val="22"/>
          <w:szCs w:val="22"/>
          <w:lang w:val="es-ES_tradnl"/>
        </w:rPr>
        <w:tab/>
        <w:t>Página 1</w:t>
      </w:r>
      <w:r w:rsidR="00C76A9F" w:rsidRPr="00C76A9F">
        <w:rPr>
          <w:rFonts w:ascii="Calibri" w:hAnsi="Calibri" w:cs="Calibri"/>
          <w:sz w:val="22"/>
          <w:szCs w:val="22"/>
          <w:lang w:val="es-ES_tradnl"/>
        </w:rPr>
        <w:t>2</w:t>
      </w:r>
    </w:p>
    <w:p w14:paraId="60F95F6A" w14:textId="77777777" w:rsidR="00550BE1" w:rsidRPr="00C76A9F" w:rsidRDefault="00550BE1" w:rsidP="00550BE1">
      <w:pPr>
        <w:pStyle w:val="ListParagraph"/>
        <w:rPr>
          <w:rFonts w:ascii="Calibri" w:hAnsi="Calibri" w:cs="Calibri"/>
          <w:sz w:val="22"/>
          <w:szCs w:val="22"/>
          <w:lang w:val="es-ES_tradnl"/>
        </w:rPr>
      </w:pPr>
    </w:p>
    <w:p w14:paraId="59CE5A9F" w14:textId="688B7056" w:rsidR="00D67AA9" w:rsidRPr="00C76A9F" w:rsidRDefault="001640AB" w:rsidP="00550BE1">
      <w:pPr>
        <w:pStyle w:val="ListParagraph"/>
        <w:numPr>
          <w:ilvl w:val="0"/>
          <w:numId w:val="3"/>
        </w:numPr>
        <w:rPr>
          <w:rFonts w:ascii="Calibri" w:hAnsi="Calibri" w:cs="Calibri"/>
          <w:sz w:val="22"/>
          <w:szCs w:val="22"/>
          <w:lang w:val="es-ES_tradnl"/>
        </w:rPr>
      </w:pPr>
      <w:r w:rsidRPr="00C76A9F">
        <w:rPr>
          <w:rFonts w:ascii="Calibri" w:hAnsi="Calibri" w:cs="Calibri"/>
          <w:sz w:val="22"/>
          <w:szCs w:val="22"/>
          <w:lang w:val="es-ES_tradnl"/>
        </w:rPr>
        <w:t>P</w:t>
      </w:r>
      <w:r w:rsidR="00F66A6C" w:rsidRPr="00C76A9F">
        <w:rPr>
          <w:rFonts w:ascii="Calibri" w:hAnsi="Calibri" w:cs="Calibri"/>
          <w:sz w:val="22"/>
          <w:szCs w:val="22"/>
          <w:lang w:val="es-ES_tradnl"/>
        </w:rPr>
        <w:t xml:space="preserve">resupuesto no básico </w:t>
      </w:r>
      <w:r w:rsidRPr="00C76A9F">
        <w:rPr>
          <w:rFonts w:ascii="Calibri" w:hAnsi="Calibri" w:cs="Calibri"/>
          <w:sz w:val="22"/>
          <w:szCs w:val="22"/>
          <w:lang w:val="es-ES_tradnl"/>
        </w:rPr>
        <w:t xml:space="preserve">del trienio </w:t>
      </w:r>
      <w:r w:rsidR="00550BE1" w:rsidRPr="00C76A9F">
        <w:rPr>
          <w:rFonts w:ascii="Calibri" w:hAnsi="Calibri" w:cs="Calibri"/>
          <w:sz w:val="22"/>
          <w:szCs w:val="22"/>
          <w:lang w:val="es-ES_tradnl"/>
        </w:rPr>
        <w:t>2013-2015 (</w:t>
      </w:r>
      <w:r w:rsidR="00422A76" w:rsidRPr="00C76A9F">
        <w:rPr>
          <w:rFonts w:ascii="Calibri" w:hAnsi="Calibri" w:cs="Calibri"/>
          <w:sz w:val="22"/>
          <w:szCs w:val="22"/>
          <w:lang w:val="es-ES_tradnl"/>
        </w:rPr>
        <w:t>Anexo III de la Resolución</w:t>
      </w:r>
      <w:r w:rsidR="00550BE1" w:rsidRPr="00C76A9F">
        <w:rPr>
          <w:rFonts w:ascii="Calibri" w:hAnsi="Calibri" w:cs="Calibri"/>
          <w:sz w:val="22"/>
          <w:szCs w:val="22"/>
          <w:lang w:val="es-ES_tradnl"/>
        </w:rPr>
        <w:t xml:space="preserve"> XI.2)</w:t>
      </w:r>
      <w:r w:rsidR="00550BE1" w:rsidRPr="00C76A9F">
        <w:rPr>
          <w:rFonts w:ascii="Calibri" w:hAnsi="Calibri" w:cs="Calibri"/>
          <w:sz w:val="22"/>
          <w:szCs w:val="22"/>
          <w:lang w:val="es-ES_tradnl"/>
        </w:rPr>
        <w:tab/>
      </w:r>
      <w:r w:rsidR="00135E3B" w:rsidRPr="00C76A9F">
        <w:rPr>
          <w:rFonts w:ascii="Calibri" w:hAnsi="Calibri" w:cs="Calibri"/>
          <w:sz w:val="22"/>
          <w:szCs w:val="22"/>
          <w:lang w:val="es-ES_tradnl"/>
        </w:rPr>
        <w:t xml:space="preserve">Página </w:t>
      </w:r>
      <w:r w:rsidR="00550BE1" w:rsidRPr="00C76A9F">
        <w:rPr>
          <w:rFonts w:ascii="Calibri" w:hAnsi="Calibri" w:cs="Calibri"/>
          <w:sz w:val="22"/>
          <w:szCs w:val="22"/>
          <w:lang w:val="es-ES_tradnl"/>
        </w:rPr>
        <w:t>1</w:t>
      </w:r>
      <w:r w:rsidR="00C76A9F" w:rsidRPr="00C76A9F">
        <w:rPr>
          <w:rFonts w:ascii="Calibri" w:hAnsi="Calibri" w:cs="Calibri"/>
          <w:sz w:val="22"/>
          <w:szCs w:val="22"/>
          <w:lang w:val="es-ES_tradnl"/>
        </w:rPr>
        <w:t>3</w:t>
      </w:r>
    </w:p>
    <w:p w14:paraId="46814646" w14:textId="59984393" w:rsidR="00A3555F" w:rsidRPr="00701888" w:rsidRDefault="00C500C1" w:rsidP="002D76A2">
      <w:pPr>
        <w:ind w:left="1021" w:hanging="1021"/>
        <w:rPr>
          <w:rFonts w:ascii="Calibri" w:hAnsi="Calibri" w:cs="Calibri"/>
          <w:b/>
          <w:sz w:val="26"/>
          <w:szCs w:val="26"/>
          <w:lang w:val="es-ES_tradnl"/>
        </w:rPr>
      </w:pPr>
      <w:r w:rsidRPr="00701888">
        <w:rPr>
          <w:rFonts w:ascii="Calibri" w:hAnsi="Calibri" w:cs="Calibri"/>
          <w:b/>
          <w:sz w:val="22"/>
          <w:szCs w:val="22"/>
          <w:lang w:val="es-ES_tradnl"/>
        </w:rPr>
        <w:br w:type="page"/>
      </w:r>
      <w:r w:rsidR="00D2130B" w:rsidRPr="00701888">
        <w:rPr>
          <w:rFonts w:ascii="Calibri" w:hAnsi="Calibri" w:cs="Calibri"/>
          <w:b/>
          <w:sz w:val="26"/>
          <w:szCs w:val="26"/>
          <w:lang w:val="es-ES_tradnl"/>
        </w:rPr>
        <w:lastRenderedPageBreak/>
        <w:t>Anex</w:t>
      </w:r>
      <w:r w:rsidR="00795AE0" w:rsidRPr="00701888">
        <w:rPr>
          <w:rFonts w:ascii="Calibri" w:hAnsi="Calibri" w:cs="Calibri"/>
          <w:b/>
          <w:sz w:val="26"/>
          <w:szCs w:val="26"/>
          <w:lang w:val="es-ES_tradnl"/>
        </w:rPr>
        <w:t>o</w:t>
      </w:r>
      <w:r w:rsidR="00D2130B" w:rsidRPr="00701888">
        <w:rPr>
          <w:rFonts w:ascii="Calibri" w:hAnsi="Calibri" w:cs="Calibri"/>
          <w:b/>
          <w:sz w:val="26"/>
          <w:szCs w:val="26"/>
          <w:lang w:val="es-ES_tradnl"/>
        </w:rPr>
        <w:t xml:space="preserve"> 1</w:t>
      </w:r>
    </w:p>
    <w:p w14:paraId="5C775BEE" w14:textId="72902790" w:rsidR="00D67AA9" w:rsidRPr="00701888" w:rsidRDefault="008006D0" w:rsidP="007576EA">
      <w:pPr>
        <w:rPr>
          <w:rFonts w:ascii="Calibri" w:hAnsi="Calibri" w:cs="Calibri"/>
          <w:lang w:val="es-ES_tradnl"/>
        </w:rPr>
      </w:pPr>
      <w:bookmarkStart w:id="1" w:name="_GoBack"/>
      <w:bookmarkEnd w:id="1"/>
      <w:r w:rsidRPr="008006D0">
        <w:rPr>
          <w:rFonts w:ascii="Calibri" w:hAnsi="Calibri" w:cs="Calibri"/>
          <w:b/>
          <w:sz w:val="26"/>
          <w:szCs w:val="26"/>
          <w:lang w:val="es-ES_tradnl"/>
        </w:rPr>
        <w:t xml:space="preserve">Estados financieros a 31 de diciembre de 2015, auditados </w:t>
      </w:r>
      <w:r w:rsidR="00D67AA9" w:rsidRPr="00701888">
        <w:rPr>
          <w:rFonts w:ascii="Calibri" w:hAnsi="Calibri" w:cs="Calibri"/>
          <w:b/>
          <w:lang w:val="es-ES_tradnl"/>
        </w:rPr>
        <w:t>(</w:t>
      </w:r>
      <w:r w:rsidR="006F7551" w:rsidRPr="00701888">
        <w:rPr>
          <w:rFonts w:ascii="Calibri" w:hAnsi="Calibri" w:cs="Calibri"/>
          <w:b/>
          <w:lang w:val="es-ES_tradnl"/>
        </w:rPr>
        <w:t>presentado según formato</w:t>
      </w:r>
      <w:r w:rsidR="002B5322" w:rsidRPr="00701888">
        <w:rPr>
          <w:rFonts w:ascii="Calibri" w:hAnsi="Calibri" w:cs="Calibri"/>
          <w:b/>
          <w:lang w:val="es-ES_tradnl"/>
        </w:rPr>
        <w:t xml:space="preserve"> </w:t>
      </w:r>
      <w:r w:rsidR="006F7551" w:rsidRPr="00701888">
        <w:rPr>
          <w:rFonts w:ascii="Calibri" w:hAnsi="Calibri" w:cs="Calibri"/>
          <w:b/>
          <w:lang w:val="es-ES_tradnl"/>
        </w:rPr>
        <w:t>aplicable</w:t>
      </w:r>
      <w:r w:rsidR="00A3555F" w:rsidRPr="00701888">
        <w:rPr>
          <w:rFonts w:ascii="Calibri" w:hAnsi="Calibri" w:cs="Calibri"/>
          <w:b/>
          <w:lang w:val="es-ES_tradnl"/>
        </w:rPr>
        <w:t xml:space="preserve"> </w:t>
      </w:r>
      <w:r w:rsidR="006F7551" w:rsidRPr="00701888">
        <w:rPr>
          <w:rFonts w:ascii="Calibri" w:hAnsi="Calibri" w:cs="Calibri"/>
          <w:b/>
          <w:lang w:val="es-ES_tradnl"/>
        </w:rPr>
        <w:t>en Suiza</w:t>
      </w:r>
      <w:r w:rsidR="00D67AA9" w:rsidRPr="00701888">
        <w:rPr>
          <w:rFonts w:ascii="Calibri" w:hAnsi="Calibri" w:cs="Calibri"/>
          <w:b/>
          <w:lang w:val="es-ES_tradnl"/>
        </w:rPr>
        <w:t>)</w:t>
      </w:r>
    </w:p>
    <w:p w14:paraId="6A0E8EF4" w14:textId="77777777" w:rsidR="00D67AA9" w:rsidRPr="00701888" w:rsidRDefault="00550BE1" w:rsidP="00550BE1">
      <w:pPr>
        <w:tabs>
          <w:tab w:val="left" w:pos="7780"/>
        </w:tabs>
        <w:ind w:left="567" w:hanging="567"/>
        <w:rPr>
          <w:rFonts w:ascii="Calibri" w:hAnsi="Calibri" w:cs="Calibri"/>
          <w:lang w:val="es-ES_tradnl"/>
        </w:rPr>
      </w:pPr>
      <w:r w:rsidRPr="00701888">
        <w:rPr>
          <w:rFonts w:ascii="Calibri" w:hAnsi="Calibri" w:cs="Calibri"/>
          <w:lang w:val="es-ES_tradnl"/>
        </w:rPr>
        <w:tab/>
      </w:r>
      <w:r w:rsidRPr="00701888">
        <w:rPr>
          <w:rFonts w:ascii="Calibri" w:hAnsi="Calibri" w:cs="Calibri"/>
          <w:lang w:val="es-ES_tradnl"/>
        </w:rPr>
        <w:tab/>
      </w:r>
    </w:p>
    <w:p w14:paraId="321B86BE" w14:textId="77777777" w:rsidR="00D67AA9" w:rsidRPr="00701888" w:rsidRDefault="00D67AA9" w:rsidP="00D67AA9">
      <w:pPr>
        <w:ind w:left="567" w:hanging="567"/>
        <w:rPr>
          <w:rFonts w:ascii="Calibri" w:hAnsi="Calibri" w:cs="Calibri"/>
          <w:b/>
          <w:lang w:val="es-ES_tradnl"/>
        </w:rPr>
      </w:pPr>
    </w:p>
    <w:tbl>
      <w:tblPr>
        <w:tblW w:w="9150" w:type="dxa"/>
        <w:tblInd w:w="93" w:type="dxa"/>
        <w:tblLook w:val="04A0" w:firstRow="1" w:lastRow="0" w:firstColumn="1" w:lastColumn="0" w:noHBand="0" w:noVBand="1"/>
      </w:tblPr>
      <w:tblGrid>
        <w:gridCol w:w="5525"/>
        <w:gridCol w:w="861"/>
        <w:gridCol w:w="743"/>
        <w:gridCol w:w="280"/>
        <w:gridCol w:w="280"/>
        <w:gridCol w:w="1195"/>
        <w:gridCol w:w="266"/>
      </w:tblGrid>
      <w:tr w:rsidR="00AD6BFE" w:rsidRPr="00701888" w14:paraId="3DE4D9BA" w14:textId="77777777" w:rsidTr="00AD6BFE">
        <w:trPr>
          <w:trHeight w:val="330"/>
        </w:trPr>
        <w:tc>
          <w:tcPr>
            <w:tcW w:w="7129" w:type="dxa"/>
            <w:gridSpan w:val="3"/>
            <w:tcBorders>
              <w:top w:val="nil"/>
              <w:left w:val="nil"/>
              <w:bottom w:val="nil"/>
              <w:right w:val="nil"/>
            </w:tcBorders>
            <w:shd w:val="clear" w:color="000000" w:fill="FFFFFF"/>
            <w:noWrap/>
            <w:vAlign w:val="center"/>
            <w:hideMark/>
          </w:tcPr>
          <w:p w14:paraId="2F92DA4C" w14:textId="34B45DAF" w:rsidR="00AD6BFE" w:rsidRPr="00701888" w:rsidRDefault="00AD6BFE" w:rsidP="00AD6BFE">
            <w:pPr>
              <w:rPr>
                <w:rFonts w:ascii="Calibri" w:eastAsia="Times New Roman" w:hAnsi="Calibri" w:cs="Arial"/>
                <w:b/>
                <w:bCs/>
                <w:lang w:val="es-ES_tradnl" w:eastAsia="en-GB"/>
              </w:rPr>
            </w:pPr>
            <w:r w:rsidRPr="00701888">
              <w:rPr>
                <w:rFonts w:ascii="Arial" w:eastAsia="Times New Roman" w:hAnsi="Arial" w:cs="Arial"/>
                <w:b/>
                <w:bCs/>
                <w:sz w:val="20"/>
                <w:szCs w:val="20"/>
                <w:lang w:val="es-ES_tradnl" w:eastAsia="en-GB"/>
              </w:rPr>
              <w:t>BALANCE A 31 DE DICIEMBRE</w:t>
            </w:r>
          </w:p>
        </w:tc>
        <w:tc>
          <w:tcPr>
            <w:tcW w:w="280" w:type="dxa"/>
            <w:tcBorders>
              <w:top w:val="nil"/>
              <w:left w:val="nil"/>
              <w:bottom w:val="nil"/>
              <w:right w:val="nil"/>
            </w:tcBorders>
            <w:shd w:val="clear" w:color="000000" w:fill="FFFFFF"/>
            <w:noWrap/>
            <w:vAlign w:val="center"/>
            <w:hideMark/>
          </w:tcPr>
          <w:p w14:paraId="2FCD66C2"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FFFFFF"/>
            <w:noWrap/>
            <w:vAlign w:val="center"/>
            <w:hideMark/>
          </w:tcPr>
          <w:p w14:paraId="75EBEF73"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774DF9D9"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c>
          <w:tcPr>
            <w:tcW w:w="266" w:type="dxa"/>
            <w:tcBorders>
              <w:top w:val="nil"/>
              <w:left w:val="nil"/>
              <w:bottom w:val="nil"/>
              <w:right w:val="nil"/>
            </w:tcBorders>
            <w:shd w:val="clear" w:color="000000" w:fill="FFFFFF"/>
            <w:noWrap/>
            <w:vAlign w:val="bottom"/>
            <w:hideMark/>
          </w:tcPr>
          <w:p w14:paraId="0576E967"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r>
      <w:tr w:rsidR="00AD6BFE" w:rsidRPr="00701888" w14:paraId="50D4E5EF" w14:textId="77777777" w:rsidTr="00AD6BFE">
        <w:trPr>
          <w:trHeight w:val="330"/>
        </w:trPr>
        <w:tc>
          <w:tcPr>
            <w:tcW w:w="5525" w:type="dxa"/>
            <w:tcBorders>
              <w:top w:val="nil"/>
              <w:left w:val="nil"/>
              <w:bottom w:val="nil"/>
              <w:right w:val="nil"/>
            </w:tcBorders>
            <w:shd w:val="clear" w:color="000000" w:fill="FFFFFF"/>
            <w:noWrap/>
            <w:vAlign w:val="bottom"/>
            <w:hideMark/>
          </w:tcPr>
          <w:p w14:paraId="0F818F16"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c>
          <w:tcPr>
            <w:tcW w:w="861" w:type="dxa"/>
            <w:tcBorders>
              <w:top w:val="nil"/>
              <w:left w:val="nil"/>
              <w:bottom w:val="nil"/>
              <w:right w:val="nil"/>
            </w:tcBorders>
            <w:shd w:val="clear" w:color="000000" w:fill="FFFFFF"/>
            <w:noWrap/>
            <w:vAlign w:val="bottom"/>
            <w:hideMark/>
          </w:tcPr>
          <w:p w14:paraId="785B02A6"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c>
          <w:tcPr>
            <w:tcW w:w="743" w:type="dxa"/>
            <w:tcBorders>
              <w:top w:val="nil"/>
              <w:left w:val="nil"/>
              <w:bottom w:val="nil"/>
              <w:right w:val="nil"/>
            </w:tcBorders>
            <w:shd w:val="clear" w:color="000000" w:fill="FFFFFF"/>
            <w:noWrap/>
            <w:vAlign w:val="bottom"/>
            <w:hideMark/>
          </w:tcPr>
          <w:p w14:paraId="56819B55"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c>
          <w:tcPr>
            <w:tcW w:w="280" w:type="dxa"/>
            <w:tcBorders>
              <w:top w:val="nil"/>
              <w:left w:val="nil"/>
              <w:bottom w:val="nil"/>
              <w:right w:val="nil"/>
            </w:tcBorders>
            <w:shd w:val="clear" w:color="000000" w:fill="FFFFFF"/>
            <w:noWrap/>
            <w:vAlign w:val="bottom"/>
            <w:hideMark/>
          </w:tcPr>
          <w:p w14:paraId="4530DDA0"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c>
          <w:tcPr>
            <w:tcW w:w="280" w:type="dxa"/>
            <w:tcBorders>
              <w:top w:val="nil"/>
              <w:left w:val="nil"/>
              <w:bottom w:val="nil"/>
              <w:right w:val="nil"/>
            </w:tcBorders>
            <w:shd w:val="clear" w:color="000000" w:fill="FFFFFF"/>
            <w:noWrap/>
            <w:vAlign w:val="bottom"/>
            <w:hideMark/>
          </w:tcPr>
          <w:p w14:paraId="7EB3237B"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c>
          <w:tcPr>
            <w:tcW w:w="1195" w:type="dxa"/>
            <w:tcBorders>
              <w:top w:val="nil"/>
              <w:left w:val="nil"/>
              <w:bottom w:val="nil"/>
              <w:right w:val="nil"/>
            </w:tcBorders>
            <w:shd w:val="clear" w:color="000000" w:fill="FFFFFF"/>
            <w:noWrap/>
            <w:vAlign w:val="bottom"/>
            <w:hideMark/>
          </w:tcPr>
          <w:p w14:paraId="39651627"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c>
          <w:tcPr>
            <w:tcW w:w="266" w:type="dxa"/>
            <w:tcBorders>
              <w:top w:val="nil"/>
              <w:left w:val="nil"/>
              <w:bottom w:val="nil"/>
              <w:right w:val="nil"/>
            </w:tcBorders>
            <w:shd w:val="clear" w:color="000000" w:fill="FFFFFF"/>
            <w:noWrap/>
            <w:vAlign w:val="bottom"/>
            <w:hideMark/>
          </w:tcPr>
          <w:p w14:paraId="760FA25E"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r>
      <w:tr w:rsidR="00AD6BFE" w:rsidRPr="00701888" w14:paraId="56654B90" w14:textId="77777777" w:rsidTr="00AD6BFE">
        <w:trPr>
          <w:trHeight w:val="480"/>
        </w:trPr>
        <w:tc>
          <w:tcPr>
            <w:tcW w:w="5525" w:type="dxa"/>
            <w:tcBorders>
              <w:top w:val="nil"/>
              <w:left w:val="nil"/>
              <w:bottom w:val="single" w:sz="8" w:space="0" w:color="auto"/>
              <w:right w:val="nil"/>
            </w:tcBorders>
            <w:shd w:val="clear" w:color="000000" w:fill="FFFFFF"/>
            <w:noWrap/>
            <w:vAlign w:val="bottom"/>
            <w:hideMark/>
          </w:tcPr>
          <w:p w14:paraId="1285F059" w14:textId="00B578B9" w:rsidR="00AD6BFE" w:rsidRPr="00701888" w:rsidRDefault="00AD6BFE" w:rsidP="00AD6BFE">
            <w:pPr>
              <w:rPr>
                <w:rFonts w:ascii="Calibri" w:eastAsia="Times New Roman" w:hAnsi="Calibri" w:cs="Arial"/>
                <w:i/>
                <w:iCs/>
                <w:sz w:val="20"/>
                <w:szCs w:val="20"/>
                <w:lang w:val="es-ES_tradnl" w:eastAsia="en-GB"/>
              </w:rPr>
            </w:pPr>
            <w:r w:rsidRPr="00701888">
              <w:rPr>
                <w:rFonts w:ascii="Arial" w:eastAsia="Times New Roman" w:hAnsi="Arial" w:cs="Arial"/>
                <w:bCs/>
                <w:sz w:val="20"/>
                <w:szCs w:val="20"/>
                <w:lang w:val="es-ES_tradnl" w:eastAsia="en-GB"/>
              </w:rPr>
              <w:t> </w:t>
            </w:r>
            <w:r w:rsidRPr="00701888">
              <w:rPr>
                <w:rFonts w:ascii="Arial" w:eastAsia="Times New Roman" w:hAnsi="Arial" w:cs="Arial"/>
                <w:bCs/>
                <w:i/>
                <w:sz w:val="20"/>
                <w:szCs w:val="20"/>
                <w:lang w:val="es-ES_tradnl" w:eastAsia="en-GB"/>
              </w:rPr>
              <w:t>en miles de francos suizos</w:t>
            </w:r>
          </w:p>
        </w:tc>
        <w:tc>
          <w:tcPr>
            <w:tcW w:w="861" w:type="dxa"/>
            <w:tcBorders>
              <w:top w:val="nil"/>
              <w:left w:val="nil"/>
              <w:bottom w:val="single" w:sz="8" w:space="0" w:color="auto"/>
              <w:right w:val="nil"/>
            </w:tcBorders>
            <w:shd w:val="clear" w:color="000000" w:fill="FFFFFF"/>
            <w:noWrap/>
            <w:vAlign w:val="center"/>
            <w:hideMark/>
          </w:tcPr>
          <w:p w14:paraId="376236BD" w14:textId="77777777" w:rsidR="00AD6BFE" w:rsidRPr="00701888" w:rsidRDefault="00AD6BFE" w:rsidP="00AD6BFE">
            <w:pPr>
              <w:jc w:val="cente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xml:space="preserve"> Notes </w:t>
            </w:r>
          </w:p>
        </w:tc>
        <w:tc>
          <w:tcPr>
            <w:tcW w:w="1023" w:type="dxa"/>
            <w:gridSpan w:val="2"/>
            <w:tcBorders>
              <w:top w:val="nil"/>
              <w:left w:val="nil"/>
              <w:bottom w:val="single" w:sz="8" w:space="0" w:color="auto"/>
              <w:right w:val="nil"/>
            </w:tcBorders>
            <w:shd w:val="clear" w:color="000000" w:fill="8DB4E2"/>
            <w:noWrap/>
            <w:vAlign w:val="center"/>
            <w:hideMark/>
          </w:tcPr>
          <w:p w14:paraId="4DDAB12C" w14:textId="77777777" w:rsidR="00AD6BFE" w:rsidRPr="00701888" w:rsidRDefault="00AD6BFE" w:rsidP="00AD6BFE">
            <w:pPr>
              <w:jc w:val="cente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xml:space="preserve"> 2015 </w:t>
            </w:r>
          </w:p>
        </w:tc>
        <w:tc>
          <w:tcPr>
            <w:tcW w:w="280" w:type="dxa"/>
            <w:tcBorders>
              <w:top w:val="nil"/>
              <w:left w:val="nil"/>
              <w:bottom w:val="single" w:sz="8" w:space="0" w:color="auto"/>
              <w:right w:val="nil"/>
            </w:tcBorders>
            <w:shd w:val="clear" w:color="000000" w:fill="D9D9D9"/>
            <w:noWrap/>
            <w:vAlign w:val="center"/>
            <w:hideMark/>
          </w:tcPr>
          <w:p w14:paraId="59CBCDE2" w14:textId="77777777" w:rsidR="00AD6BFE" w:rsidRPr="00701888" w:rsidRDefault="00AD6BFE" w:rsidP="00AD6BFE">
            <w:pPr>
              <w:rPr>
                <w:rFonts w:ascii="Calibri" w:eastAsia="Times New Roman" w:hAnsi="Calibri" w:cs="Arial"/>
                <w:sz w:val="20"/>
                <w:szCs w:val="20"/>
                <w:lang w:val="es-ES_tradnl" w:eastAsia="en-GB"/>
              </w:rPr>
            </w:pPr>
            <w:r w:rsidRPr="00701888">
              <w:rPr>
                <w:rFonts w:ascii="Calibri" w:eastAsia="Times New Roman" w:hAnsi="Calibri" w:cs="Arial"/>
                <w:sz w:val="20"/>
                <w:szCs w:val="20"/>
                <w:lang w:val="es-ES_tradnl" w:eastAsia="en-GB"/>
              </w:rPr>
              <w:t> </w:t>
            </w:r>
          </w:p>
        </w:tc>
        <w:tc>
          <w:tcPr>
            <w:tcW w:w="1461" w:type="dxa"/>
            <w:gridSpan w:val="2"/>
            <w:tcBorders>
              <w:top w:val="nil"/>
              <w:left w:val="nil"/>
              <w:bottom w:val="single" w:sz="8" w:space="0" w:color="auto"/>
              <w:right w:val="nil"/>
            </w:tcBorders>
            <w:shd w:val="clear" w:color="000000" w:fill="D8E4BC"/>
            <w:noWrap/>
            <w:vAlign w:val="center"/>
            <w:hideMark/>
          </w:tcPr>
          <w:p w14:paraId="7AA63C54" w14:textId="77777777" w:rsidR="00AD6BFE" w:rsidRPr="00701888" w:rsidRDefault="00AD6BFE" w:rsidP="00AD6BFE">
            <w:pPr>
              <w:jc w:val="cente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xml:space="preserve"> 2014 </w:t>
            </w:r>
          </w:p>
        </w:tc>
      </w:tr>
      <w:tr w:rsidR="00AD6BFE" w:rsidRPr="00701888" w14:paraId="05557E5B" w14:textId="77777777" w:rsidTr="00AD6BFE">
        <w:trPr>
          <w:trHeight w:val="330"/>
        </w:trPr>
        <w:tc>
          <w:tcPr>
            <w:tcW w:w="5525" w:type="dxa"/>
            <w:tcBorders>
              <w:top w:val="nil"/>
              <w:left w:val="nil"/>
              <w:bottom w:val="nil"/>
              <w:right w:val="nil"/>
            </w:tcBorders>
            <w:shd w:val="clear" w:color="000000" w:fill="FFFFFF"/>
            <w:vAlign w:val="bottom"/>
            <w:hideMark/>
          </w:tcPr>
          <w:p w14:paraId="0710C6A2" w14:textId="3BF552D5"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ACTIVOS</w:t>
            </w:r>
          </w:p>
        </w:tc>
        <w:tc>
          <w:tcPr>
            <w:tcW w:w="861" w:type="dxa"/>
            <w:tcBorders>
              <w:top w:val="nil"/>
              <w:left w:val="nil"/>
              <w:bottom w:val="nil"/>
              <w:right w:val="nil"/>
            </w:tcBorders>
            <w:shd w:val="clear" w:color="000000" w:fill="FFFFFF"/>
            <w:noWrap/>
            <w:vAlign w:val="bottom"/>
            <w:hideMark/>
          </w:tcPr>
          <w:p w14:paraId="29A0D6DF"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1A5FEE53"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6D469A4D"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489A65FF"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6647C25F"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69F8B570"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5990A019" w14:textId="77777777" w:rsidTr="00AD6BFE">
        <w:trPr>
          <w:trHeight w:val="330"/>
        </w:trPr>
        <w:tc>
          <w:tcPr>
            <w:tcW w:w="5525" w:type="dxa"/>
            <w:tcBorders>
              <w:top w:val="nil"/>
              <w:left w:val="nil"/>
              <w:bottom w:val="nil"/>
              <w:right w:val="nil"/>
            </w:tcBorders>
            <w:shd w:val="clear" w:color="000000" w:fill="FFFFFF"/>
            <w:vAlign w:val="bottom"/>
            <w:hideMark/>
          </w:tcPr>
          <w:p w14:paraId="3BDD156B" w14:textId="7FCC5CDB"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Activo corriente</w:t>
            </w:r>
          </w:p>
        </w:tc>
        <w:tc>
          <w:tcPr>
            <w:tcW w:w="861" w:type="dxa"/>
            <w:tcBorders>
              <w:top w:val="nil"/>
              <w:left w:val="nil"/>
              <w:bottom w:val="nil"/>
              <w:right w:val="nil"/>
            </w:tcBorders>
            <w:shd w:val="clear" w:color="000000" w:fill="FFFFFF"/>
            <w:noWrap/>
            <w:vAlign w:val="bottom"/>
            <w:hideMark/>
          </w:tcPr>
          <w:p w14:paraId="2B8B71BB"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1F96CDD4"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77630F03"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2E43CD7E"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7A2F27B9"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7E13D2F3"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667291B1" w14:textId="77777777" w:rsidTr="00AD6BFE">
        <w:trPr>
          <w:trHeight w:val="330"/>
        </w:trPr>
        <w:tc>
          <w:tcPr>
            <w:tcW w:w="5525" w:type="dxa"/>
            <w:tcBorders>
              <w:top w:val="nil"/>
              <w:left w:val="nil"/>
              <w:bottom w:val="nil"/>
              <w:right w:val="nil"/>
            </w:tcBorders>
            <w:shd w:val="clear" w:color="000000" w:fill="FFFFFF"/>
            <w:vAlign w:val="bottom"/>
            <w:hideMark/>
          </w:tcPr>
          <w:p w14:paraId="1C5AC79C" w14:textId="22943AD5" w:rsidR="00AD6BFE" w:rsidRPr="00701888" w:rsidRDefault="00AD6BFE" w:rsidP="00AD6BFE">
            <w:pPr>
              <w:rPr>
                <w:rFonts w:ascii="Calibri" w:eastAsia="Times New Roman" w:hAnsi="Calibri" w:cs="Arial"/>
                <w:sz w:val="22"/>
                <w:szCs w:val="22"/>
                <w:lang w:val="es-ES_tradnl" w:eastAsia="en-GB"/>
              </w:rPr>
            </w:pPr>
            <w:r w:rsidRPr="00701888">
              <w:rPr>
                <w:rFonts w:ascii="Arial" w:eastAsia="Times New Roman" w:hAnsi="Arial" w:cs="Arial"/>
                <w:sz w:val="20"/>
                <w:szCs w:val="20"/>
                <w:lang w:val="es-ES_tradnl" w:eastAsia="en-GB"/>
              </w:rPr>
              <w:t>Efectivo y depósitos bancarios a corto plazo</w:t>
            </w:r>
          </w:p>
        </w:tc>
        <w:tc>
          <w:tcPr>
            <w:tcW w:w="861" w:type="dxa"/>
            <w:tcBorders>
              <w:top w:val="nil"/>
              <w:left w:val="nil"/>
              <w:bottom w:val="nil"/>
              <w:right w:val="nil"/>
            </w:tcBorders>
            <w:shd w:val="clear" w:color="000000" w:fill="FFFFFF"/>
            <w:noWrap/>
            <w:vAlign w:val="bottom"/>
            <w:hideMark/>
          </w:tcPr>
          <w:p w14:paraId="61A86E0E"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15930CBE" w14:textId="2578C91D" w:rsidR="00AD6BFE" w:rsidRPr="00701888" w:rsidRDefault="007576EA" w:rsidP="00AD6BFE">
            <w:pPr>
              <w:jc w:val="right"/>
              <w:rPr>
                <w:rFonts w:ascii="Calibri" w:eastAsia="Times New Roman" w:hAnsi="Calibri" w:cs="Arial"/>
                <w:sz w:val="22"/>
                <w:szCs w:val="22"/>
                <w:lang w:val="es-ES_tradnl" w:eastAsia="en-GB"/>
              </w:rPr>
            </w:pPr>
            <w:r>
              <w:rPr>
                <w:rFonts w:ascii="Calibri" w:eastAsia="Times New Roman" w:hAnsi="Calibri" w:cs="Arial"/>
                <w:sz w:val="22"/>
                <w:szCs w:val="22"/>
                <w:lang w:val="es-ES_tradnl" w:eastAsia="en-GB"/>
              </w:rPr>
              <w:t>4.</w:t>
            </w:r>
            <w:r w:rsidR="00AD6BFE" w:rsidRPr="00701888">
              <w:rPr>
                <w:rFonts w:ascii="Calibri" w:eastAsia="Times New Roman" w:hAnsi="Calibri" w:cs="Arial"/>
                <w:sz w:val="22"/>
                <w:szCs w:val="22"/>
                <w:lang w:val="es-ES_tradnl" w:eastAsia="en-GB"/>
              </w:rPr>
              <w:t>652</w:t>
            </w:r>
          </w:p>
        </w:tc>
        <w:tc>
          <w:tcPr>
            <w:tcW w:w="280" w:type="dxa"/>
            <w:tcBorders>
              <w:top w:val="nil"/>
              <w:left w:val="nil"/>
              <w:bottom w:val="nil"/>
              <w:right w:val="nil"/>
            </w:tcBorders>
            <w:shd w:val="clear" w:color="000000" w:fill="FFFFFF"/>
            <w:noWrap/>
            <w:vAlign w:val="bottom"/>
            <w:hideMark/>
          </w:tcPr>
          <w:p w14:paraId="455C9FF4"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0D711FB2"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47D9B127" w14:textId="20EF1A15" w:rsidR="00AD6BFE" w:rsidRPr="00701888" w:rsidRDefault="007576EA" w:rsidP="00AD6BFE">
            <w:pPr>
              <w:jc w:val="right"/>
              <w:rPr>
                <w:rFonts w:ascii="Calibri" w:eastAsia="Times New Roman" w:hAnsi="Calibri" w:cs="Arial"/>
                <w:sz w:val="22"/>
                <w:szCs w:val="22"/>
                <w:lang w:val="es-ES_tradnl" w:eastAsia="en-GB"/>
              </w:rPr>
            </w:pPr>
            <w:r>
              <w:rPr>
                <w:rFonts w:ascii="Calibri" w:eastAsia="Times New Roman" w:hAnsi="Calibri" w:cs="Arial"/>
                <w:sz w:val="22"/>
                <w:szCs w:val="22"/>
                <w:lang w:val="es-ES_tradnl" w:eastAsia="en-GB"/>
              </w:rPr>
              <w:t>6.</w:t>
            </w:r>
            <w:r w:rsidR="00AD6BFE" w:rsidRPr="00701888">
              <w:rPr>
                <w:rFonts w:ascii="Calibri" w:eastAsia="Times New Roman" w:hAnsi="Calibri" w:cs="Arial"/>
                <w:sz w:val="22"/>
                <w:szCs w:val="22"/>
                <w:lang w:val="es-ES_tradnl" w:eastAsia="en-GB"/>
              </w:rPr>
              <w:t>443</w:t>
            </w:r>
          </w:p>
        </w:tc>
        <w:tc>
          <w:tcPr>
            <w:tcW w:w="266" w:type="dxa"/>
            <w:tcBorders>
              <w:top w:val="nil"/>
              <w:left w:val="nil"/>
              <w:bottom w:val="nil"/>
              <w:right w:val="nil"/>
            </w:tcBorders>
            <w:shd w:val="clear" w:color="000000" w:fill="FFFFFF"/>
            <w:noWrap/>
            <w:vAlign w:val="bottom"/>
            <w:hideMark/>
          </w:tcPr>
          <w:p w14:paraId="056DF592"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26A464C1" w14:textId="77777777" w:rsidTr="00AD6BFE">
        <w:trPr>
          <w:trHeight w:val="336"/>
        </w:trPr>
        <w:tc>
          <w:tcPr>
            <w:tcW w:w="5525" w:type="dxa"/>
            <w:tcBorders>
              <w:top w:val="nil"/>
              <w:left w:val="nil"/>
              <w:bottom w:val="nil"/>
              <w:right w:val="nil"/>
            </w:tcBorders>
            <w:shd w:val="clear" w:color="000000" w:fill="FFFFFF"/>
            <w:vAlign w:val="bottom"/>
            <w:hideMark/>
          </w:tcPr>
          <w:p w14:paraId="544C2138" w14:textId="761BA6F1"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Activos exigibles a Partes Contratantes (netos)</w:t>
            </w:r>
          </w:p>
        </w:tc>
        <w:tc>
          <w:tcPr>
            <w:tcW w:w="861" w:type="dxa"/>
            <w:tcBorders>
              <w:top w:val="nil"/>
              <w:left w:val="nil"/>
              <w:bottom w:val="nil"/>
              <w:right w:val="nil"/>
            </w:tcBorders>
            <w:shd w:val="clear" w:color="000000" w:fill="FFFFFF"/>
            <w:noWrap/>
            <w:vAlign w:val="bottom"/>
            <w:hideMark/>
          </w:tcPr>
          <w:p w14:paraId="07A34D18"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6</w:t>
            </w:r>
          </w:p>
        </w:tc>
        <w:tc>
          <w:tcPr>
            <w:tcW w:w="743" w:type="dxa"/>
            <w:tcBorders>
              <w:top w:val="nil"/>
              <w:left w:val="nil"/>
              <w:bottom w:val="nil"/>
              <w:right w:val="nil"/>
            </w:tcBorders>
            <w:shd w:val="clear" w:color="000000" w:fill="FFFFFF"/>
            <w:noWrap/>
            <w:vAlign w:val="bottom"/>
            <w:hideMark/>
          </w:tcPr>
          <w:p w14:paraId="1ED14CD7"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658</w:t>
            </w:r>
          </w:p>
        </w:tc>
        <w:tc>
          <w:tcPr>
            <w:tcW w:w="280" w:type="dxa"/>
            <w:tcBorders>
              <w:top w:val="nil"/>
              <w:left w:val="nil"/>
              <w:bottom w:val="nil"/>
              <w:right w:val="nil"/>
            </w:tcBorders>
            <w:shd w:val="clear" w:color="000000" w:fill="FFFFFF"/>
            <w:noWrap/>
            <w:vAlign w:val="bottom"/>
            <w:hideMark/>
          </w:tcPr>
          <w:p w14:paraId="5E7D93A5"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1295FBFB"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1EF09A43"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460</w:t>
            </w:r>
          </w:p>
        </w:tc>
        <w:tc>
          <w:tcPr>
            <w:tcW w:w="266" w:type="dxa"/>
            <w:tcBorders>
              <w:top w:val="nil"/>
              <w:left w:val="nil"/>
              <w:bottom w:val="nil"/>
              <w:right w:val="nil"/>
            </w:tcBorders>
            <w:shd w:val="clear" w:color="000000" w:fill="FFFFFF"/>
            <w:noWrap/>
            <w:vAlign w:val="bottom"/>
            <w:hideMark/>
          </w:tcPr>
          <w:p w14:paraId="0F5ABA29"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54A256B4" w14:textId="77777777" w:rsidTr="00AD6BFE">
        <w:trPr>
          <w:trHeight w:val="336"/>
        </w:trPr>
        <w:tc>
          <w:tcPr>
            <w:tcW w:w="5525" w:type="dxa"/>
            <w:tcBorders>
              <w:top w:val="nil"/>
              <w:left w:val="nil"/>
              <w:bottom w:val="nil"/>
              <w:right w:val="nil"/>
            </w:tcBorders>
            <w:shd w:val="clear" w:color="000000" w:fill="FFFFFF"/>
            <w:vAlign w:val="bottom"/>
            <w:hideMark/>
          </w:tcPr>
          <w:p w14:paraId="0BB9F9E3" w14:textId="44538B24" w:rsidR="00AD6BFE" w:rsidRPr="00701888" w:rsidRDefault="00AD6BFE" w:rsidP="00AD6BFE">
            <w:pPr>
              <w:rPr>
                <w:rFonts w:ascii="Calibri" w:eastAsia="Times New Roman" w:hAnsi="Calibri" w:cs="Arial"/>
                <w:sz w:val="22"/>
                <w:szCs w:val="22"/>
                <w:lang w:val="es-ES_tradnl" w:eastAsia="en-GB"/>
              </w:rPr>
            </w:pPr>
            <w:r w:rsidRPr="00701888">
              <w:rPr>
                <w:rFonts w:ascii="Arial" w:eastAsia="Times New Roman" w:hAnsi="Arial" w:cs="Arial"/>
                <w:sz w:val="20"/>
                <w:szCs w:val="20"/>
                <w:lang w:val="es-ES_tradnl" w:eastAsia="en-GB"/>
              </w:rPr>
              <w:t>Otros activos exigibles</w:t>
            </w:r>
          </w:p>
        </w:tc>
        <w:tc>
          <w:tcPr>
            <w:tcW w:w="861" w:type="dxa"/>
            <w:tcBorders>
              <w:top w:val="nil"/>
              <w:left w:val="nil"/>
              <w:bottom w:val="nil"/>
              <w:right w:val="nil"/>
            </w:tcBorders>
            <w:shd w:val="clear" w:color="000000" w:fill="FFFFFF"/>
            <w:noWrap/>
            <w:vAlign w:val="bottom"/>
            <w:hideMark/>
          </w:tcPr>
          <w:p w14:paraId="78B42EA9"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7</w:t>
            </w:r>
          </w:p>
        </w:tc>
        <w:tc>
          <w:tcPr>
            <w:tcW w:w="743" w:type="dxa"/>
            <w:tcBorders>
              <w:top w:val="nil"/>
              <w:left w:val="nil"/>
              <w:bottom w:val="single" w:sz="4" w:space="0" w:color="auto"/>
              <w:right w:val="nil"/>
            </w:tcBorders>
            <w:shd w:val="clear" w:color="000000" w:fill="FFFFFF"/>
            <w:noWrap/>
            <w:vAlign w:val="bottom"/>
            <w:hideMark/>
          </w:tcPr>
          <w:p w14:paraId="336F0840"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88</w:t>
            </w:r>
          </w:p>
        </w:tc>
        <w:tc>
          <w:tcPr>
            <w:tcW w:w="280" w:type="dxa"/>
            <w:tcBorders>
              <w:top w:val="nil"/>
              <w:left w:val="nil"/>
              <w:bottom w:val="single" w:sz="4" w:space="0" w:color="auto"/>
              <w:right w:val="nil"/>
            </w:tcBorders>
            <w:shd w:val="clear" w:color="000000" w:fill="FFFFFF"/>
            <w:noWrap/>
            <w:vAlign w:val="bottom"/>
            <w:hideMark/>
          </w:tcPr>
          <w:p w14:paraId="459C46A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single" w:sz="4" w:space="0" w:color="auto"/>
              <w:right w:val="nil"/>
            </w:tcBorders>
            <w:shd w:val="clear" w:color="000000" w:fill="D9D9D9"/>
            <w:noWrap/>
            <w:vAlign w:val="bottom"/>
            <w:hideMark/>
          </w:tcPr>
          <w:p w14:paraId="174F78D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single" w:sz="4" w:space="0" w:color="auto"/>
              <w:right w:val="nil"/>
            </w:tcBorders>
            <w:shd w:val="clear" w:color="000000" w:fill="FFFFFF"/>
            <w:noWrap/>
            <w:vAlign w:val="bottom"/>
            <w:hideMark/>
          </w:tcPr>
          <w:p w14:paraId="5EDBB9D4"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11</w:t>
            </w:r>
          </w:p>
        </w:tc>
        <w:tc>
          <w:tcPr>
            <w:tcW w:w="266" w:type="dxa"/>
            <w:tcBorders>
              <w:top w:val="nil"/>
              <w:left w:val="nil"/>
              <w:bottom w:val="nil"/>
              <w:right w:val="nil"/>
            </w:tcBorders>
            <w:shd w:val="clear" w:color="000000" w:fill="FFFFFF"/>
            <w:noWrap/>
            <w:vAlign w:val="bottom"/>
            <w:hideMark/>
          </w:tcPr>
          <w:p w14:paraId="2E74DF2C"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59EF1732" w14:textId="77777777" w:rsidTr="00AD6BFE">
        <w:trPr>
          <w:trHeight w:val="330"/>
        </w:trPr>
        <w:tc>
          <w:tcPr>
            <w:tcW w:w="5525" w:type="dxa"/>
            <w:tcBorders>
              <w:top w:val="nil"/>
              <w:left w:val="nil"/>
              <w:bottom w:val="nil"/>
              <w:right w:val="nil"/>
            </w:tcBorders>
            <w:shd w:val="clear" w:color="000000" w:fill="FFFFFF"/>
            <w:vAlign w:val="bottom"/>
            <w:hideMark/>
          </w:tcPr>
          <w:p w14:paraId="72E5084F" w14:textId="2DBA57DD"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Total de activos corrientes</w:t>
            </w:r>
          </w:p>
        </w:tc>
        <w:tc>
          <w:tcPr>
            <w:tcW w:w="861" w:type="dxa"/>
            <w:tcBorders>
              <w:top w:val="nil"/>
              <w:left w:val="nil"/>
              <w:bottom w:val="nil"/>
              <w:right w:val="nil"/>
            </w:tcBorders>
            <w:shd w:val="clear" w:color="000000" w:fill="FFFFFF"/>
            <w:noWrap/>
            <w:vAlign w:val="bottom"/>
            <w:hideMark/>
          </w:tcPr>
          <w:p w14:paraId="577CC57E"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68B16A48" w14:textId="075590DC" w:rsidR="00AD6BFE" w:rsidRPr="00701888" w:rsidRDefault="007576EA"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5.</w:t>
            </w:r>
            <w:r w:rsidR="00AD6BFE" w:rsidRPr="00701888">
              <w:rPr>
                <w:rFonts w:ascii="Calibri" w:eastAsia="Times New Roman" w:hAnsi="Calibri" w:cs="Arial"/>
                <w:b/>
                <w:bCs/>
                <w:sz w:val="22"/>
                <w:szCs w:val="22"/>
                <w:lang w:val="es-ES_tradnl" w:eastAsia="en-GB"/>
              </w:rPr>
              <w:t>398</w:t>
            </w:r>
          </w:p>
        </w:tc>
        <w:tc>
          <w:tcPr>
            <w:tcW w:w="280" w:type="dxa"/>
            <w:tcBorders>
              <w:top w:val="nil"/>
              <w:left w:val="nil"/>
              <w:bottom w:val="nil"/>
              <w:right w:val="nil"/>
            </w:tcBorders>
            <w:shd w:val="clear" w:color="000000" w:fill="FFFFFF"/>
            <w:noWrap/>
            <w:vAlign w:val="bottom"/>
            <w:hideMark/>
          </w:tcPr>
          <w:p w14:paraId="7947417E"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3DA869D9"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00F1730B" w14:textId="11EA9D00" w:rsidR="00AD6BFE" w:rsidRPr="00701888" w:rsidRDefault="007576EA"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6.</w:t>
            </w:r>
            <w:r w:rsidR="00AD6BFE" w:rsidRPr="00701888">
              <w:rPr>
                <w:rFonts w:ascii="Calibri" w:eastAsia="Times New Roman" w:hAnsi="Calibri" w:cs="Arial"/>
                <w:b/>
                <w:bCs/>
                <w:sz w:val="22"/>
                <w:szCs w:val="22"/>
                <w:lang w:val="es-ES_tradnl" w:eastAsia="en-GB"/>
              </w:rPr>
              <w:t>914</w:t>
            </w:r>
          </w:p>
        </w:tc>
        <w:tc>
          <w:tcPr>
            <w:tcW w:w="266" w:type="dxa"/>
            <w:tcBorders>
              <w:top w:val="nil"/>
              <w:left w:val="nil"/>
              <w:bottom w:val="nil"/>
              <w:right w:val="nil"/>
            </w:tcBorders>
            <w:shd w:val="clear" w:color="000000" w:fill="FFFFFF"/>
            <w:noWrap/>
            <w:vAlign w:val="bottom"/>
            <w:hideMark/>
          </w:tcPr>
          <w:p w14:paraId="49D70BDE"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r w:rsidR="00AD6BFE" w:rsidRPr="00701888" w14:paraId="7FA5BA40" w14:textId="77777777" w:rsidTr="00AD6BFE">
        <w:trPr>
          <w:trHeight w:val="330"/>
        </w:trPr>
        <w:tc>
          <w:tcPr>
            <w:tcW w:w="5525" w:type="dxa"/>
            <w:tcBorders>
              <w:top w:val="nil"/>
              <w:left w:val="nil"/>
              <w:bottom w:val="nil"/>
              <w:right w:val="nil"/>
            </w:tcBorders>
            <w:shd w:val="clear" w:color="000000" w:fill="FFFFFF"/>
            <w:vAlign w:val="bottom"/>
            <w:hideMark/>
          </w:tcPr>
          <w:p w14:paraId="4459AC69" w14:textId="2F187011"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 </w:t>
            </w:r>
          </w:p>
        </w:tc>
        <w:tc>
          <w:tcPr>
            <w:tcW w:w="861" w:type="dxa"/>
            <w:tcBorders>
              <w:top w:val="nil"/>
              <w:left w:val="nil"/>
              <w:bottom w:val="nil"/>
              <w:right w:val="nil"/>
            </w:tcBorders>
            <w:shd w:val="clear" w:color="000000" w:fill="FFFFFF"/>
            <w:noWrap/>
            <w:vAlign w:val="bottom"/>
            <w:hideMark/>
          </w:tcPr>
          <w:p w14:paraId="3F380A6B"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63F46F4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335DF0C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35EAD10B"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0C62692B"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366945C0"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71A1C776" w14:textId="77777777" w:rsidTr="00AD6BFE">
        <w:trPr>
          <w:trHeight w:val="330"/>
        </w:trPr>
        <w:tc>
          <w:tcPr>
            <w:tcW w:w="5525" w:type="dxa"/>
            <w:tcBorders>
              <w:top w:val="nil"/>
              <w:left w:val="nil"/>
              <w:bottom w:val="nil"/>
              <w:right w:val="nil"/>
            </w:tcBorders>
            <w:shd w:val="clear" w:color="000000" w:fill="FFFFFF"/>
            <w:vAlign w:val="bottom"/>
            <w:hideMark/>
          </w:tcPr>
          <w:p w14:paraId="13E731D9" w14:textId="4C4D98C6"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Activo fijo (neto)</w:t>
            </w:r>
          </w:p>
        </w:tc>
        <w:tc>
          <w:tcPr>
            <w:tcW w:w="861" w:type="dxa"/>
            <w:tcBorders>
              <w:top w:val="nil"/>
              <w:left w:val="nil"/>
              <w:bottom w:val="nil"/>
              <w:right w:val="nil"/>
            </w:tcBorders>
            <w:shd w:val="clear" w:color="000000" w:fill="FFFFFF"/>
            <w:noWrap/>
            <w:vAlign w:val="bottom"/>
            <w:hideMark/>
          </w:tcPr>
          <w:p w14:paraId="27700A68"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104BF095"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4C592B7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13E55BEF"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6104A249"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09D2A8C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202B55A6" w14:textId="77777777" w:rsidTr="00AD6BFE">
        <w:trPr>
          <w:trHeight w:val="336"/>
        </w:trPr>
        <w:tc>
          <w:tcPr>
            <w:tcW w:w="5525" w:type="dxa"/>
            <w:tcBorders>
              <w:top w:val="nil"/>
              <w:left w:val="nil"/>
              <w:bottom w:val="nil"/>
              <w:right w:val="nil"/>
            </w:tcBorders>
            <w:shd w:val="clear" w:color="000000" w:fill="FFFFFF"/>
            <w:vAlign w:val="bottom"/>
            <w:hideMark/>
          </w:tcPr>
          <w:p w14:paraId="666DECA8" w14:textId="636AE124"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Mobiliario de oficina y equipos informáticos, al costo</w:t>
            </w:r>
          </w:p>
        </w:tc>
        <w:tc>
          <w:tcPr>
            <w:tcW w:w="861" w:type="dxa"/>
            <w:tcBorders>
              <w:top w:val="nil"/>
              <w:left w:val="nil"/>
              <w:bottom w:val="nil"/>
              <w:right w:val="nil"/>
            </w:tcBorders>
            <w:shd w:val="clear" w:color="000000" w:fill="FFFFFF"/>
            <w:noWrap/>
            <w:vAlign w:val="bottom"/>
            <w:hideMark/>
          </w:tcPr>
          <w:p w14:paraId="221CCD5D"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45FF2494"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82</w:t>
            </w:r>
          </w:p>
        </w:tc>
        <w:tc>
          <w:tcPr>
            <w:tcW w:w="280" w:type="dxa"/>
            <w:tcBorders>
              <w:top w:val="nil"/>
              <w:left w:val="nil"/>
              <w:bottom w:val="nil"/>
              <w:right w:val="nil"/>
            </w:tcBorders>
            <w:shd w:val="clear" w:color="000000" w:fill="FFFFFF"/>
            <w:noWrap/>
            <w:vAlign w:val="bottom"/>
            <w:hideMark/>
          </w:tcPr>
          <w:p w14:paraId="682B19A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58841E5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5F8CE76A"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101</w:t>
            </w:r>
          </w:p>
        </w:tc>
        <w:tc>
          <w:tcPr>
            <w:tcW w:w="266" w:type="dxa"/>
            <w:tcBorders>
              <w:top w:val="nil"/>
              <w:left w:val="nil"/>
              <w:bottom w:val="nil"/>
              <w:right w:val="nil"/>
            </w:tcBorders>
            <w:shd w:val="clear" w:color="000000" w:fill="FFFFFF"/>
            <w:noWrap/>
            <w:vAlign w:val="bottom"/>
            <w:hideMark/>
          </w:tcPr>
          <w:p w14:paraId="3B96B85B"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0A84330E" w14:textId="77777777" w:rsidTr="00AD6BFE">
        <w:trPr>
          <w:trHeight w:val="336"/>
        </w:trPr>
        <w:tc>
          <w:tcPr>
            <w:tcW w:w="5525" w:type="dxa"/>
            <w:tcBorders>
              <w:top w:val="nil"/>
              <w:left w:val="nil"/>
              <w:bottom w:val="nil"/>
              <w:right w:val="nil"/>
            </w:tcBorders>
            <w:shd w:val="clear" w:color="000000" w:fill="FFFFFF"/>
            <w:vAlign w:val="bottom"/>
            <w:hideMark/>
          </w:tcPr>
          <w:p w14:paraId="39818BEF" w14:textId="004DA708"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Menos la depreciación acumulada</w:t>
            </w:r>
          </w:p>
        </w:tc>
        <w:tc>
          <w:tcPr>
            <w:tcW w:w="861" w:type="dxa"/>
            <w:tcBorders>
              <w:top w:val="nil"/>
              <w:left w:val="nil"/>
              <w:bottom w:val="nil"/>
              <w:right w:val="nil"/>
            </w:tcBorders>
            <w:shd w:val="clear" w:color="000000" w:fill="FFFFFF"/>
            <w:noWrap/>
            <w:vAlign w:val="bottom"/>
            <w:hideMark/>
          </w:tcPr>
          <w:p w14:paraId="39E2265E"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9</w:t>
            </w:r>
          </w:p>
        </w:tc>
        <w:tc>
          <w:tcPr>
            <w:tcW w:w="743" w:type="dxa"/>
            <w:tcBorders>
              <w:top w:val="nil"/>
              <w:left w:val="nil"/>
              <w:bottom w:val="single" w:sz="4" w:space="0" w:color="auto"/>
              <w:right w:val="nil"/>
            </w:tcBorders>
            <w:shd w:val="clear" w:color="000000" w:fill="FFFFFF"/>
            <w:noWrap/>
            <w:vAlign w:val="bottom"/>
            <w:hideMark/>
          </w:tcPr>
          <w:p w14:paraId="33E6B61F"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(48)</w:t>
            </w:r>
          </w:p>
        </w:tc>
        <w:tc>
          <w:tcPr>
            <w:tcW w:w="280" w:type="dxa"/>
            <w:tcBorders>
              <w:top w:val="nil"/>
              <w:left w:val="nil"/>
              <w:bottom w:val="single" w:sz="4" w:space="0" w:color="auto"/>
              <w:right w:val="nil"/>
            </w:tcBorders>
            <w:shd w:val="clear" w:color="000000" w:fill="FFFFFF"/>
            <w:noWrap/>
            <w:vAlign w:val="bottom"/>
            <w:hideMark/>
          </w:tcPr>
          <w:p w14:paraId="34E5922A"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single" w:sz="4" w:space="0" w:color="auto"/>
              <w:right w:val="nil"/>
            </w:tcBorders>
            <w:shd w:val="clear" w:color="000000" w:fill="D9D9D9"/>
            <w:noWrap/>
            <w:vAlign w:val="bottom"/>
            <w:hideMark/>
          </w:tcPr>
          <w:p w14:paraId="662512FF"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single" w:sz="4" w:space="0" w:color="auto"/>
              <w:right w:val="nil"/>
            </w:tcBorders>
            <w:shd w:val="clear" w:color="000000" w:fill="FFFFFF"/>
            <w:noWrap/>
            <w:vAlign w:val="bottom"/>
            <w:hideMark/>
          </w:tcPr>
          <w:p w14:paraId="3756B440"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(61)</w:t>
            </w:r>
          </w:p>
        </w:tc>
        <w:tc>
          <w:tcPr>
            <w:tcW w:w="266" w:type="dxa"/>
            <w:tcBorders>
              <w:top w:val="nil"/>
              <w:left w:val="nil"/>
              <w:bottom w:val="nil"/>
              <w:right w:val="nil"/>
            </w:tcBorders>
            <w:shd w:val="clear" w:color="000000" w:fill="FFFFFF"/>
            <w:noWrap/>
            <w:vAlign w:val="bottom"/>
            <w:hideMark/>
          </w:tcPr>
          <w:p w14:paraId="144DDF82"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62865F30" w14:textId="77777777" w:rsidTr="00AD6BFE">
        <w:trPr>
          <w:trHeight w:val="336"/>
        </w:trPr>
        <w:tc>
          <w:tcPr>
            <w:tcW w:w="5525" w:type="dxa"/>
            <w:tcBorders>
              <w:top w:val="nil"/>
              <w:left w:val="nil"/>
              <w:bottom w:val="nil"/>
              <w:right w:val="nil"/>
            </w:tcBorders>
            <w:shd w:val="clear" w:color="000000" w:fill="FFFFFF"/>
            <w:vAlign w:val="bottom"/>
            <w:hideMark/>
          </w:tcPr>
          <w:p w14:paraId="0CA755BD" w14:textId="2B247C0B"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 xml:space="preserve">Total de activos no corrientes </w:t>
            </w:r>
          </w:p>
        </w:tc>
        <w:tc>
          <w:tcPr>
            <w:tcW w:w="861" w:type="dxa"/>
            <w:tcBorders>
              <w:top w:val="nil"/>
              <w:left w:val="nil"/>
              <w:bottom w:val="nil"/>
              <w:right w:val="nil"/>
            </w:tcBorders>
            <w:shd w:val="clear" w:color="000000" w:fill="FFFFFF"/>
            <w:noWrap/>
            <w:vAlign w:val="bottom"/>
            <w:hideMark/>
          </w:tcPr>
          <w:p w14:paraId="0A90E93D"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745077C3" w14:textId="77777777" w:rsidR="00AD6BFE" w:rsidRPr="00701888" w:rsidRDefault="00AD6BFE" w:rsidP="00AD6BFE">
            <w:pPr>
              <w:jc w:val="right"/>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34</w:t>
            </w:r>
          </w:p>
        </w:tc>
        <w:tc>
          <w:tcPr>
            <w:tcW w:w="280" w:type="dxa"/>
            <w:tcBorders>
              <w:top w:val="nil"/>
              <w:left w:val="nil"/>
              <w:bottom w:val="nil"/>
              <w:right w:val="nil"/>
            </w:tcBorders>
            <w:shd w:val="clear" w:color="000000" w:fill="FFFFFF"/>
            <w:noWrap/>
            <w:vAlign w:val="bottom"/>
            <w:hideMark/>
          </w:tcPr>
          <w:p w14:paraId="4E0F734B"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41C6DD09"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051A857A" w14:textId="77777777" w:rsidR="00AD6BFE" w:rsidRPr="00701888" w:rsidRDefault="00AD6BFE" w:rsidP="00AD6BFE">
            <w:pPr>
              <w:jc w:val="right"/>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40</w:t>
            </w:r>
          </w:p>
        </w:tc>
        <w:tc>
          <w:tcPr>
            <w:tcW w:w="266" w:type="dxa"/>
            <w:tcBorders>
              <w:top w:val="nil"/>
              <w:left w:val="nil"/>
              <w:bottom w:val="nil"/>
              <w:right w:val="nil"/>
            </w:tcBorders>
            <w:shd w:val="clear" w:color="000000" w:fill="FFFFFF"/>
            <w:noWrap/>
            <w:vAlign w:val="bottom"/>
            <w:hideMark/>
          </w:tcPr>
          <w:p w14:paraId="657F5FAD"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r w:rsidR="00AD6BFE" w:rsidRPr="00701888" w14:paraId="71013C29" w14:textId="77777777" w:rsidTr="00AD6BFE">
        <w:trPr>
          <w:trHeight w:val="330"/>
        </w:trPr>
        <w:tc>
          <w:tcPr>
            <w:tcW w:w="5525" w:type="dxa"/>
            <w:tcBorders>
              <w:top w:val="nil"/>
              <w:left w:val="nil"/>
              <w:bottom w:val="nil"/>
              <w:right w:val="nil"/>
            </w:tcBorders>
            <w:shd w:val="clear" w:color="000000" w:fill="FFFFFF"/>
            <w:vAlign w:val="bottom"/>
            <w:hideMark/>
          </w:tcPr>
          <w:p w14:paraId="57FEB17E" w14:textId="64FBB646" w:rsidR="00AD6BFE" w:rsidRPr="00701888" w:rsidRDefault="00AD6BFE" w:rsidP="00AD6BFE">
            <w:pPr>
              <w:rPr>
                <w:rFonts w:ascii="Calibri" w:eastAsia="Times New Roman" w:hAnsi="Calibri" w:cs="Arial"/>
                <w:sz w:val="22"/>
                <w:szCs w:val="22"/>
                <w:lang w:val="es-ES_tradnl" w:eastAsia="en-GB"/>
              </w:rPr>
            </w:pPr>
            <w:r w:rsidRPr="00701888">
              <w:rPr>
                <w:rFonts w:ascii="Arial" w:eastAsia="Times New Roman" w:hAnsi="Arial" w:cs="Arial"/>
                <w:sz w:val="20"/>
                <w:szCs w:val="20"/>
                <w:lang w:val="es-ES_tradnl" w:eastAsia="en-GB"/>
              </w:rPr>
              <w:t> </w:t>
            </w:r>
          </w:p>
        </w:tc>
        <w:tc>
          <w:tcPr>
            <w:tcW w:w="861" w:type="dxa"/>
            <w:tcBorders>
              <w:top w:val="nil"/>
              <w:left w:val="nil"/>
              <w:bottom w:val="nil"/>
              <w:right w:val="nil"/>
            </w:tcBorders>
            <w:shd w:val="clear" w:color="000000" w:fill="FFFFFF"/>
            <w:noWrap/>
            <w:vAlign w:val="bottom"/>
            <w:hideMark/>
          </w:tcPr>
          <w:p w14:paraId="60EC0EAE"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5AFC163B"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13EDBA4A"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22106F1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6B82A6C3"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0E4465C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3BCBA713" w14:textId="77777777" w:rsidTr="00AD6BFE">
        <w:trPr>
          <w:trHeight w:val="480"/>
        </w:trPr>
        <w:tc>
          <w:tcPr>
            <w:tcW w:w="5525" w:type="dxa"/>
            <w:tcBorders>
              <w:top w:val="nil"/>
              <w:left w:val="nil"/>
              <w:bottom w:val="nil"/>
              <w:right w:val="nil"/>
            </w:tcBorders>
            <w:shd w:val="clear" w:color="000000" w:fill="FFFFFF"/>
            <w:vAlign w:val="bottom"/>
            <w:hideMark/>
          </w:tcPr>
          <w:p w14:paraId="576DEBED" w14:textId="52DA8578"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TOTAL DE ACTIVOS</w:t>
            </w:r>
          </w:p>
        </w:tc>
        <w:tc>
          <w:tcPr>
            <w:tcW w:w="861" w:type="dxa"/>
            <w:tcBorders>
              <w:top w:val="nil"/>
              <w:left w:val="nil"/>
              <w:bottom w:val="nil"/>
              <w:right w:val="nil"/>
            </w:tcBorders>
            <w:shd w:val="clear" w:color="000000" w:fill="FFFFFF"/>
            <w:noWrap/>
            <w:vAlign w:val="center"/>
            <w:hideMark/>
          </w:tcPr>
          <w:p w14:paraId="2F00C6D4"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single" w:sz="4" w:space="0" w:color="auto"/>
              <w:left w:val="nil"/>
              <w:bottom w:val="single" w:sz="4" w:space="0" w:color="auto"/>
              <w:right w:val="nil"/>
            </w:tcBorders>
            <w:shd w:val="clear" w:color="000000" w:fill="FFFFFF"/>
            <w:noWrap/>
            <w:vAlign w:val="center"/>
            <w:hideMark/>
          </w:tcPr>
          <w:p w14:paraId="4BD883CA" w14:textId="56B24560" w:rsidR="00AD6BFE" w:rsidRPr="00701888" w:rsidRDefault="00943DD3"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5.</w:t>
            </w:r>
            <w:r w:rsidR="00AD6BFE" w:rsidRPr="00701888">
              <w:rPr>
                <w:rFonts w:ascii="Calibri" w:eastAsia="Times New Roman" w:hAnsi="Calibri" w:cs="Arial"/>
                <w:b/>
                <w:bCs/>
                <w:sz w:val="22"/>
                <w:szCs w:val="22"/>
                <w:lang w:val="es-ES_tradnl" w:eastAsia="en-GB"/>
              </w:rPr>
              <w:t>432</w:t>
            </w:r>
          </w:p>
        </w:tc>
        <w:tc>
          <w:tcPr>
            <w:tcW w:w="280" w:type="dxa"/>
            <w:tcBorders>
              <w:top w:val="single" w:sz="4" w:space="0" w:color="auto"/>
              <w:left w:val="nil"/>
              <w:bottom w:val="single" w:sz="4" w:space="0" w:color="auto"/>
              <w:right w:val="nil"/>
            </w:tcBorders>
            <w:shd w:val="clear" w:color="000000" w:fill="FFFFFF"/>
            <w:noWrap/>
            <w:vAlign w:val="center"/>
            <w:hideMark/>
          </w:tcPr>
          <w:p w14:paraId="4C44AEE1"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single" w:sz="4" w:space="0" w:color="auto"/>
              <w:left w:val="nil"/>
              <w:bottom w:val="single" w:sz="4" w:space="0" w:color="auto"/>
              <w:right w:val="nil"/>
            </w:tcBorders>
            <w:shd w:val="clear" w:color="000000" w:fill="D9D9D9"/>
            <w:noWrap/>
            <w:vAlign w:val="center"/>
            <w:hideMark/>
          </w:tcPr>
          <w:p w14:paraId="01F5C70F"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single" w:sz="4" w:space="0" w:color="auto"/>
              <w:left w:val="nil"/>
              <w:bottom w:val="single" w:sz="4" w:space="0" w:color="auto"/>
              <w:right w:val="nil"/>
            </w:tcBorders>
            <w:shd w:val="clear" w:color="000000" w:fill="FFFFFF"/>
            <w:noWrap/>
            <w:vAlign w:val="center"/>
            <w:hideMark/>
          </w:tcPr>
          <w:p w14:paraId="4CE22B58" w14:textId="28D2B7AC" w:rsidR="00AD6BFE" w:rsidRPr="00701888" w:rsidRDefault="00943DD3"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6.</w:t>
            </w:r>
            <w:r w:rsidR="00AD6BFE" w:rsidRPr="00701888">
              <w:rPr>
                <w:rFonts w:ascii="Calibri" w:eastAsia="Times New Roman" w:hAnsi="Calibri" w:cs="Arial"/>
                <w:b/>
                <w:bCs/>
                <w:sz w:val="22"/>
                <w:szCs w:val="22"/>
                <w:lang w:val="es-ES_tradnl" w:eastAsia="en-GB"/>
              </w:rPr>
              <w:t>954</w:t>
            </w:r>
          </w:p>
        </w:tc>
        <w:tc>
          <w:tcPr>
            <w:tcW w:w="266" w:type="dxa"/>
            <w:tcBorders>
              <w:top w:val="nil"/>
              <w:left w:val="nil"/>
              <w:bottom w:val="nil"/>
              <w:right w:val="nil"/>
            </w:tcBorders>
            <w:shd w:val="clear" w:color="000000" w:fill="FFFFFF"/>
            <w:noWrap/>
            <w:vAlign w:val="center"/>
            <w:hideMark/>
          </w:tcPr>
          <w:p w14:paraId="1BA59ED9"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r w:rsidR="00AD6BFE" w:rsidRPr="00701888" w14:paraId="13980DEC" w14:textId="77777777" w:rsidTr="00AD6BFE">
        <w:trPr>
          <w:trHeight w:val="330"/>
        </w:trPr>
        <w:tc>
          <w:tcPr>
            <w:tcW w:w="5525" w:type="dxa"/>
            <w:tcBorders>
              <w:top w:val="nil"/>
              <w:left w:val="nil"/>
              <w:bottom w:val="nil"/>
              <w:right w:val="nil"/>
            </w:tcBorders>
            <w:shd w:val="clear" w:color="000000" w:fill="FFFFFF"/>
            <w:vAlign w:val="bottom"/>
            <w:hideMark/>
          </w:tcPr>
          <w:p w14:paraId="0ED55F3E" w14:textId="283EC4A4" w:rsidR="00AD6BFE" w:rsidRPr="00701888" w:rsidRDefault="00AD6BFE" w:rsidP="00AD6BFE">
            <w:pPr>
              <w:rPr>
                <w:rFonts w:ascii="Calibri" w:eastAsia="Times New Roman" w:hAnsi="Calibri" w:cs="Arial"/>
                <w:sz w:val="22"/>
                <w:szCs w:val="22"/>
                <w:lang w:val="es-ES_tradnl" w:eastAsia="en-GB"/>
              </w:rPr>
            </w:pPr>
            <w:r w:rsidRPr="00701888">
              <w:rPr>
                <w:rFonts w:ascii="Arial" w:eastAsia="Times New Roman" w:hAnsi="Arial" w:cs="Arial"/>
                <w:sz w:val="20"/>
                <w:szCs w:val="20"/>
                <w:lang w:val="es-ES_tradnl" w:eastAsia="en-GB"/>
              </w:rPr>
              <w:t> </w:t>
            </w:r>
          </w:p>
        </w:tc>
        <w:tc>
          <w:tcPr>
            <w:tcW w:w="861" w:type="dxa"/>
            <w:tcBorders>
              <w:top w:val="nil"/>
              <w:left w:val="nil"/>
              <w:bottom w:val="nil"/>
              <w:right w:val="nil"/>
            </w:tcBorders>
            <w:shd w:val="clear" w:color="000000" w:fill="FFFFFF"/>
            <w:noWrap/>
            <w:vAlign w:val="bottom"/>
            <w:hideMark/>
          </w:tcPr>
          <w:p w14:paraId="2AB3911C"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45D2B2DE"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3F24C45E"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008E1C33"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66DC800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342892E4"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8006D0" w14:paraId="786C4AED" w14:textId="77777777" w:rsidTr="00AD6BFE">
        <w:trPr>
          <w:trHeight w:val="330"/>
        </w:trPr>
        <w:tc>
          <w:tcPr>
            <w:tcW w:w="5525" w:type="dxa"/>
            <w:tcBorders>
              <w:top w:val="nil"/>
              <w:left w:val="nil"/>
              <w:bottom w:val="nil"/>
              <w:right w:val="nil"/>
            </w:tcBorders>
            <w:shd w:val="clear" w:color="000000" w:fill="FFFFFF"/>
            <w:vAlign w:val="bottom"/>
            <w:hideMark/>
          </w:tcPr>
          <w:p w14:paraId="4B5AC916" w14:textId="2F97D1CC"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PASIVO Y SALDOS DE FONDOS</w:t>
            </w:r>
          </w:p>
        </w:tc>
        <w:tc>
          <w:tcPr>
            <w:tcW w:w="861" w:type="dxa"/>
            <w:tcBorders>
              <w:top w:val="nil"/>
              <w:left w:val="nil"/>
              <w:bottom w:val="nil"/>
              <w:right w:val="nil"/>
            </w:tcBorders>
            <w:shd w:val="clear" w:color="000000" w:fill="FFFFFF"/>
            <w:noWrap/>
            <w:vAlign w:val="bottom"/>
            <w:hideMark/>
          </w:tcPr>
          <w:p w14:paraId="74E12D3A"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7D90FAE9"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3DF6ABC3"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3B284011"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122E990E"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20B26F80"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4D830B8D" w14:textId="77777777" w:rsidTr="00AD6BFE">
        <w:trPr>
          <w:trHeight w:val="330"/>
        </w:trPr>
        <w:tc>
          <w:tcPr>
            <w:tcW w:w="5525" w:type="dxa"/>
            <w:tcBorders>
              <w:top w:val="nil"/>
              <w:left w:val="nil"/>
              <w:bottom w:val="nil"/>
              <w:right w:val="nil"/>
            </w:tcBorders>
            <w:shd w:val="clear" w:color="000000" w:fill="FFFFFF"/>
            <w:vAlign w:val="bottom"/>
            <w:hideMark/>
          </w:tcPr>
          <w:p w14:paraId="6D836699" w14:textId="4D2B6187"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Pasivo corriente</w:t>
            </w:r>
          </w:p>
        </w:tc>
        <w:tc>
          <w:tcPr>
            <w:tcW w:w="861" w:type="dxa"/>
            <w:tcBorders>
              <w:top w:val="nil"/>
              <w:left w:val="nil"/>
              <w:bottom w:val="nil"/>
              <w:right w:val="nil"/>
            </w:tcBorders>
            <w:shd w:val="clear" w:color="000000" w:fill="FFFFFF"/>
            <w:noWrap/>
            <w:vAlign w:val="bottom"/>
            <w:hideMark/>
          </w:tcPr>
          <w:p w14:paraId="6503E933"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62163FD6"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0A9BEDAE"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1AF9E622"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7FFE697C"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5E21B0A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22EFC2A8" w14:textId="77777777" w:rsidTr="00AD6BFE">
        <w:trPr>
          <w:trHeight w:val="336"/>
        </w:trPr>
        <w:tc>
          <w:tcPr>
            <w:tcW w:w="5525" w:type="dxa"/>
            <w:tcBorders>
              <w:top w:val="nil"/>
              <w:left w:val="nil"/>
              <w:bottom w:val="nil"/>
              <w:right w:val="nil"/>
            </w:tcBorders>
            <w:shd w:val="clear" w:color="000000" w:fill="FFFFFF"/>
            <w:vAlign w:val="bottom"/>
            <w:hideMark/>
          </w:tcPr>
          <w:p w14:paraId="375EF6FE" w14:textId="5D63CAED"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Importe adeudado a la UICN</w:t>
            </w:r>
          </w:p>
        </w:tc>
        <w:tc>
          <w:tcPr>
            <w:tcW w:w="861" w:type="dxa"/>
            <w:tcBorders>
              <w:top w:val="nil"/>
              <w:left w:val="nil"/>
              <w:bottom w:val="nil"/>
              <w:right w:val="nil"/>
            </w:tcBorders>
            <w:shd w:val="clear" w:color="000000" w:fill="FFFFFF"/>
            <w:noWrap/>
            <w:vAlign w:val="bottom"/>
            <w:hideMark/>
          </w:tcPr>
          <w:p w14:paraId="51362EC9"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26ADBDEC"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775</w:t>
            </w:r>
          </w:p>
        </w:tc>
        <w:tc>
          <w:tcPr>
            <w:tcW w:w="280" w:type="dxa"/>
            <w:tcBorders>
              <w:top w:val="nil"/>
              <w:left w:val="nil"/>
              <w:bottom w:val="nil"/>
              <w:right w:val="nil"/>
            </w:tcBorders>
            <w:shd w:val="clear" w:color="000000" w:fill="FFFFFF"/>
            <w:noWrap/>
            <w:vAlign w:val="bottom"/>
            <w:hideMark/>
          </w:tcPr>
          <w:p w14:paraId="725BC599"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45B867A2"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4E6C7ECD"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514</w:t>
            </w:r>
          </w:p>
        </w:tc>
        <w:tc>
          <w:tcPr>
            <w:tcW w:w="266" w:type="dxa"/>
            <w:tcBorders>
              <w:top w:val="nil"/>
              <w:left w:val="nil"/>
              <w:bottom w:val="nil"/>
              <w:right w:val="nil"/>
            </w:tcBorders>
            <w:shd w:val="clear" w:color="000000" w:fill="FFFFFF"/>
            <w:noWrap/>
            <w:vAlign w:val="bottom"/>
            <w:hideMark/>
          </w:tcPr>
          <w:p w14:paraId="33496D3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22EC8679" w14:textId="77777777" w:rsidTr="00AD6BFE">
        <w:trPr>
          <w:trHeight w:val="336"/>
        </w:trPr>
        <w:tc>
          <w:tcPr>
            <w:tcW w:w="5525" w:type="dxa"/>
            <w:tcBorders>
              <w:top w:val="nil"/>
              <w:left w:val="nil"/>
              <w:bottom w:val="nil"/>
              <w:right w:val="nil"/>
            </w:tcBorders>
            <w:shd w:val="clear" w:color="000000" w:fill="FFFFFF"/>
            <w:vAlign w:val="bottom"/>
            <w:hideMark/>
          </w:tcPr>
          <w:p w14:paraId="630B5B2E" w14:textId="5FFDA0FF"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 xml:space="preserve">Otras cuentas por pagar </w:t>
            </w:r>
          </w:p>
        </w:tc>
        <w:tc>
          <w:tcPr>
            <w:tcW w:w="861" w:type="dxa"/>
            <w:tcBorders>
              <w:top w:val="nil"/>
              <w:left w:val="nil"/>
              <w:bottom w:val="nil"/>
              <w:right w:val="nil"/>
            </w:tcBorders>
            <w:shd w:val="clear" w:color="000000" w:fill="FFFFFF"/>
            <w:noWrap/>
            <w:vAlign w:val="bottom"/>
            <w:hideMark/>
          </w:tcPr>
          <w:p w14:paraId="45B5DDBC"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8</w:t>
            </w:r>
          </w:p>
        </w:tc>
        <w:tc>
          <w:tcPr>
            <w:tcW w:w="743" w:type="dxa"/>
            <w:tcBorders>
              <w:top w:val="nil"/>
              <w:left w:val="nil"/>
              <w:bottom w:val="nil"/>
              <w:right w:val="nil"/>
            </w:tcBorders>
            <w:shd w:val="clear" w:color="000000" w:fill="FFFFFF"/>
            <w:noWrap/>
            <w:vAlign w:val="bottom"/>
            <w:hideMark/>
          </w:tcPr>
          <w:p w14:paraId="6D084FF5"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630</w:t>
            </w:r>
          </w:p>
        </w:tc>
        <w:tc>
          <w:tcPr>
            <w:tcW w:w="280" w:type="dxa"/>
            <w:tcBorders>
              <w:top w:val="nil"/>
              <w:left w:val="nil"/>
              <w:bottom w:val="nil"/>
              <w:right w:val="nil"/>
            </w:tcBorders>
            <w:shd w:val="clear" w:color="000000" w:fill="FFFFFF"/>
            <w:noWrap/>
            <w:vAlign w:val="bottom"/>
            <w:hideMark/>
          </w:tcPr>
          <w:p w14:paraId="72F061F6"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0AEB133B"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774D7175"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839</w:t>
            </w:r>
          </w:p>
        </w:tc>
        <w:tc>
          <w:tcPr>
            <w:tcW w:w="266" w:type="dxa"/>
            <w:tcBorders>
              <w:top w:val="nil"/>
              <w:left w:val="nil"/>
              <w:bottom w:val="nil"/>
              <w:right w:val="nil"/>
            </w:tcBorders>
            <w:shd w:val="clear" w:color="000000" w:fill="FFFFFF"/>
            <w:noWrap/>
            <w:vAlign w:val="bottom"/>
            <w:hideMark/>
          </w:tcPr>
          <w:p w14:paraId="71068A1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47D00E8F" w14:textId="77777777" w:rsidTr="00AD6BFE">
        <w:trPr>
          <w:trHeight w:val="336"/>
        </w:trPr>
        <w:tc>
          <w:tcPr>
            <w:tcW w:w="5525" w:type="dxa"/>
            <w:tcBorders>
              <w:top w:val="nil"/>
              <w:left w:val="nil"/>
              <w:bottom w:val="nil"/>
              <w:right w:val="nil"/>
            </w:tcBorders>
            <w:shd w:val="clear" w:color="000000" w:fill="FFFFFF"/>
            <w:vAlign w:val="bottom"/>
            <w:hideMark/>
          </w:tcPr>
          <w:p w14:paraId="66EF9C02" w14:textId="0E1ACC53"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Pasivo acumulado</w:t>
            </w:r>
          </w:p>
        </w:tc>
        <w:tc>
          <w:tcPr>
            <w:tcW w:w="861" w:type="dxa"/>
            <w:tcBorders>
              <w:top w:val="nil"/>
              <w:left w:val="nil"/>
              <w:bottom w:val="nil"/>
              <w:right w:val="nil"/>
            </w:tcBorders>
            <w:shd w:val="clear" w:color="000000" w:fill="FFFFFF"/>
            <w:noWrap/>
            <w:vAlign w:val="bottom"/>
            <w:hideMark/>
          </w:tcPr>
          <w:p w14:paraId="1140E095"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single" w:sz="4" w:space="0" w:color="auto"/>
              <w:right w:val="nil"/>
            </w:tcBorders>
            <w:shd w:val="clear" w:color="000000" w:fill="FFFFFF"/>
            <w:noWrap/>
            <w:vAlign w:val="bottom"/>
            <w:hideMark/>
          </w:tcPr>
          <w:p w14:paraId="00F45E2B"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293</w:t>
            </w:r>
          </w:p>
        </w:tc>
        <w:tc>
          <w:tcPr>
            <w:tcW w:w="280" w:type="dxa"/>
            <w:tcBorders>
              <w:top w:val="nil"/>
              <w:left w:val="nil"/>
              <w:bottom w:val="single" w:sz="4" w:space="0" w:color="auto"/>
              <w:right w:val="nil"/>
            </w:tcBorders>
            <w:shd w:val="clear" w:color="000000" w:fill="FFFFFF"/>
            <w:noWrap/>
            <w:vAlign w:val="bottom"/>
            <w:hideMark/>
          </w:tcPr>
          <w:p w14:paraId="39CD474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single" w:sz="4" w:space="0" w:color="auto"/>
              <w:right w:val="nil"/>
            </w:tcBorders>
            <w:shd w:val="clear" w:color="000000" w:fill="D9D9D9"/>
            <w:noWrap/>
            <w:vAlign w:val="bottom"/>
            <w:hideMark/>
          </w:tcPr>
          <w:p w14:paraId="1334365B"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single" w:sz="4" w:space="0" w:color="auto"/>
              <w:right w:val="nil"/>
            </w:tcBorders>
            <w:shd w:val="clear" w:color="000000" w:fill="FFFFFF"/>
            <w:noWrap/>
            <w:vAlign w:val="bottom"/>
            <w:hideMark/>
          </w:tcPr>
          <w:p w14:paraId="5515EB8B"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381</w:t>
            </w:r>
          </w:p>
        </w:tc>
        <w:tc>
          <w:tcPr>
            <w:tcW w:w="266" w:type="dxa"/>
            <w:tcBorders>
              <w:top w:val="nil"/>
              <w:left w:val="nil"/>
              <w:bottom w:val="nil"/>
              <w:right w:val="nil"/>
            </w:tcBorders>
            <w:shd w:val="clear" w:color="000000" w:fill="FFFFFF"/>
            <w:noWrap/>
            <w:vAlign w:val="bottom"/>
            <w:hideMark/>
          </w:tcPr>
          <w:p w14:paraId="44FA0CF6"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674A9807" w14:textId="77777777" w:rsidTr="00AD6BFE">
        <w:trPr>
          <w:trHeight w:val="330"/>
        </w:trPr>
        <w:tc>
          <w:tcPr>
            <w:tcW w:w="5525" w:type="dxa"/>
            <w:tcBorders>
              <w:top w:val="nil"/>
              <w:left w:val="nil"/>
              <w:bottom w:val="nil"/>
              <w:right w:val="nil"/>
            </w:tcBorders>
            <w:shd w:val="clear" w:color="000000" w:fill="FFFFFF"/>
            <w:vAlign w:val="bottom"/>
            <w:hideMark/>
          </w:tcPr>
          <w:p w14:paraId="13CB71F2" w14:textId="3DABDA55"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Total de pasivo corriente</w:t>
            </w:r>
          </w:p>
        </w:tc>
        <w:tc>
          <w:tcPr>
            <w:tcW w:w="861" w:type="dxa"/>
            <w:tcBorders>
              <w:top w:val="nil"/>
              <w:left w:val="nil"/>
              <w:bottom w:val="nil"/>
              <w:right w:val="nil"/>
            </w:tcBorders>
            <w:shd w:val="clear" w:color="000000" w:fill="FFFFFF"/>
            <w:noWrap/>
            <w:vAlign w:val="bottom"/>
            <w:hideMark/>
          </w:tcPr>
          <w:p w14:paraId="7EDF1D43"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50729710" w14:textId="5815775D" w:rsidR="00AD6BFE" w:rsidRPr="00701888" w:rsidRDefault="00943DD3"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1.</w:t>
            </w:r>
            <w:r w:rsidR="00AD6BFE" w:rsidRPr="00701888">
              <w:rPr>
                <w:rFonts w:ascii="Calibri" w:eastAsia="Times New Roman" w:hAnsi="Calibri" w:cs="Arial"/>
                <w:b/>
                <w:bCs/>
                <w:sz w:val="22"/>
                <w:szCs w:val="22"/>
                <w:lang w:val="es-ES_tradnl" w:eastAsia="en-GB"/>
              </w:rPr>
              <w:t>698</w:t>
            </w:r>
          </w:p>
        </w:tc>
        <w:tc>
          <w:tcPr>
            <w:tcW w:w="280" w:type="dxa"/>
            <w:tcBorders>
              <w:top w:val="nil"/>
              <w:left w:val="nil"/>
              <w:bottom w:val="nil"/>
              <w:right w:val="nil"/>
            </w:tcBorders>
            <w:shd w:val="clear" w:color="000000" w:fill="FFFFFF"/>
            <w:noWrap/>
            <w:vAlign w:val="bottom"/>
            <w:hideMark/>
          </w:tcPr>
          <w:p w14:paraId="571A273D"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2160349E"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02CF42A1" w14:textId="386B3FCC" w:rsidR="00AD6BFE" w:rsidRPr="00701888" w:rsidRDefault="00943DD3"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1.</w:t>
            </w:r>
            <w:r w:rsidR="00AD6BFE" w:rsidRPr="00701888">
              <w:rPr>
                <w:rFonts w:ascii="Calibri" w:eastAsia="Times New Roman" w:hAnsi="Calibri" w:cs="Arial"/>
                <w:b/>
                <w:bCs/>
                <w:sz w:val="22"/>
                <w:szCs w:val="22"/>
                <w:lang w:val="es-ES_tradnl" w:eastAsia="en-GB"/>
              </w:rPr>
              <w:t>734</w:t>
            </w:r>
          </w:p>
        </w:tc>
        <w:tc>
          <w:tcPr>
            <w:tcW w:w="266" w:type="dxa"/>
            <w:tcBorders>
              <w:top w:val="nil"/>
              <w:left w:val="nil"/>
              <w:bottom w:val="nil"/>
              <w:right w:val="nil"/>
            </w:tcBorders>
            <w:shd w:val="clear" w:color="000000" w:fill="FFFFFF"/>
            <w:noWrap/>
            <w:vAlign w:val="bottom"/>
            <w:hideMark/>
          </w:tcPr>
          <w:p w14:paraId="643BDAED"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r w:rsidR="00AD6BFE" w:rsidRPr="00701888" w14:paraId="32CF32ED" w14:textId="77777777" w:rsidTr="00AD6BFE">
        <w:trPr>
          <w:trHeight w:val="330"/>
        </w:trPr>
        <w:tc>
          <w:tcPr>
            <w:tcW w:w="5525" w:type="dxa"/>
            <w:tcBorders>
              <w:top w:val="nil"/>
              <w:left w:val="nil"/>
              <w:bottom w:val="nil"/>
              <w:right w:val="nil"/>
            </w:tcBorders>
            <w:shd w:val="clear" w:color="000000" w:fill="FFFFFF"/>
            <w:vAlign w:val="bottom"/>
            <w:hideMark/>
          </w:tcPr>
          <w:p w14:paraId="33B744E5" w14:textId="333BB9A3"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 </w:t>
            </w:r>
          </w:p>
        </w:tc>
        <w:tc>
          <w:tcPr>
            <w:tcW w:w="861" w:type="dxa"/>
            <w:tcBorders>
              <w:top w:val="nil"/>
              <w:left w:val="nil"/>
              <w:bottom w:val="nil"/>
              <w:right w:val="nil"/>
            </w:tcBorders>
            <w:shd w:val="clear" w:color="000000" w:fill="FFFFFF"/>
            <w:noWrap/>
            <w:vAlign w:val="bottom"/>
            <w:hideMark/>
          </w:tcPr>
          <w:p w14:paraId="18DAE4CD"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20885D9F"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2A7C6BBD"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023DF660"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1E2163A5"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01F86F3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7F13569F" w14:textId="77777777" w:rsidTr="00AD6BFE">
        <w:trPr>
          <w:trHeight w:val="330"/>
        </w:trPr>
        <w:tc>
          <w:tcPr>
            <w:tcW w:w="5525" w:type="dxa"/>
            <w:tcBorders>
              <w:top w:val="nil"/>
              <w:left w:val="nil"/>
              <w:bottom w:val="nil"/>
              <w:right w:val="nil"/>
            </w:tcBorders>
            <w:shd w:val="clear" w:color="000000" w:fill="FFFFFF"/>
            <w:vAlign w:val="bottom"/>
            <w:hideMark/>
          </w:tcPr>
          <w:p w14:paraId="51E16C71" w14:textId="549DA4CC"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Provisiones</w:t>
            </w:r>
          </w:p>
        </w:tc>
        <w:tc>
          <w:tcPr>
            <w:tcW w:w="861" w:type="dxa"/>
            <w:tcBorders>
              <w:top w:val="nil"/>
              <w:left w:val="nil"/>
              <w:bottom w:val="nil"/>
              <w:right w:val="nil"/>
            </w:tcBorders>
            <w:shd w:val="clear" w:color="000000" w:fill="FFFFFF"/>
            <w:noWrap/>
            <w:vAlign w:val="bottom"/>
            <w:hideMark/>
          </w:tcPr>
          <w:p w14:paraId="5009FA53"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29D522BD"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70A2654E"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2115477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486369E3"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28E1F226"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3FAC590B" w14:textId="77777777" w:rsidTr="00AD6BFE">
        <w:trPr>
          <w:trHeight w:val="330"/>
        </w:trPr>
        <w:tc>
          <w:tcPr>
            <w:tcW w:w="5525" w:type="dxa"/>
            <w:tcBorders>
              <w:top w:val="nil"/>
              <w:left w:val="nil"/>
              <w:bottom w:val="nil"/>
              <w:right w:val="nil"/>
            </w:tcBorders>
            <w:shd w:val="clear" w:color="000000" w:fill="FFFFFF"/>
            <w:vAlign w:val="bottom"/>
            <w:hideMark/>
          </w:tcPr>
          <w:p w14:paraId="23EF0228" w14:textId="1B060FB1"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Repatriación del personal</w:t>
            </w:r>
          </w:p>
        </w:tc>
        <w:tc>
          <w:tcPr>
            <w:tcW w:w="861" w:type="dxa"/>
            <w:tcBorders>
              <w:top w:val="nil"/>
              <w:left w:val="nil"/>
              <w:bottom w:val="nil"/>
              <w:right w:val="nil"/>
            </w:tcBorders>
            <w:shd w:val="clear" w:color="000000" w:fill="FFFFFF"/>
            <w:noWrap/>
            <w:vAlign w:val="bottom"/>
            <w:hideMark/>
          </w:tcPr>
          <w:p w14:paraId="23327DB1"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5</w:t>
            </w:r>
          </w:p>
        </w:tc>
        <w:tc>
          <w:tcPr>
            <w:tcW w:w="743" w:type="dxa"/>
            <w:tcBorders>
              <w:top w:val="nil"/>
              <w:left w:val="nil"/>
              <w:bottom w:val="nil"/>
              <w:right w:val="nil"/>
            </w:tcBorders>
            <w:shd w:val="clear" w:color="000000" w:fill="FFFFFF"/>
            <w:noWrap/>
            <w:vAlign w:val="bottom"/>
            <w:hideMark/>
          </w:tcPr>
          <w:p w14:paraId="630CBBE0"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124</w:t>
            </w:r>
          </w:p>
        </w:tc>
        <w:tc>
          <w:tcPr>
            <w:tcW w:w="280" w:type="dxa"/>
            <w:tcBorders>
              <w:top w:val="nil"/>
              <w:left w:val="nil"/>
              <w:bottom w:val="nil"/>
              <w:right w:val="nil"/>
            </w:tcBorders>
            <w:shd w:val="clear" w:color="000000" w:fill="FFFFFF"/>
            <w:noWrap/>
            <w:vAlign w:val="bottom"/>
            <w:hideMark/>
          </w:tcPr>
          <w:p w14:paraId="7A9072A3"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128AD77F"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7379D569"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128</w:t>
            </w:r>
          </w:p>
        </w:tc>
        <w:tc>
          <w:tcPr>
            <w:tcW w:w="266" w:type="dxa"/>
            <w:tcBorders>
              <w:top w:val="nil"/>
              <w:left w:val="nil"/>
              <w:bottom w:val="nil"/>
              <w:right w:val="nil"/>
            </w:tcBorders>
            <w:shd w:val="clear" w:color="000000" w:fill="FFFFFF"/>
            <w:noWrap/>
            <w:vAlign w:val="bottom"/>
            <w:hideMark/>
          </w:tcPr>
          <w:p w14:paraId="23FD18C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495BE3EE" w14:textId="77777777" w:rsidTr="00AD6BFE">
        <w:trPr>
          <w:trHeight w:val="330"/>
        </w:trPr>
        <w:tc>
          <w:tcPr>
            <w:tcW w:w="5525" w:type="dxa"/>
            <w:tcBorders>
              <w:top w:val="nil"/>
              <w:left w:val="nil"/>
              <w:bottom w:val="nil"/>
              <w:right w:val="nil"/>
            </w:tcBorders>
            <w:shd w:val="clear" w:color="000000" w:fill="FFFFFF"/>
            <w:vAlign w:val="bottom"/>
            <w:hideMark/>
          </w:tcPr>
          <w:p w14:paraId="51E0D12A" w14:textId="2E810B46"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Vacaciones del personal</w:t>
            </w:r>
          </w:p>
        </w:tc>
        <w:tc>
          <w:tcPr>
            <w:tcW w:w="861" w:type="dxa"/>
            <w:tcBorders>
              <w:top w:val="nil"/>
              <w:left w:val="nil"/>
              <w:bottom w:val="nil"/>
              <w:right w:val="nil"/>
            </w:tcBorders>
            <w:shd w:val="clear" w:color="000000" w:fill="FFFFFF"/>
            <w:noWrap/>
            <w:vAlign w:val="bottom"/>
            <w:hideMark/>
          </w:tcPr>
          <w:p w14:paraId="38C50DC0"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5</w:t>
            </w:r>
          </w:p>
        </w:tc>
        <w:tc>
          <w:tcPr>
            <w:tcW w:w="743" w:type="dxa"/>
            <w:tcBorders>
              <w:top w:val="nil"/>
              <w:left w:val="nil"/>
              <w:bottom w:val="nil"/>
              <w:right w:val="nil"/>
            </w:tcBorders>
            <w:shd w:val="clear" w:color="000000" w:fill="FFFFFF"/>
            <w:noWrap/>
            <w:vAlign w:val="bottom"/>
            <w:hideMark/>
          </w:tcPr>
          <w:p w14:paraId="7AAD6240"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165</w:t>
            </w:r>
          </w:p>
        </w:tc>
        <w:tc>
          <w:tcPr>
            <w:tcW w:w="280" w:type="dxa"/>
            <w:tcBorders>
              <w:top w:val="nil"/>
              <w:left w:val="nil"/>
              <w:bottom w:val="nil"/>
              <w:right w:val="nil"/>
            </w:tcBorders>
            <w:shd w:val="clear" w:color="000000" w:fill="FFFFFF"/>
            <w:noWrap/>
            <w:vAlign w:val="bottom"/>
            <w:hideMark/>
          </w:tcPr>
          <w:p w14:paraId="689F39D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3F7AF26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6AB23893"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123</w:t>
            </w:r>
          </w:p>
        </w:tc>
        <w:tc>
          <w:tcPr>
            <w:tcW w:w="266" w:type="dxa"/>
            <w:tcBorders>
              <w:top w:val="nil"/>
              <w:left w:val="nil"/>
              <w:bottom w:val="nil"/>
              <w:right w:val="nil"/>
            </w:tcBorders>
            <w:shd w:val="clear" w:color="000000" w:fill="FFFFFF"/>
            <w:noWrap/>
            <w:vAlign w:val="bottom"/>
            <w:hideMark/>
          </w:tcPr>
          <w:p w14:paraId="52315377"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49707DB6" w14:textId="77777777" w:rsidTr="00AD6BFE">
        <w:trPr>
          <w:trHeight w:val="330"/>
        </w:trPr>
        <w:tc>
          <w:tcPr>
            <w:tcW w:w="5525" w:type="dxa"/>
            <w:tcBorders>
              <w:top w:val="nil"/>
              <w:left w:val="nil"/>
              <w:bottom w:val="nil"/>
              <w:right w:val="nil"/>
            </w:tcBorders>
            <w:shd w:val="clear" w:color="000000" w:fill="FFFFFF"/>
            <w:vAlign w:val="bottom"/>
            <w:hideMark/>
          </w:tcPr>
          <w:p w14:paraId="65440A49" w14:textId="65C733ED" w:rsidR="00AD6BFE" w:rsidRPr="00701888" w:rsidRDefault="00AD6BFE" w:rsidP="00AD6BFE">
            <w:pPr>
              <w:rPr>
                <w:rFonts w:ascii="Calibri" w:eastAsia="Times New Roman" w:hAnsi="Calibri" w:cs="Arial"/>
                <w:sz w:val="22"/>
                <w:szCs w:val="22"/>
                <w:lang w:val="es-ES_tradnl" w:eastAsia="en-GB"/>
              </w:rPr>
            </w:pPr>
            <w:r w:rsidRPr="00701888">
              <w:rPr>
                <w:rFonts w:ascii="Arial" w:eastAsia="Times New Roman" w:hAnsi="Arial" w:cs="Arial"/>
                <w:sz w:val="20"/>
                <w:szCs w:val="20"/>
                <w:lang w:val="es-ES_tradnl" w:eastAsia="en-GB"/>
              </w:rPr>
              <w:t>Rescisión de nombramiento del personal</w:t>
            </w:r>
          </w:p>
        </w:tc>
        <w:tc>
          <w:tcPr>
            <w:tcW w:w="861" w:type="dxa"/>
            <w:tcBorders>
              <w:top w:val="nil"/>
              <w:left w:val="nil"/>
              <w:bottom w:val="nil"/>
              <w:right w:val="nil"/>
            </w:tcBorders>
            <w:shd w:val="clear" w:color="000000" w:fill="FFFFFF"/>
            <w:noWrap/>
            <w:vAlign w:val="bottom"/>
            <w:hideMark/>
          </w:tcPr>
          <w:p w14:paraId="7E4B70C7"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5</w:t>
            </w:r>
          </w:p>
        </w:tc>
        <w:tc>
          <w:tcPr>
            <w:tcW w:w="743" w:type="dxa"/>
            <w:tcBorders>
              <w:top w:val="nil"/>
              <w:left w:val="nil"/>
              <w:bottom w:val="single" w:sz="4" w:space="0" w:color="auto"/>
              <w:right w:val="nil"/>
            </w:tcBorders>
            <w:shd w:val="clear" w:color="000000" w:fill="FFFFFF"/>
            <w:noWrap/>
            <w:vAlign w:val="bottom"/>
            <w:hideMark/>
          </w:tcPr>
          <w:p w14:paraId="2F326F77"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227</w:t>
            </w:r>
          </w:p>
        </w:tc>
        <w:tc>
          <w:tcPr>
            <w:tcW w:w="280" w:type="dxa"/>
            <w:tcBorders>
              <w:top w:val="nil"/>
              <w:left w:val="nil"/>
              <w:bottom w:val="single" w:sz="4" w:space="0" w:color="auto"/>
              <w:right w:val="nil"/>
            </w:tcBorders>
            <w:shd w:val="clear" w:color="000000" w:fill="FFFFFF"/>
            <w:noWrap/>
            <w:vAlign w:val="bottom"/>
            <w:hideMark/>
          </w:tcPr>
          <w:p w14:paraId="3CEAF4BC"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single" w:sz="4" w:space="0" w:color="auto"/>
              <w:right w:val="nil"/>
            </w:tcBorders>
            <w:shd w:val="clear" w:color="000000" w:fill="D9D9D9"/>
            <w:noWrap/>
            <w:vAlign w:val="bottom"/>
            <w:hideMark/>
          </w:tcPr>
          <w:p w14:paraId="1CBB953C"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single" w:sz="4" w:space="0" w:color="auto"/>
              <w:right w:val="nil"/>
            </w:tcBorders>
            <w:shd w:val="clear" w:color="000000" w:fill="FFFFFF"/>
            <w:noWrap/>
            <w:vAlign w:val="bottom"/>
            <w:hideMark/>
          </w:tcPr>
          <w:p w14:paraId="6358D677"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128</w:t>
            </w:r>
          </w:p>
        </w:tc>
        <w:tc>
          <w:tcPr>
            <w:tcW w:w="266" w:type="dxa"/>
            <w:tcBorders>
              <w:top w:val="nil"/>
              <w:left w:val="nil"/>
              <w:bottom w:val="nil"/>
              <w:right w:val="nil"/>
            </w:tcBorders>
            <w:shd w:val="clear" w:color="000000" w:fill="FFFFFF"/>
            <w:noWrap/>
            <w:vAlign w:val="bottom"/>
            <w:hideMark/>
          </w:tcPr>
          <w:p w14:paraId="622891DC"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192220B1" w14:textId="77777777" w:rsidTr="00AD6BFE">
        <w:trPr>
          <w:trHeight w:val="330"/>
        </w:trPr>
        <w:tc>
          <w:tcPr>
            <w:tcW w:w="5525" w:type="dxa"/>
            <w:tcBorders>
              <w:top w:val="nil"/>
              <w:left w:val="nil"/>
              <w:bottom w:val="nil"/>
              <w:right w:val="nil"/>
            </w:tcBorders>
            <w:shd w:val="clear" w:color="000000" w:fill="FFFFFF"/>
            <w:vAlign w:val="bottom"/>
            <w:hideMark/>
          </w:tcPr>
          <w:p w14:paraId="7B939252" w14:textId="360DDE44"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Total de provisiones</w:t>
            </w:r>
          </w:p>
        </w:tc>
        <w:tc>
          <w:tcPr>
            <w:tcW w:w="861" w:type="dxa"/>
            <w:tcBorders>
              <w:top w:val="nil"/>
              <w:left w:val="nil"/>
              <w:bottom w:val="nil"/>
              <w:right w:val="nil"/>
            </w:tcBorders>
            <w:shd w:val="clear" w:color="000000" w:fill="FFFFFF"/>
            <w:noWrap/>
            <w:vAlign w:val="bottom"/>
            <w:hideMark/>
          </w:tcPr>
          <w:p w14:paraId="67614082"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18F4AAA6" w14:textId="77777777" w:rsidR="00AD6BFE" w:rsidRPr="00701888" w:rsidRDefault="00AD6BFE" w:rsidP="00AD6BFE">
            <w:pPr>
              <w:jc w:val="right"/>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516</w:t>
            </w:r>
          </w:p>
        </w:tc>
        <w:tc>
          <w:tcPr>
            <w:tcW w:w="280" w:type="dxa"/>
            <w:tcBorders>
              <w:top w:val="nil"/>
              <w:left w:val="nil"/>
              <w:bottom w:val="nil"/>
              <w:right w:val="nil"/>
            </w:tcBorders>
            <w:shd w:val="clear" w:color="000000" w:fill="FFFFFF"/>
            <w:noWrap/>
            <w:vAlign w:val="bottom"/>
            <w:hideMark/>
          </w:tcPr>
          <w:p w14:paraId="7D435999"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1BD144BC"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4646A767" w14:textId="77777777" w:rsidR="00AD6BFE" w:rsidRPr="00701888" w:rsidRDefault="00AD6BFE" w:rsidP="00AD6BFE">
            <w:pPr>
              <w:jc w:val="right"/>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379</w:t>
            </w:r>
          </w:p>
        </w:tc>
        <w:tc>
          <w:tcPr>
            <w:tcW w:w="266" w:type="dxa"/>
            <w:tcBorders>
              <w:top w:val="nil"/>
              <w:left w:val="nil"/>
              <w:bottom w:val="nil"/>
              <w:right w:val="nil"/>
            </w:tcBorders>
            <w:shd w:val="clear" w:color="000000" w:fill="FFFFFF"/>
            <w:noWrap/>
            <w:vAlign w:val="bottom"/>
            <w:hideMark/>
          </w:tcPr>
          <w:p w14:paraId="1F9102B8"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r w:rsidR="00AD6BFE" w:rsidRPr="00701888" w14:paraId="13F7F0A9" w14:textId="77777777" w:rsidTr="00AD6BFE">
        <w:trPr>
          <w:trHeight w:val="330"/>
        </w:trPr>
        <w:tc>
          <w:tcPr>
            <w:tcW w:w="5525" w:type="dxa"/>
            <w:tcBorders>
              <w:top w:val="nil"/>
              <w:left w:val="nil"/>
              <w:bottom w:val="nil"/>
              <w:right w:val="nil"/>
            </w:tcBorders>
            <w:shd w:val="clear" w:color="000000" w:fill="FFFFFF"/>
            <w:vAlign w:val="bottom"/>
            <w:hideMark/>
          </w:tcPr>
          <w:p w14:paraId="4D4CE397" w14:textId="2DBFD66E"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 </w:t>
            </w:r>
          </w:p>
        </w:tc>
        <w:tc>
          <w:tcPr>
            <w:tcW w:w="861" w:type="dxa"/>
            <w:tcBorders>
              <w:top w:val="nil"/>
              <w:left w:val="nil"/>
              <w:bottom w:val="nil"/>
              <w:right w:val="nil"/>
            </w:tcBorders>
            <w:shd w:val="clear" w:color="000000" w:fill="FFFFFF"/>
            <w:noWrap/>
            <w:vAlign w:val="bottom"/>
            <w:hideMark/>
          </w:tcPr>
          <w:p w14:paraId="19C40807"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1074A4CD"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65E2FF0C"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505F6080"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7605F2FA"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5D4750E9"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r w:rsidR="00AD6BFE" w:rsidRPr="00701888" w14:paraId="43BD8A64" w14:textId="77777777" w:rsidTr="00AD6BFE">
        <w:trPr>
          <w:trHeight w:val="330"/>
        </w:trPr>
        <w:tc>
          <w:tcPr>
            <w:tcW w:w="5525" w:type="dxa"/>
            <w:tcBorders>
              <w:top w:val="nil"/>
              <w:left w:val="nil"/>
              <w:bottom w:val="nil"/>
              <w:right w:val="nil"/>
            </w:tcBorders>
            <w:shd w:val="clear" w:color="000000" w:fill="FFFFFF"/>
            <w:vAlign w:val="bottom"/>
            <w:hideMark/>
          </w:tcPr>
          <w:p w14:paraId="29D83A18" w14:textId="0179A5EA"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Fondo y reservas</w:t>
            </w:r>
          </w:p>
        </w:tc>
        <w:tc>
          <w:tcPr>
            <w:tcW w:w="861" w:type="dxa"/>
            <w:tcBorders>
              <w:top w:val="nil"/>
              <w:left w:val="nil"/>
              <w:bottom w:val="nil"/>
              <w:right w:val="nil"/>
            </w:tcBorders>
            <w:shd w:val="clear" w:color="000000" w:fill="FFFFFF"/>
            <w:noWrap/>
            <w:vAlign w:val="bottom"/>
            <w:hideMark/>
          </w:tcPr>
          <w:p w14:paraId="6739751F"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224F0E44"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4DE2FEAD"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185100A0"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7691C26E"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50DCDAAA"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015F6BB7" w14:textId="77777777" w:rsidTr="00AD6BFE">
        <w:trPr>
          <w:trHeight w:val="330"/>
        </w:trPr>
        <w:tc>
          <w:tcPr>
            <w:tcW w:w="5525" w:type="dxa"/>
            <w:tcBorders>
              <w:top w:val="nil"/>
              <w:left w:val="nil"/>
              <w:bottom w:val="nil"/>
              <w:right w:val="nil"/>
            </w:tcBorders>
            <w:shd w:val="clear" w:color="000000" w:fill="FFFFFF"/>
            <w:vAlign w:val="bottom"/>
            <w:hideMark/>
          </w:tcPr>
          <w:p w14:paraId="597307FA" w14:textId="23D6F3E1"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Fondo de reserva, de uso no restringido</w:t>
            </w:r>
          </w:p>
        </w:tc>
        <w:tc>
          <w:tcPr>
            <w:tcW w:w="861" w:type="dxa"/>
            <w:tcBorders>
              <w:top w:val="nil"/>
              <w:left w:val="nil"/>
              <w:bottom w:val="nil"/>
              <w:right w:val="nil"/>
            </w:tcBorders>
            <w:shd w:val="clear" w:color="000000" w:fill="FFFFFF"/>
            <w:noWrap/>
            <w:vAlign w:val="bottom"/>
            <w:hideMark/>
          </w:tcPr>
          <w:p w14:paraId="2D05E002"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11</w:t>
            </w:r>
          </w:p>
        </w:tc>
        <w:tc>
          <w:tcPr>
            <w:tcW w:w="743" w:type="dxa"/>
            <w:tcBorders>
              <w:top w:val="nil"/>
              <w:left w:val="nil"/>
              <w:bottom w:val="nil"/>
              <w:right w:val="nil"/>
            </w:tcBorders>
            <w:shd w:val="clear" w:color="000000" w:fill="FFFFFF"/>
            <w:noWrap/>
            <w:vAlign w:val="bottom"/>
            <w:hideMark/>
          </w:tcPr>
          <w:p w14:paraId="556F6C91"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372</w:t>
            </w:r>
          </w:p>
        </w:tc>
        <w:tc>
          <w:tcPr>
            <w:tcW w:w="280" w:type="dxa"/>
            <w:tcBorders>
              <w:top w:val="nil"/>
              <w:left w:val="nil"/>
              <w:bottom w:val="nil"/>
              <w:right w:val="nil"/>
            </w:tcBorders>
            <w:shd w:val="clear" w:color="000000" w:fill="FFFFFF"/>
            <w:noWrap/>
            <w:vAlign w:val="bottom"/>
            <w:hideMark/>
          </w:tcPr>
          <w:p w14:paraId="2EA4C73A"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027BB9AA"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5F8E6E12" w14:textId="77777777" w:rsidR="00AD6BFE" w:rsidRPr="00701888" w:rsidRDefault="00AD6BFE" w:rsidP="00AD6BFE">
            <w:pPr>
              <w:jc w:val="right"/>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709</w:t>
            </w:r>
          </w:p>
        </w:tc>
        <w:tc>
          <w:tcPr>
            <w:tcW w:w="266" w:type="dxa"/>
            <w:tcBorders>
              <w:top w:val="nil"/>
              <w:left w:val="nil"/>
              <w:bottom w:val="nil"/>
              <w:right w:val="nil"/>
            </w:tcBorders>
            <w:shd w:val="clear" w:color="000000" w:fill="FFFFFF"/>
            <w:noWrap/>
            <w:vAlign w:val="bottom"/>
            <w:hideMark/>
          </w:tcPr>
          <w:p w14:paraId="76219509"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314142C1" w14:textId="77777777" w:rsidTr="00AD6BFE">
        <w:trPr>
          <w:trHeight w:val="330"/>
        </w:trPr>
        <w:tc>
          <w:tcPr>
            <w:tcW w:w="5525" w:type="dxa"/>
            <w:tcBorders>
              <w:top w:val="nil"/>
              <w:left w:val="nil"/>
              <w:bottom w:val="nil"/>
              <w:right w:val="nil"/>
            </w:tcBorders>
            <w:shd w:val="clear" w:color="000000" w:fill="FFFFFF"/>
            <w:vAlign w:val="bottom"/>
            <w:hideMark/>
          </w:tcPr>
          <w:p w14:paraId="44B3FF42" w14:textId="0337701D"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olor w:val="000000"/>
                <w:sz w:val="22"/>
                <w:szCs w:val="22"/>
                <w:lang w:val="es-ES_tradnl" w:eastAsia="en-GB"/>
              </w:rPr>
              <w:t>Proyectos limitados</w:t>
            </w:r>
          </w:p>
        </w:tc>
        <w:tc>
          <w:tcPr>
            <w:tcW w:w="861" w:type="dxa"/>
            <w:tcBorders>
              <w:top w:val="nil"/>
              <w:left w:val="nil"/>
              <w:bottom w:val="nil"/>
              <w:right w:val="nil"/>
            </w:tcBorders>
            <w:shd w:val="clear" w:color="000000" w:fill="FFFFFF"/>
            <w:noWrap/>
            <w:vAlign w:val="bottom"/>
            <w:hideMark/>
          </w:tcPr>
          <w:p w14:paraId="48544E29"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12</w:t>
            </w:r>
          </w:p>
        </w:tc>
        <w:tc>
          <w:tcPr>
            <w:tcW w:w="743" w:type="dxa"/>
            <w:tcBorders>
              <w:top w:val="nil"/>
              <w:left w:val="nil"/>
              <w:bottom w:val="single" w:sz="4" w:space="0" w:color="auto"/>
              <w:right w:val="nil"/>
            </w:tcBorders>
            <w:shd w:val="clear" w:color="000000" w:fill="FFFFFF"/>
            <w:noWrap/>
            <w:vAlign w:val="bottom"/>
            <w:hideMark/>
          </w:tcPr>
          <w:p w14:paraId="65474F43" w14:textId="34451776" w:rsidR="00AD6BFE" w:rsidRPr="00701888" w:rsidRDefault="00943DD3" w:rsidP="00AD6BFE">
            <w:pPr>
              <w:jc w:val="right"/>
              <w:rPr>
                <w:rFonts w:ascii="Calibri" w:eastAsia="Times New Roman" w:hAnsi="Calibri" w:cs="Arial"/>
                <w:sz w:val="22"/>
                <w:szCs w:val="22"/>
                <w:lang w:val="es-ES_tradnl" w:eastAsia="en-GB"/>
              </w:rPr>
            </w:pPr>
            <w:r>
              <w:rPr>
                <w:rFonts w:ascii="Calibri" w:eastAsia="Times New Roman" w:hAnsi="Calibri" w:cs="Arial"/>
                <w:sz w:val="22"/>
                <w:szCs w:val="22"/>
                <w:lang w:val="es-ES_tradnl" w:eastAsia="en-GB"/>
              </w:rPr>
              <w:t>2.</w:t>
            </w:r>
            <w:r w:rsidR="00AD6BFE" w:rsidRPr="00701888">
              <w:rPr>
                <w:rFonts w:ascii="Calibri" w:eastAsia="Times New Roman" w:hAnsi="Calibri" w:cs="Arial"/>
                <w:sz w:val="22"/>
                <w:szCs w:val="22"/>
                <w:lang w:val="es-ES_tradnl" w:eastAsia="en-GB"/>
              </w:rPr>
              <w:t>846</w:t>
            </w:r>
          </w:p>
        </w:tc>
        <w:tc>
          <w:tcPr>
            <w:tcW w:w="280" w:type="dxa"/>
            <w:tcBorders>
              <w:top w:val="nil"/>
              <w:left w:val="nil"/>
              <w:bottom w:val="single" w:sz="4" w:space="0" w:color="auto"/>
              <w:right w:val="nil"/>
            </w:tcBorders>
            <w:shd w:val="clear" w:color="000000" w:fill="FFFFFF"/>
            <w:noWrap/>
            <w:vAlign w:val="bottom"/>
            <w:hideMark/>
          </w:tcPr>
          <w:p w14:paraId="7BB8AB68"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280" w:type="dxa"/>
            <w:tcBorders>
              <w:top w:val="nil"/>
              <w:left w:val="nil"/>
              <w:bottom w:val="single" w:sz="4" w:space="0" w:color="auto"/>
              <w:right w:val="nil"/>
            </w:tcBorders>
            <w:shd w:val="clear" w:color="000000" w:fill="D9D9D9"/>
            <w:noWrap/>
            <w:vAlign w:val="bottom"/>
            <w:hideMark/>
          </w:tcPr>
          <w:p w14:paraId="7694AE76"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1195" w:type="dxa"/>
            <w:tcBorders>
              <w:top w:val="nil"/>
              <w:left w:val="nil"/>
              <w:bottom w:val="single" w:sz="4" w:space="0" w:color="auto"/>
              <w:right w:val="nil"/>
            </w:tcBorders>
            <w:shd w:val="clear" w:color="000000" w:fill="FFFFFF"/>
            <w:noWrap/>
            <w:vAlign w:val="bottom"/>
            <w:hideMark/>
          </w:tcPr>
          <w:p w14:paraId="40F5E478" w14:textId="70BE5E8C" w:rsidR="00AD6BFE" w:rsidRPr="00701888" w:rsidRDefault="00943DD3" w:rsidP="00AD6BFE">
            <w:pPr>
              <w:jc w:val="right"/>
              <w:rPr>
                <w:rFonts w:ascii="Calibri" w:eastAsia="Times New Roman" w:hAnsi="Calibri" w:cs="Arial"/>
                <w:sz w:val="22"/>
                <w:szCs w:val="22"/>
                <w:lang w:val="es-ES_tradnl" w:eastAsia="en-GB"/>
              </w:rPr>
            </w:pPr>
            <w:r>
              <w:rPr>
                <w:rFonts w:ascii="Calibri" w:eastAsia="Times New Roman" w:hAnsi="Calibri" w:cs="Arial"/>
                <w:sz w:val="22"/>
                <w:szCs w:val="22"/>
                <w:lang w:val="es-ES_tradnl" w:eastAsia="en-GB"/>
              </w:rPr>
              <w:t>4.</w:t>
            </w:r>
            <w:r w:rsidR="00AD6BFE" w:rsidRPr="00701888">
              <w:rPr>
                <w:rFonts w:ascii="Calibri" w:eastAsia="Times New Roman" w:hAnsi="Calibri" w:cs="Arial"/>
                <w:sz w:val="22"/>
                <w:szCs w:val="22"/>
                <w:lang w:val="es-ES_tradnl" w:eastAsia="en-GB"/>
              </w:rPr>
              <w:t>131</w:t>
            </w:r>
          </w:p>
        </w:tc>
        <w:tc>
          <w:tcPr>
            <w:tcW w:w="266" w:type="dxa"/>
            <w:tcBorders>
              <w:top w:val="nil"/>
              <w:left w:val="nil"/>
              <w:bottom w:val="nil"/>
              <w:right w:val="nil"/>
            </w:tcBorders>
            <w:shd w:val="clear" w:color="000000" w:fill="FFFFFF"/>
            <w:noWrap/>
            <w:vAlign w:val="bottom"/>
            <w:hideMark/>
          </w:tcPr>
          <w:p w14:paraId="344AB652" w14:textId="77777777" w:rsidR="00AD6BFE" w:rsidRPr="00701888" w:rsidRDefault="00AD6BFE" w:rsidP="00AD6BFE">
            <w:pP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r>
      <w:tr w:rsidR="00AD6BFE" w:rsidRPr="00701888" w14:paraId="34DF59A6" w14:textId="77777777" w:rsidTr="00AD6BFE">
        <w:trPr>
          <w:trHeight w:val="336"/>
        </w:trPr>
        <w:tc>
          <w:tcPr>
            <w:tcW w:w="5525" w:type="dxa"/>
            <w:tcBorders>
              <w:top w:val="nil"/>
              <w:left w:val="nil"/>
              <w:bottom w:val="nil"/>
              <w:right w:val="nil"/>
            </w:tcBorders>
            <w:shd w:val="clear" w:color="000000" w:fill="FFFFFF"/>
            <w:vAlign w:val="bottom"/>
            <w:hideMark/>
          </w:tcPr>
          <w:p w14:paraId="2FAAAD39" w14:textId="7DCE8EB8" w:rsidR="00AD6BFE" w:rsidRPr="00701888" w:rsidRDefault="00AD6BFE"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Total de fondo y reservas</w:t>
            </w:r>
          </w:p>
        </w:tc>
        <w:tc>
          <w:tcPr>
            <w:tcW w:w="861" w:type="dxa"/>
            <w:tcBorders>
              <w:top w:val="nil"/>
              <w:left w:val="nil"/>
              <w:bottom w:val="nil"/>
              <w:right w:val="nil"/>
            </w:tcBorders>
            <w:shd w:val="clear" w:color="000000" w:fill="FFFFFF"/>
            <w:noWrap/>
            <w:vAlign w:val="bottom"/>
            <w:hideMark/>
          </w:tcPr>
          <w:p w14:paraId="41C425A5"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1CE4FECA" w14:textId="667F52B9" w:rsidR="00AD6BFE" w:rsidRPr="00701888" w:rsidRDefault="00943DD3"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3.</w:t>
            </w:r>
            <w:r w:rsidR="00AD6BFE" w:rsidRPr="00701888">
              <w:rPr>
                <w:rFonts w:ascii="Calibri" w:eastAsia="Times New Roman" w:hAnsi="Calibri" w:cs="Arial"/>
                <w:b/>
                <w:bCs/>
                <w:sz w:val="22"/>
                <w:szCs w:val="22"/>
                <w:lang w:val="es-ES_tradnl" w:eastAsia="en-GB"/>
              </w:rPr>
              <w:t>218</w:t>
            </w:r>
          </w:p>
        </w:tc>
        <w:tc>
          <w:tcPr>
            <w:tcW w:w="280" w:type="dxa"/>
            <w:tcBorders>
              <w:top w:val="nil"/>
              <w:left w:val="nil"/>
              <w:bottom w:val="nil"/>
              <w:right w:val="nil"/>
            </w:tcBorders>
            <w:shd w:val="clear" w:color="000000" w:fill="FFFFFF"/>
            <w:noWrap/>
            <w:vAlign w:val="bottom"/>
            <w:hideMark/>
          </w:tcPr>
          <w:p w14:paraId="180F48AD"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1D63DEA8"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1B61834A" w14:textId="29C2BD22" w:rsidR="00AD6BFE" w:rsidRPr="00701888" w:rsidRDefault="00943DD3"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4.</w:t>
            </w:r>
            <w:r w:rsidR="00AD6BFE" w:rsidRPr="00701888">
              <w:rPr>
                <w:rFonts w:ascii="Calibri" w:eastAsia="Times New Roman" w:hAnsi="Calibri" w:cs="Arial"/>
                <w:b/>
                <w:bCs/>
                <w:sz w:val="22"/>
                <w:szCs w:val="22"/>
                <w:lang w:val="es-ES_tradnl" w:eastAsia="en-GB"/>
              </w:rPr>
              <w:t>841</w:t>
            </w:r>
          </w:p>
        </w:tc>
        <w:tc>
          <w:tcPr>
            <w:tcW w:w="266" w:type="dxa"/>
            <w:tcBorders>
              <w:top w:val="nil"/>
              <w:left w:val="nil"/>
              <w:bottom w:val="nil"/>
              <w:right w:val="nil"/>
            </w:tcBorders>
            <w:shd w:val="clear" w:color="000000" w:fill="FFFFFF"/>
            <w:noWrap/>
            <w:vAlign w:val="bottom"/>
            <w:hideMark/>
          </w:tcPr>
          <w:p w14:paraId="06F66077"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r w:rsidR="00AD6BFE" w:rsidRPr="00701888" w14:paraId="5FE0E8E4" w14:textId="77777777" w:rsidTr="00AD6BFE">
        <w:trPr>
          <w:trHeight w:val="288"/>
        </w:trPr>
        <w:tc>
          <w:tcPr>
            <w:tcW w:w="5525" w:type="dxa"/>
            <w:tcBorders>
              <w:top w:val="nil"/>
              <w:left w:val="nil"/>
              <w:bottom w:val="nil"/>
              <w:right w:val="nil"/>
            </w:tcBorders>
            <w:shd w:val="clear" w:color="000000" w:fill="FFFFFF"/>
            <w:vAlign w:val="bottom"/>
            <w:hideMark/>
          </w:tcPr>
          <w:p w14:paraId="777EF36B" w14:textId="4D619597" w:rsidR="00AD6BFE" w:rsidRPr="00701888" w:rsidRDefault="00AD6BFE" w:rsidP="00B43191">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 </w:t>
            </w:r>
          </w:p>
        </w:tc>
        <w:tc>
          <w:tcPr>
            <w:tcW w:w="861" w:type="dxa"/>
            <w:tcBorders>
              <w:top w:val="nil"/>
              <w:left w:val="nil"/>
              <w:bottom w:val="nil"/>
              <w:right w:val="nil"/>
            </w:tcBorders>
            <w:shd w:val="clear" w:color="000000" w:fill="FFFFFF"/>
            <w:noWrap/>
            <w:vAlign w:val="bottom"/>
            <w:hideMark/>
          </w:tcPr>
          <w:p w14:paraId="5C4D3FF6"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nil"/>
              <w:left w:val="nil"/>
              <w:bottom w:val="nil"/>
              <w:right w:val="nil"/>
            </w:tcBorders>
            <w:shd w:val="clear" w:color="000000" w:fill="FFFFFF"/>
            <w:noWrap/>
            <w:vAlign w:val="bottom"/>
            <w:hideMark/>
          </w:tcPr>
          <w:p w14:paraId="1A9BB662"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FFFFFF"/>
            <w:noWrap/>
            <w:vAlign w:val="bottom"/>
            <w:hideMark/>
          </w:tcPr>
          <w:p w14:paraId="62B0844C"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nil"/>
              <w:left w:val="nil"/>
              <w:bottom w:val="nil"/>
              <w:right w:val="nil"/>
            </w:tcBorders>
            <w:shd w:val="clear" w:color="000000" w:fill="D9D9D9"/>
            <w:noWrap/>
            <w:vAlign w:val="bottom"/>
            <w:hideMark/>
          </w:tcPr>
          <w:p w14:paraId="28D04861"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nil"/>
              <w:left w:val="nil"/>
              <w:bottom w:val="nil"/>
              <w:right w:val="nil"/>
            </w:tcBorders>
            <w:shd w:val="clear" w:color="000000" w:fill="FFFFFF"/>
            <w:noWrap/>
            <w:vAlign w:val="bottom"/>
            <w:hideMark/>
          </w:tcPr>
          <w:p w14:paraId="597572E0"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66" w:type="dxa"/>
            <w:tcBorders>
              <w:top w:val="nil"/>
              <w:left w:val="nil"/>
              <w:bottom w:val="nil"/>
              <w:right w:val="nil"/>
            </w:tcBorders>
            <w:shd w:val="clear" w:color="000000" w:fill="FFFFFF"/>
            <w:noWrap/>
            <w:vAlign w:val="bottom"/>
            <w:hideMark/>
          </w:tcPr>
          <w:p w14:paraId="09C4D9B7"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r w:rsidR="00AD6BFE" w:rsidRPr="00701888" w14:paraId="0AF4050F" w14:textId="77777777" w:rsidTr="00AD6BFE">
        <w:trPr>
          <w:trHeight w:val="456"/>
        </w:trPr>
        <w:tc>
          <w:tcPr>
            <w:tcW w:w="5525" w:type="dxa"/>
            <w:tcBorders>
              <w:top w:val="nil"/>
              <w:left w:val="nil"/>
              <w:bottom w:val="nil"/>
              <w:right w:val="nil"/>
            </w:tcBorders>
            <w:shd w:val="clear" w:color="000000" w:fill="FFFFFF"/>
            <w:vAlign w:val="bottom"/>
            <w:hideMark/>
          </w:tcPr>
          <w:p w14:paraId="5253617F" w14:textId="51F4F354" w:rsidR="00AD6BFE" w:rsidRPr="00701888" w:rsidRDefault="00B43191" w:rsidP="00AD6BFE">
            <w:pPr>
              <w:rPr>
                <w:rFonts w:ascii="Calibri" w:eastAsia="Times New Roman" w:hAnsi="Calibri" w:cs="Arial"/>
                <w:b/>
                <w:bCs/>
                <w:sz w:val="22"/>
                <w:szCs w:val="22"/>
                <w:lang w:val="es-ES_tradnl" w:eastAsia="en-GB"/>
              </w:rPr>
            </w:pPr>
            <w:r w:rsidRPr="00701888">
              <w:rPr>
                <w:rFonts w:ascii="Arial" w:eastAsia="Times New Roman" w:hAnsi="Arial" w:cs="Arial"/>
                <w:b/>
                <w:bCs/>
                <w:sz w:val="20"/>
                <w:szCs w:val="20"/>
                <w:lang w:val="es-ES_tradnl" w:eastAsia="en-GB"/>
              </w:rPr>
              <w:t>TOTAL DE PASIVO Y SALDOS DE FONDOS</w:t>
            </w:r>
          </w:p>
        </w:tc>
        <w:tc>
          <w:tcPr>
            <w:tcW w:w="861" w:type="dxa"/>
            <w:tcBorders>
              <w:top w:val="nil"/>
              <w:left w:val="nil"/>
              <w:bottom w:val="nil"/>
              <w:right w:val="nil"/>
            </w:tcBorders>
            <w:shd w:val="clear" w:color="000000" w:fill="FFFFFF"/>
            <w:noWrap/>
            <w:vAlign w:val="center"/>
            <w:hideMark/>
          </w:tcPr>
          <w:p w14:paraId="63D029D7" w14:textId="77777777" w:rsidR="00AD6BFE" w:rsidRPr="00701888" w:rsidRDefault="00AD6BFE" w:rsidP="00AD6BFE">
            <w:pPr>
              <w:jc w:val="center"/>
              <w:rPr>
                <w:rFonts w:ascii="Calibri" w:eastAsia="Times New Roman" w:hAnsi="Calibri" w:cs="Arial"/>
                <w:sz w:val="22"/>
                <w:szCs w:val="22"/>
                <w:lang w:val="es-ES_tradnl" w:eastAsia="en-GB"/>
              </w:rPr>
            </w:pPr>
            <w:r w:rsidRPr="00701888">
              <w:rPr>
                <w:rFonts w:ascii="Calibri" w:eastAsia="Times New Roman" w:hAnsi="Calibri" w:cs="Arial"/>
                <w:sz w:val="22"/>
                <w:szCs w:val="22"/>
                <w:lang w:val="es-ES_tradnl" w:eastAsia="en-GB"/>
              </w:rPr>
              <w:t> </w:t>
            </w:r>
          </w:p>
        </w:tc>
        <w:tc>
          <w:tcPr>
            <w:tcW w:w="743" w:type="dxa"/>
            <w:tcBorders>
              <w:top w:val="single" w:sz="4" w:space="0" w:color="auto"/>
              <w:left w:val="nil"/>
              <w:bottom w:val="single" w:sz="4" w:space="0" w:color="auto"/>
              <w:right w:val="nil"/>
            </w:tcBorders>
            <w:shd w:val="clear" w:color="000000" w:fill="C5D9F1"/>
            <w:noWrap/>
            <w:vAlign w:val="center"/>
            <w:hideMark/>
          </w:tcPr>
          <w:p w14:paraId="43E1FBBD" w14:textId="2842EE88" w:rsidR="00AD6BFE" w:rsidRPr="00701888" w:rsidRDefault="00943DD3"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5.</w:t>
            </w:r>
            <w:r w:rsidR="00AD6BFE" w:rsidRPr="00701888">
              <w:rPr>
                <w:rFonts w:ascii="Calibri" w:eastAsia="Times New Roman" w:hAnsi="Calibri" w:cs="Arial"/>
                <w:b/>
                <w:bCs/>
                <w:sz w:val="22"/>
                <w:szCs w:val="22"/>
                <w:lang w:val="es-ES_tradnl" w:eastAsia="en-GB"/>
              </w:rPr>
              <w:t>432</w:t>
            </w:r>
          </w:p>
        </w:tc>
        <w:tc>
          <w:tcPr>
            <w:tcW w:w="280" w:type="dxa"/>
            <w:tcBorders>
              <w:top w:val="single" w:sz="4" w:space="0" w:color="auto"/>
              <w:left w:val="nil"/>
              <w:bottom w:val="single" w:sz="4" w:space="0" w:color="auto"/>
              <w:right w:val="nil"/>
            </w:tcBorders>
            <w:shd w:val="clear" w:color="000000" w:fill="C5D9F1"/>
            <w:noWrap/>
            <w:vAlign w:val="center"/>
            <w:hideMark/>
          </w:tcPr>
          <w:p w14:paraId="4F836B4F"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280" w:type="dxa"/>
            <w:tcBorders>
              <w:top w:val="single" w:sz="4" w:space="0" w:color="auto"/>
              <w:left w:val="nil"/>
              <w:bottom w:val="single" w:sz="4" w:space="0" w:color="auto"/>
              <w:right w:val="nil"/>
            </w:tcBorders>
            <w:shd w:val="clear" w:color="000000" w:fill="D9D9D9"/>
            <w:noWrap/>
            <w:vAlign w:val="center"/>
            <w:hideMark/>
          </w:tcPr>
          <w:p w14:paraId="7FB893E1"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c>
          <w:tcPr>
            <w:tcW w:w="1195" w:type="dxa"/>
            <w:tcBorders>
              <w:top w:val="single" w:sz="4" w:space="0" w:color="auto"/>
              <w:left w:val="nil"/>
              <w:bottom w:val="single" w:sz="4" w:space="0" w:color="auto"/>
              <w:right w:val="nil"/>
            </w:tcBorders>
            <w:shd w:val="clear" w:color="000000" w:fill="EBF1DE"/>
            <w:noWrap/>
            <w:vAlign w:val="center"/>
            <w:hideMark/>
          </w:tcPr>
          <w:p w14:paraId="670E2B4D" w14:textId="7C8C96CC" w:rsidR="00AD6BFE" w:rsidRPr="00701888" w:rsidRDefault="00943DD3" w:rsidP="00AD6BFE">
            <w:pPr>
              <w:jc w:val="right"/>
              <w:rPr>
                <w:rFonts w:ascii="Calibri" w:eastAsia="Times New Roman" w:hAnsi="Calibri" w:cs="Arial"/>
                <w:b/>
                <w:bCs/>
                <w:sz w:val="22"/>
                <w:szCs w:val="22"/>
                <w:lang w:val="es-ES_tradnl" w:eastAsia="en-GB"/>
              </w:rPr>
            </w:pPr>
            <w:r>
              <w:rPr>
                <w:rFonts w:ascii="Calibri" w:eastAsia="Times New Roman" w:hAnsi="Calibri" w:cs="Arial"/>
                <w:b/>
                <w:bCs/>
                <w:sz w:val="22"/>
                <w:szCs w:val="22"/>
                <w:lang w:val="es-ES_tradnl" w:eastAsia="en-GB"/>
              </w:rPr>
              <w:t>6.</w:t>
            </w:r>
            <w:r w:rsidR="00AD6BFE" w:rsidRPr="00701888">
              <w:rPr>
                <w:rFonts w:ascii="Calibri" w:eastAsia="Times New Roman" w:hAnsi="Calibri" w:cs="Arial"/>
                <w:b/>
                <w:bCs/>
                <w:sz w:val="22"/>
                <w:szCs w:val="22"/>
                <w:lang w:val="es-ES_tradnl" w:eastAsia="en-GB"/>
              </w:rPr>
              <w:t>954</w:t>
            </w:r>
          </w:p>
        </w:tc>
        <w:tc>
          <w:tcPr>
            <w:tcW w:w="266" w:type="dxa"/>
            <w:tcBorders>
              <w:top w:val="single" w:sz="4" w:space="0" w:color="auto"/>
              <w:left w:val="nil"/>
              <w:bottom w:val="single" w:sz="4" w:space="0" w:color="auto"/>
              <w:right w:val="nil"/>
            </w:tcBorders>
            <w:shd w:val="clear" w:color="000000" w:fill="EBF1DE"/>
            <w:noWrap/>
            <w:vAlign w:val="center"/>
            <w:hideMark/>
          </w:tcPr>
          <w:p w14:paraId="25A01FE3" w14:textId="77777777" w:rsidR="00AD6BFE" w:rsidRPr="00701888" w:rsidRDefault="00AD6BFE" w:rsidP="00AD6BFE">
            <w:pPr>
              <w:rPr>
                <w:rFonts w:ascii="Calibri" w:eastAsia="Times New Roman" w:hAnsi="Calibri" w:cs="Arial"/>
                <w:b/>
                <w:bCs/>
                <w:sz w:val="22"/>
                <w:szCs w:val="22"/>
                <w:lang w:val="es-ES_tradnl" w:eastAsia="en-GB"/>
              </w:rPr>
            </w:pPr>
            <w:r w:rsidRPr="00701888">
              <w:rPr>
                <w:rFonts w:ascii="Calibri" w:eastAsia="Times New Roman" w:hAnsi="Calibri" w:cs="Arial"/>
                <w:b/>
                <w:bCs/>
                <w:sz w:val="22"/>
                <w:szCs w:val="22"/>
                <w:lang w:val="es-ES_tradnl" w:eastAsia="en-GB"/>
              </w:rPr>
              <w:t> </w:t>
            </w:r>
          </w:p>
        </w:tc>
      </w:tr>
    </w:tbl>
    <w:p w14:paraId="3C717BC3" w14:textId="0A499CAE" w:rsidR="002C53F9" w:rsidRPr="00701888" w:rsidRDefault="00C76A9F">
      <w:pPr>
        <w:rPr>
          <w:rFonts w:asciiTheme="minorHAnsi" w:hAnsiTheme="minorHAnsi" w:cs="Calibri"/>
          <w:b/>
          <w:lang w:val="es-ES_tradnl"/>
        </w:rPr>
      </w:pPr>
      <w:r w:rsidRPr="00C76A9F">
        <w:rPr>
          <w:noProof/>
          <w:lang w:val="en-GB" w:eastAsia="en-GB"/>
        </w:rPr>
        <w:lastRenderedPageBreak/>
        <w:drawing>
          <wp:inline distT="0" distB="0" distL="0" distR="0" wp14:anchorId="4A65345E" wp14:editId="59896331">
            <wp:extent cx="5732145" cy="7613096"/>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7613096"/>
                    </a:xfrm>
                    <a:prstGeom prst="rect">
                      <a:avLst/>
                    </a:prstGeom>
                    <a:noFill/>
                    <a:ln>
                      <a:noFill/>
                    </a:ln>
                  </pic:spPr>
                </pic:pic>
              </a:graphicData>
            </a:graphic>
          </wp:inline>
        </w:drawing>
      </w:r>
      <w:r w:rsidR="002C53F9" w:rsidRPr="00701888">
        <w:rPr>
          <w:rFonts w:asciiTheme="minorHAnsi" w:hAnsiTheme="minorHAnsi" w:cs="Calibri"/>
          <w:b/>
          <w:lang w:val="es-ES_tradnl"/>
        </w:rPr>
        <w:br w:type="page"/>
      </w:r>
    </w:p>
    <w:p w14:paraId="29AD66D9" w14:textId="77777777" w:rsidR="00472031" w:rsidRDefault="00701888" w:rsidP="000D6E13">
      <w:pPr>
        <w:rPr>
          <w:rFonts w:ascii="Calibri" w:hAnsi="Calibri" w:cs="Calibri"/>
          <w:b/>
          <w:lang w:val="es-ES_tradnl"/>
        </w:rPr>
      </w:pPr>
      <w:r>
        <w:rPr>
          <w:rFonts w:ascii="Calibri" w:hAnsi="Calibri" w:cs="Calibri"/>
          <w:b/>
          <w:lang w:val="es-ES_tradnl"/>
        </w:rPr>
        <w:lastRenderedPageBreak/>
        <w:t>An</w:t>
      </w:r>
      <w:r w:rsidR="000D6E13" w:rsidRPr="00701888">
        <w:rPr>
          <w:rFonts w:ascii="Calibri" w:hAnsi="Calibri" w:cs="Calibri"/>
          <w:b/>
          <w:lang w:val="es-ES_tradnl"/>
        </w:rPr>
        <w:t>ex</w:t>
      </w:r>
      <w:r>
        <w:rPr>
          <w:rFonts w:ascii="Calibri" w:hAnsi="Calibri" w:cs="Calibri"/>
          <w:b/>
          <w:lang w:val="es-ES_tradnl"/>
        </w:rPr>
        <w:t>o</w:t>
      </w:r>
      <w:r w:rsidR="000D6E13" w:rsidRPr="00701888">
        <w:rPr>
          <w:rFonts w:ascii="Calibri" w:hAnsi="Calibri" w:cs="Calibri"/>
          <w:b/>
          <w:lang w:val="es-ES_tradnl"/>
        </w:rPr>
        <w:t xml:space="preserve"> 1 </w:t>
      </w:r>
    </w:p>
    <w:p w14:paraId="20AE9117" w14:textId="7C4F4A6D" w:rsidR="000D6E13" w:rsidRPr="00701888" w:rsidRDefault="000D6E13" w:rsidP="000D6E13">
      <w:pPr>
        <w:rPr>
          <w:rFonts w:ascii="Calibri" w:hAnsi="Calibri" w:cs="Calibri"/>
          <w:b/>
          <w:lang w:val="es-ES_tradnl"/>
        </w:rPr>
      </w:pPr>
      <w:r w:rsidRPr="00701888">
        <w:rPr>
          <w:rFonts w:ascii="Calibri" w:hAnsi="Calibri" w:cs="Calibri"/>
          <w:b/>
          <w:lang w:val="es-ES_tradnl"/>
        </w:rPr>
        <w:t>Apéndice A: Pro</w:t>
      </w:r>
      <w:r w:rsidR="007F1C75" w:rsidRPr="00701888">
        <w:rPr>
          <w:rFonts w:ascii="Calibri" w:hAnsi="Calibri" w:cs="Calibri"/>
          <w:b/>
          <w:lang w:val="es-ES_tradnl"/>
        </w:rPr>
        <w:t>yectos financiados con fondos r</w:t>
      </w:r>
      <w:r w:rsidRPr="00701888">
        <w:rPr>
          <w:rFonts w:ascii="Calibri" w:hAnsi="Calibri" w:cs="Calibri"/>
          <w:b/>
          <w:lang w:val="es-ES_tradnl"/>
        </w:rPr>
        <w:t xml:space="preserve">estringidos, </w:t>
      </w:r>
      <w:r w:rsidR="00B84E9B" w:rsidRPr="00701888">
        <w:rPr>
          <w:rFonts w:ascii="Calibri" w:hAnsi="Calibri" w:cs="Calibri"/>
          <w:b/>
          <w:lang w:val="es-ES_tradnl"/>
        </w:rPr>
        <w:t xml:space="preserve">desde el </w:t>
      </w:r>
      <w:r w:rsidRPr="00701888">
        <w:rPr>
          <w:rFonts w:ascii="Calibri" w:hAnsi="Calibri" w:cs="Calibri"/>
          <w:b/>
          <w:lang w:val="es-ES_tradnl"/>
        </w:rPr>
        <w:t>1 de enero al 31 de diciembre</w:t>
      </w:r>
      <w:r w:rsidR="00B84E9B" w:rsidRPr="00701888">
        <w:rPr>
          <w:rFonts w:ascii="Calibri" w:hAnsi="Calibri" w:cs="Calibri"/>
          <w:b/>
          <w:lang w:val="es-ES_tradnl"/>
        </w:rPr>
        <w:t xml:space="preserve"> de 2015 (con errores por redondeo) </w:t>
      </w:r>
    </w:p>
    <w:p w14:paraId="68A5B6D0" w14:textId="77777777" w:rsidR="002C53F9" w:rsidRPr="00701888" w:rsidRDefault="002C53F9">
      <w:pPr>
        <w:rPr>
          <w:rFonts w:asciiTheme="minorHAnsi" w:hAnsiTheme="minorHAnsi" w:cs="Calibri"/>
          <w:b/>
          <w:lang w:val="es-ES_tradnl"/>
        </w:rPr>
      </w:pPr>
    </w:p>
    <w:p w14:paraId="6400D5AD" w14:textId="52D4199D" w:rsidR="000D6E13" w:rsidRPr="00701888" w:rsidRDefault="000D6E13">
      <w:pPr>
        <w:rPr>
          <w:rFonts w:asciiTheme="minorHAnsi" w:hAnsiTheme="minorHAnsi" w:cs="Calibri"/>
          <w:b/>
          <w:lang w:val="es-ES_tradnl"/>
        </w:rPr>
      </w:pPr>
      <w:r w:rsidRPr="00701888">
        <w:rPr>
          <w:noProof/>
          <w:lang w:val="en-GB" w:eastAsia="en-GB"/>
        </w:rPr>
        <w:drawing>
          <wp:inline distT="0" distB="0" distL="0" distR="0" wp14:anchorId="2DE77EA4" wp14:editId="70752854">
            <wp:extent cx="5492653" cy="80845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9761" cy="8080251"/>
                    </a:xfrm>
                    <a:prstGeom prst="rect">
                      <a:avLst/>
                    </a:prstGeom>
                    <a:noFill/>
                    <a:ln>
                      <a:noFill/>
                    </a:ln>
                  </pic:spPr>
                </pic:pic>
              </a:graphicData>
            </a:graphic>
          </wp:inline>
        </w:drawing>
      </w:r>
    </w:p>
    <w:p w14:paraId="1C0BB37C" w14:textId="2355C716" w:rsidR="00AF43EA" w:rsidRPr="00701888" w:rsidRDefault="000D6E13" w:rsidP="00D2130B">
      <w:pPr>
        <w:rPr>
          <w:rFonts w:asciiTheme="minorHAnsi" w:hAnsiTheme="minorHAnsi" w:cs="Calibri"/>
          <w:b/>
          <w:lang w:val="es-ES_tradnl"/>
        </w:rPr>
        <w:sectPr w:rsidR="00AF43EA" w:rsidRPr="00701888" w:rsidSect="002524D9">
          <w:footerReference w:type="default" r:id="rId11"/>
          <w:pgSz w:w="11907" w:h="16840" w:code="9"/>
          <w:pgMar w:top="1440" w:right="1440" w:bottom="1440" w:left="1440" w:header="709" w:footer="720" w:gutter="0"/>
          <w:cols w:space="720"/>
          <w:titlePg/>
          <w:docGrid w:linePitch="360"/>
        </w:sectPr>
      </w:pPr>
      <w:r w:rsidRPr="00701888">
        <w:rPr>
          <w:noProof/>
          <w:lang w:val="en-GB" w:eastAsia="en-GB"/>
        </w:rPr>
        <w:lastRenderedPageBreak/>
        <w:drawing>
          <wp:inline distT="0" distB="0" distL="0" distR="0" wp14:anchorId="2CC35110" wp14:editId="022141EE">
            <wp:extent cx="5559683" cy="6834586"/>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7686" cy="6844424"/>
                    </a:xfrm>
                    <a:prstGeom prst="rect">
                      <a:avLst/>
                    </a:prstGeom>
                    <a:noFill/>
                    <a:ln>
                      <a:noFill/>
                    </a:ln>
                  </pic:spPr>
                </pic:pic>
              </a:graphicData>
            </a:graphic>
          </wp:inline>
        </w:drawing>
      </w:r>
      <w:r w:rsidR="00AF43EA" w:rsidRPr="00701888">
        <w:rPr>
          <w:rFonts w:asciiTheme="minorHAnsi" w:hAnsiTheme="minorHAnsi" w:cs="Calibri"/>
          <w:b/>
          <w:lang w:val="es-ES_tradnl"/>
        </w:rPr>
        <w:br w:type="page"/>
      </w:r>
    </w:p>
    <w:p w14:paraId="2C0476B1" w14:textId="77777777" w:rsidR="007F5530" w:rsidRDefault="00D2130B" w:rsidP="00D2130B">
      <w:pPr>
        <w:rPr>
          <w:rFonts w:asciiTheme="minorHAnsi" w:hAnsiTheme="minorHAnsi" w:cs="Calibri"/>
          <w:b/>
          <w:sz w:val="22"/>
          <w:szCs w:val="22"/>
          <w:lang w:val="es-ES_tradnl"/>
        </w:rPr>
      </w:pPr>
      <w:r w:rsidRPr="00582BD1">
        <w:rPr>
          <w:rFonts w:asciiTheme="minorHAnsi" w:hAnsiTheme="minorHAnsi" w:cs="Calibri"/>
          <w:b/>
          <w:sz w:val="22"/>
          <w:szCs w:val="22"/>
          <w:lang w:val="es-ES_tradnl"/>
        </w:rPr>
        <w:lastRenderedPageBreak/>
        <w:t>Anex</w:t>
      </w:r>
      <w:r w:rsidR="00795AE0" w:rsidRPr="00582BD1">
        <w:rPr>
          <w:rFonts w:asciiTheme="minorHAnsi" w:hAnsiTheme="minorHAnsi" w:cs="Calibri"/>
          <w:b/>
          <w:sz w:val="22"/>
          <w:szCs w:val="22"/>
          <w:lang w:val="es-ES_tradnl"/>
        </w:rPr>
        <w:t>o</w:t>
      </w:r>
      <w:r w:rsidR="00582BD1">
        <w:rPr>
          <w:rFonts w:asciiTheme="minorHAnsi" w:hAnsiTheme="minorHAnsi" w:cs="Calibri"/>
          <w:b/>
          <w:sz w:val="22"/>
          <w:szCs w:val="22"/>
          <w:lang w:val="es-ES_tradnl"/>
        </w:rPr>
        <w:t xml:space="preserve"> 2</w:t>
      </w:r>
      <w:r w:rsidR="007F5530">
        <w:rPr>
          <w:rFonts w:asciiTheme="minorHAnsi" w:hAnsiTheme="minorHAnsi" w:cs="Calibri"/>
          <w:b/>
          <w:sz w:val="22"/>
          <w:szCs w:val="22"/>
          <w:lang w:val="es-ES_tradnl"/>
        </w:rPr>
        <w:t xml:space="preserve"> </w:t>
      </w:r>
    </w:p>
    <w:p w14:paraId="5C3A733F" w14:textId="424A3AC5" w:rsidR="00D2130B" w:rsidRPr="00582BD1" w:rsidRDefault="00CF1C21" w:rsidP="00D2130B">
      <w:pPr>
        <w:rPr>
          <w:rFonts w:asciiTheme="minorHAnsi" w:hAnsiTheme="minorHAnsi" w:cs="Calibri"/>
          <w:b/>
          <w:sz w:val="22"/>
          <w:szCs w:val="22"/>
          <w:lang w:val="es-ES_tradnl"/>
        </w:rPr>
      </w:pPr>
      <w:r w:rsidRPr="00582BD1">
        <w:rPr>
          <w:rFonts w:asciiTheme="minorHAnsi" w:hAnsiTheme="minorHAnsi" w:cs="Calibri"/>
          <w:b/>
          <w:sz w:val="22"/>
          <w:szCs w:val="22"/>
          <w:lang w:val="es-ES_tradnl"/>
        </w:rPr>
        <w:t xml:space="preserve">Resultados del presupuesto básico de </w:t>
      </w:r>
      <w:r w:rsidR="00D2130B" w:rsidRPr="00582BD1">
        <w:rPr>
          <w:rFonts w:ascii="Calibri" w:hAnsi="Calibri" w:cs="Calibri"/>
          <w:b/>
          <w:sz w:val="22"/>
          <w:szCs w:val="22"/>
          <w:lang w:val="es-ES_tradnl"/>
        </w:rPr>
        <w:t>2015</w:t>
      </w:r>
      <w:r w:rsidR="0044022D" w:rsidRPr="00582BD1">
        <w:rPr>
          <w:rFonts w:ascii="Calibri" w:hAnsi="Calibri" w:cs="Calibri"/>
          <w:b/>
          <w:sz w:val="22"/>
          <w:szCs w:val="22"/>
          <w:lang w:val="es-ES_tradnl"/>
        </w:rPr>
        <w:t xml:space="preserve">, </w:t>
      </w:r>
      <w:r w:rsidRPr="00582BD1">
        <w:rPr>
          <w:rFonts w:ascii="Calibri" w:hAnsi="Calibri" w:cs="Calibri"/>
          <w:b/>
          <w:sz w:val="22"/>
          <w:szCs w:val="22"/>
          <w:lang w:val="es-ES_tradnl"/>
        </w:rPr>
        <w:t>presupuesto aprobado por la 48ª reunión del C</w:t>
      </w:r>
      <w:r w:rsidR="00472031" w:rsidRPr="00582BD1">
        <w:rPr>
          <w:rFonts w:ascii="Calibri" w:hAnsi="Calibri" w:cs="Calibri"/>
          <w:b/>
          <w:sz w:val="22"/>
          <w:szCs w:val="22"/>
          <w:lang w:val="es-ES_tradnl"/>
        </w:rPr>
        <w:t xml:space="preserve">omité </w:t>
      </w:r>
      <w:r w:rsidRPr="00582BD1">
        <w:rPr>
          <w:rFonts w:ascii="Calibri" w:hAnsi="Calibri" w:cs="Calibri"/>
          <w:b/>
          <w:sz w:val="22"/>
          <w:szCs w:val="22"/>
          <w:lang w:val="es-ES_tradnl"/>
        </w:rPr>
        <w:t>P</w:t>
      </w:r>
      <w:r w:rsidR="00472031" w:rsidRPr="00582BD1">
        <w:rPr>
          <w:rFonts w:ascii="Calibri" w:hAnsi="Calibri" w:cs="Calibri"/>
          <w:b/>
          <w:sz w:val="22"/>
          <w:szCs w:val="22"/>
          <w:lang w:val="es-ES_tradnl"/>
        </w:rPr>
        <w:t>ermanente</w:t>
      </w:r>
      <w:r w:rsidRPr="00582BD1">
        <w:rPr>
          <w:rFonts w:ascii="Calibri" w:hAnsi="Calibri" w:cs="Calibri"/>
          <w:b/>
          <w:sz w:val="22"/>
          <w:szCs w:val="22"/>
          <w:lang w:val="es-ES_tradnl"/>
        </w:rPr>
        <w:t xml:space="preserve">, ingresos y gastos reales y </w:t>
      </w:r>
      <w:r w:rsidR="0044022D" w:rsidRPr="00582BD1">
        <w:rPr>
          <w:rFonts w:ascii="Calibri" w:hAnsi="Calibri" w:cs="Calibri"/>
          <w:b/>
          <w:sz w:val="22"/>
          <w:szCs w:val="22"/>
          <w:lang w:val="es-ES_tradnl"/>
        </w:rPr>
        <w:t>variación</w:t>
      </w:r>
      <w:r w:rsidRPr="00582BD1">
        <w:rPr>
          <w:rFonts w:ascii="Calibri" w:hAnsi="Calibri" w:cs="Calibri"/>
          <w:b/>
          <w:sz w:val="22"/>
          <w:szCs w:val="22"/>
          <w:lang w:val="es-ES_tradnl"/>
        </w:rPr>
        <w:t xml:space="preserve"> respecto del presupuesto aprobado </w:t>
      </w:r>
      <w:r w:rsidR="00F83DCD" w:rsidRPr="00582BD1">
        <w:rPr>
          <w:rFonts w:ascii="Calibri" w:hAnsi="Calibri" w:cs="Calibri"/>
          <w:b/>
          <w:sz w:val="22"/>
          <w:szCs w:val="22"/>
          <w:lang w:val="es-ES_tradnl"/>
        </w:rPr>
        <w:t>(</w:t>
      </w:r>
      <w:r w:rsidR="00A12F8C" w:rsidRPr="00582BD1">
        <w:rPr>
          <w:rFonts w:ascii="Calibri" w:hAnsi="Calibri" w:cs="Calibri"/>
          <w:b/>
          <w:sz w:val="22"/>
          <w:szCs w:val="22"/>
          <w:lang w:val="es-ES_tradnl"/>
        </w:rPr>
        <w:t>con</w:t>
      </w:r>
      <w:r w:rsidR="00F83DCD" w:rsidRPr="00582BD1">
        <w:rPr>
          <w:rFonts w:ascii="Calibri" w:hAnsi="Calibri" w:cs="Calibri"/>
          <w:b/>
          <w:sz w:val="22"/>
          <w:szCs w:val="22"/>
          <w:lang w:val="es-ES_tradnl"/>
        </w:rPr>
        <w:t xml:space="preserve"> errores por redondeo)</w:t>
      </w:r>
    </w:p>
    <w:tbl>
      <w:tblPr>
        <w:tblW w:w="9140" w:type="dxa"/>
        <w:tblInd w:w="103" w:type="dxa"/>
        <w:tblLayout w:type="fixed"/>
        <w:tblLook w:val="04A0" w:firstRow="1" w:lastRow="0" w:firstColumn="1" w:lastColumn="0" w:noHBand="0" w:noVBand="1"/>
      </w:tblPr>
      <w:tblGrid>
        <w:gridCol w:w="6242"/>
        <w:gridCol w:w="966"/>
        <w:gridCol w:w="966"/>
        <w:gridCol w:w="966"/>
      </w:tblGrid>
      <w:tr w:rsidR="00AF43EA" w:rsidRPr="00701888" w14:paraId="4CB27B50" w14:textId="77777777" w:rsidTr="00063E01">
        <w:trPr>
          <w:trHeight w:val="19"/>
        </w:trPr>
        <w:tc>
          <w:tcPr>
            <w:tcW w:w="6242"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22057BD8" w14:textId="77777777" w:rsidR="00A56B73" w:rsidRPr="00701888" w:rsidRDefault="00A56B73" w:rsidP="00A56B73">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 </w:t>
            </w:r>
          </w:p>
        </w:tc>
        <w:tc>
          <w:tcPr>
            <w:tcW w:w="96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76CD0D4" w14:textId="16F4D511" w:rsidR="00A56B73" w:rsidRPr="00701888" w:rsidRDefault="00CF1C21" w:rsidP="00063E01">
            <w:pPr>
              <w:jc w:val="right"/>
              <w:rPr>
                <w:rFonts w:ascii="Arial Narrow" w:eastAsia="Times New Roman" w:hAnsi="Arial Narrow"/>
                <w:b/>
                <w:bCs/>
                <w:color w:val="000000"/>
                <w:sz w:val="14"/>
                <w:szCs w:val="18"/>
                <w:lang w:val="es-ES_tradnl" w:eastAsia="en-GB"/>
              </w:rPr>
            </w:pPr>
            <w:r w:rsidRPr="00701888">
              <w:rPr>
                <w:rFonts w:ascii="Arial Narrow" w:eastAsia="Times New Roman" w:hAnsi="Arial Narrow"/>
                <w:b/>
                <w:bCs/>
                <w:color w:val="000000"/>
                <w:sz w:val="14"/>
                <w:szCs w:val="18"/>
                <w:lang w:val="es-ES_tradnl" w:eastAsia="en-GB"/>
              </w:rPr>
              <w:t>Presupuesto básico aprobado</w:t>
            </w:r>
          </w:p>
        </w:tc>
        <w:tc>
          <w:tcPr>
            <w:tcW w:w="966" w:type="dxa"/>
            <w:tcBorders>
              <w:top w:val="single" w:sz="4" w:space="0" w:color="auto"/>
              <w:left w:val="nil"/>
              <w:bottom w:val="single" w:sz="4" w:space="0" w:color="auto"/>
              <w:right w:val="single" w:sz="4" w:space="0" w:color="auto"/>
            </w:tcBorders>
            <w:shd w:val="clear" w:color="000000" w:fill="E4DFEC"/>
            <w:vAlign w:val="bottom"/>
            <w:hideMark/>
          </w:tcPr>
          <w:p w14:paraId="34943A2B" w14:textId="499EA333" w:rsidR="00A56B73" w:rsidRPr="00701888" w:rsidRDefault="00CF1C21" w:rsidP="00C04C0D">
            <w:pPr>
              <w:jc w:val="right"/>
              <w:rPr>
                <w:rFonts w:ascii="Arial Narrow" w:eastAsia="Times New Roman" w:hAnsi="Arial Narrow"/>
                <w:b/>
                <w:bCs/>
                <w:color w:val="000000"/>
                <w:sz w:val="14"/>
                <w:szCs w:val="18"/>
                <w:lang w:val="es-ES_tradnl" w:eastAsia="en-GB"/>
              </w:rPr>
            </w:pPr>
            <w:r w:rsidRPr="00701888">
              <w:rPr>
                <w:rFonts w:ascii="Arial Narrow" w:eastAsia="Times New Roman" w:hAnsi="Arial Narrow"/>
                <w:b/>
                <w:bCs/>
                <w:color w:val="000000"/>
                <w:sz w:val="14"/>
                <w:szCs w:val="18"/>
                <w:lang w:val="es-ES_tradnl" w:eastAsia="en-GB"/>
              </w:rPr>
              <w:t>Ingresos y gastos reales con cargo al presupuesto básico</w:t>
            </w:r>
          </w:p>
        </w:tc>
        <w:tc>
          <w:tcPr>
            <w:tcW w:w="966" w:type="dxa"/>
            <w:tcBorders>
              <w:top w:val="single" w:sz="4" w:space="0" w:color="auto"/>
              <w:left w:val="nil"/>
              <w:bottom w:val="single" w:sz="4" w:space="0" w:color="auto"/>
              <w:right w:val="single" w:sz="4" w:space="0" w:color="auto"/>
            </w:tcBorders>
            <w:shd w:val="clear" w:color="000000" w:fill="E4DFEC"/>
            <w:vAlign w:val="bottom"/>
            <w:hideMark/>
          </w:tcPr>
          <w:p w14:paraId="358865B4" w14:textId="65E7B3F1" w:rsidR="00A56B73" w:rsidRPr="00701888" w:rsidRDefault="0044022D" w:rsidP="00CF1C21">
            <w:pPr>
              <w:jc w:val="right"/>
              <w:rPr>
                <w:rFonts w:ascii="Arial Narrow" w:eastAsia="Times New Roman" w:hAnsi="Arial Narrow"/>
                <w:b/>
                <w:bCs/>
                <w:color w:val="000000"/>
                <w:sz w:val="14"/>
                <w:szCs w:val="18"/>
                <w:lang w:val="es-ES_tradnl" w:eastAsia="en-GB"/>
              </w:rPr>
            </w:pPr>
            <w:r w:rsidRPr="00701888">
              <w:rPr>
                <w:rFonts w:ascii="Arial Narrow" w:eastAsia="Times New Roman" w:hAnsi="Arial Narrow"/>
                <w:b/>
                <w:bCs/>
                <w:color w:val="000000"/>
                <w:sz w:val="14"/>
                <w:szCs w:val="18"/>
                <w:lang w:val="es-ES_tradnl" w:eastAsia="en-GB"/>
              </w:rPr>
              <w:t>Variación</w:t>
            </w:r>
          </w:p>
        </w:tc>
      </w:tr>
      <w:tr w:rsidR="002B5322" w:rsidRPr="00701888" w14:paraId="07D96D8B"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76318C7E" w14:textId="04EF0B48" w:rsidR="002B5322" w:rsidRPr="00701888" w:rsidRDefault="002B5322" w:rsidP="00A56B73">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INGRESOS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5E7B535" w14:textId="5460AB31" w:rsidR="002B5322" w:rsidRPr="00701888" w:rsidRDefault="002B5322" w:rsidP="002B5322">
            <w:pPr>
              <w:jc w:val="center"/>
              <w:rPr>
                <w:rFonts w:ascii="Calibri" w:eastAsia="Times New Roman" w:hAnsi="Calibri"/>
                <w:b/>
                <w:bCs/>
                <w:color w:val="000000"/>
                <w:sz w:val="16"/>
                <w:szCs w:val="18"/>
                <w:lang w:val="es-ES_tradnl" w:eastAsia="en-GB"/>
              </w:rPr>
            </w:pPr>
            <w:r w:rsidRPr="00701888">
              <w:rPr>
                <w:rFonts w:ascii="Arial Narrow" w:eastAsia="Times New Roman" w:hAnsi="Arial Narrow"/>
                <w:b/>
                <w:bCs/>
                <w:color w:val="000000"/>
                <w:sz w:val="14"/>
                <w:szCs w:val="18"/>
                <w:lang w:val="es-ES_tradnl" w:eastAsia="en-GB"/>
              </w:rPr>
              <w:t>miles de francos suizos</w:t>
            </w:r>
          </w:p>
        </w:tc>
        <w:tc>
          <w:tcPr>
            <w:tcW w:w="966" w:type="dxa"/>
            <w:tcBorders>
              <w:top w:val="nil"/>
              <w:left w:val="nil"/>
              <w:bottom w:val="single" w:sz="4" w:space="0" w:color="auto"/>
              <w:right w:val="single" w:sz="4" w:space="0" w:color="auto"/>
            </w:tcBorders>
            <w:shd w:val="clear" w:color="000000" w:fill="E4DFEC"/>
            <w:noWrap/>
            <w:vAlign w:val="bottom"/>
            <w:hideMark/>
          </w:tcPr>
          <w:p w14:paraId="051FA0C7" w14:textId="7202CC08"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Arial Narrow" w:eastAsia="Times New Roman" w:hAnsi="Arial Narrow"/>
                <w:b/>
                <w:bCs/>
                <w:color w:val="000000"/>
                <w:sz w:val="14"/>
                <w:szCs w:val="18"/>
                <w:lang w:val="es-ES_tradnl" w:eastAsia="en-GB"/>
              </w:rPr>
              <w:t>miles de francos suizos</w:t>
            </w:r>
          </w:p>
        </w:tc>
        <w:tc>
          <w:tcPr>
            <w:tcW w:w="966" w:type="dxa"/>
            <w:tcBorders>
              <w:top w:val="nil"/>
              <w:left w:val="nil"/>
              <w:bottom w:val="single" w:sz="4" w:space="0" w:color="auto"/>
              <w:right w:val="single" w:sz="4" w:space="0" w:color="auto"/>
            </w:tcBorders>
            <w:shd w:val="clear" w:color="000000" w:fill="E4DFEC"/>
            <w:noWrap/>
            <w:vAlign w:val="bottom"/>
            <w:hideMark/>
          </w:tcPr>
          <w:p w14:paraId="2967A2B3" w14:textId="71CE0744"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Arial Narrow" w:eastAsia="Times New Roman" w:hAnsi="Arial Narrow"/>
                <w:b/>
                <w:bCs/>
                <w:color w:val="000000"/>
                <w:sz w:val="14"/>
                <w:szCs w:val="18"/>
                <w:lang w:val="es-ES_tradnl" w:eastAsia="en-GB"/>
              </w:rPr>
              <w:t>miles de francos suizos</w:t>
            </w:r>
          </w:p>
        </w:tc>
      </w:tr>
      <w:tr w:rsidR="002B5322" w:rsidRPr="00701888" w14:paraId="52AE41E4"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3B4C3008" w14:textId="6D63B289"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Contribuciones de las Partes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74DB8822" w14:textId="61907DC1"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3.779</w:t>
            </w:r>
          </w:p>
        </w:tc>
        <w:tc>
          <w:tcPr>
            <w:tcW w:w="966" w:type="dxa"/>
            <w:tcBorders>
              <w:top w:val="nil"/>
              <w:left w:val="nil"/>
              <w:bottom w:val="single" w:sz="4" w:space="0" w:color="auto"/>
              <w:right w:val="single" w:sz="4" w:space="0" w:color="auto"/>
            </w:tcBorders>
            <w:shd w:val="clear" w:color="000000" w:fill="E4DFEC"/>
            <w:noWrap/>
            <w:vAlign w:val="bottom"/>
            <w:hideMark/>
          </w:tcPr>
          <w:p w14:paraId="25026967" w14:textId="7F354294"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3.779</w:t>
            </w:r>
          </w:p>
        </w:tc>
        <w:tc>
          <w:tcPr>
            <w:tcW w:w="966" w:type="dxa"/>
            <w:tcBorders>
              <w:top w:val="nil"/>
              <w:left w:val="nil"/>
              <w:bottom w:val="single" w:sz="4" w:space="0" w:color="auto"/>
              <w:right w:val="single" w:sz="4" w:space="0" w:color="auto"/>
            </w:tcBorders>
            <w:shd w:val="clear" w:color="000000" w:fill="E4DFEC"/>
            <w:noWrap/>
            <w:vAlign w:val="bottom"/>
            <w:hideMark/>
          </w:tcPr>
          <w:p w14:paraId="6892615E"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0D806E73"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0222B381" w14:textId="3746E6D1"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 Contribuciones voluntarias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084D1004" w14:textId="3948366E"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1.065</w:t>
            </w:r>
          </w:p>
        </w:tc>
        <w:tc>
          <w:tcPr>
            <w:tcW w:w="966" w:type="dxa"/>
            <w:tcBorders>
              <w:top w:val="nil"/>
              <w:left w:val="nil"/>
              <w:bottom w:val="single" w:sz="4" w:space="0" w:color="auto"/>
              <w:right w:val="single" w:sz="4" w:space="0" w:color="auto"/>
            </w:tcBorders>
            <w:shd w:val="clear" w:color="000000" w:fill="E4DFEC"/>
            <w:noWrap/>
            <w:vAlign w:val="bottom"/>
            <w:hideMark/>
          </w:tcPr>
          <w:p w14:paraId="0F6C2D1E" w14:textId="5B84B23F"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1.06</w:t>
            </w:r>
            <w:r w:rsidR="00B84E9B" w:rsidRPr="00701888">
              <w:rPr>
                <w:rFonts w:ascii="Calibri" w:eastAsia="Times New Roman" w:hAnsi="Calibri"/>
                <w:color w:val="000000"/>
                <w:sz w:val="16"/>
                <w:szCs w:val="18"/>
                <w:lang w:val="es-ES_tradnl" w:eastAsia="en-GB"/>
              </w:rPr>
              <w:t>7</w:t>
            </w:r>
          </w:p>
        </w:tc>
        <w:tc>
          <w:tcPr>
            <w:tcW w:w="966" w:type="dxa"/>
            <w:tcBorders>
              <w:top w:val="nil"/>
              <w:left w:val="nil"/>
              <w:bottom w:val="single" w:sz="4" w:space="0" w:color="auto"/>
              <w:right w:val="single" w:sz="4" w:space="0" w:color="auto"/>
            </w:tcBorders>
            <w:shd w:val="clear" w:color="000000" w:fill="E4DFEC"/>
            <w:noWrap/>
            <w:vAlign w:val="bottom"/>
            <w:hideMark/>
          </w:tcPr>
          <w:p w14:paraId="440BA331" w14:textId="0CB71420"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w:t>
            </w:r>
          </w:p>
        </w:tc>
      </w:tr>
      <w:tr w:rsidR="002B5322" w:rsidRPr="00701888" w14:paraId="5BD2F1C4"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1319F345" w14:textId="599A4268"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iii. Impuesto sobre la renta</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596481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225</w:t>
            </w:r>
          </w:p>
        </w:tc>
        <w:tc>
          <w:tcPr>
            <w:tcW w:w="966" w:type="dxa"/>
            <w:tcBorders>
              <w:top w:val="nil"/>
              <w:left w:val="nil"/>
              <w:bottom w:val="single" w:sz="4" w:space="0" w:color="auto"/>
              <w:right w:val="single" w:sz="4" w:space="0" w:color="auto"/>
            </w:tcBorders>
            <w:shd w:val="clear" w:color="000000" w:fill="E4DFEC"/>
            <w:noWrap/>
            <w:vAlign w:val="bottom"/>
            <w:hideMark/>
          </w:tcPr>
          <w:p w14:paraId="5158E37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222</w:t>
            </w:r>
          </w:p>
        </w:tc>
        <w:tc>
          <w:tcPr>
            <w:tcW w:w="966" w:type="dxa"/>
            <w:tcBorders>
              <w:top w:val="nil"/>
              <w:left w:val="nil"/>
              <w:bottom w:val="single" w:sz="4" w:space="0" w:color="auto"/>
              <w:right w:val="single" w:sz="4" w:space="0" w:color="auto"/>
            </w:tcBorders>
            <w:shd w:val="clear" w:color="000000" w:fill="E4DFEC"/>
            <w:noWrap/>
            <w:vAlign w:val="bottom"/>
            <w:hideMark/>
          </w:tcPr>
          <w:p w14:paraId="5A1B13C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w:t>
            </w:r>
          </w:p>
        </w:tc>
      </w:tr>
      <w:tr w:rsidR="002B5322" w:rsidRPr="00701888" w14:paraId="56FB3A51"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4691CDAF" w14:textId="2B03C552"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iv. Ingresos por intereses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28C987A"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w:t>
            </w:r>
          </w:p>
        </w:tc>
        <w:tc>
          <w:tcPr>
            <w:tcW w:w="966" w:type="dxa"/>
            <w:tcBorders>
              <w:top w:val="nil"/>
              <w:left w:val="nil"/>
              <w:bottom w:val="single" w:sz="4" w:space="0" w:color="auto"/>
              <w:right w:val="single" w:sz="4" w:space="0" w:color="auto"/>
            </w:tcBorders>
            <w:shd w:val="clear" w:color="000000" w:fill="E4DFEC"/>
            <w:noWrap/>
            <w:vAlign w:val="bottom"/>
            <w:hideMark/>
          </w:tcPr>
          <w:p w14:paraId="46C25B5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w:t>
            </w:r>
          </w:p>
        </w:tc>
        <w:tc>
          <w:tcPr>
            <w:tcW w:w="966" w:type="dxa"/>
            <w:tcBorders>
              <w:top w:val="nil"/>
              <w:left w:val="nil"/>
              <w:bottom w:val="single" w:sz="4" w:space="0" w:color="auto"/>
              <w:right w:val="single" w:sz="4" w:space="0" w:color="auto"/>
            </w:tcBorders>
            <w:shd w:val="clear" w:color="000000" w:fill="E4DFEC"/>
            <w:noWrap/>
            <w:vAlign w:val="bottom"/>
            <w:hideMark/>
          </w:tcPr>
          <w:p w14:paraId="2937A680"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-10</w:t>
            </w:r>
          </w:p>
        </w:tc>
      </w:tr>
      <w:tr w:rsidR="002B5322" w:rsidRPr="00701888" w14:paraId="6675726D"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E4DFEC"/>
            <w:noWrap/>
            <w:vAlign w:val="bottom"/>
            <w:hideMark/>
          </w:tcPr>
          <w:p w14:paraId="7EF909A4" w14:textId="26941662" w:rsidR="002B5322" w:rsidRPr="00701888" w:rsidRDefault="002B5322" w:rsidP="00A56B73">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TOTAL DE INGRESOS</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32F3DF13" w14:textId="1A2B868B"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5.081</w:t>
            </w:r>
          </w:p>
        </w:tc>
        <w:tc>
          <w:tcPr>
            <w:tcW w:w="966" w:type="dxa"/>
            <w:tcBorders>
              <w:top w:val="nil"/>
              <w:left w:val="nil"/>
              <w:bottom w:val="single" w:sz="4" w:space="0" w:color="auto"/>
              <w:right w:val="single" w:sz="4" w:space="0" w:color="auto"/>
            </w:tcBorders>
            <w:shd w:val="clear" w:color="000000" w:fill="B1A0C7"/>
            <w:noWrap/>
            <w:vAlign w:val="bottom"/>
            <w:hideMark/>
          </w:tcPr>
          <w:p w14:paraId="50C1B78A" w14:textId="668BBF0D"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5.06</w:t>
            </w:r>
            <w:r w:rsidR="00B84E9B" w:rsidRPr="00701888">
              <w:rPr>
                <w:rFonts w:ascii="Calibri" w:eastAsia="Times New Roman" w:hAnsi="Calibri"/>
                <w:b/>
                <w:bCs/>
                <w:color w:val="000000"/>
                <w:sz w:val="16"/>
                <w:szCs w:val="18"/>
                <w:lang w:val="es-ES_tradnl" w:eastAsia="en-GB"/>
              </w:rPr>
              <w:t>9</w:t>
            </w:r>
          </w:p>
        </w:tc>
        <w:tc>
          <w:tcPr>
            <w:tcW w:w="966" w:type="dxa"/>
            <w:tcBorders>
              <w:top w:val="nil"/>
              <w:left w:val="nil"/>
              <w:bottom w:val="single" w:sz="4" w:space="0" w:color="auto"/>
              <w:right w:val="single" w:sz="4" w:space="0" w:color="auto"/>
            </w:tcBorders>
            <w:shd w:val="clear" w:color="000000" w:fill="B1A0C7"/>
            <w:noWrap/>
            <w:vAlign w:val="bottom"/>
            <w:hideMark/>
          </w:tcPr>
          <w:p w14:paraId="32AB0898" w14:textId="1A2D551A"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-1</w:t>
            </w:r>
            <w:r w:rsidR="00B84E9B" w:rsidRPr="00701888">
              <w:rPr>
                <w:rFonts w:ascii="Calibri" w:eastAsia="Times New Roman" w:hAnsi="Calibri"/>
                <w:b/>
                <w:bCs/>
                <w:color w:val="000000"/>
                <w:sz w:val="16"/>
                <w:szCs w:val="18"/>
                <w:lang w:val="es-ES_tradnl" w:eastAsia="en-GB"/>
              </w:rPr>
              <w:t>1</w:t>
            </w:r>
          </w:p>
        </w:tc>
      </w:tr>
      <w:tr w:rsidR="002B5322" w:rsidRPr="00701888" w14:paraId="1761EE39"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42B3BD2D" w14:textId="1C025AE9" w:rsidR="002B5322" w:rsidRPr="00701888" w:rsidRDefault="002B5322" w:rsidP="00A56B73">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GASTOS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046D51AD"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nil"/>
              <w:bottom w:val="single" w:sz="4" w:space="0" w:color="auto"/>
              <w:right w:val="single" w:sz="4" w:space="0" w:color="auto"/>
            </w:tcBorders>
            <w:shd w:val="clear" w:color="000000" w:fill="E4DFEC"/>
            <w:noWrap/>
            <w:vAlign w:val="bottom"/>
            <w:hideMark/>
          </w:tcPr>
          <w:p w14:paraId="70E303A8"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nil"/>
              <w:bottom w:val="single" w:sz="4" w:space="0" w:color="auto"/>
              <w:right w:val="single" w:sz="4" w:space="0" w:color="auto"/>
            </w:tcBorders>
            <w:shd w:val="clear" w:color="000000" w:fill="E4DFEC"/>
            <w:noWrap/>
            <w:vAlign w:val="bottom"/>
            <w:hideMark/>
          </w:tcPr>
          <w:p w14:paraId="50102B82"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17AD020B"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22FCCBF0" w14:textId="3CDB1094" w:rsidR="002B5322" w:rsidRPr="00701888" w:rsidRDefault="002B5322" w:rsidP="00E736BD">
            <w:pPr>
              <w:pStyle w:val="ListParagraph"/>
              <w:numPr>
                <w:ilvl w:val="0"/>
                <w:numId w:val="15"/>
              </w:numPr>
              <w:ind w:left="181" w:hanging="181"/>
              <w:rPr>
                <w:rFonts w:ascii="Calibri" w:hAnsi="Calibri"/>
                <w:color w:val="000000"/>
                <w:sz w:val="16"/>
                <w:szCs w:val="18"/>
                <w:lang w:val="es-ES_tradnl" w:eastAsia="en-GB"/>
              </w:rPr>
            </w:pPr>
            <w:r w:rsidRPr="00701888">
              <w:rPr>
                <w:rFonts w:ascii="Calibri" w:hAnsi="Calibri"/>
                <w:color w:val="000000"/>
                <w:sz w:val="16"/>
                <w:szCs w:val="18"/>
                <w:lang w:val="es-ES_tradnl" w:eastAsia="en-GB"/>
              </w:rPr>
              <w:t xml:space="preserve">Personal directivo de la Secretaría </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572877C0"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811</w:t>
            </w:r>
          </w:p>
        </w:tc>
        <w:tc>
          <w:tcPr>
            <w:tcW w:w="966" w:type="dxa"/>
            <w:tcBorders>
              <w:top w:val="nil"/>
              <w:left w:val="nil"/>
              <w:bottom w:val="single" w:sz="4" w:space="0" w:color="auto"/>
              <w:right w:val="single" w:sz="4" w:space="0" w:color="auto"/>
            </w:tcBorders>
            <w:shd w:val="clear" w:color="000000" w:fill="B1A0C7"/>
            <w:noWrap/>
            <w:vAlign w:val="bottom"/>
            <w:hideMark/>
          </w:tcPr>
          <w:p w14:paraId="4686D81E"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763</w:t>
            </w:r>
          </w:p>
        </w:tc>
        <w:tc>
          <w:tcPr>
            <w:tcW w:w="966" w:type="dxa"/>
            <w:tcBorders>
              <w:top w:val="nil"/>
              <w:left w:val="nil"/>
              <w:bottom w:val="single" w:sz="4" w:space="0" w:color="auto"/>
              <w:right w:val="single" w:sz="4" w:space="0" w:color="auto"/>
            </w:tcBorders>
            <w:shd w:val="clear" w:color="000000" w:fill="B1A0C7"/>
            <w:noWrap/>
            <w:vAlign w:val="bottom"/>
            <w:hideMark/>
          </w:tcPr>
          <w:p w14:paraId="3E1DC8C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-48</w:t>
            </w:r>
          </w:p>
        </w:tc>
      </w:tr>
      <w:tr w:rsidR="002B5322" w:rsidRPr="00701888" w14:paraId="0DEF6A55"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633421DB" w14:textId="4C26D1F9" w:rsidR="002B5322" w:rsidRPr="00701888" w:rsidRDefault="002B5322" w:rsidP="00195F01">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Salarios y gastos sociales (SG</w:t>
            </w:r>
            <w:r w:rsidR="00644A74" w:rsidRPr="00701888">
              <w:rPr>
                <w:rFonts w:ascii="Calibri" w:eastAsia="Times New Roman" w:hAnsi="Calibri"/>
                <w:color w:val="000000"/>
                <w:sz w:val="16"/>
                <w:szCs w:val="18"/>
                <w:lang w:val="es-ES_tradnl" w:eastAsia="en-GB"/>
              </w:rPr>
              <w:t>,</w:t>
            </w:r>
            <w:r w:rsidRPr="00701888">
              <w:rPr>
                <w:rFonts w:ascii="Calibri" w:eastAsia="Times New Roman" w:hAnsi="Calibri"/>
                <w:color w:val="000000"/>
                <w:sz w:val="16"/>
                <w:szCs w:val="18"/>
                <w:lang w:val="es-ES_tradnl" w:eastAsia="en-GB"/>
              </w:rPr>
              <w:t>VSG, Auxiliar Ejecutivo de la SG)</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203C1C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674</w:t>
            </w:r>
          </w:p>
        </w:tc>
        <w:tc>
          <w:tcPr>
            <w:tcW w:w="966" w:type="dxa"/>
            <w:tcBorders>
              <w:top w:val="nil"/>
              <w:left w:val="nil"/>
              <w:bottom w:val="single" w:sz="4" w:space="0" w:color="auto"/>
              <w:right w:val="single" w:sz="4" w:space="0" w:color="auto"/>
            </w:tcBorders>
            <w:shd w:val="clear" w:color="000000" w:fill="E4DFEC"/>
            <w:noWrap/>
            <w:vAlign w:val="bottom"/>
            <w:hideMark/>
          </w:tcPr>
          <w:p w14:paraId="452E96E3"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658</w:t>
            </w:r>
          </w:p>
        </w:tc>
        <w:tc>
          <w:tcPr>
            <w:tcW w:w="966" w:type="dxa"/>
            <w:tcBorders>
              <w:top w:val="nil"/>
              <w:left w:val="nil"/>
              <w:bottom w:val="single" w:sz="4" w:space="0" w:color="auto"/>
              <w:right w:val="single" w:sz="4" w:space="0" w:color="auto"/>
            </w:tcBorders>
            <w:shd w:val="clear" w:color="000000" w:fill="E4DFEC"/>
            <w:noWrap/>
            <w:vAlign w:val="bottom"/>
            <w:hideMark/>
          </w:tcPr>
          <w:p w14:paraId="275F4BE5"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-16</w:t>
            </w:r>
          </w:p>
        </w:tc>
      </w:tr>
      <w:tr w:rsidR="002B5322" w:rsidRPr="00701888" w14:paraId="50E80A1C"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34CF0610" w14:textId="3A7DC561" w:rsidR="002B5322" w:rsidRPr="00701888" w:rsidRDefault="002B5322" w:rsidP="003E37A6">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 Viajes por asuntos oficiales (SG, VSG)</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05285CB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45</w:t>
            </w:r>
          </w:p>
        </w:tc>
        <w:tc>
          <w:tcPr>
            <w:tcW w:w="966" w:type="dxa"/>
            <w:tcBorders>
              <w:top w:val="nil"/>
              <w:left w:val="nil"/>
              <w:bottom w:val="single" w:sz="4" w:space="0" w:color="auto"/>
              <w:right w:val="single" w:sz="4" w:space="0" w:color="auto"/>
            </w:tcBorders>
            <w:shd w:val="clear" w:color="000000" w:fill="E4DFEC"/>
            <w:noWrap/>
            <w:vAlign w:val="bottom"/>
            <w:hideMark/>
          </w:tcPr>
          <w:p w14:paraId="7879CE90"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52</w:t>
            </w:r>
          </w:p>
        </w:tc>
        <w:tc>
          <w:tcPr>
            <w:tcW w:w="966" w:type="dxa"/>
            <w:tcBorders>
              <w:top w:val="nil"/>
              <w:left w:val="nil"/>
              <w:bottom w:val="single" w:sz="4" w:space="0" w:color="auto"/>
              <w:right w:val="single" w:sz="4" w:space="0" w:color="auto"/>
            </w:tcBorders>
            <w:shd w:val="clear" w:color="000000" w:fill="E4DFEC"/>
            <w:noWrap/>
            <w:vAlign w:val="bottom"/>
            <w:hideMark/>
          </w:tcPr>
          <w:p w14:paraId="73F674B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7</w:t>
            </w:r>
          </w:p>
        </w:tc>
      </w:tr>
      <w:tr w:rsidR="002B5322" w:rsidRPr="00701888" w14:paraId="4A9CB233"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70D8C396" w14:textId="47B18BC1"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iii. Otras prestaciones laborales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46D4558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92</w:t>
            </w:r>
          </w:p>
        </w:tc>
        <w:tc>
          <w:tcPr>
            <w:tcW w:w="966" w:type="dxa"/>
            <w:tcBorders>
              <w:top w:val="nil"/>
              <w:left w:val="nil"/>
              <w:bottom w:val="single" w:sz="4" w:space="0" w:color="auto"/>
              <w:right w:val="single" w:sz="4" w:space="0" w:color="auto"/>
            </w:tcBorders>
            <w:shd w:val="clear" w:color="000000" w:fill="E4DFEC"/>
            <w:noWrap/>
            <w:vAlign w:val="bottom"/>
            <w:hideMark/>
          </w:tcPr>
          <w:p w14:paraId="5AE184E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52</w:t>
            </w:r>
          </w:p>
        </w:tc>
        <w:tc>
          <w:tcPr>
            <w:tcW w:w="966" w:type="dxa"/>
            <w:tcBorders>
              <w:top w:val="nil"/>
              <w:left w:val="nil"/>
              <w:bottom w:val="single" w:sz="4" w:space="0" w:color="auto"/>
              <w:right w:val="single" w:sz="4" w:space="0" w:color="auto"/>
            </w:tcBorders>
            <w:shd w:val="clear" w:color="000000" w:fill="E4DFEC"/>
            <w:noWrap/>
            <w:vAlign w:val="bottom"/>
            <w:hideMark/>
          </w:tcPr>
          <w:p w14:paraId="18B3F3CD"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-40</w:t>
            </w:r>
          </w:p>
        </w:tc>
      </w:tr>
      <w:tr w:rsidR="002B5322" w:rsidRPr="00701888" w14:paraId="7249E0F1"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786D273D" w14:textId="41B4DE63"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B. Coordinador de Asociaciones de Colaboración</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0E8751C3"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259</w:t>
            </w:r>
          </w:p>
        </w:tc>
        <w:tc>
          <w:tcPr>
            <w:tcW w:w="966" w:type="dxa"/>
            <w:tcBorders>
              <w:top w:val="nil"/>
              <w:left w:val="nil"/>
              <w:bottom w:val="single" w:sz="4" w:space="0" w:color="auto"/>
              <w:right w:val="single" w:sz="4" w:space="0" w:color="auto"/>
            </w:tcBorders>
            <w:shd w:val="clear" w:color="000000" w:fill="B1A0C7"/>
            <w:noWrap/>
            <w:vAlign w:val="bottom"/>
            <w:hideMark/>
          </w:tcPr>
          <w:p w14:paraId="7858706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251</w:t>
            </w:r>
          </w:p>
        </w:tc>
        <w:tc>
          <w:tcPr>
            <w:tcW w:w="966" w:type="dxa"/>
            <w:tcBorders>
              <w:top w:val="nil"/>
              <w:left w:val="nil"/>
              <w:bottom w:val="single" w:sz="4" w:space="0" w:color="auto"/>
              <w:right w:val="single" w:sz="4" w:space="0" w:color="auto"/>
            </w:tcBorders>
            <w:shd w:val="clear" w:color="000000" w:fill="B1A0C7"/>
            <w:noWrap/>
            <w:vAlign w:val="bottom"/>
            <w:hideMark/>
          </w:tcPr>
          <w:p w14:paraId="73DCA243"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-8</w:t>
            </w:r>
          </w:p>
        </w:tc>
      </w:tr>
      <w:tr w:rsidR="002B5322" w:rsidRPr="00701888" w14:paraId="07D539D4"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17478074" w14:textId="51C63557"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Salarios y gastos sociales (Coordinador de Asociaciones de Colaboración)</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2D17A235"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188</w:t>
            </w:r>
          </w:p>
        </w:tc>
        <w:tc>
          <w:tcPr>
            <w:tcW w:w="966" w:type="dxa"/>
            <w:tcBorders>
              <w:top w:val="nil"/>
              <w:left w:val="nil"/>
              <w:bottom w:val="single" w:sz="4" w:space="0" w:color="auto"/>
              <w:right w:val="single" w:sz="4" w:space="0" w:color="auto"/>
            </w:tcBorders>
            <w:shd w:val="clear" w:color="000000" w:fill="E4DFEC"/>
            <w:noWrap/>
            <w:vAlign w:val="bottom"/>
            <w:hideMark/>
          </w:tcPr>
          <w:p w14:paraId="7EB68A57"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188</w:t>
            </w:r>
          </w:p>
        </w:tc>
        <w:tc>
          <w:tcPr>
            <w:tcW w:w="966" w:type="dxa"/>
            <w:tcBorders>
              <w:top w:val="nil"/>
              <w:left w:val="nil"/>
              <w:bottom w:val="single" w:sz="4" w:space="0" w:color="auto"/>
              <w:right w:val="single" w:sz="4" w:space="0" w:color="auto"/>
            </w:tcBorders>
            <w:shd w:val="clear" w:color="000000" w:fill="E4DFEC"/>
            <w:noWrap/>
            <w:vAlign w:val="bottom"/>
            <w:hideMark/>
          </w:tcPr>
          <w:p w14:paraId="3BE6298F"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1B683DBC"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1A183C8E" w14:textId="62819DDB"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 Viajes por asuntos oficiales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2ED7D27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20</w:t>
            </w:r>
          </w:p>
        </w:tc>
        <w:tc>
          <w:tcPr>
            <w:tcW w:w="966" w:type="dxa"/>
            <w:tcBorders>
              <w:top w:val="nil"/>
              <w:left w:val="nil"/>
              <w:bottom w:val="single" w:sz="4" w:space="0" w:color="auto"/>
              <w:right w:val="single" w:sz="4" w:space="0" w:color="auto"/>
            </w:tcBorders>
            <w:shd w:val="clear" w:color="000000" w:fill="E4DFEC"/>
            <w:noWrap/>
            <w:vAlign w:val="bottom"/>
            <w:hideMark/>
          </w:tcPr>
          <w:p w14:paraId="28B16ED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21</w:t>
            </w:r>
          </w:p>
        </w:tc>
        <w:tc>
          <w:tcPr>
            <w:tcW w:w="966" w:type="dxa"/>
            <w:tcBorders>
              <w:top w:val="nil"/>
              <w:left w:val="nil"/>
              <w:bottom w:val="single" w:sz="4" w:space="0" w:color="auto"/>
              <w:right w:val="single" w:sz="4" w:space="0" w:color="auto"/>
            </w:tcBorders>
            <w:shd w:val="clear" w:color="000000" w:fill="E4DFEC"/>
            <w:noWrap/>
            <w:vAlign w:val="bottom"/>
            <w:hideMark/>
          </w:tcPr>
          <w:p w14:paraId="39F587D1"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p>
        </w:tc>
      </w:tr>
      <w:tr w:rsidR="002B5322" w:rsidRPr="00701888" w14:paraId="0F6CE6C3"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091522DA" w14:textId="71D8CFA6"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iii. Otras prestaciones laborales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0AE6B89A"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51</w:t>
            </w:r>
          </w:p>
        </w:tc>
        <w:tc>
          <w:tcPr>
            <w:tcW w:w="966" w:type="dxa"/>
            <w:tcBorders>
              <w:top w:val="nil"/>
              <w:left w:val="nil"/>
              <w:bottom w:val="single" w:sz="4" w:space="0" w:color="auto"/>
              <w:right w:val="single" w:sz="4" w:space="0" w:color="auto"/>
            </w:tcBorders>
            <w:shd w:val="clear" w:color="000000" w:fill="E4DFEC"/>
            <w:noWrap/>
            <w:vAlign w:val="bottom"/>
            <w:hideMark/>
          </w:tcPr>
          <w:p w14:paraId="5044904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42</w:t>
            </w:r>
          </w:p>
        </w:tc>
        <w:tc>
          <w:tcPr>
            <w:tcW w:w="966" w:type="dxa"/>
            <w:tcBorders>
              <w:top w:val="nil"/>
              <w:left w:val="nil"/>
              <w:bottom w:val="single" w:sz="4" w:space="0" w:color="auto"/>
              <w:right w:val="single" w:sz="4" w:space="0" w:color="auto"/>
            </w:tcBorders>
            <w:shd w:val="clear" w:color="000000" w:fill="E4DFEC"/>
            <w:noWrap/>
            <w:vAlign w:val="bottom"/>
            <w:hideMark/>
          </w:tcPr>
          <w:p w14:paraId="71601E07" w14:textId="3EE78763"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-9</w:t>
            </w:r>
          </w:p>
        </w:tc>
      </w:tr>
      <w:tr w:rsidR="002B5322" w:rsidRPr="00701888" w14:paraId="6B05FA2A"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5FDD6FD3" w14:textId="7B897B79"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C. Asesoramiento y apoyo regionales</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4D17D934" w14:textId="0BBFDB48"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1.339</w:t>
            </w:r>
          </w:p>
        </w:tc>
        <w:tc>
          <w:tcPr>
            <w:tcW w:w="966" w:type="dxa"/>
            <w:tcBorders>
              <w:top w:val="nil"/>
              <w:left w:val="nil"/>
              <w:bottom w:val="single" w:sz="4" w:space="0" w:color="auto"/>
              <w:right w:val="single" w:sz="4" w:space="0" w:color="auto"/>
            </w:tcBorders>
            <w:shd w:val="clear" w:color="000000" w:fill="B1A0C7"/>
            <w:noWrap/>
            <w:vAlign w:val="bottom"/>
            <w:hideMark/>
          </w:tcPr>
          <w:p w14:paraId="26F47AC8" w14:textId="58269831"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r w:rsidR="00B84E9B" w:rsidRPr="00701888">
              <w:rPr>
                <w:rFonts w:ascii="Calibri" w:eastAsia="Times New Roman" w:hAnsi="Calibri"/>
                <w:color w:val="000000"/>
                <w:sz w:val="16"/>
                <w:szCs w:val="18"/>
                <w:lang w:val="es-ES_tradnl" w:eastAsia="en-GB"/>
              </w:rPr>
              <w:t>217</w:t>
            </w:r>
          </w:p>
        </w:tc>
        <w:tc>
          <w:tcPr>
            <w:tcW w:w="966" w:type="dxa"/>
            <w:tcBorders>
              <w:top w:val="nil"/>
              <w:left w:val="nil"/>
              <w:bottom w:val="single" w:sz="4" w:space="0" w:color="auto"/>
              <w:right w:val="single" w:sz="4" w:space="0" w:color="auto"/>
            </w:tcBorders>
            <w:shd w:val="clear" w:color="000000" w:fill="B1A0C7"/>
            <w:noWrap/>
            <w:vAlign w:val="bottom"/>
            <w:hideMark/>
          </w:tcPr>
          <w:p w14:paraId="0C170ACC" w14:textId="5BA97028"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-121</w:t>
            </w:r>
          </w:p>
        </w:tc>
      </w:tr>
      <w:tr w:rsidR="002B5322" w:rsidRPr="00701888" w14:paraId="6F82F412"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5F5B1717" w14:textId="731924A0" w:rsidR="002B5322" w:rsidRPr="00701888" w:rsidRDefault="002B5322" w:rsidP="00063E01">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Salarios y gastos sociales (4</w:t>
            </w:r>
            <w:r w:rsidR="00063E01" w:rsidRPr="00701888">
              <w:rPr>
                <w:rFonts w:ascii="Calibri" w:eastAsia="Times New Roman" w:hAnsi="Calibri"/>
                <w:color w:val="000000"/>
                <w:sz w:val="16"/>
                <w:szCs w:val="18"/>
                <w:lang w:val="es-ES_tradnl" w:eastAsia="en-GB"/>
              </w:rPr>
              <w:t xml:space="preserve"> Asesores Regionales Superiores</w:t>
            </w:r>
            <w:r w:rsidRPr="00701888">
              <w:rPr>
                <w:rFonts w:ascii="Calibri" w:eastAsia="Times New Roman" w:hAnsi="Calibri"/>
                <w:color w:val="000000"/>
                <w:sz w:val="16"/>
                <w:szCs w:val="18"/>
                <w:lang w:val="es-ES_tradnl" w:eastAsia="en-GB"/>
              </w:rPr>
              <w:t>, Oficial de Asuntos Regionales, Oficial del SPREP, 4 Asesores Asistentes)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4491B4AE" w14:textId="3A1BB9D8"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1.201</w:t>
            </w:r>
          </w:p>
        </w:tc>
        <w:tc>
          <w:tcPr>
            <w:tcW w:w="966" w:type="dxa"/>
            <w:tcBorders>
              <w:top w:val="nil"/>
              <w:left w:val="nil"/>
              <w:bottom w:val="single" w:sz="4" w:space="0" w:color="auto"/>
              <w:right w:val="single" w:sz="4" w:space="0" w:color="auto"/>
            </w:tcBorders>
            <w:shd w:val="clear" w:color="000000" w:fill="E4DFEC"/>
            <w:noWrap/>
            <w:vAlign w:val="bottom"/>
            <w:hideMark/>
          </w:tcPr>
          <w:p w14:paraId="24CD638F" w14:textId="0E409F01"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r w:rsidR="00B84E9B" w:rsidRPr="00701888">
              <w:rPr>
                <w:rFonts w:ascii="Calibri" w:eastAsia="Times New Roman" w:hAnsi="Calibri"/>
                <w:color w:val="000000"/>
                <w:sz w:val="16"/>
                <w:szCs w:val="18"/>
                <w:lang w:val="es-ES_tradnl" w:eastAsia="en-GB"/>
              </w:rPr>
              <w:t>076</w:t>
            </w:r>
          </w:p>
        </w:tc>
        <w:tc>
          <w:tcPr>
            <w:tcW w:w="966" w:type="dxa"/>
            <w:tcBorders>
              <w:top w:val="nil"/>
              <w:left w:val="nil"/>
              <w:bottom w:val="single" w:sz="4" w:space="0" w:color="auto"/>
              <w:right w:val="single" w:sz="4" w:space="0" w:color="auto"/>
            </w:tcBorders>
            <w:shd w:val="clear" w:color="000000" w:fill="E4DFEC"/>
            <w:noWrap/>
            <w:vAlign w:val="bottom"/>
            <w:hideMark/>
          </w:tcPr>
          <w:p w14:paraId="76713173" w14:textId="60208F20"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-124</w:t>
            </w:r>
          </w:p>
        </w:tc>
      </w:tr>
      <w:tr w:rsidR="002B5322" w:rsidRPr="00701888" w14:paraId="45B6FEC2"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0DDA5AF1" w14:textId="5B7A2B26" w:rsidR="002B5322" w:rsidRPr="00701888" w:rsidRDefault="002B5322" w:rsidP="00725A00">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ii. Viajes por asuntos oficiales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0CDF8188"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85</w:t>
            </w:r>
          </w:p>
        </w:tc>
        <w:tc>
          <w:tcPr>
            <w:tcW w:w="966" w:type="dxa"/>
            <w:tcBorders>
              <w:top w:val="nil"/>
              <w:left w:val="nil"/>
              <w:bottom w:val="single" w:sz="4" w:space="0" w:color="auto"/>
              <w:right w:val="single" w:sz="4" w:space="0" w:color="auto"/>
            </w:tcBorders>
            <w:shd w:val="clear" w:color="000000" w:fill="E4DFEC"/>
            <w:noWrap/>
            <w:vAlign w:val="bottom"/>
            <w:hideMark/>
          </w:tcPr>
          <w:p w14:paraId="7578F7C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70</w:t>
            </w:r>
          </w:p>
        </w:tc>
        <w:tc>
          <w:tcPr>
            <w:tcW w:w="966" w:type="dxa"/>
            <w:tcBorders>
              <w:top w:val="nil"/>
              <w:left w:val="nil"/>
              <w:bottom w:val="single" w:sz="4" w:space="0" w:color="auto"/>
              <w:right w:val="single" w:sz="4" w:space="0" w:color="auto"/>
            </w:tcBorders>
            <w:shd w:val="clear" w:color="000000" w:fill="E4DFEC"/>
            <w:noWrap/>
            <w:vAlign w:val="bottom"/>
            <w:hideMark/>
          </w:tcPr>
          <w:p w14:paraId="3CC7528F"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-15</w:t>
            </w:r>
          </w:p>
        </w:tc>
      </w:tr>
      <w:tr w:rsidR="002B5322" w:rsidRPr="00701888" w14:paraId="64BD62C6"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185824E8" w14:textId="4FDD77AF"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iii. Otras prestaciones laborales **</w:t>
            </w:r>
          </w:p>
        </w:tc>
        <w:tc>
          <w:tcPr>
            <w:tcW w:w="966" w:type="dxa"/>
            <w:tcBorders>
              <w:top w:val="nil"/>
              <w:left w:val="single" w:sz="4" w:space="0" w:color="auto"/>
              <w:bottom w:val="nil"/>
              <w:right w:val="single" w:sz="4" w:space="0" w:color="auto"/>
            </w:tcBorders>
            <w:shd w:val="clear" w:color="000000" w:fill="E4DFEC"/>
            <w:noWrap/>
            <w:vAlign w:val="bottom"/>
            <w:hideMark/>
          </w:tcPr>
          <w:p w14:paraId="088C9640"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53</w:t>
            </w:r>
          </w:p>
        </w:tc>
        <w:tc>
          <w:tcPr>
            <w:tcW w:w="966" w:type="dxa"/>
            <w:tcBorders>
              <w:top w:val="nil"/>
              <w:left w:val="nil"/>
              <w:bottom w:val="nil"/>
              <w:right w:val="single" w:sz="4" w:space="0" w:color="auto"/>
            </w:tcBorders>
            <w:shd w:val="clear" w:color="000000" w:fill="E4DFEC"/>
            <w:noWrap/>
            <w:vAlign w:val="bottom"/>
            <w:hideMark/>
          </w:tcPr>
          <w:p w14:paraId="146CD10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70</w:t>
            </w:r>
          </w:p>
        </w:tc>
        <w:tc>
          <w:tcPr>
            <w:tcW w:w="966" w:type="dxa"/>
            <w:tcBorders>
              <w:top w:val="nil"/>
              <w:left w:val="nil"/>
              <w:bottom w:val="single" w:sz="4" w:space="0" w:color="auto"/>
              <w:right w:val="single" w:sz="4" w:space="0" w:color="auto"/>
            </w:tcBorders>
            <w:shd w:val="clear" w:color="000000" w:fill="E4DFEC"/>
            <w:noWrap/>
            <w:vAlign w:val="bottom"/>
            <w:hideMark/>
          </w:tcPr>
          <w:p w14:paraId="2D9C6AE3"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17</w:t>
            </w:r>
          </w:p>
        </w:tc>
      </w:tr>
      <w:tr w:rsidR="002B5322" w:rsidRPr="00701888" w14:paraId="4B9A0521"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50833DBD" w14:textId="44FD7D3F"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D. Apoyo a iniciativas regionales</w:t>
            </w:r>
          </w:p>
        </w:tc>
        <w:tc>
          <w:tcPr>
            <w:tcW w:w="966"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55E46682"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120</w:t>
            </w:r>
          </w:p>
        </w:tc>
        <w:tc>
          <w:tcPr>
            <w:tcW w:w="966" w:type="dxa"/>
            <w:tcBorders>
              <w:top w:val="single" w:sz="4" w:space="0" w:color="auto"/>
              <w:left w:val="nil"/>
              <w:bottom w:val="single" w:sz="4" w:space="0" w:color="auto"/>
              <w:right w:val="single" w:sz="4" w:space="0" w:color="auto"/>
            </w:tcBorders>
            <w:shd w:val="clear" w:color="000000" w:fill="B1A0C7"/>
            <w:noWrap/>
            <w:vAlign w:val="bottom"/>
            <w:hideMark/>
          </w:tcPr>
          <w:p w14:paraId="363D63D1"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120</w:t>
            </w:r>
          </w:p>
        </w:tc>
        <w:tc>
          <w:tcPr>
            <w:tcW w:w="966" w:type="dxa"/>
            <w:tcBorders>
              <w:top w:val="nil"/>
              <w:left w:val="nil"/>
              <w:bottom w:val="single" w:sz="4" w:space="0" w:color="auto"/>
              <w:right w:val="single" w:sz="4" w:space="0" w:color="auto"/>
            </w:tcBorders>
            <w:shd w:val="clear" w:color="000000" w:fill="B1A0C7"/>
            <w:noWrap/>
            <w:vAlign w:val="bottom"/>
            <w:hideMark/>
          </w:tcPr>
          <w:p w14:paraId="6C2B138D"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51D5F92E"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6EC39508" w14:textId="55FDA7B0" w:rsidR="002B5322" w:rsidRPr="00701888" w:rsidRDefault="002B5322" w:rsidP="00CF1C21">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Redes y Centros Regionales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0395023"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120</w:t>
            </w:r>
          </w:p>
        </w:tc>
        <w:tc>
          <w:tcPr>
            <w:tcW w:w="966" w:type="dxa"/>
            <w:tcBorders>
              <w:top w:val="nil"/>
              <w:left w:val="nil"/>
              <w:bottom w:val="single" w:sz="4" w:space="0" w:color="auto"/>
              <w:right w:val="single" w:sz="4" w:space="0" w:color="auto"/>
            </w:tcBorders>
            <w:shd w:val="clear" w:color="000000" w:fill="E4DFEC"/>
            <w:noWrap/>
            <w:vAlign w:val="bottom"/>
            <w:hideMark/>
          </w:tcPr>
          <w:p w14:paraId="11C42EDA"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120</w:t>
            </w:r>
          </w:p>
        </w:tc>
        <w:tc>
          <w:tcPr>
            <w:tcW w:w="966" w:type="dxa"/>
            <w:tcBorders>
              <w:top w:val="nil"/>
              <w:left w:val="nil"/>
              <w:bottom w:val="single" w:sz="4" w:space="0" w:color="auto"/>
              <w:right w:val="single" w:sz="4" w:space="0" w:color="auto"/>
            </w:tcBorders>
            <w:shd w:val="clear" w:color="000000" w:fill="E4DFEC"/>
            <w:noWrap/>
            <w:vAlign w:val="bottom"/>
            <w:hideMark/>
          </w:tcPr>
          <w:p w14:paraId="2E461665"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7DB01097"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18C54769" w14:textId="2DB22830" w:rsidR="002B5322" w:rsidRPr="00701888" w:rsidRDefault="002B5322" w:rsidP="000B00DD">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E. Servicios científicos y técnicos</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6351379F"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210</w:t>
            </w:r>
          </w:p>
        </w:tc>
        <w:tc>
          <w:tcPr>
            <w:tcW w:w="966" w:type="dxa"/>
            <w:tcBorders>
              <w:top w:val="nil"/>
              <w:left w:val="nil"/>
              <w:bottom w:val="single" w:sz="4" w:space="0" w:color="auto"/>
              <w:right w:val="single" w:sz="4" w:space="0" w:color="auto"/>
            </w:tcBorders>
            <w:shd w:val="clear" w:color="000000" w:fill="B1A0C7"/>
            <w:noWrap/>
            <w:vAlign w:val="bottom"/>
            <w:hideMark/>
          </w:tcPr>
          <w:p w14:paraId="3DCFBC9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198</w:t>
            </w:r>
          </w:p>
        </w:tc>
        <w:tc>
          <w:tcPr>
            <w:tcW w:w="966" w:type="dxa"/>
            <w:tcBorders>
              <w:top w:val="nil"/>
              <w:left w:val="nil"/>
              <w:bottom w:val="single" w:sz="4" w:space="0" w:color="auto"/>
              <w:right w:val="single" w:sz="4" w:space="0" w:color="auto"/>
            </w:tcBorders>
            <w:shd w:val="clear" w:color="000000" w:fill="B1A0C7"/>
            <w:noWrap/>
            <w:vAlign w:val="bottom"/>
            <w:hideMark/>
          </w:tcPr>
          <w:p w14:paraId="65836B1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w:t>
            </w:r>
          </w:p>
        </w:tc>
      </w:tr>
      <w:tr w:rsidR="002B5322" w:rsidRPr="00701888" w14:paraId="44A632B6"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66797CBF" w14:textId="2ABE643A" w:rsidR="002B5322" w:rsidRPr="00701888" w:rsidRDefault="002B5322" w:rsidP="00E31CF7">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 Salarios y gastos sociales (Oficial de Apoyo Científico y Técnico)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5DB38A05"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110</w:t>
            </w:r>
          </w:p>
        </w:tc>
        <w:tc>
          <w:tcPr>
            <w:tcW w:w="966" w:type="dxa"/>
            <w:tcBorders>
              <w:top w:val="nil"/>
              <w:left w:val="nil"/>
              <w:bottom w:val="single" w:sz="4" w:space="0" w:color="auto"/>
              <w:right w:val="single" w:sz="4" w:space="0" w:color="auto"/>
            </w:tcBorders>
            <w:shd w:val="clear" w:color="000000" w:fill="E4DFEC"/>
            <w:noWrap/>
            <w:vAlign w:val="bottom"/>
            <w:hideMark/>
          </w:tcPr>
          <w:p w14:paraId="4BC2CB77"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107</w:t>
            </w:r>
          </w:p>
        </w:tc>
        <w:tc>
          <w:tcPr>
            <w:tcW w:w="966" w:type="dxa"/>
            <w:tcBorders>
              <w:top w:val="nil"/>
              <w:left w:val="nil"/>
              <w:bottom w:val="single" w:sz="4" w:space="0" w:color="auto"/>
              <w:right w:val="single" w:sz="4" w:space="0" w:color="auto"/>
            </w:tcBorders>
            <w:shd w:val="clear" w:color="000000" w:fill="E4DFEC"/>
            <w:noWrap/>
            <w:vAlign w:val="bottom"/>
            <w:hideMark/>
          </w:tcPr>
          <w:p w14:paraId="0B04726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w:t>
            </w:r>
          </w:p>
        </w:tc>
      </w:tr>
      <w:tr w:rsidR="002B5322" w:rsidRPr="00701888" w14:paraId="42BDF0F6"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36F440AA" w14:textId="5C8DC7D2" w:rsidR="002B5322" w:rsidRPr="00701888" w:rsidRDefault="002B5322" w:rsidP="00B6335A">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 Ejecución del GECT</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53619DB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40</w:t>
            </w:r>
          </w:p>
        </w:tc>
        <w:tc>
          <w:tcPr>
            <w:tcW w:w="966" w:type="dxa"/>
            <w:tcBorders>
              <w:top w:val="nil"/>
              <w:left w:val="nil"/>
              <w:bottom w:val="single" w:sz="4" w:space="0" w:color="auto"/>
              <w:right w:val="single" w:sz="4" w:space="0" w:color="auto"/>
            </w:tcBorders>
            <w:shd w:val="clear" w:color="000000" w:fill="E4DFEC"/>
            <w:noWrap/>
            <w:vAlign w:val="bottom"/>
            <w:hideMark/>
          </w:tcPr>
          <w:p w14:paraId="62EC34C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40</w:t>
            </w:r>
          </w:p>
        </w:tc>
        <w:tc>
          <w:tcPr>
            <w:tcW w:w="966" w:type="dxa"/>
            <w:tcBorders>
              <w:top w:val="nil"/>
              <w:left w:val="nil"/>
              <w:bottom w:val="single" w:sz="4" w:space="0" w:color="auto"/>
              <w:right w:val="single" w:sz="4" w:space="0" w:color="auto"/>
            </w:tcBorders>
            <w:shd w:val="clear" w:color="000000" w:fill="E4DFEC"/>
            <w:noWrap/>
            <w:vAlign w:val="bottom"/>
            <w:hideMark/>
          </w:tcPr>
          <w:p w14:paraId="1AB23C3F"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631FDE5A"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0BD1F06D" w14:textId="5F62C359" w:rsidR="002B5322" w:rsidRPr="00701888" w:rsidRDefault="002B5322" w:rsidP="00B6335A">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iii. Reuniones del GECT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10013E0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50</w:t>
            </w:r>
          </w:p>
        </w:tc>
        <w:tc>
          <w:tcPr>
            <w:tcW w:w="966" w:type="dxa"/>
            <w:tcBorders>
              <w:top w:val="nil"/>
              <w:left w:val="nil"/>
              <w:bottom w:val="single" w:sz="4" w:space="0" w:color="auto"/>
              <w:right w:val="single" w:sz="4" w:space="0" w:color="auto"/>
            </w:tcBorders>
            <w:shd w:val="clear" w:color="000000" w:fill="E4DFEC"/>
            <w:noWrap/>
            <w:vAlign w:val="bottom"/>
            <w:hideMark/>
          </w:tcPr>
          <w:p w14:paraId="1AB5170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44</w:t>
            </w:r>
          </w:p>
        </w:tc>
        <w:tc>
          <w:tcPr>
            <w:tcW w:w="966" w:type="dxa"/>
            <w:tcBorders>
              <w:top w:val="nil"/>
              <w:left w:val="nil"/>
              <w:bottom w:val="single" w:sz="4" w:space="0" w:color="auto"/>
              <w:right w:val="single" w:sz="4" w:space="0" w:color="auto"/>
            </w:tcBorders>
            <w:shd w:val="clear" w:color="000000" w:fill="E4DFEC"/>
            <w:noWrap/>
            <w:vAlign w:val="bottom"/>
            <w:hideMark/>
          </w:tcPr>
          <w:p w14:paraId="3041B09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w:t>
            </w:r>
          </w:p>
        </w:tc>
      </w:tr>
      <w:tr w:rsidR="002B5322" w:rsidRPr="00701888" w14:paraId="7385F007"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58A21290" w14:textId="402E46DF" w:rsidR="002B5322" w:rsidRPr="00701888" w:rsidRDefault="002B5322" w:rsidP="00CF1C21">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iv. Viajes del GECT por asuntos oficiales (VSG del GECT)</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5CAEFF6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10</w:t>
            </w:r>
          </w:p>
        </w:tc>
        <w:tc>
          <w:tcPr>
            <w:tcW w:w="966" w:type="dxa"/>
            <w:tcBorders>
              <w:top w:val="nil"/>
              <w:left w:val="nil"/>
              <w:bottom w:val="single" w:sz="4" w:space="0" w:color="auto"/>
              <w:right w:val="single" w:sz="4" w:space="0" w:color="auto"/>
            </w:tcBorders>
            <w:shd w:val="clear" w:color="000000" w:fill="E4DFEC"/>
            <w:noWrap/>
            <w:vAlign w:val="bottom"/>
            <w:hideMark/>
          </w:tcPr>
          <w:p w14:paraId="4089954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7</w:t>
            </w:r>
          </w:p>
        </w:tc>
        <w:tc>
          <w:tcPr>
            <w:tcW w:w="966" w:type="dxa"/>
            <w:tcBorders>
              <w:top w:val="nil"/>
              <w:left w:val="nil"/>
              <w:bottom w:val="single" w:sz="4" w:space="0" w:color="auto"/>
              <w:right w:val="single" w:sz="4" w:space="0" w:color="auto"/>
            </w:tcBorders>
            <w:shd w:val="clear" w:color="000000" w:fill="E4DFEC"/>
            <w:noWrap/>
            <w:vAlign w:val="bottom"/>
            <w:hideMark/>
          </w:tcPr>
          <w:p w14:paraId="79314DE3"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w:t>
            </w:r>
          </w:p>
        </w:tc>
      </w:tr>
      <w:tr w:rsidR="002B5322" w:rsidRPr="00701888" w14:paraId="0B6B60CF"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vAlign w:val="bottom"/>
            <w:hideMark/>
          </w:tcPr>
          <w:p w14:paraId="74563267" w14:textId="1FE00494" w:rsidR="002B5322" w:rsidRPr="00701888" w:rsidRDefault="002B5322" w:rsidP="00725A00">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F. </w:t>
            </w:r>
            <w:r w:rsidR="00247C52" w:rsidRPr="00701888">
              <w:rPr>
                <w:rFonts w:ascii="Calibri" w:eastAsia="Times New Roman" w:hAnsi="Calibri"/>
                <w:color w:val="000000"/>
                <w:sz w:val="16"/>
                <w:szCs w:val="18"/>
                <w:lang w:val="es-ES_tradnl" w:eastAsia="en-GB"/>
              </w:rPr>
              <w:t>Comunicaciones, documentación,</w:t>
            </w:r>
            <w:r w:rsidRPr="00701888">
              <w:rPr>
                <w:rFonts w:ascii="Calibri" w:eastAsia="Times New Roman" w:hAnsi="Calibri"/>
                <w:color w:val="000000"/>
                <w:sz w:val="16"/>
                <w:szCs w:val="18"/>
                <w:lang w:val="es-ES_tradnl" w:eastAsia="en-GB"/>
              </w:rPr>
              <w:t xml:space="preserve"> CECoP</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29D88EF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589</w:t>
            </w:r>
          </w:p>
        </w:tc>
        <w:tc>
          <w:tcPr>
            <w:tcW w:w="966" w:type="dxa"/>
            <w:tcBorders>
              <w:top w:val="nil"/>
              <w:left w:val="nil"/>
              <w:bottom w:val="single" w:sz="4" w:space="0" w:color="auto"/>
              <w:right w:val="single" w:sz="4" w:space="0" w:color="auto"/>
            </w:tcBorders>
            <w:shd w:val="clear" w:color="000000" w:fill="B1A0C7"/>
            <w:noWrap/>
            <w:vAlign w:val="bottom"/>
            <w:hideMark/>
          </w:tcPr>
          <w:p w14:paraId="73F20CDF" w14:textId="5C1FAD71"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w:t>
            </w:r>
            <w:r w:rsidR="00B84E9B" w:rsidRPr="00701888">
              <w:rPr>
                <w:rFonts w:ascii="Calibri" w:eastAsia="Times New Roman" w:hAnsi="Calibri"/>
                <w:color w:val="000000"/>
                <w:sz w:val="16"/>
                <w:szCs w:val="18"/>
                <w:lang w:val="es-ES_tradnl" w:eastAsia="en-GB"/>
              </w:rPr>
              <w:t>90</w:t>
            </w:r>
          </w:p>
        </w:tc>
        <w:tc>
          <w:tcPr>
            <w:tcW w:w="966" w:type="dxa"/>
            <w:tcBorders>
              <w:top w:val="nil"/>
              <w:left w:val="nil"/>
              <w:bottom w:val="single" w:sz="4" w:space="0" w:color="auto"/>
              <w:right w:val="single" w:sz="4" w:space="0" w:color="auto"/>
            </w:tcBorders>
            <w:shd w:val="clear" w:color="000000" w:fill="B1A0C7"/>
            <w:noWrap/>
            <w:vAlign w:val="bottom"/>
            <w:hideMark/>
          </w:tcPr>
          <w:p w14:paraId="27E4B11D" w14:textId="2A2BAA7C"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p>
        </w:tc>
      </w:tr>
      <w:tr w:rsidR="002B5322" w:rsidRPr="00701888" w14:paraId="71B0BF0D"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316D8C50" w14:textId="406D79D2" w:rsidR="002B5322" w:rsidRPr="00701888" w:rsidRDefault="002B5322" w:rsidP="00E31CF7">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Salarios y gastos sociales (Responsable, oficial de documentación y oficial de comunicaciones)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52ACABD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434</w:t>
            </w:r>
          </w:p>
        </w:tc>
        <w:tc>
          <w:tcPr>
            <w:tcW w:w="966" w:type="dxa"/>
            <w:tcBorders>
              <w:top w:val="nil"/>
              <w:left w:val="nil"/>
              <w:bottom w:val="single" w:sz="4" w:space="0" w:color="auto"/>
              <w:right w:val="single" w:sz="4" w:space="0" w:color="auto"/>
            </w:tcBorders>
            <w:shd w:val="clear" w:color="000000" w:fill="E4DFEC"/>
            <w:noWrap/>
            <w:vAlign w:val="bottom"/>
            <w:hideMark/>
          </w:tcPr>
          <w:p w14:paraId="4549E5BF"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433</w:t>
            </w:r>
          </w:p>
        </w:tc>
        <w:tc>
          <w:tcPr>
            <w:tcW w:w="966" w:type="dxa"/>
            <w:tcBorders>
              <w:top w:val="nil"/>
              <w:left w:val="nil"/>
              <w:bottom w:val="single" w:sz="4" w:space="0" w:color="auto"/>
              <w:right w:val="single" w:sz="4" w:space="0" w:color="auto"/>
            </w:tcBorders>
            <w:shd w:val="clear" w:color="000000" w:fill="E4DFEC"/>
            <w:noWrap/>
            <w:vAlign w:val="bottom"/>
            <w:hideMark/>
          </w:tcPr>
          <w:p w14:paraId="3EFFAD8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p>
        </w:tc>
      </w:tr>
      <w:tr w:rsidR="002B5322" w:rsidRPr="00701888" w14:paraId="60191EE8"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249E399B" w14:textId="3BEBA251" w:rsidR="002B5322" w:rsidRPr="00701888" w:rsidRDefault="002B5322" w:rsidP="00725A00">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 Programa de CECoP</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514A7BA"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30</w:t>
            </w:r>
          </w:p>
        </w:tc>
        <w:tc>
          <w:tcPr>
            <w:tcW w:w="966" w:type="dxa"/>
            <w:tcBorders>
              <w:top w:val="nil"/>
              <w:left w:val="nil"/>
              <w:bottom w:val="single" w:sz="4" w:space="0" w:color="auto"/>
              <w:right w:val="single" w:sz="4" w:space="0" w:color="auto"/>
            </w:tcBorders>
            <w:shd w:val="clear" w:color="000000" w:fill="E4DFEC"/>
            <w:noWrap/>
            <w:vAlign w:val="bottom"/>
            <w:hideMark/>
          </w:tcPr>
          <w:p w14:paraId="64738227"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29</w:t>
            </w:r>
          </w:p>
        </w:tc>
        <w:tc>
          <w:tcPr>
            <w:tcW w:w="966" w:type="dxa"/>
            <w:tcBorders>
              <w:top w:val="nil"/>
              <w:left w:val="nil"/>
              <w:bottom w:val="single" w:sz="4" w:space="0" w:color="auto"/>
              <w:right w:val="single" w:sz="4" w:space="0" w:color="auto"/>
            </w:tcBorders>
            <w:shd w:val="clear" w:color="000000" w:fill="E4DFEC"/>
            <w:noWrap/>
            <w:vAlign w:val="bottom"/>
            <w:hideMark/>
          </w:tcPr>
          <w:p w14:paraId="3E550E7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p>
        </w:tc>
      </w:tr>
      <w:tr w:rsidR="002B5322" w:rsidRPr="00701888" w14:paraId="2035DB5D"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3EC39A26" w14:textId="0B26C86D" w:rsidR="002B5322" w:rsidRPr="00701888" w:rsidRDefault="002B5322" w:rsidP="003D4C9C">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iii. Comunicaciones, traducción, publicaciones y presentación de informes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70FD84E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120</w:t>
            </w:r>
          </w:p>
        </w:tc>
        <w:tc>
          <w:tcPr>
            <w:tcW w:w="966" w:type="dxa"/>
            <w:tcBorders>
              <w:top w:val="nil"/>
              <w:left w:val="nil"/>
              <w:bottom w:val="single" w:sz="4" w:space="0" w:color="auto"/>
              <w:right w:val="single" w:sz="4" w:space="0" w:color="auto"/>
            </w:tcBorders>
            <w:shd w:val="clear" w:color="000000" w:fill="E4DFEC"/>
            <w:noWrap/>
            <w:vAlign w:val="bottom"/>
            <w:hideMark/>
          </w:tcPr>
          <w:p w14:paraId="48E0C812" w14:textId="2EFFEEB2"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r w:rsidR="00B84E9B" w:rsidRPr="00701888">
              <w:rPr>
                <w:rFonts w:ascii="Calibri" w:eastAsia="Times New Roman" w:hAnsi="Calibri"/>
                <w:color w:val="000000"/>
                <w:sz w:val="16"/>
                <w:szCs w:val="18"/>
                <w:lang w:val="es-ES_tradnl" w:eastAsia="en-GB"/>
              </w:rPr>
              <w:t>22</w:t>
            </w:r>
          </w:p>
        </w:tc>
        <w:tc>
          <w:tcPr>
            <w:tcW w:w="966" w:type="dxa"/>
            <w:tcBorders>
              <w:top w:val="nil"/>
              <w:left w:val="nil"/>
              <w:bottom w:val="single" w:sz="4" w:space="0" w:color="auto"/>
              <w:right w:val="single" w:sz="4" w:space="0" w:color="auto"/>
            </w:tcBorders>
            <w:shd w:val="clear" w:color="000000" w:fill="E4DFEC"/>
            <w:noWrap/>
            <w:vAlign w:val="bottom"/>
            <w:hideMark/>
          </w:tcPr>
          <w:p w14:paraId="726823E4" w14:textId="683829B1"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w:t>
            </w:r>
          </w:p>
        </w:tc>
      </w:tr>
      <w:tr w:rsidR="002B5322" w:rsidRPr="00701888" w14:paraId="4C60827A"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4D2D4A3D" w14:textId="5C8F41B2"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iv. Viajes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5D85DCA0"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w:t>
            </w:r>
          </w:p>
        </w:tc>
        <w:tc>
          <w:tcPr>
            <w:tcW w:w="966" w:type="dxa"/>
            <w:tcBorders>
              <w:top w:val="nil"/>
              <w:left w:val="nil"/>
              <w:bottom w:val="single" w:sz="4" w:space="0" w:color="auto"/>
              <w:right w:val="single" w:sz="4" w:space="0" w:color="auto"/>
            </w:tcBorders>
            <w:shd w:val="clear" w:color="000000" w:fill="E4DFEC"/>
            <w:noWrap/>
            <w:vAlign w:val="bottom"/>
            <w:hideMark/>
          </w:tcPr>
          <w:p w14:paraId="736DD77D"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w:t>
            </w:r>
          </w:p>
        </w:tc>
        <w:tc>
          <w:tcPr>
            <w:tcW w:w="966" w:type="dxa"/>
            <w:tcBorders>
              <w:top w:val="nil"/>
              <w:left w:val="nil"/>
              <w:bottom w:val="single" w:sz="4" w:space="0" w:color="auto"/>
              <w:right w:val="single" w:sz="4" w:space="0" w:color="auto"/>
            </w:tcBorders>
            <w:shd w:val="clear" w:color="000000" w:fill="E4DFEC"/>
            <w:noWrap/>
            <w:vAlign w:val="bottom"/>
            <w:hideMark/>
          </w:tcPr>
          <w:p w14:paraId="57F0CFCB"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4BE83F86"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2D7A5318" w14:textId="626B50C6" w:rsidR="002B5322" w:rsidRPr="00701888" w:rsidRDefault="002B5322" w:rsidP="00046FF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G. Administración/SISR/Web</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48D29237"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898</w:t>
            </w:r>
          </w:p>
        </w:tc>
        <w:tc>
          <w:tcPr>
            <w:tcW w:w="966" w:type="dxa"/>
            <w:tcBorders>
              <w:top w:val="nil"/>
              <w:left w:val="nil"/>
              <w:bottom w:val="single" w:sz="4" w:space="0" w:color="auto"/>
              <w:right w:val="single" w:sz="4" w:space="0" w:color="auto"/>
            </w:tcBorders>
            <w:shd w:val="clear" w:color="000000" w:fill="B1A0C7"/>
            <w:noWrap/>
            <w:vAlign w:val="bottom"/>
            <w:hideMark/>
          </w:tcPr>
          <w:p w14:paraId="5140214B" w14:textId="2B74E6B3"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8</w:t>
            </w:r>
            <w:r w:rsidR="00B84E9B" w:rsidRPr="00701888">
              <w:rPr>
                <w:rFonts w:ascii="Calibri" w:eastAsia="Times New Roman" w:hAnsi="Calibri"/>
                <w:color w:val="000000"/>
                <w:sz w:val="16"/>
                <w:szCs w:val="18"/>
                <w:lang w:val="es-ES_tradnl" w:eastAsia="en-GB"/>
              </w:rPr>
              <w:t>58</w:t>
            </w:r>
          </w:p>
        </w:tc>
        <w:tc>
          <w:tcPr>
            <w:tcW w:w="966" w:type="dxa"/>
            <w:tcBorders>
              <w:top w:val="nil"/>
              <w:left w:val="nil"/>
              <w:bottom w:val="single" w:sz="4" w:space="0" w:color="auto"/>
              <w:right w:val="single" w:sz="4" w:space="0" w:color="auto"/>
            </w:tcBorders>
            <w:shd w:val="clear" w:color="000000" w:fill="B1A0C7"/>
            <w:noWrap/>
            <w:vAlign w:val="bottom"/>
            <w:hideMark/>
          </w:tcPr>
          <w:p w14:paraId="244A27DE" w14:textId="3EC3382B"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w:t>
            </w:r>
            <w:r w:rsidR="00B84E9B" w:rsidRPr="00701888">
              <w:rPr>
                <w:rFonts w:ascii="Calibri" w:eastAsia="Times New Roman" w:hAnsi="Calibri"/>
                <w:color w:val="000000"/>
                <w:sz w:val="16"/>
                <w:szCs w:val="18"/>
                <w:lang w:val="es-ES_tradnl" w:eastAsia="en-GB"/>
              </w:rPr>
              <w:t>40</w:t>
            </w:r>
          </w:p>
        </w:tc>
      </w:tr>
      <w:tr w:rsidR="002B5322" w:rsidRPr="00701888" w14:paraId="4C35072C"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27D9C349" w14:textId="7E0D85CC" w:rsidR="002B5322" w:rsidRPr="00701888" w:rsidRDefault="002B5322" w:rsidP="00E31CF7">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Salarios y gastos sociales (Oficial de finanzas, RRHH, 3 auxiliares administrativos, 2 temporales)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825858F"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629</w:t>
            </w:r>
          </w:p>
        </w:tc>
        <w:tc>
          <w:tcPr>
            <w:tcW w:w="966" w:type="dxa"/>
            <w:tcBorders>
              <w:top w:val="nil"/>
              <w:left w:val="nil"/>
              <w:bottom w:val="single" w:sz="4" w:space="0" w:color="auto"/>
              <w:right w:val="single" w:sz="4" w:space="0" w:color="auto"/>
            </w:tcBorders>
            <w:shd w:val="clear" w:color="000000" w:fill="E4DFEC"/>
            <w:noWrap/>
            <w:vAlign w:val="bottom"/>
            <w:hideMark/>
          </w:tcPr>
          <w:p w14:paraId="0281A81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586</w:t>
            </w:r>
          </w:p>
        </w:tc>
        <w:tc>
          <w:tcPr>
            <w:tcW w:w="966" w:type="dxa"/>
            <w:tcBorders>
              <w:top w:val="nil"/>
              <w:left w:val="nil"/>
              <w:bottom w:val="single" w:sz="4" w:space="0" w:color="auto"/>
              <w:right w:val="single" w:sz="4" w:space="0" w:color="auto"/>
            </w:tcBorders>
            <w:shd w:val="clear" w:color="000000" w:fill="E4DFEC"/>
            <w:noWrap/>
            <w:vAlign w:val="bottom"/>
            <w:hideMark/>
          </w:tcPr>
          <w:p w14:paraId="4319B4AC" w14:textId="4DA4528D"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w:t>
            </w:r>
            <w:r w:rsidR="007A756D">
              <w:rPr>
                <w:rFonts w:ascii="Calibri" w:eastAsia="Times New Roman" w:hAnsi="Calibri"/>
                <w:color w:val="000000"/>
                <w:sz w:val="16"/>
                <w:szCs w:val="18"/>
                <w:lang w:val="es-ES_tradnl" w:eastAsia="en-GB"/>
              </w:rPr>
              <w:t>4</w:t>
            </w:r>
            <w:r w:rsidRPr="00701888">
              <w:rPr>
                <w:rFonts w:ascii="Calibri" w:eastAsia="Times New Roman" w:hAnsi="Calibri"/>
                <w:color w:val="000000"/>
                <w:sz w:val="16"/>
                <w:szCs w:val="18"/>
                <w:lang w:val="es-ES_tradnl" w:eastAsia="en-GB"/>
              </w:rPr>
              <w:t>3</w:t>
            </w:r>
          </w:p>
        </w:tc>
      </w:tr>
      <w:tr w:rsidR="002B5322" w:rsidRPr="00701888" w14:paraId="0F181E93"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296107EA" w14:textId="20F13F9B" w:rsidR="002B5322" w:rsidRPr="00701888" w:rsidRDefault="002B5322" w:rsidP="003D4C9C">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 Costos de contratación y separación del personal***</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0A796930"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25</w:t>
            </w:r>
          </w:p>
        </w:tc>
        <w:tc>
          <w:tcPr>
            <w:tcW w:w="966" w:type="dxa"/>
            <w:tcBorders>
              <w:top w:val="nil"/>
              <w:left w:val="nil"/>
              <w:bottom w:val="single" w:sz="4" w:space="0" w:color="auto"/>
              <w:right w:val="single" w:sz="4" w:space="0" w:color="auto"/>
            </w:tcBorders>
            <w:shd w:val="clear" w:color="000000" w:fill="E4DFEC"/>
            <w:noWrap/>
            <w:vAlign w:val="bottom"/>
            <w:hideMark/>
          </w:tcPr>
          <w:p w14:paraId="6EC50D5B" w14:textId="7F4EC71C"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28</w:t>
            </w:r>
          </w:p>
        </w:tc>
        <w:tc>
          <w:tcPr>
            <w:tcW w:w="966" w:type="dxa"/>
            <w:tcBorders>
              <w:top w:val="nil"/>
              <w:left w:val="nil"/>
              <w:bottom w:val="single" w:sz="4" w:space="0" w:color="auto"/>
              <w:right w:val="single" w:sz="4" w:space="0" w:color="auto"/>
            </w:tcBorders>
            <w:shd w:val="clear" w:color="000000" w:fill="E4DFEC"/>
            <w:noWrap/>
            <w:vAlign w:val="bottom"/>
            <w:hideMark/>
          </w:tcPr>
          <w:p w14:paraId="189E61BC" w14:textId="77F27491" w:rsidR="002B5322" w:rsidRPr="00701888" w:rsidRDefault="007A756D" w:rsidP="00A56B73">
            <w:pPr>
              <w:jc w:val="right"/>
              <w:rPr>
                <w:rFonts w:ascii="Calibri" w:eastAsia="Times New Roman" w:hAnsi="Calibri"/>
                <w:color w:val="000000"/>
                <w:sz w:val="16"/>
                <w:szCs w:val="18"/>
                <w:lang w:val="es-ES_tradnl" w:eastAsia="en-GB"/>
              </w:rPr>
            </w:pPr>
            <w:r>
              <w:rPr>
                <w:rFonts w:ascii="Calibri" w:eastAsia="Times New Roman" w:hAnsi="Calibri"/>
                <w:color w:val="000000"/>
                <w:sz w:val="16"/>
                <w:szCs w:val="18"/>
                <w:lang w:val="es-ES_tradnl" w:eastAsia="en-GB"/>
              </w:rPr>
              <w:t>3</w:t>
            </w:r>
          </w:p>
        </w:tc>
      </w:tr>
      <w:tr w:rsidR="002B5322" w:rsidRPr="00701888" w14:paraId="29FA4611"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2B59A680" w14:textId="016BE720" w:rsidR="002B5322" w:rsidRPr="00701888" w:rsidRDefault="002B5322" w:rsidP="003D4C9C">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iii. Otras prestaciones laborales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29553FB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w:t>
            </w:r>
          </w:p>
        </w:tc>
        <w:tc>
          <w:tcPr>
            <w:tcW w:w="966" w:type="dxa"/>
            <w:tcBorders>
              <w:top w:val="nil"/>
              <w:left w:val="nil"/>
              <w:bottom w:val="single" w:sz="4" w:space="0" w:color="auto"/>
              <w:right w:val="single" w:sz="4" w:space="0" w:color="auto"/>
            </w:tcBorders>
            <w:shd w:val="clear" w:color="000000" w:fill="E4DFEC"/>
            <w:noWrap/>
            <w:vAlign w:val="bottom"/>
            <w:hideMark/>
          </w:tcPr>
          <w:p w14:paraId="467A0055"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w:t>
            </w:r>
          </w:p>
        </w:tc>
        <w:tc>
          <w:tcPr>
            <w:tcW w:w="966" w:type="dxa"/>
            <w:tcBorders>
              <w:top w:val="nil"/>
              <w:left w:val="nil"/>
              <w:bottom w:val="single" w:sz="4" w:space="0" w:color="auto"/>
              <w:right w:val="single" w:sz="4" w:space="0" w:color="auto"/>
            </w:tcBorders>
            <w:shd w:val="clear" w:color="000000" w:fill="E4DFEC"/>
            <w:noWrap/>
            <w:vAlign w:val="bottom"/>
            <w:hideMark/>
          </w:tcPr>
          <w:p w14:paraId="516BA734"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3EF09E58"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015EBB4B" w14:textId="46679FC9" w:rsidR="002B5322" w:rsidRPr="00701888" w:rsidRDefault="002B5322" w:rsidP="00046FF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v. Servicio de información sobre sitios Ramsar</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2A43D9CE"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150</w:t>
            </w:r>
          </w:p>
        </w:tc>
        <w:tc>
          <w:tcPr>
            <w:tcW w:w="966" w:type="dxa"/>
            <w:tcBorders>
              <w:top w:val="nil"/>
              <w:left w:val="nil"/>
              <w:bottom w:val="single" w:sz="4" w:space="0" w:color="auto"/>
              <w:right w:val="single" w:sz="4" w:space="0" w:color="auto"/>
            </w:tcBorders>
            <w:shd w:val="clear" w:color="000000" w:fill="E4DFEC"/>
            <w:noWrap/>
            <w:vAlign w:val="bottom"/>
            <w:hideMark/>
          </w:tcPr>
          <w:p w14:paraId="0807781A" w14:textId="0C398AA4"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r w:rsidR="00B84E9B" w:rsidRPr="00701888">
              <w:rPr>
                <w:rFonts w:ascii="Calibri" w:eastAsia="Times New Roman" w:hAnsi="Calibri"/>
                <w:color w:val="000000"/>
                <w:sz w:val="16"/>
                <w:szCs w:val="18"/>
                <w:lang w:val="es-ES_tradnl" w:eastAsia="en-GB"/>
              </w:rPr>
              <w:t>45</w:t>
            </w:r>
          </w:p>
        </w:tc>
        <w:tc>
          <w:tcPr>
            <w:tcW w:w="966" w:type="dxa"/>
            <w:tcBorders>
              <w:top w:val="nil"/>
              <w:left w:val="nil"/>
              <w:bottom w:val="single" w:sz="4" w:space="0" w:color="auto"/>
              <w:right w:val="single" w:sz="4" w:space="0" w:color="auto"/>
            </w:tcBorders>
            <w:shd w:val="clear" w:color="000000" w:fill="E4DFEC"/>
            <w:noWrap/>
            <w:vAlign w:val="bottom"/>
            <w:hideMark/>
          </w:tcPr>
          <w:p w14:paraId="21972845" w14:textId="2B6EC99A" w:rsidR="002B5322" w:rsidRPr="00701888" w:rsidRDefault="007A756D" w:rsidP="00A56B73">
            <w:pPr>
              <w:jc w:val="right"/>
              <w:rPr>
                <w:rFonts w:ascii="Calibri" w:eastAsia="Times New Roman" w:hAnsi="Calibri"/>
                <w:color w:val="000000"/>
                <w:sz w:val="16"/>
                <w:szCs w:val="18"/>
                <w:lang w:val="es-ES_tradnl" w:eastAsia="en-GB"/>
              </w:rPr>
            </w:pPr>
            <w:r>
              <w:rPr>
                <w:rFonts w:ascii="Calibri" w:eastAsia="Times New Roman" w:hAnsi="Calibri"/>
                <w:color w:val="000000"/>
                <w:sz w:val="16"/>
                <w:szCs w:val="18"/>
                <w:lang w:val="es-ES_tradnl" w:eastAsia="en-GB"/>
              </w:rPr>
              <w:t>-</w:t>
            </w:r>
            <w:r w:rsidR="00B84E9B" w:rsidRPr="00701888">
              <w:rPr>
                <w:rFonts w:ascii="Calibri" w:eastAsia="Times New Roman" w:hAnsi="Calibri"/>
                <w:color w:val="000000"/>
                <w:sz w:val="16"/>
                <w:szCs w:val="18"/>
                <w:lang w:val="es-ES_tradnl" w:eastAsia="en-GB"/>
              </w:rPr>
              <w:t>5</w:t>
            </w:r>
          </w:p>
        </w:tc>
      </w:tr>
      <w:tr w:rsidR="002B5322" w:rsidRPr="00701888" w14:paraId="7C6FB559"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2FF76BCD" w14:textId="7867AF6E" w:rsidR="002B5322" w:rsidRPr="00701888" w:rsidRDefault="002B5322" w:rsidP="00046FF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vi. Apoyo de la Web/tecnologías de la información, además del apoyo proporcionado por la UICN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41EF60C1"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90</w:t>
            </w:r>
          </w:p>
        </w:tc>
        <w:tc>
          <w:tcPr>
            <w:tcW w:w="966" w:type="dxa"/>
            <w:tcBorders>
              <w:top w:val="nil"/>
              <w:left w:val="nil"/>
              <w:bottom w:val="single" w:sz="4" w:space="0" w:color="auto"/>
              <w:right w:val="single" w:sz="4" w:space="0" w:color="auto"/>
            </w:tcBorders>
            <w:shd w:val="clear" w:color="000000" w:fill="E4DFEC"/>
            <w:noWrap/>
            <w:vAlign w:val="bottom"/>
            <w:hideMark/>
          </w:tcPr>
          <w:p w14:paraId="175F9851" w14:textId="09D713E6"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94</w:t>
            </w:r>
          </w:p>
        </w:tc>
        <w:tc>
          <w:tcPr>
            <w:tcW w:w="966" w:type="dxa"/>
            <w:tcBorders>
              <w:top w:val="nil"/>
              <w:left w:val="nil"/>
              <w:bottom w:val="single" w:sz="4" w:space="0" w:color="auto"/>
              <w:right w:val="single" w:sz="4" w:space="0" w:color="auto"/>
            </w:tcBorders>
            <w:shd w:val="clear" w:color="000000" w:fill="E4DFEC"/>
            <w:noWrap/>
            <w:vAlign w:val="bottom"/>
            <w:hideMark/>
          </w:tcPr>
          <w:p w14:paraId="49632AD9" w14:textId="1B23225E"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w:t>
            </w:r>
          </w:p>
        </w:tc>
      </w:tr>
      <w:tr w:rsidR="002B5322" w:rsidRPr="00701888" w14:paraId="0072C6D4"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648D1476" w14:textId="79120F5A" w:rsidR="002B5322" w:rsidRPr="00701888" w:rsidRDefault="002B5322" w:rsidP="00506700">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H. Gastos de funcionamiento</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1356D9E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95</w:t>
            </w:r>
          </w:p>
        </w:tc>
        <w:tc>
          <w:tcPr>
            <w:tcW w:w="966" w:type="dxa"/>
            <w:tcBorders>
              <w:top w:val="nil"/>
              <w:left w:val="nil"/>
              <w:bottom w:val="single" w:sz="4" w:space="0" w:color="auto"/>
              <w:right w:val="single" w:sz="4" w:space="0" w:color="auto"/>
            </w:tcBorders>
            <w:shd w:val="clear" w:color="000000" w:fill="B1A0C7"/>
            <w:noWrap/>
            <w:vAlign w:val="bottom"/>
            <w:hideMark/>
          </w:tcPr>
          <w:p w14:paraId="05F1F6A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94</w:t>
            </w:r>
          </w:p>
        </w:tc>
        <w:tc>
          <w:tcPr>
            <w:tcW w:w="966" w:type="dxa"/>
            <w:tcBorders>
              <w:top w:val="nil"/>
              <w:left w:val="nil"/>
              <w:bottom w:val="single" w:sz="4" w:space="0" w:color="auto"/>
              <w:right w:val="single" w:sz="4" w:space="0" w:color="auto"/>
            </w:tcBorders>
            <w:shd w:val="clear" w:color="000000" w:fill="B1A0C7"/>
            <w:noWrap/>
            <w:vAlign w:val="bottom"/>
            <w:hideMark/>
          </w:tcPr>
          <w:p w14:paraId="2E90B4BF"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p>
        </w:tc>
      </w:tr>
      <w:tr w:rsidR="002B5322" w:rsidRPr="00701888" w14:paraId="123A7FF3"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4E425269" w14:textId="77FE364C" w:rsidR="002B5322" w:rsidRPr="00701888" w:rsidRDefault="002B5322" w:rsidP="00506700">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Fotocopias, imprenta, mensajería</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160641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80</w:t>
            </w:r>
          </w:p>
        </w:tc>
        <w:tc>
          <w:tcPr>
            <w:tcW w:w="966" w:type="dxa"/>
            <w:tcBorders>
              <w:top w:val="nil"/>
              <w:left w:val="nil"/>
              <w:bottom w:val="single" w:sz="4" w:space="0" w:color="auto"/>
              <w:right w:val="single" w:sz="4" w:space="0" w:color="auto"/>
            </w:tcBorders>
            <w:shd w:val="clear" w:color="000000" w:fill="E4DFEC"/>
            <w:noWrap/>
            <w:vAlign w:val="bottom"/>
            <w:hideMark/>
          </w:tcPr>
          <w:p w14:paraId="49ED3C92" w14:textId="2DEA3263"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7</w:t>
            </w:r>
            <w:r w:rsidR="00B84E9B" w:rsidRPr="00701888">
              <w:rPr>
                <w:rFonts w:ascii="Calibri" w:eastAsia="Times New Roman" w:hAnsi="Calibri"/>
                <w:color w:val="000000"/>
                <w:sz w:val="16"/>
                <w:szCs w:val="18"/>
                <w:lang w:val="es-ES_tradnl" w:eastAsia="en-GB"/>
              </w:rPr>
              <w:t>9</w:t>
            </w:r>
          </w:p>
        </w:tc>
        <w:tc>
          <w:tcPr>
            <w:tcW w:w="966" w:type="dxa"/>
            <w:tcBorders>
              <w:top w:val="nil"/>
              <w:left w:val="nil"/>
              <w:bottom w:val="single" w:sz="4" w:space="0" w:color="auto"/>
              <w:right w:val="single" w:sz="4" w:space="0" w:color="auto"/>
            </w:tcBorders>
            <w:shd w:val="clear" w:color="000000" w:fill="E4DFEC"/>
            <w:noWrap/>
            <w:vAlign w:val="bottom"/>
            <w:hideMark/>
          </w:tcPr>
          <w:p w14:paraId="2D3981EF" w14:textId="0C9BC953"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w:t>
            </w:r>
            <w:r w:rsidR="00B84E9B" w:rsidRPr="00701888">
              <w:rPr>
                <w:rFonts w:ascii="Calibri" w:eastAsia="Times New Roman" w:hAnsi="Calibri"/>
                <w:color w:val="000000"/>
                <w:sz w:val="16"/>
                <w:szCs w:val="18"/>
                <w:lang w:val="es-ES_tradnl" w:eastAsia="en-GB"/>
              </w:rPr>
              <w:t>1</w:t>
            </w:r>
          </w:p>
        </w:tc>
      </w:tr>
      <w:tr w:rsidR="002B5322" w:rsidRPr="00701888" w14:paraId="77937A05"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694B43BF" w14:textId="3C2E288E" w:rsidR="002B5322" w:rsidRPr="00701888" w:rsidRDefault="002B5322" w:rsidP="008F04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ii. Adquisición y mantenimiento de equipos/material de oficina (incluye la depreciación)</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0772F89E"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15</w:t>
            </w:r>
          </w:p>
        </w:tc>
        <w:tc>
          <w:tcPr>
            <w:tcW w:w="966" w:type="dxa"/>
            <w:tcBorders>
              <w:top w:val="nil"/>
              <w:left w:val="nil"/>
              <w:bottom w:val="single" w:sz="4" w:space="0" w:color="auto"/>
              <w:right w:val="single" w:sz="4" w:space="0" w:color="auto"/>
            </w:tcBorders>
            <w:shd w:val="clear" w:color="000000" w:fill="E4DFEC"/>
            <w:noWrap/>
            <w:vAlign w:val="bottom"/>
            <w:hideMark/>
          </w:tcPr>
          <w:p w14:paraId="60B86D09" w14:textId="4F8721F5"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r w:rsidR="00B84E9B" w:rsidRPr="00701888">
              <w:rPr>
                <w:rFonts w:ascii="Calibri" w:eastAsia="Times New Roman" w:hAnsi="Calibri"/>
                <w:color w:val="000000"/>
                <w:sz w:val="16"/>
                <w:szCs w:val="18"/>
                <w:lang w:val="es-ES_tradnl" w:eastAsia="en-GB"/>
              </w:rPr>
              <w:t>5</w:t>
            </w:r>
          </w:p>
        </w:tc>
        <w:tc>
          <w:tcPr>
            <w:tcW w:w="966" w:type="dxa"/>
            <w:tcBorders>
              <w:top w:val="nil"/>
              <w:left w:val="nil"/>
              <w:bottom w:val="single" w:sz="4" w:space="0" w:color="auto"/>
              <w:right w:val="single" w:sz="4" w:space="0" w:color="auto"/>
            </w:tcBorders>
            <w:shd w:val="clear" w:color="000000" w:fill="E4DFEC"/>
            <w:noWrap/>
            <w:vAlign w:val="bottom"/>
            <w:hideMark/>
          </w:tcPr>
          <w:p w14:paraId="1E3BCF7C" w14:textId="5438D436" w:rsidR="002B5322" w:rsidRPr="00701888" w:rsidRDefault="002B5322" w:rsidP="00A56B73">
            <w:pPr>
              <w:jc w:val="right"/>
              <w:rPr>
                <w:rFonts w:ascii="Calibri" w:eastAsia="Times New Roman" w:hAnsi="Calibri"/>
                <w:color w:val="000000"/>
                <w:sz w:val="16"/>
                <w:szCs w:val="18"/>
                <w:lang w:val="es-ES_tradnl" w:eastAsia="en-GB"/>
              </w:rPr>
            </w:pPr>
          </w:p>
        </w:tc>
      </w:tr>
      <w:tr w:rsidR="002B5322" w:rsidRPr="00701888" w14:paraId="2791883B"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6FBD17EF" w14:textId="31799FEE" w:rsidR="002B5322" w:rsidRPr="00701888" w:rsidRDefault="002B5322" w:rsidP="007D3E69">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 Servicios del Comité Permanente </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444C316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85</w:t>
            </w:r>
          </w:p>
        </w:tc>
        <w:tc>
          <w:tcPr>
            <w:tcW w:w="966" w:type="dxa"/>
            <w:tcBorders>
              <w:top w:val="nil"/>
              <w:left w:val="nil"/>
              <w:bottom w:val="single" w:sz="4" w:space="0" w:color="auto"/>
              <w:right w:val="single" w:sz="4" w:space="0" w:color="auto"/>
            </w:tcBorders>
            <w:shd w:val="clear" w:color="000000" w:fill="B1A0C7"/>
            <w:noWrap/>
            <w:vAlign w:val="bottom"/>
            <w:hideMark/>
          </w:tcPr>
          <w:p w14:paraId="3A10D0FB"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85</w:t>
            </w:r>
          </w:p>
        </w:tc>
        <w:tc>
          <w:tcPr>
            <w:tcW w:w="966" w:type="dxa"/>
            <w:tcBorders>
              <w:top w:val="nil"/>
              <w:left w:val="nil"/>
              <w:bottom w:val="single" w:sz="4" w:space="0" w:color="auto"/>
              <w:right w:val="single" w:sz="4" w:space="0" w:color="auto"/>
            </w:tcBorders>
            <w:shd w:val="clear" w:color="000000" w:fill="B1A0C7"/>
            <w:noWrap/>
            <w:vAlign w:val="bottom"/>
            <w:hideMark/>
          </w:tcPr>
          <w:p w14:paraId="322DF15F"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73B7AB31"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1523F430" w14:textId="6F4313E8" w:rsidR="002B5322" w:rsidRPr="00701888" w:rsidRDefault="002B5322" w:rsidP="007D3E69">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 Apoyo a los delegados del Comité Permanente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1F5B841F"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44</w:t>
            </w:r>
          </w:p>
        </w:tc>
        <w:tc>
          <w:tcPr>
            <w:tcW w:w="966" w:type="dxa"/>
            <w:tcBorders>
              <w:top w:val="nil"/>
              <w:left w:val="nil"/>
              <w:bottom w:val="single" w:sz="4" w:space="0" w:color="auto"/>
              <w:right w:val="single" w:sz="4" w:space="0" w:color="auto"/>
            </w:tcBorders>
            <w:shd w:val="clear" w:color="000000" w:fill="E4DFEC"/>
            <w:noWrap/>
            <w:vAlign w:val="bottom"/>
            <w:hideMark/>
          </w:tcPr>
          <w:p w14:paraId="14E852F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43</w:t>
            </w:r>
          </w:p>
        </w:tc>
        <w:tc>
          <w:tcPr>
            <w:tcW w:w="966" w:type="dxa"/>
            <w:tcBorders>
              <w:top w:val="nil"/>
              <w:left w:val="nil"/>
              <w:bottom w:val="single" w:sz="4" w:space="0" w:color="auto"/>
              <w:right w:val="single" w:sz="4" w:space="0" w:color="auto"/>
            </w:tcBorders>
            <w:shd w:val="clear" w:color="000000" w:fill="E4DFEC"/>
            <w:noWrap/>
            <w:vAlign w:val="bottom"/>
            <w:hideMark/>
          </w:tcPr>
          <w:p w14:paraId="2FC3559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p>
        </w:tc>
      </w:tr>
      <w:tr w:rsidR="002B5322" w:rsidRPr="00701888" w14:paraId="3D93EC8C"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682F641E" w14:textId="1DE12137" w:rsidR="002B5322" w:rsidRPr="00701888" w:rsidRDefault="002B5322" w:rsidP="00725A00">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ii. Reuniones del Comité Permanente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7D20D3B2"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w:t>
            </w:r>
          </w:p>
        </w:tc>
        <w:tc>
          <w:tcPr>
            <w:tcW w:w="966" w:type="dxa"/>
            <w:tcBorders>
              <w:top w:val="nil"/>
              <w:left w:val="nil"/>
              <w:bottom w:val="single" w:sz="4" w:space="0" w:color="auto"/>
              <w:right w:val="single" w:sz="4" w:space="0" w:color="auto"/>
            </w:tcBorders>
            <w:shd w:val="clear" w:color="000000" w:fill="E4DFEC"/>
            <w:noWrap/>
            <w:vAlign w:val="bottom"/>
            <w:hideMark/>
          </w:tcPr>
          <w:p w14:paraId="6F665D14"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w:t>
            </w:r>
          </w:p>
        </w:tc>
        <w:tc>
          <w:tcPr>
            <w:tcW w:w="966" w:type="dxa"/>
            <w:tcBorders>
              <w:top w:val="nil"/>
              <w:left w:val="nil"/>
              <w:bottom w:val="single" w:sz="4" w:space="0" w:color="auto"/>
              <w:right w:val="single" w:sz="4" w:space="0" w:color="auto"/>
            </w:tcBorders>
            <w:shd w:val="clear" w:color="000000" w:fill="E4DFEC"/>
            <w:noWrap/>
            <w:vAlign w:val="bottom"/>
            <w:hideMark/>
          </w:tcPr>
          <w:p w14:paraId="450DCD90"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4B94D344"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6EE68B87" w14:textId="574F53CC" w:rsidR="002B5322" w:rsidRPr="00701888" w:rsidRDefault="002B5322" w:rsidP="00725A00">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iii. Interpretación simultánea en las reuniones del Comité Permanente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1D839DA0"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35</w:t>
            </w:r>
          </w:p>
        </w:tc>
        <w:tc>
          <w:tcPr>
            <w:tcW w:w="966" w:type="dxa"/>
            <w:tcBorders>
              <w:top w:val="nil"/>
              <w:left w:val="nil"/>
              <w:bottom w:val="single" w:sz="4" w:space="0" w:color="auto"/>
              <w:right w:val="single" w:sz="4" w:space="0" w:color="auto"/>
            </w:tcBorders>
            <w:shd w:val="clear" w:color="000000" w:fill="E4DFEC"/>
            <w:noWrap/>
            <w:vAlign w:val="bottom"/>
            <w:hideMark/>
          </w:tcPr>
          <w:p w14:paraId="5D42C60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36</w:t>
            </w:r>
          </w:p>
        </w:tc>
        <w:tc>
          <w:tcPr>
            <w:tcW w:w="966" w:type="dxa"/>
            <w:tcBorders>
              <w:top w:val="nil"/>
              <w:left w:val="nil"/>
              <w:bottom w:val="single" w:sz="4" w:space="0" w:color="auto"/>
              <w:right w:val="single" w:sz="4" w:space="0" w:color="auto"/>
            </w:tcBorders>
            <w:shd w:val="clear" w:color="000000" w:fill="E4DFEC"/>
            <w:noWrap/>
            <w:vAlign w:val="bottom"/>
            <w:hideMark/>
          </w:tcPr>
          <w:p w14:paraId="65B428F9"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p>
        </w:tc>
      </w:tr>
      <w:tr w:rsidR="002B5322" w:rsidRPr="00701888" w14:paraId="745FDFB2"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vAlign w:val="bottom"/>
            <w:hideMark/>
          </w:tcPr>
          <w:p w14:paraId="2779A661" w14:textId="76628634" w:rsidR="002B5322" w:rsidRPr="00701888" w:rsidRDefault="002B5322" w:rsidP="003E37A6">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J. Gastos por servicios administrativos de la UICN (máximo)</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00F0A671"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566</w:t>
            </w:r>
          </w:p>
        </w:tc>
        <w:tc>
          <w:tcPr>
            <w:tcW w:w="966" w:type="dxa"/>
            <w:tcBorders>
              <w:top w:val="nil"/>
              <w:left w:val="nil"/>
              <w:bottom w:val="single" w:sz="4" w:space="0" w:color="auto"/>
              <w:right w:val="single" w:sz="4" w:space="0" w:color="auto"/>
            </w:tcBorders>
            <w:shd w:val="clear" w:color="000000" w:fill="B1A0C7"/>
            <w:noWrap/>
            <w:vAlign w:val="bottom"/>
            <w:hideMark/>
          </w:tcPr>
          <w:p w14:paraId="2B2DF04E" w14:textId="0E2EA5AC"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w:t>
            </w:r>
            <w:r w:rsidR="00B84E9B" w:rsidRPr="00701888">
              <w:rPr>
                <w:rFonts w:ascii="Calibri" w:eastAsia="Times New Roman" w:hAnsi="Calibri"/>
                <w:color w:val="000000"/>
                <w:sz w:val="16"/>
                <w:szCs w:val="18"/>
                <w:lang w:val="es-ES_tradnl" w:eastAsia="en-GB"/>
              </w:rPr>
              <w:t>46</w:t>
            </w:r>
          </w:p>
        </w:tc>
        <w:tc>
          <w:tcPr>
            <w:tcW w:w="966" w:type="dxa"/>
            <w:tcBorders>
              <w:top w:val="nil"/>
              <w:left w:val="nil"/>
              <w:bottom w:val="single" w:sz="4" w:space="0" w:color="auto"/>
              <w:right w:val="single" w:sz="4" w:space="0" w:color="auto"/>
            </w:tcBorders>
            <w:shd w:val="clear" w:color="000000" w:fill="B1A0C7"/>
            <w:noWrap/>
            <w:vAlign w:val="bottom"/>
            <w:hideMark/>
          </w:tcPr>
          <w:p w14:paraId="1C689D1B" w14:textId="2E968004"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w:t>
            </w:r>
            <w:r w:rsidR="00B84E9B" w:rsidRPr="00701888">
              <w:rPr>
                <w:rFonts w:ascii="Calibri" w:eastAsia="Times New Roman" w:hAnsi="Calibri"/>
                <w:color w:val="000000"/>
                <w:sz w:val="16"/>
                <w:szCs w:val="18"/>
                <w:lang w:val="es-ES_tradnl" w:eastAsia="en-GB"/>
              </w:rPr>
              <w:t>20</w:t>
            </w:r>
          </w:p>
        </w:tc>
      </w:tr>
      <w:tr w:rsidR="002B5322" w:rsidRPr="00701888" w14:paraId="41832127"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1D15B1C8" w14:textId="33345204" w:rsidR="002B5322" w:rsidRPr="00701888" w:rsidRDefault="002B5322" w:rsidP="003E37A6">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Administración, RR.HH., finanzas y servicios de tecnologías de la información</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451F622"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566</w:t>
            </w:r>
          </w:p>
        </w:tc>
        <w:tc>
          <w:tcPr>
            <w:tcW w:w="966" w:type="dxa"/>
            <w:tcBorders>
              <w:top w:val="nil"/>
              <w:left w:val="nil"/>
              <w:bottom w:val="single" w:sz="4" w:space="0" w:color="auto"/>
              <w:right w:val="single" w:sz="4" w:space="0" w:color="auto"/>
            </w:tcBorders>
            <w:shd w:val="clear" w:color="000000" w:fill="E4DFEC"/>
            <w:noWrap/>
            <w:vAlign w:val="bottom"/>
            <w:hideMark/>
          </w:tcPr>
          <w:p w14:paraId="375C6433" w14:textId="5EB9ECB2"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w:t>
            </w:r>
            <w:r w:rsidR="00B84E9B" w:rsidRPr="00701888">
              <w:rPr>
                <w:rFonts w:ascii="Calibri" w:eastAsia="Times New Roman" w:hAnsi="Calibri"/>
                <w:color w:val="000000"/>
                <w:sz w:val="16"/>
                <w:szCs w:val="18"/>
                <w:lang w:val="es-ES_tradnl" w:eastAsia="en-GB"/>
              </w:rPr>
              <w:t>46</w:t>
            </w:r>
          </w:p>
        </w:tc>
        <w:tc>
          <w:tcPr>
            <w:tcW w:w="966" w:type="dxa"/>
            <w:tcBorders>
              <w:top w:val="nil"/>
              <w:left w:val="nil"/>
              <w:bottom w:val="single" w:sz="4" w:space="0" w:color="auto"/>
              <w:right w:val="single" w:sz="4" w:space="0" w:color="auto"/>
            </w:tcBorders>
            <w:shd w:val="clear" w:color="000000" w:fill="E4DFEC"/>
            <w:noWrap/>
            <w:vAlign w:val="bottom"/>
            <w:hideMark/>
          </w:tcPr>
          <w:p w14:paraId="6E7CB6F1" w14:textId="1DBA614D"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w:t>
            </w:r>
            <w:r w:rsidR="00B84E9B" w:rsidRPr="00701888">
              <w:rPr>
                <w:rFonts w:ascii="Calibri" w:eastAsia="Times New Roman" w:hAnsi="Calibri"/>
                <w:color w:val="000000"/>
                <w:sz w:val="16"/>
                <w:szCs w:val="18"/>
                <w:lang w:val="es-ES_tradnl" w:eastAsia="en-GB"/>
              </w:rPr>
              <w:t>20</w:t>
            </w:r>
          </w:p>
        </w:tc>
      </w:tr>
      <w:tr w:rsidR="002B5322" w:rsidRPr="00701888" w14:paraId="1C1B3AE5"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CCC0DA"/>
            <w:noWrap/>
            <w:vAlign w:val="bottom"/>
            <w:hideMark/>
          </w:tcPr>
          <w:p w14:paraId="5E9BBAB2" w14:textId="70A8580B" w:rsidR="002B5322" w:rsidRPr="00701888" w:rsidRDefault="002B5322" w:rsidP="003E37A6">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K. Varios – Fondo de reserva</w:t>
            </w:r>
          </w:p>
        </w:tc>
        <w:tc>
          <w:tcPr>
            <w:tcW w:w="966" w:type="dxa"/>
            <w:tcBorders>
              <w:top w:val="nil"/>
              <w:left w:val="single" w:sz="4" w:space="0" w:color="auto"/>
              <w:bottom w:val="single" w:sz="4" w:space="0" w:color="auto"/>
              <w:right w:val="single" w:sz="4" w:space="0" w:color="auto"/>
            </w:tcBorders>
            <w:shd w:val="clear" w:color="000000" w:fill="B1A0C7"/>
            <w:noWrap/>
            <w:vAlign w:val="bottom"/>
            <w:hideMark/>
          </w:tcPr>
          <w:p w14:paraId="17561D3A"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110</w:t>
            </w:r>
          </w:p>
        </w:tc>
        <w:tc>
          <w:tcPr>
            <w:tcW w:w="966" w:type="dxa"/>
            <w:tcBorders>
              <w:top w:val="nil"/>
              <w:left w:val="nil"/>
              <w:bottom w:val="single" w:sz="4" w:space="0" w:color="auto"/>
              <w:right w:val="single" w:sz="4" w:space="0" w:color="auto"/>
            </w:tcBorders>
            <w:shd w:val="clear" w:color="000000" w:fill="B1A0C7"/>
            <w:noWrap/>
            <w:vAlign w:val="bottom"/>
            <w:hideMark/>
          </w:tcPr>
          <w:p w14:paraId="5DABF663" w14:textId="12338B63"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w:t>
            </w:r>
            <w:r w:rsidR="00B84E9B" w:rsidRPr="00701888">
              <w:rPr>
                <w:rFonts w:ascii="Calibri" w:eastAsia="Times New Roman" w:hAnsi="Calibri"/>
                <w:color w:val="000000"/>
                <w:sz w:val="16"/>
                <w:szCs w:val="18"/>
                <w:lang w:val="es-ES_tradnl" w:eastAsia="en-GB"/>
              </w:rPr>
              <w:t>85</w:t>
            </w:r>
          </w:p>
        </w:tc>
        <w:tc>
          <w:tcPr>
            <w:tcW w:w="966" w:type="dxa"/>
            <w:tcBorders>
              <w:top w:val="nil"/>
              <w:left w:val="nil"/>
              <w:bottom w:val="single" w:sz="4" w:space="0" w:color="auto"/>
              <w:right w:val="single" w:sz="4" w:space="0" w:color="auto"/>
            </w:tcBorders>
            <w:shd w:val="clear" w:color="000000" w:fill="B1A0C7"/>
            <w:noWrap/>
            <w:vAlign w:val="bottom"/>
            <w:hideMark/>
          </w:tcPr>
          <w:p w14:paraId="29181646" w14:textId="5E770238"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w:t>
            </w:r>
            <w:r w:rsidR="00B84E9B" w:rsidRPr="00701888">
              <w:rPr>
                <w:rFonts w:ascii="Calibri" w:eastAsia="Times New Roman" w:hAnsi="Calibri"/>
                <w:color w:val="000000"/>
                <w:sz w:val="16"/>
                <w:szCs w:val="18"/>
                <w:lang w:val="es-ES_tradnl" w:eastAsia="en-GB"/>
              </w:rPr>
              <w:t>75</w:t>
            </w:r>
          </w:p>
        </w:tc>
      </w:tr>
      <w:tr w:rsidR="002B5322" w:rsidRPr="00701888" w14:paraId="629292D1"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5BAF3742" w14:textId="01BF95D0" w:rsidR="002B5322" w:rsidRPr="00701888" w:rsidRDefault="002B5322" w:rsidP="003E37A6">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 Fondo de reserva</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BE7D789"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nil"/>
              <w:bottom w:val="single" w:sz="4" w:space="0" w:color="auto"/>
              <w:right w:val="single" w:sz="4" w:space="0" w:color="auto"/>
            </w:tcBorders>
            <w:shd w:val="clear" w:color="000000" w:fill="E4DFEC"/>
            <w:noWrap/>
            <w:vAlign w:val="bottom"/>
            <w:hideMark/>
          </w:tcPr>
          <w:p w14:paraId="38448693"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nil"/>
              <w:bottom w:val="single" w:sz="4" w:space="0" w:color="auto"/>
              <w:right w:val="single" w:sz="4" w:space="0" w:color="auto"/>
            </w:tcBorders>
            <w:shd w:val="clear" w:color="000000" w:fill="E4DFEC"/>
            <w:noWrap/>
            <w:vAlign w:val="bottom"/>
            <w:hideMark/>
          </w:tcPr>
          <w:p w14:paraId="37EB8D25"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632760F9"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2C17359E" w14:textId="775D3EA0" w:rsidR="002B5322" w:rsidRPr="00701888" w:rsidRDefault="002B5322" w:rsidP="00CF1C21">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ii. Aumento de la provisión y pérdidas cambiarias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1170B223"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50</w:t>
            </w:r>
          </w:p>
        </w:tc>
        <w:tc>
          <w:tcPr>
            <w:tcW w:w="966" w:type="dxa"/>
            <w:tcBorders>
              <w:top w:val="nil"/>
              <w:left w:val="nil"/>
              <w:bottom w:val="single" w:sz="4" w:space="0" w:color="auto"/>
              <w:right w:val="single" w:sz="4" w:space="0" w:color="auto"/>
            </w:tcBorders>
            <w:shd w:val="clear" w:color="000000" w:fill="E4DFEC"/>
            <w:noWrap/>
            <w:vAlign w:val="bottom"/>
            <w:hideMark/>
          </w:tcPr>
          <w:p w14:paraId="2B6EA3FC"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406</w:t>
            </w:r>
          </w:p>
        </w:tc>
        <w:tc>
          <w:tcPr>
            <w:tcW w:w="966" w:type="dxa"/>
            <w:tcBorders>
              <w:top w:val="nil"/>
              <w:left w:val="nil"/>
              <w:bottom w:val="single" w:sz="4" w:space="0" w:color="auto"/>
              <w:right w:val="single" w:sz="4" w:space="0" w:color="auto"/>
            </w:tcBorders>
            <w:shd w:val="clear" w:color="000000" w:fill="E4DFEC"/>
            <w:noWrap/>
            <w:vAlign w:val="bottom"/>
            <w:hideMark/>
          </w:tcPr>
          <w:p w14:paraId="4E95C80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356</w:t>
            </w:r>
          </w:p>
        </w:tc>
      </w:tr>
      <w:tr w:rsidR="002B5322" w:rsidRPr="00701888" w14:paraId="6A5DA630"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78C025A4" w14:textId="43A03F48" w:rsidR="002B5322" w:rsidRPr="00701888" w:rsidRDefault="002B5322" w:rsidP="00360E2B">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xml:space="preserve">iii. Otros gastos no incluidas en las partidas anteriores– </w:t>
            </w:r>
            <w:r w:rsidRPr="00701888">
              <w:rPr>
                <w:rFonts w:ascii="Calibri" w:eastAsia="Times New Roman" w:hAnsi="Calibri"/>
                <w:i/>
                <w:iCs/>
                <w:color w:val="000000"/>
                <w:sz w:val="16"/>
                <w:szCs w:val="18"/>
                <w:lang w:val="es-ES_tradnl" w:eastAsia="en-GB"/>
              </w:rPr>
              <w:t>Servicios jurídicos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7E710813"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60</w:t>
            </w:r>
          </w:p>
        </w:tc>
        <w:tc>
          <w:tcPr>
            <w:tcW w:w="966" w:type="dxa"/>
            <w:tcBorders>
              <w:top w:val="nil"/>
              <w:left w:val="nil"/>
              <w:bottom w:val="single" w:sz="4" w:space="0" w:color="auto"/>
              <w:right w:val="single" w:sz="4" w:space="0" w:color="auto"/>
            </w:tcBorders>
            <w:shd w:val="clear" w:color="000000" w:fill="E4DFEC"/>
            <w:noWrap/>
            <w:vAlign w:val="bottom"/>
            <w:hideMark/>
          </w:tcPr>
          <w:p w14:paraId="514FB8B6" w14:textId="169D1376"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71</w:t>
            </w:r>
          </w:p>
        </w:tc>
        <w:tc>
          <w:tcPr>
            <w:tcW w:w="966" w:type="dxa"/>
            <w:tcBorders>
              <w:top w:val="nil"/>
              <w:left w:val="nil"/>
              <w:bottom w:val="single" w:sz="4" w:space="0" w:color="auto"/>
              <w:right w:val="single" w:sz="4" w:space="0" w:color="auto"/>
            </w:tcBorders>
            <w:shd w:val="clear" w:color="000000" w:fill="E4DFEC"/>
            <w:noWrap/>
            <w:vAlign w:val="bottom"/>
            <w:hideMark/>
          </w:tcPr>
          <w:p w14:paraId="7A6E0909" w14:textId="3F022ECC"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1</w:t>
            </w:r>
            <w:r w:rsidR="00B84E9B" w:rsidRPr="00701888">
              <w:rPr>
                <w:rFonts w:ascii="Calibri" w:eastAsia="Times New Roman" w:hAnsi="Calibri"/>
                <w:color w:val="000000"/>
                <w:sz w:val="16"/>
                <w:szCs w:val="18"/>
                <w:lang w:val="es-ES_tradnl" w:eastAsia="en-GB"/>
              </w:rPr>
              <w:t>1</w:t>
            </w:r>
          </w:p>
        </w:tc>
      </w:tr>
      <w:tr w:rsidR="002B5322" w:rsidRPr="00701888" w14:paraId="341000FF"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vAlign w:val="bottom"/>
            <w:hideMark/>
          </w:tcPr>
          <w:p w14:paraId="25BD6C76" w14:textId="44E3A218"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iv. Provisión para morosidad</w:t>
            </w:r>
          </w:p>
        </w:tc>
        <w:tc>
          <w:tcPr>
            <w:tcW w:w="966" w:type="dxa"/>
            <w:tcBorders>
              <w:top w:val="nil"/>
              <w:left w:val="single" w:sz="4" w:space="0" w:color="auto"/>
              <w:bottom w:val="single" w:sz="8" w:space="0" w:color="auto"/>
              <w:right w:val="single" w:sz="4" w:space="0" w:color="auto"/>
            </w:tcBorders>
            <w:shd w:val="clear" w:color="000000" w:fill="E4DFEC"/>
            <w:noWrap/>
            <w:vAlign w:val="bottom"/>
            <w:hideMark/>
          </w:tcPr>
          <w:p w14:paraId="6EF6A95B"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nil"/>
              <w:bottom w:val="single" w:sz="8" w:space="0" w:color="auto"/>
              <w:right w:val="single" w:sz="4" w:space="0" w:color="auto"/>
            </w:tcBorders>
            <w:shd w:val="clear" w:color="000000" w:fill="E4DFEC"/>
            <w:noWrap/>
            <w:vAlign w:val="bottom"/>
            <w:hideMark/>
          </w:tcPr>
          <w:p w14:paraId="07CBF4A2" w14:textId="5C7DACFA"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208</w:t>
            </w:r>
          </w:p>
        </w:tc>
        <w:tc>
          <w:tcPr>
            <w:tcW w:w="966" w:type="dxa"/>
            <w:tcBorders>
              <w:top w:val="nil"/>
              <w:left w:val="nil"/>
              <w:bottom w:val="single" w:sz="8" w:space="0" w:color="auto"/>
              <w:right w:val="single" w:sz="4" w:space="0" w:color="auto"/>
            </w:tcBorders>
            <w:shd w:val="clear" w:color="000000" w:fill="E4DFEC"/>
            <w:noWrap/>
            <w:vAlign w:val="bottom"/>
            <w:hideMark/>
          </w:tcPr>
          <w:p w14:paraId="3674A5F9" w14:textId="5C61D653"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208</w:t>
            </w:r>
          </w:p>
        </w:tc>
      </w:tr>
      <w:tr w:rsidR="002B5322" w:rsidRPr="00701888" w14:paraId="79C34E33"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E4DFEC"/>
            <w:noWrap/>
            <w:vAlign w:val="bottom"/>
            <w:hideMark/>
          </w:tcPr>
          <w:p w14:paraId="650311AC" w14:textId="6BCE5CF7" w:rsidR="002B5322" w:rsidRPr="00701888" w:rsidRDefault="002B5322" w:rsidP="003E37A6">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TOTAL DE GASTOS</w:t>
            </w:r>
          </w:p>
        </w:tc>
        <w:tc>
          <w:tcPr>
            <w:tcW w:w="966" w:type="dxa"/>
            <w:tcBorders>
              <w:top w:val="single" w:sz="4" w:space="0" w:color="auto"/>
              <w:left w:val="single" w:sz="4" w:space="0" w:color="auto"/>
              <w:bottom w:val="double" w:sz="6" w:space="0" w:color="auto"/>
              <w:right w:val="single" w:sz="4" w:space="0" w:color="auto"/>
            </w:tcBorders>
            <w:shd w:val="clear" w:color="000000" w:fill="B1A0C7"/>
            <w:noWrap/>
            <w:vAlign w:val="bottom"/>
            <w:hideMark/>
          </w:tcPr>
          <w:p w14:paraId="41C9E7EC" w14:textId="66D15F4C" w:rsidR="002B5322" w:rsidRPr="00701888" w:rsidRDefault="002B5322" w:rsidP="00CF1C21">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5.081</w:t>
            </w:r>
          </w:p>
        </w:tc>
        <w:tc>
          <w:tcPr>
            <w:tcW w:w="966" w:type="dxa"/>
            <w:tcBorders>
              <w:top w:val="single" w:sz="4" w:space="0" w:color="auto"/>
              <w:left w:val="nil"/>
              <w:bottom w:val="double" w:sz="6" w:space="0" w:color="auto"/>
              <w:right w:val="single" w:sz="4" w:space="0" w:color="auto"/>
            </w:tcBorders>
            <w:shd w:val="clear" w:color="000000" w:fill="B1A0C7"/>
            <w:noWrap/>
            <w:vAlign w:val="bottom"/>
            <w:hideMark/>
          </w:tcPr>
          <w:p w14:paraId="79D32CE9" w14:textId="30681062" w:rsidR="002B5322" w:rsidRPr="00701888" w:rsidRDefault="002B5322" w:rsidP="00CF1C21">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5.4</w:t>
            </w:r>
            <w:r w:rsidR="00B84E9B" w:rsidRPr="00701888">
              <w:rPr>
                <w:rFonts w:ascii="Calibri" w:eastAsia="Times New Roman" w:hAnsi="Calibri"/>
                <w:b/>
                <w:bCs/>
                <w:color w:val="000000"/>
                <w:sz w:val="16"/>
                <w:szCs w:val="18"/>
                <w:lang w:val="es-ES_tradnl" w:eastAsia="en-GB"/>
              </w:rPr>
              <w:t>06</w:t>
            </w:r>
          </w:p>
        </w:tc>
        <w:tc>
          <w:tcPr>
            <w:tcW w:w="966" w:type="dxa"/>
            <w:tcBorders>
              <w:top w:val="single" w:sz="4" w:space="0" w:color="auto"/>
              <w:left w:val="nil"/>
              <w:bottom w:val="double" w:sz="6" w:space="0" w:color="auto"/>
              <w:right w:val="single" w:sz="4" w:space="0" w:color="auto"/>
            </w:tcBorders>
            <w:shd w:val="clear" w:color="000000" w:fill="B1A0C7"/>
            <w:noWrap/>
            <w:vAlign w:val="bottom"/>
            <w:hideMark/>
          </w:tcPr>
          <w:p w14:paraId="356EE13A" w14:textId="23495E76" w:rsidR="002B5322" w:rsidRPr="00701888" w:rsidRDefault="00B84E9B"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32</w:t>
            </w:r>
            <w:r w:rsidR="002B5322" w:rsidRPr="00701888">
              <w:rPr>
                <w:rFonts w:ascii="Calibri" w:eastAsia="Times New Roman" w:hAnsi="Calibri"/>
                <w:b/>
                <w:bCs/>
                <w:color w:val="000000"/>
                <w:sz w:val="16"/>
                <w:szCs w:val="18"/>
                <w:lang w:val="es-ES_tradnl" w:eastAsia="en-GB"/>
              </w:rPr>
              <w:t>6</w:t>
            </w:r>
          </w:p>
        </w:tc>
      </w:tr>
      <w:tr w:rsidR="002B5322" w:rsidRPr="00701888" w14:paraId="517EF800"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E4DFEC"/>
            <w:noWrap/>
            <w:vAlign w:val="bottom"/>
            <w:hideMark/>
          </w:tcPr>
          <w:p w14:paraId="549BFC74" w14:textId="7FCD0024" w:rsidR="002B5322" w:rsidRPr="00701888" w:rsidRDefault="002B5322" w:rsidP="003E37A6">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 xml:space="preserve">EXCEDENTE / (DÉFICIT)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7F30C6C7" w14:textId="77777777" w:rsidR="002B5322" w:rsidRPr="00701888" w:rsidRDefault="002B5322" w:rsidP="00A56B73">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 </w:t>
            </w:r>
          </w:p>
        </w:tc>
        <w:tc>
          <w:tcPr>
            <w:tcW w:w="966" w:type="dxa"/>
            <w:tcBorders>
              <w:top w:val="nil"/>
              <w:left w:val="nil"/>
              <w:bottom w:val="single" w:sz="4" w:space="0" w:color="auto"/>
              <w:right w:val="single" w:sz="4" w:space="0" w:color="auto"/>
            </w:tcBorders>
            <w:shd w:val="clear" w:color="000000" w:fill="E4DFEC"/>
            <w:noWrap/>
            <w:vAlign w:val="bottom"/>
            <w:hideMark/>
          </w:tcPr>
          <w:p w14:paraId="0D46BBEE" w14:textId="50B9AD0F"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w:t>
            </w:r>
            <w:r w:rsidR="00B84E9B" w:rsidRPr="00701888">
              <w:rPr>
                <w:rFonts w:ascii="Calibri" w:eastAsia="Times New Roman" w:hAnsi="Calibri"/>
                <w:b/>
                <w:bCs/>
                <w:color w:val="000000"/>
                <w:sz w:val="16"/>
                <w:szCs w:val="18"/>
                <w:lang w:val="es-ES_tradnl" w:eastAsia="en-GB"/>
              </w:rPr>
              <w:t>337</w:t>
            </w:r>
          </w:p>
        </w:tc>
        <w:tc>
          <w:tcPr>
            <w:tcW w:w="966" w:type="dxa"/>
            <w:tcBorders>
              <w:top w:val="nil"/>
              <w:left w:val="nil"/>
              <w:bottom w:val="single" w:sz="4" w:space="0" w:color="auto"/>
              <w:right w:val="single" w:sz="4" w:space="0" w:color="auto"/>
            </w:tcBorders>
            <w:shd w:val="clear" w:color="000000" w:fill="E4DFEC"/>
            <w:noWrap/>
            <w:vAlign w:val="bottom"/>
            <w:hideMark/>
          </w:tcPr>
          <w:p w14:paraId="6DA441D8" w14:textId="7E30EA44"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w:t>
            </w:r>
            <w:r w:rsidR="00B84E9B" w:rsidRPr="00701888">
              <w:rPr>
                <w:rFonts w:ascii="Calibri" w:eastAsia="Times New Roman" w:hAnsi="Calibri"/>
                <w:b/>
                <w:bCs/>
                <w:color w:val="000000"/>
                <w:sz w:val="16"/>
                <w:szCs w:val="18"/>
                <w:lang w:val="es-ES_tradnl" w:eastAsia="en-GB"/>
              </w:rPr>
              <w:t>337</w:t>
            </w:r>
          </w:p>
        </w:tc>
      </w:tr>
      <w:tr w:rsidR="002B5322" w:rsidRPr="00701888" w14:paraId="7D54238F"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0EFCEDA5"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18359E06"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nil"/>
              <w:bottom w:val="single" w:sz="4" w:space="0" w:color="auto"/>
              <w:right w:val="single" w:sz="4" w:space="0" w:color="auto"/>
            </w:tcBorders>
            <w:shd w:val="clear" w:color="000000" w:fill="E4DFEC"/>
            <w:noWrap/>
            <w:vAlign w:val="bottom"/>
            <w:hideMark/>
          </w:tcPr>
          <w:p w14:paraId="5BFBFFCE"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nil"/>
              <w:bottom w:val="single" w:sz="4" w:space="0" w:color="auto"/>
              <w:right w:val="single" w:sz="4" w:space="0" w:color="auto"/>
            </w:tcBorders>
            <w:shd w:val="clear" w:color="000000" w:fill="E4DFEC"/>
            <w:noWrap/>
            <w:vAlign w:val="bottom"/>
            <w:hideMark/>
          </w:tcPr>
          <w:p w14:paraId="6D916171"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r>
      <w:tr w:rsidR="002B5322" w:rsidRPr="00701888" w14:paraId="058D7F9C"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E4DFEC"/>
            <w:vAlign w:val="bottom"/>
            <w:hideMark/>
          </w:tcPr>
          <w:p w14:paraId="1FE51A5D" w14:textId="29C33700" w:rsidR="002B5322" w:rsidRPr="00701888" w:rsidRDefault="002B5322" w:rsidP="00CF1C21">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TOTAL GASTOS SALARIALES – suel</w:t>
            </w:r>
            <w:r w:rsidR="00364CF1" w:rsidRPr="00701888">
              <w:rPr>
                <w:rFonts w:ascii="Calibri" w:eastAsia="Times New Roman" w:hAnsi="Calibri"/>
                <w:b/>
                <w:bCs/>
                <w:color w:val="000000"/>
                <w:sz w:val="16"/>
                <w:szCs w:val="18"/>
                <w:lang w:val="es-ES_tradnl" w:eastAsia="en-GB"/>
              </w:rPr>
              <w:t>d</w:t>
            </w:r>
            <w:r w:rsidRPr="00701888">
              <w:rPr>
                <w:rFonts w:ascii="Calibri" w:eastAsia="Times New Roman" w:hAnsi="Calibri"/>
                <w:b/>
                <w:bCs/>
                <w:color w:val="000000"/>
                <w:sz w:val="16"/>
                <w:szCs w:val="18"/>
                <w:lang w:val="es-ES_tradnl" w:eastAsia="en-GB"/>
              </w:rPr>
              <w:t xml:space="preserve">os del personal y gastos asociados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33312D8A" w14:textId="08D18706"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3.435</w:t>
            </w:r>
          </w:p>
        </w:tc>
        <w:tc>
          <w:tcPr>
            <w:tcW w:w="966" w:type="dxa"/>
            <w:tcBorders>
              <w:top w:val="nil"/>
              <w:left w:val="nil"/>
              <w:bottom w:val="single" w:sz="4" w:space="0" w:color="auto"/>
              <w:right w:val="single" w:sz="4" w:space="0" w:color="auto"/>
            </w:tcBorders>
            <w:shd w:val="clear" w:color="000000" w:fill="E4DFEC"/>
            <w:noWrap/>
            <w:vAlign w:val="bottom"/>
            <w:hideMark/>
          </w:tcPr>
          <w:p w14:paraId="00ACD31D" w14:textId="35984065"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3.</w:t>
            </w:r>
            <w:r w:rsidR="00B84E9B" w:rsidRPr="00701888">
              <w:rPr>
                <w:rFonts w:ascii="Calibri" w:eastAsia="Times New Roman" w:hAnsi="Calibri"/>
                <w:b/>
                <w:bCs/>
                <w:color w:val="000000"/>
                <w:sz w:val="16"/>
                <w:szCs w:val="18"/>
                <w:lang w:val="es-ES_tradnl" w:eastAsia="en-GB"/>
              </w:rPr>
              <w:t>217</w:t>
            </w:r>
          </w:p>
        </w:tc>
        <w:tc>
          <w:tcPr>
            <w:tcW w:w="966" w:type="dxa"/>
            <w:tcBorders>
              <w:top w:val="nil"/>
              <w:left w:val="nil"/>
              <w:bottom w:val="single" w:sz="4" w:space="0" w:color="auto"/>
              <w:right w:val="single" w:sz="4" w:space="0" w:color="auto"/>
            </w:tcBorders>
            <w:shd w:val="clear" w:color="000000" w:fill="E4DFEC"/>
            <w:noWrap/>
            <w:vAlign w:val="bottom"/>
            <w:hideMark/>
          </w:tcPr>
          <w:p w14:paraId="012BBA0F" w14:textId="2CEB28C0"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w:t>
            </w:r>
            <w:r w:rsidR="00B84E9B" w:rsidRPr="00701888">
              <w:rPr>
                <w:rFonts w:ascii="Calibri" w:eastAsia="Times New Roman" w:hAnsi="Calibri"/>
                <w:b/>
                <w:bCs/>
                <w:color w:val="000000"/>
                <w:sz w:val="16"/>
                <w:szCs w:val="18"/>
                <w:lang w:val="es-ES_tradnl" w:eastAsia="en-GB"/>
              </w:rPr>
              <w:t>218</w:t>
            </w:r>
          </w:p>
        </w:tc>
      </w:tr>
      <w:tr w:rsidR="002B5322" w:rsidRPr="00701888" w14:paraId="284533BD"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20653E74"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6719AADF"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68%</w:t>
            </w:r>
          </w:p>
        </w:tc>
        <w:tc>
          <w:tcPr>
            <w:tcW w:w="966" w:type="dxa"/>
            <w:tcBorders>
              <w:top w:val="nil"/>
              <w:left w:val="nil"/>
              <w:bottom w:val="single" w:sz="4" w:space="0" w:color="auto"/>
              <w:right w:val="single" w:sz="4" w:space="0" w:color="auto"/>
            </w:tcBorders>
            <w:shd w:val="clear" w:color="000000" w:fill="E4DFEC"/>
            <w:noWrap/>
            <w:vAlign w:val="bottom"/>
            <w:hideMark/>
          </w:tcPr>
          <w:p w14:paraId="5EBD1FBA" w14:textId="54872138" w:rsidR="002B5322" w:rsidRPr="00701888" w:rsidRDefault="00B84E9B"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59</w:t>
            </w:r>
            <w:r w:rsidR="002B5322" w:rsidRPr="00701888">
              <w:rPr>
                <w:rFonts w:ascii="Calibri" w:eastAsia="Times New Roman" w:hAnsi="Calibri"/>
                <w:color w:val="000000"/>
                <w:sz w:val="16"/>
                <w:szCs w:val="18"/>
                <w:lang w:val="es-ES_tradnl" w:eastAsia="en-GB"/>
              </w:rPr>
              <w:t>%</w:t>
            </w:r>
          </w:p>
        </w:tc>
        <w:tc>
          <w:tcPr>
            <w:tcW w:w="966" w:type="dxa"/>
            <w:tcBorders>
              <w:top w:val="nil"/>
              <w:left w:val="nil"/>
              <w:bottom w:val="single" w:sz="4" w:space="0" w:color="auto"/>
              <w:right w:val="single" w:sz="4" w:space="0" w:color="auto"/>
            </w:tcBorders>
            <w:shd w:val="clear" w:color="000000" w:fill="E4DFEC"/>
            <w:noWrap/>
            <w:vAlign w:val="bottom"/>
            <w:hideMark/>
          </w:tcPr>
          <w:p w14:paraId="1876FFEF" w14:textId="5000CEDB" w:rsidR="002B5322" w:rsidRPr="00701888" w:rsidRDefault="00315287" w:rsidP="00A56B73">
            <w:pPr>
              <w:jc w:val="right"/>
              <w:rPr>
                <w:rFonts w:ascii="Calibri" w:eastAsia="Times New Roman" w:hAnsi="Calibri"/>
                <w:color w:val="000000"/>
                <w:sz w:val="16"/>
                <w:szCs w:val="18"/>
                <w:lang w:val="es-ES_tradnl" w:eastAsia="en-GB"/>
              </w:rPr>
            </w:pPr>
            <w:r>
              <w:rPr>
                <w:rFonts w:ascii="Calibri" w:eastAsia="Times New Roman" w:hAnsi="Calibri"/>
                <w:color w:val="000000"/>
                <w:sz w:val="16"/>
                <w:szCs w:val="18"/>
                <w:lang w:val="es-ES_tradnl" w:eastAsia="en-GB"/>
              </w:rPr>
              <w:t>-8</w:t>
            </w:r>
          </w:p>
        </w:tc>
      </w:tr>
      <w:tr w:rsidR="002B5322" w:rsidRPr="00701888" w14:paraId="2755BE0F" w14:textId="77777777" w:rsidTr="00AF43EA">
        <w:trPr>
          <w:trHeight w:val="19"/>
        </w:trPr>
        <w:tc>
          <w:tcPr>
            <w:tcW w:w="6242" w:type="dxa"/>
            <w:tcBorders>
              <w:top w:val="nil"/>
              <w:left w:val="single" w:sz="4" w:space="0" w:color="auto"/>
              <w:bottom w:val="single" w:sz="4" w:space="0" w:color="auto"/>
              <w:right w:val="single" w:sz="4" w:space="0" w:color="auto"/>
            </w:tcBorders>
            <w:shd w:val="clear" w:color="000000" w:fill="E4DFEC"/>
            <w:noWrap/>
            <w:vAlign w:val="bottom"/>
            <w:hideMark/>
          </w:tcPr>
          <w:p w14:paraId="01DEB12E" w14:textId="48AA41D6" w:rsidR="002B5322" w:rsidRPr="00701888" w:rsidRDefault="002B5322" w:rsidP="00CF1C21">
            <w:pPr>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TOTAL GASTOS DE VIAJES</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573FEB2E" w14:textId="77777777"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165</w:t>
            </w:r>
          </w:p>
        </w:tc>
        <w:tc>
          <w:tcPr>
            <w:tcW w:w="966" w:type="dxa"/>
            <w:tcBorders>
              <w:top w:val="nil"/>
              <w:left w:val="nil"/>
              <w:bottom w:val="single" w:sz="4" w:space="0" w:color="auto"/>
              <w:right w:val="single" w:sz="4" w:space="0" w:color="auto"/>
            </w:tcBorders>
            <w:shd w:val="clear" w:color="000000" w:fill="E4DFEC"/>
            <w:noWrap/>
            <w:vAlign w:val="bottom"/>
            <w:hideMark/>
          </w:tcPr>
          <w:p w14:paraId="4A2E29C4" w14:textId="77777777"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156</w:t>
            </w:r>
          </w:p>
        </w:tc>
        <w:tc>
          <w:tcPr>
            <w:tcW w:w="966" w:type="dxa"/>
            <w:tcBorders>
              <w:top w:val="nil"/>
              <w:left w:val="nil"/>
              <w:bottom w:val="single" w:sz="4" w:space="0" w:color="auto"/>
              <w:right w:val="single" w:sz="4" w:space="0" w:color="auto"/>
            </w:tcBorders>
            <w:shd w:val="clear" w:color="000000" w:fill="E4DFEC"/>
            <w:noWrap/>
            <w:vAlign w:val="bottom"/>
            <w:hideMark/>
          </w:tcPr>
          <w:p w14:paraId="68051DD1" w14:textId="77777777" w:rsidR="002B5322" w:rsidRPr="00701888" w:rsidRDefault="002B5322" w:rsidP="00A56B73">
            <w:pPr>
              <w:jc w:val="right"/>
              <w:rPr>
                <w:rFonts w:ascii="Calibri" w:eastAsia="Times New Roman" w:hAnsi="Calibri"/>
                <w:b/>
                <w:bCs/>
                <w:color w:val="000000"/>
                <w:sz w:val="16"/>
                <w:szCs w:val="18"/>
                <w:lang w:val="es-ES_tradnl" w:eastAsia="en-GB"/>
              </w:rPr>
            </w:pPr>
            <w:r w:rsidRPr="00701888">
              <w:rPr>
                <w:rFonts w:ascii="Calibri" w:eastAsia="Times New Roman" w:hAnsi="Calibri"/>
                <w:b/>
                <w:bCs/>
                <w:color w:val="000000"/>
                <w:sz w:val="16"/>
                <w:szCs w:val="18"/>
                <w:lang w:val="es-ES_tradnl" w:eastAsia="en-GB"/>
              </w:rPr>
              <w:t>-9</w:t>
            </w:r>
          </w:p>
        </w:tc>
      </w:tr>
      <w:tr w:rsidR="002B5322" w:rsidRPr="00701888" w14:paraId="6B34A6DB" w14:textId="77777777" w:rsidTr="00AF43EA">
        <w:trPr>
          <w:trHeight w:val="19"/>
        </w:trPr>
        <w:tc>
          <w:tcPr>
            <w:tcW w:w="6242" w:type="dxa"/>
            <w:tcBorders>
              <w:top w:val="nil"/>
              <w:left w:val="single" w:sz="4" w:space="0" w:color="auto"/>
              <w:bottom w:val="single" w:sz="4" w:space="0" w:color="auto"/>
              <w:right w:val="single" w:sz="4" w:space="0" w:color="auto"/>
            </w:tcBorders>
            <w:shd w:val="clear" w:color="auto" w:fill="auto"/>
            <w:noWrap/>
            <w:vAlign w:val="bottom"/>
            <w:hideMark/>
          </w:tcPr>
          <w:p w14:paraId="1F6904D7" w14:textId="77777777" w:rsidR="002B5322" w:rsidRPr="00701888" w:rsidRDefault="002B5322" w:rsidP="00A56B73">
            <w:pPr>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 </w:t>
            </w:r>
          </w:p>
        </w:tc>
        <w:tc>
          <w:tcPr>
            <w:tcW w:w="966" w:type="dxa"/>
            <w:tcBorders>
              <w:top w:val="nil"/>
              <w:left w:val="single" w:sz="4" w:space="0" w:color="auto"/>
              <w:bottom w:val="single" w:sz="4" w:space="0" w:color="auto"/>
              <w:right w:val="single" w:sz="4" w:space="0" w:color="auto"/>
            </w:tcBorders>
            <w:shd w:val="clear" w:color="000000" w:fill="E4DFEC"/>
            <w:noWrap/>
            <w:vAlign w:val="bottom"/>
            <w:hideMark/>
          </w:tcPr>
          <w:p w14:paraId="1AEB7936"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w:t>
            </w:r>
          </w:p>
        </w:tc>
        <w:tc>
          <w:tcPr>
            <w:tcW w:w="966" w:type="dxa"/>
            <w:tcBorders>
              <w:top w:val="nil"/>
              <w:left w:val="nil"/>
              <w:bottom w:val="single" w:sz="4" w:space="0" w:color="auto"/>
              <w:right w:val="single" w:sz="4" w:space="0" w:color="auto"/>
            </w:tcBorders>
            <w:shd w:val="clear" w:color="000000" w:fill="E4DFEC"/>
            <w:noWrap/>
            <w:vAlign w:val="bottom"/>
            <w:hideMark/>
          </w:tcPr>
          <w:p w14:paraId="5695BC92"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w:t>
            </w:r>
          </w:p>
        </w:tc>
        <w:tc>
          <w:tcPr>
            <w:tcW w:w="966" w:type="dxa"/>
            <w:tcBorders>
              <w:top w:val="nil"/>
              <w:left w:val="nil"/>
              <w:bottom w:val="single" w:sz="4" w:space="0" w:color="auto"/>
              <w:right w:val="single" w:sz="4" w:space="0" w:color="auto"/>
            </w:tcBorders>
            <w:shd w:val="clear" w:color="000000" w:fill="E4DFEC"/>
            <w:noWrap/>
            <w:vAlign w:val="bottom"/>
            <w:hideMark/>
          </w:tcPr>
          <w:p w14:paraId="49701078" w14:textId="77777777" w:rsidR="002B5322" w:rsidRPr="00701888" w:rsidRDefault="002B5322" w:rsidP="00A56B73">
            <w:pPr>
              <w:jc w:val="right"/>
              <w:rPr>
                <w:rFonts w:ascii="Calibri" w:eastAsia="Times New Roman" w:hAnsi="Calibri"/>
                <w:color w:val="000000"/>
                <w:sz w:val="16"/>
                <w:szCs w:val="18"/>
                <w:lang w:val="es-ES_tradnl" w:eastAsia="en-GB"/>
              </w:rPr>
            </w:pPr>
            <w:r w:rsidRPr="00701888">
              <w:rPr>
                <w:rFonts w:ascii="Calibri" w:eastAsia="Times New Roman" w:hAnsi="Calibri"/>
                <w:color w:val="000000"/>
                <w:sz w:val="16"/>
                <w:szCs w:val="18"/>
                <w:lang w:val="es-ES_tradnl" w:eastAsia="en-GB"/>
              </w:rPr>
              <w:t>3%</w:t>
            </w:r>
          </w:p>
        </w:tc>
      </w:tr>
    </w:tbl>
    <w:p w14:paraId="56E3BB6D" w14:textId="5B74F4BA" w:rsidR="000D6E13" w:rsidRPr="00701888" w:rsidRDefault="00584EE3" w:rsidP="002D6888">
      <w:pPr>
        <w:rPr>
          <w:rFonts w:asciiTheme="minorHAnsi" w:hAnsiTheme="minorHAnsi" w:cs="Calibri"/>
          <w:b/>
          <w:lang w:val="es-ES_tradnl"/>
        </w:rPr>
      </w:pPr>
      <w:r w:rsidRPr="00701888">
        <w:rPr>
          <w:rFonts w:asciiTheme="minorHAnsi" w:hAnsiTheme="minorHAnsi" w:cs="Calibri"/>
          <w:b/>
          <w:lang w:val="es-ES_tradnl"/>
        </w:rPr>
        <w:lastRenderedPageBreak/>
        <w:t>Anex</w:t>
      </w:r>
      <w:r w:rsidR="00795AE0" w:rsidRPr="00701888">
        <w:rPr>
          <w:rFonts w:asciiTheme="minorHAnsi" w:hAnsiTheme="minorHAnsi" w:cs="Calibri"/>
          <w:b/>
          <w:lang w:val="es-ES_tradnl"/>
        </w:rPr>
        <w:t>o</w:t>
      </w:r>
      <w:r w:rsidRPr="00701888">
        <w:rPr>
          <w:rFonts w:asciiTheme="minorHAnsi" w:hAnsiTheme="minorHAnsi" w:cs="Calibri"/>
          <w:b/>
          <w:lang w:val="es-ES_tradnl"/>
        </w:rPr>
        <w:t xml:space="preserve"> 3 </w:t>
      </w:r>
    </w:p>
    <w:p w14:paraId="5C9D027D" w14:textId="799A2C5F" w:rsidR="00584EE3" w:rsidRPr="00701888" w:rsidRDefault="00360E2B" w:rsidP="002D6888">
      <w:pPr>
        <w:rPr>
          <w:rFonts w:asciiTheme="minorHAnsi" w:hAnsiTheme="minorHAnsi" w:cs="Calibri"/>
          <w:b/>
          <w:lang w:val="es-ES_tradnl"/>
        </w:rPr>
      </w:pPr>
      <w:r w:rsidRPr="00701888">
        <w:rPr>
          <w:rFonts w:asciiTheme="minorHAnsi" w:hAnsiTheme="minorHAnsi" w:cs="Calibri"/>
          <w:b/>
          <w:lang w:val="es-ES_tradnl"/>
        </w:rPr>
        <w:t>Presupuesto para 2016 aprobado por la 51ª reunión del Comité Permanente</w:t>
      </w:r>
      <w:r w:rsidR="00F83DCD" w:rsidRPr="00701888">
        <w:rPr>
          <w:rFonts w:asciiTheme="minorHAnsi" w:hAnsiTheme="minorHAnsi" w:cs="Calibri"/>
          <w:b/>
          <w:lang w:val="es-ES_tradnl"/>
        </w:rPr>
        <w:t>, en miles de francos suizos</w:t>
      </w:r>
      <w:r w:rsidRPr="00701888">
        <w:rPr>
          <w:rFonts w:asciiTheme="minorHAnsi" w:hAnsiTheme="minorHAnsi" w:cs="Calibri"/>
          <w:b/>
          <w:lang w:val="es-ES_tradnl"/>
        </w:rPr>
        <w:t xml:space="preserve"> </w:t>
      </w:r>
    </w:p>
    <w:tbl>
      <w:tblPr>
        <w:tblW w:w="6961" w:type="dxa"/>
        <w:tblInd w:w="93" w:type="dxa"/>
        <w:tblLook w:val="04A0" w:firstRow="1" w:lastRow="0" w:firstColumn="1" w:lastColumn="0" w:noHBand="0" w:noVBand="1"/>
      </w:tblPr>
      <w:tblGrid>
        <w:gridCol w:w="5489"/>
        <w:gridCol w:w="1472"/>
      </w:tblGrid>
      <w:tr w:rsidR="00584EE3" w:rsidRPr="00701888" w14:paraId="3D5F18F5" w14:textId="77777777" w:rsidTr="002B5322">
        <w:trPr>
          <w:trHeight w:val="229"/>
        </w:trPr>
        <w:tc>
          <w:tcPr>
            <w:tcW w:w="5489"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49EBE831" w14:textId="42B55477" w:rsidR="00584EE3" w:rsidRPr="00701888" w:rsidRDefault="007817FC" w:rsidP="00584EE3">
            <w:pPr>
              <w:rPr>
                <w:rFonts w:ascii="Arial" w:eastAsia="Times New Roman" w:hAnsi="Arial" w:cs="Arial"/>
                <w:b/>
                <w:bCs/>
                <w:color w:val="000000"/>
                <w:sz w:val="16"/>
                <w:lang w:val="es-ES_tradnl" w:eastAsia="en-GB"/>
              </w:rPr>
            </w:pPr>
            <w:r w:rsidRPr="00701888">
              <w:rPr>
                <w:rFonts w:ascii="Arial" w:eastAsia="Times New Roman" w:hAnsi="Arial" w:cs="Arial"/>
                <w:b/>
                <w:bCs/>
                <w:color w:val="000000"/>
                <w:sz w:val="16"/>
                <w:lang w:val="es-ES_tradnl" w:eastAsia="en-GB"/>
              </w:rPr>
              <w:t>INGRESOS</w:t>
            </w:r>
          </w:p>
        </w:tc>
        <w:tc>
          <w:tcPr>
            <w:tcW w:w="1472"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14:paraId="7A377A63" w14:textId="1EB50229" w:rsidR="00584EE3" w:rsidRPr="00701888" w:rsidRDefault="002B5322" w:rsidP="002B5322">
            <w:pPr>
              <w:jc w:val="center"/>
              <w:rPr>
                <w:rFonts w:ascii="Arial" w:eastAsia="Times New Roman" w:hAnsi="Arial" w:cs="Arial"/>
                <w:b/>
                <w:bCs/>
                <w:color w:val="000000"/>
                <w:sz w:val="16"/>
                <w:szCs w:val="22"/>
                <w:lang w:val="es-ES_tradnl" w:eastAsia="en-GB"/>
              </w:rPr>
            </w:pPr>
            <w:r w:rsidRPr="00701888">
              <w:rPr>
                <w:rFonts w:ascii="Arial" w:eastAsia="Times New Roman" w:hAnsi="Arial" w:cs="Arial"/>
                <w:color w:val="000000"/>
                <w:sz w:val="16"/>
                <w:szCs w:val="22"/>
                <w:lang w:val="es-ES_tradnl" w:eastAsia="en-GB"/>
              </w:rPr>
              <w:t>miles de francos suizos</w:t>
            </w:r>
          </w:p>
        </w:tc>
      </w:tr>
      <w:tr w:rsidR="007817FC" w:rsidRPr="00701888" w14:paraId="62580347"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044D458D" w14:textId="6DDD77CA" w:rsidR="007817FC" w:rsidRPr="00701888" w:rsidRDefault="007817FC" w:rsidP="007817FC">
            <w:pPr>
              <w:rPr>
                <w:rFonts w:ascii="Arial" w:hAnsi="Arial" w:cs="Arial"/>
                <w:color w:val="000000"/>
                <w:sz w:val="16"/>
                <w:szCs w:val="22"/>
                <w:lang w:val="es-ES_tradnl" w:eastAsia="en-GB"/>
              </w:rPr>
            </w:pPr>
            <w:r w:rsidRPr="00701888">
              <w:rPr>
                <w:rFonts w:ascii="Calibri" w:hAnsi="Calibri"/>
                <w:color w:val="000000"/>
                <w:sz w:val="16"/>
                <w:szCs w:val="18"/>
                <w:lang w:val="es-ES_tradnl" w:eastAsia="en-GB"/>
              </w:rPr>
              <w:t>Contribuciones de las Partes</w:t>
            </w:r>
          </w:p>
        </w:tc>
        <w:tc>
          <w:tcPr>
            <w:tcW w:w="1472" w:type="dxa"/>
            <w:tcBorders>
              <w:top w:val="nil"/>
              <w:left w:val="nil"/>
              <w:bottom w:val="single" w:sz="4" w:space="0" w:color="auto"/>
              <w:right w:val="single" w:sz="4" w:space="0" w:color="auto"/>
            </w:tcBorders>
            <w:shd w:val="clear" w:color="auto" w:fill="auto"/>
            <w:noWrap/>
            <w:vAlign w:val="bottom"/>
            <w:hideMark/>
          </w:tcPr>
          <w:p w14:paraId="2371DDD5" w14:textId="7A347153" w:rsidR="007817FC" w:rsidRPr="00701888" w:rsidRDefault="007817FC"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3.779</w:t>
            </w:r>
          </w:p>
        </w:tc>
      </w:tr>
      <w:tr w:rsidR="007817FC" w:rsidRPr="00701888" w14:paraId="03A38518"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65829EE5" w14:textId="6EEB9972" w:rsidR="007817FC" w:rsidRPr="00701888" w:rsidRDefault="007817FC" w:rsidP="007817FC">
            <w:pPr>
              <w:rPr>
                <w:rFonts w:ascii="Arial" w:hAnsi="Arial" w:cs="Arial"/>
                <w:color w:val="000000"/>
                <w:sz w:val="16"/>
                <w:szCs w:val="22"/>
                <w:lang w:val="es-ES_tradnl" w:eastAsia="en-GB"/>
              </w:rPr>
            </w:pPr>
            <w:r w:rsidRPr="00701888">
              <w:rPr>
                <w:rFonts w:ascii="Calibri" w:hAnsi="Calibri"/>
                <w:color w:val="000000"/>
                <w:sz w:val="16"/>
                <w:szCs w:val="18"/>
                <w:lang w:val="es-ES_tradnl" w:eastAsia="en-GB"/>
              </w:rPr>
              <w:t>Contribuciones voluntarias</w:t>
            </w:r>
          </w:p>
        </w:tc>
        <w:tc>
          <w:tcPr>
            <w:tcW w:w="1472" w:type="dxa"/>
            <w:tcBorders>
              <w:top w:val="nil"/>
              <w:left w:val="nil"/>
              <w:bottom w:val="single" w:sz="4" w:space="0" w:color="auto"/>
              <w:right w:val="single" w:sz="4" w:space="0" w:color="auto"/>
            </w:tcBorders>
            <w:shd w:val="clear" w:color="auto" w:fill="auto"/>
            <w:noWrap/>
            <w:vAlign w:val="bottom"/>
            <w:hideMark/>
          </w:tcPr>
          <w:p w14:paraId="5F16AACE" w14:textId="3543EA5A" w:rsidR="007817FC" w:rsidRPr="00701888" w:rsidRDefault="007817FC"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1.065</w:t>
            </w:r>
          </w:p>
        </w:tc>
      </w:tr>
      <w:tr w:rsidR="007817FC" w:rsidRPr="00701888" w14:paraId="233C552A"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33359E8B" w14:textId="19376BB3" w:rsidR="007817FC" w:rsidRPr="00701888" w:rsidRDefault="007817FC" w:rsidP="007817FC">
            <w:pPr>
              <w:rPr>
                <w:rFonts w:ascii="Arial" w:hAnsi="Arial" w:cs="Arial"/>
                <w:color w:val="000000"/>
                <w:sz w:val="16"/>
                <w:szCs w:val="22"/>
                <w:lang w:val="es-ES_tradnl" w:eastAsia="en-GB"/>
              </w:rPr>
            </w:pPr>
            <w:r w:rsidRPr="00701888">
              <w:rPr>
                <w:rFonts w:ascii="Calibri" w:hAnsi="Calibri"/>
                <w:color w:val="000000"/>
                <w:sz w:val="16"/>
                <w:szCs w:val="18"/>
                <w:lang w:val="es-ES_tradnl" w:eastAsia="en-GB"/>
              </w:rPr>
              <w:t>Impuesto sobre la renta</w:t>
            </w:r>
          </w:p>
        </w:tc>
        <w:tc>
          <w:tcPr>
            <w:tcW w:w="1472" w:type="dxa"/>
            <w:tcBorders>
              <w:top w:val="nil"/>
              <w:left w:val="nil"/>
              <w:bottom w:val="single" w:sz="4" w:space="0" w:color="auto"/>
              <w:right w:val="single" w:sz="4" w:space="0" w:color="auto"/>
            </w:tcBorders>
            <w:shd w:val="clear" w:color="auto" w:fill="auto"/>
            <w:noWrap/>
            <w:vAlign w:val="bottom"/>
            <w:hideMark/>
          </w:tcPr>
          <w:p w14:paraId="2B101682" w14:textId="77777777" w:rsidR="007817FC" w:rsidRPr="00701888" w:rsidRDefault="007817FC"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225</w:t>
            </w:r>
          </w:p>
        </w:tc>
      </w:tr>
      <w:tr w:rsidR="007817FC" w:rsidRPr="00701888" w14:paraId="469BE89C"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5C9C013A" w14:textId="622F740B" w:rsidR="007817FC" w:rsidRPr="00701888" w:rsidRDefault="007817FC" w:rsidP="007817FC">
            <w:pPr>
              <w:rPr>
                <w:rFonts w:ascii="Arial" w:hAnsi="Arial" w:cs="Arial"/>
                <w:color w:val="000000"/>
                <w:sz w:val="16"/>
                <w:szCs w:val="22"/>
                <w:lang w:val="es-ES_tradnl" w:eastAsia="en-GB"/>
              </w:rPr>
            </w:pPr>
            <w:r w:rsidRPr="00701888">
              <w:rPr>
                <w:rFonts w:ascii="Calibri" w:hAnsi="Calibri"/>
                <w:color w:val="000000"/>
                <w:sz w:val="16"/>
                <w:szCs w:val="18"/>
                <w:lang w:val="es-ES_tradnl" w:eastAsia="en-GB"/>
              </w:rPr>
              <w:t>Ingresos por intereses</w:t>
            </w:r>
          </w:p>
        </w:tc>
        <w:tc>
          <w:tcPr>
            <w:tcW w:w="1472" w:type="dxa"/>
            <w:tcBorders>
              <w:top w:val="nil"/>
              <w:left w:val="nil"/>
              <w:bottom w:val="single" w:sz="4" w:space="0" w:color="auto"/>
              <w:right w:val="single" w:sz="4" w:space="0" w:color="auto"/>
            </w:tcBorders>
            <w:shd w:val="clear" w:color="auto" w:fill="auto"/>
            <w:noWrap/>
            <w:vAlign w:val="bottom"/>
            <w:hideMark/>
          </w:tcPr>
          <w:p w14:paraId="67E7E728" w14:textId="77777777" w:rsidR="007817FC" w:rsidRPr="00701888" w:rsidRDefault="007817FC"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12</w:t>
            </w:r>
          </w:p>
        </w:tc>
      </w:tr>
      <w:tr w:rsidR="007817FC" w:rsidRPr="00701888" w14:paraId="4A4EF93B"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663784E8" w14:textId="0774F8EB" w:rsidR="007817FC" w:rsidRPr="00701888" w:rsidRDefault="007817FC" w:rsidP="007817FC">
            <w:pPr>
              <w:rPr>
                <w:rFonts w:ascii="Arial" w:eastAsia="Times New Roman" w:hAnsi="Arial" w:cs="Arial"/>
                <w:b/>
                <w:bCs/>
                <w:color w:val="000000"/>
                <w:sz w:val="16"/>
                <w:lang w:val="es-ES_tradnl" w:eastAsia="en-GB"/>
              </w:rPr>
            </w:pPr>
            <w:r w:rsidRPr="00701888">
              <w:rPr>
                <w:rFonts w:ascii="Arial" w:eastAsia="Times New Roman" w:hAnsi="Arial" w:cs="Arial"/>
                <w:b/>
                <w:bCs/>
                <w:color w:val="000000"/>
                <w:sz w:val="16"/>
                <w:lang w:val="es-ES_tradnl" w:eastAsia="en-GB"/>
              </w:rPr>
              <w:t>TOTAL DE INGRESOS</w:t>
            </w:r>
          </w:p>
        </w:tc>
        <w:tc>
          <w:tcPr>
            <w:tcW w:w="1472" w:type="dxa"/>
            <w:tcBorders>
              <w:top w:val="nil"/>
              <w:left w:val="nil"/>
              <w:bottom w:val="single" w:sz="4" w:space="0" w:color="auto"/>
              <w:right w:val="single" w:sz="4" w:space="0" w:color="auto"/>
            </w:tcBorders>
            <w:shd w:val="clear" w:color="000000" w:fill="C4D79B"/>
            <w:noWrap/>
            <w:vAlign w:val="bottom"/>
            <w:hideMark/>
          </w:tcPr>
          <w:p w14:paraId="7AF2A91F" w14:textId="694BE8C6" w:rsidR="007817FC" w:rsidRPr="00701888" w:rsidRDefault="007817FC"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5.081</w:t>
            </w:r>
          </w:p>
        </w:tc>
      </w:tr>
      <w:tr w:rsidR="007817FC" w:rsidRPr="00701888" w14:paraId="35B0C32E"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52BC26B9" w14:textId="77777777" w:rsidR="007817FC" w:rsidRPr="00701888" w:rsidRDefault="007817FC"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w:t>
            </w:r>
          </w:p>
        </w:tc>
        <w:tc>
          <w:tcPr>
            <w:tcW w:w="1472" w:type="dxa"/>
            <w:tcBorders>
              <w:top w:val="nil"/>
              <w:left w:val="nil"/>
              <w:bottom w:val="single" w:sz="4" w:space="0" w:color="auto"/>
              <w:right w:val="single" w:sz="4" w:space="0" w:color="auto"/>
            </w:tcBorders>
            <w:shd w:val="clear" w:color="auto" w:fill="auto"/>
            <w:noWrap/>
            <w:vAlign w:val="bottom"/>
            <w:hideMark/>
          </w:tcPr>
          <w:p w14:paraId="17265C54" w14:textId="77777777" w:rsidR="007817FC" w:rsidRPr="00701888" w:rsidRDefault="007817FC"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w:t>
            </w:r>
          </w:p>
        </w:tc>
      </w:tr>
      <w:tr w:rsidR="007817FC" w:rsidRPr="00701888" w14:paraId="1DA05D40"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593C8C2F" w14:textId="54D5E0CC" w:rsidR="007817FC" w:rsidRPr="00701888" w:rsidRDefault="007817FC" w:rsidP="00584EE3">
            <w:pPr>
              <w:rPr>
                <w:rFonts w:ascii="Arial" w:eastAsia="Times New Roman" w:hAnsi="Arial" w:cs="Arial"/>
                <w:b/>
                <w:bCs/>
                <w:color w:val="000000"/>
                <w:sz w:val="16"/>
                <w:lang w:val="es-ES_tradnl" w:eastAsia="en-GB"/>
              </w:rPr>
            </w:pPr>
            <w:r w:rsidRPr="00701888">
              <w:rPr>
                <w:rFonts w:ascii="Arial" w:eastAsia="Times New Roman" w:hAnsi="Arial" w:cs="Arial"/>
                <w:b/>
                <w:bCs/>
                <w:color w:val="000000"/>
                <w:sz w:val="16"/>
                <w:lang w:val="es-ES_tradnl" w:eastAsia="en-GB"/>
              </w:rPr>
              <w:t>GASTOS</w:t>
            </w:r>
          </w:p>
        </w:tc>
        <w:tc>
          <w:tcPr>
            <w:tcW w:w="1472" w:type="dxa"/>
            <w:tcBorders>
              <w:top w:val="nil"/>
              <w:left w:val="nil"/>
              <w:bottom w:val="single" w:sz="4" w:space="0" w:color="auto"/>
              <w:right w:val="single" w:sz="4" w:space="0" w:color="auto"/>
            </w:tcBorders>
            <w:shd w:val="clear" w:color="auto" w:fill="auto"/>
            <w:noWrap/>
            <w:vAlign w:val="bottom"/>
            <w:hideMark/>
          </w:tcPr>
          <w:p w14:paraId="02DAC410" w14:textId="77777777" w:rsidR="007817FC" w:rsidRPr="00701888" w:rsidRDefault="007817FC"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w:t>
            </w:r>
          </w:p>
        </w:tc>
      </w:tr>
      <w:tr w:rsidR="007817FC" w:rsidRPr="00701888" w14:paraId="149FC189"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2C262603" w14:textId="6B4505AF" w:rsidR="007817FC" w:rsidRPr="00701888" w:rsidRDefault="007817FC" w:rsidP="007817FC">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A. Personal directivo de la Secretaría</w:t>
            </w:r>
          </w:p>
        </w:tc>
        <w:tc>
          <w:tcPr>
            <w:tcW w:w="1472" w:type="dxa"/>
            <w:tcBorders>
              <w:top w:val="nil"/>
              <w:left w:val="nil"/>
              <w:bottom w:val="single" w:sz="4" w:space="0" w:color="auto"/>
              <w:right w:val="single" w:sz="4" w:space="0" w:color="auto"/>
            </w:tcBorders>
            <w:shd w:val="clear" w:color="000000" w:fill="C4D79B"/>
            <w:noWrap/>
            <w:vAlign w:val="bottom"/>
            <w:hideMark/>
          </w:tcPr>
          <w:p w14:paraId="4E8D0FB0" w14:textId="77777777" w:rsidR="007817FC" w:rsidRPr="00701888" w:rsidRDefault="007817FC"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605</w:t>
            </w:r>
          </w:p>
        </w:tc>
      </w:tr>
      <w:tr w:rsidR="007817FC" w:rsidRPr="00701888" w14:paraId="49DEDBA7"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FD05C24" w14:textId="33F043F9" w:rsidR="007817FC" w:rsidRPr="00701888" w:rsidRDefault="007817FC"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Salarios y gastos sociales</w:t>
            </w:r>
          </w:p>
        </w:tc>
        <w:tc>
          <w:tcPr>
            <w:tcW w:w="1472" w:type="dxa"/>
            <w:tcBorders>
              <w:top w:val="nil"/>
              <w:left w:val="nil"/>
              <w:bottom w:val="single" w:sz="4" w:space="0" w:color="auto"/>
              <w:right w:val="single" w:sz="4" w:space="0" w:color="auto"/>
            </w:tcBorders>
            <w:shd w:val="clear" w:color="auto" w:fill="auto"/>
            <w:noWrap/>
            <w:vAlign w:val="bottom"/>
            <w:hideMark/>
          </w:tcPr>
          <w:p w14:paraId="076BB3D6" w14:textId="77777777" w:rsidR="007817FC" w:rsidRPr="00701888" w:rsidRDefault="007817FC"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554</w:t>
            </w:r>
          </w:p>
        </w:tc>
      </w:tr>
      <w:tr w:rsidR="007817FC" w:rsidRPr="00701888" w14:paraId="70A38276"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059D7761" w14:textId="118156A0" w:rsidR="007817FC" w:rsidRPr="00701888" w:rsidRDefault="007817FC"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Otras prestaciones laborales</w:t>
            </w:r>
          </w:p>
        </w:tc>
        <w:tc>
          <w:tcPr>
            <w:tcW w:w="1472" w:type="dxa"/>
            <w:tcBorders>
              <w:top w:val="nil"/>
              <w:left w:val="nil"/>
              <w:bottom w:val="single" w:sz="4" w:space="0" w:color="auto"/>
              <w:right w:val="single" w:sz="4" w:space="0" w:color="auto"/>
            </w:tcBorders>
            <w:shd w:val="clear" w:color="auto" w:fill="auto"/>
            <w:noWrap/>
            <w:vAlign w:val="bottom"/>
            <w:hideMark/>
          </w:tcPr>
          <w:p w14:paraId="04F97253" w14:textId="77777777" w:rsidR="007817FC" w:rsidRPr="00701888" w:rsidRDefault="007817FC"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26</w:t>
            </w:r>
          </w:p>
        </w:tc>
      </w:tr>
      <w:tr w:rsidR="007817FC" w:rsidRPr="00701888" w14:paraId="2C4FF968"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BD0DE6E" w14:textId="4F2F191B" w:rsidR="007817FC" w:rsidRPr="00701888" w:rsidRDefault="007817FC"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Viajes</w:t>
            </w:r>
          </w:p>
        </w:tc>
        <w:tc>
          <w:tcPr>
            <w:tcW w:w="1472" w:type="dxa"/>
            <w:tcBorders>
              <w:top w:val="nil"/>
              <w:left w:val="nil"/>
              <w:bottom w:val="single" w:sz="4" w:space="0" w:color="auto"/>
              <w:right w:val="single" w:sz="4" w:space="0" w:color="auto"/>
            </w:tcBorders>
            <w:shd w:val="clear" w:color="auto" w:fill="auto"/>
            <w:noWrap/>
            <w:vAlign w:val="bottom"/>
            <w:hideMark/>
          </w:tcPr>
          <w:p w14:paraId="26F1FBA7" w14:textId="77777777" w:rsidR="007817FC" w:rsidRPr="00701888" w:rsidRDefault="007817FC"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25</w:t>
            </w:r>
          </w:p>
        </w:tc>
      </w:tr>
      <w:tr w:rsidR="007817FC" w:rsidRPr="00701888" w14:paraId="5310AD53"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131FC60D" w14:textId="7A3A9B67" w:rsidR="007817FC" w:rsidRPr="00701888" w:rsidRDefault="007817FC"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 xml:space="preserve">B. </w:t>
            </w:r>
            <w:r w:rsidR="00063E01" w:rsidRPr="00701888">
              <w:rPr>
                <w:rFonts w:ascii="Arial" w:eastAsia="Times New Roman" w:hAnsi="Arial" w:cs="Arial"/>
                <w:b/>
                <w:bCs/>
                <w:color w:val="000000"/>
                <w:sz w:val="16"/>
                <w:szCs w:val="22"/>
                <w:lang w:val="es-ES_tradnl" w:eastAsia="en-GB"/>
              </w:rPr>
              <w:t>Coordinador de Asociaciones de Colaboración</w:t>
            </w:r>
          </w:p>
        </w:tc>
        <w:tc>
          <w:tcPr>
            <w:tcW w:w="1472" w:type="dxa"/>
            <w:tcBorders>
              <w:top w:val="nil"/>
              <w:left w:val="nil"/>
              <w:bottom w:val="single" w:sz="4" w:space="0" w:color="auto"/>
              <w:right w:val="single" w:sz="4" w:space="0" w:color="auto"/>
            </w:tcBorders>
            <w:shd w:val="clear" w:color="000000" w:fill="C4D79B"/>
            <w:noWrap/>
            <w:vAlign w:val="bottom"/>
            <w:hideMark/>
          </w:tcPr>
          <w:p w14:paraId="44FDAE33" w14:textId="77777777" w:rsidR="007817FC" w:rsidRPr="00701888" w:rsidRDefault="007817FC"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64</w:t>
            </w:r>
          </w:p>
        </w:tc>
      </w:tr>
      <w:tr w:rsidR="00063E01" w:rsidRPr="00701888" w14:paraId="5DDEBE60"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1D617FA" w14:textId="1799253D"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Salarios y gastos sociales</w:t>
            </w:r>
          </w:p>
        </w:tc>
        <w:tc>
          <w:tcPr>
            <w:tcW w:w="1472" w:type="dxa"/>
            <w:tcBorders>
              <w:top w:val="nil"/>
              <w:left w:val="nil"/>
              <w:bottom w:val="single" w:sz="4" w:space="0" w:color="auto"/>
              <w:right w:val="single" w:sz="4" w:space="0" w:color="auto"/>
            </w:tcBorders>
            <w:shd w:val="clear" w:color="auto" w:fill="auto"/>
            <w:noWrap/>
            <w:vAlign w:val="bottom"/>
            <w:hideMark/>
          </w:tcPr>
          <w:p w14:paraId="4D62AEF5"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47</w:t>
            </w:r>
          </w:p>
        </w:tc>
      </w:tr>
      <w:tr w:rsidR="00063E01" w:rsidRPr="00701888" w14:paraId="463876E8"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53A4CC1" w14:textId="625F68F4"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Otras prestaciones laborales</w:t>
            </w:r>
          </w:p>
        </w:tc>
        <w:tc>
          <w:tcPr>
            <w:tcW w:w="1472" w:type="dxa"/>
            <w:tcBorders>
              <w:top w:val="nil"/>
              <w:left w:val="nil"/>
              <w:bottom w:val="single" w:sz="4" w:space="0" w:color="auto"/>
              <w:right w:val="single" w:sz="4" w:space="0" w:color="auto"/>
            </w:tcBorders>
            <w:shd w:val="clear" w:color="auto" w:fill="auto"/>
            <w:noWrap/>
            <w:vAlign w:val="bottom"/>
            <w:hideMark/>
          </w:tcPr>
          <w:p w14:paraId="689F66D2"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17</w:t>
            </w:r>
          </w:p>
        </w:tc>
      </w:tr>
      <w:tr w:rsidR="00063E01" w:rsidRPr="00701888" w14:paraId="723321F5"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7F367C57" w14:textId="1A8FFB8B"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Viajes</w:t>
            </w:r>
          </w:p>
        </w:tc>
        <w:tc>
          <w:tcPr>
            <w:tcW w:w="1472" w:type="dxa"/>
            <w:tcBorders>
              <w:top w:val="nil"/>
              <w:left w:val="nil"/>
              <w:bottom w:val="single" w:sz="4" w:space="0" w:color="auto"/>
              <w:right w:val="single" w:sz="4" w:space="0" w:color="auto"/>
            </w:tcBorders>
            <w:shd w:val="clear" w:color="auto" w:fill="auto"/>
            <w:noWrap/>
            <w:vAlign w:val="bottom"/>
            <w:hideMark/>
          </w:tcPr>
          <w:p w14:paraId="684D228B" w14:textId="77777777"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w:t>
            </w:r>
          </w:p>
        </w:tc>
      </w:tr>
      <w:tr w:rsidR="00063E01" w:rsidRPr="00701888" w14:paraId="3E84BAA0"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2EAAB0B0" w14:textId="7C038086"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C. Asesoramiento y apoyo regionales</w:t>
            </w:r>
          </w:p>
        </w:tc>
        <w:tc>
          <w:tcPr>
            <w:tcW w:w="1472" w:type="dxa"/>
            <w:tcBorders>
              <w:top w:val="nil"/>
              <w:left w:val="nil"/>
              <w:bottom w:val="single" w:sz="4" w:space="0" w:color="auto"/>
              <w:right w:val="single" w:sz="4" w:space="0" w:color="auto"/>
            </w:tcBorders>
            <w:shd w:val="clear" w:color="000000" w:fill="C4D79B"/>
            <w:noWrap/>
            <w:vAlign w:val="bottom"/>
            <w:hideMark/>
          </w:tcPr>
          <w:p w14:paraId="65490D01" w14:textId="1CC7FBDD"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1.342</w:t>
            </w:r>
          </w:p>
        </w:tc>
      </w:tr>
      <w:tr w:rsidR="00063E01" w:rsidRPr="00701888" w14:paraId="13FB6D79"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04F86F1C" w14:textId="78F129DE"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Salarios y gastos sociales</w:t>
            </w:r>
          </w:p>
        </w:tc>
        <w:tc>
          <w:tcPr>
            <w:tcW w:w="1472" w:type="dxa"/>
            <w:tcBorders>
              <w:top w:val="nil"/>
              <w:left w:val="nil"/>
              <w:bottom w:val="single" w:sz="4" w:space="0" w:color="auto"/>
              <w:right w:val="single" w:sz="4" w:space="0" w:color="auto"/>
            </w:tcBorders>
            <w:shd w:val="clear" w:color="auto" w:fill="auto"/>
            <w:noWrap/>
            <w:vAlign w:val="bottom"/>
            <w:hideMark/>
          </w:tcPr>
          <w:p w14:paraId="49CB36A0" w14:textId="4CEE0A91"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1.201</w:t>
            </w:r>
          </w:p>
        </w:tc>
      </w:tr>
      <w:tr w:rsidR="00063E01" w:rsidRPr="00701888" w14:paraId="67D1A142"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2FA36A2A" w14:textId="6E6DBC10"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Otras prestaciones laborales</w:t>
            </w:r>
          </w:p>
        </w:tc>
        <w:tc>
          <w:tcPr>
            <w:tcW w:w="1472" w:type="dxa"/>
            <w:tcBorders>
              <w:top w:val="nil"/>
              <w:left w:val="nil"/>
              <w:bottom w:val="single" w:sz="4" w:space="0" w:color="auto"/>
              <w:right w:val="single" w:sz="4" w:space="0" w:color="auto"/>
            </w:tcBorders>
            <w:shd w:val="clear" w:color="auto" w:fill="auto"/>
            <w:noWrap/>
            <w:vAlign w:val="bottom"/>
            <w:hideMark/>
          </w:tcPr>
          <w:p w14:paraId="2B2C915F"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56</w:t>
            </w:r>
          </w:p>
        </w:tc>
      </w:tr>
      <w:tr w:rsidR="00063E01" w:rsidRPr="00701888" w14:paraId="1C6FD040"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70244035" w14:textId="33FD7DCA"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Viajes</w:t>
            </w:r>
          </w:p>
        </w:tc>
        <w:tc>
          <w:tcPr>
            <w:tcW w:w="1472" w:type="dxa"/>
            <w:tcBorders>
              <w:top w:val="nil"/>
              <w:left w:val="nil"/>
              <w:bottom w:val="single" w:sz="4" w:space="0" w:color="auto"/>
              <w:right w:val="single" w:sz="4" w:space="0" w:color="auto"/>
            </w:tcBorders>
            <w:shd w:val="clear" w:color="auto" w:fill="auto"/>
            <w:noWrap/>
            <w:vAlign w:val="bottom"/>
            <w:hideMark/>
          </w:tcPr>
          <w:p w14:paraId="39C02C49"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85</w:t>
            </w:r>
          </w:p>
        </w:tc>
      </w:tr>
      <w:tr w:rsidR="00063E01" w:rsidRPr="00701888" w14:paraId="3881562A"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0894F807" w14:textId="10F2C2F0" w:rsidR="00063E01" w:rsidRPr="00701888" w:rsidRDefault="00063E01" w:rsidP="007817FC">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Misiones Ramsar de Asesoramiento</w:t>
            </w:r>
          </w:p>
        </w:tc>
        <w:tc>
          <w:tcPr>
            <w:tcW w:w="1472" w:type="dxa"/>
            <w:tcBorders>
              <w:top w:val="nil"/>
              <w:left w:val="nil"/>
              <w:bottom w:val="single" w:sz="4" w:space="0" w:color="auto"/>
              <w:right w:val="single" w:sz="4" w:space="0" w:color="auto"/>
            </w:tcBorders>
            <w:shd w:val="clear" w:color="auto" w:fill="auto"/>
            <w:noWrap/>
            <w:vAlign w:val="bottom"/>
            <w:hideMark/>
          </w:tcPr>
          <w:p w14:paraId="55FBD0AD" w14:textId="77777777"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w:t>
            </w:r>
          </w:p>
        </w:tc>
      </w:tr>
      <w:tr w:rsidR="00063E01" w:rsidRPr="00701888" w14:paraId="18673B9F"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54D35084" w14:textId="7F330B1A"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D. Apoyo a iniciativas regionales</w:t>
            </w:r>
          </w:p>
        </w:tc>
        <w:tc>
          <w:tcPr>
            <w:tcW w:w="1472" w:type="dxa"/>
            <w:tcBorders>
              <w:top w:val="nil"/>
              <w:left w:val="nil"/>
              <w:bottom w:val="single" w:sz="4" w:space="0" w:color="auto"/>
              <w:right w:val="single" w:sz="4" w:space="0" w:color="auto"/>
            </w:tcBorders>
            <w:shd w:val="clear" w:color="000000" w:fill="C4D79B"/>
            <w:noWrap/>
            <w:vAlign w:val="bottom"/>
            <w:hideMark/>
          </w:tcPr>
          <w:p w14:paraId="49C4A7D4"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120</w:t>
            </w:r>
          </w:p>
        </w:tc>
      </w:tr>
      <w:tr w:rsidR="00063E01" w:rsidRPr="00701888" w14:paraId="32C23E5A"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B6700CD" w14:textId="6D0B8BAE" w:rsidR="00063E01" w:rsidRPr="00701888" w:rsidRDefault="00063E01" w:rsidP="007817FC">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Redes y centros regionales</w:t>
            </w:r>
          </w:p>
        </w:tc>
        <w:tc>
          <w:tcPr>
            <w:tcW w:w="1472" w:type="dxa"/>
            <w:tcBorders>
              <w:top w:val="nil"/>
              <w:left w:val="nil"/>
              <w:bottom w:val="single" w:sz="4" w:space="0" w:color="auto"/>
              <w:right w:val="single" w:sz="4" w:space="0" w:color="auto"/>
            </w:tcBorders>
            <w:shd w:val="clear" w:color="auto" w:fill="auto"/>
            <w:noWrap/>
            <w:vAlign w:val="bottom"/>
            <w:hideMark/>
          </w:tcPr>
          <w:p w14:paraId="4996A199"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120</w:t>
            </w:r>
          </w:p>
        </w:tc>
      </w:tr>
      <w:tr w:rsidR="00063E01" w:rsidRPr="00701888" w14:paraId="034B914A"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60DEDF61" w14:textId="0D1C5634"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E. Servicios científicas y técnicos</w:t>
            </w:r>
          </w:p>
        </w:tc>
        <w:tc>
          <w:tcPr>
            <w:tcW w:w="1472" w:type="dxa"/>
            <w:tcBorders>
              <w:top w:val="nil"/>
              <w:left w:val="nil"/>
              <w:bottom w:val="single" w:sz="4" w:space="0" w:color="auto"/>
              <w:right w:val="single" w:sz="4" w:space="0" w:color="auto"/>
            </w:tcBorders>
            <w:shd w:val="clear" w:color="000000" w:fill="C4D79B"/>
            <w:noWrap/>
            <w:vAlign w:val="bottom"/>
            <w:hideMark/>
          </w:tcPr>
          <w:p w14:paraId="612C8086"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212</w:t>
            </w:r>
          </w:p>
        </w:tc>
      </w:tr>
      <w:tr w:rsidR="00063E01" w:rsidRPr="00701888" w14:paraId="22EEC147"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051179FC" w14:textId="4F9E40A6"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Salarios y gastos sociales</w:t>
            </w:r>
          </w:p>
        </w:tc>
        <w:tc>
          <w:tcPr>
            <w:tcW w:w="1472" w:type="dxa"/>
            <w:tcBorders>
              <w:top w:val="nil"/>
              <w:left w:val="nil"/>
              <w:bottom w:val="single" w:sz="4" w:space="0" w:color="auto"/>
              <w:right w:val="single" w:sz="4" w:space="0" w:color="auto"/>
            </w:tcBorders>
            <w:shd w:val="clear" w:color="auto" w:fill="auto"/>
            <w:noWrap/>
            <w:vAlign w:val="bottom"/>
            <w:hideMark/>
          </w:tcPr>
          <w:p w14:paraId="0A817193"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110</w:t>
            </w:r>
          </w:p>
        </w:tc>
      </w:tr>
      <w:tr w:rsidR="00063E01" w:rsidRPr="00701888" w14:paraId="68CD2B1C"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3C7983CF" w14:textId="2D80D0F0"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Otras prestaciones laborales</w:t>
            </w:r>
          </w:p>
        </w:tc>
        <w:tc>
          <w:tcPr>
            <w:tcW w:w="1472" w:type="dxa"/>
            <w:tcBorders>
              <w:top w:val="nil"/>
              <w:left w:val="nil"/>
              <w:bottom w:val="single" w:sz="4" w:space="0" w:color="auto"/>
              <w:right w:val="single" w:sz="4" w:space="0" w:color="auto"/>
            </w:tcBorders>
            <w:shd w:val="clear" w:color="auto" w:fill="auto"/>
            <w:noWrap/>
            <w:vAlign w:val="bottom"/>
            <w:hideMark/>
          </w:tcPr>
          <w:p w14:paraId="1CC265EE"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2</w:t>
            </w:r>
          </w:p>
        </w:tc>
      </w:tr>
      <w:tr w:rsidR="00063E01" w:rsidRPr="00701888" w14:paraId="7DBFD286"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21FBAE3C" w14:textId="39DA30E3"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Viajes</w:t>
            </w:r>
          </w:p>
        </w:tc>
        <w:tc>
          <w:tcPr>
            <w:tcW w:w="1472" w:type="dxa"/>
            <w:tcBorders>
              <w:top w:val="nil"/>
              <w:left w:val="nil"/>
              <w:bottom w:val="single" w:sz="4" w:space="0" w:color="auto"/>
              <w:right w:val="single" w:sz="4" w:space="0" w:color="auto"/>
            </w:tcBorders>
            <w:shd w:val="clear" w:color="auto" w:fill="auto"/>
            <w:noWrap/>
            <w:vAlign w:val="bottom"/>
            <w:hideMark/>
          </w:tcPr>
          <w:p w14:paraId="4F57FE33"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10</w:t>
            </w:r>
          </w:p>
        </w:tc>
      </w:tr>
      <w:tr w:rsidR="00063E01" w:rsidRPr="00701888" w14:paraId="4D2997A1"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2FC6361" w14:textId="1431F6A0" w:rsidR="00063E01" w:rsidRPr="00701888" w:rsidRDefault="00063E01" w:rsidP="007817FC">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Ejecución del GECT</w:t>
            </w:r>
          </w:p>
        </w:tc>
        <w:tc>
          <w:tcPr>
            <w:tcW w:w="1472" w:type="dxa"/>
            <w:tcBorders>
              <w:top w:val="nil"/>
              <w:left w:val="nil"/>
              <w:bottom w:val="single" w:sz="4" w:space="0" w:color="auto"/>
              <w:right w:val="single" w:sz="4" w:space="0" w:color="auto"/>
            </w:tcBorders>
            <w:shd w:val="clear" w:color="auto" w:fill="auto"/>
            <w:noWrap/>
            <w:vAlign w:val="bottom"/>
            <w:hideMark/>
          </w:tcPr>
          <w:p w14:paraId="677D4E16"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40</w:t>
            </w:r>
          </w:p>
        </w:tc>
      </w:tr>
      <w:tr w:rsidR="00063E01" w:rsidRPr="00701888" w14:paraId="14E249FD"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FAADC12" w14:textId="2208B353"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Reuniones del GECT</w:t>
            </w:r>
          </w:p>
        </w:tc>
        <w:tc>
          <w:tcPr>
            <w:tcW w:w="1472" w:type="dxa"/>
            <w:tcBorders>
              <w:top w:val="nil"/>
              <w:left w:val="nil"/>
              <w:bottom w:val="single" w:sz="4" w:space="0" w:color="auto"/>
              <w:right w:val="single" w:sz="4" w:space="0" w:color="auto"/>
            </w:tcBorders>
            <w:shd w:val="clear" w:color="auto" w:fill="auto"/>
            <w:noWrap/>
            <w:vAlign w:val="bottom"/>
            <w:hideMark/>
          </w:tcPr>
          <w:p w14:paraId="68C97D8C"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50</w:t>
            </w:r>
          </w:p>
        </w:tc>
      </w:tr>
      <w:tr w:rsidR="00063E01" w:rsidRPr="00701888" w14:paraId="5A38A959"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14:paraId="483D387D" w14:textId="7D9DAA0B" w:rsidR="00063E01" w:rsidRPr="00701888" w:rsidRDefault="00063E01" w:rsidP="001943E2">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F. Com</w:t>
            </w:r>
            <w:r w:rsidR="001943E2" w:rsidRPr="00701888">
              <w:rPr>
                <w:rFonts w:ascii="Arial" w:eastAsia="Times New Roman" w:hAnsi="Arial" w:cs="Arial"/>
                <w:b/>
                <w:bCs/>
                <w:color w:val="000000"/>
                <w:sz w:val="16"/>
                <w:szCs w:val="22"/>
                <w:lang w:val="es-ES_tradnl" w:eastAsia="en-GB"/>
              </w:rPr>
              <w:t>unicaciones</w:t>
            </w:r>
          </w:p>
        </w:tc>
        <w:tc>
          <w:tcPr>
            <w:tcW w:w="1472" w:type="dxa"/>
            <w:tcBorders>
              <w:top w:val="nil"/>
              <w:left w:val="nil"/>
              <w:bottom w:val="single" w:sz="4" w:space="0" w:color="auto"/>
              <w:right w:val="single" w:sz="4" w:space="0" w:color="auto"/>
            </w:tcBorders>
            <w:shd w:val="clear" w:color="000000" w:fill="C4D79B"/>
            <w:noWrap/>
            <w:vAlign w:val="bottom"/>
            <w:hideMark/>
          </w:tcPr>
          <w:p w14:paraId="6FACFB7C"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569</w:t>
            </w:r>
          </w:p>
        </w:tc>
      </w:tr>
      <w:tr w:rsidR="00063E01" w:rsidRPr="00701888" w14:paraId="1356980F"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AC5AB59" w14:textId="65033FA7"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Salarios y gastos sociales</w:t>
            </w:r>
          </w:p>
        </w:tc>
        <w:tc>
          <w:tcPr>
            <w:tcW w:w="1472" w:type="dxa"/>
            <w:tcBorders>
              <w:top w:val="nil"/>
              <w:left w:val="nil"/>
              <w:bottom w:val="single" w:sz="4" w:space="0" w:color="auto"/>
              <w:right w:val="single" w:sz="4" w:space="0" w:color="auto"/>
            </w:tcBorders>
            <w:shd w:val="clear" w:color="auto" w:fill="auto"/>
            <w:noWrap/>
            <w:vAlign w:val="bottom"/>
            <w:hideMark/>
          </w:tcPr>
          <w:p w14:paraId="1C4B6461"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434</w:t>
            </w:r>
          </w:p>
        </w:tc>
      </w:tr>
      <w:tr w:rsidR="00063E01" w:rsidRPr="00701888" w14:paraId="75F8BB1E"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7C14417A" w14:textId="4F5A0B11"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xml:space="preserve">Viajes </w:t>
            </w:r>
          </w:p>
        </w:tc>
        <w:tc>
          <w:tcPr>
            <w:tcW w:w="1472" w:type="dxa"/>
            <w:tcBorders>
              <w:top w:val="nil"/>
              <w:left w:val="nil"/>
              <w:bottom w:val="single" w:sz="4" w:space="0" w:color="auto"/>
              <w:right w:val="single" w:sz="4" w:space="0" w:color="auto"/>
            </w:tcBorders>
            <w:shd w:val="clear" w:color="auto" w:fill="auto"/>
            <w:noWrap/>
            <w:vAlign w:val="bottom"/>
            <w:hideMark/>
          </w:tcPr>
          <w:p w14:paraId="3020D0D8"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5</w:t>
            </w:r>
          </w:p>
        </w:tc>
      </w:tr>
      <w:tr w:rsidR="00063E01" w:rsidRPr="00701888" w14:paraId="09327934"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622F6721" w14:textId="125ACA74" w:rsidR="00063E01" w:rsidRPr="00701888" w:rsidRDefault="00063E01" w:rsidP="007817FC">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Programa de CECoP</w:t>
            </w:r>
          </w:p>
        </w:tc>
        <w:tc>
          <w:tcPr>
            <w:tcW w:w="1472" w:type="dxa"/>
            <w:tcBorders>
              <w:top w:val="nil"/>
              <w:left w:val="nil"/>
              <w:bottom w:val="single" w:sz="4" w:space="0" w:color="auto"/>
              <w:right w:val="single" w:sz="4" w:space="0" w:color="auto"/>
            </w:tcBorders>
            <w:shd w:val="clear" w:color="auto" w:fill="auto"/>
            <w:noWrap/>
            <w:vAlign w:val="bottom"/>
            <w:hideMark/>
          </w:tcPr>
          <w:p w14:paraId="4F94594B"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30</w:t>
            </w:r>
          </w:p>
        </w:tc>
      </w:tr>
      <w:tr w:rsidR="00063E01" w:rsidRPr="00701888" w14:paraId="47E75B84"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70606308" w14:textId="0D9D6E2D" w:rsidR="00063E01" w:rsidRPr="00701888" w:rsidRDefault="00063E01" w:rsidP="00584EE3">
            <w:pPr>
              <w:rPr>
                <w:rFonts w:ascii="Arial" w:eastAsia="Times New Roman" w:hAnsi="Arial" w:cs="Arial"/>
                <w:color w:val="000000"/>
                <w:sz w:val="18"/>
                <w:szCs w:val="18"/>
                <w:lang w:val="es-ES_tradnl" w:eastAsia="en-GB"/>
              </w:rPr>
            </w:pPr>
            <w:r w:rsidRPr="00701888">
              <w:rPr>
                <w:rFonts w:ascii="Calibri" w:eastAsia="Times New Roman" w:hAnsi="Calibri"/>
                <w:color w:val="000000"/>
                <w:sz w:val="18"/>
                <w:szCs w:val="18"/>
                <w:lang w:val="es-ES_tradnl" w:eastAsia="en-GB"/>
              </w:rPr>
              <w:t>Comunicaciones, traducción, publicaciones y presentación de informes</w:t>
            </w:r>
          </w:p>
        </w:tc>
        <w:tc>
          <w:tcPr>
            <w:tcW w:w="1472" w:type="dxa"/>
            <w:tcBorders>
              <w:top w:val="nil"/>
              <w:left w:val="nil"/>
              <w:bottom w:val="single" w:sz="4" w:space="0" w:color="auto"/>
              <w:right w:val="single" w:sz="4" w:space="0" w:color="auto"/>
            </w:tcBorders>
            <w:shd w:val="clear" w:color="auto" w:fill="auto"/>
            <w:noWrap/>
            <w:vAlign w:val="bottom"/>
            <w:hideMark/>
          </w:tcPr>
          <w:p w14:paraId="3CC40B04"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100</w:t>
            </w:r>
          </w:p>
        </w:tc>
      </w:tr>
      <w:tr w:rsidR="00063E01" w:rsidRPr="00701888" w14:paraId="5C2ED16C"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11AEA03C" w14:textId="306057F0"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G. Administración/SISR/Web</w:t>
            </w:r>
          </w:p>
        </w:tc>
        <w:tc>
          <w:tcPr>
            <w:tcW w:w="1472" w:type="dxa"/>
            <w:tcBorders>
              <w:top w:val="nil"/>
              <w:left w:val="nil"/>
              <w:bottom w:val="single" w:sz="4" w:space="0" w:color="auto"/>
              <w:right w:val="single" w:sz="4" w:space="0" w:color="auto"/>
            </w:tcBorders>
            <w:shd w:val="clear" w:color="000000" w:fill="C4D79B"/>
            <w:noWrap/>
            <w:vAlign w:val="bottom"/>
            <w:hideMark/>
          </w:tcPr>
          <w:p w14:paraId="7345E9FF"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981</w:t>
            </w:r>
          </w:p>
        </w:tc>
      </w:tr>
      <w:tr w:rsidR="00063E01" w:rsidRPr="00701888" w14:paraId="3A9CF29E"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0B250AC2" w14:textId="5C0833EE" w:rsidR="00063E01" w:rsidRPr="00701888" w:rsidRDefault="00063E01" w:rsidP="007817FC">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Salarios y gastos sociales</w:t>
            </w:r>
          </w:p>
        </w:tc>
        <w:tc>
          <w:tcPr>
            <w:tcW w:w="1472" w:type="dxa"/>
            <w:tcBorders>
              <w:top w:val="nil"/>
              <w:left w:val="nil"/>
              <w:bottom w:val="single" w:sz="4" w:space="0" w:color="auto"/>
              <w:right w:val="single" w:sz="4" w:space="0" w:color="auto"/>
            </w:tcBorders>
            <w:shd w:val="clear" w:color="auto" w:fill="auto"/>
            <w:noWrap/>
            <w:vAlign w:val="bottom"/>
            <w:hideMark/>
          </w:tcPr>
          <w:p w14:paraId="271A64E2"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629</w:t>
            </w:r>
          </w:p>
        </w:tc>
      </w:tr>
      <w:tr w:rsidR="00063E01" w:rsidRPr="00701888" w14:paraId="7573DAC5"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321459F0" w14:textId="5179A369" w:rsidR="00063E01" w:rsidRPr="00701888" w:rsidRDefault="00063E01" w:rsidP="007817FC">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Otras prestaciones laborales</w:t>
            </w:r>
          </w:p>
        </w:tc>
        <w:tc>
          <w:tcPr>
            <w:tcW w:w="1472" w:type="dxa"/>
            <w:tcBorders>
              <w:top w:val="nil"/>
              <w:left w:val="nil"/>
              <w:bottom w:val="single" w:sz="4" w:space="0" w:color="auto"/>
              <w:right w:val="single" w:sz="4" w:space="0" w:color="auto"/>
            </w:tcBorders>
            <w:shd w:val="clear" w:color="auto" w:fill="auto"/>
            <w:noWrap/>
            <w:vAlign w:val="bottom"/>
            <w:hideMark/>
          </w:tcPr>
          <w:p w14:paraId="51CB0B0D"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5</w:t>
            </w:r>
          </w:p>
        </w:tc>
      </w:tr>
      <w:tr w:rsidR="00063E01" w:rsidRPr="00701888" w14:paraId="3DAF2E85"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789CAABA" w14:textId="5E6E54E9"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Costos de contratación y separación del personal</w:t>
            </w:r>
          </w:p>
        </w:tc>
        <w:tc>
          <w:tcPr>
            <w:tcW w:w="1472" w:type="dxa"/>
            <w:tcBorders>
              <w:top w:val="nil"/>
              <w:left w:val="nil"/>
              <w:bottom w:val="single" w:sz="4" w:space="0" w:color="auto"/>
              <w:right w:val="single" w:sz="4" w:space="0" w:color="auto"/>
            </w:tcBorders>
            <w:shd w:val="clear" w:color="auto" w:fill="auto"/>
            <w:noWrap/>
            <w:vAlign w:val="bottom"/>
            <w:hideMark/>
          </w:tcPr>
          <w:p w14:paraId="2D4EA8D1"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120</w:t>
            </w:r>
          </w:p>
        </w:tc>
      </w:tr>
      <w:tr w:rsidR="00063E01" w:rsidRPr="00701888" w14:paraId="5EB8703C"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049880EF" w14:textId="57F3462F"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Viajes</w:t>
            </w:r>
          </w:p>
        </w:tc>
        <w:tc>
          <w:tcPr>
            <w:tcW w:w="1472" w:type="dxa"/>
            <w:tcBorders>
              <w:top w:val="nil"/>
              <w:left w:val="nil"/>
              <w:bottom w:val="single" w:sz="4" w:space="0" w:color="auto"/>
              <w:right w:val="single" w:sz="4" w:space="0" w:color="auto"/>
            </w:tcBorders>
            <w:shd w:val="clear" w:color="auto" w:fill="auto"/>
            <w:noWrap/>
            <w:vAlign w:val="bottom"/>
            <w:hideMark/>
          </w:tcPr>
          <w:p w14:paraId="6996F16A"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10</w:t>
            </w:r>
          </w:p>
        </w:tc>
      </w:tr>
      <w:tr w:rsidR="00063E01" w:rsidRPr="00701888" w14:paraId="7925CB92"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64B689E2" w14:textId="53DFA6B2" w:rsidR="00063E01" w:rsidRPr="00701888" w:rsidRDefault="00063E01" w:rsidP="007817FC">
            <w:pPr>
              <w:rPr>
                <w:rFonts w:ascii="Arial" w:eastAsia="Times New Roman" w:hAnsi="Arial" w:cs="Arial"/>
                <w:color w:val="000000"/>
                <w:sz w:val="16"/>
                <w:szCs w:val="22"/>
                <w:lang w:val="es-ES_tradnl" w:eastAsia="en-GB"/>
              </w:rPr>
            </w:pPr>
            <w:r w:rsidRPr="00701888">
              <w:rPr>
                <w:rFonts w:ascii="Calibri" w:eastAsia="Times New Roman" w:hAnsi="Calibri"/>
                <w:color w:val="000000"/>
                <w:sz w:val="18"/>
                <w:szCs w:val="18"/>
                <w:lang w:val="es-ES_tradnl" w:eastAsia="en-GB"/>
              </w:rPr>
              <w:t>Servicio de información sobre sitios Ramsar</w:t>
            </w:r>
            <w:r w:rsidRPr="00701888">
              <w:rPr>
                <w:rFonts w:ascii="Calibri" w:eastAsia="Times New Roman" w:hAnsi="Calibri"/>
                <w:color w:val="000000"/>
                <w:sz w:val="16"/>
                <w:szCs w:val="18"/>
                <w:lang w:val="es-ES_tradnl" w:eastAsia="en-GB"/>
              </w:rPr>
              <w:t xml:space="preserve"> </w:t>
            </w:r>
            <w:r w:rsidRPr="00701888">
              <w:rPr>
                <w:rFonts w:ascii="Arial" w:eastAsia="Times New Roman" w:hAnsi="Arial" w:cs="Arial"/>
                <w:color w:val="000000"/>
                <w:sz w:val="16"/>
                <w:szCs w:val="22"/>
                <w:lang w:val="es-ES_tradnl" w:eastAsia="en-GB"/>
              </w:rPr>
              <w:t xml:space="preserve">(mantenimiento y desarrollo) </w:t>
            </w:r>
          </w:p>
        </w:tc>
        <w:tc>
          <w:tcPr>
            <w:tcW w:w="1472" w:type="dxa"/>
            <w:tcBorders>
              <w:top w:val="nil"/>
              <w:left w:val="nil"/>
              <w:bottom w:val="single" w:sz="4" w:space="0" w:color="auto"/>
              <w:right w:val="single" w:sz="4" w:space="0" w:color="auto"/>
            </w:tcBorders>
            <w:shd w:val="clear" w:color="auto" w:fill="auto"/>
            <w:noWrap/>
            <w:vAlign w:val="bottom"/>
            <w:hideMark/>
          </w:tcPr>
          <w:p w14:paraId="49D48602"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117</w:t>
            </w:r>
          </w:p>
        </w:tc>
      </w:tr>
      <w:tr w:rsidR="00063E01" w:rsidRPr="00701888" w14:paraId="35BED1D8"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39FF9FDE" w14:textId="3CC5A859" w:rsidR="00063E01" w:rsidRPr="00701888" w:rsidRDefault="00063E01" w:rsidP="000A2A41">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xml:space="preserve">Apoyo y desarrollo del sitio web/tecnologías de la información </w:t>
            </w:r>
          </w:p>
        </w:tc>
        <w:tc>
          <w:tcPr>
            <w:tcW w:w="1472" w:type="dxa"/>
            <w:tcBorders>
              <w:top w:val="nil"/>
              <w:left w:val="nil"/>
              <w:bottom w:val="single" w:sz="4" w:space="0" w:color="auto"/>
              <w:right w:val="single" w:sz="4" w:space="0" w:color="auto"/>
            </w:tcBorders>
            <w:shd w:val="clear" w:color="auto" w:fill="auto"/>
            <w:noWrap/>
            <w:vAlign w:val="bottom"/>
            <w:hideMark/>
          </w:tcPr>
          <w:p w14:paraId="1EA4DCFE"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100</w:t>
            </w:r>
          </w:p>
        </w:tc>
      </w:tr>
      <w:tr w:rsidR="00063E01" w:rsidRPr="00701888" w14:paraId="1417369D"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74850F93" w14:textId="5C4780F6"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H. Gastos de funcionamiento</w:t>
            </w:r>
          </w:p>
        </w:tc>
        <w:tc>
          <w:tcPr>
            <w:tcW w:w="1472" w:type="dxa"/>
            <w:tcBorders>
              <w:top w:val="nil"/>
              <w:left w:val="nil"/>
              <w:bottom w:val="single" w:sz="4" w:space="0" w:color="auto"/>
              <w:right w:val="single" w:sz="4" w:space="0" w:color="auto"/>
            </w:tcBorders>
            <w:shd w:val="clear" w:color="000000" w:fill="C4D79B"/>
            <w:noWrap/>
            <w:vAlign w:val="bottom"/>
            <w:hideMark/>
          </w:tcPr>
          <w:p w14:paraId="2FB37EE0"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95</w:t>
            </w:r>
          </w:p>
        </w:tc>
      </w:tr>
      <w:tr w:rsidR="00063E01" w:rsidRPr="00701888" w14:paraId="6ADFB845"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5996D357" w14:textId="05D82897"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Generales</w:t>
            </w:r>
          </w:p>
        </w:tc>
        <w:tc>
          <w:tcPr>
            <w:tcW w:w="1472" w:type="dxa"/>
            <w:tcBorders>
              <w:top w:val="nil"/>
              <w:left w:val="nil"/>
              <w:bottom w:val="single" w:sz="4" w:space="0" w:color="auto"/>
              <w:right w:val="single" w:sz="4" w:space="0" w:color="auto"/>
            </w:tcBorders>
            <w:shd w:val="clear" w:color="auto" w:fill="auto"/>
            <w:noWrap/>
            <w:vAlign w:val="bottom"/>
            <w:hideMark/>
          </w:tcPr>
          <w:p w14:paraId="0A369430"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80</w:t>
            </w:r>
          </w:p>
        </w:tc>
      </w:tr>
      <w:tr w:rsidR="00063E01" w:rsidRPr="00701888" w14:paraId="7D7F719B"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23AD302B" w14:textId="0030F832" w:rsidR="00063E01" w:rsidRPr="00701888" w:rsidRDefault="00063E01" w:rsidP="000A2A41">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Equipos/material de oficinas</w:t>
            </w:r>
          </w:p>
        </w:tc>
        <w:tc>
          <w:tcPr>
            <w:tcW w:w="1472" w:type="dxa"/>
            <w:tcBorders>
              <w:top w:val="nil"/>
              <w:left w:val="nil"/>
              <w:bottom w:val="single" w:sz="4" w:space="0" w:color="auto"/>
              <w:right w:val="single" w:sz="4" w:space="0" w:color="auto"/>
            </w:tcBorders>
            <w:shd w:val="clear" w:color="auto" w:fill="auto"/>
            <w:noWrap/>
            <w:vAlign w:val="bottom"/>
            <w:hideMark/>
          </w:tcPr>
          <w:p w14:paraId="461DBA43"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15</w:t>
            </w:r>
          </w:p>
        </w:tc>
      </w:tr>
      <w:tr w:rsidR="00063E01" w:rsidRPr="00701888" w14:paraId="24BC3E01"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1D363C46" w14:textId="27A37599"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I. Servicios del Comité Permanente</w:t>
            </w:r>
          </w:p>
        </w:tc>
        <w:tc>
          <w:tcPr>
            <w:tcW w:w="1472" w:type="dxa"/>
            <w:tcBorders>
              <w:top w:val="nil"/>
              <w:left w:val="nil"/>
              <w:bottom w:val="single" w:sz="4" w:space="0" w:color="auto"/>
              <w:right w:val="single" w:sz="4" w:space="0" w:color="auto"/>
            </w:tcBorders>
            <w:shd w:val="clear" w:color="000000" w:fill="C4D79B"/>
            <w:noWrap/>
            <w:vAlign w:val="bottom"/>
            <w:hideMark/>
          </w:tcPr>
          <w:p w14:paraId="44B311BC"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165</w:t>
            </w:r>
          </w:p>
        </w:tc>
      </w:tr>
      <w:tr w:rsidR="00063E01" w:rsidRPr="00701888" w14:paraId="3DE000AF"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64A364A2" w14:textId="3CC7191B" w:rsidR="00063E01" w:rsidRPr="00701888" w:rsidRDefault="00063E01" w:rsidP="000A2A41">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Apoyo a los delegados del Comité Permanente</w:t>
            </w:r>
          </w:p>
        </w:tc>
        <w:tc>
          <w:tcPr>
            <w:tcW w:w="1472" w:type="dxa"/>
            <w:tcBorders>
              <w:top w:val="nil"/>
              <w:left w:val="nil"/>
              <w:bottom w:val="single" w:sz="4" w:space="0" w:color="auto"/>
              <w:right w:val="single" w:sz="4" w:space="0" w:color="auto"/>
            </w:tcBorders>
            <w:shd w:val="clear" w:color="auto" w:fill="auto"/>
            <w:noWrap/>
            <w:vAlign w:val="bottom"/>
            <w:hideMark/>
          </w:tcPr>
          <w:p w14:paraId="6B588480"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50</w:t>
            </w:r>
          </w:p>
        </w:tc>
      </w:tr>
      <w:tr w:rsidR="00063E01" w:rsidRPr="00701888" w14:paraId="45F6B6F3"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55871FDA" w14:textId="0BA0D26E"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Reuniones del Comité Permanente</w:t>
            </w:r>
          </w:p>
        </w:tc>
        <w:tc>
          <w:tcPr>
            <w:tcW w:w="1472" w:type="dxa"/>
            <w:tcBorders>
              <w:top w:val="nil"/>
              <w:left w:val="nil"/>
              <w:bottom w:val="single" w:sz="4" w:space="0" w:color="auto"/>
              <w:right w:val="single" w:sz="4" w:space="0" w:color="auto"/>
            </w:tcBorders>
            <w:shd w:val="clear" w:color="auto" w:fill="auto"/>
            <w:noWrap/>
            <w:vAlign w:val="bottom"/>
            <w:hideMark/>
          </w:tcPr>
          <w:p w14:paraId="3BDDC5B6"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15</w:t>
            </w:r>
          </w:p>
        </w:tc>
      </w:tr>
      <w:tr w:rsidR="00063E01" w:rsidRPr="00701888" w14:paraId="4C06289B"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24D56E55" w14:textId="1E50A48F"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Traducciones del Comité Permanente</w:t>
            </w:r>
          </w:p>
        </w:tc>
        <w:tc>
          <w:tcPr>
            <w:tcW w:w="1472" w:type="dxa"/>
            <w:tcBorders>
              <w:top w:val="nil"/>
              <w:left w:val="nil"/>
              <w:bottom w:val="single" w:sz="4" w:space="0" w:color="auto"/>
              <w:right w:val="single" w:sz="4" w:space="0" w:color="auto"/>
            </w:tcBorders>
            <w:shd w:val="clear" w:color="auto" w:fill="auto"/>
            <w:noWrap/>
            <w:vAlign w:val="bottom"/>
            <w:hideMark/>
          </w:tcPr>
          <w:p w14:paraId="2AF6757E"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60</w:t>
            </w:r>
          </w:p>
        </w:tc>
      </w:tr>
      <w:tr w:rsidR="00063E01" w:rsidRPr="00701888" w14:paraId="12766C88"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2350A73D" w14:textId="5106D769" w:rsidR="00063E01" w:rsidRPr="00701888" w:rsidRDefault="00063E01" w:rsidP="000A2A41">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Interpretación simultánea en las reuniones del Comité Permanente</w:t>
            </w:r>
          </w:p>
        </w:tc>
        <w:tc>
          <w:tcPr>
            <w:tcW w:w="1472" w:type="dxa"/>
            <w:tcBorders>
              <w:top w:val="nil"/>
              <w:left w:val="nil"/>
              <w:bottom w:val="single" w:sz="4" w:space="0" w:color="auto"/>
              <w:right w:val="single" w:sz="4" w:space="0" w:color="auto"/>
            </w:tcBorders>
            <w:shd w:val="clear" w:color="auto" w:fill="auto"/>
            <w:noWrap/>
            <w:vAlign w:val="bottom"/>
            <w:hideMark/>
          </w:tcPr>
          <w:p w14:paraId="682C9C56"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40</w:t>
            </w:r>
          </w:p>
        </w:tc>
      </w:tr>
      <w:tr w:rsidR="00063E01" w:rsidRPr="00701888" w14:paraId="649B1A56"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14:paraId="642E565A" w14:textId="26E6AEDA"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J. Gastos por servicios administrativos de la UICN (máximo)</w:t>
            </w:r>
          </w:p>
        </w:tc>
        <w:tc>
          <w:tcPr>
            <w:tcW w:w="1472" w:type="dxa"/>
            <w:tcBorders>
              <w:top w:val="nil"/>
              <w:left w:val="nil"/>
              <w:bottom w:val="single" w:sz="4" w:space="0" w:color="auto"/>
              <w:right w:val="single" w:sz="4" w:space="0" w:color="auto"/>
            </w:tcBorders>
            <w:shd w:val="clear" w:color="000000" w:fill="C4D79B"/>
            <w:noWrap/>
            <w:vAlign w:val="bottom"/>
            <w:hideMark/>
          </w:tcPr>
          <w:p w14:paraId="60B39655"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540</w:t>
            </w:r>
          </w:p>
        </w:tc>
      </w:tr>
      <w:tr w:rsidR="00063E01" w:rsidRPr="00701888" w14:paraId="2067E267"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2D4E3ED1" w14:textId="75684BCC" w:rsidR="00063E01" w:rsidRPr="00701888" w:rsidRDefault="00063E01" w:rsidP="000A2A41">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Administración, RR.HH., finanzas y servicios de tecnologías de la información</w:t>
            </w:r>
          </w:p>
        </w:tc>
        <w:tc>
          <w:tcPr>
            <w:tcW w:w="1472" w:type="dxa"/>
            <w:tcBorders>
              <w:top w:val="nil"/>
              <w:left w:val="nil"/>
              <w:bottom w:val="single" w:sz="4" w:space="0" w:color="auto"/>
              <w:right w:val="single" w:sz="4" w:space="0" w:color="auto"/>
            </w:tcBorders>
            <w:shd w:val="clear" w:color="auto" w:fill="auto"/>
            <w:noWrap/>
            <w:vAlign w:val="bottom"/>
            <w:hideMark/>
          </w:tcPr>
          <w:p w14:paraId="2DCCAF25"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540</w:t>
            </w:r>
          </w:p>
        </w:tc>
      </w:tr>
      <w:tr w:rsidR="00063E01" w:rsidRPr="00701888" w14:paraId="7279D9CC"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4C655997" w14:textId="0C7E83C1"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K. Varios – Fondo de reserva</w:t>
            </w:r>
          </w:p>
        </w:tc>
        <w:tc>
          <w:tcPr>
            <w:tcW w:w="1472" w:type="dxa"/>
            <w:tcBorders>
              <w:top w:val="nil"/>
              <w:left w:val="nil"/>
              <w:bottom w:val="single" w:sz="4" w:space="0" w:color="auto"/>
              <w:right w:val="single" w:sz="4" w:space="0" w:color="auto"/>
            </w:tcBorders>
            <w:shd w:val="clear" w:color="000000" w:fill="C4D79B"/>
            <w:noWrap/>
            <w:vAlign w:val="bottom"/>
            <w:hideMark/>
          </w:tcPr>
          <w:p w14:paraId="672ADD54"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388</w:t>
            </w:r>
          </w:p>
        </w:tc>
      </w:tr>
      <w:tr w:rsidR="00063E01" w:rsidRPr="00701888" w14:paraId="49747A0C"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7A551BB" w14:textId="123A1A13" w:rsidR="00063E01" w:rsidRPr="00701888" w:rsidRDefault="00063E01" w:rsidP="000A2A41">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xml:space="preserve">Fondo de reserva </w:t>
            </w:r>
          </w:p>
        </w:tc>
        <w:tc>
          <w:tcPr>
            <w:tcW w:w="1472" w:type="dxa"/>
            <w:tcBorders>
              <w:top w:val="nil"/>
              <w:left w:val="nil"/>
              <w:bottom w:val="single" w:sz="4" w:space="0" w:color="auto"/>
              <w:right w:val="single" w:sz="4" w:space="0" w:color="auto"/>
            </w:tcBorders>
            <w:shd w:val="clear" w:color="auto" w:fill="auto"/>
            <w:noWrap/>
            <w:vAlign w:val="bottom"/>
            <w:hideMark/>
          </w:tcPr>
          <w:p w14:paraId="2C3D5F0F"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278</w:t>
            </w:r>
          </w:p>
        </w:tc>
      </w:tr>
      <w:tr w:rsidR="00063E01" w:rsidRPr="008006D0" w14:paraId="4550EC62"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147AEFA9" w14:textId="111AD937" w:rsidR="00063E01" w:rsidRPr="00701888" w:rsidRDefault="00063E01" w:rsidP="00063E01">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Provisiones para rescisión de nombramientos y repatriación</w:t>
            </w:r>
          </w:p>
        </w:tc>
        <w:tc>
          <w:tcPr>
            <w:tcW w:w="1472" w:type="dxa"/>
            <w:tcBorders>
              <w:top w:val="nil"/>
              <w:left w:val="nil"/>
              <w:bottom w:val="single" w:sz="4" w:space="0" w:color="auto"/>
              <w:right w:val="single" w:sz="4" w:space="0" w:color="auto"/>
            </w:tcBorders>
            <w:shd w:val="clear" w:color="auto" w:fill="auto"/>
            <w:noWrap/>
            <w:vAlign w:val="bottom"/>
            <w:hideMark/>
          </w:tcPr>
          <w:p w14:paraId="4B48DCF1" w14:textId="77777777"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w:t>
            </w:r>
          </w:p>
        </w:tc>
      </w:tr>
      <w:tr w:rsidR="00063E01" w:rsidRPr="00701888" w14:paraId="099964E4"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4C89357B" w14:textId="5FE1C548"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Provisiones</w:t>
            </w:r>
          </w:p>
        </w:tc>
        <w:tc>
          <w:tcPr>
            <w:tcW w:w="1472" w:type="dxa"/>
            <w:tcBorders>
              <w:top w:val="nil"/>
              <w:left w:val="nil"/>
              <w:bottom w:val="single" w:sz="4" w:space="0" w:color="auto"/>
              <w:right w:val="single" w:sz="4" w:space="0" w:color="auto"/>
            </w:tcBorders>
            <w:shd w:val="clear" w:color="auto" w:fill="auto"/>
            <w:noWrap/>
            <w:vAlign w:val="bottom"/>
            <w:hideMark/>
          </w:tcPr>
          <w:p w14:paraId="46D58D45"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50</w:t>
            </w:r>
          </w:p>
        </w:tc>
      </w:tr>
      <w:tr w:rsidR="00063E01" w:rsidRPr="00701888" w14:paraId="2E288F8C"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5CC0239E" w14:textId="18DF951D" w:rsidR="00063E01" w:rsidRPr="00701888" w:rsidRDefault="00063E01" w:rsidP="00063E01">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Servicios jurídicos</w:t>
            </w:r>
          </w:p>
        </w:tc>
        <w:tc>
          <w:tcPr>
            <w:tcW w:w="1472" w:type="dxa"/>
            <w:tcBorders>
              <w:top w:val="nil"/>
              <w:left w:val="nil"/>
              <w:bottom w:val="single" w:sz="4" w:space="0" w:color="auto"/>
              <w:right w:val="single" w:sz="4" w:space="0" w:color="auto"/>
            </w:tcBorders>
            <w:shd w:val="clear" w:color="auto" w:fill="auto"/>
            <w:noWrap/>
            <w:vAlign w:val="bottom"/>
            <w:hideMark/>
          </w:tcPr>
          <w:p w14:paraId="5223455B"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60</w:t>
            </w:r>
          </w:p>
        </w:tc>
      </w:tr>
      <w:tr w:rsidR="00063E01" w:rsidRPr="00701888" w14:paraId="70F4958D"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6517BF61" w14:textId="5385483B"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TOTAL DE GASTOS</w:t>
            </w:r>
          </w:p>
        </w:tc>
        <w:tc>
          <w:tcPr>
            <w:tcW w:w="1472" w:type="dxa"/>
            <w:tcBorders>
              <w:top w:val="nil"/>
              <w:left w:val="nil"/>
              <w:bottom w:val="double" w:sz="6" w:space="0" w:color="auto"/>
              <w:right w:val="single" w:sz="4" w:space="0" w:color="auto"/>
            </w:tcBorders>
            <w:shd w:val="clear" w:color="000000" w:fill="C4D79B"/>
            <w:noWrap/>
            <w:vAlign w:val="bottom"/>
            <w:hideMark/>
          </w:tcPr>
          <w:p w14:paraId="5B15DE0E" w14:textId="358DF97E"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5.081</w:t>
            </w:r>
          </w:p>
        </w:tc>
      </w:tr>
      <w:tr w:rsidR="00063E01" w:rsidRPr="00701888" w14:paraId="355D270D"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721A3396" w14:textId="77777777" w:rsidR="00063E01" w:rsidRPr="00701888" w:rsidRDefault="00063E01" w:rsidP="00584EE3">
            <w:pPr>
              <w:rPr>
                <w:rFonts w:ascii="Arial" w:eastAsia="Times New Roman" w:hAnsi="Arial" w:cs="Arial"/>
                <w:color w:val="000000"/>
                <w:sz w:val="16"/>
                <w:lang w:val="es-ES_tradnl" w:eastAsia="en-GB"/>
              </w:rPr>
            </w:pPr>
            <w:r w:rsidRPr="00701888">
              <w:rPr>
                <w:rFonts w:ascii="Arial" w:eastAsia="Times New Roman" w:hAnsi="Arial" w:cs="Arial"/>
                <w:color w:val="000000"/>
                <w:sz w:val="16"/>
                <w:lang w:val="es-ES_tradnl" w:eastAsia="en-GB"/>
              </w:rPr>
              <w:t> </w:t>
            </w:r>
          </w:p>
        </w:tc>
        <w:tc>
          <w:tcPr>
            <w:tcW w:w="1472" w:type="dxa"/>
            <w:tcBorders>
              <w:top w:val="nil"/>
              <w:left w:val="nil"/>
              <w:bottom w:val="single" w:sz="4" w:space="0" w:color="auto"/>
              <w:right w:val="single" w:sz="4" w:space="0" w:color="auto"/>
            </w:tcBorders>
            <w:shd w:val="clear" w:color="auto" w:fill="auto"/>
            <w:noWrap/>
            <w:vAlign w:val="bottom"/>
            <w:hideMark/>
          </w:tcPr>
          <w:p w14:paraId="7239FAF3" w14:textId="77777777" w:rsidR="00063E01" w:rsidRPr="00701888" w:rsidRDefault="00063E01" w:rsidP="00584EE3">
            <w:pPr>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 </w:t>
            </w:r>
          </w:p>
        </w:tc>
      </w:tr>
      <w:tr w:rsidR="00063E01" w:rsidRPr="00701888" w14:paraId="14A551E8"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vAlign w:val="bottom"/>
            <w:hideMark/>
          </w:tcPr>
          <w:p w14:paraId="51AFF16B" w14:textId="3D172114"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 xml:space="preserve">TOTAL GASTOS SALARIALES – sueldos del personal y gastos asociados </w:t>
            </w:r>
          </w:p>
        </w:tc>
        <w:tc>
          <w:tcPr>
            <w:tcW w:w="1472" w:type="dxa"/>
            <w:tcBorders>
              <w:top w:val="nil"/>
              <w:left w:val="nil"/>
              <w:bottom w:val="single" w:sz="4" w:space="0" w:color="auto"/>
              <w:right w:val="single" w:sz="4" w:space="0" w:color="auto"/>
            </w:tcBorders>
            <w:shd w:val="clear" w:color="000000" w:fill="C4D79B"/>
            <w:noWrap/>
            <w:vAlign w:val="bottom"/>
            <w:hideMark/>
          </w:tcPr>
          <w:p w14:paraId="65CD6B96" w14:textId="4F7E6B6C"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3.081</w:t>
            </w:r>
          </w:p>
        </w:tc>
      </w:tr>
      <w:tr w:rsidR="00063E01" w:rsidRPr="00701888" w14:paraId="5A3076FD"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2543E0CA" w14:textId="77777777" w:rsidR="00063E01" w:rsidRPr="00701888" w:rsidRDefault="00063E01" w:rsidP="00584EE3">
            <w:pPr>
              <w:rPr>
                <w:rFonts w:ascii="Arial" w:eastAsia="Times New Roman" w:hAnsi="Arial" w:cs="Arial"/>
                <w:color w:val="000000"/>
                <w:sz w:val="16"/>
                <w:lang w:val="es-ES_tradnl" w:eastAsia="en-GB"/>
              </w:rPr>
            </w:pPr>
            <w:r w:rsidRPr="00701888">
              <w:rPr>
                <w:rFonts w:ascii="Arial" w:eastAsia="Times New Roman" w:hAnsi="Arial" w:cs="Arial"/>
                <w:color w:val="000000"/>
                <w:sz w:val="16"/>
                <w:lang w:val="es-ES_tradnl" w:eastAsia="en-GB"/>
              </w:rPr>
              <w:t> </w:t>
            </w:r>
          </w:p>
        </w:tc>
        <w:tc>
          <w:tcPr>
            <w:tcW w:w="1472" w:type="dxa"/>
            <w:tcBorders>
              <w:top w:val="nil"/>
              <w:left w:val="nil"/>
              <w:bottom w:val="single" w:sz="4" w:space="0" w:color="auto"/>
              <w:right w:val="single" w:sz="4" w:space="0" w:color="auto"/>
            </w:tcBorders>
            <w:shd w:val="clear" w:color="auto" w:fill="auto"/>
            <w:noWrap/>
            <w:vAlign w:val="bottom"/>
            <w:hideMark/>
          </w:tcPr>
          <w:p w14:paraId="38135F01"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61%</w:t>
            </w:r>
          </w:p>
        </w:tc>
      </w:tr>
      <w:tr w:rsidR="00063E01" w:rsidRPr="00701888" w14:paraId="79E55A90" w14:textId="77777777" w:rsidTr="002B5322">
        <w:trPr>
          <w:trHeight w:val="199"/>
        </w:trPr>
        <w:tc>
          <w:tcPr>
            <w:tcW w:w="5489" w:type="dxa"/>
            <w:tcBorders>
              <w:top w:val="nil"/>
              <w:left w:val="single" w:sz="4" w:space="0" w:color="auto"/>
              <w:bottom w:val="single" w:sz="4" w:space="0" w:color="auto"/>
              <w:right w:val="single" w:sz="4" w:space="0" w:color="auto"/>
            </w:tcBorders>
            <w:shd w:val="clear" w:color="000000" w:fill="C4D79B"/>
            <w:noWrap/>
            <w:vAlign w:val="bottom"/>
            <w:hideMark/>
          </w:tcPr>
          <w:p w14:paraId="1051A8A5" w14:textId="42AF7329" w:rsidR="00063E01" w:rsidRPr="00701888" w:rsidRDefault="00063E01" w:rsidP="00063E01">
            <w:pPr>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TOTAL GASTOS DE VIAJES</w:t>
            </w:r>
          </w:p>
        </w:tc>
        <w:tc>
          <w:tcPr>
            <w:tcW w:w="1472" w:type="dxa"/>
            <w:tcBorders>
              <w:top w:val="nil"/>
              <w:left w:val="nil"/>
              <w:bottom w:val="single" w:sz="4" w:space="0" w:color="auto"/>
              <w:right w:val="single" w:sz="4" w:space="0" w:color="auto"/>
            </w:tcBorders>
            <w:shd w:val="clear" w:color="000000" w:fill="C4D79B"/>
            <w:noWrap/>
            <w:vAlign w:val="bottom"/>
            <w:hideMark/>
          </w:tcPr>
          <w:p w14:paraId="27BF8887" w14:textId="77777777" w:rsidR="00063E01" w:rsidRPr="00701888" w:rsidRDefault="00063E01" w:rsidP="00584EE3">
            <w:pPr>
              <w:jc w:val="right"/>
              <w:rPr>
                <w:rFonts w:ascii="Arial" w:eastAsia="Times New Roman" w:hAnsi="Arial" w:cs="Arial"/>
                <w:b/>
                <w:bCs/>
                <w:color w:val="000000"/>
                <w:sz w:val="16"/>
                <w:szCs w:val="22"/>
                <w:lang w:val="es-ES_tradnl" w:eastAsia="en-GB"/>
              </w:rPr>
            </w:pPr>
            <w:r w:rsidRPr="00701888">
              <w:rPr>
                <w:rFonts w:ascii="Arial" w:eastAsia="Times New Roman" w:hAnsi="Arial" w:cs="Arial"/>
                <w:b/>
                <w:bCs/>
                <w:color w:val="000000"/>
                <w:sz w:val="16"/>
                <w:szCs w:val="22"/>
                <w:lang w:val="es-ES_tradnl" w:eastAsia="en-GB"/>
              </w:rPr>
              <w:t>135</w:t>
            </w:r>
          </w:p>
        </w:tc>
      </w:tr>
      <w:tr w:rsidR="00063E01" w:rsidRPr="00701888" w14:paraId="20F7BF39" w14:textId="77777777" w:rsidTr="002B5322">
        <w:trPr>
          <w:trHeight w:val="199"/>
        </w:trPr>
        <w:tc>
          <w:tcPr>
            <w:tcW w:w="5489" w:type="dxa"/>
            <w:tcBorders>
              <w:top w:val="nil"/>
              <w:left w:val="single" w:sz="4" w:space="0" w:color="auto"/>
              <w:bottom w:val="single" w:sz="4" w:space="0" w:color="auto"/>
              <w:right w:val="single" w:sz="4" w:space="0" w:color="auto"/>
            </w:tcBorders>
            <w:shd w:val="clear" w:color="auto" w:fill="auto"/>
            <w:noWrap/>
            <w:vAlign w:val="bottom"/>
            <w:hideMark/>
          </w:tcPr>
          <w:p w14:paraId="6ED03701" w14:textId="77777777" w:rsidR="00063E01" w:rsidRPr="00701888" w:rsidRDefault="00063E01" w:rsidP="00584EE3">
            <w:pPr>
              <w:rPr>
                <w:rFonts w:ascii="Arial" w:eastAsia="Times New Roman" w:hAnsi="Arial" w:cs="Arial"/>
                <w:color w:val="000000"/>
                <w:sz w:val="16"/>
                <w:lang w:val="es-ES_tradnl" w:eastAsia="en-GB"/>
              </w:rPr>
            </w:pPr>
            <w:r w:rsidRPr="00701888">
              <w:rPr>
                <w:rFonts w:ascii="Arial" w:eastAsia="Times New Roman" w:hAnsi="Arial" w:cs="Arial"/>
                <w:color w:val="000000"/>
                <w:sz w:val="16"/>
                <w:lang w:val="es-ES_tradnl" w:eastAsia="en-GB"/>
              </w:rPr>
              <w:t> </w:t>
            </w:r>
          </w:p>
        </w:tc>
        <w:tc>
          <w:tcPr>
            <w:tcW w:w="1472" w:type="dxa"/>
            <w:tcBorders>
              <w:top w:val="nil"/>
              <w:left w:val="nil"/>
              <w:bottom w:val="single" w:sz="4" w:space="0" w:color="auto"/>
              <w:right w:val="single" w:sz="4" w:space="0" w:color="auto"/>
            </w:tcBorders>
            <w:shd w:val="clear" w:color="auto" w:fill="auto"/>
            <w:noWrap/>
            <w:vAlign w:val="bottom"/>
            <w:hideMark/>
          </w:tcPr>
          <w:p w14:paraId="44DB0265" w14:textId="77777777" w:rsidR="00063E01" w:rsidRPr="00701888" w:rsidRDefault="00063E01" w:rsidP="00584EE3">
            <w:pPr>
              <w:jc w:val="right"/>
              <w:rPr>
                <w:rFonts w:ascii="Arial" w:eastAsia="Times New Roman" w:hAnsi="Arial" w:cs="Arial"/>
                <w:color w:val="000000"/>
                <w:sz w:val="16"/>
                <w:szCs w:val="22"/>
                <w:lang w:val="es-ES_tradnl" w:eastAsia="en-GB"/>
              </w:rPr>
            </w:pPr>
            <w:r w:rsidRPr="00701888">
              <w:rPr>
                <w:rFonts w:ascii="Arial" w:eastAsia="Times New Roman" w:hAnsi="Arial" w:cs="Arial"/>
                <w:color w:val="000000"/>
                <w:sz w:val="16"/>
                <w:szCs w:val="22"/>
                <w:lang w:val="es-ES_tradnl" w:eastAsia="en-GB"/>
              </w:rPr>
              <w:t>3%</w:t>
            </w:r>
          </w:p>
        </w:tc>
      </w:tr>
    </w:tbl>
    <w:p w14:paraId="651DC5A0" w14:textId="30DD5851" w:rsidR="00F83DCD" w:rsidRPr="00701888" w:rsidRDefault="00C04C0D" w:rsidP="00A135F5">
      <w:pPr>
        <w:rPr>
          <w:rFonts w:asciiTheme="minorHAnsi" w:hAnsiTheme="minorHAnsi" w:cs="Calibri"/>
          <w:b/>
          <w:lang w:val="es-ES_tradnl"/>
        </w:rPr>
      </w:pPr>
      <w:r w:rsidRPr="00701888">
        <w:rPr>
          <w:rFonts w:asciiTheme="minorHAnsi" w:hAnsiTheme="minorHAnsi" w:cs="Calibri"/>
          <w:b/>
          <w:lang w:val="es-ES_tradnl"/>
        </w:rPr>
        <w:br w:type="page"/>
      </w:r>
      <w:r w:rsidR="00D67AA9" w:rsidRPr="00701888">
        <w:rPr>
          <w:rFonts w:asciiTheme="minorHAnsi" w:hAnsiTheme="minorHAnsi" w:cs="Calibri"/>
          <w:b/>
          <w:lang w:val="es-ES_tradnl"/>
        </w:rPr>
        <w:lastRenderedPageBreak/>
        <w:t>An</w:t>
      </w:r>
      <w:r w:rsidR="00795AE0" w:rsidRPr="00701888">
        <w:rPr>
          <w:rFonts w:asciiTheme="minorHAnsi" w:hAnsiTheme="minorHAnsi" w:cs="Calibri"/>
          <w:b/>
          <w:lang w:val="es-ES_tradnl"/>
        </w:rPr>
        <w:t>exo</w:t>
      </w:r>
      <w:r w:rsidR="00D67AA9" w:rsidRPr="00701888">
        <w:rPr>
          <w:rFonts w:asciiTheme="minorHAnsi" w:hAnsiTheme="minorHAnsi" w:cs="Calibri"/>
          <w:b/>
          <w:lang w:val="es-ES_tradnl"/>
        </w:rPr>
        <w:t xml:space="preserve"> </w:t>
      </w:r>
      <w:r w:rsidR="00584EE3" w:rsidRPr="00701888">
        <w:rPr>
          <w:rFonts w:asciiTheme="minorHAnsi" w:hAnsiTheme="minorHAnsi" w:cs="Calibri"/>
          <w:b/>
          <w:lang w:val="es-ES_tradnl"/>
        </w:rPr>
        <w:t>4</w:t>
      </w:r>
      <w:r w:rsidR="00201110" w:rsidRPr="00701888">
        <w:rPr>
          <w:rFonts w:asciiTheme="minorHAnsi" w:hAnsiTheme="minorHAnsi" w:cs="Calibri"/>
          <w:b/>
          <w:lang w:val="es-ES_tradnl"/>
        </w:rPr>
        <w:t xml:space="preserve"> </w:t>
      </w:r>
    </w:p>
    <w:p w14:paraId="6D546B76" w14:textId="42336A5C" w:rsidR="009A488C" w:rsidRPr="00701888" w:rsidRDefault="00103FDD" w:rsidP="00A135F5">
      <w:pPr>
        <w:rPr>
          <w:rFonts w:asciiTheme="minorHAnsi" w:hAnsiTheme="minorHAnsi" w:cs="Calibri"/>
          <w:b/>
          <w:lang w:val="es-ES_tradnl"/>
        </w:rPr>
      </w:pPr>
      <w:r w:rsidRPr="00701888">
        <w:rPr>
          <w:rFonts w:asciiTheme="minorHAnsi" w:hAnsiTheme="minorHAnsi" w:cs="Calibri"/>
          <w:b/>
          <w:lang w:val="es-ES_tradnl"/>
        </w:rPr>
        <w:t xml:space="preserve">Gastos presupuestados con cargo al presupuesto no básico </w:t>
      </w:r>
      <w:r w:rsidR="00A135F5" w:rsidRPr="00701888">
        <w:rPr>
          <w:rFonts w:asciiTheme="minorHAnsi" w:hAnsiTheme="minorHAnsi"/>
          <w:b/>
          <w:lang w:val="es-ES_tradnl"/>
        </w:rPr>
        <w:t xml:space="preserve">2013-2015 </w:t>
      </w:r>
      <w:r w:rsidR="00102FC1" w:rsidRPr="00701888">
        <w:rPr>
          <w:rFonts w:asciiTheme="minorHAnsi" w:hAnsiTheme="minorHAnsi"/>
          <w:b/>
          <w:lang w:val="es-ES_tradnl"/>
        </w:rPr>
        <w:t>(</w:t>
      </w:r>
      <w:r w:rsidRPr="00701888">
        <w:rPr>
          <w:rFonts w:asciiTheme="minorHAnsi" w:hAnsiTheme="minorHAnsi"/>
          <w:b/>
          <w:lang w:val="es-ES_tradnl"/>
        </w:rPr>
        <w:t>del Anexo III de la Resolución</w:t>
      </w:r>
      <w:r w:rsidR="009C5E7D" w:rsidRPr="00701888">
        <w:rPr>
          <w:rFonts w:asciiTheme="minorHAnsi" w:hAnsiTheme="minorHAnsi"/>
          <w:b/>
          <w:lang w:val="es-ES_tradnl"/>
        </w:rPr>
        <w:t xml:space="preserve"> </w:t>
      </w:r>
      <w:r w:rsidR="00201110" w:rsidRPr="00701888">
        <w:rPr>
          <w:rFonts w:asciiTheme="minorHAnsi" w:hAnsiTheme="minorHAnsi"/>
          <w:b/>
          <w:lang w:val="es-ES_tradnl"/>
        </w:rPr>
        <w:t>XI.2</w:t>
      </w:r>
      <w:r w:rsidR="00201110" w:rsidRPr="00701888">
        <w:rPr>
          <w:rFonts w:asciiTheme="minorHAnsi" w:hAnsiTheme="minorHAnsi"/>
          <w:b/>
          <w:bCs/>
          <w:lang w:val="es-ES_tradnl"/>
        </w:rPr>
        <w:t>)</w:t>
      </w:r>
    </w:p>
    <w:p w14:paraId="524A63C7" w14:textId="5AAB744B" w:rsidR="00A135F5" w:rsidRPr="00701888" w:rsidRDefault="00A135F5" w:rsidP="00A135F5">
      <w:pPr>
        <w:rPr>
          <w:lang w:val="es-ES_tradnl"/>
        </w:rPr>
      </w:pPr>
      <w:r w:rsidRPr="00701888">
        <w:rPr>
          <w:lang w:val="es-ES_tradnl"/>
        </w:rPr>
        <w:t> </w:t>
      </w:r>
    </w:p>
    <w:tbl>
      <w:tblPr>
        <w:tblW w:w="9356" w:type="dxa"/>
        <w:tblInd w:w="108" w:type="dxa"/>
        <w:tblLayout w:type="fixed"/>
        <w:tblCellMar>
          <w:left w:w="0" w:type="dxa"/>
          <w:right w:w="0" w:type="dxa"/>
        </w:tblCellMar>
        <w:tblLook w:val="04A0" w:firstRow="1" w:lastRow="0" w:firstColumn="1" w:lastColumn="0" w:noHBand="0" w:noVBand="1"/>
      </w:tblPr>
      <w:tblGrid>
        <w:gridCol w:w="6379"/>
        <w:gridCol w:w="1418"/>
        <w:gridCol w:w="1559"/>
      </w:tblGrid>
      <w:tr w:rsidR="00103FDD" w:rsidRPr="00701888" w14:paraId="20E3DC3B" w14:textId="77777777" w:rsidTr="00A423E7">
        <w:tc>
          <w:tcPr>
            <w:tcW w:w="63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AE2A289" w14:textId="77777777" w:rsidR="00103FDD" w:rsidRPr="00701888" w:rsidRDefault="00103FDD" w:rsidP="00201110">
            <w:pPr>
              <w:pStyle w:val="MGfulltext"/>
              <w:spacing w:after="0"/>
              <w:ind w:left="284" w:right="-106" w:hanging="142"/>
              <w:jc w:val="center"/>
              <w:rPr>
                <w:rFonts w:asciiTheme="minorHAnsi" w:eastAsia="Times New Roman" w:hAnsiTheme="minorHAnsi"/>
                <w:b/>
                <w:lang w:val="es-ES_tradnl" w:eastAsia="en-US"/>
              </w:rPr>
            </w:pPr>
          </w:p>
          <w:p w14:paraId="3382220F" w14:textId="77777777" w:rsidR="00103FDD" w:rsidRPr="00701888" w:rsidRDefault="00103FDD" w:rsidP="00C04C0D">
            <w:pPr>
              <w:pStyle w:val="MGfulltext"/>
              <w:spacing w:after="0"/>
              <w:ind w:left="284" w:right="-106" w:hanging="142"/>
              <w:jc w:val="center"/>
              <w:rPr>
                <w:rFonts w:asciiTheme="minorHAnsi" w:hAnsiTheme="minorHAnsi"/>
                <w:b/>
                <w:lang w:val="es-ES_tradnl"/>
              </w:rPr>
            </w:pP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2616D72" w14:textId="23B78B99" w:rsidR="00103FDD" w:rsidRPr="00A423E7" w:rsidRDefault="00103FDD" w:rsidP="00E45C3C">
            <w:pPr>
              <w:jc w:val="center"/>
              <w:rPr>
                <w:rFonts w:asciiTheme="minorHAnsi" w:hAnsiTheme="minorHAnsi"/>
                <w:b/>
                <w:sz w:val="18"/>
                <w:szCs w:val="18"/>
                <w:lang w:val="es-ES_tradnl"/>
              </w:rPr>
            </w:pPr>
            <w:r w:rsidRPr="00A423E7">
              <w:rPr>
                <w:rFonts w:asciiTheme="minorHAnsi" w:hAnsiTheme="minorHAnsi"/>
                <w:b/>
                <w:sz w:val="18"/>
                <w:szCs w:val="18"/>
                <w:lang w:val="es-ES_tradnl"/>
              </w:rPr>
              <w:t>Partida del presupuesto no básico</w:t>
            </w:r>
          </w:p>
        </w:tc>
        <w:tc>
          <w:tcPr>
            <w:tcW w:w="155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C53ACAD" w14:textId="77777777" w:rsidR="00103FDD" w:rsidRPr="00A423E7" w:rsidRDefault="00103FDD" w:rsidP="00E45C3C">
            <w:pPr>
              <w:jc w:val="center"/>
              <w:rPr>
                <w:rFonts w:asciiTheme="minorHAnsi" w:hAnsiTheme="minorHAnsi"/>
                <w:b/>
                <w:sz w:val="18"/>
                <w:szCs w:val="18"/>
                <w:lang w:val="es-ES_tradnl"/>
              </w:rPr>
            </w:pPr>
            <w:r w:rsidRPr="00A423E7">
              <w:rPr>
                <w:rFonts w:asciiTheme="minorHAnsi" w:hAnsiTheme="minorHAnsi"/>
                <w:b/>
                <w:sz w:val="18"/>
                <w:szCs w:val="18"/>
                <w:lang w:val="es-ES_tradnl"/>
              </w:rPr>
              <w:t>Necesidad de financiación para tres años</w:t>
            </w:r>
          </w:p>
          <w:p w14:paraId="23377081" w14:textId="34B42D4B" w:rsidR="00103FDD" w:rsidRPr="00A423E7" w:rsidRDefault="00103FDD" w:rsidP="00E45C3C">
            <w:pPr>
              <w:jc w:val="center"/>
              <w:rPr>
                <w:rFonts w:asciiTheme="minorHAnsi" w:hAnsiTheme="minorHAnsi"/>
                <w:b/>
                <w:sz w:val="18"/>
                <w:szCs w:val="18"/>
                <w:lang w:val="es-ES_tradnl"/>
              </w:rPr>
            </w:pPr>
            <w:r w:rsidRPr="00A423E7">
              <w:rPr>
                <w:rFonts w:asciiTheme="minorHAnsi" w:hAnsiTheme="minorHAnsi"/>
                <w:b/>
                <w:sz w:val="18"/>
                <w:szCs w:val="18"/>
                <w:lang w:val="es-ES_tradnl"/>
              </w:rPr>
              <w:t>(francos suizos)</w:t>
            </w:r>
          </w:p>
        </w:tc>
      </w:tr>
      <w:tr w:rsidR="00422A76" w:rsidRPr="00701888" w14:paraId="02558BE4"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061076" w14:textId="56ABC791" w:rsidR="00103FDD" w:rsidRPr="00701888" w:rsidRDefault="00103FDD" w:rsidP="00DE6A03">
            <w:pPr>
              <w:pStyle w:val="MGfulltext"/>
              <w:numPr>
                <w:ilvl w:val="0"/>
                <w:numId w:val="12"/>
              </w:numPr>
              <w:spacing w:after="0"/>
              <w:ind w:left="426" w:hanging="426"/>
              <w:rPr>
                <w:rFonts w:asciiTheme="minorHAnsi" w:hAnsiTheme="minorHAnsi"/>
                <w:lang w:val="es-ES_tradnl" w:eastAsia="ja-JP"/>
              </w:rPr>
            </w:pPr>
            <w:r w:rsidRPr="00701888">
              <w:rPr>
                <w:rFonts w:asciiTheme="minorHAnsi" w:hAnsiTheme="minorHAnsi"/>
                <w:lang w:val="es-ES_tradnl"/>
              </w:rPr>
              <w:t xml:space="preserve">Oficial </w:t>
            </w:r>
            <w:r w:rsidR="00DE6A03" w:rsidRPr="00701888">
              <w:rPr>
                <w:rFonts w:asciiTheme="minorHAnsi" w:hAnsiTheme="minorHAnsi"/>
                <w:lang w:val="es-ES_tradnl"/>
              </w:rPr>
              <w:t xml:space="preserve">subalterno </w:t>
            </w:r>
            <w:r w:rsidRPr="00701888">
              <w:rPr>
                <w:rFonts w:asciiTheme="minorHAnsi" w:hAnsiTheme="minorHAnsi"/>
                <w:lang w:val="es-ES_tradnl"/>
              </w:rPr>
              <w:t xml:space="preserve">de asociaciones de colaboración/recaudación de fondos para apoyar al Coordinador de Asociaciones de Colaboración y formar la dependencia. Podría ser un oficial subalterno del cuadro orgánico u otro.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BB24B13"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B</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1F6C0F6"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390.000</w:t>
            </w:r>
          </w:p>
        </w:tc>
      </w:tr>
      <w:tr w:rsidR="00422A76" w:rsidRPr="00701888" w14:paraId="0D0B9E1C"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45A3C"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 xml:space="preserve">Un Oficial Regional en apoyo de cada uno de los cuatro equipos regionales en la Secretaría, a partir de 2014. Podría ser un oficial subalterno del cuadro orgánico.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1667051"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C</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1EF8699"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1.174.000</w:t>
            </w:r>
          </w:p>
        </w:tc>
      </w:tr>
      <w:tr w:rsidR="00422A76" w:rsidRPr="00701888" w14:paraId="7C2F11A3"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BD5BD6"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Apoyo a Redes y Centros de Iniciativas Regionales. Financiación para las actividades prioritarias.</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878D50B"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E91D898"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900.000</w:t>
            </w:r>
          </w:p>
        </w:tc>
      </w:tr>
      <w:tr w:rsidR="00422A76" w:rsidRPr="00701888" w14:paraId="654FED74"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C492ED"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Programa de trabajo del GECT para 2013-2015 (Estrategias 1.1, 1.2, 1.4, 1.5, 1.6, 1.7, 1.9, 2.5, 3.1), incluido el proyecto del Sistema Mundial de Observación de los Humedales (GWOS, en inglés) (pero excluido el proyecto SISR recogido en el punto 8 más adelante).</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445598C"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E</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3894CB1"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1.905.000</w:t>
            </w:r>
          </w:p>
        </w:tc>
      </w:tr>
      <w:tr w:rsidR="00422A76" w:rsidRPr="00701888" w14:paraId="686EBFC3"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555C19"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 xml:space="preserve">Oficial subalterno como oficial de administración de red/medios de comunicación social para reforzar el equipo de comunicaciones.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3BB0692"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F</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8F7E090"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390.000</w:t>
            </w:r>
          </w:p>
        </w:tc>
      </w:tr>
      <w:tr w:rsidR="00422A76" w:rsidRPr="00701888" w14:paraId="7F7DA68F" w14:textId="77777777" w:rsidTr="00A423E7">
        <w:trPr>
          <w:trHeight w:val="343"/>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BF98AB"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Oficial de TI para, entre otras cosas, dirigir mejoras en el sitio web y el software de gestión de documentos, permitir la participación en InforMEA y apoyar otro manejo de la base de datos y otras mejoras; así como para supervisar el SISR electrónico y el proyecto de revisión de la Base de Datos sobre los Sitios Ramsar.</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050C97E"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G</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64E9382"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390.000</w:t>
            </w:r>
          </w:p>
        </w:tc>
      </w:tr>
      <w:tr w:rsidR="00422A76" w:rsidRPr="00701888" w14:paraId="6876CD7F" w14:textId="77777777" w:rsidTr="00A423E7">
        <w:trPr>
          <w:trHeight w:val="450"/>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6BBD5A"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Servicios de interpretación para las reuniones de los subgrupos del Comité Permanente.</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A4BF3D8"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I</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ED6909D"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75.000</w:t>
            </w:r>
          </w:p>
        </w:tc>
      </w:tr>
      <w:tr w:rsidR="00422A76" w:rsidRPr="00701888" w14:paraId="1A663488"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B661A5"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Inversión en procesos y software para la presentación electrónica al SISR y la base de datos de FIR.</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FCCCEFB"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F2D5D6E"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400.000</w:t>
            </w:r>
          </w:p>
        </w:tc>
      </w:tr>
      <w:tr w:rsidR="00422A76" w:rsidRPr="00701888" w14:paraId="3E6BE812"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FA0AA3"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Día Mundial de los Humedales (DMH) (actualmente financiado por Danone) al nivel actual, es decir, preparación y difusión de productos tales como folletos y carteles y otros materiales de CECoP para la personalización y promoción del DMH (Estrategia 4.1).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C77091F"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DA5D868"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300.000</w:t>
            </w:r>
          </w:p>
        </w:tc>
      </w:tr>
      <w:tr w:rsidR="00422A76" w:rsidRPr="00701888" w14:paraId="64D1CFA5"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B2CFA8"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Misiones Ramsar de Asesoramiento de emergencia a Partes que no pueden autofinanciar sus misiones (Estrategias 2.4, 2.6).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2D54710"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3</w:t>
            </w:r>
          </w:p>
          <w:p w14:paraId="4B13DAEC"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3C26CB9"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450.000</w:t>
            </w:r>
          </w:p>
        </w:tc>
      </w:tr>
      <w:tr w:rsidR="00422A76" w:rsidRPr="00701888" w14:paraId="1672E673"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17CFFF"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Organización de un taller de planificación de las acciones de CECoP y otras acciones de CECoP destinadas a apoyar las actividades de CECoP financiadas con cargo al presupuesto básico (Estrategia 4.1).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C93486D"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94E2876"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300.000</w:t>
            </w:r>
          </w:p>
        </w:tc>
      </w:tr>
      <w:tr w:rsidR="00422A76" w:rsidRPr="00701888" w14:paraId="0EC3495B"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FF8A5D"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Asignación de 1.000.000 de francos suizos al año para dotar de recursos al Fondo de Pequeñas Subvenciones y de 400.000 francos suizos para financiar otras subvenciones a fin de mantener los tres programas actuales de subvenciones en funcionamiento (apoyo a muchas Estrategias para 2009-2015, entre ellas la 1.3 y la 5.1).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66C01A6"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88844C7"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4.200.000</w:t>
            </w:r>
          </w:p>
        </w:tc>
      </w:tr>
      <w:tr w:rsidR="00422A76" w:rsidRPr="00701888" w14:paraId="2FC69827"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E1F156"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Reuniones (técnicas) regionales anuales, con una mayor aportación de fondos durante el año anterior a la COP para sufragar gastos de delegados y de reuniones relacionados con reuniones regionales preparatorias de la COP.</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AF462CF"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C7F6EB3"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1.050.000</w:t>
            </w:r>
          </w:p>
        </w:tc>
      </w:tr>
      <w:tr w:rsidR="00422A76" w:rsidRPr="00701888" w14:paraId="73F409EA"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C7E2D0"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Patrocinio de la asistencia de delegados que cumplen los requisitos a la COP12 en 2015 (Estrategias 3.3, 4.2).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F552CD0"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A50D17"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1.200.000</w:t>
            </w:r>
          </w:p>
        </w:tc>
      </w:tr>
      <w:tr w:rsidR="00422A76" w:rsidRPr="00701888" w14:paraId="77C1F486"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2D38AF" w14:textId="77777777" w:rsidR="00103FDD" w:rsidRPr="00701888" w:rsidRDefault="00103FDD" w:rsidP="00103FDD">
            <w:pPr>
              <w:pStyle w:val="MGfulltext"/>
              <w:numPr>
                <w:ilvl w:val="0"/>
                <w:numId w:val="12"/>
              </w:numPr>
              <w:spacing w:after="0"/>
              <w:ind w:left="426" w:hanging="426"/>
              <w:rPr>
                <w:rFonts w:asciiTheme="minorHAnsi" w:hAnsiTheme="minorHAnsi"/>
                <w:lang w:val="es-ES_tradnl"/>
              </w:rPr>
            </w:pPr>
            <w:r w:rsidRPr="00701888">
              <w:rPr>
                <w:rFonts w:asciiTheme="minorHAnsi" w:hAnsiTheme="minorHAnsi"/>
                <w:lang w:val="es-ES_tradnl"/>
              </w:rPr>
              <w:t>Proceso de visión de futuro para 2016-2021 y el Plan Estratégico para 2016-2021, con una aportación significativa de las Partes Contratantes y otros interesados directos pertinentes para 2016-2021.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5E49A52"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E01024C"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250.000</w:t>
            </w:r>
          </w:p>
        </w:tc>
      </w:tr>
      <w:tr w:rsidR="00422A76" w:rsidRPr="00701888" w14:paraId="4BE43315"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CEAD7E" w14:textId="77777777" w:rsidR="00103FDD" w:rsidRPr="00701888" w:rsidRDefault="00103FDD" w:rsidP="00103FDD">
            <w:pPr>
              <w:pStyle w:val="MGfulltext"/>
              <w:spacing w:after="0"/>
              <w:ind w:left="284" w:right="-106" w:hanging="142"/>
              <w:rPr>
                <w:rFonts w:asciiTheme="minorHAnsi" w:hAnsiTheme="minorHAnsi"/>
                <w:lang w:val="es-ES_tradnl" w:eastAsia="ja-JP"/>
              </w:rPr>
            </w:pPr>
            <w:r w:rsidRPr="00701888">
              <w:rPr>
                <w:rFonts w:asciiTheme="minorHAnsi" w:hAnsiTheme="minorHAnsi"/>
                <w:lang w:val="es-ES_tradnl"/>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1E29B82"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D7490D0"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 </w:t>
            </w:r>
          </w:p>
        </w:tc>
      </w:tr>
      <w:tr w:rsidR="00422A76" w:rsidRPr="00701888" w14:paraId="7A8AB5F3" w14:textId="77777777" w:rsidTr="00A423E7">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889D53" w14:textId="77777777" w:rsidR="00103FDD" w:rsidRPr="00701888" w:rsidRDefault="00103FDD" w:rsidP="00103FDD">
            <w:pPr>
              <w:ind w:left="284" w:hanging="142"/>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00833D2" w14:textId="77777777" w:rsidR="00103FDD" w:rsidRPr="00701888" w:rsidRDefault="00103FDD" w:rsidP="00103FDD">
            <w:pPr>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CHF</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5B8E1C0"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13.374.000</w:t>
            </w:r>
          </w:p>
          <w:p w14:paraId="20B929F1" w14:textId="77777777" w:rsidR="00103FDD" w:rsidRPr="00701888" w:rsidRDefault="00103FDD" w:rsidP="00103FDD">
            <w:pPr>
              <w:jc w:val="right"/>
              <w:rPr>
                <w:rFonts w:asciiTheme="minorHAnsi" w:eastAsia="MS PGothic" w:hAnsiTheme="minorHAnsi" w:cs="Calibri"/>
                <w:sz w:val="20"/>
                <w:szCs w:val="20"/>
                <w:lang w:val="es-ES_tradnl" w:eastAsia="ja-JP"/>
              </w:rPr>
            </w:pPr>
            <w:r w:rsidRPr="00701888">
              <w:rPr>
                <w:rFonts w:asciiTheme="minorHAnsi" w:hAnsiTheme="minorHAnsi"/>
                <w:sz w:val="20"/>
                <w:szCs w:val="20"/>
                <w:lang w:val="es-ES_tradnl"/>
              </w:rPr>
              <w:t> </w:t>
            </w:r>
          </w:p>
        </w:tc>
      </w:tr>
    </w:tbl>
    <w:p w14:paraId="507439F4" w14:textId="77777777" w:rsidR="00C4435F" w:rsidRPr="00701888" w:rsidRDefault="00C4435F" w:rsidP="0044433D">
      <w:pPr>
        <w:rPr>
          <w:rFonts w:ascii="Calibri" w:hAnsi="Calibri" w:cs="Calibri"/>
          <w:b/>
          <w:sz w:val="26"/>
          <w:szCs w:val="26"/>
          <w:lang w:val="es-ES_tradnl"/>
        </w:rPr>
      </w:pPr>
    </w:p>
    <w:sectPr w:rsidR="00C4435F" w:rsidRPr="00701888" w:rsidSect="00C76A9F">
      <w:type w:val="continuous"/>
      <w:pgSz w:w="11907" w:h="16840" w:code="9"/>
      <w:pgMar w:top="851" w:right="1440" w:bottom="851" w:left="1440" w:header="709"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6EA5F" w14:textId="77777777" w:rsidR="000476A8" w:rsidRDefault="000476A8">
      <w:r>
        <w:separator/>
      </w:r>
    </w:p>
  </w:endnote>
  <w:endnote w:type="continuationSeparator" w:id="0">
    <w:p w14:paraId="6F7965D9" w14:textId="77777777" w:rsidR="000476A8" w:rsidRDefault="000476A8">
      <w:r>
        <w:continuationSeparator/>
      </w:r>
    </w:p>
  </w:endnote>
  <w:endnote w:type="continuationNotice" w:id="1">
    <w:p w14:paraId="3DC9796D" w14:textId="77777777" w:rsidR="000476A8" w:rsidRDefault="00047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4B271" w14:textId="0A38096F" w:rsidR="000476A8" w:rsidRPr="003A25EC" w:rsidRDefault="000476A8" w:rsidP="002524D9">
    <w:pPr>
      <w:pStyle w:val="Footer"/>
      <w:tabs>
        <w:tab w:val="clear" w:pos="8640"/>
        <w:tab w:val="right" w:pos="9072"/>
      </w:tabs>
      <w:rPr>
        <w:rFonts w:asciiTheme="minorHAnsi" w:hAnsiTheme="minorHAnsi"/>
        <w:sz w:val="20"/>
        <w:szCs w:val="20"/>
      </w:rPr>
    </w:pPr>
    <w:r w:rsidRPr="003A25EC">
      <w:rPr>
        <w:rFonts w:asciiTheme="minorHAnsi" w:hAnsiTheme="minorHAnsi"/>
        <w:sz w:val="20"/>
        <w:szCs w:val="20"/>
      </w:rPr>
      <w:t>SC</w:t>
    </w:r>
    <w:r>
      <w:rPr>
        <w:rFonts w:asciiTheme="minorHAnsi" w:hAnsiTheme="minorHAnsi"/>
        <w:sz w:val="20"/>
        <w:szCs w:val="20"/>
      </w:rPr>
      <w:t>52</w:t>
    </w:r>
    <w:r w:rsidRPr="003A25EC">
      <w:rPr>
        <w:rFonts w:asciiTheme="minorHAnsi" w:hAnsiTheme="minorHAnsi"/>
        <w:sz w:val="20"/>
        <w:szCs w:val="20"/>
      </w:rPr>
      <w:t>-</w:t>
    </w:r>
    <w:r>
      <w:rPr>
        <w:rFonts w:asciiTheme="minorHAnsi" w:hAnsiTheme="minorHAnsi"/>
        <w:sz w:val="20"/>
        <w:szCs w:val="20"/>
      </w:rPr>
      <w:t>18 Rev.1</w:t>
    </w:r>
    <w:r w:rsidRPr="003A25EC">
      <w:rPr>
        <w:rFonts w:asciiTheme="minorHAnsi" w:hAnsiTheme="minorHAnsi"/>
        <w:sz w:val="20"/>
        <w:szCs w:val="20"/>
      </w:rPr>
      <w:tab/>
    </w:r>
    <w:r w:rsidRPr="003A25EC">
      <w:rPr>
        <w:rFonts w:asciiTheme="minorHAnsi" w:hAnsiTheme="minorHAnsi"/>
        <w:sz w:val="20"/>
        <w:szCs w:val="20"/>
      </w:rPr>
      <w:tab/>
    </w:r>
    <w:r w:rsidRPr="003A25EC">
      <w:rPr>
        <w:rFonts w:asciiTheme="minorHAnsi" w:hAnsiTheme="minorHAnsi"/>
        <w:sz w:val="20"/>
        <w:szCs w:val="20"/>
      </w:rPr>
      <w:fldChar w:fldCharType="begin"/>
    </w:r>
    <w:r w:rsidRPr="003A25EC">
      <w:rPr>
        <w:rFonts w:asciiTheme="minorHAnsi" w:hAnsiTheme="minorHAnsi"/>
        <w:sz w:val="20"/>
        <w:szCs w:val="20"/>
      </w:rPr>
      <w:instrText xml:space="preserve"> PAGE   \* MERGEFORMAT </w:instrText>
    </w:r>
    <w:r w:rsidRPr="003A25EC">
      <w:rPr>
        <w:rFonts w:asciiTheme="minorHAnsi" w:hAnsiTheme="minorHAnsi"/>
        <w:sz w:val="20"/>
        <w:szCs w:val="20"/>
      </w:rPr>
      <w:fldChar w:fldCharType="separate"/>
    </w:r>
    <w:r w:rsidR="008006D0">
      <w:rPr>
        <w:rFonts w:asciiTheme="minorHAnsi" w:hAnsiTheme="minorHAnsi"/>
        <w:noProof/>
        <w:sz w:val="20"/>
        <w:szCs w:val="20"/>
      </w:rPr>
      <w:t>8</w:t>
    </w:r>
    <w:r w:rsidRPr="003A25EC">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6A58C" w14:textId="77777777" w:rsidR="000476A8" w:rsidRDefault="000476A8">
      <w:r>
        <w:separator/>
      </w:r>
    </w:p>
  </w:footnote>
  <w:footnote w:type="continuationSeparator" w:id="0">
    <w:p w14:paraId="5A128CB8" w14:textId="77777777" w:rsidR="000476A8" w:rsidRDefault="000476A8">
      <w:r>
        <w:continuationSeparator/>
      </w:r>
    </w:p>
  </w:footnote>
  <w:footnote w:type="continuationNotice" w:id="1">
    <w:p w14:paraId="576B2C01" w14:textId="77777777" w:rsidR="000476A8" w:rsidRDefault="000476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F43"/>
    <w:multiLevelType w:val="hybridMultilevel"/>
    <w:tmpl w:val="09A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C6E07"/>
    <w:multiLevelType w:val="hybridMultilevel"/>
    <w:tmpl w:val="C7BAA1F2"/>
    <w:lvl w:ilvl="0" w:tplc="415E444A">
      <w:start w:val="1"/>
      <w:numFmt w:val="decimal"/>
      <w:lvlText w:val="%1."/>
      <w:lvlJc w:val="left"/>
      <w:pPr>
        <w:ind w:left="360" w:hanging="360"/>
      </w:pPr>
      <w:rPr>
        <w:b w:val="0"/>
      </w:rPr>
    </w:lvl>
    <w:lvl w:ilvl="1" w:tplc="9E70A3C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06797C"/>
    <w:multiLevelType w:val="hybridMultilevel"/>
    <w:tmpl w:val="C6D8CB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B2435"/>
    <w:multiLevelType w:val="hybridMultilevel"/>
    <w:tmpl w:val="5F98A2A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251496"/>
    <w:multiLevelType w:val="hybridMultilevel"/>
    <w:tmpl w:val="D9B2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C2646A"/>
    <w:multiLevelType w:val="hybridMultilevel"/>
    <w:tmpl w:val="E712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04516B"/>
    <w:multiLevelType w:val="hybridMultilevel"/>
    <w:tmpl w:val="562ADC98"/>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90011">
      <w:start w:val="1"/>
      <w:numFmt w:val="decimal"/>
      <w:lvlText w:val="%3)"/>
      <w:lvlJc w:val="lef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403039"/>
    <w:multiLevelType w:val="hybridMultilevel"/>
    <w:tmpl w:val="74683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E73D9D"/>
    <w:multiLevelType w:val="hybridMultilevel"/>
    <w:tmpl w:val="C5281CE0"/>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9FD41834">
      <w:start w:val="1"/>
      <w:numFmt w:val="lowerRoman"/>
      <w:lvlText w:val="%3."/>
      <w:lvlJc w:val="left"/>
      <w:pPr>
        <w:ind w:left="2160" w:hanging="180"/>
      </w:pPr>
      <w:rPr>
        <w:rFonts w:hint="default"/>
      </w:r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AD0C87"/>
    <w:multiLevelType w:val="hybridMultilevel"/>
    <w:tmpl w:val="922401D2"/>
    <w:lvl w:ilvl="0" w:tplc="24588BC4">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95"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E0306"/>
    <w:multiLevelType w:val="hybridMultilevel"/>
    <w:tmpl w:val="4398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156B2"/>
    <w:multiLevelType w:val="hybridMultilevel"/>
    <w:tmpl w:val="633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5C28BF"/>
    <w:multiLevelType w:val="hybridMultilevel"/>
    <w:tmpl w:val="E4E84F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B6E4DE4"/>
    <w:multiLevelType w:val="hybridMultilevel"/>
    <w:tmpl w:val="D972756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9A484B"/>
    <w:multiLevelType w:val="hybridMultilevel"/>
    <w:tmpl w:val="36C8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0A77CF"/>
    <w:multiLevelType w:val="hybridMultilevel"/>
    <w:tmpl w:val="201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FD56B0"/>
    <w:multiLevelType w:val="hybridMultilevel"/>
    <w:tmpl w:val="3E128536"/>
    <w:lvl w:ilvl="0" w:tplc="2014E33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C92944E">
      <w:start w:val="2014"/>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5"/>
  </w:num>
  <w:num w:numId="5">
    <w:abstractNumId w:val="15"/>
  </w:num>
  <w:num w:numId="6">
    <w:abstractNumId w:val="11"/>
  </w:num>
  <w:num w:numId="7">
    <w:abstractNumId w:val="4"/>
  </w:num>
  <w:num w:numId="8">
    <w:abstractNumId w:val="10"/>
  </w:num>
  <w:num w:numId="9">
    <w:abstractNumId w:val="1"/>
  </w:num>
  <w:num w:numId="10">
    <w:abstractNumId w:val="0"/>
  </w:num>
  <w:num w:numId="11">
    <w:abstractNumId w:val="6"/>
  </w:num>
  <w:num w:numId="12">
    <w:abstractNumId w:val="14"/>
  </w:num>
  <w:num w:numId="13">
    <w:abstractNumId w:val="3"/>
  </w:num>
  <w:num w:numId="14">
    <w:abstractNumId w:val="16"/>
  </w:num>
  <w:num w:numId="15">
    <w:abstractNumId w:val="13"/>
  </w:num>
  <w:num w:numId="16">
    <w:abstractNumId w:val="12"/>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3"/>
    <w:rsid w:val="0000098C"/>
    <w:rsid w:val="00000EDB"/>
    <w:rsid w:val="00002D40"/>
    <w:rsid w:val="000069E0"/>
    <w:rsid w:val="0000744C"/>
    <w:rsid w:val="0001135A"/>
    <w:rsid w:val="00012537"/>
    <w:rsid w:val="00012828"/>
    <w:rsid w:val="0001420D"/>
    <w:rsid w:val="00015175"/>
    <w:rsid w:val="0001736C"/>
    <w:rsid w:val="00017FEC"/>
    <w:rsid w:val="000204FE"/>
    <w:rsid w:val="000211F3"/>
    <w:rsid w:val="00024785"/>
    <w:rsid w:val="00026108"/>
    <w:rsid w:val="0002611D"/>
    <w:rsid w:val="000265DF"/>
    <w:rsid w:val="00027190"/>
    <w:rsid w:val="000302DD"/>
    <w:rsid w:val="000303B9"/>
    <w:rsid w:val="00030BE3"/>
    <w:rsid w:val="00031725"/>
    <w:rsid w:val="00032B16"/>
    <w:rsid w:val="000331C5"/>
    <w:rsid w:val="00033217"/>
    <w:rsid w:val="000342B7"/>
    <w:rsid w:val="00036EAE"/>
    <w:rsid w:val="00040F55"/>
    <w:rsid w:val="0004138F"/>
    <w:rsid w:val="000414C7"/>
    <w:rsid w:val="00043345"/>
    <w:rsid w:val="00043D31"/>
    <w:rsid w:val="000442FE"/>
    <w:rsid w:val="00044530"/>
    <w:rsid w:val="00045011"/>
    <w:rsid w:val="00046784"/>
    <w:rsid w:val="00046FF3"/>
    <w:rsid w:val="000470AA"/>
    <w:rsid w:val="00047647"/>
    <w:rsid w:val="000476A8"/>
    <w:rsid w:val="00047C59"/>
    <w:rsid w:val="000528FA"/>
    <w:rsid w:val="000538AA"/>
    <w:rsid w:val="00054DA0"/>
    <w:rsid w:val="00061D63"/>
    <w:rsid w:val="00062160"/>
    <w:rsid w:val="00063B3F"/>
    <w:rsid w:val="00063E01"/>
    <w:rsid w:val="00064F37"/>
    <w:rsid w:val="000661D8"/>
    <w:rsid w:val="000674C5"/>
    <w:rsid w:val="00070241"/>
    <w:rsid w:val="000709C1"/>
    <w:rsid w:val="000739BA"/>
    <w:rsid w:val="00074D35"/>
    <w:rsid w:val="000755A6"/>
    <w:rsid w:val="00075CC3"/>
    <w:rsid w:val="000763D9"/>
    <w:rsid w:val="00077664"/>
    <w:rsid w:val="00077CD3"/>
    <w:rsid w:val="00083D79"/>
    <w:rsid w:val="00083F16"/>
    <w:rsid w:val="0008448B"/>
    <w:rsid w:val="00084AB1"/>
    <w:rsid w:val="00086D09"/>
    <w:rsid w:val="000876AD"/>
    <w:rsid w:val="0009101A"/>
    <w:rsid w:val="00092F1E"/>
    <w:rsid w:val="00093118"/>
    <w:rsid w:val="00093EAD"/>
    <w:rsid w:val="0009664B"/>
    <w:rsid w:val="000A0840"/>
    <w:rsid w:val="000A0953"/>
    <w:rsid w:val="000A2A41"/>
    <w:rsid w:val="000A2B7E"/>
    <w:rsid w:val="000A2C45"/>
    <w:rsid w:val="000A582B"/>
    <w:rsid w:val="000A7583"/>
    <w:rsid w:val="000A79D9"/>
    <w:rsid w:val="000B00DD"/>
    <w:rsid w:val="000B1686"/>
    <w:rsid w:val="000B301B"/>
    <w:rsid w:val="000B330F"/>
    <w:rsid w:val="000B4A7F"/>
    <w:rsid w:val="000B5D87"/>
    <w:rsid w:val="000B7A27"/>
    <w:rsid w:val="000C0271"/>
    <w:rsid w:val="000C0ED3"/>
    <w:rsid w:val="000C1043"/>
    <w:rsid w:val="000C154E"/>
    <w:rsid w:val="000C2055"/>
    <w:rsid w:val="000C2B05"/>
    <w:rsid w:val="000C488F"/>
    <w:rsid w:val="000C5AD0"/>
    <w:rsid w:val="000C6701"/>
    <w:rsid w:val="000D00AA"/>
    <w:rsid w:val="000D0B0F"/>
    <w:rsid w:val="000D1C9D"/>
    <w:rsid w:val="000D2D66"/>
    <w:rsid w:val="000D555C"/>
    <w:rsid w:val="000D6E13"/>
    <w:rsid w:val="000D7CF1"/>
    <w:rsid w:val="000D7D6D"/>
    <w:rsid w:val="000E0551"/>
    <w:rsid w:val="000E0C0D"/>
    <w:rsid w:val="000E36C0"/>
    <w:rsid w:val="000E650E"/>
    <w:rsid w:val="000E65CA"/>
    <w:rsid w:val="000E6D1F"/>
    <w:rsid w:val="000E7399"/>
    <w:rsid w:val="000E750C"/>
    <w:rsid w:val="000F02CD"/>
    <w:rsid w:val="000F045B"/>
    <w:rsid w:val="000F4158"/>
    <w:rsid w:val="000F608B"/>
    <w:rsid w:val="000F676C"/>
    <w:rsid w:val="000F6B82"/>
    <w:rsid w:val="000F7671"/>
    <w:rsid w:val="00101A5A"/>
    <w:rsid w:val="0010246A"/>
    <w:rsid w:val="00102FC1"/>
    <w:rsid w:val="00103FDD"/>
    <w:rsid w:val="001074D5"/>
    <w:rsid w:val="00107792"/>
    <w:rsid w:val="00110D85"/>
    <w:rsid w:val="00111923"/>
    <w:rsid w:val="00112516"/>
    <w:rsid w:val="00112DF4"/>
    <w:rsid w:val="00113F9D"/>
    <w:rsid w:val="001161C4"/>
    <w:rsid w:val="00116AEA"/>
    <w:rsid w:val="00120CBE"/>
    <w:rsid w:val="0012137E"/>
    <w:rsid w:val="00121B06"/>
    <w:rsid w:val="00122AF1"/>
    <w:rsid w:val="00124EF4"/>
    <w:rsid w:val="00126B45"/>
    <w:rsid w:val="0012728F"/>
    <w:rsid w:val="00127C82"/>
    <w:rsid w:val="00131031"/>
    <w:rsid w:val="001331EB"/>
    <w:rsid w:val="00134599"/>
    <w:rsid w:val="00135B39"/>
    <w:rsid w:val="00135E3B"/>
    <w:rsid w:val="00136805"/>
    <w:rsid w:val="00137F31"/>
    <w:rsid w:val="0014079B"/>
    <w:rsid w:val="00141490"/>
    <w:rsid w:val="00141718"/>
    <w:rsid w:val="00141C37"/>
    <w:rsid w:val="00142317"/>
    <w:rsid w:val="00143507"/>
    <w:rsid w:val="00144E0A"/>
    <w:rsid w:val="00146DBD"/>
    <w:rsid w:val="001472A8"/>
    <w:rsid w:val="00147C7D"/>
    <w:rsid w:val="00150B1A"/>
    <w:rsid w:val="00150E3A"/>
    <w:rsid w:val="0015459C"/>
    <w:rsid w:val="00154A73"/>
    <w:rsid w:val="00155AC6"/>
    <w:rsid w:val="00156778"/>
    <w:rsid w:val="00161AB9"/>
    <w:rsid w:val="00161D05"/>
    <w:rsid w:val="0016270D"/>
    <w:rsid w:val="001640AB"/>
    <w:rsid w:val="00165955"/>
    <w:rsid w:val="00166322"/>
    <w:rsid w:val="0016691A"/>
    <w:rsid w:val="00167059"/>
    <w:rsid w:val="001704C0"/>
    <w:rsid w:val="00171983"/>
    <w:rsid w:val="0017243B"/>
    <w:rsid w:val="00172A5A"/>
    <w:rsid w:val="00173006"/>
    <w:rsid w:val="0017328C"/>
    <w:rsid w:val="001734B2"/>
    <w:rsid w:val="00173B97"/>
    <w:rsid w:val="00174527"/>
    <w:rsid w:val="00174AFC"/>
    <w:rsid w:val="001778C4"/>
    <w:rsid w:val="001805A0"/>
    <w:rsid w:val="00181C11"/>
    <w:rsid w:val="00183630"/>
    <w:rsid w:val="00184A0A"/>
    <w:rsid w:val="00187B67"/>
    <w:rsid w:val="001911A5"/>
    <w:rsid w:val="00191760"/>
    <w:rsid w:val="00192290"/>
    <w:rsid w:val="00192AE5"/>
    <w:rsid w:val="00192EE4"/>
    <w:rsid w:val="001943E2"/>
    <w:rsid w:val="00195F01"/>
    <w:rsid w:val="00196B36"/>
    <w:rsid w:val="001A1B45"/>
    <w:rsid w:val="001A226C"/>
    <w:rsid w:val="001A4CEC"/>
    <w:rsid w:val="001B0ECF"/>
    <w:rsid w:val="001B1838"/>
    <w:rsid w:val="001B1A73"/>
    <w:rsid w:val="001B2AAA"/>
    <w:rsid w:val="001B3389"/>
    <w:rsid w:val="001B3677"/>
    <w:rsid w:val="001C005C"/>
    <w:rsid w:val="001C2B94"/>
    <w:rsid w:val="001C2EA9"/>
    <w:rsid w:val="001C3A58"/>
    <w:rsid w:val="001C5192"/>
    <w:rsid w:val="001C5504"/>
    <w:rsid w:val="001C7F6C"/>
    <w:rsid w:val="001D1B0C"/>
    <w:rsid w:val="001D48D7"/>
    <w:rsid w:val="001D6BB5"/>
    <w:rsid w:val="001D7463"/>
    <w:rsid w:val="001D7666"/>
    <w:rsid w:val="001E26CB"/>
    <w:rsid w:val="001E2A3D"/>
    <w:rsid w:val="001E2B38"/>
    <w:rsid w:val="001E2EC7"/>
    <w:rsid w:val="001E5DBE"/>
    <w:rsid w:val="001F0A9E"/>
    <w:rsid w:val="001F0DEF"/>
    <w:rsid w:val="001F1273"/>
    <w:rsid w:val="001F272B"/>
    <w:rsid w:val="001F2842"/>
    <w:rsid w:val="001F3546"/>
    <w:rsid w:val="001F3D66"/>
    <w:rsid w:val="001F40E1"/>
    <w:rsid w:val="001F6BDD"/>
    <w:rsid w:val="001F717F"/>
    <w:rsid w:val="001F7D0B"/>
    <w:rsid w:val="001F7EF9"/>
    <w:rsid w:val="00201110"/>
    <w:rsid w:val="00207B29"/>
    <w:rsid w:val="00210057"/>
    <w:rsid w:val="0021050A"/>
    <w:rsid w:val="00211897"/>
    <w:rsid w:val="00211BF6"/>
    <w:rsid w:val="00214BBE"/>
    <w:rsid w:val="002155E2"/>
    <w:rsid w:val="0022079A"/>
    <w:rsid w:val="00221239"/>
    <w:rsid w:val="00224108"/>
    <w:rsid w:val="0022550F"/>
    <w:rsid w:val="0022565E"/>
    <w:rsid w:val="00226328"/>
    <w:rsid w:val="002268E8"/>
    <w:rsid w:val="002340A8"/>
    <w:rsid w:val="00234D98"/>
    <w:rsid w:val="00237712"/>
    <w:rsid w:val="002406BE"/>
    <w:rsid w:val="00241724"/>
    <w:rsid w:val="00241F7D"/>
    <w:rsid w:val="002464F2"/>
    <w:rsid w:val="002466F5"/>
    <w:rsid w:val="00247C52"/>
    <w:rsid w:val="00250633"/>
    <w:rsid w:val="0025063C"/>
    <w:rsid w:val="00250796"/>
    <w:rsid w:val="002524D9"/>
    <w:rsid w:val="0025252F"/>
    <w:rsid w:val="00252A32"/>
    <w:rsid w:val="00253966"/>
    <w:rsid w:val="00257138"/>
    <w:rsid w:val="00263953"/>
    <w:rsid w:val="00264C44"/>
    <w:rsid w:val="0026560A"/>
    <w:rsid w:val="00271D0E"/>
    <w:rsid w:val="00271DE0"/>
    <w:rsid w:val="00272633"/>
    <w:rsid w:val="00273725"/>
    <w:rsid w:val="00275C85"/>
    <w:rsid w:val="00276C10"/>
    <w:rsid w:val="00283A46"/>
    <w:rsid w:val="002928ED"/>
    <w:rsid w:val="00293670"/>
    <w:rsid w:val="00294CAC"/>
    <w:rsid w:val="00295095"/>
    <w:rsid w:val="00297427"/>
    <w:rsid w:val="002A4581"/>
    <w:rsid w:val="002A50F3"/>
    <w:rsid w:val="002A61AE"/>
    <w:rsid w:val="002A6AC6"/>
    <w:rsid w:val="002A6B70"/>
    <w:rsid w:val="002B13C2"/>
    <w:rsid w:val="002B25E3"/>
    <w:rsid w:val="002B3403"/>
    <w:rsid w:val="002B491E"/>
    <w:rsid w:val="002B4BF2"/>
    <w:rsid w:val="002B4DD4"/>
    <w:rsid w:val="002B5322"/>
    <w:rsid w:val="002B5735"/>
    <w:rsid w:val="002B78A9"/>
    <w:rsid w:val="002C0090"/>
    <w:rsid w:val="002C0F8B"/>
    <w:rsid w:val="002C180A"/>
    <w:rsid w:val="002C53F9"/>
    <w:rsid w:val="002C58C3"/>
    <w:rsid w:val="002C69BF"/>
    <w:rsid w:val="002C7FA7"/>
    <w:rsid w:val="002D0871"/>
    <w:rsid w:val="002D0EA1"/>
    <w:rsid w:val="002D0F06"/>
    <w:rsid w:val="002D6034"/>
    <w:rsid w:val="002D6888"/>
    <w:rsid w:val="002D76A2"/>
    <w:rsid w:val="002D76C0"/>
    <w:rsid w:val="002E152D"/>
    <w:rsid w:val="002E1B28"/>
    <w:rsid w:val="002E57AE"/>
    <w:rsid w:val="002E7954"/>
    <w:rsid w:val="002F0512"/>
    <w:rsid w:val="002F15C0"/>
    <w:rsid w:val="002F208E"/>
    <w:rsid w:val="002F381C"/>
    <w:rsid w:val="002F7D7B"/>
    <w:rsid w:val="003007B2"/>
    <w:rsid w:val="003007EE"/>
    <w:rsid w:val="00300F31"/>
    <w:rsid w:val="00302314"/>
    <w:rsid w:val="00302FD9"/>
    <w:rsid w:val="00306845"/>
    <w:rsid w:val="00306DB4"/>
    <w:rsid w:val="00307392"/>
    <w:rsid w:val="0030798A"/>
    <w:rsid w:val="003112A8"/>
    <w:rsid w:val="00313A78"/>
    <w:rsid w:val="00314B65"/>
    <w:rsid w:val="00314CBB"/>
    <w:rsid w:val="00315287"/>
    <w:rsid w:val="00315354"/>
    <w:rsid w:val="00315578"/>
    <w:rsid w:val="0031585B"/>
    <w:rsid w:val="00315B41"/>
    <w:rsid w:val="00320407"/>
    <w:rsid w:val="00321781"/>
    <w:rsid w:val="00322084"/>
    <w:rsid w:val="00322996"/>
    <w:rsid w:val="0032644F"/>
    <w:rsid w:val="003267FF"/>
    <w:rsid w:val="00327E4E"/>
    <w:rsid w:val="0033113E"/>
    <w:rsid w:val="00331EB8"/>
    <w:rsid w:val="00332D36"/>
    <w:rsid w:val="003357A9"/>
    <w:rsid w:val="00342946"/>
    <w:rsid w:val="00342C63"/>
    <w:rsid w:val="00345053"/>
    <w:rsid w:val="003464B6"/>
    <w:rsid w:val="00347652"/>
    <w:rsid w:val="003505DE"/>
    <w:rsid w:val="00353ECB"/>
    <w:rsid w:val="0035655B"/>
    <w:rsid w:val="0036059A"/>
    <w:rsid w:val="00360E2B"/>
    <w:rsid w:val="00361FFD"/>
    <w:rsid w:val="00364098"/>
    <w:rsid w:val="00364CF1"/>
    <w:rsid w:val="00365F90"/>
    <w:rsid w:val="0036661A"/>
    <w:rsid w:val="00366B57"/>
    <w:rsid w:val="0036720F"/>
    <w:rsid w:val="003709CC"/>
    <w:rsid w:val="0037146E"/>
    <w:rsid w:val="0037555D"/>
    <w:rsid w:val="0037674F"/>
    <w:rsid w:val="003777DE"/>
    <w:rsid w:val="00380039"/>
    <w:rsid w:val="003800FC"/>
    <w:rsid w:val="00380503"/>
    <w:rsid w:val="00383172"/>
    <w:rsid w:val="00385CA2"/>
    <w:rsid w:val="00386BBE"/>
    <w:rsid w:val="00387677"/>
    <w:rsid w:val="00390178"/>
    <w:rsid w:val="00390E5C"/>
    <w:rsid w:val="003914B6"/>
    <w:rsid w:val="003916FC"/>
    <w:rsid w:val="00392DA6"/>
    <w:rsid w:val="00394D25"/>
    <w:rsid w:val="00395DD1"/>
    <w:rsid w:val="003A1651"/>
    <w:rsid w:val="003A1E0A"/>
    <w:rsid w:val="003A25EC"/>
    <w:rsid w:val="003A361B"/>
    <w:rsid w:val="003A6FAE"/>
    <w:rsid w:val="003A7F44"/>
    <w:rsid w:val="003B0786"/>
    <w:rsid w:val="003B16DE"/>
    <w:rsid w:val="003B1AEA"/>
    <w:rsid w:val="003B396A"/>
    <w:rsid w:val="003B53AE"/>
    <w:rsid w:val="003B53C9"/>
    <w:rsid w:val="003B5DEF"/>
    <w:rsid w:val="003B6B57"/>
    <w:rsid w:val="003B7523"/>
    <w:rsid w:val="003C13D3"/>
    <w:rsid w:val="003C1D24"/>
    <w:rsid w:val="003C33DA"/>
    <w:rsid w:val="003C349D"/>
    <w:rsid w:val="003C371B"/>
    <w:rsid w:val="003C4198"/>
    <w:rsid w:val="003C6412"/>
    <w:rsid w:val="003C680B"/>
    <w:rsid w:val="003D1A74"/>
    <w:rsid w:val="003D402F"/>
    <w:rsid w:val="003D4C9C"/>
    <w:rsid w:val="003E0E35"/>
    <w:rsid w:val="003E237D"/>
    <w:rsid w:val="003E25C0"/>
    <w:rsid w:val="003E2BBD"/>
    <w:rsid w:val="003E37A6"/>
    <w:rsid w:val="003E41CB"/>
    <w:rsid w:val="003E59C5"/>
    <w:rsid w:val="003F01C9"/>
    <w:rsid w:val="003F0B30"/>
    <w:rsid w:val="003F1934"/>
    <w:rsid w:val="003F1988"/>
    <w:rsid w:val="003F2534"/>
    <w:rsid w:val="004009E9"/>
    <w:rsid w:val="0040442C"/>
    <w:rsid w:val="00404E09"/>
    <w:rsid w:val="0040703B"/>
    <w:rsid w:val="0040715E"/>
    <w:rsid w:val="00411BB1"/>
    <w:rsid w:val="00414328"/>
    <w:rsid w:val="00414F10"/>
    <w:rsid w:val="00416DF3"/>
    <w:rsid w:val="00417672"/>
    <w:rsid w:val="00417A93"/>
    <w:rsid w:val="00421DDD"/>
    <w:rsid w:val="00422A76"/>
    <w:rsid w:val="0042642D"/>
    <w:rsid w:val="00426866"/>
    <w:rsid w:val="004302E5"/>
    <w:rsid w:val="00432445"/>
    <w:rsid w:val="004340A5"/>
    <w:rsid w:val="00436190"/>
    <w:rsid w:val="0044012B"/>
    <w:rsid w:val="0044022D"/>
    <w:rsid w:val="00441CF2"/>
    <w:rsid w:val="0044433D"/>
    <w:rsid w:val="00445578"/>
    <w:rsid w:val="0044625F"/>
    <w:rsid w:val="00450ADD"/>
    <w:rsid w:val="00450B1F"/>
    <w:rsid w:val="00450DAC"/>
    <w:rsid w:val="00451878"/>
    <w:rsid w:val="00452FF0"/>
    <w:rsid w:val="0045519B"/>
    <w:rsid w:val="00455E06"/>
    <w:rsid w:val="00456EDA"/>
    <w:rsid w:val="004570C6"/>
    <w:rsid w:val="004574CD"/>
    <w:rsid w:val="00461047"/>
    <w:rsid w:val="0046200F"/>
    <w:rsid w:val="004620B2"/>
    <w:rsid w:val="00462F28"/>
    <w:rsid w:val="00462F63"/>
    <w:rsid w:val="004634DB"/>
    <w:rsid w:val="00464606"/>
    <w:rsid w:val="00465482"/>
    <w:rsid w:val="004674D2"/>
    <w:rsid w:val="00472031"/>
    <w:rsid w:val="004729B9"/>
    <w:rsid w:val="004732C1"/>
    <w:rsid w:val="00473B42"/>
    <w:rsid w:val="00480719"/>
    <w:rsid w:val="00480F48"/>
    <w:rsid w:val="004810F2"/>
    <w:rsid w:val="00483AB6"/>
    <w:rsid w:val="004848CF"/>
    <w:rsid w:val="00485139"/>
    <w:rsid w:val="00485219"/>
    <w:rsid w:val="004868DD"/>
    <w:rsid w:val="00490532"/>
    <w:rsid w:val="004908A3"/>
    <w:rsid w:val="0049618E"/>
    <w:rsid w:val="004966A1"/>
    <w:rsid w:val="004979EC"/>
    <w:rsid w:val="004A531A"/>
    <w:rsid w:val="004A551A"/>
    <w:rsid w:val="004A6723"/>
    <w:rsid w:val="004A6ABB"/>
    <w:rsid w:val="004A70CD"/>
    <w:rsid w:val="004A753B"/>
    <w:rsid w:val="004B3903"/>
    <w:rsid w:val="004B5D6F"/>
    <w:rsid w:val="004C1CA2"/>
    <w:rsid w:val="004C5166"/>
    <w:rsid w:val="004C54AC"/>
    <w:rsid w:val="004C629F"/>
    <w:rsid w:val="004D02D0"/>
    <w:rsid w:val="004D0BB4"/>
    <w:rsid w:val="004D1AED"/>
    <w:rsid w:val="004D335B"/>
    <w:rsid w:val="004D3472"/>
    <w:rsid w:val="004D746E"/>
    <w:rsid w:val="004E125F"/>
    <w:rsid w:val="004E1EF7"/>
    <w:rsid w:val="004E6693"/>
    <w:rsid w:val="004E7940"/>
    <w:rsid w:val="004E7ABB"/>
    <w:rsid w:val="004E7D07"/>
    <w:rsid w:val="004E7EAD"/>
    <w:rsid w:val="004F0663"/>
    <w:rsid w:val="004F087A"/>
    <w:rsid w:val="004F0AD5"/>
    <w:rsid w:val="004F3121"/>
    <w:rsid w:val="004F3485"/>
    <w:rsid w:val="004F6CD7"/>
    <w:rsid w:val="004F70EF"/>
    <w:rsid w:val="004F7A87"/>
    <w:rsid w:val="00500792"/>
    <w:rsid w:val="00501B06"/>
    <w:rsid w:val="0050578F"/>
    <w:rsid w:val="00506700"/>
    <w:rsid w:val="00511AED"/>
    <w:rsid w:val="0051260E"/>
    <w:rsid w:val="00512A47"/>
    <w:rsid w:val="00513B77"/>
    <w:rsid w:val="005143FD"/>
    <w:rsid w:val="00515D38"/>
    <w:rsid w:val="0051641E"/>
    <w:rsid w:val="00521840"/>
    <w:rsid w:val="005244A4"/>
    <w:rsid w:val="00524A0A"/>
    <w:rsid w:val="00526A47"/>
    <w:rsid w:val="00526FBB"/>
    <w:rsid w:val="00527C60"/>
    <w:rsid w:val="00532E81"/>
    <w:rsid w:val="00533D9D"/>
    <w:rsid w:val="00535DD5"/>
    <w:rsid w:val="005363C2"/>
    <w:rsid w:val="00537103"/>
    <w:rsid w:val="00541A4F"/>
    <w:rsid w:val="005438A1"/>
    <w:rsid w:val="00543A58"/>
    <w:rsid w:val="00547115"/>
    <w:rsid w:val="00550831"/>
    <w:rsid w:val="00550BE1"/>
    <w:rsid w:val="0055409F"/>
    <w:rsid w:val="005559AB"/>
    <w:rsid w:val="00560A8F"/>
    <w:rsid w:val="0056312E"/>
    <w:rsid w:val="00563134"/>
    <w:rsid w:val="00563486"/>
    <w:rsid w:val="00563B03"/>
    <w:rsid w:val="005650CB"/>
    <w:rsid w:val="00565391"/>
    <w:rsid w:val="0056687C"/>
    <w:rsid w:val="00566B37"/>
    <w:rsid w:val="005676AA"/>
    <w:rsid w:val="00571AE9"/>
    <w:rsid w:val="00571E47"/>
    <w:rsid w:val="005761AC"/>
    <w:rsid w:val="00580189"/>
    <w:rsid w:val="00581A1C"/>
    <w:rsid w:val="00581A67"/>
    <w:rsid w:val="00582BD1"/>
    <w:rsid w:val="00583C90"/>
    <w:rsid w:val="00584E29"/>
    <w:rsid w:val="00584EE3"/>
    <w:rsid w:val="0059091D"/>
    <w:rsid w:val="00592897"/>
    <w:rsid w:val="00596137"/>
    <w:rsid w:val="005975AB"/>
    <w:rsid w:val="005976F9"/>
    <w:rsid w:val="005A0C49"/>
    <w:rsid w:val="005A1404"/>
    <w:rsid w:val="005A2D2F"/>
    <w:rsid w:val="005A5036"/>
    <w:rsid w:val="005A731D"/>
    <w:rsid w:val="005A7505"/>
    <w:rsid w:val="005A7CD7"/>
    <w:rsid w:val="005B0C30"/>
    <w:rsid w:val="005B3BED"/>
    <w:rsid w:val="005B6670"/>
    <w:rsid w:val="005C098C"/>
    <w:rsid w:val="005C0E05"/>
    <w:rsid w:val="005C35BE"/>
    <w:rsid w:val="005D076B"/>
    <w:rsid w:val="005D0C79"/>
    <w:rsid w:val="005D2BF8"/>
    <w:rsid w:val="005D36C6"/>
    <w:rsid w:val="005D3E21"/>
    <w:rsid w:val="005D46C3"/>
    <w:rsid w:val="005D58E2"/>
    <w:rsid w:val="005D7969"/>
    <w:rsid w:val="005E3E68"/>
    <w:rsid w:val="005E4084"/>
    <w:rsid w:val="005E4491"/>
    <w:rsid w:val="005F01AA"/>
    <w:rsid w:val="005F12E7"/>
    <w:rsid w:val="005F4EB0"/>
    <w:rsid w:val="005F4F95"/>
    <w:rsid w:val="005F783E"/>
    <w:rsid w:val="005F7929"/>
    <w:rsid w:val="006001D8"/>
    <w:rsid w:val="006011D5"/>
    <w:rsid w:val="00601D4A"/>
    <w:rsid w:val="00603096"/>
    <w:rsid w:val="00604851"/>
    <w:rsid w:val="00604E00"/>
    <w:rsid w:val="00605F53"/>
    <w:rsid w:val="006067AB"/>
    <w:rsid w:val="00610EB4"/>
    <w:rsid w:val="00610F66"/>
    <w:rsid w:val="006115F5"/>
    <w:rsid w:val="00612D5A"/>
    <w:rsid w:val="006146A9"/>
    <w:rsid w:val="00614AEB"/>
    <w:rsid w:val="00614DB4"/>
    <w:rsid w:val="00621364"/>
    <w:rsid w:val="00621600"/>
    <w:rsid w:val="00622897"/>
    <w:rsid w:val="00624FDE"/>
    <w:rsid w:val="00626641"/>
    <w:rsid w:val="00627B89"/>
    <w:rsid w:val="0063065A"/>
    <w:rsid w:val="0063105D"/>
    <w:rsid w:val="0063664B"/>
    <w:rsid w:val="006377DD"/>
    <w:rsid w:val="00640BA2"/>
    <w:rsid w:val="0064199B"/>
    <w:rsid w:val="006427DC"/>
    <w:rsid w:val="006446C6"/>
    <w:rsid w:val="00644A74"/>
    <w:rsid w:val="00645507"/>
    <w:rsid w:val="006467EE"/>
    <w:rsid w:val="0064748F"/>
    <w:rsid w:val="006479AC"/>
    <w:rsid w:val="00647DF1"/>
    <w:rsid w:val="0065077A"/>
    <w:rsid w:val="00651FEA"/>
    <w:rsid w:val="00652B6A"/>
    <w:rsid w:val="00655B39"/>
    <w:rsid w:val="006601F8"/>
    <w:rsid w:val="0066424E"/>
    <w:rsid w:val="00664464"/>
    <w:rsid w:val="0066468C"/>
    <w:rsid w:val="0066562F"/>
    <w:rsid w:val="006716D9"/>
    <w:rsid w:val="00671BBC"/>
    <w:rsid w:val="00672EEF"/>
    <w:rsid w:val="00673139"/>
    <w:rsid w:val="006733A4"/>
    <w:rsid w:val="00673514"/>
    <w:rsid w:val="00673834"/>
    <w:rsid w:val="00674391"/>
    <w:rsid w:val="006757DE"/>
    <w:rsid w:val="0067694B"/>
    <w:rsid w:val="006808C9"/>
    <w:rsid w:val="00681D22"/>
    <w:rsid w:val="0068474C"/>
    <w:rsid w:val="00685128"/>
    <w:rsid w:val="00686BA4"/>
    <w:rsid w:val="006878BF"/>
    <w:rsid w:val="00691FCF"/>
    <w:rsid w:val="00693A86"/>
    <w:rsid w:val="00695547"/>
    <w:rsid w:val="00695B85"/>
    <w:rsid w:val="006961AC"/>
    <w:rsid w:val="006967CF"/>
    <w:rsid w:val="00696DBE"/>
    <w:rsid w:val="006A215D"/>
    <w:rsid w:val="006A2460"/>
    <w:rsid w:val="006A280E"/>
    <w:rsid w:val="006A2DCE"/>
    <w:rsid w:val="006A4196"/>
    <w:rsid w:val="006A6727"/>
    <w:rsid w:val="006A6A68"/>
    <w:rsid w:val="006A70BC"/>
    <w:rsid w:val="006B35FC"/>
    <w:rsid w:val="006B5DFC"/>
    <w:rsid w:val="006B6844"/>
    <w:rsid w:val="006B69B1"/>
    <w:rsid w:val="006B754C"/>
    <w:rsid w:val="006B7AA8"/>
    <w:rsid w:val="006B7F9F"/>
    <w:rsid w:val="006C1DD8"/>
    <w:rsid w:val="006C1DE7"/>
    <w:rsid w:val="006C2305"/>
    <w:rsid w:val="006C2598"/>
    <w:rsid w:val="006C2AF8"/>
    <w:rsid w:val="006C4DE9"/>
    <w:rsid w:val="006C4E3D"/>
    <w:rsid w:val="006C55EF"/>
    <w:rsid w:val="006C58C9"/>
    <w:rsid w:val="006C7F4A"/>
    <w:rsid w:val="006D0786"/>
    <w:rsid w:val="006D127C"/>
    <w:rsid w:val="006D14EE"/>
    <w:rsid w:val="006D2E52"/>
    <w:rsid w:val="006D429C"/>
    <w:rsid w:val="006D4C9E"/>
    <w:rsid w:val="006D4D06"/>
    <w:rsid w:val="006D65E9"/>
    <w:rsid w:val="006D6C5C"/>
    <w:rsid w:val="006D7B2A"/>
    <w:rsid w:val="006E1099"/>
    <w:rsid w:val="006E1FDC"/>
    <w:rsid w:val="006E3D93"/>
    <w:rsid w:val="006F0AF6"/>
    <w:rsid w:val="006F1F00"/>
    <w:rsid w:val="006F2240"/>
    <w:rsid w:val="006F4F21"/>
    <w:rsid w:val="006F7551"/>
    <w:rsid w:val="00700507"/>
    <w:rsid w:val="00701888"/>
    <w:rsid w:val="00702061"/>
    <w:rsid w:val="00704839"/>
    <w:rsid w:val="00705583"/>
    <w:rsid w:val="00705A29"/>
    <w:rsid w:val="007074F3"/>
    <w:rsid w:val="00707BD2"/>
    <w:rsid w:val="007103EC"/>
    <w:rsid w:val="0071064E"/>
    <w:rsid w:val="00710B9B"/>
    <w:rsid w:val="00711958"/>
    <w:rsid w:val="007125C0"/>
    <w:rsid w:val="00712FA3"/>
    <w:rsid w:val="0071330E"/>
    <w:rsid w:val="00713A27"/>
    <w:rsid w:val="00713E17"/>
    <w:rsid w:val="00715435"/>
    <w:rsid w:val="00715639"/>
    <w:rsid w:val="00720716"/>
    <w:rsid w:val="00722A4C"/>
    <w:rsid w:val="00723A49"/>
    <w:rsid w:val="00723E3F"/>
    <w:rsid w:val="00724819"/>
    <w:rsid w:val="0072564A"/>
    <w:rsid w:val="00725A00"/>
    <w:rsid w:val="00726105"/>
    <w:rsid w:val="00726981"/>
    <w:rsid w:val="0072762F"/>
    <w:rsid w:val="00727664"/>
    <w:rsid w:val="00727F14"/>
    <w:rsid w:val="00732641"/>
    <w:rsid w:val="00733BBF"/>
    <w:rsid w:val="007344D7"/>
    <w:rsid w:val="00734816"/>
    <w:rsid w:val="00736A6C"/>
    <w:rsid w:val="00741175"/>
    <w:rsid w:val="00744BBE"/>
    <w:rsid w:val="0074590E"/>
    <w:rsid w:val="00745E7F"/>
    <w:rsid w:val="007508CF"/>
    <w:rsid w:val="007512B3"/>
    <w:rsid w:val="00752371"/>
    <w:rsid w:val="00752590"/>
    <w:rsid w:val="00752E21"/>
    <w:rsid w:val="00753C3E"/>
    <w:rsid w:val="00753DE0"/>
    <w:rsid w:val="007548FB"/>
    <w:rsid w:val="0075746B"/>
    <w:rsid w:val="007576EA"/>
    <w:rsid w:val="0076149F"/>
    <w:rsid w:val="00761DF1"/>
    <w:rsid w:val="007625FF"/>
    <w:rsid w:val="00762975"/>
    <w:rsid w:val="007705EE"/>
    <w:rsid w:val="00770A5E"/>
    <w:rsid w:val="00770D8F"/>
    <w:rsid w:val="00774036"/>
    <w:rsid w:val="0077737B"/>
    <w:rsid w:val="0077738F"/>
    <w:rsid w:val="00777E45"/>
    <w:rsid w:val="00780865"/>
    <w:rsid w:val="007817F5"/>
    <w:rsid w:val="007817FC"/>
    <w:rsid w:val="00782ADA"/>
    <w:rsid w:val="00782CED"/>
    <w:rsid w:val="00784A2D"/>
    <w:rsid w:val="007858FA"/>
    <w:rsid w:val="00787BEC"/>
    <w:rsid w:val="00790566"/>
    <w:rsid w:val="007905FF"/>
    <w:rsid w:val="00790664"/>
    <w:rsid w:val="0079070A"/>
    <w:rsid w:val="007914B9"/>
    <w:rsid w:val="00791A68"/>
    <w:rsid w:val="007922B9"/>
    <w:rsid w:val="0079327A"/>
    <w:rsid w:val="0079386E"/>
    <w:rsid w:val="00794697"/>
    <w:rsid w:val="00795AE0"/>
    <w:rsid w:val="007A1F3D"/>
    <w:rsid w:val="007A2CC1"/>
    <w:rsid w:val="007A37CE"/>
    <w:rsid w:val="007A46E5"/>
    <w:rsid w:val="007A486C"/>
    <w:rsid w:val="007A5332"/>
    <w:rsid w:val="007A6914"/>
    <w:rsid w:val="007A6C6B"/>
    <w:rsid w:val="007A756D"/>
    <w:rsid w:val="007B2D89"/>
    <w:rsid w:val="007B5882"/>
    <w:rsid w:val="007B5D0D"/>
    <w:rsid w:val="007B616C"/>
    <w:rsid w:val="007B7DCA"/>
    <w:rsid w:val="007C021E"/>
    <w:rsid w:val="007C2073"/>
    <w:rsid w:val="007C26EC"/>
    <w:rsid w:val="007C289E"/>
    <w:rsid w:val="007C50E4"/>
    <w:rsid w:val="007C5751"/>
    <w:rsid w:val="007C5BC5"/>
    <w:rsid w:val="007D216A"/>
    <w:rsid w:val="007D3429"/>
    <w:rsid w:val="007D3E69"/>
    <w:rsid w:val="007D5242"/>
    <w:rsid w:val="007D6396"/>
    <w:rsid w:val="007E1345"/>
    <w:rsid w:val="007E1E5E"/>
    <w:rsid w:val="007E3F00"/>
    <w:rsid w:val="007E4224"/>
    <w:rsid w:val="007E618A"/>
    <w:rsid w:val="007E629A"/>
    <w:rsid w:val="007E6B05"/>
    <w:rsid w:val="007E7884"/>
    <w:rsid w:val="007F1735"/>
    <w:rsid w:val="007F1C75"/>
    <w:rsid w:val="007F2873"/>
    <w:rsid w:val="007F358E"/>
    <w:rsid w:val="007F37B6"/>
    <w:rsid w:val="007F5530"/>
    <w:rsid w:val="007F6BFF"/>
    <w:rsid w:val="007F70CC"/>
    <w:rsid w:val="007F7CC8"/>
    <w:rsid w:val="008006D0"/>
    <w:rsid w:val="00804D90"/>
    <w:rsid w:val="008057F7"/>
    <w:rsid w:val="00812529"/>
    <w:rsid w:val="008129DE"/>
    <w:rsid w:val="00812E6B"/>
    <w:rsid w:val="00812F67"/>
    <w:rsid w:val="00813315"/>
    <w:rsid w:val="00814B04"/>
    <w:rsid w:val="008163B6"/>
    <w:rsid w:val="008205D1"/>
    <w:rsid w:val="00821216"/>
    <w:rsid w:val="008215B2"/>
    <w:rsid w:val="0082316D"/>
    <w:rsid w:val="008236DA"/>
    <w:rsid w:val="00824F2C"/>
    <w:rsid w:val="0082548D"/>
    <w:rsid w:val="00825AAA"/>
    <w:rsid w:val="00831616"/>
    <w:rsid w:val="00832B34"/>
    <w:rsid w:val="008333C1"/>
    <w:rsid w:val="00835970"/>
    <w:rsid w:val="00836CCF"/>
    <w:rsid w:val="00836FFA"/>
    <w:rsid w:val="00840047"/>
    <w:rsid w:val="0084108C"/>
    <w:rsid w:val="008418BA"/>
    <w:rsid w:val="0084197D"/>
    <w:rsid w:val="00842399"/>
    <w:rsid w:val="00843DCF"/>
    <w:rsid w:val="008440BE"/>
    <w:rsid w:val="00847321"/>
    <w:rsid w:val="00850BCE"/>
    <w:rsid w:val="0085129D"/>
    <w:rsid w:val="00851AF3"/>
    <w:rsid w:val="00852AD9"/>
    <w:rsid w:val="008532A7"/>
    <w:rsid w:val="0085609A"/>
    <w:rsid w:val="00856F5A"/>
    <w:rsid w:val="00861A80"/>
    <w:rsid w:val="00861AA2"/>
    <w:rsid w:val="008636EF"/>
    <w:rsid w:val="00863A79"/>
    <w:rsid w:val="00863AEC"/>
    <w:rsid w:val="008653B5"/>
    <w:rsid w:val="0086543D"/>
    <w:rsid w:val="008658E5"/>
    <w:rsid w:val="00866232"/>
    <w:rsid w:val="0086686B"/>
    <w:rsid w:val="00866F1D"/>
    <w:rsid w:val="008705D6"/>
    <w:rsid w:val="008721F6"/>
    <w:rsid w:val="0087272B"/>
    <w:rsid w:val="00873D51"/>
    <w:rsid w:val="00874D36"/>
    <w:rsid w:val="008753CD"/>
    <w:rsid w:val="008765E9"/>
    <w:rsid w:val="0087775E"/>
    <w:rsid w:val="008824C9"/>
    <w:rsid w:val="00883322"/>
    <w:rsid w:val="008845E9"/>
    <w:rsid w:val="00884B74"/>
    <w:rsid w:val="0088687B"/>
    <w:rsid w:val="008869EC"/>
    <w:rsid w:val="008938BF"/>
    <w:rsid w:val="00893F55"/>
    <w:rsid w:val="008944FA"/>
    <w:rsid w:val="0089471A"/>
    <w:rsid w:val="008966E0"/>
    <w:rsid w:val="00897C9F"/>
    <w:rsid w:val="00897EC0"/>
    <w:rsid w:val="008A1AE8"/>
    <w:rsid w:val="008A2AC9"/>
    <w:rsid w:val="008A3C22"/>
    <w:rsid w:val="008A3F44"/>
    <w:rsid w:val="008A77C9"/>
    <w:rsid w:val="008A77F1"/>
    <w:rsid w:val="008A7B60"/>
    <w:rsid w:val="008B0AE0"/>
    <w:rsid w:val="008B40E3"/>
    <w:rsid w:val="008B41B3"/>
    <w:rsid w:val="008B560E"/>
    <w:rsid w:val="008B6013"/>
    <w:rsid w:val="008C098D"/>
    <w:rsid w:val="008C1902"/>
    <w:rsid w:val="008C1BE1"/>
    <w:rsid w:val="008C458D"/>
    <w:rsid w:val="008C5D5F"/>
    <w:rsid w:val="008C6C4D"/>
    <w:rsid w:val="008D4703"/>
    <w:rsid w:val="008D497C"/>
    <w:rsid w:val="008D6775"/>
    <w:rsid w:val="008E0508"/>
    <w:rsid w:val="008E101B"/>
    <w:rsid w:val="008E3238"/>
    <w:rsid w:val="008E3400"/>
    <w:rsid w:val="008E47A4"/>
    <w:rsid w:val="008E4EAF"/>
    <w:rsid w:val="008E558A"/>
    <w:rsid w:val="008E59BC"/>
    <w:rsid w:val="008E7C71"/>
    <w:rsid w:val="008F0473"/>
    <w:rsid w:val="008F27D5"/>
    <w:rsid w:val="008F296F"/>
    <w:rsid w:val="008F46AE"/>
    <w:rsid w:val="008F66BD"/>
    <w:rsid w:val="00900786"/>
    <w:rsid w:val="00903910"/>
    <w:rsid w:val="009061A5"/>
    <w:rsid w:val="0090652D"/>
    <w:rsid w:val="00906BF0"/>
    <w:rsid w:val="0091031C"/>
    <w:rsid w:val="00910474"/>
    <w:rsid w:val="009108D9"/>
    <w:rsid w:val="00911718"/>
    <w:rsid w:val="00912433"/>
    <w:rsid w:val="00912CB8"/>
    <w:rsid w:val="00913CD1"/>
    <w:rsid w:val="0091433A"/>
    <w:rsid w:val="009144C0"/>
    <w:rsid w:val="009169C0"/>
    <w:rsid w:val="00920540"/>
    <w:rsid w:val="00923CE9"/>
    <w:rsid w:val="00925AB6"/>
    <w:rsid w:val="00926A09"/>
    <w:rsid w:val="00927834"/>
    <w:rsid w:val="00930505"/>
    <w:rsid w:val="00933ECD"/>
    <w:rsid w:val="009342F7"/>
    <w:rsid w:val="00935049"/>
    <w:rsid w:val="00935361"/>
    <w:rsid w:val="00937027"/>
    <w:rsid w:val="00937ABD"/>
    <w:rsid w:val="009400D2"/>
    <w:rsid w:val="0094190E"/>
    <w:rsid w:val="00943DD3"/>
    <w:rsid w:val="00944692"/>
    <w:rsid w:val="00945507"/>
    <w:rsid w:val="00946EF0"/>
    <w:rsid w:val="00952B18"/>
    <w:rsid w:val="00952F5B"/>
    <w:rsid w:val="00953DBE"/>
    <w:rsid w:val="0095416E"/>
    <w:rsid w:val="009549FB"/>
    <w:rsid w:val="00954F85"/>
    <w:rsid w:val="0095739C"/>
    <w:rsid w:val="0095754C"/>
    <w:rsid w:val="00957A1B"/>
    <w:rsid w:val="00960B8F"/>
    <w:rsid w:val="009614DB"/>
    <w:rsid w:val="00961EDA"/>
    <w:rsid w:val="00961F4A"/>
    <w:rsid w:val="00963F4F"/>
    <w:rsid w:val="00965B70"/>
    <w:rsid w:val="00967162"/>
    <w:rsid w:val="009674D2"/>
    <w:rsid w:val="00972139"/>
    <w:rsid w:val="0097332E"/>
    <w:rsid w:val="00974F57"/>
    <w:rsid w:val="00975BAA"/>
    <w:rsid w:val="00976070"/>
    <w:rsid w:val="00976D3F"/>
    <w:rsid w:val="0098215B"/>
    <w:rsid w:val="0098314C"/>
    <w:rsid w:val="00983438"/>
    <w:rsid w:val="009837C1"/>
    <w:rsid w:val="0098442A"/>
    <w:rsid w:val="00986F51"/>
    <w:rsid w:val="00991F32"/>
    <w:rsid w:val="00992C91"/>
    <w:rsid w:val="009934E3"/>
    <w:rsid w:val="0099372C"/>
    <w:rsid w:val="009937E0"/>
    <w:rsid w:val="009966E8"/>
    <w:rsid w:val="00996DAB"/>
    <w:rsid w:val="009A2918"/>
    <w:rsid w:val="009A2B38"/>
    <w:rsid w:val="009A3502"/>
    <w:rsid w:val="009A488C"/>
    <w:rsid w:val="009A4BC2"/>
    <w:rsid w:val="009A55C0"/>
    <w:rsid w:val="009A5E78"/>
    <w:rsid w:val="009B39EF"/>
    <w:rsid w:val="009B3A10"/>
    <w:rsid w:val="009B3DFE"/>
    <w:rsid w:val="009B4BEB"/>
    <w:rsid w:val="009B5DF0"/>
    <w:rsid w:val="009B6EC9"/>
    <w:rsid w:val="009C3135"/>
    <w:rsid w:val="009C3C17"/>
    <w:rsid w:val="009C4788"/>
    <w:rsid w:val="009C5BA8"/>
    <w:rsid w:val="009C5E7D"/>
    <w:rsid w:val="009C77B3"/>
    <w:rsid w:val="009C7DB0"/>
    <w:rsid w:val="009D0CC4"/>
    <w:rsid w:val="009D1153"/>
    <w:rsid w:val="009D16D5"/>
    <w:rsid w:val="009D2213"/>
    <w:rsid w:val="009D28C3"/>
    <w:rsid w:val="009D2ABE"/>
    <w:rsid w:val="009D4BF0"/>
    <w:rsid w:val="009E189D"/>
    <w:rsid w:val="009E337B"/>
    <w:rsid w:val="009E3D78"/>
    <w:rsid w:val="009E4E32"/>
    <w:rsid w:val="009E7032"/>
    <w:rsid w:val="009F0C9B"/>
    <w:rsid w:val="009F0E51"/>
    <w:rsid w:val="009F217F"/>
    <w:rsid w:val="009F38EF"/>
    <w:rsid w:val="009F39BD"/>
    <w:rsid w:val="009F4E0B"/>
    <w:rsid w:val="009F7F78"/>
    <w:rsid w:val="00A0303A"/>
    <w:rsid w:val="00A03D8D"/>
    <w:rsid w:val="00A0452E"/>
    <w:rsid w:val="00A0483E"/>
    <w:rsid w:val="00A0496A"/>
    <w:rsid w:val="00A0635E"/>
    <w:rsid w:val="00A06898"/>
    <w:rsid w:val="00A06A3F"/>
    <w:rsid w:val="00A11417"/>
    <w:rsid w:val="00A11B52"/>
    <w:rsid w:val="00A1250A"/>
    <w:rsid w:val="00A12F8C"/>
    <w:rsid w:val="00A135F5"/>
    <w:rsid w:val="00A13804"/>
    <w:rsid w:val="00A14C8F"/>
    <w:rsid w:val="00A15418"/>
    <w:rsid w:val="00A16E0C"/>
    <w:rsid w:val="00A173BD"/>
    <w:rsid w:val="00A20028"/>
    <w:rsid w:val="00A20784"/>
    <w:rsid w:val="00A22651"/>
    <w:rsid w:val="00A23412"/>
    <w:rsid w:val="00A23967"/>
    <w:rsid w:val="00A24C61"/>
    <w:rsid w:val="00A2680D"/>
    <w:rsid w:val="00A272BC"/>
    <w:rsid w:val="00A31897"/>
    <w:rsid w:val="00A323E6"/>
    <w:rsid w:val="00A33D0E"/>
    <w:rsid w:val="00A345E1"/>
    <w:rsid w:val="00A3555F"/>
    <w:rsid w:val="00A37739"/>
    <w:rsid w:val="00A37D74"/>
    <w:rsid w:val="00A4030B"/>
    <w:rsid w:val="00A41B98"/>
    <w:rsid w:val="00A42159"/>
    <w:rsid w:val="00A423E7"/>
    <w:rsid w:val="00A42BD2"/>
    <w:rsid w:val="00A42CAA"/>
    <w:rsid w:val="00A45B73"/>
    <w:rsid w:val="00A46B32"/>
    <w:rsid w:val="00A5053F"/>
    <w:rsid w:val="00A52060"/>
    <w:rsid w:val="00A5226D"/>
    <w:rsid w:val="00A52270"/>
    <w:rsid w:val="00A53FEF"/>
    <w:rsid w:val="00A5450D"/>
    <w:rsid w:val="00A56B73"/>
    <w:rsid w:val="00A60CA2"/>
    <w:rsid w:val="00A66CF8"/>
    <w:rsid w:val="00A7093B"/>
    <w:rsid w:val="00A727D8"/>
    <w:rsid w:val="00A732F7"/>
    <w:rsid w:val="00A74804"/>
    <w:rsid w:val="00A753A3"/>
    <w:rsid w:val="00A76597"/>
    <w:rsid w:val="00A76F3E"/>
    <w:rsid w:val="00A776FB"/>
    <w:rsid w:val="00A77C2B"/>
    <w:rsid w:val="00A80F86"/>
    <w:rsid w:val="00A81083"/>
    <w:rsid w:val="00A8357F"/>
    <w:rsid w:val="00A84835"/>
    <w:rsid w:val="00A87A26"/>
    <w:rsid w:val="00A9083B"/>
    <w:rsid w:val="00A94BF1"/>
    <w:rsid w:val="00A95F0F"/>
    <w:rsid w:val="00A97B44"/>
    <w:rsid w:val="00AA00C6"/>
    <w:rsid w:val="00AA0EBC"/>
    <w:rsid w:val="00AA0ED6"/>
    <w:rsid w:val="00AA50C0"/>
    <w:rsid w:val="00AA6FF7"/>
    <w:rsid w:val="00AB2006"/>
    <w:rsid w:val="00AB5D10"/>
    <w:rsid w:val="00AB64A7"/>
    <w:rsid w:val="00AB729C"/>
    <w:rsid w:val="00AC10CE"/>
    <w:rsid w:val="00AC22D3"/>
    <w:rsid w:val="00AC369B"/>
    <w:rsid w:val="00AC435E"/>
    <w:rsid w:val="00AC4480"/>
    <w:rsid w:val="00AC4A58"/>
    <w:rsid w:val="00AC6013"/>
    <w:rsid w:val="00AC705D"/>
    <w:rsid w:val="00AD10D0"/>
    <w:rsid w:val="00AD2BF3"/>
    <w:rsid w:val="00AD308C"/>
    <w:rsid w:val="00AD485C"/>
    <w:rsid w:val="00AD4D46"/>
    <w:rsid w:val="00AD4FFF"/>
    <w:rsid w:val="00AD55D6"/>
    <w:rsid w:val="00AD6449"/>
    <w:rsid w:val="00AD6BFE"/>
    <w:rsid w:val="00AD7AC5"/>
    <w:rsid w:val="00AE0E56"/>
    <w:rsid w:val="00AE649A"/>
    <w:rsid w:val="00AE67C1"/>
    <w:rsid w:val="00AE79D5"/>
    <w:rsid w:val="00AF0C98"/>
    <w:rsid w:val="00AF3EEA"/>
    <w:rsid w:val="00AF43EA"/>
    <w:rsid w:val="00AF5935"/>
    <w:rsid w:val="00AF6042"/>
    <w:rsid w:val="00AF6DF2"/>
    <w:rsid w:val="00AF736E"/>
    <w:rsid w:val="00B00594"/>
    <w:rsid w:val="00B007AC"/>
    <w:rsid w:val="00B0100F"/>
    <w:rsid w:val="00B03300"/>
    <w:rsid w:val="00B04E20"/>
    <w:rsid w:val="00B07ABC"/>
    <w:rsid w:val="00B1278E"/>
    <w:rsid w:val="00B1402F"/>
    <w:rsid w:val="00B15D5A"/>
    <w:rsid w:val="00B16047"/>
    <w:rsid w:val="00B1650F"/>
    <w:rsid w:val="00B17C19"/>
    <w:rsid w:val="00B17D4C"/>
    <w:rsid w:val="00B21B27"/>
    <w:rsid w:val="00B22A52"/>
    <w:rsid w:val="00B23554"/>
    <w:rsid w:val="00B23CDF"/>
    <w:rsid w:val="00B24009"/>
    <w:rsid w:val="00B240AD"/>
    <w:rsid w:val="00B25F33"/>
    <w:rsid w:val="00B272F1"/>
    <w:rsid w:val="00B27BE9"/>
    <w:rsid w:val="00B30D14"/>
    <w:rsid w:val="00B30DEC"/>
    <w:rsid w:val="00B31C49"/>
    <w:rsid w:val="00B332D8"/>
    <w:rsid w:val="00B34800"/>
    <w:rsid w:val="00B3518D"/>
    <w:rsid w:val="00B3748F"/>
    <w:rsid w:val="00B37ED1"/>
    <w:rsid w:val="00B40165"/>
    <w:rsid w:val="00B41EFC"/>
    <w:rsid w:val="00B42B40"/>
    <w:rsid w:val="00B43191"/>
    <w:rsid w:val="00B43793"/>
    <w:rsid w:val="00B43F93"/>
    <w:rsid w:val="00B4467F"/>
    <w:rsid w:val="00B45215"/>
    <w:rsid w:val="00B45E80"/>
    <w:rsid w:val="00B46537"/>
    <w:rsid w:val="00B517CD"/>
    <w:rsid w:val="00B53D7B"/>
    <w:rsid w:val="00B5419B"/>
    <w:rsid w:val="00B62E7F"/>
    <w:rsid w:val="00B6335A"/>
    <w:rsid w:val="00B650F1"/>
    <w:rsid w:val="00B66E8B"/>
    <w:rsid w:val="00B71BA1"/>
    <w:rsid w:val="00B72E88"/>
    <w:rsid w:val="00B73513"/>
    <w:rsid w:val="00B73EA1"/>
    <w:rsid w:val="00B74DDA"/>
    <w:rsid w:val="00B762E2"/>
    <w:rsid w:val="00B76412"/>
    <w:rsid w:val="00B77613"/>
    <w:rsid w:val="00B81995"/>
    <w:rsid w:val="00B81CDA"/>
    <w:rsid w:val="00B81EBB"/>
    <w:rsid w:val="00B83697"/>
    <w:rsid w:val="00B84E9B"/>
    <w:rsid w:val="00B85035"/>
    <w:rsid w:val="00B87575"/>
    <w:rsid w:val="00B91093"/>
    <w:rsid w:val="00B914A4"/>
    <w:rsid w:val="00B93BEE"/>
    <w:rsid w:val="00B9421B"/>
    <w:rsid w:val="00B95321"/>
    <w:rsid w:val="00B969C6"/>
    <w:rsid w:val="00BA023A"/>
    <w:rsid w:val="00BA02F7"/>
    <w:rsid w:val="00BA5D99"/>
    <w:rsid w:val="00BA6559"/>
    <w:rsid w:val="00BB0FB2"/>
    <w:rsid w:val="00BB361C"/>
    <w:rsid w:val="00BB3638"/>
    <w:rsid w:val="00BB4586"/>
    <w:rsid w:val="00BC0A40"/>
    <w:rsid w:val="00BC2CF4"/>
    <w:rsid w:val="00BC405B"/>
    <w:rsid w:val="00BC59B6"/>
    <w:rsid w:val="00BC5BC2"/>
    <w:rsid w:val="00BC63C9"/>
    <w:rsid w:val="00BD0521"/>
    <w:rsid w:val="00BD08E0"/>
    <w:rsid w:val="00BD25C0"/>
    <w:rsid w:val="00BD345B"/>
    <w:rsid w:val="00BD5401"/>
    <w:rsid w:val="00BD6BB2"/>
    <w:rsid w:val="00BD714F"/>
    <w:rsid w:val="00BD7978"/>
    <w:rsid w:val="00BE2722"/>
    <w:rsid w:val="00BE2F53"/>
    <w:rsid w:val="00BE3A6D"/>
    <w:rsid w:val="00BE5A8D"/>
    <w:rsid w:val="00BE74F8"/>
    <w:rsid w:val="00BF2718"/>
    <w:rsid w:val="00BF345D"/>
    <w:rsid w:val="00BF3BEA"/>
    <w:rsid w:val="00BF633F"/>
    <w:rsid w:val="00BF6D9E"/>
    <w:rsid w:val="00C001A1"/>
    <w:rsid w:val="00C020BA"/>
    <w:rsid w:val="00C02ACA"/>
    <w:rsid w:val="00C02B99"/>
    <w:rsid w:val="00C031A9"/>
    <w:rsid w:val="00C04C0D"/>
    <w:rsid w:val="00C058D0"/>
    <w:rsid w:val="00C11ECA"/>
    <w:rsid w:val="00C131A5"/>
    <w:rsid w:val="00C13413"/>
    <w:rsid w:val="00C13462"/>
    <w:rsid w:val="00C135FD"/>
    <w:rsid w:val="00C13F0A"/>
    <w:rsid w:val="00C14A48"/>
    <w:rsid w:val="00C151F8"/>
    <w:rsid w:val="00C218A3"/>
    <w:rsid w:val="00C22818"/>
    <w:rsid w:val="00C22C92"/>
    <w:rsid w:val="00C22EFF"/>
    <w:rsid w:val="00C2502C"/>
    <w:rsid w:val="00C254AF"/>
    <w:rsid w:val="00C2601E"/>
    <w:rsid w:val="00C26037"/>
    <w:rsid w:val="00C26D06"/>
    <w:rsid w:val="00C2740F"/>
    <w:rsid w:val="00C27D90"/>
    <w:rsid w:val="00C300B6"/>
    <w:rsid w:val="00C31ACD"/>
    <w:rsid w:val="00C31DFF"/>
    <w:rsid w:val="00C34133"/>
    <w:rsid w:val="00C34CAA"/>
    <w:rsid w:val="00C3550F"/>
    <w:rsid w:val="00C41ED0"/>
    <w:rsid w:val="00C42145"/>
    <w:rsid w:val="00C42DCD"/>
    <w:rsid w:val="00C43945"/>
    <w:rsid w:val="00C43DF3"/>
    <w:rsid w:val="00C4435F"/>
    <w:rsid w:val="00C46F39"/>
    <w:rsid w:val="00C471F6"/>
    <w:rsid w:val="00C476D2"/>
    <w:rsid w:val="00C47AD4"/>
    <w:rsid w:val="00C47FA6"/>
    <w:rsid w:val="00C500C1"/>
    <w:rsid w:val="00C50BD3"/>
    <w:rsid w:val="00C52AD1"/>
    <w:rsid w:val="00C53165"/>
    <w:rsid w:val="00C53323"/>
    <w:rsid w:val="00C535DB"/>
    <w:rsid w:val="00C554AC"/>
    <w:rsid w:val="00C56872"/>
    <w:rsid w:val="00C6434A"/>
    <w:rsid w:val="00C664B9"/>
    <w:rsid w:val="00C669C7"/>
    <w:rsid w:val="00C70712"/>
    <w:rsid w:val="00C72DBD"/>
    <w:rsid w:val="00C75621"/>
    <w:rsid w:val="00C76A9F"/>
    <w:rsid w:val="00C77CC4"/>
    <w:rsid w:val="00C80075"/>
    <w:rsid w:val="00C81294"/>
    <w:rsid w:val="00C815E8"/>
    <w:rsid w:val="00C81E24"/>
    <w:rsid w:val="00C825BA"/>
    <w:rsid w:val="00C83193"/>
    <w:rsid w:val="00C83633"/>
    <w:rsid w:val="00C902FC"/>
    <w:rsid w:val="00C93695"/>
    <w:rsid w:val="00C94FD0"/>
    <w:rsid w:val="00C95454"/>
    <w:rsid w:val="00C970CD"/>
    <w:rsid w:val="00C97643"/>
    <w:rsid w:val="00CA159D"/>
    <w:rsid w:val="00CA26F6"/>
    <w:rsid w:val="00CA3BAE"/>
    <w:rsid w:val="00CA7837"/>
    <w:rsid w:val="00CA787C"/>
    <w:rsid w:val="00CB13E8"/>
    <w:rsid w:val="00CB18C9"/>
    <w:rsid w:val="00CB2E2E"/>
    <w:rsid w:val="00CB43B8"/>
    <w:rsid w:val="00CB4643"/>
    <w:rsid w:val="00CB58C5"/>
    <w:rsid w:val="00CB5F8E"/>
    <w:rsid w:val="00CB64C3"/>
    <w:rsid w:val="00CB679B"/>
    <w:rsid w:val="00CB754F"/>
    <w:rsid w:val="00CB778E"/>
    <w:rsid w:val="00CB7FFA"/>
    <w:rsid w:val="00CC1D8C"/>
    <w:rsid w:val="00CC5879"/>
    <w:rsid w:val="00CC58BC"/>
    <w:rsid w:val="00CC6571"/>
    <w:rsid w:val="00CC6B60"/>
    <w:rsid w:val="00CD1518"/>
    <w:rsid w:val="00CD261D"/>
    <w:rsid w:val="00CD3B25"/>
    <w:rsid w:val="00CD428E"/>
    <w:rsid w:val="00CD5A80"/>
    <w:rsid w:val="00CE0797"/>
    <w:rsid w:val="00CE1AFB"/>
    <w:rsid w:val="00CE22C5"/>
    <w:rsid w:val="00CE31E7"/>
    <w:rsid w:val="00CE5742"/>
    <w:rsid w:val="00CE63E9"/>
    <w:rsid w:val="00CE69EC"/>
    <w:rsid w:val="00CF1C21"/>
    <w:rsid w:val="00CF2067"/>
    <w:rsid w:val="00CF2223"/>
    <w:rsid w:val="00CF35B0"/>
    <w:rsid w:val="00CF6C30"/>
    <w:rsid w:val="00CF75E5"/>
    <w:rsid w:val="00CF7DF1"/>
    <w:rsid w:val="00D000F4"/>
    <w:rsid w:val="00D001E5"/>
    <w:rsid w:val="00D01A42"/>
    <w:rsid w:val="00D03C05"/>
    <w:rsid w:val="00D05ACD"/>
    <w:rsid w:val="00D06377"/>
    <w:rsid w:val="00D064B7"/>
    <w:rsid w:val="00D112F9"/>
    <w:rsid w:val="00D11E00"/>
    <w:rsid w:val="00D1335B"/>
    <w:rsid w:val="00D15998"/>
    <w:rsid w:val="00D167EC"/>
    <w:rsid w:val="00D201D9"/>
    <w:rsid w:val="00D2130B"/>
    <w:rsid w:val="00D22B7C"/>
    <w:rsid w:val="00D22F60"/>
    <w:rsid w:val="00D23386"/>
    <w:rsid w:val="00D2642D"/>
    <w:rsid w:val="00D27A32"/>
    <w:rsid w:val="00D27AE0"/>
    <w:rsid w:val="00D27FFB"/>
    <w:rsid w:val="00D3248C"/>
    <w:rsid w:val="00D32A21"/>
    <w:rsid w:val="00D34195"/>
    <w:rsid w:val="00D35E7B"/>
    <w:rsid w:val="00D37698"/>
    <w:rsid w:val="00D40F3D"/>
    <w:rsid w:val="00D41361"/>
    <w:rsid w:val="00D42079"/>
    <w:rsid w:val="00D43BEB"/>
    <w:rsid w:val="00D445B5"/>
    <w:rsid w:val="00D45473"/>
    <w:rsid w:val="00D459A7"/>
    <w:rsid w:val="00D47A45"/>
    <w:rsid w:val="00D50A38"/>
    <w:rsid w:val="00D523D3"/>
    <w:rsid w:val="00D535EE"/>
    <w:rsid w:val="00D537C7"/>
    <w:rsid w:val="00D573ED"/>
    <w:rsid w:val="00D60DC4"/>
    <w:rsid w:val="00D61FB2"/>
    <w:rsid w:val="00D63F69"/>
    <w:rsid w:val="00D649D1"/>
    <w:rsid w:val="00D65957"/>
    <w:rsid w:val="00D66FE9"/>
    <w:rsid w:val="00D67AA9"/>
    <w:rsid w:val="00D70683"/>
    <w:rsid w:val="00D71026"/>
    <w:rsid w:val="00D727A2"/>
    <w:rsid w:val="00D72BF5"/>
    <w:rsid w:val="00D75B11"/>
    <w:rsid w:val="00D776A7"/>
    <w:rsid w:val="00D81FB7"/>
    <w:rsid w:val="00D82697"/>
    <w:rsid w:val="00D83393"/>
    <w:rsid w:val="00D844A4"/>
    <w:rsid w:val="00D84F93"/>
    <w:rsid w:val="00D85386"/>
    <w:rsid w:val="00D857A9"/>
    <w:rsid w:val="00D86939"/>
    <w:rsid w:val="00D872CB"/>
    <w:rsid w:val="00D915C6"/>
    <w:rsid w:val="00D94A62"/>
    <w:rsid w:val="00D94AC8"/>
    <w:rsid w:val="00D95CF0"/>
    <w:rsid w:val="00D97206"/>
    <w:rsid w:val="00DA07CB"/>
    <w:rsid w:val="00DA392E"/>
    <w:rsid w:val="00DA52CB"/>
    <w:rsid w:val="00DA7CA4"/>
    <w:rsid w:val="00DB2D36"/>
    <w:rsid w:val="00DB4EC1"/>
    <w:rsid w:val="00DB4FDE"/>
    <w:rsid w:val="00DB51F0"/>
    <w:rsid w:val="00DB53B7"/>
    <w:rsid w:val="00DB5A68"/>
    <w:rsid w:val="00DC03FF"/>
    <w:rsid w:val="00DC231D"/>
    <w:rsid w:val="00DC2F0C"/>
    <w:rsid w:val="00DC3E53"/>
    <w:rsid w:val="00DC3FF4"/>
    <w:rsid w:val="00DC6168"/>
    <w:rsid w:val="00DC715A"/>
    <w:rsid w:val="00DD0308"/>
    <w:rsid w:val="00DD0A3A"/>
    <w:rsid w:val="00DD1827"/>
    <w:rsid w:val="00DD3900"/>
    <w:rsid w:val="00DD5EE3"/>
    <w:rsid w:val="00DE06B1"/>
    <w:rsid w:val="00DE084D"/>
    <w:rsid w:val="00DE09A9"/>
    <w:rsid w:val="00DE0E6F"/>
    <w:rsid w:val="00DE1715"/>
    <w:rsid w:val="00DE47AF"/>
    <w:rsid w:val="00DE563D"/>
    <w:rsid w:val="00DE57E0"/>
    <w:rsid w:val="00DE6070"/>
    <w:rsid w:val="00DE69BB"/>
    <w:rsid w:val="00DE6A03"/>
    <w:rsid w:val="00DF0B11"/>
    <w:rsid w:val="00DF1322"/>
    <w:rsid w:val="00DF1B8F"/>
    <w:rsid w:val="00DF3EA9"/>
    <w:rsid w:val="00DF3EC0"/>
    <w:rsid w:val="00DF461B"/>
    <w:rsid w:val="00DF52CE"/>
    <w:rsid w:val="00DF6817"/>
    <w:rsid w:val="00DF68B1"/>
    <w:rsid w:val="00DF7FE8"/>
    <w:rsid w:val="00E01D86"/>
    <w:rsid w:val="00E02876"/>
    <w:rsid w:val="00E055A2"/>
    <w:rsid w:val="00E11150"/>
    <w:rsid w:val="00E11E41"/>
    <w:rsid w:val="00E1245E"/>
    <w:rsid w:val="00E128BB"/>
    <w:rsid w:val="00E15E1B"/>
    <w:rsid w:val="00E2174A"/>
    <w:rsid w:val="00E218BB"/>
    <w:rsid w:val="00E24F0D"/>
    <w:rsid w:val="00E25FC7"/>
    <w:rsid w:val="00E26446"/>
    <w:rsid w:val="00E27035"/>
    <w:rsid w:val="00E27BEB"/>
    <w:rsid w:val="00E301D1"/>
    <w:rsid w:val="00E31CF7"/>
    <w:rsid w:val="00E3560F"/>
    <w:rsid w:val="00E35F5A"/>
    <w:rsid w:val="00E36334"/>
    <w:rsid w:val="00E42AD3"/>
    <w:rsid w:val="00E44873"/>
    <w:rsid w:val="00E45423"/>
    <w:rsid w:val="00E4585C"/>
    <w:rsid w:val="00E45C25"/>
    <w:rsid w:val="00E45C3C"/>
    <w:rsid w:val="00E47EA8"/>
    <w:rsid w:val="00E50BEF"/>
    <w:rsid w:val="00E50F5E"/>
    <w:rsid w:val="00E5188F"/>
    <w:rsid w:val="00E55073"/>
    <w:rsid w:val="00E5571E"/>
    <w:rsid w:val="00E60657"/>
    <w:rsid w:val="00E61ABE"/>
    <w:rsid w:val="00E6240C"/>
    <w:rsid w:val="00E65758"/>
    <w:rsid w:val="00E70296"/>
    <w:rsid w:val="00E7158D"/>
    <w:rsid w:val="00E71B57"/>
    <w:rsid w:val="00E71B65"/>
    <w:rsid w:val="00E71C44"/>
    <w:rsid w:val="00E72D40"/>
    <w:rsid w:val="00E736BD"/>
    <w:rsid w:val="00E753D1"/>
    <w:rsid w:val="00E75ED9"/>
    <w:rsid w:val="00E76E7B"/>
    <w:rsid w:val="00E80672"/>
    <w:rsid w:val="00E820C1"/>
    <w:rsid w:val="00E83060"/>
    <w:rsid w:val="00E855C4"/>
    <w:rsid w:val="00E86184"/>
    <w:rsid w:val="00E86C0C"/>
    <w:rsid w:val="00E916C1"/>
    <w:rsid w:val="00E94059"/>
    <w:rsid w:val="00E957AA"/>
    <w:rsid w:val="00E97B02"/>
    <w:rsid w:val="00EA0531"/>
    <w:rsid w:val="00EA0538"/>
    <w:rsid w:val="00EA1AED"/>
    <w:rsid w:val="00EA3D17"/>
    <w:rsid w:val="00EA5BC7"/>
    <w:rsid w:val="00EA776F"/>
    <w:rsid w:val="00EB1863"/>
    <w:rsid w:val="00EB2238"/>
    <w:rsid w:val="00EB5001"/>
    <w:rsid w:val="00EB63BB"/>
    <w:rsid w:val="00EB7CA6"/>
    <w:rsid w:val="00EC0651"/>
    <w:rsid w:val="00EC2160"/>
    <w:rsid w:val="00EC27C7"/>
    <w:rsid w:val="00EC2E04"/>
    <w:rsid w:val="00EC7E6B"/>
    <w:rsid w:val="00ED176A"/>
    <w:rsid w:val="00ED3361"/>
    <w:rsid w:val="00ED56FB"/>
    <w:rsid w:val="00EE2653"/>
    <w:rsid w:val="00EE343C"/>
    <w:rsid w:val="00EE46CA"/>
    <w:rsid w:val="00EE783D"/>
    <w:rsid w:val="00EF0BE0"/>
    <w:rsid w:val="00EF0FF7"/>
    <w:rsid w:val="00EF2603"/>
    <w:rsid w:val="00EF2B4D"/>
    <w:rsid w:val="00EF32C2"/>
    <w:rsid w:val="00EF3F40"/>
    <w:rsid w:val="00EF5676"/>
    <w:rsid w:val="00EF5D92"/>
    <w:rsid w:val="00EF7136"/>
    <w:rsid w:val="00F01D3A"/>
    <w:rsid w:val="00F04FB5"/>
    <w:rsid w:val="00F05194"/>
    <w:rsid w:val="00F11FE8"/>
    <w:rsid w:val="00F127C1"/>
    <w:rsid w:val="00F12815"/>
    <w:rsid w:val="00F14576"/>
    <w:rsid w:val="00F16BFC"/>
    <w:rsid w:val="00F2379B"/>
    <w:rsid w:val="00F239C2"/>
    <w:rsid w:val="00F23B0A"/>
    <w:rsid w:val="00F23D12"/>
    <w:rsid w:val="00F260E9"/>
    <w:rsid w:val="00F262D6"/>
    <w:rsid w:val="00F27C73"/>
    <w:rsid w:val="00F311C9"/>
    <w:rsid w:val="00F31A24"/>
    <w:rsid w:val="00F31CEB"/>
    <w:rsid w:val="00F326F1"/>
    <w:rsid w:val="00F32D9A"/>
    <w:rsid w:val="00F33DB1"/>
    <w:rsid w:val="00F33F3F"/>
    <w:rsid w:val="00F352DF"/>
    <w:rsid w:val="00F377C6"/>
    <w:rsid w:val="00F40AE8"/>
    <w:rsid w:val="00F41B37"/>
    <w:rsid w:val="00F45446"/>
    <w:rsid w:val="00F45E17"/>
    <w:rsid w:val="00F4610D"/>
    <w:rsid w:val="00F46901"/>
    <w:rsid w:val="00F50605"/>
    <w:rsid w:val="00F51672"/>
    <w:rsid w:val="00F52190"/>
    <w:rsid w:val="00F53D93"/>
    <w:rsid w:val="00F53F78"/>
    <w:rsid w:val="00F54AB0"/>
    <w:rsid w:val="00F55867"/>
    <w:rsid w:val="00F5756B"/>
    <w:rsid w:val="00F62909"/>
    <w:rsid w:val="00F649C9"/>
    <w:rsid w:val="00F66A6C"/>
    <w:rsid w:val="00F67D6A"/>
    <w:rsid w:val="00F70141"/>
    <w:rsid w:val="00F719E5"/>
    <w:rsid w:val="00F739BE"/>
    <w:rsid w:val="00F74840"/>
    <w:rsid w:val="00F75ACB"/>
    <w:rsid w:val="00F7694E"/>
    <w:rsid w:val="00F83DCD"/>
    <w:rsid w:val="00F871E3"/>
    <w:rsid w:val="00F87918"/>
    <w:rsid w:val="00F937F1"/>
    <w:rsid w:val="00F9381E"/>
    <w:rsid w:val="00F952A2"/>
    <w:rsid w:val="00F95DE6"/>
    <w:rsid w:val="00F96AF8"/>
    <w:rsid w:val="00F96FB9"/>
    <w:rsid w:val="00FA091E"/>
    <w:rsid w:val="00FA0A55"/>
    <w:rsid w:val="00FA186B"/>
    <w:rsid w:val="00FA3B09"/>
    <w:rsid w:val="00FA3E1C"/>
    <w:rsid w:val="00FA3ECE"/>
    <w:rsid w:val="00FA4B32"/>
    <w:rsid w:val="00FA5512"/>
    <w:rsid w:val="00FA6BA3"/>
    <w:rsid w:val="00FA7892"/>
    <w:rsid w:val="00FA7D22"/>
    <w:rsid w:val="00FB13AF"/>
    <w:rsid w:val="00FB2905"/>
    <w:rsid w:val="00FB2D91"/>
    <w:rsid w:val="00FB4DCC"/>
    <w:rsid w:val="00FB65D0"/>
    <w:rsid w:val="00FC1DF4"/>
    <w:rsid w:val="00FC3C8C"/>
    <w:rsid w:val="00FC49AA"/>
    <w:rsid w:val="00FC5118"/>
    <w:rsid w:val="00FD0428"/>
    <w:rsid w:val="00FD217E"/>
    <w:rsid w:val="00FD2FFC"/>
    <w:rsid w:val="00FD335A"/>
    <w:rsid w:val="00FD4D7F"/>
    <w:rsid w:val="00FD536F"/>
    <w:rsid w:val="00FD5D2A"/>
    <w:rsid w:val="00FE1172"/>
    <w:rsid w:val="00FE524E"/>
    <w:rsid w:val="00FF2FC7"/>
    <w:rsid w:val="00FF34DF"/>
    <w:rsid w:val="00FF67F9"/>
    <w:rsid w:val="00FF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03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4A"/>
    <w:rPr>
      <w:sz w:val="24"/>
      <w:szCs w:val="24"/>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sz w:val="24"/>
      <w:szCs w:val="24"/>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4A"/>
    <w:rPr>
      <w:sz w:val="24"/>
      <w:szCs w:val="24"/>
      <w:lang w:val="en-US" w:eastAsia="en-US"/>
    </w:rPr>
  </w:style>
  <w:style w:type="paragraph" w:styleId="Heading1">
    <w:name w:val="heading 1"/>
    <w:basedOn w:val="Normal"/>
    <w:next w:val="Normal"/>
    <w:link w:val="Heading1Char"/>
    <w:qFormat/>
    <w:rsid w:val="00DC3F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D63F69"/>
    <w:pPr>
      <w:keepNext/>
      <w:jc w:val="right"/>
      <w:outlineLvl w:val="2"/>
    </w:pPr>
    <w:rPr>
      <w:rFonts w:ascii="Garamond" w:eastAsia="Times New Roman" w:hAnsi="Garamond"/>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6CF8"/>
    <w:pPr>
      <w:spacing w:before="100" w:beforeAutospacing="1" w:after="100" w:afterAutospacing="1"/>
    </w:pPr>
    <w:rPr>
      <w:rFonts w:ascii="Gulim" w:eastAsia="Gulim" w:hAnsi="Gulim" w:cs="Gulim"/>
      <w:lang w:eastAsia="ko-KR"/>
    </w:rPr>
  </w:style>
  <w:style w:type="paragraph" w:styleId="BalloonText">
    <w:name w:val="Balloon Text"/>
    <w:basedOn w:val="Normal"/>
    <w:semiHidden/>
    <w:rsid w:val="00E45C25"/>
    <w:rPr>
      <w:rFonts w:ascii="Arial" w:eastAsia="Dotum" w:hAnsi="Arial"/>
      <w:sz w:val="18"/>
      <w:szCs w:val="18"/>
    </w:rPr>
  </w:style>
  <w:style w:type="paragraph" w:styleId="Footer">
    <w:name w:val="footer"/>
    <w:basedOn w:val="Normal"/>
    <w:rsid w:val="006F4F21"/>
    <w:pPr>
      <w:tabs>
        <w:tab w:val="center" w:pos="4320"/>
        <w:tab w:val="right" w:pos="8640"/>
      </w:tabs>
    </w:pPr>
  </w:style>
  <w:style w:type="character" w:styleId="PageNumber">
    <w:name w:val="page number"/>
    <w:basedOn w:val="DefaultParagraphFont"/>
    <w:rsid w:val="006F4F21"/>
  </w:style>
  <w:style w:type="character" w:styleId="CommentReference">
    <w:name w:val="annotation reference"/>
    <w:semiHidden/>
    <w:rsid w:val="001F2842"/>
    <w:rPr>
      <w:sz w:val="16"/>
      <w:szCs w:val="16"/>
    </w:rPr>
  </w:style>
  <w:style w:type="paragraph" w:styleId="CommentText">
    <w:name w:val="annotation text"/>
    <w:basedOn w:val="Normal"/>
    <w:semiHidden/>
    <w:rsid w:val="001F2842"/>
    <w:rPr>
      <w:sz w:val="20"/>
      <w:szCs w:val="20"/>
    </w:rPr>
  </w:style>
  <w:style w:type="paragraph" w:styleId="CommentSubject">
    <w:name w:val="annotation subject"/>
    <w:basedOn w:val="CommentText"/>
    <w:next w:val="CommentText"/>
    <w:semiHidden/>
    <w:rsid w:val="001F2842"/>
    <w:rPr>
      <w:b/>
      <w:bCs/>
    </w:rPr>
  </w:style>
  <w:style w:type="paragraph" w:styleId="FootnoteText">
    <w:name w:val="footnote text"/>
    <w:basedOn w:val="Normal"/>
    <w:semiHidden/>
    <w:rsid w:val="00C22C92"/>
    <w:rPr>
      <w:sz w:val="20"/>
      <w:szCs w:val="20"/>
    </w:rPr>
  </w:style>
  <w:style w:type="character" w:styleId="FootnoteReference">
    <w:name w:val="footnote reference"/>
    <w:semiHidden/>
    <w:rsid w:val="00C22C92"/>
    <w:rPr>
      <w:vertAlign w:val="superscript"/>
    </w:rPr>
  </w:style>
  <w:style w:type="paragraph" w:styleId="Header">
    <w:name w:val="header"/>
    <w:basedOn w:val="Normal"/>
    <w:rsid w:val="002F381C"/>
    <w:pPr>
      <w:tabs>
        <w:tab w:val="center" w:pos="4320"/>
        <w:tab w:val="right" w:pos="8640"/>
      </w:tabs>
    </w:pPr>
  </w:style>
  <w:style w:type="paragraph" w:styleId="EndnoteText">
    <w:name w:val="endnote text"/>
    <w:basedOn w:val="Normal"/>
    <w:link w:val="EndnoteTextChar"/>
    <w:rsid w:val="00456EDA"/>
    <w:rPr>
      <w:sz w:val="20"/>
      <w:szCs w:val="20"/>
    </w:rPr>
  </w:style>
  <w:style w:type="character" w:customStyle="1" w:styleId="EndnoteTextChar">
    <w:name w:val="Endnote Text Char"/>
    <w:basedOn w:val="DefaultParagraphFont"/>
    <w:link w:val="EndnoteText"/>
    <w:rsid w:val="00456EDA"/>
  </w:style>
  <w:style w:type="character" w:styleId="EndnoteReference">
    <w:name w:val="endnote reference"/>
    <w:rsid w:val="00456EDA"/>
    <w:rPr>
      <w:vertAlign w:val="superscript"/>
    </w:rPr>
  </w:style>
  <w:style w:type="paragraph" w:customStyle="1" w:styleId="Default">
    <w:name w:val="Default"/>
    <w:basedOn w:val="Normal"/>
    <w:rsid w:val="00192AE5"/>
    <w:pPr>
      <w:autoSpaceDE w:val="0"/>
      <w:autoSpaceDN w:val="0"/>
    </w:pPr>
    <w:rPr>
      <w:rFonts w:ascii="Garamond" w:eastAsia="Calibri" w:hAnsi="Garamond"/>
      <w:color w:val="000000"/>
    </w:rPr>
  </w:style>
  <w:style w:type="table" w:styleId="TableGrid">
    <w:name w:val="Table Grid"/>
    <w:basedOn w:val="TableNormal"/>
    <w:uiPriority w:val="59"/>
    <w:rsid w:val="00896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1A1"/>
    <w:rPr>
      <w:sz w:val="24"/>
      <w:szCs w:val="24"/>
      <w:lang w:val="en-US" w:eastAsia="en-US"/>
    </w:rPr>
  </w:style>
  <w:style w:type="paragraph" w:styleId="ListParagraph">
    <w:name w:val="List Paragraph"/>
    <w:basedOn w:val="Normal"/>
    <w:uiPriority w:val="34"/>
    <w:qFormat/>
    <w:rsid w:val="0056312E"/>
    <w:pPr>
      <w:ind w:left="720"/>
      <w:contextualSpacing/>
    </w:pPr>
    <w:rPr>
      <w:rFonts w:eastAsia="Times New Roman"/>
      <w:szCs w:val="20"/>
      <w:lang w:val="en-GB"/>
    </w:rPr>
  </w:style>
  <w:style w:type="character" w:customStyle="1" w:styleId="MGfulltextChar">
    <w:name w:val="MG_fulltext Char"/>
    <w:basedOn w:val="DefaultParagraphFont"/>
    <w:link w:val="MGfulltext"/>
    <w:locked/>
    <w:rsid w:val="00BE2722"/>
    <w:rPr>
      <w:rFonts w:ascii="Arial" w:hAnsi="Arial" w:cs="Arial"/>
    </w:rPr>
  </w:style>
  <w:style w:type="paragraph" w:customStyle="1" w:styleId="MGfulltext">
    <w:name w:val="MG_fulltext"/>
    <w:basedOn w:val="Normal"/>
    <w:link w:val="MGfulltextChar"/>
    <w:rsid w:val="00BE2722"/>
    <w:pPr>
      <w:spacing w:after="120"/>
    </w:pPr>
    <w:rPr>
      <w:rFonts w:ascii="Arial" w:hAnsi="Arial" w:cs="Arial"/>
      <w:sz w:val="20"/>
      <w:szCs w:val="20"/>
      <w:lang w:val="en-GB" w:eastAsia="en-GB"/>
    </w:rPr>
  </w:style>
  <w:style w:type="character" w:customStyle="1" w:styleId="Heading1Char">
    <w:name w:val="Heading 1 Char"/>
    <w:basedOn w:val="DefaultParagraphFont"/>
    <w:link w:val="Heading1"/>
    <w:uiPriority w:val="9"/>
    <w:rsid w:val="00DC3FF4"/>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7593">
      <w:bodyDiv w:val="1"/>
      <w:marLeft w:val="0"/>
      <w:marRight w:val="0"/>
      <w:marTop w:val="0"/>
      <w:marBottom w:val="0"/>
      <w:divBdr>
        <w:top w:val="none" w:sz="0" w:space="0" w:color="auto"/>
        <w:left w:val="none" w:sz="0" w:space="0" w:color="auto"/>
        <w:bottom w:val="none" w:sz="0" w:space="0" w:color="auto"/>
        <w:right w:val="none" w:sz="0" w:space="0" w:color="auto"/>
      </w:divBdr>
    </w:div>
    <w:div w:id="124544497">
      <w:bodyDiv w:val="1"/>
      <w:marLeft w:val="0"/>
      <w:marRight w:val="0"/>
      <w:marTop w:val="0"/>
      <w:marBottom w:val="0"/>
      <w:divBdr>
        <w:top w:val="none" w:sz="0" w:space="0" w:color="auto"/>
        <w:left w:val="none" w:sz="0" w:space="0" w:color="auto"/>
        <w:bottom w:val="none" w:sz="0" w:space="0" w:color="auto"/>
        <w:right w:val="none" w:sz="0" w:space="0" w:color="auto"/>
      </w:divBdr>
    </w:div>
    <w:div w:id="174224025">
      <w:bodyDiv w:val="1"/>
      <w:marLeft w:val="0"/>
      <w:marRight w:val="0"/>
      <w:marTop w:val="0"/>
      <w:marBottom w:val="0"/>
      <w:divBdr>
        <w:top w:val="none" w:sz="0" w:space="0" w:color="auto"/>
        <w:left w:val="none" w:sz="0" w:space="0" w:color="auto"/>
        <w:bottom w:val="none" w:sz="0" w:space="0" w:color="auto"/>
        <w:right w:val="none" w:sz="0" w:space="0" w:color="auto"/>
      </w:divBdr>
    </w:div>
    <w:div w:id="184636885">
      <w:bodyDiv w:val="1"/>
      <w:marLeft w:val="0"/>
      <w:marRight w:val="0"/>
      <w:marTop w:val="0"/>
      <w:marBottom w:val="0"/>
      <w:divBdr>
        <w:top w:val="none" w:sz="0" w:space="0" w:color="auto"/>
        <w:left w:val="none" w:sz="0" w:space="0" w:color="auto"/>
        <w:bottom w:val="none" w:sz="0" w:space="0" w:color="auto"/>
        <w:right w:val="none" w:sz="0" w:space="0" w:color="auto"/>
      </w:divBdr>
    </w:div>
    <w:div w:id="204218091">
      <w:bodyDiv w:val="1"/>
      <w:marLeft w:val="0"/>
      <w:marRight w:val="0"/>
      <w:marTop w:val="0"/>
      <w:marBottom w:val="0"/>
      <w:divBdr>
        <w:top w:val="none" w:sz="0" w:space="0" w:color="auto"/>
        <w:left w:val="none" w:sz="0" w:space="0" w:color="auto"/>
        <w:bottom w:val="none" w:sz="0" w:space="0" w:color="auto"/>
        <w:right w:val="none" w:sz="0" w:space="0" w:color="auto"/>
      </w:divBdr>
    </w:div>
    <w:div w:id="225918885">
      <w:bodyDiv w:val="1"/>
      <w:marLeft w:val="0"/>
      <w:marRight w:val="0"/>
      <w:marTop w:val="0"/>
      <w:marBottom w:val="0"/>
      <w:divBdr>
        <w:top w:val="none" w:sz="0" w:space="0" w:color="auto"/>
        <w:left w:val="none" w:sz="0" w:space="0" w:color="auto"/>
        <w:bottom w:val="none" w:sz="0" w:space="0" w:color="auto"/>
        <w:right w:val="none" w:sz="0" w:space="0" w:color="auto"/>
      </w:divBdr>
    </w:div>
    <w:div w:id="239681316">
      <w:bodyDiv w:val="1"/>
      <w:marLeft w:val="0"/>
      <w:marRight w:val="0"/>
      <w:marTop w:val="0"/>
      <w:marBottom w:val="0"/>
      <w:divBdr>
        <w:top w:val="none" w:sz="0" w:space="0" w:color="auto"/>
        <w:left w:val="none" w:sz="0" w:space="0" w:color="auto"/>
        <w:bottom w:val="none" w:sz="0" w:space="0" w:color="auto"/>
        <w:right w:val="none" w:sz="0" w:space="0" w:color="auto"/>
      </w:divBdr>
    </w:div>
    <w:div w:id="285239940">
      <w:bodyDiv w:val="1"/>
      <w:marLeft w:val="0"/>
      <w:marRight w:val="0"/>
      <w:marTop w:val="0"/>
      <w:marBottom w:val="0"/>
      <w:divBdr>
        <w:top w:val="none" w:sz="0" w:space="0" w:color="auto"/>
        <w:left w:val="none" w:sz="0" w:space="0" w:color="auto"/>
        <w:bottom w:val="none" w:sz="0" w:space="0" w:color="auto"/>
        <w:right w:val="none" w:sz="0" w:space="0" w:color="auto"/>
      </w:divBdr>
    </w:div>
    <w:div w:id="357586202">
      <w:bodyDiv w:val="1"/>
      <w:marLeft w:val="0"/>
      <w:marRight w:val="0"/>
      <w:marTop w:val="0"/>
      <w:marBottom w:val="0"/>
      <w:divBdr>
        <w:top w:val="none" w:sz="0" w:space="0" w:color="auto"/>
        <w:left w:val="none" w:sz="0" w:space="0" w:color="auto"/>
        <w:bottom w:val="none" w:sz="0" w:space="0" w:color="auto"/>
        <w:right w:val="none" w:sz="0" w:space="0" w:color="auto"/>
      </w:divBdr>
    </w:div>
    <w:div w:id="373500709">
      <w:bodyDiv w:val="1"/>
      <w:marLeft w:val="0"/>
      <w:marRight w:val="0"/>
      <w:marTop w:val="0"/>
      <w:marBottom w:val="0"/>
      <w:divBdr>
        <w:top w:val="none" w:sz="0" w:space="0" w:color="auto"/>
        <w:left w:val="none" w:sz="0" w:space="0" w:color="auto"/>
        <w:bottom w:val="none" w:sz="0" w:space="0" w:color="auto"/>
        <w:right w:val="none" w:sz="0" w:space="0" w:color="auto"/>
      </w:divBdr>
    </w:div>
    <w:div w:id="386997624">
      <w:bodyDiv w:val="1"/>
      <w:marLeft w:val="0"/>
      <w:marRight w:val="0"/>
      <w:marTop w:val="0"/>
      <w:marBottom w:val="0"/>
      <w:divBdr>
        <w:top w:val="none" w:sz="0" w:space="0" w:color="auto"/>
        <w:left w:val="none" w:sz="0" w:space="0" w:color="auto"/>
        <w:bottom w:val="none" w:sz="0" w:space="0" w:color="auto"/>
        <w:right w:val="none" w:sz="0" w:space="0" w:color="auto"/>
      </w:divBdr>
    </w:div>
    <w:div w:id="390739292">
      <w:bodyDiv w:val="1"/>
      <w:marLeft w:val="0"/>
      <w:marRight w:val="0"/>
      <w:marTop w:val="0"/>
      <w:marBottom w:val="0"/>
      <w:divBdr>
        <w:top w:val="none" w:sz="0" w:space="0" w:color="auto"/>
        <w:left w:val="none" w:sz="0" w:space="0" w:color="auto"/>
        <w:bottom w:val="none" w:sz="0" w:space="0" w:color="auto"/>
        <w:right w:val="none" w:sz="0" w:space="0" w:color="auto"/>
      </w:divBdr>
    </w:div>
    <w:div w:id="435566693">
      <w:bodyDiv w:val="1"/>
      <w:marLeft w:val="0"/>
      <w:marRight w:val="0"/>
      <w:marTop w:val="0"/>
      <w:marBottom w:val="0"/>
      <w:divBdr>
        <w:top w:val="none" w:sz="0" w:space="0" w:color="auto"/>
        <w:left w:val="none" w:sz="0" w:space="0" w:color="auto"/>
        <w:bottom w:val="none" w:sz="0" w:space="0" w:color="auto"/>
        <w:right w:val="none" w:sz="0" w:space="0" w:color="auto"/>
      </w:divBdr>
    </w:div>
    <w:div w:id="465584268">
      <w:bodyDiv w:val="1"/>
      <w:marLeft w:val="0"/>
      <w:marRight w:val="0"/>
      <w:marTop w:val="0"/>
      <w:marBottom w:val="0"/>
      <w:divBdr>
        <w:top w:val="none" w:sz="0" w:space="0" w:color="auto"/>
        <w:left w:val="none" w:sz="0" w:space="0" w:color="auto"/>
        <w:bottom w:val="none" w:sz="0" w:space="0" w:color="auto"/>
        <w:right w:val="none" w:sz="0" w:space="0" w:color="auto"/>
      </w:divBdr>
    </w:div>
    <w:div w:id="468129572">
      <w:bodyDiv w:val="1"/>
      <w:marLeft w:val="0"/>
      <w:marRight w:val="0"/>
      <w:marTop w:val="0"/>
      <w:marBottom w:val="0"/>
      <w:divBdr>
        <w:top w:val="none" w:sz="0" w:space="0" w:color="auto"/>
        <w:left w:val="none" w:sz="0" w:space="0" w:color="auto"/>
        <w:bottom w:val="none" w:sz="0" w:space="0" w:color="auto"/>
        <w:right w:val="none" w:sz="0" w:space="0" w:color="auto"/>
      </w:divBdr>
    </w:div>
    <w:div w:id="517699185">
      <w:bodyDiv w:val="1"/>
      <w:marLeft w:val="0"/>
      <w:marRight w:val="0"/>
      <w:marTop w:val="0"/>
      <w:marBottom w:val="0"/>
      <w:divBdr>
        <w:top w:val="none" w:sz="0" w:space="0" w:color="auto"/>
        <w:left w:val="none" w:sz="0" w:space="0" w:color="auto"/>
        <w:bottom w:val="none" w:sz="0" w:space="0" w:color="auto"/>
        <w:right w:val="none" w:sz="0" w:space="0" w:color="auto"/>
      </w:divBdr>
    </w:div>
    <w:div w:id="546068164">
      <w:bodyDiv w:val="1"/>
      <w:marLeft w:val="0"/>
      <w:marRight w:val="0"/>
      <w:marTop w:val="0"/>
      <w:marBottom w:val="0"/>
      <w:divBdr>
        <w:top w:val="none" w:sz="0" w:space="0" w:color="auto"/>
        <w:left w:val="none" w:sz="0" w:space="0" w:color="auto"/>
        <w:bottom w:val="none" w:sz="0" w:space="0" w:color="auto"/>
        <w:right w:val="none" w:sz="0" w:space="0" w:color="auto"/>
      </w:divBdr>
    </w:div>
    <w:div w:id="587740169">
      <w:bodyDiv w:val="1"/>
      <w:marLeft w:val="0"/>
      <w:marRight w:val="0"/>
      <w:marTop w:val="0"/>
      <w:marBottom w:val="0"/>
      <w:divBdr>
        <w:top w:val="none" w:sz="0" w:space="0" w:color="auto"/>
        <w:left w:val="none" w:sz="0" w:space="0" w:color="auto"/>
        <w:bottom w:val="none" w:sz="0" w:space="0" w:color="auto"/>
        <w:right w:val="none" w:sz="0" w:space="0" w:color="auto"/>
      </w:divBdr>
    </w:div>
    <w:div w:id="619265530">
      <w:bodyDiv w:val="1"/>
      <w:marLeft w:val="0"/>
      <w:marRight w:val="0"/>
      <w:marTop w:val="0"/>
      <w:marBottom w:val="0"/>
      <w:divBdr>
        <w:top w:val="none" w:sz="0" w:space="0" w:color="auto"/>
        <w:left w:val="none" w:sz="0" w:space="0" w:color="auto"/>
        <w:bottom w:val="none" w:sz="0" w:space="0" w:color="auto"/>
        <w:right w:val="none" w:sz="0" w:space="0" w:color="auto"/>
      </w:divBdr>
    </w:div>
    <w:div w:id="629675086">
      <w:bodyDiv w:val="1"/>
      <w:marLeft w:val="0"/>
      <w:marRight w:val="0"/>
      <w:marTop w:val="0"/>
      <w:marBottom w:val="0"/>
      <w:divBdr>
        <w:top w:val="none" w:sz="0" w:space="0" w:color="auto"/>
        <w:left w:val="none" w:sz="0" w:space="0" w:color="auto"/>
        <w:bottom w:val="none" w:sz="0" w:space="0" w:color="auto"/>
        <w:right w:val="none" w:sz="0" w:space="0" w:color="auto"/>
      </w:divBdr>
    </w:div>
    <w:div w:id="710039118">
      <w:bodyDiv w:val="1"/>
      <w:marLeft w:val="0"/>
      <w:marRight w:val="0"/>
      <w:marTop w:val="0"/>
      <w:marBottom w:val="0"/>
      <w:divBdr>
        <w:top w:val="none" w:sz="0" w:space="0" w:color="auto"/>
        <w:left w:val="none" w:sz="0" w:space="0" w:color="auto"/>
        <w:bottom w:val="none" w:sz="0" w:space="0" w:color="auto"/>
        <w:right w:val="none" w:sz="0" w:space="0" w:color="auto"/>
      </w:divBdr>
    </w:div>
    <w:div w:id="711199332">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83697874">
      <w:bodyDiv w:val="1"/>
      <w:marLeft w:val="0"/>
      <w:marRight w:val="0"/>
      <w:marTop w:val="0"/>
      <w:marBottom w:val="0"/>
      <w:divBdr>
        <w:top w:val="none" w:sz="0" w:space="0" w:color="auto"/>
        <w:left w:val="none" w:sz="0" w:space="0" w:color="auto"/>
        <w:bottom w:val="none" w:sz="0" w:space="0" w:color="auto"/>
        <w:right w:val="none" w:sz="0" w:space="0" w:color="auto"/>
      </w:divBdr>
    </w:div>
    <w:div w:id="834341282">
      <w:bodyDiv w:val="1"/>
      <w:marLeft w:val="0"/>
      <w:marRight w:val="0"/>
      <w:marTop w:val="0"/>
      <w:marBottom w:val="0"/>
      <w:divBdr>
        <w:top w:val="none" w:sz="0" w:space="0" w:color="auto"/>
        <w:left w:val="none" w:sz="0" w:space="0" w:color="auto"/>
        <w:bottom w:val="none" w:sz="0" w:space="0" w:color="auto"/>
        <w:right w:val="none" w:sz="0" w:space="0" w:color="auto"/>
      </w:divBdr>
    </w:div>
    <w:div w:id="905916371">
      <w:bodyDiv w:val="1"/>
      <w:marLeft w:val="0"/>
      <w:marRight w:val="0"/>
      <w:marTop w:val="0"/>
      <w:marBottom w:val="0"/>
      <w:divBdr>
        <w:top w:val="none" w:sz="0" w:space="0" w:color="auto"/>
        <w:left w:val="none" w:sz="0" w:space="0" w:color="auto"/>
        <w:bottom w:val="none" w:sz="0" w:space="0" w:color="auto"/>
        <w:right w:val="none" w:sz="0" w:space="0" w:color="auto"/>
      </w:divBdr>
    </w:div>
    <w:div w:id="927929337">
      <w:bodyDiv w:val="1"/>
      <w:marLeft w:val="0"/>
      <w:marRight w:val="0"/>
      <w:marTop w:val="0"/>
      <w:marBottom w:val="0"/>
      <w:divBdr>
        <w:top w:val="none" w:sz="0" w:space="0" w:color="auto"/>
        <w:left w:val="none" w:sz="0" w:space="0" w:color="auto"/>
        <w:bottom w:val="none" w:sz="0" w:space="0" w:color="auto"/>
        <w:right w:val="none" w:sz="0" w:space="0" w:color="auto"/>
      </w:divBdr>
    </w:div>
    <w:div w:id="936332478">
      <w:bodyDiv w:val="1"/>
      <w:marLeft w:val="0"/>
      <w:marRight w:val="0"/>
      <w:marTop w:val="0"/>
      <w:marBottom w:val="0"/>
      <w:divBdr>
        <w:top w:val="none" w:sz="0" w:space="0" w:color="auto"/>
        <w:left w:val="none" w:sz="0" w:space="0" w:color="auto"/>
        <w:bottom w:val="none" w:sz="0" w:space="0" w:color="auto"/>
        <w:right w:val="none" w:sz="0" w:space="0" w:color="auto"/>
      </w:divBdr>
    </w:div>
    <w:div w:id="986202612">
      <w:bodyDiv w:val="1"/>
      <w:marLeft w:val="0"/>
      <w:marRight w:val="0"/>
      <w:marTop w:val="0"/>
      <w:marBottom w:val="0"/>
      <w:divBdr>
        <w:top w:val="none" w:sz="0" w:space="0" w:color="auto"/>
        <w:left w:val="none" w:sz="0" w:space="0" w:color="auto"/>
        <w:bottom w:val="none" w:sz="0" w:space="0" w:color="auto"/>
        <w:right w:val="none" w:sz="0" w:space="0" w:color="auto"/>
      </w:divBdr>
    </w:div>
    <w:div w:id="1008218274">
      <w:bodyDiv w:val="1"/>
      <w:marLeft w:val="0"/>
      <w:marRight w:val="0"/>
      <w:marTop w:val="0"/>
      <w:marBottom w:val="0"/>
      <w:divBdr>
        <w:top w:val="none" w:sz="0" w:space="0" w:color="auto"/>
        <w:left w:val="none" w:sz="0" w:space="0" w:color="auto"/>
        <w:bottom w:val="none" w:sz="0" w:space="0" w:color="auto"/>
        <w:right w:val="none" w:sz="0" w:space="0" w:color="auto"/>
      </w:divBdr>
    </w:div>
    <w:div w:id="1108700929">
      <w:bodyDiv w:val="1"/>
      <w:marLeft w:val="0"/>
      <w:marRight w:val="0"/>
      <w:marTop w:val="0"/>
      <w:marBottom w:val="0"/>
      <w:divBdr>
        <w:top w:val="none" w:sz="0" w:space="0" w:color="auto"/>
        <w:left w:val="none" w:sz="0" w:space="0" w:color="auto"/>
        <w:bottom w:val="none" w:sz="0" w:space="0" w:color="auto"/>
        <w:right w:val="none" w:sz="0" w:space="0" w:color="auto"/>
      </w:divBdr>
    </w:div>
    <w:div w:id="1110277488">
      <w:bodyDiv w:val="1"/>
      <w:marLeft w:val="0"/>
      <w:marRight w:val="0"/>
      <w:marTop w:val="0"/>
      <w:marBottom w:val="0"/>
      <w:divBdr>
        <w:top w:val="none" w:sz="0" w:space="0" w:color="auto"/>
        <w:left w:val="none" w:sz="0" w:space="0" w:color="auto"/>
        <w:bottom w:val="none" w:sz="0" w:space="0" w:color="auto"/>
        <w:right w:val="none" w:sz="0" w:space="0" w:color="auto"/>
      </w:divBdr>
    </w:div>
    <w:div w:id="1122846715">
      <w:bodyDiv w:val="1"/>
      <w:marLeft w:val="0"/>
      <w:marRight w:val="0"/>
      <w:marTop w:val="0"/>
      <w:marBottom w:val="0"/>
      <w:divBdr>
        <w:top w:val="none" w:sz="0" w:space="0" w:color="auto"/>
        <w:left w:val="none" w:sz="0" w:space="0" w:color="auto"/>
        <w:bottom w:val="none" w:sz="0" w:space="0" w:color="auto"/>
        <w:right w:val="none" w:sz="0" w:space="0" w:color="auto"/>
      </w:divBdr>
    </w:div>
    <w:div w:id="1152060307">
      <w:bodyDiv w:val="1"/>
      <w:marLeft w:val="0"/>
      <w:marRight w:val="0"/>
      <w:marTop w:val="0"/>
      <w:marBottom w:val="0"/>
      <w:divBdr>
        <w:top w:val="none" w:sz="0" w:space="0" w:color="auto"/>
        <w:left w:val="none" w:sz="0" w:space="0" w:color="auto"/>
        <w:bottom w:val="none" w:sz="0" w:space="0" w:color="auto"/>
        <w:right w:val="none" w:sz="0" w:space="0" w:color="auto"/>
      </w:divBdr>
    </w:div>
    <w:div w:id="1191996066">
      <w:bodyDiv w:val="1"/>
      <w:marLeft w:val="0"/>
      <w:marRight w:val="0"/>
      <w:marTop w:val="0"/>
      <w:marBottom w:val="0"/>
      <w:divBdr>
        <w:top w:val="none" w:sz="0" w:space="0" w:color="auto"/>
        <w:left w:val="none" w:sz="0" w:space="0" w:color="auto"/>
        <w:bottom w:val="none" w:sz="0" w:space="0" w:color="auto"/>
        <w:right w:val="none" w:sz="0" w:space="0" w:color="auto"/>
      </w:divBdr>
    </w:div>
    <w:div w:id="1226839362">
      <w:bodyDiv w:val="1"/>
      <w:marLeft w:val="0"/>
      <w:marRight w:val="0"/>
      <w:marTop w:val="0"/>
      <w:marBottom w:val="0"/>
      <w:divBdr>
        <w:top w:val="none" w:sz="0" w:space="0" w:color="auto"/>
        <w:left w:val="none" w:sz="0" w:space="0" w:color="auto"/>
        <w:bottom w:val="none" w:sz="0" w:space="0" w:color="auto"/>
        <w:right w:val="none" w:sz="0" w:space="0" w:color="auto"/>
      </w:divBdr>
    </w:div>
    <w:div w:id="1242331610">
      <w:bodyDiv w:val="1"/>
      <w:marLeft w:val="0"/>
      <w:marRight w:val="0"/>
      <w:marTop w:val="0"/>
      <w:marBottom w:val="0"/>
      <w:divBdr>
        <w:top w:val="none" w:sz="0" w:space="0" w:color="auto"/>
        <w:left w:val="none" w:sz="0" w:space="0" w:color="auto"/>
        <w:bottom w:val="none" w:sz="0" w:space="0" w:color="auto"/>
        <w:right w:val="none" w:sz="0" w:space="0" w:color="auto"/>
      </w:divBdr>
    </w:div>
    <w:div w:id="1269970289">
      <w:bodyDiv w:val="1"/>
      <w:marLeft w:val="0"/>
      <w:marRight w:val="0"/>
      <w:marTop w:val="0"/>
      <w:marBottom w:val="0"/>
      <w:divBdr>
        <w:top w:val="none" w:sz="0" w:space="0" w:color="auto"/>
        <w:left w:val="none" w:sz="0" w:space="0" w:color="auto"/>
        <w:bottom w:val="none" w:sz="0" w:space="0" w:color="auto"/>
        <w:right w:val="none" w:sz="0" w:space="0" w:color="auto"/>
      </w:divBdr>
    </w:div>
    <w:div w:id="1313829713">
      <w:bodyDiv w:val="1"/>
      <w:marLeft w:val="0"/>
      <w:marRight w:val="0"/>
      <w:marTop w:val="0"/>
      <w:marBottom w:val="0"/>
      <w:divBdr>
        <w:top w:val="none" w:sz="0" w:space="0" w:color="auto"/>
        <w:left w:val="none" w:sz="0" w:space="0" w:color="auto"/>
        <w:bottom w:val="none" w:sz="0" w:space="0" w:color="auto"/>
        <w:right w:val="none" w:sz="0" w:space="0" w:color="auto"/>
      </w:divBdr>
    </w:div>
    <w:div w:id="1337458778">
      <w:bodyDiv w:val="1"/>
      <w:marLeft w:val="0"/>
      <w:marRight w:val="0"/>
      <w:marTop w:val="0"/>
      <w:marBottom w:val="0"/>
      <w:divBdr>
        <w:top w:val="none" w:sz="0" w:space="0" w:color="auto"/>
        <w:left w:val="none" w:sz="0" w:space="0" w:color="auto"/>
        <w:bottom w:val="none" w:sz="0" w:space="0" w:color="auto"/>
        <w:right w:val="none" w:sz="0" w:space="0" w:color="auto"/>
      </w:divBdr>
    </w:div>
    <w:div w:id="1349212933">
      <w:bodyDiv w:val="1"/>
      <w:marLeft w:val="0"/>
      <w:marRight w:val="0"/>
      <w:marTop w:val="0"/>
      <w:marBottom w:val="0"/>
      <w:divBdr>
        <w:top w:val="none" w:sz="0" w:space="0" w:color="auto"/>
        <w:left w:val="none" w:sz="0" w:space="0" w:color="auto"/>
        <w:bottom w:val="none" w:sz="0" w:space="0" w:color="auto"/>
        <w:right w:val="none" w:sz="0" w:space="0" w:color="auto"/>
      </w:divBdr>
    </w:div>
    <w:div w:id="1487631163">
      <w:bodyDiv w:val="1"/>
      <w:marLeft w:val="0"/>
      <w:marRight w:val="0"/>
      <w:marTop w:val="0"/>
      <w:marBottom w:val="0"/>
      <w:divBdr>
        <w:top w:val="none" w:sz="0" w:space="0" w:color="auto"/>
        <w:left w:val="none" w:sz="0" w:space="0" w:color="auto"/>
        <w:bottom w:val="none" w:sz="0" w:space="0" w:color="auto"/>
        <w:right w:val="none" w:sz="0" w:space="0" w:color="auto"/>
      </w:divBdr>
    </w:div>
    <w:div w:id="1541237960">
      <w:bodyDiv w:val="1"/>
      <w:marLeft w:val="0"/>
      <w:marRight w:val="0"/>
      <w:marTop w:val="0"/>
      <w:marBottom w:val="0"/>
      <w:divBdr>
        <w:top w:val="none" w:sz="0" w:space="0" w:color="auto"/>
        <w:left w:val="none" w:sz="0" w:space="0" w:color="auto"/>
        <w:bottom w:val="none" w:sz="0" w:space="0" w:color="auto"/>
        <w:right w:val="none" w:sz="0" w:space="0" w:color="auto"/>
      </w:divBdr>
    </w:div>
    <w:div w:id="1565330297">
      <w:bodyDiv w:val="1"/>
      <w:marLeft w:val="0"/>
      <w:marRight w:val="0"/>
      <w:marTop w:val="0"/>
      <w:marBottom w:val="0"/>
      <w:divBdr>
        <w:top w:val="none" w:sz="0" w:space="0" w:color="auto"/>
        <w:left w:val="none" w:sz="0" w:space="0" w:color="auto"/>
        <w:bottom w:val="none" w:sz="0" w:space="0" w:color="auto"/>
        <w:right w:val="none" w:sz="0" w:space="0" w:color="auto"/>
      </w:divBdr>
    </w:div>
    <w:div w:id="1605529732">
      <w:bodyDiv w:val="1"/>
      <w:marLeft w:val="0"/>
      <w:marRight w:val="0"/>
      <w:marTop w:val="0"/>
      <w:marBottom w:val="0"/>
      <w:divBdr>
        <w:top w:val="none" w:sz="0" w:space="0" w:color="auto"/>
        <w:left w:val="none" w:sz="0" w:space="0" w:color="auto"/>
        <w:bottom w:val="none" w:sz="0" w:space="0" w:color="auto"/>
        <w:right w:val="none" w:sz="0" w:space="0" w:color="auto"/>
      </w:divBdr>
    </w:div>
    <w:div w:id="1652101142">
      <w:bodyDiv w:val="1"/>
      <w:marLeft w:val="0"/>
      <w:marRight w:val="0"/>
      <w:marTop w:val="0"/>
      <w:marBottom w:val="0"/>
      <w:divBdr>
        <w:top w:val="none" w:sz="0" w:space="0" w:color="auto"/>
        <w:left w:val="none" w:sz="0" w:space="0" w:color="auto"/>
        <w:bottom w:val="none" w:sz="0" w:space="0" w:color="auto"/>
        <w:right w:val="none" w:sz="0" w:space="0" w:color="auto"/>
      </w:divBdr>
    </w:div>
    <w:div w:id="1682126405">
      <w:bodyDiv w:val="1"/>
      <w:marLeft w:val="0"/>
      <w:marRight w:val="0"/>
      <w:marTop w:val="0"/>
      <w:marBottom w:val="0"/>
      <w:divBdr>
        <w:top w:val="none" w:sz="0" w:space="0" w:color="auto"/>
        <w:left w:val="none" w:sz="0" w:space="0" w:color="auto"/>
        <w:bottom w:val="none" w:sz="0" w:space="0" w:color="auto"/>
        <w:right w:val="none" w:sz="0" w:space="0" w:color="auto"/>
      </w:divBdr>
    </w:div>
    <w:div w:id="1700812136">
      <w:bodyDiv w:val="1"/>
      <w:marLeft w:val="0"/>
      <w:marRight w:val="0"/>
      <w:marTop w:val="0"/>
      <w:marBottom w:val="0"/>
      <w:divBdr>
        <w:top w:val="none" w:sz="0" w:space="0" w:color="auto"/>
        <w:left w:val="none" w:sz="0" w:space="0" w:color="auto"/>
        <w:bottom w:val="none" w:sz="0" w:space="0" w:color="auto"/>
        <w:right w:val="none" w:sz="0" w:space="0" w:color="auto"/>
      </w:divBdr>
    </w:div>
    <w:div w:id="1717123786">
      <w:bodyDiv w:val="1"/>
      <w:marLeft w:val="0"/>
      <w:marRight w:val="0"/>
      <w:marTop w:val="0"/>
      <w:marBottom w:val="0"/>
      <w:divBdr>
        <w:top w:val="none" w:sz="0" w:space="0" w:color="auto"/>
        <w:left w:val="none" w:sz="0" w:space="0" w:color="auto"/>
        <w:bottom w:val="none" w:sz="0" w:space="0" w:color="auto"/>
        <w:right w:val="none" w:sz="0" w:space="0" w:color="auto"/>
      </w:divBdr>
    </w:div>
    <w:div w:id="1811366120">
      <w:bodyDiv w:val="1"/>
      <w:marLeft w:val="0"/>
      <w:marRight w:val="0"/>
      <w:marTop w:val="0"/>
      <w:marBottom w:val="0"/>
      <w:divBdr>
        <w:top w:val="none" w:sz="0" w:space="0" w:color="auto"/>
        <w:left w:val="none" w:sz="0" w:space="0" w:color="auto"/>
        <w:bottom w:val="none" w:sz="0" w:space="0" w:color="auto"/>
        <w:right w:val="none" w:sz="0" w:space="0" w:color="auto"/>
      </w:divBdr>
    </w:div>
    <w:div w:id="1842697323">
      <w:bodyDiv w:val="1"/>
      <w:marLeft w:val="0"/>
      <w:marRight w:val="0"/>
      <w:marTop w:val="0"/>
      <w:marBottom w:val="0"/>
      <w:divBdr>
        <w:top w:val="none" w:sz="0" w:space="0" w:color="auto"/>
        <w:left w:val="none" w:sz="0" w:space="0" w:color="auto"/>
        <w:bottom w:val="none" w:sz="0" w:space="0" w:color="auto"/>
        <w:right w:val="none" w:sz="0" w:space="0" w:color="auto"/>
      </w:divBdr>
    </w:div>
    <w:div w:id="1842770383">
      <w:bodyDiv w:val="1"/>
      <w:marLeft w:val="0"/>
      <w:marRight w:val="0"/>
      <w:marTop w:val="0"/>
      <w:marBottom w:val="0"/>
      <w:divBdr>
        <w:top w:val="none" w:sz="0" w:space="0" w:color="auto"/>
        <w:left w:val="none" w:sz="0" w:space="0" w:color="auto"/>
        <w:bottom w:val="none" w:sz="0" w:space="0" w:color="auto"/>
        <w:right w:val="none" w:sz="0" w:space="0" w:color="auto"/>
      </w:divBdr>
    </w:div>
    <w:div w:id="1886327318">
      <w:bodyDiv w:val="1"/>
      <w:marLeft w:val="0"/>
      <w:marRight w:val="0"/>
      <w:marTop w:val="0"/>
      <w:marBottom w:val="0"/>
      <w:divBdr>
        <w:top w:val="none" w:sz="0" w:space="0" w:color="auto"/>
        <w:left w:val="none" w:sz="0" w:space="0" w:color="auto"/>
        <w:bottom w:val="none" w:sz="0" w:space="0" w:color="auto"/>
        <w:right w:val="none" w:sz="0" w:space="0" w:color="auto"/>
      </w:divBdr>
    </w:div>
    <w:div w:id="1922254725">
      <w:bodyDiv w:val="1"/>
      <w:marLeft w:val="0"/>
      <w:marRight w:val="0"/>
      <w:marTop w:val="0"/>
      <w:marBottom w:val="0"/>
      <w:divBdr>
        <w:top w:val="none" w:sz="0" w:space="0" w:color="auto"/>
        <w:left w:val="none" w:sz="0" w:space="0" w:color="auto"/>
        <w:bottom w:val="none" w:sz="0" w:space="0" w:color="auto"/>
        <w:right w:val="none" w:sz="0" w:space="0" w:color="auto"/>
      </w:divBdr>
    </w:div>
    <w:div w:id="1960720594">
      <w:bodyDiv w:val="1"/>
      <w:marLeft w:val="0"/>
      <w:marRight w:val="0"/>
      <w:marTop w:val="0"/>
      <w:marBottom w:val="0"/>
      <w:divBdr>
        <w:top w:val="none" w:sz="0" w:space="0" w:color="auto"/>
        <w:left w:val="none" w:sz="0" w:space="0" w:color="auto"/>
        <w:bottom w:val="none" w:sz="0" w:space="0" w:color="auto"/>
        <w:right w:val="none" w:sz="0" w:space="0" w:color="auto"/>
      </w:divBdr>
    </w:div>
    <w:div w:id="1975401598">
      <w:bodyDiv w:val="1"/>
      <w:marLeft w:val="0"/>
      <w:marRight w:val="0"/>
      <w:marTop w:val="0"/>
      <w:marBottom w:val="0"/>
      <w:divBdr>
        <w:top w:val="none" w:sz="0" w:space="0" w:color="auto"/>
        <w:left w:val="none" w:sz="0" w:space="0" w:color="auto"/>
        <w:bottom w:val="none" w:sz="0" w:space="0" w:color="auto"/>
        <w:right w:val="none" w:sz="0" w:space="0" w:color="auto"/>
      </w:divBdr>
    </w:div>
    <w:div w:id="1999074198">
      <w:bodyDiv w:val="1"/>
      <w:marLeft w:val="0"/>
      <w:marRight w:val="0"/>
      <w:marTop w:val="0"/>
      <w:marBottom w:val="0"/>
      <w:divBdr>
        <w:top w:val="none" w:sz="0" w:space="0" w:color="auto"/>
        <w:left w:val="none" w:sz="0" w:space="0" w:color="auto"/>
        <w:bottom w:val="none" w:sz="0" w:space="0" w:color="auto"/>
        <w:right w:val="none" w:sz="0" w:space="0" w:color="auto"/>
      </w:divBdr>
    </w:div>
    <w:div w:id="2027439044">
      <w:bodyDiv w:val="1"/>
      <w:marLeft w:val="0"/>
      <w:marRight w:val="0"/>
      <w:marTop w:val="0"/>
      <w:marBottom w:val="0"/>
      <w:divBdr>
        <w:top w:val="none" w:sz="0" w:space="0" w:color="auto"/>
        <w:left w:val="none" w:sz="0" w:space="0" w:color="auto"/>
        <w:bottom w:val="none" w:sz="0" w:space="0" w:color="auto"/>
        <w:right w:val="none" w:sz="0" w:space="0" w:color="auto"/>
      </w:divBdr>
    </w:div>
    <w:div w:id="2030569000">
      <w:bodyDiv w:val="1"/>
      <w:marLeft w:val="0"/>
      <w:marRight w:val="0"/>
      <w:marTop w:val="0"/>
      <w:marBottom w:val="0"/>
      <w:divBdr>
        <w:top w:val="none" w:sz="0" w:space="0" w:color="auto"/>
        <w:left w:val="none" w:sz="0" w:space="0" w:color="auto"/>
        <w:bottom w:val="none" w:sz="0" w:space="0" w:color="auto"/>
        <w:right w:val="none" w:sz="0" w:space="0" w:color="auto"/>
      </w:divBdr>
    </w:div>
    <w:div w:id="2043703356">
      <w:bodyDiv w:val="1"/>
      <w:marLeft w:val="0"/>
      <w:marRight w:val="0"/>
      <w:marTop w:val="0"/>
      <w:marBottom w:val="0"/>
      <w:divBdr>
        <w:top w:val="none" w:sz="0" w:space="0" w:color="auto"/>
        <w:left w:val="none" w:sz="0" w:space="0" w:color="auto"/>
        <w:bottom w:val="none" w:sz="0" w:space="0" w:color="auto"/>
        <w:right w:val="none" w:sz="0" w:space="0" w:color="auto"/>
      </w:divBdr>
    </w:div>
    <w:div w:id="2083062773">
      <w:bodyDiv w:val="1"/>
      <w:marLeft w:val="0"/>
      <w:marRight w:val="0"/>
      <w:marTop w:val="0"/>
      <w:marBottom w:val="0"/>
      <w:divBdr>
        <w:top w:val="none" w:sz="0" w:space="0" w:color="auto"/>
        <w:left w:val="none" w:sz="0" w:space="0" w:color="auto"/>
        <w:bottom w:val="none" w:sz="0" w:space="0" w:color="auto"/>
        <w:right w:val="none" w:sz="0" w:space="0" w:color="auto"/>
      </w:divBdr>
    </w:div>
    <w:div w:id="2086220838">
      <w:bodyDiv w:val="1"/>
      <w:marLeft w:val="0"/>
      <w:marRight w:val="0"/>
      <w:marTop w:val="0"/>
      <w:marBottom w:val="0"/>
      <w:divBdr>
        <w:top w:val="none" w:sz="0" w:space="0" w:color="auto"/>
        <w:left w:val="none" w:sz="0" w:space="0" w:color="auto"/>
        <w:bottom w:val="none" w:sz="0" w:space="0" w:color="auto"/>
        <w:right w:val="none" w:sz="0" w:space="0" w:color="auto"/>
      </w:divBdr>
    </w:div>
    <w:div w:id="2093042061">
      <w:bodyDiv w:val="1"/>
      <w:marLeft w:val="0"/>
      <w:marRight w:val="0"/>
      <w:marTop w:val="0"/>
      <w:marBottom w:val="0"/>
      <w:divBdr>
        <w:top w:val="none" w:sz="0" w:space="0" w:color="auto"/>
        <w:left w:val="none" w:sz="0" w:space="0" w:color="auto"/>
        <w:bottom w:val="none" w:sz="0" w:space="0" w:color="auto"/>
        <w:right w:val="none" w:sz="0" w:space="0" w:color="auto"/>
      </w:divBdr>
    </w:div>
    <w:div w:id="21133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0F753-13F5-45E3-95E8-8C9D8503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4096</Words>
  <Characters>20485</Characters>
  <Application>Microsoft Office Word</Application>
  <DocSecurity>0</DocSecurity>
  <Lines>1280</Lines>
  <Paragraphs>847</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IUCN</Company>
  <LinksUpToDate>false</LinksUpToDate>
  <CharactersWithSpaces>23734</CharactersWithSpaces>
  <SharedDoc>false</SharedDoc>
  <HLinks>
    <vt:vector size="6" baseType="variant">
      <vt:variant>
        <vt:i4>5111933</vt:i4>
      </vt:variant>
      <vt:variant>
        <vt:i4>0</vt:i4>
      </vt:variant>
      <vt:variant>
        <vt:i4>0</vt:i4>
      </vt:variant>
      <vt:variant>
        <vt:i4>5</vt:i4>
      </vt:variant>
      <vt:variant>
        <vt:lpwstr>http://www.ramsar.org/cda/en/ramsar-documents-standing-40th-meeting-of-the-22812/main/ramsar/1-31-41%5e22812_4000_0__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ELefebvre</dc:creator>
  <cp:lastModifiedBy>Ramsar\JenningsE</cp:lastModifiedBy>
  <cp:revision>5</cp:revision>
  <cp:lastPrinted>2016-03-23T18:17:00Z</cp:lastPrinted>
  <dcterms:created xsi:type="dcterms:W3CDTF">2016-05-30T07:23:00Z</dcterms:created>
  <dcterms:modified xsi:type="dcterms:W3CDTF">2016-05-31T11:58:00Z</dcterms:modified>
</cp:coreProperties>
</file>