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2E" w:rsidRPr="00E03828" w:rsidRDefault="0056312E" w:rsidP="0056312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bookmarkStart w:id="0" w:name="OLE_LINK1"/>
      <w:r w:rsidRPr="00E03828">
        <w:rPr>
          <w:rFonts w:ascii="Calibri" w:hAnsi="Calibri"/>
          <w:bCs/>
          <w:lang w:val="fr-FR"/>
        </w:rPr>
        <w:t xml:space="preserve">CONVENTION </w:t>
      </w:r>
      <w:r w:rsidR="00C05657" w:rsidRPr="00E03828">
        <w:rPr>
          <w:rFonts w:ascii="Calibri" w:hAnsi="Calibri"/>
          <w:bCs/>
          <w:lang w:val="fr-FR"/>
        </w:rPr>
        <w:t xml:space="preserve">SUR LES ZONES HUMIDES </w:t>
      </w:r>
      <w:r w:rsidRPr="00E03828">
        <w:rPr>
          <w:rFonts w:ascii="Calibri" w:hAnsi="Calibri"/>
          <w:bCs/>
          <w:lang w:val="fr-FR"/>
        </w:rPr>
        <w:t>(Ramsar, Iran, 1971)</w:t>
      </w:r>
    </w:p>
    <w:p w:rsidR="0056312E" w:rsidRPr="00E03828" w:rsidRDefault="00BC59B6" w:rsidP="0056312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r w:rsidRPr="00E03828">
        <w:rPr>
          <w:rFonts w:ascii="Calibri" w:hAnsi="Calibri"/>
          <w:bCs/>
          <w:lang w:val="fr-FR"/>
        </w:rPr>
        <w:t>52</w:t>
      </w:r>
      <w:r w:rsidR="00C05657" w:rsidRPr="00E03828">
        <w:rPr>
          <w:rFonts w:ascii="Calibri" w:hAnsi="Calibri"/>
          <w:bCs/>
          <w:vertAlign w:val="superscript"/>
          <w:lang w:val="fr-FR"/>
        </w:rPr>
        <w:t>e</w:t>
      </w:r>
      <w:r w:rsidRPr="00E03828">
        <w:rPr>
          <w:rFonts w:ascii="Calibri" w:hAnsi="Calibri"/>
          <w:bCs/>
          <w:lang w:val="fr-FR"/>
        </w:rPr>
        <w:t xml:space="preserve"> </w:t>
      </w:r>
      <w:r w:rsidR="00C05657" w:rsidRPr="00E03828">
        <w:rPr>
          <w:rFonts w:ascii="Calibri" w:hAnsi="Calibri"/>
          <w:bCs/>
          <w:lang w:val="fr-FR"/>
        </w:rPr>
        <w:t>Réunion du Comité permanent</w:t>
      </w:r>
    </w:p>
    <w:p w:rsidR="0056312E" w:rsidRPr="00E03828" w:rsidRDefault="0056312E" w:rsidP="0056312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lang w:val="fr-FR"/>
        </w:rPr>
      </w:pPr>
      <w:r w:rsidRPr="00E03828">
        <w:rPr>
          <w:rFonts w:ascii="Calibri" w:hAnsi="Calibri"/>
          <w:bCs/>
          <w:lang w:val="fr-FR"/>
        </w:rPr>
        <w:t xml:space="preserve">Gland, </w:t>
      </w:r>
      <w:r w:rsidR="00C05657" w:rsidRPr="00E03828">
        <w:rPr>
          <w:rFonts w:ascii="Calibri" w:hAnsi="Calibri"/>
          <w:bCs/>
          <w:lang w:val="fr-FR"/>
        </w:rPr>
        <w:t>Suisse</w:t>
      </w:r>
      <w:r w:rsidRPr="00E03828">
        <w:rPr>
          <w:rFonts w:ascii="Calibri" w:hAnsi="Calibri"/>
          <w:bCs/>
          <w:lang w:val="fr-FR"/>
        </w:rPr>
        <w:t xml:space="preserve">, </w:t>
      </w:r>
      <w:r w:rsidR="00C05657" w:rsidRPr="00E03828">
        <w:rPr>
          <w:rFonts w:ascii="Calibri" w:hAnsi="Calibri"/>
          <w:bCs/>
          <w:lang w:val="fr-FR"/>
        </w:rPr>
        <w:t xml:space="preserve">12 au </w:t>
      </w:r>
      <w:r w:rsidR="00E72D40" w:rsidRPr="00E03828">
        <w:rPr>
          <w:rFonts w:ascii="Calibri" w:hAnsi="Calibri"/>
          <w:bCs/>
          <w:lang w:val="fr-FR"/>
        </w:rPr>
        <w:t>17</w:t>
      </w:r>
      <w:r w:rsidR="00C05657" w:rsidRPr="00E03828">
        <w:rPr>
          <w:rFonts w:ascii="Calibri" w:hAnsi="Calibri"/>
          <w:bCs/>
          <w:lang w:val="fr-FR"/>
        </w:rPr>
        <w:t> juin </w:t>
      </w:r>
      <w:r w:rsidR="009D28C3" w:rsidRPr="00E03828">
        <w:rPr>
          <w:rFonts w:ascii="Calibri" w:hAnsi="Calibri"/>
          <w:bCs/>
          <w:lang w:val="fr-FR"/>
        </w:rPr>
        <w:t>201</w:t>
      </w:r>
      <w:r w:rsidR="00E72D40" w:rsidRPr="00E03828">
        <w:rPr>
          <w:rFonts w:ascii="Calibri" w:hAnsi="Calibri"/>
          <w:bCs/>
          <w:lang w:val="fr-FR"/>
        </w:rPr>
        <w:t>6</w:t>
      </w:r>
    </w:p>
    <w:p w:rsidR="0056312E" w:rsidRPr="00E03828" w:rsidRDefault="0056312E" w:rsidP="0056312E">
      <w:pPr>
        <w:keepNext/>
        <w:suppressAutoHyphens/>
        <w:outlineLvl w:val="0"/>
        <w:rPr>
          <w:rFonts w:ascii="Calibri" w:hAnsi="Calibri"/>
          <w:b/>
          <w:sz w:val="22"/>
          <w:szCs w:val="22"/>
          <w:lang w:val="fr-FR"/>
        </w:rPr>
      </w:pPr>
    </w:p>
    <w:p w:rsidR="0056312E" w:rsidRPr="00E03828" w:rsidRDefault="0056312E" w:rsidP="0056312E">
      <w:pPr>
        <w:keepNext/>
        <w:suppressAutoHyphens/>
        <w:jc w:val="right"/>
        <w:outlineLvl w:val="0"/>
        <w:rPr>
          <w:rFonts w:asciiTheme="minorHAnsi" w:hAnsiTheme="minorHAnsi"/>
          <w:b/>
          <w:sz w:val="28"/>
          <w:szCs w:val="28"/>
          <w:lang w:val="fr-FR"/>
        </w:rPr>
      </w:pPr>
      <w:r w:rsidRPr="00E03828">
        <w:rPr>
          <w:rFonts w:asciiTheme="minorHAnsi" w:hAnsiTheme="minorHAnsi"/>
          <w:b/>
          <w:sz w:val="28"/>
          <w:szCs w:val="28"/>
          <w:lang w:val="fr-FR"/>
        </w:rPr>
        <w:t>SC</w:t>
      </w:r>
      <w:r w:rsidR="00E72D40" w:rsidRPr="00E03828">
        <w:rPr>
          <w:rFonts w:asciiTheme="minorHAnsi" w:hAnsiTheme="minorHAnsi"/>
          <w:b/>
          <w:sz w:val="28"/>
          <w:szCs w:val="28"/>
          <w:lang w:val="fr-FR"/>
        </w:rPr>
        <w:t>52</w:t>
      </w:r>
      <w:r w:rsidRPr="00E03828">
        <w:rPr>
          <w:rFonts w:asciiTheme="minorHAnsi" w:hAnsiTheme="minorHAnsi"/>
          <w:b/>
          <w:sz w:val="28"/>
          <w:szCs w:val="28"/>
          <w:lang w:val="fr-FR"/>
        </w:rPr>
        <w:t>-</w:t>
      </w:r>
      <w:bookmarkEnd w:id="0"/>
      <w:r w:rsidR="00E72D40" w:rsidRPr="00E03828">
        <w:rPr>
          <w:rFonts w:asciiTheme="minorHAnsi" w:hAnsiTheme="minorHAnsi"/>
          <w:b/>
          <w:sz w:val="28"/>
          <w:szCs w:val="28"/>
          <w:lang w:val="fr-FR"/>
        </w:rPr>
        <w:t>18</w:t>
      </w:r>
      <w:r w:rsidR="002B2F16" w:rsidRPr="00E03828">
        <w:rPr>
          <w:rFonts w:asciiTheme="minorHAnsi" w:hAnsiTheme="minorHAnsi"/>
          <w:b/>
          <w:sz w:val="28"/>
          <w:szCs w:val="28"/>
          <w:lang w:val="fr-FR"/>
        </w:rPr>
        <w:t xml:space="preserve"> Rev.1</w:t>
      </w:r>
    </w:p>
    <w:p w:rsidR="0056312E" w:rsidRPr="00E03828" w:rsidRDefault="0056312E" w:rsidP="0056312E">
      <w:pPr>
        <w:rPr>
          <w:rFonts w:asciiTheme="minorHAnsi" w:hAnsiTheme="minorHAnsi"/>
          <w:sz w:val="28"/>
          <w:szCs w:val="28"/>
          <w:lang w:val="fr-FR"/>
        </w:rPr>
      </w:pPr>
    </w:p>
    <w:p w:rsidR="0056312E" w:rsidRPr="00E03828" w:rsidRDefault="003F3195" w:rsidP="00CD1518">
      <w:pPr>
        <w:jc w:val="center"/>
        <w:rPr>
          <w:rFonts w:asciiTheme="minorHAnsi" w:eastAsia="Times New Roman" w:hAnsiTheme="minorHAnsi" w:cs="Calibri"/>
          <w:b/>
          <w:bCs/>
          <w:color w:val="000000"/>
          <w:sz w:val="28"/>
          <w:szCs w:val="28"/>
          <w:lang w:val="fr-FR"/>
        </w:rPr>
      </w:pPr>
      <w:hyperlink r:id="rId9" w:history="1">
        <w:r w:rsidR="005918FC" w:rsidRPr="00E03828">
          <w:rPr>
            <w:lang w:val="fr-FR"/>
          </w:rPr>
          <w:t xml:space="preserve"> </w:t>
        </w:r>
        <w:r w:rsidR="005918FC" w:rsidRPr="00E03828">
          <w:rPr>
            <w:rFonts w:asciiTheme="minorHAnsi" w:eastAsia="Times New Roman" w:hAnsiTheme="minorHAnsi" w:cs="Calibri"/>
            <w:b/>
            <w:bCs/>
            <w:color w:val="000000"/>
            <w:sz w:val="28"/>
            <w:szCs w:val="28"/>
            <w:lang w:val="fr-FR"/>
          </w:rPr>
          <w:t>Questions financières Ramsar</w:t>
        </w:r>
        <w:r w:rsidR="00E72D40" w:rsidRPr="00E03828">
          <w:rPr>
            <w:rFonts w:asciiTheme="minorHAnsi" w:eastAsia="Times New Roman" w:hAnsiTheme="minorHAnsi" w:cs="Calibri"/>
            <w:b/>
            <w:bCs/>
            <w:color w:val="000000"/>
            <w:sz w:val="28"/>
            <w:szCs w:val="28"/>
            <w:lang w:val="fr-FR"/>
          </w:rPr>
          <w:t xml:space="preserve"> </w:t>
        </w:r>
        <w:r w:rsidR="00BC59B6" w:rsidRPr="00E03828">
          <w:rPr>
            <w:rFonts w:asciiTheme="minorHAnsi" w:eastAsia="Times New Roman" w:hAnsiTheme="minorHAnsi" w:cs="Calibri"/>
            <w:b/>
            <w:bCs/>
            <w:color w:val="000000"/>
            <w:sz w:val="28"/>
            <w:szCs w:val="28"/>
            <w:lang w:val="fr-FR"/>
          </w:rPr>
          <w:t>2014/</w:t>
        </w:r>
        <w:r w:rsidR="0056312E" w:rsidRPr="00E03828">
          <w:rPr>
            <w:rFonts w:asciiTheme="minorHAnsi" w:eastAsia="Times New Roman" w:hAnsiTheme="minorHAnsi" w:cs="Calibri"/>
            <w:b/>
            <w:bCs/>
            <w:color w:val="000000"/>
            <w:sz w:val="28"/>
            <w:szCs w:val="28"/>
            <w:lang w:val="fr-FR"/>
          </w:rPr>
          <w:t>20</w:t>
        </w:r>
        <w:r w:rsidR="009D28C3" w:rsidRPr="00E03828">
          <w:rPr>
            <w:rFonts w:asciiTheme="minorHAnsi" w:eastAsia="Times New Roman" w:hAnsiTheme="minorHAnsi" w:cs="Calibri"/>
            <w:b/>
            <w:bCs/>
            <w:color w:val="000000"/>
            <w:sz w:val="28"/>
            <w:szCs w:val="28"/>
            <w:lang w:val="fr-FR"/>
          </w:rPr>
          <w:t>15</w:t>
        </w:r>
      </w:hyperlink>
    </w:p>
    <w:p w:rsidR="00CD1518" w:rsidRPr="00E03828" w:rsidRDefault="00CD1518" w:rsidP="0056312E">
      <w:pPr>
        <w:rPr>
          <w:rFonts w:ascii="Calibri" w:hAnsi="Calibri"/>
          <w:b/>
          <w:iCs/>
          <w:sz w:val="22"/>
          <w:szCs w:val="22"/>
          <w:highlight w:val="yellow"/>
          <w:lang w:val="fr-FR"/>
        </w:rPr>
      </w:pPr>
    </w:p>
    <w:p w:rsidR="0056312E" w:rsidRPr="00E03828" w:rsidRDefault="009F0636" w:rsidP="0056312E">
      <w:pPr>
        <w:ind w:left="540" w:hanging="540"/>
        <w:rPr>
          <w:rFonts w:ascii="Calibri" w:hAnsi="Calibri"/>
          <w:sz w:val="22"/>
          <w:szCs w:val="22"/>
          <w:lang w:val="fr-FR"/>
        </w:rPr>
      </w:pPr>
      <w:r>
        <w:rPr>
          <w:rFonts w:ascii="Calibri" w:hAnsi="Calibri"/>
          <w:noProof/>
          <w:sz w:val="22"/>
          <w:szCs w:val="22"/>
          <w:lang w:val="en-GB" w:eastAsia="en-GB"/>
        </w:rPr>
        <mc:AlternateContent>
          <mc:Choice Requires="wps">
            <w:drawing>
              <wp:inline distT="0" distB="0" distL="0" distR="0">
                <wp:extent cx="5728970" cy="1363980"/>
                <wp:effectExtent l="9525" t="10160" r="508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63980"/>
                        </a:xfrm>
                        <a:prstGeom prst="rect">
                          <a:avLst/>
                        </a:prstGeom>
                        <a:solidFill>
                          <a:srgbClr val="FFFFFF"/>
                        </a:solidFill>
                        <a:ln w="9525">
                          <a:solidFill>
                            <a:srgbClr val="000000"/>
                          </a:solidFill>
                          <a:miter lim="800000"/>
                          <a:headEnd/>
                          <a:tailEnd/>
                        </a:ln>
                      </wps:spPr>
                      <wps:txbx>
                        <w:txbxContent>
                          <w:p w:rsidR="003F3195" w:rsidRPr="005918FC" w:rsidRDefault="003F3195" w:rsidP="0056312E">
                            <w:pPr>
                              <w:jc w:val="both"/>
                              <w:rPr>
                                <w:rFonts w:ascii="Calibri" w:hAnsi="Calibri"/>
                                <w:b/>
                                <w:sz w:val="22"/>
                                <w:szCs w:val="22"/>
                                <w:lang w:val="fr-FR"/>
                              </w:rPr>
                            </w:pPr>
                            <w:r w:rsidRPr="005918FC">
                              <w:rPr>
                                <w:rFonts w:ascii="Calibri" w:hAnsi="Calibri"/>
                                <w:b/>
                                <w:sz w:val="22"/>
                                <w:szCs w:val="22"/>
                                <w:lang w:val="fr-FR"/>
                              </w:rPr>
                              <w:t xml:space="preserve">Actions requises : </w:t>
                            </w:r>
                          </w:p>
                          <w:p w:rsidR="003F3195" w:rsidRPr="00BA7DBA" w:rsidRDefault="003F3195" w:rsidP="00BA7DBA">
                            <w:pPr>
                              <w:rPr>
                                <w:rFonts w:ascii="Calibri" w:hAnsi="Calibri"/>
                                <w:sz w:val="22"/>
                                <w:szCs w:val="22"/>
                                <w:lang w:val="fr-FR"/>
                              </w:rPr>
                            </w:pPr>
                            <w:r w:rsidRPr="00BA7DBA">
                              <w:rPr>
                                <w:rFonts w:ascii="Calibri" w:hAnsi="Calibri"/>
                                <w:sz w:val="22"/>
                                <w:szCs w:val="22"/>
                                <w:lang w:val="fr-FR"/>
                              </w:rPr>
                              <w:t>Le Comité permanent est invité à prendre note du contenu du présent rapport et à </w:t>
                            </w:r>
                            <w:r w:rsidRPr="00BA7DBA">
                              <w:rPr>
                                <w:rFonts w:ascii="Calibri" w:hAnsi="Calibri" w:cs="Calibri"/>
                                <w:sz w:val="22"/>
                                <w:szCs w:val="22"/>
                                <w:lang w:val="fr-FR"/>
                              </w:rPr>
                              <w:t>:</w:t>
                            </w:r>
                          </w:p>
                          <w:p w:rsidR="003F3195" w:rsidRPr="005918FC" w:rsidRDefault="003F3195" w:rsidP="00102FC1">
                            <w:pPr>
                              <w:pStyle w:val="ListParagraph"/>
                              <w:numPr>
                                <w:ilvl w:val="1"/>
                                <w:numId w:val="1"/>
                              </w:numPr>
                              <w:ind w:left="851" w:hanging="425"/>
                              <w:rPr>
                                <w:rFonts w:ascii="Calibri" w:hAnsi="Calibri"/>
                                <w:sz w:val="22"/>
                                <w:szCs w:val="22"/>
                                <w:lang w:val="fr-FR"/>
                              </w:rPr>
                            </w:pPr>
                            <w:r>
                              <w:rPr>
                                <w:rFonts w:ascii="Calibri" w:hAnsi="Calibri"/>
                                <w:sz w:val="22"/>
                                <w:szCs w:val="22"/>
                                <w:lang w:val="fr-FR"/>
                              </w:rPr>
                              <w:t>examiner la réaffectation des excédents 2014 et à approuver l’allocation du solde excédentaire de 6 </w:t>
                            </w:r>
                            <w:r w:rsidRPr="005918FC">
                              <w:rPr>
                                <w:rFonts w:ascii="Calibri" w:hAnsi="Calibri"/>
                                <w:sz w:val="22"/>
                                <w:szCs w:val="22"/>
                                <w:lang w:val="fr-FR"/>
                              </w:rPr>
                              <w:t>000</w:t>
                            </w:r>
                            <w:r>
                              <w:rPr>
                                <w:rFonts w:ascii="Calibri" w:hAnsi="Calibri"/>
                                <w:sz w:val="22"/>
                                <w:szCs w:val="22"/>
                                <w:lang w:val="fr-FR"/>
                              </w:rPr>
                              <w:t> CHF;</w:t>
                            </w:r>
                          </w:p>
                          <w:p w:rsidR="003F3195" w:rsidRPr="005918FC" w:rsidRDefault="003F3195" w:rsidP="00450ADD">
                            <w:pPr>
                              <w:pStyle w:val="ListParagraph"/>
                              <w:numPr>
                                <w:ilvl w:val="1"/>
                                <w:numId w:val="1"/>
                              </w:numPr>
                              <w:ind w:left="851" w:hanging="425"/>
                              <w:rPr>
                                <w:rFonts w:ascii="Calibri" w:hAnsi="Calibri"/>
                                <w:sz w:val="22"/>
                                <w:szCs w:val="22"/>
                                <w:lang w:val="fr-FR"/>
                              </w:rPr>
                            </w:pPr>
                            <w:r>
                              <w:rPr>
                                <w:rFonts w:ascii="Calibri" w:hAnsi="Calibri"/>
                                <w:sz w:val="22"/>
                                <w:szCs w:val="22"/>
                                <w:lang w:val="fr-FR"/>
                              </w:rPr>
                              <w:t>examiner le projet d’états financiers au 31 décembre 2015 joint en annexe, à prendre note du déficit 2015 et à approuver les propositions de la Secrétaire générale par intérim visant à combler le déficit 2015.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">
                <v:textbox>
                  <w:txbxContent>
                    <w:p w:rsidR="003F3195" w:rsidRPr="005918FC" w:rsidRDefault="003F3195" w:rsidP="0056312E">
                      <w:pPr>
                        <w:jc w:val="both"/>
                        <w:rPr>
                          <w:rFonts w:ascii="Calibri" w:hAnsi="Calibri"/>
                          <w:b/>
                          <w:sz w:val="22"/>
                          <w:szCs w:val="22"/>
                          <w:lang w:val="fr-FR"/>
                        </w:rPr>
                      </w:pPr>
                      <w:r w:rsidRPr="005918FC">
                        <w:rPr>
                          <w:rFonts w:ascii="Calibri" w:hAnsi="Calibri"/>
                          <w:b/>
                          <w:sz w:val="22"/>
                          <w:szCs w:val="22"/>
                          <w:lang w:val="fr-FR"/>
                        </w:rPr>
                        <w:t xml:space="preserve">Actions requises : </w:t>
                      </w:r>
                    </w:p>
                    <w:p w:rsidR="003F3195" w:rsidRPr="00BA7DBA" w:rsidRDefault="003F3195" w:rsidP="00BA7DBA">
                      <w:pPr>
                        <w:rPr>
                          <w:rFonts w:ascii="Calibri" w:hAnsi="Calibri"/>
                          <w:sz w:val="22"/>
                          <w:szCs w:val="22"/>
                          <w:lang w:val="fr-FR"/>
                        </w:rPr>
                      </w:pPr>
                      <w:r w:rsidRPr="00BA7DBA">
                        <w:rPr>
                          <w:rFonts w:ascii="Calibri" w:hAnsi="Calibri"/>
                          <w:sz w:val="22"/>
                          <w:szCs w:val="22"/>
                          <w:lang w:val="fr-FR"/>
                        </w:rPr>
                        <w:t>Le Comité permanent est invité à prendre note du contenu du présent rapport et à </w:t>
                      </w:r>
                      <w:r w:rsidRPr="00BA7DBA">
                        <w:rPr>
                          <w:rFonts w:ascii="Calibri" w:hAnsi="Calibri" w:cs="Calibri"/>
                          <w:sz w:val="22"/>
                          <w:szCs w:val="22"/>
                          <w:lang w:val="fr-FR"/>
                        </w:rPr>
                        <w:t>:</w:t>
                      </w:r>
                    </w:p>
                    <w:p w:rsidR="003F3195" w:rsidRPr="005918FC" w:rsidRDefault="003F3195" w:rsidP="00102FC1">
                      <w:pPr>
                        <w:pStyle w:val="ListParagraph"/>
                        <w:numPr>
                          <w:ilvl w:val="1"/>
                          <w:numId w:val="1"/>
                        </w:numPr>
                        <w:ind w:left="851" w:hanging="425"/>
                        <w:rPr>
                          <w:rFonts w:ascii="Calibri" w:hAnsi="Calibri"/>
                          <w:sz w:val="22"/>
                          <w:szCs w:val="22"/>
                          <w:lang w:val="fr-FR"/>
                        </w:rPr>
                      </w:pPr>
                      <w:r>
                        <w:rPr>
                          <w:rFonts w:ascii="Calibri" w:hAnsi="Calibri"/>
                          <w:sz w:val="22"/>
                          <w:szCs w:val="22"/>
                          <w:lang w:val="fr-FR"/>
                        </w:rPr>
                        <w:t>examiner la réaffectation des excédents 2014 et à approuver l’allocation du solde excédentaire de 6 </w:t>
                      </w:r>
                      <w:r w:rsidRPr="005918FC">
                        <w:rPr>
                          <w:rFonts w:ascii="Calibri" w:hAnsi="Calibri"/>
                          <w:sz w:val="22"/>
                          <w:szCs w:val="22"/>
                          <w:lang w:val="fr-FR"/>
                        </w:rPr>
                        <w:t>000</w:t>
                      </w:r>
                      <w:r>
                        <w:rPr>
                          <w:rFonts w:ascii="Calibri" w:hAnsi="Calibri"/>
                          <w:sz w:val="22"/>
                          <w:szCs w:val="22"/>
                          <w:lang w:val="fr-FR"/>
                        </w:rPr>
                        <w:t> CHF;</w:t>
                      </w:r>
                    </w:p>
                    <w:p w:rsidR="003F3195" w:rsidRPr="005918FC" w:rsidRDefault="003F3195" w:rsidP="00450ADD">
                      <w:pPr>
                        <w:pStyle w:val="ListParagraph"/>
                        <w:numPr>
                          <w:ilvl w:val="1"/>
                          <w:numId w:val="1"/>
                        </w:numPr>
                        <w:ind w:left="851" w:hanging="425"/>
                        <w:rPr>
                          <w:rFonts w:ascii="Calibri" w:hAnsi="Calibri"/>
                          <w:sz w:val="22"/>
                          <w:szCs w:val="22"/>
                          <w:lang w:val="fr-FR"/>
                        </w:rPr>
                      </w:pPr>
                      <w:r>
                        <w:rPr>
                          <w:rFonts w:ascii="Calibri" w:hAnsi="Calibri"/>
                          <w:sz w:val="22"/>
                          <w:szCs w:val="22"/>
                          <w:lang w:val="fr-FR"/>
                        </w:rPr>
                        <w:t>examiner le projet d’états financiers au 31 décembre 2015 joint en annexe, à prendre note du déficit 2015 et à approuver les propositions de la Secrétaire générale par intérim visant à combler le déficit 2015.</w:t>
                      </w:r>
                    </w:p>
                  </w:txbxContent>
                </v:textbox>
                <w10:anchorlock/>
              </v:shape>
            </w:pict>
          </mc:Fallback>
        </mc:AlternateContent>
      </w:r>
    </w:p>
    <w:p w:rsidR="00024785" w:rsidRPr="00E03828" w:rsidRDefault="00024785" w:rsidP="00024785">
      <w:pPr>
        <w:rPr>
          <w:rFonts w:ascii="Calibri" w:hAnsi="Calibri"/>
          <w:sz w:val="22"/>
          <w:szCs w:val="22"/>
          <w:lang w:val="fr-FR"/>
        </w:rPr>
      </w:pPr>
    </w:p>
    <w:p w:rsidR="00CE5742" w:rsidRPr="00E03828" w:rsidRDefault="00A00EE6" w:rsidP="00842399">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 xml:space="preserve">L’audit des comptes </w:t>
      </w:r>
      <w:r w:rsidR="00540B56">
        <w:rPr>
          <w:rFonts w:ascii="Calibri" w:hAnsi="Calibri" w:cs="Calibri"/>
          <w:bCs/>
          <w:sz w:val="22"/>
          <w:szCs w:val="22"/>
          <w:lang w:val="fr-FR"/>
        </w:rPr>
        <w:t xml:space="preserve">2015 </w:t>
      </w:r>
      <w:r w:rsidRPr="00E03828">
        <w:rPr>
          <w:rFonts w:ascii="Calibri" w:hAnsi="Calibri" w:cs="Calibri"/>
          <w:bCs/>
          <w:sz w:val="22"/>
          <w:szCs w:val="22"/>
          <w:lang w:val="fr-FR"/>
        </w:rPr>
        <w:t xml:space="preserve">a été réalisé par PricewaterhouseCoopers le 26 avril 2016. Les états financiers 2015 </w:t>
      </w:r>
      <w:r w:rsidR="00EB752B" w:rsidRPr="00E03828">
        <w:rPr>
          <w:rFonts w:ascii="Calibri" w:hAnsi="Calibri" w:cs="Calibri"/>
          <w:bCs/>
          <w:sz w:val="22"/>
          <w:szCs w:val="22"/>
          <w:lang w:val="fr-FR"/>
        </w:rPr>
        <w:t>au 31 décembre 2015 (établi</w:t>
      </w:r>
      <w:r w:rsidR="00540B56">
        <w:rPr>
          <w:rFonts w:ascii="Calibri" w:hAnsi="Calibri" w:cs="Calibri"/>
          <w:bCs/>
          <w:sz w:val="22"/>
          <w:szCs w:val="22"/>
          <w:lang w:val="fr-FR"/>
        </w:rPr>
        <w:t>s</w:t>
      </w:r>
      <w:r w:rsidR="00EB752B" w:rsidRPr="00E03828">
        <w:rPr>
          <w:rFonts w:ascii="Calibri" w:hAnsi="Calibri" w:cs="Calibri"/>
          <w:bCs/>
          <w:sz w:val="22"/>
          <w:szCs w:val="22"/>
          <w:lang w:val="fr-FR"/>
        </w:rPr>
        <w:t xml:space="preserve"> selon le modèle de rapport suisse</w:t>
      </w:r>
      <w:r w:rsidRPr="00E03828">
        <w:rPr>
          <w:rFonts w:ascii="Calibri" w:hAnsi="Calibri" w:cs="Calibri"/>
          <w:bCs/>
          <w:sz w:val="22"/>
          <w:szCs w:val="22"/>
          <w:lang w:val="fr-FR"/>
        </w:rPr>
        <w:t xml:space="preserve"> requis</w:t>
      </w:r>
      <w:r w:rsidR="00EB752B" w:rsidRPr="00E03828">
        <w:rPr>
          <w:rFonts w:ascii="Calibri" w:hAnsi="Calibri" w:cs="Calibri"/>
          <w:bCs/>
          <w:sz w:val="22"/>
          <w:szCs w:val="22"/>
          <w:lang w:val="fr-FR"/>
        </w:rPr>
        <w:t xml:space="preserve">) </w:t>
      </w:r>
      <w:r w:rsidRPr="00E03828">
        <w:rPr>
          <w:rFonts w:ascii="Calibri" w:hAnsi="Calibri" w:cs="Calibri"/>
          <w:bCs/>
          <w:sz w:val="22"/>
          <w:szCs w:val="22"/>
          <w:lang w:val="fr-FR"/>
        </w:rPr>
        <w:t>figurent</w:t>
      </w:r>
      <w:r w:rsidR="00EB752B" w:rsidRPr="00E03828">
        <w:rPr>
          <w:rFonts w:ascii="Calibri" w:hAnsi="Calibri" w:cs="Calibri"/>
          <w:bCs/>
          <w:sz w:val="22"/>
          <w:szCs w:val="22"/>
          <w:lang w:val="fr-FR"/>
        </w:rPr>
        <w:t xml:space="preserve"> en annexe 1 au présent document</w:t>
      </w:r>
      <w:r w:rsidR="00572E4F" w:rsidRPr="00E03828">
        <w:rPr>
          <w:rFonts w:ascii="Calibri" w:hAnsi="Calibri" w:cs="Calibri"/>
          <w:bCs/>
          <w:sz w:val="22"/>
          <w:szCs w:val="22"/>
          <w:lang w:val="fr-FR"/>
        </w:rPr>
        <w:t>.</w:t>
      </w:r>
    </w:p>
    <w:p w:rsidR="00CE5742" w:rsidRPr="00E03828" w:rsidRDefault="00CE5742" w:rsidP="00CE5742">
      <w:pPr>
        <w:pStyle w:val="ListParagraph"/>
        <w:ind w:left="426"/>
        <w:rPr>
          <w:rFonts w:ascii="Calibri" w:hAnsi="Calibri" w:cs="Calibri"/>
          <w:bCs/>
          <w:sz w:val="22"/>
          <w:szCs w:val="22"/>
          <w:lang w:val="fr-FR"/>
        </w:rPr>
      </w:pPr>
    </w:p>
    <w:p w:rsidR="00FF69BF" w:rsidRPr="00E03828" w:rsidRDefault="00572E4F" w:rsidP="00842399">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 xml:space="preserve">Une synthèse du budget administratif 2015 approuvé et des recettes et dépenses </w:t>
      </w:r>
      <w:r w:rsidR="00BA7DBA" w:rsidRPr="00E03828">
        <w:rPr>
          <w:rFonts w:ascii="Calibri" w:hAnsi="Calibri" w:cs="Calibri"/>
          <w:bCs/>
          <w:sz w:val="22"/>
          <w:szCs w:val="22"/>
          <w:lang w:val="fr-FR"/>
        </w:rPr>
        <w:t>réelles</w:t>
      </w:r>
      <w:r w:rsidRPr="00E03828">
        <w:rPr>
          <w:rFonts w:ascii="Calibri" w:hAnsi="Calibri" w:cs="Calibri"/>
          <w:bCs/>
          <w:sz w:val="22"/>
          <w:szCs w:val="22"/>
          <w:lang w:val="fr-FR"/>
        </w:rPr>
        <w:t xml:space="preserve"> </w:t>
      </w:r>
      <w:r w:rsidR="0095699D" w:rsidRPr="00E03828">
        <w:rPr>
          <w:rFonts w:ascii="Calibri" w:hAnsi="Calibri" w:cs="Calibri"/>
          <w:bCs/>
          <w:sz w:val="22"/>
          <w:szCs w:val="22"/>
          <w:lang w:val="fr-FR"/>
        </w:rPr>
        <w:t>au 31 décembre 2015 en regard du budget prévu à la 48</w:t>
      </w:r>
      <w:r w:rsidR="0095699D" w:rsidRPr="00E03828">
        <w:rPr>
          <w:rFonts w:ascii="Calibri" w:hAnsi="Calibri" w:cs="Calibri"/>
          <w:bCs/>
          <w:sz w:val="22"/>
          <w:szCs w:val="22"/>
          <w:vertAlign w:val="superscript"/>
          <w:lang w:val="fr-FR"/>
        </w:rPr>
        <w:t>e</w:t>
      </w:r>
      <w:r w:rsidR="0095699D" w:rsidRPr="00E03828">
        <w:rPr>
          <w:rFonts w:ascii="Calibri" w:hAnsi="Calibri" w:cs="Calibri"/>
          <w:bCs/>
          <w:sz w:val="22"/>
          <w:szCs w:val="22"/>
          <w:lang w:val="fr-FR"/>
        </w:rPr>
        <w:t xml:space="preserve"> Réunion du Comité permanent figure en annexe 2. Les chiffres sont présentés selon le modèle de rapport Ramsar.</w:t>
      </w:r>
    </w:p>
    <w:p w:rsidR="00515D38" w:rsidRPr="00E03828" w:rsidRDefault="00515D38" w:rsidP="00842399">
      <w:pPr>
        <w:ind w:left="540" w:hanging="540"/>
        <w:rPr>
          <w:rFonts w:ascii="Calibri" w:hAnsi="Calibri" w:cs="Calibri"/>
          <w:b/>
          <w:bCs/>
          <w:sz w:val="22"/>
          <w:szCs w:val="22"/>
          <w:lang w:val="fr-FR"/>
        </w:rPr>
      </w:pPr>
    </w:p>
    <w:p w:rsidR="00770D8F" w:rsidRPr="00E03828" w:rsidRDefault="009A4EEF" w:rsidP="00770D8F">
      <w:pPr>
        <w:ind w:left="540" w:hanging="540"/>
        <w:rPr>
          <w:rFonts w:ascii="Calibri" w:hAnsi="Calibri"/>
          <w:b/>
          <w:sz w:val="22"/>
          <w:lang w:val="fr-FR"/>
        </w:rPr>
      </w:pPr>
      <w:r w:rsidRPr="00E03828">
        <w:rPr>
          <w:rFonts w:ascii="Calibri" w:hAnsi="Calibri"/>
          <w:b/>
          <w:sz w:val="22"/>
          <w:lang w:val="fr-FR"/>
        </w:rPr>
        <w:t>Réaffectation</w:t>
      </w:r>
      <w:r w:rsidR="0095699D" w:rsidRPr="00E03828">
        <w:rPr>
          <w:rFonts w:ascii="Calibri" w:hAnsi="Calibri"/>
          <w:b/>
          <w:sz w:val="22"/>
          <w:lang w:val="fr-FR"/>
        </w:rPr>
        <w:t xml:space="preserve"> des excédents 2014</w:t>
      </w:r>
    </w:p>
    <w:p w:rsidR="00770D8F" w:rsidRPr="00E03828" w:rsidRDefault="00770D8F" w:rsidP="00770D8F">
      <w:pPr>
        <w:ind w:left="426" w:hanging="426"/>
        <w:rPr>
          <w:rFonts w:ascii="Calibri" w:hAnsi="Calibri"/>
          <w:sz w:val="22"/>
          <w:lang w:val="fr-FR"/>
        </w:rPr>
      </w:pPr>
    </w:p>
    <w:p w:rsidR="00770D8F" w:rsidRPr="00E03828" w:rsidRDefault="009A4EEF" w:rsidP="009A4EEF">
      <w:pPr>
        <w:numPr>
          <w:ilvl w:val="0"/>
          <w:numId w:val="2"/>
        </w:numPr>
        <w:ind w:left="426" w:hanging="426"/>
        <w:rPr>
          <w:rFonts w:ascii="Calibri" w:hAnsi="Calibri" w:cs="Calibri"/>
          <w:bCs/>
          <w:sz w:val="22"/>
          <w:szCs w:val="22"/>
          <w:lang w:val="fr-FR"/>
        </w:rPr>
      </w:pPr>
      <w:r w:rsidRPr="00E03828">
        <w:rPr>
          <w:rFonts w:ascii="Calibri" w:hAnsi="Calibri" w:cs="Calibri"/>
          <w:sz w:val="22"/>
          <w:szCs w:val="22"/>
          <w:lang w:val="fr-FR"/>
        </w:rPr>
        <w:t>La réaffectation</w:t>
      </w:r>
      <w:r w:rsidR="0095699D" w:rsidRPr="00E03828">
        <w:rPr>
          <w:rFonts w:ascii="Calibri" w:hAnsi="Calibri" w:cs="Calibri"/>
          <w:sz w:val="22"/>
          <w:szCs w:val="22"/>
          <w:lang w:val="fr-FR"/>
        </w:rPr>
        <w:t xml:space="preserve"> d</w:t>
      </w:r>
      <w:r w:rsidRPr="00E03828">
        <w:rPr>
          <w:rFonts w:ascii="Calibri" w:hAnsi="Calibri" w:cs="Calibri"/>
          <w:sz w:val="22"/>
          <w:szCs w:val="22"/>
          <w:lang w:val="fr-FR"/>
        </w:rPr>
        <w:t>es excédents 2014 telle</w:t>
      </w:r>
      <w:r w:rsidR="0095699D" w:rsidRPr="00E03828">
        <w:rPr>
          <w:rFonts w:ascii="Calibri" w:hAnsi="Calibri" w:cs="Calibri"/>
          <w:sz w:val="22"/>
          <w:szCs w:val="22"/>
          <w:lang w:val="fr-FR"/>
        </w:rPr>
        <w:t xml:space="preserve"> qu’</w:t>
      </w:r>
      <w:r w:rsidRPr="00E03828">
        <w:rPr>
          <w:rFonts w:ascii="Calibri" w:hAnsi="Calibri" w:cs="Calibri"/>
          <w:sz w:val="22"/>
          <w:szCs w:val="22"/>
          <w:lang w:val="fr-FR"/>
        </w:rPr>
        <w:t>approuvée</w:t>
      </w:r>
      <w:r w:rsidR="0095699D" w:rsidRPr="00E03828">
        <w:rPr>
          <w:rFonts w:ascii="Calibri" w:hAnsi="Calibri" w:cs="Calibri"/>
          <w:sz w:val="22"/>
          <w:szCs w:val="22"/>
          <w:lang w:val="fr-FR"/>
        </w:rPr>
        <w:t xml:space="preserve"> dans la décision SC51-22</w:t>
      </w:r>
      <w:r w:rsidRPr="00E03828">
        <w:rPr>
          <w:rFonts w:ascii="Calibri" w:hAnsi="Calibri" w:cs="Calibri"/>
          <w:bCs/>
          <w:sz w:val="22"/>
          <w:szCs w:val="22"/>
          <w:lang w:val="fr-FR"/>
        </w:rPr>
        <w:t xml:space="preserve">, les dépenses </w:t>
      </w:r>
      <w:r w:rsidR="00916A08" w:rsidRPr="00E03828">
        <w:rPr>
          <w:rFonts w:ascii="Calibri" w:hAnsi="Calibri" w:cs="Calibri"/>
          <w:bCs/>
          <w:sz w:val="22"/>
          <w:szCs w:val="22"/>
          <w:lang w:val="fr-FR"/>
        </w:rPr>
        <w:t>réelles</w:t>
      </w:r>
      <w:r w:rsidRPr="00E03828">
        <w:rPr>
          <w:rFonts w:ascii="Calibri" w:hAnsi="Calibri" w:cs="Calibri"/>
          <w:bCs/>
          <w:sz w:val="22"/>
          <w:szCs w:val="22"/>
          <w:lang w:val="fr-FR"/>
        </w:rPr>
        <w:t xml:space="preserve"> liées aux différentes ac</w:t>
      </w:r>
      <w:r w:rsidR="00CF6C57" w:rsidRPr="00E03828">
        <w:rPr>
          <w:rFonts w:ascii="Calibri" w:hAnsi="Calibri" w:cs="Calibri"/>
          <w:bCs/>
          <w:sz w:val="22"/>
          <w:szCs w:val="22"/>
          <w:lang w:val="fr-FR"/>
        </w:rPr>
        <w:t xml:space="preserve">tivités et le solde restant de </w:t>
      </w:r>
      <w:r w:rsidRPr="00E03828">
        <w:rPr>
          <w:rFonts w:ascii="Calibri" w:hAnsi="Calibri" w:cs="Calibri"/>
          <w:bCs/>
          <w:sz w:val="22"/>
          <w:szCs w:val="22"/>
          <w:lang w:val="fr-FR"/>
        </w:rPr>
        <w:t xml:space="preserve">6 000 CHF sont présentés dans le </w:t>
      </w:r>
      <w:r w:rsidRPr="00E03828">
        <w:rPr>
          <w:rFonts w:ascii="Calibri" w:hAnsi="Calibri" w:cs="Calibri"/>
          <w:sz w:val="22"/>
          <w:szCs w:val="22"/>
          <w:lang w:val="fr-FR"/>
        </w:rPr>
        <w:t>t</w:t>
      </w:r>
      <w:r w:rsidR="00770D8F" w:rsidRPr="00E03828">
        <w:rPr>
          <w:rFonts w:ascii="Calibri" w:hAnsi="Calibri" w:cs="Calibri"/>
          <w:sz w:val="22"/>
          <w:szCs w:val="22"/>
          <w:lang w:val="fr-FR"/>
        </w:rPr>
        <w:t>able</w:t>
      </w:r>
      <w:r w:rsidRPr="00E03828">
        <w:rPr>
          <w:rFonts w:ascii="Calibri" w:hAnsi="Calibri" w:cs="Calibri"/>
          <w:sz w:val="22"/>
          <w:szCs w:val="22"/>
          <w:lang w:val="fr-FR"/>
        </w:rPr>
        <w:t>au </w:t>
      </w:r>
      <w:r w:rsidR="008A77C9" w:rsidRPr="00E03828">
        <w:rPr>
          <w:rFonts w:ascii="Calibri" w:hAnsi="Calibri" w:cs="Calibri"/>
          <w:sz w:val="22"/>
          <w:szCs w:val="22"/>
          <w:lang w:val="fr-FR"/>
        </w:rPr>
        <w:t>1</w:t>
      </w:r>
      <w:r w:rsidRPr="00E03828">
        <w:rPr>
          <w:rFonts w:ascii="Calibri" w:hAnsi="Calibri" w:cs="Calibri"/>
          <w:sz w:val="22"/>
          <w:szCs w:val="22"/>
          <w:lang w:val="fr-FR"/>
        </w:rPr>
        <w:t>. Une proposition concernant l’affectation du solde restant est présentée au</w:t>
      </w:r>
      <w:r w:rsidR="00812E6B" w:rsidRPr="00E03828">
        <w:rPr>
          <w:rFonts w:ascii="Calibri" w:hAnsi="Calibri" w:cs="Calibri"/>
          <w:sz w:val="22"/>
          <w:szCs w:val="22"/>
          <w:lang w:val="fr-FR"/>
        </w:rPr>
        <w:t xml:space="preserve"> paragraph</w:t>
      </w:r>
      <w:r w:rsidRPr="00E03828">
        <w:rPr>
          <w:rFonts w:ascii="Calibri" w:hAnsi="Calibri" w:cs="Calibri"/>
          <w:sz w:val="22"/>
          <w:szCs w:val="22"/>
          <w:lang w:val="fr-FR"/>
        </w:rPr>
        <w:t>e </w:t>
      </w:r>
      <w:r w:rsidR="00812E6B" w:rsidRPr="00E03828">
        <w:rPr>
          <w:rFonts w:ascii="Calibri" w:hAnsi="Calibri" w:cs="Calibri"/>
          <w:sz w:val="22"/>
          <w:szCs w:val="22"/>
          <w:lang w:val="fr-FR"/>
        </w:rPr>
        <w:t>7.</w:t>
      </w:r>
      <w:r w:rsidR="00770D8F" w:rsidRPr="00E03828">
        <w:rPr>
          <w:rFonts w:ascii="Calibri" w:hAnsi="Calibri" w:cs="Calibri"/>
          <w:sz w:val="22"/>
          <w:szCs w:val="22"/>
          <w:lang w:val="fr-FR"/>
        </w:rPr>
        <w:t xml:space="preserve"> </w:t>
      </w:r>
    </w:p>
    <w:p w:rsidR="00770D8F" w:rsidRPr="00E03828" w:rsidRDefault="00770D8F" w:rsidP="00770D8F">
      <w:pPr>
        <w:rPr>
          <w:rFonts w:ascii="Calibri" w:hAnsi="Calibri" w:cs="Calibri"/>
          <w:sz w:val="22"/>
          <w:szCs w:val="22"/>
          <w:lang w:val="fr-FR"/>
        </w:rPr>
      </w:pPr>
    </w:p>
    <w:p w:rsidR="00770D8F" w:rsidRPr="00E03828" w:rsidRDefault="00770D8F" w:rsidP="00770D8F">
      <w:pPr>
        <w:rPr>
          <w:rFonts w:ascii="Calibri" w:hAnsi="Calibri"/>
          <w:sz w:val="22"/>
          <w:lang w:val="fr-FR"/>
        </w:rPr>
      </w:pPr>
      <w:r w:rsidRPr="00E03828">
        <w:rPr>
          <w:rFonts w:ascii="Calibri" w:hAnsi="Calibri" w:cs="Calibri"/>
          <w:b/>
          <w:sz w:val="22"/>
          <w:szCs w:val="22"/>
          <w:lang w:val="fr-FR"/>
        </w:rPr>
        <w:t>Table</w:t>
      </w:r>
      <w:r w:rsidR="009A4EEF" w:rsidRPr="00E03828">
        <w:rPr>
          <w:rFonts w:ascii="Calibri" w:hAnsi="Calibri" w:cs="Calibri"/>
          <w:b/>
          <w:sz w:val="22"/>
          <w:szCs w:val="22"/>
          <w:lang w:val="fr-FR"/>
        </w:rPr>
        <w:t>au</w:t>
      </w:r>
      <w:r w:rsidRPr="00E03828">
        <w:rPr>
          <w:rFonts w:ascii="Calibri" w:hAnsi="Calibri" w:cs="Calibri"/>
          <w:b/>
          <w:sz w:val="22"/>
          <w:szCs w:val="22"/>
          <w:lang w:val="fr-FR"/>
        </w:rPr>
        <w:t xml:space="preserve"> 1</w:t>
      </w:r>
      <w:r w:rsidR="009A4EEF" w:rsidRPr="00E03828">
        <w:rPr>
          <w:rFonts w:ascii="Calibri" w:hAnsi="Calibri" w:cs="Calibri"/>
          <w:b/>
          <w:sz w:val="22"/>
          <w:szCs w:val="22"/>
          <w:lang w:val="fr-FR"/>
        </w:rPr>
        <w:t> </w:t>
      </w:r>
      <w:r w:rsidR="002C53F9" w:rsidRPr="00E03828">
        <w:rPr>
          <w:rFonts w:ascii="Calibri" w:hAnsi="Calibri" w:cs="Calibri"/>
          <w:b/>
          <w:sz w:val="22"/>
          <w:szCs w:val="22"/>
          <w:lang w:val="fr-FR"/>
        </w:rPr>
        <w:t>:</w:t>
      </w:r>
      <w:r w:rsidR="00CF35B0" w:rsidRPr="00E03828">
        <w:rPr>
          <w:rFonts w:ascii="Calibri" w:hAnsi="Calibri" w:cs="Calibri"/>
          <w:b/>
          <w:sz w:val="22"/>
          <w:szCs w:val="22"/>
          <w:lang w:val="fr-FR"/>
        </w:rPr>
        <w:t xml:space="preserve"> </w:t>
      </w:r>
      <w:r w:rsidR="009A4EEF" w:rsidRPr="00E03828">
        <w:rPr>
          <w:rFonts w:ascii="Calibri" w:hAnsi="Calibri" w:cs="Calibri"/>
          <w:sz w:val="22"/>
          <w:szCs w:val="22"/>
          <w:lang w:val="fr-FR"/>
        </w:rPr>
        <w:t>Réaffectation des excédents 2014 telle qu’approuvée</w:t>
      </w:r>
      <w:r w:rsidR="009A4EEF" w:rsidRPr="00E03828">
        <w:rPr>
          <w:rFonts w:ascii="Calibri" w:hAnsi="Calibri" w:cs="Calibri"/>
          <w:b/>
          <w:sz w:val="22"/>
          <w:szCs w:val="22"/>
          <w:lang w:val="fr-FR"/>
        </w:rPr>
        <w:t xml:space="preserve"> </w:t>
      </w:r>
      <w:r w:rsidR="009A4EEF" w:rsidRPr="00E03828">
        <w:rPr>
          <w:rFonts w:ascii="Calibri" w:hAnsi="Calibri"/>
          <w:sz w:val="22"/>
          <w:lang w:val="fr-FR"/>
        </w:rPr>
        <w:t>à la 51</w:t>
      </w:r>
      <w:r w:rsidR="009A4EEF" w:rsidRPr="00E03828">
        <w:rPr>
          <w:rFonts w:ascii="Calibri" w:hAnsi="Calibri"/>
          <w:sz w:val="22"/>
          <w:vertAlign w:val="superscript"/>
          <w:lang w:val="fr-FR"/>
        </w:rPr>
        <w:t>e</w:t>
      </w:r>
      <w:r w:rsidR="009A4EEF" w:rsidRPr="00E03828">
        <w:rPr>
          <w:rFonts w:ascii="Calibri" w:hAnsi="Calibri"/>
          <w:sz w:val="22"/>
          <w:lang w:val="fr-FR"/>
        </w:rPr>
        <w:t xml:space="preserve"> Réunion du Comité permanent</w:t>
      </w:r>
      <w:r w:rsidR="00CF6C57" w:rsidRPr="00E03828">
        <w:rPr>
          <w:rFonts w:ascii="Calibri" w:hAnsi="Calibri"/>
          <w:sz w:val="22"/>
          <w:lang w:val="fr-FR"/>
        </w:rPr>
        <w:t xml:space="preserve"> (</w:t>
      </w:r>
      <w:r w:rsidR="00CF6C57" w:rsidRPr="00E03828">
        <w:rPr>
          <w:rFonts w:ascii="Calibri" w:hAnsi="Calibri" w:cs="Calibri"/>
          <w:sz w:val="22"/>
          <w:szCs w:val="22"/>
          <w:lang w:val="fr-FR"/>
        </w:rPr>
        <w:t>en milliers de CHF, erreurs d’arrondis comprises)</w:t>
      </w:r>
    </w:p>
    <w:tbl>
      <w:tblPr>
        <w:tblW w:w="8840" w:type="dxa"/>
        <w:tblInd w:w="93" w:type="dxa"/>
        <w:tblLayout w:type="fixed"/>
        <w:tblLook w:val="04A0" w:firstRow="1" w:lastRow="0" w:firstColumn="1" w:lastColumn="0" w:noHBand="0" w:noVBand="1"/>
      </w:tblPr>
      <w:tblGrid>
        <w:gridCol w:w="5118"/>
        <w:gridCol w:w="1240"/>
        <w:gridCol w:w="1241"/>
        <w:gridCol w:w="1241"/>
      </w:tblGrid>
      <w:tr w:rsidR="00F127C1" w:rsidRPr="003F3195" w:rsidTr="005918FC">
        <w:trPr>
          <w:trHeight w:val="288"/>
        </w:trPr>
        <w:tc>
          <w:tcPr>
            <w:tcW w:w="5118"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F127C1" w:rsidRPr="00E03828" w:rsidRDefault="00A91769" w:rsidP="00A91769">
            <w:pPr>
              <w:rPr>
                <w:rFonts w:ascii="Calibri" w:eastAsia="Times New Roman" w:hAnsi="Calibri"/>
                <w:b/>
                <w:bCs/>
                <w:color w:val="000000"/>
                <w:sz w:val="22"/>
                <w:szCs w:val="22"/>
                <w:lang w:val="fr-FR" w:eastAsia="en-GB"/>
              </w:rPr>
            </w:pPr>
            <w:r w:rsidRPr="00E03828">
              <w:rPr>
                <w:rFonts w:ascii="Calibri" w:hAnsi="Calibri" w:cs="Calibri"/>
                <w:b/>
                <w:sz w:val="22"/>
                <w:szCs w:val="22"/>
                <w:lang w:val="fr-FR"/>
              </w:rPr>
              <w:t xml:space="preserve">Réaffectation approuvée </w:t>
            </w:r>
            <w:r w:rsidRPr="00E03828">
              <w:rPr>
                <w:rFonts w:ascii="Calibri" w:hAnsi="Calibri"/>
                <w:b/>
                <w:sz w:val="22"/>
                <w:lang w:val="fr-FR"/>
              </w:rPr>
              <w:t>à la 51</w:t>
            </w:r>
            <w:r w:rsidRPr="00E03828">
              <w:rPr>
                <w:rFonts w:ascii="Calibri" w:hAnsi="Calibri"/>
                <w:b/>
                <w:sz w:val="22"/>
                <w:vertAlign w:val="superscript"/>
                <w:lang w:val="fr-FR"/>
              </w:rPr>
              <w:t>e</w:t>
            </w:r>
            <w:r w:rsidRPr="00E03828">
              <w:rPr>
                <w:rFonts w:ascii="Calibri" w:hAnsi="Calibri"/>
                <w:b/>
                <w:sz w:val="22"/>
                <w:lang w:val="fr-FR"/>
              </w:rPr>
              <w:t xml:space="preserve"> Réunion du Comité permanent</w:t>
            </w:r>
          </w:p>
        </w:tc>
        <w:tc>
          <w:tcPr>
            <w:tcW w:w="3722" w:type="dxa"/>
            <w:gridSpan w:val="3"/>
            <w:tcBorders>
              <w:top w:val="single" w:sz="4" w:space="0" w:color="auto"/>
              <w:left w:val="nil"/>
              <w:bottom w:val="single" w:sz="4" w:space="0" w:color="auto"/>
              <w:right w:val="single" w:sz="4" w:space="0" w:color="auto"/>
            </w:tcBorders>
            <w:shd w:val="clear" w:color="000000" w:fill="8DB4E2"/>
            <w:vAlign w:val="bottom"/>
            <w:hideMark/>
          </w:tcPr>
          <w:p w:rsidR="00F127C1" w:rsidRPr="00E03828" w:rsidRDefault="00F127C1" w:rsidP="003E2885">
            <w:pPr>
              <w:rPr>
                <w:rFonts w:ascii="Calibri" w:hAnsi="Calibri"/>
                <w:sz w:val="22"/>
                <w:lang w:val="fr-FR"/>
              </w:rPr>
            </w:pPr>
          </w:p>
        </w:tc>
      </w:tr>
      <w:tr w:rsidR="00F127C1" w:rsidRPr="00E03828" w:rsidTr="00B34800">
        <w:trPr>
          <w:trHeight w:val="288"/>
        </w:trPr>
        <w:tc>
          <w:tcPr>
            <w:tcW w:w="5118" w:type="dxa"/>
            <w:tcBorders>
              <w:top w:val="nil"/>
              <w:left w:val="single" w:sz="4" w:space="0" w:color="auto"/>
              <w:bottom w:val="single" w:sz="4" w:space="0" w:color="auto"/>
              <w:right w:val="single" w:sz="4" w:space="0" w:color="auto"/>
            </w:tcBorders>
            <w:shd w:val="clear" w:color="000000" w:fill="8DB4E2"/>
            <w:noWrap/>
            <w:vAlign w:val="bottom"/>
            <w:hideMark/>
          </w:tcPr>
          <w:p w:rsidR="00770D8F" w:rsidRPr="00E03828" w:rsidRDefault="00770D8F" w:rsidP="0044625F">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Description</w:t>
            </w:r>
          </w:p>
        </w:tc>
        <w:tc>
          <w:tcPr>
            <w:tcW w:w="1240" w:type="dxa"/>
            <w:tcBorders>
              <w:top w:val="nil"/>
              <w:left w:val="nil"/>
              <w:bottom w:val="single" w:sz="4" w:space="0" w:color="auto"/>
              <w:right w:val="single" w:sz="4" w:space="0" w:color="auto"/>
            </w:tcBorders>
            <w:shd w:val="clear" w:color="000000" w:fill="8DB4E2"/>
            <w:noWrap/>
            <w:vAlign w:val="bottom"/>
            <w:hideMark/>
          </w:tcPr>
          <w:p w:rsidR="00770D8F" w:rsidRPr="00E03828" w:rsidRDefault="00770D8F" w:rsidP="0044625F">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Budget</w:t>
            </w:r>
          </w:p>
        </w:tc>
        <w:tc>
          <w:tcPr>
            <w:tcW w:w="1241" w:type="dxa"/>
            <w:tcBorders>
              <w:top w:val="nil"/>
              <w:left w:val="nil"/>
              <w:bottom w:val="single" w:sz="4" w:space="0" w:color="auto"/>
              <w:right w:val="single" w:sz="4" w:space="0" w:color="auto"/>
            </w:tcBorders>
            <w:shd w:val="clear" w:color="000000" w:fill="8DB4E2"/>
            <w:noWrap/>
            <w:vAlign w:val="bottom"/>
            <w:hideMark/>
          </w:tcPr>
          <w:p w:rsidR="00770D8F" w:rsidRPr="00E03828" w:rsidRDefault="003E2885" w:rsidP="00ED7317">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xml:space="preserve">Dépenses </w:t>
            </w:r>
            <w:r w:rsidR="00ED7317" w:rsidRPr="00E03828">
              <w:rPr>
                <w:rFonts w:ascii="Calibri" w:eastAsia="Times New Roman" w:hAnsi="Calibri"/>
                <w:b/>
                <w:bCs/>
                <w:color w:val="000000"/>
                <w:sz w:val="22"/>
                <w:szCs w:val="22"/>
                <w:lang w:val="fr-FR" w:eastAsia="en-GB"/>
              </w:rPr>
              <w:t>réelles</w:t>
            </w:r>
          </w:p>
        </w:tc>
        <w:tc>
          <w:tcPr>
            <w:tcW w:w="1241" w:type="dxa"/>
            <w:tcBorders>
              <w:top w:val="nil"/>
              <w:left w:val="nil"/>
              <w:bottom w:val="single" w:sz="4" w:space="0" w:color="auto"/>
              <w:right w:val="single" w:sz="4" w:space="0" w:color="auto"/>
            </w:tcBorders>
            <w:shd w:val="clear" w:color="000000" w:fill="8DB4E2"/>
            <w:noWrap/>
            <w:vAlign w:val="bottom"/>
            <w:hideMark/>
          </w:tcPr>
          <w:p w:rsidR="00770D8F" w:rsidRPr="00E03828" w:rsidRDefault="003E2885" w:rsidP="0044625F">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Écart</w:t>
            </w:r>
          </w:p>
        </w:tc>
      </w:tr>
      <w:tr w:rsidR="00F127C1" w:rsidRPr="00E03828" w:rsidTr="00B34800">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916A08" w:rsidP="0044625F">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Excédent B</w:t>
            </w:r>
            <w:r w:rsidR="00A91769" w:rsidRPr="00E03828">
              <w:rPr>
                <w:rFonts w:ascii="Calibri" w:eastAsia="Times New Roman" w:hAnsi="Calibri"/>
                <w:b/>
                <w:bCs/>
                <w:color w:val="000000"/>
                <w:sz w:val="22"/>
                <w:szCs w:val="22"/>
                <w:lang w:val="fr-FR" w:eastAsia="en-GB"/>
              </w:rPr>
              <w:t>udget administratif</w:t>
            </w:r>
          </w:p>
        </w:tc>
        <w:tc>
          <w:tcPr>
            <w:tcW w:w="1240" w:type="dxa"/>
            <w:tcBorders>
              <w:top w:val="nil"/>
              <w:left w:val="single" w:sz="4" w:space="0" w:color="auto"/>
              <w:bottom w:val="nil"/>
              <w:right w:val="single" w:sz="4" w:space="0" w:color="auto"/>
            </w:tcBorders>
            <w:shd w:val="clear" w:color="000000" w:fill="D9D9D9"/>
            <w:noWrap/>
            <w:vAlign w:val="bottom"/>
            <w:hideMark/>
          </w:tcPr>
          <w:p w:rsidR="00770D8F" w:rsidRPr="00E03828" w:rsidRDefault="00770D8F" w:rsidP="0044625F">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459</w:t>
            </w:r>
          </w:p>
        </w:tc>
        <w:tc>
          <w:tcPr>
            <w:tcW w:w="1241" w:type="dxa"/>
            <w:tcBorders>
              <w:top w:val="nil"/>
              <w:left w:val="nil"/>
              <w:bottom w:val="nil"/>
              <w:right w:val="single" w:sz="4" w:space="0" w:color="auto"/>
            </w:tcBorders>
            <w:shd w:val="clear" w:color="000000" w:fill="D9D9D9"/>
            <w:noWrap/>
            <w:vAlign w:val="bottom"/>
            <w:hideMark/>
          </w:tcPr>
          <w:p w:rsidR="00770D8F" w:rsidRPr="00E03828" w:rsidRDefault="00770D8F" w:rsidP="0044625F">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459</w:t>
            </w:r>
          </w:p>
        </w:tc>
        <w:tc>
          <w:tcPr>
            <w:tcW w:w="1241" w:type="dxa"/>
            <w:tcBorders>
              <w:top w:val="nil"/>
              <w:left w:val="nil"/>
              <w:bottom w:val="nil"/>
              <w:right w:val="single" w:sz="4" w:space="0" w:color="auto"/>
            </w:tcBorders>
            <w:shd w:val="clear" w:color="000000" w:fill="D9D9D9"/>
            <w:noWrap/>
            <w:vAlign w:val="bottom"/>
            <w:hideMark/>
          </w:tcPr>
          <w:p w:rsidR="00770D8F" w:rsidRPr="00E03828" w:rsidRDefault="00770D8F" w:rsidP="0044625F">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0</w:t>
            </w:r>
          </w:p>
        </w:tc>
      </w:tr>
      <w:tr w:rsidR="00F127C1" w:rsidRPr="00E03828" w:rsidTr="00B34800">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A91769" w:rsidP="0044625F">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xml:space="preserve">Fonds engagés </w:t>
            </w:r>
            <w:r w:rsidR="00770D8F" w:rsidRPr="00E03828">
              <w:rPr>
                <w:rFonts w:ascii="Calibri" w:eastAsia="Times New Roman" w:hAnsi="Calibri"/>
                <w:b/>
                <w:bCs/>
                <w:color w:val="000000"/>
                <w:sz w:val="22"/>
                <w:szCs w:val="22"/>
                <w:lang w:val="fr-FR" w:eastAsia="en-GB"/>
              </w:rPr>
              <w:t>:</w:t>
            </w:r>
          </w:p>
        </w:tc>
        <w:tc>
          <w:tcPr>
            <w:tcW w:w="1240" w:type="dxa"/>
            <w:tcBorders>
              <w:top w:val="nil"/>
              <w:left w:val="single" w:sz="4" w:space="0" w:color="auto"/>
              <w:bottom w:val="nil"/>
              <w:right w:val="single" w:sz="4" w:space="0" w:color="auto"/>
            </w:tcBorders>
            <w:shd w:val="clear" w:color="auto" w:fill="auto"/>
            <w:noWrap/>
            <w:vAlign w:val="bottom"/>
            <w:hideMark/>
          </w:tcPr>
          <w:p w:rsidR="00770D8F" w:rsidRPr="00E03828" w:rsidRDefault="00770D8F" w:rsidP="0044625F">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r>
      <w:tr w:rsidR="00F127C1" w:rsidRPr="00E03828" w:rsidTr="00B34800">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770D8F" w:rsidP="0044625F">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ENB (</w:t>
            </w:r>
            <w:r w:rsidR="00A91769" w:rsidRPr="00E03828">
              <w:rPr>
                <w:rFonts w:ascii="Calibri" w:eastAsia="Times New Roman" w:hAnsi="Calibri"/>
                <w:color w:val="000000"/>
                <w:sz w:val="22"/>
                <w:szCs w:val="22"/>
                <w:lang w:val="fr-FR" w:eastAsia="en-GB"/>
              </w:rPr>
              <w:t>appui à la COP12</w:t>
            </w:r>
            <w:r w:rsidRPr="00E03828">
              <w:rPr>
                <w:rFonts w:ascii="Calibri" w:eastAsia="Times New Roman" w:hAnsi="Calibri"/>
                <w:color w:val="000000"/>
                <w:sz w:val="22"/>
                <w:szCs w:val="22"/>
                <w:lang w:val="fr-FR" w:eastAsia="en-GB"/>
              </w:rPr>
              <w:t>)</w:t>
            </w:r>
          </w:p>
        </w:tc>
        <w:tc>
          <w:tcPr>
            <w:tcW w:w="1240" w:type="dxa"/>
            <w:tcBorders>
              <w:top w:val="nil"/>
              <w:left w:val="single" w:sz="4" w:space="0" w:color="auto"/>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50</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CF6C57">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4</w:t>
            </w:r>
            <w:r w:rsidR="00CF6C57" w:rsidRPr="00E03828">
              <w:rPr>
                <w:rFonts w:ascii="Calibri" w:eastAsia="Times New Roman" w:hAnsi="Calibri"/>
                <w:color w:val="000000"/>
                <w:sz w:val="22"/>
                <w:szCs w:val="22"/>
                <w:lang w:val="fr-FR" w:eastAsia="en-GB"/>
              </w:rPr>
              <w:t>9</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CF6C57"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w:t>
            </w:r>
          </w:p>
        </w:tc>
      </w:tr>
      <w:tr w:rsidR="00F127C1" w:rsidRPr="00E03828" w:rsidTr="00B34800">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770D8F" w:rsidP="0044625F">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Missions</w:t>
            </w:r>
            <w:r w:rsidR="00A91769" w:rsidRPr="00E03828">
              <w:rPr>
                <w:rFonts w:ascii="Calibri" w:eastAsia="Times New Roman" w:hAnsi="Calibri"/>
                <w:color w:val="000000"/>
                <w:sz w:val="22"/>
                <w:szCs w:val="22"/>
                <w:lang w:val="fr-FR" w:eastAsia="en-GB"/>
              </w:rPr>
              <w:t xml:space="preserve"> consultatives Ramsar</w:t>
            </w:r>
            <w:r w:rsidRPr="00E03828">
              <w:rPr>
                <w:rFonts w:ascii="Calibri" w:eastAsia="Times New Roman" w:hAnsi="Calibri"/>
                <w:color w:val="000000"/>
                <w:sz w:val="22"/>
                <w:szCs w:val="22"/>
                <w:lang w:val="fr-FR" w:eastAsia="en-GB"/>
              </w:rPr>
              <w:t xml:space="preserve"> (Nicaragua)</w:t>
            </w:r>
          </w:p>
        </w:tc>
        <w:tc>
          <w:tcPr>
            <w:tcW w:w="1240" w:type="dxa"/>
            <w:tcBorders>
              <w:top w:val="nil"/>
              <w:left w:val="single" w:sz="4" w:space="0" w:color="auto"/>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25</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25</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0</w:t>
            </w:r>
          </w:p>
        </w:tc>
      </w:tr>
      <w:tr w:rsidR="00F127C1" w:rsidRPr="00E03828" w:rsidTr="00B34800">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A91769" w:rsidP="0044625F">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P</w:t>
            </w:r>
            <w:r w:rsidR="00770D8F" w:rsidRPr="00E03828">
              <w:rPr>
                <w:rFonts w:ascii="Calibri" w:eastAsia="Times New Roman" w:hAnsi="Calibri"/>
                <w:color w:val="000000"/>
                <w:sz w:val="22"/>
                <w:szCs w:val="22"/>
                <w:lang w:val="fr-FR" w:eastAsia="en-GB"/>
              </w:rPr>
              <w:t>rovision</w:t>
            </w:r>
            <w:r w:rsidRPr="00E03828">
              <w:rPr>
                <w:rFonts w:ascii="Calibri" w:eastAsia="Times New Roman" w:hAnsi="Calibri"/>
                <w:color w:val="000000"/>
                <w:sz w:val="22"/>
                <w:szCs w:val="22"/>
                <w:lang w:val="fr-FR" w:eastAsia="en-GB"/>
              </w:rPr>
              <w:t xml:space="preserve"> Personnel</w:t>
            </w:r>
          </w:p>
        </w:tc>
        <w:tc>
          <w:tcPr>
            <w:tcW w:w="1240" w:type="dxa"/>
            <w:tcBorders>
              <w:top w:val="nil"/>
              <w:left w:val="single" w:sz="4" w:space="0" w:color="auto"/>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94</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94</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0</w:t>
            </w:r>
          </w:p>
        </w:tc>
      </w:tr>
      <w:tr w:rsidR="00F127C1" w:rsidRPr="00E03828" w:rsidTr="00B34800">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CF6C57" w:rsidP="00CF6C57">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Appui au parrainage de délégués</w:t>
            </w:r>
            <w:r w:rsidR="00A91769" w:rsidRPr="00E03828">
              <w:rPr>
                <w:rFonts w:ascii="Calibri" w:eastAsia="Times New Roman" w:hAnsi="Calibri"/>
                <w:color w:val="000000"/>
                <w:sz w:val="22"/>
                <w:szCs w:val="22"/>
                <w:lang w:val="fr-FR" w:eastAsia="en-GB"/>
              </w:rPr>
              <w:t xml:space="preserve"> </w:t>
            </w:r>
            <w:r w:rsidRPr="00E03828">
              <w:rPr>
                <w:rFonts w:ascii="Calibri" w:eastAsia="Times New Roman" w:hAnsi="Calibri"/>
                <w:color w:val="000000"/>
                <w:sz w:val="22"/>
                <w:szCs w:val="22"/>
                <w:lang w:val="fr-FR" w:eastAsia="en-GB"/>
              </w:rPr>
              <w:t xml:space="preserve">à la COP12 </w:t>
            </w:r>
            <w:r w:rsidR="00770D8F" w:rsidRPr="00E03828">
              <w:rPr>
                <w:rFonts w:ascii="Calibri" w:eastAsia="Times New Roman" w:hAnsi="Calibri"/>
                <w:color w:val="000000"/>
                <w:sz w:val="22"/>
                <w:szCs w:val="22"/>
                <w:lang w:val="fr-FR" w:eastAsia="en-GB"/>
              </w:rPr>
              <w:t>(re</w:t>
            </w:r>
            <w:r w:rsidR="00A91769" w:rsidRPr="00E03828">
              <w:rPr>
                <w:rFonts w:ascii="Calibri" w:eastAsia="Times New Roman" w:hAnsi="Calibri"/>
                <w:color w:val="000000"/>
                <w:sz w:val="22"/>
                <w:szCs w:val="22"/>
                <w:lang w:val="fr-FR" w:eastAsia="en-GB"/>
              </w:rPr>
              <w:t>mboursement Fonds de réserve)</w:t>
            </w:r>
          </w:p>
        </w:tc>
        <w:tc>
          <w:tcPr>
            <w:tcW w:w="1240" w:type="dxa"/>
            <w:tcBorders>
              <w:top w:val="nil"/>
              <w:left w:val="single" w:sz="4" w:space="0" w:color="auto"/>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125</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129</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4</w:t>
            </w:r>
          </w:p>
        </w:tc>
      </w:tr>
      <w:tr w:rsidR="00F127C1" w:rsidRPr="00E03828" w:rsidTr="00B34800">
        <w:trPr>
          <w:trHeight w:val="324"/>
        </w:trPr>
        <w:tc>
          <w:tcPr>
            <w:tcW w:w="5118" w:type="dxa"/>
            <w:tcBorders>
              <w:top w:val="nil"/>
              <w:left w:val="single" w:sz="4" w:space="0" w:color="auto"/>
              <w:bottom w:val="nil"/>
              <w:right w:val="nil"/>
            </w:tcBorders>
            <w:shd w:val="clear" w:color="auto" w:fill="auto"/>
            <w:noWrap/>
            <w:vAlign w:val="bottom"/>
            <w:hideMark/>
          </w:tcPr>
          <w:p w:rsidR="00770D8F" w:rsidRPr="00E03828" w:rsidRDefault="00770D8F" w:rsidP="002C53F9">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51</w:t>
            </w:r>
            <w:r w:rsidR="003E2885" w:rsidRPr="00E03828">
              <w:rPr>
                <w:rFonts w:ascii="Calibri" w:eastAsia="Times New Roman" w:hAnsi="Calibri"/>
                <w:color w:val="000000"/>
                <w:sz w:val="22"/>
                <w:szCs w:val="22"/>
                <w:vertAlign w:val="superscript"/>
                <w:lang w:val="fr-FR" w:eastAsia="en-GB"/>
              </w:rPr>
              <w:t>e</w:t>
            </w:r>
            <w:r w:rsidR="003E2885" w:rsidRPr="00E03828">
              <w:rPr>
                <w:rFonts w:ascii="Calibri" w:eastAsia="Times New Roman" w:hAnsi="Calibri"/>
                <w:color w:val="000000"/>
                <w:sz w:val="22"/>
                <w:szCs w:val="22"/>
                <w:lang w:val="fr-FR" w:eastAsia="en-GB"/>
              </w:rPr>
              <w:t xml:space="preserve"> Réunion du Comité permanent, 23-27 nov. </w:t>
            </w:r>
            <w:r w:rsidRPr="00E03828">
              <w:rPr>
                <w:rFonts w:ascii="Calibri" w:eastAsia="Times New Roman" w:hAnsi="Calibri"/>
                <w:color w:val="000000"/>
                <w:sz w:val="22"/>
                <w:szCs w:val="22"/>
                <w:lang w:val="fr-FR" w:eastAsia="en-GB"/>
              </w:rPr>
              <w:t>2015</w:t>
            </w:r>
          </w:p>
        </w:tc>
        <w:tc>
          <w:tcPr>
            <w:tcW w:w="1240" w:type="dxa"/>
            <w:tcBorders>
              <w:top w:val="nil"/>
              <w:left w:val="single" w:sz="4" w:space="0" w:color="auto"/>
              <w:bottom w:val="nil"/>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155</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CF6C57"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14</w:t>
            </w:r>
            <w:r w:rsidR="00770D8F" w:rsidRPr="00E03828">
              <w:rPr>
                <w:rFonts w:ascii="Calibri" w:eastAsia="Times New Roman" w:hAnsi="Calibri"/>
                <w:color w:val="000000"/>
                <w:sz w:val="22"/>
                <w:szCs w:val="22"/>
                <w:lang w:val="fr-FR" w:eastAsia="en-GB"/>
              </w:rPr>
              <w:t>6</w:t>
            </w:r>
          </w:p>
        </w:tc>
        <w:tc>
          <w:tcPr>
            <w:tcW w:w="1241" w:type="dxa"/>
            <w:tcBorders>
              <w:top w:val="nil"/>
              <w:left w:val="nil"/>
              <w:bottom w:val="nil"/>
              <w:right w:val="single" w:sz="4" w:space="0" w:color="auto"/>
            </w:tcBorders>
            <w:shd w:val="clear" w:color="auto" w:fill="auto"/>
            <w:noWrap/>
            <w:vAlign w:val="bottom"/>
            <w:hideMark/>
          </w:tcPr>
          <w:p w:rsidR="00770D8F" w:rsidRPr="00E03828" w:rsidRDefault="00CF6C57"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w:t>
            </w:r>
            <w:r w:rsidR="00770D8F" w:rsidRPr="00E03828">
              <w:rPr>
                <w:rFonts w:ascii="Calibri" w:eastAsia="Times New Roman" w:hAnsi="Calibri"/>
                <w:color w:val="000000"/>
                <w:sz w:val="22"/>
                <w:szCs w:val="22"/>
                <w:lang w:val="fr-FR" w:eastAsia="en-GB"/>
              </w:rPr>
              <w:t>9</w:t>
            </w:r>
          </w:p>
        </w:tc>
      </w:tr>
      <w:tr w:rsidR="00F127C1" w:rsidRPr="00E03828" w:rsidTr="003F3195">
        <w:trPr>
          <w:trHeight w:val="288"/>
        </w:trPr>
        <w:tc>
          <w:tcPr>
            <w:tcW w:w="5118" w:type="dxa"/>
            <w:tcBorders>
              <w:top w:val="nil"/>
              <w:left w:val="single" w:sz="4" w:space="0" w:color="auto"/>
              <w:bottom w:val="nil"/>
              <w:right w:val="nil"/>
            </w:tcBorders>
            <w:shd w:val="clear" w:color="auto" w:fill="auto"/>
            <w:noWrap/>
            <w:vAlign w:val="bottom"/>
            <w:hideMark/>
          </w:tcPr>
          <w:p w:rsidR="00770D8F" w:rsidRPr="00E03828" w:rsidRDefault="003E2885" w:rsidP="0044625F">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Appui au dé</w:t>
            </w:r>
            <w:r w:rsidR="00770D8F" w:rsidRPr="00E03828">
              <w:rPr>
                <w:rFonts w:ascii="Calibri" w:eastAsia="Times New Roman" w:hAnsi="Calibri"/>
                <w:color w:val="000000"/>
                <w:sz w:val="22"/>
                <w:szCs w:val="22"/>
                <w:lang w:val="fr-FR" w:eastAsia="en-GB"/>
              </w:rPr>
              <w:t>velo</w:t>
            </w:r>
            <w:r w:rsidRPr="00E03828">
              <w:rPr>
                <w:rFonts w:ascii="Calibri" w:eastAsia="Times New Roman" w:hAnsi="Calibri"/>
                <w:color w:val="000000"/>
                <w:sz w:val="22"/>
                <w:szCs w:val="22"/>
                <w:lang w:val="fr-FR" w:eastAsia="en-GB"/>
              </w:rPr>
              <w:t>p</w:t>
            </w:r>
            <w:r w:rsidR="00770D8F" w:rsidRPr="00E03828">
              <w:rPr>
                <w:rFonts w:ascii="Calibri" w:eastAsia="Times New Roman" w:hAnsi="Calibri"/>
                <w:color w:val="000000"/>
                <w:sz w:val="22"/>
                <w:szCs w:val="22"/>
                <w:lang w:val="fr-FR" w:eastAsia="en-GB"/>
              </w:rPr>
              <w:t>p</w:t>
            </w:r>
            <w:r w:rsidRPr="00E03828">
              <w:rPr>
                <w:rFonts w:ascii="Calibri" w:eastAsia="Times New Roman" w:hAnsi="Calibri"/>
                <w:color w:val="000000"/>
                <w:sz w:val="22"/>
                <w:szCs w:val="22"/>
                <w:lang w:val="fr-FR" w:eastAsia="en-GB"/>
              </w:rPr>
              <w:t>e</w:t>
            </w:r>
            <w:r w:rsidR="00770D8F" w:rsidRPr="00E03828">
              <w:rPr>
                <w:rFonts w:ascii="Calibri" w:eastAsia="Times New Roman" w:hAnsi="Calibri"/>
                <w:color w:val="000000"/>
                <w:sz w:val="22"/>
                <w:szCs w:val="22"/>
                <w:lang w:val="fr-FR" w:eastAsia="en-GB"/>
              </w:rPr>
              <w:t>ment</w:t>
            </w:r>
            <w:r w:rsidRPr="00E03828">
              <w:rPr>
                <w:rFonts w:ascii="Calibri" w:eastAsia="Times New Roman" w:hAnsi="Calibri"/>
                <w:color w:val="000000"/>
                <w:sz w:val="22"/>
                <w:szCs w:val="22"/>
                <w:lang w:val="fr-FR" w:eastAsia="en-GB"/>
              </w:rPr>
              <w:t xml:space="preserve"> du Site Internet</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10</w:t>
            </w:r>
          </w:p>
        </w:tc>
        <w:tc>
          <w:tcPr>
            <w:tcW w:w="1241" w:type="dxa"/>
            <w:tcBorders>
              <w:top w:val="nil"/>
              <w:left w:val="nil"/>
              <w:bottom w:val="single" w:sz="4" w:space="0" w:color="auto"/>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10</w:t>
            </w:r>
          </w:p>
        </w:tc>
        <w:tc>
          <w:tcPr>
            <w:tcW w:w="1241" w:type="dxa"/>
            <w:tcBorders>
              <w:top w:val="nil"/>
              <w:left w:val="nil"/>
              <w:bottom w:val="single" w:sz="4" w:space="0" w:color="auto"/>
              <w:right w:val="single" w:sz="4" w:space="0" w:color="auto"/>
            </w:tcBorders>
            <w:shd w:val="clear" w:color="auto" w:fill="auto"/>
            <w:noWrap/>
            <w:vAlign w:val="bottom"/>
            <w:hideMark/>
          </w:tcPr>
          <w:p w:rsidR="00770D8F" w:rsidRPr="00E03828" w:rsidRDefault="00770D8F" w:rsidP="0044625F">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0</w:t>
            </w:r>
          </w:p>
        </w:tc>
      </w:tr>
      <w:tr w:rsidR="00F127C1" w:rsidRPr="00E03828" w:rsidTr="003F3195">
        <w:trPr>
          <w:trHeight w:val="300"/>
        </w:trPr>
        <w:tc>
          <w:tcPr>
            <w:tcW w:w="5118" w:type="dxa"/>
            <w:tcBorders>
              <w:top w:val="nil"/>
              <w:left w:val="single" w:sz="4" w:space="0" w:color="auto"/>
              <w:bottom w:val="single" w:sz="4" w:space="0" w:color="auto"/>
              <w:right w:val="nil"/>
            </w:tcBorders>
            <w:shd w:val="clear" w:color="auto" w:fill="auto"/>
            <w:noWrap/>
            <w:vAlign w:val="bottom"/>
            <w:hideMark/>
          </w:tcPr>
          <w:p w:rsidR="00770D8F" w:rsidRPr="00E03828" w:rsidRDefault="003E2885" w:rsidP="0044625F">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Solde restant</w:t>
            </w:r>
          </w:p>
        </w:tc>
        <w:tc>
          <w:tcPr>
            <w:tcW w:w="1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70D8F" w:rsidRPr="00E03828" w:rsidRDefault="00770D8F" w:rsidP="0044625F">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0</w:t>
            </w:r>
          </w:p>
        </w:tc>
        <w:tc>
          <w:tcPr>
            <w:tcW w:w="1241" w:type="dxa"/>
            <w:tcBorders>
              <w:top w:val="single" w:sz="4" w:space="0" w:color="auto"/>
              <w:left w:val="nil"/>
              <w:bottom w:val="single" w:sz="4" w:space="0" w:color="auto"/>
              <w:right w:val="single" w:sz="4" w:space="0" w:color="auto"/>
            </w:tcBorders>
            <w:shd w:val="clear" w:color="000000" w:fill="D9D9D9"/>
            <w:noWrap/>
            <w:vAlign w:val="bottom"/>
            <w:hideMark/>
          </w:tcPr>
          <w:p w:rsidR="00770D8F" w:rsidRPr="00E03828" w:rsidRDefault="00770D8F" w:rsidP="0044625F">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6</w:t>
            </w:r>
          </w:p>
        </w:tc>
        <w:tc>
          <w:tcPr>
            <w:tcW w:w="1241" w:type="dxa"/>
            <w:tcBorders>
              <w:top w:val="single" w:sz="4" w:space="0" w:color="auto"/>
              <w:left w:val="nil"/>
              <w:bottom w:val="single" w:sz="4" w:space="0" w:color="auto"/>
              <w:right w:val="single" w:sz="4" w:space="0" w:color="auto"/>
            </w:tcBorders>
            <w:shd w:val="clear" w:color="000000" w:fill="D9D9D9"/>
            <w:noWrap/>
            <w:vAlign w:val="bottom"/>
            <w:hideMark/>
          </w:tcPr>
          <w:p w:rsidR="00770D8F" w:rsidRPr="00E03828" w:rsidRDefault="00770D8F" w:rsidP="0044625F">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6</w:t>
            </w:r>
          </w:p>
        </w:tc>
      </w:tr>
    </w:tbl>
    <w:p w:rsidR="003F3195" w:rsidRDefault="003F3195">
      <w:pPr>
        <w:rPr>
          <w:rFonts w:ascii="Calibri" w:hAnsi="Calibri" w:cs="Calibri"/>
          <w:b/>
          <w:bCs/>
          <w:sz w:val="22"/>
          <w:szCs w:val="22"/>
          <w:lang w:val="fr-FR"/>
        </w:rPr>
      </w:pPr>
      <w:r>
        <w:rPr>
          <w:rFonts w:ascii="Calibri" w:hAnsi="Calibri" w:cs="Calibri"/>
          <w:b/>
          <w:bCs/>
          <w:sz w:val="22"/>
          <w:szCs w:val="22"/>
          <w:lang w:val="fr-FR"/>
        </w:rPr>
        <w:br w:type="page"/>
      </w:r>
    </w:p>
    <w:p w:rsidR="009966E8" w:rsidRPr="00E03828" w:rsidRDefault="003E2885" w:rsidP="00842399">
      <w:pPr>
        <w:rPr>
          <w:rFonts w:ascii="Calibri" w:hAnsi="Calibri" w:cs="Calibri"/>
          <w:b/>
          <w:bCs/>
          <w:sz w:val="22"/>
          <w:szCs w:val="22"/>
          <w:lang w:val="fr-FR"/>
        </w:rPr>
      </w:pPr>
      <w:r w:rsidRPr="00E03828">
        <w:rPr>
          <w:rFonts w:ascii="Calibri" w:hAnsi="Calibri" w:cs="Calibri"/>
          <w:b/>
          <w:bCs/>
          <w:sz w:val="22"/>
          <w:szCs w:val="22"/>
          <w:lang w:val="fr-FR"/>
        </w:rPr>
        <w:lastRenderedPageBreak/>
        <w:t>Ré</w:t>
      </w:r>
      <w:r w:rsidR="009966E8" w:rsidRPr="00E03828">
        <w:rPr>
          <w:rFonts w:ascii="Calibri" w:hAnsi="Calibri" w:cs="Calibri"/>
          <w:b/>
          <w:bCs/>
          <w:sz w:val="22"/>
          <w:szCs w:val="22"/>
          <w:lang w:val="fr-FR"/>
        </w:rPr>
        <w:t>sult</w:t>
      </w:r>
      <w:r w:rsidRPr="00E03828">
        <w:rPr>
          <w:rFonts w:ascii="Calibri" w:hAnsi="Calibri" w:cs="Calibri"/>
          <w:b/>
          <w:bCs/>
          <w:sz w:val="22"/>
          <w:szCs w:val="22"/>
          <w:lang w:val="fr-FR"/>
        </w:rPr>
        <w:t>at</w:t>
      </w:r>
      <w:r w:rsidR="009966E8" w:rsidRPr="00E03828">
        <w:rPr>
          <w:rFonts w:ascii="Calibri" w:hAnsi="Calibri" w:cs="Calibri"/>
          <w:b/>
          <w:bCs/>
          <w:sz w:val="22"/>
          <w:szCs w:val="22"/>
          <w:lang w:val="fr-FR"/>
        </w:rPr>
        <w:t>s</w:t>
      </w:r>
      <w:r w:rsidR="00752371" w:rsidRPr="00E03828">
        <w:rPr>
          <w:rFonts w:ascii="Calibri" w:hAnsi="Calibri" w:cs="Calibri"/>
          <w:b/>
          <w:bCs/>
          <w:sz w:val="22"/>
          <w:szCs w:val="22"/>
          <w:lang w:val="fr-FR"/>
        </w:rPr>
        <w:t xml:space="preserve"> </w:t>
      </w:r>
      <w:r w:rsidRPr="00E03828">
        <w:rPr>
          <w:rFonts w:ascii="Calibri" w:hAnsi="Calibri" w:cs="Calibri"/>
          <w:b/>
          <w:bCs/>
          <w:sz w:val="22"/>
          <w:szCs w:val="22"/>
          <w:lang w:val="fr-FR"/>
        </w:rPr>
        <w:t>2015 </w:t>
      </w:r>
      <w:r w:rsidR="00752371" w:rsidRPr="00E03828">
        <w:rPr>
          <w:rFonts w:ascii="Calibri" w:hAnsi="Calibri" w:cs="Calibri"/>
          <w:b/>
          <w:bCs/>
          <w:sz w:val="22"/>
          <w:szCs w:val="22"/>
          <w:lang w:val="fr-FR"/>
        </w:rPr>
        <w:t xml:space="preserve">– </w:t>
      </w:r>
      <w:r w:rsidRPr="00E03828">
        <w:rPr>
          <w:rFonts w:ascii="Calibri" w:hAnsi="Calibri" w:cs="Calibri"/>
          <w:b/>
          <w:bCs/>
          <w:sz w:val="22"/>
          <w:szCs w:val="22"/>
          <w:lang w:val="fr-FR"/>
        </w:rPr>
        <w:t>Budget administratif</w:t>
      </w:r>
    </w:p>
    <w:p w:rsidR="009966E8" w:rsidRPr="00E03828" w:rsidRDefault="009966E8" w:rsidP="00842399">
      <w:pPr>
        <w:ind w:left="540" w:hanging="540"/>
        <w:rPr>
          <w:rFonts w:ascii="Calibri" w:hAnsi="Calibri" w:cs="Calibri"/>
          <w:bCs/>
          <w:sz w:val="22"/>
          <w:szCs w:val="22"/>
          <w:lang w:val="fr-FR"/>
        </w:rPr>
      </w:pPr>
    </w:p>
    <w:p w:rsidR="002464F2" w:rsidRPr="00E03828" w:rsidRDefault="00024785" w:rsidP="00842399">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Note</w:t>
      </w:r>
      <w:r w:rsidR="003E2885" w:rsidRPr="00E03828">
        <w:rPr>
          <w:rFonts w:ascii="Calibri" w:hAnsi="Calibri" w:cs="Calibri"/>
          <w:bCs/>
          <w:sz w:val="22"/>
          <w:szCs w:val="22"/>
          <w:lang w:val="fr-FR"/>
        </w:rPr>
        <w:t> </w:t>
      </w:r>
      <w:r w:rsidRPr="00E03828">
        <w:rPr>
          <w:rFonts w:ascii="Calibri" w:hAnsi="Calibri" w:cs="Calibri"/>
          <w:bCs/>
          <w:sz w:val="22"/>
          <w:szCs w:val="22"/>
          <w:lang w:val="fr-FR"/>
        </w:rPr>
        <w:t xml:space="preserve">: </w:t>
      </w:r>
      <w:r w:rsidR="003E2885" w:rsidRPr="00E03828">
        <w:rPr>
          <w:rFonts w:ascii="Calibri" w:hAnsi="Calibri" w:cs="Calibri"/>
          <w:bCs/>
          <w:sz w:val="22"/>
          <w:szCs w:val="22"/>
          <w:lang w:val="fr-FR"/>
        </w:rPr>
        <w:t>les états financiers ont été établis au 31 dé</w:t>
      </w:r>
      <w:r w:rsidR="00106388" w:rsidRPr="00E03828">
        <w:rPr>
          <w:rFonts w:ascii="Calibri" w:hAnsi="Calibri" w:cs="Calibri"/>
          <w:bCs/>
          <w:sz w:val="22"/>
          <w:szCs w:val="22"/>
          <w:lang w:val="fr-FR"/>
        </w:rPr>
        <w:t>cembre 2015</w:t>
      </w:r>
      <w:r w:rsidRPr="00E03828">
        <w:rPr>
          <w:rFonts w:ascii="Calibri" w:hAnsi="Calibri" w:cs="Calibri"/>
          <w:bCs/>
          <w:sz w:val="22"/>
          <w:szCs w:val="22"/>
          <w:lang w:val="fr-FR"/>
        </w:rPr>
        <w:t>.</w:t>
      </w:r>
      <w:r w:rsidR="000B330F" w:rsidRPr="00E03828">
        <w:rPr>
          <w:rFonts w:ascii="Calibri" w:hAnsi="Calibri" w:cs="Calibri"/>
          <w:bCs/>
          <w:sz w:val="22"/>
          <w:szCs w:val="22"/>
          <w:lang w:val="fr-FR"/>
        </w:rPr>
        <w:t xml:space="preserve"> </w:t>
      </w:r>
    </w:p>
    <w:p w:rsidR="002464F2" w:rsidRPr="00E03828" w:rsidRDefault="002464F2" w:rsidP="00842399">
      <w:pPr>
        <w:pStyle w:val="ListParagraph"/>
        <w:ind w:left="426" w:hanging="426"/>
        <w:rPr>
          <w:rFonts w:ascii="Calibri" w:hAnsi="Calibri" w:cs="Calibri"/>
          <w:bCs/>
          <w:sz w:val="22"/>
          <w:szCs w:val="22"/>
          <w:lang w:val="fr-FR"/>
        </w:rPr>
      </w:pPr>
    </w:p>
    <w:p w:rsidR="00CF6C57" w:rsidRPr="00E03828" w:rsidRDefault="00106388" w:rsidP="00CF6C57">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 xml:space="preserve">La synthèse du budget administratif 2015 figure en annexe 2 au présent document. Elle présente </w:t>
      </w:r>
      <w:r w:rsidR="00ED7317" w:rsidRPr="00E03828">
        <w:rPr>
          <w:rFonts w:ascii="Calibri" w:hAnsi="Calibri" w:cs="Calibri"/>
          <w:bCs/>
          <w:sz w:val="22"/>
          <w:szCs w:val="22"/>
          <w:lang w:val="fr-FR"/>
        </w:rPr>
        <w:t xml:space="preserve">le budget approuvé, les </w:t>
      </w:r>
      <w:r w:rsidR="00484A0A" w:rsidRPr="00E03828">
        <w:rPr>
          <w:rFonts w:ascii="Calibri" w:hAnsi="Calibri" w:cs="Calibri"/>
          <w:bCs/>
          <w:sz w:val="22"/>
          <w:szCs w:val="22"/>
          <w:lang w:val="fr-FR"/>
        </w:rPr>
        <w:t xml:space="preserve">recettes et </w:t>
      </w:r>
      <w:r w:rsidR="00ED7317" w:rsidRPr="00E03828">
        <w:rPr>
          <w:rFonts w:ascii="Calibri" w:hAnsi="Calibri" w:cs="Calibri"/>
          <w:bCs/>
          <w:sz w:val="22"/>
          <w:szCs w:val="22"/>
          <w:lang w:val="fr-FR"/>
        </w:rPr>
        <w:t>dépenses rée</w:t>
      </w:r>
      <w:r w:rsidR="00865C15" w:rsidRPr="00E03828">
        <w:rPr>
          <w:rFonts w:ascii="Calibri" w:hAnsi="Calibri" w:cs="Calibri"/>
          <w:bCs/>
          <w:sz w:val="22"/>
          <w:szCs w:val="22"/>
          <w:lang w:val="fr-FR"/>
        </w:rPr>
        <w:t>lles et l’écart entre les deux.</w:t>
      </w:r>
    </w:p>
    <w:p w:rsidR="00CF6C57" w:rsidRPr="00E03828" w:rsidRDefault="00CF6C57" w:rsidP="00374990">
      <w:pPr>
        <w:rPr>
          <w:rFonts w:ascii="Calibri" w:hAnsi="Calibri" w:cs="Calibri"/>
          <w:bCs/>
          <w:sz w:val="22"/>
          <w:szCs w:val="22"/>
          <w:lang w:val="fr-FR"/>
        </w:rPr>
      </w:pPr>
    </w:p>
    <w:p w:rsidR="00CF6C57" w:rsidRPr="00E03828" w:rsidRDefault="00374990" w:rsidP="007D7262">
      <w:pPr>
        <w:pStyle w:val="ListParagraph"/>
        <w:numPr>
          <w:ilvl w:val="0"/>
          <w:numId w:val="2"/>
        </w:numPr>
        <w:rPr>
          <w:rFonts w:ascii="Calibri" w:hAnsi="Calibri" w:cs="Calibri"/>
          <w:bCs/>
          <w:sz w:val="22"/>
          <w:szCs w:val="22"/>
          <w:lang w:val="fr-FR"/>
        </w:rPr>
      </w:pPr>
      <w:r w:rsidRPr="00E03828">
        <w:rPr>
          <w:rFonts w:ascii="Calibri" w:hAnsi="Calibri" w:cs="Calibri"/>
          <w:bCs/>
          <w:sz w:val="22"/>
          <w:szCs w:val="22"/>
          <w:lang w:val="fr-FR"/>
        </w:rPr>
        <w:t>Avant</w:t>
      </w:r>
      <w:r w:rsidR="00CF6C57" w:rsidRPr="00E03828">
        <w:rPr>
          <w:rFonts w:ascii="Calibri" w:hAnsi="Calibri" w:cs="Calibri"/>
          <w:bCs/>
          <w:sz w:val="22"/>
          <w:szCs w:val="22"/>
          <w:lang w:val="fr-FR"/>
        </w:rPr>
        <w:t xml:space="preserve"> provisions,</w:t>
      </w:r>
      <w:r w:rsidRPr="00E03828">
        <w:rPr>
          <w:rFonts w:ascii="Calibri" w:hAnsi="Calibri" w:cs="Calibri"/>
          <w:bCs/>
          <w:sz w:val="22"/>
          <w:szCs w:val="22"/>
          <w:lang w:val="fr-FR"/>
        </w:rPr>
        <w:t xml:space="preserve"> le budget administratif affichait un excédent de 238 000 CHF. Cependant, le poste budgétaire K du budget administratif 2015 intitulé « Divers – Fonds de réserve » fait apparaître des dépenses réelles d’un montant de 685 000 CHF, contre des dépenses prévues de 110 000 CHF</w:t>
      </w:r>
      <w:r w:rsidR="004A39B6" w:rsidRPr="00E03828">
        <w:rPr>
          <w:rFonts w:ascii="Calibri" w:hAnsi="Calibri" w:cs="Calibri"/>
          <w:bCs/>
          <w:sz w:val="22"/>
          <w:szCs w:val="22"/>
          <w:lang w:val="fr-FR"/>
        </w:rPr>
        <w:t>, d’où un déficit de 575 000 CHF sous ce poste. Le budget administratif 2015 présente donc un déficit global de 337 000 CHF, comme indiqué en annexe 2. Le tableau 2 ci-dessous en</w:t>
      </w:r>
      <w:r w:rsidR="00DD7F25" w:rsidRPr="00E03828">
        <w:rPr>
          <w:rFonts w:ascii="Calibri" w:hAnsi="Calibri" w:cs="Calibri"/>
          <w:bCs/>
          <w:sz w:val="22"/>
          <w:szCs w:val="22"/>
          <w:lang w:val="fr-FR"/>
        </w:rPr>
        <w:t xml:space="preserve"> </w:t>
      </w:r>
      <w:r w:rsidR="00540B56">
        <w:rPr>
          <w:rFonts w:ascii="Calibri" w:hAnsi="Calibri" w:cs="Calibri"/>
          <w:bCs/>
          <w:sz w:val="22"/>
          <w:szCs w:val="22"/>
          <w:lang w:val="fr-FR"/>
        </w:rPr>
        <w:t>présente</w:t>
      </w:r>
      <w:r w:rsidR="00DD7F25" w:rsidRPr="00E03828">
        <w:rPr>
          <w:rFonts w:ascii="Calibri" w:hAnsi="Calibri" w:cs="Calibri"/>
          <w:bCs/>
          <w:sz w:val="22"/>
          <w:szCs w:val="22"/>
          <w:lang w:val="fr-FR"/>
        </w:rPr>
        <w:t xml:space="preserve"> la synthèse.</w:t>
      </w:r>
    </w:p>
    <w:p w:rsidR="007D7262" w:rsidRPr="00E03828" w:rsidRDefault="007D7262" w:rsidP="007D7262">
      <w:pPr>
        <w:rPr>
          <w:rFonts w:ascii="Calibri" w:hAnsi="Calibri" w:cs="Calibri"/>
          <w:bCs/>
          <w:sz w:val="22"/>
          <w:szCs w:val="22"/>
          <w:lang w:val="fr-FR"/>
        </w:rPr>
      </w:pPr>
    </w:p>
    <w:p w:rsidR="00DD4BD8" w:rsidRPr="00E03828" w:rsidRDefault="00CF6C57" w:rsidP="00DD7F25">
      <w:pPr>
        <w:rPr>
          <w:rFonts w:ascii="Calibri" w:hAnsi="Calibri" w:cs="Calibri"/>
          <w:b/>
          <w:sz w:val="22"/>
          <w:szCs w:val="22"/>
          <w:lang w:val="fr-FR"/>
        </w:rPr>
      </w:pPr>
      <w:r w:rsidRPr="00E03828">
        <w:rPr>
          <w:rFonts w:ascii="Calibri" w:hAnsi="Calibri" w:cs="Calibri"/>
          <w:b/>
          <w:bCs/>
          <w:sz w:val="22"/>
          <w:szCs w:val="22"/>
          <w:lang w:val="fr-FR"/>
        </w:rPr>
        <w:t>Table</w:t>
      </w:r>
      <w:r w:rsidR="00DD7F25" w:rsidRPr="00E03828">
        <w:rPr>
          <w:rFonts w:ascii="Calibri" w:hAnsi="Calibri" w:cs="Calibri"/>
          <w:b/>
          <w:bCs/>
          <w:sz w:val="22"/>
          <w:szCs w:val="22"/>
          <w:lang w:val="fr-FR"/>
        </w:rPr>
        <w:t>au</w:t>
      </w:r>
      <w:r w:rsidRPr="00E03828">
        <w:rPr>
          <w:rFonts w:ascii="Calibri" w:hAnsi="Calibri" w:cs="Calibri"/>
          <w:b/>
          <w:bCs/>
          <w:sz w:val="22"/>
          <w:szCs w:val="22"/>
          <w:lang w:val="fr-FR"/>
        </w:rPr>
        <w:t xml:space="preserve"> 2</w:t>
      </w:r>
      <w:r w:rsidR="00DD7F25" w:rsidRPr="00E03828">
        <w:rPr>
          <w:rFonts w:ascii="Calibri" w:hAnsi="Calibri" w:cs="Calibri"/>
          <w:b/>
          <w:bCs/>
          <w:sz w:val="22"/>
          <w:szCs w:val="22"/>
          <w:lang w:val="fr-FR"/>
        </w:rPr>
        <w:t> </w:t>
      </w:r>
      <w:r w:rsidRPr="00E03828">
        <w:rPr>
          <w:rFonts w:ascii="Calibri" w:hAnsi="Calibri" w:cs="Calibri"/>
          <w:b/>
          <w:bCs/>
          <w:sz w:val="22"/>
          <w:szCs w:val="22"/>
          <w:lang w:val="fr-FR"/>
        </w:rPr>
        <w:t xml:space="preserve">: </w:t>
      </w:r>
      <w:r w:rsidR="00DD4BD8" w:rsidRPr="00E03828">
        <w:rPr>
          <w:rFonts w:ascii="Calibri" w:hAnsi="Calibri" w:cs="Calibri"/>
          <w:b/>
          <w:bCs/>
          <w:sz w:val="22"/>
          <w:szCs w:val="22"/>
          <w:lang w:val="fr-FR"/>
        </w:rPr>
        <w:t>Récapitulatif</w:t>
      </w:r>
      <w:r w:rsidR="00DD7F25" w:rsidRPr="00E03828">
        <w:rPr>
          <w:rFonts w:ascii="Calibri" w:hAnsi="Calibri" w:cs="Calibri"/>
          <w:b/>
          <w:bCs/>
          <w:sz w:val="22"/>
          <w:szCs w:val="22"/>
          <w:lang w:val="fr-FR"/>
        </w:rPr>
        <w:t xml:space="preserve"> du déficit du budget administratif </w:t>
      </w:r>
      <w:r w:rsidRPr="00E03828">
        <w:rPr>
          <w:rFonts w:ascii="Calibri" w:hAnsi="Calibri" w:cs="Calibri"/>
          <w:b/>
          <w:sz w:val="22"/>
          <w:szCs w:val="22"/>
          <w:lang w:val="fr-FR"/>
        </w:rPr>
        <w:t>(</w:t>
      </w:r>
      <w:r w:rsidR="00DD7F25" w:rsidRPr="00E03828">
        <w:rPr>
          <w:rFonts w:ascii="Calibri" w:hAnsi="Calibri" w:cs="Calibri"/>
          <w:b/>
          <w:sz w:val="22"/>
          <w:szCs w:val="22"/>
          <w:lang w:val="fr-FR"/>
        </w:rPr>
        <w:t>en milliers de CHF, erreurs d’arrondis comprises)</w:t>
      </w:r>
    </w:p>
    <w:tbl>
      <w:tblPr>
        <w:tblW w:w="9331" w:type="dxa"/>
        <w:tblInd w:w="103" w:type="dxa"/>
        <w:tblLook w:val="04A0" w:firstRow="1" w:lastRow="0" w:firstColumn="1" w:lastColumn="0" w:noHBand="0" w:noVBand="1"/>
      </w:tblPr>
      <w:tblGrid>
        <w:gridCol w:w="3407"/>
        <w:gridCol w:w="684"/>
        <w:gridCol w:w="960"/>
        <w:gridCol w:w="4280"/>
      </w:tblGrid>
      <w:tr w:rsidR="00CF6C57" w:rsidRPr="00E03828" w:rsidTr="00374990">
        <w:trPr>
          <w:trHeight w:val="288"/>
        </w:trPr>
        <w:tc>
          <w:tcPr>
            <w:tcW w:w="3407" w:type="dxa"/>
            <w:tcBorders>
              <w:top w:val="single" w:sz="4" w:space="0" w:color="auto"/>
              <w:left w:val="single" w:sz="4" w:space="0" w:color="auto"/>
              <w:bottom w:val="nil"/>
              <w:right w:val="single" w:sz="4" w:space="0" w:color="auto"/>
            </w:tcBorders>
            <w:shd w:val="clear" w:color="000000" w:fill="8DB4E2"/>
            <w:noWrap/>
            <w:vAlign w:val="bottom"/>
            <w:hideMark/>
          </w:tcPr>
          <w:p w:rsidR="00CF6C57" w:rsidRPr="00E03828" w:rsidRDefault="00CF6C57"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Centr</w:t>
            </w:r>
            <w:r w:rsidR="00DD7F25" w:rsidRPr="00E03828">
              <w:rPr>
                <w:rFonts w:ascii="Calibri" w:eastAsia="Times New Roman" w:hAnsi="Calibri"/>
                <w:b/>
                <w:bCs/>
                <w:color w:val="000000"/>
                <w:sz w:val="22"/>
                <w:szCs w:val="22"/>
                <w:lang w:val="fr-FR" w:eastAsia="en-GB"/>
              </w:rPr>
              <w:t xml:space="preserve">e de coûts </w:t>
            </w:r>
          </w:p>
        </w:tc>
        <w:tc>
          <w:tcPr>
            <w:tcW w:w="684" w:type="dxa"/>
            <w:tcBorders>
              <w:top w:val="single" w:sz="4" w:space="0" w:color="auto"/>
              <w:left w:val="nil"/>
              <w:bottom w:val="nil"/>
              <w:right w:val="nil"/>
            </w:tcBorders>
            <w:shd w:val="clear" w:color="000000" w:fill="8DB4E2"/>
            <w:noWrap/>
            <w:vAlign w:val="bottom"/>
            <w:hideMark/>
          </w:tcPr>
          <w:p w:rsidR="00CF6C57" w:rsidRPr="00E03828" w:rsidRDefault="00CF6C57" w:rsidP="0084629E">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960" w:type="dxa"/>
            <w:tcBorders>
              <w:top w:val="single" w:sz="4" w:space="0" w:color="auto"/>
              <w:left w:val="nil"/>
              <w:bottom w:val="nil"/>
              <w:right w:val="single" w:sz="4" w:space="0" w:color="auto"/>
            </w:tcBorders>
            <w:shd w:val="clear" w:color="000000" w:fill="8DB4E2"/>
            <w:noWrap/>
            <w:vAlign w:val="bottom"/>
            <w:hideMark/>
          </w:tcPr>
          <w:p w:rsidR="00CF6C57" w:rsidRPr="00E03828" w:rsidRDefault="00CF6C57" w:rsidP="0084629E">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4280" w:type="dxa"/>
            <w:tcBorders>
              <w:top w:val="single" w:sz="4" w:space="0" w:color="auto"/>
              <w:left w:val="nil"/>
              <w:bottom w:val="nil"/>
              <w:right w:val="single" w:sz="4" w:space="0" w:color="auto"/>
            </w:tcBorders>
            <w:shd w:val="clear" w:color="000000" w:fill="8DB4E2"/>
            <w:noWrap/>
            <w:vAlign w:val="bottom"/>
            <w:hideMark/>
          </w:tcPr>
          <w:p w:rsidR="00CF6C57" w:rsidRPr="00E03828" w:rsidRDefault="00DD4BD8"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Commentaires</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DD7F25"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Revenus</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(12)</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Int</w:t>
            </w:r>
            <w:r w:rsidR="00DD7F25" w:rsidRPr="00E03828">
              <w:rPr>
                <w:rFonts w:ascii="Calibri" w:eastAsia="Times New Roman" w:hAnsi="Calibri"/>
                <w:color w:val="000000"/>
                <w:sz w:val="22"/>
                <w:szCs w:val="22"/>
                <w:lang w:val="fr-FR" w:eastAsia="en-GB"/>
              </w:rPr>
              <w:t>érêts</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DD4BD8"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Cadres supérieurs</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48</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DD4BD8">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Sala</w:t>
            </w:r>
            <w:r w:rsidR="00DD4BD8" w:rsidRPr="00E03828">
              <w:rPr>
                <w:rFonts w:ascii="Calibri" w:eastAsia="Times New Roman" w:hAnsi="Calibri"/>
                <w:color w:val="000000"/>
                <w:sz w:val="22"/>
                <w:szCs w:val="22"/>
                <w:lang w:val="fr-FR" w:eastAsia="en-GB"/>
              </w:rPr>
              <w:t>ires et indemnités d’études</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tcPr>
          <w:p w:rsidR="00CF6C57" w:rsidRPr="00E03828" w:rsidRDefault="00DD4BD8"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Appui et conseils aux Régions</w:t>
            </w:r>
          </w:p>
        </w:tc>
        <w:tc>
          <w:tcPr>
            <w:tcW w:w="684" w:type="dxa"/>
            <w:tcBorders>
              <w:top w:val="nil"/>
              <w:left w:val="nil"/>
              <w:bottom w:val="nil"/>
              <w:right w:val="nil"/>
            </w:tcBorders>
            <w:shd w:val="clear" w:color="auto" w:fill="auto"/>
            <w:noWrap/>
            <w:vAlign w:val="bottom"/>
          </w:tcPr>
          <w:p w:rsidR="00CF6C57" w:rsidRPr="00E03828" w:rsidRDefault="00CF6C57" w:rsidP="0084629E">
            <w:pPr>
              <w:rPr>
                <w:rFonts w:ascii="Calibri" w:eastAsia="Times New Roman" w:hAnsi="Calibri"/>
                <w:color w:val="000000"/>
                <w:sz w:val="22"/>
                <w:szCs w:val="22"/>
                <w:lang w:val="fr-FR" w:eastAsia="en-GB"/>
              </w:rPr>
            </w:pPr>
          </w:p>
        </w:tc>
        <w:tc>
          <w:tcPr>
            <w:tcW w:w="960" w:type="dxa"/>
            <w:tcBorders>
              <w:top w:val="nil"/>
              <w:left w:val="nil"/>
              <w:bottom w:val="nil"/>
              <w:right w:val="single" w:sz="4" w:space="0" w:color="auto"/>
            </w:tcBorders>
            <w:shd w:val="clear" w:color="auto" w:fill="auto"/>
            <w:noWrap/>
            <w:vAlign w:val="bottom"/>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121</w:t>
            </w:r>
          </w:p>
        </w:tc>
        <w:tc>
          <w:tcPr>
            <w:tcW w:w="4280" w:type="dxa"/>
            <w:tcBorders>
              <w:top w:val="nil"/>
              <w:left w:val="nil"/>
              <w:bottom w:val="nil"/>
              <w:right w:val="single" w:sz="4" w:space="0" w:color="auto"/>
            </w:tcBorders>
            <w:shd w:val="clear" w:color="auto" w:fill="auto"/>
            <w:noWrap/>
            <w:vAlign w:val="bottom"/>
          </w:tcPr>
          <w:p w:rsidR="00CF6C57" w:rsidRPr="00E03828" w:rsidRDefault="007D7262"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Traitements :</w:t>
            </w:r>
            <w:r w:rsidR="006B754A">
              <w:rPr>
                <w:rFonts w:ascii="Calibri" w:eastAsia="Times New Roman" w:hAnsi="Calibri"/>
                <w:color w:val="000000"/>
                <w:sz w:val="22"/>
                <w:szCs w:val="22"/>
                <w:lang w:val="fr-FR" w:eastAsia="en-GB"/>
              </w:rPr>
              <w:t xml:space="preserve"> 106;</w:t>
            </w:r>
            <w:r w:rsidR="00CF6C57" w:rsidRPr="00E03828">
              <w:rPr>
                <w:rFonts w:ascii="Calibri" w:eastAsia="Times New Roman" w:hAnsi="Calibri"/>
                <w:color w:val="000000"/>
                <w:sz w:val="22"/>
                <w:szCs w:val="22"/>
                <w:lang w:val="fr-FR" w:eastAsia="en-GB"/>
              </w:rPr>
              <w:t xml:space="preserve"> </w:t>
            </w:r>
            <w:r w:rsidRPr="00E03828">
              <w:rPr>
                <w:rFonts w:ascii="Calibri" w:eastAsia="Times New Roman" w:hAnsi="Calibri"/>
                <w:color w:val="000000"/>
                <w:sz w:val="22"/>
                <w:szCs w:val="22"/>
                <w:lang w:val="fr-FR" w:eastAsia="en-GB"/>
              </w:rPr>
              <w:t>Déplacements :</w:t>
            </w:r>
            <w:r w:rsidR="00CF6C57" w:rsidRPr="00E03828">
              <w:rPr>
                <w:rFonts w:ascii="Calibri" w:eastAsia="Times New Roman" w:hAnsi="Calibri"/>
                <w:color w:val="000000"/>
                <w:sz w:val="22"/>
                <w:szCs w:val="22"/>
                <w:lang w:val="fr-FR" w:eastAsia="en-GB"/>
              </w:rPr>
              <w:t xml:space="preserve"> 15</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Admin</w:t>
            </w:r>
            <w:r w:rsidR="00DD4BD8" w:rsidRPr="00E03828">
              <w:rPr>
                <w:rFonts w:ascii="Calibri" w:eastAsia="Times New Roman" w:hAnsi="Calibri"/>
                <w:color w:val="000000"/>
                <w:sz w:val="22"/>
                <w:szCs w:val="22"/>
                <w:lang w:val="fr-FR" w:eastAsia="en-GB"/>
              </w:rPr>
              <w:t>istration</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40</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Sala</w:t>
            </w:r>
            <w:r w:rsidR="007D7262" w:rsidRPr="00E03828">
              <w:rPr>
                <w:rFonts w:ascii="Calibri" w:eastAsia="Times New Roman" w:hAnsi="Calibri"/>
                <w:color w:val="000000"/>
                <w:sz w:val="22"/>
                <w:szCs w:val="22"/>
                <w:lang w:val="fr-FR" w:eastAsia="en-GB"/>
              </w:rPr>
              <w:t>ires</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7D7262"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Divers</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41</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b/>
                <w:bCs/>
                <w:i/>
                <w:iCs/>
                <w:color w:val="000000"/>
                <w:sz w:val="22"/>
                <w:szCs w:val="22"/>
                <w:lang w:val="fr-FR" w:eastAsia="en-GB"/>
              </w:rPr>
            </w:pPr>
            <w:r w:rsidRPr="00E03828">
              <w:rPr>
                <w:rFonts w:ascii="Calibri" w:eastAsia="Times New Roman" w:hAnsi="Calibri"/>
                <w:b/>
                <w:bCs/>
                <w:i/>
                <w:iCs/>
                <w:color w:val="000000"/>
                <w:sz w:val="22"/>
                <w:szCs w:val="22"/>
                <w:lang w:val="fr-FR" w:eastAsia="en-GB"/>
              </w:rPr>
              <w:t>S</w:t>
            </w:r>
            <w:r w:rsidR="007D7262" w:rsidRPr="00E03828">
              <w:rPr>
                <w:rFonts w:ascii="Calibri" w:eastAsia="Times New Roman" w:hAnsi="Calibri"/>
                <w:b/>
                <w:bCs/>
                <w:i/>
                <w:iCs/>
                <w:color w:val="000000"/>
                <w:sz w:val="22"/>
                <w:szCs w:val="22"/>
                <w:lang w:val="fr-FR" w:eastAsia="en-GB"/>
              </w:rPr>
              <w:t>ous-</w:t>
            </w:r>
            <w:r w:rsidRPr="00E03828">
              <w:rPr>
                <w:rFonts w:ascii="Calibri" w:eastAsia="Times New Roman" w:hAnsi="Calibri"/>
                <w:b/>
                <w:bCs/>
                <w:i/>
                <w:iCs/>
                <w:color w:val="000000"/>
                <w:sz w:val="22"/>
                <w:szCs w:val="22"/>
                <w:lang w:val="fr-FR" w:eastAsia="en-GB"/>
              </w:rPr>
              <w:t>total</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b/>
                <w:bCs/>
                <w:i/>
                <w:iCs/>
                <w:color w:val="000000"/>
                <w:sz w:val="22"/>
                <w:szCs w:val="22"/>
                <w:lang w:val="fr-FR" w:eastAsia="en-GB"/>
              </w:rPr>
            </w:pPr>
            <w:r w:rsidRPr="00E03828">
              <w:rPr>
                <w:rFonts w:ascii="Calibri" w:eastAsia="Times New Roman" w:hAnsi="Calibri"/>
                <w:b/>
                <w:bCs/>
                <w:i/>
                <w:iCs/>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b/>
                <w:bCs/>
                <w:i/>
                <w:iCs/>
                <w:color w:val="000000"/>
                <w:sz w:val="22"/>
                <w:szCs w:val="22"/>
                <w:lang w:val="fr-FR" w:eastAsia="en-GB"/>
              </w:rPr>
            </w:pPr>
            <w:r w:rsidRPr="00E03828">
              <w:rPr>
                <w:rFonts w:ascii="Calibri" w:eastAsia="Times New Roman" w:hAnsi="Calibri"/>
                <w:b/>
                <w:bCs/>
                <w:i/>
                <w:iCs/>
                <w:color w:val="000000"/>
                <w:sz w:val="22"/>
                <w:szCs w:val="22"/>
                <w:lang w:val="fr-FR" w:eastAsia="en-GB"/>
              </w:rPr>
              <w:t>238</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7D7262" w:rsidP="0084629E">
            <w:pPr>
              <w:rPr>
                <w:rFonts w:ascii="Calibri" w:eastAsia="Times New Roman" w:hAnsi="Calibri"/>
                <w:i/>
                <w:iCs/>
                <w:color w:val="000000"/>
                <w:sz w:val="22"/>
                <w:szCs w:val="22"/>
                <w:lang w:val="fr-FR" w:eastAsia="en-GB"/>
              </w:rPr>
            </w:pPr>
            <w:r w:rsidRPr="00E03828">
              <w:rPr>
                <w:rFonts w:ascii="Calibri" w:eastAsia="Times New Roman" w:hAnsi="Calibri"/>
                <w:i/>
                <w:iCs/>
                <w:color w:val="000000"/>
                <w:sz w:val="22"/>
                <w:szCs w:val="22"/>
                <w:lang w:val="fr-FR" w:eastAsia="en-GB"/>
              </w:rPr>
              <w:t>Excédent avant</w:t>
            </w:r>
            <w:r w:rsidR="00CF6C57" w:rsidRPr="00E03828">
              <w:rPr>
                <w:rFonts w:ascii="Calibri" w:eastAsia="Times New Roman" w:hAnsi="Calibri"/>
                <w:i/>
                <w:iCs/>
                <w:color w:val="000000"/>
                <w:sz w:val="22"/>
                <w:szCs w:val="22"/>
                <w:lang w:val="fr-FR" w:eastAsia="en-GB"/>
              </w:rPr>
              <w:t xml:space="preserve"> provisions</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7D7262"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Divers</w:t>
            </w:r>
            <w:r w:rsidR="00CF6C57" w:rsidRPr="00E03828">
              <w:rPr>
                <w:rFonts w:ascii="Calibri" w:eastAsia="Times New Roman" w:hAnsi="Calibri"/>
                <w:b/>
                <w:bCs/>
                <w:color w:val="000000"/>
                <w:sz w:val="22"/>
                <w:szCs w:val="22"/>
                <w:lang w:val="fr-FR" w:eastAsia="en-GB"/>
              </w:rPr>
              <w:t>, Provisions</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7D7262" w:rsidP="007D7262">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Résiliation de contrats, congés, rapatriements</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(95)</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7D7262"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Créances douteuses</w:t>
            </w:r>
          </w:p>
        </w:tc>
        <w:tc>
          <w:tcPr>
            <w:tcW w:w="684" w:type="dxa"/>
            <w:tcBorders>
              <w:top w:val="nil"/>
              <w:left w:val="nil"/>
              <w:right w:val="nil"/>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(208)</w:t>
            </w:r>
          </w:p>
        </w:tc>
        <w:tc>
          <w:tcPr>
            <w:tcW w:w="960" w:type="dxa"/>
            <w:tcBorders>
              <w:top w:val="nil"/>
              <w:left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tcPr>
          <w:p w:rsidR="00CF6C57" w:rsidRPr="00E03828" w:rsidRDefault="00CF6C57" w:rsidP="007D7262">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Services</w:t>
            </w:r>
            <w:r w:rsidR="007D7262" w:rsidRPr="00E03828">
              <w:rPr>
                <w:rFonts w:ascii="Calibri" w:eastAsia="Times New Roman" w:hAnsi="Calibri"/>
                <w:color w:val="000000"/>
                <w:sz w:val="22"/>
                <w:szCs w:val="22"/>
                <w:lang w:val="fr-FR" w:eastAsia="en-GB"/>
              </w:rPr>
              <w:t xml:space="preserve"> juridiques</w:t>
            </w:r>
          </w:p>
        </w:tc>
        <w:tc>
          <w:tcPr>
            <w:tcW w:w="684" w:type="dxa"/>
            <w:tcBorders>
              <w:top w:val="nil"/>
              <w:left w:val="nil"/>
              <w:right w:val="nil"/>
            </w:tcBorders>
            <w:shd w:val="clear" w:color="auto" w:fill="auto"/>
            <w:noWrap/>
            <w:vAlign w:val="bottom"/>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(11)</w:t>
            </w:r>
          </w:p>
        </w:tc>
        <w:tc>
          <w:tcPr>
            <w:tcW w:w="960" w:type="dxa"/>
            <w:tcBorders>
              <w:top w:val="nil"/>
              <w:left w:val="nil"/>
              <w:right w:val="single" w:sz="4" w:space="0" w:color="auto"/>
            </w:tcBorders>
            <w:shd w:val="clear" w:color="auto" w:fill="auto"/>
            <w:noWrap/>
            <w:vAlign w:val="bottom"/>
          </w:tcPr>
          <w:p w:rsidR="00CF6C57" w:rsidRPr="00E03828" w:rsidRDefault="00CF6C57" w:rsidP="0084629E">
            <w:pPr>
              <w:jc w:val="right"/>
              <w:rPr>
                <w:rFonts w:ascii="Calibri" w:eastAsia="Times New Roman" w:hAnsi="Calibri"/>
                <w:color w:val="000000"/>
                <w:sz w:val="22"/>
                <w:szCs w:val="22"/>
                <w:lang w:val="fr-FR" w:eastAsia="en-GB"/>
              </w:rPr>
            </w:pPr>
          </w:p>
        </w:tc>
        <w:tc>
          <w:tcPr>
            <w:tcW w:w="4280" w:type="dxa"/>
            <w:tcBorders>
              <w:top w:val="nil"/>
              <w:left w:val="nil"/>
              <w:bottom w:val="nil"/>
              <w:right w:val="single" w:sz="4" w:space="0" w:color="auto"/>
            </w:tcBorders>
            <w:shd w:val="clear" w:color="auto" w:fill="auto"/>
            <w:noWrap/>
            <w:vAlign w:val="bottom"/>
          </w:tcPr>
          <w:p w:rsidR="00CF6C57" w:rsidRPr="00E03828" w:rsidRDefault="00CF6C57" w:rsidP="0084629E">
            <w:pPr>
              <w:rPr>
                <w:rFonts w:ascii="Calibri" w:eastAsia="Times New Roman" w:hAnsi="Calibri"/>
                <w:color w:val="000000"/>
                <w:sz w:val="22"/>
                <w:szCs w:val="22"/>
                <w:lang w:val="fr-FR" w:eastAsia="en-GB"/>
              </w:rPr>
            </w:pPr>
          </w:p>
        </w:tc>
      </w:tr>
      <w:tr w:rsidR="00CF6C57" w:rsidRPr="00E03828"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7D7262"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Pertes de change non réalisées</w:t>
            </w:r>
          </w:p>
        </w:tc>
        <w:tc>
          <w:tcPr>
            <w:tcW w:w="684" w:type="dxa"/>
            <w:tcBorders>
              <w:left w:val="nil"/>
              <w:bottom w:val="single" w:sz="4" w:space="0" w:color="auto"/>
              <w:right w:val="nil"/>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(261)</w:t>
            </w:r>
          </w:p>
        </w:tc>
        <w:tc>
          <w:tcPr>
            <w:tcW w:w="960" w:type="dxa"/>
            <w:tcBorders>
              <w:left w:val="nil"/>
              <w:bottom w:val="single" w:sz="4" w:space="0" w:color="auto"/>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r>
      <w:tr w:rsidR="00CF6C57" w:rsidRPr="003F3195" w:rsidTr="00374990">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r w:rsidRPr="00E03828">
              <w:rPr>
                <w:rFonts w:ascii="Calibri" w:eastAsia="Times New Roman" w:hAnsi="Calibri"/>
                <w:b/>
                <w:bCs/>
                <w:i/>
                <w:iCs/>
                <w:color w:val="000000"/>
                <w:sz w:val="22"/>
                <w:szCs w:val="22"/>
                <w:lang w:val="fr-FR" w:eastAsia="en-GB"/>
              </w:rPr>
              <w:t>S</w:t>
            </w:r>
            <w:r w:rsidR="007D7262" w:rsidRPr="00E03828">
              <w:rPr>
                <w:rFonts w:ascii="Calibri" w:eastAsia="Times New Roman" w:hAnsi="Calibri"/>
                <w:b/>
                <w:bCs/>
                <w:i/>
                <w:iCs/>
                <w:color w:val="000000"/>
                <w:sz w:val="22"/>
                <w:szCs w:val="22"/>
                <w:lang w:val="fr-FR" w:eastAsia="en-GB"/>
              </w:rPr>
              <w:t>ous-</w:t>
            </w:r>
            <w:r w:rsidRPr="00E03828">
              <w:rPr>
                <w:rFonts w:ascii="Calibri" w:eastAsia="Times New Roman" w:hAnsi="Calibri"/>
                <w:b/>
                <w:bCs/>
                <w:i/>
                <w:iCs/>
                <w:color w:val="000000"/>
                <w:sz w:val="22"/>
                <w:szCs w:val="22"/>
                <w:lang w:val="fr-FR" w:eastAsia="en-GB"/>
              </w:rPr>
              <w:t>total</w:t>
            </w:r>
          </w:p>
        </w:tc>
        <w:tc>
          <w:tcPr>
            <w:tcW w:w="684" w:type="dxa"/>
            <w:tcBorders>
              <w:top w:val="nil"/>
              <w:left w:val="nil"/>
              <w:bottom w:val="nil"/>
              <w:right w:val="nil"/>
            </w:tcBorders>
            <w:shd w:val="clear" w:color="auto" w:fill="auto"/>
            <w:noWrap/>
            <w:vAlign w:val="bottom"/>
            <w:hideMark/>
          </w:tcPr>
          <w:p w:rsidR="00CF6C57" w:rsidRPr="00E03828" w:rsidRDefault="00CF6C57"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CF6C57" w:rsidRPr="00E03828" w:rsidRDefault="00CF6C57"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(575)</w:t>
            </w:r>
          </w:p>
        </w:tc>
        <w:tc>
          <w:tcPr>
            <w:tcW w:w="4280" w:type="dxa"/>
            <w:tcBorders>
              <w:top w:val="nil"/>
              <w:left w:val="nil"/>
              <w:bottom w:val="nil"/>
              <w:right w:val="single" w:sz="4" w:space="0" w:color="auto"/>
            </w:tcBorders>
            <w:shd w:val="clear" w:color="auto" w:fill="auto"/>
            <w:noWrap/>
            <w:vAlign w:val="bottom"/>
            <w:hideMark/>
          </w:tcPr>
          <w:p w:rsidR="00CF6C57" w:rsidRPr="00E03828" w:rsidRDefault="00CF6C57" w:rsidP="007D7262">
            <w:pPr>
              <w:rPr>
                <w:rFonts w:ascii="Calibri" w:eastAsia="Times New Roman" w:hAnsi="Calibri"/>
                <w:i/>
                <w:color w:val="000000"/>
                <w:sz w:val="22"/>
                <w:szCs w:val="22"/>
                <w:lang w:val="fr-FR" w:eastAsia="en-GB"/>
              </w:rPr>
            </w:pPr>
            <w:r w:rsidRPr="00E03828">
              <w:rPr>
                <w:rFonts w:ascii="Calibri" w:eastAsia="Times New Roman" w:hAnsi="Calibri"/>
                <w:color w:val="000000"/>
                <w:sz w:val="22"/>
                <w:szCs w:val="22"/>
                <w:lang w:val="fr-FR" w:eastAsia="en-GB"/>
              </w:rPr>
              <w:t> </w:t>
            </w:r>
            <w:r w:rsidRPr="00E03828">
              <w:rPr>
                <w:rFonts w:ascii="Calibri" w:eastAsia="Times New Roman" w:hAnsi="Calibri"/>
                <w:i/>
                <w:color w:val="000000"/>
                <w:sz w:val="22"/>
                <w:szCs w:val="22"/>
                <w:lang w:val="fr-FR" w:eastAsia="en-GB"/>
              </w:rPr>
              <w:t xml:space="preserve">Provisions </w:t>
            </w:r>
            <w:r w:rsidR="007D7262" w:rsidRPr="00E03828">
              <w:rPr>
                <w:rFonts w:ascii="Calibri" w:eastAsia="Times New Roman" w:hAnsi="Calibri"/>
                <w:i/>
                <w:color w:val="000000"/>
                <w:sz w:val="22"/>
                <w:szCs w:val="22"/>
                <w:lang w:val="fr-FR" w:eastAsia="en-GB"/>
              </w:rPr>
              <w:t>et pertes de change non réalisées</w:t>
            </w:r>
          </w:p>
        </w:tc>
      </w:tr>
      <w:tr w:rsidR="00CF6C57" w:rsidRPr="00E03828" w:rsidTr="00374990">
        <w:trPr>
          <w:trHeight w:val="288"/>
        </w:trPr>
        <w:tc>
          <w:tcPr>
            <w:tcW w:w="3407" w:type="dxa"/>
            <w:tcBorders>
              <w:top w:val="nil"/>
              <w:left w:val="single" w:sz="4" w:space="0" w:color="auto"/>
              <w:bottom w:val="single" w:sz="4" w:space="0" w:color="auto"/>
              <w:right w:val="single" w:sz="4" w:space="0" w:color="auto"/>
            </w:tcBorders>
            <w:shd w:val="clear" w:color="000000" w:fill="C5D9F1"/>
            <w:noWrap/>
            <w:vAlign w:val="bottom"/>
            <w:hideMark/>
          </w:tcPr>
          <w:p w:rsidR="00CF6C57" w:rsidRPr="00E03828" w:rsidRDefault="00CF6C57"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Total</w:t>
            </w:r>
          </w:p>
        </w:tc>
        <w:tc>
          <w:tcPr>
            <w:tcW w:w="684" w:type="dxa"/>
            <w:tcBorders>
              <w:top w:val="nil"/>
              <w:left w:val="nil"/>
              <w:bottom w:val="single" w:sz="4" w:space="0" w:color="auto"/>
              <w:right w:val="nil"/>
            </w:tcBorders>
            <w:shd w:val="clear" w:color="000000" w:fill="C5D9F1"/>
            <w:noWrap/>
            <w:vAlign w:val="bottom"/>
            <w:hideMark/>
          </w:tcPr>
          <w:p w:rsidR="00CF6C57" w:rsidRPr="00E03828" w:rsidRDefault="00CF6C57"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CF6C57" w:rsidRPr="00E03828" w:rsidRDefault="00CF6C57" w:rsidP="0084629E">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(337)</w:t>
            </w:r>
          </w:p>
        </w:tc>
        <w:tc>
          <w:tcPr>
            <w:tcW w:w="4280" w:type="dxa"/>
            <w:tcBorders>
              <w:top w:val="nil"/>
              <w:left w:val="nil"/>
              <w:bottom w:val="single" w:sz="4" w:space="0" w:color="auto"/>
              <w:right w:val="single" w:sz="4" w:space="0" w:color="auto"/>
            </w:tcBorders>
            <w:shd w:val="clear" w:color="000000" w:fill="C5D9F1"/>
            <w:noWrap/>
            <w:vAlign w:val="bottom"/>
            <w:hideMark/>
          </w:tcPr>
          <w:p w:rsidR="00CF6C57" w:rsidRPr="00E03828" w:rsidRDefault="007D7262" w:rsidP="0084629E">
            <w:pPr>
              <w:rPr>
                <w:rFonts w:ascii="Calibri" w:eastAsia="Times New Roman" w:hAnsi="Calibri"/>
                <w:i/>
                <w:iCs/>
                <w:color w:val="000000"/>
                <w:sz w:val="22"/>
                <w:szCs w:val="22"/>
                <w:lang w:val="fr-FR" w:eastAsia="en-GB"/>
              </w:rPr>
            </w:pPr>
            <w:r w:rsidRPr="00E03828">
              <w:rPr>
                <w:rFonts w:ascii="Calibri" w:eastAsia="Times New Roman" w:hAnsi="Calibri"/>
                <w:i/>
                <w:iCs/>
                <w:color w:val="000000"/>
                <w:sz w:val="22"/>
                <w:szCs w:val="22"/>
                <w:lang w:val="fr-FR" w:eastAsia="en-GB"/>
              </w:rPr>
              <w:t>Dé</w:t>
            </w:r>
            <w:r w:rsidR="00CF6C57" w:rsidRPr="00E03828">
              <w:rPr>
                <w:rFonts w:ascii="Calibri" w:eastAsia="Times New Roman" w:hAnsi="Calibri"/>
                <w:i/>
                <w:iCs/>
                <w:color w:val="000000"/>
                <w:sz w:val="22"/>
                <w:szCs w:val="22"/>
                <w:lang w:val="fr-FR" w:eastAsia="en-GB"/>
              </w:rPr>
              <w:t>ficit</w:t>
            </w:r>
            <w:r w:rsidRPr="00E03828">
              <w:rPr>
                <w:rFonts w:ascii="Calibri" w:eastAsia="Times New Roman" w:hAnsi="Calibri"/>
                <w:i/>
                <w:iCs/>
                <w:color w:val="000000"/>
                <w:sz w:val="22"/>
                <w:szCs w:val="22"/>
                <w:lang w:val="fr-FR" w:eastAsia="en-GB"/>
              </w:rPr>
              <w:t xml:space="preserve"> global</w:t>
            </w:r>
          </w:p>
        </w:tc>
      </w:tr>
    </w:tbl>
    <w:p w:rsidR="007D7262" w:rsidRPr="00E03828" w:rsidRDefault="007D7262" w:rsidP="007D7262">
      <w:pPr>
        <w:pStyle w:val="ListParagraph"/>
        <w:ind w:left="360"/>
        <w:rPr>
          <w:rFonts w:ascii="Calibri" w:hAnsi="Calibri" w:cs="Calibri"/>
          <w:bCs/>
          <w:sz w:val="22"/>
          <w:szCs w:val="22"/>
          <w:lang w:val="fr-FR"/>
        </w:rPr>
      </w:pPr>
    </w:p>
    <w:p w:rsidR="007D7262" w:rsidRPr="00E03828" w:rsidRDefault="007D7262" w:rsidP="007D7262">
      <w:pPr>
        <w:pStyle w:val="ListParagraph"/>
        <w:numPr>
          <w:ilvl w:val="0"/>
          <w:numId w:val="2"/>
        </w:numPr>
        <w:rPr>
          <w:rFonts w:ascii="Calibri" w:hAnsi="Calibri" w:cs="Calibri"/>
          <w:bCs/>
          <w:sz w:val="22"/>
          <w:szCs w:val="22"/>
          <w:lang w:val="fr-FR"/>
        </w:rPr>
      </w:pPr>
      <w:r w:rsidRPr="00E03828">
        <w:rPr>
          <w:rFonts w:ascii="Calibri" w:hAnsi="Calibri" w:cs="Calibri"/>
          <w:bCs/>
          <w:sz w:val="22"/>
          <w:szCs w:val="22"/>
          <w:lang w:val="fr-FR"/>
        </w:rPr>
        <w:t>Les points suivants sont mis en avant à l’attention du Comité permanent.</w:t>
      </w:r>
    </w:p>
    <w:p w:rsidR="007D7262" w:rsidRPr="00E03828" w:rsidRDefault="007D7262" w:rsidP="00842399">
      <w:pPr>
        <w:pStyle w:val="ListParagraph"/>
        <w:rPr>
          <w:rFonts w:ascii="Calibri" w:hAnsi="Calibri" w:cs="Calibri"/>
          <w:bCs/>
          <w:sz w:val="22"/>
          <w:szCs w:val="22"/>
          <w:lang w:val="fr-FR"/>
        </w:rPr>
      </w:pPr>
    </w:p>
    <w:p w:rsidR="00E70296" w:rsidRPr="00E03828" w:rsidRDefault="002B5422" w:rsidP="00842399">
      <w:pPr>
        <w:pStyle w:val="ListParagraph"/>
        <w:numPr>
          <w:ilvl w:val="1"/>
          <w:numId w:val="2"/>
        </w:numPr>
        <w:ind w:left="851" w:hanging="425"/>
        <w:rPr>
          <w:rFonts w:ascii="Calibri" w:hAnsi="Calibri" w:cs="Calibri"/>
          <w:bCs/>
          <w:sz w:val="22"/>
          <w:szCs w:val="22"/>
          <w:lang w:val="fr-FR"/>
        </w:rPr>
      </w:pPr>
      <w:r w:rsidRPr="00E03828">
        <w:rPr>
          <w:rFonts w:ascii="Calibri" w:hAnsi="Calibri" w:cs="Calibri"/>
          <w:bCs/>
          <w:sz w:val="22"/>
          <w:szCs w:val="22"/>
          <w:lang w:val="fr-FR"/>
        </w:rPr>
        <w:t xml:space="preserve">Les recettes ont été </w:t>
      </w:r>
      <w:r w:rsidR="00B31B7B" w:rsidRPr="00E03828">
        <w:rPr>
          <w:rFonts w:ascii="Calibri" w:hAnsi="Calibri" w:cs="Calibri"/>
          <w:bCs/>
          <w:sz w:val="22"/>
          <w:szCs w:val="22"/>
          <w:lang w:val="fr-FR"/>
        </w:rPr>
        <w:t xml:space="preserve">globalement </w:t>
      </w:r>
      <w:r w:rsidRPr="00E03828">
        <w:rPr>
          <w:rFonts w:ascii="Calibri" w:hAnsi="Calibri" w:cs="Calibri"/>
          <w:bCs/>
          <w:sz w:val="22"/>
          <w:szCs w:val="22"/>
          <w:lang w:val="fr-FR"/>
        </w:rPr>
        <w:t xml:space="preserve">conformes aux prévisions, à l’exception des revenus d’intérêts, inférieurs de 11 000 CHF au montant </w:t>
      </w:r>
      <w:r w:rsidR="00916A08" w:rsidRPr="00E03828">
        <w:rPr>
          <w:rFonts w:ascii="Calibri" w:hAnsi="Calibri" w:cs="Calibri"/>
          <w:bCs/>
          <w:sz w:val="22"/>
          <w:szCs w:val="22"/>
          <w:lang w:val="fr-FR"/>
        </w:rPr>
        <w:t>prévu</w:t>
      </w:r>
      <w:r w:rsidRPr="00E03828">
        <w:rPr>
          <w:rFonts w:ascii="Calibri" w:hAnsi="Calibri" w:cs="Calibri"/>
          <w:bCs/>
          <w:sz w:val="22"/>
          <w:szCs w:val="22"/>
          <w:lang w:val="fr-FR"/>
        </w:rPr>
        <w:t>. Cette situation s’explique par la situation économique générale en Europe et par la faiblesse des taux d’intérêt</w:t>
      </w:r>
      <w:r w:rsidR="00E72D40" w:rsidRPr="00E03828">
        <w:rPr>
          <w:rFonts w:ascii="Calibri" w:hAnsi="Calibri" w:cs="Calibri"/>
          <w:bCs/>
          <w:sz w:val="22"/>
          <w:szCs w:val="22"/>
          <w:lang w:val="fr-FR"/>
        </w:rPr>
        <w:t xml:space="preserve">. </w:t>
      </w:r>
    </w:p>
    <w:p w:rsidR="002464F2" w:rsidRPr="00E03828" w:rsidRDefault="009C5E7D" w:rsidP="00842399">
      <w:pPr>
        <w:pStyle w:val="ListParagraph"/>
        <w:ind w:left="851" w:hanging="425"/>
        <w:rPr>
          <w:rFonts w:ascii="Calibri" w:hAnsi="Calibri" w:cs="Calibri"/>
          <w:bCs/>
          <w:sz w:val="22"/>
          <w:szCs w:val="22"/>
          <w:lang w:val="fr-FR"/>
        </w:rPr>
      </w:pPr>
      <w:r w:rsidRPr="00E03828">
        <w:rPr>
          <w:rFonts w:ascii="Calibri" w:hAnsi="Calibri" w:cs="Calibri"/>
          <w:bCs/>
          <w:sz w:val="22"/>
          <w:szCs w:val="22"/>
          <w:lang w:val="fr-FR"/>
        </w:rPr>
        <w:t xml:space="preserve"> </w:t>
      </w:r>
    </w:p>
    <w:p w:rsidR="002464F2" w:rsidRPr="00E03828" w:rsidRDefault="00B31B7B" w:rsidP="007E3F00">
      <w:pPr>
        <w:pStyle w:val="ListParagraph"/>
        <w:numPr>
          <w:ilvl w:val="1"/>
          <w:numId w:val="2"/>
        </w:numPr>
        <w:ind w:left="851" w:hanging="425"/>
        <w:rPr>
          <w:rFonts w:ascii="Calibri" w:hAnsi="Calibri" w:cs="Calibri"/>
          <w:bCs/>
          <w:sz w:val="22"/>
          <w:szCs w:val="22"/>
          <w:lang w:val="fr-FR"/>
        </w:rPr>
      </w:pPr>
      <w:r w:rsidRPr="00E03828">
        <w:rPr>
          <w:rFonts w:ascii="Calibri" w:hAnsi="Calibri" w:cs="Calibri"/>
          <w:bCs/>
          <w:sz w:val="22"/>
          <w:szCs w:val="22"/>
          <w:lang w:val="fr-FR"/>
        </w:rPr>
        <w:t xml:space="preserve">Les coûts salariaux ont </w:t>
      </w:r>
      <w:r w:rsidR="00082518" w:rsidRPr="00E03828">
        <w:rPr>
          <w:rFonts w:ascii="Calibri" w:hAnsi="Calibri" w:cs="Calibri"/>
          <w:bCs/>
          <w:sz w:val="22"/>
          <w:szCs w:val="22"/>
          <w:lang w:val="fr-FR"/>
        </w:rPr>
        <w:t>été de 218 000 CHF inférieurs aux</w:t>
      </w:r>
      <w:r w:rsidRPr="00E03828">
        <w:rPr>
          <w:rFonts w:ascii="Calibri" w:hAnsi="Calibri" w:cs="Calibri"/>
          <w:bCs/>
          <w:sz w:val="22"/>
          <w:szCs w:val="22"/>
          <w:lang w:val="fr-FR"/>
        </w:rPr>
        <w:t xml:space="preserve"> prévisions </w:t>
      </w:r>
      <w:r w:rsidR="007E3F00" w:rsidRPr="00E03828">
        <w:rPr>
          <w:rFonts w:ascii="Calibri" w:hAnsi="Calibri" w:cs="Calibri"/>
          <w:bCs/>
          <w:sz w:val="22"/>
          <w:szCs w:val="22"/>
          <w:lang w:val="fr-FR"/>
        </w:rPr>
        <w:t>(</w:t>
      </w:r>
      <w:r w:rsidR="00082518" w:rsidRPr="00E03828">
        <w:rPr>
          <w:rFonts w:ascii="Calibri" w:hAnsi="Calibri" w:cs="Calibri"/>
          <w:bCs/>
          <w:sz w:val="22"/>
          <w:szCs w:val="22"/>
          <w:lang w:val="fr-FR"/>
        </w:rPr>
        <w:t>dépenses réelles de 7</w:t>
      </w:r>
      <w:r w:rsidRPr="00E03828">
        <w:rPr>
          <w:rFonts w:ascii="Calibri" w:hAnsi="Calibri" w:cs="Calibri"/>
          <w:bCs/>
          <w:sz w:val="22"/>
          <w:szCs w:val="22"/>
          <w:lang w:val="fr-FR"/>
        </w:rPr>
        <w:t>% inférieures au budget prévu)</w:t>
      </w:r>
      <w:r w:rsidR="007E3F00" w:rsidRPr="00E03828">
        <w:rPr>
          <w:rFonts w:ascii="Calibri" w:hAnsi="Calibri" w:cs="Calibri"/>
          <w:bCs/>
          <w:sz w:val="22"/>
          <w:szCs w:val="22"/>
          <w:lang w:val="fr-FR"/>
        </w:rPr>
        <w:t xml:space="preserve">. </w:t>
      </w:r>
      <w:r w:rsidR="00082518" w:rsidRPr="00E03828">
        <w:rPr>
          <w:rFonts w:ascii="Calibri" w:hAnsi="Calibri" w:cs="Calibri"/>
          <w:bCs/>
          <w:sz w:val="22"/>
          <w:szCs w:val="22"/>
          <w:lang w:val="fr-FR"/>
        </w:rPr>
        <w:t>Les principales raisons en sont les suivantes :</w:t>
      </w:r>
    </w:p>
    <w:p w:rsidR="00082518" w:rsidRPr="00E03828" w:rsidRDefault="00082518" w:rsidP="00082518">
      <w:pPr>
        <w:pStyle w:val="ListParagraph"/>
        <w:rPr>
          <w:rFonts w:ascii="Calibri" w:hAnsi="Calibri" w:cs="Calibri"/>
          <w:bCs/>
          <w:sz w:val="22"/>
          <w:szCs w:val="22"/>
          <w:lang w:val="fr-FR"/>
        </w:rPr>
      </w:pPr>
    </w:p>
    <w:p w:rsidR="00082518" w:rsidRPr="00E03828" w:rsidRDefault="00082518" w:rsidP="00082518">
      <w:pPr>
        <w:pStyle w:val="ListParagraph"/>
        <w:numPr>
          <w:ilvl w:val="0"/>
          <w:numId w:val="17"/>
        </w:numPr>
        <w:ind w:left="1276" w:hanging="425"/>
        <w:rPr>
          <w:rFonts w:ascii="Calibri" w:hAnsi="Calibri" w:cs="Calibri"/>
          <w:bCs/>
          <w:sz w:val="22"/>
          <w:szCs w:val="22"/>
          <w:lang w:val="fr-FR"/>
        </w:rPr>
      </w:pPr>
      <w:r w:rsidRPr="00E03828">
        <w:rPr>
          <w:rFonts w:ascii="Calibri" w:hAnsi="Calibri" w:cs="Calibri"/>
          <w:bCs/>
          <w:sz w:val="22"/>
          <w:szCs w:val="22"/>
          <w:lang w:val="fr-FR"/>
        </w:rPr>
        <w:t>50% du montant prévu pour le Responsa</w:t>
      </w:r>
      <w:r w:rsidR="00803988" w:rsidRPr="00E03828">
        <w:rPr>
          <w:rFonts w:ascii="Calibri" w:hAnsi="Calibri" w:cs="Calibri"/>
          <w:bCs/>
          <w:sz w:val="22"/>
          <w:szCs w:val="22"/>
          <w:lang w:val="fr-FR"/>
        </w:rPr>
        <w:t>ble régional-</w:t>
      </w:r>
      <w:r w:rsidRPr="00E03828">
        <w:rPr>
          <w:rFonts w:ascii="Calibri" w:hAnsi="Calibri" w:cs="Calibri"/>
          <w:bCs/>
          <w:sz w:val="22"/>
          <w:szCs w:val="22"/>
          <w:lang w:val="fr-FR"/>
        </w:rPr>
        <w:t>Océanie n’ont pas été dépensés en 2015 (40 000 CHF);</w:t>
      </w:r>
    </w:p>
    <w:p w:rsidR="00082518" w:rsidRPr="00E03828" w:rsidRDefault="00803988" w:rsidP="00082518">
      <w:pPr>
        <w:pStyle w:val="ListParagraph"/>
        <w:numPr>
          <w:ilvl w:val="0"/>
          <w:numId w:val="17"/>
        </w:numPr>
        <w:ind w:left="1276" w:hanging="425"/>
        <w:rPr>
          <w:rFonts w:ascii="Calibri" w:hAnsi="Calibri" w:cs="Calibri"/>
          <w:bCs/>
          <w:sz w:val="22"/>
          <w:szCs w:val="22"/>
          <w:lang w:val="fr-FR"/>
        </w:rPr>
      </w:pPr>
      <w:r w:rsidRPr="00E03828">
        <w:rPr>
          <w:rFonts w:ascii="Calibri" w:hAnsi="Calibri" w:cs="Calibri"/>
          <w:bCs/>
          <w:sz w:val="22"/>
          <w:szCs w:val="22"/>
          <w:lang w:val="fr-FR"/>
        </w:rPr>
        <w:t xml:space="preserve">régularisation 2014 concernant le Responsable régional-Océanie </w:t>
      </w:r>
      <w:r w:rsidR="00082518" w:rsidRPr="00E03828">
        <w:rPr>
          <w:rFonts w:ascii="Calibri" w:hAnsi="Calibri" w:cs="Calibri"/>
          <w:bCs/>
          <w:sz w:val="22"/>
          <w:szCs w:val="22"/>
          <w:lang w:val="fr-FR"/>
        </w:rPr>
        <w:t>(85</w:t>
      </w:r>
      <w:r w:rsidRPr="00E03828">
        <w:rPr>
          <w:rFonts w:ascii="Calibri" w:hAnsi="Calibri" w:cs="Calibri"/>
          <w:bCs/>
          <w:sz w:val="22"/>
          <w:szCs w:val="22"/>
          <w:lang w:val="fr-FR"/>
        </w:rPr>
        <w:t> </w:t>
      </w:r>
      <w:r w:rsidR="00082518" w:rsidRPr="00E03828">
        <w:rPr>
          <w:rFonts w:ascii="Calibri" w:hAnsi="Calibri" w:cs="Calibri"/>
          <w:bCs/>
          <w:sz w:val="22"/>
          <w:szCs w:val="22"/>
          <w:lang w:val="fr-FR"/>
        </w:rPr>
        <w:t>000</w:t>
      </w:r>
      <w:r w:rsidRPr="00E03828">
        <w:rPr>
          <w:rFonts w:ascii="Calibri" w:hAnsi="Calibri" w:cs="Calibri"/>
          <w:bCs/>
          <w:sz w:val="22"/>
          <w:szCs w:val="22"/>
          <w:lang w:val="fr-FR"/>
        </w:rPr>
        <w:t> CHF</w:t>
      </w:r>
      <w:r w:rsidR="00082518" w:rsidRPr="00E03828">
        <w:rPr>
          <w:rFonts w:ascii="Calibri" w:hAnsi="Calibri" w:cs="Calibri"/>
          <w:bCs/>
          <w:sz w:val="22"/>
          <w:szCs w:val="22"/>
          <w:lang w:val="fr-FR"/>
        </w:rPr>
        <w:t>);</w:t>
      </w:r>
    </w:p>
    <w:p w:rsidR="00082518" w:rsidRPr="00E03828" w:rsidRDefault="00803988" w:rsidP="00082518">
      <w:pPr>
        <w:pStyle w:val="ListParagraph"/>
        <w:numPr>
          <w:ilvl w:val="0"/>
          <w:numId w:val="17"/>
        </w:numPr>
        <w:ind w:left="1276" w:hanging="425"/>
        <w:rPr>
          <w:rFonts w:ascii="Calibri" w:hAnsi="Calibri" w:cs="Calibri"/>
          <w:bCs/>
          <w:sz w:val="22"/>
          <w:szCs w:val="22"/>
          <w:lang w:val="fr-FR"/>
        </w:rPr>
      </w:pPr>
      <w:r w:rsidRPr="00E03828">
        <w:rPr>
          <w:rFonts w:ascii="Calibri" w:hAnsi="Calibri" w:cs="Calibri"/>
          <w:bCs/>
          <w:sz w:val="22"/>
          <w:szCs w:val="22"/>
          <w:lang w:val="fr-FR"/>
        </w:rPr>
        <w:t xml:space="preserve">entrée en fonction tardive du Responsable informatique </w:t>
      </w:r>
      <w:r w:rsidR="00082518" w:rsidRPr="00E03828">
        <w:rPr>
          <w:rFonts w:ascii="Calibri" w:hAnsi="Calibri" w:cs="Calibri"/>
          <w:bCs/>
          <w:sz w:val="22"/>
          <w:szCs w:val="22"/>
          <w:lang w:val="fr-FR"/>
        </w:rPr>
        <w:t>(40</w:t>
      </w:r>
      <w:r w:rsidRPr="00E03828">
        <w:rPr>
          <w:rFonts w:ascii="Calibri" w:hAnsi="Calibri" w:cs="Calibri"/>
          <w:bCs/>
          <w:sz w:val="22"/>
          <w:szCs w:val="22"/>
          <w:lang w:val="fr-FR"/>
        </w:rPr>
        <w:t> </w:t>
      </w:r>
      <w:r w:rsidR="00082518" w:rsidRPr="00E03828">
        <w:rPr>
          <w:rFonts w:ascii="Calibri" w:hAnsi="Calibri" w:cs="Calibri"/>
          <w:bCs/>
          <w:sz w:val="22"/>
          <w:szCs w:val="22"/>
          <w:lang w:val="fr-FR"/>
        </w:rPr>
        <w:t>000</w:t>
      </w:r>
      <w:r w:rsidRPr="00E03828">
        <w:rPr>
          <w:rFonts w:ascii="Calibri" w:hAnsi="Calibri" w:cs="Calibri"/>
          <w:bCs/>
          <w:sz w:val="22"/>
          <w:szCs w:val="22"/>
          <w:lang w:val="fr-FR"/>
        </w:rPr>
        <w:t> CHF</w:t>
      </w:r>
      <w:r w:rsidR="00082518" w:rsidRPr="00E03828">
        <w:rPr>
          <w:rFonts w:ascii="Calibri" w:hAnsi="Calibri" w:cs="Calibri"/>
          <w:bCs/>
          <w:sz w:val="22"/>
          <w:szCs w:val="22"/>
          <w:lang w:val="fr-FR"/>
        </w:rPr>
        <w:t>);</w:t>
      </w:r>
    </w:p>
    <w:p w:rsidR="00082518" w:rsidRPr="00E03828" w:rsidRDefault="00803988" w:rsidP="00082518">
      <w:pPr>
        <w:pStyle w:val="ListParagraph"/>
        <w:numPr>
          <w:ilvl w:val="0"/>
          <w:numId w:val="17"/>
        </w:numPr>
        <w:ind w:left="1276" w:hanging="425"/>
        <w:rPr>
          <w:rFonts w:ascii="Calibri" w:hAnsi="Calibri" w:cs="Calibri"/>
          <w:bCs/>
          <w:sz w:val="22"/>
          <w:szCs w:val="22"/>
          <w:lang w:val="fr-FR"/>
        </w:rPr>
      </w:pPr>
      <w:r w:rsidRPr="00E03828">
        <w:rPr>
          <w:rFonts w:ascii="Calibri" w:hAnsi="Calibri" w:cs="Calibri"/>
          <w:bCs/>
          <w:sz w:val="22"/>
          <w:szCs w:val="22"/>
          <w:lang w:val="fr-FR"/>
        </w:rPr>
        <w:t>ent</w:t>
      </w:r>
      <w:r w:rsidR="00B2252D">
        <w:rPr>
          <w:rFonts w:ascii="Calibri" w:hAnsi="Calibri" w:cs="Calibri"/>
          <w:bCs/>
          <w:sz w:val="22"/>
          <w:szCs w:val="22"/>
          <w:lang w:val="fr-FR"/>
        </w:rPr>
        <w:t>rée en fonction tardive de la Se</w:t>
      </w:r>
      <w:r w:rsidRPr="00E03828">
        <w:rPr>
          <w:rFonts w:ascii="Calibri" w:hAnsi="Calibri" w:cs="Calibri"/>
          <w:bCs/>
          <w:sz w:val="22"/>
          <w:szCs w:val="22"/>
          <w:lang w:val="fr-FR"/>
        </w:rPr>
        <w:t xml:space="preserve">crétaire générale adjointe </w:t>
      </w:r>
      <w:r w:rsidR="00082518" w:rsidRPr="00E03828">
        <w:rPr>
          <w:rFonts w:ascii="Calibri" w:hAnsi="Calibri" w:cs="Calibri"/>
          <w:bCs/>
          <w:sz w:val="22"/>
          <w:szCs w:val="22"/>
          <w:lang w:val="fr-FR"/>
        </w:rPr>
        <w:t>(15</w:t>
      </w:r>
      <w:r w:rsidRPr="00E03828">
        <w:rPr>
          <w:rFonts w:ascii="Calibri" w:hAnsi="Calibri" w:cs="Calibri"/>
          <w:bCs/>
          <w:sz w:val="22"/>
          <w:szCs w:val="22"/>
          <w:lang w:val="fr-FR"/>
        </w:rPr>
        <w:t> </w:t>
      </w:r>
      <w:r w:rsidR="00082518" w:rsidRPr="00E03828">
        <w:rPr>
          <w:rFonts w:ascii="Calibri" w:hAnsi="Calibri" w:cs="Calibri"/>
          <w:bCs/>
          <w:sz w:val="22"/>
          <w:szCs w:val="22"/>
          <w:lang w:val="fr-FR"/>
        </w:rPr>
        <w:t>000</w:t>
      </w:r>
      <w:r w:rsidRPr="00E03828">
        <w:rPr>
          <w:rFonts w:ascii="Calibri" w:hAnsi="Calibri" w:cs="Calibri"/>
          <w:bCs/>
          <w:sz w:val="22"/>
          <w:szCs w:val="22"/>
          <w:lang w:val="fr-FR"/>
        </w:rPr>
        <w:t> CHF</w:t>
      </w:r>
      <w:r w:rsidR="00082518" w:rsidRPr="00E03828">
        <w:rPr>
          <w:rFonts w:ascii="Calibri" w:hAnsi="Calibri" w:cs="Calibri"/>
          <w:bCs/>
          <w:sz w:val="22"/>
          <w:szCs w:val="22"/>
          <w:lang w:val="fr-FR"/>
        </w:rPr>
        <w:t>);</w:t>
      </w:r>
    </w:p>
    <w:p w:rsidR="00082518" w:rsidRPr="00E03828" w:rsidRDefault="00803988" w:rsidP="00082518">
      <w:pPr>
        <w:pStyle w:val="ListParagraph"/>
        <w:numPr>
          <w:ilvl w:val="0"/>
          <w:numId w:val="17"/>
        </w:numPr>
        <w:ind w:left="1276" w:hanging="425"/>
        <w:rPr>
          <w:rFonts w:ascii="Calibri" w:hAnsi="Calibri" w:cs="Calibri"/>
          <w:bCs/>
          <w:sz w:val="22"/>
          <w:szCs w:val="22"/>
          <w:lang w:val="fr-FR"/>
        </w:rPr>
      </w:pPr>
      <w:r w:rsidRPr="00E03828">
        <w:rPr>
          <w:rFonts w:ascii="Calibri" w:hAnsi="Calibri" w:cs="Calibri"/>
          <w:bCs/>
          <w:sz w:val="22"/>
          <w:szCs w:val="22"/>
          <w:lang w:val="fr-FR"/>
        </w:rPr>
        <w:t xml:space="preserve">indemnités d’études non utilisées </w:t>
      </w:r>
      <w:r w:rsidR="00082518" w:rsidRPr="00E03828">
        <w:rPr>
          <w:rFonts w:ascii="Calibri" w:hAnsi="Calibri" w:cs="Calibri"/>
          <w:bCs/>
          <w:sz w:val="22"/>
          <w:szCs w:val="22"/>
          <w:lang w:val="fr-FR"/>
        </w:rPr>
        <w:t>(40</w:t>
      </w:r>
      <w:r w:rsidRPr="00E03828">
        <w:rPr>
          <w:rFonts w:ascii="Calibri" w:hAnsi="Calibri" w:cs="Calibri"/>
          <w:bCs/>
          <w:sz w:val="22"/>
          <w:szCs w:val="22"/>
          <w:lang w:val="fr-FR"/>
        </w:rPr>
        <w:t> </w:t>
      </w:r>
      <w:r w:rsidR="00082518" w:rsidRPr="00E03828">
        <w:rPr>
          <w:rFonts w:ascii="Calibri" w:hAnsi="Calibri" w:cs="Calibri"/>
          <w:bCs/>
          <w:sz w:val="22"/>
          <w:szCs w:val="22"/>
          <w:lang w:val="fr-FR"/>
        </w:rPr>
        <w:t>000</w:t>
      </w:r>
      <w:r w:rsidRPr="00E03828">
        <w:rPr>
          <w:rFonts w:ascii="Calibri" w:hAnsi="Calibri" w:cs="Calibri"/>
          <w:bCs/>
          <w:sz w:val="22"/>
          <w:szCs w:val="22"/>
          <w:lang w:val="fr-FR"/>
        </w:rPr>
        <w:t> CHF</w:t>
      </w:r>
      <w:r w:rsidR="00082518" w:rsidRPr="00E03828">
        <w:rPr>
          <w:rFonts w:ascii="Calibri" w:hAnsi="Calibri" w:cs="Calibri"/>
          <w:bCs/>
          <w:sz w:val="22"/>
          <w:szCs w:val="22"/>
          <w:lang w:val="fr-FR"/>
        </w:rPr>
        <w:t>);</w:t>
      </w:r>
    </w:p>
    <w:p w:rsidR="00082518" w:rsidRPr="00E03828" w:rsidRDefault="00803988" w:rsidP="00082518">
      <w:pPr>
        <w:pStyle w:val="ListParagraph"/>
        <w:numPr>
          <w:ilvl w:val="0"/>
          <w:numId w:val="17"/>
        </w:numPr>
        <w:ind w:left="1276" w:hanging="425"/>
        <w:rPr>
          <w:rFonts w:ascii="Calibri" w:hAnsi="Calibri" w:cs="Calibri"/>
          <w:bCs/>
          <w:sz w:val="22"/>
          <w:szCs w:val="22"/>
          <w:lang w:val="fr-FR"/>
        </w:rPr>
      </w:pPr>
      <w:r w:rsidRPr="00E03828">
        <w:rPr>
          <w:rFonts w:ascii="Calibri" w:hAnsi="Calibri" w:cs="Calibri"/>
          <w:bCs/>
          <w:sz w:val="22"/>
          <w:szCs w:val="22"/>
          <w:lang w:val="fr-FR"/>
        </w:rPr>
        <w:t xml:space="preserve">autres corrections mineures </w:t>
      </w:r>
      <w:r w:rsidR="00082518" w:rsidRPr="00E03828">
        <w:rPr>
          <w:rFonts w:ascii="Calibri" w:hAnsi="Calibri" w:cs="Calibri"/>
          <w:bCs/>
          <w:sz w:val="22"/>
          <w:szCs w:val="22"/>
          <w:lang w:val="fr-FR"/>
        </w:rPr>
        <w:t>(-2</w:t>
      </w:r>
      <w:r w:rsidRPr="00E03828">
        <w:rPr>
          <w:rFonts w:ascii="Calibri" w:hAnsi="Calibri" w:cs="Calibri"/>
          <w:bCs/>
          <w:sz w:val="22"/>
          <w:szCs w:val="22"/>
          <w:lang w:val="fr-FR"/>
        </w:rPr>
        <w:t> </w:t>
      </w:r>
      <w:r w:rsidR="00082518" w:rsidRPr="00E03828">
        <w:rPr>
          <w:rFonts w:ascii="Calibri" w:hAnsi="Calibri" w:cs="Calibri"/>
          <w:bCs/>
          <w:sz w:val="22"/>
          <w:szCs w:val="22"/>
          <w:lang w:val="fr-FR"/>
        </w:rPr>
        <w:t>000</w:t>
      </w:r>
      <w:r w:rsidRPr="00E03828">
        <w:rPr>
          <w:rFonts w:ascii="Calibri" w:hAnsi="Calibri" w:cs="Calibri"/>
          <w:bCs/>
          <w:sz w:val="22"/>
          <w:szCs w:val="22"/>
          <w:lang w:val="fr-FR"/>
        </w:rPr>
        <w:t xml:space="preserve"> CHF</w:t>
      </w:r>
      <w:r w:rsidR="00082518" w:rsidRPr="00E03828">
        <w:rPr>
          <w:rFonts w:ascii="Calibri" w:hAnsi="Calibri" w:cs="Calibri"/>
          <w:bCs/>
          <w:sz w:val="22"/>
          <w:szCs w:val="22"/>
          <w:lang w:val="fr-FR"/>
        </w:rPr>
        <w:t>).</w:t>
      </w:r>
    </w:p>
    <w:p w:rsidR="00082518" w:rsidRPr="00E03828" w:rsidRDefault="00082518" w:rsidP="00082518">
      <w:pPr>
        <w:pStyle w:val="ListParagraph"/>
        <w:ind w:left="360"/>
        <w:rPr>
          <w:rFonts w:ascii="Calibri" w:hAnsi="Calibri" w:cs="Calibri"/>
          <w:bCs/>
          <w:sz w:val="22"/>
          <w:szCs w:val="22"/>
          <w:lang w:val="fr-FR"/>
        </w:rPr>
      </w:pPr>
    </w:p>
    <w:p w:rsidR="007E3F00" w:rsidRPr="00E03828" w:rsidRDefault="007E3F00" w:rsidP="007E3F00">
      <w:pPr>
        <w:pStyle w:val="ListParagraph"/>
        <w:rPr>
          <w:rFonts w:ascii="Calibri" w:hAnsi="Calibri" w:cs="Calibri"/>
          <w:bCs/>
          <w:sz w:val="22"/>
          <w:szCs w:val="22"/>
          <w:lang w:val="fr-FR"/>
        </w:rPr>
      </w:pPr>
    </w:p>
    <w:p w:rsidR="002464F2" w:rsidRPr="00E03828" w:rsidRDefault="00B31B7B" w:rsidP="00842399">
      <w:pPr>
        <w:pStyle w:val="ListParagraph"/>
        <w:numPr>
          <w:ilvl w:val="1"/>
          <w:numId w:val="2"/>
        </w:numPr>
        <w:ind w:left="851" w:hanging="425"/>
        <w:rPr>
          <w:rFonts w:ascii="Calibri" w:hAnsi="Calibri" w:cs="Calibri"/>
          <w:bCs/>
          <w:sz w:val="22"/>
          <w:szCs w:val="22"/>
          <w:lang w:val="fr-FR"/>
        </w:rPr>
      </w:pPr>
      <w:r w:rsidRPr="00E03828">
        <w:rPr>
          <w:rFonts w:ascii="Calibri" w:hAnsi="Calibri" w:cs="Calibri"/>
          <w:bCs/>
          <w:sz w:val="22"/>
          <w:szCs w:val="22"/>
          <w:lang w:val="fr-FR"/>
        </w:rPr>
        <w:t>Aucune revalorisation liée à la hausse du coût de la vie imposée par l’UICN ni aucune hausse de salaire ne sont intervenues depuis 2011</w:t>
      </w:r>
      <w:r w:rsidR="005D0C79" w:rsidRPr="00E03828">
        <w:rPr>
          <w:rFonts w:ascii="Calibri" w:hAnsi="Calibri" w:cs="Calibri"/>
          <w:bCs/>
          <w:sz w:val="22"/>
          <w:szCs w:val="22"/>
          <w:lang w:val="fr-FR"/>
        </w:rPr>
        <w:t>.</w:t>
      </w:r>
    </w:p>
    <w:p w:rsidR="002464F2" w:rsidRPr="00E03828" w:rsidRDefault="002464F2" w:rsidP="00842399">
      <w:pPr>
        <w:pStyle w:val="ListParagraph"/>
        <w:ind w:left="851" w:hanging="425"/>
        <w:rPr>
          <w:rFonts w:ascii="Calibri" w:hAnsi="Calibri" w:cs="Calibri"/>
          <w:bCs/>
          <w:sz w:val="22"/>
          <w:szCs w:val="22"/>
          <w:lang w:val="fr-FR"/>
        </w:rPr>
      </w:pPr>
    </w:p>
    <w:p w:rsidR="002464F2" w:rsidRPr="00E03828" w:rsidRDefault="00E5509E" w:rsidP="00387677">
      <w:pPr>
        <w:pStyle w:val="ListParagraph"/>
        <w:numPr>
          <w:ilvl w:val="1"/>
          <w:numId w:val="2"/>
        </w:numPr>
        <w:ind w:left="851" w:hanging="425"/>
        <w:rPr>
          <w:rFonts w:ascii="Calibri" w:hAnsi="Calibri" w:cs="Calibri"/>
          <w:bCs/>
          <w:sz w:val="22"/>
          <w:szCs w:val="22"/>
          <w:lang w:val="fr-FR"/>
        </w:rPr>
      </w:pPr>
      <w:r w:rsidRPr="00E03828">
        <w:rPr>
          <w:rFonts w:ascii="Calibri" w:hAnsi="Calibri" w:cs="Calibri"/>
          <w:bCs/>
          <w:sz w:val="22"/>
          <w:szCs w:val="22"/>
          <w:lang w:val="fr-FR"/>
        </w:rPr>
        <w:t>Un montant de 106 800 CHF a été affecté aux Initiatives régionales Ramsar, conformément à ce qui avait été convenu à la 49</w:t>
      </w:r>
      <w:r w:rsidRPr="00E03828">
        <w:rPr>
          <w:rFonts w:ascii="Calibri" w:hAnsi="Calibri" w:cs="Calibri"/>
          <w:bCs/>
          <w:sz w:val="22"/>
          <w:szCs w:val="22"/>
          <w:vertAlign w:val="superscript"/>
          <w:lang w:val="fr-FR"/>
        </w:rPr>
        <w:t>e</w:t>
      </w:r>
      <w:r w:rsidRPr="00E03828">
        <w:rPr>
          <w:rFonts w:ascii="Calibri" w:hAnsi="Calibri" w:cs="Calibri"/>
          <w:bCs/>
          <w:sz w:val="22"/>
          <w:szCs w:val="22"/>
          <w:lang w:val="fr-FR"/>
        </w:rPr>
        <w:t xml:space="preserve"> Réunion du Comité permanent </w:t>
      </w:r>
      <w:r w:rsidR="00F9381E" w:rsidRPr="00E03828">
        <w:rPr>
          <w:rFonts w:ascii="Calibri" w:hAnsi="Calibri" w:cs="Calibri"/>
          <w:bCs/>
          <w:sz w:val="22"/>
          <w:szCs w:val="22"/>
          <w:lang w:val="fr-FR"/>
        </w:rPr>
        <w:t>(</w:t>
      </w:r>
      <w:r w:rsidRPr="00E03828">
        <w:rPr>
          <w:rFonts w:ascii="Calibri" w:hAnsi="Calibri" w:cs="Calibri"/>
          <w:bCs/>
          <w:sz w:val="22"/>
          <w:szCs w:val="22"/>
          <w:lang w:val="fr-FR"/>
        </w:rPr>
        <w:t>Dé</w:t>
      </w:r>
      <w:r w:rsidR="009C5E7D" w:rsidRPr="00E03828">
        <w:rPr>
          <w:rFonts w:ascii="Calibri" w:hAnsi="Calibri" w:cs="Calibri"/>
          <w:bCs/>
          <w:sz w:val="22"/>
          <w:szCs w:val="22"/>
          <w:lang w:val="fr-FR"/>
        </w:rPr>
        <w:t>cision SC4</w:t>
      </w:r>
      <w:r w:rsidR="00912433" w:rsidRPr="00E03828">
        <w:rPr>
          <w:rFonts w:ascii="Calibri" w:hAnsi="Calibri" w:cs="Calibri"/>
          <w:bCs/>
          <w:sz w:val="22"/>
          <w:szCs w:val="22"/>
          <w:lang w:val="fr-FR"/>
        </w:rPr>
        <w:t>9</w:t>
      </w:r>
      <w:r w:rsidR="009C5E7D" w:rsidRPr="00E03828">
        <w:rPr>
          <w:rFonts w:ascii="Calibri" w:hAnsi="Calibri" w:cs="Calibri"/>
          <w:bCs/>
          <w:sz w:val="22"/>
          <w:szCs w:val="22"/>
          <w:lang w:val="fr-FR"/>
        </w:rPr>
        <w:t>-</w:t>
      </w:r>
      <w:r w:rsidR="00912433" w:rsidRPr="00E03828">
        <w:rPr>
          <w:rFonts w:ascii="Calibri" w:hAnsi="Calibri" w:cs="Calibri"/>
          <w:bCs/>
          <w:sz w:val="22"/>
          <w:szCs w:val="22"/>
          <w:lang w:val="fr-FR"/>
        </w:rPr>
        <w:t>03</w:t>
      </w:r>
      <w:r w:rsidR="00F9381E" w:rsidRPr="00E03828">
        <w:rPr>
          <w:rFonts w:ascii="Calibri" w:hAnsi="Calibri" w:cs="Calibri"/>
          <w:bCs/>
          <w:sz w:val="22"/>
          <w:szCs w:val="22"/>
          <w:lang w:val="fr-FR"/>
        </w:rPr>
        <w:t>)</w:t>
      </w:r>
      <w:r w:rsidR="00912433" w:rsidRPr="00E03828">
        <w:rPr>
          <w:rFonts w:ascii="Calibri" w:hAnsi="Calibri" w:cs="Calibri"/>
          <w:bCs/>
          <w:sz w:val="22"/>
          <w:szCs w:val="22"/>
          <w:lang w:val="fr-FR"/>
        </w:rPr>
        <w:t xml:space="preserve"> </w:t>
      </w:r>
      <w:r w:rsidRPr="00E03828">
        <w:rPr>
          <w:rFonts w:ascii="Calibri" w:hAnsi="Calibri" w:cs="Calibri"/>
          <w:bCs/>
          <w:sz w:val="22"/>
          <w:szCs w:val="22"/>
          <w:lang w:val="fr-FR"/>
        </w:rPr>
        <w:t>et indiqué à la 51</w:t>
      </w:r>
      <w:r w:rsidRPr="00E03828">
        <w:rPr>
          <w:rFonts w:ascii="Calibri" w:hAnsi="Calibri" w:cs="Calibri"/>
          <w:bCs/>
          <w:sz w:val="22"/>
          <w:szCs w:val="22"/>
          <w:vertAlign w:val="superscript"/>
          <w:lang w:val="fr-FR"/>
        </w:rPr>
        <w:t>e</w:t>
      </w:r>
      <w:r w:rsidRPr="00E03828">
        <w:rPr>
          <w:rFonts w:ascii="Calibri" w:hAnsi="Calibri" w:cs="Calibri"/>
          <w:bCs/>
          <w:sz w:val="22"/>
          <w:szCs w:val="22"/>
          <w:lang w:val="fr-FR"/>
        </w:rPr>
        <w:t xml:space="preserve"> Réunion du Comité permanent</w:t>
      </w:r>
      <w:r w:rsidR="00F9381E" w:rsidRPr="00E03828">
        <w:rPr>
          <w:rFonts w:ascii="Calibri" w:hAnsi="Calibri" w:cs="Calibri"/>
          <w:bCs/>
          <w:sz w:val="22"/>
          <w:szCs w:val="22"/>
          <w:lang w:val="fr-FR"/>
        </w:rPr>
        <w:t>.</w:t>
      </w:r>
      <w:r w:rsidR="00387677" w:rsidRPr="00E03828">
        <w:rPr>
          <w:rFonts w:ascii="Calibri" w:hAnsi="Calibri" w:cs="Calibri"/>
          <w:bCs/>
          <w:sz w:val="22"/>
          <w:szCs w:val="22"/>
          <w:lang w:val="fr-FR"/>
        </w:rPr>
        <w:t xml:space="preserve"> </w:t>
      </w:r>
      <w:r w:rsidRPr="00E03828">
        <w:rPr>
          <w:rFonts w:ascii="Calibri" w:hAnsi="Calibri" w:cs="Calibri"/>
          <w:bCs/>
          <w:sz w:val="22"/>
          <w:szCs w:val="22"/>
          <w:lang w:val="fr-FR"/>
        </w:rPr>
        <w:t>De plus, 13 2</w:t>
      </w:r>
      <w:r w:rsidR="00387677" w:rsidRPr="00E03828">
        <w:rPr>
          <w:rFonts w:ascii="Calibri" w:hAnsi="Calibri" w:cs="Calibri"/>
          <w:bCs/>
          <w:sz w:val="22"/>
          <w:szCs w:val="22"/>
          <w:lang w:val="fr-FR"/>
        </w:rPr>
        <w:t>00</w:t>
      </w:r>
      <w:r w:rsidRPr="00E03828">
        <w:rPr>
          <w:rFonts w:ascii="Calibri" w:hAnsi="Calibri" w:cs="Calibri"/>
          <w:bCs/>
          <w:sz w:val="22"/>
          <w:szCs w:val="22"/>
          <w:lang w:val="fr-FR"/>
        </w:rPr>
        <w:t> CHF ont été alloués aux Initiatives régionales Ramsar préalablement à la 51</w:t>
      </w:r>
      <w:r w:rsidRPr="00E03828">
        <w:rPr>
          <w:rFonts w:ascii="Calibri" w:hAnsi="Calibri" w:cs="Calibri"/>
          <w:bCs/>
          <w:sz w:val="22"/>
          <w:szCs w:val="22"/>
          <w:vertAlign w:val="superscript"/>
          <w:lang w:val="fr-FR"/>
        </w:rPr>
        <w:t>e</w:t>
      </w:r>
      <w:r w:rsidRPr="00E03828">
        <w:rPr>
          <w:rFonts w:ascii="Calibri" w:hAnsi="Calibri" w:cs="Calibri"/>
          <w:bCs/>
          <w:sz w:val="22"/>
          <w:szCs w:val="22"/>
          <w:lang w:val="fr-FR"/>
        </w:rPr>
        <w:t xml:space="preserve"> Réunion du Comité permanent, comme convenu par le Comité exécutif en août 2015</w:t>
      </w:r>
      <w:r w:rsidR="00387677" w:rsidRPr="00E03828">
        <w:rPr>
          <w:rFonts w:ascii="Calibri" w:hAnsi="Calibri" w:cs="Calibri"/>
          <w:bCs/>
          <w:sz w:val="22"/>
          <w:szCs w:val="22"/>
          <w:lang w:val="fr-FR"/>
        </w:rPr>
        <w:t xml:space="preserve">. </w:t>
      </w:r>
      <w:r w:rsidRPr="00E03828">
        <w:rPr>
          <w:rFonts w:ascii="Calibri" w:hAnsi="Calibri" w:cs="Calibri"/>
          <w:bCs/>
          <w:sz w:val="22"/>
          <w:szCs w:val="22"/>
          <w:lang w:val="fr-FR"/>
        </w:rPr>
        <w:t xml:space="preserve">Le montant total de ces deux postes s’élève à 120 000 CHF, </w:t>
      </w:r>
      <w:r w:rsidR="00725CE0" w:rsidRPr="00E03828">
        <w:rPr>
          <w:rFonts w:ascii="Calibri" w:hAnsi="Calibri" w:cs="Calibri"/>
          <w:bCs/>
          <w:sz w:val="22"/>
          <w:szCs w:val="22"/>
          <w:lang w:val="fr-FR"/>
        </w:rPr>
        <w:t>en accord avec le budget proposé à la 48</w:t>
      </w:r>
      <w:r w:rsidR="00725CE0" w:rsidRPr="00E03828">
        <w:rPr>
          <w:rFonts w:ascii="Calibri" w:hAnsi="Calibri" w:cs="Calibri"/>
          <w:bCs/>
          <w:sz w:val="22"/>
          <w:szCs w:val="22"/>
          <w:vertAlign w:val="superscript"/>
          <w:lang w:val="fr-FR"/>
        </w:rPr>
        <w:t>e</w:t>
      </w:r>
      <w:r w:rsidR="00725CE0" w:rsidRPr="00E03828">
        <w:rPr>
          <w:rFonts w:ascii="Calibri" w:hAnsi="Calibri" w:cs="Calibri"/>
          <w:bCs/>
          <w:sz w:val="22"/>
          <w:szCs w:val="22"/>
          <w:lang w:val="fr-FR"/>
        </w:rPr>
        <w:t xml:space="preserve"> Réunion du Comité permanent.</w:t>
      </w:r>
    </w:p>
    <w:p w:rsidR="002464F2" w:rsidRPr="00E03828" w:rsidRDefault="002464F2" w:rsidP="00842399">
      <w:pPr>
        <w:pStyle w:val="ListParagraph"/>
        <w:ind w:left="851" w:hanging="425"/>
        <w:rPr>
          <w:rFonts w:ascii="Calibri" w:hAnsi="Calibri" w:cs="Calibri"/>
          <w:bCs/>
          <w:sz w:val="22"/>
          <w:szCs w:val="22"/>
          <w:lang w:val="fr-FR"/>
        </w:rPr>
      </w:pPr>
    </w:p>
    <w:p w:rsidR="00E70296" w:rsidRPr="00E03828" w:rsidRDefault="00725300" w:rsidP="00842399">
      <w:pPr>
        <w:pStyle w:val="ListParagraph"/>
        <w:numPr>
          <w:ilvl w:val="1"/>
          <w:numId w:val="2"/>
        </w:numPr>
        <w:ind w:left="851" w:hanging="425"/>
        <w:rPr>
          <w:rFonts w:ascii="Calibri" w:hAnsi="Calibri" w:cs="Calibri"/>
          <w:bCs/>
          <w:sz w:val="22"/>
          <w:szCs w:val="22"/>
          <w:lang w:val="fr-FR"/>
        </w:rPr>
      </w:pPr>
      <w:r w:rsidRPr="00E03828">
        <w:rPr>
          <w:rFonts w:ascii="Calibri" w:hAnsi="Calibri" w:cs="Calibri"/>
          <w:bCs/>
          <w:sz w:val="22"/>
          <w:szCs w:val="22"/>
          <w:lang w:val="fr-FR"/>
        </w:rPr>
        <w:t>Le déficit de 575 000 CHF sous le poste budgétaire K (« Divers – Fonds de réserve ») du budget administratif 2015 s’explique par plusieurs facteurs :</w:t>
      </w:r>
    </w:p>
    <w:p w:rsidR="00E70296" w:rsidRPr="00E03828" w:rsidRDefault="00E70296" w:rsidP="008A77C9">
      <w:pPr>
        <w:pStyle w:val="ListParagraph"/>
        <w:ind w:left="1276"/>
        <w:rPr>
          <w:rFonts w:ascii="Calibri" w:hAnsi="Calibri" w:cs="Calibri"/>
          <w:bCs/>
          <w:sz w:val="22"/>
          <w:szCs w:val="22"/>
          <w:lang w:val="fr-FR"/>
        </w:rPr>
      </w:pPr>
    </w:p>
    <w:p w:rsidR="008A77C9" w:rsidRPr="00E03828" w:rsidRDefault="006C0A60" w:rsidP="008A77C9">
      <w:pPr>
        <w:pStyle w:val="ListParagraph"/>
        <w:numPr>
          <w:ilvl w:val="2"/>
          <w:numId w:val="2"/>
        </w:numPr>
        <w:ind w:left="1276" w:hanging="425"/>
        <w:rPr>
          <w:rFonts w:ascii="Calibri" w:hAnsi="Calibri" w:cs="Calibri"/>
          <w:bCs/>
          <w:sz w:val="22"/>
          <w:szCs w:val="22"/>
          <w:lang w:val="fr-FR"/>
        </w:rPr>
      </w:pPr>
      <w:r w:rsidRPr="00E03828">
        <w:rPr>
          <w:rFonts w:ascii="Calibri" w:hAnsi="Calibri" w:cs="Calibri"/>
          <w:b/>
          <w:bCs/>
          <w:sz w:val="22"/>
          <w:szCs w:val="22"/>
          <w:lang w:val="fr-FR"/>
        </w:rPr>
        <w:t>Poste budgétaire </w:t>
      </w:r>
      <w:r w:rsidR="008A77C9" w:rsidRPr="00E03828">
        <w:rPr>
          <w:rFonts w:ascii="Calibri" w:hAnsi="Calibri" w:cs="Calibri"/>
          <w:b/>
          <w:bCs/>
          <w:sz w:val="22"/>
          <w:szCs w:val="22"/>
          <w:lang w:val="fr-FR"/>
        </w:rPr>
        <w:t>K.ii</w:t>
      </w:r>
      <w:r w:rsidR="00725300" w:rsidRPr="00E03828">
        <w:rPr>
          <w:rFonts w:ascii="Calibri" w:hAnsi="Calibri" w:cs="Calibri"/>
          <w:bCs/>
          <w:sz w:val="22"/>
          <w:szCs w:val="22"/>
          <w:lang w:val="fr-FR"/>
        </w:rPr>
        <w:t> </w:t>
      </w:r>
      <w:r w:rsidR="002B30D4" w:rsidRPr="00E03828">
        <w:rPr>
          <w:rFonts w:ascii="Calibri" w:hAnsi="Calibri" w:cs="Calibri"/>
          <w:bCs/>
          <w:sz w:val="22"/>
          <w:szCs w:val="22"/>
          <w:lang w:val="fr-FR"/>
        </w:rPr>
        <w:t xml:space="preserve">: </w:t>
      </w:r>
      <w:r w:rsidR="00DA6592" w:rsidRPr="00E03828">
        <w:rPr>
          <w:rFonts w:ascii="Calibri" w:hAnsi="Calibri" w:cs="Calibri"/>
          <w:bCs/>
          <w:sz w:val="22"/>
          <w:szCs w:val="22"/>
          <w:lang w:val="fr-FR"/>
        </w:rPr>
        <w:t>d’importantes pertes de change, d’un montant de 261 000 CHF</w:t>
      </w:r>
      <w:r w:rsidR="00916A08" w:rsidRPr="00E03828">
        <w:rPr>
          <w:rFonts w:ascii="Calibri" w:hAnsi="Calibri" w:cs="Calibri"/>
          <w:bCs/>
          <w:sz w:val="22"/>
          <w:szCs w:val="22"/>
          <w:lang w:val="fr-FR"/>
        </w:rPr>
        <w:t>,</w:t>
      </w:r>
      <w:r w:rsidR="00DA6592" w:rsidRPr="00E03828">
        <w:rPr>
          <w:rFonts w:ascii="Calibri" w:hAnsi="Calibri" w:cs="Calibri"/>
          <w:bCs/>
          <w:sz w:val="22"/>
          <w:szCs w:val="22"/>
          <w:lang w:val="fr-FR"/>
        </w:rPr>
        <w:t xml:space="preserve"> ont été enregistrées. Le 15 janvier 2015, la Banque nationale suisse a mis fin au taux </w:t>
      </w:r>
      <w:r w:rsidR="001B4F63" w:rsidRPr="00E03828">
        <w:rPr>
          <w:rFonts w:ascii="Calibri" w:hAnsi="Calibri" w:cs="Calibri"/>
          <w:bCs/>
          <w:sz w:val="22"/>
          <w:szCs w:val="22"/>
          <w:lang w:val="fr-FR"/>
        </w:rPr>
        <w:t xml:space="preserve">de change </w:t>
      </w:r>
      <w:r w:rsidR="00DA6592" w:rsidRPr="00E03828">
        <w:rPr>
          <w:rFonts w:ascii="Calibri" w:hAnsi="Calibri" w:cs="Calibri"/>
          <w:bCs/>
          <w:sz w:val="22"/>
          <w:szCs w:val="22"/>
          <w:lang w:val="fr-FR"/>
        </w:rPr>
        <w:t>plancher</w:t>
      </w:r>
      <w:r w:rsidR="001B4F63" w:rsidRPr="00E03828">
        <w:rPr>
          <w:rFonts w:ascii="Calibri" w:hAnsi="Calibri" w:cs="Calibri"/>
          <w:bCs/>
          <w:sz w:val="22"/>
          <w:szCs w:val="22"/>
          <w:lang w:val="fr-FR"/>
        </w:rPr>
        <w:t xml:space="preserve"> entre le franc suisse et l’euro, ce qui s’est traduit par une forte hausse de la valeur du franc suisse par rapport à d’autres devises</w:t>
      </w:r>
      <w:r w:rsidR="008A77C9" w:rsidRPr="00E03828">
        <w:rPr>
          <w:rFonts w:ascii="Calibri" w:hAnsi="Calibri" w:cs="Calibri"/>
          <w:bCs/>
          <w:sz w:val="22"/>
          <w:szCs w:val="22"/>
          <w:lang w:val="fr-FR"/>
        </w:rPr>
        <w:t xml:space="preserve">. </w:t>
      </w:r>
      <w:r w:rsidR="001B4F63" w:rsidRPr="00E03828">
        <w:rPr>
          <w:rFonts w:ascii="Calibri" w:hAnsi="Calibri" w:cs="Calibri"/>
          <w:bCs/>
          <w:sz w:val="22"/>
          <w:szCs w:val="22"/>
          <w:lang w:val="fr-FR"/>
        </w:rPr>
        <w:t>Le Secrétariat détenant 2 600 </w:t>
      </w:r>
      <w:r w:rsidR="008A77C9" w:rsidRPr="00E03828">
        <w:rPr>
          <w:rFonts w:ascii="Calibri" w:hAnsi="Calibri" w:cs="Calibri"/>
          <w:bCs/>
          <w:sz w:val="22"/>
          <w:szCs w:val="22"/>
          <w:lang w:val="fr-FR"/>
        </w:rPr>
        <w:t>022</w:t>
      </w:r>
      <w:r w:rsidR="001B4F63" w:rsidRPr="00E03828">
        <w:rPr>
          <w:rFonts w:ascii="Calibri" w:hAnsi="Calibri" w:cs="Calibri"/>
          <w:bCs/>
          <w:sz w:val="22"/>
          <w:szCs w:val="22"/>
          <w:lang w:val="fr-FR"/>
        </w:rPr>
        <w:t xml:space="preserve"> USD, </w:t>
      </w:r>
      <w:r w:rsidR="00725300" w:rsidRPr="00E03828">
        <w:rPr>
          <w:rFonts w:ascii="Calibri" w:hAnsi="Calibri" w:cs="Calibri"/>
          <w:bCs/>
          <w:sz w:val="22"/>
          <w:szCs w:val="22"/>
          <w:lang w:val="fr-FR"/>
        </w:rPr>
        <w:t>828 237 </w:t>
      </w:r>
      <w:r w:rsidR="001B4F63" w:rsidRPr="00E03828">
        <w:rPr>
          <w:rFonts w:ascii="Calibri" w:hAnsi="Calibri" w:cs="Calibri"/>
          <w:bCs/>
          <w:sz w:val="22"/>
          <w:szCs w:val="22"/>
          <w:lang w:val="fr-FR"/>
        </w:rPr>
        <w:t>EUR et 4 428 </w:t>
      </w:r>
      <w:r w:rsidR="008A77C9" w:rsidRPr="00E03828">
        <w:rPr>
          <w:rFonts w:ascii="Calibri" w:hAnsi="Calibri" w:cs="Calibri"/>
          <w:bCs/>
          <w:sz w:val="22"/>
          <w:szCs w:val="22"/>
          <w:lang w:val="fr-FR"/>
        </w:rPr>
        <w:t>424</w:t>
      </w:r>
      <w:r w:rsidR="001B4F63" w:rsidRPr="00E03828">
        <w:rPr>
          <w:rFonts w:ascii="Calibri" w:hAnsi="Calibri" w:cs="Calibri"/>
          <w:bCs/>
          <w:sz w:val="22"/>
          <w:szCs w:val="22"/>
          <w:lang w:val="fr-FR"/>
        </w:rPr>
        <w:t> NOK</w:t>
      </w:r>
      <w:r w:rsidR="008A77C9" w:rsidRPr="00E03828">
        <w:rPr>
          <w:rFonts w:ascii="Calibri" w:hAnsi="Calibri" w:cs="Calibri"/>
          <w:bCs/>
          <w:sz w:val="22"/>
          <w:szCs w:val="22"/>
          <w:lang w:val="fr-FR"/>
        </w:rPr>
        <w:t xml:space="preserve">, </w:t>
      </w:r>
      <w:r w:rsidR="001B4F63" w:rsidRPr="00E03828">
        <w:rPr>
          <w:rFonts w:ascii="Calibri" w:hAnsi="Calibri" w:cs="Calibri"/>
          <w:bCs/>
          <w:sz w:val="22"/>
          <w:szCs w:val="22"/>
          <w:lang w:val="fr-FR"/>
        </w:rPr>
        <w:t>des pertes substantielles en lien avec ces devises ont été réalisées.</w:t>
      </w:r>
      <w:r w:rsidR="008A77C9" w:rsidRPr="00E03828">
        <w:rPr>
          <w:rFonts w:ascii="Calibri" w:hAnsi="Calibri" w:cs="Calibri"/>
          <w:bCs/>
          <w:sz w:val="22"/>
          <w:szCs w:val="22"/>
          <w:lang w:val="fr-FR"/>
        </w:rPr>
        <w:t xml:space="preserve"> </w:t>
      </w:r>
    </w:p>
    <w:p w:rsidR="008A77C9" w:rsidRPr="00E03828" w:rsidRDefault="008A77C9" w:rsidP="008A77C9">
      <w:pPr>
        <w:pStyle w:val="ListParagraph"/>
        <w:ind w:left="1276"/>
        <w:rPr>
          <w:rFonts w:ascii="Calibri" w:hAnsi="Calibri" w:cs="Calibri"/>
          <w:bCs/>
          <w:sz w:val="22"/>
          <w:szCs w:val="22"/>
          <w:lang w:val="fr-FR"/>
        </w:rPr>
      </w:pPr>
    </w:p>
    <w:p w:rsidR="00960B8F" w:rsidRPr="00E03828" w:rsidRDefault="006C0A60" w:rsidP="003C680B">
      <w:pPr>
        <w:pStyle w:val="ListParagraph"/>
        <w:numPr>
          <w:ilvl w:val="2"/>
          <w:numId w:val="2"/>
        </w:numPr>
        <w:ind w:left="1276" w:hanging="425"/>
        <w:rPr>
          <w:rFonts w:ascii="Calibri" w:hAnsi="Calibri" w:cs="Calibri"/>
          <w:bCs/>
          <w:sz w:val="22"/>
          <w:szCs w:val="22"/>
          <w:lang w:val="fr-FR"/>
        </w:rPr>
      </w:pPr>
      <w:r w:rsidRPr="00E03828">
        <w:rPr>
          <w:rFonts w:ascii="Calibri" w:hAnsi="Calibri" w:cs="Calibri"/>
          <w:b/>
          <w:bCs/>
          <w:sz w:val="22"/>
          <w:szCs w:val="22"/>
          <w:lang w:val="fr-FR"/>
        </w:rPr>
        <w:t>Poste budgétaire </w:t>
      </w:r>
      <w:r w:rsidR="008A77C9" w:rsidRPr="00E03828">
        <w:rPr>
          <w:rFonts w:ascii="Calibri" w:hAnsi="Calibri" w:cs="Calibri"/>
          <w:b/>
          <w:bCs/>
          <w:sz w:val="22"/>
          <w:szCs w:val="22"/>
          <w:lang w:val="fr-FR"/>
        </w:rPr>
        <w:t>K.ii</w:t>
      </w:r>
      <w:r w:rsidR="001B4F63" w:rsidRPr="00E03828">
        <w:rPr>
          <w:rFonts w:ascii="Calibri" w:hAnsi="Calibri" w:cs="Calibri"/>
          <w:b/>
          <w:bCs/>
          <w:sz w:val="22"/>
          <w:szCs w:val="22"/>
          <w:lang w:val="fr-FR"/>
        </w:rPr>
        <w:t> </w:t>
      </w:r>
      <w:r w:rsidR="008333C1" w:rsidRPr="00E03828">
        <w:rPr>
          <w:rFonts w:ascii="Calibri" w:hAnsi="Calibri" w:cs="Calibri"/>
          <w:bCs/>
          <w:sz w:val="22"/>
          <w:szCs w:val="22"/>
          <w:lang w:val="fr-FR"/>
        </w:rPr>
        <w:t>:</w:t>
      </w:r>
      <w:r w:rsidR="008333C1" w:rsidRPr="00E03828">
        <w:rPr>
          <w:rFonts w:ascii="Calibri" w:hAnsi="Calibri"/>
          <w:sz w:val="22"/>
          <w:lang w:val="fr-FR"/>
        </w:rPr>
        <w:t xml:space="preserve"> </w:t>
      </w:r>
      <w:r w:rsidR="0023254E" w:rsidRPr="00E03828">
        <w:rPr>
          <w:rFonts w:ascii="Calibri" w:hAnsi="Calibri"/>
          <w:sz w:val="22"/>
          <w:lang w:val="fr-FR"/>
        </w:rPr>
        <w:t xml:space="preserve">Les provisions </w:t>
      </w:r>
      <w:r w:rsidR="00725300" w:rsidRPr="00E03828">
        <w:rPr>
          <w:rFonts w:ascii="Calibri" w:hAnsi="Calibri"/>
          <w:sz w:val="22"/>
          <w:lang w:val="fr-FR"/>
        </w:rPr>
        <w:t xml:space="preserve">réelles </w:t>
      </w:r>
      <w:r w:rsidR="0023254E" w:rsidRPr="00E03828">
        <w:rPr>
          <w:rFonts w:ascii="Calibri" w:hAnsi="Calibri"/>
          <w:sz w:val="22"/>
          <w:lang w:val="fr-FR"/>
        </w:rPr>
        <w:t xml:space="preserve">pour résiliation de contrats, congés et rapatriement de personnel </w:t>
      </w:r>
      <w:r w:rsidR="00725300" w:rsidRPr="00E03828">
        <w:rPr>
          <w:rFonts w:ascii="Calibri" w:hAnsi="Calibri"/>
          <w:sz w:val="22"/>
          <w:lang w:val="fr-FR"/>
        </w:rPr>
        <w:t>ont dépassé de</w:t>
      </w:r>
      <w:r w:rsidR="0023254E" w:rsidRPr="00E03828">
        <w:rPr>
          <w:rFonts w:ascii="Calibri" w:hAnsi="Calibri"/>
          <w:sz w:val="22"/>
          <w:lang w:val="fr-FR"/>
        </w:rPr>
        <w:t xml:space="preserve"> 95 000 CHF</w:t>
      </w:r>
      <w:r w:rsidR="00725300" w:rsidRPr="00E03828">
        <w:rPr>
          <w:rFonts w:ascii="Calibri" w:hAnsi="Calibri"/>
          <w:sz w:val="22"/>
          <w:lang w:val="fr-FR"/>
        </w:rPr>
        <w:t xml:space="preserve"> le</w:t>
      </w:r>
      <w:r w:rsidR="0023254E" w:rsidRPr="00E03828">
        <w:rPr>
          <w:rFonts w:ascii="Calibri" w:hAnsi="Calibri"/>
          <w:sz w:val="22"/>
          <w:lang w:val="fr-FR"/>
        </w:rPr>
        <w:t xml:space="preserve"> budget prévu de 50 000 CHF. </w:t>
      </w:r>
      <w:r w:rsidR="00016AA1" w:rsidRPr="00E03828">
        <w:rPr>
          <w:rFonts w:ascii="Calibri" w:hAnsi="Calibri"/>
          <w:sz w:val="22"/>
          <w:lang w:val="fr-FR"/>
        </w:rPr>
        <w:t>(</w:t>
      </w:r>
      <w:r w:rsidR="0023254E" w:rsidRPr="00E03828">
        <w:rPr>
          <w:rFonts w:ascii="Calibri" w:hAnsi="Calibri"/>
          <w:sz w:val="22"/>
          <w:lang w:val="fr-FR"/>
        </w:rPr>
        <w:t xml:space="preserve">Toute hausse de provision a le même effet qu’une « dépense » sur le compte de résultat et a une incidence négative sur le </w:t>
      </w:r>
      <w:r w:rsidR="00960B8F" w:rsidRPr="00E03828">
        <w:rPr>
          <w:rFonts w:ascii="Calibri" w:hAnsi="Calibri" w:cs="Calibri"/>
          <w:bCs/>
          <w:sz w:val="22"/>
          <w:szCs w:val="22"/>
          <w:lang w:val="fr-FR"/>
        </w:rPr>
        <w:t>budget.</w:t>
      </w:r>
      <w:r w:rsidR="00016AA1" w:rsidRPr="00E03828">
        <w:rPr>
          <w:rFonts w:ascii="Calibri" w:hAnsi="Calibri" w:cs="Calibri"/>
          <w:bCs/>
          <w:sz w:val="22"/>
          <w:szCs w:val="22"/>
          <w:lang w:val="fr-FR"/>
        </w:rPr>
        <w:t>)</w:t>
      </w:r>
    </w:p>
    <w:p w:rsidR="00F31A24" w:rsidRPr="00E03828" w:rsidRDefault="00F31A24" w:rsidP="00F31A24">
      <w:pPr>
        <w:pStyle w:val="ListParagraph"/>
        <w:rPr>
          <w:rFonts w:ascii="Calibri" w:hAnsi="Calibri" w:cs="Calibri"/>
          <w:bCs/>
          <w:sz w:val="22"/>
          <w:szCs w:val="22"/>
          <w:lang w:val="fr-FR"/>
        </w:rPr>
      </w:pPr>
    </w:p>
    <w:p w:rsidR="00F31A24" w:rsidRPr="00E03828" w:rsidRDefault="006C0A60" w:rsidP="003C680B">
      <w:pPr>
        <w:pStyle w:val="ListParagraph"/>
        <w:numPr>
          <w:ilvl w:val="2"/>
          <w:numId w:val="2"/>
        </w:numPr>
        <w:ind w:left="1276" w:hanging="425"/>
        <w:rPr>
          <w:rFonts w:ascii="Calibri" w:hAnsi="Calibri" w:cs="Calibri"/>
          <w:bCs/>
          <w:sz w:val="22"/>
          <w:szCs w:val="22"/>
          <w:lang w:val="fr-FR"/>
        </w:rPr>
      </w:pPr>
      <w:r w:rsidRPr="00E03828">
        <w:rPr>
          <w:rFonts w:ascii="Calibri" w:hAnsi="Calibri" w:cs="Calibri"/>
          <w:b/>
          <w:bCs/>
          <w:sz w:val="22"/>
          <w:szCs w:val="22"/>
          <w:lang w:val="fr-FR"/>
        </w:rPr>
        <w:t>Poste budgétaire </w:t>
      </w:r>
      <w:r w:rsidR="00F31A24" w:rsidRPr="00E03828">
        <w:rPr>
          <w:rFonts w:ascii="Calibri" w:hAnsi="Calibri" w:cs="Calibri"/>
          <w:b/>
          <w:bCs/>
          <w:sz w:val="22"/>
          <w:szCs w:val="22"/>
          <w:lang w:val="fr-FR"/>
        </w:rPr>
        <w:t>K.ii</w:t>
      </w:r>
      <w:r w:rsidR="001B4F63" w:rsidRPr="00E03828">
        <w:rPr>
          <w:rFonts w:ascii="Calibri" w:hAnsi="Calibri" w:cs="Calibri"/>
          <w:b/>
          <w:bCs/>
          <w:sz w:val="22"/>
          <w:szCs w:val="22"/>
          <w:lang w:val="fr-FR"/>
        </w:rPr>
        <w:t> </w:t>
      </w:r>
      <w:r w:rsidR="008333C1" w:rsidRPr="00E03828">
        <w:rPr>
          <w:rFonts w:ascii="Calibri" w:hAnsi="Calibri" w:cs="Calibri"/>
          <w:bCs/>
          <w:sz w:val="22"/>
          <w:szCs w:val="22"/>
          <w:lang w:val="fr-FR"/>
        </w:rPr>
        <w:t>:</w:t>
      </w:r>
      <w:r w:rsidR="00F31A24" w:rsidRPr="00E03828">
        <w:rPr>
          <w:rFonts w:ascii="Calibri" w:hAnsi="Calibri"/>
          <w:sz w:val="22"/>
          <w:lang w:val="fr-FR"/>
        </w:rPr>
        <w:t xml:space="preserve"> </w:t>
      </w:r>
      <w:r w:rsidR="00915018" w:rsidRPr="00E03828">
        <w:rPr>
          <w:rFonts w:ascii="Calibri" w:hAnsi="Calibri"/>
          <w:sz w:val="22"/>
          <w:lang w:val="fr-FR"/>
        </w:rPr>
        <w:t xml:space="preserve">Les provisions sous les deux postes ci-dessus </w:t>
      </w:r>
      <w:r w:rsidR="00016AA1" w:rsidRPr="00E03828">
        <w:rPr>
          <w:rFonts w:ascii="Calibri" w:hAnsi="Calibri"/>
          <w:sz w:val="22"/>
          <w:lang w:val="fr-FR"/>
        </w:rPr>
        <w:t xml:space="preserve">(d’un montant respectif de 261 000 CHF et 95 000 CHF) </w:t>
      </w:r>
      <w:r w:rsidR="00915018" w:rsidRPr="00E03828">
        <w:rPr>
          <w:rFonts w:ascii="Calibri" w:hAnsi="Calibri"/>
          <w:sz w:val="22"/>
          <w:lang w:val="fr-FR"/>
        </w:rPr>
        <w:t xml:space="preserve">se sont </w:t>
      </w:r>
      <w:r w:rsidR="00992EA0" w:rsidRPr="00E03828">
        <w:rPr>
          <w:rFonts w:ascii="Calibri" w:hAnsi="Calibri"/>
          <w:sz w:val="22"/>
          <w:lang w:val="fr-FR"/>
        </w:rPr>
        <w:t>traduites par un déficit total de 356 000 CHF</w:t>
      </w:r>
      <w:r w:rsidR="00915018" w:rsidRPr="00E03828">
        <w:rPr>
          <w:rFonts w:ascii="Calibri" w:hAnsi="Calibri"/>
          <w:sz w:val="22"/>
          <w:lang w:val="fr-FR"/>
        </w:rPr>
        <w:t xml:space="preserve"> </w:t>
      </w:r>
      <w:r w:rsidR="00992EA0" w:rsidRPr="00E03828">
        <w:rPr>
          <w:rFonts w:ascii="Calibri" w:hAnsi="Calibri"/>
          <w:sz w:val="22"/>
          <w:lang w:val="fr-FR"/>
        </w:rPr>
        <w:t>sous cette rubrique.</w:t>
      </w:r>
    </w:p>
    <w:p w:rsidR="007B5882" w:rsidRPr="00E03828" w:rsidRDefault="007B5882" w:rsidP="007B5882">
      <w:pPr>
        <w:pStyle w:val="ListParagraph"/>
        <w:ind w:left="1276"/>
        <w:rPr>
          <w:rFonts w:ascii="Calibri" w:hAnsi="Calibri" w:cs="Calibri"/>
          <w:bCs/>
          <w:sz w:val="22"/>
          <w:szCs w:val="22"/>
          <w:lang w:val="fr-FR"/>
        </w:rPr>
      </w:pPr>
    </w:p>
    <w:p w:rsidR="00A23967" w:rsidRPr="00E03828" w:rsidRDefault="006C0A60" w:rsidP="008333C1">
      <w:pPr>
        <w:pStyle w:val="ListParagraph"/>
        <w:numPr>
          <w:ilvl w:val="2"/>
          <w:numId w:val="2"/>
        </w:numPr>
        <w:ind w:left="1276" w:hanging="425"/>
        <w:rPr>
          <w:rFonts w:ascii="Calibri" w:hAnsi="Calibri" w:cs="Calibri"/>
          <w:bCs/>
          <w:sz w:val="22"/>
          <w:szCs w:val="22"/>
          <w:lang w:val="fr-FR"/>
        </w:rPr>
      </w:pPr>
      <w:r w:rsidRPr="00E03828">
        <w:rPr>
          <w:rFonts w:ascii="Calibri" w:hAnsi="Calibri" w:cs="Calibri"/>
          <w:b/>
          <w:bCs/>
          <w:sz w:val="22"/>
          <w:szCs w:val="22"/>
          <w:lang w:val="fr-FR"/>
        </w:rPr>
        <w:t>Poste budgétaire </w:t>
      </w:r>
      <w:r w:rsidR="00F31A24" w:rsidRPr="00E03828">
        <w:rPr>
          <w:rFonts w:ascii="Calibri" w:hAnsi="Calibri" w:cs="Calibri"/>
          <w:b/>
          <w:bCs/>
          <w:sz w:val="22"/>
          <w:szCs w:val="22"/>
          <w:lang w:val="fr-FR"/>
        </w:rPr>
        <w:t>K.iv</w:t>
      </w:r>
      <w:r w:rsidR="00992EA0" w:rsidRPr="00E03828">
        <w:rPr>
          <w:rFonts w:ascii="Calibri" w:hAnsi="Calibri" w:cs="Calibri"/>
          <w:bCs/>
          <w:sz w:val="22"/>
          <w:szCs w:val="22"/>
          <w:lang w:val="fr-FR"/>
        </w:rPr>
        <w:t> </w:t>
      </w:r>
      <w:r w:rsidR="008333C1" w:rsidRPr="00E03828">
        <w:rPr>
          <w:rFonts w:ascii="Calibri" w:hAnsi="Calibri" w:cs="Calibri"/>
          <w:bCs/>
          <w:sz w:val="22"/>
          <w:szCs w:val="22"/>
          <w:lang w:val="fr-FR"/>
        </w:rPr>
        <w:t>:</w:t>
      </w:r>
      <w:r w:rsidR="008A77C9" w:rsidRPr="00E03828">
        <w:rPr>
          <w:rFonts w:ascii="Calibri" w:hAnsi="Calibri"/>
          <w:sz w:val="22"/>
          <w:lang w:val="fr-FR"/>
        </w:rPr>
        <w:t xml:space="preserve"> </w:t>
      </w:r>
      <w:r w:rsidR="00992EA0" w:rsidRPr="00E03828">
        <w:rPr>
          <w:rFonts w:ascii="Calibri" w:hAnsi="Calibri" w:cs="Calibri"/>
          <w:bCs/>
          <w:sz w:val="22"/>
          <w:szCs w:val="22"/>
          <w:lang w:val="fr-FR"/>
        </w:rPr>
        <w:t>La</w:t>
      </w:r>
      <w:r w:rsidR="00960B8F" w:rsidRPr="00E03828">
        <w:rPr>
          <w:rFonts w:ascii="Calibri" w:hAnsi="Calibri" w:cs="Calibri"/>
          <w:bCs/>
          <w:sz w:val="22"/>
          <w:szCs w:val="22"/>
          <w:lang w:val="fr-FR"/>
        </w:rPr>
        <w:t xml:space="preserve"> provision </w:t>
      </w:r>
      <w:r w:rsidR="00992EA0" w:rsidRPr="00E03828">
        <w:rPr>
          <w:rFonts w:ascii="Calibri" w:hAnsi="Calibri" w:cs="Calibri"/>
          <w:bCs/>
          <w:sz w:val="22"/>
          <w:szCs w:val="22"/>
          <w:lang w:val="fr-FR"/>
        </w:rPr>
        <w:t xml:space="preserve">pour créances douteuses (arriérés de </w:t>
      </w:r>
      <w:r w:rsidR="00865C15" w:rsidRPr="00E03828">
        <w:rPr>
          <w:rFonts w:ascii="Calibri" w:hAnsi="Calibri" w:cs="Calibri"/>
          <w:bCs/>
          <w:sz w:val="22"/>
          <w:szCs w:val="22"/>
          <w:lang w:val="fr-FR"/>
        </w:rPr>
        <w:t xml:space="preserve">contributions) </w:t>
      </w:r>
      <w:r w:rsidR="00FF269D" w:rsidRPr="00E03828">
        <w:rPr>
          <w:rFonts w:ascii="Calibri" w:hAnsi="Calibri" w:cs="Calibri"/>
          <w:bCs/>
          <w:sz w:val="22"/>
          <w:szCs w:val="22"/>
          <w:lang w:val="fr-FR"/>
        </w:rPr>
        <w:t>s’est montée à</w:t>
      </w:r>
      <w:r w:rsidR="00865C15" w:rsidRPr="00E03828">
        <w:rPr>
          <w:rFonts w:ascii="Calibri" w:hAnsi="Calibri" w:cs="Calibri"/>
          <w:bCs/>
          <w:sz w:val="22"/>
          <w:szCs w:val="22"/>
          <w:lang w:val="fr-FR"/>
        </w:rPr>
        <w:t xml:space="preserve"> </w:t>
      </w:r>
      <w:r w:rsidR="00016AA1" w:rsidRPr="00E03828">
        <w:rPr>
          <w:rFonts w:ascii="Calibri" w:hAnsi="Calibri" w:cs="Calibri"/>
          <w:bCs/>
          <w:sz w:val="22"/>
          <w:szCs w:val="22"/>
          <w:lang w:val="fr-FR"/>
        </w:rPr>
        <w:t>691 </w:t>
      </w:r>
      <w:r w:rsidR="00960B8F" w:rsidRPr="00E03828">
        <w:rPr>
          <w:rFonts w:ascii="Calibri" w:hAnsi="Calibri" w:cs="Calibri"/>
          <w:bCs/>
          <w:sz w:val="22"/>
          <w:szCs w:val="22"/>
          <w:lang w:val="fr-FR"/>
        </w:rPr>
        <w:t>000</w:t>
      </w:r>
      <w:r w:rsidR="00992EA0" w:rsidRPr="00E03828">
        <w:rPr>
          <w:rFonts w:ascii="Calibri" w:hAnsi="Calibri" w:cs="Calibri"/>
          <w:bCs/>
          <w:sz w:val="22"/>
          <w:szCs w:val="22"/>
          <w:lang w:val="fr-FR"/>
        </w:rPr>
        <w:t> CHF</w:t>
      </w:r>
      <w:r w:rsidR="00016AA1" w:rsidRPr="00E03828">
        <w:rPr>
          <w:rFonts w:ascii="Calibri" w:hAnsi="Calibri" w:cs="Calibri"/>
          <w:bCs/>
          <w:sz w:val="22"/>
          <w:szCs w:val="22"/>
          <w:lang w:val="fr-FR"/>
        </w:rPr>
        <w:t xml:space="preserve">, soit une augmentation pour 2015 de 208 000 CHF par rapport à la provision </w:t>
      </w:r>
      <w:r w:rsidR="00F0324B" w:rsidRPr="00E03828">
        <w:rPr>
          <w:rFonts w:ascii="Calibri" w:hAnsi="Calibri" w:cs="Calibri"/>
          <w:bCs/>
          <w:sz w:val="22"/>
          <w:szCs w:val="22"/>
          <w:lang w:val="fr-FR"/>
        </w:rPr>
        <w:t xml:space="preserve">antérieure </w:t>
      </w:r>
      <w:r w:rsidR="00016AA1" w:rsidRPr="00E03828">
        <w:rPr>
          <w:rFonts w:ascii="Calibri" w:hAnsi="Calibri" w:cs="Calibri"/>
          <w:bCs/>
          <w:sz w:val="22"/>
          <w:szCs w:val="22"/>
          <w:lang w:val="fr-FR"/>
        </w:rPr>
        <w:t>pour créances douteuses de 483 000 CHF</w:t>
      </w:r>
      <w:r w:rsidR="00A23967" w:rsidRPr="00E03828">
        <w:rPr>
          <w:rFonts w:ascii="Calibri" w:hAnsi="Calibri" w:cs="Calibri"/>
          <w:bCs/>
          <w:sz w:val="22"/>
          <w:szCs w:val="22"/>
          <w:lang w:val="fr-FR"/>
        </w:rPr>
        <w:t xml:space="preserve">. </w:t>
      </w:r>
      <w:r w:rsidR="005B18BE" w:rsidRPr="00E03828">
        <w:rPr>
          <w:rFonts w:ascii="Calibri" w:hAnsi="Calibri" w:cs="Calibri"/>
          <w:bCs/>
          <w:sz w:val="22"/>
          <w:szCs w:val="22"/>
          <w:lang w:val="fr-FR"/>
        </w:rPr>
        <w:t>Aucun budget n’avait été prévu pour cette prov</w:t>
      </w:r>
      <w:r w:rsidR="00FF269D" w:rsidRPr="00E03828">
        <w:rPr>
          <w:rFonts w:ascii="Calibri" w:hAnsi="Calibri" w:cs="Calibri"/>
          <w:bCs/>
          <w:sz w:val="22"/>
          <w:szCs w:val="22"/>
          <w:lang w:val="fr-FR"/>
        </w:rPr>
        <w:t>ision sachant qu’aucune augmentation d</w:t>
      </w:r>
      <w:r w:rsidR="005B18BE" w:rsidRPr="00E03828">
        <w:rPr>
          <w:rFonts w:ascii="Calibri" w:hAnsi="Calibri" w:cs="Calibri"/>
          <w:bCs/>
          <w:sz w:val="22"/>
          <w:szCs w:val="22"/>
          <w:lang w:val="fr-FR"/>
        </w:rPr>
        <w:t xml:space="preserve">es arriérés de contributions </w:t>
      </w:r>
      <w:r w:rsidR="00FF269D" w:rsidRPr="00E03828">
        <w:rPr>
          <w:rFonts w:ascii="Calibri" w:hAnsi="Calibri" w:cs="Calibri"/>
          <w:bCs/>
          <w:sz w:val="22"/>
          <w:szCs w:val="22"/>
          <w:lang w:val="fr-FR"/>
        </w:rPr>
        <w:t xml:space="preserve">n’avait été anticipée pour </w:t>
      </w:r>
      <w:r w:rsidR="005B18BE" w:rsidRPr="00E03828">
        <w:rPr>
          <w:rFonts w:ascii="Calibri" w:hAnsi="Calibri" w:cs="Calibri"/>
          <w:bCs/>
          <w:sz w:val="22"/>
          <w:szCs w:val="22"/>
          <w:lang w:val="fr-FR"/>
        </w:rPr>
        <w:t>la période sous revue. Le Secré</w:t>
      </w:r>
      <w:r w:rsidR="007B5882" w:rsidRPr="00E03828">
        <w:rPr>
          <w:rFonts w:ascii="Calibri" w:hAnsi="Calibri" w:cs="Calibri"/>
          <w:bCs/>
          <w:sz w:val="22"/>
          <w:szCs w:val="22"/>
          <w:lang w:val="fr-FR"/>
        </w:rPr>
        <w:t>tariat</w:t>
      </w:r>
      <w:r w:rsidR="005B18BE" w:rsidRPr="00E03828">
        <w:rPr>
          <w:rFonts w:ascii="Calibri" w:hAnsi="Calibri" w:cs="Calibri"/>
          <w:bCs/>
          <w:sz w:val="22"/>
          <w:szCs w:val="22"/>
          <w:lang w:val="fr-FR"/>
        </w:rPr>
        <w:t xml:space="preserve"> prend cette question très au sérieux et s’emploiera</w:t>
      </w:r>
      <w:r w:rsidR="00FF269D" w:rsidRPr="00E03828">
        <w:rPr>
          <w:rFonts w:ascii="Calibri" w:hAnsi="Calibri" w:cs="Calibri"/>
          <w:bCs/>
          <w:sz w:val="22"/>
          <w:szCs w:val="22"/>
          <w:lang w:val="fr-FR"/>
        </w:rPr>
        <w:t xml:space="preserve"> </w:t>
      </w:r>
      <w:r w:rsidR="005B18BE" w:rsidRPr="00E03828">
        <w:rPr>
          <w:rFonts w:ascii="Calibri" w:hAnsi="Calibri" w:cs="Calibri"/>
          <w:bCs/>
          <w:sz w:val="22"/>
          <w:szCs w:val="22"/>
          <w:lang w:val="fr-FR"/>
        </w:rPr>
        <w:t>à remédier à cette situation</w:t>
      </w:r>
      <w:r w:rsidR="00FF269D" w:rsidRPr="00E03828">
        <w:rPr>
          <w:rFonts w:ascii="Calibri" w:hAnsi="Calibri" w:cs="Calibri"/>
          <w:bCs/>
          <w:sz w:val="22"/>
          <w:szCs w:val="22"/>
          <w:lang w:val="fr-FR"/>
        </w:rPr>
        <w:t xml:space="preserve"> en 2016, en collaboration avec les Parties, </w:t>
      </w:r>
      <w:r w:rsidR="005B18BE" w:rsidRPr="00E03828">
        <w:rPr>
          <w:rFonts w:ascii="Calibri" w:hAnsi="Calibri" w:cs="Calibri"/>
          <w:bCs/>
          <w:sz w:val="22"/>
          <w:szCs w:val="22"/>
          <w:lang w:val="fr-FR"/>
        </w:rPr>
        <w:t>avant la 53</w:t>
      </w:r>
      <w:r w:rsidR="005B18BE" w:rsidRPr="00E03828">
        <w:rPr>
          <w:rFonts w:ascii="Calibri" w:hAnsi="Calibri" w:cs="Calibri"/>
          <w:bCs/>
          <w:sz w:val="22"/>
          <w:szCs w:val="22"/>
          <w:vertAlign w:val="superscript"/>
          <w:lang w:val="fr-FR"/>
        </w:rPr>
        <w:t>e</w:t>
      </w:r>
      <w:r w:rsidR="00FF269D" w:rsidRPr="00E03828">
        <w:rPr>
          <w:rFonts w:ascii="Calibri" w:hAnsi="Calibri" w:cs="Calibri"/>
          <w:bCs/>
          <w:sz w:val="22"/>
          <w:szCs w:val="22"/>
          <w:lang w:val="fr-FR"/>
        </w:rPr>
        <w:t xml:space="preserve"> Réunion du Comité permanent. P</w:t>
      </w:r>
      <w:r w:rsidR="005B18BE" w:rsidRPr="00E03828">
        <w:rPr>
          <w:rFonts w:ascii="Calibri" w:hAnsi="Calibri" w:cs="Calibri"/>
          <w:bCs/>
          <w:sz w:val="22"/>
          <w:szCs w:val="22"/>
          <w:lang w:val="fr-FR"/>
        </w:rPr>
        <w:t xml:space="preserve">our de plus amples </w:t>
      </w:r>
      <w:r w:rsidR="007B5882" w:rsidRPr="00E03828">
        <w:rPr>
          <w:rFonts w:ascii="Calibri" w:hAnsi="Calibri" w:cs="Calibri"/>
          <w:bCs/>
          <w:sz w:val="22"/>
          <w:szCs w:val="22"/>
          <w:lang w:val="fr-FR"/>
        </w:rPr>
        <w:t>information</w:t>
      </w:r>
      <w:r w:rsidR="005B18BE" w:rsidRPr="00E03828">
        <w:rPr>
          <w:rFonts w:ascii="Calibri" w:hAnsi="Calibri" w:cs="Calibri"/>
          <w:bCs/>
          <w:sz w:val="22"/>
          <w:szCs w:val="22"/>
          <w:lang w:val="fr-FR"/>
        </w:rPr>
        <w:t>s</w:t>
      </w:r>
      <w:r w:rsidR="007B5882" w:rsidRPr="00E03828">
        <w:rPr>
          <w:rFonts w:ascii="Calibri" w:hAnsi="Calibri" w:cs="Calibri"/>
          <w:bCs/>
          <w:sz w:val="22"/>
          <w:szCs w:val="22"/>
          <w:lang w:val="fr-FR"/>
        </w:rPr>
        <w:t>, se</w:t>
      </w:r>
      <w:r w:rsidR="005B18BE" w:rsidRPr="00E03828">
        <w:rPr>
          <w:rFonts w:ascii="Calibri" w:hAnsi="Calibri" w:cs="Calibri"/>
          <w:bCs/>
          <w:sz w:val="22"/>
          <w:szCs w:val="22"/>
          <w:lang w:val="fr-FR"/>
        </w:rPr>
        <w:t xml:space="preserve"> reporter au </w:t>
      </w:r>
      <w:r w:rsidR="007B5882" w:rsidRPr="00E03828">
        <w:rPr>
          <w:rFonts w:ascii="Calibri" w:hAnsi="Calibri" w:cs="Calibri"/>
          <w:bCs/>
          <w:sz w:val="22"/>
          <w:szCs w:val="22"/>
          <w:lang w:val="fr-FR"/>
        </w:rPr>
        <w:t xml:space="preserve">document SC52-19 </w:t>
      </w:r>
      <w:r w:rsidR="005B18BE" w:rsidRPr="00E03828">
        <w:rPr>
          <w:rFonts w:ascii="Calibri" w:hAnsi="Calibri" w:cs="Calibri"/>
          <w:bCs/>
          <w:i/>
          <w:sz w:val="22"/>
          <w:szCs w:val="22"/>
          <w:lang w:val="fr-FR"/>
        </w:rPr>
        <w:t>Parties contractantes ayant des arriérés de contributions annuelles</w:t>
      </w:r>
      <w:r w:rsidR="007B5882" w:rsidRPr="00E03828">
        <w:rPr>
          <w:rFonts w:ascii="Calibri" w:hAnsi="Calibri" w:cs="Calibri"/>
          <w:bCs/>
          <w:sz w:val="22"/>
          <w:szCs w:val="22"/>
          <w:lang w:val="fr-FR"/>
        </w:rPr>
        <w:t xml:space="preserve">). </w:t>
      </w:r>
    </w:p>
    <w:p w:rsidR="00955D22" w:rsidRPr="00E03828" w:rsidRDefault="00955D22" w:rsidP="00955D22">
      <w:pPr>
        <w:rPr>
          <w:rFonts w:ascii="Calibri" w:hAnsi="Calibri" w:cs="Calibri"/>
          <w:bCs/>
          <w:sz w:val="22"/>
          <w:szCs w:val="22"/>
          <w:lang w:val="fr-FR"/>
        </w:rPr>
      </w:pPr>
    </w:p>
    <w:p w:rsidR="00955D22" w:rsidRPr="00E03828" w:rsidRDefault="00955D22" w:rsidP="001A5445">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 xml:space="preserve">Compte tenu du déficit global de 337 000 CHF, le fonds de réserve a diminué fin 2015 pour </w:t>
      </w:r>
      <w:r w:rsidR="001A5445" w:rsidRPr="00E03828">
        <w:rPr>
          <w:rFonts w:ascii="Calibri" w:hAnsi="Calibri" w:cs="Calibri"/>
          <w:bCs/>
          <w:sz w:val="22"/>
          <w:szCs w:val="22"/>
          <w:lang w:val="fr-FR"/>
        </w:rPr>
        <w:t>s’établir à</w:t>
      </w:r>
      <w:r w:rsidRPr="00E03828">
        <w:rPr>
          <w:rFonts w:ascii="Calibri" w:hAnsi="Calibri" w:cs="Calibri"/>
          <w:bCs/>
          <w:sz w:val="22"/>
          <w:szCs w:val="22"/>
          <w:lang w:val="fr-FR"/>
        </w:rPr>
        <w:t xml:space="preserve"> 372 000 CHF, soit 7</w:t>
      </w:r>
      <w:r w:rsidR="006379A2">
        <w:rPr>
          <w:rFonts w:ascii="Calibri" w:hAnsi="Calibri" w:cs="Calibri"/>
          <w:bCs/>
          <w:sz w:val="22"/>
          <w:szCs w:val="22"/>
          <w:lang w:val="fr-FR"/>
        </w:rPr>
        <w:t>,3</w:t>
      </w:r>
      <w:r w:rsidRPr="00E03828">
        <w:rPr>
          <w:rFonts w:ascii="Calibri" w:hAnsi="Calibri" w:cs="Calibri"/>
          <w:bCs/>
          <w:sz w:val="22"/>
          <w:szCs w:val="22"/>
          <w:lang w:val="fr-FR"/>
        </w:rPr>
        <w:t xml:space="preserve">% du budget administratif annuel, ce chiffre se rapprochant des 6% minimum convenus à la COP11 (Résolution XI.2, </w:t>
      </w:r>
      <w:r w:rsidRPr="00E03828">
        <w:rPr>
          <w:rFonts w:ascii="Calibri" w:hAnsi="Calibri"/>
          <w:i/>
          <w:sz w:val="22"/>
          <w:lang w:val="fr-FR"/>
        </w:rPr>
        <w:t>Questions financières et budgétaires</w:t>
      </w:r>
      <w:r w:rsidRPr="00E03828">
        <w:rPr>
          <w:rFonts w:ascii="Calibri" w:hAnsi="Calibri" w:cs="Calibri"/>
          <w:bCs/>
          <w:sz w:val="22"/>
          <w:szCs w:val="22"/>
          <w:lang w:val="fr-FR"/>
        </w:rPr>
        <w:t>, paragraphe 21.c).</w:t>
      </w:r>
    </w:p>
    <w:p w:rsidR="001A5445" w:rsidRPr="00E03828" w:rsidRDefault="001A5445" w:rsidP="001A5445">
      <w:pPr>
        <w:rPr>
          <w:rFonts w:ascii="Calibri" w:hAnsi="Calibri" w:cs="Calibri"/>
          <w:bCs/>
          <w:sz w:val="22"/>
          <w:szCs w:val="22"/>
          <w:lang w:val="fr-FR"/>
        </w:rPr>
      </w:pPr>
    </w:p>
    <w:p w:rsidR="001A5445" w:rsidRPr="00E03828" w:rsidRDefault="001A5445" w:rsidP="001A5445">
      <w:pPr>
        <w:rPr>
          <w:rFonts w:ascii="Calibri" w:hAnsi="Calibri" w:cs="Calibri"/>
          <w:b/>
          <w:bCs/>
          <w:sz w:val="22"/>
          <w:szCs w:val="22"/>
          <w:lang w:val="fr-FR"/>
        </w:rPr>
      </w:pPr>
      <w:r w:rsidRPr="00E03828">
        <w:rPr>
          <w:rFonts w:ascii="Calibri" w:hAnsi="Calibri" w:cs="Calibri"/>
          <w:b/>
          <w:bCs/>
          <w:sz w:val="22"/>
          <w:szCs w:val="22"/>
          <w:lang w:val="fr-FR"/>
        </w:rPr>
        <w:t>Mesures pour combler le déficit et accroître le fonds de réserve</w:t>
      </w:r>
    </w:p>
    <w:p w:rsidR="001A5445" w:rsidRPr="00E03828" w:rsidRDefault="001A5445" w:rsidP="001A5445">
      <w:pPr>
        <w:rPr>
          <w:rFonts w:ascii="Calibri" w:hAnsi="Calibri" w:cs="Calibri"/>
          <w:bCs/>
          <w:sz w:val="22"/>
          <w:szCs w:val="22"/>
          <w:lang w:val="fr-FR"/>
        </w:rPr>
      </w:pPr>
    </w:p>
    <w:p w:rsidR="001A5445" w:rsidRPr="00E03828" w:rsidRDefault="001A5445" w:rsidP="001A5445">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L’annexe 3 présente le budget administratif pour l’exercice 2016 tel qu’approuvé à la 51</w:t>
      </w:r>
      <w:r w:rsidR="00CD2AAE" w:rsidRPr="00E03828">
        <w:rPr>
          <w:rFonts w:ascii="Calibri" w:hAnsi="Calibri" w:cs="Calibri"/>
          <w:bCs/>
          <w:sz w:val="22"/>
          <w:szCs w:val="22"/>
          <w:vertAlign w:val="superscript"/>
          <w:lang w:val="fr-FR"/>
        </w:rPr>
        <w:t>e</w:t>
      </w:r>
      <w:r w:rsidR="00F27143" w:rsidRPr="00E03828">
        <w:rPr>
          <w:rFonts w:ascii="Calibri" w:hAnsi="Calibri" w:cs="Calibri"/>
          <w:bCs/>
          <w:sz w:val="22"/>
          <w:szCs w:val="22"/>
          <w:vertAlign w:val="superscript"/>
          <w:lang w:val="fr-FR"/>
        </w:rPr>
        <w:t> </w:t>
      </w:r>
      <w:r w:rsidRPr="00E03828">
        <w:rPr>
          <w:rFonts w:ascii="Calibri" w:hAnsi="Calibri" w:cs="Calibri"/>
          <w:bCs/>
          <w:sz w:val="22"/>
          <w:szCs w:val="22"/>
          <w:lang w:val="fr-FR"/>
        </w:rPr>
        <w:t xml:space="preserve">Réunion du Comité permanent. </w:t>
      </w:r>
      <w:r w:rsidR="00F27143" w:rsidRPr="00E03828">
        <w:rPr>
          <w:rFonts w:ascii="Calibri" w:hAnsi="Calibri" w:cs="Calibri"/>
          <w:bCs/>
          <w:sz w:val="22"/>
          <w:szCs w:val="22"/>
          <w:lang w:val="fr-FR"/>
        </w:rPr>
        <w:t xml:space="preserve">Le Comité permanent a convenu d’affecter 278 000 CHF au </w:t>
      </w:r>
      <w:r w:rsidRPr="00E03828">
        <w:rPr>
          <w:rFonts w:ascii="Calibri" w:hAnsi="Calibri" w:cs="Calibri"/>
          <w:bCs/>
          <w:sz w:val="22"/>
          <w:szCs w:val="22"/>
          <w:lang w:val="fr-FR"/>
        </w:rPr>
        <w:t xml:space="preserve">poste budgétaire </w:t>
      </w:r>
      <w:r w:rsidR="00CD2AAE" w:rsidRPr="00E03828">
        <w:rPr>
          <w:rFonts w:ascii="Calibri" w:hAnsi="Calibri" w:cs="Calibri"/>
          <w:bCs/>
          <w:sz w:val="22"/>
          <w:szCs w:val="22"/>
          <w:lang w:val="fr-FR"/>
        </w:rPr>
        <w:t xml:space="preserve">K </w:t>
      </w:r>
      <w:r w:rsidR="00F27143" w:rsidRPr="00E03828">
        <w:rPr>
          <w:rFonts w:ascii="Calibri" w:hAnsi="Calibri" w:cs="Calibri"/>
          <w:bCs/>
          <w:sz w:val="22"/>
          <w:szCs w:val="22"/>
          <w:lang w:val="fr-FR"/>
        </w:rPr>
        <w:t xml:space="preserve">correspondant aux provisions pour le fonds de réserve (« Divers – Fonds de </w:t>
      </w:r>
      <w:r w:rsidR="00F27143" w:rsidRPr="00E03828">
        <w:rPr>
          <w:rFonts w:ascii="Calibri" w:hAnsi="Calibri" w:cs="Calibri"/>
          <w:bCs/>
          <w:sz w:val="22"/>
          <w:szCs w:val="22"/>
          <w:lang w:val="fr-FR"/>
        </w:rPr>
        <w:lastRenderedPageBreak/>
        <w:t>réserve ») (annexe 3, poste budgétaire K.i.)</w:t>
      </w:r>
      <w:r w:rsidRPr="00E03828">
        <w:rPr>
          <w:rFonts w:ascii="Calibri" w:hAnsi="Calibri" w:cs="Calibri"/>
          <w:bCs/>
          <w:sz w:val="22"/>
          <w:szCs w:val="22"/>
          <w:lang w:val="fr-FR"/>
        </w:rPr>
        <w:t xml:space="preserve">. </w:t>
      </w:r>
      <w:r w:rsidR="00F27143" w:rsidRPr="00E03828">
        <w:rPr>
          <w:rFonts w:ascii="Calibri" w:hAnsi="Calibri" w:cs="Calibri"/>
          <w:bCs/>
          <w:sz w:val="22"/>
          <w:szCs w:val="22"/>
          <w:lang w:val="fr-FR"/>
        </w:rPr>
        <w:t xml:space="preserve">Le montant très élevé de cette provision s’explique par les économies de salaires </w:t>
      </w:r>
      <w:r w:rsidR="002D4015" w:rsidRPr="00E03828">
        <w:rPr>
          <w:rFonts w:ascii="Calibri" w:hAnsi="Calibri" w:cs="Calibri"/>
          <w:bCs/>
          <w:sz w:val="22"/>
          <w:szCs w:val="22"/>
          <w:lang w:val="fr-FR"/>
        </w:rPr>
        <w:t xml:space="preserve">(relevant du budget administratif) </w:t>
      </w:r>
      <w:r w:rsidR="00F27143" w:rsidRPr="00E03828">
        <w:rPr>
          <w:rFonts w:ascii="Calibri" w:hAnsi="Calibri" w:cs="Calibri"/>
          <w:bCs/>
          <w:sz w:val="22"/>
          <w:szCs w:val="22"/>
          <w:lang w:val="fr-FR"/>
        </w:rPr>
        <w:t xml:space="preserve">réalisées du fait de deux postes restés inoccupés en 2016 (celui de Secrétaire général et celui de Responsable des partenariats). </w:t>
      </w:r>
      <w:r w:rsidR="0030493C" w:rsidRPr="00E03828">
        <w:rPr>
          <w:rFonts w:ascii="Calibri" w:hAnsi="Calibri" w:cs="Calibri"/>
          <w:bCs/>
          <w:sz w:val="22"/>
          <w:szCs w:val="22"/>
          <w:lang w:val="fr-FR"/>
        </w:rPr>
        <w:t xml:space="preserve">Selon les prévisions, une grande partie de ces fonds devrait permettre de rétablir le fonds de réserve fin 2016. </w:t>
      </w:r>
      <w:r w:rsidR="002D4015" w:rsidRPr="00E03828">
        <w:rPr>
          <w:rFonts w:ascii="Calibri" w:hAnsi="Calibri" w:cs="Calibri"/>
          <w:bCs/>
          <w:sz w:val="22"/>
          <w:szCs w:val="22"/>
          <w:lang w:val="fr-FR"/>
        </w:rPr>
        <w:t>À</w:t>
      </w:r>
      <w:r w:rsidR="0030493C" w:rsidRPr="00E03828">
        <w:rPr>
          <w:rFonts w:ascii="Calibri" w:hAnsi="Calibri" w:cs="Calibri"/>
          <w:bCs/>
          <w:sz w:val="22"/>
          <w:szCs w:val="22"/>
          <w:lang w:val="fr-FR"/>
        </w:rPr>
        <w:t xml:space="preserve"> titre d’exemple, dans l’hypothèse où 40 000 CHF seraient affectés à la constitution d’une provision « normale » au titre de l’exercice 2016</w:t>
      </w:r>
      <w:r w:rsidR="006379A2">
        <w:rPr>
          <w:rFonts w:ascii="Calibri" w:hAnsi="Calibri" w:cs="Calibri"/>
          <w:bCs/>
          <w:sz w:val="22"/>
          <w:szCs w:val="22"/>
          <w:lang w:val="fr-FR"/>
        </w:rPr>
        <w:t xml:space="preserve"> (pour créances douteuses et frais de personnel), le solde restant </w:t>
      </w:r>
      <w:r w:rsidR="0030493C" w:rsidRPr="00E03828">
        <w:rPr>
          <w:rFonts w:ascii="Calibri" w:hAnsi="Calibri" w:cs="Calibri"/>
          <w:bCs/>
          <w:sz w:val="22"/>
          <w:szCs w:val="22"/>
          <w:lang w:val="fr-FR"/>
        </w:rPr>
        <w:t xml:space="preserve">de 238 000 CHF </w:t>
      </w:r>
      <w:r w:rsidR="002D4015" w:rsidRPr="00E03828">
        <w:rPr>
          <w:rFonts w:ascii="Calibri" w:hAnsi="Calibri" w:cs="Calibri"/>
          <w:bCs/>
          <w:sz w:val="22"/>
          <w:szCs w:val="22"/>
          <w:lang w:val="fr-FR"/>
        </w:rPr>
        <w:t>pourrait servir à</w:t>
      </w:r>
      <w:r w:rsidR="0030493C" w:rsidRPr="00E03828">
        <w:rPr>
          <w:rFonts w:ascii="Calibri" w:hAnsi="Calibri" w:cs="Calibri"/>
          <w:bCs/>
          <w:sz w:val="22"/>
          <w:szCs w:val="22"/>
          <w:lang w:val="fr-FR"/>
        </w:rPr>
        <w:t xml:space="preserve"> r</w:t>
      </w:r>
      <w:r w:rsidR="002D4015" w:rsidRPr="00E03828">
        <w:rPr>
          <w:rFonts w:ascii="Calibri" w:hAnsi="Calibri" w:cs="Calibri"/>
          <w:bCs/>
          <w:sz w:val="22"/>
          <w:szCs w:val="22"/>
          <w:lang w:val="fr-FR"/>
        </w:rPr>
        <w:t>econstituer le fonds de réserve à la fin de ce même exercice.</w:t>
      </w:r>
    </w:p>
    <w:p w:rsidR="002D4015" w:rsidRPr="00E03828" w:rsidRDefault="002D4015" w:rsidP="002D4015">
      <w:pPr>
        <w:rPr>
          <w:rFonts w:ascii="Calibri" w:hAnsi="Calibri" w:cs="Calibri"/>
          <w:bCs/>
          <w:sz w:val="22"/>
          <w:szCs w:val="22"/>
          <w:lang w:val="fr-FR"/>
        </w:rPr>
      </w:pPr>
    </w:p>
    <w:p w:rsidR="002D4015" w:rsidRPr="00E03828" w:rsidRDefault="006379A2" w:rsidP="002D4015">
      <w:pPr>
        <w:pStyle w:val="ListParagraph"/>
        <w:numPr>
          <w:ilvl w:val="0"/>
          <w:numId w:val="2"/>
        </w:numPr>
        <w:ind w:left="426" w:hanging="426"/>
        <w:rPr>
          <w:rFonts w:ascii="Calibri" w:hAnsi="Calibri" w:cs="Calibri"/>
          <w:bCs/>
          <w:sz w:val="22"/>
          <w:szCs w:val="22"/>
          <w:lang w:val="fr-FR"/>
        </w:rPr>
      </w:pPr>
      <w:r>
        <w:rPr>
          <w:rFonts w:ascii="Calibri" w:hAnsi="Calibri" w:cs="Calibri"/>
          <w:bCs/>
          <w:sz w:val="22"/>
          <w:szCs w:val="22"/>
          <w:lang w:val="fr-FR"/>
        </w:rPr>
        <w:t>En outre</w:t>
      </w:r>
      <w:r w:rsidR="002D4015" w:rsidRPr="00E03828">
        <w:rPr>
          <w:rFonts w:ascii="Calibri" w:hAnsi="Calibri" w:cs="Calibri"/>
          <w:bCs/>
          <w:sz w:val="22"/>
          <w:szCs w:val="22"/>
          <w:lang w:val="fr-FR"/>
        </w:rPr>
        <w:t>, l’excédent de 6 000 CHF dégagé à la fin de l’exercice 2014, comme indiqué dans le tableau 1, pourrait lui aussi être utilisé pour rétablir le fonds de réserve 2016.</w:t>
      </w:r>
    </w:p>
    <w:p w:rsidR="002D4015" w:rsidRPr="00E03828" w:rsidRDefault="002D4015" w:rsidP="002D4015">
      <w:pPr>
        <w:pStyle w:val="ListParagraph"/>
        <w:ind w:left="426"/>
        <w:rPr>
          <w:rFonts w:ascii="Calibri" w:hAnsi="Calibri" w:cs="Calibri"/>
          <w:bCs/>
          <w:sz w:val="22"/>
          <w:szCs w:val="22"/>
          <w:lang w:val="fr-FR"/>
        </w:rPr>
      </w:pPr>
    </w:p>
    <w:p w:rsidR="00D6257E" w:rsidRPr="00E03828" w:rsidRDefault="002D4015" w:rsidP="00D6257E">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 xml:space="preserve">Selon ce scénario, le fonds de réserve </w:t>
      </w:r>
      <w:r w:rsidR="00D6257E" w:rsidRPr="00E03828">
        <w:rPr>
          <w:rFonts w:ascii="Calibri" w:hAnsi="Calibri" w:cs="Calibri"/>
          <w:bCs/>
          <w:sz w:val="22"/>
          <w:szCs w:val="22"/>
          <w:lang w:val="fr-FR"/>
        </w:rPr>
        <w:t xml:space="preserve">atteindrait alors 616 000 CHF, soit l’équivalent de 12,1% du budget administratif (voir tableau 3), un montant bien plus important et viable que celui de 372 000 CHF indiqué à l’annexe 2 pour la fin de l’exercice 2015. </w:t>
      </w:r>
    </w:p>
    <w:p w:rsidR="00D6257E" w:rsidRPr="00E03828" w:rsidRDefault="00D6257E" w:rsidP="00D6257E">
      <w:pPr>
        <w:rPr>
          <w:rFonts w:ascii="Calibri" w:hAnsi="Calibri" w:cs="Calibri"/>
          <w:bCs/>
          <w:sz w:val="22"/>
          <w:szCs w:val="22"/>
          <w:lang w:val="fr-FR"/>
        </w:rPr>
      </w:pPr>
    </w:p>
    <w:p w:rsidR="00D6257E" w:rsidRPr="00E03828" w:rsidRDefault="00D6257E" w:rsidP="00D6257E">
      <w:pPr>
        <w:rPr>
          <w:rFonts w:ascii="Calibri" w:hAnsi="Calibri" w:cs="Calibri"/>
          <w:b/>
          <w:bCs/>
          <w:sz w:val="22"/>
          <w:szCs w:val="22"/>
          <w:lang w:val="fr-FR"/>
        </w:rPr>
      </w:pPr>
      <w:r w:rsidRPr="00E03828">
        <w:rPr>
          <w:rFonts w:ascii="Calibri" w:hAnsi="Calibri" w:cs="Calibri"/>
          <w:b/>
          <w:bCs/>
          <w:sz w:val="22"/>
          <w:szCs w:val="22"/>
          <w:lang w:val="fr-FR"/>
        </w:rPr>
        <w:t>Tableau 3</w:t>
      </w:r>
      <w:r w:rsidR="00D9477C" w:rsidRPr="00E03828">
        <w:rPr>
          <w:rFonts w:ascii="Calibri" w:hAnsi="Calibri" w:cs="Calibri"/>
          <w:b/>
          <w:bCs/>
          <w:sz w:val="22"/>
          <w:szCs w:val="22"/>
          <w:lang w:val="fr-FR"/>
        </w:rPr>
        <w:t> </w:t>
      </w:r>
      <w:r w:rsidRPr="00E03828">
        <w:rPr>
          <w:rFonts w:ascii="Calibri" w:hAnsi="Calibri" w:cs="Calibri"/>
          <w:b/>
          <w:bCs/>
          <w:sz w:val="22"/>
          <w:szCs w:val="22"/>
          <w:lang w:val="fr-FR"/>
        </w:rPr>
        <w:t>: Propos</w:t>
      </w:r>
      <w:r w:rsidR="00D9477C" w:rsidRPr="00E03828">
        <w:rPr>
          <w:rFonts w:ascii="Calibri" w:hAnsi="Calibri" w:cs="Calibri"/>
          <w:b/>
          <w:bCs/>
          <w:sz w:val="22"/>
          <w:szCs w:val="22"/>
          <w:lang w:val="fr-FR"/>
        </w:rPr>
        <w:t xml:space="preserve">ition pour rétablir le fonds de réserve (en milliers de CHF) </w:t>
      </w:r>
    </w:p>
    <w:tbl>
      <w:tblPr>
        <w:tblW w:w="5320" w:type="dxa"/>
        <w:tblInd w:w="103" w:type="dxa"/>
        <w:tblLook w:val="04A0" w:firstRow="1" w:lastRow="0" w:firstColumn="1" w:lastColumn="0" w:noHBand="0" w:noVBand="1"/>
      </w:tblPr>
      <w:tblGrid>
        <w:gridCol w:w="3400"/>
        <w:gridCol w:w="960"/>
        <w:gridCol w:w="960"/>
      </w:tblGrid>
      <w:tr w:rsidR="00D6257E" w:rsidRPr="00E03828" w:rsidTr="0084629E">
        <w:trPr>
          <w:trHeight w:val="288"/>
        </w:trPr>
        <w:tc>
          <w:tcPr>
            <w:tcW w:w="3400" w:type="dxa"/>
            <w:tcBorders>
              <w:top w:val="single" w:sz="4" w:space="0" w:color="auto"/>
              <w:left w:val="single" w:sz="4" w:space="0" w:color="auto"/>
              <w:bottom w:val="nil"/>
              <w:right w:val="single" w:sz="4" w:space="0" w:color="auto"/>
            </w:tcBorders>
            <w:shd w:val="clear" w:color="000000" w:fill="8DB4E2"/>
            <w:noWrap/>
            <w:vAlign w:val="bottom"/>
            <w:hideMark/>
          </w:tcPr>
          <w:p w:rsidR="00D6257E" w:rsidRPr="00E03828" w:rsidRDefault="00D9477C"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Fonds de réserve, fin</w:t>
            </w:r>
            <w:r w:rsidR="00D6257E" w:rsidRPr="00E03828">
              <w:rPr>
                <w:rFonts w:ascii="Calibri" w:eastAsia="Times New Roman" w:hAnsi="Calibri"/>
                <w:b/>
                <w:bCs/>
                <w:color w:val="000000"/>
                <w:sz w:val="22"/>
                <w:szCs w:val="22"/>
                <w:lang w:val="fr-FR" w:eastAsia="en-GB"/>
              </w:rPr>
              <w:t xml:space="preserve"> 2015</w:t>
            </w:r>
          </w:p>
        </w:tc>
        <w:tc>
          <w:tcPr>
            <w:tcW w:w="960" w:type="dxa"/>
            <w:tcBorders>
              <w:top w:val="single" w:sz="4" w:space="0" w:color="auto"/>
              <w:left w:val="nil"/>
              <w:bottom w:val="nil"/>
              <w:right w:val="nil"/>
            </w:tcBorders>
            <w:shd w:val="clear" w:color="000000" w:fill="8DB4E2"/>
            <w:noWrap/>
            <w:vAlign w:val="bottom"/>
            <w:hideMark/>
          </w:tcPr>
          <w:p w:rsidR="00D6257E" w:rsidRPr="00E03828" w:rsidRDefault="00D6257E" w:rsidP="0084629E">
            <w:pPr>
              <w:jc w:val="cente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960" w:type="dxa"/>
            <w:tcBorders>
              <w:top w:val="single" w:sz="4" w:space="0" w:color="auto"/>
              <w:left w:val="nil"/>
              <w:bottom w:val="nil"/>
              <w:right w:val="single" w:sz="4" w:space="0" w:color="auto"/>
            </w:tcBorders>
            <w:shd w:val="clear" w:color="000000" w:fill="8DB4E2"/>
            <w:noWrap/>
            <w:vAlign w:val="bottom"/>
            <w:hideMark/>
          </w:tcPr>
          <w:p w:rsidR="00D6257E" w:rsidRPr="00E03828" w:rsidRDefault="00D6257E" w:rsidP="0084629E">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372</w:t>
            </w:r>
          </w:p>
        </w:tc>
      </w:tr>
      <w:tr w:rsidR="00D6257E" w:rsidRPr="00E03828" w:rsidTr="0084629E">
        <w:trPr>
          <w:trHeight w:val="288"/>
        </w:trPr>
        <w:tc>
          <w:tcPr>
            <w:tcW w:w="3400" w:type="dxa"/>
            <w:tcBorders>
              <w:top w:val="nil"/>
              <w:left w:val="single" w:sz="4" w:space="0" w:color="auto"/>
              <w:bottom w:val="nil"/>
              <w:right w:val="single" w:sz="4" w:space="0" w:color="auto"/>
            </w:tcBorders>
            <w:shd w:val="clear" w:color="auto" w:fill="auto"/>
            <w:noWrap/>
            <w:vAlign w:val="bottom"/>
            <w:hideMark/>
          </w:tcPr>
          <w:p w:rsidR="00D6257E" w:rsidRPr="00E03828" w:rsidRDefault="00B2252D" w:rsidP="00D9477C">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 xml:space="preserve">Solde </w:t>
            </w:r>
            <w:r w:rsidR="00D9477C" w:rsidRPr="00E03828">
              <w:rPr>
                <w:rFonts w:ascii="Calibri" w:eastAsia="Times New Roman" w:hAnsi="Calibri"/>
                <w:color w:val="000000"/>
                <w:sz w:val="22"/>
                <w:szCs w:val="22"/>
                <w:lang w:val="fr-FR" w:eastAsia="en-GB"/>
              </w:rPr>
              <w:t>de l’excédent 2014</w:t>
            </w:r>
          </w:p>
        </w:tc>
        <w:tc>
          <w:tcPr>
            <w:tcW w:w="960" w:type="dxa"/>
            <w:tcBorders>
              <w:top w:val="nil"/>
              <w:left w:val="nil"/>
              <w:bottom w:val="nil"/>
              <w:right w:val="nil"/>
            </w:tcBorders>
            <w:shd w:val="clear" w:color="auto" w:fill="auto"/>
            <w:noWrap/>
            <w:vAlign w:val="bottom"/>
            <w:hideMark/>
          </w:tcPr>
          <w:p w:rsidR="00D6257E" w:rsidRPr="00E03828" w:rsidRDefault="00D6257E"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nil"/>
              <w:right w:val="single" w:sz="4" w:space="0" w:color="auto"/>
            </w:tcBorders>
            <w:shd w:val="clear" w:color="auto" w:fill="auto"/>
            <w:noWrap/>
            <w:vAlign w:val="bottom"/>
            <w:hideMark/>
          </w:tcPr>
          <w:p w:rsidR="00D6257E" w:rsidRPr="00E03828" w:rsidRDefault="00D6257E"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6</w:t>
            </w:r>
          </w:p>
        </w:tc>
      </w:tr>
      <w:tr w:rsidR="00D6257E" w:rsidRPr="00E03828" w:rsidTr="0084629E">
        <w:trPr>
          <w:trHeight w:val="288"/>
        </w:trPr>
        <w:tc>
          <w:tcPr>
            <w:tcW w:w="3400" w:type="dxa"/>
            <w:tcBorders>
              <w:top w:val="nil"/>
              <w:left w:val="single" w:sz="4" w:space="0" w:color="auto"/>
              <w:bottom w:val="nil"/>
              <w:right w:val="single" w:sz="4" w:space="0" w:color="auto"/>
            </w:tcBorders>
            <w:shd w:val="clear" w:color="auto" w:fill="auto"/>
            <w:noWrap/>
            <w:vAlign w:val="bottom"/>
            <w:hideMark/>
          </w:tcPr>
          <w:p w:rsidR="00D6257E" w:rsidRPr="00E03828" w:rsidRDefault="00D9477C" w:rsidP="00D9477C">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xml:space="preserve">Provision </w:t>
            </w:r>
            <w:r w:rsidR="00D6257E" w:rsidRPr="00E03828">
              <w:rPr>
                <w:rFonts w:ascii="Calibri" w:eastAsia="Times New Roman" w:hAnsi="Calibri"/>
                <w:color w:val="000000"/>
                <w:sz w:val="22"/>
                <w:szCs w:val="22"/>
                <w:lang w:val="fr-FR" w:eastAsia="en-GB"/>
              </w:rPr>
              <w:t xml:space="preserve">2016 </w:t>
            </w:r>
            <w:r w:rsidRPr="00E03828">
              <w:rPr>
                <w:rFonts w:ascii="Calibri" w:eastAsia="Times New Roman" w:hAnsi="Calibri"/>
                <w:color w:val="000000"/>
                <w:sz w:val="22"/>
                <w:szCs w:val="22"/>
                <w:lang w:val="fr-FR" w:eastAsia="en-GB"/>
              </w:rPr>
              <w:t>(inscrite au budget</w:t>
            </w:r>
            <w:r w:rsidR="00D6257E" w:rsidRPr="00E03828">
              <w:rPr>
                <w:rFonts w:ascii="Calibri" w:eastAsia="Times New Roman" w:hAnsi="Calibri"/>
                <w:color w:val="000000"/>
                <w:sz w:val="22"/>
                <w:szCs w:val="22"/>
                <w:lang w:val="fr-FR" w:eastAsia="en-GB"/>
              </w:rPr>
              <w:t>)</w:t>
            </w:r>
          </w:p>
        </w:tc>
        <w:tc>
          <w:tcPr>
            <w:tcW w:w="960" w:type="dxa"/>
            <w:tcBorders>
              <w:top w:val="nil"/>
              <w:left w:val="nil"/>
              <w:bottom w:val="nil"/>
              <w:right w:val="nil"/>
            </w:tcBorders>
            <w:shd w:val="clear" w:color="auto" w:fill="auto"/>
            <w:noWrap/>
            <w:vAlign w:val="bottom"/>
            <w:hideMark/>
          </w:tcPr>
          <w:p w:rsidR="00D6257E" w:rsidRPr="00E03828" w:rsidRDefault="00D6257E" w:rsidP="0084629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D6257E" w:rsidRPr="00E03828" w:rsidRDefault="00D6257E" w:rsidP="0084629E">
            <w:pPr>
              <w:jc w:val="right"/>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238</w:t>
            </w:r>
          </w:p>
        </w:tc>
      </w:tr>
      <w:tr w:rsidR="00D6257E" w:rsidRPr="00E03828" w:rsidTr="0084629E">
        <w:trPr>
          <w:trHeight w:val="288"/>
        </w:trPr>
        <w:tc>
          <w:tcPr>
            <w:tcW w:w="3400" w:type="dxa"/>
            <w:tcBorders>
              <w:top w:val="nil"/>
              <w:left w:val="single" w:sz="4" w:space="0" w:color="auto"/>
              <w:bottom w:val="single" w:sz="4" w:space="0" w:color="auto"/>
              <w:right w:val="single" w:sz="4" w:space="0" w:color="auto"/>
            </w:tcBorders>
            <w:shd w:val="clear" w:color="000000" w:fill="C5D9F1"/>
            <w:noWrap/>
            <w:vAlign w:val="bottom"/>
            <w:hideMark/>
          </w:tcPr>
          <w:p w:rsidR="00D6257E" w:rsidRPr="00E03828" w:rsidRDefault="00D9477C"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Fonds de réserve, fin</w:t>
            </w:r>
            <w:r w:rsidR="00D6257E" w:rsidRPr="00E03828">
              <w:rPr>
                <w:rFonts w:ascii="Calibri" w:eastAsia="Times New Roman" w:hAnsi="Calibri"/>
                <w:b/>
                <w:bCs/>
                <w:color w:val="000000"/>
                <w:sz w:val="22"/>
                <w:szCs w:val="22"/>
                <w:lang w:val="fr-FR" w:eastAsia="en-GB"/>
              </w:rPr>
              <w:t xml:space="preserve"> 2016</w:t>
            </w:r>
          </w:p>
        </w:tc>
        <w:tc>
          <w:tcPr>
            <w:tcW w:w="960" w:type="dxa"/>
            <w:tcBorders>
              <w:top w:val="nil"/>
              <w:left w:val="nil"/>
              <w:bottom w:val="single" w:sz="4" w:space="0" w:color="auto"/>
              <w:right w:val="nil"/>
            </w:tcBorders>
            <w:shd w:val="clear" w:color="000000" w:fill="C5D9F1"/>
            <w:noWrap/>
            <w:vAlign w:val="bottom"/>
            <w:hideMark/>
          </w:tcPr>
          <w:p w:rsidR="00D6257E" w:rsidRPr="00E03828" w:rsidRDefault="00D6257E" w:rsidP="0084629E">
            <w:pPr>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D6257E" w:rsidRPr="00E03828" w:rsidRDefault="00D6257E" w:rsidP="0084629E">
            <w:pPr>
              <w:jc w:val="right"/>
              <w:rPr>
                <w:rFonts w:ascii="Calibri" w:eastAsia="Times New Roman" w:hAnsi="Calibri"/>
                <w:b/>
                <w:bCs/>
                <w:color w:val="000000"/>
                <w:sz w:val="22"/>
                <w:szCs w:val="22"/>
                <w:lang w:val="fr-FR" w:eastAsia="en-GB"/>
              </w:rPr>
            </w:pPr>
            <w:r w:rsidRPr="00E03828">
              <w:rPr>
                <w:rFonts w:ascii="Calibri" w:eastAsia="Times New Roman" w:hAnsi="Calibri"/>
                <w:b/>
                <w:bCs/>
                <w:color w:val="000000"/>
                <w:sz w:val="22"/>
                <w:szCs w:val="22"/>
                <w:lang w:val="fr-FR" w:eastAsia="en-GB"/>
              </w:rPr>
              <w:t>616</w:t>
            </w:r>
          </w:p>
        </w:tc>
      </w:tr>
    </w:tbl>
    <w:p w:rsidR="00D6257E" w:rsidRPr="00E03828" w:rsidRDefault="00D6257E" w:rsidP="00D6257E">
      <w:pPr>
        <w:rPr>
          <w:rFonts w:ascii="Calibri" w:hAnsi="Calibri" w:cs="Calibri"/>
          <w:bCs/>
          <w:sz w:val="22"/>
          <w:szCs w:val="22"/>
          <w:lang w:val="fr-FR"/>
        </w:rPr>
      </w:pPr>
    </w:p>
    <w:p w:rsidR="00D6257E" w:rsidRPr="00E03828" w:rsidRDefault="00D6257E" w:rsidP="00D6257E">
      <w:pPr>
        <w:pStyle w:val="ListParagraph"/>
        <w:rPr>
          <w:rFonts w:ascii="Calibri" w:hAnsi="Calibri" w:cs="Calibri"/>
          <w:bCs/>
          <w:sz w:val="22"/>
          <w:szCs w:val="22"/>
          <w:lang w:val="fr-FR"/>
        </w:rPr>
      </w:pPr>
      <w:r w:rsidRPr="00E03828">
        <w:rPr>
          <w:rFonts w:ascii="Calibri" w:hAnsi="Calibri" w:cs="Calibri"/>
          <w:bCs/>
          <w:sz w:val="22"/>
          <w:szCs w:val="22"/>
          <w:lang w:val="fr-FR"/>
        </w:rPr>
        <w:tab/>
      </w:r>
    </w:p>
    <w:p w:rsidR="00D9477C" w:rsidRPr="00E03828" w:rsidRDefault="00D9477C" w:rsidP="00D9477C">
      <w:pPr>
        <w:rPr>
          <w:rFonts w:ascii="Calibri" w:hAnsi="Calibri"/>
          <w:b/>
          <w:sz w:val="22"/>
          <w:lang w:val="fr-FR"/>
        </w:rPr>
      </w:pPr>
      <w:r w:rsidRPr="00E03828">
        <w:rPr>
          <w:rFonts w:ascii="Calibri" w:hAnsi="Calibri" w:cs="Calibri"/>
          <w:b/>
          <w:sz w:val="22"/>
          <w:szCs w:val="22"/>
          <w:lang w:val="fr-FR"/>
        </w:rPr>
        <w:t>Résultats 2015 – Budget non admin</w:t>
      </w:r>
      <w:r w:rsidR="006379A2">
        <w:rPr>
          <w:rFonts w:ascii="Calibri" w:hAnsi="Calibri" w:cs="Calibri"/>
          <w:b/>
          <w:sz w:val="22"/>
          <w:szCs w:val="22"/>
          <w:lang w:val="fr-FR"/>
        </w:rPr>
        <w:t>istratif et contributions volon</w:t>
      </w:r>
      <w:r w:rsidRPr="00E03828">
        <w:rPr>
          <w:rFonts w:ascii="Calibri" w:hAnsi="Calibri" w:cs="Calibri"/>
          <w:b/>
          <w:sz w:val="22"/>
          <w:szCs w:val="22"/>
          <w:lang w:val="fr-FR"/>
        </w:rPr>
        <w:t>t</w:t>
      </w:r>
      <w:r w:rsidR="006379A2">
        <w:rPr>
          <w:rFonts w:ascii="Calibri" w:hAnsi="Calibri" w:cs="Calibri"/>
          <w:b/>
          <w:sz w:val="22"/>
          <w:szCs w:val="22"/>
          <w:lang w:val="fr-FR"/>
        </w:rPr>
        <w:t>a</w:t>
      </w:r>
      <w:r w:rsidRPr="00E03828">
        <w:rPr>
          <w:rFonts w:ascii="Calibri" w:hAnsi="Calibri" w:cs="Calibri"/>
          <w:b/>
          <w:sz w:val="22"/>
          <w:szCs w:val="22"/>
          <w:lang w:val="fr-FR"/>
        </w:rPr>
        <w:t>ires</w:t>
      </w:r>
    </w:p>
    <w:p w:rsidR="00D9477C" w:rsidRPr="00E03828" w:rsidRDefault="00D9477C" w:rsidP="00D9477C">
      <w:pPr>
        <w:ind w:left="426"/>
        <w:rPr>
          <w:rFonts w:ascii="Calibri" w:hAnsi="Calibri"/>
          <w:sz w:val="22"/>
          <w:lang w:val="fr-FR"/>
        </w:rPr>
      </w:pPr>
    </w:p>
    <w:p w:rsidR="00D9477C" w:rsidRPr="00E03828" w:rsidRDefault="00D9477C" w:rsidP="00D9477C">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En 2015, des contributions volontaires relevant du budget non administratif ont été perçues pour un montant de 420 700 CHF. Ces contributions ont servi à parrainer la participation des délégués à la COP12 de Punta del Este, Uruguay. Elles sont présentées en détail dans le tableau 4.</w:t>
      </w:r>
    </w:p>
    <w:p w:rsidR="00D9477C" w:rsidRPr="00E03828" w:rsidRDefault="00D9477C" w:rsidP="00D9477C">
      <w:pPr>
        <w:rPr>
          <w:rFonts w:ascii="Calibri" w:hAnsi="Calibri"/>
          <w:sz w:val="22"/>
          <w:lang w:val="fr-FR"/>
        </w:rPr>
      </w:pPr>
    </w:p>
    <w:p w:rsidR="00D9477C" w:rsidRPr="00E03828" w:rsidRDefault="00D9477C" w:rsidP="00D9477C">
      <w:pPr>
        <w:rPr>
          <w:rFonts w:ascii="Calibri" w:hAnsi="Calibri"/>
          <w:b/>
          <w:sz w:val="22"/>
          <w:lang w:val="fr-FR"/>
        </w:rPr>
      </w:pPr>
      <w:r w:rsidRPr="00E03828">
        <w:rPr>
          <w:rFonts w:ascii="Calibri" w:hAnsi="Calibri"/>
          <w:b/>
          <w:sz w:val="22"/>
          <w:lang w:val="fr-FR"/>
        </w:rPr>
        <w:t>Tableau 4 :</w:t>
      </w:r>
      <w:r w:rsidRPr="00E03828">
        <w:rPr>
          <w:rFonts w:ascii="Calibri" w:hAnsi="Calibri"/>
          <w:sz w:val="22"/>
          <w:lang w:val="fr-FR"/>
        </w:rPr>
        <w:t xml:space="preserve"> </w:t>
      </w:r>
      <w:r w:rsidRPr="006379A2">
        <w:rPr>
          <w:rFonts w:ascii="Calibri" w:hAnsi="Calibri"/>
          <w:b/>
          <w:sz w:val="22"/>
          <w:lang w:val="fr-FR"/>
        </w:rPr>
        <w:t>Collecte de fonds en vue de la COP12, parrainage de délégués</w:t>
      </w:r>
      <w:r w:rsidR="002E6B0A" w:rsidRPr="006379A2">
        <w:rPr>
          <w:rFonts w:ascii="Calibri" w:hAnsi="Calibri"/>
          <w:b/>
          <w:sz w:val="22"/>
          <w:lang w:val="fr-FR"/>
        </w:rPr>
        <w:t>, en CHF</w:t>
      </w:r>
    </w:p>
    <w:tbl>
      <w:tblPr>
        <w:tblW w:w="6500" w:type="dxa"/>
        <w:tblInd w:w="103" w:type="dxa"/>
        <w:tblLook w:val="04A0" w:firstRow="1" w:lastRow="0" w:firstColumn="1" w:lastColumn="0" w:noHBand="0" w:noVBand="1"/>
      </w:tblPr>
      <w:tblGrid>
        <w:gridCol w:w="3080"/>
        <w:gridCol w:w="1540"/>
        <w:gridCol w:w="1880"/>
      </w:tblGrid>
      <w:tr w:rsidR="00D9477C" w:rsidRPr="00E03828" w:rsidTr="0084629E">
        <w:trPr>
          <w:trHeight w:val="288"/>
        </w:trPr>
        <w:tc>
          <w:tcPr>
            <w:tcW w:w="30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D9477C" w:rsidRPr="00E03828" w:rsidRDefault="00D9477C" w:rsidP="0084629E">
            <w:pPr>
              <w:rPr>
                <w:rFonts w:asciiTheme="minorHAnsi" w:eastAsia="Times New Roman" w:hAnsiTheme="minorHAnsi"/>
                <w:b/>
                <w:bCs/>
                <w:color w:val="000000"/>
                <w:sz w:val="20"/>
                <w:szCs w:val="20"/>
                <w:lang w:val="fr-FR" w:eastAsia="en-GB"/>
              </w:rPr>
            </w:pPr>
            <w:r w:rsidRPr="00E03828">
              <w:rPr>
                <w:rFonts w:asciiTheme="minorHAnsi" w:eastAsia="Times New Roman" w:hAnsiTheme="minorHAnsi"/>
                <w:b/>
                <w:bCs/>
                <w:color w:val="000000"/>
                <w:sz w:val="20"/>
                <w:szCs w:val="20"/>
                <w:lang w:val="fr-FR" w:eastAsia="en-GB"/>
              </w:rPr>
              <w:t>Donateur</w:t>
            </w:r>
          </w:p>
        </w:tc>
        <w:tc>
          <w:tcPr>
            <w:tcW w:w="1540" w:type="dxa"/>
            <w:tcBorders>
              <w:top w:val="single" w:sz="4" w:space="0" w:color="auto"/>
              <w:left w:val="nil"/>
              <w:bottom w:val="single" w:sz="4" w:space="0" w:color="auto"/>
              <w:right w:val="single" w:sz="4" w:space="0" w:color="auto"/>
            </w:tcBorders>
            <w:shd w:val="clear" w:color="000000" w:fill="C5D9F1"/>
            <w:noWrap/>
            <w:vAlign w:val="bottom"/>
            <w:hideMark/>
          </w:tcPr>
          <w:p w:rsidR="00D9477C" w:rsidRPr="00E03828" w:rsidRDefault="00D9477C" w:rsidP="0084629E">
            <w:pPr>
              <w:jc w:val="center"/>
              <w:rPr>
                <w:rFonts w:asciiTheme="minorHAnsi" w:eastAsia="Times New Roman" w:hAnsiTheme="minorHAnsi"/>
                <w:b/>
                <w:bCs/>
                <w:color w:val="000000"/>
                <w:sz w:val="20"/>
                <w:szCs w:val="20"/>
                <w:lang w:val="fr-FR" w:eastAsia="en-GB"/>
              </w:rPr>
            </w:pPr>
            <w:r w:rsidRPr="00E03828">
              <w:rPr>
                <w:rFonts w:asciiTheme="minorHAnsi" w:eastAsia="Times New Roman" w:hAnsiTheme="minorHAnsi"/>
                <w:b/>
                <w:bCs/>
                <w:color w:val="000000"/>
                <w:sz w:val="20"/>
                <w:szCs w:val="20"/>
                <w:lang w:val="fr-FR" w:eastAsia="en-GB"/>
              </w:rPr>
              <w:t>Montant en CHF</w:t>
            </w:r>
          </w:p>
        </w:tc>
        <w:tc>
          <w:tcPr>
            <w:tcW w:w="1880" w:type="dxa"/>
            <w:tcBorders>
              <w:top w:val="single" w:sz="4" w:space="0" w:color="auto"/>
              <w:left w:val="nil"/>
              <w:bottom w:val="single" w:sz="4" w:space="0" w:color="auto"/>
              <w:right w:val="single" w:sz="4" w:space="0" w:color="auto"/>
            </w:tcBorders>
            <w:shd w:val="clear" w:color="000000" w:fill="C5D9F1"/>
            <w:noWrap/>
            <w:vAlign w:val="bottom"/>
            <w:hideMark/>
          </w:tcPr>
          <w:p w:rsidR="00D9477C" w:rsidRPr="00E03828" w:rsidRDefault="00D9477C" w:rsidP="0084629E">
            <w:pPr>
              <w:jc w:val="center"/>
              <w:rPr>
                <w:rFonts w:asciiTheme="minorHAnsi" w:eastAsia="Times New Roman" w:hAnsiTheme="minorHAnsi"/>
                <w:b/>
                <w:bCs/>
                <w:color w:val="000000"/>
                <w:sz w:val="20"/>
                <w:szCs w:val="20"/>
                <w:lang w:val="fr-FR" w:eastAsia="en-GB"/>
              </w:rPr>
            </w:pPr>
            <w:r w:rsidRPr="00E03828">
              <w:rPr>
                <w:rFonts w:asciiTheme="minorHAnsi" w:eastAsia="Times New Roman" w:hAnsiTheme="minorHAnsi"/>
                <w:b/>
                <w:bCs/>
                <w:color w:val="000000"/>
                <w:sz w:val="20"/>
                <w:szCs w:val="20"/>
                <w:lang w:val="fr-FR" w:eastAsia="en-GB"/>
              </w:rPr>
              <w:t>Montant en devise nationale</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Allemagne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10 479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EUR 10 000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Australie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29 660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AUD 40 000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Autres fonds (note 1)</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54 711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CHF 54 700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Autriche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5 166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EUR 5 000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Canada</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30 000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CAD 40 000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Corée (République de)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23 750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USD 25 000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Finlande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20 807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EUR 20 000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Norvège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40 847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NOK 340 000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Pays-Bas</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8 070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EUR 7 500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PNUE-BRAO</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12 949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CHF 12 950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Star Alliance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13 566</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EUR 12 995</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Suède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55 684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SEK 500 000</w:t>
            </w:r>
          </w:p>
        </w:tc>
      </w:tr>
      <w:tr w:rsidR="00D9477C" w:rsidRPr="00E03828" w:rsidTr="0084629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Suisse</w:t>
            </w:r>
          </w:p>
        </w:tc>
        <w:tc>
          <w:tcPr>
            <w:tcW w:w="1540" w:type="dxa"/>
            <w:tcBorders>
              <w:top w:val="nil"/>
              <w:left w:val="nil"/>
              <w:bottom w:val="single" w:sz="4" w:space="0" w:color="auto"/>
              <w:right w:val="single" w:sz="4" w:space="0" w:color="auto"/>
            </w:tcBorders>
            <w:shd w:val="clear" w:color="000000" w:fill="C5D9F1"/>
            <w:noWrap/>
            <w:vAlign w:val="bottom"/>
            <w:hideMark/>
          </w:tcPr>
          <w:p w:rsidR="00D9477C" w:rsidRPr="00E03828" w:rsidRDefault="00D9477C" w:rsidP="0084629E">
            <w:pPr>
              <w:jc w:val="right"/>
              <w:rPr>
                <w:rFonts w:asciiTheme="minorHAnsi" w:eastAsia="Times New Roman" w:hAnsiTheme="minorHAnsi"/>
                <w:sz w:val="20"/>
                <w:szCs w:val="20"/>
                <w:lang w:val="fr-FR" w:eastAsia="en-GB"/>
              </w:rPr>
            </w:pPr>
            <w:r w:rsidRPr="00E03828">
              <w:rPr>
                <w:rFonts w:asciiTheme="minorHAnsi" w:eastAsia="Times New Roman" w:hAnsiTheme="minorHAnsi"/>
                <w:sz w:val="20"/>
                <w:szCs w:val="20"/>
                <w:lang w:val="fr-FR" w:eastAsia="en-GB"/>
              </w:rPr>
              <w:t xml:space="preserve">115 000 </w:t>
            </w:r>
          </w:p>
        </w:tc>
        <w:tc>
          <w:tcPr>
            <w:tcW w:w="1880" w:type="dxa"/>
            <w:tcBorders>
              <w:top w:val="nil"/>
              <w:left w:val="nil"/>
              <w:bottom w:val="single" w:sz="4" w:space="0" w:color="auto"/>
              <w:right w:val="single" w:sz="4" w:space="0" w:color="auto"/>
            </w:tcBorders>
            <w:shd w:val="clear" w:color="auto" w:fill="auto"/>
            <w:noWrap/>
            <w:vAlign w:val="bottom"/>
            <w:hideMark/>
          </w:tcPr>
          <w:p w:rsidR="00D9477C" w:rsidRPr="00E03828" w:rsidRDefault="00D9477C" w:rsidP="0084629E">
            <w:pPr>
              <w:jc w:val="right"/>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CHF 115 000</w:t>
            </w:r>
          </w:p>
        </w:tc>
      </w:tr>
      <w:tr w:rsidR="00D9477C" w:rsidRPr="00E03828" w:rsidTr="0084629E">
        <w:trPr>
          <w:trHeight w:val="288"/>
        </w:trPr>
        <w:tc>
          <w:tcPr>
            <w:tcW w:w="3080" w:type="dxa"/>
            <w:tcBorders>
              <w:top w:val="single" w:sz="4" w:space="0" w:color="auto"/>
              <w:left w:val="single" w:sz="4" w:space="0" w:color="auto"/>
              <w:bottom w:val="single" w:sz="4" w:space="0" w:color="auto"/>
              <w:right w:val="nil"/>
            </w:tcBorders>
            <w:shd w:val="clear" w:color="000000" w:fill="8DB4E2"/>
            <w:noWrap/>
            <w:vAlign w:val="bottom"/>
            <w:hideMark/>
          </w:tcPr>
          <w:p w:rsidR="00D9477C" w:rsidRPr="00E03828" w:rsidRDefault="00D9477C" w:rsidP="0084629E">
            <w:pPr>
              <w:rPr>
                <w:rFonts w:asciiTheme="minorHAnsi" w:eastAsia="Times New Roman" w:hAnsiTheme="minorHAnsi"/>
                <w:b/>
                <w:bCs/>
                <w:color w:val="000000"/>
                <w:sz w:val="20"/>
                <w:szCs w:val="20"/>
                <w:lang w:val="fr-FR" w:eastAsia="en-GB"/>
              </w:rPr>
            </w:pPr>
            <w:r w:rsidRPr="00E03828">
              <w:rPr>
                <w:rFonts w:asciiTheme="minorHAnsi" w:eastAsia="Times New Roman" w:hAnsiTheme="minorHAnsi"/>
                <w:b/>
                <w:bCs/>
                <w:color w:val="000000"/>
                <w:sz w:val="20"/>
                <w:szCs w:val="20"/>
                <w:lang w:val="fr-FR" w:eastAsia="en-GB"/>
              </w:rPr>
              <w:t>Total</w:t>
            </w:r>
          </w:p>
        </w:tc>
        <w:tc>
          <w:tcPr>
            <w:tcW w:w="1540" w:type="dxa"/>
            <w:tcBorders>
              <w:top w:val="nil"/>
              <w:left w:val="nil"/>
              <w:bottom w:val="single" w:sz="4" w:space="0" w:color="auto"/>
              <w:right w:val="single" w:sz="4" w:space="0" w:color="auto"/>
            </w:tcBorders>
            <w:shd w:val="clear" w:color="000000" w:fill="D9D9D9"/>
            <w:noWrap/>
            <w:vAlign w:val="bottom"/>
            <w:hideMark/>
          </w:tcPr>
          <w:p w:rsidR="00D9477C" w:rsidRPr="00E03828" w:rsidRDefault="00D9477C" w:rsidP="0084629E">
            <w:pPr>
              <w:jc w:val="right"/>
              <w:rPr>
                <w:rFonts w:asciiTheme="minorHAnsi" w:eastAsia="Times New Roman" w:hAnsiTheme="minorHAnsi"/>
                <w:b/>
                <w:bCs/>
                <w:color w:val="000000"/>
                <w:sz w:val="20"/>
                <w:szCs w:val="20"/>
                <w:lang w:val="fr-FR" w:eastAsia="en-GB"/>
              </w:rPr>
            </w:pPr>
            <w:r w:rsidRPr="00E03828">
              <w:rPr>
                <w:rFonts w:asciiTheme="minorHAnsi" w:eastAsia="Times New Roman" w:hAnsiTheme="minorHAnsi"/>
                <w:b/>
                <w:bCs/>
                <w:color w:val="000000"/>
                <w:sz w:val="20"/>
                <w:szCs w:val="20"/>
                <w:lang w:val="fr-FR" w:eastAsia="en-GB"/>
              </w:rPr>
              <w:t xml:space="preserve">420 688 </w:t>
            </w:r>
          </w:p>
        </w:tc>
        <w:tc>
          <w:tcPr>
            <w:tcW w:w="1880" w:type="dxa"/>
            <w:tcBorders>
              <w:top w:val="nil"/>
              <w:left w:val="nil"/>
              <w:bottom w:val="nil"/>
              <w:right w:val="nil"/>
            </w:tcBorders>
            <w:shd w:val="clear" w:color="000000" w:fill="FFFFFF"/>
            <w:noWrap/>
            <w:vAlign w:val="bottom"/>
            <w:hideMark/>
          </w:tcPr>
          <w:p w:rsidR="00D9477C" w:rsidRPr="00E03828" w:rsidRDefault="00D9477C" w:rsidP="0084629E">
            <w:pPr>
              <w:rPr>
                <w:rFonts w:asciiTheme="minorHAnsi" w:eastAsia="Times New Roman" w:hAnsiTheme="minorHAnsi"/>
                <w:color w:val="000000"/>
                <w:sz w:val="20"/>
                <w:szCs w:val="20"/>
                <w:lang w:val="fr-FR" w:eastAsia="en-GB"/>
              </w:rPr>
            </w:pPr>
            <w:r w:rsidRPr="00E03828">
              <w:rPr>
                <w:rFonts w:asciiTheme="minorHAnsi" w:eastAsia="Times New Roman" w:hAnsiTheme="minorHAnsi"/>
                <w:color w:val="000000"/>
                <w:sz w:val="20"/>
                <w:szCs w:val="20"/>
                <w:lang w:val="fr-FR" w:eastAsia="en-GB"/>
              </w:rPr>
              <w:t> </w:t>
            </w:r>
          </w:p>
        </w:tc>
      </w:tr>
    </w:tbl>
    <w:p w:rsidR="003F3195" w:rsidRDefault="003F3195" w:rsidP="00D9477C">
      <w:pPr>
        <w:rPr>
          <w:rFonts w:asciiTheme="minorHAnsi" w:hAnsiTheme="minorHAnsi"/>
          <w:sz w:val="20"/>
          <w:lang w:val="fr-FR"/>
        </w:rPr>
      </w:pPr>
    </w:p>
    <w:p w:rsidR="00D9477C" w:rsidRPr="00E03828" w:rsidRDefault="00D9477C" w:rsidP="00D9477C">
      <w:pPr>
        <w:rPr>
          <w:rFonts w:asciiTheme="minorHAnsi" w:hAnsiTheme="minorHAnsi"/>
          <w:sz w:val="20"/>
          <w:lang w:val="fr-FR"/>
        </w:rPr>
      </w:pPr>
      <w:r w:rsidRPr="00E03828">
        <w:rPr>
          <w:rFonts w:asciiTheme="minorHAnsi" w:hAnsiTheme="minorHAnsi"/>
          <w:sz w:val="20"/>
          <w:lang w:val="fr-FR"/>
        </w:rPr>
        <w:t>Note 1 : Autres fonds = soldes d’autres projets de financement octroyés, avec accord de leurs donateurs, au parrainage de délégués</w:t>
      </w:r>
    </w:p>
    <w:p w:rsidR="00D9477C" w:rsidRPr="00E03828" w:rsidRDefault="00D9477C" w:rsidP="00D6257E">
      <w:pPr>
        <w:rPr>
          <w:rFonts w:ascii="Calibri" w:hAnsi="Calibri" w:cs="Calibri"/>
          <w:b/>
          <w:sz w:val="22"/>
          <w:szCs w:val="22"/>
          <w:lang w:val="fr-FR"/>
        </w:rPr>
      </w:pPr>
    </w:p>
    <w:p w:rsidR="004A551A" w:rsidRPr="00E03828" w:rsidRDefault="004A551A" w:rsidP="004A551A">
      <w:pPr>
        <w:pStyle w:val="ListParagraph"/>
        <w:ind w:left="852" w:hanging="426"/>
        <w:rPr>
          <w:rFonts w:ascii="Calibri" w:hAnsi="Calibri" w:cs="Calibri"/>
          <w:bCs/>
          <w:sz w:val="22"/>
          <w:szCs w:val="22"/>
          <w:lang w:val="fr-FR"/>
        </w:rPr>
      </w:pPr>
    </w:p>
    <w:p w:rsidR="000876AD" w:rsidRPr="00E03828" w:rsidRDefault="00637265" w:rsidP="00C04C0D">
      <w:pPr>
        <w:numPr>
          <w:ilvl w:val="0"/>
          <w:numId w:val="2"/>
        </w:numPr>
        <w:ind w:left="426" w:hanging="426"/>
        <w:rPr>
          <w:rFonts w:ascii="Calibri" w:hAnsi="Calibri" w:cs="Calibri"/>
          <w:bCs/>
          <w:sz w:val="22"/>
          <w:szCs w:val="22"/>
          <w:lang w:val="fr-FR"/>
        </w:rPr>
      </w:pPr>
      <w:r w:rsidRPr="00E03828">
        <w:rPr>
          <w:rFonts w:ascii="Calibri" w:hAnsi="Calibri"/>
          <w:sz w:val="22"/>
          <w:lang w:val="fr-FR"/>
        </w:rPr>
        <w:t xml:space="preserve">Les États-Unis d’Amérique </w:t>
      </w:r>
      <w:r w:rsidR="007128F6" w:rsidRPr="00E03828">
        <w:rPr>
          <w:rFonts w:ascii="Calibri" w:hAnsi="Calibri"/>
          <w:sz w:val="22"/>
          <w:lang w:val="fr-FR"/>
        </w:rPr>
        <w:t>ont versé une contribution volontaire de 1 149 </w:t>
      </w:r>
      <w:r w:rsidR="000876AD" w:rsidRPr="00E03828">
        <w:rPr>
          <w:rFonts w:ascii="Calibri" w:hAnsi="Calibri"/>
          <w:sz w:val="22"/>
          <w:lang w:val="fr-FR"/>
        </w:rPr>
        <w:t>575</w:t>
      </w:r>
      <w:r w:rsidR="007128F6" w:rsidRPr="00E03828">
        <w:rPr>
          <w:rFonts w:ascii="Calibri" w:hAnsi="Calibri"/>
          <w:sz w:val="22"/>
          <w:lang w:val="fr-FR"/>
        </w:rPr>
        <w:t> CHF (1 150 </w:t>
      </w:r>
      <w:r w:rsidR="002D0871" w:rsidRPr="00E03828">
        <w:rPr>
          <w:rFonts w:ascii="Calibri" w:hAnsi="Calibri"/>
          <w:sz w:val="22"/>
          <w:lang w:val="fr-FR"/>
        </w:rPr>
        <w:t>000</w:t>
      </w:r>
      <w:r w:rsidR="007128F6" w:rsidRPr="00E03828">
        <w:rPr>
          <w:rFonts w:ascii="Calibri" w:hAnsi="Calibri"/>
          <w:sz w:val="22"/>
          <w:lang w:val="fr-FR"/>
        </w:rPr>
        <w:t> USD</w:t>
      </w:r>
      <w:r w:rsidR="002D0871" w:rsidRPr="00E03828">
        <w:rPr>
          <w:rFonts w:ascii="Calibri" w:hAnsi="Calibri"/>
          <w:sz w:val="22"/>
          <w:lang w:val="fr-FR"/>
        </w:rPr>
        <w:t>)</w:t>
      </w:r>
      <w:r w:rsidR="000876AD" w:rsidRPr="00E03828">
        <w:rPr>
          <w:rFonts w:ascii="Calibri" w:hAnsi="Calibri"/>
          <w:sz w:val="22"/>
          <w:lang w:val="fr-FR"/>
        </w:rPr>
        <w:t>.</w:t>
      </w:r>
      <w:r w:rsidR="007128F6" w:rsidRPr="00E03828">
        <w:rPr>
          <w:rFonts w:ascii="Calibri" w:hAnsi="Calibri"/>
          <w:sz w:val="22"/>
          <w:lang w:val="fr-FR"/>
        </w:rPr>
        <w:t xml:space="preserve"> La somme de 1 065 </w:t>
      </w:r>
      <w:r w:rsidR="000876AD" w:rsidRPr="00E03828">
        <w:rPr>
          <w:rFonts w:ascii="Calibri" w:hAnsi="Calibri"/>
          <w:sz w:val="22"/>
          <w:lang w:val="fr-FR"/>
        </w:rPr>
        <w:t>800</w:t>
      </w:r>
      <w:r w:rsidR="007128F6" w:rsidRPr="00E03828">
        <w:rPr>
          <w:rFonts w:ascii="Calibri" w:hAnsi="Calibri"/>
          <w:sz w:val="22"/>
          <w:lang w:val="fr-FR"/>
        </w:rPr>
        <w:t xml:space="preserve"> CHF a été imputée au budget administratif du Secrétariat et la somme de 83 </w:t>
      </w:r>
      <w:r w:rsidR="000876AD" w:rsidRPr="00E03828">
        <w:rPr>
          <w:rFonts w:ascii="Calibri" w:hAnsi="Calibri"/>
          <w:sz w:val="22"/>
          <w:lang w:val="fr-FR"/>
        </w:rPr>
        <w:t>775</w:t>
      </w:r>
      <w:r w:rsidR="007128F6" w:rsidRPr="00E03828">
        <w:rPr>
          <w:rFonts w:ascii="Calibri" w:hAnsi="Calibri"/>
          <w:sz w:val="22"/>
          <w:lang w:val="fr-FR"/>
        </w:rPr>
        <w:t xml:space="preserve"> CHF a été affectée à des projets hors budget administratif par le biais du Fonds </w:t>
      </w:r>
      <w:r w:rsidR="000876AD" w:rsidRPr="00E03828">
        <w:rPr>
          <w:rFonts w:ascii="Calibri" w:hAnsi="Calibri"/>
          <w:sz w:val="22"/>
          <w:lang w:val="fr-FR"/>
        </w:rPr>
        <w:t>Wetlands for the Future</w:t>
      </w:r>
      <w:r w:rsidR="007128F6" w:rsidRPr="00E03828">
        <w:rPr>
          <w:rFonts w:ascii="Calibri" w:hAnsi="Calibri"/>
          <w:sz w:val="22"/>
          <w:lang w:val="fr-FR"/>
        </w:rPr>
        <w:t>.</w:t>
      </w:r>
    </w:p>
    <w:p w:rsidR="000876AD" w:rsidRPr="00E03828" w:rsidRDefault="000876AD" w:rsidP="00C04C0D">
      <w:pPr>
        <w:pStyle w:val="ListParagraph"/>
        <w:ind w:left="426"/>
        <w:rPr>
          <w:rFonts w:ascii="Calibri" w:hAnsi="Calibri"/>
          <w:sz w:val="22"/>
          <w:lang w:val="fr-FR"/>
        </w:rPr>
      </w:pPr>
    </w:p>
    <w:p w:rsidR="00015175" w:rsidRPr="00E03828" w:rsidRDefault="00531742" w:rsidP="00C04C0D">
      <w:pPr>
        <w:pStyle w:val="ListParagraph"/>
        <w:numPr>
          <w:ilvl w:val="0"/>
          <w:numId w:val="2"/>
        </w:numPr>
        <w:ind w:left="426" w:hanging="426"/>
        <w:rPr>
          <w:rFonts w:ascii="Calibri" w:hAnsi="Calibri"/>
          <w:sz w:val="22"/>
          <w:lang w:val="fr-FR"/>
        </w:rPr>
      </w:pPr>
      <w:r w:rsidRPr="00E03828">
        <w:rPr>
          <w:rFonts w:ascii="Calibri" w:hAnsi="Calibri"/>
          <w:sz w:val="22"/>
          <w:lang w:val="fr-FR"/>
        </w:rPr>
        <w:t xml:space="preserve">En 2015, d’autres contributions volontaires en espèces d’un montant de </w:t>
      </w:r>
      <w:r w:rsidR="008937B7" w:rsidRPr="00E03828">
        <w:rPr>
          <w:rFonts w:ascii="Calibri" w:hAnsi="Calibri"/>
          <w:sz w:val="22"/>
          <w:lang w:val="fr-FR"/>
        </w:rPr>
        <w:t xml:space="preserve">618 000 CHF ont également été perçues. La somme de </w:t>
      </w:r>
      <w:r w:rsidR="007D6396" w:rsidRPr="00E03828">
        <w:rPr>
          <w:rFonts w:ascii="Calibri" w:hAnsi="Calibri"/>
          <w:sz w:val="22"/>
          <w:lang w:val="fr-FR"/>
        </w:rPr>
        <w:t>259</w:t>
      </w:r>
      <w:r w:rsidRPr="00E03828">
        <w:rPr>
          <w:rFonts w:ascii="Calibri" w:hAnsi="Calibri"/>
          <w:sz w:val="22"/>
          <w:lang w:val="fr-FR"/>
        </w:rPr>
        <w:t> </w:t>
      </w:r>
      <w:r w:rsidR="000E650E" w:rsidRPr="00E03828">
        <w:rPr>
          <w:rFonts w:ascii="Calibri" w:hAnsi="Calibri"/>
          <w:sz w:val="22"/>
          <w:lang w:val="fr-FR"/>
        </w:rPr>
        <w:t>000</w:t>
      </w:r>
      <w:r w:rsidRPr="00E03828">
        <w:rPr>
          <w:rFonts w:ascii="Calibri" w:hAnsi="Calibri"/>
          <w:sz w:val="22"/>
          <w:lang w:val="fr-FR"/>
        </w:rPr>
        <w:t xml:space="preserve"> CHF </w:t>
      </w:r>
      <w:r w:rsidR="008937B7" w:rsidRPr="00E03828">
        <w:rPr>
          <w:rFonts w:ascii="Calibri" w:hAnsi="Calibri"/>
          <w:sz w:val="22"/>
          <w:lang w:val="fr-FR"/>
        </w:rPr>
        <w:t>a été versée</w:t>
      </w:r>
      <w:r w:rsidRPr="00E03828">
        <w:rPr>
          <w:rFonts w:ascii="Calibri" w:hAnsi="Calibri"/>
          <w:sz w:val="22"/>
          <w:lang w:val="fr-FR"/>
        </w:rPr>
        <w:t xml:space="preserve"> par Danone, dans le cadre de sa détermination à aider Ramsar dans sa mission de sensibilisation (notamment aux fins de promouvoir le bien-être humain et</w:t>
      </w:r>
      <w:r w:rsidR="001A736A" w:rsidRPr="00E03828">
        <w:rPr>
          <w:rFonts w:ascii="Calibri" w:hAnsi="Calibri"/>
          <w:sz w:val="22"/>
          <w:lang w:val="fr-FR"/>
        </w:rPr>
        <w:t xml:space="preserve"> la bonne santé des zones humides), 100 000 CHF par le gouvernement suisse pour couvrir les services de traduction </w:t>
      </w:r>
      <w:r w:rsidR="00B52195" w:rsidRPr="00E03828">
        <w:rPr>
          <w:rFonts w:ascii="Calibri" w:hAnsi="Calibri"/>
          <w:sz w:val="22"/>
          <w:lang w:val="fr-FR"/>
        </w:rPr>
        <w:t>de</w:t>
      </w:r>
      <w:r w:rsidR="001A736A" w:rsidRPr="00E03828">
        <w:rPr>
          <w:rFonts w:ascii="Calibri" w:hAnsi="Calibri"/>
          <w:sz w:val="22"/>
          <w:lang w:val="fr-FR"/>
        </w:rPr>
        <w:t xml:space="preserve"> la COP12, 177 </w:t>
      </w:r>
      <w:r w:rsidR="007D6396" w:rsidRPr="00E03828">
        <w:rPr>
          <w:rFonts w:ascii="Calibri" w:hAnsi="Calibri"/>
          <w:sz w:val="22"/>
          <w:lang w:val="fr-FR"/>
        </w:rPr>
        <w:t>000</w:t>
      </w:r>
      <w:r w:rsidR="001A736A" w:rsidRPr="00E03828">
        <w:rPr>
          <w:rFonts w:ascii="Calibri" w:hAnsi="Calibri"/>
          <w:sz w:val="22"/>
          <w:lang w:val="fr-FR"/>
        </w:rPr>
        <w:t xml:space="preserve"> CHF par la fondation </w:t>
      </w:r>
      <w:r w:rsidR="007D6396" w:rsidRPr="00E03828">
        <w:rPr>
          <w:rFonts w:ascii="Calibri" w:hAnsi="Calibri"/>
          <w:sz w:val="22"/>
          <w:lang w:val="fr-FR"/>
        </w:rPr>
        <w:t xml:space="preserve">MAVA </w:t>
      </w:r>
      <w:r w:rsidR="001A736A" w:rsidRPr="00E03828">
        <w:rPr>
          <w:rFonts w:ascii="Calibri" w:hAnsi="Calibri"/>
          <w:sz w:val="22"/>
          <w:lang w:val="fr-FR"/>
        </w:rPr>
        <w:t>en vue de la conservation du patrimoine naturel et culturel des zones humides, et 41 000 CHF par la Convention sur la diversité biologique en vue de l’élaboration d’une publication sur la capacité de la diversité biologique de continuer à soutenir le cycle de l'eau</w:t>
      </w:r>
      <w:r w:rsidR="00744BBE" w:rsidRPr="00E03828">
        <w:rPr>
          <w:rFonts w:ascii="Calibri" w:hAnsi="Calibri"/>
          <w:sz w:val="22"/>
          <w:lang w:val="fr-FR"/>
        </w:rPr>
        <w:t>.</w:t>
      </w:r>
      <w:r w:rsidR="00380039" w:rsidRPr="00E03828">
        <w:rPr>
          <w:rFonts w:ascii="Calibri" w:hAnsi="Calibri"/>
          <w:sz w:val="22"/>
          <w:lang w:val="fr-FR"/>
        </w:rPr>
        <w:t xml:space="preserve"> </w:t>
      </w:r>
      <w:r w:rsidR="00D87DD0" w:rsidRPr="00E03828">
        <w:rPr>
          <w:rFonts w:ascii="Calibri" w:hAnsi="Calibri"/>
          <w:sz w:val="22"/>
          <w:lang w:val="fr-FR"/>
        </w:rPr>
        <w:t>La Corée du Sud (à hauteur de 7 </w:t>
      </w:r>
      <w:r w:rsidR="00015175" w:rsidRPr="00E03828">
        <w:rPr>
          <w:rFonts w:ascii="Calibri" w:hAnsi="Calibri"/>
          <w:sz w:val="22"/>
          <w:lang w:val="fr-FR"/>
        </w:rPr>
        <w:t>680</w:t>
      </w:r>
      <w:r w:rsidR="00D87DD0" w:rsidRPr="00E03828">
        <w:rPr>
          <w:rFonts w:ascii="Calibri" w:hAnsi="Calibri"/>
          <w:sz w:val="22"/>
          <w:lang w:val="fr-FR"/>
        </w:rPr>
        <w:t> CHF</w:t>
      </w:r>
      <w:r w:rsidR="00015175" w:rsidRPr="00E03828">
        <w:rPr>
          <w:rFonts w:ascii="Calibri" w:hAnsi="Calibri"/>
          <w:sz w:val="22"/>
          <w:lang w:val="fr-FR"/>
        </w:rPr>
        <w:t>)</w:t>
      </w:r>
      <w:r w:rsidR="00380039" w:rsidRPr="00E03828">
        <w:rPr>
          <w:rFonts w:ascii="Calibri" w:hAnsi="Calibri"/>
          <w:sz w:val="22"/>
          <w:lang w:val="fr-FR"/>
        </w:rPr>
        <w:t xml:space="preserve">, </w:t>
      </w:r>
      <w:r w:rsidR="00D87DD0" w:rsidRPr="00E03828">
        <w:rPr>
          <w:rFonts w:ascii="Calibri" w:hAnsi="Calibri"/>
          <w:sz w:val="22"/>
          <w:lang w:val="fr-FR"/>
        </w:rPr>
        <w:t>le Japo</w:t>
      </w:r>
      <w:r w:rsidR="00380039" w:rsidRPr="00E03828">
        <w:rPr>
          <w:rFonts w:ascii="Calibri" w:hAnsi="Calibri"/>
          <w:sz w:val="22"/>
          <w:lang w:val="fr-FR"/>
        </w:rPr>
        <w:t>n</w:t>
      </w:r>
      <w:r w:rsidR="00D87DD0" w:rsidRPr="00E03828">
        <w:rPr>
          <w:rFonts w:ascii="Calibri" w:hAnsi="Calibri"/>
          <w:sz w:val="22"/>
          <w:lang w:val="fr-FR"/>
        </w:rPr>
        <w:t xml:space="preserve"> (24 </w:t>
      </w:r>
      <w:r w:rsidR="00015175" w:rsidRPr="00E03828">
        <w:rPr>
          <w:rFonts w:ascii="Calibri" w:hAnsi="Calibri"/>
          <w:sz w:val="22"/>
          <w:lang w:val="fr-FR"/>
        </w:rPr>
        <w:t>300</w:t>
      </w:r>
      <w:r w:rsidR="00D87DD0" w:rsidRPr="00E03828">
        <w:rPr>
          <w:rFonts w:ascii="Calibri" w:hAnsi="Calibri"/>
          <w:sz w:val="22"/>
          <w:lang w:val="fr-FR"/>
        </w:rPr>
        <w:t> CHF</w:t>
      </w:r>
      <w:r w:rsidR="00015175" w:rsidRPr="00E03828">
        <w:rPr>
          <w:rFonts w:ascii="Calibri" w:hAnsi="Calibri"/>
          <w:sz w:val="22"/>
          <w:lang w:val="fr-FR"/>
        </w:rPr>
        <w:t>)</w:t>
      </w:r>
      <w:r w:rsidR="00380039" w:rsidRPr="00E03828">
        <w:rPr>
          <w:rFonts w:ascii="Calibri" w:hAnsi="Calibri"/>
          <w:sz w:val="22"/>
          <w:lang w:val="fr-FR"/>
        </w:rPr>
        <w:t xml:space="preserve">, </w:t>
      </w:r>
      <w:r w:rsidR="00D87DD0" w:rsidRPr="00E03828">
        <w:rPr>
          <w:rFonts w:ascii="Calibri" w:hAnsi="Calibri"/>
          <w:sz w:val="22"/>
          <w:lang w:val="fr-FR"/>
        </w:rPr>
        <w:t>la Norvège (8 </w:t>
      </w:r>
      <w:r w:rsidR="00015175" w:rsidRPr="00E03828">
        <w:rPr>
          <w:rFonts w:ascii="Calibri" w:hAnsi="Calibri"/>
          <w:sz w:val="22"/>
          <w:lang w:val="fr-FR"/>
        </w:rPr>
        <w:t>500</w:t>
      </w:r>
      <w:r w:rsidR="00D87DD0" w:rsidRPr="00E03828">
        <w:rPr>
          <w:rFonts w:ascii="Calibri" w:hAnsi="Calibri"/>
          <w:sz w:val="22"/>
          <w:lang w:val="fr-FR"/>
        </w:rPr>
        <w:t> CHF) et</w:t>
      </w:r>
      <w:r w:rsidR="002F7D7B" w:rsidRPr="00E03828">
        <w:rPr>
          <w:rFonts w:ascii="Calibri" w:hAnsi="Calibri"/>
          <w:sz w:val="22"/>
          <w:lang w:val="fr-FR"/>
        </w:rPr>
        <w:t xml:space="preserve"> Star Alliance</w:t>
      </w:r>
      <w:r w:rsidR="00D87DD0" w:rsidRPr="00E03828">
        <w:rPr>
          <w:rFonts w:ascii="Calibri" w:hAnsi="Calibri"/>
          <w:sz w:val="22"/>
          <w:lang w:val="fr-FR"/>
        </w:rPr>
        <w:t xml:space="preserve"> (17 </w:t>
      </w:r>
      <w:r w:rsidR="00015175" w:rsidRPr="00E03828">
        <w:rPr>
          <w:rFonts w:ascii="Calibri" w:hAnsi="Calibri"/>
          <w:sz w:val="22"/>
          <w:lang w:val="fr-FR"/>
        </w:rPr>
        <w:t>000</w:t>
      </w:r>
      <w:r w:rsidR="00D87DD0" w:rsidRPr="00E03828">
        <w:rPr>
          <w:rFonts w:ascii="Calibri" w:hAnsi="Calibri"/>
          <w:sz w:val="22"/>
          <w:lang w:val="fr-FR"/>
        </w:rPr>
        <w:t> CHF</w:t>
      </w:r>
      <w:r w:rsidR="00015175" w:rsidRPr="00E03828">
        <w:rPr>
          <w:rFonts w:ascii="Calibri" w:hAnsi="Calibri"/>
          <w:sz w:val="22"/>
          <w:lang w:val="fr-FR"/>
        </w:rPr>
        <w:t xml:space="preserve">) </w:t>
      </w:r>
      <w:r w:rsidR="00D87DD0" w:rsidRPr="00E03828">
        <w:rPr>
          <w:rFonts w:ascii="Calibri" w:hAnsi="Calibri"/>
          <w:sz w:val="22"/>
          <w:lang w:val="fr-FR"/>
        </w:rPr>
        <w:t>ont soutenu à différents niveaux l’organisation de réunions régionales.</w:t>
      </w:r>
    </w:p>
    <w:p w:rsidR="004D335B" w:rsidRPr="00E03828" w:rsidRDefault="004D335B" w:rsidP="00C04C0D">
      <w:pPr>
        <w:pStyle w:val="ListParagraph"/>
        <w:ind w:left="426"/>
        <w:rPr>
          <w:rFonts w:ascii="Calibri" w:hAnsi="Calibri"/>
          <w:sz w:val="22"/>
          <w:lang w:val="fr-FR"/>
        </w:rPr>
      </w:pPr>
    </w:p>
    <w:p w:rsidR="00046784" w:rsidRPr="00E03828" w:rsidRDefault="001D09BF" w:rsidP="00C04C0D">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 xml:space="preserve">Le budget approuvé à la COP11 tablait pour la période triennale sur des contributions volontaires </w:t>
      </w:r>
      <w:r w:rsidR="002E6B0A" w:rsidRPr="00E03828">
        <w:rPr>
          <w:rFonts w:ascii="Calibri" w:hAnsi="Calibri" w:cs="Calibri"/>
          <w:bCs/>
          <w:sz w:val="22"/>
          <w:szCs w:val="22"/>
          <w:lang w:val="fr-FR"/>
        </w:rPr>
        <w:t xml:space="preserve">relevant du budget non administratif </w:t>
      </w:r>
      <w:r w:rsidRPr="00E03828">
        <w:rPr>
          <w:rFonts w:ascii="Calibri" w:hAnsi="Calibri" w:cs="Calibri"/>
          <w:bCs/>
          <w:sz w:val="22"/>
          <w:szCs w:val="22"/>
          <w:lang w:val="fr-FR"/>
        </w:rPr>
        <w:t xml:space="preserve">d’un montant de 13,4 millions de CHF destinées à financer les activités prioritaires </w:t>
      </w:r>
      <w:r w:rsidR="002E6B0A" w:rsidRPr="00E03828">
        <w:rPr>
          <w:rFonts w:ascii="Calibri" w:hAnsi="Calibri" w:cs="Calibri"/>
          <w:bCs/>
          <w:sz w:val="22"/>
          <w:szCs w:val="22"/>
          <w:lang w:val="fr-FR"/>
        </w:rPr>
        <w:t xml:space="preserve">pour la période 2013–2015 </w:t>
      </w:r>
      <w:r w:rsidRPr="00E03828">
        <w:rPr>
          <w:rFonts w:ascii="Calibri" w:hAnsi="Calibri" w:cs="Calibri"/>
          <w:bCs/>
          <w:sz w:val="22"/>
          <w:szCs w:val="22"/>
          <w:lang w:val="fr-FR"/>
        </w:rPr>
        <w:t>décrites à l’</w:t>
      </w:r>
      <w:r w:rsidR="00865C15" w:rsidRPr="00E03828">
        <w:rPr>
          <w:rFonts w:ascii="Calibri" w:hAnsi="Calibri" w:cs="Calibri"/>
          <w:bCs/>
          <w:sz w:val="22"/>
          <w:szCs w:val="22"/>
          <w:lang w:val="fr-FR"/>
        </w:rPr>
        <w:t>annexe 4.</w:t>
      </w:r>
      <w:r w:rsidRPr="00E03828">
        <w:rPr>
          <w:rFonts w:ascii="Calibri" w:hAnsi="Calibri" w:cs="Calibri"/>
          <w:bCs/>
          <w:sz w:val="22"/>
          <w:szCs w:val="22"/>
          <w:lang w:val="fr-FR"/>
        </w:rPr>
        <w:t xml:space="preserve"> La somme de 5,</w:t>
      </w:r>
      <w:r w:rsidR="004D335B" w:rsidRPr="00E03828">
        <w:rPr>
          <w:rFonts w:ascii="Calibri" w:hAnsi="Calibri" w:cs="Calibri"/>
          <w:bCs/>
          <w:sz w:val="22"/>
          <w:szCs w:val="22"/>
          <w:lang w:val="fr-FR"/>
        </w:rPr>
        <w:t>3 million</w:t>
      </w:r>
      <w:r w:rsidRPr="00E03828">
        <w:rPr>
          <w:rFonts w:ascii="Calibri" w:hAnsi="Calibri" w:cs="Calibri"/>
          <w:bCs/>
          <w:sz w:val="22"/>
          <w:szCs w:val="22"/>
          <w:lang w:val="fr-FR"/>
        </w:rPr>
        <w:t>s</w:t>
      </w:r>
      <w:r w:rsidR="002E6B0A" w:rsidRPr="00E03828">
        <w:rPr>
          <w:rFonts w:ascii="Calibri" w:hAnsi="Calibri" w:cs="Calibri"/>
          <w:bCs/>
          <w:sz w:val="22"/>
          <w:szCs w:val="22"/>
          <w:lang w:val="fr-FR"/>
        </w:rPr>
        <w:t xml:space="preserve"> de CHF était prévue pour 2015</w:t>
      </w:r>
      <w:r w:rsidR="00995121" w:rsidRPr="00E03828">
        <w:rPr>
          <w:rFonts w:ascii="Calibri" w:hAnsi="Calibri" w:cs="Calibri"/>
          <w:bCs/>
          <w:sz w:val="22"/>
          <w:szCs w:val="22"/>
          <w:lang w:val="fr-FR"/>
        </w:rPr>
        <w:t> ; cependant, l</w:t>
      </w:r>
      <w:r w:rsidRPr="00E03828">
        <w:rPr>
          <w:rFonts w:ascii="Calibri" w:hAnsi="Calibri" w:cs="Calibri"/>
          <w:bCs/>
          <w:sz w:val="22"/>
          <w:szCs w:val="22"/>
          <w:lang w:val="fr-FR"/>
        </w:rPr>
        <w:t>e</w:t>
      </w:r>
      <w:r w:rsidR="002E6B0A" w:rsidRPr="00E03828">
        <w:rPr>
          <w:rFonts w:ascii="Calibri" w:hAnsi="Calibri" w:cs="Calibri"/>
          <w:bCs/>
          <w:sz w:val="22"/>
          <w:szCs w:val="22"/>
          <w:lang w:val="fr-FR"/>
        </w:rPr>
        <w:t xml:space="preserve"> montant reçu par</w:t>
      </w:r>
      <w:r w:rsidRPr="00E03828">
        <w:rPr>
          <w:rFonts w:ascii="Calibri" w:hAnsi="Calibri" w:cs="Calibri"/>
          <w:bCs/>
          <w:sz w:val="22"/>
          <w:szCs w:val="22"/>
          <w:lang w:val="fr-FR"/>
        </w:rPr>
        <w:t xml:space="preserve"> </w:t>
      </w:r>
      <w:r w:rsidR="002E6B0A" w:rsidRPr="00E03828">
        <w:rPr>
          <w:rFonts w:ascii="Calibri" w:hAnsi="Calibri" w:cs="Calibri"/>
          <w:bCs/>
          <w:sz w:val="22"/>
          <w:szCs w:val="22"/>
          <w:lang w:val="fr-FR"/>
        </w:rPr>
        <w:t xml:space="preserve">le </w:t>
      </w:r>
      <w:r w:rsidRPr="00E03828">
        <w:rPr>
          <w:rFonts w:ascii="Calibri" w:hAnsi="Calibri" w:cs="Calibri"/>
          <w:bCs/>
          <w:sz w:val="22"/>
          <w:szCs w:val="22"/>
          <w:lang w:val="fr-FR"/>
        </w:rPr>
        <w:t xml:space="preserve">Secrétariat </w:t>
      </w:r>
      <w:r w:rsidR="00995121" w:rsidRPr="00E03828">
        <w:rPr>
          <w:rFonts w:ascii="Calibri" w:hAnsi="Calibri" w:cs="Calibri"/>
          <w:bCs/>
          <w:sz w:val="22"/>
          <w:szCs w:val="22"/>
          <w:lang w:val="fr-FR"/>
        </w:rPr>
        <w:t xml:space="preserve">(1,2 million de CHF) </w:t>
      </w:r>
      <w:r w:rsidR="002E6B0A" w:rsidRPr="00E03828">
        <w:rPr>
          <w:rFonts w:ascii="Calibri" w:hAnsi="Calibri" w:cs="Calibri"/>
          <w:bCs/>
          <w:sz w:val="22"/>
          <w:szCs w:val="22"/>
          <w:lang w:val="fr-FR"/>
        </w:rPr>
        <w:t>s’est révélé bien inférieur</w:t>
      </w:r>
      <w:r w:rsidR="00995121" w:rsidRPr="00E03828">
        <w:rPr>
          <w:rFonts w:ascii="Calibri" w:hAnsi="Calibri" w:cs="Calibri"/>
          <w:bCs/>
          <w:sz w:val="22"/>
          <w:szCs w:val="22"/>
          <w:lang w:val="fr-FR"/>
        </w:rPr>
        <w:t>, comme indiqué à l’appendice A de l’Annexe 1.</w:t>
      </w:r>
    </w:p>
    <w:p w:rsidR="004D335B" w:rsidRPr="00E03828" w:rsidRDefault="004D335B" w:rsidP="004D335B">
      <w:pPr>
        <w:ind w:left="540"/>
        <w:rPr>
          <w:rFonts w:ascii="Calibri" w:hAnsi="Calibri"/>
          <w:b/>
          <w:sz w:val="22"/>
          <w:lang w:val="fr-FR"/>
        </w:rPr>
      </w:pPr>
    </w:p>
    <w:p w:rsidR="00D22F60" w:rsidRPr="00E03828" w:rsidRDefault="001D09BF" w:rsidP="00842399">
      <w:pPr>
        <w:ind w:left="540" w:hanging="540"/>
        <w:rPr>
          <w:rFonts w:ascii="Calibri" w:hAnsi="Calibri"/>
          <w:b/>
          <w:sz w:val="22"/>
          <w:lang w:val="fr-FR"/>
        </w:rPr>
      </w:pPr>
      <w:r w:rsidRPr="00E03828">
        <w:rPr>
          <w:rFonts w:ascii="Calibri" w:hAnsi="Calibri"/>
          <w:b/>
          <w:sz w:val="22"/>
          <w:lang w:val="fr-FR"/>
        </w:rPr>
        <w:t xml:space="preserve">Bilan </w:t>
      </w:r>
      <w:r w:rsidR="000E650E" w:rsidRPr="00E03828">
        <w:rPr>
          <w:rFonts w:ascii="Calibri" w:hAnsi="Calibri"/>
          <w:b/>
          <w:sz w:val="22"/>
          <w:lang w:val="fr-FR"/>
        </w:rPr>
        <w:t>201</w:t>
      </w:r>
      <w:r w:rsidR="00314CBB" w:rsidRPr="00E03828">
        <w:rPr>
          <w:rFonts w:ascii="Calibri" w:hAnsi="Calibri"/>
          <w:b/>
          <w:sz w:val="22"/>
          <w:lang w:val="fr-FR"/>
        </w:rPr>
        <w:t>5</w:t>
      </w:r>
    </w:p>
    <w:p w:rsidR="000E650E" w:rsidRPr="00E03828" w:rsidRDefault="000E650E" w:rsidP="00842399">
      <w:pPr>
        <w:ind w:left="426" w:hanging="426"/>
        <w:rPr>
          <w:rFonts w:ascii="Calibri" w:hAnsi="Calibri"/>
          <w:sz w:val="22"/>
          <w:lang w:val="fr-FR"/>
        </w:rPr>
      </w:pPr>
    </w:p>
    <w:p w:rsidR="00314CBB" w:rsidRPr="00E03828" w:rsidRDefault="001D09BF" w:rsidP="00C04C0D">
      <w:pPr>
        <w:pStyle w:val="ListParagraph"/>
        <w:numPr>
          <w:ilvl w:val="0"/>
          <w:numId w:val="2"/>
        </w:numPr>
        <w:ind w:left="426" w:hanging="426"/>
        <w:rPr>
          <w:rFonts w:ascii="Calibri" w:hAnsi="Calibri" w:cs="Calibri"/>
          <w:bCs/>
          <w:sz w:val="22"/>
          <w:szCs w:val="22"/>
          <w:lang w:val="fr-FR"/>
        </w:rPr>
      </w:pPr>
      <w:r w:rsidRPr="00E03828">
        <w:rPr>
          <w:rFonts w:ascii="Calibri" w:hAnsi="Calibri" w:cs="Calibri"/>
          <w:bCs/>
          <w:sz w:val="22"/>
          <w:szCs w:val="22"/>
          <w:lang w:val="fr-FR"/>
        </w:rPr>
        <w:t>Le bilan présenté à l’annexe 1 a été établi au 31 décembre 2015. Le Secré</w:t>
      </w:r>
      <w:r w:rsidR="00314CBB" w:rsidRPr="00E03828">
        <w:rPr>
          <w:rFonts w:ascii="Calibri" w:hAnsi="Calibri" w:cs="Calibri"/>
          <w:bCs/>
          <w:sz w:val="22"/>
          <w:szCs w:val="22"/>
          <w:lang w:val="fr-FR"/>
        </w:rPr>
        <w:t>tariat</w:t>
      </w:r>
      <w:r w:rsidR="00FE7C91" w:rsidRPr="00E03828">
        <w:rPr>
          <w:rFonts w:ascii="Calibri" w:hAnsi="Calibri" w:cs="Calibri"/>
          <w:bCs/>
          <w:sz w:val="22"/>
          <w:szCs w:val="22"/>
          <w:lang w:val="fr-FR"/>
        </w:rPr>
        <w:t xml:space="preserve"> affichait</w:t>
      </w:r>
      <w:r w:rsidR="00802CA5" w:rsidRPr="00E03828">
        <w:rPr>
          <w:rFonts w:ascii="Calibri" w:hAnsi="Calibri" w:cs="Calibri"/>
          <w:bCs/>
          <w:sz w:val="22"/>
          <w:szCs w:val="22"/>
          <w:lang w:val="fr-FR"/>
        </w:rPr>
        <w:t xml:space="preserve"> un</w:t>
      </w:r>
      <w:r w:rsidRPr="00E03828">
        <w:rPr>
          <w:rFonts w:ascii="Calibri" w:hAnsi="Calibri" w:cs="Calibri"/>
          <w:bCs/>
          <w:sz w:val="22"/>
          <w:szCs w:val="22"/>
          <w:lang w:val="fr-FR"/>
        </w:rPr>
        <w:t xml:space="preserve"> solde de trésorerie </w:t>
      </w:r>
      <w:r w:rsidR="00892F6B" w:rsidRPr="00E03828">
        <w:rPr>
          <w:rFonts w:ascii="Calibri" w:hAnsi="Calibri" w:cs="Calibri"/>
          <w:bCs/>
          <w:sz w:val="22"/>
          <w:szCs w:val="22"/>
          <w:lang w:val="fr-FR"/>
        </w:rPr>
        <w:t>de</w:t>
      </w:r>
      <w:r w:rsidRPr="00E03828">
        <w:rPr>
          <w:rFonts w:ascii="Calibri" w:hAnsi="Calibri" w:cs="Calibri"/>
          <w:bCs/>
          <w:sz w:val="22"/>
          <w:szCs w:val="22"/>
          <w:lang w:val="fr-FR"/>
        </w:rPr>
        <w:t xml:space="preserve"> 4 </w:t>
      </w:r>
      <w:r w:rsidR="00FE7C91" w:rsidRPr="00E03828">
        <w:rPr>
          <w:rFonts w:ascii="Calibri" w:hAnsi="Calibri" w:cs="Calibri"/>
          <w:bCs/>
          <w:sz w:val="22"/>
          <w:szCs w:val="22"/>
          <w:lang w:val="fr-FR"/>
        </w:rPr>
        <w:t>65</w:t>
      </w:r>
      <w:r w:rsidRPr="00E03828">
        <w:rPr>
          <w:rFonts w:ascii="Calibri" w:hAnsi="Calibri" w:cs="Calibri"/>
          <w:bCs/>
          <w:sz w:val="22"/>
          <w:szCs w:val="22"/>
          <w:lang w:val="fr-FR"/>
        </w:rPr>
        <w:t xml:space="preserve">2 638 CHF </w:t>
      </w:r>
      <w:r w:rsidR="000F38A6" w:rsidRPr="00E03828">
        <w:rPr>
          <w:rFonts w:ascii="Calibri" w:hAnsi="Calibri" w:cs="Calibri"/>
          <w:bCs/>
          <w:sz w:val="22"/>
          <w:szCs w:val="22"/>
          <w:lang w:val="fr-FR"/>
        </w:rPr>
        <w:t>ventilé en</w:t>
      </w:r>
      <w:r w:rsidRPr="00E03828">
        <w:rPr>
          <w:rFonts w:ascii="Calibri" w:hAnsi="Calibri" w:cs="Calibri"/>
          <w:bCs/>
          <w:sz w:val="22"/>
          <w:szCs w:val="22"/>
          <w:lang w:val="fr-FR"/>
        </w:rPr>
        <w:t xml:space="preserve"> devises </w:t>
      </w:r>
      <w:r w:rsidR="000F38A6" w:rsidRPr="00E03828">
        <w:rPr>
          <w:rFonts w:ascii="Calibri" w:hAnsi="Calibri" w:cs="Calibri"/>
          <w:bCs/>
          <w:sz w:val="22"/>
          <w:szCs w:val="22"/>
          <w:lang w:val="fr-FR"/>
        </w:rPr>
        <w:t>de la manière suivante</w:t>
      </w:r>
      <w:r w:rsidRPr="00E03828">
        <w:rPr>
          <w:rFonts w:ascii="Calibri" w:hAnsi="Calibri" w:cs="Calibri"/>
          <w:bCs/>
          <w:sz w:val="22"/>
          <w:szCs w:val="22"/>
          <w:lang w:val="fr-FR"/>
        </w:rPr>
        <w:t xml:space="preserve"> : </w:t>
      </w:r>
      <w:r w:rsidR="00892F6B" w:rsidRPr="00E03828">
        <w:rPr>
          <w:rFonts w:ascii="Calibri" w:hAnsi="Calibri" w:cs="Calibri"/>
          <w:bCs/>
          <w:sz w:val="22"/>
          <w:szCs w:val="22"/>
          <w:lang w:val="fr-FR"/>
        </w:rPr>
        <w:t>678 </w:t>
      </w:r>
      <w:r w:rsidR="00FE7C91" w:rsidRPr="00E03828">
        <w:rPr>
          <w:rFonts w:ascii="Calibri" w:hAnsi="Calibri" w:cs="Calibri"/>
          <w:bCs/>
          <w:sz w:val="22"/>
          <w:szCs w:val="22"/>
          <w:lang w:val="fr-FR"/>
        </w:rPr>
        <w:t>54</w:t>
      </w:r>
      <w:r w:rsidR="00314CBB" w:rsidRPr="00E03828">
        <w:rPr>
          <w:rFonts w:ascii="Calibri" w:hAnsi="Calibri" w:cs="Calibri"/>
          <w:bCs/>
          <w:sz w:val="22"/>
          <w:szCs w:val="22"/>
          <w:lang w:val="fr-FR"/>
        </w:rPr>
        <w:t>2</w:t>
      </w:r>
      <w:r w:rsidR="00892F6B" w:rsidRPr="00E03828">
        <w:rPr>
          <w:rFonts w:ascii="Calibri" w:hAnsi="Calibri" w:cs="Calibri"/>
          <w:bCs/>
          <w:sz w:val="22"/>
          <w:szCs w:val="22"/>
          <w:lang w:val="fr-FR"/>
        </w:rPr>
        <w:t xml:space="preserve"> CHF, </w:t>
      </w:r>
      <w:r w:rsidR="00FE7C91" w:rsidRPr="00E03828">
        <w:rPr>
          <w:rFonts w:ascii="Calibri" w:hAnsi="Calibri" w:cs="Calibri"/>
          <w:bCs/>
          <w:sz w:val="22"/>
          <w:szCs w:val="22"/>
          <w:lang w:val="fr-FR"/>
        </w:rPr>
        <w:t>828 237</w:t>
      </w:r>
      <w:r w:rsidR="00892F6B" w:rsidRPr="00E03828">
        <w:rPr>
          <w:rFonts w:ascii="Calibri" w:hAnsi="Calibri" w:cs="Calibri"/>
          <w:bCs/>
          <w:sz w:val="22"/>
          <w:szCs w:val="22"/>
          <w:lang w:val="fr-FR"/>
        </w:rPr>
        <w:t> EUR</w:t>
      </w:r>
      <w:r w:rsidR="00314CBB" w:rsidRPr="00E03828">
        <w:rPr>
          <w:rFonts w:ascii="Calibri" w:hAnsi="Calibri" w:cs="Calibri"/>
          <w:bCs/>
          <w:sz w:val="22"/>
          <w:szCs w:val="22"/>
          <w:lang w:val="fr-FR"/>
        </w:rPr>
        <w:t xml:space="preserve"> (</w:t>
      </w:r>
      <w:r w:rsidR="00FE7C91" w:rsidRPr="00E03828">
        <w:rPr>
          <w:rFonts w:ascii="Calibri" w:hAnsi="Calibri" w:cs="Calibri"/>
          <w:bCs/>
          <w:sz w:val="22"/>
          <w:szCs w:val="22"/>
          <w:lang w:val="fr-FR"/>
        </w:rPr>
        <w:t>équivalant à 896 657 </w:t>
      </w:r>
      <w:r w:rsidR="00892F6B" w:rsidRPr="00E03828">
        <w:rPr>
          <w:rFonts w:ascii="Calibri" w:hAnsi="Calibri" w:cs="Calibri"/>
          <w:bCs/>
          <w:sz w:val="22"/>
          <w:szCs w:val="22"/>
          <w:lang w:val="fr-FR"/>
        </w:rPr>
        <w:t>CHF), 2 600 </w:t>
      </w:r>
      <w:r w:rsidR="00314CBB" w:rsidRPr="00E03828">
        <w:rPr>
          <w:rFonts w:ascii="Calibri" w:hAnsi="Calibri" w:cs="Calibri"/>
          <w:bCs/>
          <w:sz w:val="22"/>
          <w:szCs w:val="22"/>
          <w:lang w:val="fr-FR"/>
        </w:rPr>
        <w:t>022</w:t>
      </w:r>
      <w:r w:rsidR="00892F6B" w:rsidRPr="00E03828">
        <w:rPr>
          <w:rFonts w:ascii="Calibri" w:hAnsi="Calibri" w:cs="Calibri"/>
          <w:bCs/>
          <w:sz w:val="22"/>
          <w:szCs w:val="22"/>
          <w:lang w:val="fr-FR"/>
        </w:rPr>
        <w:t> USD</w:t>
      </w:r>
      <w:r w:rsidR="00314CBB" w:rsidRPr="00E03828">
        <w:rPr>
          <w:rFonts w:ascii="Calibri" w:hAnsi="Calibri" w:cs="Calibri"/>
          <w:bCs/>
          <w:sz w:val="22"/>
          <w:szCs w:val="22"/>
          <w:lang w:val="fr-FR"/>
        </w:rPr>
        <w:t xml:space="preserve"> (</w:t>
      </w:r>
      <w:r w:rsidR="00892F6B" w:rsidRPr="00E03828">
        <w:rPr>
          <w:rFonts w:ascii="Calibri" w:hAnsi="Calibri" w:cs="Calibri"/>
          <w:bCs/>
          <w:sz w:val="22"/>
          <w:szCs w:val="22"/>
          <w:lang w:val="fr-FR"/>
        </w:rPr>
        <w:t>équivalant à 2</w:t>
      </w:r>
      <w:r w:rsidR="00FE7C91" w:rsidRPr="00E03828">
        <w:rPr>
          <w:rFonts w:ascii="Calibri" w:hAnsi="Calibri" w:cs="Calibri"/>
          <w:bCs/>
          <w:sz w:val="22"/>
          <w:szCs w:val="22"/>
          <w:lang w:val="fr-FR"/>
        </w:rPr>
        <w:t xml:space="preserve"> 576 115 </w:t>
      </w:r>
      <w:r w:rsidR="00892F6B" w:rsidRPr="00E03828">
        <w:rPr>
          <w:rFonts w:ascii="Calibri" w:hAnsi="Calibri" w:cs="Calibri"/>
          <w:bCs/>
          <w:sz w:val="22"/>
          <w:szCs w:val="22"/>
          <w:lang w:val="fr-FR"/>
        </w:rPr>
        <w:t>CHF) et 4 428 </w:t>
      </w:r>
      <w:r w:rsidR="00314CBB" w:rsidRPr="00E03828">
        <w:rPr>
          <w:rFonts w:ascii="Calibri" w:hAnsi="Calibri" w:cs="Calibri"/>
          <w:bCs/>
          <w:sz w:val="22"/>
          <w:szCs w:val="22"/>
          <w:lang w:val="fr-FR"/>
        </w:rPr>
        <w:t xml:space="preserve">424 </w:t>
      </w:r>
      <w:r w:rsidR="00892F6B" w:rsidRPr="00E03828">
        <w:rPr>
          <w:rFonts w:ascii="Calibri" w:hAnsi="Calibri" w:cs="Calibri"/>
          <w:bCs/>
          <w:sz w:val="22"/>
          <w:szCs w:val="22"/>
          <w:lang w:val="fr-FR"/>
        </w:rPr>
        <w:t xml:space="preserve">NOK </w:t>
      </w:r>
      <w:r w:rsidR="00314CBB" w:rsidRPr="00E03828">
        <w:rPr>
          <w:rFonts w:ascii="Calibri" w:hAnsi="Calibri" w:cs="Calibri"/>
          <w:bCs/>
          <w:sz w:val="22"/>
          <w:szCs w:val="22"/>
          <w:lang w:val="fr-FR"/>
        </w:rPr>
        <w:t>(</w:t>
      </w:r>
      <w:r w:rsidR="00892F6B" w:rsidRPr="00E03828">
        <w:rPr>
          <w:rFonts w:ascii="Calibri" w:hAnsi="Calibri" w:cs="Calibri"/>
          <w:bCs/>
          <w:sz w:val="22"/>
          <w:szCs w:val="22"/>
          <w:lang w:val="fr-FR"/>
        </w:rPr>
        <w:t xml:space="preserve">équivalant à </w:t>
      </w:r>
      <w:r w:rsidR="00FE7C91" w:rsidRPr="00E03828">
        <w:rPr>
          <w:rFonts w:ascii="Calibri" w:hAnsi="Calibri" w:cs="Calibri"/>
          <w:bCs/>
          <w:sz w:val="22"/>
          <w:szCs w:val="22"/>
          <w:lang w:val="fr-FR"/>
        </w:rPr>
        <w:t>501 052</w:t>
      </w:r>
      <w:r w:rsidR="00892F6B" w:rsidRPr="00E03828">
        <w:rPr>
          <w:rFonts w:ascii="Calibri" w:hAnsi="Calibri" w:cs="Calibri"/>
          <w:bCs/>
          <w:sz w:val="22"/>
          <w:szCs w:val="22"/>
          <w:lang w:val="fr-FR"/>
        </w:rPr>
        <w:t> CHF</w:t>
      </w:r>
      <w:r w:rsidR="00314CBB" w:rsidRPr="00E03828">
        <w:rPr>
          <w:rFonts w:ascii="Calibri" w:hAnsi="Calibri" w:cs="Calibri"/>
          <w:bCs/>
          <w:sz w:val="22"/>
          <w:szCs w:val="22"/>
          <w:lang w:val="fr-FR"/>
        </w:rPr>
        <w:t xml:space="preserve">). </w:t>
      </w:r>
      <w:r w:rsidR="00892F6B" w:rsidRPr="00E03828">
        <w:rPr>
          <w:rFonts w:ascii="Calibri" w:hAnsi="Calibri" w:cs="Calibri"/>
          <w:bCs/>
          <w:sz w:val="22"/>
          <w:szCs w:val="22"/>
          <w:lang w:val="fr-FR"/>
        </w:rPr>
        <w:t>E</w:t>
      </w:r>
      <w:r w:rsidR="00A727D8" w:rsidRPr="00E03828">
        <w:rPr>
          <w:rFonts w:ascii="Calibri" w:hAnsi="Calibri" w:cs="Calibri"/>
          <w:bCs/>
          <w:sz w:val="22"/>
          <w:szCs w:val="22"/>
          <w:lang w:val="fr-FR"/>
        </w:rPr>
        <w:t xml:space="preserve">n </w:t>
      </w:r>
      <w:r w:rsidR="00892F6B" w:rsidRPr="00E03828">
        <w:rPr>
          <w:rFonts w:ascii="Calibri" w:hAnsi="Calibri" w:cs="Calibri"/>
          <w:bCs/>
          <w:sz w:val="22"/>
          <w:szCs w:val="22"/>
          <w:lang w:val="fr-FR"/>
        </w:rPr>
        <w:t xml:space="preserve">janvier 2015, le franc suisse s’est fortement apprécié par rapport à la plupart des </w:t>
      </w:r>
      <w:r w:rsidR="000F38A6" w:rsidRPr="00E03828">
        <w:rPr>
          <w:rFonts w:ascii="Calibri" w:hAnsi="Calibri" w:cs="Calibri"/>
          <w:bCs/>
          <w:sz w:val="22"/>
          <w:szCs w:val="22"/>
          <w:lang w:val="fr-FR"/>
        </w:rPr>
        <w:t>principales devises</w:t>
      </w:r>
      <w:r w:rsidR="00B52195" w:rsidRPr="00E03828">
        <w:rPr>
          <w:rFonts w:ascii="Calibri" w:hAnsi="Calibri" w:cs="Calibri"/>
          <w:bCs/>
          <w:sz w:val="22"/>
          <w:szCs w:val="22"/>
          <w:lang w:val="fr-FR"/>
        </w:rPr>
        <w:t>,</w:t>
      </w:r>
      <w:r w:rsidR="000F38A6" w:rsidRPr="00E03828">
        <w:rPr>
          <w:rFonts w:ascii="Calibri" w:hAnsi="Calibri" w:cs="Calibri"/>
          <w:bCs/>
          <w:sz w:val="22"/>
          <w:szCs w:val="22"/>
          <w:lang w:val="fr-FR"/>
        </w:rPr>
        <w:t xml:space="preserve"> ce qui s’</w:t>
      </w:r>
      <w:r w:rsidR="00B52195" w:rsidRPr="00E03828">
        <w:rPr>
          <w:rFonts w:ascii="Calibri" w:hAnsi="Calibri" w:cs="Calibri"/>
          <w:bCs/>
          <w:sz w:val="22"/>
          <w:szCs w:val="22"/>
          <w:lang w:val="fr-FR"/>
        </w:rPr>
        <w:t>est traduit (</w:t>
      </w:r>
      <w:r w:rsidR="000F38A6" w:rsidRPr="00E03828">
        <w:rPr>
          <w:rFonts w:ascii="Calibri" w:hAnsi="Calibri" w:cs="Calibri"/>
          <w:bCs/>
          <w:sz w:val="22"/>
          <w:szCs w:val="22"/>
          <w:lang w:val="fr-FR"/>
        </w:rPr>
        <w:t>compte tenu des avoirs en devises étrangères</w:t>
      </w:r>
      <w:r w:rsidR="00B52195" w:rsidRPr="00E03828">
        <w:rPr>
          <w:rFonts w:ascii="Calibri" w:hAnsi="Calibri" w:cs="Calibri"/>
          <w:bCs/>
          <w:sz w:val="22"/>
          <w:szCs w:val="22"/>
          <w:lang w:val="fr-FR"/>
        </w:rPr>
        <w:t>)</w:t>
      </w:r>
      <w:r w:rsidR="000F38A6" w:rsidRPr="00E03828">
        <w:rPr>
          <w:rFonts w:ascii="Calibri" w:hAnsi="Calibri" w:cs="Calibri"/>
          <w:bCs/>
          <w:sz w:val="22"/>
          <w:szCs w:val="22"/>
          <w:lang w:val="fr-FR"/>
        </w:rPr>
        <w:t xml:space="preserve"> par d</w:t>
      </w:r>
      <w:r w:rsidR="00802CA5" w:rsidRPr="00E03828">
        <w:rPr>
          <w:rFonts w:ascii="Calibri" w:hAnsi="Calibri" w:cs="Calibri"/>
          <w:bCs/>
          <w:sz w:val="22"/>
          <w:szCs w:val="22"/>
          <w:lang w:val="fr-FR"/>
        </w:rPr>
        <w:t>es pertes de change</w:t>
      </w:r>
      <w:r w:rsidR="000F38A6" w:rsidRPr="00E03828">
        <w:rPr>
          <w:rFonts w:ascii="Calibri" w:hAnsi="Calibri" w:cs="Calibri"/>
          <w:bCs/>
          <w:sz w:val="22"/>
          <w:szCs w:val="22"/>
          <w:lang w:val="fr-FR"/>
        </w:rPr>
        <w:t xml:space="preserve"> substantielles</w:t>
      </w:r>
      <w:r w:rsidR="00802CA5" w:rsidRPr="00E03828">
        <w:rPr>
          <w:rFonts w:ascii="Calibri" w:hAnsi="Calibri" w:cs="Calibri"/>
          <w:bCs/>
          <w:sz w:val="22"/>
          <w:szCs w:val="22"/>
          <w:lang w:val="fr-FR"/>
        </w:rPr>
        <w:t xml:space="preserve"> </w:t>
      </w:r>
      <w:r w:rsidR="000F38A6" w:rsidRPr="00E03828">
        <w:rPr>
          <w:rFonts w:ascii="Calibri" w:hAnsi="Calibri" w:cs="Calibri"/>
          <w:bCs/>
          <w:sz w:val="22"/>
          <w:szCs w:val="22"/>
          <w:lang w:val="fr-FR"/>
        </w:rPr>
        <w:t>d’un mont</w:t>
      </w:r>
      <w:r w:rsidR="00FE7C91" w:rsidRPr="00E03828">
        <w:rPr>
          <w:rFonts w:ascii="Calibri" w:hAnsi="Calibri" w:cs="Calibri"/>
          <w:bCs/>
          <w:sz w:val="22"/>
          <w:szCs w:val="22"/>
          <w:lang w:val="fr-FR"/>
        </w:rPr>
        <w:t>ant de 261</w:t>
      </w:r>
      <w:r w:rsidR="000F38A6" w:rsidRPr="00E03828">
        <w:rPr>
          <w:rFonts w:ascii="Calibri" w:hAnsi="Calibri" w:cs="Calibri"/>
          <w:bCs/>
          <w:sz w:val="22"/>
          <w:szCs w:val="22"/>
          <w:lang w:val="fr-FR"/>
        </w:rPr>
        <w:t> 000 CHF.</w:t>
      </w:r>
    </w:p>
    <w:p w:rsidR="00FE7C91" w:rsidRPr="00E03828" w:rsidRDefault="00FE7C91" w:rsidP="00FE7C91">
      <w:pPr>
        <w:rPr>
          <w:rFonts w:ascii="Calibri" w:hAnsi="Calibri" w:cs="Calibri"/>
          <w:bCs/>
          <w:sz w:val="22"/>
          <w:szCs w:val="22"/>
          <w:lang w:val="fr-FR"/>
        </w:rPr>
      </w:pPr>
    </w:p>
    <w:p w:rsidR="00A727D8" w:rsidRPr="00E03828" w:rsidRDefault="00607C8A" w:rsidP="00C04C0D">
      <w:pPr>
        <w:pStyle w:val="ListParagraph"/>
        <w:numPr>
          <w:ilvl w:val="0"/>
          <w:numId w:val="2"/>
        </w:numPr>
        <w:ind w:left="426" w:hanging="426"/>
        <w:rPr>
          <w:rFonts w:ascii="Calibri" w:hAnsi="Calibri"/>
          <w:sz w:val="22"/>
          <w:lang w:val="fr-FR"/>
        </w:rPr>
      </w:pPr>
      <w:r w:rsidRPr="00E03828">
        <w:rPr>
          <w:rFonts w:ascii="Calibri" w:hAnsi="Calibri" w:cs="Calibri"/>
          <w:bCs/>
          <w:sz w:val="22"/>
          <w:szCs w:val="22"/>
          <w:lang w:val="fr-FR"/>
        </w:rPr>
        <w:t xml:space="preserve">Une fois réunis, le solde de trésorerie et les comptes à recevoir </w:t>
      </w:r>
      <w:r w:rsidR="00FE7C91" w:rsidRPr="00E03828">
        <w:rPr>
          <w:rFonts w:ascii="Calibri" w:hAnsi="Calibri" w:cs="Calibri"/>
          <w:bCs/>
          <w:sz w:val="22"/>
          <w:szCs w:val="22"/>
          <w:lang w:val="fr-FR"/>
        </w:rPr>
        <w:t>étaient</w:t>
      </w:r>
      <w:r w:rsidRPr="00E03828">
        <w:rPr>
          <w:rFonts w:ascii="Calibri" w:hAnsi="Calibri" w:cs="Calibri"/>
          <w:bCs/>
          <w:sz w:val="22"/>
          <w:szCs w:val="22"/>
          <w:lang w:val="fr-FR"/>
        </w:rPr>
        <w:t xml:space="preserve"> d’un montant suffisant pour couvrir l’ensemble des obligations (passif) du Secrétariat à la fin de l’exercice 2015</w:t>
      </w:r>
      <w:r w:rsidR="00A727D8" w:rsidRPr="00E03828">
        <w:rPr>
          <w:rFonts w:ascii="Calibri" w:hAnsi="Calibri" w:cs="Calibri"/>
          <w:bCs/>
          <w:sz w:val="22"/>
          <w:szCs w:val="22"/>
          <w:lang w:val="fr-FR"/>
        </w:rPr>
        <w:t xml:space="preserve">. </w:t>
      </w:r>
      <w:r w:rsidR="00B52195" w:rsidRPr="00E03828">
        <w:rPr>
          <w:rFonts w:ascii="Calibri" w:hAnsi="Calibri" w:cs="Calibri"/>
          <w:bCs/>
          <w:sz w:val="22"/>
          <w:szCs w:val="22"/>
          <w:lang w:val="fr-FR"/>
        </w:rPr>
        <w:t>Le</w:t>
      </w:r>
      <w:r w:rsidRPr="00E03828">
        <w:rPr>
          <w:rFonts w:ascii="Calibri" w:hAnsi="Calibri" w:cs="Calibri"/>
          <w:bCs/>
          <w:sz w:val="22"/>
          <w:szCs w:val="22"/>
          <w:lang w:val="fr-FR"/>
        </w:rPr>
        <w:t xml:space="preserve"> non paiement des arriérés de contributions ne cessant de s’accentuer, le Secrétariat suivra attentivement sa situation de trésorerie </w:t>
      </w:r>
      <w:r w:rsidR="00A876D0" w:rsidRPr="00E03828">
        <w:rPr>
          <w:rFonts w:ascii="Calibri" w:hAnsi="Calibri" w:cs="Calibri"/>
          <w:bCs/>
          <w:sz w:val="22"/>
          <w:szCs w:val="22"/>
          <w:lang w:val="fr-FR"/>
        </w:rPr>
        <w:t>afin de s’assurer qu’il pourra poursuivre son activité.</w:t>
      </w:r>
    </w:p>
    <w:p w:rsidR="00A727D8" w:rsidRPr="00E03828" w:rsidRDefault="00A727D8" w:rsidP="00C04C0D">
      <w:pPr>
        <w:pStyle w:val="ListParagraph"/>
        <w:ind w:left="426"/>
        <w:rPr>
          <w:rFonts w:ascii="Calibri" w:hAnsi="Calibri"/>
          <w:sz w:val="22"/>
          <w:lang w:val="fr-FR"/>
        </w:rPr>
      </w:pPr>
    </w:p>
    <w:p w:rsidR="00A8357F" w:rsidRPr="00E03828" w:rsidRDefault="00A876D0" w:rsidP="00C04C0D">
      <w:pPr>
        <w:pStyle w:val="ListParagraph"/>
        <w:numPr>
          <w:ilvl w:val="0"/>
          <w:numId w:val="2"/>
        </w:numPr>
        <w:ind w:left="426" w:hanging="426"/>
        <w:rPr>
          <w:rFonts w:ascii="Calibri" w:hAnsi="Calibri"/>
          <w:sz w:val="22"/>
          <w:lang w:val="fr-FR"/>
        </w:rPr>
      </w:pPr>
      <w:r w:rsidRPr="00E03828">
        <w:rPr>
          <w:rFonts w:ascii="Calibri" w:hAnsi="Calibri"/>
          <w:sz w:val="22"/>
          <w:lang w:val="fr-FR"/>
        </w:rPr>
        <w:t xml:space="preserve">Pour de plus amples informations sur les propositions relatives au non paiement des contributions, voir le document </w:t>
      </w:r>
      <w:r w:rsidR="00A8357F" w:rsidRPr="00E03828">
        <w:rPr>
          <w:rFonts w:ascii="Calibri" w:hAnsi="Calibri"/>
          <w:sz w:val="22"/>
          <w:lang w:val="fr-FR"/>
        </w:rPr>
        <w:t>DOC SC</w:t>
      </w:r>
      <w:r w:rsidR="0002611D" w:rsidRPr="00E03828">
        <w:rPr>
          <w:rFonts w:ascii="Calibri" w:hAnsi="Calibri"/>
          <w:sz w:val="22"/>
          <w:lang w:val="fr-FR"/>
        </w:rPr>
        <w:t>52</w:t>
      </w:r>
      <w:r w:rsidR="00A8357F" w:rsidRPr="00E03828">
        <w:rPr>
          <w:rFonts w:ascii="Calibri" w:hAnsi="Calibri"/>
          <w:sz w:val="22"/>
          <w:lang w:val="fr-FR"/>
        </w:rPr>
        <w:t>-</w:t>
      </w:r>
      <w:r w:rsidR="0002611D" w:rsidRPr="00E03828">
        <w:rPr>
          <w:rFonts w:ascii="Calibri" w:hAnsi="Calibri"/>
          <w:sz w:val="22"/>
          <w:lang w:val="fr-FR"/>
        </w:rPr>
        <w:t>19</w:t>
      </w:r>
      <w:r w:rsidR="00A8357F" w:rsidRPr="00E03828">
        <w:rPr>
          <w:rFonts w:ascii="Calibri" w:hAnsi="Calibri"/>
          <w:sz w:val="22"/>
          <w:lang w:val="fr-FR"/>
        </w:rPr>
        <w:t>.</w:t>
      </w:r>
    </w:p>
    <w:p w:rsidR="00BC59B6" w:rsidRPr="00E03828" w:rsidRDefault="00BC59B6" w:rsidP="00BC59B6">
      <w:pPr>
        <w:rPr>
          <w:rFonts w:ascii="Calibri" w:hAnsi="Calibri" w:cs="Calibri"/>
          <w:bCs/>
          <w:sz w:val="22"/>
          <w:szCs w:val="22"/>
          <w:lang w:val="fr-FR"/>
        </w:rPr>
      </w:pPr>
    </w:p>
    <w:p w:rsidR="005A2AF9" w:rsidRPr="00E03828" w:rsidRDefault="005A2AF9" w:rsidP="00BC59B6">
      <w:pPr>
        <w:rPr>
          <w:rFonts w:ascii="Calibri" w:hAnsi="Calibri" w:cs="Calibri"/>
          <w:bCs/>
          <w:sz w:val="22"/>
          <w:szCs w:val="22"/>
          <w:lang w:val="fr-FR"/>
        </w:rPr>
      </w:pPr>
    </w:p>
    <w:p w:rsidR="0044433D" w:rsidRPr="00E03828" w:rsidRDefault="0044433D" w:rsidP="00842399">
      <w:pPr>
        <w:ind w:left="567" w:hanging="567"/>
        <w:rPr>
          <w:rFonts w:ascii="Calibri" w:hAnsi="Calibri" w:cs="Calibri"/>
          <w:b/>
          <w:sz w:val="22"/>
          <w:szCs w:val="22"/>
          <w:lang w:val="fr-FR"/>
        </w:rPr>
      </w:pPr>
      <w:r w:rsidRPr="00E03828">
        <w:rPr>
          <w:rFonts w:ascii="Calibri" w:hAnsi="Calibri" w:cs="Calibri"/>
          <w:b/>
          <w:sz w:val="22"/>
          <w:szCs w:val="22"/>
          <w:lang w:val="fr-FR"/>
        </w:rPr>
        <w:t>Annexes</w:t>
      </w:r>
    </w:p>
    <w:p w:rsidR="00A7688B" w:rsidRPr="00E03828" w:rsidRDefault="00A7688B" w:rsidP="005A2AF9">
      <w:pPr>
        <w:rPr>
          <w:rFonts w:ascii="Calibri" w:hAnsi="Calibri" w:cs="Calibri"/>
          <w:b/>
          <w:sz w:val="22"/>
          <w:szCs w:val="22"/>
          <w:lang w:val="fr-FR"/>
        </w:rPr>
      </w:pPr>
    </w:p>
    <w:p w:rsidR="008532A7" w:rsidRPr="00E03828" w:rsidRDefault="00FE7C91" w:rsidP="00550BE1">
      <w:pPr>
        <w:pStyle w:val="ListParagraph"/>
        <w:numPr>
          <w:ilvl w:val="0"/>
          <w:numId w:val="3"/>
        </w:numPr>
        <w:rPr>
          <w:rFonts w:ascii="Calibri" w:hAnsi="Calibri" w:cs="Calibri"/>
          <w:sz w:val="22"/>
          <w:szCs w:val="22"/>
          <w:lang w:val="fr-FR"/>
        </w:rPr>
      </w:pPr>
      <w:r w:rsidRPr="00E03828">
        <w:rPr>
          <w:rFonts w:ascii="Calibri" w:hAnsi="Calibri" w:cs="Calibri"/>
          <w:sz w:val="22"/>
          <w:szCs w:val="22"/>
          <w:lang w:val="fr-FR"/>
        </w:rPr>
        <w:t>États financiers vérifiés</w:t>
      </w:r>
      <w:r w:rsidR="00A876D0" w:rsidRPr="00E03828">
        <w:rPr>
          <w:rFonts w:ascii="Calibri" w:hAnsi="Calibri" w:cs="Calibri"/>
          <w:sz w:val="22"/>
          <w:szCs w:val="22"/>
          <w:lang w:val="fr-FR"/>
        </w:rPr>
        <w:t xml:space="preserve"> au 31 décembre 2015 (modèle de rapport suisse)</w:t>
      </w:r>
      <w:r w:rsidR="00A876D0" w:rsidRPr="00E03828">
        <w:rPr>
          <w:rFonts w:ascii="Calibri" w:hAnsi="Calibri" w:cs="Calibri"/>
          <w:sz w:val="22"/>
          <w:szCs w:val="22"/>
          <w:lang w:val="fr-FR"/>
        </w:rPr>
        <w:tab/>
      </w:r>
      <w:r w:rsidR="00550BE1" w:rsidRPr="00E03828">
        <w:rPr>
          <w:rFonts w:ascii="Calibri" w:hAnsi="Calibri" w:cs="Calibri"/>
          <w:sz w:val="22"/>
          <w:szCs w:val="22"/>
          <w:lang w:val="fr-FR"/>
        </w:rPr>
        <w:tab/>
        <w:t xml:space="preserve">  </w:t>
      </w:r>
      <w:r w:rsidR="003F3195">
        <w:rPr>
          <w:rFonts w:ascii="Calibri" w:hAnsi="Calibri" w:cs="Calibri"/>
          <w:sz w:val="22"/>
          <w:szCs w:val="22"/>
          <w:lang w:val="fr-FR"/>
        </w:rPr>
        <w:t>7</w:t>
      </w:r>
    </w:p>
    <w:p w:rsidR="00550BE1" w:rsidRPr="00E03828" w:rsidRDefault="00550BE1" w:rsidP="00550BE1">
      <w:pPr>
        <w:pStyle w:val="ListParagraph"/>
        <w:ind w:left="360"/>
        <w:rPr>
          <w:rFonts w:ascii="Calibri" w:hAnsi="Calibri" w:cs="Calibri"/>
          <w:sz w:val="22"/>
          <w:szCs w:val="22"/>
          <w:lang w:val="fr-FR"/>
        </w:rPr>
      </w:pPr>
    </w:p>
    <w:p w:rsidR="00550BE1" w:rsidRPr="00E03828" w:rsidRDefault="00C02F90" w:rsidP="00550BE1">
      <w:pPr>
        <w:pStyle w:val="ListParagraph"/>
        <w:numPr>
          <w:ilvl w:val="0"/>
          <w:numId w:val="3"/>
        </w:numPr>
        <w:rPr>
          <w:rFonts w:ascii="Calibri" w:hAnsi="Calibri" w:cs="Calibri"/>
          <w:sz w:val="22"/>
          <w:szCs w:val="22"/>
          <w:lang w:val="fr-FR"/>
        </w:rPr>
      </w:pPr>
      <w:r w:rsidRPr="00E03828">
        <w:rPr>
          <w:rFonts w:ascii="Calibri" w:hAnsi="Calibri" w:cs="Calibri"/>
          <w:sz w:val="22"/>
          <w:szCs w:val="22"/>
          <w:lang w:val="fr-FR"/>
        </w:rPr>
        <w:t xml:space="preserve">Budget administratif – </w:t>
      </w:r>
      <w:r w:rsidR="00A876D0" w:rsidRPr="00E03828">
        <w:rPr>
          <w:rFonts w:ascii="Calibri" w:hAnsi="Calibri" w:cs="Calibri"/>
          <w:sz w:val="22"/>
          <w:szCs w:val="22"/>
          <w:lang w:val="fr-FR"/>
        </w:rPr>
        <w:t xml:space="preserve">Résultats </w:t>
      </w:r>
      <w:r w:rsidR="008532A7" w:rsidRPr="00E03828">
        <w:rPr>
          <w:rFonts w:ascii="Calibri" w:hAnsi="Calibri" w:cs="Calibri"/>
          <w:sz w:val="22"/>
          <w:szCs w:val="22"/>
          <w:lang w:val="fr-FR"/>
        </w:rPr>
        <w:t>201</w:t>
      </w:r>
      <w:r w:rsidR="00C4435F" w:rsidRPr="00E03828">
        <w:rPr>
          <w:rFonts w:ascii="Calibri" w:hAnsi="Calibri" w:cs="Calibri"/>
          <w:sz w:val="22"/>
          <w:szCs w:val="22"/>
          <w:lang w:val="fr-FR"/>
        </w:rPr>
        <w:t>5</w:t>
      </w:r>
      <w:r w:rsidR="00FE7C91" w:rsidRPr="00E03828">
        <w:rPr>
          <w:rFonts w:ascii="Calibri" w:hAnsi="Calibri" w:cs="Calibri"/>
          <w:sz w:val="22"/>
          <w:szCs w:val="22"/>
          <w:lang w:val="fr-FR"/>
        </w:rPr>
        <w:t>,</w:t>
      </w:r>
      <w:r w:rsidR="00A876D0" w:rsidRPr="00E03828">
        <w:rPr>
          <w:rFonts w:ascii="Calibri" w:hAnsi="Calibri" w:cs="Calibri"/>
          <w:sz w:val="22"/>
          <w:szCs w:val="22"/>
          <w:lang w:val="fr-FR"/>
        </w:rPr>
        <w:t xml:space="preserve"> assortis du budget approuvé à la 48</w:t>
      </w:r>
      <w:r w:rsidR="00A876D0" w:rsidRPr="00E03828">
        <w:rPr>
          <w:rFonts w:ascii="Calibri" w:hAnsi="Calibri" w:cs="Calibri"/>
          <w:sz w:val="22"/>
          <w:szCs w:val="22"/>
          <w:vertAlign w:val="superscript"/>
          <w:lang w:val="fr-FR"/>
        </w:rPr>
        <w:t>e</w:t>
      </w:r>
      <w:r w:rsidR="00A876D0" w:rsidRPr="00E03828">
        <w:rPr>
          <w:rFonts w:ascii="Calibri" w:hAnsi="Calibri" w:cs="Calibri"/>
          <w:sz w:val="22"/>
          <w:szCs w:val="22"/>
          <w:lang w:val="fr-FR"/>
        </w:rPr>
        <w:t xml:space="preserve"> Réunion du </w:t>
      </w:r>
      <w:r w:rsidR="003F3195">
        <w:rPr>
          <w:rFonts w:ascii="Calibri" w:hAnsi="Calibri" w:cs="Calibri"/>
          <w:sz w:val="22"/>
          <w:szCs w:val="22"/>
          <w:lang w:val="fr-FR"/>
        </w:rPr>
        <w:br/>
      </w:r>
      <w:r w:rsidR="00A876D0" w:rsidRPr="00E03828">
        <w:rPr>
          <w:rFonts w:ascii="Calibri" w:hAnsi="Calibri" w:cs="Calibri"/>
          <w:sz w:val="22"/>
          <w:szCs w:val="22"/>
          <w:lang w:val="fr-FR"/>
        </w:rPr>
        <w:t>Comité permanent</w:t>
      </w:r>
      <w:r w:rsidR="00216E7D">
        <w:rPr>
          <w:rFonts w:ascii="Calibri" w:hAnsi="Calibri" w:cs="Calibri"/>
          <w:sz w:val="22"/>
          <w:szCs w:val="22"/>
          <w:lang w:val="fr-FR"/>
        </w:rPr>
        <w:t>, des dépenses réelles</w:t>
      </w:r>
      <w:r w:rsidR="00A876D0" w:rsidRPr="00E03828">
        <w:rPr>
          <w:rFonts w:ascii="Calibri" w:hAnsi="Calibri" w:cs="Calibri"/>
          <w:sz w:val="22"/>
          <w:szCs w:val="22"/>
          <w:lang w:val="fr-FR"/>
        </w:rPr>
        <w:t xml:space="preserve"> et de l’écart entre les deux </w:t>
      </w:r>
      <w:r w:rsidR="003F3195">
        <w:rPr>
          <w:rFonts w:ascii="Calibri" w:hAnsi="Calibri" w:cs="Calibri"/>
          <w:sz w:val="22"/>
          <w:szCs w:val="22"/>
          <w:lang w:val="fr-FR"/>
        </w:rPr>
        <w:tab/>
      </w:r>
      <w:r w:rsidR="003F3195">
        <w:rPr>
          <w:rFonts w:ascii="Calibri" w:hAnsi="Calibri" w:cs="Calibri"/>
          <w:sz w:val="22"/>
          <w:szCs w:val="22"/>
          <w:lang w:val="fr-FR"/>
        </w:rPr>
        <w:tab/>
      </w:r>
      <w:r w:rsidR="00216E7D">
        <w:rPr>
          <w:rFonts w:ascii="Calibri" w:hAnsi="Calibri" w:cs="Calibri"/>
          <w:sz w:val="22"/>
          <w:szCs w:val="22"/>
          <w:lang w:val="fr-FR"/>
        </w:rPr>
        <w:tab/>
      </w:r>
      <w:r w:rsidR="00D4068F">
        <w:rPr>
          <w:rFonts w:ascii="Calibri" w:hAnsi="Calibri" w:cs="Calibri"/>
          <w:sz w:val="22"/>
          <w:szCs w:val="22"/>
          <w:lang w:val="fr-FR"/>
        </w:rPr>
        <w:t>11</w:t>
      </w:r>
    </w:p>
    <w:p w:rsidR="00550BE1" w:rsidRPr="00E03828" w:rsidRDefault="00550BE1" w:rsidP="00550BE1">
      <w:pPr>
        <w:pStyle w:val="ListParagraph"/>
        <w:rPr>
          <w:rFonts w:ascii="Calibri" w:hAnsi="Calibri" w:cs="Calibri"/>
          <w:sz w:val="22"/>
          <w:szCs w:val="22"/>
          <w:lang w:val="fr-FR"/>
        </w:rPr>
      </w:pPr>
    </w:p>
    <w:p w:rsidR="00584EE3" w:rsidRPr="00E03828" w:rsidRDefault="00C02F90" w:rsidP="00584EE3">
      <w:pPr>
        <w:pStyle w:val="ListParagraph"/>
        <w:numPr>
          <w:ilvl w:val="0"/>
          <w:numId w:val="3"/>
        </w:numPr>
        <w:rPr>
          <w:rFonts w:ascii="Calibri" w:hAnsi="Calibri" w:cs="Calibri"/>
          <w:sz w:val="22"/>
          <w:szCs w:val="22"/>
          <w:lang w:val="fr-FR"/>
        </w:rPr>
      </w:pPr>
      <w:r w:rsidRPr="00E03828">
        <w:rPr>
          <w:rFonts w:ascii="Calibri" w:hAnsi="Calibri" w:cs="Calibri"/>
          <w:sz w:val="22"/>
          <w:szCs w:val="22"/>
          <w:lang w:val="fr-FR"/>
        </w:rPr>
        <w:t>Budget 2016 approuvé à la 51</w:t>
      </w:r>
      <w:r w:rsidRPr="00E03828">
        <w:rPr>
          <w:rFonts w:ascii="Calibri" w:hAnsi="Calibri" w:cs="Calibri"/>
          <w:sz w:val="22"/>
          <w:szCs w:val="22"/>
          <w:vertAlign w:val="superscript"/>
          <w:lang w:val="fr-FR"/>
        </w:rPr>
        <w:t>e</w:t>
      </w:r>
      <w:r w:rsidRPr="00E03828">
        <w:rPr>
          <w:rFonts w:ascii="Calibri" w:hAnsi="Calibri" w:cs="Calibri"/>
          <w:sz w:val="22"/>
          <w:szCs w:val="22"/>
          <w:lang w:val="fr-FR"/>
        </w:rPr>
        <w:t xml:space="preserve"> Réunion du Comité permanent</w:t>
      </w:r>
      <w:r w:rsidR="00550BE1" w:rsidRPr="00E03828">
        <w:rPr>
          <w:rFonts w:ascii="Calibri" w:hAnsi="Calibri" w:cs="Calibri"/>
          <w:sz w:val="22"/>
          <w:szCs w:val="22"/>
          <w:lang w:val="fr-FR"/>
        </w:rPr>
        <w:tab/>
      </w:r>
      <w:r w:rsidR="00550BE1" w:rsidRPr="00E03828">
        <w:rPr>
          <w:rFonts w:ascii="Calibri" w:hAnsi="Calibri" w:cs="Calibri"/>
          <w:sz w:val="22"/>
          <w:szCs w:val="22"/>
          <w:lang w:val="fr-FR"/>
        </w:rPr>
        <w:tab/>
      </w:r>
      <w:r w:rsidR="00550BE1" w:rsidRPr="00E03828">
        <w:rPr>
          <w:rFonts w:ascii="Calibri" w:hAnsi="Calibri" w:cs="Calibri"/>
          <w:sz w:val="22"/>
          <w:szCs w:val="22"/>
          <w:lang w:val="fr-FR"/>
        </w:rPr>
        <w:tab/>
      </w:r>
      <w:r w:rsidR="00550BE1" w:rsidRPr="00E03828">
        <w:rPr>
          <w:rFonts w:ascii="Calibri" w:hAnsi="Calibri" w:cs="Calibri"/>
          <w:sz w:val="22"/>
          <w:szCs w:val="22"/>
          <w:lang w:val="fr-FR"/>
        </w:rPr>
        <w:tab/>
        <w:t>1</w:t>
      </w:r>
      <w:r w:rsidR="00D4068F">
        <w:rPr>
          <w:rFonts w:ascii="Calibri" w:hAnsi="Calibri" w:cs="Calibri"/>
          <w:sz w:val="22"/>
          <w:szCs w:val="22"/>
          <w:lang w:val="fr-FR"/>
        </w:rPr>
        <w:t>2</w:t>
      </w:r>
    </w:p>
    <w:p w:rsidR="00550BE1" w:rsidRPr="00E03828" w:rsidRDefault="00550BE1" w:rsidP="00550BE1">
      <w:pPr>
        <w:pStyle w:val="ListParagraph"/>
        <w:rPr>
          <w:rFonts w:ascii="Calibri" w:hAnsi="Calibri" w:cs="Calibri"/>
          <w:sz w:val="22"/>
          <w:szCs w:val="22"/>
          <w:lang w:val="fr-FR"/>
        </w:rPr>
      </w:pPr>
    </w:p>
    <w:p w:rsidR="0026224D" w:rsidRPr="00E03828" w:rsidRDefault="0026224D" w:rsidP="00550BE1">
      <w:pPr>
        <w:pStyle w:val="ListParagraph"/>
        <w:numPr>
          <w:ilvl w:val="0"/>
          <w:numId w:val="3"/>
        </w:numPr>
        <w:rPr>
          <w:rFonts w:ascii="Calibri" w:hAnsi="Calibri" w:cs="Calibri"/>
          <w:sz w:val="22"/>
          <w:szCs w:val="22"/>
          <w:lang w:val="fr-FR"/>
        </w:rPr>
      </w:pPr>
      <w:r w:rsidRPr="00E03828">
        <w:rPr>
          <w:rFonts w:ascii="Calibri" w:hAnsi="Calibri" w:cs="Calibri"/>
          <w:sz w:val="22"/>
          <w:szCs w:val="22"/>
          <w:lang w:val="fr-FR"/>
        </w:rPr>
        <w:t>B</w:t>
      </w:r>
      <w:r w:rsidR="00C02F90" w:rsidRPr="00E03828">
        <w:rPr>
          <w:rFonts w:ascii="Calibri" w:hAnsi="Calibri" w:cs="Calibri"/>
          <w:sz w:val="22"/>
          <w:szCs w:val="22"/>
          <w:lang w:val="fr-FR"/>
        </w:rPr>
        <w:t xml:space="preserve">udget non administratif </w:t>
      </w:r>
      <w:r w:rsidRPr="00E03828">
        <w:rPr>
          <w:rFonts w:ascii="Calibri" w:hAnsi="Calibri" w:cs="Calibri"/>
          <w:sz w:val="22"/>
          <w:szCs w:val="22"/>
          <w:lang w:val="fr-FR"/>
        </w:rPr>
        <w:t>pour la période triennale </w:t>
      </w:r>
      <w:r w:rsidR="00550BE1" w:rsidRPr="00E03828">
        <w:rPr>
          <w:rFonts w:ascii="Calibri" w:hAnsi="Calibri" w:cs="Calibri"/>
          <w:sz w:val="22"/>
          <w:szCs w:val="22"/>
          <w:lang w:val="fr-FR"/>
        </w:rPr>
        <w:t>2013-2015 (</w:t>
      </w:r>
      <w:r w:rsidRPr="00E03828">
        <w:rPr>
          <w:rFonts w:ascii="Calibri" w:hAnsi="Calibri" w:cs="Calibri"/>
          <w:sz w:val="22"/>
          <w:szCs w:val="22"/>
          <w:lang w:val="fr-FR"/>
        </w:rPr>
        <w:t>annexe III à la</w:t>
      </w:r>
    </w:p>
    <w:p w:rsidR="00D67AA9" w:rsidRPr="00E03828" w:rsidRDefault="00C02F90" w:rsidP="0026224D">
      <w:pPr>
        <w:ind w:firstLine="360"/>
        <w:rPr>
          <w:rFonts w:ascii="Calibri" w:hAnsi="Calibri" w:cs="Calibri"/>
          <w:sz w:val="22"/>
          <w:szCs w:val="22"/>
          <w:lang w:val="fr-FR"/>
        </w:rPr>
      </w:pPr>
      <w:r w:rsidRPr="00E03828">
        <w:rPr>
          <w:rFonts w:ascii="Calibri" w:hAnsi="Calibri" w:cs="Calibri"/>
          <w:sz w:val="22"/>
          <w:szCs w:val="22"/>
          <w:lang w:val="fr-FR"/>
        </w:rPr>
        <w:t>Résolution </w:t>
      </w:r>
      <w:r w:rsidR="00550BE1" w:rsidRPr="00E03828">
        <w:rPr>
          <w:rFonts w:ascii="Calibri" w:hAnsi="Calibri" w:cs="Calibri"/>
          <w:sz w:val="22"/>
          <w:szCs w:val="22"/>
          <w:lang w:val="fr-FR"/>
        </w:rPr>
        <w:t>XI.2)</w:t>
      </w:r>
      <w:r w:rsidR="0026224D" w:rsidRPr="00E03828">
        <w:rPr>
          <w:rFonts w:ascii="Calibri" w:hAnsi="Calibri" w:cs="Calibri"/>
          <w:sz w:val="22"/>
          <w:szCs w:val="22"/>
          <w:lang w:val="fr-FR"/>
        </w:rPr>
        <w:tab/>
      </w:r>
      <w:r w:rsidRPr="00E03828">
        <w:rPr>
          <w:rFonts w:ascii="Calibri" w:hAnsi="Calibri" w:cs="Calibri"/>
          <w:sz w:val="22"/>
          <w:szCs w:val="22"/>
          <w:lang w:val="fr-FR"/>
        </w:rPr>
        <w:tab/>
      </w:r>
      <w:r w:rsidRPr="00E03828">
        <w:rPr>
          <w:rFonts w:ascii="Calibri" w:hAnsi="Calibri" w:cs="Calibri"/>
          <w:sz w:val="22"/>
          <w:szCs w:val="22"/>
          <w:lang w:val="fr-FR"/>
        </w:rPr>
        <w:tab/>
      </w:r>
      <w:r w:rsidRPr="00E03828">
        <w:rPr>
          <w:rFonts w:ascii="Calibri" w:hAnsi="Calibri" w:cs="Calibri"/>
          <w:sz w:val="22"/>
          <w:szCs w:val="22"/>
          <w:lang w:val="fr-FR"/>
        </w:rPr>
        <w:tab/>
      </w:r>
      <w:r w:rsidRPr="00E03828">
        <w:rPr>
          <w:rFonts w:ascii="Calibri" w:hAnsi="Calibri" w:cs="Calibri"/>
          <w:sz w:val="22"/>
          <w:szCs w:val="22"/>
          <w:lang w:val="fr-FR"/>
        </w:rPr>
        <w:tab/>
      </w:r>
      <w:r w:rsidR="00550BE1" w:rsidRPr="00E03828">
        <w:rPr>
          <w:rFonts w:ascii="Calibri" w:hAnsi="Calibri" w:cs="Calibri"/>
          <w:sz w:val="22"/>
          <w:szCs w:val="22"/>
          <w:lang w:val="fr-FR"/>
        </w:rPr>
        <w:tab/>
      </w:r>
      <w:r w:rsidR="00550BE1" w:rsidRPr="00E03828">
        <w:rPr>
          <w:rFonts w:ascii="Calibri" w:hAnsi="Calibri" w:cs="Calibri"/>
          <w:sz w:val="22"/>
          <w:szCs w:val="22"/>
          <w:lang w:val="fr-FR"/>
        </w:rPr>
        <w:tab/>
      </w:r>
      <w:r w:rsidR="0026224D" w:rsidRPr="00E03828">
        <w:rPr>
          <w:rFonts w:ascii="Calibri" w:hAnsi="Calibri" w:cs="Calibri"/>
          <w:sz w:val="22"/>
          <w:szCs w:val="22"/>
          <w:lang w:val="fr-FR"/>
        </w:rPr>
        <w:tab/>
      </w:r>
      <w:r w:rsidR="00550BE1" w:rsidRPr="00E03828">
        <w:rPr>
          <w:rFonts w:ascii="Calibri" w:hAnsi="Calibri" w:cs="Calibri"/>
          <w:sz w:val="22"/>
          <w:szCs w:val="22"/>
          <w:lang w:val="fr-FR"/>
        </w:rPr>
        <w:t>1</w:t>
      </w:r>
      <w:r w:rsidR="00D4068F">
        <w:rPr>
          <w:rFonts w:ascii="Calibri" w:hAnsi="Calibri" w:cs="Calibri"/>
          <w:sz w:val="22"/>
          <w:szCs w:val="22"/>
          <w:lang w:val="fr-FR"/>
        </w:rPr>
        <w:t>3</w:t>
      </w:r>
    </w:p>
    <w:p w:rsidR="003F3195" w:rsidRPr="003F3195" w:rsidRDefault="00C500C1" w:rsidP="0026224D">
      <w:pPr>
        <w:rPr>
          <w:rFonts w:ascii="Calibri" w:hAnsi="Calibri" w:cs="Calibri"/>
          <w:b/>
          <w:lang w:val="fr-FR"/>
        </w:rPr>
      </w:pPr>
      <w:r w:rsidRPr="00E03828">
        <w:rPr>
          <w:rFonts w:ascii="Calibri" w:hAnsi="Calibri" w:cs="Calibri"/>
          <w:b/>
          <w:sz w:val="22"/>
          <w:szCs w:val="22"/>
          <w:lang w:val="fr-FR"/>
        </w:rPr>
        <w:br w:type="page"/>
      </w:r>
      <w:r w:rsidR="00D2130B" w:rsidRPr="003F3195">
        <w:rPr>
          <w:rFonts w:ascii="Calibri" w:hAnsi="Calibri" w:cs="Calibri"/>
          <w:b/>
          <w:lang w:val="fr-FR"/>
        </w:rPr>
        <w:lastRenderedPageBreak/>
        <w:t>Annex</w:t>
      </w:r>
      <w:r w:rsidR="00211A38" w:rsidRPr="003F3195">
        <w:rPr>
          <w:rFonts w:ascii="Calibri" w:hAnsi="Calibri" w:cs="Calibri"/>
          <w:b/>
          <w:lang w:val="fr-FR"/>
        </w:rPr>
        <w:t>e</w:t>
      </w:r>
      <w:r w:rsidR="00D2130B" w:rsidRPr="003F3195">
        <w:rPr>
          <w:rFonts w:ascii="Calibri" w:hAnsi="Calibri" w:cs="Calibri"/>
          <w:b/>
          <w:lang w:val="fr-FR"/>
        </w:rPr>
        <w:t xml:space="preserve"> 1</w:t>
      </w:r>
      <w:r w:rsidR="00211A38" w:rsidRPr="003F3195">
        <w:rPr>
          <w:rFonts w:ascii="Calibri" w:hAnsi="Calibri" w:cs="Calibri"/>
          <w:b/>
          <w:lang w:val="fr-FR"/>
        </w:rPr>
        <w:t> </w:t>
      </w:r>
      <w:r w:rsidR="00B34800" w:rsidRPr="003F3195">
        <w:rPr>
          <w:rFonts w:ascii="Calibri" w:hAnsi="Calibri" w:cs="Calibri"/>
          <w:b/>
          <w:lang w:val="fr-FR"/>
        </w:rPr>
        <w:t>:</w:t>
      </w:r>
      <w:r w:rsidR="00D2130B" w:rsidRPr="003F3195">
        <w:rPr>
          <w:rFonts w:ascii="Calibri" w:hAnsi="Calibri" w:cs="Calibri"/>
          <w:b/>
          <w:lang w:val="fr-FR"/>
        </w:rPr>
        <w:t xml:space="preserve"> </w:t>
      </w:r>
    </w:p>
    <w:p w:rsidR="00D67AA9" w:rsidRPr="003F3195" w:rsidRDefault="003F3195" w:rsidP="0026224D">
      <w:pPr>
        <w:rPr>
          <w:rFonts w:ascii="Calibri" w:hAnsi="Calibri" w:cs="Calibri"/>
          <w:b/>
          <w:lang w:val="fr-FR"/>
        </w:rPr>
      </w:pPr>
      <w:r w:rsidRPr="003F3195">
        <w:rPr>
          <w:rFonts w:ascii="Calibri" w:hAnsi="Calibri" w:cs="Calibri"/>
          <w:b/>
          <w:lang w:val="fr-FR"/>
        </w:rPr>
        <w:t xml:space="preserve">États financiers vérifiés </w:t>
      </w:r>
      <w:r w:rsidR="00B2252D" w:rsidRPr="003F3195">
        <w:rPr>
          <w:rFonts w:ascii="Calibri" w:hAnsi="Calibri" w:cs="Calibri"/>
          <w:b/>
          <w:lang w:val="fr-FR"/>
        </w:rPr>
        <w:t xml:space="preserve">au 31 décembre 2015 </w:t>
      </w:r>
      <w:r w:rsidR="00865C15" w:rsidRPr="003F3195">
        <w:rPr>
          <w:rFonts w:ascii="Calibri" w:hAnsi="Calibri" w:cs="Calibri"/>
          <w:b/>
          <w:lang w:val="fr-FR"/>
        </w:rPr>
        <w:t>(modèle de rapport suisse)</w:t>
      </w:r>
    </w:p>
    <w:p w:rsidR="002C53F9" w:rsidRPr="00E03828" w:rsidRDefault="002C53F9" w:rsidP="00D67AA9">
      <w:pPr>
        <w:ind w:left="567" w:hanging="567"/>
        <w:rPr>
          <w:rFonts w:ascii="Calibri" w:hAnsi="Calibri" w:cs="Calibri"/>
          <w:lang w:val="fr-FR"/>
        </w:rPr>
      </w:pPr>
    </w:p>
    <w:tbl>
      <w:tblPr>
        <w:tblW w:w="9224" w:type="dxa"/>
        <w:tblInd w:w="78" w:type="dxa"/>
        <w:tblLook w:val="04A0" w:firstRow="1" w:lastRow="0" w:firstColumn="1" w:lastColumn="0" w:noHBand="0" w:noVBand="1"/>
      </w:tblPr>
      <w:tblGrid>
        <w:gridCol w:w="284"/>
        <w:gridCol w:w="4253"/>
        <w:gridCol w:w="996"/>
        <w:gridCol w:w="246"/>
        <w:gridCol w:w="623"/>
        <w:gridCol w:w="627"/>
        <w:gridCol w:w="129"/>
        <w:gridCol w:w="284"/>
        <w:gridCol w:w="284"/>
        <w:gridCol w:w="581"/>
        <w:gridCol w:w="625"/>
        <w:gridCol w:w="292"/>
      </w:tblGrid>
      <w:tr w:rsidR="002F2B18" w:rsidRPr="00E03828" w:rsidTr="003F3195">
        <w:trPr>
          <w:gridAfter w:val="2"/>
          <w:wAfter w:w="917" w:type="dxa"/>
          <w:trHeight w:val="264"/>
        </w:trPr>
        <w:tc>
          <w:tcPr>
            <w:tcW w:w="284" w:type="dxa"/>
            <w:tcBorders>
              <w:top w:val="nil"/>
              <w:left w:val="nil"/>
              <w:bottom w:val="nil"/>
              <w:right w:val="nil"/>
            </w:tcBorders>
            <w:shd w:val="clear" w:color="000000" w:fill="FFFFFF"/>
          </w:tcPr>
          <w:p w:rsidR="002F2B18" w:rsidRPr="00E03828" w:rsidRDefault="002F2B18" w:rsidP="0084629E">
            <w:pPr>
              <w:tabs>
                <w:tab w:val="left" w:pos="4570"/>
              </w:tabs>
              <w:rPr>
                <w:rFonts w:ascii="Arial" w:eastAsia="Times New Roman" w:hAnsi="Arial" w:cs="Arial"/>
                <w:b/>
                <w:bCs/>
                <w:sz w:val="20"/>
                <w:szCs w:val="20"/>
                <w:lang w:val="fr-FR" w:eastAsia="en-GB"/>
              </w:rPr>
            </w:pPr>
          </w:p>
        </w:tc>
        <w:tc>
          <w:tcPr>
            <w:tcW w:w="6745" w:type="dxa"/>
            <w:gridSpan w:val="5"/>
            <w:tcBorders>
              <w:top w:val="nil"/>
              <w:left w:val="nil"/>
              <w:bottom w:val="nil"/>
              <w:right w:val="nil"/>
            </w:tcBorders>
            <w:shd w:val="clear" w:color="000000" w:fill="FFFFFF"/>
            <w:noWrap/>
            <w:vAlign w:val="center"/>
            <w:hideMark/>
          </w:tcPr>
          <w:p w:rsidR="002F2B18" w:rsidRPr="00E03828" w:rsidRDefault="002F2B18" w:rsidP="0084629E">
            <w:pPr>
              <w:tabs>
                <w:tab w:val="left" w:pos="4570"/>
              </w:tabs>
              <w:rPr>
                <w:rFonts w:ascii="Arial" w:eastAsia="Times New Roman" w:hAnsi="Arial" w:cs="Arial"/>
                <w:b/>
                <w:bCs/>
                <w:sz w:val="20"/>
                <w:szCs w:val="20"/>
                <w:lang w:val="fr-FR" w:eastAsia="en-GB"/>
              </w:rPr>
            </w:pPr>
            <w:r w:rsidRPr="00E03828">
              <w:rPr>
                <w:rFonts w:ascii="Arial" w:eastAsia="Times New Roman" w:hAnsi="Arial" w:cs="Arial"/>
                <w:b/>
                <w:bCs/>
                <w:sz w:val="20"/>
                <w:szCs w:val="20"/>
                <w:lang w:val="fr-FR" w:eastAsia="en-GB"/>
              </w:rPr>
              <w:t>BILAN AU 31 DÉCEMBRE 2015</w:t>
            </w:r>
          </w:p>
        </w:tc>
        <w:tc>
          <w:tcPr>
            <w:tcW w:w="1278" w:type="dxa"/>
            <w:gridSpan w:val="4"/>
            <w:tcBorders>
              <w:top w:val="nil"/>
              <w:left w:val="nil"/>
              <w:bottom w:val="nil"/>
              <w:right w:val="nil"/>
            </w:tcBorders>
            <w:shd w:val="clear" w:color="000000" w:fill="FFFFFF"/>
            <w:noWrap/>
            <w:vAlign w:val="bottom"/>
            <w:hideMark/>
          </w:tcPr>
          <w:p w:rsidR="002F2B18" w:rsidRPr="00E03828" w:rsidRDefault="002F2B18" w:rsidP="00D2130B">
            <w:pPr>
              <w:rPr>
                <w:rFonts w:ascii="Arial" w:eastAsia="Times New Roman" w:hAnsi="Arial" w:cs="Arial"/>
                <w:sz w:val="20"/>
                <w:szCs w:val="20"/>
                <w:lang w:val="fr-FR" w:eastAsia="en-GB"/>
              </w:rPr>
            </w:pPr>
            <w:r w:rsidRPr="00E03828">
              <w:rPr>
                <w:rFonts w:ascii="Arial" w:eastAsia="Times New Roman" w:hAnsi="Arial" w:cs="Arial"/>
                <w:sz w:val="20"/>
                <w:szCs w:val="20"/>
                <w:lang w:val="fr-FR" w:eastAsia="en-GB"/>
              </w:rPr>
              <w:t> </w:t>
            </w:r>
          </w:p>
        </w:tc>
      </w:tr>
      <w:tr w:rsidR="002F2B18" w:rsidRPr="00E03828" w:rsidTr="003F3195">
        <w:trPr>
          <w:gridAfter w:val="2"/>
          <w:wAfter w:w="917" w:type="dxa"/>
          <w:trHeight w:val="264"/>
        </w:trPr>
        <w:tc>
          <w:tcPr>
            <w:tcW w:w="4537" w:type="dxa"/>
            <w:gridSpan w:val="2"/>
            <w:tcBorders>
              <w:top w:val="nil"/>
              <w:left w:val="nil"/>
              <w:bottom w:val="nil"/>
              <w:right w:val="nil"/>
            </w:tcBorders>
            <w:shd w:val="clear" w:color="000000" w:fill="FFFFFF"/>
            <w:noWrap/>
            <w:vAlign w:val="bottom"/>
            <w:hideMark/>
          </w:tcPr>
          <w:p w:rsidR="002F2B18" w:rsidRPr="00E03828" w:rsidRDefault="002F2B18" w:rsidP="00D2130B">
            <w:pPr>
              <w:rPr>
                <w:rFonts w:ascii="Arial" w:eastAsia="Times New Roman" w:hAnsi="Arial" w:cs="Arial"/>
                <w:sz w:val="20"/>
                <w:szCs w:val="20"/>
                <w:lang w:val="fr-FR" w:eastAsia="en-GB"/>
              </w:rPr>
            </w:pPr>
            <w:r w:rsidRPr="00E03828">
              <w:rPr>
                <w:rFonts w:ascii="Arial" w:eastAsia="Times New Roman" w:hAnsi="Arial" w:cs="Arial"/>
                <w:sz w:val="20"/>
                <w:szCs w:val="20"/>
                <w:lang w:val="fr-FR" w:eastAsia="en-GB"/>
              </w:rPr>
              <w:t> </w:t>
            </w:r>
          </w:p>
        </w:tc>
        <w:tc>
          <w:tcPr>
            <w:tcW w:w="1242" w:type="dxa"/>
            <w:gridSpan w:val="2"/>
            <w:tcBorders>
              <w:top w:val="nil"/>
              <w:left w:val="nil"/>
              <w:bottom w:val="nil"/>
              <w:right w:val="nil"/>
            </w:tcBorders>
            <w:shd w:val="clear" w:color="000000" w:fill="FFFFFF"/>
          </w:tcPr>
          <w:p w:rsidR="002F2B18" w:rsidRPr="00E03828" w:rsidRDefault="002F2B18" w:rsidP="00D2130B">
            <w:pPr>
              <w:rPr>
                <w:rFonts w:ascii="Arial" w:eastAsia="Times New Roman" w:hAnsi="Arial" w:cs="Arial"/>
                <w:sz w:val="20"/>
                <w:szCs w:val="20"/>
                <w:lang w:val="fr-FR" w:eastAsia="en-GB"/>
              </w:rPr>
            </w:pPr>
          </w:p>
        </w:tc>
        <w:tc>
          <w:tcPr>
            <w:tcW w:w="1250" w:type="dxa"/>
            <w:gridSpan w:val="2"/>
            <w:tcBorders>
              <w:top w:val="nil"/>
              <w:left w:val="nil"/>
              <w:bottom w:val="nil"/>
              <w:right w:val="nil"/>
            </w:tcBorders>
            <w:shd w:val="clear" w:color="000000" w:fill="FFFFFF"/>
            <w:noWrap/>
            <w:vAlign w:val="bottom"/>
            <w:hideMark/>
          </w:tcPr>
          <w:p w:rsidR="002F2B18" w:rsidRPr="00E03828" w:rsidRDefault="002F2B18" w:rsidP="00D2130B">
            <w:pPr>
              <w:rPr>
                <w:rFonts w:ascii="Arial" w:eastAsia="Times New Roman" w:hAnsi="Arial" w:cs="Arial"/>
                <w:sz w:val="20"/>
                <w:szCs w:val="20"/>
                <w:lang w:val="fr-FR" w:eastAsia="en-GB"/>
              </w:rPr>
            </w:pPr>
            <w:r w:rsidRPr="00E03828">
              <w:rPr>
                <w:rFonts w:ascii="Arial" w:eastAsia="Times New Roman" w:hAnsi="Arial" w:cs="Arial"/>
                <w:sz w:val="20"/>
                <w:szCs w:val="20"/>
                <w:lang w:val="fr-FR" w:eastAsia="en-GB"/>
              </w:rPr>
              <w:t> </w:t>
            </w:r>
          </w:p>
        </w:tc>
        <w:tc>
          <w:tcPr>
            <w:tcW w:w="1278" w:type="dxa"/>
            <w:gridSpan w:val="4"/>
            <w:tcBorders>
              <w:top w:val="nil"/>
              <w:left w:val="nil"/>
              <w:bottom w:val="nil"/>
              <w:right w:val="nil"/>
            </w:tcBorders>
            <w:shd w:val="clear" w:color="000000" w:fill="FFFFFF"/>
            <w:noWrap/>
            <w:vAlign w:val="bottom"/>
            <w:hideMark/>
          </w:tcPr>
          <w:p w:rsidR="002F2B18" w:rsidRPr="00E03828" w:rsidRDefault="002F2B18" w:rsidP="00D2130B">
            <w:pPr>
              <w:rPr>
                <w:rFonts w:ascii="Arial" w:eastAsia="Times New Roman" w:hAnsi="Arial" w:cs="Arial"/>
                <w:sz w:val="20"/>
                <w:szCs w:val="20"/>
                <w:lang w:val="fr-FR" w:eastAsia="en-GB"/>
              </w:rPr>
            </w:pPr>
            <w:r w:rsidRPr="00E03828">
              <w:rPr>
                <w:rFonts w:ascii="Arial" w:eastAsia="Times New Roman" w:hAnsi="Arial" w:cs="Arial"/>
                <w:sz w:val="20"/>
                <w:szCs w:val="20"/>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r>
      <w:tr w:rsidR="00E03828" w:rsidRPr="00E03828" w:rsidTr="003F3195">
        <w:trPr>
          <w:trHeight w:val="480"/>
        </w:trPr>
        <w:tc>
          <w:tcPr>
            <w:tcW w:w="5533" w:type="dxa"/>
            <w:gridSpan w:val="3"/>
            <w:tcBorders>
              <w:top w:val="nil"/>
              <w:left w:val="nil"/>
              <w:bottom w:val="single" w:sz="8" w:space="0" w:color="auto"/>
              <w:right w:val="nil"/>
            </w:tcBorders>
            <w:shd w:val="clear" w:color="000000" w:fill="FFFFFF"/>
            <w:noWrap/>
            <w:vAlign w:val="bottom"/>
            <w:hideMark/>
          </w:tcPr>
          <w:p w:rsidR="00E03828" w:rsidRPr="00E03828" w:rsidRDefault="00E03828" w:rsidP="0010661E">
            <w:pPr>
              <w:rPr>
                <w:rFonts w:ascii="Calibri" w:eastAsia="Times New Roman" w:hAnsi="Calibri" w:cs="Arial"/>
                <w:i/>
                <w:iCs/>
                <w:sz w:val="20"/>
                <w:szCs w:val="20"/>
                <w:lang w:val="fr-FR" w:eastAsia="en-GB"/>
              </w:rPr>
            </w:pPr>
            <w:r w:rsidRPr="00E03828">
              <w:rPr>
                <w:rFonts w:ascii="Calibri" w:eastAsia="Times New Roman" w:hAnsi="Calibri" w:cs="Arial"/>
                <w:i/>
                <w:iCs/>
                <w:sz w:val="20"/>
                <w:szCs w:val="20"/>
                <w:lang w:val="fr-FR" w:eastAsia="en-GB"/>
              </w:rPr>
              <w:t>en milliers de francs suisses</w:t>
            </w:r>
          </w:p>
        </w:tc>
        <w:tc>
          <w:tcPr>
            <w:tcW w:w="869" w:type="dxa"/>
            <w:gridSpan w:val="2"/>
            <w:tcBorders>
              <w:top w:val="nil"/>
              <w:left w:val="nil"/>
              <w:bottom w:val="single" w:sz="8" w:space="0" w:color="auto"/>
              <w:right w:val="nil"/>
            </w:tcBorders>
            <w:shd w:val="clear" w:color="000000" w:fill="FFFFFF"/>
            <w:noWrap/>
            <w:vAlign w:val="center"/>
            <w:hideMark/>
          </w:tcPr>
          <w:p w:rsidR="00E03828" w:rsidRPr="00E03828" w:rsidRDefault="00E03828" w:rsidP="0010661E">
            <w:pPr>
              <w:jc w:val="cente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xml:space="preserve"> Notes </w:t>
            </w:r>
          </w:p>
        </w:tc>
        <w:tc>
          <w:tcPr>
            <w:tcW w:w="1040" w:type="dxa"/>
            <w:gridSpan w:val="3"/>
            <w:tcBorders>
              <w:top w:val="nil"/>
              <w:left w:val="nil"/>
              <w:bottom w:val="single" w:sz="8" w:space="0" w:color="auto"/>
              <w:right w:val="nil"/>
            </w:tcBorders>
            <w:shd w:val="clear" w:color="000000" w:fill="8DB4E2"/>
            <w:noWrap/>
            <w:vAlign w:val="center"/>
            <w:hideMark/>
          </w:tcPr>
          <w:p w:rsidR="00E03828" w:rsidRPr="00E03828" w:rsidRDefault="00E03828" w:rsidP="0010661E">
            <w:pPr>
              <w:jc w:val="cente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xml:space="preserve"> 2015 </w:t>
            </w:r>
          </w:p>
        </w:tc>
        <w:tc>
          <w:tcPr>
            <w:tcW w:w="284" w:type="dxa"/>
            <w:tcBorders>
              <w:top w:val="nil"/>
              <w:left w:val="nil"/>
              <w:bottom w:val="single" w:sz="8" w:space="0" w:color="auto"/>
              <w:right w:val="nil"/>
            </w:tcBorders>
            <w:shd w:val="clear" w:color="000000" w:fill="D9D9D9"/>
            <w:noWrap/>
            <w:vAlign w:val="center"/>
            <w:hideMark/>
          </w:tcPr>
          <w:p w:rsidR="00E03828" w:rsidRPr="00E03828" w:rsidRDefault="00E03828" w:rsidP="0010661E">
            <w:pPr>
              <w:rPr>
                <w:rFonts w:ascii="Calibri" w:eastAsia="Times New Roman" w:hAnsi="Calibri" w:cs="Arial"/>
                <w:sz w:val="20"/>
                <w:szCs w:val="20"/>
                <w:lang w:val="fr-FR" w:eastAsia="en-GB"/>
              </w:rPr>
            </w:pPr>
            <w:r w:rsidRPr="00E03828">
              <w:rPr>
                <w:rFonts w:ascii="Calibri" w:eastAsia="Times New Roman" w:hAnsi="Calibri" w:cs="Arial"/>
                <w:sz w:val="20"/>
                <w:szCs w:val="20"/>
                <w:lang w:val="fr-FR" w:eastAsia="en-GB"/>
              </w:rPr>
              <w:t> </w:t>
            </w:r>
          </w:p>
        </w:tc>
        <w:tc>
          <w:tcPr>
            <w:tcW w:w="1498" w:type="dxa"/>
            <w:gridSpan w:val="3"/>
            <w:tcBorders>
              <w:top w:val="nil"/>
              <w:left w:val="nil"/>
              <w:bottom w:val="single" w:sz="8" w:space="0" w:color="auto"/>
              <w:right w:val="nil"/>
            </w:tcBorders>
            <w:shd w:val="clear" w:color="000000" w:fill="D8E4BC"/>
            <w:noWrap/>
            <w:vAlign w:val="center"/>
            <w:hideMark/>
          </w:tcPr>
          <w:p w:rsidR="00E03828" w:rsidRPr="00E03828" w:rsidRDefault="00E03828" w:rsidP="0010661E">
            <w:pPr>
              <w:jc w:val="cente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xml:space="preserve"> 2014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E03828">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A</w:t>
            </w:r>
            <w:r>
              <w:rPr>
                <w:rFonts w:ascii="Calibri" w:eastAsia="Times New Roman" w:hAnsi="Calibri" w:cs="Arial"/>
                <w:b/>
                <w:bCs/>
                <w:sz w:val="22"/>
                <w:szCs w:val="22"/>
                <w:lang w:val="fr-FR" w:eastAsia="en-GB"/>
              </w:rPr>
              <w:t>CTIF</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Actif à court terme</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xml:space="preserve">    </w:t>
            </w:r>
            <w:r w:rsidRPr="00E03828">
              <w:rPr>
                <w:rFonts w:ascii="Arial" w:eastAsia="Times New Roman" w:hAnsi="Arial" w:cs="Arial"/>
                <w:sz w:val="20"/>
                <w:szCs w:val="20"/>
                <w:lang w:val="fr-FR" w:eastAsia="en-GB"/>
              </w:rPr>
              <w:t>Liquidités et dépôts bancaires à court terme</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4</w:t>
            </w:r>
            <w:r w:rsidR="009719C8">
              <w:rPr>
                <w:rFonts w:ascii="Calibri" w:eastAsia="Times New Roman" w:hAnsi="Calibri" w:cs="Arial"/>
                <w:sz w:val="22"/>
                <w:szCs w:val="22"/>
                <w:lang w:val="fr-FR" w:eastAsia="en-GB"/>
              </w:rPr>
              <w:t> </w:t>
            </w:r>
            <w:r w:rsidRPr="00E03828">
              <w:rPr>
                <w:rFonts w:ascii="Calibri" w:eastAsia="Times New Roman" w:hAnsi="Calibri" w:cs="Arial"/>
                <w:sz w:val="22"/>
                <w:szCs w:val="22"/>
                <w:lang w:val="fr-FR" w:eastAsia="en-GB"/>
              </w:rPr>
              <w:t>652</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6</w:t>
            </w:r>
            <w:r w:rsidR="009719C8">
              <w:rPr>
                <w:rFonts w:ascii="Calibri" w:eastAsia="Times New Roman" w:hAnsi="Calibri" w:cs="Arial"/>
                <w:sz w:val="22"/>
                <w:szCs w:val="22"/>
                <w:lang w:val="fr-FR" w:eastAsia="en-GB"/>
              </w:rPr>
              <w:t> </w:t>
            </w:r>
            <w:r w:rsidRPr="00E03828">
              <w:rPr>
                <w:rFonts w:ascii="Calibri" w:eastAsia="Times New Roman" w:hAnsi="Calibri" w:cs="Arial"/>
                <w:sz w:val="22"/>
                <w:szCs w:val="22"/>
                <w:lang w:val="fr-FR" w:eastAsia="en-GB"/>
              </w:rPr>
              <w:t>443</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6"/>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xml:space="preserve">    </w:t>
            </w:r>
            <w:r w:rsidRPr="00E03828">
              <w:rPr>
                <w:rFonts w:ascii="Calibri" w:eastAsia="Times New Roman" w:hAnsi="Calibri"/>
                <w:color w:val="000000"/>
                <w:sz w:val="22"/>
                <w:szCs w:val="22"/>
                <w:lang w:val="fr-FR" w:eastAsia="en-GB"/>
              </w:rPr>
              <w:t xml:space="preserve">Comptes à recevoir de Parties contractantes </w:t>
            </w:r>
            <w:r w:rsidRPr="00E03828">
              <w:rPr>
                <w:rFonts w:ascii="Calibri" w:eastAsia="Times New Roman" w:hAnsi="Calibri" w:cs="Arial"/>
                <w:sz w:val="22"/>
                <w:szCs w:val="22"/>
                <w:lang w:val="fr-FR" w:eastAsia="en-GB"/>
              </w:rPr>
              <w:t>(</w:t>
            </w:r>
            <w:r w:rsidR="00B2252D">
              <w:rPr>
                <w:rFonts w:ascii="Calibri" w:eastAsia="Times New Roman" w:hAnsi="Calibri" w:cs="Arial"/>
                <w:sz w:val="22"/>
                <w:szCs w:val="22"/>
                <w:lang w:val="fr-FR" w:eastAsia="en-GB"/>
              </w:rPr>
              <w:t xml:space="preserve">montant </w:t>
            </w:r>
            <w:r w:rsidRPr="00E03828">
              <w:rPr>
                <w:rFonts w:ascii="Calibri" w:eastAsia="Times New Roman" w:hAnsi="Calibri" w:cs="Arial"/>
                <w:sz w:val="22"/>
                <w:szCs w:val="22"/>
                <w:lang w:val="fr-FR" w:eastAsia="en-GB"/>
              </w:rPr>
              <w:t>net)</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6</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658</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460</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6"/>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Arial" w:eastAsia="Times New Roman" w:hAnsi="Arial" w:cs="Arial"/>
                <w:sz w:val="20"/>
                <w:szCs w:val="20"/>
                <w:lang w:val="fr-FR" w:eastAsia="en-GB"/>
              </w:rPr>
            </w:pPr>
            <w:r w:rsidRPr="00E03828">
              <w:rPr>
                <w:rFonts w:ascii="Arial" w:eastAsia="Times New Roman" w:hAnsi="Arial" w:cs="Arial"/>
                <w:sz w:val="20"/>
                <w:szCs w:val="20"/>
                <w:lang w:val="fr-FR" w:eastAsia="en-GB"/>
              </w:rPr>
              <w:t>Autres comptes à recevoir</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7</w:t>
            </w:r>
          </w:p>
        </w:tc>
        <w:tc>
          <w:tcPr>
            <w:tcW w:w="756" w:type="dxa"/>
            <w:gridSpan w:val="2"/>
            <w:tcBorders>
              <w:top w:val="nil"/>
              <w:left w:val="nil"/>
              <w:bottom w:val="single" w:sz="4" w:space="0" w:color="auto"/>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88</w:t>
            </w:r>
          </w:p>
        </w:tc>
        <w:tc>
          <w:tcPr>
            <w:tcW w:w="284" w:type="dxa"/>
            <w:tcBorders>
              <w:top w:val="nil"/>
              <w:left w:val="nil"/>
              <w:bottom w:val="single" w:sz="4" w:space="0" w:color="auto"/>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single" w:sz="4" w:space="0" w:color="auto"/>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single" w:sz="4" w:space="0" w:color="auto"/>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11</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E03828">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 Actif à court terme</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5</w:t>
            </w:r>
            <w:r w:rsidR="009719C8">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398</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6</w:t>
            </w:r>
            <w:r w:rsidR="009719C8">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914</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3F3195"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b/>
                <w:bCs/>
                <w:sz w:val="22"/>
                <w:szCs w:val="22"/>
                <w:lang w:val="fr-FR" w:eastAsia="en-GB"/>
              </w:rPr>
            </w:pPr>
            <w:r>
              <w:rPr>
                <w:rFonts w:ascii="Arial" w:eastAsia="Times New Roman" w:hAnsi="Arial" w:cs="Arial"/>
                <w:b/>
                <w:bCs/>
                <w:sz w:val="20"/>
                <w:szCs w:val="20"/>
                <w:lang w:val="fr-FR" w:eastAsia="en-GB"/>
              </w:rPr>
              <w:t>Actif à long terme</w:t>
            </w:r>
            <w:r w:rsidRPr="00E03828">
              <w:rPr>
                <w:rFonts w:ascii="Arial" w:eastAsia="Times New Roman" w:hAnsi="Arial" w:cs="Arial"/>
                <w:b/>
                <w:bCs/>
                <w:sz w:val="20"/>
                <w:szCs w:val="20"/>
                <w:lang w:val="fr-FR" w:eastAsia="en-GB"/>
              </w:rPr>
              <w:t xml:space="preserve"> (montant net)</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6"/>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xml:space="preserve">    </w:t>
            </w:r>
            <w:r w:rsidRPr="00E03828">
              <w:rPr>
                <w:rFonts w:ascii="Calibri" w:eastAsia="Times New Roman" w:hAnsi="Calibri"/>
                <w:color w:val="000000"/>
                <w:sz w:val="22"/>
                <w:szCs w:val="22"/>
                <w:lang w:val="fr-FR" w:eastAsia="en-GB"/>
              </w:rPr>
              <w:t>Mobilier de bureau et matériel informatique au prix coûtant</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82</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101</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6"/>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xml:space="preserve">    </w:t>
            </w:r>
            <w:r w:rsidRPr="00E03828">
              <w:rPr>
                <w:rFonts w:ascii="Calibri" w:eastAsia="Times New Roman" w:hAnsi="Calibri"/>
                <w:color w:val="000000"/>
                <w:sz w:val="22"/>
                <w:szCs w:val="22"/>
                <w:lang w:val="fr-FR" w:eastAsia="en-GB"/>
              </w:rPr>
              <w:t>Déduction de l’amortissement cumulé</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9</w:t>
            </w:r>
          </w:p>
        </w:tc>
        <w:tc>
          <w:tcPr>
            <w:tcW w:w="756" w:type="dxa"/>
            <w:gridSpan w:val="2"/>
            <w:tcBorders>
              <w:top w:val="nil"/>
              <w:left w:val="nil"/>
              <w:bottom w:val="single" w:sz="4" w:space="0" w:color="auto"/>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(48)</w:t>
            </w:r>
          </w:p>
        </w:tc>
        <w:tc>
          <w:tcPr>
            <w:tcW w:w="284" w:type="dxa"/>
            <w:tcBorders>
              <w:top w:val="nil"/>
              <w:left w:val="nil"/>
              <w:bottom w:val="single" w:sz="4" w:space="0" w:color="auto"/>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single" w:sz="4" w:space="0" w:color="auto"/>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single" w:sz="4" w:space="0" w:color="auto"/>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(61)</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6"/>
        </w:trPr>
        <w:tc>
          <w:tcPr>
            <w:tcW w:w="5533" w:type="dxa"/>
            <w:gridSpan w:val="3"/>
            <w:tcBorders>
              <w:top w:val="nil"/>
              <w:left w:val="nil"/>
              <w:bottom w:val="nil"/>
              <w:right w:val="nil"/>
            </w:tcBorders>
            <w:shd w:val="clear" w:color="000000" w:fill="FFFFFF"/>
            <w:vAlign w:val="bottom"/>
            <w:hideMark/>
          </w:tcPr>
          <w:p w:rsidR="00E03828" w:rsidRPr="00E03828" w:rsidRDefault="00E03828" w:rsidP="00E03828">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 Actif à long terme</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34</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40</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480"/>
        </w:trPr>
        <w:tc>
          <w:tcPr>
            <w:tcW w:w="5533" w:type="dxa"/>
            <w:gridSpan w:val="3"/>
            <w:tcBorders>
              <w:top w:val="nil"/>
              <w:left w:val="nil"/>
              <w:bottom w:val="nil"/>
              <w:right w:val="nil"/>
            </w:tcBorders>
            <w:shd w:val="clear" w:color="000000" w:fill="FFFFFF"/>
            <w:vAlign w:val="center"/>
            <w:hideMark/>
          </w:tcPr>
          <w:p w:rsidR="00E03828" w:rsidRPr="00E03828" w:rsidRDefault="00E03828" w:rsidP="00E03828">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TOTAL ACTIF</w:t>
            </w:r>
          </w:p>
        </w:tc>
        <w:tc>
          <w:tcPr>
            <w:tcW w:w="869" w:type="dxa"/>
            <w:gridSpan w:val="2"/>
            <w:tcBorders>
              <w:top w:val="nil"/>
              <w:left w:val="nil"/>
              <w:bottom w:val="nil"/>
              <w:right w:val="nil"/>
            </w:tcBorders>
            <w:shd w:val="clear" w:color="000000" w:fill="FFFFFF"/>
            <w:noWrap/>
            <w:vAlign w:val="center"/>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single" w:sz="4" w:space="0" w:color="auto"/>
              <w:left w:val="nil"/>
              <w:bottom w:val="single" w:sz="4" w:space="0" w:color="auto"/>
              <w:right w:val="nil"/>
            </w:tcBorders>
            <w:shd w:val="clear" w:color="000000" w:fill="FFFFFF"/>
            <w:noWrap/>
            <w:vAlign w:val="center"/>
            <w:hideMark/>
          </w:tcPr>
          <w:p w:rsidR="00E03828" w:rsidRPr="00E03828" w:rsidRDefault="00E0382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5</w:t>
            </w:r>
            <w:r w:rsidR="009719C8">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432</w:t>
            </w:r>
          </w:p>
        </w:tc>
        <w:tc>
          <w:tcPr>
            <w:tcW w:w="284" w:type="dxa"/>
            <w:tcBorders>
              <w:top w:val="single" w:sz="4" w:space="0" w:color="auto"/>
              <w:left w:val="nil"/>
              <w:bottom w:val="single" w:sz="4" w:space="0" w:color="auto"/>
              <w:right w:val="nil"/>
            </w:tcBorders>
            <w:shd w:val="clear" w:color="000000" w:fill="FFFFFF"/>
            <w:noWrap/>
            <w:vAlign w:val="center"/>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single" w:sz="4" w:space="0" w:color="auto"/>
              <w:left w:val="nil"/>
              <w:bottom w:val="single" w:sz="4" w:space="0" w:color="auto"/>
              <w:right w:val="nil"/>
            </w:tcBorders>
            <w:shd w:val="clear" w:color="000000" w:fill="FFFFFF"/>
            <w:noWrap/>
            <w:vAlign w:val="center"/>
            <w:hideMark/>
          </w:tcPr>
          <w:p w:rsidR="00E03828" w:rsidRPr="00E03828" w:rsidRDefault="00E0382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6</w:t>
            </w:r>
            <w:r w:rsidR="009719C8">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954</w:t>
            </w:r>
          </w:p>
        </w:tc>
        <w:tc>
          <w:tcPr>
            <w:tcW w:w="292" w:type="dxa"/>
            <w:tcBorders>
              <w:top w:val="nil"/>
              <w:left w:val="nil"/>
              <w:bottom w:val="nil"/>
              <w:right w:val="nil"/>
            </w:tcBorders>
            <w:shd w:val="clear" w:color="000000" w:fill="FFFFFF"/>
            <w:noWrap/>
            <w:vAlign w:val="center"/>
            <w:hideMark/>
          </w:tcPr>
          <w:p w:rsidR="00E03828" w:rsidRPr="00E03828" w:rsidRDefault="00E0382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3F3195"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9719C8" w:rsidP="0010661E">
            <w:pPr>
              <w:rPr>
                <w:rFonts w:ascii="Calibri" w:eastAsia="Times New Roman" w:hAnsi="Calibri" w:cs="Arial"/>
                <w:b/>
                <w:bCs/>
                <w:sz w:val="22"/>
                <w:szCs w:val="22"/>
                <w:lang w:val="fr-FR" w:eastAsia="en-GB"/>
              </w:rPr>
            </w:pPr>
            <w:bookmarkStart w:id="1" w:name="OLE_LINK2"/>
            <w:bookmarkStart w:id="2" w:name="OLE_LINK3"/>
            <w:r>
              <w:rPr>
                <w:rFonts w:ascii="Calibri" w:eastAsia="Times New Roman" w:hAnsi="Calibri" w:cs="Arial"/>
                <w:b/>
                <w:bCs/>
                <w:sz w:val="22"/>
                <w:szCs w:val="22"/>
                <w:lang w:val="fr-FR" w:eastAsia="en-GB"/>
              </w:rPr>
              <w:t>PASSIF ET SOLDE DE FONDS</w:t>
            </w:r>
            <w:bookmarkEnd w:id="1"/>
            <w:bookmarkEnd w:id="2"/>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0"/>
        </w:trPr>
        <w:tc>
          <w:tcPr>
            <w:tcW w:w="5533" w:type="dxa"/>
            <w:gridSpan w:val="3"/>
            <w:tcBorders>
              <w:top w:val="nil"/>
              <w:left w:val="nil"/>
              <w:bottom w:val="nil"/>
              <w:right w:val="nil"/>
            </w:tcBorders>
            <w:shd w:val="clear" w:color="000000" w:fill="FFFFFF"/>
            <w:vAlign w:val="bottom"/>
            <w:hideMark/>
          </w:tcPr>
          <w:p w:rsidR="00E03828" w:rsidRPr="00E03828" w:rsidRDefault="009719C8" w:rsidP="0010661E">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Passif à court terme</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E03828" w:rsidRPr="00E03828" w:rsidTr="003F3195">
        <w:trPr>
          <w:trHeight w:val="336"/>
        </w:trPr>
        <w:tc>
          <w:tcPr>
            <w:tcW w:w="5533" w:type="dxa"/>
            <w:gridSpan w:val="3"/>
            <w:tcBorders>
              <w:top w:val="nil"/>
              <w:left w:val="nil"/>
              <w:bottom w:val="nil"/>
              <w:right w:val="nil"/>
            </w:tcBorders>
            <w:shd w:val="clear" w:color="000000" w:fill="FFFFFF"/>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xml:space="preserve">    </w:t>
            </w:r>
            <w:r w:rsidR="009719C8" w:rsidRPr="00E03828">
              <w:rPr>
                <w:rFonts w:ascii="Calibri" w:eastAsia="Times New Roman" w:hAnsi="Calibri"/>
                <w:color w:val="000000"/>
                <w:sz w:val="22"/>
                <w:szCs w:val="22"/>
                <w:lang w:val="fr-FR" w:eastAsia="en-GB"/>
              </w:rPr>
              <w:t>Somme</w:t>
            </w:r>
            <w:r w:rsidR="009719C8">
              <w:rPr>
                <w:rFonts w:ascii="Calibri" w:eastAsia="Times New Roman" w:hAnsi="Calibri"/>
                <w:color w:val="000000"/>
                <w:sz w:val="22"/>
                <w:szCs w:val="22"/>
                <w:lang w:val="fr-FR" w:eastAsia="en-GB"/>
              </w:rPr>
              <w:t>s</w:t>
            </w:r>
            <w:r w:rsidR="009719C8" w:rsidRPr="00E03828">
              <w:rPr>
                <w:rFonts w:ascii="Calibri" w:eastAsia="Times New Roman" w:hAnsi="Calibri"/>
                <w:color w:val="000000"/>
                <w:sz w:val="22"/>
                <w:szCs w:val="22"/>
                <w:lang w:val="fr-FR" w:eastAsia="en-GB"/>
              </w:rPr>
              <w:t xml:space="preserve"> due</w:t>
            </w:r>
            <w:r w:rsidR="009719C8">
              <w:rPr>
                <w:rFonts w:ascii="Calibri" w:eastAsia="Times New Roman" w:hAnsi="Calibri"/>
                <w:color w:val="000000"/>
                <w:sz w:val="22"/>
                <w:szCs w:val="22"/>
                <w:lang w:val="fr-FR" w:eastAsia="en-GB"/>
              </w:rPr>
              <w:t>s</w:t>
            </w:r>
            <w:r w:rsidR="009719C8" w:rsidRPr="00E03828">
              <w:rPr>
                <w:rFonts w:ascii="Calibri" w:eastAsia="Times New Roman" w:hAnsi="Calibri"/>
                <w:color w:val="000000"/>
                <w:sz w:val="22"/>
                <w:szCs w:val="22"/>
                <w:lang w:val="fr-FR" w:eastAsia="en-GB"/>
              </w:rPr>
              <w:t xml:space="preserve"> à l’UICN</w:t>
            </w:r>
          </w:p>
        </w:tc>
        <w:tc>
          <w:tcPr>
            <w:tcW w:w="869" w:type="dxa"/>
            <w:gridSpan w:val="2"/>
            <w:tcBorders>
              <w:top w:val="nil"/>
              <w:left w:val="nil"/>
              <w:bottom w:val="nil"/>
              <w:right w:val="nil"/>
            </w:tcBorders>
            <w:shd w:val="clear" w:color="000000" w:fill="FFFFFF"/>
            <w:noWrap/>
            <w:vAlign w:val="bottom"/>
            <w:hideMark/>
          </w:tcPr>
          <w:p w:rsidR="00E03828" w:rsidRPr="00E03828" w:rsidRDefault="00E0382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775</w:t>
            </w:r>
          </w:p>
        </w:tc>
        <w:tc>
          <w:tcPr>
            <w:tcW w:w="284"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E03828" w:rsidRPr="00E03828" w:rsidRDefault="00E0382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514</w:t>
            </w:r>
          </w:p>
        </w:tc>
        <w:tc>
          <w:tcPr>
            <w:tcW w:w="292" w:type="dxa"/>
            <w:tcBorders>
              <w:top w:val="nil"/>
              <w:left w:val="nil"/>
              <w:bottom w:val="nil"/>
              <w:right w:val="nil"/>
            </w:tcBorders>
            <w:shd w:val="clear" w:color="000000" w:fill="FFFFFF"/>
            <w:noWrap/>
            <w:vAlign w:val="bottom"/>
            <w:hideMark/>
          </w:tcPr>
          <w:p w:rsidR="00E03828" w:rsidRPr="00E03828" w:rsidRDefault="00E0382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6"/>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olor w:val="000000"/>
                <w:sz w:val="22"/>
                <w:szCs w:val="22"/>
                <w:lang w:val="fr-FR" w:eastAsia="en-GB"/>
              </w:rPr>
            </w:pPr>
            <w:r>
              <w:rPr>
                <w:rFonts w:ascii="Calibri" w:eastAsia="Times New Roman" w:hAnsi="Calibri"/>
                <w:color w:val="000000"/>
                <w:sz w:val="22"/>
                <w:szCs w:val="22"/>
                <w:lang w:val="fr-FR" w:eastAsia="en-GB"/>
              </w:rPr>
              <w:t xml:space="preserve">    </w:t>
            </w:r>
            <w:r w:rsidRPr="00E03828">
              <w:rPr>
                <w:rFonts w:ascii="Calibri" w:eastAsia="Times New Roman" w:hAnsi="Calibri"/>
                <w:color w:val="000000"/>
                <w:sz w:val="22"/>
                <w:szCs w:val="22"/>
                <w:lang w:val="fr-FR" w:eastAsia="en-GB"/>
              </w:rPr>
              <w:t>Autres comptes à payer</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8</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630</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839</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6"/>
        </w:trPr>
        <w:tc>
          <w:tcPr>
            <w:tcW w:w="5533" w:type="dxa"/>
            <w:gridSpan w:val="3"/>
            <w:tcBorders>
              <w:top w:val="nil"/>
              <w:left w:val="nil"/>
              <w:bottom w:val="nil"/>
              <w:right w:val="nil"/>
            </w:tcBorders>
            <w:shd w:val="clear" w:color="000000" w:fill="FFFFFF"/>
            <w:vAlign w:val="bottom"/>
            <w:hideMark/>
          </w:tcPr>
          <w:p w:rsidR="009719C8" w:rsidRPr="00E03828" w:rsidRDefault="009719C8" w:rsidP="009719C8">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xml:space="preserve">    </w:t>
            </w:r>
            <w:r>
              <w:rPr>
                <w:rFonts w:ascii="Calibri" w:eastAsia="Times New Roman" w:hAnsi="Calibri" w:cs="Arial"/>
                <w:sz w:val="22"/>
                <w:szCs w:val="22"/>
                <w:lang w:val="fr-FR" w:eastAsia="en-GB"/>
              </w:rPr>
              <w:t>Charges à payer</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single" w:sz="4" w:space="0" w:color="auto"/>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293</w:t>
            </w:r>
          </w:p>
        </w:tc>
        <w:tc>
          <w:tcPr>
            <w:tcW w:w="284" w:type="dxa"/>
            <w:tcBorders>
              <w:top w:val="nil"/>
              <w:left w:val="nil"/>
              <w:bottom w:val="single" w:sz="4" w:space="0" w:color="auto"/>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single" w:sz="4" w:space="0" w:color="auto"/>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single" w:sz="4" w:space="0" w:color="auto"/>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381</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9719C8">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xml:space="preserve">Total </w:t>
            </w:r>
            <w:r>
              <w:rPr>
                <w:rFonts w:ascii="Calibri" w:eastAsia="Times New Roman" w:hAnsi="Calibri" w:cs="Arial"/>
                <w:b/>
                <w:bCs/>
                <w:sz w:val="22"/>
                <w:szCs w:val="22"/>
                <w:lang w:val="fr-FR" w:eastAsia="en-GB"/>
              </w:rPr>
              <w:t>– Passif à court terme</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1</w:t>
            </w:r>
            <w:r>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698</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1</w:t>
            </w:r>
            <w:r>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734</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Provisions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Rapatriement de personnel</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5</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124</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128</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 xml:space="preserve">Congés </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5</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165</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123</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Arial" w:eastAsia="Times New Roman" w:hAnsi="Arial" w:cs="Arial"/>
                <w:sz w:val="20"/>
                <w:szCs w:val="20"/>
                <w:lang w:val="fr-FR" w:eastAsia="en-GB"/>
              </w:rPr>
            </w:pPr>
            <w:r w:rsidRPr="00E03828">
              <w:rPr>
                <w:rFonts w:ascii="Arial" w:eastAsia="Times New Roman" w:hAnsi="Arial" w:cs="Arial"/>
                <w:sz w:val="20"/>
                <w:szCs w:val="20"/>
                <w:lang w:val="fr-FR" w:eastAsia="en-GB"/>
              </w:rPr>
              <w:t>Résiliations de contrats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5</w:t>
            </w:r>
          </w:p>
        </w:tc>
        <w:tc>
          <w:tcPr>
            <w:tcW w:w="756" w:type="dxa"/>
            <w:gridSpan w:val="2"/>
            <w:tcBorders>
              <w:top w:val="nil"/>
              <w:left w:val="nil"/>
              <w:bottom w:val="single" w:sz="4" w:space="0" w:color="auto"/>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227</w:t>
            </w:r>
          </w:p>
        </w:tc>
        <w:tc>
          <w:tcPr>
            <w:tcW w:w="284" w:type="dxa"/>
            <w:tcBorders>
              <w:top w:val="nil"/>
              <w:left w:val="nil"/>
              <w:bottom w:val="single" w:sz="4" w:space="0" w:color="auto"/>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single" w:sz="4" w:space="0" w:color="auto"/>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single" w:sz="4" w:space="0" w:color="auto"/>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128</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9719C8">
            <w:pPr>
              <w:rPr>
                <w:rFonts w:ascii="Arial" w:eastAsia="Times New Roman" w:hAnsi="Arial" w:cs="Arial"/>
                <w:b/>
                <w:bCs/>
                <w:sz w:val="20"/>
                <w:szCs w:val="20"/>
                <w:lang w:val="fr-FR" w:eastAsia="en-GB"/>
              </w:rPr>
            </w:pPr>
            <w:r w:rsidRPr="00E03828">
              <w:rPr>
                <w:rFonts w:ascii="Arial" w:eastAsia="Times New Roman" w:hAnsi="Arial" w:cs="Arial"/>
                <w:b/>
                <w:bCs/>
                <w:sz w:val="20"/>
                <w:szCs w:val="20"/>
                <w:lang w:val="fr-FR" w:eastAsia="en-GB"/>
              </w:rPr>
              <w:t xml:space="preserve">Total </w:t>
            </w:r>
            <w:r>
              <w:rPr>
                <w:rFonts w:ascii="Arial" w:eastAsia="Times New Roman" w:hAnsi="Arial" w:cs="Arial"/>
                <w:b/>
                <w:bCs/>
                <w:sz w:val="20"/>
                <w:szCs w:val="20"/>
                <w:lang w:val="fr-FR" w:eastAsia="en-GB"/>
              </w:rPr>
              <w:t>- P</w:t>
            </w:r>
            <w:r w:rsidRPr="00E03828">
              <w:rPr>
                <w:rFonts w:ascii="Arial" w:eastAsia="Times New Roman" w:hAnsi="Arial" w:cs="Arial"/>
                <w:b/>
                <w:bCs/>
                <w:sz w:val="20"/>
                <w:szCs w:val="20"/>
                <w:lang w:val="fr-FR" w:eastAsia="en-GB"/>
              </w:rPr>
              <w:t>rovisions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516</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379</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Arial" w:eastAsia="Times New Roman" w:hAnsi="Arial" w:cs="Arial"/>
                <w:b/>
                <w:bCs/>
                <w:sz w:val="20"/>
                <w:szCs w:val="20"/>
                <w:lang w:val="fr-FR" w:eastAsia="en-GB"/>
              </w:rPr>
            </w:pPr>
            <w:r w:rsidRPr="00E03828">
              <w:rPr>
                <w:rFonts w:ascii="Arial" w:eastAsia="Times New Roman" w:hAnsi="Arial" w:cs="Arial"/>
                <w:b/>
                <w:bCs/>
                <w:sz w:val="20"/>
                <w:szCs w:val="20"/>
                <w:lang w:val="fr-FR" w:eastAsia="en-GB"/>
              </w:rPr>
              <w:t>Fonds et réserves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Fonds de réserve non affectés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11</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372</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709</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0"/>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olor w:val="000000"/>
                <w:sz w:val="22"/>
                <w:szCs w:val="22"/>
                <w:lang w:val="fr-FR" w:eastAsia="en-GB"/>
              </w:rPr>
            </w:pPr>
            <w:r w:rsidRPr="00E03828">
              <w:rPr>
                <w:rFonts w:ascii="Calibri" w:eastAsia="Times New Roman" w:hAnsi="Calibri"/>
                <w:color w:val="000000"/>
                <w:sz w:val="22"/>
                <w:szCs w:val="22"/>
                <w:lang w:val="fr-FR" w:eastAsia="en-GB"/>
              </w:rPr>
              <w:t>Fonds affectés à des projets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12</w:t>
            </w:r>
          </w:p>
        </w:tc>
        <w:tc>
          <w:tcPr>
            <w:tcW w:w="756" w:type="dxa"/>
            <w:gridSpan w:val="2"/>
            <w:tcBorders>
              <w:top w:val="nil"/>
              <w:left w:val="nil"/>
              <w:bottom w:val="single" w:sz="4" w:space="0" w:color="auto"/>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2</w:t>
            </w:r>
            <w:r>
              <w:rPr>
                <w:rFonts w:ascii="Calibri" w:eastAsia="Times New Roman" w:hAnsi="Calibri" w:cs="Arial"/>
                <w:sz w:val="22"/>
                <w:szCs w:val="22"/>
                <w:lang w:val="fr-FR" w:eastAsia="en-GB"/>
              </w:rPr>
              <w:t> </w:t>
            </w:r>
            <w:r w:rsidRPr="00E03828">
              <w:rPr>
                <w:rFonts w:ascii="Calibri" w:eastAsia="Times New Roman" w:hAnsi="Calibri" w:cs="Arial"/>
                <w:sz w:val="22"/>
                <w:szCs w:val="22"/>
                <w:lang w:val="fr-FR" w:eastAsia="en-GB"/>
              </w:rPr>
              <w:t>846</w:t>
            </w:r>
          </w:p>
        </w:tc>
        <w:tc>
          <w:tcPr>
            <w:tcW w:w="284" w:type="dxa"/>
            <w:tcBorders>
              <w:top w:val="nil"/>
              <w:left w:val="nil"/>
              <w:bottom w:val="single" w:sz="4" w:space="0" w:color="auto"/>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284" w:type="dxa"/>
            <w:tcBorders>
              <w:top w:val="nil"/>
              <w:left w:val="nil"/>
              <w:bottom w:val="single" w:sz="4" w:space="0" w:color="auto"/>
              <w:right w:val="nil"/>
            </w:tcBorders>
            <w:shd w:val="clear" w:color="000000" w:fill="D9D9D9"/>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1206" w:type="dxa"/>
            <w:gridSpan w:val="2"/>
            <w:tcBorders>
              <w:top w:val="nil"/>
              <w:left w:val="nil"/>
              <w:bottom w:val="single" w:sz="4" w:space="0" w:color="auto"/>
              <w:right w:val="nil"/>
            </w:tcBorders>
            <w:shd w:val="clear" w:color="000000" w:fill="FFFFFF"/>
            <w:noWrap/>
            <w:vAlign w:val="bottom"/>
            <w:hideMark/>
          </w:tcPr>
          <w:p w:rsidR="009719C8" w:rsidRPr="00E03828" w:rsidRDefault="009719C8" w:rsidP="0010661E">
            <w:pPr>
              <w:jc w:val="right"/>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4</w:t>
            </w:r>
            <w:r>
              <w:rPr>
                <w:rFonts w:ascii="Calibri" w:eastAsia="Times New Roman" w:hAnsi="Calibri" w:cs="Arial"/>
                <w:sz w:val="22"/>
                <w:szCs w:val="22"/>
                <w:lang w:val="fr-FR" w:eastAsia="en-GB"/>
              </w:rPr>
              <w:t> </w:t>
            </w:r>
            <w:r w:rsidRPr="00E03828">
              <w:rPr>
                <w:rFonts w:ascii="Calibri" w:eastAsia="Times New Roman" w:hAnsi="Calibri" w:cs="Arial"/>
                <w:sz w:val="22"/>
                <w:szCs w:val="22"/>
                <w:lang w:val="fr-FR" w:eastAsia="en-GB"/>
              </w:rPr>
              <w:t>131</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r>
      <w:tr w:rsidR="009719C8" w:rsidRPr="00E03828" w:rsidTr="003F3195">
        <w:trPr>
          <w:trHeight w:val="336"/>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Arial" w:eastAsia="Times New Roman" w:hAnsi="Arial" w:cs="Arial"/>
                <w:b/>
                <w:bCs/>
                <w:sz w:val="20"/>
                <w:szCs w:val="20"/>
                <w:lang w:val="fr-FR" w:eastAsia="en-GB"/>
              </w:rPr>
            </w:pPr>
            <w:r>
              <w:rPr>
                <w:rFonts w:ascii="Arial" w:eastAsia="Times New Roman" w:hAnsi="Arial" w:cs="Arial"/>
                <w:b/>
                <w:bCs/>
                <w:sz w:val="20"/>
                <w:szCs w:val="20"/>
                <w:lang w:val="fr-FR" w:eastAsia="en-GB"/>
              </w:rPr>
              <w:t xml:space="preserve">Total </w:t>
            </w:r>
            <w:r>
              <w:rPr>
                <w:rFonts w:ascii="Arial" w:eastAsia="Times New Roman" w:hAnsi="Arial" w:cs="Arial"/>
                <w:b/>
                <w:bCs/>
                <w:sz w:val="20"/>
                <w:szCs w:val="20"/>
                <w:lang w:val="fr-FR" w:eastAsia="en-GB"/>
              </w:rPr>
              <w:softHyphen/>
            </w:r>
            <w:r>
              <w:rPr>
                <w:rFonts w:ascii="Arial" w:eastAsia="Times New Roman" w:hAnsi="Arial" w:cs="Arial"/>
                <w:b/>
                <w:bCs/>
                <w:sz w:val="20"/>
                <w:szCs w:val="20"/>
                <w:lang w:val="fr-FR" w:eastAsia="en-GB"/>
              </w:rPr>
              <w:softHyphen/>
              <w:t>– F</w:t>
            </w:r>
            <w:r w:rsidRPr="00E03828">
              <w:rPr>
                <w:rFonts w:ascii="Arial" w:eastAsia="Times New Roman" w:hAnsi="Arial" w:cs="Arial"/>
                <w:b/>
                <w:bCs/>
                <w:sz w:val="20"/>
                <w:szCs w:val="20"/>
                <w:lang w:val="fr-FR" w:eastAsia="en-GB"/>
              </w:rPr>
              <w:t>onds et réserves</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3</w:t>
            </w:r>
            <w:r>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218</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4</w:t>
            </w:r>
            <w:r>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841</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9719C8" w:rsidRPr="00E03828" w:rsidTr="003F3195">
        <w:trPr>
          <w:trHeight w:val="288"/>
        </w:trPr>
        <w:tc>
          <w:tcPr>
            <w:tcW w:w="5533" w:type="dxa"/>
            <w:gridSpan w:val="3"/>
            <w:tcBorders>
              <w:top w:val="nil"/>
              <w:left w:val="nil"/>
              <w:bottom w:val="nil"/>
              <w:right w:val="nil"/>
            </w:tcBorders>
            <w:shd w:val="clear" w:color="000000" w:fill="FFFFFF"/>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869" w:type="dxa"/>
            <w:gridSpan w:val="2"/>
            <w:tcBorders>
              <w:top w:val="nil"/>
              <w:left w:val="nil"/>
              <w:bottom w:val="nil"/>
              <w:right w:val="nil"/>
            </w:tcBorders>
            <w:shd w:val="clear" w:color="000000" w:fill="FFFFFF"/>
            <w:noWrap/>
            <w:vAlign w:val="bottom"/>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nil"/>
              <w:left w:val="nil"/>
              <w:bottom w:val="nil"/>
              <w:right w:val="nil"/>
            </w:tcBorders>
            <w:shd w:val="clear" w:color="000000" w:fill="D9D9D9"/>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92" w:type="dxa"/>
            <w:tcBorders>
              <w:top w:val="nil"/>
              <w:left w:val="nil"/>
              <w:bottom w:val="nil"/>
              <w:right w:val="nil"/>
            </w:tcBorders>
            <w:shd w:val="clear" w:color="000000" w:fill="FFFFFF"/>
            <w:noWrap/>
            <w:vAlign w:val="bottom"/>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r w:rsidR="009719C8" w:rsidRPr="00E03828" w:rsidTr="003F3195">
        <w:trPr>
          <w:trHeight w:val="456"/>
        </w:trPr>
        <w:tc>
          <w:tcPr>
            <w:tcW w:w="5533" w:type="dxa"/>
            <w:gridSpan w:val="3"/>
            <w:tcBorders>
              <w:top w:val="nil"/>
              <w:left w:val="nil"/>
              <w:bottom w:val="nil"/>
              <w:right w:val="nil"/>
            </w:tcBorders>
            <w:shd w:val="clear" w:color="000000" w:fill="FFFFFF"/>
            <w:vAlign w:val="center"/>
            <w:hideMark/>
          </w:tcPr>
          <w:p w:rsidR="009719C8" w:rsidRPr="00E03828" w:rsidRDefault="009719C8" w:rsidP="009719C8">
            <w:pPr>
              <w:rPr>
                <w:rFonts w:ascii="Calibri" w:eastAsia="Times New Roman" w:hAnsi="Calibri" w:cs="Arial"/>
                <w:b/>
                <w:bCs/>
                <w:sz w:val="22"/>
                <w:szCs w:val="22"/>
                <w:lang w:val="fr-FR" w:eastAsia="en-GB"/>
              </w:rPr>
            </w:pPr>
            <w:r>
              <w:rPr>
                <w:rFonts w:ascii="Calibri" w:eastAsia="Times New Roman" w:hAnsi="Calibri" w:cs="Arial"/>
                <w:b/>
                <w:bCs/>
                <w:sz w:val="22"/>
                <w:szCs w:val="22"/>
                <w:lang w:val="fr-FR" w:eastAsia="en-GB"/>
              </w:rPr>
              <w:t>Total – Passif et solde de fonds</w:t>
            </w:r>
          </w:p>
        </w:tc>
        <w:tc>
          <w:tcPr>
            <w:tcW w:w="869" w:type="dxa"/>
            <w:gridSpan w:val="2"/>
            <w:tcBorders>
              <w:top w:val="nil"/>
              <w:left w:val="nil"/>
              <w:bottom w:val="nil"/>
              <w:right w:val="nil"/>
            </w:tcBorders>
            <w:shd w:val="clear" w:color="000000" w:fill="FFFFFF"/>
            <w:noWrap/>
            <w:vAlign w:val="center"/>
            <w:hideMark/>
          </w:tcPr>
          <w:p w:rsidR="009719C8" w:rsidRPr="00E03828" w:rsidRDefault="009719C8" w:rsidP="0010661E">
            <w:pPr>
              <w:jc w:val="center"/>
              <w:rPr>
                <w:rFonts w:ascii="Calibri" w:eastAsia="Times New Roman" w:hAnsi="Calibri" w:cs="Arial"/>
                <w:sz w:val="22"/>
                <w:szCs w:val="22"/>
                <w:lang w:val="fr-FR" w:eastAsia="en-GB"/>
              </w:rPr>
            </w:pPr>
            <w:r w:rsidRPr="00E03828">
              <w:rPr>
                <w:rFonts w:ascii="Calibri" w:eastAsia="Times New Roman" w:hAnsi="Calibri" w:cs="Arial"/>
                <w:sz w:val="22"/>
                <w:szCs w:val="22"/>
                <w:lang w:val="fr-FR" w:eastAsia="en-GB"/>
              </w:rPr>
              <w:t> </w:t>
            </w:r>
          </w:p>
        </w:tc>
        <w:tc>
          <w:tcPr>
            <w:tcW w:w="756" w:type="dxa"/>
            <w:gridSpan w:val="2"/>
            <w:tcBorders>
              <w:top w:val="single" w:sz="4" w:space="0" w:color="auto"/>
              <w:left w:val="nil"/>
              <w:bottom w:val="single" w:sz="4" w:space="0" w:color="auto"/>
              <w:right w:val="nil"/>
            </w:tcBorders>
            <w:shd w:val="clear" w:color="000000" w:fill="C5D9F1"/>
            <w:noWrap/>
            <w:vAlign w:val="center"/>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5</w:t>
            </w:r>
            <w:r>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432</w:t>
            </w:r>
          </w:p>
        </w:tc>
        <w:tc>
          <w:tcPr>
            <w:tcW w:w="284" w:type="dxa"/>
            <w:tcBorders>
              <w:top w:val="single" w:sz="4" w:space="0" w:color="auto"/>
              <w:left w:val="nil"/>
              <w:bottom w:val="single" w:sz="4" w:space="0" w:color="auto"/>
              <w:right w:val="nil"/>
            </w:tcBorders>
            <w:shd w:val="clear" w:color="000000" w:fill="C5D9F1"/>
            <w:noWrap/>
            <w:vAlign w:val="center"/>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c>
          <w:tcPr>
            <w:tcW w:w="1206" w:type="dxa"/>
            <w:gridSpan w:val="2"/>
            <w:tcBorders>
              <w:top w:val="single" w:sz="4" w:space="0" w:color="auto"/>
              <w:left w:val="nil"/>
              <w:bottom w:val="single" w:sz="4" w:space="0" w:color="auto"/>
              <w:right w:val="nil"/>
            </w:tcBorders>
            <w:shd w:val="clear" w:color="000000" w:fill="EBF1DE"/>
            <w:noWrap/>
            <w:vAlign w:val="center"/>
            <w:hideMark/>
          </w:tcPr>
          <w:p w:rsidR="009719C8" w:rsidRPr="00E03828" w:rsidRDefault="009719C8" w:rsidP="0010661E">
            <w:pPr>
              <w:jc w:val="right"/>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6</w:t>
            </w:r>
            <w:r>
              <w:rPr>
                <w:rFonts w:ascii="Calibri" w:eastAsia="Times New Roman" w:hAnsi="Calibri" w:cs="Arial"/>
                <w:b/>
                <w:bCs/>
                <w:sz w:val="22"/>
                <w:szCs w:val="22"/>
                <w:lang w:val="fr-FR" w:eastAsia="en-GB"/>
              </w:rPr>
              <w:t> </w:t>
            </w:r>
            <w:r w:rsidRPr="00E03828">
              <w:rPr>
                <w:rFonts w:ascii="Calibri" w:eastAsia="Times New Roman" w:hAnsi="Calibri" w:cs="Arial"/>
                <w:b/>
                <w:bCs/>
                <w:sz w:val="22"/>
                <w:szCs w:val="22"/>
                <w:lang w:val="fr-FR" w:eastAsia="en-GB"/>
              </w:rPr>
              <w:t>954</w:t>
            </w:r>
          </w:p>
        </w:tc>
        <w:tc>
          <w:tcPr>
            <w:tcW w:w="292" w:type="dxa"/>
            <w:tcBorders>
              <w:top w:val="single" w:sz="4" w:space="0" w:color="auto"/>
              <w:left w:val="nil"/>
              <w:bottom w:val="single" w:sz="4" w:space="0" w:color="auto"/>
              <w:right w:val="nil"/>
            </w:tcBorders>
            <w:shd w:val="clear" w:color="000000" w:fill="EBF1DE"/>
            <w:noWrap/>
            <w:vAlign w:val="center"/>
            <w:hideMark/>
          </w:tcPr>
          <w:p w:rsidR="009719C8" w:rsidRPr="00E03828" w:rsidRDefault="009719C8" w:rsidP="0010661E">
            <w:pPr>
              <w:rPr>
                <w:rFonts w:ascii="Calibri" w:eastAsia="Times New Roman" w:hAnsi="Calibri" w:cs="Arial"/>
                <w:b/>
                <w:bCs/>
                <w:sz w:val="22"/>
                <w:szCs w:val="22"/>
                <w:lang w:val="fr-FR" w:eastAsia="en-GB"/>
              </w:rPr>
            </w:pPr>
            <w:r w:rsidRPr="00E03828">
              <w:rPr>
                <w:rFonts w:ascii="Calibri" w:eastAsia="Times New Roman" w:hAnsi="Calibri" w:cs="Arial"/>
                <w:b/>
                <w:bCs/>
                <w:sz w:val="22"/>
                <w:szCs w:val="22"/>
                <w:lang w:val="fr-FR" w:eastAsia="en-GB"/>
              </w:rPr>
              <w:t> </w:t>
            </w:r>
          </w:p>
        </w:tc>
      </w:tr>
    </w:tbl>
    <w:p w:rsidR="007E1345" w:rsidRPr="00E03828" w:rsidRDefault="003F3195">
      <w:pPr>
        <w:rPr>
          <w:rFonts w:asciiTheme="minorHAnsi" w:hAnsiTheme="minorHAnsi" w:cs="Calibri"/>
          <w:b/>
          <w:lang w:val="fr-FR"/>
        </w:rPr>
      </w:pPr>
      <w:r w:rsidRPr="003F3195">
        <w:lastRenderedPageBreak/>
        <w:drawing>
          <wp:inline distT="0" distB="0" distL="0" distR="0">
            <wp:extent cx="5848716" cy="76221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248" cy="7624142"/>
                    </a:xfrm>
                    <a:prstGeom prst="rect">
                      <a:avLst/>
                    </a:prstGeom>
                    <a:noFill/>
                    <a:ln>
                      <a:noFill/>
                    </a:ln>
                  </pic:spPr>
                </pic:pic>
              </a:graphicData>
            </a:graphic>
          </wp:inline>
        </w:drawing>
      </w:r>
      <w:r w:rsidRPr="003F3195">
        <w:t xml:space="preserve"> </w:t>
      </w:r>
      <w:r w:rsidRPr="003F3195">
        <w:drawing>
          <wp:inline distT="0" distB="0" distL="0" distR="0">
            <wp:extent cx="617220" cy="260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260985"/>
                    </a:xfrm>
                    <a:prstGeom prst="rect">
                      <a:avLst/>
                    </a:prstGeom>
                    <a:noFill/>
                    <a:ln>
                      <a:noFill/>
                    </a:ln>
                  </pic:spPr>
                </pic:pic>
              </a:graphicData>
            </a:graphic>
          </wp:inline>
        </w:drawing>
      </w:r>
      <w:r w:rsidRPr="003F3195">
        <w:t xml:space="preserve"> </w:t>
      </w:r>
      <w:r w:rsidR="007E1345" w:rsidRPr="00E03828">
        <w:rPr>
          <w:rFonts w:asciiTheme="minorHAnsi" w:hAnsiTheme="minorHAnsi" w:cs="Calibri"/>
          <w:b/>
          <w:lang w:val="fr-FR"/>
        </w:rPr>
        <w:br w:type="page"/>
      </w:r>
    </w:p>
    <w:p w:rsidR="00B2252D" w:rsidRDefault="0010661E" w:rsidP="0010661E">
      <w:pPr>
        <w:rPr>
          <w:rFonts w:ascii="Calibri" w:hAnsi="Calibri" w:cs="Calibri"/>
          <w:b/>
          <w:lang w:val="fr-FR"/>
        </w:rPr>
      </w:pPr>
      <w:r w:rsidRPr="0010661E">
        <w:rPr>
          <w:rFonts w:ascii="Calibri" w:hAnsi="Calibri" w:cs="Calibri"/>
          <w:b/>
          <w:lang w:val="fr-FR"/>
        </w:rPr>
        <w:lastRenderedPageBreak/>
        <w:t>Annex</w:t>
      </w:r>
      <w:r>
        <w:rPr>
          <w:rFonts w:ascii="Calibri" w:hAnsi="Calibri" w:cs="Calibri"/>
          <w:b/>
          <w:lang w:val="fr-FR"/>
        </w:rPr>
        <w:t>e 1, appendice </w:t>
      </w:r>
      <w:r w:rsidRPr="0010661E">
        <w:rPr>
          <w:rFonts w:ascii="Calibri" w:hAnsi="Calibri" w:cs="Calibri"/>
          <w:b/>
          <w:lang w:val="fr-FR"/>
        </w:rPr>
        <w:t>A</w:t>
      </w:r>
    </w:p>
    <w:p w:rsidR="0010661E" w:rsidRDefault="0010661E" w:rsidP="0010661E">
      <w:pPr>
        <w:rPr>
          <w:rFonts w:ascii="Calibri" w:hAnsi="Calibri" w:cs="Calibri"/>
          <w:b/>
          <w:lang w:val="fr-FR"/>
        </w:rPr>
      </w:pPr>
      <w:r w:rsidRPr="0010661E">
        <w:rPr>
          <w:rFonts w:ascii="Calibri" w:hAnsi="Calibri" w:cs="Calibri"/>
          <w:b/>
          <w:lang w:val="fr-FR"/>
        </w:rPr>
        <w:t>Proje</w:t>
      </w:r>
      <w:r>
        <w:rPr>
          <w:rFonts w:ascii="Calibri" w:hAnsi="Calibri" w:cs="Calibri"/>
          <w:b/>
          <w:lang w:val="fr-FR"/>
        </w:rPr>
        <w:t xml:space="preserve">ts </w:t>
      </w:r>
      <w:r w:rsidR="000C338E">
        <w:rPr>
          <w:rFonts w:ascii="Calibri" w:hAnsi="Calibri" w:cs="Calibri"/>
          <w:b/>
          <w:lang w:val="fr-FR"/>
        </w:rPr>
        <w:t xml:space="preserve">financés à </w:t>
      </w:r>
      <w:r w:rsidR="00AB48AF">
        <w:rPr>
          <w:rFonts w:ascii="Calibri" w:hAnsi="Calibri" w:cs="Calibri"/>
          <w:b/>
          <w:lang w:val="fr-FR"/>
        </w:rPr>
        <w:t>partir</w:t>
      </w:r>
      <w:r w:rsidR="000C338E">
        <w:rPr>
          <w:rFonts w:ascii="Calibri" w:hAnsi="Calibri" w:cs="Calibri"/>
          <w:b/>
          <w:lang w:val="fr-FR"/>
        </w:rPr>
        <w:t xml:space="preserve"> de fonds affectés</w:t>
      </w:r>
      <w:r w:rsidR="00AB48AF">
        <w:rPr>
          <w:rFonts w:ascii="Calibri" w:hAnsi="Calibri" w:cs="Calibri"/>
          <w:b/>
          <w:lang w:val="fr-FR"/>
        </w:rPr>
        <w:t xml:space="preserve"> pour la période allant </w:t>
      </w:r>
      <w:r w:rsidR="000C338E">
        <w:rPr>
          <w:rFonts w:ascii="Calibri" w:hAnsi="Calibri" w:cs="Calibri"/>
          <w:b/>
          <w:lang w:val="fr-FR"/>
        </w:rPr>
        <w:t xml:space="preserve">du </w:t>
      </w:r>
      <w:r w:rsidRPr="0010661E">
        <w:rPr>
          <w:rFonts w:ascii="Calibri" w:hAnsi="Calibri" w:cs="Calibri"/>
          <w:b/>
          <w:lang w:val="fr-FR"/>
        </w:rPr>
        <w:t>1</w:t>
      </w:r>
      <w:r w:rsidR="000C338E" w:rsidRPr="000C338E">
        <w:rPr>
          <w:rFonts w:ascii="Calibri" w:hAnsi="Calibri" w:cs="Calibri"/>
          <w:b/>
          <w:vertAlign w:val="superscript"/>
          <w:lang w:val="fr-FR"/>
        </w:rPr>
        <w:t>er</w:t>
      </w:r>
      <w:r w:rsidR="000C338E">
        <w:rPr>
          <w:rFonts w:ascii="Calibri" w:hAnsi="Calibri" w:cs="Calibri"/>
          <w:b/>
          <w:lang w:val="fr-FR"/>
        </w:rPr>
        <w:t> janvier au 31 décembre 2015 (erreurs d’arrondis comprises)</w:t>
      </w:r>
    </w:p>
    <w:p w:rsidR="00D4068F" w:rsidRDefault="00D4068F" w:rsidP="0010661E">
      <w:pPr>
        <w:rPr>
          <w:rFonts w:ascii="Calibri" w:hAnsi="Calibri" w:cs="Calibri"/>
          <w:b/>
          <w:lang w:val="fr-FR"/>
        </w:rPr>
      </w:pPr>
    </w:p>
    <w:p w:rsidR="0010661E" w:rsidRDefault="0010661E" w:rsidP="0010661E">
      <w:pPr>
        <w:rPr>
          <w:rFonts w:asciiTheme="minorHAnsi" w:hAnsiTheme="minorHAnsi" w:cs="Calibri"/>
          <w:b/>
        </w:rPr>
      </w:pPr>
      <w:r w:rsidRPr="00E133A1">
        <w:rPr>
          <w:noProof/>
          <w:lang w:val="en-GB" w:eastAsia="en-GB"/>
        </w:rPr>
        <w:drawing>
          <wp:inline distT="0" distB="0" distL="0" distR="0" wp14:anchorId="7BF011D4" wp14:editId="43E8EC00">
            <wp:extent cx="5454071" cy="80277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9482" cy="8020965"/>
                    </a:xfrm>
                    <a:prstGeom prst="rect">
                      <a:avLst/>
                    </a:prstGeom>
                    <a:noFill/>
                    <a:ln>
                      <a:noFill/>
                    </a:ln>
                  </pic:spPr>
                </pic:pic>
              </a:graphicData>
            </a:graphic>
          </wp:inline>
        </w:drawing>
      </w:r>
    </w:p>
    <w:p w:rsidR="0010661E" w:rsidRPr="00D2130B" w:rsidRDefault="0010661E" w:rsidP="0010661E">
      <w:pPr>
        <w:ind w:left="567" w:hanging="567"/>
        <w:rPr>
          <w:rFonts w:ascii="Calibri" w:hAnsi="Calibri" w:cs="Calibri"/>
        </w:rPr>
      </w:pPr>
    </w:p>
    <w:p w:rsidR="0010661E" w:rsidRDefault="0010661E" w:rsidP="0010661E">
      <w:pPr>
        <w:rPr>
          <w:rFonts w:asciiTheme="minorHAnsi" w:hAnsiTheme="minorHAnsi" w:cs="Calibri"/>
          <w:b/>
        </w:rPr>
      </w:pPr>
      <w:r w:rsidRPr="00E133A1">
        <w:rPr>
          <w:noProof/>
          <w:lang w:val="en-GB" w:eastAsia="en-GB"/>
        </w:rPr>
        <w:drawing>
          <wp:inline distT="0" distB="0" distL="0" distR="0">
            <wp:extent cx="5631625" cy="6923315"/>
            <wp:effectExtent l="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5482" cy="6928057"/>
                    </a:xfrm>
                    <a:prstGeom prst="rect">
                      <a:avLst/>
                    </a:prstGeom>
                    <a:noFill/>
                    <a:ln>
                      <a:noFill/>
                    </a:ln>
                  </pic:spPr>
                </pic:pic>
              </a:graphicData>
            </a:graphic>
          </wp:inline>
        </w:drawing>
      </w:r>
    </w:p>
    <w:p w:rsidR="00D4068F" w:rsidRDefault="00D4068F" w:rsidP="0010661E">
      <w:pPr>
        <w:rPr>
          <w:rFonts w:asciiTheme="minorHAnsi" w:hAnsiTheme="minorHAnsi" w:cs="Calibri"/>
          <w:b/>
        </w:rPr>
      </w:pPr>
    </w:p>
    <w:p w:rsidR="00D4068F" w:rsidRDefault="00D4068F" w:rsidP="0010661E">
      <w:pPr>
        <w:rPr>
          <w:rFonts w:asciiTheme="minorHAnsi" w:hAnsiTheme="minorHAnsi" w:cs="Calibri"/>
          <w:b/>
        </w:rPr>
        <w:sectPr w:rsidR="00D4068F" w:rsidSect="00F127C1">
          <w:footerReference w:type="default" r:id="rId14"/>
          <w:footerReference w:type="first" r:id="rId15"/>
          <w:pgSz w:w="11907" w:h="16840" w:code="9"/>
          <w:pgMar w:top="1440" w:right="1440" w:bottom="1440" w:left="1440" w:header="709" w:footer="720" w:gutter="0"/>
          <w:cols w:space="720"/>
          <w:titlePg/>
          <w:docGrid w:linePitch="360"/>
        </w:sectPr>
      </w:pPr>
    </w:p>
    <w:p w:rsidR="00155F2C" w:rsidRDefault="00D4068F" w:rsidP="00D2130B">
      <w:pPr>
        <w:rPr>
          <w:rFonts w:asciiTheme="minorHAnsi" w:hAnsiTheme="minorHAnsi" w:cs="Calibri"/>
          <w:b/>
          <w:lang w:val="fr-FR"/>
        </w:rPr>
      </w:pPr>
      <w:r>
        <w:rPr>
          <w:rFonts w:asciiTheme="minorHAnsi" w:hAnsiTheme="minorHAnsi" w:cs="Calibri"/>
          <w:b/>
          <w:lang w:val="fr-FR"/>
        </w:rPr>
        <w:lastRenderedPageBreak/>
        <w:t>A</w:t>
      </w:r>
      <w:r w:rsidR="00D2130B" w:rsidRPr="00E03828">
        <w:rPr>
          <w:rFonts w:asciiTheme="minorHAnsi" w:hAnsiTheme="minorHAnsi" w:cs="Calibri"/>
          <w:b/>
          <w:lang w:val="fr-FR"/>
        </w:rPr>
        <w:t>nnex</w:t>
      </w:r>
      <w:r w:rsidR="00FC464B" w:rsidRPr="00E03828">
        <w:rPr>
          <w:rFonts w:asciiTheme="minorHAnsi" w:hAnsiTheme="minorHAnsi" w:cs="Calibri"/>
          <w:b/>
          <w:lang w:val="fr-FR"/>
        </w:rPr>
        <w:t>e</w:t>
      </w:r>
      <w:r w:rsidR="00D2130B" w:rsidRPr="00E03828">
        <w:rPr>
          <w:rFonts w:asciiTheme="minorHAnsi" w:hAnsiTheme="minorHAnsi" w:cs="Calibri"/>
          <w:b/>
          <w:lang w:val="fr-FR"/>
        </w:rPr>
        <w:t xml:space="preserve"> 2</w:t>
      </w:r>
    </w:p>
    <w:p w:rsidR="00D2130B" w:rsidRDefault="00FC464B" w:rsidP="00D2130B">
      <w:pPr>
        <w:rPr>
          <w:rFonts w:asciiTheme="minorHAnsi" w:hAnsiTheme="minorHAnsi" w:cs="Calibri"/>
          <w:b/>
          <w:lang w:val="fr-FR"/>
        </w:rPr>
      </w:pPr>
      <w:r w:rsidRPr="00E03828">
        <w:rPr>
          <w:rFonts w:asciiTheme="minorHAnsi" w:hAnsiTheme="minorHAnsi" w:cs="Calibri"/>
          <w:b/>
          <w:lang w:val="fr-FR"/>
        </w:rPr>
        <w:t>Budget administratif – Résultats 2015 assortis du budget approuvé à la 48</w:t>
      </w:r>
      <w:r w:rsidRPr="00E03828">
        <w:rPr>
          <w:rFonts w:asciiTheme="minorHAnsi" w:hAnsiTheme="minorHAnsi" w:cs="Calibri"/>
          <w:b/>
          <w:vertAlign w:val="superscript"/>
          <w:lang w:val="fr-FR"/>
        </w:rPr>
        <w:t>e</w:t>
      </w:r>
      <w:r w:rsidRPr="00E03828">
        <w:rPr>
          <w:rFonts w:asciiTheme="minorHAnsi" w:hAnsiTheme="minorHAnsi" w:cs="Calibri"/>
          <w:b/>
          <w:lang w:val="fr-FR"/>
        </w:rPr>
        <w:t> Réunion du Comité permanent</w:t>
      </w:r>
      <w:r w:rsidR="00216E7D">
        <w:rPr>
          <w:rFonts w:asciiTheme="minorHAnsi" w:hAnsiTheme="minorHAnsi" w:cs="Calibri"/>
          <w:b/>
          <w:lang w:val="fr-FR"/>
        </w:rPr>
        <w:t>, des dépenses réelles</w:t>
      </w:r>
      <w:r w:rsidRPr="00E03828">
        <w:rPr>
          <w:rFonts w:asciiTheme="minorHAnsi" w:hAnsiTheme="minorHAnsi" w:cs="Calibri"/>
          <w:b/>
          <w:lang w:val="fr-FR"/>
        </w:rPr>
        <w:t xml:space="preserve"> et de l’écart entre les deux</w:t>
      </w:r>
      <w:r w:rsidR="00155F2C">
        <w:rPr>
          <w:rFonts w:asciiTheme="minorHAnsi" w:hAnsiTheme="minorHAnsi" w:cs="Calibri"/>
          <w:b/>
          <w:lang w:val="fr-FR"/>
        </w:rPr>
        <w:t xml:space="preserve"> (erreurs d’arrondis comprises)</w:t>
      </w:r>
    </w:p>
    <w:p w:rsidR="00D4068F" w:rsidRPr="00E03828" w:rsidRDefault="00D4068F" w:rsidP="00D2130B">
      <w:pPr>
        <w:rPr>
          <w:rFonts w:asciiTheme="minorHAnsi" w:hAnsiTheme="minorHAnsi"/>
          <w:b/>
          <w:lang w:val="fr-FR"/>
        </w:rPr>
      </w:pPr>
    </w:p>
    <w:tbl>
      <w:tblPr>
        <w:tblW w:w="9140" w:type="dxa"/>
        <w:tblInd w:w="103" w:type="dxa"/>
        <w:tblLook w:val="04A0" w:firstRow="1" w:lastRow="0" w:firstColumn="1" w:lastColumn="0" w:noHBand="0" w:noVBand="1"/>
      </w:tblPr>
      <w:tblGrid>
        <w:gridCol w:w="5618"/>
        <w:gridCol w:w="1174"/>
        <w:gridCol w:w="1174"/>
        <w:gridCol w:w="1174"/>
      </w:tblGrid>
      <w:tr w:rsidR="00C04C0D" w:rsidRPr="00E03828" w:rsidTr="00801530">
        <w:trPr>
          <w:trHeight w:val="19"/>
        </w:trPr>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rsidR="00A56B73" w:rsidRPr="00E03828" w:rsidRDefault="00A56B73" w:rsidP="00A56B73">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 </w:t>
            </w:r>
          </w:p>
        </w:tc>
        <w:tc>
          <w:tcPr>
            <w:tcW w:w="0" w:type="auto"/>
            <w:tcBorders>
              <w:top w:val="single" w:sz="4" w:space="0" w:color="auto"/>
              <w:left w:val="single" w:sz="4" w:space="0" w:color="auto"/>
              <w:bottom w:val="single" w:sz="4" w:space="0" w:color="auto"/>
              <w:right w:val="single" w:sz="4" w:space="0" w:color="auto"/>
            </w:tcBorders>
            <w:shd w:val="clear" w:color="000000" w:fill="E4DFEC"/>
            <w:vAlign w:val="bottom"/>
            <w:hideMark/>
          </w:tcPr>
          <w:p w:rsidR="00A56B73" w:rsidRPr="00E03828" w:rsidRDefault="00801530" w:rsidP="00C04C0D">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 xml:space="preserve">Budget administratif approuvé </w:t>
            </w:r>
          </w:p>
        </w:tc>
        <w:tc>
          <w:tcPr>
            <w:tcW w:w="0" w:type="auto"/>
            <w:tcBorders>
              <w:top w:val="single" w:sz="4" w:space="0" w:color="auto"/>
              <w:left w:val="nil"/>
              <w:bottom w:val="single" w:sz="4" w:space="0" w:color="auto"/>
              <w:right w:val="single" w:sz="4" w:space="0" w:color="auto"/>
            </w:tcBorders>
            <w:shd w:val="clear" w:color="000000" w:fill="E4DFEC"/>
            <w:vAlign w:val="bottom"/>
            <w:hideMark/>
          </w:tcPr>
          <w:p w:rsidR="00A56B73" w:rsidRPr="00E03828" w:rsidRDefault="00801530" w:rsidP="00C04C0D">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Dépenses réelles</w:t>
            </w:r>
          </w:p>
        </w:tc>
        <w:tc>
          <w:tcPr>
            <w:tcW w:w="0" w:type="auto"/>
            <w:tcBorders>
              <w:top w:val="single" w:sz="4" w:space="0" w:color="auto"/>
              <w:left w:val="nil"/>
              <w:bottom w:val="single" w:sz="4" w:space="0" w:color="auto"/>
              <w:right w:val="single" w:sz="4" w:space="0" w:color="auto"/>
            </w:tcBorders>
            <w:shd w:val="clear" w:color="000000" w:fill="E4DFEC"/>
            <w:vAlign w:val="bottom"/>
            <w:hideMark/>
          </w:tcPr>
          <w:p w:rsidR="00A56B73" w:rsidRPr="00E03828" w:rsidRDefault="00801530" w:rsidP="00C04C0D">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Écart</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E03828" w:rsidRDefault="00801530" w:rsidP="00801530">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REVENUS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801530"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En milliers de CHF</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801530"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En milliers de CHF</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801530"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En milliers de CHF</w:t>
            </w:r>
          </w:p>
        </w:tc>
      </w:tr>
      <w:tr w:rsidR="00801530"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1530" w:rsidRPr="00E03828" w:rsidRDefault="00801530">
            <w:pPr>
              <w:rPr>
                <w:rFonts w:asciiTheme="minorHAnsi" w:hAnsiTheme="minorHAnsi"/>
                <w:color w:val="000000"/>
                <w:sz w:val="16"/>
                <w:szCs w:val="16"/>
                <w:lang w:val="fr-FR"/>
              </w:rPr>
            </w:pPr>
            <w:r w:rsidRPr="00E03828">
              <w:rPr>
                <w:rFonts w:asciiTheme="minorHAnsi" w:hAnsiTheme="minorHAnsi"/>
                <w:color w:val="000000"/>
                <w:sz w:val="16"/>
                <w:szCs w:val="16"/>
                <w:lang w:val="fr-FR"/>
              </w:rPr>
              <w:t>i.  Contributions des Parties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r w:rsidR="00694A0B" w:rsidRPr="00E03828">
              <w:rPr>
                <w:rFonts w:ascii="Calibri" w:eastAsia="Times New Roman" w:hAnsi="Calibri"/>
                <w:color w:val="000000"/>
                <w:sz w:val="16"/>
                <w:szCs w:val="18"/>
                <w:lang w:val="fr-FR" w:eastAsia="en-GB"/>
              </w:rPr>
              <w:t> </w:t>
            </w:r>
            <w:r w:rsidRPr="00E03828">
              <w:rPr>
                <w:rFonts w:ascii="Calibri" w:eastAsia="Times New Roman" w:hAnsi="Calibri"/>
                <w:color w:val="000000"/>
                <w:sz w:val="16"/>
                <w:szCs w:val="18"/>
                <w:lang w:val="fr-FR" w:eastAsia="en-GB"/>
              </w:rPr>
              <w:t>779</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r w:rsidR="00694A0B" w:rsidRPr="00E03828">
              <w:rPr>
                <w:rFonts w:ascii="Calibri" w:eastAsia="Times New Roman" w:hAnsi="Calibri"/>
                <w:color w:val="000000"/>
                <w:sz w:val="16"/>
                <w:szCs w:val="18"/>
                <w:lang w:val="fr-FR" w:eastAsia="en-GB"/>
              </w:rPr>
              <w:t> </w:t>
            </w:r>
            <w:r w:rsidRPr="00E03828">
              <w:rPr>
                <w:rFonts w:ascii="Calibri" w:eastAsia="Times New Roman" w:hAnsi="Calibri"/>
                <w:color w:val="000000"/>
                <w:sz w:val="16"/>
                <w:szCs w:val="18"/>
                <w:lang w:val="fr-FR" w:eastAsia="en-GB"/>
              </w:rPr>
              <w:t>779</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801530"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1530" w:rsidRPr="00E03828" w:rsidRDefault="00801530">
            <w:pPr>
              <w:rPr>
                <w:rFonts w:asciiTheme="minorHAnsi" w:hAnsiTheme="minorHAnsi"/>
                <w:color w:val="000000"/>
                <w:sz w:val="16"/>
                <w:szCs w:val="16"/>
                <w:lang w:val="fr-FR"/>
              </w:rPr>
            </w:pPr>
            <w:r w:rsidRPr="00E03828">
              <w:rPr>
                <w:rFonts w:asciiTheme="minorHAnsi" w:hAnsiTheme="minorHAnsi"/>
                <w:color w:val="000000"/>
                <w:sz w:val="16"/>
                <w:szCs w:val="16"/>
                <w:lang w:val="fr-FR"/>
              </w:rPr>
              <w:t>ii.  Contributions volontaires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694A0B" w:rsidRPr="00E03828">
              <w:rPr>
                <w:rFonts w:ascii="Calibri" w:eastAsia="Times New Roman" w:hAnsi="Calibri"/>
                <w:color w:val="000000"/>
                <w:sz w:val="16"/>
                <w:szCs w:val="18"/>
                <w:lang w:val="fr-FR" w:eastAsia="en-GB"/>
              </w:rPr>
              <w:t> </w:t>
            </w:r>
            <w:r w:rsidRPr="00E03828">
              <w:rPr>
                <w:rFonts w:ascii="Calibri" w:eastAsia="Times New Roman" w:hAnsi="Calibri"/>
                <w:color w:val="000000"/>
                <w:sz w:val="16"/>
                <w:szCs w:val="18"/>
                <w:lang w:val="fr-FR" w:eastAsia="en-GB"/>
              </w:rPr>
              <w:t>065</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694A0B" w:rsidRPr="00E03828">
              <w:rPr>
                <w:rFonts w:ascii="Calibri" w:eastAsia="Times New Roman" w:hAnsi="Calibri"/>
                <w:color w:val="000000"/>
                <w:sz w:val="16"/>
                <w:szCs w:val="18"/>
                <w:lang w:val="fr-FR" w:eastAsia="en-GB"/>
              </w:rPr>
              <w:t> </w:t>
            </w:r>
            <w:r w:rsidRPr="00E03828">
              <w:rPr>
                <w:rFonts w:ascii="Calibri" w:eastAsia="Times New Roman" w:hAnsi="Calibri"/>
                <w:color w:val="000000"/>
                <w:sz w:val="16"/>
                <w:szCs w:val="18"/>
                <w:lang w:val="fr-FR" w:eastAsia="en-GB"/>
              </w:rPr>
              <w:t>06</w:t>
            </w:r>
            <w:r w:rsidR="00155F2C">
              <w:rPr>
                <w:rFonts w:ascii="Calibri" w:eastAsia="Times New Roman" w:hAnsi="Calibri"/>
                <w:color w:val="000000"/>
                <w:sz w:val="16"/>
                <w:szCs w:val="18"/>
                <w:lang w:val="fr-FR" w:eastAsia="en-GB"/>
              </w:rPr>
              <w:t>7</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2</w:t>
            </w:r>
          </w:p>
        </w:tc>
      </w:tr>
      <w:tr w:rsidR="00801530"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1530" w:rsidRPr="00E03828" w:rsidRDefault="00801530">
            <w:pPr>
              <w:rPr>
                <w:rFonts w:asciiTheme="minorHAnsi" w:hAnsiTheme="minorHAnsi"/>
                <w:color w:val="000000"/>
                <w:sz w:val="16"/>
                <w:szCs w:val="16"/>
                <w:lang w:val="fr-FR"/>
              </w:rPr>
            </w:pPr>
            <w:r w:rsidRPr="00E03828">
              <w:rPr>
                <w:rFonts w:asciiTheme="minorHAnsi" w:hAnsiTheme="minorHAnsi"/>
                <w:color w:val="000000"/>
                <w:sz w:val="16"/>
                <w:szCs w:val="16"/>
                <w:lang w:val="fr-FR"/>
              </w:rPr>
              <w:t>iii.  Impôts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225</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222</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p>
        </w:tc>
      </w:tr>
      <w:tr w:rsidR="00801530"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1530" w:rsidRPr="00E03828" w:rsidRDefault="00801530">
            <w:pPr>
              <w:rPr>
                <w:rFonts w:asciiTheme="minorHAnsi" w:hAnsiTheme="minorHAnsi"/>
                <w:color w:val="000000"/>
                <w:sz w:val="16"/>
                <w:szCs w:val="16"/>
                <w:lang w:val="fr-FR"/>
              </w:rPr>
            </w:pPr>
            <w:r w:rsidRPr="00E03828">
              <w:rPr>
                <w:rFonts w:asciiTheme="minorHAnsi" w:hAnsiTheme="minorHAnsi"/>
                <w:color w:val="000000"/>
                <w:sz w:val="16"/>
                <w:szCs w:val="16"/>
                <w:lang w:val="fr-FR"/>
              </w:rPr>
              <w:t>iv. Revenus d'intérêts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w:t>
            </w:r>
          </w:p>
        </w:tc>
        <w:tc>
          <w:tcPr>
            <w:tcW w:w="0" w:type="auto"/>
            <w:tcBorders>
              <w:top w:val="nil"/>
              <w:left w:val="nil"/>
              <w:bottom w:val="single" w:sz="4" w:space="0" w:color="auto"/>
              <w:right w:val="single" w:sz="4" w:space="0" w:color="auto"/>
            </w:tcBorders>
            <w:shd w:val="clear" w:color="000000" w:fill="E4DFEC"/>
            <w:noWrap/>
            <w:vAlign w:val="bottom"/>
            <w:hideMark/>
          </w:tcPr>
          <w:p w:rsidR="00801530" w:rsidRPr="00E03828" w:rsidRDefault="00801530"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-10</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801530">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 xml:space="preserve">TOTAL </w:t>
            </w:r>
            <w:r w:rsidR="00801530" w:rsidRPr="00E03828">
              <w:rPr>
                <w:rFonts w:ascii="Calibri" w:eastAsia="Times New Roman" w:hAnsi="Calibri"/>
                <w:b/>
                <w:bCs/>
                <w:color w:val="000000"/>
                <w:sz w:val="16"/>
                <w:szCs w:val="18"/>
                <w:lang w:val="fr-FR" w:eastAsia="en-GB"/>
              </w:rPr>
              <w:t>DES REVENUS</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5</w:t>
            </w:r>
            <w:r w:rsidR="00694A0B" w:rsidRPr="00E03828">
              <w:rPr>
                <w:rFonts w:ascii="Calibri" w:eastAsia="Times New Roman" w:hAnsi="Calibri"/>
                <w:b/>
                <w:bCs/>
                <w:color w:val="000000"/>
                <w:sz w:val="16"/>
                <w:szCs w:val="18"/>
                <w:lang w:val="fr-FR" w:eastAsia="en-GB"/>
              </w:rPr>
              <w:t> </w:t>
            </w:r>
            <w:r w:rsidRPr="00E03828">
              <w:rPr>
                <w:rFonts w:ascii="Calibri" w:eastAsia="Times New Roman" w:hAnsi="Calibri"/>
                <w:b/>
                <w:bCs/>
                <w:color w:val="000000"/>
                <w:sz w:val="16"/>
                <w:szCs w:val="18"/>
                <w:lang w:val="fr-FR" w:eastAsia="en-GB"/>
              </w:rPr>
              <w:t>081</w:t>
            </w:r>
          </w:p>
        </w:tc>
        <w:tc>
          <w:tcPr>
            <w:tcW w:w="0" w:type="auto"/>
            <w:tcBorders>
              <w:top w:val="nil"/>
              <w:left w:val="nil"/>
              <w:bottom w:val="single" w:sz="4" w:space="0" w:color="auto"/>
              <w:right w:val="single" w:sz="4" w:space="0" w:color="auto"/>
            </w:tcBorders>
            <w:shd w:val="clear" w:color="000000" w:fill="B1A0C7"/>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5</w:t>
            </w:r>
            <w:r w:rsidR="00694A0B" w:rsidRPr="00E03828">
              <w:rPr>
                <w:rFonts w:ascii="Calibri" w:eastAsia="Times New Roman" w:hAnsi="Calibri"/>
                <w:b/>
                <w:bCs/>
                <w:color w:val="000000"/>
                <w:sz w:val="16"/>
                <w:szCs w:val="18"/>
                <w:lang w:val="fr-FR" w:eastAsia="en-GB"/>
              </w:rPr>
              <w:t> </w:t>
            </w:r>
            <w:r w:rsidRPr="00E03828">
              <w:rPr>
                <w:rFonts w:ascii="Calibri" w:eastAsia="Times New Roman" w:hAnsi="Calibri"/>
                <w:b/>
                <w:bCs/>
                <w:color w:val="000000"/>
                <w:sz w:val="16"/>
                <w:szCs w:val="18"/>
                <w:lang w:val="fr-FR" w:eastAsia="en-GB"/>
              </w:rPr>
              <w:t>06</w:t>
            </w:r>
            <w:r w:rsidR="00155F2C">
              <w:rPr>
                <w:rFonts w:ascii="Calibri" w:eastAsia="Times New Roman" w:hAnsi="Calibri"/>
                <w:b/>
                <w:bCs/>
                <w:color w:val="000000"/>
                <w:sz w:val="16"/>
                <w:szCs w:val="18"/>
                <w:lang w:val="fr-FR" w:eastAsia="en-GB"/>
              </w:rPr>
              <w:t>9</w:t>
            </w:r>
          </w:p>
        </w:tc>
        <w:tc>
          <w:tcPr>
            <w:tcW w:w="0" w:type="auto"/>
            <w:tcBorders>
              <w:top w:val="nil"/>
              <w:left w:val="nil"/>
              <w:bottom w:val="single" w:sz="4" w:space="0" w:color="auto"/>
              <w:right w:val="single" w:sz="4" w:space="0" w:color="auto"/>
            </w:tcBorders>
            <w:shd w:val="clear" w:color="000000" w:fill="B1A0C7"/>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-1</w:t>
            </w:r>
            <w:r w:rsidR="00155F2C">
              <w:rPr>
                <w:rFonts w:ascii="Calibri" w:eastAsia="Times New Roman" w:hAnsi="Calibri"/>
                <w:b/>
                <w:bCs/>
                <w:color w:val="000000"/>
                <w:sz w:val="16"/>
                <w:szCs w:val="18"/>
                <w:lang w:val="fr-FR" w:eastAsia="en-GB"/>
              </w:rPr>
              <w:t>1</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E03828" w:rsidRDefault="00801530" w:rsidP="00A56B73">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DÉPENSES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A.  Cadres supérieurs du Secrétariat</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811</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763</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-48</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Salaires et charges sociales (SG, SGA, Assistante du SG)</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674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658</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-16</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Déplacements officiels (SG, SGA)</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52</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7</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Autres prestations d'emploi**</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92</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52</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-40</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B.  Coordination des partenariats</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259</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251</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Salaires et charges sociales (Coordonnateur des partenariats)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188</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188</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Déplacements officiels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21</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Autres prestations d'emploi**</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51</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42</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-9</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C.  Conseillers régionaux et appui</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694A0B" w:rsidRPr="00E03828">
              <w:rPr>
                <w:rFonts w:ascii="Calibri" w:eastAsia="Times New Roman" w:hAnsi="Calibri"/>
                <w:color w:val="000000"/>
                <w:sz w:val="16"/>
                <w:szCs w:val="18"/>
                <w:lang w:val="fr-FR" w:eastAsia="en-GB"/>
              </w:rPr>
              <w:t> </w:t>
            </w:r>
            <w:r w:rsidRPr="00E03828">
              <w:rPr>
                <w:rFonts w:ascii="Calibri" w:eastAsia="Times New Roman" w:hAnsi="Calibri"/>
                <w:color w:val="000000"/>
                <w:sz w:val="16"/>
                <w:szCs w:val="18"/>
                <w:lang w:val="fr-FR" w:eastAsia="en-GB"/>
              </w:rPr>
              <w:t>339</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155F2C">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694A0B" w:rsidRPr="00E03828">
              <w:rPr>
                <w:rFonts w:ascii="Calibri" w:eastAsia="Times New Roman" w:hAnsi="Calibri"/>
                <w:color w:val="000000"/>
                <w:sz w:val="16"/>
                <w:szCs w:val="18"/>
                <w:lang w:val="fr-FR" w:eastAsia="en-GB"/>
              </w:rPr>
              <w:t> </w:t>
            </w:r>
            <w:r w:rsidR="00155F2C">
              <w:rPr>
                <w:rFonts w:ascii="Calibri" w:eastAsia="Times New Roman" w:hAnsi="Calibri"/>
                <w:color w:val="000000"/>
                <w:sz w:val="16"/>
                <w:szCs w:val="18"/>
                <w:lang w:val="fr-FR" w:eastAsia="en-GB"/>
              </w:rPr>
              <w:t>217</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-121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Salaires et charges sociales (4 CRP , RR, Resp. appui au GEST, 4 stagiaires)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EF49BD" w:rsidRPr="00E03828">
              <w:rPr>
                <w:rFonts w:ascii="Calibri" w:eastAsia="Times New Roman" w:hAnsi="Calibri"/>
                <w:color w:val="000000"/>
                <w:sz w:val="16"/>
                <w:szCs w:val="18"/>
                <w:lang w:val="fr-FR" w:eastAsia="en-GB"/>
              </w:rPr>
              <w:t> </w:t>
            </w:r>
            <w:r w:rsidRPr="00E03828">
              <w:rPr>
                <w:rFonts w:ascii="Calibri" w:eastAsia="Times New Roman" w:hAnsi="Calibri"/>
                <w:color w:val="000000"/>
                <w:sz w:val="16"/>
                <w:szCs w:val="18"/>
                <w:lang w:val="fr-FR" w:eastAsia="en-GB"/>
              </w:rPr>
              <w:t>201</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694A0B" w:rsidRPr="00E03828">
              <w:rPr>
                <w:rFonts w:ascii="Calibri" w:eastAsia="Times New Roman" w:hAnsi="Calibri"/>
                <w:color w:val="000000"/>
                <w:sz w:val="16"/>
                <w:szCs w:val="18"/>
                <w:lang w:val="fr-FR" w:eastAsia="en-GB"/>
              </w:rPr>
              <w:t> </w:t>
            </w:r>
            <w:r w:rsidR="00155F2C">
              <w:rPr>
                <w:rFonts w:ascii="Calibri" w:eastAsia="Times New Roman" w:hAnsi="Calibri"/>
                <w:color w:val="000000"/>
                <w:sz w:val="16"/>
                <w:szCs w:val="18"/>
                <w:lang w:val="fr-FR" w:eastAsia="en-GB"/>
              </w:rPr>
              <w:t>076</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-124</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Déplacements officiels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70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-15</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Autres prestations d'emploi**</w:t>
            </w:r>
          </w:p>
        </w:tc>
        <w:tc>
          <w:tcPr>
            <w:tcW w:w="0" w:type="auto"/>
            <w:tcBorders>
              <w:top w:val="nil"/>
              <w:left w:val="single" w:sz="4" w:space="0" w:color="auto"/>
              <w:bottom w:val="nil"/>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53</w:t>
            </w:r>
          </w:p>
        </w:tc>
        <w:tc>
          <w:tcPr>
            <w:tcW w:w="0" w:type="auto"/>
            <w:tcBorders>
              <w:top w:val="nil"/>
              <w:left w:val="nil"/>
              <w:bottom w:val="nil"/>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70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17</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D.  Appui aux Initiatives régionales</w:t>
            </w:r>
          </w:p>
        </w:tc>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120</w:t>
            </w:r>
          </w:p>
        </w:tc>
        <w:tc>
          <w:tcPr>
            <w:tcW w:w="0" w:type="auto"/>
            <w:tcBorders>
              <w:top w:val="single" w:sz="4" w:space="0" w:color="auto"/>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120</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Réseaux et centres régionaux</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E.  Services scientifiques et techniques</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210</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198</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Salaires et charges sociales (Resp. appui scientifique et technique)</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110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107</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Mise en œuvre du Plan de travail du GEST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Réunions du GEST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iv.  Déplacements officiels (SGA pour le GEST)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7</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F.  Communication, documentation, CESP</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589</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155F2C">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w:t>
            </w:r>
            <w:r w:rsidR="00155F2C">
              <w:rPr>
                <w:rFonts w:ascii="Calibri" w:eastAsia="Times New Roman" w:hAnsi="Calibri"/>
                <w:color w:val="000000"/>
                <w:sz w:val="16"/>
                <w:szCs w:val="18"/>
                <w:lang w:val="fr-FR" w:eastAsia="en-GB"/>
              </w:rPr>
              <w:t>90</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Salaires et charges sociales (Resp. documentation, Res</w:t>
            </w:r>
            <w:r w:rsidR="00E93981" w:rsidRPr="00E03828">
              <w:rPr>
                <w:rFonts w:asciiTheme="minorHAnsi" w:hAnsiTheme="minorHAnsi" w:cs="Arial"/>
                <w:color w:val="000000"/>
                <w:sz w:val="16"/>
                <w:szCs w:val="16"/>
                <w:lang w:val="fr-FR"/>
              </w:rPr>
              <w:t>p. communication, Chargé de com</w:t>
            </w:r>
            <w:r w:rsidRPr="00E03828">
              <w:rPr>
                <w:rFonts w:asciiTheme="minorHAnsi" w:hAnsiTheme="minorHAnsi" w:cs="Arial"/>
                <w:color w:val="000000"/>
                <w:sz w:val="16"/>
                <w:szCs w:val="16"/>
                <w:lang w:val="fr-FR"/>
              </w:rPr>
              <w:t>munication)</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434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433</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Programme de CESP</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29</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Communication, traduction, publications et rapports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120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118</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iv. Déplacements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G.  Administration/SISR/Web</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898</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w:t>
            </w:r>
            <w:r w:rsidR="00155F2C">
              <w:rPr>
                <w:rFonts w:ascii="Calibri" w:eastAsia="Times New Roman" w:hAnsi="Calibri"/>
                <w:color w:val="000000"/>
                <w:sz w:val="16"/>
                <w:szCs w:val="18"/>
                <w:lang w:val="fr-FR" w:eastAsia="en-GB"/>
              </w:rPr>
              <w:t>58</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w:t>
            </w:r>
            <w:r w:rsidR="00155F2C">
              <w:rPr>
                <w:rFonts w:ascii="Calibri" w:eastAsia="Times New Roman" w:hAnsi="Calibri"/>
                <w:color w:val="000000"/>
                <w:sz w:val="16"/>
                <w:szCs w:val="18"/>
                <w:lang w:val="fr-FR" w:eastAsia="en-GB"/>
              </w:rPr>
              <w:t>40</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Salaires et charges sociales (Resp. financier, RH, 3 Assistants admin., 2 Assistants, 2 intérimaires)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629</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586</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-43</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Recrutement et indemnités de départ***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25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28</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3</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Autres prestations d'emploi</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rsidP="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 xml:space="preserve">iv.  </w:t>
            </w:r>
            <w:r w:rsidR="00EF49BD" w:rsidRPr="00E03828">
              <w:rPr>
                <w:rFonts w:asciiTheme="minorHAnsi" w:hAnsiTheme="minorHAnsi" w:cs="Arial"/>
                <w:color w:val="000000"/>
                <w:sz w:val="16"/>
                <w:szCs w:val="16"/>
                <w:lang w:val="fr-FR"/>
              </w:rPr>
              <w:t>Service d'information sur les Sites Ramsar</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150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155F2C">
              <w:rPr>
                <w:rFonts w:ascii="Calibri" w:eastAsia="Times New Roman" w:hAnsi="Calibri"/>
                <w:color w:val="000000"/>
                <w:sz w:val="16"/>
                <w:szCs w:val="18"/>
                <w:lang w:val="fr-FR" w:eastAsia="en-GB"/>
              </w:rPr>
              <w:t>45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-5</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2A1698" w:rsidP="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 xml:space="preserve">v.  </w:t>
            </w:r>
            <w:r w:rsidR="00EF49BD" w:rsidRPr="00E03828">
              <w:rPr>
                <w:rFonts w:asciiTheme="minorHAnsi" w:hAnsiTheme="minorHAnsi" w:cs="Arial"/>
                <w:color w:val="000000"/>
                <w:sz w:val="16"/>
                <w:szCs w:val="16"/>
                <w:lang w:val="fr-FR"/>
              </w:rPr>
              <w:t>Web/appui informatique en sus de celui de l'UICN</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90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94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155F2C"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4</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EF49BD" w:rsidP="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H.  Coûts de fonctionnement</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95</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94</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EF49BD" w:rsidP="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Services de photocopie, d'impression, de messagerie</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80</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7</w:t>
            </w:r>
            <w:r w:rsidR="0064641A">
              <w:rPr>
                <w:rFonts w:ascii="Calibri" w:eastAsia="Times New Roman" w:hAnsi="Calibri"/>
                <w:color w:val="000000"/>
                <w:sz w:val="16"/>
                <w:szCs w:val="18"/>
                <w:lang w:val="fr-FR" w:eastAsia="en-GB"/>
              </w:rPr>
              <w:t>9</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w:t>
            </w:r>
            <w:r w:rsidR="0064641A">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EF49BD" w:rsidP="00232FB1">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Achat et entretien de fournitures/matériel de bureau (amortissement compris)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r w:rsidR="0064641A">
              <w:rPr>
                <w:rFonts w:ascii="Calibri" w:eastAsia="Times New Roman" w:hAnsi="Calibri"/>
                <w:color w:val="000000"/>
                <w:sz w:val="16"/>
                <w:szCs w:val="18"/>
                <w:lang w:val="fr-FR" w:eastAsia="en-GB"/>
              </w:rPr>
              <w:t>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2A1698" w:rsidRPr="00E03828" w:rsidRDefault="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Services au Comité permanent</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85</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85</w:t>
            </w:r>
          </w:p>
        </w:tc>
        <w:tc>
          <w:tcPr>
            <w:tcW w:w="0" w:type="auto"/>
            <w:tcBorders>
              <w:top w:val="nil"/>
              <w:left w:val="nil"/>
              <w:bottom w:val="single" w:sz="4" w:space="0" w:color="auto"/>
              <w:right w:val="single" w:sz="4" w:space="0" w:color="auto"/>
            </w:tcBorders>
            <w:shd w:val="clear" w:color="000000" w:fill="B1A0C7"/>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  Appui aux délégués du Comité permanent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44</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43</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  Réunions du Comité permanent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2A1698"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1698" w:rsidRPr="00E03828" w:rsidRDefault="00EF49BD">
            <w:pPr>
              <w:rPr>
                <w:rFonts w:asciiTheme="minorHAnsi" w:hAnsiTheme="minorHAnsi" w:cs="Arial"/>
                <w:color w:val="000000"/>
                <w:sz w:val="16"/>
                <w:szCs w:val="16"/>
                <w:lang w:val="fr-FR"/>
              </w:rPr>
            </w:pPr>
            <w:r w:rsidRPr="00E03828">
              <w:rPr>
                <w:rFonts w:asciiTheme="minorHAnsi" w:hAnsiTheme="minorHAnsi" w:cs="Arial"/>
                <w:color w:val="000000"/>
                <w:sz w:val="16"/>
                <w:szCs w:val="16"/>
                <w:lang w:val="fr-FR"/>
              </w:rPr>
              <w:t>iii.  Services d'interprétation simultanée lors des réunions du Comité permanent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35</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36</w:t>
            </w:r>
          </w:p>
        </w:tc>
        <w:tc>
          <w:tcPr>
            <w:tcW w:w="0" w:type="auto"/>
            <w:tcBorders>
              <w:top w:val="nil"/>
              <w:left w:val="nil"/>
              <w:bottom w:val="single" w:sz="4" w:space="0" w:color="auto"/>
              <w:right w:val="single" w:sz="4" w:space="0" w:color="auto"/>
            </w:tcBorders>
            <w:shd w:val="clear" w:color="000000" w:fill="E4DFEC"/>
            <w:noWrap/>
            <w:vAlign w:val="bottom"/>
            <w:hideMark/>
          </w:tcPr>
          <w:p w:rsidR="002A1698" w:rsidRPr="00E03828" w:rsidRDefault="002A1698"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vAlign w:val="bottom"/>
            <w:hideMark/>
          </w:tcPr>
          <w:p w:rsidR="00EF49BD" w:rsidRPr="00E03828" w:rsidRDefault="00EF49BD">
            <w:pPr>
              <w:rPr>
                <w:rFonts w:asciiTheme="minorHAnsi" w:hAnsiTheme="minorHAnsi"/>
                <w:color w:val="000000"/>
                <w:sz w:val="16"/>
                <w:szCs w:val="16"/>
                <w:lang w:val="fr-FR"/>
              </w:rPr>
            </w:pPr>
            <w:r w:rsidRPr="00E03828">
              <w:rPr>
                <w:rFonts w:asciiTheme="minorHAnsi" w:hAnsiTheme="minorHAnsi"/>
                <w:color w:val="000000"/>
                <w:sz w:val="16"/>
                <w:szCs w:val="16"/>
                <w:lang w:val="fr-FR"/>
              </w:rPr>
              <w:t>J.  Coûts des services administratifs de l'UICN (maximum)</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566</w:t>
            </w:r>
          </w:p>
        </w:tc>
        <w:tc>
          <w:tcPr>
            <w:tcW w:w="0" w:type="auto"/>
            <w:tcBorders>
              <w:top w:val="nil"/>
              <w:left w:val="nil"/>
              <w:bottom w:val="single" w:sz="4" w:space="0" w:color="auto"/>
              <w:right w:val="single" w:sz="4" w:space="0" w:color="auto"/>
            </w:tcBorders>
            <w:shd w:val="clear" w:color="000000" w:fill="B1A0C7"/>
            <w:noWrap/>
            <w:vAlign w:val="bottom"/>
            <w:hideMark/>
          </w:tcPr>
          <w:p w:rsidR="00EF49BD" w:rsidRPr="00E03828" w:rsidRDefault="00EF49BD" w:rsidP="0064641A">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w:t>
            </w:r>
            <w:r w:rsidR="0064641A">
              <w:rPr>
                <w:rFonts w:ascii="Calibri" w:eastAsia="Times New Roman" w:hAnsi="Calibri"/>
                <w:color w:val="000000"/>
                <w:sz w:val="16"/>
                <w:szCs w:val="18"/>
                <w:lang w:val="fr-FR" w:eastAsia="en-GB"/>
              </w:rPr>
              <w:t>46</w:t>
            </w:r>
          </w:p>
        </w:tc>
        <w:tc>
          <w:tcPr>
            <w:tcW w:w="0" w:type="auto"/>
            <w:tcBorders>
              <w:top w:val="nil"/>
              <w:left w:val="nil"/>
              <w:bottom w:val="single" w:sz="4" w:space="0" w:color="auto"/>
              <w:right w:val="single" w:sz="4" w:space="0" w:color="auto"/>
            </w:tcBorders>
            <w:shd w:val="clear" w:color="000000" w:fill="B1A0C7"/>
            <w:noWrap/>
            <w:vAlign w:val="bottom"/>
            <w:hideMark/>
          </w:tcPr>
          <w:p w:rsidR="00EF49BD" w:rsidRPr="00E03828" w:rsidRDefault="00EF49BD" w:rsidP="0064641A">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w:t>
            </w:r>
            <w:r w:rsidR="0064641A">
              <w:rPr>
                <w:rFonts w:ascii="Calibri" w:eastAsia="Times New Roman" w:hAnsi="Calibri"/>
                <w:color w:val="000000"/>
                <w:sz w:val="16"/>
                <w:szCs w:val="18"/>
                <w:lang w:val="fr-FR" w:eastAsia="en-GB"/>
              </w:rPr>
              <w:t>20</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9BD" w:rsidRPr="00E03828" w:rsidRDefault="00EF49BD">
            <w:pPr>
              <w:rPr>
                <w:rFonts w:asciiTheme="minorHAnsi" w:hAnsiTheme="minorHAnsi"/>
                <w:color w:val="000000"/>
                <w:sz w:val="16"/>
                <w:szCs w:val="16"/>
                <w:lang w:val="fr-FR"/>
              </w:rPr>
            </w:pPr>
            <w:r w:rsidRPr="00E03828">
              <w:rPr>
                <w:rFonts w:asciiTheme="minorHAnsi" w:hAnsiTheme="minorHAnsi"/>
                <w:color w:val="000000"/>
                <w:sz w:val="16"/>
                <w:szCs w:val="16"/>
                <w:lang w:val="fr-FR"/>
              </w:rPr>
              <w:t>i.  Administration, ressources humaines, services financiers et informatiques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566</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546</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w:t>
            </w:r>
            <w:r w:rsidR="0064641A">
              <w:rPr>
                <w:rFonts w:ascii="Calibri" w:eastAsia="Times New Roman" w:hAnsi="Calibri"/>
                <w:color w:val="000000"/>
                <w:sz w:val="16"/>
                <w:szCs w:val="18"/>
                <w:lang w:val="fr-FR" w:eastAsia="en-GB"/>
              </w:rPr>
              <w:t>20</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EF49BD" w:rsidRPr="00E03828" w:rsidRDefault="00EF49BD">
            <w:pPr>
              <w:rPr>
                <w:rFonts w:asciiTheme="minorHAnsi" w:hAnsiTheme="minorHAnsi"/>
                <w:color w:val="000000"/>
                <w:sz w:val="16"/>
                <w:szCs w:val="16"/>
                <w:lang w:val="fr-FR"/>
              </w:rPr>
            </w:pPr>
            <w:r w:rsidRPr="00E03828">
              <w:rPr>
                <w:rFonts w:asciiTheme="minorHAnsi" w:hAnsiTheme="minorHAnsi"/>
                <w:color w:val="000000"/>
                <w:sz w:val="16"/>
                <w:szCs w:val="16"/>
                <w:lang w:val="fr-FR"/>
              </w:rPr>
              <w:t>K.  Divers - Fonds de réserve</w:t>
            </w:r>
          </w:p>
        </w:tc>
        <w:tc>
          <w:tcPr>
            <w:tcW w:w="0" w:type="auto"/>
            <w:tcBorders>
              <w:top w:val="nil"/>
              <w:left w:val="single" w:sz="4" w:space="0" w:color="auto"/>
              <w:bottom w:val="single" w:sz="4" w:space="0" w:color="auto"/>
              <w:right w:val="single" w:sz="4" w:space="0" w:color="auto"/>
            </w:tcBorders>
            <w:shd w:val="clear" w:color="000000" w:fill="B1A0C7"/>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110</w:t>
            </w:r>
          </w:p>
        </w:tc>
        <w:tc>
          <w:tcPr>
            <w:tcW w:w="0" w:type="auto"/>
            <w:tcBorders>
              <w:top w:val="nil"/>
              <w:left w:val="nil"/>
              <w:bottom w:val="single" w:sz="4" w:space="0" w:color="auto"/>
              <w:right w:val="single" w:sz="4" w:space="0" w:color="auto"/>
            </w:tcBorders>
            <w:shd w:val="clear" w:color="000000" w:fill="B1A0C7"/>
            <w:noWrap/>
            <w:vAlign w:val="bottom"/>
            <w:hideMark/>
          </w:tcPr>
          <w:p w:rsidR="00EF49BD" w:rsidRPr="00E03828" w:rsidRDefault="00EF49BD" w:rsidP="0064641A">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w:t>
            </w:r>
            <w:r w:rsidR="0064641A">
              <w:rPr>
                <w:rFonts w:ascii="Calibri" w:eastAsia="Times New Roman" w:hAnsi="Calibri"/>
                <w:color w:val="000000"/>
                <w:sz w:val="16"/>
                <w:szCs w:val="18"/>
                <w:lang w:val="fr-FR" w:eastAsia="en-GB"/>
              </w:rPr>
              <w:t>85</w:t>
            </w:r>
          </w:p>
        </w:tc>
        <w:tc>
          <w:tcPr>
            <w:tcW w:w="0" w:type="auto"/>
            <w:tcBorders>
              <w:top w:val="nil"/>
              <w:left w:val="nil"/>
              <w:bottom w:val="single" w:sz="4" w:space="0" w:color="auto"/>
              <w:right w:val="single" w:sz="4" w:space="0" w:color="auto"/>
            </w:tcBorders>
            <w:shd w:val="clear" w:color="000000" w:fill="B1A0C7"/>
            <w:noWrap/>
            <w:vAlign w:val="bottom"/>
            <w:hideMark/>
          </w:tcPr>
          <w:p w:rsidR="00EF49BD"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575</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9BD" w:rsidRPr="00E03828" w:rsidRDefault="00EF49BD">
            <w:pPr>
              <w:rPr>
                <w:rFonts w:asciiTheme="minorHAnsi" w:hAnsiTheme="minorHAnsi"/>
                <w:color w:val="000000"/>
                <w:sz w:val="16"/>
                <w:szCs w:val="16"/>
                <w:lang w:val="fr-FR"/>
              </w:rPr>
            </w:pPr>
            <w:r w:rsidRPr="00E03828">
              <w:rPr>
                <w:rFonts w:asciiTheme="minorHAnsi" w:hAnsiTheme="minorHAnsi"/>
                <w:color w:val="000000"/>
                <w:sz w:val="16"/>
                <w:szCs w:val="16"/>
                <w:lang w:val="fr-FR"/>
              </w:rPr>
              <w:t>i.  Fonds de réserve</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EF49BD" w:rsidRPr="00E03828" w:rsidRDefault="00EF49BD"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EF49BD"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EF49BD"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9BD" w:rsidRPr="00E03828" w:rsidRDefault="00EF49BD" w:rsidP="00232FB1">
            <w:pPr>
              <w:rPr>
                <w:rFonts w:asciiTheme="minorHAnsi" w:hAnsiTheme="minorHAnsi"/>
                <w:color w:val="000000"/>
                <w:sz w:val="16"/>
                <w:szCs w:val="16"/>
                <w:lang w:val="fr-FR"/>
              </w:rPr>
            </w:pPr>
            <w:r w:rsidRPr="00E03828">
              <w:rPr>
                <w:rFonts w:asciiTheme="minorHAnsi" w:hAnsiTheme="minorHAnsi"/>
                <w:color w:val="000000"/>
                <w:sz w:val="16"/>
                <w:szCs w:val="16"/>
                <w:lang w:val="fr-FR"/>
              </w:rPr>
              <w:t>ii.  Augmentation des provisions et pertes de change</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50</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406</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356</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9BD" w:rsidRPr="00E03828" w:rsidRDefault="00EF49BD">
            <w:pPr>
              <w:rPr>
                <w:rFonts w:asciiTheme="minorHAnsi" w:hAnsiTheme="minorHAnsi"/>
                <w:color w:val="000000"/>
                <w:sz w:val="16"/>
                <w:szCs w:val="16"/>
                <w:lang w:val="fr-FR"/>
              </w:rPr>
            </w:pPr>
            <w:r w:rsidRPr="00E03828">
              <w:rPr>
                <w:rFonts w:asciiTheme="minorHAnsi" w:hAnsiTheme="minorHAnsi"/>
                <w:color w:val="000000"/>
                <w:sz w:val="16"/>
                <w:szCs w:val="16"/>
                <w:lang w:val="fr-FR"/>
              </w:rPr>
              <w:t>iii.  Autres frais non indiqués plus haut – S</w:t>
            </w:r>
            <w:r w:rsidRPr="00E03828">
              <w:rPr>
                <w:rFonts w:asciiTheme="minorHAnsi" w:hAnsiTheme="minorHAnsi"/>
                <w:i/>
                <w:iCs/>
                <w:color w:val="000000"/>
                <w:sz w:val="16"/>
                <w:szCs w:val="16"/>
                <w:lang w:val="fr-FR"/>
              </w:rPr>
              <w:t>ervices juridiques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EF49BD" w:rsidRPr="00E03828" w:rsidRDefault="00EF49BD"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60</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71</w:t>
            </w:r>
          </w:p>
        </w:tc>
        <w:tc>
          <w:tcPr>
            <w:tcW w:w="0" w:type="auto"/>
            <w:tcBorders>
              <w:top w:val="nil"/>
              <w:left w:val="nil"/>
              <w:bottom w:val="single" w:sz="4" w:space="0" w:color="auto"/>
              <w:right w:val="single" w:sz="4" w:space="0" w:color="auto"/>
            </w:tcBorders>
            <w:shd w:val="clear" w:color="000000" w:fill="E4DFEC"/>
            <w:noWrap/>
            <w:vAlign w:val="bottom"/>
            <w:hideMark/>
          </w:tcPr>
          <w:p w:rsidR="00EF49BD"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11</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F49BD" w:rsidRPr="00E03828" w:rsidRDefault="00EF49BD" w:rsidP="00EF49BD">
            <w:pPr>
              <w:rPr>
                <w:rFonts w:asciiTheme="minorHAnsi" w:hAnsiTheme="minorHAnsi"/>
                <w:color w:val="000000"/>
                <w:sz w:val="16"/>
                <w:szCs w:val="16"/>
                <w:lang w:val="fr-FR"/>
              </w:rPr>
            </w:pPr>
            <w:r w:rsidRPr="00E03828">
              <w:rPr>
                <w:rFonts w:asciiTheme="minorHAnsi" w:hAnsiTheme="minorHAnsi"/>
                <w:color w:val="000000"/>
                <w:sz w:val="16"/>
                <w:szCs w:val="16"/>
                <w:lang w:val="fr-FR"/>
              </w:rPr>
              <w:t>iv.  Provision pour créances douteuses</w:t>
            </w:r>
          </w:p>
        </w:tc>
        <w:tc>
          <w:tcPr>
            <w:tcW w:w="0" w:type="auto"/>
            <w:tcBorders>
              <w:top w:val="nil"/>
              <w:left w:val="single" w:sz="4" w:space="0" w:color="auto"/>
              <w:bottom w:val="single" w:sz="8" w:space="0" w:color="auto"/>
              <w:right w:val="single" w:sz="4" w:space="0" w:color="auto"/>
            </w:tcBorders>
            <w:shd w:val="clear" w:color="000000" w:fill="E4DFEC"/>
            <w:noWrap/>
            <w:vAlign w:val="bottom"/>
            <w:hideMark/>
          </w:tcPr>
          <w:p w:rsidR="00EF49BD" w:rsidRPr="00E03828" w:rsidRDefault="00EF49BD"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8" w:space="0" w:color="auto"/>
              <w:right w:val="single" w:sz="4" w:space="0" w:color="auto"/>
            </w:tcBorders>
            <w:shd w:val="clear" w:color="000000" w:fill="E4DFEC"/>
            <w:noWrap/>
            <w:vAlign w:val="bottom"/>
            <w:hideMark/>
          </w:tcPr>
          <w:p w:rsidR="00EF49BD"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208</w:t>
            </w:r>
          </w:p>
        </w:tc>
        <w:tc>
          <w:tcPr>
            <w:tcW w:w="0" w:type="auto"/>
            <w:tcBorders>
              <w:top w:val="nil"/>
              <w:left w:val="nil"/>
              <w:bottom w:val="single" w:sz="8" w:space="0" w:color="auto"/>
              <w:right w:val="single" w:sz="4" w:space="0" w:color="auto"/>
            </w:tcBorders>
            <w:shd w:val="clear" w:color="000000" w:fill="E4DFEC"/>
            <w:noWrap/>
            <w:vAlign w:val="bottom"/>
            <w:hideMark/>
          </w:tcPr>
          <w:p w:rsidR="00EF49BD"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208</w:t>
            </w:r>
          </w:p>
        </w:tc>
      </w:tr>
      <w:tr w:rsidR="00EF49B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EF49BD" w:rsidRPr="00E03828" w:rsidRDefault="00EF49BD">
            <w:pPr>
              <w:rPr>
                <w:rFonts w:asciiTheme="minorHAnsi" w:hAnsiTheme="minorHAnsi"/>
                <w:b/>
                <w:bCs/>
                <w:color w:val="000000"/>
                <w:sz w:val="16"/>
                <w:szCs w:val="16"/>
                <w:lang w:val="fr-FR"/>
              </w:rPr>
            </w:pPr>
            <w:r w:rsidRPr="00E03828">
              <w:rPr>
                <w:rFonts w:asciiTheme="minorHAnsi" w:hAnsiTheme="minorHAnsi"/>
                <w:b/>
                <w:bCs/>
                <w:color w:val="000000"/>
                <w:sz w:val="16"/>
                <w:szCs w:val="16"/>
                <w:lang w:val="fr-FR"/>
              </w:rPr>
              <w:t>TOTAL DES DÉPENSES</w:t>
            </w:r>
          </w:p>
        </w:tc>
        <w:tc>
          <w:tcPr>
            <w:tcW w:w="0" w:type="auto"/>
            <w:tcBorders>
              <w:top w:val="single" w:sz="4" w:space="0" w:color="auto"/>
              <w:left w:val="single" w:sz="4" w:space="0" w:color="auto"/>
              <w:bottom w:val="double" w:sz="6" w:space="0" w:color="auto"/>
              <w:right w:val="single" w:sz="4" w:space="0" w:color="auto"/>
            </w:tcBorders>
            <w:shd w:val="clear" w:color="000000" w:fill="B1A0C7"/>
            <w:noWrap/>
            <w:vAlign w:val="bottom"/>
            <w:hideMark/>
          </w:tcPr>
          <w:p w:rsidR="00EF49BD" w:rsidRPr="00E03828" w:rsidRDefault="00EF49BD"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5</w:t>
            </w:r>
            <w:r w:rsidR="00694A0B" w:rsidRPr="00E03828">
              <w:rPr>
                <w:rFonts w:ascii="Calibri" w:eastAsia="Times New Roman" w:hAnsi="Calibri"/>
                <w:b/>
                <w:bCs/>
                <w:color w:val="000000"/>
                <w:sz w:val="16"/>
                <w:szCs w:val="18"/>
                <w:lang w:val="fr-FR" w:eastAsia="en-GB"/>
              </w:rPr>
              <w:t> </w:t>
            </w:r>
            <w:r w:rsidRPr="00E03828">
              <w:rPr>
                <w:rFonts w:ascii="Calibri" w:eastAsia="Times New Roman" w:hAnsi="Calibri"/>
                <w:b/>
                <w:bCs/>
                <w:color w:val="000000"/>
                <w:sz w:val="16"/>
                <w:szCs w:val="18"/>
                <w:lang w:val="fr-FR" w:eastAsia="en-GB"/>
              </w:rPr>
              <w:t>081</w:t>
            </w:r>
          </w:p>
        </w:tc>
        <w:tc>
          <w:tcPr>
            <w:tcW w:w="0" w:type="auto"/>
            <w:tcBorders>
              <w:top w:val="single" w:sz="4" w:space="0" w:color="auto"/>
              <w:left w:val="nil"/>
              <w:bottom w:val="double" w:sz="6" w:space="0" w:color="auto"/>
              <w:right w:val="single" w:sz="4" w:space="0" w:color="auto"/>
            </w:tcBorders>
            <w:shd w:val="clear" w:color="000000" w:fill="B1A0C7"/>
            <w:noWrap/>
            <w:vAlign w:val="bottom"/>
            <w:hideMark/>
          </w:tcPr>
          <w:p w:rsidR="00EF49BD" w:rsidRPr="00E03828" w:rsidRDefault="00EF49BD"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5</w:t>
            </w:r>
            <w:r w:rsidR="00694A0B" w:rsidRPr="00E03828">
              <w:rPr>
                <w:rFonts w:ascii="Calibri" w:eastAsia="Times New Roman" w:hAnsi="Calibri"/>
                <w:b/>
                <w:bCs/>
                <w:color w:val="000000"/>
                <w:sz w:val="16"/>
                <w:szCs w:val="18"/>
                <w:lang w:val="fr-FR" w:eastAsia="en-GB"/>
              </w:rPr>
              <w:t> </w:t>
            </w:r>
            <w:r w:rsidRPr="00E03828">
              <w:rPr>
                <w:rFonts w:ascii="Calibri" w:eastAsia="Times New Roman" w:hAnsi="Calibri"/>
                <w:b/>
                <w:bCs/>
                <w:color w:val="000000"/>
                <w:sz w:val="16"/>
                <w:szCs w:val="18"/>
                <w:lang w:val="fr-FR" w:eastAsia="en-GB"/>
              </w:rPr>
              <w:t>4</w:t>
            </w:r>
            <w:r w:rsidR="0064641A">
              <w:rPr>
                <w:rFonts w:ascii="Calibri" w:eastAsia="Times New Roman" w:hAnsi="Calibri"/>
                <w:b/>
                <w:bCs/>
                <w:color w:val="000000"/>
                <w:sz w:val="16"/>
                <w:szCs w:val="18"/>
                <w:lang w:val="fr-FR" w:eastAsia="en-GB"/>
              </w:rPr>
              <w:t>06</w:t>
            </w:r>
          </w:p>
        </w:tc>
        <w:tc>
          <w:tcPr>
            <w:tcW w:w="0" w:type="auto"/>
            <w:tcBorders>
              <w:top w:val="single" w:sz="4" w:space="0" w:color="auto"/>
              <w:left w:val="nil"/>
              <w:bottom w:val="double" w:sz="6" w:space="0" w:color="auto"/>
              <w:right w:val="single" w:sz="4" w:space="0" w:color="auto"/>
            </w:tcBorders>
            <w:shd w:val="clear" w:color="000000" w:fill="B1A0C7"/>
            <w:noWrap/>
            <w:vAlign w:val="bottom"/>
            <w:hideMark/>
          </w:tcPr>
          <w:p w:rsidR="00EF49BD" w:rsidRPr="00E03828" w:rsidRDefault="0064641A" w:rsidP="00A56B73">
            <w:pPr>
              <w:jc w:val="right"/>
              <w:rPr>
                <w:rFonts w:ascii="Calibri" w:eastAsia="Times New Roman" w:hAnsi="Calibri"/>
                <w:b/>
                <w:bCs/>
                <w:color w:val="000000"/>
                <w:sz w:val="16"/>
                <w:szCs w:val="18"/>
                <w:lang w:val="fr-FR" w:eastAsia="en-GB"/>
              </w:rPr>
            </w:pPr>
            <w:r>
              <w:rPr>
                <w:rFonts w:ascii="Calibri" w:eastAsia="Times New Roman" w:hAnsi="Calibri"/>
                <w:b/>
                <w:bCs/>
                <w:color w:val="000000"/>
                <w:sz w:val="16"/>
                <w:szCs w:val="18"/>
                <w:lang w:val="fr-FR" w:eastAsia="en-GB"/>
              </w:rPr>
              <w:t>32</w:t>
            </w:r>
            <w:r w:rsidR="00EF49BD" w:rsidRPr="00E03828">
              <w:rPr>
                <w:rFonts w:ascii="Calibri" w:eastAsia="Times New Roman" w:hAnsi="Calibri"/>
                <w:b/>
                <w:bCs/>
                <w:color w:val="000000"/>
                <w:sz w:val="16"/>
                <w:szCs w:val="18"/>
                <w:lang w:val="fr-FR" w:eastAsia="en-GB"/>
              </w:rPr>
              <w:t>6</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EF49BD" w:rsidP="00A56B73">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EXCÉDENT / (DÉ</w:t>
            </w:r>
            <w:r w:rsidR="00A56B73" w:rsidRPr="00E03828">
              <w:rPr>
                <w:rFonts w:ascii="Calibri" w:eastAsia="Times New Roman" w:hAnsi="Calibri"/>
                <w:b/>
                <w:bCs/>
                <w:color w:val="000000"/>
                <w:sz w:val="16"/>
                <w:szCs w:val="18"/>
                <w:lang w:val="fr-FR" w:eastAsia="en-GB"/>
              </w:rPr>
              <w:t>FICIT)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64641A">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w:t>
            </w:r>
            <w:r w:rsidR="0064641A">
              <w:rPr>
                <w:rFonts w:ascii="Calibri" w:eastAsia="Times New Roman" w:hAnsi="Calibri"/>
                <w:b/>
                <w:bCs/>
                <w:color w:val="000000"/>
                <w:sz w:val="16"/>
                <w:szCs w:val="18"/>
                <w:lang w:val="fr-FR" w:eastAsia="en-GB"/>
              </w:rPr>
              <w:t>337</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64641A" w:rsidP="00A56B73">
            <w:pPr>
              <w:jc w:val="right"/>
              <w:rPr>
                <w:rFonts w:ascii="Calibri" w:eastAsia="Times New Roman" w:hAnsi="Calibri"/>
                <w:b/>
                <w:bCs/>
                <w:color w:val="000000"/>
                <w:sz w:val="16"/>
                <w:szCs w:val="18"/>
                <w:lang w:val="fr-FR" w:eastAsia="en-GB"/>
              </w:rPr>
            </w:pPr>
            <w:r>
              <w:rPr>
                <w:rFonts w:ascii="Calibri" w:eastAsia="Times New Roman" w:hAnsi="Calibri"/>
                <w:b/>
                <w:bCs/>
                <w:color w:val="000000"/>
                <w:sz w:val="16"/>
                <w:szCs w:val="18"/>
                <w:lang w:val="fr-FR" w:eastAsia="en-GB"/>
              </w:rPr>
              <w:t>-337</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E4DFEC"/>
            <w:vAlign w:val="bottom"/>
            <w:hideMark/>
          </w:tcPr>
          <w:p w:rsidR="00A56B73" w:rsidRPr="00E03828" w:rsidRDefault="00EF49BD" w:rsidP="00A56B73">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TOTAL DE</w:t>
            </w:r>
            <w:r w:rsidR="00232FB1" w:rsidRPr="00E03828">
              <w:rPr>
                <w:rFonts w:ascii="Calibri" w:eastAsia="Times New Roman" w:hAnsi="Calibri"/>
                <w:b/>
                <w:bCs/>
                <w:color w:val="000000"/>
                <w:sz w:val="16"/>
                <w:szCs w:val="18"/>
                <w:lang w:val="fr-FR" w:eastAsia="en-GB"/>
              </w:rPr>
              <w:t xml:space="preserve">S COÛTS SALARIAUX – </w:t>
            </w:r>
            <w:r w:rsidRPr="00E03828">
              <w:rPr>
                <w:rFonts w:ascii="Calibri" w:eastAsia="Times New Roman" w:hAnsi="Calibri"/>
                <w:b/>
                <w:bCs/>
                <w:color w:val="000000"/>
                <w:sz w:val="16"/>
                <w:szCs w:val="18"/>
                <w:lang w:val="fr-FR" w:eastAsia="en-GB"/>
              </w:rPr>
              <w:t>traitements</w:t>
            </w:r>
            <w:r w:rsidR="00232FB1" w:rsidRPr="00E03828">
              <w:rPr>
                <w:rFonts w:ascii="Calibri" w:eastAsia="Times New Roman" w:hAnsi="Calibri"/>
                <w:b/>
                <w:bCs/>
                <w:color w:val="000000"/>
                <w:sz w:val="16"/>
                <w:szCs w:val="18"/>
                <w:lang w:val="fr-FR" w:eastAsia="en-GB"/>
              </w:rPr>
              <w:t xml:space="preserve"> et dépenses connexes</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3</w:t>
            </w:r>
            <w:r w:rsidR="00694A0B" w:rsidRPr="00E03828">
              <w:rPr>
                <w:rFonts w:ascii="Calibri" w:eastAsia="Times New Roman" w:hAnsi="Calibri"/>
                <w:b/>
                <w:bCs/>
                <w:color w:val="000000"/>
                <w:sz w:val="16"/>
                <w:szCs w:val="18"/>
                <w:lang w:val="fr-FR" w:eastAsia="en-GB"/>
              </w:rPr>
              <w:t> </w:t>
            </w:r>
            <w:r w:rsidRPr="00E03828">
              <w:rPr>
                <w:rFonts w:ascii="Calibri" w:eastAsia="Times New Roman" w:hAnsi="Calibri"/>
                <w:b/>
                <w:bCs/>
                <w:color w:val="000000"/>
                <w:sz w:val="16"/>
                <w:szCs w:val="18"/>
                <w:lang w:val="fr-FR" w:eastAsia="en-GB"/>
              </w:rPr>
              <w:t>435</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64641A">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3</w:t>
            </w:r>
            <w:r w:rsidR="00694A0B" w:rsidRPr="00E03828">
              <w:rPr>
                <w:rFonts w:ascii="Calibri" w:eastAsia="Times New Roman" w:hAnsi="Calibri"/>
                <w:b/>
                <w:bCs/>
                <w:color w:val="000000"/>
                <w:sz w:val="16"/>
                <w:szCs w:val="18"/>
                <w:lang w:val="fr-FR" w:eastAsia="en-GB"/>
              </w:rPr>
              <w:t> </w:t>
            </w:r>
            <w:r w:rsidR="0064641A">
              <w:rPr>
                <w:rFonts w:ascii="Calibri" w:eastAsia="Times New Roman" w:hAnsi="Calibri"/>
                <w:b/>
                <w:bCs/>
                <w:color w:val="000000"/>
                <w:sz w:val="16"/>
                <w:szCs w:val="18"/>
                <w:lang w:val="fr-FR" w:eastAsia="en-GB"/>
              </w:rPr>
              <w:t>217</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64641A" w:rsidP="00A56B73">
            <w:pPr>
              <w:jc w:val="right"/>
              <w:rPr>
                <w:rFonts w:ascii="Calibri" w:eastAsia="Times New Roman" w:hAnsi="Calibri"/>
                <w:b/>
                <w:bCs/>
                <w:color w:val="000000"/>
                <w:sz w:val="16"/>
                <w:szCs w:val="18"/>
                <w:lang w:val="fr-FR" w:eastAsia="en-GB"/>
              </w:rPr>
            </w:pPr>
            <w:r>
              <w:rPr>
                <w:rFonts w:ascii="Calibri" w:eastAsia="Times New Roman" w:hAnsi="Calibri"/>
                <w:b/>
                <w:bCs/>
                <w:color w:val="000000"/>
                <w:sz w:val="16"/>
                <w:szCs w:val="18"/>
                <w:lang w:val="fr-FR" w:eastAsia="en-GB"/>
              </w:rPr>
              <w:t>-218</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68%</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59</w:t>
            </w:r>
            <w:r w:rsidR="00A56B73" w:rsidRPr="00E03828">
              <w:rPr>
                <w:rFonts w:ascii="Calibri" w:eastAsia="Times New Roman" w:hAnsi="Calibri"/>
                <w:color w:val="000000"/>
                <w:sz w:val="16"/>
                <w:szCs w:val="18"/>
                <w:lang w:val="fr-FR" w:eastAsia="en-GB"/>
              </w:rPr>
              <w:t>%</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64641A" w:rsidP="00A56B73">
            <w:pPr>
              <w:jc w:val="right"/>
              <w:rPr>
                <w:rFonts w:ascii="Calibri" w:eastAsia="Times New Roman" w:hAnsi="Calibri"/>
                <w:color w:val="000000"/>
                <w:sz w:val="16"/>
                <w:szCs w:val="18"/>
                <w:lang w:val="fr-FR" w:eastAsia="en-GB"/>
              </w:rPr>
            </w:pPr>
            <w:r>
              <w:rPr>
                <w:rFonts w:ascii="Calibri" w:eastAsia="Times New Roman" w:hAnsi="Calibri"/>
                <w:color w:val="000000"/>
                <w:sz w:val="16"/>
                <w:szCs w:val="18"/>
                <w:lang w:val="fr-FR" w:eastAsia="en-GB"/>
              </w:rPr>
              <w:t>-8</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EF49BD" w:rsidP="00A56B73">
            <w:pPr>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TOTAL DES FRAIS DE DÉPLACEMENT</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165</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156</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b/>
                <w:bCs/>
                <w:color w:val="000000"/>
                <w:sz w:val="16"/>
                <w:szCs w:val="18"/>
                <w:lang w:val="fr-FR" w:eastAsia="en-GB"/>
              </w:rPr>
            </w:pPr>
            <w:r w:rsidRPr="00E03828">
              <w:rPr>
                <w:rFonts w:ascii="Calibri" w:eastAsia="Times New Roman" w:hAnsi="Calibri"/>
                <w:b/>
                <w:bCs/>
                <w:color w:val="000000"/>
                <w:sz w:val="16"/>
                <w:szCs w:val="18"/>
                <w:lang w:val="fr-FR" w:eastAsia="en-GB"/>
              </w:rPr>
              <w:t>-9</w:t>
            </w:r>
          </w:p>
        </w:tc>
      </w:tr>
      <w:tr w:rsidR="00C04C0D" w:rsidRPr="00E03828" w:rsidTr="00801530">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E03828" w:rsidRDefault="00A56B73" w:rsidP="00A56B73">
            <w:pPr>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 </w:t>
            </w:r>
          </w:p>
        </w:tc>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p>
        </w:tc>
        <w:tc>
          <w:tcPr>
            <w:tcW w:w="0" w:type="auto"/>
            <w:tcBorders>
              <w:top w:val="nil"/>
              <w:left w:val="nil"/>
              <w:bottom w:val="single" w:sz="4" w:space="0" w:color="auto"/>
              <w:right w:val="single" w:sz="4" w:space="0" w:color="auto"/>
            </w:tcBorders>
            <w:shd w:val="clear" w:color="000000" w:fill="E4DFEC"/>
            <w:noWrap/>
            <w:vAlign w:val="bottom"/>
            <w:hideMark/>
          </w:tcPr>
          <w:p w:rsidR="00A56B73" w:rsidRPr="00E03828" w:rsidRDefault="00A56B73" w:rsidP="00A56B73">
            <w:pPr>
              <w:jc w:val="right"/>
              <w:rPr>
                <w:rFonts w:ascii="Calibri" w:eastAsia="Times New Roman" w:hAnsi="Calibri"/>
                <w:color w:val="000000"/>
                <w:sz w:val="16"/>
                <w:szCs w:val="18"/>
                <w:lang w:val="fr-FR" w:eastAsia="en-GB"/>
              </w:rPr>
            </w:pPr>
            <w:r w:rsidRPr="00E03828">
              <w:rPr>
                <w:rFonts w:ascii="Calibri" w:eastAsia="Times New Roman" w:hAnsi="Calibri"/>
                <w:color w:val="000000"/>
                <w:sz w:val="16"/>
                <w:szCs w:val="18"/>
                <w:lang w:val="fr-FR" w:eastAsia="en-GB"/>
              </w:rPr>
              <w:t>3%</w:t>
            </w:r>
          </w:p>
        </w:tc>
      </w:tr>
    </w:tbl>
    <w:p w:rsidR="00B2252D" w:rsidRDefault="00584EE3" w:rsidP="002D6888">
      <w:pPr>
        <w:rPr>
          <w:rFonts w:asciiTheme="minorHAnsi" w:hAnsiTheme="minorHAnsi" w:cs="Calibri"/>
          <w:b/>
          <w:lang w:val="fr-FR"/>
        </w:rPr>
      </w:pPr>
      <w:r w:rsidRPr="00E03828">
        <w:rPr>
          <w:rFonts w:asciiTheme="minorHAnsi" w:hAnsiTheme="minorHAnsi" w:cs="Calibri"/>
          <w:b/>
          <w:lang w:val="fr-FR"/>
        </w:rPr>
        <w:lastRenderedPageBreak/>
        <w:t>Annex</w:t>
      </w:r>
      <w:r w:rsidR="00E93981" w:rsidRPr="00E03828">
        <w:rPr>
          <w:rFonts w:asciiTheme="minorHAnsi" w:hAnsiTheme="minorHAnsi" w:cs="Calibri"/>
          <w:b/>
          <w:lang w:val="fr-FR"/>
        </w:rPr>
        <w:t>e</w:t>
      </w:r>
      <w:r w:rsidRPr="00E03828">
        <w:rPr>
          <w:rFonts w:asciiTheme="minorHAnsi" w:hAnsiTheme="minorHAnsi" w:cs="Calibri"/>
          <w:b/>
          <w:lang w:val="fr-FR"/>
        </w:rPr>
        <w:t xml:space="preserve"> 3</w:t>
      </w:r>
    </w:p>
    <w:p w:rsidR="00584EE3" w:rsidRPr="00E03828" w:rsidRDefault="00E93981" w:rsidP="002D6888">
      <w:pPr>
        <w:rPr>
          <w:rFonts w:asciiTheme="minorHAnsi" w:hAnsiTheme="minorHAnsi" w:cs="Calibri"/>
          <w:b/>
          <w:lang w:val="fr-FR"/>
        </w:rPr>
      </w:pPr>
      <w:r w:rsidRPr="00E03828">
        <w:rPr>
          <w:rFonts w:asciiTheme="minorHAnsi" w:hAnsiTheme="minorHAnsi" w:cs="Calibri"/>
          <w:b/>
          <w:lang w:val="fr-FR"/>
        </w:rPr>
        <w:t>Budget 2016 approuvé à la 51</w:t>
      </w:r>
      <w:r w:rsidRPr="00E03828">
        <w:rPr>
          <w:rFonts w:asciiTheme="minorHAnsi" w:hAnsiTheme="minorHAnsi" w:cs="Calibri"/>
          <w:b/>
          <w:vertAlign w:val="superscript"/>
          <w:lang w:val="fr-FR"/>
        </w:rPr>
        <w:t>e</w:t>
      </w:r>
      <w:r w:rsidR="005A2AF9" w:rsidRPr="00E03828">
        <w:rPr>
          <w:rFonts w:asciiTheme="minorHAnsi" w:hAnsiTheme="minorHAnsi" w:cs="Calibri"/>
          <w:b/>
          <w:lang w:val="fr-FR"/>
        </w:rPr>
        <w:t> </w:t>
      </w:r>
      <w:r w:rsidRPr="00E03828">
        <w:rPr>
          <w:rFonts w:asciiTheme="minorHAnsi" w:hAnsiTheme="minorHAnsi" w:cs="Calibri"/>
          <w:b/>
          <w:lang w:val="fr-FR"/>
        </w:rPr>
        <w:t>Réunion du Comité permanent</w:t>
      </w:r>
      <w:r w:rsidR="00B2252D">
        <w:rPr>
          <w:rFonts w:asciiTheme="minorHAnsi" w:hAnsiTheme="minorHAnsi" w:cs="Calibri"/>
          <w:b/>
          <w:lang w:val="fr-FR"/>
        </w:rPr>
        <w:t xml:space="preserve"> (en milliers de CHF)</w:t>
      </w:r>
    </w:p>
    <w:p w:rsidR="00584EE3" w:rsidRPr="00E03828" w:rsidRDefault="00584EE3" w:rsidP="002D6888">
      <w:pPr>
        <w:rPr>
          <w:rFonts w:asciiTheme="minorHAnsi" w:hAnsiTheme="minorHAnsi"/>
          <w:b/>
          <w:sz w:val="16"/>
          <w:lang w:val="fr-FR"/>
        </w:rPr>
      </w:pPr>
    </w:p>
    <w:tbl>
      <w:tblPr>
        <w:tblW w:w="6132" w:type="dxa"/>
        <w:tblInd w:w="93" w:type="dxa"/>
        <w:tblLook w:val="04A0" w:firstRow="1" w:lastRow="0" w:firstColumn="1" w:lastColumn="0" w:noHBand="0" w:noVBand="1"/>
      </w:tblPr>
      <w:tblGrid>
        <w:gridCol w:w="5489"/>
        <w:gridCol w:w="714"/>
      </w:tblGrid>
      <w:tr w:rsidR="00584EE3" w:rsidRPr="00E03828" w:rsidTr="00E93981">
        <w:trPr>
          <w:trHeight w:val="229"/>
        </w:trPr>
        <w:tc>
          <w:tcPr>
            <w:tcW w:w="548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84EE3" w:rsidRPr="00E03828" w:rsidRDefault="00E93981" w:rsidP="00584EE3">
            <w:pPr>
              <w:rPr>
                <w:rFonts w:asciiTheme="minorHAnsi" w:eastAsia="Times New Roman" w:hAnsiTheme="minorHAnsi" w:cs="Arial"/>
                <w:b/>
                <w:bCs/>
                <w:color w:val="000000"/>
                <w:sz w:val="16"/>
                <w:lang w:val="fr-FR" w:eastAsia="en-GB"/>
              </w:rPr>
            </w:pPr>
            <w:r w:rsidRPr="00E03828">
              <w:rPr>
                <w:rFonts w:asciiTheme="minorHAnsi" w:eastAsia="Times New Roman" w:hAnsiTheme="minorHAnsi" w:cs="Arial"/>
                <w:b/>
                <w:bCs/>
                <w:color w:val="000000"/>
                <w:sz w:val="16"/>
                <w:lang w:val="fr-FR" w:eastAsia="en-GB"/>
              </w:rPr>
              <w:t>REVENUS</w:t>
            </w:r>
          </w:p>
        </w:tc>
        <w:tc>
          <w:tcPr>
            <w:tcW w:w="643"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84EE3" w:rsidRPr="00E03828" w:rsidRDefault="00F93179"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color w:val="000000"/>
                <w:sz w:val="16"/>
                <w:szCs w:val="22"/>
                <w:lang w:val="fr-FR" w:eastAsia="en-GB"/>
              </w:rPr>
              <w:t>En milliers de CHF</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i.  Contributions des Parties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3</w:t>
            </w:r>
            <w:r w:rsidR="00F93179" w:rsidRPr="00E03828">
              <w:rPr>
                <w:rFonts w:ascii="Arial" w:eastAsia="Times New Roman" w:hAnsi="Arial" w:cs="Arial"/>
                <w:color w:val="000000"/>
                <w:sz w:val="16"/>
                <w:szCs w:val="22"/>
                <w:lang w:val="fr-FR" w:eastAsia="en-GB"/>
              </w:rPr>
              <w:t> </w:t>
            </w:r>
            <w:r w:rsidRPr="00E03828">
              <w:rPr>
                <w:rFonts w:ascii="Arial" w:eastAsia="Times New Roman" w:hAnsi="Arial" w:cs="Arial"/>
                <w:color w:val="000000"/>
                <w:sz w:val="16"/>
                <w:szCs w:val="22"/>
                <w:lang w:val="fr-FR" w:eastAsia="en-GB"/>
              </w:rPr>
              <w:t>779</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ii.  Contributions volontaires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w:t>
            </w:r>
            <w:r w:rsidR="00F93179" w:rsidRPr="00E03828">
              <w:rPr>
                <w:rFonts w:ascii="Arial" w:eastAsia="Times New Roman" w:hAnsi="Arial" w:cs="Arial"/>
                <w:color w:val="000000"/>
                <w:sz w:val="16"/>
                <w:szCs w:val="22"/>
                <w:lang w:val="fr-FR" w:eastAsia="en-GB"/>
              </w:rPr>
              <w:t> </w:t>
            </w:r>
            <w:r w:rsidRPr="00E03828">
              <w:rPr>
                <w:rFonts w:ascii="Arial" w:eastAsia="Times New Roman" w:hAnsi="Arial" w:cs="Arial"/>
                <w:color w:val="000000"/>
                <w:sz w:val="16"/>
                <w:szCs w:val="22"/>
                <w:lang w:val="fr-FR" w:eastAsia="en-GB"/>
              </w:rPr>
              <w:t>065</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iii.  Impôts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225</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iv. Revenus d'intérêts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12</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E03828" w:rsidRDefault="00584EE3" w:rsidP="00E93981">
            <w:pPr>
              <w:rPr>
                <w:rFonts w:asciiTheme="minorHAnsi" w:eastAsia="Times New Roman" w:hAnsiTheme="minorHAnsi" w:cs="Arial"/>
                <w:b/>
                <w:bCs/>
                <w:color w:val="000000"/>
                <w:sz w:val="16"/>
                <w:szCs w:val="16"/>
                <w:lang w:val="fr-FR" w:eastAsia="en-GB"/>
              </w:rPr>
            </w:pPr>
            <w:r w:rsidRPr="00E03828">
              <w:rPr>
                <w:rFonts w:asciiTheme="minorHAnsi" w:eastAsia="Times New Roman" w:hAnsiTheme="minorHAnsi" w:cs="Arial"/>
                <w:b/>
                <w:bCs/>
                <w:color w:val="000000"/>
                <w:sz w:val="16"/>
                <w:szCs w:val="16"/>
                <w:lang w:val="fr-FR" w:eastAsia="en-GB"/>
              </w:rPr>
              <w:t xml:space="preserve">TOTAL </w:t>
            </w:r>
            <w:r w:rsidR="00E93981" w:rsidRPr="00E03828">
              <w:rPr>
                <w:rFonts w:asciiTheme="minorHAnsi" w:eastAsia="Times New Roman" w:hAnsiTheme="minorHAnsi" w:cs="Arial"/>
                <w:b/>
                <w:bCs/>
                <w:color w:val="000000"/>
                <w:sz w:val="16"/>
                <w:szCs w:val="16"/>
                <w:lang w:val="fr-FR" w:eastAsia="en-GB"/>
              </w:rPr>
              <w:t>DES REVENUS</w:t>
            </w:r>
          </w:p>
        </w:tc>
        <w:tc>
          <w:tcPr>
            <w:tcW w:w="643" w:type="dxa"/>
            <w:tcBorders>
              <w:top w:val="nil"/>
              <w:left w:val="nil"/>
              <w:bottom w:val="single" w:sz="4" w:space="0" w:color="auto"/>
              <w:right w:val="single" w:sz="4" w:space="0" w:color="auto"/>
            </w:tcBorders>
            <w:shd w:val="clear" w:color="000000" w:fill="C4D79B"/>
            <w:noWrap/>
            <w:vAlign w:val="bottom"/>
            <w:hideMark/>
          </w:tcPr>
          <w:p w:rsidR="00584EE3" w:rsidRPr="00E03828" w:rsidRDefault="00584EE3"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5</w:t>
            </w:r>
            <w:r w:rsidR="00F93179" w:rsidRPr="00E03828">
              <w:rPr>
                <w:rFonts w:ascii="Arial" w:eastAsia="Times New Roman" w:hAnsi="Arial" w:cs="Arial"/>
                <w:b/>
                <w:bCs/>
                <w:color w:val="000000"/>
                <w:sz w:val="16"/>
                <w:szCs w:val="22"/>
                <w:lang w:val="fr-FR" w:eastAsia="en-GB"/>
              </w:rPr>
              <w:t> </w:t>
            </w:r>
            <w:r w:rsidRPr="00E03828">
              <w:rPr>
                <w:rFonts w:ascii="Arial" w:eastAsia="Times New Roman" w:hAnsi="Arial" w:cs="Arial"/>
                <w:b/>
                <w:bCs/>
                <w:color w:val="000000"/>
                <w:sz w:val="16"/>
                <w:szCs w:val="22"/>
                <w:lang w:val="fr-FR" w:eastAsia="en-GB"/>
              </w:rPr>
              <w:t>081</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E03828" w:rsidRDefault="00584EE3" w:rsidP="00584EE3">
            <w:pPr>
              <w:rPr>
                <w:rFonts w:asciiTheme="minorHAnsi" w:eastAsia="Times New Roman" w:hAnsiTheme="minorHAnsi" w:cs="Arial"/>
                <w:color w:val="000000"/>
                <w:sz w:val="16"/>
                <w:szCs w:val="16"/>
                <w:lang w:val="fr-FR" w:eastAsia="en-GB"/>
              </w:rPr>
            </w:pPr>
            <w:r w:rsidRPr="00E03828">
              <w:rPr>
                <w:rFonts w:asciiTheme="minorHAnsi" w:eastAsia="Times New Roman" w:hAnsiTheme="minorHAnsi" w:cs="Arial"/>
                <w:color w:val="000000"/>
                <w:sz w:val="16"/>
                <w:szCs w:val="16"/>
                <w:lang w:val="fr-FR" w:eastAsia="en-GB"/>
              </w:rPr>
              <w:t> </w:t>
            </w:r>
          </w:p>
        </w:tc>
        <w:tc>
          <w:tcPr>
            <w:tcW w:w="643" w:type="dxa"/>
            <w:tcBorders>
              <w:top w:val="nil"/>
              <w:left w:val="nil"/>
              <w:bottom w:val="single" w:sz="4" w:space="0" w:color="auto"/>
              <w:right w:val="single" w:sz="4" w:space="0" w:color="auto"/>
            </w:tcBorders>
            <w:shd w:val="clear" w:color="auto" w:fill="auto"/>
            <w:noWrap/>
            <w:vAlign w:val="bottom"/>
            <w:hideMark/>
          </w:tcPr>
          <w:p w:rsidR="00584EE3" w:rsidRPr="00E03828" w:rsidRDefault="00584EE3" w:rsidP="00584EE3">
            <w:pPr>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 </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E03828" w:rsidRDefault="00E93981" w:rsidP="00584EE3">
            <w:pPr>
              <w:rPr>
                <w:rFonts w:asciiTheme="minorHAnsi" w:eastAsia="Times New Roman" w:hAnsiTheme="minorHAnsi" w:cs="Arial"/>
                <w:b/>
                <w:bCs/>
                <w:color w:val="000000"/>
                <w:sz w:val="16"/>
                <w:szCs w:val="16"/>
                <w:lang w:val="fr-FR" w:eastAsia="en-GB"/>
              </w:rPr>
            </w:pPr>
            <w:r w:rsidRPr="00E03828">
              <w:rPr>
                <w:rFonts w:asciiTheme="minorHAnsi" w:eastAsia="Times New Roman" w:hAnsiTheme="minorHAnsi" w:cs="Arial"/>
                <w:b/>
                <w:bCs/>
                <w:color w:val="000000"/>
                <w:sz w:val="16"/>
                <w:szCs w:val="16"/>
                <w:lang w:val="fr-FR" w:eastAsia="en-GB"/>
              </w:rPr>
              <w:t>DÉPENSES</w:t>
            </w:r>
          </w:p>
        </w:tc>
        <w:tc>
          <w:tcPr>
            <w:tcW w:w="643" w:type="dxa"/>
            <w:tcBorders>
              <w:top w:val="nil"/>
              <w:left w:val="nil"/>
              <w:bottom w:val="single" w:sz="4" w:space="0" w:color="auto"/>
              <w:right w:val="single" w:sz="4" w:space="0" w:color="auto"/>
            </w:tcBorders>
            <w:shd w:val="clear" w:color="auto" w:fill="auto"/>
            <w:noWrap/>
            <w:vAlign w:val="bottom"/>
            <w:hideMark/>
          </w:tcPr>
          <w:p w:rsidR="00584EE3" w:rsidRPr="00E03828" w:rsidRDefault="00584EE3" w:rsidP="00584EE3">
            <w:pPr>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 </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A.  Cadres supérieurs du Secrétariat</w:t>
            </w:r>
          </w:p>
        </w:tc>
        <w:tc>
          <w:tcPr>
            <w:tcW w:w="643" w:type="dxa"/>
            <w:tcBorders>
              <w:top w:val="nil"/>
              <w:left w:val="nil"/>
              <w:bottom w:val="single" w:sz="4" w:space="0" w:color="auto"/>
              <w:right w:val="single" w:sz="4" w:space="0" w:color="auto"/>
            </w:tcBorders>
            <w:shd w:val="clear" w:color="000000" w:fill="C4D79B"/>
            <w:noWrap/>
            <w:vAlign w:val="bottom"/>
            <w:hideMark/>
          </w:tcPr>
          <w:p w:rsidR="00E93981" w:rsidRPr="00E03828" w:rsidRDefault="00E93981"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605</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rsidP="00E93981">
            <w:pPr>
              <w:rPr>
                <w:rFonts w:asciiTheme="minorHAnsi" w:hAnsiTheme="minorHAnsi"/>
                <w:color w:val="000000"/>
                <w:sz w:val="16"/>
                <w:szCs w:val="16"/>
                <w:lang w:val="fr-FR"/>
              </w:rPr>
            </w:pPr>
            <w:r w:rsidRPr="00E03828">
              <w:rPr>
                <w:rFonts w:asciiTheme="minorHAnsi" w:hAnsiTheme="minorHAnsi"/>
                <w:color w:val="000000"/>
                <w:sz w:val="16"/>
                <w:szCs w:val="16"/>
                <w:lang w:val="fr-FR"/>
              </w:rPr>
              <w:t>Salaires et charges sociales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554</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rsidP="00E93981">
            <w:pPr>
              <w:rPr>
                <w:rFonts w:asciiTheme="minorHAnsi" w:hAnsiTheme="minorHAnsi"/>
                <w:color w:val="000000"/>
                <w:sz w:val="16"/>
                <w:szCs w:val="16"/>
                <w:lang w:val="fr-FR"/>
              </w:rPr>
            </w:pPr>
            <w:r w:rsidRPr="00E03828">
              <w:rPr>
                <w:rFonts w:asciiTheme="minorHAnsi" w:hAnsiTheme="minorHAnsi"/>
                <w:color w:val="000000"/>
                <w:sz w:val="16"/>
                <w:szCs w:val="16"/>
                <w:lang w:val="fr-FR"/>
              </w:rPr>
              <w:t>Autres prestations d'emploi</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26</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rsidP="00E93981">
            <w:pPr>
              <w:rPr>
                <w:rFonts w:asciiTheme="minorHAnsi" w:hAnsiTheme="minorHAnsi"/>
                <w:color w:val="000000"/>
                <w:sz w:val="16"/>
                <w:szCs w:val="16"/>
                <w:lang w:val="fr-FR"/>
              </w:rPr>
            </w:pPr>
            <w:r w:rsidRPr="00E03828">
              <w:rPr>
                <w:rFonts w:asciiTheme="minorHAnsi" w:hAnsiTheme="minorHAnsi"/>
                <w:color w:val="000000"/>
                <w:sz w:val="16"/>
                <w:szCs w:val="16"/>
                <w:lang w:val="fr-FR"/>
              </w:rPr>
              <w:t>Déplacements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25</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B.  Coordination des partenariats</w:t>
            </w:r>
          </w:p>
        </w:tc>
        <w:tc>
          <w:tcPr>
            <w:tcW w:w="643" w:type="dxa"/>
            <w:tcBorders>
              <w:top w:val="nil"/>
              <w:left w:val="nil"/>
              <w:bottom w:val="single" w:sz="4" w:space="0" w:color="auto"/>
              <w:right w:val="single" w:sz="4" w:space="0" w:color="auto"/>
            </w:tcBorders>
            <w:shd w:val="clear" w:color="000000" w:fill="C4D79B"/>
            <w:noWrap/>
            <w:vAlign w:val="bottom"/>
            <w:hideMark/>
          </w:tcPr>
          <w:p w:rsidR="00E93981" w:rsidRPr="00E03828" w:rsidRDefault="00E93981"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64</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Salaires et charges social</w:t>
            </w:r>
            <w:r w:rsidR="00F93179" w:rsidRPr="00E03828">
              <w:rPr>
                <w:rFonts w:asciiTheme="minorHAnsi" w:hAnsiTheme="minorHAnsi"/>
                <w:color w:val="000000"/>
                <w:sz w:val="16"/>
                <w:szCs w:val="16"/>
                <w:lang w:val="fr-FR"/>
              </w:rPr>
              <w:t>e</w:t>
            </w:r>
            <w:r w:rsidRPr="00E03828">
              <w:rPr>
                <w:rFonts w:asciiTheme="minorHAnsi" w:hAnsiTheme="minorHAnsi"/>
                <w:color w:val="000000"/>
                <w:sz w:val="16"/>
                <w:szCs w:val="16"/>
                <w:lang w:val="fr-FR"/>
              </w:rPr>
              <w:t>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47</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rsidP="002B2F16">
            <w:pPr>
              <w:rPr>
                <w:rFonts w:asciiTheme="minorHAnsi" w:hAnsiTheme="minorHAnsi"/>
                <w:color w:val="000000"/>
                <w:sz w:val="16"/>
                <w:szCs w:val="16"/>
                <w:lang w:val="fr-FR"/>
              </w:rPr>
            </w:pPr>
            <w:r w:rsidRPr="00E03828">
              <w:rPr>
                <w:rFonts w:asciiTheme="minorHAnsi" w:hAnsiTheme="minorHAnsi"/>
                <w:color w:val="000000"/>
                <w:sz w:val="16"/>
                <w:szCs w:val="16"/>
                <w:lang w:val="fr-FR"/>
              </w:rPr>
              <w:t>Autres prestations d'emploi</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17</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rsidP="002B2F16">
            <w:pPr>
              <w:rPr>
                <w:rFonts w:asciiTheme="minorHAnsi" w:hAnsiTheme="minorHAnsi"/>
                <w:color w:val="000000"/>
                <w:sz w:val="16"/>
                <w:szCs w:val="16"/>
                <w:lang w:val="fr-FR"/>
              </w:rPr>
            </w:pPr>
            <w:r w:rsidRPr="00E03828">
              <w:rPr>
                <w:rFonts w:asciiTheme="minorHAnsi" w:hAnsiTheme="minorHAnsi"/>
                <w:color w:val="000000"/>
                <w:sz w:val="16"/>
                <w:szCs w:val="16"/>
                <w:lang w:val="fr-FR"/>
              </w:rPr>
              <w:t>Déplacements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 </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93981" w:rsidRPr="00E03828" w:rsidRDefault="00E93981">
            <w:pPr>
              <w:rPr>
                <w:rFonts w:asciiTheme="minorHAnsi" w:hAnsiTheme="minorHAnsi"/>
                <w:color w:val="000000"/>
                <w:sz w:val="16"/>
                <w:szCs w:val="16"/>
                <w:lang w:val="fr-FR"/>
              </w:rPr>
            </w:pPr>
            <w:r w:rsidRPr="00E03828">
              <w:rPr>
                <w:rFonts w:asciiTheme="minorHAnsi" w:hAnsiTheme="minorHAnsi"/>
                <w:color w:val="000000"/>
                <w:sz w:val="16"/>
                <w:szCs w:val="16"/>
                <w:lang w:val="fr-FR"/>
              </w:rPr>
              <w:t>C.  Conseillers régionaux et appui</w:t>
            </w:r>
          </w:p>
        </w:tc>
        <w:tc>
          <w:tcPr>
            <w:tcW w:w="643" w:type="dxa"/>
            <w:tcBorders>
              <w:top w:val="nil"/>
              <w:left w:val="nil"/>
              <w:bottom w:val="single" w:sz="4" w:space="0" w:color="auto"/>
              <w:right w:val="single" w:sz="4" w:space="0" w:color="auto"/>
            </w:tcBorders>
            <w:shd w:val="clear" w:color="000000" w:fill="C4D79B"/>
            <w:noWrap/>
            <w:vAlign w:val="bottom"/>
            <w:hideMark/>
          </w:tcPr>
          <w:p w:rsidR="00E93981" w:rsidRPr="00E03828" w:rsidRDefault="00E93981"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1</w:t>
            </w:r>
            <w:r w:rsidR="00F93179" w:rsidRPr="00E03828">
              <w:rPr>
                <w:rFonts w:ascii="Arial" w:eastAsia="Times New Roman" w:hAnsi="Arial" w:cs="Arial"/>
                <w:b/>
                <w:bCs/>
                <w:color w:val="000000"/>
                <w:sz w:val="16"/>
                <w:szCs w:val="22"/>
                <w:lang w:val="fr-FR" w:eastAsia="en-GB"/>
              </w:rPr>
              <w:t> </w:t>
            </w:r>
            <w:r w:rsidRPr="00E03828">
              <w:rPr>
                <w:rFonts w:ascii="Arial" w:eastAsia="Times New Roman" w:hAnsi="Arial" w:cs="Arial"/>
                <w:b/>
                <w:bCs/>
                <w:color w:val="000000"/>
                <w:sz w:val="16"/>
                <w:szCs w:val="22"/>
                <w:lang w:val="fr-FR" w:eastAsia="en-GB"/>
              </w:rPr>
              <w:t>342</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E93981" w:rsidP="00E93981">
            <w:pPr>
              <w:rPr>
                <w:rFonts w:asciiTheme="minorHAnsi" w:hAnsiTheme="minorHAnsi"/>
                <w:color w:val="000000"/>
                <w:sz w:val="16"/>
                <w:szCs w:val="16"/>
                <w:lang w:val="fr-FR"/>
              </w:rPr>
            </w:pPr>
            <w:r w:rsidRPr="00E03828">
              <w:rPr>
                <w:rFonts w:asciiTheme="minorHAnsi" w:hAnsiTheme="minorHAnsi"/>
                <w:color w:val="000000"/>
                <w:sz w:val="16"/>
                <w:szCs w:val="16"/>
                <w:lang w:val="fr-FR"/>
              </w:rPr>
              <w:t>Salaires et charges sociales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w:t>
            </w:r>
            <w:r w:rsidR="00F93179" w:rsidRPr="00E03828">
              <w:rPr>
                <w:rFonts w:ascii="Arial" w:eastAsia="Times New Roman" w:hAnsi="Arial" w:cs="Arial"/>
                <w:color w:val="000000"/>
                <w:sz w:val="16"/>
                <w:szCs w:val="22"/>
                <w:lang w:val="fr-FR" w:eastAsia="en-GB"/>
              </w:rPr>
              <w:t> </w:t>
            </w:r>
            <w:r w:rsidRPr="00E03828">
              <w:rPr>
                <w:rFonts w:ascii="Arial" w:eastAsia="Times New Roman" w:hAnsi="Arial" w:cs="Arial"/>
                <w:color w:val="000000"/>
                <w:sz w:val="16"/>
                <w:szCs w:val="22"/>
                <w:lang w:val="fr-FR" w:eastAsia="en-GB"/>
              </w:rPr>
              <w:t>201</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0837EE" w:rsidP="000837EE">
            <w:pPr>
              <w:rPr>
                <w:rFonts w:asciiTheme="minorHAnsi" w:hAnsiTheme="minorHAnsi"/>
                <w:color w:val="000000"/>
                <w:sz w:val="16"/>
                <w:szCs w:val="16"/>
                <w:lang w:val="fr-FR"/>
              </w:rPr>
            </w:pPr>
            <w:r w:rsidRPr="00E03828">
              <w:rPr>
                <w:rFonts w:asciiTheme="minorHAnsi" w:hAnsiTheme="minorHAnsi"/>
                <w:color w:val="000000"/>
                <w:sz w:val="16"/>
                <w:szCs w:val="16"/>
                <w:lang w:val="fr-FR"/>
              </w:rPr>
              <w:t>Autres prestations d'emploi</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56</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0837EE" w:rsidP="000837EE">
            <w:pPr>
              <w:rPr>
                <w:rFonts w:asciiTheme="minorHAnsi" w:hAnsiTheme="minorHAnsi"/>
                <w:color w:val="000000"/>
                <w:sz w:val="16"/>
                <w:szCs w:val="16"/>
                <w:lang w:val="fr-FR"/>
              </w:rPr>
            </w:pPr>
            <w:r w:rsidRPr="00E03828">
              <w:rPr>
                <w:rFonts w:asciiTheme="minorHAnsi" w:hAnsiTheme="minorHAnsi"/>
                <w:color w:val="000000"/>
                <w:sz w:val="16"/>
                <w:szCs w:val="16"/>
                <w:lang w:val="fr-FR"/>
              </w:rPr>
              <w:t>Déplacements</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85</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0837EE">
            <w:pPr>
              <w:rPr>
                <w:rFonts w:asciiTheme="minorHAnsi" w:hAnsiTheme="minorHAnsi"/>
                <w:color w:val="000000"/>
                <w:sz w:val="16"/>
                <w:szCs w:val="16"/>
                <w:lang w:val="fr-FR"/>
              </w:rPr>
            </w:pPr>
            <w:r w:rsidRPr="00E03828">
              <w:rPr>
                <w:rFonts w:asciiTheme="minorHAnsi" w:hAnsiTheme="minorHAnsi"/>
                <w:color w:val="000000"/>
                <w:sz w:val="16"/>
                <w:szCs w:val="16"/>
                <w:lang w:val="fr-FR"/>
              </w:rPr>
              <w:t>Missions consultatives Ramsar</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 </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93981" w:rsidRPr="00E03828" w:rsidRDefault="000837EE" w:rsidP="000837EE">
            <w:pPr>
              <w:rPr>
                <w:rFonts w:asciiTheme="minorHAnsi" w:hAnsiTheme="minorHAnsi"/>
                <w:color w:val="000000"/>
                <w:sz w:val="16"/>
                <w:szCs w:val="16"/>
                <w:lang w:val="fr-FR"/>
              </w:rPr>
            </w:pPr>
            <w:r w:rsidRPr="00E03828">
              <w:rPr>
                <w:rFonts w:asciiTheme="minorHAnsi" w:hAnsiTheme="minorHAnsi"/>
                <w:color w:val="000000"/>
                <w:sz w:val="16"/>
                <w:szCs w:val="16"/>
                <w:lang w:val="fr-FR"/>
              </w:rPr>
              <w:t>D. Appui aux initiatives régionales</w:t>
            </w:r>
          </w:p>
        </w:tc>
        <w:tc>
          <w:tcPr>
            <w:tcW w:w="643" w:type="dxa"/>
            <w:tcBorders>
              <w:top w:val="nil"/>
              <w:left w:val="nil"/>
              <w:bottom w:val="single" w:sz="4" w:space="0" w:color="auto"/>
              <w:right w:val="single" w:sz="4" w:space="0" w:color="auto"/>
            </w:tcBorders>
            <w:shd w:val="clear" w:color="000000" w:fill="C4D79B"/>
            <w:noWrap/>
            <w:vAlign w:val="bottom"/>
            <w:hideMark/>
          </w:tcPr>
          <w:p w:rsidR="00E93981" w:rsidRPr="00E03828" w:rsidRDefault="00E93981"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120</w:t>
            </w:r>
          </w:p>
        </w:tc>
      </w:tr>
      <w:tr w:rsidR="00E93981"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93981" w:rsidRPr="00E03828" w:rsidRDefault="000837EE">
            <w:pPr>
              <w:rPr>
                <w:rFonts w:asciiTheme="minorHAnsi" w:hAnsiTheme="minorHAnsi"/>
                <w:color w:val="000000"/>
                <w:sz w:val="16"/>
                <w:szCs w:val="16"/>
                <w:lang w:val="fr-FR"/>
              </w:rPr>
            </w:pPr>
            <w:r w:rsidRPr="00E03828">
              <w:rPr>
                <w:rFonts w:asciiTheme="minorHAnsi" w:hAnsiTheme="minorHAnsi"/>
                <w:color w:val="000000"/>
                <w:sz w:val="16"/>
                <w:szCs w:val="16"/>
                <w:lang w:val="fr-FR"/>
              </w:rPr>
              <w:t>Réseaux et centres régionaux</w:t>
            </w:r>
          </w:p>
        </w:tc>
        <w:tc>
          <w:tcPr>
            <w:tcW w:w="643" w:type="dxa"/>
            <w:tcBorders>
              <w:top w:val="nil"/>
              <w:left w:val="nil"/>
              <w:bottom w:val="single" w:sz="4" w:space="0" w:color="auto"/>
              <w:right w:val="single" w:sz="4" w:space="0" w:color="auto"/>
            </w:tcBorders>
            <w:shd w:val="clear" w:color="auto" w:fill="auto"/>
            <w:noWrap/>
            <w:vAlign w:val="bottom"/>
            <w:hideMark/>
          </w:tcPr>
          <w:p w:rsidR="00E93981" w:rsidRPr="00E03828" w:rsidRDefault="00E93981"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120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0837EE" w:rsidRPr="00E03828" w:rsidRDefault="000837EE">
            <w:pPr>
              <w:rPr>
                <w:rFonts w:asciiTheme="minorHAnsi" w:hAnsiTheme="minorHAnsi"/>
                <w:color w:val="000000"/>
                <w:sz w:val="16"/>
                <w:szCs w:val="16"/>
                <w:lang w:val="fr-FR"/>
              </w:rPr>
            </w:pPr>
            <w:r w:rsidRPr="00E03828">
              <w:rPr>
                <w:rFonts w:asciiTheme="minorHAnsi" w:hAnsiTheme="minorHAnsi"/>
                <w:color w:val="000000"/>
                <w:sz w:val="16"/>
                <w:szCs w:val="16"/>
                <w:lang w:val="fr-FR"/>
              </w:rPr>
              <w:t>E.  Services scientifiques et techniques</w:t>
            </w:r>
          </w:p>
        </w:tc>
        <w:tc>
          <w:tcPr>
            <w:tcW w:w="643" w:type="dxa"/>
            <w:tcBorders>
              <w:top w:val="nil"/>
              <w:left w:val="nil"/>
              <w:bottom w:val="single" w:sz="4" w:space="0" w:color="auto"/>
              <w:right w:val="single" w:sz="4" w:space="0" w:color="auto"/>
            </w:tcBorders>
            <w:shd w:val="clear" w:color="000000" w:fill="C4D79B"/>
            <w:noWrap/>
            <w:vAlign w:val="bottom"/>
            <w:hideMark/>
          </w:tcPr>
          <w:p w:rsidR="000837EE" w:rsidRPr="00E03828" w:rsidRDefault="000837EE"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212</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694A0B" w:rsidP="000837EE">
            <w:pPr>
              <w:rPr>
                <w:rFonts w:asciiTheme="minorHAnsi" w:hAnsiTheme="minorHAnsi"/>
                <w:color w:val="000000"/>
                <w:sz w:val="16"/>
                <w:szCs w:val="16"/>
                <w:lang w:val="fr-FR"/>
              </w:rPr>
            </w:pPr>
            <w:r w:rsidRPr="00E03828">
              <w:rPr>
                <w:rFonts w:asciiTheme="minorHAnsi" w:hAnsiTheme="minorHAnsi"/>
                <w:color w:val="000000"/>
                <w:sz w:val="16"/>
                <w:szCs w:val="16"/>
                <w:lang w:val="fr-FR"/>
              </w:rPr>
              <w:t>Salaires et charges sociales</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110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0837EE">
            <w:pPr>
              <w:rPr>
                <w:rFonts w:asciiTheme="minorHAnsi" w:hAnsiTheme="minorHAnsi"/>
                <w:color w:val="000000"/>
                <w:sz w:val="16"/>
                <w:szCs w:val="16"/>
                <w:lang w:val="fr-FR"/>
              </w:rPr>
            </w:pPr>
            <w:r w:rsidRPr="00E03828">
              <w:rPr>
                <w:rFonts w:asciiTheme="minorHAnsi" w:hAnsiTheme="minorHAnsi"/>
                <w:color w:val="000000"/>
                <w:sz w:val="16"/>
                <w:szCs w:val="16"/>
                <w:lang w:val="fr-FR"/>
              </w:rPr>
              <w:t>Autres prestations d'emploi</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2</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0837EE">
            <w:pPr>
              <w:rPr>
                <w:rFonts w:asciiTheme="minorHAnsi" w:hAnsiTheme="minorHAnsi"/>
                <w:color w:val="000000"/>
                <w:sz w:val="16"/>
                <w:szCs w:val="16"/>
                <w:lang w:val="fr-FR"/>
              </w:rPr>
            </w:pPr>
            <w:r w:rsidRPr="00E03828">
              <w:rPr>
                <w:rFonts w:asciiTheme="minorHAnsi" w:hAnsiTheme="minorHAnsi"/>
                <w:color w:val="000000"/>
                <w:sz w:val="16"/>
                <w:szCs w:val="16"/>
                <w:lang w:val="fr-FR"/>
              </w:rPr>
              <w:t>Déplacements</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0837EE" w:rsidP="000837EE">
            <w:pPr>
              <w:rPr>
                <w:rFonts w:asciiTheme="minorHAnsi" w:hAnsiTheme="minorHAnsi"/>
                <w:color w:val="000000"/>
                <w:sz w:val="16"/>
                <w:szCs w:val="16"/>
                <w:lang w:val="fr-FR"/>
              </w:rPr>
            </w:pPr>
            <w:r w:rsidRPr="00E03828">
              <w:rPr>
                <w:rFonts w:asciiTheme="minorHAnsi" w:hAnsiTheme="minorHAnsi"/>
                <w:color w:val="000000"/>
                <w:sz w:val="16"/>
                <w:szCs w:val="16"/>
                <w:lang w:val="fr-FR"/>
              </w:rPr>
              <w:t xml:space="preserve">Mise en </w:t>
            </w:r>
            <w:r w:rsidR="00F93179" w:rsidRPr="00E03828">
              <w:rPr>
                <w:rFonts w:asciiTheme="minorHAnsi" w:hAnsiTheme="minorHAnsi"/>
                <w:color w:val="000000"/>
                <w:sz w:val="16"/>
                <w:szCs w:val="16"/>
                <w:lang w:val="fr-FR"/>
              </w:rPr>
              <w:t>œuvre</w:t>
            </w:r>
            <w:r w:rsidRPr="00E03828">
              <w:rPr>
                <w:rFonts w:asciiTheme="minorHAnsi" w:hAnsiTheme="minorHAnsi"/>
                <w:color w:val="000000"/>
                <w:sz w:val="16"/>
                <w:szCs w:val="16"/>
                <w:lang w:val="fr-FR"/>
              </w:rPr>
              <w:t xml:space="preserve"> du Plan de travail du GEST</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40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0837EE">
            <w:pPr>
              <w:rPr>
                <w:rFonts w:asciiTheme="minorHAnsi" w:hAnsiTheme="minorHAnsi"/>
                <w:color w:val="000000"/>
                <w:sz w:val="16"/>
                <w:szCs w:val="16"/>
                <w:lang w:val="fr-FR"/>
              </w:rPr>
            </w:pPr>
            <w:r w:rsidRPr="00E03828">
              <w:rPr>
                <w:rFonts w:asciiTheme="minorHAnsi" w:hAnsiTheme="minorHAnsi"/>
                <w:color w:val="000000"/>
                <w:sz w:val="16"/>
                <w:szCs w:val="16"/>
                <w:lang w:val="fr-FR"/>
              </w:rPr>
              <w:t>Réunions du GEST</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rsidR="000837EE"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F. C</w:t>
            </w:r>
            <w:r w:rsidR="000837EE" w:rsidRPr="00E03828">
              <w:rPr>
                <w:rFonts w:asciiTheme="minorHAnsi" w:hAnsiTheme="minorHAnsi"/>
                <w:color w:val="000000"/>
                <w:sz w:val="16"/>
                <w:szCs w:val="16"/>
                <w:lang w:val="fr-FR"/>
              </w:rPr>
              <w:t>ommunication</w:t>
            </w:r>
          </w:p>
        </w:tc>
        <w:tc>
          <w:tcPr>
            <w:tcW w:w="643" w:type="dxa"/>
            <w:tcBorders>
              <w:top w:val="nil"/>
              <w:left w:val="nil"/>
              <w:bottom w:val="single" w:sz="4" w:space="0" w:color="auto"/>
              <w:right w:val="single" w:sz="4" w:space="0" w:color="auto"/>
            </w:tcBorders>
            <w:shd w:val="clear" w:color="000000" w:fill="C4D79B"/>
            <w:noWrap/>
            <w:vAlign w:val="bottom"/>
            <w:hideMark/>
          </w:tcPr>
          <w:p w:rsidR="000837EE" w:rsidRPr="00E03828" w:rsidRDefault="000837EE"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569</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Salaires et charges sociales</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434</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Déplacements</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Programme de CESP</w:t>
            </w:r>
            <w:r w:rsidR="000837EE" w:rsidRPr="00E03828">
              <w:rPr>
                <w:rFonts w:asciiTheme="minorHAnsi" w:hAnsiTheme="minorHAnsi"/>
                <w:color w:val="000000"/>
                <w:sz w:val="16"/>
                <w:szCs w:val="16"/>
                <w:lang w:val="fr-FR"/>
              </w:rPr>
              <w:t xml:space="preserve"> </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30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Communication, traduction, publications et rapports</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100</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G.  Administration/SISR/Web</w:t>
            </w:r>
          </w:p>
        </w:tc>
        <w:tc>
          <w:tcPr>
            <w:tcW w:w="643" w:type="dxa"/>
            <w:tcBorders>
              <w:top w:val="nil"/>
              <w:left w:val="nil"/>
              <w:bottom w:val="single" w:sz="4" w:space="0" w:color="auto"/>
              <w:right w:val="single" w:sz="4" w:space="0" w:color="auto"/>
            </w:tcBorders>
            <w:shd w:val="clear" w:color="000000" w:fill="C4D79B"/>
            <w:noWrap/>
            <w:vAlign w:val="bottom"/>
            <w:hideMark/>
          </w:tcPr>
          <w:p w:rsidR="00ED7155" w:rsidRPr="00E03828" w:rsidRDefault="00ED7155"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981</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Salaires et charges sociales</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629</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Autres prestations d'emploi</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Recrutement et indemnités de départ</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120</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Déplacements</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10</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Service d'information sur les Sites Ramsar</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117</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Web/appui et développement informatiques</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100</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H.  Coûts de fonctionnement</w:t>
            </w:r>
          </w:p>
        </w:tc>
        <w:tc>
          <w:tcPr>
            <w:tcW w:w="643" w:type="dxa"/>
            <w:tcBorders>
              <w:top w:val="nil"/>
              <w:left w:val="nil"/>
              <w:bottom w:val="single" w:sz="4" w:space="0" w:color="auto"/>
              <w:right w:val="single" w:sz="4" w:space="0" w:color="auto"/>
            </w:tcBorders>
            <w:shd w:val="clear" w:color="000000" w:fill="C4D79B"/>
            <w:noWrap/>
            <w:vAlign w:val="bottom"/>
            <w:hideMark/>
          </w:tcPr>
          <w:p w:rsidR="00ED7155" w:rsidRPr="00E03828" w:rsidRDefault="00ED7155"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95</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rsidP="00ED7155">
            <w:pPr>
              <w:rPr>
                <w:rFonts w:asciiTheme="minorHAnsi" w:hAnsiTheme="minorHAnsi"/>
                <w:color w:val="000000"/>
                <w:sz w:val="16"/>
                <w:szCs w:val="16"/>
                <w:lang w:val="fr-FR"/>
              </w:rPr>
            </w:pPr>
            <w:r w:rsidRPr="00E03828">
              <w:rPr>
                <w:rFonts w:asciiTheme="minorHAnsi" w:hAnsiTheme="minorHAnsi"/>
                <w:color w:val="000000"/>
                <w:sz w:val="16"/>
                <w:szCs w:val="16"/>
                <w:lang w:val="fr-FR"/>
              </w:rPr>
              <w:t>Services généraux</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80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Fournitures/matériel de bureau</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15</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I.  Services au Comité permanent</w:t>
            </w:r>
          </w:p>
        </w:tc>
        <w:tc>
          <w:tcPr>
            <w:tcW w:w="643" w:type="dxa"/>
            <w:tcBorders>
              <w:top w:val="nil"/>
              <w:left w:val="nil"/>
              <w:bottom w:val="single" w:sz="4" w:space="0" w:color="auto"/>
              <w:right w:val="single" w:sz="4" w:space="0" w:color="auto"/>
            </w:tcBorders>
            <w:shd w:val="clear" w:color="000000" w:fill="C4D79B"/>
            <w:noWrap/>
            <w:vAlign w:val="bottom"/>
            <w:hideMark/>
          </w:tcPr>
          <w:p w:rsidR="00ED7155" w:rsidRPr="00E03828" w:rsidRDefault="00ED7155"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165</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Appui aux délégués du Comité permanent</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50</w:t>
            </w:r>
          </w:p>
        </w:tc>
      </w:tr>
      <w:tr w:rsidR="00ED7155"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ED7155"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Réunions du Comité permanent</w:t>
            </w:r>
          </w:p>
        </w:tc>
        <w:tc>
          <w:tcPr>
            <w:tcW w:w="643" w:type="dxa"/>
            <w:tcBorders>
              <w:top w:val="nil"/>
              <w:left w:val="nil"/>
              <w:bottom w:val="single" w:sz="4" w:space="0" w:color="auto"/>
              <w:right w:val="single" w:sz="4" w:space="0" w:color="auto"/>
            </w:tcBorders>
            <w:shd w:val="clear" w:color="auto" w:fill="auto"/>
            <w:noWrap/>
            <w:vAlign w:val="bottom"/>
            <w:hideMark/>
          </w:tcPr>
          <w:p w:rsidR="00ED7155" w:rsidRPr="00E03828" w:rsidRDefault="00ED7155"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15</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ED7155">
            <w:pPr>
              <w:rPr>
                <w:rFonts w:asciiTheme="minorHAnsi" w:hAnsiTheme="minorHAnsi"/>
                <w:color w:val="000000"/>
                <w:sz w:val="16"/>
                <w:szCs w:val="16"/>
                <w:lang w:val="fr-FR"/>
              </w:rPr>
            </w:pPr>
            <w:r w:rsidRPr="00E03828">
              <w:rPr>
                <w:rFonts w:asciiTheme="minorHAnsi" w:hAnsiTheme="minorHAnsi"/>
                <w:color w:val="000000"/>
                <w:sz w:val="16"/>
                <w:szCs w:val="16"/>
                <w:lang w:val="fr-FR"/>
              </w:rPr>
              <w:t>Services de traduction pour le Comité permanent</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60</w:t>
            </w:r>
          </w:p>
        </w:tc>
      </w:tr>
      <w:tr w:rsidR="000837EE"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0837EE"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Services d'interprétation simultanée lors des réunions du Comité permanent</w:t>
            </w:r>
          </w:p>
        </w:tc>
        <w:tc>
          <w:tcPr>
            <w:tcW w:w="643" w:type="dxa"/>
            <w:tcBorders>
              <w:top w:val="nil"/>
              <w:left w:val="nil"/>
              <w:bottom w:val="single" w:sz="4" w:space="0" w:color="auto"/>
              <w:right w:val="single" w:sz="4" w:space="0" w:color="auto"/>
            </w:tcBorders>
            <w:shd w:val="clear" w:color="auto" w:fill="auto"/>
            <w:noWrap/>
            <w:vAlign w:val="bottom"/>
            <w:hideMark/>
          </w:tcPr>
          <w:p w:rsidR="000837EE" w:rsidRPr="00E03828" w:rsidRDefault="000837EE"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40</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J.  Coûts des services administratifs de l'UICN (maximum)</w:t>
            </w:r>
          </w:p>
        </w:tc>
        <w:tc>
          <w:tcPr>
            <w:tcW w:w="643" w:type="dxa"/>
            <w:tcBorders>
              <w:top w:val="nil"/>
              <w:left w:val="nil"/>
              <w:bottom w:val="single" w:sz="4" w:space="0" w:color="auto"/>
              <w:right w:val="single" w:sz="4" w:space="0" w:color="auto"/>
            </w:tcBorders>
            <w:shd w:val="clear" w:color="000000" w:fill="C4D79B"/>
            <w:noWrap/>
            <w:vAlign w:val="bottom"/>
            <w:hideMark/>
          </w:tcPr>
          <w:p w:rsidR="007B71D0" w:rsidRPr="00E03828" w:rsidRDefault="007B71D0"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540</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Administration, ressources humaines, services financiers et informatiques</w:t>
            </w:r>
          </w:p>
        </w:tc>
        <w:tc>
          <w:tcPr>
            <w:tcW w:w="643" w:type="dxa"/>
            <w:tcBorders>
              <w:top w:val="nil"/>
              <w:left w:val="nil"/>
              <w:bottom w:val="single" w:sz="4" w:space="0" w:color="auto"/>
              <w:right w:val="single" w:sz="4" w:space="0" w:color="auto"/>
            </w:tcBorders>
            <w:shd w:val="clear" w:color="auto" w:fill="auto"/>
            <w:noWrap/>
            <w:vAlign w:val="bottom"/>
            <w:hideMark/>
          </w:tcPr>
          <w:p w:rsidR="007B71D0" w:rsidRPr="00E03828" w:rsidRDefault="007B71D0"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540</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K.  Divers - Fonds de réserve</w:t>
            </w:r>
          </w:p>
        </w:tc>
        <w:tc>
          <w:tcPr>
            <w:tcW w:w="643" w:type="dxa"/>
            <w:tcBorders>
              <w:top w:val="nil"/>
              <w:left w:val="nil"/>
              <w:bottom w:val="single" w:sz="4" w:space="0" w:color="auto"/>
              <w:right w:val="single" w:sz="4" w:space="0" w:color="auto"/>
            </w:tcBorders>
            <w:shd w:val="clear" w:color="000000" w:fill="C4D79B"/>
            <w:noWrap/>
            <w:vAlign w:val="bottom"/>
            <w:hideMark/>
          </w:tcPr>
          <w:p w:rsidR="007B71D0" w:rsidRPr="00E03828" w:rsidRDefault="007B71D0"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388</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Fonds de réserve</w:t>
            </w:r>
          </w:p>
        </w:tc>
        <w:tc>
          <w:tcPr>
            <w:tcW w:w="643" w:type="dxa"/>
            <w:tcBorders>
              <w:top w:val="nil"/>
              <w:left w:val="nil"/>
              <w:bottom w:val="single" w:sz="4" w:space="0" w:color="auto"/>
              <w:right w:val="single" w:sz="4" w:space="0" w:color="auto"/>
            </w:tcBorders>
            <w:shd w:val="clear" w:color="auto" w:fill="auto"/>
            <w:noWrap/>
            <w:vAlign w:val="bottom"/>
            <w:hideMark/>
          </w:tcPr>
          <w:p w:rsidR="007B71D0" w:rsidRPr="00E03828" w:rsidRDefault="007B71D0"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278</w:t>
            </w:r>
          </w:p>
        </w:tc>
      </w:tr>
      <w:tr w:rsidR="007B71D0" w:rsidRPr="003F3195"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Provision pour r</w:t>
            </w:r>
            <w:r w:rsidR="00694A0B" w:rsidRPr="00E03828">
              <w:rPr>
                <w:rFonts w:asciiTheme="minorHAnsi" w:hAnsiTheme="minorHAnsi"/>
                <w:color w:val="000000"/>
                <w:sz w:val="16"/>
                <w:szCs w:val="16"/>
                <w:lang w:val="fr-FR"/>
              </w:rPr>
              <w:t>ésiliation</w:t>
            </w:r>
            <w:r w:rsidRPr="00E03828">
              <w:rPr>
                <w:rFonts w:asciiTheme="minorHAnsi" w:hAnsiTheme="minorHAnsi"/>
                <w:color w:val="000000"/>
                <w:sz w:val="16"/>
                <w:szCs w:val="16"/>
                <w:lang w:val="fr-FR"/>
              </w:rPr>
              <w:t xml:space="preserve"> de contrats et rapatriements</w:t>
            </w:r>
          </w:p>
        </w:tc>
        <w:tc>
          <w:tcPr>
            <w:tcW w:w="643" w:type="dxa"/>
            <w:tcBorders>
              <w:top w:val="nil"/>
              <w:left w:val="nil"/>
              <w:bottom w:val="single" w:sz="4" w:space="0" w:color="auto"/>
              <w:right w:val="single" w:sz="4" w:space="0" w:color="auto"/>
            </w:tcBorders>
            <w:shd w:val="clear" w:color="auto" w:fill="auto"/>
            <w:noWrap/>
            <w:vAlign w:val="bottom"/>
            <w:hideMark/>
          </w:tcPr>
          <w:p w:rsidR="007B71D0" w:rsidRPr="00E03828" w:rsidRDefault="007B71D0" w:rsidP="00584EE3">
            <w:pPr>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 </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Provision</w:t>
            </w:r>
          </w:p>
        </w:tc>
        <w:tc>
          <w:tcPr>
            <w:tcW w:w="643" w:type="dxa"/>
            <w:tcBorders>
              <w:top w:val="nil"/>
              <w:left w:val="nil"/>
              <w:bottom w:val="single" w:sz="4" w:space="0" w:color="auto"/>
              <w:right w:val="single" w:sz="4" w:space="0" w:color="auto"/>
            </w:tcBorders>
            <w:shd w:val="clear" w:color="auto" w:fill="auto"/>
            <w:noWrap/>
            <w:vAlign w:val="bottom"/>
            <w:hideMark/>
          </w:tcPr>
          <w:p w:rsidR="007B71D0" w:rsidRPr="00E03828" w:rsidRDefault="007B71D0"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50</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7B71D0" w:rsidRPr="00E03828" w:rsidRDefault="007B71D0">
            <w:pPr>
              <w:rPr>
                <w:rFonts w:asciiTheme="minorHAnsi" w:hAnsiTheme="minorHAnsi"/>
                <w:color w:val="000000"/>
                <w:sz w:val="16"/>
                <w:szCs w:val="16"/>
                <w:lang w:val="fr-FR"/>
              </w:rPr>
            </w:pPr>
            <w:r w:rsidRPr="00E03828">
              <w:rPr>
                <w:rFonts w:asciiTheme="minorHAnsi" w:hAnsiTheme="minorHAnsi"/>
                <w:color w:val="000000"/>
                <w:sz w:val="16"/>
                <w:szCs w:val="16"/>
                <w:lang w:val="fr-FR"/>
              </w:rPr>
              <w:t>Services juridiques</w:t>
            </w:r>
          </w:p>
        </w:tc>
        <w:tc>
          <w:tcPr>
            <w:tcW w:w="643" w:type="dxa"/>
            <w:tcBorders>
              <w:top w:val="nil"/>
              <w:left w:val="nil"/>
              <w:bottom w:val="single" w:sz="4" w:space="0" w:color="auto"/>
              <w:right w:val="single" w:sz="4" w:space="0" w:color="auto"/>
            </w:tcBorders>
            <w:shd w:val="clear" w:color="auto" w:fill="auto"/>
            <w:noWrap/>
            <w:vAlign w:val="bottom"/>
            <w:hideMark/>
          </w:tcPr>
          <w:p w:rsidR="007B71D0" w:rsidRPr="00E03828" w:rsidRDefault="007B71D0"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60</w:t>
            </w:r>
          </w:p>
        </w:tc>
      </w:tr>
      <w:tr w:rsidR="007B71D0"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7B71D0" w:rsidRPr="00E03828" w:rsidRDefault="007B71D0">
            <w:pPr>
              <w:rPr>
                <w:rFonts w:asciiTheme="minorHAnsi" w:hAnsiTheme="minorHAnsi"/>
                <w:b/>
                <w:color w:val="000000"/>
                <w:sz w:val="16"/>
                <w:szCs w:val="16"/>
                <w:lang w:val="fr-FR"/>
              </w:rPr>
            </w:pPr>
            <w:r w:rsidRPr="00E03828">
              <w:rPr>
                <w:rFonts w:asciiTheme="minorHAnsi" w:hAnsiTheme="minorHAnsi"/>
                <w:b/>
                <w:color w:val="000000"/>
                <w:sz w:val="16"/>
                <w:szCs w:val="16"/>
                <w:lang w:val="fr-FR"/>
              </w:rPr>
              <w:t>TOTAL DES DÉPENSES</w:t>
            </w:r>
          </w:p>
        </w:tc>
        <w:tc>
          <w:tcPr>
            <w:tcW w:w="643" w:type="dxa"/>
            <w:tcBorders>
              <w:top w:val="nil"/>
              <w:left w:val="nil"/>
              <w:bottom w:val="double" w:sz="6" w:space="0" w:color="auto"/>
              <w:right w:val="single" w:sz="4" w:space="0" w:color="auto"/>
            </w:tcBorders>
            <w:shd w:val="clear" w:color="000000" w:fill="C4D79B"/>
            <w:noWrap/>
            <w:vAlign w:val="bottom"/>
            <w:hideMark/>
          </w:tcPr>
          <w:p w:rsidR="007B71D0" w:rsidRPr="00E03828" w:rsidRDefault="007B71D0"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5</w:t>
            </w:r>
            <w:r w:rsidR="00F93179" w:rsidRPr="00E03828">
              <w:rPr>
                <w:rFonts w:ascii="Arial" w:eastAsia="Times New Roman" w:hAnsi="Arial" w:cs="Arial"/>
                <w:b/>
                <w:bCs/>
                <w:color w:val="000000"/>
                <w:sz w:val="16"/>
                <w:szCs w:val="22"/>
                <w:lang w:val="fr-FR" w:eastAsia="en-GB"/>
              </w:rPr>
              <w:t> </w:t>
            </w:r>
            <w:r w:rsidRPr="00E03828">
              <w:rPr>
                <w:rFonts w:ascii="Arial" w:eastAsia="Times New Roman" w:hAnsi="Arial" w:cs="Arial"/>
                <w:b/>
                <w:bCs/>
                <w:color w:val="000000"/>
                <w:sz w:val="16"/>
                <w:szCs w:val="22"/>
                <w:lang w:val="fr-FR" w:eastAsia="en-GB"/>
              </w:rPr>
              <w:t>081</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E03828" w:rsidRDefault="00584EE3" w:rsidP="00584EE3">
            <w:pPr>
              <w:rPr>
                <w:rFonts w:asciiTheme="minorHAnsi" w:eastAsia="Times New Roman" w:hAnsiTheme="minorHAnsi" w:cs="Arial"/>
                <w:color w:val="000000"/>
                <w:sz w:val="16"/>
                <w:szCs w:val="16"/>
                <w:lang w:val="fr-FR" w:eastAsia="en-GB"/>
              </w:rPr>
            </w:pPr>
            <w:r w:rsidRPr="00E03828">
              <w:rPr>
                <w:rFonts w:asciiTheme="minorHAnsi" w:eastAsia="Times New Roman" w:hAnsiTheme="minorHAnsi" w:cs="Arial"/>
                <w:color w:val="000000"/>
                <w:sz w:val="16"/>
                <w:szCs w:val="16"/>
                <w:lang w:val="fr-FR" w:eastAsia="en-GB"/>
              </w:rPr>
              <w:t> </w:t>
            </w:r>
          </w:p>
        </w:tc>
        <w:tc>
          <w:tcPr>
            <w:tcW w:w="643" w:type="dxa"/>
            <w:tcBorders>
              <w:top w:val="nil"/>
              <w:left w:val="nil"/>
              <w:bottom w:val="single" w:sz="4" w:space="0" w:color="auto"/>
              <w:right w:val="single" w:sz="4" w:space="0" w:color="auto"/>
            </w:tcBorders>
            <w:shd w:val="clear" w:color="auto" w:fill="auto"/>
            <w:noWrap/>
            <w:vAlign w:val="bottom"/>
            <w:hideMark/>
          </w:tcPr>
          <w:p w:rsidR="00584EE3" w:rsidRPr="00E03828" w:rsidRDefault="00584EE3" w:rsidP="00584EE3">
            <w:pPr>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 </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rsidR="00584EE3" w:rsidRPr="00E03828" w:rsidRDefault="00584EE3" w:rsidP="007B71D0">
            <w:pPr>
              <w:rPr>
                <w:rFonts w:asciiTheme="minorHAnsi" w:eastAsia="Times New Roman" w:hAnsiTheme="minorHAnsi" w:cs="Arial"/>
                <w:b/>
                <w:bCs/>
                <w:color w:val="000000"/>
                <w:sz w:val="16"/>
                <w:szCs w:val="16"/>
                <w:lang w:val="fr-FR" w:eastAsia="en-GB"/>
              </w:rPr>
            </w:pPr>
            <w:r w:rsidRPr="00E03828">
              <w:rPr>
                <w:rFonts w:asciiTheme="minorHAnsi" w:eastAsia="Times New Roman" w:hAnsiTheme="minorHAnsi" w:cs="Arial"/>
                <w:b/>
                <w:bCs/>
                <w:color w:val="000000"/>
                <w:sz w:val="16"/>
                <w:szCs w:val="16"/>
                <w:lang w:val="fr-FR" w:eastAsia="en-GB"/>
              </w:rPr>
              <w:t xml:space="preserve">TOTAL </w:t>
            </w:r>
            <w:r w:rsidR="007B71D0" w:rsidRPr="00E03828">
              <w:rPr>
                <w:rFonts w:asciiTheme="minorHAnsi" w:eastAsia="Times New Roman" w:hAnsiTheme="minorHAnsi" w:cs="Arial"/>
                <w:b/>
                <w:bCs/>
                <w:color w:val="000000"/>
                <w:sz w:val="16"/>
                <w:szCs w:val="16"/>
                <w:lang w:val="fr-FR" w:eastAsia="en-GB"/>
              </w:rPr>
              <w:t>DES COÛTS SALARIAUX </w:t>
            </w:r>
            <w:r w:rsidRPr="00E03828">
              <w:rPr>
                <w:rFonts w:asciiTheme="minorHAnsi" w:eastAsia="Times New Roman" w:hAnsiTheme="minorHAnsi" w:cs="Arial"/>
                <w:b/>
                <w:bCs/>
                <w:color w:val="000000"/>
                <w:sz w:val="16"/>
                <w:szCs w:val="16"/>
                <w:lang w:val="fr-FR" w:eastAsia="en-GB"/>
              </w:rPr>
              <w:t xml:space="preserve">– </w:t>
            </w:r>
            <w:r w:rsidR="00F93179" w:rsidRPr="00E03828">
              <w:rPr>
                <w:rFonts w:asciiTheme="minorHAnsi" w:eastAsia="Times New Roman" w:hAnsiTheme="minorHAnsi" w:cs="Arial"/>
                <w:b/>
                <w:bCs/>
                <w:color w:val="000000"/>
                <w:sz w:val="16"/>
                <w:szCs w:val="16"/>
                <w:lang w:val="fr-FR" w:eastAsia="en-GB"/>
              </w:rPr>
              <w:t>Traitements du personnel et dépenses connexes</w:t>
            </w:r>
          </w:p>
        </w:tc>
        <w:tc>
          <w:tcPr>
            <w:tcW w:w="643" w:type="dxa"/>
            <w:tcBorders>
              <w:top w:val="nil"/>
              <w:left w:val="nil"/>
              <w:bottom w:val="single" w:sz="4" w:space="0" w:color="auto"/>
              <w:right w:val="single" w:sz="4" w:space="0" w:color="auto"/>
            </w:tcBorders>
            <w:shd w:val="clear" w:color="000000" w:fill="C4D79B"/>
            <w:noWrap/>
            <w:vAlign w:val="bottom"/>
            <w:hideMark/>
          </w:tcPr>
          <w:p w:rsidR="00584EE3" w:rsidRPr="00E03828" w:rsidRDefault="00584EE3"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3</w:t>
            </w:r>
            <w:r w:rsidR="00F93179" w:rsidRPr="00E03828">
              <w:rPr>
                <w:rFonts w:ascii="Arial" w:eastAsia="Times New Roman" w:hAnsi="Arial" w:cs="Arial"/>
                <w:b/>
                <w:bCs/>
                <w:color w:val="000000"/>
                <w:sz w:val="16"/>
                <w:szCs w:val="22"/>
                <w:lang w:val="fr-FR" w:eastAsia="en-GB"/>
              </w:rPr>
              <w:t> </w:t>
            </w:r>
            <w:r w:rsidRPr="00E03828">
              <w:rPr>
                <w:rFonts w:ascii="Arial" w:eastAsia="Times New Roman" w:hAnsi="Arial" w:cs="Arial"/>
                <w:b/>
                <w:bCs/>
                <w:color w:val="000000"/>
                <w:sz w:val="16"/>
                <w:szCs w:val="22"/>
                <w:lang w:val="fr-FR" w:eastAsia="en-GB"/>
              </w:rPr>
              <w:t>081</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E03828" w:rsidRDefault="00584EE3" w:rsidP="00584EE3">
            <w:pPr>
              <w:rPr>
                <w:rFonts w:asciiTheme="minorHAnsi" w:eastAsia="Times New Roman" w:hAnsiTheme="minorHAnsi" w:cs="Arial"/>
                <w:color w:val="000000"/>
                <w:sz w:val="16"/>
                <w:szCs w:val="16"/>
                <w:lang w:val="fr-FR" w:eastAsia="en-GB"/>
              </w:rPr>
            </w:pPr>
            <w:r w:rsidRPr="00E03828">
              <w:rPr>
                <w:rFonts w:asciiTheme="minorHAnsi" w:eastAsia="Times New Roman" w:hAnsiTheme="minorHAnsi" w:cs="Arial"/>
                <w:color w:val="000000"/>
                <w:sz w:val="16"/>
                <w:szCs w:val="16"/>
                <w:lang w:val="fr-FR" w:eastAsia="en-GB"/>
              </w:rPr>
              <w:t> </w:t>
            </w:r>
          </w:p>
        </w:tc>
        <w:tc>
          <w:tcPr>
            <w:tcW w:w="643" w:type="dxa"/>
            <w:tcBorders>
              <w:top w:val="nil"/>
              <w:left w:val="nil"/>
              <w:bottom w:val="single" w:sz="4" w:space="0" w:color="auto"/>
              <w:right w:val="single" w:sz="4" w:space="0" w:color="auto"/>
            </w:tcBorders>
            <w:shd w:val="clear" w:color="auto" w:fill="auto"/>
            <w:noWrap/>
            <w:vAlign w:val="bottom"/>
            <w:hideMark/>
          </w:tcPr>
          <w:p w:rsidR="00584EE3" w:rsidRPr="00E03828" w:rsidRDefault="00584EE3"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61%</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E03828" w:rsidRDefault="00584EE3" w:rsidP="005A2AF9">
            <w:pPr>
              <w:rPr>
                <w:rFonts w:asciiTheme="minorHAnsi" w:eastAsia="Times New Roman" w:hAnsiTheme="minorHAnsi" w:cs="Arial"/>
                <w:b/>
                <w:bCs/>
                <w:color w:val="000000"/>
                <w:sz w:val="16"/>
                <w:szCs w:val="16"/>
                <w:lang w:val="fr-FR" w:eastAsia="en-GB"/>
              </w:rPr>
            </w:pPr>
            <w:r w:rsidRPr="00E03828">
              <w:rPr>
                <w:rFonts w:asciiTheme="minorHAnsi" w:eastAsia="Times New Roman" w:hAnsiTheme="minorHAnsi" w:cs="Arial"/>
                <w:b/>
                <w:bCs/>
                <w:color w:val="000000"/>
                <w:sz w:val="16"/>
                <w:szCs w:val="16"/>
                <w:lang w:val="fr-FR" w:eastAsia="en-GB"/>
              </w:rPr>
              <w:t>TOTAL</w:t>
            </w:r>
            <w:r w:rsidR="00F93179" w:rsidRPr="00E03828">
              <w:rPr>
                <w:rFonts w:asciiTheme="minorHAnsi" w:eastAsia="Times New Roman" w:hAnsiTheme="minorHAnsi" w:cs="Arial"/>
                <w:b/>
                <w:bCs/>
                <w:color w:val="000000"/>
                <w:sz w:val="16"/>
                <w:szCs w:val="16"/>
                <w:lang w:val="fr-FR" w:eastAsia="en-GB"/>
              </w:rPr>
              <w:t xml:space="preserve"> DES FRAIS DE DÉPLACEMENT</w:t>
            </w:r>
          </w:p>
        </w:tc>
        <w:tc>
          <w:tcPr>
            <w:tcW w:w="643" w:type="dxa"/>
            <w:tcBorders>
              <w:top w:val="nil"/>
              <w:left w:val="nil"/>
              <w:bottom w:val="single" w:sz="4" w:space="0" w:color="auto"/>
              <w:right w:val="single" w:sz="4" w:space="0" w:color="auto"/>
            </w:tcBorders>
            <w:shd w:val="clear" w:color="000000" w:fill="C4D79B"/>
            <w:noWrap/>
            <w:vAlign w:val="bottom"/>
            <w:hideMark/>
          </w:tcPr>
          <w:p w:rsidR="00584EE3" w:rsidRPr="00E03828" w:rsidRDefault="00584EE3" w:rsidP="00584EE3">
            <w:pPr>
              <w:jc w:val="right"/>
              <w:rPr>
                <w:rFonts w:ascii="Arial" w:eastAsia="Times New Roman" w:hAnsi="Arial" w:cs="Arial"/>
                <w:b/>
                <w:bCs/>
                <w:color w:val="000000"/>
                <w:sz w:val="16"/>
                <w:szCs w:val="22"/>
                <w:lang w:val="fr-FR" w:eastAsia="en-GB"/>
              </w:rPr>
            </w:pPr>
            <w:r w:rsidRPr="00E03828">
              <w:rPr>
                <w:rFonts w:ascii="Arial" w:eastAsia="Times New Roman" w:hAnsi="Arial" w:cs="Arial"/>
                <w:b/>
                <w:bCs/>
                <w:color w:val="000000"/>
                <w:sz w:val="16"/>
                <w:szCs w:val="22"/>
                <w:lang w:val="fr-FR" w:eastAsia="en-GB"/>
              </w:rPr>
              <w:t>135</w:t>
            </w:r>
          </w:p>
        </w:tc>
      </w:tr>
      <w:tr w:rsidR="00584EE3" w:rsidRPr="00E03828" w:rsidTr="00E93981">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E03828" w:rsidRDefault="00584EE3" w:rsidP="00584EE3">
            <w:pPr>
              <w:rPr>
                <w:rFonts w:ascii="Arial" w:eastAsia="Times New Roman" w:hAnsi="Arial" w:cs="Arial"/>
                <w:color w:val="000000"/>
                <w:sz w:val="16"/>
                <w:lang w:val="fr-FR" w:eastAsia="en-GB"/>
              </w:rPr>
            </w:pPr>
            <w:r w:rsidRPr="00E03828">
              <w:rPr>
                <w:rFonts w:ascii="Arial" w:eastAsia="Times New Roman" w:hAnsi="Arial" w:cs="Arial"/>
                <w:color w:val="000000"/>
                <w:sz w:val="16"/>
                <w:lang w:val="fr-FR" w:eastAsia="en-GB"/>
              </w:rPr>
              <w:t> </w:t>
            </w:r>
          </w:p>
        </w:tc>
        <w:tc>
          <w:tcPr>
            <w:tcW w:w="643" w:type="dxa"/>
            <w:tcBorders>
              <w:top w:val="nil"/>
              <w:left w:val="nil"/>
              <w:bottom w:val="single" w:sz="4" w:space="0" w:color="auto"/>
              <w:right w:val="single" w:sz="4" w:space="0" w:color="auto"/>
            </w:tcBorders>
            <w:shd w:val="clear" w:color="auto" w:fill="auto"/>
            <w:noWrap/>
            <w:vAlign w:val="bottom"/>
            <w:hideMark/>
          </w:tcPr>
          <w:p w:rsidR="00584EE3" w:rsidRPr="00E03828" w:rsidRDefault="00584EE3" w:rsidP="00584EE3">
            <w:pPr>
              <w:jc w:val="right"/>
              <w:rPr>
                <w:rFonts w:ascii="Arial" w:eastAsia="Times New Roman" w:hAnsi="Arial" w:cs="Arial"/>
                <w:color w:val="000000"/>
                <w:sz w:val="16"/>
                <w:szCs w:val="22"/>
                <w:lang w:val="fr-FR" w:eastAsia="en-GB"/>
              </w:rPr>
            </w:pPr>
            <w:r w:rsidRPr="00E03828">
              <w:rPr>
                <w:rFonts w:ascii="Arial" w:eastAsia="Times New Roman" w:hAnsi="Arial" w:cs="Arial"/>
                <w:color w:val="000000"/>
                <w:sz w:val="16"/>
                <w:szCs w:val="22"/>
                <w:lang w:val="fr-FR" w:eastAsia="en-GB"/>
              </w:rPr>
              <w:t>3%</w:t>
            </w:r>
          </w:p>
        </w:tc>
      </w:tr>
    </w:tbl>
    <w:p w:rsidR="00B2252D" w:rsidRDefault="00D67AA9" w:rsidP="00E04F85">
      <w:pPr>
        <w:rPr>
          <w:rFonts w:asciiTheme="minorHAnsi" w:hAnsiTheme="minorHAnsi" w:cs="Calibri"/>
          <w:b/>
          <w:lang w:val="fr-FR"/>
        </w:rPr>
      </w:pPr>
      <w:r w:rsidRPr="00E03828">
        <w:rPr>
          <w:rFonts w:asciiTheme="minorHAnsi" w:hAnsiTheme="minorHAnsi" w:cs="Calibri"/>
          <w:b/>
          <w:lang w:val="fr-FR"/>
        </w:rPr>
        <w:lastRenderedPageBreak/>
        <w:t>Annex</w:t>
      </w:r>
      <w:r w:rsidR="00F93179" w:rsidRPr="00E03828">
        <w:rPr>
          <w:rFonts w:asciiTheme="minorHAnsi" w:hAnsiTheme="minorHAnsi" w:cs="Calibri"/>
          <w:b/>
          <w:lang w:val="fr-FR"/>
        </w:rPr>
        <w:t>e</w:t>
      </w:r>
      <w:r w:rsidRPr="00E03828">
        <w:rPr>
          <w:rFonts w:asciiTheme="minorHAnsi" w:hAnsiTheme="minorHAnsi" w:cs="Calibri"/>
          <w:b/>
          <w:lang w:val="fr-FR"/>
        </w:rPr>
        <w:t xml:space="preserve"> </w:t>
      </w:r>
      <w:r w:rsidR="00584EE3" w:rsidRPr="00E03828">
        <w:rPr>
          <w:rFonts w:asciiTheme="minorHAnsi" w:hAnsiTheme="minorHAnsi" w:cs="Calibri"/>
          <w:b/>
          <w:lang w:val="fr-FR"/>
        </w:rPr>
        <w:t>4</w:t>
      </w:r>
    </w:p>
    <w:p w:rsidR="00E04F85" w:rsidRPr="00E03828" w:rsidRDefault="00E04F85" w:rsidP="00E04F85">
      <w:pPr>
        <w:rPr>
          <w:rFonts w:asciiTheme="minorHAnsi" w:hAnsiTheme="minorHAnsi"/>
          <w:b/>
          <w:lang w:val="fr-FR"/>
        </w:rPr>
      </w:pPr>
      <w:r w:rsidRPr="00E03828">
        <w:rPr>
          <w:rFonts w:ascii="Calibri" w:hAnsi="Calibri" w:cs="Calibri"/>
          <w:b/>
          <w:bCs/>
          <w:lang w:val="fr-FR"/>
        </w:rPr>
        <w:t>Dépenses inscrites au budget non administratif 2013-2015 (extrait de l'</w:t>
      </w:r>
      <w:r w:rsidR="0024116A" w:rsidRPr="00E03828">
        <w:rPr>
          <w:rFonts w:ascii="Calibri" w:hAnsi="Calibri" w:cs="Calibri"/>
          <w:b/>
          <w:bCs/>
          <w:lang w:val="fr-FR"/>
        </w:rPr>
        <w:t>a</w:t>
      </w:r>
      <w:r w:rsidRPr="00E03828">
        <w:rPr>
          <w:rFonts w:ascii="Calibri" w:hAnsi="Calibri" w:cs="Calibri"/>
          <w:b/>
          <w:bCs/>
          <w:lang w:val="fr-FR"/>
        </w:rPr>
        <w:t>nnexe III à la Résolution XI.2)</w:t>
      </w:r>
    </w:p>
    <w:p w:rsidR="00E04F85" w:rsidRPr="00E03828" w:rsidRDefault="00E04F85" w:rsidP="00E04F85">
      <w:pPr>
        <w:rPr>
          <w:rFonts w:asciiTheme="minorHAnsi" w:hAnsiTheme="minorHAnsi" w:cs="Calibri"/>
          <w:sz w:val="20"/>
          <w:szCs w:val="20"/>
          <w:lang w:val="fr-FR"/>
        </w:rPr>
      </w:pPr>
    </w:p>
    <w:tbl>
      <w:tblPr>
        <w:tblW w:w="9498" w:type="dxa"/>
        <w:tblInd w:w="-256" w:type="dxa"/>
        <w:tblCellMar>
          <w:top w:w="28" w:type="dxa"/>
          <w:left w:w="28" w:type="dxa"/>
          <w:bottom w:w="28" w:type="dxa"/>
          <w:right w:w="28" w:type="dxa"/>
        </w:tblCellMar>
        <w:tblLook w:val="01E0" w:firstRow="1" w:lastRow="1" w:firstColumn="1" w:lastColumn="1" w:noHBand="0" w:noVBand="0"/>
      </w:tblPr>
      <w:tblGrid>
        <w:gridCol w:w="6805"/>
        <w:gridCol w:w="1167"/>
        <w:gridCol w:w="1526"/>
      </w:tblGrid>
      <w:tr w:rsidR="00E04F85" w:rsidRPr="003F3195" w:rsidTr="00D4068F">
        <w:tc>
          <w:tcPr>
            <w:tcW w:w="6805"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E04F85" w:rsidRPr="00E03828" w:rsidRDefault="00E04F85" w:rsidP="002B2F16">
            <w:pPr>
              <w:rPr>
                <w:rFonts w:asciiTheme="minorHAnsi" w:hAnsiTheme="minorHAnsi" w:cs="Calibri"/>
                <w:b/>
                <w:sz w:val="20"/>
                <w:szCs w:val="20"/>
                <w:lang w:val="fr-FR"/>
              </w:rPr>
            </w:pPr>
          </w:p>
        </w:tc>
        <w:tc>
          <w:tcPr>
            <w:tcW w:w="1167"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E04F85" w:rsidRPr="00E03828" w:rsidRDefault="00E04F85" w:rsidP="002B2F16">
            <w:pPr>
              <w:jc w:val="center"/>
              <w:rPr>
                <w:rFonts w:asciiTheme="minorHAnsi" w:hAnsiTheme="minorHAnsi" w:cs="Calibri"/>
                <w:b/>
                <w:sz w:val="20"/>
                <w:szCs w:val="20"/>
                <w:lang w:val="fr-FR"/>
              </w:rPr>
            </w:pPr>
            <w:r w:rsidRPr="00E03828">
              <w:rPr>
                <w:rFonts w:asciiTheme="minorHAnsi" w:hAnsiTheme="minorHAnsi" w:cs="Calibri"/>
                <w:b/>
                <w:sz w:val="20"/>
                <w:szCs w:val="20"/>
                <w:lang w:val="fr-FR"/>
              </w:rPr>
              <w:t>Élément du</w:t>
            </w:r>
          </w:p>
          <w:p w:rsidR="00E04F85" w:rsidRPr="00E03828" w:rsidRDefault="00E04F85" w:rsidP="002B2F16">
            <w:pPr>
              <w:jc w:val="center"/>
              <w:rPr>
                <w:rFonts w:asciiTheme="minorHAnsi" w:hAnsiTheme="minorHAnsi" w:cs="Calibri"/>
                <w:b/>
                <w:sz w:val="20"/>
                <w:szCs w:val="20"/>
                <w:lang w:val="fr-FR"/>
              </w:rPr>
            </w:pPr>
            <w:r w:rsidRPr="00E03828">
              <w:rPr>
                <w:rFonts w:asciiTheme="minorHAnsi" w:hAnsiTheme="minorHAnsi" w:cs="Calibri"/>
                <w:b/>
                <w:sz w:val="20"/>
                <w:szCs w:val="20"/>
                <w:lang w:val="fr-FR"/>
              </w:rPr>
              <w:t>budget non administratif</w:t>
            </w:r>
          </w:p>
        </w:tc>
        <w:tc>
          <w:tcPr>
            <w:tcW w:w="1526" w:type="dxa"/>
            <w:tcBorders>
              <w:top w:val="single" w:sz="5" w:space="0" w:color="000000"/>
              <w:left w:val="single" w:sz="5" w:space="0" w:color="000000"/>
              <w:bottom w:val="single" w:sz="5" w:space="0" w:color="000000"/>
              <w:right w:val="single" w:sz="5" w:space="0" w:color="000000"/>
            </w:tcBorders>
            <w:shd w:val="clear" w:color="auto" w:fill="B8CCE4" w:themeFill="accent1" w:themeFillTint="66"/>
          </w:tcPr>
          <w:p w:rsidR="00E04F85" w:rsidRPr="00E03828" w:rsidRDefault="00E04F85" w:rsidP="002B2F16">
            <w:pPr>
              <w:jc w:val="center"/>
              <w:rPr>
                <w:rFonts w:asciiTheme="minorHAnsi" w:hAnsiTheme="minorHAnsi" w:cs="Calibri"/>
                <w:b/>
                <w:sz w:val="20"/>
                <w:szCs w:val="20"/>
                <w:lang w:val="fr-FR"/>
              </w:rPr>
            </w:pPr>
            <w:r w:rsidRPr="00E03828">
              <w:rPr>
                <w:rFonts w:asciiTheme="minorHAnsi" w:hAnsiTheme="minorHAnsi" w:cs="Calibri"/>
                <w:b/>
                <w:sz w:val="20"/>
                <w:szCs w:val="20"/>
                <w:lang w:val="fr-FR"/>
              </w:rPr>
              <w:t>Financement</w:t>
            </w:r>
          </w:p>
          <w:p w:rsidR="00E04F85" w:rsidRPr="00E03828" w:rsidRDefault="00E04F85" w:rsidP="002B2F16">
            <w:pPr>
              <w:jc w:val="center"/>
              <w:rPr>
                <w:rFonts w:asciiTheme="minorHAnsi" w:hAnsiTheme="minorHAnsi" w:cs="Calibri"/>
                <w:b/>
                <w:sz w:val="20"/>
                <w:szCs w:val="20"/>
                <w:lang w:val="fr-FR"/>
              </w:rPr>
            </w:pPr>
            <w:r w:rsidRPr="00E03828">
              <w:rPr>
                <w:rFonts w:asciiTheme="minorHAnsi" w:hAnsiTheme="minorHAnsi" w:cs="Calibri"/>
                <w:b/>
                <w:sz w:val="20"/>
                <w:szCs w:val="20"/>
                <w:lang w:val="fr-FR"/>
              </w:rPr>
              <w:t>nécessaire sur trois ans (en CHF)</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Responsable junior des partenariats/appels de fonds pour soutenir le Coordonnateur des partenariats et mettre en place l'unité. Il pourrait s'agir du JPO ou autre.</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B</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390 000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Un Responsable régional pour soutenir chacune des quatre équipes régionales au sein du Secrétariat, à compter de 2014. Il pourrait s'agir du JPO.</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C</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1 174 000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Appui au réseau des Initiatives régionales et Centres régionaux. Financement pour les activités prioritaires.</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D</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900 000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Programme de travail du GEST pour la période 2013-2015 (stratégies 1.1, 1.2, 1.4, 1.5, 1.6, 1.7, 1.9, 2.5, 3.1), y compris le projet GWOS (Système mondial d'observation des zones humides), (mais à l'exclusion du projet SISR (Service d'information sur les Sites Ramsar) mentionné au point 8 ci-dessous).</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E</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1 905 000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Cadre junior au poste de webmaster/responsable des médias sociaux en appui à l'équipe en charge de la communication.</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F</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390 000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Responsable informatique chargé, entre autres, d'introduire les mises à jour sur le site web et le logiciel de gestion de la documentation, de permettre la participation à InforMEA et d'appuyer d'autres activités de gestion des bases de données et de mises à jour. Également chargé d'encadrer le projet de refonte du SISR et de la base de données électroniques sur les Sites Ramsar.</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G</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390 000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Services d'interprétation pour les réunions des sous-groupes du Comité permanent.</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I</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75 000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Investissement dans le système de soumission en ligne des FDR (Fiches descriptives Ramsar) et dans le logiciel et les processus liés au SISR.</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1</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400 000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Maintien de la Journée mondiale des zones humides (actuellement financée par Danone) au niveau actuel, c.-à-d. préparation et diffusion de produits comme des brochures et des affiches et d’autres matériels de CESP à adapter et promotion de la Journée mondiale des zones humides (stratégie 4.1).</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2</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300 000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Financement de Missions consultatives Ramsar d’urgence pour des Parties qui ne peuvent pas autofinancer leurs missions (stratégies 2.4, 2.6)</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3</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450 000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Organisation d’un atelier de plan d’action de CESP et d'autres actions de CESP pour soutenir les activités de CESP financées par le budget administratif (stratégie 4.1)</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4</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300 000</w:t>
            </w:r>
          </w:p>
        </w:tc>
      </w:tr>
      <w:tr w:rsidR="00E04F85" w:rsidRPr="00E03828" w:rsidTr="00D4068F">
        <w:tc>
          <w:tcPr>
            <w:tcW w:w="6805" w:type="dxa"/>
            <w:tcBorders>
              <w:top w:val="single" w:sz="5" w:space="0" w:color="000000"/>
              <w:left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Financement de CHF 1 million par an pour alimenter le Fonds de petites subventions et de CHF 400 000 pour d’autres subventions afin de maintenir les trois programmes de subvention actuels opérationnels (en appui à plusieurs stratégies 2009-2015, dont les stratégies 1.3 et 5.1).</w:t>
            </w:r>
          </w:p>
        </w:tc>
        <w:tc>
          <w:tcPr>
            <w:tcW w:w="1167" w:type="dxa"/>
            <w:tcBorders>
              <w:top w:val="single" w:sz="5" w:space="0" w:color="000000"/>
              <w:left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5</w:t>
            </w:r>
          </w:p>
        </w:tc>
        <w:tc>
          <w:tcPr>
            <w:tcW w:w="1526" w:type="dxa"/>
            <w:tcBorders>
              <w:top w:val="single" w:sz="5" w:space="0" w:color="000000"/>
              <w:left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4 200 000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Financement de réunions régionales annuelles (techniques) à renforcer dans l’année précédant la COP afin de financer la participation des délégués et les frais des réunions régionales préparatoires de la COP.</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6</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1 050 000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Financement de délégués parrainés éligibles pour la COP12 en 2015 (stratégies 3.3, 4.2).</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7</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1 200 000</w:t>
            </w:r>
          </w:p>
        </w:tc>
      </w:tr>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E04F85">
            <w:pPr>
              <w:pStyle w:val="MGfulltext"/>
              <w:numPr>
                <w:ilvl w:val="0"/>
                <w:numId w:val="15"/>
              </w:numPr>
              <w:spacing w:after="0"/>
              <w:ind w:left="420" w:hanging="284"/>
              <w:rPr>
                <w:rFonts w:asciiTheme="minorHAnsi" w:hAnsiTheme="minorHAnsi"/>
                <w:lang w:val="fr-FR"/>
              </w:rPr>
            </w:pPr>
            <w:r w:rsidRPr="00E03828">
              <w:rPr>
                <w:rFonts w:asciiTheme="minorHAnsi" w:hAnsiTheme="minorHAnsi"/>
                <w:lang w:val="fr-FR"/>
              </w:rPr>
              <w:t>Financement pour terminer le processus de vision 2016-2021 et de Plan stratégique 2016-2021, avec une participation importante des Parties contractantes et autres acteurs pertinents pour 2016-2021.</w:t>
            </w: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center"/>
              <w:rPr>
                <w:rFonts w:asciiTheme="minorHAnsi" w:hAnsiTheme="minorHAnsi"/>
                <w:lang w:val="fr-FR"/>
              </w:rPr>
            </w:pPr>
            <w:r w:rsidRPr="00E03828">
              <w:rPr>
                <w:rFonts w:asciiTheme="minorHAnsi" w:hAnsiTheme="minorHAnsi"/>
                <w:lang w:val="fr-FR"/>
              </w:rPr>
              <w:t>8</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pStyle w:val="MGfulltext"/>
              <w:spacing w:after="0"/>
              <w:jc w:val="right"/>
              <w:rPr>
                <w:rFonts w:asciiTheme="minorHAnsi" w:hAnsiTheme="minorHAnsi"/>
                <w:lang w:val="fr-FR"/>
              </w:rPr>
            </w:pPr>
            <w:r w:rsidRPr="00E03828">
              <w:rPr>
                <w:rFonts w:asciiTheme="minorHAnsi" w:hAnsiTheme="minorHAnsi"/>
                <w:lang w:val="fr-FR"/>
              </w:rPr>
              <w:t>250 000</w:t>
            </w:r>
          </w:p>
        </w:tc>
      </w:tr>
      <w:tr w:rsidR="00E04F85" w:rsidRPr="00E03828" w:rsidTr="008231B5">
        <w:trPr>
          <w:trHeight w:val="135"/>
        </w:trPr>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rPr>
                <w:rFonts w:asciiTheme="minorHAnsi" w:hAnsiTheme="minorHAnsi" w:cs="Calibri"/>
                <w:sz w:val="20"/>
                <w:szCs w:val="20"/>
                <w:lang w:val="fr-FR"/>
              </w:rPr>
            </w:pPr>
            <w:bookmarkStart w:id="3" w:name="_GoBack"/>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rPr>
                <w:rFonts w:asciiTheme="minorHAnsi" w:hAnsiTheme="minorHAnsi" w:cs="Calibri"/>
                <w:sz w:val="20"/>
                <w:szCs w:val="20"/>
                <w:lang w:val="fr-FR"/>
              </w:rPr>
            </w:pP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jc w:val="right"/>
              <w:rPr>
                <w:rFonts w:asciiTheme="minorHAnsi" w:hAnsiTheme="minorHAnsi" w:cs="Calibri"/>
                <w:sz w:val="20"/>
                <w:szCs w:val="20"/>
                <w:lang w:val="fr-FR"/>
              </w:rPr>
            </w:pPr>
          </w:p>
        </w:tc>
      </w:tr>
      <w:bookmarkEnd w:id="3"/>
      <w:tr w:rsidR="00E04F85" w:rsidRPr="00E03828" w:rsidTr="00D4068F">
        <w:tc>
          <w:tcPr>
            <w:tcW w:w="6805"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rPr>
                <w:rFonts w:asciiTheme="minorHAnsi" w:hAnsiTheme="minorHAnsi" w:cs="Calibri"/>
                <w:sz w:val="20"/>
                <w:szCs w:val="20"/>
                <w:lang w:val="fr-FR"/>
              </w:rPr>
            </w:pPr>
          </w:p>
        </w:tc>
        <w:tc>
          <w:tcPr>
            <w:tcW w:w="1167"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jc w:val="center"/>
              <w:rPr>
                <w:rFonts w:asciiTheme="minorHAnsi" w:hAnsiTheme="minorHAnsi" w:cs="Calibri"/>
                <w:sz w:val="20"/>
                <w:szCs w:val="20"/>
                <w:lang w:val="fr-FR"/>
              </w:rPr>
            </w:pPr>
            <w:r w:rsidRPr="00E03828">
              <w:rPr>
                <w:rFonts w:asciiTheme="minorHAnsi" w:hAnsiTheme="minorHAnsi" w:cs="Calibri"/>
                <w:sz w:val="20"/>
                <w:szCs w:val="20"/>
                <w:lang w:val="fr-FR"/>
              </w:rPr>
              <w:t>CHF</w:t>
            </w:r>
          </w:p>
        </w:tc>
        <w:tc>
          <w:tcPr>
            <w:tcW w:w="1526" w:type="dxa"/>
            <w:tcBorders>
              <w:top w:val="single" w:sz="5" w:space="0" w:color="000000"/>
              <w:left w:val="single" w:sz="5" w:space="0" w:color="000000"/>
              <w:bottom w:val="single" w:sz="5" w:space="0" w:color="000000"/>
              <w:right w:val="single" w:sz="5" w:space="0" w:color="000000"/>
            </w:tcBorders>
          </w:tcPr>
          <w:p w:rsidR="00E04F85" w:rsidRPr="00E03828" w:rsidRDefault="00E04F85" w:rsidP="002B2F16">
            <w:pPr>
              <w:jc w:val="right"/>
              <w:rPr>
                <w:rFonts w:asciiTheme="minorHAnsi" w:hAnsiTheme="minorHAnsi" w:cs="Calibri"/>
                <w:sz w:val="20"/>
                <w:szCs w:val="20"/>
                <w:lang w:val="fr-FR"/>
              </w:rPr>
            </w:pPr>
            <w:r w:rsidRPr="00E03828">
              <w:rPr>
                <w:rFonts w:asciiTheme="minorHAnsi" w:hAnsiTheme="minorHAnsi" w:cs="Calibri"/>
                <w:sz w:val="20"/>
                <w:szCs w:val="20"/>
                <w:lang w:val="fr-FR"/>
              </w:rPr>
              <w:t>13 374 000</w:t>
            </w:r>
          </w:p>
          <w:p w:rsidR="00E04F85" w:rsidRPr="00E03828" w:rsidRDefault="00E04F85" w:rsidP="002B2F16">
            <w:pPr>
              <w:jc w:val="right"/>
              <w:rPr>
                <w:rFonts w:asciiTheme="minorHAnsi" w:hAnsiTheme="minorHAnsi" w:cs="Calibri"/>
                <w:sz w:val="20"/>
                <w:szCs w:val="20"/>
                <w:lang w:val="fr-FR"/>
              </w:rPr>
            </w:pPr>
          </w:p>
        </w:tc>
      </w:tr>
    </w:tbl>
    <w:p w:rsidR="00C4435F" w:rsidRPr="00E03828" w:rsidRDefault="00C4435F" w:rsidP="00D4068F">
      <w:pPr>
        <w:rPr>
          <w:rFonts w:ascii="Calibri" w:hAnsi="Calibri" w:cs="Calibri"/>
          <w:b/>
          <w:sz w:val="26"/>
          <w:szCs w:val="26"/>
          <w:lang w:val="fr-FR"/>
        </w:rPr>
      </w:pPr>
    </w:p>
    <w:sectPr w:rsidR="00C4435F" w:rsidRPr="00E03828" w:rsidSect="00D4068F">
      <w:pgSz w:w="11907" w:h="16840" w:code="9"/>
      <w:pgMar w:top="1191" w:right="1440" w:bottom="851"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95" w:rsidRDefault="003F3195">
      <w:r>
        <w:separator/>
      </w:r>
    </w:p>
  </w:endnote>
  <w:endnote w:type="continuationSeparator" w:id="0">
    <w:p w:rsidR="003F3195" w:rsidRDefault="003F3195">
      <w:r>
        <w:continuationSeparator/>
      </w:r>
    </w:p>
  </w:endnote>
  <w:endnote w:type="continuationNotice" w:id="1">
    <w:p w:rsidR="003F3195" w:rsidRDefault="003F3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95" w:rsidRPr="003A25EC" w:rsidRDefault="003F3195">
    <w:pPr>
      <w:pStyle w:val="Footer"/>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52</w:t>
    </w:r>
    <w:r w:rsidRPr="003A25EC">
      <w:rPr>
        <w:rFonts w:asciiTheme="minorHAnsi" w:hAnsiTheme="minorHAnsi"/>
        <w:sz w:val="20"/>
        <w:szCs w:val="20"/>
      </w:rPr>
      <w:t>-</w:t>
    </w:r>
    <w:r>
      <w:rPr>
        <w:rFonts w:asciiTheme="minorHAnsi" w:hAnsiTheme="minorHAnsi"/>
        <w:sz w:val="20"/>
        <w:szCs w:val="20"/>
      </w:rPr>
      <w:t>18 Rev.1</w:t>
    </w:r>
    <w:r w:rsidRPr="003A25EC">
      <w:rPr>
        <w:rFonts w:asciiTheme="minorHAnsi" w:hAnsiTheme="minorHAnsi"/>
        <w:sz w:val="20"/>
        <w:szCs w:val="20"/>
      </w:rPr>
      <w:tab/>
    </w:r>
    <w:r w:rsidRPr="003A25EC">
      <w:rPr>
        <w:rFonts w:asciiTheme="minorHAnsi" w:hAnsiTheme="minorHAnsi"/>
        <w:sz w:val="20"/>
        <w:szCs w:val="20"/>
      </w:rPr>
      <w:tab/>
    </w:r>
    <w:r w:rsidRPr="003A25EC">
      <w:rPr>
        <w:rFonts w:asciiTheme="minorHAnsi" w:hAnsiTheme="minorHAnsi"/>
        <w:sz w:val="20"/>
        <w:szCs w:val="20"/>
      </w:rPr>
      <w:fldChar w:fldCharType="begin"/>
    </w:r>
    <w:r w:rsidRPr="003A25EC">
      <w:rPr>
        <w:rFonts w:asciiTheme="minorHAnsi" w:hAnsiTheme="minorHAnsi"/>
        <w:sz w:val="20"/>
        <w:szCs w:val="20"/>
      </w:rPr>
      <w:instrText xml:space="preserve"> PAGE   \* MERGEFORMAT </w:instrText>
    </w:r>
    <w:r w:rsidRPr="003A25EC">
      <w:rPr>
        <w:rFonts w:asciiTheme="minorHAnsi" w:hAnsiTheme="minorHAnsi"/>
        <w:sz w:val="20"/>
        <w:szCs w:val="20"/>
      </w:rPr>
      <w:fldChar w:fldCharType="separate"/>
    </w:r>
    <w:r w:rsidR="008231B5">
      <w:rPr>
        <w:rFonts w:asciiTheme="minorHAnsi" w:hAnsiTheme="minorHAnsi"/>
        <w:noProof/>
        <w:sz w:val="20"/>
        <w:szCs w:val="20"/>
      </w:rPr>
      <w:t>13</w:t>
    </w:r>
    <w:r w:rsidRPr="003A25EC">
      <w:rPr>
        <w:rFonts w:asciiTheme="minorHAnsi" w:hAnsi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8F" w:rsidRPr="00D4068F" w:rsidRDefault="00D4068F">
    <w:pPr>
      <w:pStyle w:val="Footer"/>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52</w:t>
    </w:r>
    <w:r w:rsidRPr="003A25EC">
      <w:rPr>
        <w:rFonts w:asciiTheme="minorHAnsi" w:hAnsiTheme="minorHAnsi"/>
        <w:sz w:val="20"/>
        <w:szCs w:val="20"/>
      </w:rPr>
      <w:t>-</w:t>
    </w:r>
    <w:r>
      <w:rPr>
        <w:rFonts w:asciiTheme="minorHAnsi" w:hAnsiTheme="minorHAnsi"/>
        <w:sz w:val="20"/>
        <w:szCs w:val="20"/>
      </w:rPr>
      <w:t>18 Rev.1</w:t>
    </w:r>
    <w:r w:rsidRPr="003A25EC">
      <w:rPr>
        <w:rFonts w:asciiTheme="minorHAnsi" w:hAnsiTheme="minorHAnsi"/>
        <w:sz w:val="20"/>
        <w:szCs w:val="20"/>
      </w:rPr>
      <w:tab/>
    </w:r>
    <w:r w:rsidRPr="003A25EC">
      <w:rPr>
        <w:rFonts w:asciiTheme="minorHAnsi" w:hAnsiTheme="minorHAnsi"/>
        <w:sz w:val="20"/>
        <w:szCs w:val="20"/>
      </w:rPr>
      <w:tab/>
    </w:r>
    <w:r w:rsidRPr="003A25EC">
      <w:rPr>
        <w:rFonts w:asciiTheme="minorHAnsi" w:hAnsiTheme="minorHAnsi"/>
        <w:sz w:val="20"/>
        <w:szCs w:val="20"/>
      </w:rPr>
      <w:fldChar w:fldCharType="begin"/>
    </w:r>
    <w:r w:rsidRPr="003A25EC">
      <w:rPr>
        <w:rFonts w:asciiTheme="minorHAnsi" w:hAnsiTheme="minorHAnsi"/>
        <w:sz w:val="20"/>
        <w:szCs w:val="20"/>
      </w:rPr>
      <w:instrText xml:space="preserve"> PAGE   \* MERGEFORMAT </w:instrText>
    </w:r>
    <w:r w:rsidRPr="003A25EC">
      <w:rPr>
        <w:rFonts w:asciiTheme="minorHAnsi" w:hAnsiTheme="minorHAnsi"/>
        <w:sz w:val="20"/>
        <w:szCs w:val="20"/>
      </w:rPr>
      <w:fldChar w:fldCharType="separate"/>
    </w:r>
    <w:r w:rsidR="008231B5">
      <w:rPr>
        <w:rFonts w:asciiTheme="minorHAnsi" w:hAnsiTheme="minorHAnsi"/>
        <w:noProof/>
        <w:sz w:val="20"/>
        <w:szCs w:val="20"/>
      </w:rPr>
      <w:t>11</w:t>
    </w:r>
    <w:r w:rsidRPr="003A25EC">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95" w:rsidRDefault="003F3195">
      <w:r>
        <w:separator/>
      </w:r>
    </w:p>
  </w:footnote>
  <w:footnote w:type="continuationSeparator" w:id="0">
    <w:p w:rsidR="003F3195" w:rsidRDefault="003F3195">
      <w:r>
        <w:continuationSeparator/>
      </w:r>
    </w:p>
  </w:footnote>
  <w:footnote w:type="continuationNotice" w:id="1">
    <w:p w:rsidR="003F3195" w:rsidRDefault="003F31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F43"/>
    <w:multiLevelType w:val="hybridMultilevel"/>
    <w:tmpl w:val="09A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75790"/>
    <w:multiLevelType w:val="hybridMultilevel"/>
    <w:tmpl w:val="14C653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23C6E07"/>
    <w:multiLevelType w:val="hybridMultilevel"/>
    <w:tmpl w:val="C7BAA1F2"/>
    <w:lvl w:ilvl="0" w:tplc="415E444A">
      <w:start w:val="1"/>
      <w:numFmt w:val="decimal"/>
      <w:lvlText w:val="%1."/>
      <w:lvlJc w:val="left"/>
      <w:pPr>
        <w:ind w:left="360" w:hanging="360"/>
      </w:pPr>
      <w:rPr>
        <w:b w:val="0"/>
      </w:rPr>
    </w:lvl>
    <w:lvl w:ilvl="1" w:tplc="9E70A3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EB2435"/>
    <w:multiLevelType w:val="hybridMultilevel"/>
    <w:tmpl w:val="5F98A2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51496"/>
    <w:multiLevelType w:val="hybridMultilevel"/>
    <w:tmpl w:val="D9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2646A"/>
    <w:multiLevelType w:val="hybridMultilevel"/>
    <w:tmpl w:val="E71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4516B"/>
    <w:multiLevelType w:val="hybridMultilevel"/>
    <w:tmpl w:val="562ADC9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1">
      <w:start w:val="1"/>
      <w:numFmt w:val="decimal"/>
      <w:lvlText w:val="%3)"/>
      <w:lvlJc w:val="lef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403039"/>
    <w:multiLevelType w:val="hybridMultilevel"/>
    <w:tmpl w:val="7468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E73D9D"/>
    <w:multiLevelType w:val="hybridMultilevel"/>
    <w:tmpl w:val="B2E80D40"/>
    <w:lvl w:ilvl="0" w:tplc="04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9FD41834">
      <w:start w:val="1"/>
      <w:numFmt w:val="lowerRoman"/>
      <w:lvlText w:val="%3."/>
      <w:lvlJc w:val="left"/>
      <w:pPr>
        <w:ind w:left="2160" w:hanging="180"/>
      </w:pPr>
      <w:rPr>
        <w:rFonts w:hint="default"/>
      </w:r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C16C3C"/>
    <w:multiLevelType w:val="hybridMultilevel"/>
    <w:tmpl w:val="110C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AD0C87"/>
    <w:multiLevelType w:val="hybridMultilevel"/>
    <w:tmpl w:val="922401D2"/>
    <w:lvl w:ilvl="0" w:tplc="24588BC4">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9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E0306"/>
    <w:multiLevelType w:val="hybridMultilevel"/>
    <w:tmpl w:val="4398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A156B2"/>
    <w:multiLevelType w:val="hybridMultilevel"/>
    <w:tmpl w:val="633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9A484B"/>
    <w:multiLevelType w:val="hybridMultilevel"/>
    <w:tmpl w:val="36C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3319DB"/>
    <w:multiLevelType w:val="hybridMultilevel"/>
    <w:tmpl w:val="A38E067A"/>
    <w:lvl w:ilvl="0" w:tplc="AB00AD7A">
      <w:start w:val="1"/>
      <w:numFmt w:val="lowerRoman"/>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740A77CF"/>
    <w:multiLevelType w:val="hybridMultilevel"/>
    <w:tmpl w:val="201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FD56B0"/>
    <w:multiLevelType w:val="hybridMultilevel"/>
    <w:tmpl w:val="3E128536"/>
    <w:lvl w:ilvl="0" w:tplc="2014E33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5"/>
  </w:num>
  <w:num w:numId="5">
    <w:abstractNumId w:val="15"/>
  </w:num>
  <w:num w:numId="6">
    <w:abstractNumId w:val="12"/>
  </w:num>
  <w:num w:numId="7">
    <w:abstractNumId w:val="4"/>
  </w:num>
  <w:num w:numId="8">
    <w:abstractNumId w:val="11"/>
  </w:num>
  <w:num w:numId="9">
    <w:abstractNumId w:val="2"/>
  </w:num>
  <w:num w:numId="10">
    <w:abstractNumId w:val="0"/>
  </w:num>
  <w:num w:numId="11">
    <w:abstractNumId w:val="6"/>
  </w:num>
  <w:num w:numId="12">
    <w:abstractNumId w:val="13"/>
  </w:num>
  <w:num w:numId="13">
    <w:abstractNumId w:val="3"/>
  </w:num>
  <w:num w:numId="14">
    <w:abstractNumId w:val="16"/>
  </w:num>
  <w:num w:numId="15">
    <w:abstractNumId w:val="9"/>
  </w:num>
  <w:num w:numId="16">
    <w:abstractNumId w:val="1"/>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425"/>
  <w:drawingGridHorizontalSpacing w:val="120"/>
  <w:displayHorizont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98C"/>
    <w:rsid w:val="00002D40"/>
    <w:rsid w:val="000069E0"/>
    <w:rsid w:val="0000744C"/>
    <w:rsid w:val="00010599"/>
    <w:rsid w:val="0001135A"/>
    <w:rsid w:val="00011591"/>
    <w:rsid w:val="00012537"/>
    <w:rsid w:val="00012828"/>
    <w:rsid w:val="0001420D"/>
    <w:rsid w:val="00015175"/>
    <w:rsid w:val="00016AA1"/>
    <w:rsid w:val="0001736C"/>
    <w:rsid w:val="00017FEC"/>
    <w:rsid w:val="000204FE"/>
    <w:rsid w:val="000211F3"/>
    <w:rsid w:val="00024785"/>
    <w:rsid w:val="00026108"/>
    <w:rsid w:val="0002611D"/>
    <w:rsid w:val="000265DF"/>
    <w:rsid w:val="00027190"/>
    <w:rsid w:val="000302DD"/>
    <w:rsid w:val="000303B9"/>
    <w:rsid w:val="00030BE3"/>
    <w:rsid w:val="00031725"/>
    <w:rsid w:val="00032B16"/>
    <w:rsid w:val="000331C5"/>
    <w:rsid w:val="00033217"/>
    <w:rsid w:val="000342B7"/>
    <w:rsid w:val="00036EAE"/>
    <w:rsid w:val="00040F55"/>
    <w:rsid w:val="0004138F"/>
    <w:rsid w:val="000414C7"/>
    <w:rsid w:val="00043345"/>
    <w:rsid w:val="00043D31"/>
    <w:rsid w:val="000442FE"/>
    <w:rsid w:val="00046784"/>
    <w:rsid w:val="000470AA"/>
    <w:rsid w:val="00047647"/>
    <w:rsid w:val="00047C59"/>
    <w:rsid w:val="000528FA"/>
    <w:rsid w:val="000538AA"/>
    <w:rsid w:val="00054DA0"/>
    <w:rsid w:val="00062160"/>
    <w:rsid w:val="00063B3F"/>
    <w:rsid w:val="00064F37"/>
    <w:rsid w:val="000661D8"/>
    <w:rsid w:val="000674C5"/>
    <w:rsid w:val="00070241"/>
    <w:rsid w:val="000709C1"/>
    <w:rsid w:val="000739BA"/>
    <w:rsid w:val="00074D35"/>
    <w:rsid w:val="000755A6"/>
    <w:rsid w:val="00075CC3"/>
    <w:rsid w:val="000763D9"/>
    <w:rsid w:val="00077664"/>
    <w:rsid w:val="00077CD3"/>
    <w:rsid w:val="00082518"/>
    <w:rsid w:val="000837EE"/>
    <w:rsid w:val="00083D79"/>
    <w:rsid w:val="00083F16"/>
    <w:rsid w:val="0008448B"/>
    <w:rsid w:val="00086D09"/>
    <w:rsid w:val="000876AD"/>
    <w:rsid w:val="0009101A"/>
    <w:rsid w:val="00092F1E"/>
    <w:rsid w:val="00093118"/>
    <w:rsid w:val="00093EAD"/>
    <w:rsid w:val="0009664B"/>
    <w:rsid w:val="000A0953"/>
    <w:rsid w:val="000A2B7E"/>
    <w:rsid w:val="000A582B"/>
    <w:rsid w:val="000A7583"/>
    <w:rsid w:val="000B1686"/>
    <w:rsid w:val="000B301B"/>
    <w:rsid w:val="000B330F"/>
    <w:rsid w:val="000B4A7F"/>
    <w:rsid w:val="000B6B3A"/>
    <w:rsid w:val="000B7A27"/>
    <w:rsid w:val="000C0271"/>
    <w:rsid w:val="000C0ED3"/>
    <w:rsid w:val="000C1043"/>
    <w:rsid w:val="000C154E"/>
    <w:rsid w:val="000C2055"/>
    <w:rsid w:val="000C2B05"/>
    <w:rsid w:val="000C338E"/>
    <w:rsid w:val="000C488F"/>
    <w:rsid w:val="000C5AD0"/>
    <w:rsid w:val="000C6701"/>
    <w:rsid w:val="000D00AA"/>
    <w:rsid w:val="000D0B0F"/>
    <w:rsid w:val="000D2D66"/>
    <w:rsid w:val="000D7CF1"/>
    <w:rsid w:val="000D7D6D"/>
    <w:rsid w:val="000E0551"/>
    <w:rsid w:val="000E0C0D"/>
    <w:rsid w:val="000E650E"/>
    <w:rsid w:val="000E65CA"/>
    <w:rsid w:val="000E6D1F"/>
    <w:rsid w:val="000E7399"/>
    <w:rsid w:val="000E750C"/>
    <w:rsid w:val="000F02CD"/>
    <w:rsid w:val="000F045B"/>
    <w:rsid w:val="000F38A6"/>
    <w:rsid w:val="000F4158"/>
    <w:rsid w:val="000F608B"/>
    <w:rsid w:val="000F676C"/>
    <w:rsid w:val="000F6B82"/>
    <w:rsid w:val="000F7671"/>
    <w:rsid w:val="00101A5A"/>
    <w:rsid w:val="00102FC1"/>
    <w:rsid w:val="001039B5"/>
    <w:rsid w:val="00106388"/>
    <w:rsid w:val="0010661E"/>
    <w:rsid w:val="001074D5"/>
    <w:rsid w:val="00107792"/>
    <w:rsid w:val="00110D85"/>
    <w:rsid w:val="00111923"/>
    <w:rsid w:val="00112516"/>
    <w:rsid w:val="00112DF4"/>
    <w:rsid w:val="00113F9D"/>
    <w:rsid w:val="001161C4"/>
    <w:rsid w:val="00116AEA"/>
    <w:rsid w:val="00116C61"/>
    <w:rsid w:val="00120CBE"/>
    <w:rsid w:val="0012137E"/>
    <w:rsid w:val="00121B06"/>
    <w:rsid w:val="00124EF4"/>
    <w:rsid w:val="00126B45"/>
    <w:rsid w:val="0012728F"/>
    <w:rsid w:val="00127C82"/>
    <w:rsid w:val="00131031"/>
    <w:rsid w:val="001331EB"/>
    <w:rsid w:val="00134599"/>
    <w:rsid w:val="00135B39"/>
    <w:rsid w:val="00136805"/>
    <w:rsid w:val="00137F31"/>
    <w:rsid w:val="0014079B"/>
    <w:rsid w:val="00141490"/>
    <w:rsid w:val="00141718"/>
    <w:rsid w:val="00141C37"/>
    <w:rsid w:val="00142317"/>
    <w:rsid w:val="00143507"/>
    <w:rsid w:val="00144E0A"/>
    <w:rsid w:val="00146DBD"/>
    <w:rsid w:val="001472A8"/>
    <w:rsid w:val="00147C7D"/>
    <w:rsid w:val="0015459C"/>
    <w:rsid w:val="00155F2C"/>
    <w:rsid w:val="00156778"/>
    <w:rsid w:val="00161AB9"/>
    <w:rsid w:val="00161D05"/>
    <w:rsid w:val="0016270D"/>
    <w:rsid w:val="00165955"/>
    <w:rsid w:val="00166322"/>
    <w:rsid w:val="00167059"/>
    <w:rsid w:val="001704C0"/>
    <w:rsid w:val="00171983"/>
    <w:rsid w:val="0017243B"/>
    <w:rsid w:val="00173006"/>
    <w:rsid w:val="0017328C"/>
    <w:rsid w:val="001734B2"/>
    <w:rsid w:val="00173B97"/>
    <w:rsid w:val="00174527"/>
    <w:rsid w:val="00174AFC"/>
    <w:rsid w:val="001778C4"/>
    <w:rsid w:val="001805A0"/>
    <w:rsid w:val="00181C11"/>
    <w:rsid w:val="00183630"/>
    <w:rsid w:val="00184A0A"/>
    <w:rsid w:val="00185D3A"/>
    <w:rsid w:val="00187B67"/>
    <w:rsid w:val="001911A5"/>
    <w:rsid w:val="00191760"/>
    <w:rsid w:val="00192290"/>
    <w:rsid w:val="00192AE5"/>
    <w:rsid w:val="00196B36"/>
    <w:rsid w:val="001A1B45"/>
    <w:rsid w:val="001A226C"/>
    <w:rsid w:val="001A4CEC"/>
    <w:rsid w:val="001A5445"/>
    <w:rsid w:val="001A736A"/>
    <w:rsid w:val="001B0ECF"/>
    <w:rsid w:val="001B1A73"/>
    <w:rsid w:val="001B3677"/>
    <w:rsid w:val="001B4F63"/>
    <w:rsid w:val="001C005C"/>
    <w:rsid w:val="001C2B94"/>
    <w:rsid w:val="001C2EA9"/>
    <w:rsid w:val="001C3A58"/>
    <w:rsid w:val="001C5192"/>
    <w:rsid w:val="001C5504"/>
    <w:rsid w:val="001C7F6C"/>
    <w:rsid w:val="001D09BF"/>
    <w:rsid w:val="001D1B0C"/>
    <w:rsid w:val="001D48D7"/>
    <w:rsid w:val="001D6BB5"/>
    <w:rsid w:val="001D7463"/>
    <w:rsid w:val="001D7666"/>
    <w:rsid w:val="001E26CB"/>
    <w:rsid w:val="001E2B38"/>
    <w:rsid w:val="001E2EC7"/>
    <w:rsid w:val="001E5DBE"/>
    <w:rsid w:val="001F0A9E"/>
    <w:rsid w:val="001F0DEF"/>
    <w:rsid w:val="001F1273"/>
    <w:rsid w:val="001F2842"/>
    <w:rsid w:val="001F3D66"/>
    <w:rsid w:val="001F40E1"/>
    <w:rsid w:val="001F6BDD"/>
    <w:rsid w:val="001F717F"/>
    <w:rsid w:val="001F7D0B"/>
    <w:rsid w:val="001F7EF9"/>
    <w:rsid w:val="00201110"/>
    <w:rsid w:val="00207B29"/>
    <w:rsid w:val="0021050A"/>
    <w:rsid w:val="00211897"/>
    <w:rsid w:val="00211A38"/>
    <w:rsid w:val="00211BF6"/>
    <w:rsid w:val="002155E2"/>
    <w:rsid w:val="00216E7D"/>
    <w:rsid w:val="0022079A"/>
    <w:rsid w:val="00221239"/>
    <w:rsid w:val="00224108"/>
    <w:rsid w:val="0022565E"/>
    <w:rsid w:val="00226328"/>
    <w:rsid w:val="002268E8"/>
    <w:rsid w:val="0023254E"/>
    <w:rsid w:val="00232FB1"/>
    <w:rsid w:val="002340A8"/>
    <w:rsid w:val="00234D98"/>
    <w:rsid w:val="00237712"/>
    <w:rsid w:val="0024116A"/>
    <w:rsid w:val="00241724"/>
    <w:rsid w:val="00241F7D"/>
    <w:rsid w:val="002464F2"/>
    <w:rsid w:val="002466F5"/>
    <w:rsid w:val="00250633"/>
    <w:rsid w:val="0025063C"/>
    <w:rsid w:val="00250796"/>
    <w:rsid w:val="0025252F"/>
    <w:rsid w:val="00253966"/>
    <w:rsid w:val="00257138"/>
    <w:rsid w:val="0026224D"/>
    <w:rsid w:val="0026282E"/>
    <w:rsid w:val="00263953"/>
    <w:rsid w:val="00264C44"/>
    <w:rsid w:val="0026560A"/>
    <w:rsid w:val="00271D0E"/>
    <w:rsid w:val="00271DE0"/>
    <w:rsid w:val="00272633"/>
    <w:rsid w:val="00275C85"/>
    <w:rsid w:val="00276C10"/>
    <w:rsid w:val="00283A46"/>
    <w:rsid w:val="002928ED"/>
    <w:rsid w:val="00293670"/>
    <w:rsid w:val="00294CAC"/>
    <w:rsid w:val="00295095"/>
    <w:rsid w:val="00297427"/>
    <w:rsid w:val="002A1698"/>
    <w:rsid w:val="002A4581"/>
    <w:rsid w:val="002A50F3"/>
    <w:rsid w:val="002A6AC6"/>
    <w:rsid w:val="002A6B70"/>
    <w:rsid w:val="002B25E3"/>
    <w:rsid w:val="002B2F16"/>
    <w:rsid w:val="002B30D4"/>
    <w:rsid w:val="002B3403"/>
    <w:rsid w:val="002B491E"/>
    <w:rsid w:val="002B4BF2"/>
    <w:rsid w:val="002B5422"/>
    <w:rsid w:val="002B5735"/>
    <w:rsid w:val="002B78A9"/>
    <w:rsid w:val="002C0090"/>
    <w:rsid w:val="002C0F8B"/>
    <w:rsid w:val="002C180A"/>
    <w:rsid w:val="002C53F9"/>
    <w:rsid w:val="002C58C3"/>
    <w:rsid w:val="002C69BF"/>
    <w:rsid w:val="002C7FA7"/>
    <w:rsid w:val="002D0871"/>
    <w:rsid w:val="002D0EA1"/>
    <w:rsid w:val="002D0F06"/>
    <w:rsid w:val="002D4015"/>
    <w:rsid w:val="002D6034"/>
    <w:rsid w:val="002D6888"/>
    <w:rsid w:val="002D76C0"/>
    <w:rsid w:val="002E152D"/>
    <w:rsid w:val="002E1B28"/>
    <w:rsid w:val="002E57AE"/>
    <w:rsid w:val="002E6B0A"/>
    <w:rsid w:val="002E7954"/>
    <w:rsid w:val="002F0512"/>
    <w:rsid w:val="002F1D50"/>
    <w:rsid w:val="002F208E"/>
    <w:rsid w:val="002F2B18"/>
    <w:rsid w:val="002F381C"/>
    <w:rsid w:val="002F7D7B"/>
    <w:rsid w:val="003007B2"/>
    <w:rsid w:val="003007EE"/>
    <w:rsid w:val="00300F31"/>
    <w:rsid w:val="00302314"/>
    <w:rsid w:val="00302FD9"/>
    <w:rsid w:val="0030493C"/>
    <w:rsid w:val="00306845"/>
    <w:rsid w:val="00306DB4"/>
    <w:rsid w:val="0030798A"/>
    <w:rsid w:val="003112A8"/>
    <w:rsid w:val="00313A78"/>
    <w:rsid w:val="00314B65"/>
    <w:rsid w:val="00314CBB"/>
    <w:rsid w:val="00315578"/>
    <w:rsid w:val="0031585B"/>
    <w:rsid w:val="00315B41"/>
    <w:rsid w:val="00320407"/>
    <w:rsid w:val="00321781"/>
    <w:rsid w:val="00322084"/>
    <w:rsid w:val="00322996"/>
    <w:rsid w:val="0032644F"/>
    <w:rsid w:val="00327E4E"/>
    <w:rsid w:val="0033113E"/>
    <w:rsid w:val="00331EB8"/>
    <w:rsid w:val="00332D36"/>
    <w:rsid w:val="003357A9"/>
    <w:rsid w:val="00342946"/>
    <w:rsid w:val="00342C63"/>
    <w:rsid w:val="00345053"/>
    <w:rsid w:val="003464B6"/>
    <w:rsid w:val="003505DE"/>
    <w:rsid w:val="00353ECB"/>
    <w:rsid w:val="0035655B"/>
    <w:rsid w:val="0036059A"/>
    <w:rsid w:val="00361FFD"/>
    <w:rsid w:val="0036661A"/>
    <w:rsid w:val="00366B57"/>
    <w:rsid w:val="0036720F"/>
    <w:rsid w:val="003709CC"/>
    <w:rsid w:val="0037146E"/>
    <w:rsid w:val="00374990"/>
    <w:rsid w:val="0037555D"/>
    <w:rsid w:val="0037674F"/>
    <w:rsid w:val="003777DE"/>
    <w:rsid w:val="00380039"/>
    <w:rsid w:val="003800FC"/>
    <w:rsid w:val="00380503"/>
    <w:rsid w:val="00383172"/>
    <w:rsid w:val="00385CA2"/>
    <w:rsid w:val="00386BBE"/>
    <w:rsid w:val="00387677"/>
    <w:rsid w:val="00390178"/>
    <w:rsid w:val="00390E5C"/>
    <w:rsid w:val="003914B6"/>
    <w:rsid w:val="003916FC"/>
    <w:rsid w:val="00392DA6"/>
    <w:rsid w:val="00394D25"/>
    <w:rsid w:val="00395DD1"/>
    <w:rsid w:val="003A1651"/>
    <w:rsid w:val="003A1E0A"/>
    <w:rsid w:val="003A25EC"/>
    <w:rsid w:val="003A361B"/>
    <w:rsid w:val="003A6FAE"/>
    <w:rsid w:val="003A7F44"/>
    <w:rsid w:val="003B0786"/>
    <w:rsid w:val="003B16DE"/>
    <w:rsid w:val="003B1AEA"/>
    <w:rsid w:val="003B396A"/>
    <w:rsid w:val="003B53C9"/>
    <w:rsid w:val="003B5DEF"/>
    <w:rsid w:val="003B7523"/>
    <w:rsid w:val="003C13D3"/>
    <w:rsid w:val="003C1D24"/>
    <w:rsid w:val="003C349D"/>
    <w:rsid w:val="003C371B"/>
    <w:rsid w:val="003C4198"/>
    <w:rsid w:val="003C6412"/>
    <w:rsid w:val="003C680B"/>
    <w:rsid w:val="003D1A74"/>
    <w:rsid w:val="003D402F"/>
    <w:rsid w:val="003E0E35"/>
    <w:rsid w:val="003E237D"/>
    <w:rsid w:val="003E25C0"/>
    <w:rsid w:val="003E2885"/>
    <w:rsid w:val="003E41CB"/>
    <w:rsid w:val="003F01C9"/>
    <w:rsid w:val="003F0B30"/>
    <w:rsid w:val="003F1988"/>
    <w:rsid w:val="003F2534"/>
    <w:rsid w:val="003F3195"/>
    <w:rsid w:val="004009E9"/>
    <w:rsid w:val="0040442C"/>
    <w:rsid w:val="00404E09"/>
    <w:rsid w:val="0040703B"/>
    <w:rsid w:val="0040715E"/>
    <w:rsid w:val="00411BB1"/>
    <w:rsid w:val="00414328"/>
    <w:rsid w:val="00414F10"/>
    <w:rsid w:val="00416DF3"/>
    <w:rsid w:val="00417672"/>
    <w:rsid w:val="00417A93"/>
    <w:rsid w:val="00421DDD"/>
    <w:rsid w:val="0042642D"/>
    <w:rsid w:val="00426866"/>
    <w:rsid w:val="00432445"/>
    <w:rsid w:val="004340A5"/>
    <w:rsid w:val="00436190"/>
    <w:rsid w:val="0044012B"/>
    <w:rsid w:val="00441CF2"/>
    <w:rsid w:val="0044433D"/>
    <w:rsid w:val="00445578"/>
    <w:rsid w:val="0044625F"/>
    <w:rsid w:val="00450ADD"/>
    <w:rsid w:val="00450DAC"/>
    <w:rsid w:val="00451878"/>
    <w:rsid w:val="00452FF0"/>
    <w:rsid w:val="0045519B"/>
    <w:rsid w:val="00455E06"/>
    <w:rsid w:val="00456EDA"/>
    <w:rsid w:val="004570C6"/>
    <w:rsid w:val="004574CD"/>
    <w:rsid w:val="00461047"/>
    <w:rsid w:val="0046200F"/>
    <w:rsid w:val="004620B2"/>
    <w:rsid w:val="00462F28"/>
    <w:rsid w:val="00462F63"/>
    <w:rsid w:val="004634DB"/>
    <w:rsid w:val="00464606"/>
    <w:rsid w:val="00465482"/>
    <w:rsid w:val="004729B9"/>
    <w:rsid w:val="004732C1"/>
    <w:rsid w:val="00473B42"/>
    <w:rsid w:val="00480719"/>
    <w:rsid w:val="00480F48"/>
    <w:rsid w:val="004810F2"/>
    <w:rsid w:val="00483AB6"/>
    <w:rsid w:val="004848CF"/>
    <w:rsid w:val="00484A0A"/>
    <w:rsid w:val="00485139"/>
    <w:rsid w:val="00485219"/>
    <w:rsid w:val="004868DD"/>
    <w:rsid w:val="004908A3"/>
    <w:rsid w:val="004948AA"/>
    <w:rsid w:val="0049618E"/>
    <w:rsid w:val="004966A1"/>
    <w:rsid w:val="004979EC"/>
    <w:rsid w:val="004A39B6"/>
    <w:rsid w:val="004A531A"/>
    <w:rsid w:val="004A551A"/>
    <w:rsid w:val="004A6723"/>
    <w:rsid w:val="004A6ABB"/>
    <w:rsid w:val="004A70CD"/>
    <w:rsid w:val="004A753B"/>
    <w:rsid w:val="004B3903"/>
    <w:rsid w:val="004B5D6F"/>
    <w:rsid w:val="004C1CA2"/>
    <w:rsid w:val="004C54AC"/>
    <w:rsid w:val="004C629F"/>
    <w:rsid w:val="004D02D0"/>
    <w:rsid w:val="004D0BB4"/>
    <w:rsid w:val="004D1AED"/>
    <w:rsid w:val="004D335B"/>
    <w:rsid w:val="004D3472"/>
    <w:rsid w:val="004D746E"/>
    <w:rsid w:val="004E125F"/>
    <w:rsid w:val="004E1EF7"/>
    <w:rsid w:val="004E6693"/>
    <w:rsid w:val="004E7940"/>
    <w:rsid w:val="004E7ABB"/>
    <w:rsid w:val="004E7D07"/>
    <w:rsid w:val="004E7EAD"/>
    <w:rsid w:val="004F087A"/>
    <w:rsid w:val="004F0AD5"/>
    <w:rsid w:val="004F3121"/>
    <w:rsid w:val="004F3485"/>
    <w:rsid w:val="004F4328"/>
    <w:rsid w:val="004F6CD7"/>
    <w:rsid w:val="004F70EF"/>
    <w:rsid w:val="004F7A87"/>
    <w:rsid w:val="00500792"/>
    <w:rsid w:val="00501B06"/>
    <w:rsid w:val="0050578F"/>
    <w:rsid w:val="00511AED"/>
    <w:rsid w:val="0051260E"/>
    <w:rsid w:val="00512A47"/>
    <w:rsid w:val="00513B77"/>
    <w:rsid w:val="00515D38"/>
    <w:rsid w:val="0051641E"/>
    <w:rsid w:val="00521840"/>
    <w:rsid w:val="005244A4"/>
    <w:rsid w:val="00526A47"/>
    <w:rsid w:val="00527C60"/>
    <w:rsid w:val="00531742"/>
    <w:rsid w:val="00532E81"/>
    <w:rsid w:val="00533D9D"/>
    <w:rsid w:val="005363C2"/>
    <w:rsid w:val="00537103"/>
    <w:rsid w:val="00540B56"/>
    <w:rsid w:val="00541A4F"/>
    <w:rsid w:val="005438A1"/>
    <w:rsid w:val="00547115"/>
    <w:rsid w:val="005503AD"/>
    <w:rsid w:val="00550BE1"/>
    <w:rsid w:val="0055409F"/>
    <w:rsid w:val="005559AB"/>
    <w:rsid w:val="00560A8F"/>
    <w:rsid w:val="0056312E"/>
    <w:rsid w:val="00563486"/>
    <w:rsid w:val="00563B03"/>
    <w:rsid w:val="005650CB"/>
    <w:rsid w:val="00565391"/>
    <w:rsid w:val="0056687C"/>
    <w:rsid w:val="00566B37"/>
    <w:rsid w:val="005676AA"/>
    <w:rsid w:val="00571AE9"/>
    <w:rsid w:val="00571E47"/>
    <w:rsid w:val="00572E4F"/>
    <w:rsid w:val="005761AC"/>
    <w:rsid w:val="00581A1C"/>
    <w:rsid w:val="00581A67"/>
    <w:rsid w:val="00584E29"/>
    <w:rsid w:val="00584EE3"/>
    <w:rsid w:val="005918FC"/>
    <w:rsid w:val="00592897"/>
    <w:rsid w:val="00596137"/>
    <w:rsid w:val="005975AB"/>
    <w:rsid w:val="005A0C49"/>
    <w:rsid w:val="005A1404"/>
    <w:rsid w:val="005A2AF9"/>
    <w:rsid w:val="005A5036"/>
    <w:rsid w:val="005A731D"/>
    <w:rsid w:val="005A7505"/>
    <w:rsid w:val="005A7CD7"/>
    <w:rsid w:val="005B0C30"/>
    <w:rsid w:val="005B18BE"/>
    <w:rsid w:val="005B211D"/>
    <w:rsid w:val="005B3BED"/>
    <w:rsid w:val="005B6670"/>
    <w:rsid w:val="005C098C"/>
    <w:rsid w:val="005C0E05"/>
    <w:rsid w:val="005C35BE"/>
    <w:rsid w:val="005D076B"/>
    <w:rsid w:val="005D0C79"/>
    <w:rsid w:val="005D2BF8"/>
    <w:rsid w:val="005D36C6"/>
    <w:rsid w:val="005D3E21"/>
    <w:rsid w:val="005D46C3"/>
    <w:rsid w:val="005D58E2"/>
    <w:rsid w:val="005D7969"/>
    <w:rsid w:val="005E3E68"/>
    <w:rsid w:val="005E4084"/>
    <w:rsid w:val="005E4491"/>
    <w:rsid w:val="005F12E7"/>
    <w:rsid w:val="005F7929"/>
    <w:rsid w:val="006001D8"/>
    <w:rsid w:val="006011D5"/>
    <w:rsid w:val="00603096"/>
    <w:rsid w:val="00604851"/>
    <w:rsid w:val="00604E00"/>
    <w:rsid w:val="00605F53"/>
    <w:rsid w:val="00607C8A"/>
    <w:rsid w:val="00610EB4"/>
    <w:rsid w:val="006115F5"/>
    <w:rsid w:val="00612D5A"/>
    <w:rsid w:val="006146A9"/>
    <w:rsid w:val="00614AEB"/>
    <w:rsid w:val="00614DB4"/>
    <w:rsid w:val="00621364"/>
    <w:rsid w:val="00621600"/>
    <w:rsid w:val="00622897"/>
    <w:rsid w:val="00624FDE"/>
    <w:rsid w:val="00626641"/>
    <w:rsid w:val="00627B89"/>
    <w:rsid w:val="0063065A"/>
    <w:rsid w:val="0063105D"/>
    <w:rsid w:val="0063664B"/>
    <w:rsid w:val="00637265"/>
    <w:rsid w:val="006377DD"/>
    <w:rsid w:val="006379A2"/>
    <w:rsid w:val="00640BA2"/>
    <w:rsid w:val="006427DC"/>
    <w:rsid w:val="006446C6"/>
    <w:rsid w:val="00645507"/>
    <w:rsid w:val="0064641A"/>
    <w:rsid w:val="0064748F"/>
    <w:rsid w:val="006479AC"/>
    <w:rsid w:val="00647DF1"/>
    <w:rsid w:val="00651FEA"/>
    <w:rsid w:val="00652B6A"/>
    <w:rsid w:val="00655B39"/>
    <w:rsid w:val="006601F8"/>
    <w:rsid w:val="0066424E"/>
    <w:rsid w:val="0066468C"/>
    <w:rsid w:val="0066562F"/>
    <w:rsid w:val="006716D9"/>
    <w:rsid w:val="00671BBC"/>
    <w:rsid w:val="00672EEF"/>
    <w:rsid w:val="00673139"/>
    <w:rsid w:val="006733A4"/>
    <w:rsid w:val="00673514"/>
    <w:rsid w:val="00673834"/>
    <w:rsid w:val="00674391"/>
    <w:rsid w:val="006757DE"/>
    <w:rsid w:val="0067694B"/>
    <w:rsid w:val="006808C9"/>
    <w:rsid w:val="0068474C"/>
    <w:rsid w:val="00685128"/>
    <w:rsid w:val="00686BA4"/>
    <w:rsid w:val="006878BF"/>
    <w:rsid w:val="00691FCF"/>
    <w:rsid w:val="00694A0B"/>
    <w:rsid w:val="00695547"/>
    <w:rsid w:val="00695B85"/>
    <w:rsid w:val="00695C56"/>
    <w:rsid w:val="006961AC"/>
    <w:rsid w:val="006967CF"/>
    <w:rsid w:val="00696DBE"/>
    <w:rsid w:val="006A215D"/>
    <w:rsid w:val="006A2460"/>
    <w:rsid w:val="006A2DCE"/>
    <w:rsid w:val="006A4196"/>
    <w:rsid w:val="006A6727"/>
    <w:rsid w:val="006A6A68"/>
    <w:rsid w:val="006A70BC"/>
    <w:rsid w:val="006B35FC"/>
    <w:rsid w:val="006B5DFC"/>
    <w:rsid w:val="006B6844"/>
    <w:rsid w:val="006B754A"/>
    <w:rsid w:val="006B754C"/>
    <w:rsid w:val="006B7AA8"/>
    <w:rsid w:val="006B7F9F"/>
    <w:rsid w:val="006C0A60"/>
    <w:rsid w:val="006C1DD8"/>
    <w:rsid w:val="006C1DE7"/>
    <w:rsid w:val="006C2305"/>
    <w:rsid w:val="006C2598"/>
    <w:rsid w:val="006C2AF8"/>
    <w:rsid w:val="006C4DE9"/>
    <w:rsid w:val="006C58C9"/>
    <w:rsid w:val="006C7F4A"/>
    <w:rsid w:val="006D0786"/>
    <w:rsid w:val="006D127C"/>
    <w:rsid w:val="006D14EE"/>
    <w:rsid w:val="006D2E52"/>
    <w:rsid w:val="006D415E"/>
    <w:rsid w:val="006D429C"/>
    <w:rsid w:val="006D4D06"/>
    <w:rsid w:val="006D65E9"/>
    <w:rsid w:val="006D6C5C"/>
    <w:rsid w:val="006E1099"/>
    <w:rsid w:val="006E1FDC"/>
    <w:rsid w:val="006E3D93"/>
    <w:rsid w:val="006F1F00"/>
    <w:rsid w:val="006F2240"/>
    <w:rsid w:val="006F4F21"/>
    <w:rsid w:val="00702061"/>
    <w:rsid w:val="00704839"/>
    <w:rsid w:val="00705583"/>
    <w:rsid w:val="00705A29"/>
    <w:rsid w:val="007074F3"/>
    <w:rsid w:val="00707BD2"/>
    <w:rsid w:val="00710B9B"/>
    <w:rsid w:val="00711958"/>
    <w:rsid w:val="007125C0"/>
    <w:rsid w:val="007128F6"/>
    <w:rsid w:val="00712FA3"/>
    <w:rsid w:val="0071330E"/>
    <w:rsid w:val="00713A27"/>
    <w:rsid w:val="00713E17"/>
    <w:rsid w:val="00715639"/>
    <w:rsid w:val="00720716"/>
    <w:rsid w:val="00722A4C"/>
    <w:rsid w:val="00723E3F"/>
    <w:rsid w:val="00724819"/>
    <w:rsid w:val="00725300"/>
    <w:rsid w:val="0072564A"/>
    <w:rsid w:val="00725CE0"/>
    <w:rsid w:val="00726981"/>
    <w:rsid w:val="0072762F"/>
    <w:rsid w:val="00727664"/>
    <w:rsid w:val="00727F14"/>
    <w:rsid w:val="00732641"/>
    <w:rsid w:val="00733BBF"/>
    <w:rsid w:val="007344D7"/>
    <w:rsid w:val="00734816"/>
    <w:rsid w:val="00736A6C"/>
    <w:rsid w:val="00741175"/>
    <w:rsid w:val="00741F9A"/>
    <w:rsid w:val="00744BBE"/>
    <w:rsid w:val="0074590E"/>
    <w:rsid w:val="00745E7F"/>
    <w:rsid w:val="007508CF"/>
    <w:rsid w:val="00751275"/>
    <w:rsid w:val="007512B3"/>
    <w:rsid w:val="00752371"/>
    <w:rsid w:val="00752E21"/>
    <w:rsid w:val="00753C3E"/>
    <w:rsid w:val="00753DE0"/>
    <w:rsid w:val="007548FB"/>
    <w:rsid w:val="0075746B"/>
    <w:rsid w:val="0076149F"/>
    <w:rsid w:val="00761DF1"/>
    <w:rsid w:val="007625FF"/>
    <w:rsid w:val="007705EE"/>
    <w:rsid w:val="00770A5E"/>
    <w:rsid w:val="00770D8F"/>
    <w:rsid w:val="00774036"/>
    <w:rsid w:val="0077737B"/>
    <w:rsid w:val="0077738F"/>
    <w:rsid w:val="00777E45"/>
    <w:rsid w:val="00780865"/>
    <w:rsid w:val="00782ADA"/>
    <w:rsid w:val="00782CED"/>
    <w:rsid w:val="00784A2D"/>
    <w:rsid w:val="007853DE"/>
    <w:rsid w:val="007858FA"/>
    <w:rsid w:val="00787BEC"/>
    <w:rsid w:val="00790566"/>
    <w:rsid w:val="007905FF"/>
    <w:rsid w:val="00790664"/>
    <w:rsid w:val="0079070A"/>
    <w:rsid w:val="007914B9"/>
    <w:rsid w:val="00791A68"/>
    <w:rsid w:val="007922B9"/>
    <w:rsid w:val="0079327A"/>
    <w:rsid w:val="0079386E"/>
    <w:rsid w:val="007A1F3D"/>
    <w:rsid w:val="007A2CC1"/>
    <w:rsid w:val="007A37CE"/>
    <w:rsid w:val="007A46E5"/>
    <w:rsid w:val="007A486C"/>
    <w:rsid w:val="007A5332"/>
    <w:rsid w:val="007A6914"/>
    <w:rsid w:val="007A6C6B"/>
    <w:rsid w:val="007B2D89"/>
    <w:rsid w:val="007B5882"/>
    <w:rsid w:val="007B5D0D"/>
    <w:rsid w:val="007B616C"/>
    <w:rsid w:val="007B71D0"/>
    <w:rsid w:val="007B7DCA"/>
    <w:rsid w:val="007C021E"/>
    <w:rsid w:val="007C26EC"/>
    <w:rsid w:val="007C289E"/>
    <w:rsid w:val="007C50E4"/>
    <w:rsid w:val="007C5751"/>
    <w:rsid w:val="007C5BC5"/>
    <w:rsid w:val="007D216A"/>
    <w:rsid w:val="007D3429"/>
    <w:rsid w:val="007D6396"/>
    <w:rsid w:val="007D7262"/>
    <w:rsid w:val="007E1345"/>
    <w:rsid w:val="007E1E5E"/>
    <w:rsid w:val="007E3F00"/>
    <w:rsid w:val="007E4224"/>
    <w:rsid w:val="007E618A"/>
    <w:rsid w:val="007E629A"/>
    <w:rsid w:val="007E6B05"/>
    <w:rsid w:val="007E7884"/>
    <w:rsid w:val="007F1735"/>
    <w:rsid w:val="007F2873"/>
    <w:rsid w:val="007F358E"/>
    <w:rsid w:val="007F37B6"/>
    <w:rsid w:val="007F6BFF"/>
    <w:rsid w:val="007F70CC"/>
    <w:rsid w:val="007F7CC8"/>
    <w:rsid w:val="00801530"/>
    <w:rsid w:val="00802CA5"/>
    <w:rsid w:val="00803988"/>
    <w:rsid w:val="00804D90"/>
    <w:rsid w:val="00812529"/>
    <w:rsid w:val="008129DE"/>
    <w:rsid w:val="00812E6B"/>
    <w:rsid w:val="00812F67"/>
    <w:rsid w:val="00813315"/>
    <w:rsid w:val="00814B04"/>
    <w:rsid w:val="008163B6"/>
    <w:rsid w:val="0081690F"/>
    <w:rsid w:val="008205D1"/>
    <w:rsid w:val="00821216"/>
    <w:rsid w:val="008215B2"/>
    <w:rsid w:val="0082316D"/>
    <w:rsid w:val="008231B5"/>
    <w:rsid w:val="008236DA"/>
    <w:rsid w:val="00824F2C"/>
    <w:rsid w:val="0082548D"/>
    <w:rsid w:val="00825AAA"/>
    <w:rsid w:val="00831616"/>
    <w:rsid w:val="00832B34"/>
    <w:rsid w:val="008333C1"/>
    <w:rsid w:val="00835970"/>
    <w:rsid w:val="00836FFA"/>
    <w:rsid w:val="00840047"/>
    <w:rsid w:val="0084108C"/>
    <w:rsid w:val="0084197D"/>
    <w:rsid w:val="00842399"/>
    <w:rsid w:val="00843DCF"/>
    <w:rsid w:val="008440BE"/>
    <w:rsid w:val="0084629E"/>
    <w:rsid w:val="0085129D"/>
    <w:rsid w:val="00851AF3"/>
    <w:rsid w:val="00852AD9"/>
    <w:rsid w:val="008532A7"/>
    <w:rsid w:val="0085609A"/>
    <w:rsid w:val="00856F5A"/>
    <w:rsid w:val="00861A80"/>
    <w:rsid w:val="00861AA2"/>
    <w:rsid w:val="00863A79"/>
    <w:rsid w:val="00863AEC"/>
    <w:rsid w:val="008653B5"/>
    <w:rsid w:val="0086543D"/>
    <w:rsid w:val="008658E5"/>
    <w:rsid w:val="00865C15"/>
    <w:rsid w:val="00866232"/>
    <w:rsid w:val="00866F1D"/>
    <w:rsid w:val="008705D6"/>
    <w:rsid w:val="00871536"/>
    <w:rsid w:val="008721F6"/>
    <w:rsid w:val="0087272B"/>
    <w:rsid w:val="00873D51"/>
    <w:rsid w:val="00874D36"/>
    <w:rsid w:val="008753CD"/>
    <w:rsid w:val="008765E9"/>
    <w:rsid w:val="0087775E"/>
    <w:rsid w:val="008824C9"/>
    <w:rsid w:val="00883322"/>
    <w:rsid w:val="008845E9"/>
    <w:rsid w:val="00884B74"/>
    <w:rsid w:val="0088687B"/>
    <w:rsid w:val="008869EC"/>
    <w:rsid w:val="00892F6B"/>
    <w:rsid w:val="008937B7"/>
    <w:rsid w:val="008938BF"/>
    <w:rsid w:val="00893F55"/>
    <w:rsid w:val="008944FA"/>
    <w:rsid w:val="0089471A"/>
    <w:rsid w:val="008966E0"/>
    <w:rsid w:val="0089778E"/>
    <w:rsid w:val="00897C9F"/>
    <w:rsid w:val="00897EC0"/>
    <w:rsid w:val="008A1AE8"/>
    <w:rsid w:val="008A2AC9"/>
    <w:rsid w:val="008A3C22"/>
    <w:rsid w:val="008A3F44"/>
    <w:rsid w:val="008A77C9"/>
    <w:rsid w:val="008A77F1"/>
    <w:rsid w:val="008A7B60"/>
    <w:rsid w:val="008B0AE0"/>
    <w:rsid w:val="008B40E3"/>
    <w:rsid w:val="008B41B3"/>
    <w:rsid w:val="008B560E"/>
    <w:rsid w:val="008B6013"/>
    <w:rsid w:val="008C098D"/>
    <w:rsid w:val="008C1902"/>
    <w:rsid w:val="008C1BE1"/>
    <w:rsid w:val="008C458D"/>
    <w:rsid w:val="008C5D5F"/>
    <w:rsid w:val="008D34B0"/>
    <w:rsid w:val="008D4703"/>
    <w:rsid w:val="008D497C"/>
    <w:rsid w:val="008D6775"/>
    <w:rsid w:val="008E0508"/>
    <w:rsid w:val="008E101B"/>
    <w:rsid w:val="008E3238"/>
    <w:rsid w:val="008E3400"/>
    <w:rsid w:val="008E47A4"/>
    <w:rsid w:val="008E4EAF"/>
    <w:rsid w:val="008E59BC"/>
    <w:rsid w:val="008E7C71"/>
    <w:rsid w:val="008F27D5"/>
    <w:rsid w:val="008F296F"/>
    <w:rsid w:val="008F46AE"/>
    <w:rsid w:val="008F66BD"/>
    <w:rsid w:val="00900786"/>
    <w:rsid w:val="00903910"/>
    <w:rsid w:val="009061A5"/>
    <w:rsid w:val="0090652D"/>
    <w:rsid w:val="00906BF0"/>
    <w:rsid w:val="00910474"/>
    <w:rsid w:val="009108D9"/>
    <w:rsid w:val="00911718"/>
    <w:rsid w:val="00912433"/>
    <w:rsid w:val="00912CB8"/>
    <w:rsid w:val="00913CD1"/>
    <w:rsid w:val="0091433A"/>
    <w:rsid w:val="009144C0"/>
    <w:rsid w:val="00915018"/>
    <w:rsid w:val="009169C0"/>
    <w:rsid w:val="00916A08"/>
    <w:rsid w:val="00920540"/>
    <w:rsid w:val="00923CE9"/>
    <w:rsid w:val="00925AB6"/>
    <w:rsid w:val="00927834"/>
    <w:rsid w:val="00930505"/>
    <w:rsid w:val="00933ECD"/>
    <w:rsid w:val="009342F7"/>
    <w:rsid w:val="00935361"/>
    <w:rsid w:val="00937038"/>
    <w:rsid w:val="00937ABD"/>
    <w:rsid w:val="009400D2"/>
    <w:rsid w:val="0094190E"/>
    <w:rsid w:val="00944692"/>
    <w:rsid w:val="00945507"/>
    <w:rsid w:val="00946EF0"/>
    <w:rsid w:val="00952B18"/>
    <w:rsid w:val="00952F5B"/>
    <w:rsid w:val="00953DBE"/>
    <w:rsid w:val="0095416E"/>
    <w:rsid w:val="00954F85"/>
    <w:rsid w:val="00955D22"/>
    <w:rsid w:val="0095699D"/>
    <w:rsid w:val="0095739C"/>
    <w:rsid w:val="0095754C"/>
    <w:rsid w:val="00957A1B"/>
    <w:rsid w:val="00960B8F"/>
    <w:rsid w:val="009614DB"/>
    <w:rsid w:val="00961EDA"/>
    <w:rsid w:val="00961F4A"/>
    <w:rsid w:val="00963F4F"/>
    <w:rsid w:val="00965B70"/>
    <w:rsid w:val="00967162"/>
    <w:rsid w:val="009674D2"/>
    <w:rsid w:val="009719C8"/>
    <w:rsid w:val="00972139"/>
    <w:rsid w:val="0097332E"/>
    <w:rsid w:val="00974F57"/>
    <w:rsid w:val="00975BAA"/>
    <w:rsid w:val="00976070"/>
    <w:rsid w:val="00977481"/>
    <w:rsid w:val="0098215B"/>
    <w:rsid w:val="0098314C"/>
    <w:rsid w:val="00983438"/>
    <w:rsid w:val="009837C1"/>
    <w:rsid w:val="0098442A"/>
    <w:rsid w:val="00986F51"/>
    <w:rsid w:val="00991F32"/>
    <w:rsid w:val="00992C91"/>
    <w:rsid w:val="00992EA0"/>
    <w:rsid w:val="009934E3"/>
    <w:rsid w:val="0099372C"/>
    <w:rsid w:val="009937E0"/>
    <w:rsid w:val="00995121"/>
    <w:rsid w:val="009966E8"/>
    <w:rsid w:val="00996DAB"/>
    <w:rsid w:val="009A2918"/>
    <w:rsid w:val="009A2B38"/>
    <w:rsid w:val="009A3502"/>
    <w:rsid w:val="009A4BC2"/>
    <w:rsid w:val="009A4EEF"/>
    <w:rsid w:val="009A55C0"/>
    <w:rsid w:val="009A5E78"/>
    <w:rsid w:val="009B39EF"/>
    <w:rsid w:val="009B3A10"/>
    <w:rsid w:val="009B3DFE"/>
    <w:rsid w:val="009B4BEB"/>
    <w:rsid w:val="009B5DF0"/>
    <w:rsid w:val="009B6EC9"/>
    <w:rsid w:val="009C3135"/>
    <w:rsid w:val="009C3C17"/>
    <w:rsid w:val="009C4788"/>
    <w:rsid w:val="009C5E7D"/>
    <w:rsid w:val="009C77B3"/>
    <w:rsid w:val="009C7DB0"/>
    <w:rsid w:val="009D1153"/>
    <w:rsid w:val="009D2213"/>
    <w:rsid w:val="009D28C3"/>
    <w:rsid w:val="009D2ABE"/>
    <w:rsid w:val="009E189D"/>
    <w:rsid w:val="009E337B"/>
    <w:rsid w:val="009E3D78"/>
    <w:rsid w:val="009E4E32"/>
    <w:rsid w:val="009E7032"/>
    <w:rsid w:val="009F0636"/>
    <w:rsid w:val="009F0C9B"/>
    <w:rsid w:val="009F0E51"/>
    <w:rsid w:val="009F217F"/>
    <w:rsid w:val="009F38EF"/>
    <w:rsid w:val="009F39BD"/>
    <w:rsid w:val="009F7F78"/>
    <w:rsid w:val="00A00EE6"/>
    <w:rsid w:val="00A0303A"/>
    <w:rsid w:val="00A03D8D"/>
    <w:rsid w:val="00A0452E"/>
    <w:rsid w:val="00A0483E"/>
    <w:rsid w:val="00A0496A"/>
    <w:rsid w:val="00A0635E"/>
    <w:rsid w:val="00A11417"/>
    <w:rsid w:val="00A11B52"/>
    <w:rsid w:val="00A1250A"/>
    <w:rsid w:val="00A135F5"/>
    <w:rsid w:val="00A13804"/>
    <w:rsid w:val="00A14C8F"/>
    <w:rsid w:val="00A16E0C"/>
    <w:rsid w:val="00A173BD"/>
    <w:rsid w:val="00A20028"/>
    <w:rsid w:val="00A20784"/>
    <w:rsid w:val="00A22651"/>
    <w:rsid w:val="00A23412"/>
    <w:rsid w:val="00A23967"/>
    <w:rsid w:val="00A24C61"/>
    <w:rsid w:val="00A2680D"/>
    <w:rsid w:val="00A272BC"/>
    <w:rsid w:val="00A31897"/>
    <w:rsid w:val="00A323E6"/>
    <w:rsid w:val="00A33D0E"/>
    <w:rsid w:val="00A345E1"/>
    <w:rsid w:val="00A37739"/>
    <w:rsid w:val="00A37D74"/>
    <w:rsid w:val="00A4030B"/>
    <w:rsid w:val="00A41B98"/>
    <w:rsid w:val="00A42159"/>
    <w:rsid w:val="00A42BD2"/>
    <w:rsid w:val="00A42CAA"/>
    <w:rsid w:val="00A45B73"/>
    <w:rsid w:val="00A46B32"/>
    <w:rsid w:val="00A5053F"/>
    <w:rsid w:val="00A52060"/>
    <w:rsid w:val="00A5226D"/>
    <w:rsid w:val="00A52270"/>
    <w:rsid w:val="00A53FEF"/>
    <w:rsid w:val="00A5450D"/>
    <w:rsid w:val="00A56B73"/>
    <w:rsid w:val="00A66CF8"/>
    <w:rsid w:val="00A7093B"/>
    <w:rsid w:val="00A727D8"/>
    <w:rsid w:val="00A732F7"/>
    <w:rsid w:val="00A74804"/>
    <w:rsid w:val="00A753A3"/>
    <w:rsid w:val="00A76597"/>
    <w:rsid w:val="00A7688B"/>
    <w:rsid w:val="00A76F3E"/>
    <w:rsid w:val="00A776FB"/>
    <w:rsid w:val="00A77C2B"/>
    <w:rsid w:val="00A80F86"/>
    <w:rsid w:val="00A81083"/>
    <w:rsid w:val="00A8357F"/>
    <w:rsid w:val="00A84835"/>
    <w:rsid w:val="00A876D0"/>
    <w:rsid w:val="00A9083B"/>
    <w:rsid w:val="00A91769"/>
    <w:rsid w:val="00A95F0F"/>
    <w:rsid w:val="00A97B44"/>
    <w:rsid w:val="00AA00C6"/>
    <w:rsid w:val="00AA0EBC"/>
    <w:rsid w:val="00AA0ED6"/>
    <w:rsid w:val="00AA50C0"/>
    <w:rsid w:val="00AA6FF7"/>
    <w:rsid w:val="00AA713F"/>
    <w:rsid w:val="00AB2006"/>
    <w:rsid w:val="00AB3824"/>
    <w:rsid w:val="00AB48AF"/>
    <w:rsid w:val="00AB5D10"/>
    <w:rsid w:val="00AB729C"/>
    <w:rsid w:val="00AC10CE"/>
    <w:rsid w:val="00AC22D3"/>
    <w:rsid w:val="00AC369B"/>
    <w:rsid w:val="00AC435E"/>
    <w:rsid w:val="00AC4480"/>
    <w:rsid w:val="00AC4A58"/>
    <w:rsid w:val="00AC6013"/>
    <w:rsid w:val="00AC705D"/>
    <w:rsid w:val="00AD10D0"/>
    <w:rsid w:val="00AD2BF3"/>
    <w:rsid w:val="00AD308C"/>
    <w:rsid w:val="00AD485C"/>
    <w:rsid w:val="00AD4D46"/>
    <w:rsid w:val="00AD4FFF"/>
    <w:rsid w:val="00AD55D6"/>
    <w:rsid w:val="00AD6449"/>
    <w:rsid w:val="00AD7AC5"/>
    <w:rsid w:val="00AE649A"/>
    <w:rsid w:val="00AE67C1"/>
    <w:rsid w:val="00AE79D5"/>
    <w:rsid w:val="00AF0C98"/>
    <w:rsid w:val="00AF3EEA"/>
    <w:rsid w:val="00AF50E5"/>
    <w:rsid w:val="00AF5935"/>
    <w:rsid w:val="00AF6042"/>
    <w:rsid w:val="00AF6DF2"/>
    <w:rsid w:val="00AF736E"/>
    <w:rsid w:val="00B00594"/>
    <w:rsid w:val="00B007AC"/>
    <w:rsid w:val="00B0100F"/>
    <w:rsid w:val="00B03300"/>
    <w:rsid w:val="00B04E20"/>
    <w:rsid w:val="00B1402F"/>
    <w:rsid w:val="00B16047"/>
    <w:rsid w:val="00B1650F"/>
    <w:rsid w:val="00B17D4C"/>
    <w:rsid w:val="00B21B27"/>
    <w:rsid w:val="00B2252D"/>
    <w:rsid w:val="00B22A52"/>
    <w:rsid w:val="00B23554"/>
    <w:rsid w:val="00B23CDF"/>
    <w:rsid w:val="00B24009"/>
    <w:rsid w:val="00B25F33"/>
    <w:rsid w:val="00B272F1"/>
    <w:rsid w:val="00B27BE9"/>
    <w:rsid w:val="00B30D14"/>
    <w:rsid w:val="00B30DEC"/>
    <w:rsid w:val="00B31B7B"/>
    <w:rsid w:val="00B31C49"/>
    <w:rsid w:val="00B332D8"/>
    <w:rsid w:val="00B34800"/>
    <w:rsid w:val="00B3518D"/>
    <w:rsid w:val="00B37463"/>
    <w:rsid w:val="00B37ED1"/>
    <w:rsid w:val="00B40165"/>
    <w:rsid w:val="00B41EFC"/>
    <w:rsid w:val="00B42B40"/>
    <w:rsid w:val="00B43793"/>
    <w:rsid w:val="00B43F93"/>
    <w:rsid w:val="00B45215"/>
    <w:rsid w:val="00B45E80"/>
    <w:rsid w:val="00B46537"/>
    <w:rsid w:val="00B517CD"/>
    <w:rsid w:val="00B52195"/>
    <w:rsid w:val="00B53D7B"/>
    <w:rsid w:val="00B5419B"/>
    <w:rsid w:val="00B62E7F"/>
    <w:rsid w:val="00B650F1"/>
    <w:rsid w:val="00B66E8B"/>
    <w:rsid w:val="00B71BA1"/>
    <w:rsid w:val="00B72C7A"/>
    <w:rsid w:val="00B72E88"/>
    <w:rsid w:val="00B73EA1"/>
    <w:rsid w:val="00B74DDA"/>
    <w:rsid w:val="00B762E2"/>
    <w:rsid w:val="00B76E31"/>
    <w:rsid w:val="00B77613"/>
    <w:rsid w:val="00B81995"/>
    <w:rsid w:val="00B81CDA"/>
    <w:rsid w:val="00B81EBB"/>
    <w:rsid w:val="00B83697"/>
    <w:rsid w:val="00B85035"/>
    <w:rsid w:val="00B87575"/>
    <w:rsid w:val="00B91093"/>
    <w:rsid w:val="00B914A4"/>
    <w:rsid w:val="00B93BEE"/>
    <w:rsid w:val="00B9421B"/>
    <w:rsid w:val="00B95321"/>
    <w:rsid w:val="00B969C6"/>
    <w:rsid w:val="00BA023A"/>
    <w:rsid w:val="00BA5D99"/>
    <w:rsid w:val="00BA6559"/>
    <w:rsid w:val="00BA7DBA"/>
    <w:rsid w:val="00BB0FB2"/>
    <w:rsid w:val="00BB361C"/>
    <w:rsid w:val="00BB4586"/>
    <w:rsid w:val="00BC0A40"/>
    <w:rsid w:val="00BC2CF4"/>
    <w:rsid w:val="00BC405B"/>
    <w:rsid w:val="00BC59B6"/>
    <w:rsid w:val="00BC5BC2"/>
    <w:rsid w:val="00BC63C9"/>
    <w:rsid w:val="00BD0521"/>
    <w:rsid w:val="00BD08E0"/>
    <w:rsid w:val="00BD25C0"/>
    <w:rsid w:val="00BD345B"/>
    <w:rsid w:val="00BD5401"/>
    <w:rsid w:val="00BD6BB2"/>
    <w:rsid w:val="00BD7978"/>
    <w:rsid w:val="00BE2722"/>
    <w:rsid w:val="00BE2F53"/>
    <w:rsid w:val="00BE3A6D"/>
    <w:rsid w:val="00BF2718"/>
    <w:rsid w:val="00BF345D"/>
    <w:rsid w:val="00BF3BEA"/>
    <w:rsid w:val="00BF633F"/>
    <w:rsid w:val="00BF6D9E"/>
    <w:rsid w:val="00C001A1"/>
    <w:rsid w:val="00C020BA"/>
    <w:rsid w:val="00C02B99"/>
    <w:rsid w:val="00C02F90"/>
    <w:rsid w:val="00C031A9"/>
    <w:rsid w:val="00C04C0D"/>
    <w:rsid w:val="00C05657"/>
    <w:rsid w:val="00C058D0"/>
    <w:rsid w:val="00C11ECA"/>
    <w:rsid w:val="00C131A5"/>
    <w:rsid w:val="00C13462"/>
    <w:rsid w:val="00C135FD"/>
    <w:rsid w:val="00C13F0A"/>
    <w:rsid w:val="00C14A48"/>
    <w:rsid w:val="00C151F8"/>
    <w:rsid w:val="00C22818"/>
    <w:rsid w:val="00C22C92"/>
    <w:rsid w:val="00C22EFF"/>
    <w:rsid w:val="00C254AF"/>
    <w:rsid w:val="00C2601E"/>
    <w:rsid w:val="00C26037"/>
    <w:rsid w:val="00C2740F"/>
    <w:rsid w:val="00C27D90"/>
    <w:rsid w:val="00C300B6"/>
    <w:rsid w:val="00C31ACD"/>
    <w:rsid w:val="00C31DFF"/>
    <w:rsid w:val="00C34133"/>
    <w:rsid w:val="00C34CAA"/>
    <w:rsid w:val="00C3550F"/>
    <w:rsid w:val="00C41ED0"/>
    <w:rsid w:val="00C42145"/>
    <w:rsid w:val="00C43945"/>
    <w:rsid w:val="00C43DF3"/>
    <w:rsid w:val="00C4435F"/>
    <w:rsid w:val="00C46F39"/>
    <w:rsid w:val="00C471F6"/>
    <w:rsid w:val="00C476D2"/>
    <w:rsid w:val="00C47AD4"/>
    <w:rsid w:val="00C47FA6"/>
    <w:rsid w:val="00C500C1"/>
    <w:rsid w:val="00C50BD3"/>
    <w:rsid w:val="00C52AD1"/>
    <w:rsid w:val="00C53323"/>
    <w:rsid w:val="00C535DB"/>
    <w:rsid w:val="00C554AC"/>
    <w:rsid w:val="00C56872"/>
    <w:rsid w:val="00C6434A"/>
    <w:rsid w:val="00C664B9"/>
    <w:rsid w:val="00C669C7"/>
    <w:rsid w:val="00C70712"/>
    <w:rsid w:val="00C72DBD"/>
    <w:rsid w:val="00C75621"/>
    <w:rsid w:val="00C77CC4"/>
    <w:rsid w:val="00C80075"/>
    <w:rsid w:val="00C81294"/>
    <w:rsid w:val="00C81E24"/>
    <w:rsid w:val="00C825BA"/>
    <w:rsid w:val="00C83193"/>
    <w:rsid w:val="00C83633"/>
    <w:rsid w:val="00C86581"/>
    <w:rsid w:val="00C902FC"/>
    <w:rsid w:val="00C91CC5"/>
    <w:rsid w:val="00C970CD"/>
    <w:rsid w:val="00C97643"/>
    <w:rsid w:val="00CA159D"/>
    <w:rsid w:val="00CA26F6"/>
    <w:rsid w:val="00CA3BAE"/>
    <w:rsid w:val="00CA787C"/>
    <w:rsid w:val="00CB13E8"/>
    <w:rsid w:val="00CB18C9"/>
    <w:rsid w:val="00CB2E2E"/>
    <w:rsid w:val="00CB43B8"/>
    <w:rsid w:val="00CB4643"/>
    <w:rsid w:val="00CB5F8E"/>
    <w:rsid w:val="00CB64C3"/>
    <w:rsid w:val="00CB679B"/>
    <w:rsid w:val="00CB754F"/>
    <w:rsid w:val="00CB778E"/>
    <w:rsid w:val="00CB7FFA"/>
    <w:rsid w:val="00CC5879"/>
    <w:rsid w:val="00CC58BC"/>
    <w:rsid w:val="00CC6571"/>
    <w:rsid w:val="00CC6B60"/>
    <w:rsid w:val="00CD1518"/>
    <w:rsid w:val="00CD261D"/>
    <w:rsid w:val="00CD2AAE"/>
    <w:rsid w:val="00CD3B25"/>
    <w:rsid w:val="00CD428E"/>
    <w:rsid w:val="00CD5A80"/>
    <w:rsid w:val="00CE0797"/>
    <w:rsid w:val="00CE1AFB"/>
    <w:rsid w:val="00CE22C5"/>
    <w:rsid w:val="00CE31E7"/>
    <w:rsid w:val="00CE5742"/>
    <w:rsid w:val="00CE69EC"/>
    <w:rsid w:val="00CF19E2"/>
    <w:rsid w:val="00CF2223"/>
    <w:rsid w:val="00CF35B0"/>
    <w:rsid w:val="00CF6C30"/>
    <w:rsid w:val="00CF6C57"/>
    <w:rsid w:val="00CF75E5"/>
    <w:rsid w:val="00CF7DF1"/>
    <w:rsid w:val="00D000F4"/>
    <w:rsid w:val="00D01A42"/>
    <w:rsid w:val="00D03C05"/>
    <w:rsid w:val="00D05ACD"/>
    <w:rsid w:val="00D06377"/>
    <w:rsid w:val="00D064B7"/>
    <w:rsid w:val="00D112F9"/>
    <w:rsid w:val="00D11E00"/>
    <w:rsid w:val="00D1335B"/>
    <w:rsid w:val="00D15998"/>
    <w:rsid w:val="00D167EC"/>
    <w:rsid w:val="00D201D9"/>
    <w:rsid w:val="00D2130B"/>
    <w:rsid w:val="00D22B7C"/>
    <w:rsid w:val="00D22F60"/>
    <w:rsid w:val="00D23386"/>
    <w:rsid w:val="00D2642D"/>
    <w:rsid w:val="00D27AE0"/>
    <w:rsid w:val="00D27FFB"/>
    <w:rsid w:val="00D3248C"/>
    <w:rsid w:val="00D32A21"/>
    <w:rsid w:val="00D34195"/>
    <w:rsid w:val="00D34CF6"/>
    <w:rsid w:val="00D35E7B"/>
    <w:rsid w:val="00D37698"/>
    <w:rsid w:val="00D4068F"/>
    <w:rsid w:val="00D41361"/>
    <w:rsid w:val="00D42079"/>
    <w:rsid w:val="00D43BEB"/>
    <w:rsid w:val="00D445B5"/>
    <w:rsid w:val="00D459A7"/>
    <w:rsid w:val="00D47A45"/>
    <w:rsid w:val="00D50A38"/>
    <w:rsid w:val="00D523D3"/>
    <w:rsid w:val="00D537C7"/>
    <w:rsid w:val="00D573ED"/>
    <w:rsid w:val="00D61FB2"/>
    <w:rsid w:val="00D6257E"/>
    <w:rsid w:val="00D63F69"/>
    <w:rsid w:val="00D649D1"/>
    <w:rsid w:val="00D65957"/>
    <w:rsid w:val="00D66FE9"/>
    <w:rsid w:val="00D67AA9"/>
    <w:rsid w:val="00D70683"/>
    <w:rsid w:val="00D71026"/>
    <w:rsid w:val="00D7158C"/>
    <w:rsid w:val="00D727A2"/>
    <w:rsid w:val="00D72BF5"/>
    <w:rsid w:val="00D75B11"/>
    <w:rsid w:val="00D776A7"/>
    <w:rsid w:val="00D81FB7"/>
    <w:rsid w:val="00D82697"/>
    <w:rsid w:val="00D83393"/>
    <w:rsid w:val="00D84F93"/>
    <w:rsid w:val="00D85386"/>
    <w:rsid w:val="00D857A9"/>
    <w:rsid w:val="00D86939"/>
    <w:rsid w:val="00D872CB"/>
    <w:rsid w:val="00D87DD0"/>
    <w:rsid w:val="00D915C6"/>
    <w:rsid w:val="00D9477C"/>
    <w:rsid w:val="00D94A62"/>
    <w:rsid w:val="00D94AC8"/>
    <w:rsid w:val="00D95CF0"/>
    <w:rsid w:val="00D97206"/>
    <w:rsid w:val="00DA392E"/>
    <w:rsid w:val="00DA6592"/>
    <w:rsid w:val="00DA7CA4"/>
    <w:rsid w:val="00DB4EC1"/>
    <w:rsid w:val="00DB4FDE"/>
    <w:rsid w:val="00DB51F0"/>
    <w:rsid w:val="00DB53B7"/>
    <w:rsid w:val="00DB5A68"/>
    <w:rsid w:val="00DC03FF"/>
    <w:rsid w:val="00DC231D"/>
    <w:rsid w:val="00DC2F0C"/>
    <w:rsid w:val="00DC3E53"/>
    <w:rsid w:val="00DC3FF4"/>
    <w:rsid w:val="00DC6168"/>
    <w:rsid w:val="00DC715A"/>
    <w:rsid w:val="00DD0308"/>
    <w:rsid w:val="00DD0A3A"/>
    <w:rsid w:val="00DD1827"/>
    <w:rsid w:val="00DD3900"/>
    <w:rsid w:val="00DD4BD8"/>
    <w:rsid w:val="00DD5EE3"/>
    <w:rsid w:val="00DD7F25"/>
    <w:rsid w:val="00DE06B1"/>
    <w:rsid w:val="00DE084D"/>
    <w:rsid w:val="00DE09A9"/>
    <w:rsid w:val="00DE0E6F"/>
    <w:rsid w:val="00DE1715"/>
    <w:rsid w:val="00DE47AF"/>
    <w:rsid w:val="00DE563D"/>
    <w:rsid w:val="00DE6070"/>
    <w:rsid w:val="00DE69BB"/>
    <w:rsid w:val="00DF0B11"/>
    <w:rsid w:val="00DF1B8F"/>
    <w:rsid w:val="00DF3EA9"/>
    <w:rsid w:val="00DF3EC0"/>
    <w:rsid w:val="00DF461B"/>
    <w:rsid w:val="00DF52CE"/>
    <w:rsid w:val="00DF6817"/>
    <w:rsid w:val="00DF68B1"/>
    <w:rsid w:val="00E01D86"/>
    <w:rsid w:val="00E02876"/>
    <w:rsid w:val="00E03828"/>
    <w:rsid w:val="00E04F85"/>
    <w:rsid w:val="00E055A2"/>
    <w:rsid w:val="00E11150"/>
    <w:rsid w:val="00E11E41"/>
    <w:rsid w:val="00E1245E"/>
    <w:rsid w:val="00E15E1B"/>
    <w:rsid w:val="00E2174A"/>
    <w:rsid w:val="00E24F0D"/>
    <w:rsid w:val="00E25FC7"/>
    <w:rsid w:val="00E26446"/>
    <w:rsid w:val="00E26509"/>
    <w:rsid w:val="00E27035"/>
    <w:rsid w:val="00E27BEB"/>
    <w:rsid w:val="00E3560F"/>
    <w:rsid w:val="00E35F5A"/>
    <w:rsid w:val="00E36334"/>
    <w:rsid w:val="00E42AD3"/>
    <w:rsid w:val="00E44873"/>
    <w:rsid w:val="00E45423"/>
    <w:rsid w:val="00E4585C"/>
    <w:rsid w:val="00E45C25"/>
    <w:rsid w:val="00E47EA8"/>
    <w:rsid w:val="00E50BEF"/>
    <w:rsid w:val="00E50F5E"/>
    <w:rsid w:val="00E5188F"/>
    <w:rsid w:val="00E55073"/>
    <w:rsid w:val="00E5509E"/>
    <w:rsid w:val="00E5571E"/>
    <w:rsid w:val="00E60657"/>
    <w:rsid w:val="00E61ABE"/>
    <w:rsid w:val="00E6240C"/>
    <w:rsid w:val="00E65758"/>
    <w:rsid w:val="00E70296"/>
    <w:rsid w:val="00E71B57"/>
    <w:rsid w:val="00E71B65"/>
    <w:rsid w:val="00E71C44"/>
    <w:rsid w:val="00E72D40"/>
    <w:rsid w:val="00E753D1"/>
    <w:rsid w:val="00E75ED9"/>
    <w:rsid w:val="00E76E7B"/>
    <w:rsid w:val="00E80672"/>
    <w:rsid w:val="00E820C1"/>
    <w:rsid w:val="00E83060"/>
    <w:rsid w:val="00E86184"/>
    <w:rsid w:val="00E86C0C"/>
    <w:rsid w:val="00E916C1"/>
    <w:rsid w:val="00E92E4F"/>
    <w:rsid w:val="00E93981"/>
    <w:rsid w:val="00E957AA"/>
    <w:rsid w:val="00E97B02"/>
    <w:rsid w:val="00EA0531"/>
    <w:rsid w:val="00EA0538"/>
    <w:rsid w:val="00EA1AED"/>
    <w:rsid w:val="00EA3D17"/>
    <w:rsid w:val="00EA776F"/>
    <w:rsid w:val="00EB1863"/>
    <w:rsid w:val="00EB2238"/>
    <w:rsid w:val="00EB5001"/>
    <w:rsid w:val="00EB63BB"/>
    <w:rsid w:val="00EB752B"/>
    <w:rsid w:val="00EB7CA6"/>
    <w:rsid w:val="00EC0651"/>
    <w:rsid w:val="00EC2160"/>
    <w:rsid w:val="00EC27C7"/>
    <w:rsid w:val="00EC2E04"/>
    <w:rsid w:val="00EC7E6B"/>
    <w:rsid w:val="00ED176A"/>
    <w:rsid w:val="00ED3361"/>
    <w:rsid w:val="00ED7155"/>
    <w:rsid w:val="00ED7317"/>
    <w:rsid w:val="00EE2653"/>
    <w:rsid w:val="00EE343C"/>
    <w:rsid w:val="00EE783D"/>
    <w:rsid w:val="00EF0BE0"/>
    <w:rsid w:val="00EF0FF7"/>
    <w:rsid w:val="00EF2603"/>
    <w:rsid w:val="00EF2B4D"/>
    <w:rsid w:val="00EF32C2"/>
    <w:rsid w:val="00EF3F40"/>
    <w:rsid w:val="00EF49BD"/>
    <w:rsid w:val="00EF5D92"/>
    <w:rsid w:val="00EF7136"/>
    <w:rsid w:val="00F01D3A"/>
    <w:rsid w:val="00F0324B"/>
    <w:rsid w:val="00F04FB5"/>
    <w:rsid w:val="00F05194"/>
    <w:rsid w:val="00F11FE8"/>
    <w:rsid w:val="00F127C1"/>
    <w:rsid w:val="00F12815"/>
    <w:rsid w:val="00F14576"/>
    <w:rsid w:val="00F16BFC"/>
    <w:rsid w:val="00F2379B"/>
    <w:rsid w:val="00F239C2"/>
    <w:rsid w:val="00F23B0A"/>
    <w:rsid w:val="00F23D12"/>
    <w:rsid w:val="00F260E9"/>
    <w:rsid w:val="00F262D6"/>
    <w:rsid w:val="00F27143"/>
    <w:rsid w:val="00F27C73"/>
    <w:rsid w:val="00F311C9"/>
    <w:rsid w:val="00F31A24"/>
    <w:rsid w:val="00F326F1"/>
    <w:rsid w:val="00F33DB1"/>
    <w:rsid w:val="00F352DF"/>
    <w:rsid w:val="00F377C6"/>
    <w:rsid w:val="00F40AE8"/>
    <w:rsid w:val="00F45446"/>
    <w:rsid w:val="00F45E17"/>
    <w:rsid w:val="00F4610D"/>
    <w:rsid w:val="00F46901"/>
    <w:rsid w:val="00F50605"/>
    <w:rsid w:val="00F51672"/>
    <w:rsid w:val="00F52190"/>
    <w:rsid w:val="00F53D93"/>
    <w:rsid w:val="00F53F78"/>
    <w:rsid w:val="00F54AB0"/>
    <w:rsid w:val="00F55867"/>
    <w:rsid w:val="00F5756B"/>
    <w:rsid w:val="00F62909"/>
    <w:rsid w:val="00F649C9"/>
    <w:rsid w:val="00F67D6A"/>
    <w:rsid w:val="00F70141"/>
    <w:rsid w:val="00F719E5"/>
    <w:rsid w:val="00F72807"/>
    <w:rsid w:val="00F739BE"/>
    <w:rsid w:val="00F74840"/>
    <w:rsid w:val="00F75ACB"/>
    <w:rsid w:val="00F7694E"/>
    <w:rsid w:val="00F7733D"/>
    <w:rsid w:val="00F87918"/>
    <w:rsid w:val="00F93179"/>
    <w:rsid w:val="00F9381E"/>
    <w:rsid w:val="00F952A2"/>
    <w:rsid w:val="00F96AF8"/>
    <w:rsid w:val="00F96FB9"/>
    <w:rsid w:val="00FA091E"/>
    <w:rsid w:val="00FA186B"/>
    <w:rsid w:val="00FA3B09"/>
    <w:rsid w:val="00FA3E1C"/>
    <w:rsid w:val="00FA3ECE"/>
    <w:rsid w:val="00FA4B32"/>
    <w:rsid w:val="00FA7892"/>
    <w:rsid w:val="00FA7D22"/>
    <w:rsid w:val="00FB13AF"/>
    <w:rsid w:val="00FB2905"/>
    <w:rsid w:val="00FB4DCC"/>
    <w:rsid w:val="00FB65D0"/>
    <w:rsid w:val="00FC1DF4"/>
    <w:rsid w:val="00FC3C8C"/>
    <w:rsid w:val="00FC464B"/>
    <w:rsid w:val="00FC49AA"/>
    <w:rsid w:val="00FC5118"/>
    <w:rsid w:val="00FD103D"/>
    <w:rsid w:val="00FD2710"/>
    <w:rsid w:val="00FD2FFC"/>
    <w:rsid w:val="00FD335A"/>
    <w:rsid w:val="00FD4D7F"/>
    <w:rsid w:val="00FD536F"/>
    <w:rsid w:val="00FD5D2A"/>
    <w:rsid w:val="00FE1172"/>
    <w:rsid w:val="00FE524E"/>
    <w:rsid w:val="00FE7C91"/>
    <w:rsid w:val="00FF269D"/>
    <w:rsid w:val="00FF2FC7"/>
    <w:rsid w:val="00FF34DF"/>
    <w:rsid w:val="00FF67F9"/>
    <w:rsid w:val="00FF69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sz w:val="24"/>
      <w:szCs w:val="24"/>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sz w:val="24"/>
      <w:szCs w:val="24"/>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593">
      <w:bodyDiv w:val="1"/>
      <w:marLeft w:val="0"/>
      <w:marRight w:val="0"/>
      <w:marTop w:val="0"/>
      <w:marBottom w:val="0"/>
      <w:divBdr>
        <w:top w:val="none" w:sz="0" w:space="0" w:color="auto"/>
        <w:left w:val="none" w:sz="0" w:space="0" w:color="auto"/>
        <w:bottom w:val="none" w:sz="0" w:space="0" w:color="auto"/>
        <w:right w:val="none" w:sz="0" w:space="0" w:color="auto"/>
      </w:divBdr>
    </w:div>
    <w:div w:id="124544497">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184636885">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2591888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85239940">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86997624">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465584268">
      <w:bodyDiv w:val="1"/>
      <w:marLeft w:val="0"/>
      <w:marRight w:val="0"/>
      <w:marTop w:val="0"/>
      <w:marBottom w:val="0"/>
      <w:divBdr>
        <w:top w:val="none" w:sz="0" w:space="0" w:color="auto"/>
        <w:left w:val="none" w:sz="0" w:space="0" w:color="auto"/>
        <w:bottom w:val="none" w:sz="0" w:space="0" w:color="auto"/>
        <w:right w:val="none" w:sz="0" w:space="0" w:color="auto"/>
      </w:divBdr>
    </w:div>
    <w:div w:id="468129572">
      <w:bodyDiv w:val="1"/>
      <w:marLeft w:val="0"/>
      <w:marRight w:val="0"/>
      <w:marTop w:val="0"/>
      <w:marBottom w:val="0"/>
      <w:divBdr>
        <w:top w:val="none" w:sz="0" w:space="0" w:color="auto"/>
        <w:left w:val="none" w:sz="0" w:space="0" w:color="auto"/>
        <w:bottom w:val="none" w:sz="0" w:space="0" w:color="auto"/>
        <w:right w:val="none" w:sz="0" w:space="0" w:color="auto"/>
      </w:divBdr>
    </w:div>
    <w:div w:id="517699185">
      <w:bodyDiv w:val="1"/>
      <w:marLeft w:val="0"/>
      <w:marRight w:val="0"/>
      <w:marTop w:val="0"/>
      <w:marBottom w:val="0"/>
      <w:divBdr>
        <w:top w:val="none" w:sz="0" w:space="0" w:color="auto"/>
        <w:left w:val="none" w:sz="0" w:space="0" w:color="auto"/>
        <w:bottom w:val="none" w:sz="0" w:space="0" w:color="auto"/>
        <w:right w:val="none" w:sz="0" w:space="0" w:color="auto"/>
      </w:divBdr>
    </w:div>
    <w:div w:id="546068164">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19265530">
      <w:bodyDiv w:val="1"/>
      <w:marLeft w:val="0"/>
      <w:marRight w:val="0"/>
      <w:marTop w:val="0"/>
      <w:marBottom w:val="0"/>
      <w:divBdr>
        <w:top w:val="none" w:sz="0" w:space="0" w:color="auto"/>
        <w:left w:val="none" w:sz="0" w:space="0" w:color="auto"/>
        <w:bottom w:val="none" w:sz="0" w:space="0" w:color="auto"/>
        <w:right w:val="none" w:sz="0" w:space="0" w:color="auto"/>
      </w:divBdr>
    </w:div>
    <w:div w:id="629675086">
      <w:bodyDiv w:val="1"/>
      <w:marLeft w:val="0"/>
      <w:marRight w:val="0"/>
      <w:marTop w:val="0"/>
      <w:marBottom w:val="0"/>
      <w:divBdr>
        <w:top w:val="none" w:sz="0" w:space="0" w:color="auto"/>
        <w:left w:val="none" w:sz="0" w:space="0" w:color="auto"/>
        <w:bottom w:val="none" w:sz="0" w:space="0" w:color="auto"/>
        <w:right w:val="none" w:sz="0" w:space="0" w:color="auto"/>
      </w:divBdr>
    </w:div>
    <w:div w:id="710039118">
      <w:bodyDiv w:val="1"/>
      <w:marLeft w:val="0"/>
      <w:marRight w:val="0"/>
      <w:marTop w:val="0"/>
      <w:marBottom w:val="0"/>
      <w:divBdr>
        <w:top w:val="none" w:sz="0" w:space="0" w:color="auto"/>
        <w:left w:val="none" w:sz="0" w:space="0" w:color="auto"/>
        <w:bottom w:val="none" w:sz="0" w:space="0" w:color="auto"/>
        <w:right w:val="none" w:sz="0" w:space="0" w:color="auto"/>
      </w:divBdr>
    </w:div>
    <w:div w:id="711199332">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83697874">
      <w:bodyDiv w:val="1"/>
      <w:marLeft w:val="0"/>
      <w:marRight w:val="0"/>
      <w:marTop w:val="0"/>
      <w:marBottom w:val="0"/>
      <w:divBdr>
        <w:top w:val="none" w:sz="0" w:space="0" w:color="auto"/>
        <w:left w:val="none" w:sz="0" w:space="0" w:color="auto"/>
        <w:bottom w:val="none" w:sz="0" w:space="0" w:color="auto"/>
        <w:right w:val="none" w:sz="0" w:space="0" w:color="auto"/>
      </w:divBdr>
    </w:div>
    <w:div w:id="834341282">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27929337">
      <w:bodyDiv w:val="1"/>
      <w:marLeft w:val="0"/>
      <w:marRight w:val="0"/>
      <w:marTop w:val="0"/>
      <w:marBottom w:val="0"/>
      <w:divBdr>
        <w:top w:val="none" w:sz="0" w:space="0" w:color="auto"/>
        <w:left w:val="none" w:sz="0" w:space="0" w:color="auto"/>
        <w:bottom w:val="none" w:sz="0" w:space="0" w:color="auto"/>
        <w:right w:val="none" w:sz="0" w:space="0" w:color="auto"/>
      </w:divBdr>
    </w:div>
    <w:div w:id="936332478">
      <w:bodyDiv w:val="1"/>
      <w:marLeft w:val="0"/>
      <w:marRight w:val="0"/>
      <w:marTop w:val="0"/>
      <w:marBottom w:val="0"/>
      <w:divBdr>
        <w:top w:val="none" w:sz="0" w:space="0" w:color="auto"/>
        <w:left w:val="none" w:sz="0" w:space="0" w:color="auto"/>
        <w:bottom w:val="none" w:sz="0" w:space="0" w:color="auto"/>
        <w:right w:val="none" w:sz="0" w:space="0" w:color="auto"/>
      </w:divBdr>
    </w:div>
    <w:div w:id="98620261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108700929">
      <w:bodyDiv w:val="1"/>
      <w:marLeft w:val="0"/>
      <w:marRight w:val="0"/>
      <w:marTop w:val="0"/>
      <w:marBottom w:val="0"/>
      <w:divBdr>
        <w:top w:val="none" w:sz="0" w:space="0" w:color="auto"/>
        <w:left w:val="none" w:sz="0" w:space="0" w:color="auto"/>
        <w:bottom w:val="none" w:sz="0" w:space="0" w:color="auto"/>
        <w:right w:val="none" w:sz="0" w:space="0" w:color="auto"/>
      </w:divBdr>
    </w:div>
    <w:div w:id="1110277488">
      <w:bodyDiv w:val="1"/>
      <w:marLeft w:val="0"/>
      <w:marRight w:val="0"/>
      <w:marTop w:val="0"/>
      <w:marBottom w:val="0"/>
      <w:divBdr>
        <w:top w:val="none" w:sz="0" w:space="0" w:color="auto"/>
        <w:left w:val="none" w:sz="0" w:space="0" w:color="auto"/>
        <w:bottom w:val="none" w:sz="0" w:space="0" w:color="auto"/>
        <w:right w:val="none" w:sz="0" w:space="0" w:color="auto"/>
      </w:divBdr>
    </w:div>
    <w:div w:id="1122846715">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191996066">
      <w:bodyDiv w:val="1"/>
      <w:marLeft w:val="0"/>
      <w:marRight w:val="0"/>
      <w:marTop w:val="0"/>
      <w:marBottom w:val="0"/>
      <w:divBdr>
        <w:top w:val="none" w:sz="0" w:space="0" w:color="auto"/>
        <w:left w:val="none" w:sz="0" w:space="0" w:color="auto"/>
        <w:bottom w:val="none" w:sz="0" w:space="0" w:color="auto"/>
        <w:right w:val="none" w:sz="0" w:space="0" w:color="auto"/>
      </w:divBdr>
    </w:div>
    <w:div w:id="122683936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9970289">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483616227">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541237960">
      <w:bodyDiv w:val="1"/>
      <w:marLeft w:val="0"/>
      <w:marRight w:val="0"/>
      <w:marTop w:val="0"/>
      <w:marBottom w:val="0"/>
      <w:divBdr>
        <w:top w:val="none" w:sz="0" w:space="0" w:color="auto"/>
        <w:left w:val="none" w:sz="0" w:space="0" w:color="auto"/>
        <w:bottom w:val="none" w:sz="0" w:space="0" w:color="auto"/>
        <w:right w:val="none" w:sz="0" w:space="0" w:color="auto"/>
      </w:divBdr>
    </w:div>
    <w:div w:id="1565330297">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82126405">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811366120">
      <w:bodyDiv w:val="1"/>
      <w:marLeft w:val="0"/>
      <w:marRight w:val="0"/>
      <w:marTop w:val="0"/>
      <w:marBottom w:val="0"/>
      <w:divBdr>
        <w:top w:val="none" w:sz="0" w:space="0" w:color="auto"/>
        <w:left w:val="none" w:sz="0" w:space="0" w:color="auto"/>
        <w:bottom w:val="none" w:sz="0" w:space="0" w:color="auto"/>
        <w:right w:val="none" w:sz="0" w:space="0" w:color="auto"/>
      </w:divBdr>
    </w:div>
    <w:div w:id="1842697323">
      <w:bodyDiv w:val="1"/>
      <w:marLeft w:val="0"/>
      <w:marRight w:val="0"/>
      <w:marTop w:val="0"/>
      <w:marBottom w:val="0"/>
      <w:divBdr>
        <w:top w:val="none" w:sz="0" w:space="0" w:color="auto"/>
        <w:left w:val="none" w:sz="0" w:space="0" w:color="auto"/>
        <w:bottom w:val="none" w:sz="0" w:space="0" w:color="auto"/>
        <w:right w:val="none" w:sz="0" w:space="0" w:color="auto"/>
      </w:divBdr>
    </w:div>
    <w:div w:id="1842770383">
      <w:bodyDiv w:val="1"/>
      <w:marLeft w:val="0"/>
      <w:marRight w:val="0"/>
      <w:marTop w:val="0"/>
      <w:marBottom w:val="0"/>
      <w:divBdr>
        <w:top w:val="none" w:sz="0" w:space="0" w:color="auto"/>
        <w:left w:val="none" w:sz="0" w:space="0" w:color="auto"/>
        <w:bottom w:val="none" w:sz="0" w:space="0" w:color="auto"/>
        <w:right w:val="none" w:sz="0" w:space="0" w:color="auto"/>
      </w:divBdr>
    </w:div>
    <w:div w:id="1886327318">
      <w:bodyDiv w:val="1"/>
      <w:marLeft w:val="0"/>
      <w:marRight w:val="0"/>
      <w:marTop w:val="0"/>
      <w:marBottom w:val="0"/>
      <w:divBdr>
        <w:top w:val="none" w:sz="0" w:space="0" w:color="auto"/>
        <w:left w:val="none" w:sz="0" w:space="0" w:color="auto"/>
        <w:bottom w:val="none" w:sz="0" w:space="0" w:color="auto"/>
        <w:right w:val="none" w:sz="0" w:space="0" w:color="auto"/>
      </w:divBdr>
    </w:div>
    <w:div w:id="1922254725">
      <w:bodyDiv w:val="1"/>
      <w:marLeft w:val="0"/>
      <w:marRight w:val="0"/>
      <w:marTop w:val="0"/>
      <w:marBottom w:val="0"/>
      <w:divBdr>
        <w:top w:val="none" w:sz="0" w:space="0" w:color="auto"/>
        <w:left w:val="none" w:sz="0" w:space="0" w:color="auto"/>
        <w:bottom w:val="none" w:sz="0" w:space="0" w:color="auto"/>
        <w:right w:val="none" w:sz="0" w:space="0" w:color="auto"/>
      </w:divBdr>
    </w:div>
    <w:div w:id="1960720594">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9074198">
      <w:bodyDiv w:val="1"/>
      <w:marLeft w:val="0"/>
      <w:marRight w:val="0"/>
      <w:marTop w:val="0"/>
      <w:marBottom w:val="0"/>
      <w:divBdr>
        <w:top w:val="none" w:sz="0" w:space="0" w:color="auto"/>
        <w:left w:val="none" w:sz="0" w:space="0" w:color="auto"/>
        <w:bottom w:val="none" w:sz="0" w:space="0" w:color="auto"/>
        <w:right w:val="none" w:sz="0" w:space="0" w:color="auto"/>
      </w:divBdr>
    </w:div>
    <w:div w:id="2027439044">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43703356">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086220838">
      <w:bodyDiv w:val="1"/>
      <w:marLeft w:val="0"/>
      <w:marRight w:val="0"/>
      <w:marTop w:val="0"/>
      <w:marBottom w:val="0"/>
      <w:divBdr>
        <w:top w:val="none" w:sz="0" w:space="0" w:color="auto"/>
        <w:left w:val="none" w:sz="0" w:space="0" w:color="auto"/>
        <w:bottom w:val="none" w:sz="0" w:space="0" w:color="auto"/>
        <w:right w:val="none" w:sz="0" w:space="0" w:color="auto"/>
      </w:divBdr>
    </w:div>
    <w:div w:id="2093042061">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amsar.org/cda/en/ramsar-documents-standing-40th-meeting-of-the-22812/main/ramsar/1-31-41%5e22812_4000_0__"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4EEBD-3B98-4E37-B2E8-15C5EAA1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3721</Words>
  <Characters>19488</Characters>
  <Application>Microsoft Office Word</Application>
  <DocSecurity>0</DocSecurity>
  <Lines>1392</Lines>
  <Paragraphs>967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Memorandum of Understanding</vt:lpstr>
      <vt:lpstr>Memorandum of Understanding</vt:lpstr>
    </vt:vector>
  </TitlesOfParts>
  <Company>IUCN</Company>
  <LinksUpToDate>false</LinksUpToDate>
  <CharactersWithSpaces>22242</CharactersWithSpaces>
  <SharedDoc>false</SharedDoc>
  <HLinks>
    <vt:vector size="6" baseType="variant">
      <vt:variant>
        <vt:i4>5111933</vt:i4>
      </vt:variant>
      <vt:variant>
        <vt:i4>0</vt:i4>
      </vt:variant>
      <vt:variant>
        <vt:i4>0</vt:i4>
      </vt:variant>
      <vt:variant>
        <vt:i4>5</vt:i4>
      </vt:variant>
      <vt:variant>
        <vt:lpwstr>http://www.ramsar.org/cda/en/ramsar-documents-standing-40th-meeting-of-the-22812/main/ramsar/1-31-41%5e22812_4000_0__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ELefebvre</dc:creator>
  <cp:lastModifiedBy>Ramsar\JenningsE</cp:lastModifiedBy>
  <cp:revision>2</cp:revision>
  <cp:lastPrinted>2016-03-25T16:18:00Z</cp:lastPrinted>
  <dcterms:created xsi:type="dcterms:W3CDTF">2016-05-31T11:57:00Z</dcterms:created>
  <dcterms:modified xsi:type="dcterms:W3CDTF">2016-05-31T11:57:00Z</dcterms:modified>
</cp:coreProperties>
</file>