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69" w:rsidRPr="000C0271" w:rsidRDefault="00DF0F90" w:rsidP="00D63F69">
      <w:pPr>
        <w:pStyle w:val="Heading3"/>
        <w:rPr>
          <w:rFonts w:ascii="Calibri" w:hAnsi="Calibri" w:cs="Calibri"/>
        </w:rPr>
      </w:pPr>
      <w:r>
        <w:rPr>
          <w:rFonts w:ascii="Calibri" w:hAnsi="Calibri" w:cs="Calibri"/>
        </w:rPr>
        <w:t xml:space="preserve"> </w:t>
      </w:r>
    </w:p>
    <w:p w:rsidR="0056312E" w:rsidRPr="007A7D9E" w:rsidRDefault="0056312E"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rPr>
      </w:pPr>
      <w:bookmarkStart w:id="0" w:name="OLE_LINK1"/>
      <w:r w:rsidRPr="007A7D9E">
        <w:rPr>
          <w:rFonts w:ascii="Calibri" w:hAnsi="Calibri"/>
          <w:bCs/>
        </w:rPr>
        <w:t>CONVENTION ON WETLANDS (Ramsar, Iran, 1971)</w:t>
      </w:r>
    </w:p>
    <w:p w:rsidR="0056312E" w:rsidRPr="007A7D9E" w:rsidRDefault="00BC59B6"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rPr>
      </w:pPr>
      <w:r>
        <w:rPr>
          <w:rFonts w:ascii="Calibri" w:hAnsi="Calibri"/>
          <w:bCs/>
        </w:rPr>
        <w:t>52</w:t>
      </w:r>
      <w:r w:rsidRPr="00BC59B6">
        <w:rPr>
          <w:rFonts w:ascii="Calibri" w:hAnsi="Calibri"/>
          <w:bCs/>
          <w:vertAlign w:val="superscript"/>
        </w:rPr>
        <w:t>nd</w:t>
      </w:r>
      <w:r>
        <w:rPr>
          <w:rFonts w:ascii="Calibri" w:hAnsi="Calibri"/>
          <w:bCs/>
        </w:rPr>
        <w:t xml:space="preserve"> </w:t>
      </w:r>
      <w:r w:rsidR="0056312E" w:rsidRPr="007A7D9E">
        <w:rPr>
          <w:rFonts w:ascii="Calibri" w:hAnsi="Calibri"/>
          <w:bCs/>
        </w:rPr>
        <w:t>Meeting of the Standing Committee</w:t>
      </w:r>
    </w:p>
    <w:p w:rsidR="0056312E" w:rsidRPr="007A7D9E" w:rsidRDefault="0056312E" w:rsidP="0056312E">
      <w:pPr>
        <w:pBdr>
          <w:top w:val="single" w:sz="12" w:space="0" w:color="auto" w:shadow="1"/>
          <w:left w:val="single" w:sz="12" w:space="4" w:color="auto" w:shadow="1"/>
          <w:bottom w:val="single" w:sz="12" w:space="1" w:color="auto" w:shadow="1"/>
          <w:right w:val="single" w:sz="12" w:space="7" w:color="auto" w:shadow="1"/>
        </w:pBdr>
        <w:suppressAutoHyphens/>
        <w:ind w:right="2792"/>
        <w:rPr>
          <w:rFonts w:ascii="Calibri" w:hAnsi="Calibri"/>
          <w:bCs/>
        </w:rPr>
      </w:pPr>
      <w:r w:rsidRPr="007A7D9E">
        <w:rPr>
          <w:rFonts w:ascii="Calibri" w:hAnsi="Calibri"/>
          <w:bCs/>
        </w:rPr>
        <w:t xml:space="preserve">Gland, Switzerland, </w:t>
      </w:r>
      <w:r w:rsidR="008365D7">
        <w:rPr>
          <w:rFonts w:ascii="Calibri" w:hAnsi="Calibri"/>
          <w:bCs/>
        </w:rPr>
        <w:t>13</w:t>
      </w:r>
      <w:r w:rsidR="00E72D40">
        <w:rPr>
          <w:rFonts w:ascii="Calibri" w:hAnsi="Calibri"/>
          <w:bCs/>
        </w:rPr>
        <w:t>-17</w:t>
      </w:r>
      <w:r w:rsidR="009D28C3">
        <w:rPr>
          <w:rFonts w:ascii="Calibri" w:hAnsi="Calibri"/>
          <w:bCs/>
        </w:rPr>
        <w:t xml:space="preserve"> </w:t>
      </w:r>
      <w:r w:rsidR="002C69BF">
        <w:rPr>
          <w:rFonts w:ascii="Calibri" w:hAnsi="Calibri"/>
          <w:bCs/>
        </w:rPr>
        <w:t>J</w:t>
      </w:r>
      <w:r w:rsidR="00E72D40">
        <w:rPr>
          <w:rFonts w:ascii="Calibri" w:hAnsi="Calibri"/>
          <w:bCs/>
        </w:rPr>
        <w:t>une</w:t>
      </w:r>
      <w:r w:rsidR="002C69BF">
        <w:rPr>
          <w:rFonts w:ascii="Calibri" w:hAnsi="Calibri"/>
          <w:bCs/>
        </w:rPr>
        <w:t xml:space="preserve"> </w:t>
      </w:r>
      <w:r w:rsidR="009D28C3">
        <w:rPr>
          <w:rFonts w:ascii="Calibri" w:hAnsi="Calibri"/>
          <w:bCs/>
        </w:rPr>
        <w:t>201</w:t>
      </w:r>
      <w:r w:rsidR="00E72D40">
        <w:rPr>
          <w:rFonts w:ascii="Calibri" w:hAnsi="Calibri"/>
          <w:bCs/>
        </w:rPr>
        <w:t>6</w:t>
      </w:r>
    </w:p>
    <w:p w:rsidR="0056312E" w:rsidRPr="007A7D9E" w:rsidRDefault="0056312E" w:rsidP="0056312E">
      <w:pPr>
        <w:keepNext/>
        <w:suppressAutoHyphens/>
        <w:outlineLvl w:val="0"/>
        <w:rPr>
          <w:rFonts w:ascii="Calibri" w:hAnsi="Calibri"/>
          <w:b/>
          <w:sz w:val="22"/>
          <w:szCs w:val="22"/>
        </w:rPr>
      </w:pPr>
    </w:p>
    <w:p w:rsidR="0056312E" w:rsidRPr="00640BA2" w:rsidRDefault="0056312E" w:rsidP="0056312E">
      <w:pPr>
        <w:keepNext/>
        <w:suppressAutoHyphens/>
        <w:jc w:val="right"/>
        <w:outlineLvl w:val="0"/>
        <w:rPr>
          <w:rFonts w:asciiTheme="minorHAnsi" w:hAnsiTheme="minorHAnsi"/>
          <w:b/>
          <w:sz w:val="28"/>
          <w:szCs w:val="28"/>
        </w:rPr>
      </w:pPr>
      <w:r w:rsidRPr="00640BA2">
        <w:rPr>
          <w:rFonts w:asciiTheme="minorHAnsi" w:hAnsiTheme="minorHAnsi"/>
          <w:b/>
          <w:sz w:val="28"/>
          <w:szCs w:val="28"/>
        </w:rPr>
        <w:t>SC</w:t>
      </w:r>
      <w:r w:rsidR="00E72D40">
        <w:rPr>
          <w:rFonts w:asciiTheme="minorHAnsi" w:hAnsiTheme="minorHAnsi"/>
          <w:b/>
          <w:sz w:val="28"/>
          <w:szCs w:val="28"/>
        </w:rPr>
        <w:t>52</w:t>
      </w:r>
      <w:r w:rsidRPr="00640BA2">
        <w:rPr>
          <w:rFonts w:asciiTheme="minorHAnsi" w:hAnsiTheme="minorHAnsi"/>
          <w:b/>
          <w:sz w:val="28"/>
          <w:szCs w:val="28"/>
        </w:rPr>
        <w:t>-</w:t>
      </w:r>
      <w:bookmarkEnd w:id="0"/>
      <w:r w:rsidR="00E72D40">
        <w:rPr>
          <w:rFonts w:asciiTheme="minorHAnsi" w:hAnsiTheme="minorHAnsi"/>
          <w:b/>
          <w:sz w:val="28"/>
          <w:szCs w:val="28"/>
        </w:rPr>
        <w:t>18</w:t>
      </w:r>
      <w:r w:rsidR="00A71F06">
        <w:rPr>
          <w:rFonts w:asciiTheme="minorHAnsi" w:hAnsiTheme="minorHAnsi"/>
          <w:b/>
          <w:sz w:val="28"/>
          <w:szCs w:val="28"/>
        </w:rPr>
        <w:t xml:space="preserve"> Rev.1</w:t>
      </w:r>
    </w:p>
    <w:p w:rsidR="0056312E" w:rsidRPr="00640BA2" w:rsidRDefault="0056312E" w:rsidP="0056312E">
      <w:pPr>
        <w:rPr>
          <w:rFonts w:asciiTheme="minorHAnsi" w:hAnsiTheme="minorHAnsi"/>
          <w:sz w:val="28"/>
          <w:szCs w:val="28"/>
        </w:rPr>
      </w:pPr>
    </w:p>
    <w:p w:rsidR="0056312E" w:rsidRPr="00640BA2" w:rsidRDefault="00134002" w:rsidP="00CD1518">
      <w:pPr>
        <w:jc w:val="center"/>
        <w:rPr>
          <w:rFonts w:asciiTheme="minorHAnsi" w:eastAsia="Times New Roman" w:hAnsiTheme="minorHAnsi" w:cs="Calibri"/>
          <w:b/>
          <w:bCs/>
          <w:color w:val="000000"/>
          <w:sz w:val="28"/>
          <w:szCs w:val="28"/>
        </w:rPr>
      </w:pPr>
      <w:hyperlink r:id="rId9" w:history="1">
        <w:r w:rsidR="0056312E" w:rsidRPr="00640BA2">
          <w:rPr>
            <w:rFonts w:asciiTheme="minorHAnsi" w:eastAsia="Times New Roman" w:hAnsiTheme="minorHAnsi" w:cs="Calibri"/>
            <w:b/>
            <w:bCs/>
            <w:color w:val="000000"/>
            <w:sz w:val="28"/>
            <w:szCs w:val="28"/>
          </w:rPr>
          <w:t xml:space="preserve">Ramsar </w:t>
        </w:r>
        <w:r w:rsidR="00B650F1" w:rsidRPr="00640BA2">
          <w:rPr>
            <w:rFonts w:asciiTheme="minorHAnsi" w:eastAsia="Times New Roman" w:hAnsiTheme="minorHAnsi" w:cs="Calibri"/>
            <w:b/>
            <w:bCs/>
            <w:color w:val="000000"/>
            <w:sz w:val="28"/>
            <w:szCs w:val="28"/>
          </w:rPr>
          <w:t>f</w:t>
        </w:r>
        <w:r w:rsidR="0056312E" w:rsidRPr="00640BA2">
          <w:rPr>
            <w:rFonts w:asciiTheme="minorHAnsi" w:eastAsia="Times New Roman" w:hAnsiTheme="minorHAnsi" w:cs="Calibri"/>
            <w:b/>
            <w:bCs/>
            <w:color w:val="000000"/>
            <w:sz w:val="28"/>
            <w:szCs w:val="28"/>
          </w:rPr>
          <w:t xml:space="preserve">inancial </w:t>
        </w:r>
        <w:r w:rsidR="00B650F1" w:rsidRPr="00640BA2">
          <w:rPr>
            <w:rFonts w:asciiTheme="minorHAnsi" w:eastAsia="Times New Roman" w:hAnsiTheme="minorHAnsi" w:cs="Calibri"/>
            <w:b/>
            <w:bCs/>
            <w:color w:val="000000"/>
            <w:sz w:val="28"/>
            <w:szCs w:val="28"/>
          </w:rPr>
          <w:t>m</w:t>
        </w:r>
        <w:r w:rsidR="00E72D40">
          <w:rPr>
            <w:rFonts w:asciiTheme="minorHAnsi" w:eastAsia="Times New Roman" w:hAnsiTheme="minorHAnsi" w:cs="Calibri"/>
            <w:b/>
            <w:bCs/>
            <w:color w:val="000000"/>
            <w:sz w:val="28"/>
            <w:szCs w:val="28"/>
          </w:rPr>
          <w:t xml:space="preserve">atters </w:t>
        </w:r>
        <w:r w:rsidR="00BC59B6">
          <w:rPr>
            <w:rFonts w:asciiTheme="minorHAnsi" w:eastAsia="Times New Roman" w:hAnsiTheme="minorHAnsi" w:cs="Calibri"/>
            <w:b/>
            <w:bCs/>
            <w:color w:val="000000"/>
            <w:sz w:val="28"/>
            <w:szCs w:val="28"/>
          </w:rPr>
          <w:t>2014/</w:t>
        </w:r>
        <w:r w:rsidR="0056312E" w:rsidRPr="00640BA2">
          <w:rPr>
            <w:rFonts w:asciiTheme="minorHAnsi" w:eastAsia="Times New Roman" w:hAnsiTheme="minorHAnsi" w:cs="Calibri"/>
            <w:b/>
            <w:bCs/>
            <w:color w:val="000000"/>
            <w:sz w:val="28"/>
            <w:szCs w:val="28"/>
          </w:rPr>
          <w:t>20</w:t>
        </w:r>
        <w:r w:rsidR="009D28C3" w:rsidRPr="00640BA2">
          <w:rPr>
            <w:rFonts w:asciiTheme="minorHAnsi" w:eastAsia="Times New Roman" w:hAnsiTheme="minorHAnsi" w:cs="Calibri"/>
            <w:b/>
            <w:bCs/>
            <w:color w:val="000000"/>
            <w:sz w:val="28"/>
            <w:szCs w:val="28"/>
          </w:rPr>
          <w:t>15</w:t>
        </w:r>
      </w:hyperlink>
    </w:p>
    <w:p w:rsidR="00CD1518" w:rsidRPr="007A7D9E" w:rsidRDefault="00CD1518" w:rsidP="0056312E">
      <w:pPr>
        <w:rPr>
          <w:rFonts w:ascii="Calibri" w:hAnsi="Calibri"/>
          <w:b/>
          <w:iCs/>
          <w:sz w:val="22"/>
          <w:szCs w:val="22"/>
          <w:highlight w:val="yellow"/>
        </w:rPr>
      </w:pPr>
    </w:p>
    <w:p w:rsidR="0056312E" w:rsidRDefault="00432445" w:rsidP="0056312E">
      <w:pPr>
        <w:ind w:left="540" w:hanging="540"/>
        <w:rPr>
          <w:rFonts w:ascii="Calibri" w:hAnsi="Calibri"/>
          <w:sz w:val="22"/>
          <w:szCs w:val="22"/>
        </w:rPr>
      </w:pPr>
      <w:r>
        <w:rPr>
          <w:rFonts w:ascii="Calibri" w:hAnsi="Calibri"/>
          <w:noProof/>
          <w:sz w:val="22"/>
          <w:szCs w:val="22"/>
          <w:lang w:val="en-GB" w:eastAsia="en-GB"/>
        </w:rPr>
        <mc:AlternateContent>
          <mc:Choice Requires="wps">
            <w:drawing>
              <wp:inline distT="0" distB="0" distL="0" distR="0" wp14:anchorId="07479530" wp14:editId="603318DE">
                <wp:extent cx="5728970" cy="1363980"/>
                <wp:effectExtent l="0" t="0" r="2413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363980"/>
                        </a:xfrm>
                        <a:prstGeom prst="rect">
                          <a:avLst/>
                        </a:prstGeom>
                        <a:solidFill>
                          <a:srgbClr val="FFFFFF"/>
                        </a:solidFill>
                        <a:ln w="9525">
                          <a:solidFill>
                            <a:srgbClr val="000000"/>
                          </a:solidFill>
                          <a:miter lim="800000"/>
                          <a:headEnd/>
                          <a:tailEnd/>
                        </a:ln>
                      </wps:spPr>
                      <wps:txbx>
                        <w:txbxContent>
                          <w:p w:rsidR="00C01945" w:rsidRPr="00C4435F" w:rsidRDefault="00C01945" w:rsidP="0056312E">
                            <w:pPr>
                              <w:jc w:val="both"/>
                              <w:rPr>
                                <w:rFonts w:ascii="Calibri" w:hAnsi="Calibri"/>
                                <w:b/>
                                <w:sz w:val="22"/>
                                <w:szCs w:val="22"/>
                              </w:rPr>
                            </w:pPr>
                            <w:r w:rsidRPr="00C4435F">
                              <w:rPr>
                                <w:rFonts w:ascii="Calibri" w:hAnsi="Calibri"/>
                                <w:b/>
                                <w:sz w:val="22"/>
                                <w:szCs w:val="22"/>
                              </w:rPr>
                              <w:t xml:space="preserve">Actions requested: </w:t>
                            </w:r>
                          </w:p>
                          <w:p w:rsidR="00C01945" w:rsidRPr="00C4435F" w:rsidRDefault="00C01945" w:rsidP="00CD1518">
                            <w:pPr>
                              <w:pStyle w:val="ListParagraph"/>
                              <w:ind w:left="0"/>
                              <w:rPr>
                                <w:rFonts w:ascii="Calibri" w:hAnsi="Calibri"/>
                                <w:sz w:val="22"/>
                                <w:szCs w:val="22"/>
                              </w:rPr>
                            </w:pPr>
                            <w:r w:rsidRPr="00C4435F">
                              <w:rPr>
                                <w:rFonts w:ascii="Calibri" w:hAnsi="Calibri"/>
                                <w:sz w:val="22"/>
                                <w:szCs w:val="22"/>
                              </w:rPr>
                              <w:t xml:space="preserve">Standing Committee is invited to </w:t>
                            </w:r>
                            <w:r w:rsidRPr="00C4435F">
                              <w:rPr>
                                <w:rFonts w:ascii="Calibri" w:hAnsi="Calibri" w:cs="Calibri"/>
                                <w:sz w:val="22"/>
                                <w:szCs w:val="22"/>
                              </w:rPr>
                              <w:t>note the contents of this report and:</w:t>
                            </w:r>
                          </w:p>
                          <w:p w:rsidR="00C01945" w:rsidRPr="00C4435F" w:rsidRDefault="00C01945" w:rsidP="00102FC1">
                            <w:pPr>
                              <w:pStyle w:val="ListParagraph"/>
                              <w:numPr>
                                <w:ilvl w:val="1"/>
                                <w:numId w:val="1"/>
                              </w:numPr>
                              <w:ind w:left="851" w:hanging="425"/>
                              <w:rPr>
                                <w:rFonts w:ascii="Calibri" w:hAnsi="Calibri"/>
                                <w:sz w:val="22"/>
                                <w:szCs w:val="22"/>
                              </w:rPr>
                            </w:pPr>
                            <w:r>
                              <w:rPr>
                                <w:rFonts w:ascii="Calibri" w:hAnsi="Calibri"/>
                                <w:sz w:val="22"/>
                                <w:szCs w:val="22"/>
                              </w:rPr>
                              <w:t>r</w:t>
                            </w:r>
                            <w:r w:rsidRPr="00C4435F">
                              <w:rPr>
                                <w:rFonts w:ascii="Calibri" w:hAnsi="Calibri"/>
                                <w:sz w:val="22"/>
                                <w:szCs w:val="22"/>
                              </w:rPr>
                              <w:t xml:space="preserve">eview the 2014 surplus allocations and approve the use of the remaining surplus of CHF </w:t>
                            </w:r>
                            <w:r>
                              <w:rPr>
                                <w:rFonts w:ascii="Calibri" w:hAnsi="Calibri"/>
                                <w:sz w:val="22"/>
                                <w:szCs w:val="22"/>
                              </w:rPr>
                              <w:t>6</w:t>
                            </w:r>
                            <w:r w:rsidRPr="00C4435F">
                              <w:rPr>
                                <w:rFonts w:ascii="Calibri" w:hAnsi="Calibri"/>
                                <w:sz w:val="22"/>
                                <w:szCs w:val="22"/>
                              </w:rPr>
                              <w:t>,000</w:t>
                            </w:r>
                            <w:r>
                              <w:rPr>
                                <w:rFonts w:ascii="Calibri" w:hAnsi="Calibri"/>
                                <w:sz w:val="22"/>
                                <w:szCs w:val="22"/>
                              </w:rPr>
                              <w:t>; and</w:t>
                            </w:r>
                          </w:p>
                          <w:p w:rsidR="00C01945" w:rsidRDefault="00C01945" w:rsidP="00450ADD">
                            <w:pPr>
                              <w:pStyle w:val="ListParagraph"/>
                              <w:numPr>
                                <w:ilvl w:val="1"/>
                                <w:numId w:val="1"/>
                              </w:numPr>
                              <w:ind w:left="851" w:hanging="425"/>
                              <w:rPr>
                                <w:rFonts w:ascii="Calibri" w:hAnsi="Calibri"/>
                                <w:sz w:val="22"/>
                                <w:szCs w:val="22"/>
                              </w:rPr>
                            </w:pPr>
                            <w:r w:rsidRPr="00450ADD">
                              <w:rPr>
                                <w:rFonts w:ascii="Calibri" w:hAnsi="Calibri"/>
                                <w:sz w:val="22"/>
                                <w:szCs w:val="22"/>
                              </w:rPr>
                              <w:t>review the attached 2015 draft financial statements as of 31 December 2015, note the 2015 deficit, and approve the Acting Secretary General’s proposal</w:t>
                            </w:r>
                            <w:r>
                              <w:rPr>
                                <w:rFonts w:ascii="Calibri" w:hAnsi="Calibri"/>
                                <w:sz w:val="22"/>
                                <w:szCs w:val="22"/>
                              </w:rPr>
                              <w:t>s to eliminate the 2015 deficit.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10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">
                <v:textbox>
                  <w:txbxContent>
                    <w:p w:rsidR="00C01945" w:rsidRPr="00C4435F" w:rsidRDefault="00C01945" w:rsidP="0056312E">
                      <w:pPr>
                        <w:jc w:val="both"/>
                        <w:rPr>
                          <w:rFonts w:ascii="Calibri" w:hAnsi="Calibri"/>
                          <w:b/>
                          <w:sz w:val="22"/>
                          <w:szCs w:val="22"/>
                        </w:rPr>
                      </w:pPr>
                      <w:r w:rsidRPr="00C4435F">
                        <w:rPr>
                          <w:rFonts w:ascii="Calibri" w:hAnsi="Calibri"/>
                          <w:b/>
                          <w:sz w:val="22"/>
                          <w:szCs w:val="22"/>
                        </w:rPr>
                        <w:t xml:space="preserve">Actions requested: </w:t>
                      </w:r>
                    </w:p>
                    <w:p w:rsidR="00C01945" w:rsidRPr="00C4435F" w:rsidRDefault="00C01945" w:rsidP="00CD1518">
                      <w:pPr>
                        <w:pStyle w:val="ListParagraph"/>
                        <w:ind w:left="0"/>
                        <w:rPr>
                          <w:rFonts w:ascii="Calibri" w:hAnsi="Calibri"/>
                          <w:sz w:val="22"/>
                          <w:szCs w:val="22"/>
                        </w:rPr>
                      </w:pPr>
                      <w:r w:rsidRPr="00C4435F">
                        <w:rPr>
                          <w:rFonts w:ascii="Calibri" w:hAnsi="Calibri"/>
                          <w:sz w:val="22"/>
                          <w:szCs w:val="22"/>
                        </w:rPr>
                        <w:t xml:space="preserve">Standing Committee is invited to </w:t>
                      </w:r>
                      <w:r w:rsidRPr="00C4435F">
                        <w:rPr>
                          <w:rFonts w:ascii="Calibri" w:hAnsi="Calibri" w:cs="Calibri"/>
                          <w:sz w:val="22"/>
                          <w:szCs w:val="22"/>
                        </w:rPr>
                        <w:t>note the contents of this report and:</w:t>
                      </w:r>
                    </w:p>
                    <w:p w:rsidR="00C01945" w:rsidRPr="00C4435F" w:rsidRDefault="00C01945" w:rsidP="00102FC1">
                      <w:pPr>
                        <w:pStyle w:val="ListParagraph"/>
                        <w:numPr>
                          <w:ilvl w:val="1"/>
                          <w:numId w:val="1"/>
                        </w:numPr>
                        <w:ind w:left="851" w:hanging="425"/>
                        <w:rPr>
                          <w:rFonts w:ascii="Calibri" w:hAnsi="Calibri"/>
                          <w:sz w:val="22"/>
                          <w:szCs w:val="22"/>
                        </w:rPr>
                      </w:pPr>
                      <w:r>
                        <w:rPr>
                          <w:rFonts w:ascii="Calibri" w:hAnsi="Calibri"/>
                          <w:sz w:val="22"/>
                          <w:szCs w:val="22"/>
                        </w:rPr>
                        <w:t>r</w:t>
                      </w:r>
                      <w:r w:rsidRPr="00C4435F">
                        <w:rPr>
                          <w:rFonts w:ascii="Calibri" w:hAnsi="Calibri"/>
                          <w:sz w:val="22"/>
                          <w:szCs w:val="22"/>
                        </w:rPr>
                        <w:t xml:space="preserve">eview the 2014 surplus allocations and approve the use of the remaining surplus of CHF </w:t>
                      </w:r>
                      <w:r>
                        <w:rPr>
                          <w:rFonts w:ascii="Calibri" w:hAnsi="Calibri"/>
                          <w:sz w:val="22"/>
                          <w:szCs w:val="22"/>
                        </w:rPr>
                        <w:t>6</w:t>
                      </w:r>
                      <w:r w:rsidRPr="00C4435F">
                        <w:rPr>
                          <w:rFonts w:ascii="Calibri" w:hAnsi="Calibri"/>
                          <w:sz w:val="22"/>
                          <w:szCs w:val="22"/>
                        </w:rPr>
                        <w:t>,000</w:t>
                      </w:r>
                      <w:r>
                        <w:rPr>
                          <w:rFonts w:ascii="Calibri" w:hAnsi="Calibri"/>
                          <w:sz w:val="22"/>
                          <w:szCs w:val="22"/>
                        </w:rPr>
                        <w:t>; and</w:t>
                      </w:r>
                    </w:p>
                    <w:p w:rsidR="00C01945" w:rsidRDefault="00C01945" w:rsidP="00450ADD">
                      <w:pPr>
                        <w:pStyle w:val="ListParagraph"/>
                        <w:numPr>
                          <w:ilvl w:val="1"/>
                          <w:numId w:val="1"/>
                        </w:numPr>
                        <w:ind w:left="851" w:hanging="425"/>
                        <w:rPr>
                          <w:rFonts w:ascii="Calibri" w:hAnsi="Calibri"/>
                          <w:sz w:val="22"/>
                          <w:szCs w:val="22"/>
                        </w:rPr>
                      </w:pPr>
                      <w:r w:rsidRPr="00450ADD">
                        <w:rPr>
                          <w:rFonts w:ascii="Calibri" w:hAnsi="Calibri"/>
                          <w:sz w:val="22"/>
                          <w:szCs w:val="22"/>
                        </w:rPr>
                        <w:t>review the attached 2015 draft financial statements as of 31 December 2015, note the 2015 deficit, and approve the Acting Secretary General’s proposal</w:t>
                      </w:r>
                      <w:r>
                        <w:rPr>
                          <w:rFonts w:ascii="Calibri" w:hAnsi="Calibri"/>
                          <w:sz w:val="22"/>
                          <w:szCs w:val="22"/>
                        </w:rPr>
                        <w:t>s to eliminate the 2015 deficit.</w:t>
                      </w:r>
                    </w:p>
                  </w:txbxContent>
                </v:textbox>
                <w10:anchorlock/>
              </v:shape>
            </w:pict>
          </mc:Fallback>
        </mc:AlternateContent>
      </w:r>
    </w:p>
    <w:p w:rsidR="0056312E" w:rsidRDefault="00C41ED0" w:rsidP="0056312E">
      <w:pPr>
        <w:ind w:left="540" w:hanging="540"/>
        <w:rPr>
          <w:rFonts w:ascii="Calibri" w:hAnsi="Calibri"/>
          <w:sz w:val="22"/>
          <w:szCs w:val="22"/>
        </w:rPr>
      </w:pPr>
      <w:r>
        <w:rPr>
          <w:rFonts w:ascii="Calibri" w:hAnsi="Calibri"/>
          <w:sz w:val="22"/>
          <w:szCs w:val="22"/>
        </w:rPr>
        <w:t xml:space="preserve">  </w:t>
      </w:r>
    </w:p>
    <w:p w:rsidR="00024785" w:rsidRDefault="00024785" w:rsidP="00024785">
      <w:pPr>
        <w:rPr>
          <w:rFonts w:ascii="Calibri" w:hAnsi="Calibri"/>
          <w:sz w:val="22"/>
          <w:szCs w:val="22"/>
        </w:rPr>
      </w:pPr>
    </w:p>
    <w:p w:rsidR="00CE5742" w:rsidRDefault="00515D38" w:rsidP="00842399">
      <w:pPr>
        <w:pStyle w:val="ListParagraph"/>
        <w:numPr>
          <w:ilvl w:val="0"/>
          <w:numId w:val="2"/>
        </w:numPr>
        <w:ind w:left="426" w:hanging="426"/>
        <w:rPr>
          <w:rFonts w:ascii="Calibri" w:hAnsi="Calibri" w:cs="Calibri"/>
          <w:bCs/>
          <w:sz w:val="22"/>
          <w:szCs w:val="22"/>
        </w:rPr>
      </w:pPr>
      <w:r w:rsidRPr="00024785">
        <w:rPr>
          <w:rFonts w:ascii="Calibri" w:hAnsi="Calibri" w:cs="Calibri"/>
          <w:bCs/>
          <w:sz w:val="22"/>
          <w:szCs w:val="22"/>
        </w:rPr>
        <w:t xml:space="preserve">The audit </w:t>
      </w:r>
      <w:r w:rsidR="000538AA" w:rsidRPr="00024785">
        <w:rPr>
          <w:rFonts w:ascii="Calibri" w:hAnsi="Calibri" w:cs="Calibri"/>
          <w:bCs/>
          <w:sz w:val="22"/>
          <w:szCs w:val="22"/>
        </w:rPr>
        <w:t xml:space="preserve">of the </w:t>
      </w:r>
      <w:r w:rsidR="009D28C3" w:rsidRPr="00024785">
        <w:rPr>
          <w:rFonts w:ascii="Calibri" w:hAnsi="Calibri" w:cs="Calibri"/>
          <w:bCs/>
          <w:sz w:val="22"/>
          <w:szCs w:val="22"/>
        </w:rPr>
        <w:t>201</w:t>
      </w:r>
      <w:r w:rsidR="00E72D40">
        <w:rPr>
          <w:rFonts w:ascii="Calibri" w:hAnsi="Calibri" w:cs="Calibri"/>
          <w:bCs/>
          <w:sz w:val="22"/>
          <w:szCs w:val="22"/>
        </w:rPr>
        <w:t>5</w:t>
      </w:r>
      <w:r w:rsidR="000538AA" w:rsidRPr="00024785">
        <w:rPr>
          <w:rFonts w:ascii="Calibri" w:hAnsi="Calibri" w:cs="Calibri"/>
          <w:bCs/>
          <w:sz w:val="22"/>
          <w:szCs w:val="22"/>
        </w:rPr>
        <w:t xml:space="preserve"> accounts </w:t>
      </w:r>
      <w:r w:rsidR="00567B3E">
        <w:rPr>
          <w:rFonts w:ascii="Calibri" w:hAnsi="Calibri" w:cs="Calibri"/>
          <w:bCs/>
          <w:sz w:val="22"/>
          <w:szCs w:val="22"/>
        </w:rPr>
        <w:t>was completed</w:t>
      </w:r>
      <w:r w:rsidR="00C63097">
        <w:rPr>
          <w:rFonts w:ascii="Calibri" w:hAnsi="Calibri" w:cs="Calibri"/>
          <w:bCs/>
          <w:sz w:val="22"/>
          <w:szCs w:val="22"/>
        </w:rPr>
        <w:t xml:space="preserve"> by Pricew</w:t>
      </w:r>
      <w:r w:rsidR="00D31D60">
        <w:rPr>
          <w:rFonts w:ascii="Calibri" w:hAnsi="Calibri" w:cs="Calibri"/>
          <w:bCs/>
          <w:sz w:val="22"/>
          <w:szCs w:val="22"/>
        </w:rPr>
        <w:t>aterhouseCoopers</w:t>
      </w:r>
      <w:r w:rsidR="00567B3E">
        <w:rPr>
          <w:rFonts w:ascii="Calibri" w:hAnsi="Calibri" w:cs="Calibri"/>
          <w:bCs/>
          <w:sz w:val="22"/>
          <w:szCs w:val="22"/>
        </w:rPr>
        <w:t xml:space="preserve"> </w:t>
      </w:r>
      <w:r w:rsidR="00C63097">
        <w:rPr>
          <w:rFonts w:ascii="Calibri" w:hAnsi="Calibri" w:cs="Calibri"/>
          <w:bCs/>
          <w:sz w:val="22"/>
          <w:szCs w:val="22"/>
        </w:rPr>
        <w:t xml:space="preserve">on </w:t>
      </w:r>
      <w:r w:rsidR="00C63097" w:rsidRPr="00024785">
        <w:rPr>
          <w:rFonts w:ascii="Calibri" w:hAnsi="Calibri" w:cs="Calibri"/>
          <w:bCs/>
          <w:sz w:val="22"/>
          <w:szCs w:val="22"/>
        </w:rPr>
        <w:t>26</w:t>
      </w:r>
      <w:r w:rsidR="00567B3E">
        <w:rPr>
          <w:rFonts w:ascii="Calibri" w:hAnsi="Calibri" w:cs="Calibri"/>
          <w:bCs/>
          <w:sz w:val="22"/>
          <w:szCs w:val="22"/>
        </w:rPr>
        <w:t xml:space="preserve"> </w:t>
      </w:r>
      <w:r w:rsidR="00E72D40">
        <w:rPr>
          <w:rFonts w:ascii="Calibri" w:hAnsi="Calibri" w:cs="Calibri"/>
          <w:bCs/>
          <w:sz w:val="22"/>
          <w:szCs w:val="22"/>
        </w:rPr>
        <w:t>April 2016.</w:t>
      </w:r>
      <w:r w:rsidR="00D31D60">
        <w:rPr>
          <w:rFonts w:ascii="Calibri" w:hAnsi="Calibri" w:cs="Calibri"/>
          <w:bCs/>
          <w:sz w:val="22"/>
          <w:szCs w:val="22"/>
        </w:rPr>
        <w:t xml:space="preserve">  </w:t>
      </w:r>
      <w:r w:rsidR="00D31D60" w:rsidRPr="00024785">
        <w:rPr>
          <w:rFonts w:ascii="Calibri" w:hAnsi="Calibri" w:cs="Calibri"/>
          <w:bCs/>
          <w:sz w:val="22"/>
          <w:szCs w:val="22"/>
        </w:rPr>
        <w:t>Attache</w:t>
      </w:r>
      <w:r w:rsidR="00D31D60" w:rsidRPr="00C669C7">
        <w:rPr>
          <w:rFonts w:ascii="Calibri" w:hAnsi="Calibri" w:cs="Calibri"/>
          <w:bCs/>
          <w:sz w:val="22"/>
          <w:szCs w:val="22"/>
        </w:rPr>
        <w:t xml:space="preserve">d at Annex 1 </w:t>
      </w:r>
      <w:r w:rsidR="00C63097" w:rsidRPr="00C669C7">
        <w:rPr>
          <w:rFonts w:ascii="Calibri" w:hAnsi="Calibri" w:cs="Calibri"/>
          <w:bCs/>
          <w:sz w:val="22"/>
          <w:szCs w:val="22"/>
        </w:rPr>
        <w:t xml:space="preserve">are </w:t>
      </w:r>
      <w:r w:rsidR="00C63097" w:rsidRPr="00024785">
        <w:rPr>
          <w:rFonts w:ascii="Calibri" w:hAnsi="Calibri" w:cs="Calibri"/>
          <w:bCs/>
          <w:sz w:val="22"/>
          <w:szCs w:val="22"/>
        </w:rPr>
        <w:t>the</w:t>
      </w:r>
      <w:r w:rsidR="00D31D60">
        <w:rPr>
          <w:rFonts w:ascii="Calibri" w:hAnsi="Calibri" w:cs="Calibri"/>
          <w:bCs/>
          <w:sz w:val="22"/>
          <w:szCs w:val="22"/>
        </w:rPr>
        <w:t xml:space="preserve"> </w:t>
      </w:r>
      <w:r w:rsidR="00D31D60" w:rsidRPr="00024785">
        <w:rPr>
          <w:rFonts w:ascii="Calibri" w:hAnsi="Calibri" w:cs="Calibri"/>
          <w:bCs/>
          <w:sz w:val="22"/>
          <w:szCs w:val="22"/>
        </w:rPr>
        <w:t>201</w:t>
      </w:r>
      <w:r w:rsidR="00D31D60">
        <w:rPr>
          <w:rFonts w:ascii="Calibri" w:hAnsi="Calibri" w:cs="Calibri"/>
          <w:bCs/>
          <w:sz w:val="22"/>
          <w:szCs w:val="22"/>
        </w:rPr>
        <w:t>5</w:t>
      </w:r>
      <w:r w:rsidR="00D31D60" w:rsidRPr="00024785">
        <w:rPr>
          <w:rFonts w:ascii="Calibri" w:hAnsi="Calibri" w:cs="Calibri"/>
          <w:bCs/>
          <w:sz w:val="22"/>
          <w:szCs w:val="22"/>
        </w:rPr>
        <w:t xml:space="preserve"> </w:t>
      </w:r>
      <w:r w:rsidR="00D31D60">
        <w:rPr>
          <w:rFonts w:ascii="Calibri" w:hAnsi="Calibri" w:cs="Calibri"/>
          <w:bCs/>
          <w:sz w:val="22"/>
          <w:szCs w:val="22"/>
        </w:rPr>
        <w:t xml:space="preserve">financial statements </w:t>
      </w:r>
      <w:r w:rsidR="00D31D60" w:rsidRPr="00024785">
        <w:rPr>
          <w:rFonts w:ascii="Calibri" w:hAnsi="Calibri" w:cs="Calibri"/>
          <w:bCs/>
          <w:sz w:val="22"/>
          <w:szCs w:val="22"/>
        </w:rPr>
        <w:t xml:space="preserve">(in the </w:t>
      </w:r>
      <w:r w:rsidR="00D31D60">
        <w:rPr>
          <w:rFonts w:ascii="Calibri" w:hAnsi="Calibri" w:cs="Calibri"/>
          <w:bCs/>
          <w:sz w:val="22"/>
          <w:szCs w:val="22"/>
        </w:rPr>
        <w:t xml:space="preserve">required </w:t>
      </w:r>
      <w:r w:rsidR="00D31D60" w:rsidRPr="00024785">
        <w:rPr>
          <w:rFonts w:ascii="Calibri" w:hAnsi="Calibri" w:cs="Calibri"/>
          <w:bCs/>
          <w:sz w:val="22"/>
          <w:szCs w:val="22"/>
        </w:rPr>
        <w:t xml:space="preserve">Swiss reporting format) as of </w:t>
      </w:r>
      <w:r w:rsidR="00D31D60">
        <w:rPr>
          <w:rFonts w:ascii="Calibri" w:hAnsi="Calibri" w:cs="Calibri"/>
          <w:bCs/>
          <w:sz w:val="22"/>
          <w:szCs w:val="22"/>
        </w:rPr>
        <w:t>31 December 2015</w:t>
      </w:r>
      <w:r w:rsidR="00D31D60" w:rsidRPr="00024785">
        <w:rPr>
          <w:rFonts w:ascii="Calibri" w:hAnsi="Calibri" w:cs="Calibri"/>
          <w:bCs/>
          <w:sz w:val="22"/>
          <w:szCs w:val="22"/>
        </w:rPr>
        <w:t>.</w:t>
      </w:r>
    </w:p>
    <w:p w:rsidR="00CE5742" w:rsidRDefault="00CE5742" w:rsidP="00CE5742">
      <w:pPr>
        <w:pStyle w:val="ListParagraph"/>
        <w:ind w:left="426"/>
        <w:rPr>
          <w:rFonts w:ascii="Calibri" w:hAnsi="Calibri" w:cs="Calibri"/>
          <w:bCs/>
          <w:sz w:val="22"/>
          <w:szCs w:val="22"/>
        </w:rPr>
      </w:pPr>
    </w:p>
    <w:p w:rsidR="00FF69BF" w:rsidRPr="00024785" w:rsidRDefault="00127C82" w:rsidP="00842399">
      <w:pPr>
        <w:pStyle w:val="ListParagraph"/>
        <w:numPr>
          <w:ilvl w:val="0"/>
          <w:numId w:val="2"/>
        </w:numPr>
        <w:ind w:left="426" w:hanging="426"/>
        <w:rPr>
          <w:rFonts w:ascii="Calibri" w:hAnsi="Calibri" w:cs="Calibri"/>
          <w:bCs/>
          <w:sz w:val="22"/>
          <w:szCs w:val="22"/>
        </w:rPr>
      </w:pPr>
      <w:r w:rsidRPr="00C47AD4">
        <w:rPr>
          <w:rFonts w:ascii="Calibri" w:hAnsi="Calibri" w:cs="Calibri"/>
          <w:bCs/>
          <w:sz w:val="22"/>
          <w:szCs w:val="22"/>
        </w:rPr>
        <w:t xml:space="preserve">Attached </w:t>
      </w:r>
      <w:r w:rsidR="00135B39" w:rsidRPr="00C47AD4">
        <w:rPr>
          <w:rFonts w:ascii="Calibri" w:hAnsi="Calibri" w:cs="Calibri"/>
          <w:bCs/>
          <w:sz w:val="22"/>
          <w:szCs w:val="22"/>
        </w:rPr>
        <w:t xml:space="preserve">at </w:t>
      </w:r>
      <w:r w:rsidRPr="008A77C9">
        <w:rPr>
          <w:rFonts w:ascii="Calibri" w:hAnsi="Calibri" w:cs="Calibri"/>
          <w:bCs/>
          <w:sz w:val="22"/>
          <w:szCs w:val="22"/>
        </w:rPr>
        <w:t xml:space="preserve">Annex </w:t>
      </w:r>
      <w:r w:rsidR="00CE5742" w:rsidRPr="008A77C9">
        <w:rPr>
          <w:rFonts w:ascii="Calibri" w:hAnsi="Calibri" w:cs="Calibri"/>
          <w:bCs/>
          <w:sz w:val="22"/>
          <w:szCs w:val="22"/>
        </w:rPr>
        <w:t>2</w:t>
      </w:r>
      <w:r w:rsidR="00E72D40" w:rsidRPr="008A77C9">
        <w:rPr>
          <w:rFonts w:ascii="Calibri" w:hAnsi="Calibri" w:cs="Calibri"/>
          <w:bCs/>
          <w:sz w:val="22"/>
          <w:szCs w:val="22"/>
        </w:rPr>
        <w:t xml:space="preserve"> is</w:t>
      </w:r>
      <w:r w:rsidR="00E72D40">
        <w:rPr>
          <w:rFonts w:ascii="Calibri" w:hAnsi="Calibri" w:cs="Calibri"/>
          <w:bCs/>
          <w:sz w:val="22"/>
          <w:szCs w:val="22"/>
        </w:rPr>
        <w:t xml:space="preserve"> a summary</w:t>
      </w:r>
      <w:r w:rsidRPr="00024785">
        <w:rPr>
          <w:rFonts w:ascii="Calibri" w:hAnsi="Calibri" w:cs="Calibri"/>
          <w:bCs/>
          <w:sz w:val="22"/>
          <w:szCs w:val="22"/>
        </w:rPr>
        <w:t xml:space="preserve"> of </w:t>
      </w:r>
      <w:r w:rsidR="008532A7">
        <w:rPr>
          <w:rFonts w:ascii="Calibri" w:hAnsi="Calibri" w:cs="Calibri"/>
          <w:bCs/>
          <w:sz w:val="22"/>
          <w:szCs w:val="22"/>
        </w:rPr>
        <w:t xml:space="preserve">the </w:t>
      </w:r>
      <w:r w:rsidR="008A77C9">
        <w:rPr>
          <w:rFonts w:ascii="Calibri" w:hAnsi="Calibri" w:cs="Calibri"/>
          <w:bCs/>
          <w:sz w:val="22"/>
          <w:szCs w:val="22"/>
        </w:rPr>
        <w:t xml:space="preserve">approved </w:t>
      </w:r>
      <w:r w:rsidRPr="00024785">
        <w:rPr>
          <w:rFonts w:ascii="Calibri" w:hAnsi="Calibri" w:cs="Calibri"/>
          <w:bCs/>
          <w:sz w:val="22"/>
          <w:szCs w:val="22"/>
        </w:rPr>
        <w:t>201</w:t>
      </w:r>
      <w:r w:rsidR="00E72D40">
        <w:rPr>
          <w:rFonts w:ascii="Calibri" w:hAnsi="Calibri" w:cs="Calibri"/>
          <w:bCs/>
          <w:sz w:val="22"/>
          <w:szCs w:val="22"/>
        </w:rPr>
        <w:t>5</w:t>
      </w:r>
      <w:r w:rsidR="00621364">
        <w:rPr>
          <w:rFonts w:ascii="Calibri" w:hAnsi="Calibri" w:cs="Calibri"/>
          <w:bCs/>
          <w:sz w:val="22"/>
          <w:szCs w:val="22"/>
        </w:rPr>
        <w:t xml:space="preserve"> </w:t>
      </w:r>
      <w:r w:rsidR="009C5E7D">
        <w:rPr>
          <w:rFonts w:ascii="Calibri" w:hAnsi="Calibri" w:cs="Calibri"/>
          <w:bCs/>
          <w:sz w:val="22"/>
          <w:szCs w:val="22"/>
        </w:rPr>
        <w:t xml:space="preserve">core </w:t>
      </w:r>
      <w:r w:rsidR="00621364">
        <w:rPr>
          <w:rFonts w:ascii="Calibri" w:hAnsi="Calibri" w:cs="Calibri"/>
          <w:bCs/>
          <w:sz w:val="22"/>
          <w:szCs w:val="22"/>
        </w:rPr>
        <w:t>budget, actual</w:t>
      </w:r>
      <w:r w:rsidR="008532A7">
        <w:rPr>
          <w:rFonts w:ascii="Calibri" w:hAnsi="Calibri" w:cs="Calibri"/>
          <w:bCs/>
          <w:sz w:val="22"/>
          <w:szCs w:val="22"/>
        </w:rPr>
        <w:t xml:space="preserve"> income and expenditure</w:t>
      </w:r>
      <w:r w:rsidR="00621364">
        <w:rPr>
          <w:rFonts w:ascii="Calibri" w:hAnsi="Calibri" w:cs="Calibri"/>
          <w:bCs/>
          <w:sz w:val="22"/>
          <w:szCs w:val="22"/>
        </w:rPr>
        <w:t xml:space="preserve"> at </w:t>
      </w:r>
      <w:r w:rsidR="00E72D40">
        <w:rPr>
          <w:rFonts w:ascii="Calibri" w:hAnsi="Calibri" w:cs="Calibri"/>
          <w:bCs/>
          <w:sz w:val="22"/>
          <w:szCs w:val="22"/>
        </w:rPr>
        <w:t>31 Dec</w:t>
      </w:r>
      <w:r w:rsidR="00024785" w:rsidRPr="00024785">
        <w:rPr>
          <w:rFonts w:ascii="Calibri" w:hAnsi="Calibri" w:cs="Calibri"/>
          <w:bCs/>
          <w:sz w:val="22"/>
          <w:szCs w:val="22"/>
        </w:rPr>
        <w:t>ember 201</w:t>
      </w:r>
      <w:r w:rsidR="00E72D40">
        <w:rPr>
          <w:rFonts w:ascii="Calibri" w:hAnsi="Calibri" w:cs="Calibri"/>
          <w:bCs/>
          <w:sz w:val="22"/>
          <w:szCs w:val="22"/>
        </w:rPr>
        <w:t>5</w:t>
      </w:r>
      <w:r w:rsidRPr="00024785">
        <w:rPr>
          <w:rFonts w:ascii="Calibri" w:hAnsi="Calibri" w:cs="Calibri"/>
          <w:bCs/>
          <w:sz w:val="22"/>
          <w:szCs w:val="22"/>
        </w:rPr>
        <w:t xml:space="preserve"> against </w:t>
      </w:r>
      <w:r w:rsidR="000538AA" w:rsidRPr="00024785">
        <w:rPr>
          <w:rFonts w:ascii="Calibri" w:hAnsi="Calibri" w:cs="Calibri"/>
          <w:bCs/>
          <w:sz w:val="22"/>
          <w:szCs w:val="22"/>
        </w:rPr>
        <w:t xml:space="preserve">what was </w:t>
      </w:r>
      <w:r w:rsidRPr="00024785">
        <w:rPr>
          <w:rFonts w:ascii="Calibri" w:hAnsi="Calibri" w:cs="Calibri"/>
          <w:bCs/>
          <w:sz w:val="22"/>
          <w:szCs w:val="22"/>
        </w:rPr>
        <w:t xml:space="preserve">budgeted at </w:t>
      </w:r>
      <w:r w:rsidR="008365D7">
        <w:rPr>
          <w:rFonts w:ascii="Calibri" w:hAnsi="Calibri" w:cs="Calibri"/>
          <w:bCs/>
          <w:sz w:val="22"/>
          <w:szCs w:val="22"/>
        </w:rPr>
        <w:t>the 48</w:t>
      </w:r>
      <w:r w:rsidR="008365D7" w:rsidRPr="008365D7">
        <w:rPr>
          <w:rFonts w:ascii="Calibri" w:hAnsi="Calibri" w:cs="Calibri"/>
          <w:bCs/>
          <w:sz w:val="22"/>
          <w:szCs w:val="22"/>
          <w:vertAlign w:val="superscript"/>
        </w:rPr>
        <w:t>th</w:t>
      </w:r>
      <w:r w:rsidR="008365D7">
        <w:rPr>
          <w:rFonts w:ascii="Calibri" w:hAnsi="Calibri" w:cs="Calibri"/>
          <w:bCs/>
          <w:sz w:val="22"/>
          <w:szCs w:val="22"/>
        </w:rPr>
        <w:t xml:space="preserve"> </w:t>
      </w:r>
      <w:r w:rsidR="00BF074E">
        <w:rPr>
          <w:rFonts w:ascii="Calibri" w:hAnsi="Calibri" w:cs="Calibri"/>
          <w:bCs/>
          <w:sz w:val="22"/>
          <w:szCs w:val="22"/>
        </w:rPr>
        <w:t>M</w:t>
      </w:r>
      <w:r w:rsidR="008365D7">
        <w:rPr>
          <w:rFonts w:ascii="Calibri" w:hAnsi="Calibri" w:cs="Calibri"/>
          <w:bCs/>
          <w:sz w:val="22"/>
          <w:szCs w:val="22"/>
        </w:rPr>
        <w:t>eeting of the Standing Committee (</w:t>
      </w:r>
      <w:r w:rsidR="00E72D40">
        <w:rPr>
          <w:rFonts w:ascii="Calibri" w:hAnsi="Calibri" w:cs="Calibri"/>
          <w:bCs/>
          <w:sz w:val="22"/>
          <w:szCs w:val="22"/>
        </w:rPr>
        <w:t>SC48</w:t>
      </w:r>
      <w:r w:rsidR="008365D7">
        <w:rPr>
          <w:rFonts w:ascii="Calibri" w:hAnsi="Calibri" w:cs="Calibri"/>
          <w:bCs/>
          <w:sz w:val="22"/>
          <w:szCs w:val="22"/>
        </w:rPr>
        <w:t>)</w:t>
      </w:r>
      <w:r w:rsidRPr="00024785">
        <w:rPr>
          <w:rFonts w:ascii="Calibri" w:hAnsi="Calibri" w:cs="Calibri"/>
          <w:bCs/>
          <w:sz w:val="22"/>
          <w:szCs w:val="22"/>
        </w:rPr>
        <w:t>.</w:t>
      </w:r>
      <w:r w:rsidR="00FA3E1C" w:rsidRPr="00024785">
        <w:rPr>
          <w:rFonts w:ascii="Calibri" w:hAnsi="Calibri" w:cs="Calibri"/>
          <w:bCs/>
          <w:sz w:val="22"/>
          <w:szCs w:val="22"/>
        </w:rPr>
        <w:t xml:space="preserve"> These are </w:t>
      </w:r>
      <w:r w:rsidR="000538AA" w:rsidRPr="00024785">
        <w:rPr>
          <w:rFonts w:ascii="Calibri" w:hAnsi="Calibri" w:cs="Calibri"/>
          <w:bCs/>
          <w:sz w:val="22"/>
          <w:szCs w:val="22"/>
        </w:rPr>
        <w:t xml:space="preserve">presented </w:t>
      </w:r>
      <w:r w:rsidR="00FA3E1C" w:rsidRPr="00024785">
        <w:rPr>
          <w:rFonts w:ascii="Calibri" w:hAnsi="Calibri" w:cs="Calibri"/>
          <w:bCs/>
          <w:sz w:val="22"/>
          <w:szCs w:val="22"/>
        </w:rPr>
        <w:t xml:space="preserve">in </w:t>
      </w:r>
      <w:r w:rsidR="000538AA" w:rsidRPr="00024785">
        <w:rPr>
          <w:rFonts w:ascii="Calibri" w:hAnsi="Calibri" w:cs="Calibri"/>
          <w:bCs/>
          <w:sz w:val="22"/>
          <w:szCs w:val="22"/>
        </w:rPr>
        <w:t xml:space="preserve">the </w:t>
      </w:r>
      <w:r w:rsidR="00FA3E1C" w:rsidRPr="00024785">
        <w:rPr>
          <w:rFonts w:ascii="Calibri" w:hAnsi="Calibri" w:cs="Calibri"/>
          <w:bCs/>
          <w:sz w:val="22"/>
          <w:szCs w:val="22"/>
        </w:rPr>
        <w:t>Ramsar reporting format.</w:t>
      </w:r>
    </w:p>
    <w:p w:rsidR="00515D38" w:rsidRPr="0056312E" w:rsidRDefault="00515D38" w:rsidP="00842399">
      <w:pPr>
        <w:ind w:left="540" w:hanging="540"/>
        <w:rPr>
          <w:rFonts w:ascii="Calibri" w:hAnsi="Calibri" w:cs="Calibri"/>
          <w:b/>
          <w:bCs/>
          <w:sz w:val="22"/>
          <w:szCs w:val="22"/>
        </w:rPr>
      </w:pPr>
    </w:p>
    <w:p w:rsidR="00770D8F" w:rsidRPr="00314CBB" w:rsidRDefault="00770D8F" w:rsidP="00770D8F">
      <w:pPr>
        <w:ind w:left="540" w:hanging="540"/>
        <w:rPr>
          <w:rFonts w:ascii="Calibri" w:hAnsi="Calibri"/>
          <w:b/>
          <w:sz w:val="22"/>
          <w:lang w:val="en-GB"/>
        </w:rPr>
      </w:pPr>
      <w:r w:rsidRPr="00314CBB">
        <w:rPr>
          <w:rFonts w:ascii="Calibri" w:hAnsi="Calibri"/>
          <w:b/>
          <w:sz w:val="22"/>
          <w:lang w:val="en-GB"/>
        </w:rPr>
        <w:t>20</w:t>
      </w:r>
      <w:r>
        <w:rPr>
          <w:rFonts w:ascii="Calibri" w:hAnsi="Calibri"/>
          <w:b/>
          <w:sz w:val="22"/>
          <w:lang w:val="en-GB"/>
        </w:rPr>
        <w:t>14</w:t>
      </w:r>
      <w:r w:rsidRPr="00314CBB">
        <w:rPr>
          <w:rFonts w:ascii="Calibri" w:hAnsi="Calibri"/>
          <w:b/>
          <w:sz w:val="22"/>
          <w:lang w:val="en-GB"/>
        </w:rPr>
        <w:t xml:space="preserve"> </w:t>
      </w:r>
      <w:r>
        <w:rPr>
          <w:rFonts w:ascii="Calibri" w:hAnsi="Calibri"/>
          <w:b/>
          <w:sz w:val="22"/>
          <w:lang w:val="en-GB"/>
        </w:rPr>
        <w:t>Surplus Allocations</w:t>
      </w:r>
    </w:p>
    <w:p w:rsidR="00770D8F" w:rsidRPr="00314CBB" w:rsidRDefault="00770D8F" w:rsidP="00770D8F">
      <w:pPr>
        <w:ind w:left="426" w:hanging="426"/>
        <w:rPr>
          <w:rFonts w:ascii="Calibri" w:hAnsi="Calibri"/>
          <w:sz w:val="22"/>
        </w:rPr>
      </w:pPr>
    </w:p>
    <w:p w:rsidR="00770D8F" w:rsidRPr="00BC59B6" w:rsidRDefault="00770D8F" w:rsidP="00770D8F">
      <w:pPr>
        <w:numPr>
          <w:ilvl w:val="0"/>
          <w:numId w:val="2"/>
        </w:numPr>
        <w:ind w:left="426" w:hanging="426"/>
        <w:rPr>
          <w:rFonts w:ascii="Calibri" w:hAnsi="Calibri" w:cs="Calibri"/>
          <w:bCs/>
          <w:sz w:val="22"/>
          <w:szCs w:val="22"/>
          <w:lang w:val="en-GB"/>
        </w:rPr>
      </w:pPr>
      <w:r w:rsidRPr="00BC59B6">
        <w:rPr>
          <w:rFonts w:ascii="Calibri" w:hAnsi="Calibri" w:cs="Calibri"/>
          <w:sz w:val="22"/>
          <w:szCs w:val="22"/>
        </w:rPr>
        <w:t xml:space="preserve">Table </w:t>
      </w:r>
      <w:r w:rsidR="008A77C9">
        <w:rPr>
          <w:rFonts w:ascii="Calibri" w:hAnsi="Calibri" w:cs="Calibri"/>
          <w:sz w:val="22"/>
          <w:szCs w:val="22"/>
        </w:rPr>
        <w:t>1</w:t>
      </w:r>
      <w:r w:rsidRPr="00BC59B6">
        <w:rPr>
          <w:rFonts w:ascii="Calibri" w:hAnsi="Calibri" w:cs="Calibri"/>
          <w:sz w:val="22"/>
          <w:szCs w:val="22"/>
        </w:rPr>
        <w:t xml:space="preserve"> shows the 2014 surplus allocations approved </w:t>
      </w:r>
      <w:r w:rsidR="008365D7">
        <w:rPr>
          <w:rFonts w:ascii="Calibri" w:hAnsi="Calibri" w:cs="Calibri"/>
          <w:sz w:val="22"/>
          <w:szCs w:val="22"/>
        </w:rPr>
        <w:t>through</w:t>
      </w:r>
      <w:r w:rsidR="008365D7" w:rsidRPr="00BC59B6">
        <w:rPr>
          <w:rFonts w:ascii="Calibri" w:hAnsi="Calibri" w:cs="Calibri"/>
          <w:sz w:val="22"/>
          <w:szCs w:val="22"/>
        </w:rPr>
        <w:t xml:space="preserve"> </w:t>
      </w:r>
      <w:r w:rsidRPr="00BC59B6">
        <w:rPr>
          <w:rFonts w:ascii="Calibri" w:hAnsi="Calibri" w:cs="Calibri"/>
          <w:sz w:val="22"/>
          <w:szCs w:val="22"/>
        </w:rPr>
        <w:t>decision SC51-22</w:t>
      </w:r>
      <w:r>
        <w:rPr>
          <w:rFonts w:ascii="Calibri" w:hAnsi="Calibri" w:cs="Calibri"/>
          <w:sz w:val="22"/>
          <w:szCs w:val="22"/>
        </w:rPr>
        <w:t xml:space="preserve">, the actual expenditure </w:t>
      </w:r>
      <w:r w:rsidR="008365D7">
        <w:rPr>
          <w:rFonts w:ascii="Calibri" w:hAnsi="Calibri" w:cs="Calibri"/>
          <w:sz w:val="22"/>
          <w:szCs w:val="22"/>
        </w:rPr>
        <w:t xml:space="preserve">on </w:t>
      </w:r>
      <w:r>
        <w:rPr>
          <w:rFonts w:ascii="Calibri" w:hAnsi="Calibri" w:cs="Calibri"/>
          <w:sz w:val="22"/>
          <w:szCs w:val="22"/>
        </w:rPr>
        <w:t>each activity, and a</w:t>
      </w:r>
      <w:r w:rsidR="00812E6B">
        <w:rPr>
          <w:rFonts w:ascii="Calibri" w:hAnsi="Calibri" w:cs="Calibri"/>
          <w:sz w:val="22"/>
          <w:szCs w:val="22"/>
        </w:rPr>
        <w:t xml:space="preserve"> remaining balance</w:t>
      </w:r>
      <w:r>
        <w:rPr>
          <w:rFonts w:ascii="Calibri" w:hAnsi="Calibri" w:cs="Calibri"/>
          <w:sz w:val="22"/>
          <w:szCs w:val="22"/>
        </w:rPr>
        <w:t xml:space="preserve"> of CHF 6,000. </w:t>
      </w:r>
      <w:r w:rsidR="00812E6B">
        <w:rPr>
          <w:rFonts w:ascii="Calibri" w:hAnsi="Calibri" w:cs="Calibri"/>
          <w:sz w:val="22"/>
          <w:szCs w:val="22"/>
        </w:rPr>
        <w:t>A proposal for the use of the remaining balance is presented in paragraph 7.</w:t>
      </w:r>
    </w:p>
    <w:p w:rsidR="00770D8F" w:rsidRDefault="00770D8F" w:rsidP="00770D8F">
      <w:pPr>
        <w:rPr>
          <w:rFonts w:ascii="Calibri" w:hAnsi="Calibri" w:cs="Calibri"/>
          <w:sz w:val="22"/>
          <w:szCs w:val="22"/>
        </w:rPr>
      </w:pPr>
    </w:p>
    <w:p w:rsidR="00770D8F" w:rsidRPr="00BC59B6" w:rsidRDefault="00770D8F" w:rsidP="00770D8F">
      <w:pPr>
        <w:rPr>
          <w:rFonts w:ascii="Calibri" w:hAnsi="Calibri" w:cs="Calibri"/>
          <w:b/>
          <w:sz w:val="22"/>
          <w:szCs w:val="22"/>
        </w:rPr>
      </w:pPr>
      <w:r>
        <w:rPr>
          <w:rFonts w:ascii="Calibri" w:hAnsi="Calibri" w:cs="Calibri"/>
          <w:b/>
          <w:sz w:val="22"/>
          <w:szCs w:val="22"/>
        </w:rPr>
        <w:t>Table 1</w:t>
      </w:r>
      <w:r w:rsidR="008365D7">
        <w:rPr>
          <w:rFonts w:ascii="Calibri" w:hAnsi="Calibri" w:cs="Calibri"/>
          <w:b/>
          <w:sz w:val="22"/>
          <w:szCs w:val="22"/>
        </w:rPr>
        <w:t>:</w:t>
      </w:r>
      <w:r w:rsidR="00CF35B0">
        <w:rPr>
          <w:rFonts w:ascii="Calibri" w:hAnsi="Calibri" w:cs="Calibri"/>
          <w:b/>
          <w:sz w:val="22"/>
          <w:szCs w:val="22"/>
        </w:rPr>
        <w:t xml:space="preserve"> SC51 approved 2014 surplus allocations</w:t>
      </w:r>
      <w:r w:rsidR="007F7CC8">
        <w:rPr>
          <w:rFonts w:ascii="Calibri" w:hAnsi="Calibri" w:cs="Calibri"/>
          <w:b/>
          <w:sz w:val="22"/>
          <w:szCs w:val="22"/>
        </w:rPr>
        <w:t xml:space="preserve"> (‘000 CHF, includes rounding errors)</w:t>
      </w:r>
    </w:p>
    <w:tbl>
      <w:tblPr>
        <w:tblW w:w="8840" w:type="dxa"/>
        <w:tblInd w:w="93" w:type="dxa"/>
        <w:tblLook w:val="04A0" w:firstRow="1" w:lastRow="0" w:firstColumn="1" w:lastColumn="0" w:noHBand="0" w:noVBand="1"/>
      </w:tblPr>
      <w:tblGrid>
        <w:gridCol w:w="5520"/>
        <w:gridCol w:w="1120"/>
        <w:gridCol w:w="1100"/>
        <w:gridCol w:w="1100"/>
      </w:tblGrid>
      <w:tr w:rsidR="00770D8F" w:rsidRPr="00BC59B6" w:rsidTr="0044625F">
        <w:trPr>
          <w:trHeight w:val="288"/>
        </w:trPr>
        <w:tc>
          <w:tcPr>
            <w:tcW w:w="5520"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770D8F" w:rsidRPr="00BC59B6" w:rsidRDefault="00770D8F" w:rsidP="00CF35B0">
            <w:pP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SC51 Approved</w:t>
            </w:r>
          </w:p>
        </w:tc>
        <w:tc>
          <w:tcPr>
            <w:tcW w:w="1120" w:type="dxa"/>
            <w:tcBorders>
              <w:top w:val="single" w:sz="4" w:space="0" w:color="auto"/>
              <w:left w:val="nil"/>
              <w:bottom w:val="single" w:sz="4" w:space="0" w:color="auto"/>
              <w:right w:val="single" w:sz="4" w:space="0" w:color="auto"/>
            </w:tcBorders>
            <w:shd w:val="clear" w:color="000000" w:fill="8DB4E2"/>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c>
          <w:tcPr>
            <w:tcW w:w="1100" w:type="dxa"/>
            <w:tcBorders>
              <w:top w:val="single" w:sz="4" w:space="0" w:color="auto"/>
              <w:left w:val="nil"/>
              <w:bottom w:val="single" w:sz="4" w:space="0" w:color="auto"/>
              <w:right w:val="single" w:sz="4" w:space="0" w:color="auto"/>
            </w:tcBorders>
            <w:shd w:val="clear" w:color="000000" w:fill="8DB4E2"/>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c>
          <w:tcPr>
            <w:tcW w:w="1100" w:type="dxa"/>
            <w:tcBorders>
              <w:top w:val="single" w:sz="4" w:space="0" w:color="auto"/>
              <w:left w:val="nil"/>
              <w:bottom w:val="single" w:sz="4" w:space="0" w:color="auto"/>
              <w:right w:val="single" w:sz="4" w:space="0" w:color="auto"/>
            </w:tcBorders>
            <w:shd w:val="clear" w:color="000000" w:fill="8DB4E2"/>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r>
      <w:tr w:rsidR="00770D8F" w:rsidRPr="00BC59B6" w:rsidTr="0044625F">
        <w:trPr>
          <w:trHeight w:val="288"/>
        </w:trPr>
        <w:tc>
          <w:tcPr>
            <w:tcW w:w="5520" w:type="dxa"/>
            <w:tcBorders>
              <w:top w:val="nil"/>
              <w:left w:val="single" w:sz="4" w:space="0" w:color="auto"/>
              <w:bottom w:val="single" w:sz="4" w:space="0" w:color="auto"/>
              <w:right w:val="single" w:sz="4" w:space="0" w:color="auto"/>
            </w:tcBorders>
            <w:shd w:val="clear" w:color="000000" w:fill="8DB4E2"/>
            <w:noWrap/>
            <w:vAlign w:val="bottom"/>
            <w:hideMark/>
          </w:tcPr>
          <w:p w:rsidR="00770D8F" w:rsidRPr="00BC59B6" w:rsidRDefault="00770D8F" w:rsidP="0044625F">
            <w:pP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Description</w:t>
            </w:r>
          </w:p>
        </w:tc>
        <w:tc>
          <w:tcPr>
            <w:tcW w:w="1120" w:type="dxa"/>
            <w:tcBorders>
              <w:top w:val="nil"/>
              <w:left w:val="nil"/>
              <w:bottom w:val="single" w:sz="4" w:space="0" w:color="auto"/>
              <w:right w:val="single" w:sz="4" w:space="0" w:color="auto"/>
            </w:tcBorders>
            <w:shd w:val="clear" w:color="000000" w:fill="8DB4E2"/>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Budget</w:t>
            </w:r>
          </w:p>
        </w:tc>
        <w:tc>
          <w:tcPr>
            <w:tcW w:w="1100" w:type="dxa"/>
            <w:tcBorders>
              <w:top w:val="nil"/>
              <w:left w:val="nil"/>
              <w:bottom w:val="single" w:sz="4" w:space="0" w:color="auto"/>
              <w:right w:val="single" w:sz="4" w:space="0" w:color="auto"/>
            </w:tcBorders>
            <w:shd w:val="clear" w:color="000000" w:fill="8DB4E2"/>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Actual</w:t>
            </w:r>
          </w:p>
        </w:tc>
        <w:tc>
          <w:tcPr>
            <w:tcW w:w="1100" w:type="dxa"/>
            <w:tcBorders>
              <w:top w:val="nil"/>
              <w:left w:val="nil"/>
              <w:bottom w:val="single" w:sz="4" w:space="0" w:color="auto"/>
              <w:right w:val="single" w:sz="4" w:space="0" w:color="auto"/>
            </w:tcBorders>
            <w:shd w:val="clear" w:color="000000" w:fill="8DB4E2"/>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Variance</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Core Surplus</w:t>
            </w:r>
          </w:p>
        </w:tc>
        <w:tc>
          <w:tcPr>
            <w:tcW w:w="1120" w:type="dxa"/>
            <w:tcBorders>
              <w:top w:val="nil"/>
              <w:left w:val="single" w:sz="4" w:space="0" w:color="auto"/>
              <w:bottom w:val="nil"/>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459</w:t>
            </w:r>
          </w:p>
        </w:tc>
        <w:tc>
          <w:tcPr>
            <w:tcW w:w="1100" w:type="dxa"/>
            <w:tcBorders>
              <w:top w:val="nil"/>
              <w:left w:val="nil"/>
              <w:bottom w:val="nil"/>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459</w:t>
            </w:r>
          </w:p>
        </w:tc>
        <w:tc>
          <w:tcPr>
            <w:tcW w:w="1100" w:type="dxa"/>
            <w:tcBorders>
              <w:top w:val="nil"/>
              <w:left w:val="nil"/>
              <w:bottom w:val="nil"/>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0</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Committed:</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cente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 </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ENB (COP12 support)</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50</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685D5C">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4</w:t>
            </w:r>
            <w:r w:rsidR="00685D5C">
              <w:rPr>
                <w:rFonts w:ascii="Calibri" w:eastAsia="Times New Roman" w:hAnsi="Calibri"/>
                <w:color w:val="000000"/>
                <w:sz w:val="22"/>
                <w:szCs w:val="22"/>
                <w:lang w:val="en-GB" w:eastAsia="en-GB"/>
              </w:rPr>
              <w:t>9</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685D5C">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w:t>
            </w:r>
            <w:r w:rsidR="00685D5C">
              <w:rPr>
                <w:rFonts w:ascii="Calibri" w:eastAsia="Times New Roman" w:hAnsi="Calibri"/>
                <w:color w:val="000000"/>
                <w:sz w:val="22"/>
                <w:szCs w:val="22"/>
                <w:lang w:val="en-GB" w:eastAsia="en-GB"/>
              </w:rPr>
              <w:t>1</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Ramsar Advisory Missions (Nicaragua)</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25</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25</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0</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Staff provision</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94</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94</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0</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8365D7" w:rsidP="008365D7">
            <w:pPr>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 xml:space="preserve">COP12 </w:t>
            </w:r>
            <w:r w:rsidR="005C689F">
              <w:rPr>
                <w:rFonts w:ascii="Calibri" w:eastAsia="Times New Roman" w:hAnsi="Calibri"/>
                <w:color w:val="000000"/>
                <w:sz w:val="22"/>
                <w:szCs w:val="22"/>
                <w:lang w:val="en-GB" w:eastAsia="en-GB"/>
              </w:rPr>
              <w:t>s</w:t>
            </w:r>
            <w:r w:rsidR="00770D8F" w:rsidRPr="00BC59B6">
              <w:rPr>
                <w:rFonts w:ascii="Calibri" w:eastAsia="Times New Roman" w:hAnsi="Calibri"/>
                <w:color w:val="000000"/>
                <w:sz w:val="22"/>
                <w:szCs w:val="22"/>
                <w:lang w:val="en-GB" w:eastAsia="en-GB"/>
              </w:rPr>
              <w:t>ponsor</w:t>
            </w:r>
            <w:r>
              <w:rPr>
                <w:rFonts w:ascii="Calibri" w:eastAsia="Times New Roman" w:hAnsi="Calibri"/>
                <w:color w:val="000000"/>
                <w:sz w:val="22"/>
                <w:szCs w:val="22"/>
                <w:lang w:val="en-GB" w:eastAsia="en-GB"/>
              </w:rPr>
              <w:t>ed</w:t>
            </w:r>
            <w:r w:rsidR="00770D8F" w:rsidRPr="00BC59B6">
              <w:rPr>
                <w:rFonts w:ascii="Calibri" w:eastAsia="Times New Roman" w:hAnsi="Calibri"/>
                <w:color w:val="000000"/>
                <w:sz w:val="22"/>
                <w:szCs w:val="22"/>
                <w:lang w:val="en-GB" w:eastAsia="en-GB"/>
              </w:rPr>
              <w:t xml:space="preserve"> </w:t>
            </w:r>
            <w:r>
              <w:rPr>
                <w:rFonts w:ascii="Calibri" w:eastAsia="Times New Roman" w:hAnsi="Calibri"/>
                <w:color w:val="000000"/>
                <w:sz w:val="22"/>
                <w:szCs w:val="22"/>
                <w:lang w:val="en-GB" w:eastAsia="en-GB"/>
              </w:rPr>
              <w:t>d</w:t>
            </w:r>
            <w:r w:rsidRPr="00BC59B6">
              <w:rPr>
                <w:rFonts w:ascii="Calibri" w:eastAsia="Times New Roman" w:hAnsi="Calibri"/>
                <w:color w:val="000000"/>
                <w:sz w:val="22"/>
                <w:szCs w:val="22"/>
                <w:lang w:val="en-GB" w:eastAsia="en-GB"/>
              </w:rPr>
              <w:t xml:space="preserve">elegate </w:t>
            </w:r>
            <w:r>
              <w:rPr>
                <w:rFonts w:ascii="Calibri" w:eastAsia="Times New Roman" w:hAnsi="Calibri"/>
                <w:color w:val="000000"/>
                <w:sz w:val="22"/>
                <w:szCs w:val="22"/>
                <w:lang w:val="en-GB" w:eastAsia="en-GB"/>
              </w:rPr>
              <w:t>s</w:t>
            </w:r>
            <w:r w:rsidRPr="00BC59B6">
              <w:rPr>
                <w:rFonts w:ascii="Calibri" w:eastAsia="Times New Roman" w:hAnsi="Calibri"/>
                <w:color w:val="000000"/>
                <w:sz w:val="22"/>
                <w:szCs w:val="22"/>
                <w:lang w:val="en-GB" w:eastAsia="en-GB"/>
              </w:rPr>
              <w:t xml:space="preserve">upport </w:t>
            </w:r>
            <w:r w:rsidR="00770D8F" w:rsidRPr="00BC59B6">
              <w:rPr>
                <w:rFonts w:ascii="Calibri" w:eastAsia="Times New Roman" w:hAnsi="Calibri"/>
                <w:color w:val="000000"/>
                <w:sz w:val="22"/>
                <w:szCs w:val="22"/>
                <w:lang w:val="en-GB" w:eastAsia="en-GB"/>
              </w:rPr>
              <w:t>(reserve fund repayment)</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125</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129</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4</w:t>
            </w:r>
          </w:p>
        </w:tc>
      </w:tr>
      <w:tr w:rsidR="00770D8F" w:rsidRPr="00BC59B6" w:rsidTr="0044625F">
        <w:trPr>
          <w:trHeight w:val="324"/>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C171D3">
            <w:pPr>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SC51, 23-27</w:t>
            </w:r>
            <w:r w:rsidR="00C171D3">
              <w:rPr>
                <w:rFonts w:ascii="Calibri" w:eastAsia="Times New Roman" w:hAnsi="Calibri"/>
                <w:color w:val="000000"/>
                <w:sz w:val="22"/>
                <w:szCs w:val="22"/>
                <w:lang w:val="en-GB" w:eastAsia="en-GB"/>
              </w:rPr>
              <w:t xml:space="preserve"> November</w:t>
            </w:r>
            <w:r w:rsidRPr="00BC59B6">
              <w:rPr>
                <w:rFonts w:ascii="Calibri" w:eastAsia="Times New Roman" w:hAnsi="Calibri"/>
                <w:color w:val="000000"/>
                <w:sz w:val="22"/>
                <w:szCs w:val="22"/>
                <w:lang w:val="en-GB" w:eastAsia="en-GB"/>
              </w:rPr>
              <w:t xml:space="preserve"> 2015</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155</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567B3E">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w:t>
            </w:r>
            <w:r w:rsidR="00567B3E">
              <w:rPr>
                <w:rFonts w:ascii="Calibri" w:eastAsia="Times New Roman" w:hAnsi="Calibri"/>
                <w:color w:val="000000"/>
                <w:sz w:val="22"/>
                <w:szCs w:val="22"/>
                <w:lang w:val="en-GB" w:eastAsia="en-GB"/>
              </w:rPr>
              <w:t>4</w:t>
            </w:r>
            <w:r w:rsidRPr="00BC59B6">
              <w:rPr>
                <w:rFonts w:ascii="Calibri" w:eastAsia="Times New Roman" w:hAnsi="Calibri"/>
                <w:color w:val="000000"/>
                <w:sz w:val="22"/>
                <w:szCs w:val="22"/>
                <w:lang w:val="en-GB" w:eastAsia="en-GB"/>
              </w:rPr>
              <w:t>6</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567B3E">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-9</w:t>
            </w:r>
          </w:p>
        </w:tc>
      </w:tr>
      <w:tr w:rsidR="00770D8F" w:rsidRPr="00BC59B6" w:rsidTr="0044625F">
        <w:trPr>
          <w:trHeight w:val="288"/>
        </w:trPr>
        <w:tc>
          <w:tcPr>
            <w:tcW w:w="5520" w:type="dxa"/>
            <w:tcBorders>
              <w:top w:val="nil"/>
              <w:left w:val="single" w:sz="4" w:space="0" w:color="auto"/>
              <w:bottom w:val="nil"/>
              <w:right w:val="nil"/>
            </w:tcBorders>
            <w:shd w:val="clear" w:color="auto" w:fill="auto"/>
            <w:noWrap/>
            <w:vAlign w:val="bottom"/>
            <w:hideMark/>
          </w:tcPr>
          <w:p w:rsidR="00770D8F" w:rsidRPr="00BC59B6" w:rsidRDefault="00770D8F" w:rsidP="0044625F">
            <w:pPr>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Support for website development</w:t>
            </w:r>
          </w:p>
        </w:tc>
        <w:tc>
          <w:tcPr>
            <w:tcW w:w="1120" w:type="dxa"/>
            <w:tcBorders>
              <w:top w:val="nil"/>
              <w:left w:val="single" w:sz="4" w:space="0" w:color="auto"/>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10</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10</w:t>
            </w:r>
          </w:p>
        </w:tc>
        <w:tc>
          <w:tcPr>
            <w:tcW w:w="1100" w:type="dxa"/>
            <w:tcBorders>
              <w:top w:val="nil"/>
              <w:left w:val="nil"/>
              <w:bottom w:val="nil"/>
              <w:right w:val="single" w:sz="4" w:space="0" w:color="auto"/>
            </w:tcBorders>
            <w:shd w:val="clear" w:color="auto" w:fill="auto"/>
            <w:noWrap/>
            <w:vAlign w:val="bottom"/>
            <w:hideMark/>
          </w:tcPr>
          <w:p w:rsidR="00770D8F" w:rsidRPr="00BC59B6" w:rsidRDefault="00770D8F" w:rsidP="0044625F">
            <w:pPr>
              <w:jc w:val="right"/>
              <w:rPr>
                <w:rFonts w:ascii="Calibri" w:eastAsia="Times New Roman" w:hAnsi="Calibri"/>
                <w:color w:val="000000"/>
                <w:sz w:val="22"/>
                <w:szCs w:val="22"/>
                <w:lang w:val="en-GB" w:eastAsia="en-GB"/>
              </w:rPr>
            </w:pPr>
            <w:r w:rsidRPr="00BC59B6">
              <w:rPr>
                <w:rFonts w:ascii="Calibri" w:eastAsia="Times New Roman" w:hAnsi="Calibri"/>
                <w:color w:val="000000"/>
                <w:sz w:val="22"/>
                <w:szCs w:val="22"/>
                <w:lang w:val="en-GB" w:eastAsia="en-GB"/>
              </w:rPr>
              <w:t>0</w:t>
            </w:r>
          </w:p>
        </w:tc>
      </w:tr>
      <w:tr w:rsidR="00770D8F" w:rsidRPr="00BC59B6" w:rsidTr="0044625F">
        <w:trPr>
          <w:trHeight w:val="300"/>
        </w:trPr>
        <w:tc>
          <w:tcPr>
            <w:tcW w:w="5520" w:type="dxa"/>
            <w:tcBorders>
              <w:top w:val="nil"/>
              <w:left w:val="single" w:sz="4" w:space="0" w:color="auto"/>
              <w:bottom w:val="single" w:sz="4" w:space="0" w:color="auto"/>
              <w:right w:val="nil"/>
            </w:tcBorders>
            <w:shd w:val="clear" w:color="auto" w:fill="auto"/>
            <w:noWrap/>
            <w:vAlign w:val="bottom"/>
            <w:hideMark/>
          </w:tcPr>
          <w:p w:rsidR="00770D8F" w:rsidRPr="00BC59B6" w:rsidRDefault="00770D8F" w:rsidP="0044625F">
            <w:pPr>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Remaining Balance</w:t>
            </w:r>
          </w:p>
        </w:tc>
        <w:tc>
          <w:tcPr>
            <w:tcW w:w="112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0</w:t>
            </w:r>
          </w:p>
        </w:tc>
        <w:tc>
          <w:tcPr>
            <w:tcW w:w="1100" w:type="dxa"/>
            <w:tcBorders>
              <w:top w:val="single" w:sz="4" w:space="0" w:color="auto"/>
              <w:left w:val="nil"/>
              <w:bottom w:val="double" w:sz="6" w:space="0" w:color="auto"/>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6</w:t>
            </w:r>
          </w:p>
        </w:tc>
        <w:tc>
          <w:tcPr>
            <w:tcW w:w="1100" w:type="dxa"/>
            <w:tcBorders>
              <w:top w:val="single" w:sz="4" w:space="0" w:color="auto"/>
              <w:left w:val="nil"/>
              <w:bottom w:val="double" w:sz="6" w:space="0" w:color="auto"/>
              <w:right w:val="single" w:sz="4" w:space="0" w:color="auto"/>
            </w:tcBorders>
            <w:shd w:val="clear" w:color="000000" w:fill="D9D9D9"/>
            <w:noWrap/>
            <w:vAlign w:val="bottom"/>
            <w:hideMark/>
          </w:tcPr>
          <w:p w:rsidR="00770D8F" w:rsidRPr="00BC59B6" w:rsidRDefault="00770D8F" w:rsidP="0044625F">
            <w:pPr>
              <w:jc w:val="right"/>
              <w:rPr>
                <w:rFonts w:ascii="Calibri" w:eastAsia="Times New Roman" w:hAnsi="Calibri"/>
                <w:b/>
                <w:bCs/>
                <w:color w:val="000000"/>
                <w:sz w:val="22"/>
                <w:szCs w:val="22"/>
                <w:lang w:val="en-GB" w:eastAsia="en-GB"/>
              </w:rPr>
            </w:pPr>
            <w:r w:rsidRPr="00BC59B6">
              <w:rPr>
                <w:rFonts w:ascii="Calibri" w:eastAsia="Times New Roman" w:hAnsi="Calibri"/>
                <w:b/>
                <w:bCs/>
                <w:color w:val="000000"/>
                <w:sz w:val="22"/>
                <w:szCs w:val="22"/>
                <w:lang w:val="en-GB" w:eastAsia="en-GB"/>
              </w:rPr>
              <w:t>6</w:t>
            </w:r>
          </w:p>
        </w:tc>
      </w:tr>
    </w:tbl>
    <w:p w:rsidR="00770D8F" w:rsidRDefault="00770D8F" w:rsidP="00842399">
      <w:pPr>
        <w:rPr>
          <w:rFonts w:ascii="Calibri" w:hAnsi="Calibri" w:cs="Calibri"/>
          <w:b/>
          <w:bCs/>
          <w:sz w:val="22"/>
          <w:szCs w:val="22"/>
          <w:lang w:val="en-GB"/>
        </w:rPr>
      </w:pPr>
    </w:p>
    <w:p w:rsidR="00D31D60" w:rsidRDefault="00D31D60" w:rsidP="00842399">
      <w:pPr>
        <w:rPr>
          <w:rFonts w:ascii="Calibri" w:hAnsi="Calibri" w:cs="Calibri"/>
          <w:b/>
          <w:bCs/>
          <w:sz w:val="22"/>
          <w:szCs w:val="22"/>
          <w:lang w:val="en-GB"/>
        </w:rPr>
      </w:pPr>
    </w:p>
    <w:p w:rsidR="00C63097" w:rsidRDefault="00C63097">
      <w:pPr>
        <w:rPr>
          <w:rFonts w:ascii="Calibri" w:hAnsi="Calibri" w:cs="Calibri"/>
          <w:b/>
          <w:bCs/>
          <w:sz w:val="22"/>
          <w:szCs w:val="22"/>
        </w:rPr>
      </w:pPr>
      <w:r>
        <w:rPr>
          <w:rFonts w:ascii="Calibri" w:hAnsi="Calibri" w:cs="Calibri"/>
          <w:b/>
          <w:bCs/>
          <w:sz w:val="22"/>
          <w:szCs w:val="22"/>
        </w:rPr>
        <w:br w:type="page"/>
      </w:r>
    </w:p>
    <w:p w:rsidR="009966E8" w:rsidRPr="00E50BEF" w:rsidRDefault="00E50BEF" w:rsidP="00842399">
      <w:pPr>
        <w:rPr>
          <w:rFonts w:ascii="Calibri" w:hAnsi="Calibri" w:cs="Calibri"/>
          <w:b/>
          <w:bCs/>
          <w:sz w:val="22"/>
          <w:szCs w:val="22"/>
        </w:rPr>
      </w:pPr>
      <w:r>
        <w:rPr>
          <w:rFonts w:ascii="Calibri" w:hAnsi="Calibri" w:cs="Calibri"/>
          <w:b/>
          <w:bCs/>
          <w:sz w:val="22"/>
          <w:szCs w:val="22"/>
        </w:rPr>
        <w:lastRenderedPageBreak/>
        <w:t>201</w:t>
      </w:r>
      <w:r w:rsidR="00E72D40">
        <w:rPr>
          <w:rFonts w:ascii="Calibri" w:hAnsi="Calibri" w:cs="Calibri"/>
          <w:b/>
          <w:bCs/>
          <w:sz w:val="22"/>
          <w:szCs w:val="22"/>
        </w:rPr>
        <w:t>5</w:t>
      </w:r>
      <w:r>
        <w:rPr>
          <w:rFonts w:ascii="Calibri" w:hAnsi="Calibri" w:cs="Calibri"/>
          <w:b/>
          <w:bCs/>
          <w:sz w:val="22"/>
          <w:szCs w:val="22"/>
        </w:rPr>
        <w:t xml:space="preserve"> </w:t>
      </w:r>
      <w:r w:rsidR="00B650F1" w:rsidRPr="00E50BEF">
        <w:rPr>
          <w:rFonts w:ascii="Calibri" w:hAnsi="Calibri" w:cs="Calibri"/>
          <w:b/>
          <w:bCs/>
          <w:sz w:val="22"/>
          <w:szCs w:val="22"/>
        </w:rPr>
        <w:t>r</w:t>
      </w:r>
      <w:r w:rsidR="009966E8" w:rsidRPr="00E50BEF">
        <w:rPr>
          <w:rFonts w:ascii="Calibri" w:hAnsi="Calibri" w:cs="Calibri"/>
          <w:b/>
          <w:bCs/>
          <w:sz w:val="22"/>
          <w:szCs w:val="22"/>
        </w:rPr>
        <w:t>esults</w:t>
      </w:r>
      <w:r w:rsidR="00752371" w:rsidRPr="00E50BEF">
        <w:rPr>
          <w:rFonts w:ascii="Calibri" w:hAnsi="Calibri" w:cs="Calibri"/>
          <w:b/>
          <w:bCs/>
          <w:sz w:val="22"/>
          <w:szCs w:val="22"/>
        </w:rPr>
        <w:t xml:space="preserve"> – </w:t>
      </w:r>
      <w:r w:rsidR="00B650F1" w:rsidRPr="00E50BEF">
        <w:rPr>
          <w:rFonts w:ascii="Calibri" w:hAnsi="Calibri" w:cs="Calibri"/>
          <w:b/>
          <w:bCs/>
          <w:sz w:val="22"/>
          <w:szCs w:val="22"/>
        </w:rPr>
        <w:t>c</w:t>
      </w:r>
      <w:r w:rsidR="00752371" w:rsidRPr="00E50BEF">
        <w:rPr>
          <w:rFonts w:ascii="Calibri" w:hAnsi="Calibri" w:cs="Calibri"/>
          <w:b/>
          <w:bCs/>
          <w:sz w:val="22"/>
          <w:szCs w:val="22"/>
        </w:rPr>
        <w:t>ore</w:t>
      </w:r>
      <w:r w:rsidR="00116AEA" w:rsidRPr="00E50BEF">
        <w:rPr>
          <w:rFonts w:ascii="Calibri" w:hAnsi="Calibri" w:cs="Calibri"/>
          <w:b/>
          <w:bCs/>
          <w:sz w:val="22"/>
          <w:szCs w:val="22"/>
        </w:rPr>
        <w:t xml:space="preserve"> </w:t>
      </w:r>
      <w:r w:rsidR="00C171D3">
        <w:rPr>
          <w:rFonts w:ascii="Calibri" w:hAnsi="Calibri" w:cs="Calibri"/>
          <w:b/>
          <w:bCs/>
          <w:sz w:val="22"/>
          <w:szCs w:val="22"/>
        </w:rPr>
        <w:t>budget</w:t>
      </w:r>
    </w:p>
    <w:p w:rsidR="009966E8" w:rsidRPr="0056312E" w:rsidRDefault="009966E8" w:rsidP="00842399">
      <w:pPr>
        <w:ind w:left="540" w:hanging="540"/>
        <w:rPr>
          <w:rFonts w:ascii="Calibri" w:hAnsi="Calibri" w:cs="Calibri"/>
          <w:bCs/>
          <w:sz w:val="22"/>
          <w:szCs w:val="22"/>
        </w:rPr>
      </w:pPr>
    </w:p>
    <w:p w:rsidR="002464F2" w:rsidRDefault="00024785" w:rsidP="00842399">
      <w:pPr>
        <w:pStyle w:val="ListParagraph"/>
        <w:numPr>
          <w:ilvl w:val="0"/>
          <w:numId w:val="2"/>
        </w:numPr>
        <w:ind w:left="426" w:hanging="426"/>
        <w:rPr>
          <w:rFonts w:ascii="Calibri" w:hAnsi="Calibri" w:cs="Calibri"/>
          <w:bCs/>
          <w:sz w:val="22"/>
          <w:szCs w:val="22"/>
        </w:rPr>
      </w:pPr>
      <w:r w:rsidRPr="003D1A74">
        <w:rPr>
          <w:rFonts w:ascii="Calibri" w:hAnsi="Calibri" w:cs="Calibri"/>
          <w:bCs/>
          <w:sz w:val="22"/>
          <w:szCs w:val="22"/>
        </w:rPr>
        <w:t>Note: the financial statements are as of 3</w:t>
      </w:r>
      <w:r w:rsidR="00E72D40">
        <w:rPr>
          <w:rFonts w:ascii="Calibri" w:hAnsi="Calibri" w:cs="Calibri"/>
          <w:bCs/>
          <w:sz w:val="22"/>
          <w:szCs w:val="22"/>
        </w:rPr>
        <w:t>1</w:t>
      </w:r>
      <w:r w:rsidRPr="003D1A74">
        <w:rPr>
          <w:rFonts w:ascii="Calibri" w:hAnsi="Calibri" w:cs="Calibri"/>
          <w:bCs/>
          <w:sz w:val="22"/>
          <w:szCs w:val="22"/>
        </w:rPr>
        <w:t xml:space="preserve"> </w:t>
      </w:r>
      <w:r w:rsidR="00E72D40">
        <w:rPr>
          <w:rFonts w:ascii="Calibri" w:hAnsi="Calibri" w:cs="Calibri"/>
          <w:bCs/>
          <w:sz w:val="22"/>
          <w:szCs w:val="22"/>
        </w:rPr>
        <w:t>Dec</w:t>
      </w:r>
      <w:r w:rsidRPr="003D1A74">
        <w:rPr>
          <w:rFonts w:ascii="Calibri" w:hAnsi="Calibri" w:cs="Calibri"/>
          <w:bCs/>
          <w:sz w:val="22"/>
          <w:szCs w:val="22"/>
        </w:rPr>
        <w:t>ember 201</w:t>
      </w:r>
      <w:r w:rsidR="00E72D40">
        <w:rPr>
          <w:rFonts w:ascii="Calibri" w:hAnsi="Calibri" w:cs="Calibri"/>
          <w:bCs/>
          <w:sz w:val="22"/>
          <w:szCs w:val="22"/>
        </w:rPr>
        <w:t>5</w:t>
      </w:r>
      <w:r w:rsidRPr="003D1A74">
        <w:rPr>
          <w:rFonts w:ascii="Calibri" w:hAnsi="Calibri" w:cs="Calibri"/>
          <w:bCs/>
          <w:sz w:val="22"/>
          <w:szCs w:val="22"/>
        </w:rPr>
        <w:t>.</w:t>
      </w:r>
      <w:r w:rsidR="000B330F">
        <w:rPr>
          <w:rFonts w:ascii="Calibri" w:hAnsi="Calibri" w:cs="Calibri"/>
          <w:bCs/>
          <w:sz w:val="22"/>
          <w:szCs w:val="22"/>
        </w:rPr>
        <w:t xml:space="preserve"> </w:t>
      </w:r>
    </w:p>
    <w:p w:rsidR="002464F2" w:rsidRDefault="002464F2" w:rsidP="00842399">
      <w:pPr>
        <w:pStyle w:val="ListParagraph"/>
        <w:ind w:left="426" w:hanging="426"/>
        <w:rPr>
          <w:rFonts w:ascii="Calibri" w:hAnsi="Calibri" w:cs="Calibri"/>
          <w:bCs/>
          <w:sz w:val="22"/>
          <w:szCs w:val="22"/>
        </w:rPr>
      </w:pPr>
    </w:p>
    <w:p w:rsidR="00161CB8" w:rsidRDefault="009C5E7D" w:rsidP="00842399">
      <w:pPr>
        <w:pStyle w:val="ListParagraph"/>
        <w:numPr>
          <w:ilvl w:val="0"/>
          <w:numId w:val="2"/>
        </w:numPr>
        <w:ind w:left="426" w:hanging="426"/>
        <w:rPr>
          <w:rFonts w:ascii="Calibri" w:hAnsi="Calibri" w:cs="Calibri"/>
          <w:bCs/>
          <w:sz w:val="22"/>
          <w:szCs w:val="22"/>
        </w:rPr>
      </w:pPr>
      <w:r w:rsidRPr="00450ADD">
        <w:rPr>
          <w:rFonts w:ascii="Calibri" w:hAnsi="Calibri" w:cs="Calibri"/>
          <w:bCs/>
          <w:sz w:val="22"/>
          <w:szCs w:val="22"/>
        </w:rPr>
        <w:t xml:space="preserve">The </w:t>
      </w:r>
      <w:r w:rsidR="00127C82" w:rsidRPr="00450ADD">
        <w:rPr>
          <w:rFonts w:ascii="Calibri" w:hAnsi="Calibri" w:cs="Calibri"/>
          <w:bCs/>
          <w:sz w:val="22"/>
          <w:szCs w:val="22"/>
        </w:rPr>
        <w:t>201</w:t>
      </w:r>
      <w:r w:rsidR="00E72D40" w:rsidRPr="00450ADD">
        <w:rPr>
          <w:rFonts w:ascii="Calibri" w:hAnsi="Calibri" w:cs="Calibri"/>
          <w:bCs/>
          <w:sz w:val="22"/>
          <w:szCs w:val="22"/>
        </w:rPr>
        <w:t>5</w:t>
      </w:r>
      <w:r w:rsidR="00127C82" w:rsidRPr="00450ADD">
        <w:rPr>
          <w:rFonts w:ascii="Calibri" w:hAnsi="Calibri" w:cs="Calibri"/>
          <w:bCs/>
          <w:sz w:val="22"/>
          <w:szCs w:val="22"/>
        </w:rPr>
        <w:t xml:space="preserve"> </w:t>
      </w:r>
      <w:r w:rsidR="00FF69BF" w:rsidRPr="00450ADD">
        <w:rPr>
          <w:rFonts w:ascii="Calibri" w:hAnsi="Calibri" w:cs="Calibri"/>
          <w:bCs/>
          <w:sz w:val="22"/>
          <w:szCs w:val="22"/>
        </w:rPr>
        <w:t xml:space="preserve">core </w:t>
      </w:r>
      <w:r w:rsidR="00824F2C" w:rsidRPr="00450ADD">
        <w:rPr>
          <w:rFonts w:ascii="Calibri" w:hAnsi="Calibri" w:cs="Calibri"/>
          <w:bCs/>
          <w:sz w:val="22"/>
          <w:szCs w:val="22"/>
        </w:rPr>
        <w:t xml:space="preserve">budget summary </w:t>
      </w:r>
      <w:r w:rsidR="00A84835" w:rsidRPr="00450ADD">
        <w:rPr>
          <w:rFonts w:ascii="Calibri" w:hAnsi="Calibri" w:cs="Calibri"/>
          <w:bCs/>
          <w:sz w:val="22"/>
          <w:szCs w:val="22"/>
        </w:rPr>
        <w:t xml:space="preserve">is attached </w:t>
      </w:r>
      <w:r w:rsidR="00E820C1" w:rsidRPr="00450ADD">
        <w:rPr>
          <w:rFonts w:ascii="Calibri" w:hAnsi="Calibri" w:cs="Calibri"/>
          <w:bCs/>
          <w:sz w:val="22"/>
          <w:szCs w:val="22"/>
        </w:rPr>
        <w:t xml:space="preserve">at </w:t>
      </w:r>
      <w:r w:rsidR="00824F2C" w:rsidRPr="00450ADD">
        <w:rPr>
          <w:rFonts w:ascii="Calibri" w:hAnsi="Calibri" w:cs="Calibri"/>
          <w:bCs/>
          <w:sz w:val="22"/>
          <w:szCs w:val="22"/>
        </w:rPr>
        <w:t xml:space="preserve">Annex </w:t>
      </w:r>
      <w:r w:rsidR="008A77C9" w:rsidRPr="00450ADD">
        <w:rPr>
          <w:rFonts w:ascii="Calibri" w:hAnsi="Calibri" w:cs="Calibri"/>
          <w:bCs/>
          <w:sz w:val="22"/>
          <w:szCs w:val="22"/>
        </w:rPr>
        <w:t>2</w:t>
      </w:r>
      <w:r w:rsidR="00824F2C" w:rsidRPr="00450ADD">
        <w:rPr>
          <w:rFonts w:ascii="Calibri" w:hAnsi="Calibri" w:cs="Calibri"/>
          <w:bCs/>
          <w:sz w:val="22"/>
          <w:szCs w:val="22"/>
        </w:rPr>
        <w:t>.</w:t>
      </w:r>
      <w:r w:rsidR="000538AA" w:rsidRPr="00450ADD">
        <w:rPr>
          <w:rFonts w:ascii="Calibri" w:hAnsi="Calibri" w:cs="Calibri"/>
          <w:bCs/>
          <w:sz w:val="22"/>
          <w:szCs w:val="22"/>
        </w:rPr>
        <w:t xml:space="preserve"> </w:t>
      </w:r>
      <w:r w:rsidR="00146DBD" w:rsidRPr="00450ADD">
        <w:rPr>
          <w:rFonts w:ascii="Calibri" w:hAnsi="Calibri" w:cs="Calibri"/>
          <w:bCs/>
          <w:sz w:val="22"/>
          <w:szCs w:val="22"/>
        </w:rPr>
        <w:t>It</w:t>
      </w:r>
      <w:r w:rsidR="00BD0521" w:rsidRPr="00450ADD">
        <w:rPr>
          <w:rFonts w:ascii="Calibri" w:hAnsi="Calibri" w:cs="Calibri"/>
          <w:bCs/>
          <w:sz w:val="22"/>
          <w:szCs w:val="22"/>
        </w:rPr>
        <w:t xml:space="preserve"> shows</w:t>
      </w:r>
      <w:r w:rsidR="00BD0521">
        <w:rPr>
          <w:rFonts w:ascii="Calibri" w:hAnsi="Calibri" w:cs="Calibri"/>
          <w:bCs/>
          <w:sz w:val="22"/>
          <w:szCs w:val="22"/>
        </w:rPr>
        <w:t xml:space="preserve"> approved budget, actual</w:t>
      </w:r>
      <w:r w:rsidR="00C171D3">
        <w:rPr>
          <w:rFonts w:ascii="Calibri" w:hAnsi="Calibri" w:cs="Calibri"/>
          <w:bCs/>
          <w:sz w:val="22"/>
          <w:szCs w:val="22"/>
        </w:rPr>
        <w:t xml:space="preserve"> income and expenditure,</w:t>
      </w:r>
      <w:r w:rsidR="00E72D40">
        <w:rPr>
          <w:rFonts w:ascii="Calibri" w:hAnsi="Calibri" w:cs="Calibri"/>
          <w:bCs/>
          <w:sz w:val="22"/>
          <w:szCs w:val="22"/>
        </w:rPr>
        <w:t xml:space="preserve"> and variance between actuals</w:t>
      </w:r>
      <w:r w:rsidR="00BD0521">
        <w:rPr>
          <w:rFonts w:ascii="Calibri" w:hAnsi="Calibri" w:cs="Calibri"/>
          <w:bCs/>
          <w:sz w:val="22"/>
          <w:szCs w:val="22"/>
        </w:rPr>
        <w:t xml:space="preserve"> and budget. </w:t>
      </w:r>
    </w:p>
    <w:p w:rsidR="00161CB8" w:rsidRPr="00161CB8" w:rsidRDefault="00161CB8" w:rsidP="00161CB8">
      <w:pPr>
        <w:pStyle w:val="ListParagraph"/>
        <w:rPr>
          <w:rFonts w:ascii="Calibri" w:hAnsi="Calibri" w:cs="Calibri"/>
          <w:bCs/>
          <w:sz w:val="22"/>
          <w:szCs w:val="22"/>
        </w:rPr>
      </w:pPr>
    </w:p>
    <w:p w:rsidR="00161CB8" w:rsidRDefault="00161CB8" w:rsidP="00161CB8">
      <w:pPr>
        <w:pStyle w:val="ListParagraph"/>
        <w:numPr>
          <w:ilvl w:val="0"/>
          <w:numId w:val="2"/>
        </w:numPr>
        <w:ind w:left="426" w:hanging="426"/>
        <w:rPr>
          <w:rFonts w:ascii="Calibri" w:hAnsi="Calibri" w:cs="Calibri"/>
          <w:bCs/>
          <w:sz w:val="22"/>
          <w:szCs w:val="22"/>
        </w:rPr>
      </w:pPr>
      <w:r>
        <w:rPr>
          <w:rFonts w:ascii="Calibri" w:hAnsi="Calibri" w:cs="Calibri"/>
          <w:bCs/>
          <w:sz w:val="22"/>
          <w:szCs w:val="22"/>
        </w:rPr>
        <w:t>Prior to provisions, there was an overall core surplus of CHF 238,000</w:t>
      </w:r>
      <w:r w:rsidRPr="002464F2">
        <w:rPr>
          <w:rFonts w:ascii="Calibri" w:hAnsi="Calibri" w:cs="Calibri"/>
          <w:bCs/>
          <w:sz w:val="22"/>
          <w:szCs w:val="22"/>
        </w:rPr>
        <w:t xml:space="preserve">. </w:t>
      </w:r>
      <w:r>
        <w:rPr>
          <w:rFonts w:ascii="Calibri" w:hAnsi="Calibri" w:cs="Calibri"/>
          <w:bCs/>
          <w:sz w:val="22"/>
          <w:szCs w:val="22"/>
        </w:rPr>
        <w:t xml:space="preserve">However, </w:t>
      </w:r>
      <w:r w:rsidRPr="00E70296">
        <w:rPr>
          <w:rFonts w:ascii="Calibri" w:hAnsi="Calibri" w:cs="Calibri"/>
          <w:bCs/>
          <w:sz w:val="22"/>
          <w:szCs w:val="22"/>
        </w:rPr>
        <w:t xml:space="preserve">Line item K </w:t>
      </w:r>
      <w:r>
        <w:rPr>
          <w:rFonts w:ascii="Calibri" w:hAnsi="Calibri" w:cs="Calibri"/>
          <w:bCs/>
          <w:sz w:val="22"/>
          <w:szCs w:val="22"/>
        </w:rPr>
        <w:t>of the 2015 core budget (</w:t>
      </w:r>
      <w:r w:rsidRPr="00E70296">
        <w:rPr>
          <w:rFonts w:ascii="Calibri" w:hAnsi="Calibri" w:cs="Calibri"/>
          <w:bCs/>
          <w:sz w:val="22"/>
          <w:szCs w:val="22"/>
        </w:rPr>
        <w:t>Miscellaneous –</w:t>
      </w:r>
      <w:r w:rsidR="005C689F">
        <w:rPr>
          <w:rFonts w:ascii="Calibri" w:hAnsi="Calibri" w:cs="Calibri"/>
          <w:bCs/>
          <w:sz w:val="22"/>
          <w:szCs w:val="22"/>
        </w:rPr>
        <w:t xml:space="preserve"> </w:t>
      </w:r>
      <w:r w:rsidRPr="00E70296">
        <w:rPr>
          <w:rFonts w:ascii="Calibri" w:hAnsi="Calibri" w:cs="Calibri"/>
          <w:bCs/>
          <w:sz w:val="22"/>
          <w:szCs w:val="22"/>
        </w:rPr>
        <w:t>Reserve Fund</w:t>
      </w:r>
      <w:r>
        <w:rPr>
          <w:rFonts w:ascii="Calibri" w:hAnsi="Calibri" w:cs="Calibri"/>
          <w:bCs/>
          <w:sz w:val="22"/>
          <w:szCs w:val="22"/>
        </w:rPr>
        <w:t>)</w:t>
      </w:r>
      <w:r w:rsidRPr="00E70296">
        <w:rPr>
          <w:rFonts w:ascii="Calibri" w:hAnsi="Calibri" w:cs="Calibri"/>
          <w:bCs/>
          <w:sz w:val="22"/>
          <w:szCs w:val="22"/>
        </w:rPr>
        <w:t xml:space="preserve"> </w:t>
      </w:r>
      <w:r>
        <w:rPr>
          <w:rFonts w:ascii="Calibri" w:hAnsi="Calibri" w:cs="Calibri"/>
          <w:bCs/>
          <w:sz w:val="22"/>
          <w:szCs w:val="22"/>
        </w:rPr>
        <w:t>shows actual expenditure of CHF 685,000, against a budgeted expenditure of CHF 110,000, resulting in a deficit of CHF 575,000</w:t>
      </w:r>
      <w:r w:rsidR="005C689F">
        <w:rPr>
          <w:rFonts w:ascii="Calibri" w:hAnsi="Calibri" w:cs="Calibri"/>
          <w:bCs/>
          <w:sz w:val="22"/>
          <w:szCs w:val="22"/>
        </w:rPr>
        <w:t xml:space="preserve"> for the </w:t>
      </w:r>
      <w:r w:rsidR="00BF074E">
        <w:rPr>
          <w:rFonts w:ascii="Calibri" w:hAnsi="Calibri" w:cs="Calibri"/>
          <w:bCs/>
          <w:sz w:val="22"/>
          <w:szCs w:val="22"/>
        </w:rPr>
        <w:t>item</w:t>
      </w:r>
      <w:r>
        <w:rPr>
          <w:rFonts w:ascii="Calibri" w:hAnsi="Calibri" w:cs="Calibri"/>
          <w:bCs/>
          <w:sz w:val="22"/>
          <w:szCs w:val="22"/>
        </w:rPr>
        <w:t xml:space="preserve">. </w:t>
      </w:r>
      <w:r w:rsidRPr="00F31A24">
        <w:rPr>
          <w:rFonts w:ascii="Calibri" w:hAnsi="Calibri" w:cs="Calibri"/>
          <w:bCs/>
          <w:sz w:val="22"/>
          <w:szCs w:val="22"/>
        </w:rPr>
        <w:t xml:space="preserve">Annex </w:t>
      </w:r>
      <w:r>
        <w:rPr>
          <w:rFonts w:ascii="Calibri" w:hAnsi="Calibri" w:cs="Calibri"/>
          <w:bCs/>
          <w:sz w:val="22"/>
          <w:szCs w:val="22"/>
        </w:rPr>
        <w:t>2</w:t>
      </w:r>
      <w:r w:rsidRPr="00F31A24">
        <w:rPr>
          <w:rFonts w:ascii="Calibri" w:hAnsi="Calibri" w:cs="Calibri"/>
          <w:bCs/>
          <w:sz w:val="22"/>
          <w:szCs w:val="22"/>
        </w:rPr>
        <w:t xml:space="preserve"> </w:t>
      </w:r>
      <w:r>
        <w:rPr>
          <w:rFonts w:ascii="Calibri" w:hAnsi="Calibri" w:cs="Calibri"/>
          <w:bCs/>
          <w:sz w:val="22"/>
          <w:szCs w:val="22"/>
        </w:rPr>
        <w:t xml:space="preserve">therefore </w:t>
      </w:r>
      <w:r w:rsidRPr="00F31A24">
        <w:rPr>
          <w:rFonts w:ascii="Calibri" w:hAnsi="Calibri" w:cs="Calibri"/>
          <w:bCs/>
          <w:sz w:val="22"/>
          <w:szCs w:val="22"/>
        </w:rPr>
        <w:t>shows</w:t>
      </w:r>
      <w:r w:rsidRPr="002464F2">
        <w:rPr>
          <w:rFonts w:ascii="Calibri" w:hAnsi="Calibri" w:cs="Calibri"/>
          <w:bCs/>
          <w:sz w:val="22"/>
          <w:szCs w:val="22"/>
        </w:rPr>
        <w:t xml:space="preserve"> an overall </w:t>
      </w:r>
      <w:r>
        <w:rPr>
          <w:rFonts w:ascii="Calibri" w:hAnsi="Calibri" w:cs="Calibri"/>
          <w:bCs/>
          <w:sz w:val="22"/>
          <w:szCs w:val="22"/>
        </w:rPr>
        <w:t xml:space="preserve">deficit </w:t>
      </w:r>
      <w:r w:rsidRPr="002464F2">
        <w:rPr>
          <w:rFonts w:ascii="Calibri" w:hAnsi="Calibri" w:cs="Calibri"/>
          <w:bCs/>
          <w:sz w:val="22"/>
          <w:szCs w:val="22"/>
        </w:rPr>
        <w:t xml:space="preserve">of CHF </w:t>
      </w:r>
      <w:r>
        <w:rPr>
          <w:rFonts w:ascii="Calibri" w:hAnsi="Calibri" w:cs="Calibri"/>
          <w:bCs/>
          <w:sz w:val="22"/>
          <w:szCs w:val="22"/>
        </w:rPr>
        <w:t>337</w:t>
      </w:r>
      <w:r w:rsidRPr="002464F2">
        <w:rPr>
          <w:rFonts w:ascii="Calibri" w:hAnsi="Calibri" w:cs="Calibri"/>
          <w:bCs/>
          <w:sz w:val="22"/>
          <w:szCs w:val="22"/>
        </w:rPr>
        <w:t>,000</w:t>
      </w:r>
      <w:r>
        <w:rPr>
          <w:rFonts w:ascii="Calibri" w:hAnsi="Calibri" w:cs="Calibri"/>
          <w:bCs/>
          <w:sz w:val="22"/>
          <w:szCs w:val="22"/>
        </w:rPr>
        <w:t xml:space="preserve"> in the </w:t>
      </w:r>
      <w:r w:rsidR="005C689F" w:rsidRPr="002464F2">
        <w:rPr>
          <w:rFonts w:ascii="Calibri" w:hAnsi="Calibri" w:cs="Calibri"/>
          <w:bCs/>
          <w:sz w:val="22"/>
          <w:szCs w:val="22"/>
        </w:rPr>
        <w:t>201</w:t>
      </w:r>
      <w:r w:rsidR="005C689F">
        <w:rPr>
          <w:rFonts w:ascii="Calibri" w:hAnsi="Calibri" w:cs="Calibri"/>
          <w:bCs/>
          <w:sz w:val="22"/>
          <w:szCs w:val="22"/>
        </w:rPr>
        <w:t>5</w:t>
      </w:r>
      <w:r w:rsidR="005C689F" w:rsidRPr="002464F2">
        <w:rPr>
          <w:rFonts w:ascii="Calibri" w:hAnsi="Calibri" w:cs="Calibri"/>
          <w:bCs/>
          <w:sz w:val="22"/>
          <w:szCs w:val="22"/>
        </w:rPr>
        <w:t xml:space="preserve"> </w:t>
      </w:r>
      <w:r>
        <w:rPr>
          <w:rFonts w:ascii="Calibri" w:hAnsi="Calibri" w:cs="Calibri"/>
          <w:bCs/>
          <w:sz w:val="22"/>
          <w:szCs w:val="22"/>
        </w:rPr>
        <w:t xml:space="preserve">core budget. Table 2 below provides a summary of this. </w:t>
      </w:r>
    </w:p>
    <w:p w:rsidR="00161CB8" w:rsidRDefault="00161CB8" w:rsidP="00161CB8">
      <w:pPr>
        <w:pStyle w:val="ListParagraph"/>
        <w:ind w:left="426"/>
        <w:rPr>
          <w:rFonts w:ascii="Calibri" w:hAnsi="Calibri" w:cs="Calibri"/>
          <w:bCs/>
          <w:sz w:val="22"/>
          <w:szCs w:val="22"/>
        </w:rPr>
      </w:pPr>
    </w:p>
    <w:p w:rsidR="00161CB8" w:rsidRPr="00982102" w:rsidRDefault="00161CB8" w:rsidP="00161CB8">
      <w:pPr>
        <w:rPr>
          <w:rFonts w:ascii="Calibri" w:hAnsi="Calibri" w:cs="Calibri"/>
          <w:b/>
          <w:bCs/>
          <w:sz w:val="22"/>
          <w:szCs w:val="22"/>
        </w:rPr>
      </w:pPr>
      <w:r w:rsidRPr="00982102">
        <w:rPr>
          <w:rFonts w:ascii="Calibri" w:hAnsi="Calibri" w:cs="Calibri"/>
          <w:b/>
          <w:bCs/>
          <w:sz w:val="22"/>
          <w:szCs w:val="22"/>
        </w:rPr>
        <w:t>Table 2</w:t>
      </w:r>
      <w:r>
        <w:rPr>
          <w:rFonts w:ascii="Calibri" w:hAnsi="Calibri" w:cs="Calibri"/>
          <w:b/>
          <w:bCs/>
          <w:sz w:val="22"/>
          <w:szCs w:val="22"/>
        </w:rPr>
        <w:t>:</w:t>
      </w:r>
      <w:r w:rsidRPr="00982102">
        <w:rPr>
          <w:rFonts w:ascii="Calibri" w:hAnsi="Calibri" w:cs="Calibri"/>
          <w:b/>
          <w:bCs/>
          <w:sz w:val="22"/>
          <w:szCs w:val="22"/>
        </w:rPr>
        <w:t xml:space="preserve"> Core deficit summary </w:t>
      </w:r>
      <w:r w:rsidRPr="00982102">
        <w:rPr>
          <w:rFonts w:ascii="Calibri" w:hAnsi="Calibri" w:cs="Calibri"/>
          <w:b/>
          <w:sz w:val="22"/>
          <w:szCs w:val="22"/>
        </w:rPr>
        <w:t>(‘000 CHF, includes rounding errors)</w:t>
      </w:r>
    </w:p>
    <w:tbl>
      <w:tblPr>
        <w:tblW w:w="9320" w:type="dxa"/>
        <w:tblInd w:w="103" w:type="dxa"/>
        <w:tblLook w:val="04A0" w:firstRow="1" w:lastRow="0" w:firstColumn="1" w:lastColumn="0" w:noHBand="0" w:noVBand="1"/>
      </w:tblPr>
      <w:tblGrid>
        <w:gridCol w:w="3407"/>
        <w:gridCol w:w="684"/>
        <w:gridCol w:w="960"/>
        <w:gridCol w:w="4280"/>
      </w:tblGrid>
      <w:tr w:rsidR="00161CB8" w:rsidRPr="003709CC" w:rsidTr="001C0854">
        <w:trPr>
          <w:trHeight w:val="288"/>
        </w:trPr>
        <w:tc>
          <w:tcPr>
            <w:tcW w:w="3407" w:type="dxa"/>
            <w:tcBorders>
              <w:top w:val="single" w:sz="4" w:space="0" w:color="auto"/>
              <w:left w:val="single" w:sz="4" w:space="0" w:color="auto"/>
              <w:bottom w:val="nil"/>
              <w:right w:val="single" w:sz="4" w:space="0" w:color="auto"/>
            </w:tcBorders>
            <w:shd w:val="clear" w:color="000000" w:fill="8DB4E2"/>
            <w:noWrap/>
            <w:vAlign w:val="bottom"/>
            <w:hideMark/>
          </w:tcPr>
          <w:p w:rsidR="00161CB8" w:rsidRPr="003709CC" w:rsidRDefault="00161CB8" w:rsidP="001C0854">
            <w:pP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Cost Centre</w:t>
            </w:r>
          </w:p>
        </w:tc>
        <w:tc>
          <w:tcPr>
            <w:tcW w:w="673" w:type="dxa"/>
            <w:tcBorders>
              <w:top w:val="single" w:sz="4" w:space="0" w:color="auto"/>
              <w:left w:val="nil"/>
              <w:bottom w:val="nil"/>
              <w:right w:val="nil"/>
            </w:tcBorders>
            <w:shd w:val="clear" w:color="000000" w:fill="8DB4E2"/>
            <w:noWrap/>
            <w:vAlign w:val="bottom"/>
            <w:hideMark/>
          </w:tcPr>
          <w:p w:rsidR="00161CB8" w:rsidRPr="003709CC" w:rsidRDefault="00161CB8" w:rsidP="001C0854">
            <w:pPr>
              <w:jc w:val="cente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 </w:t>
            </w:r>
          </w:p>
        </w:tc>
        <w:tc>
          <w:tcPr>
            <w:tcW w:w="960" w:type="dxa"/>
            <w:tcBorders>
              <w:top w:val="single" w:sz="4" w:space="0" w:color="auto"/>
              <w:left w:val="nil"/>
              <w:bottom w:val="nil"/>
              <w:right w:val="single" w:sz="4" w:space="0" w:color="auto"/>
            </w:tcBorders>
            <w:shd w:val="clear" w:color="000000" w:fill="8DB4E2"/>
            <w:noWrap/>
            <w:vAlign w:val="bottom"/>
            <w:hideMark/>
          </w:tcPr>
          <w:p w:rsidR="00161CB8" w:rsidRPr="003709CC" w:rsidRDefault="00161CB8" w:rsidP="001C0854">
            <w:pPr>
              <w:jc w:val="cente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 </w:t>
            </w:r>
          </w:p>
        </w:tc>
        <w:tc>
          <w:tcPr>
            <w:tcW w:w="4280" w:type="dxa"/>
            <w:tcBorders>
              <w:top w:val="single" w:sz="4" w:space="0" w:color="auto"/>
              <w:left w:val="nil"/>
              <w:bottom w:val="nil"/>
              <w:right w:val="single" w:sz="4" w:space="0" w:color="auto"/>
            </w:tcBorders>
            <w:shd w:val="clear" w:color="000000" w:fill="8DB4E2"/>
            <w:noWrap/>
            <w:vAlign w:val="bottom"/>
            <w:hideMark/>
          </w:tcPr>
          <w:p w:rsidR="00161CB8" w:rsidRPr="003709CC" w:rsidRDefault="00161CB8" w:rsidP="001C0854">
            <w:pP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Comment</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Income</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(1</w:t>
            </w:r>
            <w:r>
              <w:rPr>
                <w:rFonts w:ascii="Calibri" w:eastAsia="Times New Roman" w:hAnsi="Calibri"/>
                <w:color w:val="000000"/>
                <w:sz w:val="22"/>
                <w:szCs w:val="22"/>
                <w:lang w:val="en-GB" w:eastAsia="en-GB"/>
              </w:rPr>
              <w:t>2</w:t>
            </w:r>
            <w:r w:rsidRPr="003709CC">
              <w:rPr>
                <w:rFonts w:ascii="Calibri" w:eastAsia="Times New Roman" w:hAnsi="Calibri"/>
                <w:color w:val="000000"/>
                <w:sz w:val="22"/>
                <w:szCs w:val="22"/>
                <w:lang w:val="en-GB" w:eastAsia="en-GB"/>
              </w:rPr>
              <w:t>)</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Interest</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Senior M</w:t>
            </w:r>
            <w:r>
              <w:rPr>
                <w:rFonts w:ascii="Calibri" w:eastAsia="Times New Roman" w:hAnsi="Calibri"/>
                <w:color w:val="000000"/>
                <w:sz w:val="22"/>
                <w:szCs w:val="22"/>
                <w:lang w:val="en-GB" w:eastAsia="en-GB"/>
              </w:rPr>
              <w:t>anagement</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48</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Salary and Education Allowance</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3709CC" w:rsidRDefault="00161CB8" w:rsidP="001C0854">
            <w:pPr>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Regional Advice and Support</w:t>
            </w:r>
          </w:p>
        </w:tc>
        <w:tc>
          <w:tcPr>
            <w:tcW w:w="673" w:type="dxa"/>
            <w:tcBorders>
              <w:top w:val="nil"/>
              <w:left w:val="nil"/>
              <w:bottom w:val="nil"/>
              <w:right w:val="nil"/>
            </w:tcBorders>
            <w:shd w:val="clear" w:color="auto" w:fill="auto"/>
            <w:noWrap/>
            <w:vAlign w:val="bottom"/>
          </w:tcPr>
          <w:p w:rsidR="00161CB8" w:rsidRPr="003709CC" w:rsidRDefault="00161CB8" w:rsidP="001C0854">
            <w:pPr>
              <w:rPr>
                <w:rFonts w:ascii="Calibri" w:eastAsia="Times New Roman" w:hAnsi="Calibri"/>
                <w:color w:val="000000"/>
                <w:sz w:val="22"/>
                <w:szCs w:val="22"/>
                <w:lang w:val="en-GB" w:eastAsia="en-GB"/>
              </w:rPr>
            </w:pPr>
          </w:p>
        </w:tc>
        <w:tc>
          <w:tcPr>
            <w:tcW w:w="960" w:type="dxa"/>
            <w:tcBorders>
              <w:top w:val="nil"/>
              <w:left w:val="nil"/>
              <w:bottom w:val="nil"/>
              <w:right w:val="single" w:sz="4" w:space="0" w:color="auto"/>
            </w:tcBorders>
            <w:shd w:val="clear" w:color="auto" w:fill="auto"/>
            <w:noWrap/>
            <w:vAlign w:val="bottom"/>
          </w:tcPr>
          <w:p w:rsidR="00161CB8" w:rsidRPr="003709CC" w:rsidRDefault="00161CB8" w:rsidP="001C0854">
            <w:pPr>
              <w:jc w:val="right"/>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121</w:t>
            </w:r>
          </w:p>
        </w:tc>
        <w:tc>
          <w:tcPr>
            <w:tcW w:w="4280" w:type="dxa"/>
            <w:tcBorders>
              <w:top w:val="nil"/>
              <w:left w:val="nil"/>
              <w:bottom w:val="nil"/>
              <w:right w:val="single" w:sz="4" w:space="0" w:color="auto"/>
            </w:tcBorders>
            <w:shd w:val="clear" w:color="auto" w:fill="auto"/>
            <w:noWrap/>
            <w:vAlign w:val="bottom"/>
          </w:tcPr>
          <w:p w:rsidR="00161CB8" w:rsidRPr="003709CC" w:rsidRDefault="00161CB8" w:rsidP="001C0854">
            <w:pPr>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Salary 106k, Travel 15k</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Admin</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40</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Salary</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Other</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41</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b/>
                <w:bCs/>
                <w:i/>
                <w:iCs/>
                <w:color w:val="000000"/>
                <w:sz w:val="22"/>
                <w:szCs w:val="22"/>
                <w:lang w:val="en-GB" w:eastAsia="en-GB"/>
              </w:rPr>
            </w:pPr>
            <w:r w:rsidRPr="003709CC">
              <w:rPr>
                <w:rFonts w:ascii="Calibri" w:eastAsia="Times New Roman" w:hAnsi="Calibri"/>
                <w:b/>
                <w:bCs/>
                <w:i/>
                <w:iCs/>
                <w:color w:val="000000"/>
                <w:sz w:val="22"/>
                <w:szCs w:val="22"/>
                <w:lang w:val="en-GB" w:eastAsia="en-GB"/>
              </w:rPr>
              <w:t>Subtotal</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b/>
                <w:bCs/>
                <w:i/>
                <w:iCs/>
                <w:color w:val="000000"/>
                <w:sz w:val="22"/>
                <w:szCs w:val="22"/>
                <w:lang w:val="en-GB" w:eastAsia="en-GB"/>
              </w:rPr>
            </w:pPr>
            <w:r w:rsidRPr="003709CC">
              <w:rPr>
                <w:rFonts w:ascii="Calibri" w:eastAsia="Times New Roman" w:hAnsi="Calibri"/>
                <w:b/>
                <w:bCs/>
                <w:i/>
                <w:iCs/>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b/>
                <w:bCs/>
                <w:i/>
                <w:iCs/>
                <w:color w:val="000000"/>
                <w:sz w:val="22"/>
                <w:szCs w:val="22"/>
                <w:lang w:val="en-GB" w:eastAsia="en-GB"/>
              </w:rPr>
            </w:pPr>
            <w:r>
              <w:rPr>
                <w:rFonts w:ascii="Calibri" w:eastAsia="Times New Roman" w:hAnsi="Calibri"/>
                <w:b/>
                <w:bCs/>
                <w:i/>
                <w:iCs/>
                <w:color w:val="000000"/>
                <w:sz w:val="22"/>
                <w:szCs w:val="22"/>
                <w:lang w:val="en-GB" w:eastAsia="en-GB"/>
              </w:rPr>
              <w:t>238</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i/>
                <w:iCs/>
                <w:color w:val="000000"/>
                <w:sz w:val="22"/>
                <w:szCs w:val="22"/>
                <w:lang w:val="en-GB" w:eastAsia="en-GB"/>
              </w:rPr>
            </w:pPr>
            <w:r w:rsidRPr="003709CC">
              <w:rPr>
                <w:rFonts w:ascii="Calibri" w:eastAsia="Times New Roman" w:hAnsi="Calibri"/>
                <w:i/>
                <w:iCs/>
                <w:color w:val="000000"/>
                <w:sz w:val="22"/>
                <w:szCs w:val="22"/>
                <w:lang w:val="en-GB" w:eastAsia="en-GB"/>
              </w:rPr>
              <w:t>Surplus before provisions</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KMISC, Provisions</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xml:space="preserve">  Termination, Leave, Repatriation</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(95)</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xml:space="preserve">  Bad debt</w:t>
            </w:r>
          </w:p>
        </w:tc>
        <w:tc>
          <w:tcPr>
            <w:tcW w:w="673" w:type="dxa"/>
            <w:tcBorders>
              <w:top w:val="nil"/>
              <w:left w:val="nil"/>
              <w:right w:val="nil"/>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w:t>
            </w:r>
            <w:r>
              <w:rPr>
                <w:rFonts w:ascii="Calibri" w:eastAsia="Times New Roman" w:hAnsi="Calibri"/>
                <w:color w:val="000000"/>
                <w:sz w:val="22"/>
                <w:szCs w:val="22"/>
                <w:lang w:val="en-GB" w:eastAsia="en-GB"/>
              </w:rPr>
              <w:t>208</w:t>
            </w:r>
            <w:r w:rsidRPr="003709CC">
              <w:rPr>
                <w:rFonts w:ascii="Calibri" w:eastAsia="Times New Roman" w:hAnsi="Calibri"/>
                <w:color w:val="000000"/>
                <w:sz w:val="22"/>
                <w:szCs w:val="22"/>
                <w:lang w:val="en-GB" w:eastAsia="en-GB"/>
              </w:rPr>
              <w:t>)</w:t>
            </w:r>
          </w:p>
        </w:tc>
        <w:tc>
          <w:tcPr>
            <w:tcW w:w="960" w:type="dxa"/>
            <w:tcBorders>
              <w:top w:val="nil"/>
              <w:left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tcPr>
          <w:p w:rsidR="00161CB8" w:rsidRPr="003709CC" w:rsidRDefault="00161CB8" w:rsidP="001C0854">
            <w:pPr>
              <w:rPr>
                <w:rFonts w:ascii="Calibri" w:eastAsia="Times New Roman" w:hAnsi="Calibri"/>
                <w:color w:val="000000"/>
                <w:sz w:val="22"/>
                <w:szCs w:val="22"/>
                <w:lang w:val="en-GB" w:eastAsia="en-GB"/>
              </w:rPr>
            </w:pPr>
            <w:r>
              <w:rPr>
                <w:rFonts w:ascii="Calibri" w:eastAsia="Times New Roman" w:hAnsi="Calibri"/>
                <w:color w:val="000000"/>
                <w:sz w:val="22"/>
                <w:szCs w:val="22"/>
                <w:lang w:val="en-GB" w:eastAsia="en-GB"/>
              </w:rPr>
              <w:t xml:space="preserve">  Legal Services</w:t>
            </w:r>
          </w:p>
        </w:tc>
        <w:tc>
          <w:tcPr>
            <w:tcW w:w="673" w:type="dxa"/>
            <w:tcBorders>
              <w:top w:val="nil"/>
              <w:left w:val="nil"/>
              <w:right w:val="nil"/>
            </w:tcBorders>
            <w:shd w:val="clear" w:color="auto" w:fill="auto"/>
            <w:noWrap/>
            <w:vAlign w:val="bottom"/>
          </w:tcPr>
          <w:p w:rsidR="00161CB8" w:rsidRPr="00914637" w:rsidRDefault="00161CB8" w:rsidP="001C0854">
            <w:pPr>
              <w:jc w:val="right"/>
              <w:rPr>
                <w:rFonts w:ascii="Calibri" w:eastAsia="Times New Roman" w:hAnsi="Calibri"/>
                <w:color w:val="000000"/>
                <w:sz w:val="22"/>
                <w:szCs w:val="22"/>
                <w:lang w:val="en-GB" w:eastAsia="en-GB"/>
              </w:rPr>
            </w:pPr>
            <w:r w:rsidRPr="00914637">
              <w:rPr>
                <w:rFonts w:ascii="Calibri" w:eastAsia="Times New Roman" w:hAnsi="Calibri"/>
                <w:color w:val="000000"/>
                <w:sz w:val="22"/>
                <w:szCs w:val="22"/>
                <w:lang w:val="en-GB" w:eastAsia="en-GB"/>
              </w:rPr>
              <w:t>(11)</w:t>
            </w:r>
          </w:p>
        </w:tc>
        <w:tc>
          <w:tcPr>
            <w:tcW w:w="960" w:type="dxa"/>
            <w:tcBorders>
              <w:top w:val="nil"/>
              <w:left w:val="nil"/>
              <w:right w:val="single" w:sz="4" w:space="0" w:color="auto"/>
            </w:tcBorders>
            <w:shd w:val="clear" w:color="auto" w:fill="auto"/>
            <w:noWrap/>
            <w:vAlign w:val="bottom"/>
          </w:tcPr>
          <w:p w:rsidR="00161CB8" w:rsidRPr="00914637" w:rsidRDefault="00161CB8" w:rsidP="001C0854">
            <w:pPr>
              <w:jc w:val="right"/>
              <w:rPr>
                <w:rFonts w:ascii="Calibri" w:eastAsia="Times New Roman" w:hAnsi="Calibri"/>
                <w:color w:val="000000"/>
                <w:sz w:val="22"/>
                <w:szCs w:val="22"/>
                <w:lang w:val="en-GB" w:eastAsia="en-GB"/>
              </w:rPr>
            </w:pPr>
          </w:p>
        </w:tc>
        <w:tc>
          <w:tcPr>
            <w:tcW w:w="4280" w:type="dxa"/>
            <w:tcBorders>
              <w:top w:val="nil"/>
              <w:left w:val="nil"/>
              <w:bottom w:val="nil"/>
              <w:right w:val="single" w:sz="4" w:space="0" w:color="auto"/>
            </w:tcBorders>
            <w:shd w:val="clear" w:color="auto" w:fill="auto"/>
            <w:noWrap/>
            <w:vAlign w:val="bottom"/>
          </w:tcPr>
          <w:p w:rsidR="00161CB8" w:rsidRPr="003709CC" w:rsidRDefault="00161CB8" w:rsidP="001C0854">
            <w:pPr>
              <w:rPr>
                <w:rFonts w:ascii="Calibri" w:eastAsia="Times New Roman" w:hAnsi="Calibri"/>
                <w:color w:val="000000"/>
                <w:sz w:val="22"/>
                <w:szCs w:val="22"/>
                <w:lang w:val="en-GB" w:eastAsia="en-GB"/>
              </w:rPr>
            </w:pP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xml:space="preserve">  FX Unrealised Loss</w:t>
            </w:r>
          </w:p>
        </w:tc>
        <w:tc>
          <w:tcPr>
            <w:tcW w:w="673" w:type="dxa"/>
            <w:tcBorders>
              <w:left w:val="nil"/>
              <w:bottom w:val="single" w:sz="4" w:space="0" w:color="auto"/>
              <w:right w:val="nil"/>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(26</w:t>
            </w:r>
            <w:r>
              <w:rPr>
                <w:rFonts w:ascii="Calibri" w:eastAsia="Times New Roman" w:hAnsi="Calibri"/>
                <w:color w:val="000000"/>
                <w:sz w:val="22"/>
                <w:szCs w:val="22"/>
                <w:lang w:val="en-GB" w:eastAsia="en-GB"/>
              </w:rPr>
              <w:t>1</w:t>
            </w:r>
            <w:r w:rsidRPr="003709CC">
              <w:rPr>
                <w:rFonts w:ascii="Calibri" w:eastAsia="Times New Roman" w:hAnsi="Calibri"/>
                <w:color w:val="000000"/>
                <w:sz w:val="22"/>
                <w:szCs w:val="22"/>
                <w:lang w:val="en-GB" w:eastAsia="en-GB"/>
              </w:rPr>
              <w:t>)</w:t>
            </w:r>
          </w:p>
        </w:tc>
        <w:tc>
          <w:tcPr>
            <w:tcW w:w="960" w:type="dxa"/>
            <w:tcBorders>
              <w:left w:val="nil"/>
              <w:bottom w:val="single" w:sz="4" w:space="0" w:color="auto"/>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p>
        </w:tc>
        <w:tc>
          <w:tcPr>
            <w:tcW w:w="4280" w:type="dxa"/>
            <w:tcBorders>
              <w:top w:val="nil"/>
              <w:left w:val="nil"/>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r>
      <w:tr w:rsidR="00161CB8" w:rsidRPr="003709CC" w:rsidTr="001C0854">
        <w:trPr>
          <w:trHeight w:val="288"/>
        </w:trPr>
        <w:tc>
          <w:tcPr>
            <w:tcW w:w="3407" w:type="dxa"/>
            <w:tcBorders>
              <w:top w:val="nil"/>
              <w:left w:val="single" w:sz="4" w:space="0" w:color="auto"/>
              <w:bottom w:val="nil"/>
              <w:right w:val="single" w:sz="4" w:space="0" w:color="auto"/>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r w:rsidRPr="003709CC">
              <w:rPr>
                <w:rFonts w:ascii="Calibri" w:eastAsia="Times New Roman" w:hAnsi="Calibri"/>
                <w:b/>
                <w:bCs/>
                <w:i/>
                <w:iCs/>
                <w:color w:val="000000"/>
                <w:sz w:val="22"/>
                <w:szCs w:val="22"/>
                <w:lang w:val="en-GB" w:eastAsia="en-GB"/>
              </w:rPr>
              <w:t>Subtotal</w:t>
            </w:r>
          </w:p>
        </w:tc>
        <w:tc>
          <w:tcPr>
            <w:tcW w:w="673" w:type="dxa"/>
            <w:tcBorders>
              <w:top w:val="nil"/>
              <w:left w:val="nil"/>
              <w:bottom w:val="nil"/>
              <w:right w:val="nil"/>
            </w:tcBorders>
            <w:shd w:val="clear" w:color="auto" w:fill="auto"/>
            <w:noWrap/>
            <w:vAlign w:val="bottom"/>
            <w:hideMark/>
          </w:tcPr>
          <w:p w:rsidR="00161CB8" w:rsidRPr="003709CC" w:rsidRDefault="00161CB8" w:rsidP="001C0854">
            <w:pPr>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161CB8" w:rsidRPr="003709CC" w:rsidRDefault="00161CB8" w:rsidP="001C0854">
            <w:pPr>
              <w:jc w:val="right"/>
              <w:rPr>
                <w:rFonts w:ascii="Calibri" w:eastAsia="Times New Roman" w:hAnsi="Calibri"/>
                <w:color w:val="000000"/>
                <w:sz w:val="22"/>
                <w:szCs w:val="22"/>
                <w:lang w:val="en-GB" w:eastAsia="en-GB"/>
              </w:rPr>
            </w:pPr>
            <w:r w:rsidRPr="003709CC">
              <w:rPr>
                <w:rFonts w:ascii="Calibri" w:eastAsia="Times New Roman" w:hAnsi="Calibri"/>
                <w:color w:val="000000"/>
                <w:sz w:val="22"/>
                <w:szCs w:val="22"/>
                <w:lang w:val="en-GB" w:eastAsia="en-GB"/>
              </w:rPr>
              <w:t> (5</w:t>
            </w:r>
            <w:r>
              <w:rPr>
                <w:rFonts w:ascii="Calibri" w:eastAsia="Times New Roman" w:hAnsi="Calibri"/>
                <w:color w:val="000000"/>
                <w:sz w:val="22"/>
                <w:szCs w:val="22"/>
                <w:lang w:val="en-GB" w:eastAsia="en-GB"/>
              </w:rPr>
              <w:t>75</w:t>
            </w:r>
            <w:r w:rsidRPr="003709CC">
              <w:rPr>
                <w:rFonts w:ascii="Calibri" w:eastAsia="Times New Roman" w:hAnsi="Calibri"/>
                <w:color w:val="000000"/>
                <w:sz w:val="22"/>
                <w:szCs w:val="22"/>
                <w:lang w:val="en-GB" w:eastAsia="en-GB"/>
              </w:rPr>
              <w:t>)</w:t>
            </w:r>
          </w:p>
        </w:tc>
        <w:tc>
          <w:tcPr>
            <w:tcW w:w="4280" w:type="dxa"/>
            <w:tcBorders>
              <w:top w:val="nil"/>
              <w:left w:val="nil"/>
              <w:bottom w:val="nil"/>
              <w:right w:val="single" w:sz="4" w:space="0" w:color="auto"/>
            </w:tcBorders>
            <w:shd w:val="clear" w:color="auto" w:fill="auto"/>
            <w:noWrap/>
            <w:vAlign w:val="bottom"/>
            <w:hideMark/>
          </w:tcPr>
          <w:p w:rsidR="00161CB8" w:rsidRPr="0021794F" w:rsidRDefault="00161CB8" w:rsidP="001C0854">
            <w:pPr>
              <w:rPr>
                <w:rFonts w:ascii="Calibri" w:eastAsia="Times New Roman" w:hAnsi="Calibri"/>
                <w:i/>
                <w:color w:val="000000"/>
                <w:sz w:val="22"/>
                <w:szCs w:val="22"/>
                <w:lang w:val="en-GB" w:eastAsia="en-GB"/>
              </w:rPr>
            </w:pPr>
            <w:r w:rsidRPr="003709CC">
              <w:rPr>
                <w:rFonts w:ascii="Calibri" w:eastAsia="Times New Roman" w:hAnsi="Calibri"/>
                <w:color w:val="000000"/>
                <w:sz w:val="22"/>
                <w:szCs w:val="22"/>
                <w:lang w:val="en-GB" w:eastAsia="en-GB"/>
              </w:rPr>
              <w:t> </w:t>
            </w:r>
            <w:r>
              <w:rPr>
                <w:rFonts w:ascii="Calibri" w:eastAsia="Times New Roman" w:hAnsi="Calibri"/>
                <w:i/>
                <w:color w:val="000000"/>
                <w:sz w:val="22"/>
                <w:szCs w:val="22"/>
                <w:lang w:val="en-GB" w:eastAsia="en-GB"/>
              </w:rPr>
              <w:t>Provisions and FX unrealised losses</w:t>
            </w:r>
          </w:p>
        </w:tc>
      </w:tr>
      <w:tr w:rsidR="00161CB8" w:rsidRPr="003709CC" w:rsidTr="001C0854">
        <w:trPr>
          <w:trHeight w:val="288"/>
        </w:trPr>
        <w:tc>
          <w:tcPr>
            <w:tcW w:w="3407" w:type="dxa"/>
            <w:tcBorders>
              <w:top w:val="nil"/>
              <w:left w:val="single" w:sz="4" w:space="0" w:color="auto"/>
              <w:bottom w:val="single" w:sz="4" w:space="0" w:color="auto"/>
              <w:right w:val="single" w:sz="4" w:space="0" w:color="auto"/>
            </w:tcBorders>
            <w:shd w:val="clear" w:color="000000" w:fill="C5D9F1"/>
            <w:noWrap/>
            <w:vAlign w:val="bottom"/>
            <w:hideMark/>
          </w:tcPr>
          <w:p w:rsidR="00161CB8" w:rsidRPr="003709CC" w:rsidRDefault="00161CB8" w:rsidP="001C0854">
            <w:pP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Total</w:t>
            </w:r>
          </w:p>
        </w:tc>
        <w:tc>
          <w:tcPr>
            <w:tcW w:w="673" w:type="dxa"/>
            <w:tcBorders>
              <w:top w:val="nil"/>
              <w:left w:val="nil"/>
              <w:bottom w:val="single" w:sz="4" w:space="0" w:color="auto"/>
              <w:right w:val="nil"/>
            </w:tcBorders>
            <w:shd w:val="clear" w:color="000000" w:fill="C5D9F1"/>
            <w:noWrap/>
            <w:vAlign w:val="bottom"/>
            <w:hideMark/>
          </w:tcPr>
          <w:p w:rsidR="00161CB8" w:rsidRPr="003709CC" w:rsidRDefault="00161CB8" w:rsidP="001C0854">
            <w:pPr>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161CB8" w:rsidRPr="003709CC" w:rsidRDefault="00161CB8" w:rsidP="001C0854">
            <w:pPr>
              <w:jc w:val="right"/>
              <w:rPr>
                <w:rFonts w:ascii="Calibri" w:eastAsia="Times New Roman" w:hAnsi="Calibri"/>
                <w:b/>
                <w:bCs/>
                <w:color w:val="000000"/>
                <w:sz w:val="22"/>
                <w:szCs w:val="22"/>
                <w:lang w:val="en-GB" w:eastAsia="en-GB"/>
              </w:rPr>
            </w:pPr>
            <w:r w:rsidRPr="003709CC">
              <w:rPr>
                <w:rFonts w:ascii="Calibri" w:eastAsia="Times New Roman" w:hAnsi="Calibri"/>
                <w:b/>
                <w:bCs/>
                <w:color w:val="000000"/>
                <w:sz w:val="22"/>
                <w:szCs w:val="22"/>
                <w:lang w:val="en-GB" w:eastAsia="en-GB"/>
              </w:rPr>
              <w:t>(</w:t>
            </w:r>
            <w:r>
              <w:rPr>
                <w:rFonts w:ascii="Calibri" w:eastAsia="Times New Roman" w:hAnsi="Calibri"/>
                <w:b/>
                <w:bCs/>
                <w:color w:val="000000"/>
                <w:sz w:val="22"/>
                <w:szCs w:val="22"/>
                <w:lang w:val="en-GB" w:eastAsia="en-GB"/>
              </w:rPr>
              <w:t>337</w:t>
            </w:r>
            <w:r w:rsidRPr="003709CC">
              <w:rPr>
                <w:rFonts w:ascii="Calibri" w:eastAsia="Times New Roman" w:hAnsi="Calibri"/>
                <w:b/>
                <w:bCs/>
                <w:color w:val="000000"/>
                <w:sz w:val="22"/>
                <w:szCs w:val="22"/>
                <w:lang w:val="en-GB" w:eastAsia="en-GB"/>
              </w:rPr>
              <w:t>)</w:t>
            </w:r>
          </w:p>
        </w:tc>
        <w:tc>
          <w:tcPr>
            <w:tcW w:w="4280" w:type="dxa"/>
            <w:tcBorders>
              <w:top w:val="nil"/>
              <w:left w:val="nil"/>
              <w:bottom w:val="single" w:sz="4" w:space="0" w:color="auto"/>
              <w:right w:val="single" w:sz="4" w:space="0" w:color="auto"/>
            </w:tcBorders>
            <w:shd w:val="clear" w:color="000000" w:fill="C5D9F1"/>
            <w:noWrap/>
            <w:vAlign w:val="bottom"/>
            <w:hideMark/>
          </w:tcPr>
          <w:p w:rsidR="00161CB8" w:rsidRPr="003709CC" w:rsidRDefault="00161CB8" w:rsidP="001C0854">
            <w:pPr>
              <w:rPr>
                <w:rFonts w:ascii="Calibri" w:eastAsia="Times New Roman" w:hAnsi="Calibri"/>
                <w:i/>
                <w:iCs/>
                <w:color w:val="000000"/>
                <w:sz w:val="22"/>
                <w:szCs w:val="22"/>
                <w:lang w:val="en-GB" w:eastAsia="en-GB"/>
              </w:rPr>
            </w:pPr>
            <w:r w:rsidRPr="003709CC">
              <w:rPr>
                <w:rFonts w:ascii="Calibri" w:eastAsia="Times New Roman" w:hAnsi="Calibri"/>
                <w:i/>
                <w:iCs/>
                <w:color w:val="000000"/>
                <w:sz w:val="22"/>
                <w:szCs w:val="22"/>
                <w:lang w:val="en-GB" w:eastAsia="en-GB"/>
              </w:rPr>
              <w:t>Overall deficit</w:t>
            </w:r>
          </w:p>
        </w:tc>
      </w:tr>
    </w:tbl>
    <w:p w:rsidR="00161CB8" w:rsidRDefault="00161CB8" w:rsidP="00161CB8">
      <w:pPr>
        <w:pStyle w:val="ListParagraph"/>
        <w:rPr>
          <w:rFonts w:ascii="Calibri" w:hAnsi="Calibri" w:cs="Calibri"/>
          <w:bCs/>
          <w:sz w:val="22"/>
          <w:szCs w:val="22"/>
        </w:rPr>
      </w:pPr>
    </w:p>
    <w:p w:rsidR="00161CB8" w:rsidRPr="00161CB8" w:rsidRDefault="00161CB8" w:rsidP="00161CB8">
      <w:pPr>
        <w:pStyle w:val="ListParagraph"/>
        <w:rPr>
          <w:rFonts w:ascii="Calibri" w:hAnsi="Calibri" w:cs="Calibri"/>
          <w:bCs/>
          <w:sz w:val="22"/>
          <w:szCs w:val="22"/>
        </w:rPr>
      </w:pPr>
    </w:p>
    <w:p w:rsidR="002464F2" w:rsidRDefault="009966E8" w:rsidP="00842399">
      <w:pPr>
        <w:pStyle w:val="ListParagraph"/>
        <w:numPr>
          <w:ilvl w:val="0"/>
          <w:numId w:val="2"/>
        </w:numPr>
        <w:ind w:left="426" w:hanging="426"/>
        <w:rPr>
          <w:rFonts w:ascii="Calibri" w:hAnsi="Calibri" w:cs="Calibri"/>
          <w:bCs/>
          <w:sz w:val="22"/>
          <w:szCs w:val="22"/>
        </w:rPr>
      </w:pPr>
      <w:r w:rsidRPr="00024785">
        <w:rPr>
          <w:rFonts w:ascii="Calibri" w:hAnsi="Calibri" w:cs="Calibri"/>
          <w:bCs/>
          <w:sz w:val="22"/>
          <w:szCs w:val="22"/>
        </w:rPr>
        <w:t>The following points are highlighte</w:t>
      </w:r>
      <w:r w:rsidR="00FA3E1C" w:rsidRPr="00024785">
        <w:rPr>
          <w:rFonts w:ascii="Calibri" w:hAnsi="Calibri" w:cs="Calibri"/>
          <w:bCs/>
          <w:sz w:val="22"/>
          <w:szCs w:val="22"/>
        </w:rPr>
        <w:t>d for the Standing Committee’s information</w:t>
      </w:r>
      <w:r w:rsidRPr="00024785">
        <w:rPr>
          <w:rFonts w:ascii="Calibri" w:hAnsi="Calibri" w:cs="Calibri"/>
          <w:bCs/>
          <w:sz w:val="22"/>
          <w:szCs w:val="22"/>
        </w:rPr>
        <w:t>:</w:t>
      </w:r>
    </w:p>
    <w:p w:rsidR="002464F2" w:rsidRPr="002464F2" w:rsidRDefault="002464F2" w:rsidP="00842399">
      <w:pPr>
        <w:pStyle w:val="ListParagraph"/>
        <w:rPr>
          <w:rFonts w:ascii="Calibri" w:hAnsi="Calibri" w:cs="Calibri"/>
          <w:bCs/>
          <w:sz w:val="22"/>
          <w:szCs w:val="22"/>
        </w:rPr>
      </w:pPr>
    </w:p>
    <w:p w:rsidR="00E70296" w:rsidRDefault="00515D38" w:rsidP="00842399">
      <w:pPr>
        <w:pStyle w:val="ListParagraph"/>
        <w:numPr>
          <w:ilvl w:val="1"/>
          <w:numId w:val="2"/>
        </w:numPr>
        <w:ind w:left="851" w:hanging="425"/>
        <w:rPr>
          <w:rFonts w:ascii="Calibri" w:hAnsi="Calibri" w:cs="Calibri"/>
          <w:bCs/>
          <w:sz w:val="22"/>
          <w:szCs w:val="22"/>
        </w:rPr>
      </w:pPr>
      <w:r w:rsidRPr="002464F2">
        <w:rPr>
          <w:rFonts w:ascii="Calibri" w:hAnsi="Calibri" w:cs="Calibri"/>
          <w:bCs/>
          <w:sz w:val="22"/>
          <w:szCs w:val="22"/>
        </w:rPr>
        <w:t>Income was</w:t>
      </w:r>
      <w:r w:rsidR="00BD0521" w:rsidRPr="002464F2">
        <w:rPr>
          <w:rFonts w:ascii="Calibri" w:hAnsi="Calibri" w:cs="Calibri"/>
          <w:bCs/>
          <w:sz w:val="22"/>
          <w:szCs w:val="22"/>
        </w:rPr>
        <w:t xml:space="preserve"> generally as budgeted except</w:t>
      </w:r>
      <w:r w:rsidR="00E72D40">
        <w:rPr>
          <w:rFonts w:ascii="Calibri" w:hAnsi="Calibri" w:cs="Calibri"/>
          <w:bCs/>
          <w:sz w:val="22"/>
          <w:szCs w:val="22"/>
        </w:rPr>
        <w:t xml:space="preserve"> for</w:t>
      </w:r>
      <w:r w:rsidR="00BD0521" w:rsidRPr="002464F2">
        <w:rPr>
          <w:rFonts w:ascii="Calibri" w:hAnsi="Calibri" w:cs="Calibri"/>
          <w:bCs/>
          <w:sz w:val="22"/>
          <w:szCs w:val="22"/>
        </w:rPr>
        <w:t xml:space="preserve"> </w:t>
      </w:r>
      <w:r w:rsidR="00E70296">
        <w:rPr>
          <w:rFonts w:ascii="Calibri" w:hAnsi="Calibri" w:cs="Calibri"/>
          <w:bCs/>
          <w:sz w:val="22"/>
          <w:szCs w:val="22"/>
        </w:rPr>
        <w:t>interest</w:t>
      </w:r>
      <w:r w:rsidR="00E72D40">
        <w:rPr>
          <w:rFonts w:ascii="Calibri" w:hAnsi="Calibri" w:cs="Calibri"/>
          <w:bCs/>
          <w:sz w:val="22"/>
          <w:szCs w:val="22"/>
        </w:rPr>
        <w:t xml:space="preserve"> which </w:t>
      </w:r>
      <w:r w:rsidR="00C171D3">
        <w:rPr>
          <w:rFonts w:ascii="Calibri" w:hAnsi="Calibri" w:cs="Calibri"/>
          <w:bCs/>
          <w:sz w:val="22"/>
          <w:szCs w:val="22"/>
        </w:rPr>
        <w:t xml:space="preserve">was </w:t>
      </w:r>
      <w:r w:rsidR="00E70296">
        <w:rPr>
          <w:rFonts w:ascii="Calibri" w:hAnsi="Calibri" w:cs="Calibri"/>
          <w:bCs/>
          <w:sz w:val="22"/>
          <w:szCs w:val="22"/>
        </w:rPr>
        <w:t xml:space="preserve">CHF </w:t>
      </w:r>
      <w:r w:rsidR="00E72D40">
        <w:rPr>
          <w:rFonts w:ascii="Calibri" w:hAnsi="Calibri" w:cs="Calibri"/>
          <w:bCs/>
          <w:sz w:val="22"/>
          <w:szCs w:val="22"/>
        </w:rPr>
        <w:t>11</w:t>
      </w:r>
      <w:r w:rsidR="00E70296">
        <w:rPr>
          <w:rFonts w:ascii="Calibri" w:hAnsi="Calibri" w:cs="Calibri"/>
          <w:bCs/>
          <w:sz w:val="22"/>
          <w:szCs w:val="22"/>
        </w:rPr>
        <w:t xml:space="preserve">,000 </w:t>
      </w:r>
      <w:r w:rsidR="005C689F">
        <w:rPr>
          <w:rFonts w:ascii="Calibri" w:hAnsi="Calibri" w:cs="Calibri"/>
          <w:bCs/>
          <w:sz w:val="22"/>
          <w:szCs w:val="22"/>
        </w:rPr>
        <w:t>under</w:t>
      </w:r>
      <w:r w:rsidR="00E70296">
        <w:rPr>
          <w:rFonts w:ascii="Calibri" w:hAnsi="Calibri" w:cs="Calibri"/>
          <w:bCs/>
          <w:sz w:val="22"/>
          <w:szCs w:val="22"/>
        </w:rPr>
        <w:t xml:space="preserve"> budget.</w:t>
      </w:r>
      <w:r w:rsidR="00E72D40">
        <w:rPr>
          <w:rFonts w:ascii="Calibri" w:hAnsi="Calibri" w:cs="Calibri"/>
          <w:bCs/>
          <w:sz w:val="22"/>
          <w:szCs w:val="22"/>
        </w:rPr>
        <w:t xml:space="preserve"> This </w:t>
      </w:r>
      <w:r w:rsidR="00C171D3">
        <w:rPr>
          <w:rFonts w:ascii="Calibri" w:hAnsi="Calibri" w:cs="Calibri"/>
          <w:bCs/>
          <w:sz w:val="22"/>
          <w:szCs w:val="22"/>
        </w:rPr>
        <w:t xml:space="preserve">was </w:t>
      </w:r>
      <w:r w:rsidR="00E72D40">
        <w:rPr>
          <w:rFonts w:ascii="Calibri" w:hAnsi="Calibri" w:cs="Calibri"/>
          <w:bCs/>
          <w:sz w:val="22"/>
          <w:szCs w:val="22"/>
        </w:rPr>
        <w:t xml:space="preserve">due to the general economic situation in Europe and low interest rates. </w:t>
      </w:r>
    </w:p>
    <w:p w:rsidR="002464F2" w:rsidRDefault="009C5E7D" w:rsidP="00842399">
      <w:pPr>
        <w:pStyle w:val="ListParagraph"/>
        <w:ind w:left="851" w:hanging="425"/>
        <w:rPr>
          <w:rFonts w:ascii="Calibri" w:hAnsi="Calibri" w:cs="Calibri"/>
          <w:bCs/>
          <w:sz w:val="22"/>
          <w:szCs w:val="22"/>
        </w:rPr>
      </w:pPr>
      <w:r>
        <w:rPr>
          <w:rFonts w:ascii="Calibri" w:hAnsi="Calibri" w:cs="Calibri"/>
          <w:bCs/>
          <w:sz w:val="22"/>
          <w:szCs w:val="22"/>
        </w:rPr>
        <w:t xml:space="preserve"> </w:t>
      </w:r>
    </w:p>
    <w:p w:rsidR="00D31D60" w:rsidRDefault="00C171D3" w:rsidP="0051655D">
      <w:pPr>
        <w:pStyle w:val="ListParagraph"/>
        <w:numPr>
          <w:ilvl w:val="1"/>
          <w:numId w:val="2"/>
        </w:numPr>
        <w:ind w:left="851" w:hanging="425"/>
        <w:rPr>
          <w:rFonts w:ascii="Calibri" w:hAnsi="Calibri" w:cs="Calibri"/>
          <w:bCs/>
          <w:sz w:val="22"/>
          <w:szCs w:val="22"/>
        </w:rPr>
      </w:pPr>
      <w:r>
        <w:rPr>
          <w:rFonts w:ascii="Calibri" w:hAnsi="Calibri" w:cs="Calibri"/>
          <w:bCs/>
          <w:sz w:val="22"/>
          <w:szCs w:val="22"/>
        </w:rPr>
        <w:t>Overall s</w:t>
      </w:r>
      <w:r w:rsidR="005D0C79" w:rsidRPr="0051655D">
        <w:rPr>
          <w:rFonts w:ascii="Calibri" w:hAnsi="Calibri" w:cs="Calibri"/>
          <w:bCs/>
          <w:sz w:val="22"/>
          <w:szCs w:val="22"/>
        </w:rPr>
        <w:t xml:space="preserve">alary costs </w:t>
      </w:r>
      <w:r w:rsidR="007E3F00" w:rsidRPr="0051655D">
        <w:rPr>
          <w:rFonts w:ascii="Calibri" w:hAnsi="Calibri" w:cs="Calibri"/>
          <w:bCs/>
          <w:sz w:val="22"/>
          <w:szCs w:val="22"/>
        </w:rPr>
        <w:t>were</w:t>
      </w:r>
      <w:r w:rsidR="00924389">
        <w:rPr>
          <w:rFonts w:ascii="Calibri" w:hAnsi="Calibri" w:cs="Calibri"/>
          <w:bCs/>
          <w:sz w:val="22"/>
          <w:szCs w:val="22"/>
        </w:rPr>
        <w:t xml:space="preserve"> </w:t>
      </w:r>
      <w:r w:rsidR="0051655D" w:rsidRPr="0051655D">
        <w:rPr>
          <w:rFonts w:ascii="Calibri" w:hAnsi="Calibri" w:cs="Calibri"/>
          <w:bCs/>
          <w:sz w:val="22"/>
          <w:szCs w:val="22"/>
        </w:rPr>
        <w:t>CHF 2</w:t>
      </w:r>
      <w:r w:rsidR="00924389">
        <w:rPr>
          <w:rFonts w:ascii="Calibri" w:hAnsi="Calibri" w:cs="Calibri"/>
          <w:bCs/>
          <w:sz w:val="22"/>
          <w:szCs w:val="22"/>
        </w:rPr>
        <w:t>18</w:t>
      </w:r>
      <w:r w:rsidR="0051655D" w:rsidRPr="0051655D">
        <w:rPr>
          <w:rFonts w:ascii="Calibri" w:hAnsi="Calibri" w:cs="Calibri"/>
          <w:bCs/>
          <w:sz w:val="22"/>
          <w:szCs w:val="22"/>
        </w:rPr>
        <w:t>,000 under</w:t>
      </w:r>
      <w:r w:rsidR="007E3F00" w:rsidRPr="0051655D">
        <w:rPr>
          <w:rFonts w:ascii="Calibri" w:hAnsi="Calibri" w:cs="Calibri"/>
          <w:bCs/>
          <w:sz w:val="22"/>
          <w:szCs w:val="22"/>
        </w:rPr>
        <w:t xml:space="preserve"> </w:t>
      </w:r>
      <w:r w:rsidR="00C63097" w:rsidRPr="0051655D">
        <w:rPr>
          <w:rFonts w:ascii="Calibri" w:hAnsi="Calibri" w:cs="Calibri"/>
          <w:bCs/>
          <w:sz w:val="22"/>
          <w:szCs w:val="22"/>
        </w:rPr>
        <w:t>budget (</w:t>
      </w:r>
      <w:r w:rsidR="0051655D" w:rsidRPr="0051655D">
        <w:rPr>
          <w:rFonts w:ascii="Calibri" w:hAnsi="Calibri" w:cs="Calibri"/>
          <w:bCs/>
          <w:sz w:val="22"/>
          <w:szCs w:val="22"/>
        </w:rPr>
        <w:t>7</w:t>
      </w:r>
      <w:r w:rsidR="007E3F00" w:rsidRPr="0051655D">
        <w:rPr>
          <w:rFonts w:ascii="Calibri" w:hAnsi="Calibri" w:cs="Calibri"/>
          <w:bCs/>
          <w:sz w:val="22"/>
          <w:szCs w:val="22"/>
        </w:rPr>
        <w:t xml:space="preserve">% </w:t>
      </w:r>
      <w:r w:rsidR="00051B99">
        <w:rPr>
          <w:rFonts w:ascii="Calibri" w:hAnsi="Calibri" w:cs="Calibri"/>
          <w:bCs/>
          <w:sz w:val="22"/>
          <w:szCs w:val="22"/>
        </w:rPr>
        <w:t>under</w:t>
      </w:r>
      <w:r w:rsidR="00051B99" w:rsidRPr="0051655D">
        <w:rPr>
          <w:rFonts w:ascii="Calibri" w:hAnsi="Calibri" w:cs="Calibri"/>
          <w:bCs/>
          <w:sz w:val="22"/>
          <w:szCs w:val="22"/>
        </w:rPr>
        <w:t xml:space="preserve"> </w:t>
      </w:r>
      <w:r w:rsidR="007E3F00" w:rsidRPr="0051655D">
        <w:rPr>
          <w:rFonts w:ascii="Calibri" w:hAnsi="Calibri" w:cs="Calibri"/>
          <w:bCs/>
          <w:sz w:val="22"/>
          <w:szCs w:val="22"/>
        </w:rPr>
        <w:t>budget).</w:t>
      </w:r>
      <w:r w:rsidR="0051655D" w:rsidRPr="0051655D">
        <w:rPr>
          <w:rFonts w:ascii="Calibri" w:hAnsi="Calibri" w:cs="Calibri"/>
          <w:bCs/>
          <w:sz w:val="22"/>
          <w:szCs w:val="22"/>
        </w:rPr>
        <w:t xml:space="preserve"> This was due to</w:t>
      </w:r>
      <w:r w:rsidR="00924389">
        <w:rPr>
          <w:rFonts w:ascii="Calibri" w:hAnsi="Calibri" w:cs="Calibri"/>
          <w:bCs/>
          <w:sz w:val="22"/>
          <w:szCs w:val="22"/>
        </w:rPr>
        <w:t xml:space="preserve">: </w:t>
      </w:r>
    </w:p>
    <w:p w:rsidR="00C63097" w:rsidRPr="00C63097" w:rsidRDefault="00C63097" w:rsidP="00A236A3">
      <w:pPr>
        <w:rPr>
          <w:rFonts w:ascii="Calibri" w:hAnsi="Calibri" w:cs="Calibri"/>
          <w:bCs/>
          <w:sz w:val="22"/>
          <w:szCs w:val="22"/>
        </w:rPr>
      </w:pPr>
    </w:p>
    <w:p w:rsidR="00D31D60" w:rsidRDefault="0051655D" w:rsidP="00A236A3">
      <w:pPr>
        <w:pStyle w:val="ListParagraph"/>
        <w:numPr>
          <w:ilvl w:val="0"/>
          <w:numId w:val="16"/>
        </w:numPr>
        <w:ind w:left="1276" w:hanging="425"/>
        <w:rPr>
          <w:rFonts w:ascii="Calibri" w:hAnsi="Calibri" w:cs="Calibri"/>
          <w:bCs/>
          <w:sz w:val="22"/>
          <w:szCs w:val="22"/>
        </w:rPr>
      </w:pPr>
      <w:r w:rsidRPr="00D31D60">
        <w:rPr>
          <w:rFonts w:ascii="Calibri" w:hAnsi="Calibri" w:cs="Calibri"/>
          <w:bCs/>
          <w:sz w:val="22"/>
          <w:szCs w:val="22"/>
        </w:rPr>
        <w:t xml:space="preserve">50% of </w:t>
      </w:r>
      <w:r w:rsidR="00051B99">
        <w:rPr>
          <w:rFonts w:ascii="Calibri" w:hAnsi="Calibri" w:cs="Calibri"/>
          <w:bCs/>
          <w:sz w:val="22"/>
          <w:szCs w:val="22"/>
        </w:rPr>
        <w:t>Regional Officer-</w:t>
      </w:r>
      <w:r w:rsidRPr="00D31D60">
        <w:rPr>
          <w:rFonts w:ascii="Calibri" w:hAnsi="Calibri" w:cs="Calibri"/>
          <w:bCs/>
          <w:sz w:val="22"/>
          <w:szCs w:val="22"/>
        </w:rPr>
        <w:t>Oceania unused in 2015 (CHF 40,000)</w:t>
      </w:r>
      <w:r w:rsidR="00C63097">
        <w:rPr>
          <w:rFonts w:ascii="Calibri" w:hAnsi="Calibri" w:cs="Calibri"/>
          <w:bCs/>
          <w:sz w:val="22"/>
          <w:szCs w:val="22"/>
        </w:rPr>
        <w:t>;</w:t>
      </w:r>
    </w:p>
    <w:p w:rsidR="00141FAF" w:rsidRDefault="00141FAF" w:rsidP="00A236A3">
      <w:pPr>
        <w:pStyle w:val="ListParagraph"/>
        <w:numPr>
          <w:ilvl w:val="0"/>
          <w:numId w:val="16"/>
        </w:numPr>
        <w:ind w:left="1276" w:hanging="425"/>
        <w:rPr>
          <w:rFonts w:ascii="Calibri" w:hAnsi="Calibri" w:cs="Calibri"/>
          <w:bCs/>
          <w:sz w:val="22"/>
          <w:szCs w:val="22"/>
        </w:rPr>
      </w:pPr>
      <w:r>
        <w:rPr>
          <w:rFonts w:ascii="Calibri" w:hAnsi="Calibri" w:cs="Calibri"/>
          <w:bCs/>
          <w:sz w:val="22"/>
          <w:szCs w:val="22"/>
        </w:rPr>
        <w:t>accrual of</w:t>
      </w:r>
      <w:r w:rsidRPr="00D31D60">
        <w:rPr>
          <w:rFonts w:ascii="Calibri" w:hAnsi="Calibri" w:cs="Calibri"/>
          <w:bCs/>
          <w:sz w:val="22"/>
          <w:szCs w:val="22"/>
        </w:rPr>
        <w:t xml:space="preserve"> </w:t>
      </w:r>
      <w:r w:rsidR="00051B99">
        <w:rPr>
          <w:rFonts w:ascii="Calibri" w:hAnsi="Calibri" w:cs="Calibri"/>
          <w:bCs/>
          <w:sz w:val="22"/>
          <w:szCs w:val="22"/>
        </w:rPr>
        <w:t>Regional Officer-</w:t>
      </w:r>
      <w:r w:rsidR="00051B99" w:rsidRPr="00D31D60">
        <w:rPr>
          <w:rFonts w:ascii="Calibri" w:hAnsi="Calibri" w:cs="Calibri"/>
          <w:bCs/>
          <w:sz w:val="22"/>
          <w:szCs w:val="22"/>
        </w:rPr>
        <w:t xml:space="preserve">Oceania </w:t>
      </w:r>
      <w:r w:rsidRPr="00D31D60">
        <w:rPr>
          <w:rFonts w:ascii="Calibri" w:hAnsi="Calibri" w:cs="Calibri"/>
          <w:bCs/>
          <w:sz w:val="22"/>
          <w:szCs w:val="22"/>
        </w:rPr>
        <w:t>2014 (CHF 85,000)</w:t>
      </w:r>
      <w:r>
        <w:rPr>
          <w:rFonts w:ascii="Calibri" w:hAnsi="Calibri" w:cs="Calibri"/>
          <w:bCs/>
          <w:sz w:val="22"/>
          <w:szCs w:val="22"/>
        </w:rPr>
        <w:t>;</w:t>
      </w:r>
    </w:p>
    <w:p w:rsidR="00D31D60" w:rsidRDefault="00C63097" w:rsidP="00A236A3">
      <w:pPr>
        <w:pStyle w:val="ListParagraph"/>
        <w:numPr>
          <w:ilvl w:val="0"/>
          <w:numId w:val="16"/>
        </w:numPr>
        <w:ind w:left="1276" w:hanging="425"/>
        <w:rPr>
          <w:rFonts w:ascii="Calibri" w:hAnsi="Calibri" w:cs="Calibri"/>
          <w:bCs/>
          <w:sz w:val="22"/>
          <w:szCs w:val="22"/>
        </w:rPr>
      </w:pPr>
      <w:r>
        <w:rPr>
          <w:rFonts w:ascii="Calibri" w:hAnsi="Calibri" w:cs="Calibri"/>
          <w:bCs/>
          <w:sz w:val="22"/>
          <w:szCs w:val="22"/>
        </w:rPr>
        <w:t>d</w:t>
      </w:r>
      <w:r w:rsidR="00D31D60" w:rsidRPr="00D31D60">
        <w:rPr>
          <w:rFonts w:ascii="Calibri" w:hAnsi="Calibri" w:cs="Calibri"/>
          <w:bCs/>
          <w:sz w:val="22"/>
          <w:szCs w:val="22"/>
        </w:rPr>
        <w:t>elayed</w:t>
      </w:r>
      <w:r>
        <w:rPr>
          <w:rFonts w:ascii="Calibri" w:hAnsi="Calibri" w:cs="Calibri"/>
          <w:bCs/>
          <w:sz w:val="22"/>
          <w:szCs w:val="22"/>
        </w:rPr>
        <w:t xml:space="preserve"> </w:t>
      </w:r>
      <w:r w:rsidR="0051655D" w:rsidRPr="00D31D60">
        <w:rPr>
          <w:rFonts w:ascii="Calibri" w:hAnsi="Calibri" w:cs="Calibri"/>
          <w:bCs/>
          <w:sz w:val="22"/>
          <w:szCs w:val="22"/>
        </w:rPr>
        <w:t xml:space="preserve">start of IT </w:t>
      </w:r>
      <w:r w:rsidR="00051B99">
        <w:rPr>
          <w:rFonts w:ascii="Calibri" w:hAnsi="Calibri" w:cs="Calibri"/>
          <w:bCs/>
          <w:sz w:val="22"/>
          <w:szCs w:val="22"/>
        </w:rPr>
        <w:t>O</w:t>
      </w:r>
      <w:r w:rsidR="0051655D" w:rsidRPr="00D31D60">
        <w:rPr>
          <w:rFonts w:ascii="Calibri" w:hAnsi="Calibri" w:cs="Calibri"/>
          <w:bCs/>
          <w:sz w:val="22"/>
          <w:szCs w:val="22"/>
        </w:rPr>
        <w:t>fficer (CHF 4</w:t>
      </w:r>
      <w:r w:rsidR="00924389" w:rsidRPr="00D31D60">
        <w:rPr>
          <w:rFonts w:ascii="Calibri" w:hAnsi="Calibri" w:cs="Calibri"/>
          <w:bCs/>
          <w:sz w:val="22"/>
          <w:szCs w:val="22"/>
        </w:rPr>
        <w:t>0</w:t>
      </w:r>
      <w:r w:rsidR="0051655D" w:rsidRPr="00D31D60">
        <w:rPr>
          <w:rFonts w:ascii="Calibri" w:hAnsi="Calibri" w:cs="Calibri"/>
          <w:bCs/>
          <w:sz w:val="22"/>
          <w:szCs w:val="22"/>
        </w:rPr>
        <w:t>,000)</w:t>
      </w:r>
      <w:r>
        <w:rPr>
          <w:rFonts w:ascii="Calibri" w:hAnsi="Calibri" w:cs="Calibri"/>
          <w:bCs/>
          <w:sz w:val="22"/>
          <w:szCs w:val="22"/>
        </w:rPr>
        <w:t>;</w:t>
      </w:r>
    </w:p>
    <w:p w:rsidR="00D31D60" w:rsidRDefault="00D31D60" w:rsidP="00A236A3">
      <w:pPr>
        <w:pStyle w:val="ListParagraph"/>
        <w:numPr>
          <w:ilvl w:val="0"/>
          <w:numId w:val="16"/>
        </w:numPr>
        <w:ind w:left="1276" w:hanging="425"/>
        <w:rPr>
          <w:rFonts w:ascii="Calibri" w:hAnsi="Calibri" w:cs="Calibri"/>
          <w:bCs/>
          <w:sz w:val="22"/>
          <w:szCs w:val="22"/>
        </w:rPr>
      </w:pPr>
      <w:r w:rsidRPr="00D31D60">
        <w:rPr>
          <w:rFonts w:ascii="Calibri" w:hAnsi="Calibri" w:cs="Calibri"/>
          <w:bCs/>
          <w:sz w:val="22"/>
          <w:szCs w:val="22"/>
        </w:rPr>
        <w:t>delayed</w:t>
      </w:r>
      <w:r w:rsidR="0051655D" w:rsidRPr="00D31D60">
        <w:rPr>
          <w:rFonts w:ascii="Calibri" w:hAnsi="Calibri" w:cs="Calibri"/>
          <w:bCs/>
          <w:sz w:val="22"/>
          <w:szCs w:val="22"/>
        </w:rPr>
        <w:t xml:space="preserve"> start of Deputy Secretary General (CHF 15,000)</w:t>
      </w:r>
      <w:r w:rsidR="00C63097">
        <w:rPr>
          <w:rFonts w:ascii="Calibri" w:hAnsi="Calibri" w:cs="Calibri"/>
          <w:bCs/>
          <w:sz w:val="22"/>
          <w:szCs w:val="22"/>
        </w:rPr>
        <w:t>;</w:t>
      </w:r>
    </w:p>
    <w:p w:rsidR="00D31D60" w:rsidRDefault="0040225B" w:rsidP="00A236A3">
      <w:pPr>
        <w:pStyle w:val="ListParagraph"/>
        <w:numPr>
          <w:ilvl w:val="0"/>
          <w:numId w:val="16"/>
        </w:numPr>
        <w:ind w:left="1276" w:hanging="425"/>
        <w:rPr>
          <w:rFonts w:ascii="Calibri" w:hAnsi="Calibri" w:cs="Calibri"/>
          <w:bCs/>
          <w:sz w:val="22"/>
          <w:szCs w:val="22"/>
        </w:rPr>
      </w:pPr>
      <w:r w:rsidRPr="00D31D60">
        <w:rPr>
          <w:rFonts w:ascii="Calibri" w:hAnsi="Calibri" w:cs="Calibri"/>
          <w:bCs/>
          <w:sz w:val="22"/>
          <w:szCs w:val="22"/>
        </w:rPr>
        <w:t xml:space="preserve">unused </w:t>
      </w:r>
      <w:r w:rsidR="0051655D" w:rsidRPr="00D31D60">
        <w:rPr>
          <w:rFonts w:ascii="Calibri" w:hAnsi="Calibri" w:cs="Calibri"/>
          <w:bCs/>
          <w:sz w:val="22"/>
          <w:szCs w:val="22"/>
        </w:rPr>
        <w:t>education allowance (CHF 40,000)</w:t>
      </w:r>
      <w:r w:rsidR="00C63097">
        <w:rPr>
          <w:rFonts w:ascii="Calibri" w:hAnsi="Calibri" w:cs="Calibri"/>
          <w:bCs/>
          <w:sz w:val="22"/>
          <w:szCs w:val="22"/>
        </w:rPr>
        <w:t>;</w:t>
      </w:r>
      <w:r w:rsidR="00E2375B" w:rsidRPr="00D31D60">
        <w:rPr>
          <w:rFonts w:ascii="Calibri" w:hAnsi="Calibri" w:cs="Calibri"/>
          <w:bCs/>
          <w:sz w:val="22"/>
          <w:szCs w:val="22"/>
        </w:rPr>
        <w:t xml:space="preserve"> and </w:t>
      </w:r>
    </w:p>
    <w:p w:rsidR="0051655D" w:rsidRPr="00D31D60" w:rsidRDefault="00E2375B" w:rsidP="00A236A3">
      <w:pPr>
        <w:pStyle w:val="ListParagraph"/>
        <w:numPr>
          <w:ilvl w:val="0"/>
          <w:numId w:val="16"/>
        </w:numPr>
        <w:ind w:left="1276" w:hanging="425"/>
        <w:rPr>
          <w:rFonts w:ascii="Calibri" w:hAnsi="Calibri" w:cs="Calibri"/>
          <w:bCs/>
          <w:sz w:val="22"/>
          <w:szCs w:val="22"/>
        </w:rPr>
      </w:pPr>
      <w:r w:rsidRPr="00D31D60">
        <w:rPr>
          <w:rFonts w:ascii="Calibri" w:hAnsi="Calibri" w:cs="Calibri"/>
          <w:bCs/>
          <w:sz w:val="22"/>
          <w:szCs w:val="22"/>
        </w:rPr>
        <w:t xml:space="preserve">other </w:t>
      </w:r>
      <w:r w:rsidR="00D31D60">
        <w:rPr>
          <w:rFonts w:ascii="Calibri" w:hAnsi="Calibri" w:cs="Calibri"/>
          <w:bCs/>
          <w:sz w:val="22"/>
          <w:szCs w:val="22"/>
        </w:rPr>
        <w:t xml:space="preserve">minor adjustments </w:t>
      </w:r>
      <w:r w:rsidRPr="00D31D60">
        <w:rPr>
          <w:rFonts w:ascii="Calibri" w:hAnsi="Calibri" w:cs="Calibri"/>
          <w:bCs/>
          <w:sz w:val="22"/>
          <w:szCs w:val="22"/>
        </w:rPr>
        <w:t>(CHF -2,000)</w:t>
      </w:r>
      <w:r w:rsidR="0051655D" w:rsidRPr="00D31D60">
        <w:rPr>
          <w:rFonts w:ascii="Calibri" w:hAnsi="Calibri" w:cs="Calibri"/>
          <w:bCs/>
          <w:sz w:val="22"/>
          <w:szCs w:val="22"/>
        </w:rPr>
        <w:t>.</w:t>
      </w:r>
    </w:p>
    <w:p w:rsidR="007E3F00" w:rsidRPr="007E3F00" w:rsidRDefault="007E3F00" w:rsidP="007E3F00">
      <w:pPr>
        <w:pStyle w:val="ListParagraph"/>
        <w:rPr>
          <w:rFonts w:ascii="Calibri" w:hAnsi="Calibri" w:cs="Calibri"/>
          <w:bCs/>
          <w:sz w:val="22"/>
          <w:szCs w:val="22"/>
        </w:rPr>
      </w:pPr>
    </w:p>
    <w:p w:rsidR="002464F2" w:rsidRDefault="005D0C79" w:rsidP="00842399">
      <w:pPr>
        <w:pStyle w:val="ListParagraph"/>
        <w:numPr>
          <w:ilvl w:val="1"/>
          <w:numId w:val="2"/>
        </w:numPr>
        <w:ind w:left="851" w:hanging="425"/>
        <w:rPr>
          <w:rFonts w:ascii="Calibri" w:hAnsi="Calibri" w:cs="Calibri"/>
          <w:bCs/>
          <w:sz w:val="22"/>
          <w:szCs w:val="22"/>
        </w:rPr>
      </w:pPr>
      <w:r w:rsidRPr="002464F2">
        <w:rPr>
          <w:rFonts w:ascii="Calibri" w:hAnsi="Calibri" w:cs="Calibri"/>
          <w:bCs/>
          <w:sz w:val="22"/>
          <w:szCs w:val="22"/>
        </w:rPr>
        <w:t>No IUCN</w:t>
      </w:r>
      <w:r w:rsidR="005676AA" w:rsidRPr="002464F2">
        <w:rPr>
          <w:rFonts w:ascii="Calibri" w:hAnsi="Calibri" w:cs="Calibri"/>
          <w:bCs/>
          <w:sz w:val="22"/>
          <w:szCs w:val="22"/>
        </w:rPr>
        <w:t>-</w:t>
      </w:r>
      <w:r w:rsidRPr="002464F2">
        <w:rPr>
          <w:rFonts w:ascii="Calibri" w:hAnsi="Calibri" w:cs="Calibri"/>
          <w:bCs/>
          <w:sz w:val="22"/>
          <w:szCs w:val="22"/>
        </w:rPr>
        <w:t xml:space="preserve">imposed </w:t>
      </w:r>
      <w:r w:rsidR="00135B39" w:rsidRPr="002464F2">
        <w:rPr>
          <w:rFonts w:ascii="Calibri" w:hAnsi="Calibri" w:cs="Calibri"/>
          <w:bCs/>
          <w:sz w:val="22"/>
          <w:szCs w:val="22"/>
        </w:rPr>
        <w:t>cost-of-</w:t>
      </w:r>
      <w:r w:rsidRPr="002464F2">
        <w:rPr>
          <w:rFonts w:ascii="Calibri" w:hAnsi="Calibri" w:cs="Calibri"/>
          <w:bCs/>
          <w:sz w:val="22"/>
          <w:szCs w:val="22"/>
        </w:rPr>
        <w:t>living increases or any other salary increases</w:t>
      </w:r>
      <w:r w:rsidR="00BC63C9" w:rsidRPr="002464F2">
        <w:rPr>
          <w:rFonts w:ascii="Calibri" w:hAnsi="Calibri" w:cs="Calibri"/>
          <w:bCs/>
          <w:sz w:val="22"/>
          <w:szCs w:val="22"/>
        </w:rPr>
        <w:t xml:space="preserve"> </w:t>
      </w:r>
      <w:r w:rsidR="00135B39" w:rsidRPr="002464F2">
        <w:rPr>
          <w:rFonts w:ascii="Calibri" w:hAnsi="Calibri" w:cs="Calibri"/>
          <w:bCs/>
          <w:sz w:val="22"/>
          <w:szCs w:val="22"/>
        </w:rPr>
        <w:t xml:space="preserve">have come into effect </w:t>
      </w:r>
      <w:r w:rsidRPr="002464F2">
        <w:rPr>
          <w:rFonts w:ascii="Calibri" w:hAnsi="Calibri" w:cs="Calibri"/>
          <w:bCs/>
          <w:sz w:val="22"/>
          <w:szCs w:val="22"/>
        </w:rPr>
        <w:t>since 2011.</w:t>
      </w:r>
    </w:p>
    <w:p w:rsidR="002464F2" w:rsidRPr="002464F2" w:rsidRDefault="002464F2" w:rsidP="00842399">
      <w:pPr>
        <w:pStyle w:val="ListParagraph"/>
        <w:ind w:left="851" w:hanging="425"/>
        <w:rPr>
          <w:rFonts w:ascii="Calibri" w:hAnsi="Calibri" w:cs="Calibri"/>
          <w:bCs/>
          <w:sz w:val="22"/>
          <w:szCs w:val="22"/>
        </w:rPr>
      </w:pPr>
    </w:p>
    <w:p w:rsidR="002464F2" w:rsidRPr="00387677" w:rsidRDefault="00135B39" w:rsidP="00387677">
      <w:pPr>
        <w:pStyle w:val="ListParagraph"/>
        <w:numPr>
          <w:ilvl w:val="1"/>
          <w:numId w:val="2"/>
        </w:numPr>
        <w:ind w:left="851" w:hanging="425"/>
        <w:rPr>
          <w:rFonts w:ascii="Calibri" w:hAnsi="Calibri" w:cs="Calibri"/>
          <w:bCs/>
          <w:sz w:val="22"/>
          <w:szCs w:val="22"/>
        </w:rPr>
      </w:pPr>
      <w:r w:rsidRPr="002464F2">
        <w:rPr>
          <w:rFonts w:ascii="Calibri" w:hAnsi="Calibri" w:cs="Calibri"/>
          <w:bCs/>
          <w:sz w:val="22"/>
          <w:szCs w:val="22"/>
        </w:rPr>
        <w:t xml:space="preserve">Allocations of </w:t>
      </w:r>
      <w:r w:rsidR="00C27D90" w:rsidRPr="002464F2">
        <w:rPr>
          <w:rFonts w:ascii="Calibri" w:hAnsi="Calibri" w:cs="Calibri"/>
          <w:bCs/>
          <w:sz w:val="22"/>
          <w:szCs w:val="22"/>
        </w:rPr>
        <w:t xml:space="preserve">CHF </w:t>
      </w:r>
      <w:r w:rsidRPr="002464F2">
        <w:rPr>
          <w:rFonts w:ascii="Calibri" w:hAnsi="Calibri" w:cs="Calibri"/>
          <w:bCs/>
          <w:sz w:val="22"/>
          <w:szCs w:val="22"/>
        </w:rPr>
        <w:t>1</w:t>
      </w:r>
      <w:r w:rsidR="00912433">
        <w:rPr>
          <w:rFonts w:ascii="Calibri" w:hAnsi="Calibri" w:cs="Calibri"/>
          <w:bCs/>
          <w:sz w:val="22"/>
          <w:szCs w:val="22"/>
        </w:rPr>
        <w:t>0</w:t>
      </w:r>
      <w:r w:rsidR="00387677">
        <w:rPr>
          <w:rFonts w:ascii="Calibri" w:hAnsi="Calibri" w:cs="Calibri"/>
          <w:bCs/>
          <w:sz w:val="22"/>
          <w:szCs w:val="22"/>
        </w:rPr>
        <w:t>6</w:t>
      </w:r>
      <w:r w:rsidR="00912433">
        <w:rPr>
          <w:rFonts w:ascii="Calibri" w:hAnsi="Calibri" w:cs="Calibri"/>
          <w:bCs/>
          <w:sz w:val="22"/>
          <w:szCs w:val="22"/>
        </w:rPr>
        <w:t>,</w:t>
      </w:r>
      <w:r w:rsidR="00387677">
        <w:rPr>
          <w:rFonts w:ascii="Calibri" w:hAnsi="Calibri" w:cs="Calibri"/>
          <w:bCs/>
          <w:sz w:val="22"/>
          <w:szCs w:val="22"/>
        </w:rPr>
        <w:t>8</w:t>
      </w:r>
      <w:r w:rsidR="00912433">
        <w:rPr>
          <w:rFonts w:ascii="Calibri" w:hAnsi="Calibri" w:cs="Calibri"/>
          <w:bCs/>
          <w:sz w:val="22"/>
          <w:szCs w:val="22"/>
        </w:rPr>
        <w:t>00</w:t>
      </w:r>
      <w:r w:rsidRPr="002464F2">
        <w:rPr>
          <w:rFonts w:ascii="Calibri" w:hAnsi="Calibri" w:cs="Calibri"/>
          <w:bCs/>
          <w:sz w:val="22"/>
          <w:szCs w:val="22"/>
        </w:rPr>
        <w:t xml:space="preserve"> </w:t>
      </w:r>
      <w:r w:rsidR="00161CB8" w:rsidRPr="002464F2">
        <w:rPr>
          <w:rFonts w:ascii="Calibri" w:hAnsi="Calibri" w:cs="Calibri"/>
          <w:bCs/>
          <w:sz w:val="22"/>
          <w:szCs w:val="22"/>
        </w:rPr>
        <w:t xml:space="preserve">were made </w:t>
      </w:r>
      <w:r w:rsidRPr="002464F2">
        <w:rPr>
          <w:rFonts w:ascii="Calibri" w:hAnsi="Calibri" w:cs="Calibri"/>
          <w:bCs/>
          <w:sz w:val="22"/>
          <w:szCs w:val="22"/>
        </w:rPr>
        <w:t xml:space="preserve">to </w:t>
      </w:r>
      <w:r w:rsidR="007F7CC8">
        <w:rPr>
          <w:rFonts w:ascii="Calibri" w:hAnsi="Calibri" w:cs="Calibri"/>
          <w:bCs/>
          <w:sz w:val="22"/>
          <w:szCs w:val="22"/>
        </w:rPr>
        <w:t xml:space="preserve">Ramsar </w:t>
      </w:r>
      <w:r w:rsidR="008B6013" w:rsidRPr="002464F2">
        <w:rPr>
          <w:rFonts w:ascii="Calibri" w:hAnsi="Calibri" w:cs="Calibri"/>
          <w:bCs/>
          <w:sz w:val="22"/>
          <w:szCs w:val="22"/>
        </w:rPr>
        <w:t xml:space="preserve">Regional </w:t>
      </w:r>
      <w:r w:rsidRPr="002464F2">
        <w:rPr>
          <w:rFonts w:ascii="Calibri" w:hAnsi="Calibri" w:cs="Calibri"/>
          <w:bCs/>
          <w:sz w:val="22"/>
          <w:szCs w:val="22"/>
        </w:rPr>
        <w:t>I</w:t>
      </w:r>
      <w:r w:rsidR="008B6013" w:rsidRPr="002464F2">
        <w:rPr>
          <w:rFonts w:ascii="Calibri" w:hAnsi="Calibri" w:cs="Calibri"/>
          <w:bCs/>
          <w:sz w:val="22"/>
          <w:szCs w:val="22"/>
        </w:rPr>
        <w:t xml:space="preserve">nitiatives as agreed at </w:t>
      </w:r>
      <w:r w:rsidR="00161CB8" w:rsidRPr="002464F2">
        <w:rPr>
          <w:rFonts w:ascii="Calibri" w:hAnsi="Calibri" w:cs="Calibri"/>
          <w:bCs/>
          <w:sz w:val="22"/>
          <w:szCs w:val="22"/>
        </w:rPr>
        <w:t>SC</w:t>
      </w:r>
      <w:r w:rsidR="00161CB8">
        <w:rPr>
          <w:rFonts w:ascii="Calibri" w:hAnsi="Calibri" w:cs="Calibri"/>
          <w:bCs/>
          <w:sz w:val="22"/>
          <w:szCs w:val="22"/>
        </w:rPr>
        <w:t>49</w:t>
      </w:r>
      <w:r w:rsidR="00161CB8" w:rsidRPr="002464F2">
        <w:rPr>
          <w:rFonts w:ascii="Calibri" w:hAnsi="Calibri" w:cs="Calibri"/>
          <w:bCs/>
          <w:sz w:val="22"/>
          <w:szCs w:val="22"/>
        </w:rPr>
        <w:t xml:space="preserve"> </w:t>
      </w:r>
      <w:r w:rsidR="00F9381E" w:rsidRPr="002464F2">
        <w:rPr>
          <w:rFonts w:ascii="Calibri" w:hAnsi="Calibri" w:cs="Calibri"/>
          <w:bCs/>
          <w:sz w:val="22"/>
          <w:szCs w:val="22"/>
        </w:rPr>
        <w:t>(</w:t>
      </w:r>
      <w:r w:rsidR="009C5E7D">
        <w:rPr>
          <w:rFonts w:ascii="Calibri" w:hAnsi="Calibri" w:cs="Calibri"/>
          <w:bCs/>
          <w:sz w:val="22"/>
          <w:szCs w:val="22"/>
        </w:rPr>
        <w:t>Decision SC4</w:t>
      </w:r>
      <w:r w:rsidR="00912433">
        <w:rPr>
          <w:rFonts w:ascii="Calibri" w:hAnsi="Calibri" w:cs="Calibri"/>
          <w:bCs/>
          <w:sz w:val="22"/>
          <w:szCs w:val="22"/>
        </w:rPr>
        <w:t>9</w:t>
      </w:r>
      <w:r w:rsidR="009C5E7D">
        <w:rPr>
          <w:rFonts w:ascii="Calibri" w:hAnsi="Calibri" w:cs="Calibri"/>
          <w:bCs/>
          <w:sz w:val="22"/>
          <w:szCs w:val="22"/>
        </w:rPr>
        <w:t>-</w:t>
      </w:r>
      <w:r w:rsidR="00912433">
        <w:rPr>
          <w:rFonts w:ascii="Calibri" w:hAnsi="Calibri" w:cs="Calibri"/>
          <w:bCs/>
          <w:sz w:val="22"/>
          <w:szCs w:val="22"/>
        </w:rPr>
        <w:t>03</w:t>
      </w:r>
      <w:r w:rsidR="00F9381E" w:rsidRPr="002464F2">
        <w:rPr>
          <w:rFonts w:ascii="Calibri" w:hAnsi="Calibri" w:cs="Calibri"/>
          <w:bCs/>
          <w:sz w:val="22"/>
          <w:szCs w:val="22"/>
        </w:rPr>
        <w:t>)</w:t>
      </w:r>
      <w:r w:rsidR="00912433">
        <w:rPr>
          <w:rFonts w:ascii="Calibri" w:hAnsi="Calibri" w:cs="Calibri"/>
          <w:bCs/>
          <w:sz w:val="22"/>
          <w:szCs w:val="22"/>
        </w:rPr>
        <w:t xml:space="preserve"> and </w:t>
      </w:r>
      <w:r w:rsidR="00387677">
        <w:rPr>
          <w:rFonts w:ascii="Calibri" w:hAnsi="Calibri" w:cs="Calibri"/>
          <w:bCs/>
          <w:sz w:val="22"/>
          <w:szCs w:val="22"/>
        </w:rPr>
        <w:t>reported</w:t>
      </w:r>
      <w:r w:rsidR="00912433">
        <w:rPr>
          <w:rFonts w:ascii="Calibri" w:hAnsi="Calibri" w:cs="Calibri"/>
          <w:bCs/>
          <w:sz w:val="22"/>
          <w:szCs w:val="22"/>
        </w:rPr>
        <w:t xml:space="preserve"> at SC51</w:t>
      </w:r>
      <w:r w:rsidR="00F9381E" w:rsidRPr="002464F2">
        <w:rPr>
          <w:rFonts w:ascii="Calibri" w:hAnsi="Calibri" w:cs="Calibri"/>
          <w:bCs/>
          <w:sz w:val="22"/>
          <w:szCs w:val="22"/>
        </w:rPr>
        <w:t>.</w:t>
      </w:r>
      <w:r w:rsidR="00387677">
        <w:rPr>
          <w:rFonts w:ascii="Calibri" w:hAnsi="Calibri" w:cs="Calibri"/>
          <w:bCs/>
          <w:sz w:val="22"/>
          <w:szCs w:val="22"/>
        </w:rPr>
        <w:t xml:space="preserve"> Additionally, CHF 13,200 was used for </w:t>
      </w:r>
      <w:r w:rsidR="007F7CC8">
        <w:rPr>
          <w:rFonts w:ascii="Calibri" w:hAnsi="Calibri" w:cs="Calibri"/>
          <w:bCs/>
          <w:sz w:val="22"/>
          <w:szCs w:val="22"/>
        </w:rPr>
        <w:t xml:space="preserve">the Ramsar </w:t>
      </w:r>
      <w:r w:rsidR="00387677">
        <w:rPr>
          <w:rFonts w:ascii="Calibri" w:hAnsi="Calibri" w:cs="Calibri"/>
          <w:bCs/>
          <w:sz w:val="22"/>
          <w:szCs w:val="22"/>
        </w:rPr>
        <w:t xml:space="preserve">Regional Initiatives meeting prior to SC51 as agreed by the Executive Team in August 2015. </w:t>
      </w:r>
      <w:r w:rsidR="00FD2FFC">
        <w:rPr>
          <w:rFonts w:ascii="Calibri" w:hAnsi="Calibri" w:cs="Calibri"/>
          <w:bCs/>
          <w:sz w:val="22"/>
          <w:szCs w:val="22"/>
        </w:rPr>
        <w:t xml:space="preserve">These two items total CHF 120,000 as per </w:t>
      </w:r>
      <w:r w:rsidR="00161CB8">
        <w:rPr>
          <w:rFonts w:ascii="Calibri" w:hAnsi="Calibri" w:cs="Calibri"/>
          <w:bCs/>
          <w:sz w:val="22"/>
          <w:szCs w:val="22"/>
        </w:rPr>
        <w:t xml:space="preserve">the </w:t>
      </w:r>
      <w:r w:rsidR="00FD2FFC">
        <w:rPr>
          <w:rFonts w:ascii="Calibri" w:hAnsi="Calibri" w:cs="Calibri"/>
          <w:bCs/>
          <w:sz w:val="22"/>
          <w:szCs w:val="22"/>
        </w:rPr>
        <w:t xml:space="preserve">approved </w:t>
      </w:r>
      <w:r w:rsidR="008A77C9">
        <w:rPr>
          <w:rFonts w:ascii="Calibri" w:hAnsi="Calibri" w:cs="Calibri"/>
          <w:bCs/>
          <w:sz w:val="22"/>
          <w:szCs w:val="22"/>
        </w:rPr>
        <w:t>SC48</w:t>
      </w:r>
      <w:r w:rsidR="00165955">
        <w:rPr>
          <w:rFonts w:ascii="Calibri" w:hAnsi="Calibri" w:cs="Calibri"/>
          <w:bCs/>
          <w:sz w:val="22"/>
          <w:szCs w:val="22"/>
        </w:rPr>
        <w:t xml:space="preserve"> </w:t>
      </w:r>
      <w:r w:rsidR="00FD2FFC">
        <w:rPr>
          <w:rFonts w:ascii="Calibri" w:hAnsi="Calibri" w:cs="Calibri"/>
          <w:bCs/>
          <w:sz w:val="22"/>
          <w:szCs w:val="22"/>
        </w:rPr>
        <w:t>budget.</w:t>
      </w:r>
      <w:r w:rsidR="000538AA" w:rsidRPr="00387677">
        <w:rPr>
          <w:rFonts w:ascii="Calibri" w:hAnsi="Calibri" w:cs="Calibri"/>
          <w:bCs/>
          <w:sz w:val="22"/>
          <w:szCs w:val="22"/>
        </w:rPr>
        <w:t xml:space="preserve"> </w:t>
      </w:r>
    </w:p>
    <w:p w:rsidR="002464F2" w:rsidRPr="002464F2" w:rsidRDefault="002464F2" w:rsidP="00842399">
      <w:pPr>
        <w:pStyle w:val="ListParagraph"/>
        <w:ind w:left="851" w:hanging="425"/>
        <w:rPr>
          <w:rFonts w:ascii="Calibri" w:hAnsi="Calibri" w:cs="Calibri"/>
          <w:bCs/>
          <w:sz w:val="22"/>
          <w:szCs w:val="22"/>
        </w:rPr>
      </w:pPr>
    </w:p>
    <w:p w:rsidR="0080525E" w:rsidRDefault="005C689F" w:rsidP="0080525E">
      <w:pPr>
        <w:pStyle w:val="ListParagraph"/>
        <w:numPr>
          <w:ilvl w:val="1"/>
          <w:numId w:val="2"/>
        </w:numPr>
        <w:ind w:left="851" w:hanging="425"/>
        <w:rPr>
          <w:rFonts w:ascii="Calibri" w:hAnsi="Calibri" w:cs="Calibri"/>
          <w:bCs/>
          <w:sz w:val="22"/>
          <w:szCs w:val="22"/>
        </w:rPr>
      </w:pPr>
      <w:r>
        <w:rPr>
          <w:rFonts w:ascii="Calibri" w:hAnsi="Calibri" w:cs="Calibri"/>
          <w:bCs/>
          <w:sz w:val="22"/>
          <w:szCs w:val="22"/>
        </w:rPr>
        <w:t xml:space="preserve">The deficit of CHF 575,000 against </w:t>
      </w:r>
      <w:r w:rsidR="00E70296" w:rsidRPr="00E70296">
        <w:rPr>
          <w:rFonts w:ascii="Calibri" w:hAnsi="Calibri" w:cs="Calibri"/>
          <w:bCs/>
          <w:sz w:val="22"/>
          <w:szCs w:val="22"/>
        </w:rPr>
        <w:t xml:space="preserve">Line item K </w:t>
      </w:r>
      <w:r w:rsidR="00161CB8">
        <w:rPr>
          <w:rFonts w:ascii="Calibri" w:hAnsi="Calibri" w:cs="Calibri"/>
          <w:bCs/>
          <w:sz w:val="22"/>
          <w:szCs w:val="22"/>
        </w:rPr>
        <w:t>of the 2015 core budget (</w:t>
      </w:r>
      <w:r w:rsidR="00E70296" w:rsidRPr="00E70296">
        <w:rPr>
          <w:rFonts w:ascii="Calibri" w:hAnsi="Calibri" w:cs="Calibri"/>
          <w:bCs/>
          <w:sz w:val="22"/>
          <w:szCs w:val="22"/>
        </w:rPr>
        <w:t>Miscellaneous –Reserve Fund</w:t>
      </w:r>
      <w:r w:rsidR="00161CB8">
        <w:rPr>
          <w:rFonts w:ascii="Calibri" w:hAnsi="Calibri" w:cs="Calibri"/>
          <w:bCs/>
          <w:sz w:val="22"/>
          <w:szCs w:val="22"/>
        </w:rPr>
        <w:t>)</w:t>
      </w:r>
      <w:r w:rsidR="00E70296" w:rsidRPr="00E70296">
        <w:rPr>
          <w:rFonts w:ascii="Calibri" w:hAnsi="Calibri" w:cs="Calibri"/>
          <w:bCs/>
          <w:sz w:val="22"/>
          <w:szCs w:val="22"/>
        </w:rPr>
        <w:t xml:space="preserve"> </w:t>
      </w:r>
      <w:r>
        <w:rPr>
          <w:rFonts w:ascii="Calibri" w:hAnsi="Calibri" w:cs="Calibri"/>
          <w:bCs/>
          <w:sz w:val="22"/>
          <w:szCs w:val="22"/>
        </w:rPr>
        <w:t xml:space="preserve">reflects a </w:t>
      </w:r>
      <w:r w:rsidR="00161CB8">
        <w:rPr>
          <w:rFonts w:ascii="Calibri" w:hAnsi="Calibri" w:cs="Calibri"/>
          <w:bCs/>
          <w:sz w:val="22"/>
          <w:szCs w:val="22"/>
        </w:rPr>
        <w:t>number of</w:t>
      </w:r>
      <w:r>
        <w:rPr>
          <w:rFonts w:ascii="Calibri" w:hAnsi="Calibri" w:cs="Calibri"/>
          <w:bCs/>
          <w:sz w:val="22"/>
          <w:szCs w:val="22"/>
        </w:rPr>
        <w:t xml:space="preserve"> contributing </w:t>
      </w:r>
      <w:r w:rsidR="00161CB8">
        <w:rPr>
          <w:rFonts w:ascii="Calibri" w:hAnsi="Calibri" w:cs="Calibri"/>
          <w:bCs/>
          <w:sz w:val="22"/>
          <w:szCs w:val="22"/>
        </w:rPr>
        <w:t>factors</w:t>
      </w:r>
      <w:r w:rsidR="0080525E">
        <w:rPr>
          <w:rFonts w:ascii="Calibri" w:hAnsi="Calibri" w:cs="Calibri"/>
          <w:bCs/>
          <w:sz w:val="22"/>
          <w:szCs w:val="22"/>
        </w:rPr>
        <w:t>:</w:t>
      </w:r>
      <w:r w:rsidR="0080525E" w:rsidDel="00161CB8">
        <w:rPr>
          <w:rFonts w:ascii="Calibri" w:hAnsi="Calibri" w:cs="Calibri"/>
          <w:bCs/>
          <w:sz w:val="22"/>
          <w:szCs w:val="22"/>
        </w:rPr>
        <w:t xml:space="preserve"> </w:t>
      </w:r>
    </w:p>
    <w:p w:rsidR="0080525E" w:rsidRPr="0080525E" w:rsidRDefault="0080525E" w:rsidP="0080525E">
      <w:pPr>
        <w:pStyle w:val="ListParagraph"/>
        <w:rPr>
          <w:rFonts w:ascii="Calibri" w:hAnsi="Calibri" w:cs="Calibri"/>
          <w:bCs/>
          <w:sz w:val="22"/>
          <w:szCs w:val="22"/>
        </w:rPr>
      </w:pPr>
    </w:p>
    <w:p w:rsidR="008A77C9" w:rsidRDefault="008A77C9" w:rsidP="008A77C9">
      <w:pPr>
        <w:pStyle w:val="ListParagraph"/>
        <w:numPr>
          <w:ilvl w:val="2"/>
          <w:numId w:val="2"/>
        </w:numPr>
        <w:ind w:left="1276" w:hanging="425"/>
        <w:rPr>
          <w:rFonts w:ascii="Calibri" w:hAnsi="Calibri" w:cs="Calibri"/>
          <w:bCs/>
          <w:sz w:val="22"/>
          <w:szCs w:val="22"/>
        </w:rPr>
      </w:pPr>
      <w:r w:rsidRPr="00812E6B">
        <w:rPr>
          <w:rFonts w:ascii="Calibri" w:hAnsi="Calibri" w:cs="Calibri"/>
          <w:b/>
          <w:bCs/>
          <w:sz w:val="22"/>
          <w:szCs w:val="22"/>
        </w:rPr>
        <w:t>Line item K.ii.</w:t>
      </w:r>
      <w:r w:rsidRPr="00812E6B">
        <w:rPr>
          <w:rFonts w:ascii="Calibri" w:hAnsi="Calibri" w:cs="Calibri"/>
          <w:bCs/>
          <w:sz w:val="22"/>
          <w:szCs w:val="22"/>
        </w:rPr>
        <w:t xml:space="preserve"> There were significant exchange losses of CHF 26</w:t>
      </w:r>
      <w:r w:rsidR="004620B2">
        <w:rPr>
          <w:rFonts w:ascii="Calibri" w:hAnsi="Calibri" w:cs="Calibri"/>
          <w:bCs/>
          <w:sz w:val="22"/>
          <w:szCs w:val="22"/>
        </w:rPr>
        <w:t>1</w:t>
      </w:r>
      <w:r w:rsidRPr="00812E6B">
        <w:rPr>
          <w:rFonts w:ascii="Calibri" w:hAnsi="Calibri" w:cs="Calibri"/>
          <w:bCs/>
          <w:sz w:val="22"/>
          <w:szCs w:val="22"/>
        </w:rPr>
        <w:t xml:space="preserve">,000. The Swiss National Bank removed the Swiss Franc to Euro ceiling on 15 January 2015 resulting in a significant increase in the value of the Swiss franc currency against other reserves. As the Secretariat was holding USD 2,600,022, EUR </w:t>
      </w:r>
      <w:r w:rsidR="0040225B">
        <w:rPr>
          <w:rFonts w:ascii="Calibri" w:hAnsi="Calibri" w:cs="Calibri"/>
          <w:bCs/>
          <w:sz w:val="22"/>
          <w:szCs w:val="22"/>
        </w:rPr>
        <w:t>828,237</w:t>
      </w:r>
      <w:r w:rsidRPr="00812E6B">
        <w:rPr>
          <w:rFonts w:ascii="Calibri" w:hAnsi="Calibri" w:cs="Calibri"/>
          <w:bCs/>
          <w:sz w:val="22"/>
          <w:szCs w:val="22"/>
        </w:rPr>
        <w:t xml:space="preserve">, and NOK 4,428,424, there was a realised loss relating to these currencies. </w:t>
      </w:r>
    </w:p>
    <w:p w:rsidR="00812E6B" w:rsidRPr="00812E6B" w:rsidRDefault="00812E6B" w:rsidP="00812E6B">
      <w:pPr>
        <w:pStyle w:val="ListParagraph"/>
        <w:ind w:left="1276"/>
        <w:rPr>
          <w:rFonts w:ascii="Calibri" w:hAnsi="Calibri" w:cs="Calibri"/>
          <w:bCs/>
          <w:sz w:val="22"/>
          <w:szCs w:val="22"/>
        </w:rPr>
      </w:pPr>
    </w:p>
    <w:p w:rsidR="00960B8F" w:rsidRDefault="008A77C9" w:rsidP="003C680B">
      <w:pPr>
        <w:pStyle w:val="ListParagraph"/>
        <w:numPr>
          <w:ilvl w:val="2"/>
          <w:numId w:val="2"/>
        </w:numPr>
        <w:ind w:left="1276" w:hanging="425"/>
        <w:rPr>
          <w:rFonts w:ascii="Calibri" w:hAnsi="Calibri" w:cs="Calibri"/>
          <w:bCs/>
          <w:sz w:val="22"/>
          <w:szCs w:val="22"/>
        </w:rPr>
      </w:pPr>
      <w:r w:rsidRPr="008A77C9">
        <w:rPr>
          <w:rFonts w:ascii="Calibri" w:hAnsi="Calibri" w:cs="Calibri"/>
          <w:b/>
          <w:bCs/>
          <w:sz w:val="22"/>
          <w:szCs w:val="22"/>
        </w:rPr>
        <w:t xml:space="preserve">Line item K.ii. </w:t>
      </w:r>
      <w:r w:rsidR="00960B8F">
        <w:rPr>
          <w:rFonts w:ascii="Calibri" w:hAnsi="Calibri" w:cs="Calibri"/>
          <w:bCs/>
          <w:sz w:val="22"/>
          <w:szCs w:val="22"/>
        </w:rPr>
        <w:t xml:space="preserve">The </w:t>
      </w:r>
      <w:r w:rsidR="005C689F">
        <w:rPr>
          <w:rFonts w:ascii="Calibri" w:hAnsi="Calibri" w:cs="Calibri"/>
          <w:bCs/>
          <w:sz w:val="22"/>
          <w:szCs w:val="22"/>
        </w:rPr>
        <w:t xml:space="preserve">actual </w:t>
      </w:r>
      <w:r w:rsidR="00960B8F">
        <w:rPr>
          <w:rFonts w:ascii="Calibri" w:hAnsi="Calibri" w:cs="Calibri"/>
          <w:bCs/>
          <w:sz w:val="22"/>
          <w:szCs w:val="22"/>
        </w:rPr>
        <w:t>provisions for s</w:t>
      </w:r>
      <w:r w:rsidR="005676AA" w:rsidRPr="00E70296">
        <w:rPr>
          <w:rFonts w:ascii="Calibri" w:hAnsi="Calibri" w:cs="Calibri"/>
          <w:bCs/>
          <w:sz w:val="22"/>
          <w:szCs w:val="22"/>
        </w:rPr>
        <w:t xml:space="preserve">taff termination, </w:t>
      </w:r>
      <w:r w:rsidR="00960B8F">
        <w:rPr>
          <w:rFonts w:ascii="Calibri" w:hAnsi="Calibri" w:cs="Calibri"/>
          <w:bCs/>
          <w:sz w:val="22"/>
          <w:szCs w:val="22"/>
        </w:rPr>
        <w:t>staff leave</w:t>
      </w:r>
      <w:r w:rsidR="005676AA" w:rsidRPr="00E70296">
        <w:rPr>
          <w:rFonts w:ascii="Calibri" w:hAnsi="Calibri" w:cs="Calibri"/>
          <w:bCs/>
          <w:sz w:val="22"/>
          <w:szCs w:val="22"/>
        </w:rPr>
        <w:t xml:space="preserve"> and </w:t>
      </w:r>
      <w:r w:rsidR="00960B8F">
        <w:rPr>
          <w:rFonts w:ascii="Calibri" w:hAnsi="Calibri" w:cs="Calibri"/>
          <w:bCs/>
          <w:sz w:val="22"/>
          <w:szCs w:val="22"/>
        </w:rPr>
        <w:t>staff repatriation</w:t>
      </w:r>
      <w:r w:rsidR="00450DAC">
        <w:rPr>
          <w:rFonts w:ascii="Calibri" w:hAnsi="Calibri" w:cs="Calibri"/>
          <w:bCs/>
          <w:sz w:val="22"/>
          <w:szCs w:val="22"/>
        </w:rPr>
        <w:t xml:space="preserve"> </w:t>
      </w:r>
      <w:r w:rsidR="002E7954">
        <w:rPr>
          <w:rFonts w:ascii="Calibri" w:hAnsi="Calibri" w:cs="Calibri"/>
          <w:bCs/>
          <w:sz w:val="22"/>
          <w:szCs w:val="22"/>
        </w:rPr>
        <w:t>w</w:t>
      </w:r>
      <w:r w:rsidR="007F7CC8">
        <w:rPr>
          <w:rFonts w:ascii="Calibri" w:hAnsi="Calibri" w:cs="Calibri"/>
          <w:bCs/>
          <w:sz w:val="22"/>
          <w:szCs w:val="22"/>
        </w:rPr>
        <w:t>ere</w:t>
      </w:r>
      <w:r w:rsidR="002E7954">
        <w:rPr>
          <w:rFonts w:ascii="Calibri" w:hAnsi="Calibri" w:cs="Calibri"/>
          <w:bCs/>
          <w:sz w:val="22"/>
          <w:szCs w:val="22"/>
        </w:rPr>
        <w:t xml:space="preserve"> </w:t>
      </w:r>
      <w:r w:rsidR="003709CC">
        <w:rPr>
          <w:rFonts w:ascii="Calibri" w:hAnsi="Calibri" w:cs="Calibri"/>
          <w:bCs/>
          <w:sz w:val="22"/>
          <w:szCs w:val="22"/>
        </w:rPr>
        <w:t>CHF 95,000 over the budgeted amount of CHF 50,000</w:t>
      </w:r>
      <w:r w:rsidR="00960B8F">
        <w:rPr>
          <w:rFonts w:ascii="Calibri" w:hAnsi="Calibri" w:cs="Calibri"/>
          <w:bCs/>
          <w:sz w:val="22"/>
          <w:szCs w:val="22"/>
        </w:rPr>
        <w:t xml:space="preserve">. </w:t>
      </w:r>
      <w:r w:rsidR="005C689F">
        <w:rPr>
          <w:rFonts w:ascii="Calibri" w:hAnsi="Calibri" w:cs="Calibri"/>
          <w:bCs/>
          <w:sz w:val="22"/>
          <w:szCs w:val="22"/>
        </w:rPr>
        <w:t>(</w:t>
      </w:r>
      <w:r w:rsidR="00960B8F">
        <w:rPr>
          <w:rFonts w:ascii="Calibri" w:hAnsi="Calibri" w:cs="Calibri"/>
          <w:bCs/>
          <w:sz w:val="22"/>
          <w:szCs w:val="22"/>
        </w:rPr>
        <w:t>A</w:t>
      </w:r>
      <w:r w:rsidR="003709CC">
        <w:rPr>
          <w:rFonts w:ascii="Calibri" w:hAnsi="Calibri" w:cs="Calibri"/>
          <w:bCs/>
          <w:sz w:val="22"/>
          <w:szCs w:val="22"/>
        </w:rPr>
        <w:t>n in</w:t>
      </w:r>
      <w:r w:rsidR="00960B8F">
        <w:rPr>
          <w:rFonts w:ascii="Calibri" w:hAnsi="Calibri" w:cs="Calibri"/>
          <w:bCs/>
          <w:sz w:val="22"/>
          <w:szCs w:val="22"/>
        </w:rPr>
        <w:t>crease in a provision has the same impact as “</w:t>
      </w:r>
      <w:r w:rsidR="003709CC">
        <w:rPr>
          <w:rFonts w:ascii="Calibri" w:hAnsi="Calibri" w:cs="Calibri"/>
          <w:bCs/>
          <w:sz w:val="22"/>
          <w:szCs w:val="22"/>
        </w:rPr>
        <w:t>expenditure</w:t>
      </w:r>
      <w:r w:rsidR="00960B8F">
        <w:rPr>
          <w:rFonts w:ascii="Calibri" w:hAnsi="Calibri" w:cs="Calibri"/>
          <w:bCs/>
          <w:sz w:val="22"/>
          <w:szCs w:val="22"/>
        </w:rPr>
        <w:t>”</w:t>
      </w:r>
      <w:r w:rsidR="003709CC">
        <w:rPr>
          <w:rFonts w:ascii="Calibri" w:hAnsi="Calibri" w:cs="Calibri"/>
          <w:bCs/>
          <w:sz w:val="22"/>
          <w:szCs w:val="22"/>
        </w:rPr>
        <w:t xml:space="preserve"> on the income statement</w:t>
      </w:r>
      <w:r w:rsidR="00960B8F">
        <w:rPr>
          <w:rFonts w:ascii="Calibri" w:hAnsi="Calibri" w:cs="Calibri"/>
          <w:bCs/>
          <w:sz w:val="22"/>
          <w:szCs w:val="22"/>
        </w:rPr>
        <w:t xml:space="preserve"> and </w:t>
      </w:r>
      <w:r w:rsidR="003709CC">
        <w:rPr>
          <w:rFonts w:ascii="Calibri" w:hAnsi="Calibri" w:cs="Calibri"/>
          <w:bCs/>
          <w:sz w:val="22"/>
          <w:szCs w:val="22"/>
        </w:rPr>
        <w:t>negatively</w:t>
      </w:r>
      <w:r w:rsidR="00960B8F">
        <w:rPr>
          <w:rFonts w:ascii="Calibri" w:hAnsi="Calibri" w:cs="Calibri"/>
          <w:bCs/>
          <w:sz w:val="22"/>
          <w:szCs w:val="22"/>
        </w:rPr>
        <w:t xml:space="preserve"> affects the budget.</w:t>
      </w:r>
      <w:r w:rsidR="005C689F">
        <w:rPr>
          <w:rFonts w:ascii="Calibri" w:hAnsi="Calibri" w:cs="Calibri"/>
          <w:bCs/>
          <w:sz w:val="22"/>
          <w:szCs w:val="22"/>
        </w:rPr>
        <w:t>)</w:t>
      </w:r>
    </w:p>
    <w:p w:rsidR="00F31A24" w:rsidRPr="00F31A24" w:rsidRDefault="00F31A24" w:rsidP="00F31A24">
      <w:pPr>
        <w:pStyle w:val="ListParagraph"/>
        <w:rPr>
          <w:rFonts w:ascii="Calibri" w:hAnsi="Calibri" w:cs="Calibri"/>
          <w:bCs/>
          <w:sz w:val="22"/>
          <w:szCs w:val="22"/>
        </w:rPr>
      </w:pPr>
    </w:p>
    <w:p w:rsidR="00F31A24" w:rsidRPr="003C680B" w:rsidRDefault="00F31A24" w:rsidP="003C680B">
      <w:pPr>
        <w:pStyle w:val="ListParagraph"/>
        <w:numPr>
          <w:ilvl w:val="2"/>
          <w:numId w:val="2"/>
        </w:numPr>
        <w:ind w:left="1276" w:hanging="425"/>
        <w:rPr>
          <w:rFonts w:ascii="Calibri" w:hAnsi="Calibri" w:cs="Calibri"/>
          <w:bCs/>
          <w:sz w:val="22"/>
          <w:szCs w:val="22"/>
        </w:rPr>
      </w:pPr>
      <w:r w:rsidRPr="00F31A24">
        <w:rPr>
          <w:rFonts w:ascii="Calibri" w:hAnsi="Calibri" w:cs="Calibri"/>
          <w:b/>
          <w:bCs/>
          <w:sz w:val="22"/>
          <w:szCs w:val="22"/>
        </w:rPr>
        <w:t xml:space="preserve">Line item K.ii. </w:t>
      </w:r>
      <w:r>
        <w:rPr>
          <w:rFonts w:ascii="Calibri" w:hAnsi="Calibri" w:cs="Calibri"/>
          <w:bCs/>
          <w:sz w:val="22"/>
          <w:szCs w:val="22"/>
        </w:rPr>
        <w:t xml:space="preserve">The total of the above two provisions </w:t>
      </w:r>
      <w:r w:rsidR="0040225B">
        <w:rPr>
          <w:rFonts w:ascii="Calibri" w:hAnsi="Calibri" w:cs="Calibri"/>
          <w:bCs/>
          <w:sz w:val="22"/>
          <w:szCs w:val="22"/>
        </w:rPr>
        <w:t xml:space="preserve">(CHF 261,000 and CHF 95,000) </w:t>
      </w:r>
      <w:r>
        <w:rPr>
          <w:rFonts w:ascii="Calibri" w:hAnsi="Calibri" w:cs="Calibri"/>
          <w:bCs/>
          <w:sz w:val="22"/>
          <w:szCs w:val="22"/>
        </w:rPr>
        <w:t>resulted in an overall CHF 35</w:t>
      </w:r>
      <w:r w:rsidR="004620B2">
        <w:rPr>
          <w:rFonts w:ascii="Calibri" w:hAnsi="Calibri" w:cs="Calibri"/>
          <w:bCs/>
          <w:sz w:val="22"/>
          <w:szCs w:val="22"/>
        </w:rPr>
        <w:t>6</w:t>
      </w:r>
      <w:r>
        <w:rPr>
          <w:rFonts w:ascii="Calibri" w:hAnsi="Calibri" w:cs="Calibri"/>
          <w:bCs/>
          <w:sz w:val="22"/>
          <w:szCs w:val="22"/>
        </w:rPr>
        <w:t>,000 deficit on this line item.</w:t>
      </w:r>
    </w:p>
    <w:p w:rsidR="007B5882" w:rsidRDefault="007B5882" w:rsidP="007B5882">
      <w:pPr>
        <w:pStyle w:val="ListParagraph"/>
        <w:ind w:left="1276"/>
        <w:rPr>
          <w:rFonts w:ascii="Calibri" w:hAnsi="Calibri" w:cs="Calibri"/>
          <w:bCs/>
          <w:sz w:val="22"/>
          <w:szCs w:val="22"/>
        </w:rPr>
      </w:pPr>
    </w:p>
    <w:p w:rsidR="00C63097" w:rsidRDefault="00F31A24" w:rsidP="0080525E">
      <w:pPr>
        <w:pStyle w:val="ListParagraph"/>
        <w:numPr>
          <w:ilvl w:val="2"/>
          <w:numId w:val="2"/>
        </w:numPr>
        <w:ind w:left="1276" w:hanging="425"/>
        <w:rPr>
          <w:rFonts w:ascii="Calibri" w:hAnsi="Calibri" w:cs="Calibri"/>
          <w:bCs/>
          <w:sz w:val="22"/>
          <w:szCs w:val="22"/>
        </w:rPr>
      </w:pPr>
      <w:r>
        <w:rPr>
          <w:rFonts w:ascii="Calibri" w:hAnsi="Calibri" w:cs="Calibri"/>
          <w:b/>
          <w:bCs/>
          <w:sz w:val="22"/>
          <w:szCs w:val="22"/>
        </w:rPr>
        <w:t>Line item K.iv</w:t>
      </w:r>
      <w:r w:rsidR="008A77C9" w:rsidRPr="008A77C9">
        <w:rPr>
          <w:rFonts w:ascii="Calibri" w:hAnsi="Calibri" w:cs="Calibri"/>
          <w:b/>
          <w:bCs/>
          <w:sz w:val="22"/>
          <w:szCs w:val="22"/>
        </w:rPr>
        <w:t xml:space="preserve">. </w:t>
      </w:r>
      <w:r w:rsidR="00960B8F" w:rsidRPr="00E70296">
        <w:rPr>
          <w:rFonts w:ascii="Calibri" w:hAnsi="Calibri" w:cs="Calibri"/>
          <w:bCs/>
          <w:sz w:val="22"/>
          <w:szCs w:val="22"/>
        </w:rPr>
        <w:t xml:space="preserve">The provision for bad debts (outstanding contributions) </w:t>
      </w:r>
      <w:r w:rsidR="0080525E">
        <w:rPr>
          <w:rFonts w:ascii="Calibri" w:hAnsi="Calibri" w:cs="Calibri"/>
          <w:bCs/>
          <w:sz w:val="22"/>
          <w:szCs w:val="22"/>
        </w:rPr>
        <w:t>was</w:t>
      </w:r>
      <w:r w:rsidR="00960B8F" w:rsidRPr="00E70296">
        <w:rPr>
          <w:rFonts w:ascii="Calibri" w:hAnsi="Calibri" w:cs="Calibri"/>
          <w:bCs/>
          <w:sz w:val="22"/>
          <w:szCs w:val="22"/>
        </w:rPr>
        <w:t xml:space="preserve"> </w:t>
      </w:r>
      <w:r w:rsidR="001C0854">
        <w:rPr>
          <w:rFonts w:ascii="Calibri" w:hAnsi="Calibri" w:cs="Calibri"/>
          <w:bCs/>
          <w:sz w:val="22"/>
          <w:szCs w:val="22"/>
        </w:rPr>
        <w:t xml:space="preserve">calculated at CHF 691,000. This was an increase of </w:t>
      </w:r>
      <w:r w:rsidR="00960B8F" w:rsidRPr="00E70296">
        <w:rPr>
          <w:rFonts w:ascii="Calibri" w:hAnsi="Calibri" w:cs="Calibri"/>
          <w:bCs/>
          <w:sz w:val="22"/>
          <w:szCs w:val="22"/>
        </w:rPr>
        <w:t xml:space="preserve">CHF </w:t>
      </w:r>
      <w:r w:rsidR="00E2375B">
        <w:rPr>
          <w:rFonts w:ascii="Calibri" w:hAnsi="Calibri" w:cs="Calibri"/>
          <w:bCs/>
          <w:sz w:val="22"/>
          <w:szCs w:val="22"/>
        </w:rPr>
        <w:t>208</w:t>
      </w:r>
      <w:r w:rsidR="00960B8F" w:rsidRPr="00E70296">
        <w:rPr>
          <w:rFonts w:ascii="Calibri" w:hAnsi="Calibri" w:cs="Calibri"/>
          <w:bCs/>
          <w:sz w:val="22"/>
          <w:szCs w:val="22"/>
        </w:rPr>
        <w:t>,000</w:t>
      </w:r>
      <w:r w:rsidR="001C0854">
        <w:rPr>
          <w:rFonts w:ascii="Calibri" w:hAnsi="Calibri" w:cs="Calibri"/>
          <w:bCs/>
          <w:sz w:val="22"/>
          <w:szCs w:val="22"/>
        </w:rPr>
        <w:t xml:space="preserve"> </w:t>
      </w:r>
      <w:r w:rsidR="00872B75">
        <w:rPr>
          <w:rFonts w:ascii="Calibri" w:hAnsi="Calibri" w:cs="Calibri"/>
          <w:bCs/>
          <w:sz w:val="22"/>
          <w:szCs w:val="22"/>
        </w:rPr>
        <w:t>of</w:t>
      </w:r>
      <w:r w:rsidR="001C0854">
        <w:rPr>
          <w:rFonts w:ascii="Calibri" w:hAnsi="Calibri" w:cs="Calibri"/>
          <w:bCs/>
          <w:sz w:val="22"/>
          <w:szCs w:val="22"/>
        </w:rPr>
        <w:t xml:space="preserve"> the existing bad debt provision</w:t>
      </w:r>
      <w:r w:rsidR="00872B75">
        <w:rPr>
          <w:rFonts w:ascii="Calibri" w:hAnsi="Calibri" w:cs="Calibri"/>
          <w:bCs/>
          <w:sz w:val="22"/>
          <w:szCs w:val="22"/>
        </w:rPr>
        <w:t xml:space="preserve"> of CHF 483,000 in 2015.</w:t>
      </w:r>
      <w:r w:rsidR="00A23967">
        <w:rPr>
          <w:rFonts w:ascii="Calibri" w:hAnsi="Calibri" w:cs="Calibri"/>
          <w:bCs/>
          <w:sz w:val="22"/>
          <w:szCs w:val="22"/>
        </w:rPr>
        <w:t xml:space="preserve"> </w:t>
      </w:r>
      <w:r w:rsidR="00BF2443">
        <w:rPr>
          <w:rFonts w:ascii="Calibri" w:hAnsi="Calibri" w:cs="Calibri"/>
          <w:bCs/>
          <w:sz w:val="22"/>
          <w:szCs w:val="22"/>
        </w:rPr>
        <w:t>There was no budget for this provision as outstanding contributions were not forecast to increase over the period</w:t>
      </w:r>
      <w:r w:rsidR="00872B75">
        <w:rPr>
          <w:rFonts w:ascii="Calibri" w:hAnsi="Calibri" w:cs="Calibri"/>
          <w:bCs/>
          <w:sz w:val="22"/>
          <w:szCs w:val="22"/>
        </w:rPr>
        <w:t>.</w:t>
      </w:r>
      <w:r w:rsidR="00A23967">
        <w:rPr>
          <w:rFonts w:ascii="Calibri" w:hAnsi="Calibri" w:cs="Calibri"/>
          <w:bCs/>
          <w:sz w:val="22"/>
          <w:szCs w:val="22"/>
        </w:rPr>
        <w:t xml:space="preserve"> </w:t>
      </w:r>
      <w:r w:rsidR="007B5882">
        <w:rPr>
          <w:rFonts w:ascii="Calibri" w:hAnsi="Calibri" w:cs="Calibri"/>
          <w:bCs/>
          <w:sz w:val="22"/>
          <w:szCs w:val="22"/>
        </w:rPr>
        <w:t>The Secretariat is taking this issue very seriously and will</w:t>
      </w:r>
      <w:r w:rsidR="00D31D60">
        <w:rPr>
          <w:rFonts w:ascii="Calibri" w:hAnsi="Calibri" w:cs="Calibri"/>
          <w:bCs/>
          <w:sz w:val="22"/>
          <w:szCs w:val="22"/>
        </w:rPr>
        <w:t xml:space="preserve"> work with Parties</w:t>
      </w:r>
      <w:r w:rsidR="007B5882">
        <w:rPr>
          <w:rFonts w:ascii="Calibri" w:hAnsi="Calibri" w:cs="Calibri"/>
          <w:bCs/>
          <w:sz w:val="22"/>
          <w:szCs w:val="22"/>
        </w:rPr>
        <w:t xml:space="preserve"> to rectify the situation </w:t>
      </w:r>
      <w:r w:rsidR="00D31D60">
        <w:rPr>
          <w:rFonts w:ascii="Calibri" w:hAnsi="Calibri" w:cs="Calibri"/>
          <w:bCs/>
          <w:sz w:val="22"/>
          <w:szCs w:val="22"/>
        </w:rPr>
        <w:t>over the coming year to</w:t>
      </w:r>
      <w:r w:rsidR="007B5882">
        <w:rPr>
          <w:rFonts w:ascii="Calibri" w:hAnsi="Calibri" w:cs="Calibri"/>
          <w:bCs/>
          <w:sz w:val="22"/>
          <w:szCs w:val="22"/>
        </w:rPr>
        <w:t xml:space="preserve"> SC53</w:t>
      </w:r>
      <w:r w:rsidR="00F70525">
        <w:rPr>
          <w:rFonts w:ascii="Calibri" w:hAnsi="Calibri" w:cs="Calibri"/>
          <w:bCs/>
          <w:sz w:val="22"/>
          <w:szCs w:val="22"/>
        </w:rPr>
        <w:t>.</w:t>
      </w:r>
      <w:r w:rsidR="007B5882">
        <w:rPr>
          <w:rFonts w:ascii="Calibri" w:hAnsi="Calibri" w:cs="Calibri"/>
          <w:bCs/>
          <w:sz w:val="22"/>
          <w:szCs w:val="22"/>
        </w:rPr>
        <w:t xml:space="preserve"> </w:t>
      </w:r>
      <w:r w:rsidR="00F70525">
        <w:rPr>
          <w:rFonts w:ascii="Calibri" w:hAnsi="Calibri" w:cs="Calibri"/>
          <w:bCs/>
          <w:sz w:val="22"/>
          <w:szCs w:val="22"/>
        </w:rPr>
        <w:t>F</w:t>
      </w:r>
      <w:r w:rsidR="007B5882">
        <w:rPr>
          <w:rFonts w:ascii="Calibri" w:hAnsi="Calibri" w:cs="Calibri"/>
          <w:bCs/>
          <w:sz w:val="22"/>
          <w:szCs w:val="22"/>
        </w:rPr>
        <w:t xml:space="preserve">or more information, see document SC52-19 </w:t>
      </w:r>
      <w:r w:rsidR="0080525E" w:rsidRPr="0080525E">
        <w:rPr>
          <w:rFonts w:ascii="Calibri" w:hAnsi="Calibri" w:cs="Calibri"/>
          <w:bCs/>
          <w:i/>
          <w:sz w:val="22"/>
          <w:szCs w:val="22"/>
        </w:rPr>
        <w:t>Contracting Parties with outstanding annual contributions</w:t>
      </w:r>
      <w:r w:rsidR="007B5882">
        <w:rPr>
          <w:rFonts w:ascii="Calibri" w:hAnsi="Calibri" w:cs="Calibri"/>
          <w:bCs/>
          <w:sz w:val="22"/>
          <w:szCs w:val="22"/>
        </w:rPr>
        <w:t xml:space="preserve">. </w:t>
      </w:r>
    </w:p>
    <w:p w:rsidR="00C63097" w:rsidRPr="00C63097" w:rsidRDefault="00C63097" w:rsidP="00C63097">
      <w:pPr>
        <w:pStyle w:val="ListParagraph"/>
        <w:rPr>
          <w:rFonts w:ascii="Calibri" w:hAnsi="Calibri" w:cs="Calibri"/>
          <w:bCs/>
          <w:sz w:val="22"/>
          <w:szCs w:val="22"/>
        </w:rPr>
      </w:pPr>
    </w:p>
    <w:p w:rsidR="002464F2" w:rsidRPr="00C63097" w:rsidRDefault="00982102" w:rsidP="005C689F">
      <w:pPr>
        <w:pStyle w:val="ListParagraph"/>
        <w:numPr>
          <w:ilvl w:val="0"/>
          <w:numId w:val="2"/>
        </w:numPr>
        <w:ind w:left="426" w:hanging="426"/>
        <w:rPr>
          <w:rFonts w:ascii="Calibri" w:hAnsi="Calibri" w:cs="Calibri"/>
          <w:bCs/>
          <w:sz w:val="22"/>
          <w:szCs w:val="22"/>
        </w:rPr>
      </w:pPr>
      <w:r w:rsidRPr="00C63097">
        <w:rPr>
          <w:rFonts w:ascii="Calibri" w:hAnsi="Calibri" w:cs="Calibri"/>
          <w:bCs/>
          <w:sz w:val="22"/>
          <w:szCs w:val="22"/>
        </w:rPr>
        <w:t xml:space="preserve">Due to the overall deficit of CHF 337,000, </w:t>
      </w:r>
      <w:r w:rsidR="00F70525">
        <w:rPr>
          <w:rFonts w:ascii="Calibri" w:hAnsi="Calibri" w:cs="Calibri"/>
          <w:bCs/>
          <w:sz w:val="22"/>
          <w:szCs w:val="22"/>
        </w:rPr>
        <w:t xml:space="preserve">the </w:t>
      </w:r>
      <w:r w:rsidR="00BF074E">
        <w:rPr>
          <w:rFonts w:ascii="Calibri" w:hAnsi="Calibri" w:cs="Calibri"/>
          <w:bCs/>
          <w:sz w:val="22"/>
          <w:szCs w:val="22"/>
        </w:rPr>
        <w:t>reserve fund</w:t>
      </w:r>
      <w:r w:rsidR="00BF074E" w:rsidRPr="00C63097">
        <w:rPr>
          <w:rFonts w:ascii="Calibri" w:hAnsi="Calibri" w:cs="Calibri"/>
          <w:bCs/>
          <w:sz w:val="22"/>
          <w:szCs w:val="22"/>
        </w:rPr>
        <w:t xml:space="preserve"> </w:t>
      </w:r>
      <w:r w:rsidR="0040225B" w:rsidRPr="00C63097">
        <w:rPr>
          <w:rFonts w:ascii="Calibri" w:hAnsi="Calibri" w:cs="Calibri"/>
          <w:bCs/>
          <w:sz w:val="22"/>
          <w:szCs w:val="22"/>
        </w:rPr>
        <w:t>decrease</w:t>
      </w:r>
      <w:r w:rsidR="00D31D60" w:rsidRPr="00C63097">
        <w:rPr>
          <w:rFonts w:ascii="Calibri" w:hAnsi="Calibri" w:cs="Calibri"/>
          <w:bCs/>
          <w:sz w:val="22"/>
          <w:szCs w:val="22"/>
        </w:rPr>
        <w:t>d</w:t>
      </w:r>
      <w:r w:rsidR="0040225B" w:rsidRPr="00C63097">
        <w:rPr>
          <w:rFonts w:ascii="Calibri" w:hAnsi="Calibri" w:cs="Calibri"/>
          <w:bCs/>
          <w:sz w:val="22"/>
          <w:szCs w:val="22"/>
        </w:rPr>
        <w:t xml:space="preserve"> </w:t>
      </w:r>
      <w:r w:rsidR="008977E6" w:rsidRPr="00C63097">
        <w:rPr>
          <w:rFonts w:ascii="Calibri" w:hAnsi="Calibri" w:cs="Calibri"/>
          <w:bCs/>
          <w:sz w:val="22"/>
          <w:szCs w:val="22"/>
        </w:rPr>
        <w:t xml:space="preserve">at the end of 2015 </w:t>
      </w:r>
      <w:r w:rsidR="0040225B" w:rsidRPr="00C63097">
        <w:rPr>
          <w:rFonts w:ascii="Calibri" w:hAnsi="Calibri" w:cs="Calibri"/>
          <w:bCs/>
          <w:sz w:val="22"/>
          <w:szCs w:val="22"/>
        </w:rPr>
        <w:t xml:space="preserve">to </w:t>
      </w:r>
      <w:r w:rsidR="00CC5879" w:rsidRPr="00C63097">
        <w:rPr>
          <w:rFonts w:ascii="Calibri" w:hAnsi="Calibri" w:cs="Calibri"/>
          <w:bCs/>
          <w:sz w:val="22"/>
          <w:szCs w:val="22"/>
        </w:rPr>
        <w:t xml:space="preserve">CHF </w:t>
      </w:r>
      <w:r w:rsidRPr="00C63097">
        <w:rPr>
          <w:rFonts w:ascii="Calibri" w:hAnsi="Calibri" w:cs="Calibri"/>
          <w:bCs/>
          <w:sz w:val="22"/>
          <w:szCs w:val="22"/>
        </w:rPr>
        <w:t>372</w:t>
      </w:r>
      <w:r w:rsidR="00CC5879" w:rsidRPr="00C63097">
        <w:rPr>
          <w:rFonts w:ascii="Calibri" w:hAnsi="Calibri" w:cs="Calibri"/>
          <w:bCs/>
          <w:sz w:val="22"/>
          <w:szCs w:val="22"/>
        </w:rPr>
        <w:t>,000</w:t>
      </w:r>
      <w:r w:rsidR="005C689F">
        <w:rPr>
          <w:rFonts w:ascii="Calibri" w:hAnsi="Calibri" w:cs="Calibri"/>
          <w:bCs/>
          <w:sz w:val="22"/>
          <w:szCs w:val="22"/>
        </w:rPr>
        <w:t>,</w:t>
      </w:r>
      <w:r w:rsidR="00CC5879" w:rsidRPr="00C63097">
        <w:rPr>
          <w:rFonts w:ascii="Calibri" w:hAnsi="Calibri" w:cs="Calibri"/>
          <w:bCs/>
          <w:sz w:val="22"/>
          <w:szCs w:val="22"/>
        </w:rPr>
        <w:t xml:space="preserve"> </w:t>
      </w:r>
      <w:r w:rsidR="0040225B" w:rsidRPr="00C63097">
        <w:rPr>
          <w:rFonts w:ascii="Calibri" w:hAnsi="Calibri" w:cs="Calibri"/>
          <w:bCs/>
          <w:sz w:val="22"/>
          <w:szCs w:val="22"/>
        </w:rPr>
        <w:t xml:space="preserve">which is </w:t>
      </w:r>
      <w:r w:rsidRPr="00C63097">
        <w:rPr>
          <w:rFonts w:ascii="Calibri" w:hAnsi="Calibri" w:cs="Calibri"/>
          <w:bCs/>
          <w:sz w:val="22"/>
          <w:szCs w:val="22"/>
        </w:rPr>
        <w:t>7.3</w:t>
      </w:r>
      <w:r w:rsidR="00FC49AA" w:rsidRPr="00C63097">
        <w:rPr>
          <w:rFonts w:ascii="Calibri" w:hAnsi="Calibri" w:cs="Calibri"/>
          <w:bCs/>
          <w:sz w:val="22"/>
          <w:szCs w:val="22"/>
        </w:rPr>
        <w:t xml:space="preserve">% of annual core </w:t>
      </w:r>
      <w:r w:rsidR="00C63097" w:rsidRPr="00C63097">
        <w:rPr>
          <w:rFonts w:ascii="Calibri" w:hAnsi="Calibri" w:cs="Calibri"/>
          <w:bCs/>
          <w:sz w:val="22"/>
          <w:szCs w:val="22"/>
        </w:rPr>
        <w:t>budget.</w:t>
      </w:r>
      <w:r w:rsidR="007F7CC8" w:rsidRPr="00C63097">
        <w:rPr>
          <w:rFonts w:ascii="Calibri" w:hAnsi="Calibri" w:cs="Calibri"/>
          <w:bCs/>
          <w:sz w:val="22"/>
          <w:szCs w:val="22"/>
        </w:rPr>
        <w:t xml:space="preserve"> </w:t>
      </w:r>
      <w:r w:rsidR="005C0E05" w:rsidRPr="00C63097">
        <w:rPr>
          <w:rFonts w:ascii="Calibri" w:hAnsi="Calibri" w:cs="Calibri"/>
          <w:bCs/>
          <w:sz w:val="22"/>
          <w:szCs w:val="22"/>
        </w:rPr>
        <w:t xml:space="preserve"> </w:t>
      </w:r>
      <w:r w:rsidR="0021794F" w:rsidRPr="00C63097">
        <w:rPr>
          <w:rFonts w:ascii="Calibri" w:hAnsi="Calibri" w:cs="Calibri"/>
          <w:bCs/>
          <w:sz w:val="22"/>
          <w:szCs w:val="22"/>
        </w:rPr>
        <w:t xml:space="preserve">This figure </w:t>
      </w:r>
      <w:r w:rsidR="00BF2443">
        <w:rPr>
          <w:rFonts w:ascii="Calibri" w:hAnsi="Calibri" w:cs="Calibri"/>
          <w:bCs/>
          <w:sz w:val="22"/>
          <w:szCs w:val="22"/>
        </w:rPr>
        <w:t>was</w:t>
      </w:r>
      <w:r w:rsidR="00BF2443" w:rsidRPr="00C63097">
        <w:rPr>
          <w:rFonts w:ascii="Calibri" w:hAnsi="Calibri" w:cs="Calibri"/>
          <w:bCs/>
          <w:sz w:val="22"/>
          <w:szCs w:val="22"/>
        </w:rPr>
        <w:t xml:space="preserve"> </w:t>
      </w:r>
      <w:r w:rsidR="0021794F" w:rsidRPr="00C63097">
        <w:rPr>
          <w:rFonts w:ascii="Calibri" w:hAnsi="Calibri" w:cs="Calibri"/>
          <w:bCs/>
          <w:sz w:val="22"/>
          <w:szCs w:val="22"/>
        </w:rPr>
        <w:t xml:space="preserve">near the minimum level </w:t>
      </w:r>
      <w:r w:rsidR="00C63097" w:rsidRPr="00C63097">
        <w:rPr>
          <w:rFonts w:ascii="Calibri" w:hAnsi="Calibri" w:cs="Calibri"/>
          <w:bCs/>
          <w:sz w:val="22"/>
          <w:szCs w:val="22"/>
        </w:rPr>
        <w:t>of 6</w:t>
      </w:r>
      <w:r w:rsidR="0021794F" w:rsidRPr="00C63097">
        <w:rPr>
          <w:rFonts w:ascii="Calibri" w:hAnsi="Calibri" w:cs="Calibri"/>
          <w:bCs/>
          <w:sz w:val="22"/>
          <w:szCs w:val="22"/>
        </w:rPr>
        <w:t>% of the</w:t>
      </w:r>
      <w:r w:rsidR="00FC49AA" w:rsidRPr="00C63097">
        <w:rPr>
          <w:rFonts w:ascii="Calibri" w:hAnsi="Calibri" w:cs="Calibri"/>
          <w:bCs/>
          <w:sz w:val="22"/>
          <w:szCs w:val="22"/>
        </w:rPr>
        <w:t xml:space="preserve"> annual core budget</w:t>
      </w:r>
      <w:r w:rsidR="0021794F" w:rsidRPr="00C63097">
        <w:rPr>
          <w:rFonts w:ascii="Calibri" w:hAnsi="Calibri" w:cs="Calibri"/>
          <w:bCs/>
          <w:sz w:val="22"/>
          <w:szCs w:val="22"/>
        </w:rPr>
        <w:t>,</w:t>
      </w:r>
      <w:r w:rsidR="00FC49AA" w:rsidRPr="00C63097">
        <w:rPr>
          <w:rFonts w:ascii="Calibri" w:hAnsi="Calibri" w:cs="Calibri"/>
          <w:bCs/>
          <w:sz w:val="22"/>
          <w:szCs w:val="22"/>
        </w:rPr>
        <w:t xml:space="preserve"> as decided at COP11 (Resolution XI.2 </w:t>
      </w:r>
      <w:r w:rsidR="00FC49AA" w:rsidRPr="00A236A3">
        <w:rPr>
          <w:rFonts w:ascii="Calibri" w:hAnsi="Calibri" w:cs="Calibri"/>
          <w:bCs/>
          <w:i/>
          <w:sz w:val="22"/>
          <w:szCs w:val="22"/>
        </w:rPr>
        <w:t>Financial and Budgetary Matters</w:t>
      </w:r>
      <w:r w:rsidR="00FC49AA" w:rsidRPr="00C63097">
        <w:rPr>
          <w:rFonts w:ascii="Calibri" w:hAnsi="Calibri" w:cs="Calibri"/>
          <w:bCs/>
          <w:sz w:val="22"/>
          <w:szCs w:val="22"/>
        </w:rPr>
        <w:t xml:space="preserve"> paragraph 21.c).</w:t>
      </w:r>
      <w:r w:rsidR="000F4158" w:rsidRPr="00C63097">
        <w:rPr>
          <w:rFonts w:ascii="Calibri" w:hAnsi="Calibri" w:cs="Calibri"/>
          <w:bCs/>
          <w:sz w:val="22"/>
          <w:szCs w:val="22"/>
        </w:rPr>
        <w:t xml:space="preserve"> </w:t>
      </w:r>
    </w:p>
    <w:p w:rsidR="00BF2443" w:rsidRDefault="00BF2443" w:rsidP="00BF2443">
      <w:pPr>
        <w:rPr>
          <w:rFonts w:ascii="Calibri" w:hAnsi="Calibri" w:cs="Calibri"/>
          <w:bCs/>
          <w:sz w:val="22"/>
          <w:szCs w:val="22"/>
          <w:highlight w:val="yellow"/>
        </w:rPr>
      </w:pPr>
    </w:p>
    <w:p w:rsidR="00BF2443" w:rsidRPr="00BF2443" w:rsidRDefault="00BF2443" w:rsidP="00BF2443">
      <w:pPr>
        <w:rPr>
          <w:rFonts w:ascii="Calibri" w:hAnsi="Calibri" w:cs="Calibri"/>
          <w:b/>
          <w:bCs/>
          <w:sz w:val="22"/>
          <w:szCs w:val="22"/>
        </w:rPr>
      </w:pPr>
      <w:r w:rsidRPr="00BF2443">
        <w:rPr>
          <w:rFonts w:ascii="Calibri" w:hAnsi="Calibri" w:cs="Calibri"/>
          <w:b/>
          <w:bCs/>
          <w:sz w:val="22"/>
          <w:szCs w:val="22"/>
        </w:rPr>
        <w:t>Addressing the 2015 deficit</w:t>
      </w:r>
      <w:r w:rsidR="005C0326">
        <w:rPr>
          <w:rFonts w:ascii="Calibri" w:hAnsi="Calibri" w:cs="Calibri"/>
          <w:b/>
          <w:bCs/>
          <w:sz w:val="22"/>
          <w:szCs w:val="22"/>
        </w:rPr>
        <w:t xml:space="preserve"> and reserve fund</w:t>
      </w:r>
    </w:p>
    <w:p w:rsidR="00BF2443" w:rsidRPr="00E07352" w:rsidRDefault="00BF2443" w:rsidP="00842399">
      <w:pPr>
        <w:pStyle w:val="ListParagraph"/>
        <w:rPr>
          <w:rFonts w:ascii="Calibri" w:hAnsi="Calibri" w:cs="Calibri"/>
          <w:bCs/>
          <w:sz w:val="22"/>
          <w:szCs w:val="22"/>
          <w:highlight w:val="yellow"/>
        </w:rPr>
      </w:pPr>
    </w:p>
    <w:p w:rsidR="00686584" w:rsidRDefault="00BF2443" w:rsidP="008F166C">
      <w:pPr>
        <w:pStyle w:val="ListParagraph"/>
        <w:numPr>
          <w:ilvl w:val="0"/>
          <w:numId w:val="2"/>
        </w:numPr>
        <w:ind w:left="426" w:hanging="426"/>
        <w:rPr>
          <w:rFonts w:ascii="Calibri" w:hAnsi="Calibri" w:cs="Calibri"/>
          <w:bCs/>
          <w:sz w:val="22"/>
          <w:szCs w:val="22"/>
        </w:rPr>
      </w:pPr>
      <w:r>
        <w:rPr>
          <w:rFonts w:ascii="Calibri" w:hAnsi="Calibri" w:cs="Calibri"/>
          <w:bCs/>
          <w:sz w:val="22"/>
          <w:szCs w:val="22"/>
        </w:rPr>
        <w:t xml:space="preserve">Annex 3 shows the core budget for 2016 approved by SC51. </w:t>
      </w:r>
      <w:r w:rsidR="00F70525">
        <w:rPr>
          <w:rFonts w:ascii="Calibri" w:hAnsi="Calibri" w:cs="Calibri"/>
          <w:bCs/>
          <w:sz w:val="22"/>
          <w:szCs w:val="22"/>
        </w:rPr>
        <w:t>The Standing Committee</w:t>
      </w:r>
      <w:r w:rsidR="00770D8F" w:rsidRPr="00F70525">
        <w:rPr>
          <w:rFonts w:ascii="Calibri" w:hAnsi="Calibri" w:cs="Calibri"/>
          <w:bCs/>
          <w:sz w:val="22"/>
          <w:szCs w:val="22"/>
        </w:rPr>
        <w:t xml:space="preserve"> </w:t>
      </w:r>
      <w:r w:rsidR="00F70525">
        <w:rPr>
          <w:rFonts w:ascii="Calibri" w:hAnsi="Calibri" w:cs="Calibri"/>
          <w:bCs/>
          <w:sz w:val="22"/>
          <w:szCs w:val="22"/>
        </w:rPr>
        <w:t xml:space="preserve">decided </w:t>
      </w:r>
      <w:r w:rsidR="00F70525" w:rsidRPr="00F70525">
        <w:rPr>
          <w:rFonts w:ascii="Calibri" w:hAnsi="Calibri" w:cs="Calibri"/>
          <w:bCs/>
          <w:sz w:val="22"/>
          <w:szCs w:val="22"/>
        </w:rPr>
        <w:t xml:space="preserve">to </w:t>
      </w:r>
      <w:r w:rsidR="00770D8F" w:rsidRPr="00F70525">
        <w:rPr>
          <w:rFonts w:ascii="Calibri" w:hAnsi="Calibri" w:cs="Calibri"/>
          <w:bCs/>
          <w:sz w:val="22"/>
          <w:szCs w:val="22"/>
        </w:rPr>
        <w:t xml:space="preserve">set aside CHF 278,000 in </w:t>
      </w:r>
      <w:r w:rsidRPr="00F70525">
        <w:rPr>
          <w:rFonts w:ascii="Calibri" w:hAnsi="Calibri" w:cs="Calibri"/>
          <w:bCs/>
          <w:sz w:val="22"/>
          <w:szCs w:val="22"/>
        </w:rPr>
        <w:t xml:space="preserve">item </w:t>
      </w:r>
      <w:r w:rsidR="00770D8F" w:rsidRPr="00F70525">
        <w:rPr>
          <w:rFonts w:ascii="Calibri" w:hAnsi="Calibri" w:cs="Calibri"/>
          <w:bCs/>
          <w:sz w:val="22"/>
          <w:szCs w:val="22"/>
        </w:rPr>
        <w:t>K</w:t>
      </w:r>
      <w:r w:rsidRPr="00F70525">
        <w:rPr>
          <w:rFonts w:ascii="Calibri" w:hAnsi="Calibri" w:cs="Calibri"/>
          <w:bCs/>
          <w:sz w:val="22"/>
          <w:szCs w:val="22"/>
        </w:rPr>
        <w:t xml:space="preserve"> </w:t>
      </w:r>
      <w:r w:rsidR="00F70525" w:rsidRPr="00F70525">
        <w:rPr>
          <w:rFonts w:ascii="Calibri" w:hAnsi="Calibri" w:cs="Calibri"/>
          <w:bCs/>
          <w:sz w:val="22"/>
          <w:szCs w:val="22"/>
        </w:rPr>
        <w:t xml:space="preserve">of the 2016 budget </w:t>
      </w:r>
      <w:r w:rsidR="008F166C">
        <w:rPr>
          <w:rFonts w:ascii="Calibri" w:hAnsi="Calibri" w:cs="Calibri"/>
          <w:bCs/>
          <w:sz w:val="22"/>
          <w:szCs w:val="22"/>
        </w:rPr>
        <w:t xml:space="preserve">for Reserve Fund provisions </w:t>
      </w:r>
      <w:r w:rsidRPr="00F70525">
        <w:rPr>
          <w:rFonts w:ascii="Calibri" w:hAnsi="Calibri" w:cs="Calibri"/>
          <w:bCs/>
          <w:sz w:val="22"/>
          <w:szCs w:val="22"/>
        </w:rPr>
        <w:t xml:space="preserve">(Miscellaneous – </w:t>
      </w:r>
      <w:r w:rsidR="00770D8F" w:rsidRPr="00F70525">
        <w:rPr>
          <w:rFonts w:ascii="Calibri" w:hAnsi="Calibri" w:cs="Calibri"/>
          <w:bCs/>
          <w:sz w:val="22"/>
          <w:szCs w:val="22"/>
        </w:rPr>
        <w:t>Reserve Fund</w:t>
      </w:r>
      <w:r w:rsidR="00F31A24" w:rsidRPr="00F70525">
        <w:rPr>
          <w:rFonts w:ascii="Calibri" w:hAnsi="Calibri" w:cs="Calibri"/>
          <w:bCs/>
          <w:sz w:val="22"/>
          <w:szCs w:val="22"/>
        </w:rPr>
        <w:t xml:space="preserve"> (</w:t>
      </w:r>
      <w:r w:rsidR="00AC4480" w:rsidRPr="00F70525">
        <w:rPr>
          <w:rFonts w:ascii="Calibri" w:hAnsi="Calibri" w:cs="Calibri"/>
          <w:bCs/>
          <w:sz w:val="22"/>
          <w:szCs w:val="22"/>
        </w:rPr>
        <w:t>A</w:t>
      </w:r>
      <w:r w:rsidR="00450ADD" w:rsidRPr="00F70525">
        <w:rPr>
          <w:rFonts w:ascii="Calibri" w:hAnsi="Calibri" w:cs="Calibri"/>
          <w:bCs/>
          <w:sz w:val="22"/>
          <w:szCs w:val="22"/>
        </w:rPr>
        <w:t>nne</w:t>
      </w:r>
      <w:r w:rsidR="00AC4480" w:rsidRPr="00F70525">
        <w:rPr>
          <w:rFonts w:ascii="Calibri" w:hAnsi="Calibri" w:cs="Calibri"/>
          <w:bCs/>
          <w:sz w:val="22"/>
          <w:szCs w:val="22"/>
        </w:rPr>
        <w:t xml:space="preserve">x 3, </w:t>
      </w:r>
      <w:r w:rsidR="00F31A24" w:rsidRPr="00F70525">
        <w:rPr>
          <w:rFonts w:ascii="Calibri" w:hAnsi="Calibri" w:cs="Calibri"/>
          <w:bCs/>
          <w:sz w:val="22"/>
          <w:szCs w:val="22"/>
        </w:rPr>
        <w:t xml:space="preserve">line item </w:t>
      </w:r>
      <w:r w:rsidR="00450ADD" w:rsidRPr="00F70525">
        <w:rPr>
          <w:rFonts w:ascii="Calibri" w:hAnsi="Calibri" w:cs="Calibri"/>
          <w:bCs/>
          <w:sz w:val="22"/>
          <w:szCs w:val="22"/>
        </w:rPr>
        <w:t>K.i.</w:t>
      </w:r>
      <w:r w:rsidR="00F31A24" w:rsidRPr="00F70525">
        <w:rPr>
          <w:rFonts w:ascii="Calibri" w:hAnsi="Calibri" w:cs="Calibri"/>
          <w:bCs/>
          <w:sz w:val="22"/>
          <w:szCs w:val="22"/>
        </w:rPr>
        <w:t>)</w:t>
      </w:r>
      <w:r w:rsidR="008F166C">
        <w:rPr>
          <w:rFonts w:ascii="Calibri" w:hAnsi="Calibri" w:cs="Calibri"/>
          <w:bCs/>
          <w:sz w:val="22"/>
          <w:szCs w:val="22"/>
        </w:rPr>
        <w:t>. The extraordinarily high provision is</w:t>
      </w:r>
      <w:r w:rsidR="00770D8F" w:rsidRPr="00F70525">
        <w:rPr>
          <w:rFonts w:ascii="Calibri" w:hAnsi="Calibri" w:cs="Calibri"/>
          <w:bCs/>
          <w:sz w:val="22"/>
          <w:szCs w:val="22"/>
        </w:rPr>
        <w:t xml:space="preserve"> </w:t>
      </w:r>
      <w:r w:rsidR="00872B75">
        <w:rPr>
          <w:rFonts w:ascii="Calibri" w:hAnsi="Calibri" w:cs="Calibri"/>
          <w:bCs/>
          <w:sz w:val="22"/>
          <w:szCs w:val="22"/>
        </w:rPr>
        <w:t xml:space="preserve">primarily due to </w:t>
      </w:r>
      <w:r w:rsidR="008F166C">
        <w:rPr>
          <w:rFonts w:ascii="Calibri" w:hAnsi="Calibri" w:cs="Calibri"/>
          <w:bCs/>
          <w:sz w:val="22"/>
          <w:szCs w:val="22"/>
        </w:rPr>
        <w:t xml:space="preserve">core budget salary </w:t>
      </w:r>
      <w:r w:rsidR="00872B75">
        <w:rPr>
          <w:rFonts w:ascii="Calibri" w:hAnsi="Calibri" w:cs="Calibri"/>
          <w:bCs/>
          <w:sz w:val="22"/>
          <w:szCs w:val="22"/>
        </w:rPr>
        <w:t xml:space="preserve">savings from </w:t>
      </w:r>
      <w:r w:rsidR="00686584">
        <w:rPr>
          <w:rFonts w:ascii="Calibri" w:hAnsi="Calibri" w:cs="Calibri"/>
          <w:bCs/>
          <w:sz w:val="22"/>
          <w:szCs w:val="22"/>
        </w:rPr>
        <w:t>two</w:t>
      </w:r>
      <w:r w:rsidR="00872B75">
        <w:rPr>
          <w:rFonts w:ascii="Calibri" w:hAnsi="Calibri" w:cs="Calibri"/>
          <w:bCs/>
          <w:sz w:val="22"/>
          <w:szCs w:val="22"/>
        </w:rPr>
        <w:t xml:space="preserve"> vacant positions</w:t>
      </w:r>
      <w:r w:rsidR="008F166C">
        <w:rPr>
          <w:rFonts w:ascii="Calibri" w:hAnsi="Calibri" w:cs="Calibri"/>
          <w:bCs/>
          <w:sz w:val="22"/>
          <w:szCs w:val="22"/>
        </w:rPr>
        <w:t xml:space="preserve"> in 2016 (the Secretary General and </w:t>
      </w:r>
      <w:r w:rsidR="004B246E">
        <w:rPr>
          <w:rFonts w:ascii="Calibri" w:hAnsi="Calibri" w:cs="Calibri"/>
          <w:bCs/>
          <w:sz w:val="22"/>
          <w:szCs w:val="22"/>
        </w:rPr>
        <w:t xml:space="preserve">Head of </w:t>
      </w:r>
      <w:r w:rsidR="008F166C">
        <w:rPr>
          <w:rFonts w:ascii="Calibri" w:hAnsi="Calibri" w:cs="Calibri"/>
          <w:bCs/>
          <w:sz w:val="22"/>
          <w:szCs w:val="22"/>
        </w:rPr>
        <w:t>Partnership</w:t>
      </w:r>
      <w:r w:rsidR="004B246E">
        <w:rPr>
          <w:rFonts w:ascii="Calibri" w:hAnsi="Calibri" w:cs="Calibri"/>
          <w:bCs/>
          <w:sz w:val="22"/>
          <w:szCs w:val="22"/>
        </w:rPr>
        <w:t>s</w:t>
      </w:r>
      <w:r w:rsidR="008F166C">
        <w:rPr>
          <w:rFonts w:ascii="Calibri" w:hAnsi="Calibri" w:cs="Calibri"/>
          <w:bCs/>
          <w:sz w:val="22"/>
          <w:szCs w:val="22"/>
        </w:rPr>
        <w:t>)</w:t>
      </w:r>
      <w:r w:rsidR="00872B75">
        <w:rPr>
          <w:rFonts w:ascii="Calibri" w:hAnsi="Calibri" w:cs="Calibri"/>
          <w:bCs/>
          <w:sz w:val="22"/>
          <w:szCs w:val="22"/>
        </w:rPr>
        <w:t>.</w:t>
      </w:r>
      <w:r w:rsidR="00770D8F" w:rsidRPr="00F70525">
        <w:rPr>
          <w:rFonts w:ascii="Calibri" w:hAnsi="Calibri" w:cs="Calibri"/>
          <w:bCs/>
          <w:sz w:val="22"/>
          <w:szCs w:val="22"/>
        </w:rPr>
        <w:t xml:space="preserve"> </w:t>
      </w:r>
      <w:r w:rsidR="008F166C">
        <w:rPr>
          <w:rFonts w:ascii="Calibri" w:hAnsi="Calibri" w:cs="Calibri"/>
          <w:bCs/>
          <w:sz w:val="22"/>
          <w:szCs w:val="22"/>
        </w:rPr>
        <w:t xml:space="preserve">It is anticipated that a </w:t>
      </w:r>
      <w:r w:rsidR="005C0326">
        <w:rPr>
          <w:rFonts w:ascii="Calibri" w:hAnsi="Calibri" w:cs="Calibri"/>
          <w:bCs/>
          <w:sz w:val="22"/>
          <w:szCs w:val="22"/>
        </w:rPr>
        <w:t xml:space="preserve">good portion </w:t>
      </w:r>
      <w:r w:rsidR="008F166C">
        <w:rPr>
          <w:rFonts w:ascii="Calibri" w:hAnsi="Calibri" w:cs="Calibri"/>
          <w:bCs/>
          <w:sz w:val="22"/>
          <w:szCs w:val="22"/>
        </w:rPr>
        <w:t>of these funds will be available to restore the reserve fund at the end of 2016.</w:t>
      </w:r>
      <w:r w:rsidR="00686584">
        <w:rPr>
          <w:rFonts w:ascii="Calibri" w:hAnsi="Calibri" w:cs="Calibri"/>
          <w:bCs/>
          <w:sz w:val="22"/>
          <w:szCs w:val="22"/>
        </w:rPr>
        <w:t xml:space="preserve"> </w:t>
      </w:r>
      <w:r w:rsidR="00F70525">
        <w:rPr>
          <w:rFonts w:ascii="Calibri" w:hAnsi="Calibri" w:cs="Calibri"/>
          <w:bCs/>
          <w:sz w:val="22"/>
          <w:szCs w:val="22"/>
        </w:rPr>
        <w:t>Thus</w:t>
      </w:r>
      <w:r w:rsidR="00F70525" w:rsidRPr="00F70525">
        <w:rPr>
          <w:rFonts w:ascii="Calibri" w:hAnsi="Calibri" w:cs="Calibri"/>
          <w:bCs/>
          <w:sz w:val="22"/>
          <w:szCs w:val="22"/>
        </w:rPr>
        <w:t>,</w:t>
      </w:r>
      <w:r w:rsidR="00A1250A" w:rsidRPr="00F70525">
        <w:rPr>
          <w:rFonts w:ascii="Calibri" w:hAnsi="Calibri" w:cs="Calibri"/>
          <w:bCs/>
          <w:sz w:val="22"/>
          <w:szCs w:val="22"/>
        </w:rPr>
        <w:t xml:space="preserve"> </w:t>
      </w:r>
      <w:r w:rsidR="00F70525" w:rsidRPr="00F70525">
        <w:rPr>
          <w:rFonts w:ascii="Calibri" w:hAnsi="Calibri" w:cs="Calibri"/>
          <w:bCs/>
          <w:sz w:val="22"/>
          <w:szCs w:val="22"/>
        </w:rPr>
        <w:t xml:space="preserve">for example, </w:t>
      </w:r>
      <w:r w:rsidR="00F70525">
        <w:rPr>
          <w:rFonts w:ascii="Calibri" w:hAnsi="Calibri" w:cs="Calibri"/>
          <w:bCs/>
          <w:sz w:val="22"/>
          <w:szCs w:val="22"/>
        </w:rPr>
        <w:t xml:space="preserve">if </w:t>
      </w:r>
      <w:r w:rsidR="00A1250A" w:rsidRPr="00F70525">
        <w:rPr>
          <w:rFonts w:ascii="Calibri" w:hAnsi="Calibri" w:cs="Calibri"/>
          <w:bCs/>
          <w:sz w:val="22"/>
          <w:szCs w:val="22"/>
        </w:rPr>
        <w:t xml:space="preserve">CHF </w:t>
      </w:r>
      <w:r w:rsidR="00E07352" w:rsidRPr="00F70525">
        <w:rPr>
          <w:rFonts w:ascii="Calibri" w:hAnsi="Calibri" w:cs="Calibri"/>
          <w:bCs/>
          <w:sz w:val="22"/>
          <w:szCs w:val="22"/>
        </w:rPr>
        <w:t>40</w:t>
      </w:r>
      <w:r w:rsidR="00A1250A" w:rsidRPr="00F70525">
        <w:rPr>
          <w:rFonts w:ascii="Calibri" w:hAnsi="Calibri" w:cs="Calibri"/>
          <w:bCs/>
          <w:sz w:val="22"/>
          <w:szCs w:val="22"/>
        </w:rPr>
        <w:t xml:space="preserve">,000 </w:t>
      </w:r>
      <w:r w:rsidRPr="00F70525">
        <w:rPr>
          <w:rFonts w:ascii="Calibri" w:hAnsi="Calibri" w:cs="Calibri"/>
          <w:bCs/>
          <w:sz w:val="22"/>
          <w:szCs w:val="22"/>
        </w:rPr>
        <w:t xml:space="preserve">is reserved </w:t>
      </w:r>
      <w:r w:rsidR="00983438" w:rsidRPr="00F70525">
        <w:rPr>
          <w:rFonts w:ascii="Calibri" w:hAnsi="Calibri" w:cs="Calibri"/>
          <w:bCs/>
          <w:sz w:val="22"/>
          <w:szCs w:val="22"/>
        </w:rPr>
        <w:t xml:space="preserve">for </w:t>
      </w:r>
      <w:r w:rsidR="008F166C">
        <w:rPr>
          <w:rFonts w:ascii="Calibri" w:hAnsi="Calibri" w:cs="Calibri"/>
          <w:bCs/>
          <w:sz w:val="22"/>
          <w:szCs w:val="22"/>
        </w:rPr>
        <w:t xml:space="preserve">“normal” </w:t>
      </w:r>
      <w:r w:rsidR="00983438" w:rsidRPr="00F70525">
        <w:rPr>
          <w:rFonts w:ascii="Calibri" w:hAnsi="Calibri" w:cs="Calibri"/>
          <w:bCs/>
          <w:sz w:val="22"/>
          <w:szCs w:val="22"/>
        </w:rPr>
        <w:t>2016 provisions</w:t>
      </w:r>
      <w:r w:rsidR="008F166C">
        <w:rPr>
          <w:rFonts w:ascii="Calibri" w:hAnsi="Calibri" w:cs="Calibri"/>
          <w:bCs/>
          <w:sz w:val="22"/>
          <w:szCs w:val="22"/>
        </w:rPr>
        <w:t xml:space="preserve"> requirements (bad debt and staff provisions)</w:t>
      </w:r>
      <w:r w:rsidRPr="00F70525">
        <w:rPr>
          <w:rFonts w:ascii="Calibri" w:hAnsi="Calibri" w:cs="Calibri"/>
          <w:bCs/>
          <w:sz w:val="22"/>
          <w:szCs w:val="22"/>
        </w:rPr>
        <w:t xml:space="preserve">, CHF 238,000 would remain to restore the </w:t>
      </w:r>
      <w:r w:rsidR="009F4529" w:rsidRPr="00F70525">
        <w:rPr>
          <w:rFonts w:ascii="Calibri" w:hAnsi="Calibri" w:cs="Calibri"/>
          <w:bCs/>
          <w:sz w:val="22"/>
          <w:szCs w:val="22"/>
        </w:rPr>
        <w:t xml:space="preserve">reserve fund </w:t>
      </w:r>
      <w:r w:rsidRPr="00F70525">
        <w:rPr>
          <w:rFonts w:ascii="Calibri" w:hAnsi="Calibri" w:cs="Calibri"/>
          <w:bCs/>
          <w:sz w:val="22"/>
          <w:szCs w:val="22"/>
        </w:rPr>
        <w:t>at the end of 2016</w:t>
      </w:r>
      <w:r w:rsidR="00983438" w:rsidRPr="00F70525">
        <w:rPr>
          <w:rFonts w:ascii="Calibri" w:hAnsi="Calibri" w:cs="Calibri"/>
          <w:bCs/>
          <w:sz w:val="22"/>
          <w:szCs w:val="22"/>
        </w:rPr>
        <w:t>.</w:t>
      </w:r>
      <w:r w:rsidR="008F166C">
        <w:rPr>
          <w:rFonts w:ascii="Calibri" w:hAnsi="Calibri" w:cs="Calibri"/>
          <w:bCs/>
          <w:sz w:val="22"/>
          <w:szCs w:val="22"/>
        </w:rPr>
        <w:t xml:space="preserve"> </w:t>
      </w:r>
    </w:p>
    <w:p w:rsidR="00686584" w:rsidRDefault="00686584" w:rsidP="00686584">
      <w:pPr>
        <w:pStyle w:val="ListParagraph"/>
        <w:ind w:left="426"/>
        <w:rPr>
          <w:rFonts w:ascii="Calibri" w:hAnsi="Calibri" w:cs="Calibri"/>
          <w:bCs/>
          <w:sz w:val="22"/>
          <w:szCs w:val="22"/>
        </w:rPr>
      </w:pPr>
    </w:p>
    <w:p w:rsidR="00F70525" w:rsidRDefault="00D77E07" w:rsidP="008F166C">
      <w:pPr>
        <w:pStyle w:val="ListParagraph"/>
        <w:numPr>
          <w:ilvl w:val="0"/>
          <w:numId w:val="2"/>
        </w:numPr>
        <w:ind w:left="426" w:hanging="426"/>
        <w:rPr>
          <w:rFonts w:ascii="Calibri" w:hAnsi="Calibri" w:cs="Calibri"/>
          <w:bCs/>
          <w:sz w:val="22"/>
          <w:szCs w:val="22"/>
        </w:rPr>
      </w:pPr>
      <w:r>
        <w:rPr>
          <w:rFonts w:ascii="Calibri" w:hAnsi="Calibri" w:cs="Calibri"/>
          <w:bCs/>
          <w:sz w:val="22"/>
          <w:szCs w:val="22"/>
        </w:rPr>
        <w:t>Additionally, t</w:t>
      </w:r>
      <w:r w:rsidR="00F70525">
        <w:rPr>
          <w:rFonts w:ascii="Calibri" w:hAnsi="Calibri" w:cs="Calibri"/>
          <w:bCs/>
          <w:sz w:val="22"/>
          <w:szCs w:val="22"/>
        </w:rPr>
        <w:t>he 2014 remaining surplus</w:t>
      </w:r>
      <w:r w:rsidR="00F70525" w:rsidRPr="0021794F">
        <w:rPr>
          <w:rFonts w:ascii="Calibri" w:hAnsi="Calibri" w:cs="Calibri"/>
          <w:bCs/>
          <w:sz w:val="22"/>
          <w:szCs w:val="22"/>
        </w:rPr>
        <w:t xml:space="preserve"> </w:t>
      </w:r>
      <w:r w:rsidR="00F70525">
        <w:rPr>
          <w:rFonts w:ascii="Calibri" w:hAnsi="Calibri" w:cs="Calibri"/>
          <w:bCs/>
          <w:sz w:val="22"/>
          <w:szCs w:val="22"/>
        </w:rPr>
        <w:t xml:space="preserve">of CHF 6,000, as reported in Table 1, can also be used </w:t>
      </w:r>
      <w:r>
        <w:rPr>
          <w:rFonts w:ascii="Calibri" w:hAnsi="Calibri" w:cs="Calibri"/>
          <w:bCs/>
          <w:sz w:val="22"/>
          <w:szCs w:val="22"/>
        </w:rPr>
        <w:t xml:space="preserve">to restore </w:t>
      </w:r>
      <w:r w:rsidR="005C0326">
        <w:rPr>
          <w:rFonts w:ascii="Calibri" w:hAnsi="Calibri" w:cs="Calibri"/>
          <w:bCs/>
          <w:sz w:val="22"/>
          <w:szCs w:val="22"/>
        </w:rPr>
        <w:t xml:space="preserve">the </w:t>
      </w:r>
      <w:r w:rsidR="00F70525">
        <w:rPr>
          <w:rFonts w:ascii="Calibri" w:hAnsi="Calibri" w:cs="Calibri"/>
          <w:bCs/>
          <w:sz w:val="22"/>
          <w:szCs w:val="22"/>
        </w:rPr>
        <w:t>201</w:t>
      </w:r>
      <w:r>
        <w:rPr>
          <w:rFonts w:ascii="Calibri" w:hAnsi="Calibri" w:cs="Calibri"/>
          <w:bCs/>
          <w:sz w:val="22"/>
          <w:szCs w:val="22"/>
        </w:rPr>
        <w:t>6</w:t>
      </w:r>
      <w:r w:rsidR="00F70525">
        <w:rPr>
          <w:rFonts w:ascii="Calibri" w:hAnsi="Calibri" w:cs="Calibri"/>
          <w:bCs/>
          <w:sz w:val="22"/>
          <w:szCs w:val="22"/>
        </w:rPr>
        <w:t xml:space="preserve"> </w:t>
      </w:r>
      <w:r>
        <w:rPr>
          <w:rFonts w:ascii="Calibri" w:hAnsi="Calibri" w:cs="Calibri"/>
          <w:bCs/>
          <w:sz w:val="22"/>
          <w:szCs w:val="22"/>
        </w:rPr>
        <w:t>reserve fund</w:t>
      </w:r>
      <w:r w:rsidR="00F70525">
        <w:rPr>
          <w:rFonts w:ascii="Calibri" w:hAnsi="Calibri" w:cs="Calibri"/>
          <w:bCs/>
          <w:sz w:val="22"/>
          <w:szCs w:val="22"/>
        </w:rPr>
        <w:t xml:space="preserve">. </w:t>
      </w:r>
    </w:p>
    <w:p w:rsidR="00D77E07" w:rsidRPr="00770D8F" w:rsidRDefault="00D77E07" w:rsidP="00D77E07">
      <w:pPr>
        <w:pStyle w:val="ListParagraph"/>
        <w:ind w:left="426"/>
        <w:rPr>
          <w:rFonts w:ascii="Calibri" w:hAnsi="Calibri" w:cs="Calibri"/>
          <w:bCs/>
          <w:sz w:val="22"/>
          <w:szCs w:val="22"/>
        </w:rPr>
      </w:pPr>
    </w:p>
    <w:p w:rsidR="00E07352" w:rsidRPr="00D77E07" w:rsidRDefault="00F70525" w:rsidP="008F166C">
      <w:pPr>
        <w:pStyle w:val="ListParagraph"/>
        <w:numPr>
          <w:ilvl w:val="0"/>
          <w:numId w:val="2"/>
        </w:numPr>
        <w:ind w:left="426" w:hanging="426"/>
        <w:rPr>
          <w:rFonts w:ascii="Calibri" w:hAnsi="Calibri" w:cs="Calibri"/>
          <w:bCs/>
          <w:sz w:val="22"/>
          <w:szCs w:val="22"/>
        </w:rPr>
      </w:pPr>
      <w:r w:rsidRPr="00D77E07">
        <w:rPr>
          <w:rFonts w:ascii="Calibri" w:hAnsi="Calibri" w:cs="Calibri"/>
          <w:bCs/>
          <w:sz w:val="22"/>
          <w:szCs w:val="22"/>
        </w:rPr>
        <w:t>In this scenario,</w:t>
      </w:r>
      <w:r w:rsidR="008977E6" w:rsidRPr="00D77E07">
        <w:rPr>
          <w:rFonts w:ascii="Calibri" w:hAnsi="Calibri" w:cs="Calibri"/>
          <w:bCs/>
          <w:sz w:val="22"/>
          <w:szCs w:val="22"/>
        </w:rPr>
        <w:t xml:space="preserve"> </w:t>
      </w:r>
      <w:r w:rsidR="00027C3D" w:rsidRPr="00D77E07">
        <w:rPr>
          <w:rFonts w:ascii="Calibri" w:hAnsi="Calibri" w:cs="Calibri"/>
          <w:bCs/>
          <w:sz w:val="22"/>
          <w:szCs w:val="22"/>
        </w:rPr>
        <w:t xml:space="preserve">the </w:t>
      </w:r>
      <w:r w:rsidR="009F4529" w:rsidRPr="00D77E07">
        <w:rPr>
          <w:rFonts w:ascii="Calibri" w:hAnsi="Calibri" w:cs="Calibri"/>
          <w:bCs/>
          <w:sz w:val="22"/>
          <w:szCs w:val="22"/>
        </w:rPr>
        <w:t xml:space="preserve">reserve fund </w:t>
      </w:r>
      <w:r w:rsidR="00A236A3" w:rsidRPr="00D77E07">
        <w:rPr>
          <w:rFonts w:ascii="Calibri" w:hAnsi="Calibri" w:cs="Calibri"/>
          <w:bCs/>
          <w:sz w:val="22"/>
          <w:szCs w:val="22"/>
        </w:rPr>
        <w:t xml:space="preserve">would </w:t>
      </w:r>
      <w:r w:rsidR="00872B75" w:rsidRPr="00D77E07">
        <w:rPr>
          <w:rFonts w:ascii="Calibri" w:hAnsi="Calibri" w:cs="Calibri"/>
          <w:bCs/>
          <w:sz w:val="22"/>
          <w:szCs w:val="22"/>
        </w:rPr>
        <w:t xml:space="preserve">be </w:t>
      </w:r>
      <w:r w:rsidRPr="00D77E07">
        <w:rPr>
          <w:rFonts w:ascii="Calibri" w:hAnsi="Calibri" w:cs="Calibri"/>
          <w:bCs/>
          <w:sz w:val="22"/>
          <w:szCs w:val="22"/>
        </w:rPr>
        <w:t>restored</w:t>
      </w:r>
      <w:r w:rsidR="00E07352" w:rsidRPr="00D77E07">
        <w:rPr>
          <w:rFonts w:ascii="Calibri" w:hAnsi="Calibri" w:cs="Calibri"/>
          <w:bCs/>
          <w:sz w:val="22"/>
          <w:szCs w:val="22"/>
        </w:rPr>
        <w:t xml:space="preserve"> to CHF</w:t>
      </w:r>
      <w:r w:rsidR="000C1D2A" w:rsidRPr="00D77E07">
        <w:rPr>
          <w:rFonts w:ascii="Calibri" w:hAnsi="Calibri" w:cs="Calibri"/>
          <w:bCs/>
          <w:sz w:val="22"/>
          <w:szCs w:val="22"/>
        </w:rPr>
        <w:t xml:space="preserve"> </w:t>
      </w:r>
      <w:r w:rsidR="00E07352" w:rsidRPr="00D77E07">
        <w:rPr>
          <w:rFonts w:ascii="Calibri" w:hAnsi="Calibri" w:cs="Calibri"/>
          <w:bCs/>
          <w:sz w:val="22"/>
          <w:szCs w:val="22"/>
        </w:rPr>
        <w:t>616,000</w:t>
      </w:r>
      <w:r w:rsidR="008977E6" w:rsidRPr="00D77E07">
        <w:rPr>
          <w:rFonts w:ascii="Calibri" w:hAnsi="Calibri" w:cs="Calibri"/>
          <w:bCs/>
          <w:sz w:val="22"/>
          <w:szCs w:val="22"/>
        </w:rPr>
        <w:t>, which is</w:t>
      </w:r>
      <w:r w:rsidR="00E07352" w:rsidRPr="00D77E07">
        <w:rPr>
          <w:rFonts w:ascii="Calibri" w:hAnsi="Calibri" w:cs="Calibri"/>
          <w:bCs/>
          <w:sz w:val="22"/>
          <w:szCs w:val="22"/>
        </w:rPr>
        <w:t xml:space="preserve"> equal to 12.1% of core budget (see Table </w:t>
      </w:r>
      <w:r w:rsidR="00D77E07" w:rsidRPr="00D77E07">
        <w:rPr>
          <w:rFonts w:ascii="Calibri" w:hAnsi="Calibri" w:cs="Calibri"/>
          <w:bCs/>
          <w:sz w:val="22"/>
          <w:szCs w:val="22"/>
        </w:rPr>
        <w:t>3</w:t>
      </w:r>
      <w:r w:rsidR="00E07352" w:rsidRPr="00D77E07">
        <w:rPr>
          <w:rFonts w:ascii="Calibri" w:hAnsi="Calibri" w:cs="Calibri"/>
          <w:bCs/>
          <w:sz w:val="22"/>
          <w:szCs w:val="22"/>
        </w:rPr>
        <w:t>).</w:t>
      </w:r>
      <w:r w:rsidR="008977E6" w:rsidRPr="00D77E07">
        <w:rPr>
          <w:rFonts w:ascii="Calibri" w:hAnsi="Calibri" w:cs="Calibri"/>
          <w:bCs/>
          <w:sz w:val="22"/>
          <w:szCs w:val="22"/>
        </w:rPr>
        <w:t xml:space="preserve">  This is a much healthier </w:t>
      </w:r>
      <w:r w:rsidR="00027C3D" w:rsidRPr="00D77E07">
        <w:rPr>
          <w:rFonts w:ascii="Calibri" w:hAnsi="Calibri" w:cs="Calibri"/>
          <w:bCs/>
          <w:sz w:val="22"/>
          <w:szCs w:val="22"/>
        </w:rPr>
        <w:t xml:space="preserve">and more sustainable </w:t>
      </w:r>
      <w:r w:rsidR="008977E6" w:rsidRPr="00D77E07">
        <w:rPr>
          <w:rFonts w:ascii="Calibri" w:hAnsi="Calibri" w:cs="Calibri"/>
          <w:bCs/>
          <w:sz w:val="22"/>
          <w:szCs w:val="22"/>
        </w:rPr>
        <w:t>level</w:t>
      </w:r>
      <w:r w:rsidR="00027C3D" w:rsidRPr="00D77E07">
        <w:rPr>
          <w:rFonts w:ascii="Calibri" w:hAnsi="Calibri" w:cs="Calibri"/>
          <w:bCs/>
          <w:sz w:val="22"/>
          <w:szCs w:val="22"/>
        </w:rPr>
        <w:t xml:space="preserve"> than </w:t>
      </w:r>
      <w:r w:rsidRPr="00D77E07">
        <w:rPr>
          <w:rFonts w:ascii="Calibri" w:hAnsi="Calibri" w:cs="Calibri"/>
          <w:bCs/>
          <w:sz w:val="22"/>
          <w:szCs w:val="22"/>
        </w:rPr>
        <w:t xml:space="preserve">the CHF 372,000 </w:t>
      </w:r>
      <w:r w:rsidR="00027C3D" w:rsidRPr="00D77E07">
        <w:rPr>
          <w:rFonts w:ascii="Calibri" w:hAnsi="Calibri" w:cs="Calibri"/>
          <w:bCs/>
          <w:sz w:val="22"/>
          <w:szCs w:val="22"/>
        </w:rPr>
        <w:t>shown in Annex 2</w:t>
      </w:r>
      <w:r w:rsidRPr="00D77E07">
        <w:rPr>
          <w:rFonts w:ascii="Calibri" w:hAnsi="Calibri" w:cs="Calibri"/>
          <w:bCs/>
          <w:sz w:val="22"/>
          <w:szCs w:val="22"/>
        </w:rPr>
        <w:t xml:space="preserve"> for the end of 2015</w:t>
      </w:r>
      <w:r w:rsidR="00027C3D" w:rsidRPr="00D77E07">
        <w:rPr>
          <w:rFonts w:ascii="Calibri" w:hAnsi="Calibri" w:cs="Calibri"/>
          <w:bCs/>
          <w:sz w:val="22"/>
          <w:szCs w:val="22"/>
        </w:rPr>
        <w:t>.</w:t>
      </w:r>
      <w:r w:rsidR="008977E6" w:rsidRPr="00D77E07">
        <w:rPr>
          <w:rFonts w:ascii="Calibri" w:hAnsi="Calibri" w:cs="Calibri"/>
          <w:bCs/>
          <w:sz w:val="22"/>
          <w:szCs w:val="22"/>
        </w:rPr>
        <w:t xml:space="preserve"> </w:t>
      </w:r>
    </w:p>
    <w:p w:rsidR="00D77E07" w:rsidRDefault="00D77E07" w:rsidP="008F166C">
      <w:pPr>
        <w:rPr>
          <w:rFonts w:ascii="Calibri" w:hAnsi="Calibri" w:cs="Calibri"/>
          <w:bCs/>
          <w:sz w:val="22"/>
          <w:szCs w:val="22"/>
        </w:rPr>
      </w:pPr>
    </w:p>
    <w:p w:rsidR="00D77E07" w:rsidRPr="00D77E07" w:rsidRDefault="00D77E07" w:rsidP="008F166C">
      <w:pPr>
        <w:rPr>
          <w:rFonts w:ascii="Calibri" w:hAnsi="Calibri" w:cs="Calibri"/>
          <w:bCs/>
          <w:sz w:val="22"/>
          <w:szCs w:val="22"/>
          <w:lang w:val="en-GB"/>
        </w:rPr>
      </w:pPr>
    </w:p>
    <w:p w:rsidR="00F70525" w:rsidRPr="00F70525" w:rsidRDefault="00F70525" w:rsidP="00F70525">
      <w:pPr>
        <w:pStyle w:val="ListParagraph"/>
        <w:rPr>
          <w:rFonts w:ascii="Calibri" w:hAnsi="Calibri" w:cs="Calibri"/>
          <w:bCs/>
          <w:sz w:val="22"/>
          <w:szCs w:val="22"/>
        </w:rPr>
      </w:pPr>
    </w:p>
    <w:p w:rsidR="00686584" w:rsidRDefault="00686584">
      <w:pPr>
        <w:rPr>
          <w:rFonts w:ascii="Calibri" w:hAnsi="Calibri" w:cs="Calibri"/>
          <w:b/>
          <w:bCs/>
          <w:sz w:val="22"/>
          <w:szCs w:val="22"/>
        </w:rPr>
      </w:pPr>
      <w:r>
        <w:rPr>
          <w:rFonts w:ascii="Calibri" w:hAnsi="Calibri" w:cs="Calibri"/>
          <w:b/>
          <w:bCs/>
          <w:sz w:val="22"/>
          <w:szCs w:val="22"/>
        </w:rPr>
        <w:br w:type="page"/>
      </w:r>
    </w:p>
    <w:p w:rsidR="00983438" w:rsidRPr="00A74804" w:rsidRDefault="00983438" w:rsidP="0095739C">
      <w:pPr>
        <w:rPr>
          <w:rFonts w:ascii="Calibri" w:hAnsi="Calibri" w:cs="Calibri"/>
          <w:b/>
          <w:bCs/>
          <w:sz w:val="22"/>
          <w:szCs w:val="22"/>
        </w:rPr>
      </w:pPr>
      <w:r w:rsidRPr="00A74804">
        <w:rPr>
          <w:rFonts w:ascii="Calibri" w:hAnsi="Calibri" w:cs="Calibri"/>
          <w:b/>
          <w:bCs/>
          <w:sz w:val="22"/>
          <w:szCs w:val="22"/>
        </w:rPr>
        <w:lastRenderedPageBreak/>
        <w:t>Table 3</w:t>
      </w:r>
      <w:r w:rsidR="00C171D3">
        <w:rPr>
          <w:rFonts w:ascii="Calibri" w:hAnsi="Calibri" w:cs="Calibri"/>
          <w:b/>
          <w:bCs/>
          <w:sz w:val="22"/>
          <w:szCs w:val="22"/>
        </w:rPr>
        <w:t>:</w:t>
      </w:r>
      <w:r w:rsidR="0095739C" w:rsidRPr="00A74804">
        <w:rPr>
          <w:rFonts w:ascii="Calibri" w:hAnsi="Calibri" w:cs="Calibri"/>
          <w:b/>
          <w:bCs/>
          <w:sz w:val="22"/>
          <w:szCs w:val="22"/>
        </w:rPr>
        <w:t xml:space="preserve"> Proposal to </w:t>
      </w:r>
      <w:r w:rsidR="00F70525">
        <w:rPr>
          <w:rFonts w:ascii="Calibri" w:hAnsi="Calibri" w:cs="Calibri"/>
          <w:b/>
          <w:bCs/>
          <w:sz w:val="22"/>
          <w:szCs w:val="22"/>
        </w:rPr>
        <w:t>restore the Reserve Fund</w:t>
      </w:r>
      <w:r w:rsidR="00D66FE9">
        <w:rPr>
          <w:rFonts w:ascii="Calibri" w:hAnsi="Calibri" w:cs="Calibri"/>
          <w:b/>
          <w:bCs/>
          <w:sz w:val="22"/>
          <w:szCs w:val="22"/>
        </w:rPr>
        <w:t xml:space="preserve"> </w:t>
      </w:r>
      <w:r w:rsidR="00D66FE9">
        <w:rPr>
          <w:rFonts w:ascii="Calibri" w:hAnsi="Calibri" w:cs="Calibri"/>
          <w:b/>
          <w:sz w:val="22"/>
          <w:szCs w:val="22"/>
        </w:rPr>
        <w:t>(‘000 CHF)</w:t>
      </w:r>
    </w:p>
    <w:tbl>
      <w:tblPr>
        <w:tblW w:w="5320" w:type="dxa"/>
        <w:tblInd w:w="103" w:type="dxa"/>
        <w:tblLook w:val="04A0" w:firstRow="1" w:lastRow="0" w:firstColumn="1" w:lastColumn="0" w:noHBand="0" w:noVBand="1"/>
      </w:tblPr>
      <w:tblGrid>
        <w:gridCol w:w="3400"/>
        <w:gridCol w:w="960"/>
        <w:gridCol w:w="960"/>
      </w:tblGrid>
      <w:tr w:rsidR="00D573ED" w:rsidRPr="00D573ED" w:rsidTr="00D573ED">
        <w:trPr>
          <w:trHeight w:val="288"/>
        </w:trPr>
        <w:tc>
          <w:tcPr>
            <w:tcW w:w="3400" w:type="dxa"/>
            <w:tcBorders>
              <w:top w:val="single" w:sz="4" w:space="0" w:color="auto"/>
              <w:left w:val="single" w:sz="4" w:space="0" w:color="auto"/>
              <w:bottom w:val="nil"/>
              <w:right w:val="single" w:sz="4" w:space="0" w:color="auto"/>
            </w:tcBorders>
            <w:shd w:val="clear" w:color="000000" w:fill="8DB4E2"/>
            <w:noWrap/>
            <w:vAlign w:val="bottom"/>
            <w:hideMark/>
          </w:tcPr>
          <w:p w:rsidR="00D573ED" w:rsidRPr="00D573ED" w:rsidRDefault="00F70525" w:rsidP="0095739C">
            <w:pPr>
              <w:rPr>
                <w:rFonts w:ascii="Calibri" w:eastAsia="Times New Roman" w:hAnsi="Calibri"/>
                <w:b/>
                <w:bCs/>
                <w:color w:val="000000"/>
                <w:sz w:val="22"/>
                <w:szCs w:val="22"/>
                <w:lang w:val="en-GB" w:eastAsia="en-GB"/>
              </w:rPr>
            </w:pPr>
            <w:r>
              <w:rPr>
                <w:rFonts w:ascii="Calibri" w:eastAsia="Times New Roman" w:hAnsi="Calibri"/>
                <w:b/>
                <w:bCs/>
                <w:color w:val="000000"/>
                <w:sz w:val="22"/>
                <w:szCs w:val="22"/>
                <w:lang w:val="en-GB" w:eastAsia="en-GB"/>
              </w:rPr>
              <w:t>Reserve Fund, end 2015</w:t>
            </w:r>
          </w:p>
        </w:tc>
        <w:tc>
          <w:tcPr>
            <w:tcW w:w="960" w:type="dxa"/>
            <w:tcBorders>
              <w:top w:val="single" w:sz="4" w:space="0" w:color="auto"/>
              <w:left w:val="nil"/>
              <w:bottom w:val="nil"/>
              <w:right w:val="nil"/>
            </w:tcBorders>
            <w:shd w:val="clear" w:color="000000" w:fill="8DB4E2"/>
            <w:noWrap/>
            <w:vAlign w:val="bottom"/>
            <w:hideMark/>
          </w:tcPr>
          <w:p w:rsidR="00D573ED" w:rsidRPr="00D573ED" w:rsidRDefault="00D573ED" w:rsidP="00D573ED">
            <w:pPr>
              <w:jc w:val="center"/>
              <w:rPr>
                <w:rFonts w:ascii="Calibri" w:eastAsia="Times New Roman" w:hAnsi="Calibri"/>
                <w:b/>
                <w:bCs/>
                <w:color w:val="000000"/>
                <w:sz w:val="22"/>
                <w:szCs w:val="22"/>
                <w:lang w:val="en-GB" w:eastAsia="en-GB"/>
              </w:rPr>
            </w:pPr>
            <w:r w:rsidRPr="00D573ED">
              <w:rPr>
                <w:rFonts w:ascii="Calibri" w:eastAsia="Times New Roman" w:hAnsi="Calibri"/>
                <w:b/>
                <w:bCs/>
                <w:color w:val="000000"/>
                <w:sz w:val="22"/>
                <w:szCs w:val="22"/>
                <w:lang w:val="en-GB" w:eastAsia="en-GB"/>
              </w:rPr>
              <w:t> </w:t>
            </w:r>
          </w:p>
        </w:tc>
        <w:tc>
          <w:tcPr>
            <w:tcW w:w="960" w:type="dxa"/>
            <w:tcBorders>
              <w:top w:val="single" w:sz="4" w:space="0" w:color="auto"/>
              <w:left w:val="nil"/>
              <w:bottom w:val="nil"/>
              <w:right w:val="single" w:sz="4" w:space="0" w:color="auto"/>
            </w:tcBorders>
            <w:shd w:val="clear" w:color="000000" w:fill="8DB4E2"/>
            <w:noWrap/>
            <w:vAlign w:val="bottom"/>
            <w:hideMark/>
          </w:tcPr>
          <w:p w:rsidR="00D573ED" w:rsidRPr="00D573ED" w:rsidRDefault="00752FF3" w:rsidP="00F70525">
            <w:pPr>
              <w:jc w:val="right"/>
              <w:rPr>
                <w:rFonts w:ascii="Calibri" w:eastAsia="Times New Roman" w:hAnsi="Calibri"/>
                <w:b/>
                <w:bCs/>
                <w:color w:val="000000"/>
                <w:sz w:val="22"/>
                <w:szCs w:val="22"/>
                <w:lang w:val="en-GB" w:eastAsia="en-GB"/>
              </w:rPr>
            </w:pPr>
            <w:r>
              <w:rPr>
                <w:rFonts w:ascii="Calibri" w:eastAsia="Times New Roman" w:hAnsi="Calibri"/>
                <w:b/>
                <w:bCs/>
                <w:color w:val="000000"/>
                <w:sz w:val="22"/>
                <w:szCs w:val="22"/>
                <w:lang w:val="en-GB" w:eastAsia="en-GB"/>
              </w:rPr>
              <w:t>3</w:t>
            </w:r>
            <w:r w:rsidR="00F70525">
              <w:rPr>
                <w:rFonts w:ascii="Calibri" w:eastAsia="Times New Roman" w:hAnsi="Calibri"/>
                <w:b/>
                <w:bCs/>
                <w:color w:val="000000"/>
                <w:sz w:val="22"/>
                <w:szCs w:val="22"/>
                <w:lang w:val="en-GB" w:eastAsia="en-GB"/>
              </w:rPr>
              <w:t>72</w:t>
            </w:r>
          </w:p>
        </w:tc>
      </w:tr>
      <w:tr w:rsidR="00D573ED" w:rsidRPr="00D573ED" w:rsidTr="00D573ED">
        <w:trPr>
          <w:trHeight w:val="288"/>
        </w:trPr>
        <w:tc>
          <w:tcPr>
            <w:tcW w:w="3400" w:type="dxa"/>
            <w:tcBorders>
              <w:top w:val="nil"/>
              <w:left w:val="single" w:sz="4" w:space="0" w:color="auto"/>
              <w:bottom w:val="nil"/>
              <w:right w:val="single" w:sz="4" w:space="0" w:color="auto"/>
            </w:tcBorders>
            <w:shd w:val="clear" w:color="auto" w:fill="auto"/>
            <w:noWrap/>
            <w:vAlign w:val="bottom"/>
            <w:hideMark/>
          </w:tcPr>
          <w:p w:rsidR="00D573ED" w:rsidRPr="00D573ED" w:rsidRDefault="00D573ED" w:rsidP="00A236A3">
            <w:pPr>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 xml:space="preserve">2014 </w:t>
            </w:r>
            <w:r w:rsidR="00A236A3">
              <w:rPr>
                <w:rFonts w:ascii="Calibri" w:eastAsia="Times New Roman" w:hAnsi="Calibri"/>
                <w:color w:val="000000"/>
                <w:sz w:val="22"/>
                <w:szCs w:val="22"/>
                <w:lang w:val="en-GB" w:eastAsia="en-GB"/>
              </w:rPr>
              <w:t>s</w:t>
            </w:r>
            <w:r w:rsidR="00A236A3" w:rsidRPr="00D573ED">
              <w:rPr>
                <w:rFonts w:ascii="Calibri" w:eastAsia="Times New Roman" w:hAnsi="Calibri"/>
                <w:color w:val="000000"/>
                <w:sz w:val="22"/>
                <w:szCs w:val="22"/>
                <w:lang w:val="en-GB" w:eastAsia="en-GB"/>
              </w:rPr>
              <w:t>urplus</w:t>
            </w:r>
            <w:r w:rsidRPr="00D573ED">
              <w:rPr>
                <w:rFonts w:ascii="Calibri" w:eastAsia="Times New Roman" w:hAnsi="Calibri"/>
                <w:color w:val="000000"/>
                <w:sz w:val="22"/>
                <w:szCs w:val="22"/>
                <w:lang w:val="en-GB" w:eastAsia="en-GB"/>
              </w:rPr>
              <w:t>, remaining balance</w:t>
            </w:r>
          </w:p>
        </w:tc>
        <w:tc>
          <w:tcPr>
            <w:tcW w:w="960" w:type="dxa"/>
            <w:tcBorders>
              <w:top w:val="nil"/>
              <w:left w:val="nil"/>
              <w:bottom w:val="nil"/>
              <w:right w:val="nil"/>
            </w:tcBorders>
            <w:shd w:val="clear" w:color="auto" w:fill="auto"/>
            <w:noWrap/>
            <w:vAlign w:val="bottom"/>
            <w:hideMark/>
          </w:tcPr>
          <w:p w:rsidR="00D573ED" w:rsidRPr="00D573ED" w:rsidRDefault="00D573ED" w:rsidP="00D573ED">
            <w:pPr>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 </w:t>
            </w:r>
          </w:p>
        </w:tc>
        <w:tc>
          <w:tcPr>
            <w:tcW w:w="960" w:type="dxa"/>
            <w:tcBorders>
              <w:top w:val="nil"/>
              <w:left w:val="nil"/>
              <w:bottom w:val="nil"/>
              <w:right w:val="single" w:sz="4" w:space="0" w:color="auto"/>
            </w:tcBorders>
            <w:shd w:val="clear" w:color="auto" w:fill="auto"/>
            <w:noWrap/>
            <w:vAlign w:val="bottom"/>
            <w:hideMark/>
          </w:tcPr>
          <w:p w:rsidR="00D573ED" w:rsidRPr="00D573ED" w:rsidRDefault="00D573ED" w:rsidP="00D573ED">
            <w:pPr>
              <w:jc w:val="right"/>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6</w:t>
            </w:r>
          </w:p>
        </w:tc>
      </w:tr>
      <w:tr w:rsidR="00D573ED" w:rsidRPr="00D573ED" w:rsidTr="00D573ED">
        <w:trPr>
          <w:trHeight w:val="288"/>
        </w:trPr>
        <w:tc>
          <w:tcPr>
            <w:tcW w:w="3400" w:type="dxa"/>
            <w:tcBorders>
              <w:top w:val="nil"/>
              <w:left w:val="single" w:sz="4" w:space="0" w:color="auto"/>
              <w:bottom w:val="nil"/>
              <w:right w:val="single" w:sz="4" w:space="0" w:color="auto"/>
            </w:tcBorders>
            <w:shd w:val="clear" w:color="auto" w:fill="auto"/>
            <w:noWrap/>
            <w:vAlign w:val="bottom"/>
            <w:hideMark/>
          </w:tcPr>
          <w:p w:rsidR="00D573ED" w:rsidRPr="00D573ED" w:rsidRDefault="00D573ED" w:rsidP="00F70525">
            <w:pPr>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 xml:space="preserve">2016 </w:t>
            </w:r>
            <w:r w:rsidR="00F70525">
              <w:rPr>
                <w:rFonts w:ascii="Calibri" w:eastAsia="Times New Roman" w:hAnsi="Calibri"/>
                <w:color w:val="000000"/>
                <w:sz w:val="22"/>
                <w:szCs w:val="22"/>
                <w:lang w:val="en-GB" w:eastAsia="en-GB"/>
              </w:rPr>
              <w:t>provision</w:t>
            </w:r>
            <w:r w:rsidR="00F70525" w:rsidRPr="00D573ED">
              <w:rPr>
                <w:rFonts w:ascii="Calibri" w:eastAsia="Times New Roman" w:hAnsi="Calibri"/>
                <w:color w:val="000000"/>
                <w:sz w:val="22"/>
                <w:szCs w:val="22"/>
                <w:lang w:val="en-GB" w:eastAsia="en-GB"/>
              </w:rPr>
              <w:t xml:space="preserve"> </w:t>
            </w:r>
            <w:r w:rsidRPr="00D573ED">
              <w:rPr>
                <w:rFonts w:ascii="Calibri" w:eastAsia="Times New Roman" w:hAnsi="Calibri"/>
                <w:color w:val="000000"/>
                <w:sz w:val="22"/>
                <w:szCs w:val="22"/>
                <w:lang w:val="en-GB" w:eastAsia="en-GB"/>
              </w:rPr>
              <w:t>(budget</w:t>
            </w:r>
            <w:r w:rsidR="00F70525">
              <w:rPr>
                <w:rFonts w:ascii="Calibri" w:eastAsia="Times New Roman" w:hAnsi="Calibri"/>
                <w:color w:val="000000"/>
                <w:sz w:val="22"/>
                <w:szCs w:val="22"/>
                <w:lang w:val="en-GB" w:eastAsia="en-GB"/>
              </w:rPr>
              <w:t>ed</w:t>
            </w:r>
            <w:r w:rsidRPr="00D573ED">
              <w:rPr>
                <w:rFonts w:ascii="Calibri" w:eastAsia="Times New Roman" w:hAnsi="Calibri"/>
                <w:color w:val="000000"/>
                <w:sz w:val="22"/>
                <w:szCs w:val="22"/>
                <w:lang w:val="en-GB" w:eastAsia="en-GB"/>
              </w:rPr>
              <w:t>)</w:t>
            </w:r>
          </w:p>
        </w:tc>
        <w:tc>
          <w:tcPr>
            <w:tcW w:w="960" w:type="dxa"/>
            <w:tcBorders>
              <w:top w:val="nil"/>
              <w:left w:val="nil"/>
              <w:bottom w:val="nil"/>
              <w:right w:val="nil"/>
            </w:tcBorders>
            <w:shd w:val="clear" w:color="auto" w:fill="auto"/>
            <w:noWrap/>
            <w:vAlign w:val="bottom"/>
            <w:hideMark/>
          </w:tcPr>
          <w:p w:rsidR="00D573ED" w:rsidRPr="00D573ED" w:rsidRDefault="00D573ED" w:rsidP="00D573ED">
            <w:pPr>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D573ED" w:rsidRPr="00D573ED" w:rsidRDefault="00D573ED" w:rsidP="00752FF3">
            <w:pPr>
              <w:jc w:val="right"/>
              <w:rPr>
                <w:rFonts w:ascii="Calibri" w:eastAsia="Times New Roman" w:hAnsi="Calibri"/>
                <w:color w:val="000000"/>
                <w:sz w:val="22"/>
                <w:szCs w:val="22"/>
                <w:lang w:val="en-GB" w:eastAsia="en-GB"/>
              </w:rPr>
            </w:pPr>
            <w:r w:rsidRPr="00D573ED">
              <w:rPr>
                <w:rFonts w:ascii="Calibri" w:eastAsia="Times New Roman" w:hAnsi="Calibri"/>
                <w:color w:val="000000"/>
                <w:sz w:val="22"/>
                <w:szCs w:val="22"/>
                <w:lang w:val="en-GB" w:eastAsia="en-GB"/>
              </w:rPr>
              <w:t>2</w:t>
            </w:r>
            <w:r w:rsidR="00752FF3">
              <w:rPr>
                <w:rFonts w:ascii="Calibri" w:eastAsia="Times New Roman" w:hAnsi="Calibri"/>
                <w:color w:val="000000"/>
                <w:sz w:val="22"/>
                <w:szCs w:val="22"/>
                <w:lang w:val="en-GB" w:eastAsia="en-GB"/>
              </w:rPr>
              <w:t>38</w:t>
            </w:r>
          </w:p>
        </w:tc>
      </w:tr>
      <w:tr w:rsidR="00D573ED" w:rsidRPr="00D573ED" w:rsidTr="00D573ED">
        <w:trPr>
          <w:trHeight w:val="288"/>
        </w:trPr>
        <w:tc>
          <w:tcPr>
            <w:tcW w:w="3400" w:type="dxa"/>
            <w:tcBorders>
              <w:top w:val="nil"/>
              <w:left w:val="single" w:sz="4" w:space="0" w:color="auto"/>
              <w:bottom w:val="single" w:sz="4" w:space="0" w:color="auto"/>
              <w:right w:val="single" w:sz="4" w:space="0" w:color="auto"/>
            </w:tcBorders>
            <w:shd w:val="clear" w:color="000000" w:fill="C5D9F1"/>
            <w:noWrap/>
            <w:vAlign w:val="bottom"/>
            <w:hideMark/>
          </w:tcPr>
          <w:p w:rsidR="00D573ED" w:rsidRPr="00D573ED" w:rsidRDefault="00F70525" w:rsidP="00F70525">
            <w:pPr>
              <w:rPr>
                <w:rFonts w:ascii="Calibri" w:eastAsia="Times New Roman" w:hAnsi="Calibri"/>
                <w:b/>
                <w:bCs/>
                <w:color w:val="000000"/>
                <w:sz w:val="22"/>
                <w:szCs w:val="22"/>
                <w:lang w:val="en-GB" w:eastAsia="en-GB"/>
              </w:rPr>
            </w:pPr>
            <w:r>
              <w:rPr>
                <w:rFonts w:ascii="Calibri" w:eastAsia="Times New Roman" w:hAnsi="Calibri"/>
                <w:b/>
                <w:bCs/>
                <w:color w:val="000000"/>
                <w:sz w:val="22"/>
                <w:szCs w:val="22"/>
                <w:lang w:val="en-GB" w:eastAsia="en-GB"/>
              </w:rPr>
              <w:t>Reserve Fund, end 2016</w:t>
            </w:r>
          </w:p>
        </w:tc>
        <w:tc>
          <w:tcPr>
            <w:tcW w:w="960" w:type="dxa"/>
            <w:tcBorders>
              <w:top w:val="nil"/>
              <w:left w:val="nil"/>
              <w:bottom w:val="single" w:sz="4" w:space="0" w:color="auto"/>
              <w:right w:val="nil"/>
            </w:tcBorders>
            <w:shd w:val="clear" w:color="000000" w:fill="C5D9F1"/>
            <w:noWrap/>
            <w:vAlign w:val="bottom"/>
            <w:hideMark/>
          </w:tcPr>
          <w:p w:rsidR="00D573ED" w:rsidRPr="00D573ED" w:rsidRDefault="00D573ED" w:rsidP="00D573ED">
            <w:pPr>
              <w:rPr>
                <w:rFonts w:ascii="Calibri" w:eastAsia="Times New Roman" w:hAnsi="Calibri"/>
                <w:b/>
                <w:bCs/>
                <w:color w:val="000000"/>
                <w:sz w:val="22"/>
                <w:szCs w:val="22"/>
                <w:lang w:val="en-GB" w:eastAsia="en-GB"/>
              </w:rPr>
            </w:pPr>
            <w:r w:rsidRPr="00D573ED">
              <w:rPr>
                <w:rFonts w:ascii="Calibri" w:eastAsia="Times New Roman" w:hAnsi="Calibri"/>
                <w:b/>
                <w:bCs/>
                <w:color w:val="000000"/>
                <w:sz w:val="22"/>
                <w:szCs w:val="22"/>
                <w:lang w:val="en-GB"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rsidR="00D573ED" w:rsidRPr="00D573ED" w:rsidRDefault="00F70525" w:rsidP="00A1250A">
            <w:pPr>
              <w:jc w:val="right"/>
              <w:rPr>
                <w:rFonts w:ascii="Calibri" w:eastAsia="Times New Roman" w:hAnsi="Calibri"/>
                <w:b/>
                <w:bCs/>
                <w:color w:val="000000"/>
                <w:sz w:val="22"/>
                <w:szCs w:val="22"/>
                <w:lang w:val="en-GB" w:eastAsia="en-GB"/>
              </w:rPr>
            </w:pPr>
            <w:r>
              <w:rPr>
                <w:rFonts w:ascii="Calibri" w:eastAsia="Times New Roman" w:hAnsi="Calibri"/>
                <w:b/>
                <w:bCs/>
                <w:color w:val="000000"/>
                <w:sz w:val="22"/>
                <w:szCs w:val="22"/>
                <w:lang w:val="en-GB" w:eastAsia="en-GB"/>
              </w:rPr>
              <w:t>616</w:t>
            </w:r>
          </w:p>
        </w:tc>
      </w:tr>
    </w:tbl>
    <w:p w:rsidR="00D573ED" w:rsidRDefault="00D573ED" w:rsidP="00D573ED">
      <w:pPr>
        <w:rPr>
          <w:rFonts w:ascii="Calibri" w:hAnsi="Calibri" w:cs="Calibri"/>
          <w:bCs/>
          <w:sz w:val="22"/>
          <w:szCs w:val="22"/>
        </w:rPr>
      </w:pPr>
    </w:p>
    <w:p w:rsidR="006D4D06" w:rsidRPr="000F4158" w:rsidRDefault="00C47AD4" w:rsidP="00842399">
      <w:pPr>
        <w:pStyle w:val="ListParagraph"/>
        <w:rPr>
          <w:rFonts w:ascii="Calibri" w:hAnsi="Calibri" w:cs="Calibri"/>
          <w:bCs/>
          <w:sz w:val="22"/>
          <w:szCs w:val="22"/>
        </w:rPr>
      </w:pPr>
      <w:r>
        <w:rPr>
          <w:rFonts w:ascii="Calibri" w:hAnsi="Calibri" w:cs="Calibri"/>
          <w:bCs/>
          <w:sz w:val="22"/>
          <w:szCs w:val="22"/>
        </w:rPr>
        <w:tab/>
      </w:r>
    </w:p>
    <w:p w:rsidR="00D22F60" w:rsidRPr="0098215B" w:rsidRDefault="00B71BA1" w:rsidP="00842399">
      <w:pPr>
        <w:rPr>
          <w:rFonts w:ascii="Calibri" w:hAnsi="Calibri"/>
          <w:b/>
          <w:sz w:val="22"/>
        </w:rPr>
      </w:pPr>
      <w:r w:rsidRPr="0098215B">
        <w:rPr>
          <w:rFonts w:ascii="Calibri" w:hAnsi="Calibri" w:cs="Calibri"/>
          <w:b/>
          <w:sz w:val="22"/>
          <w:szCs w:val="22"/>
        </w:rPr>
        <w:t>2015</w:t>
      </w:r>
      <w:r w:rsidR="00C135FD" w:rsidRPr="0098215B">
        <w:rPr>
          <w:rFonts w:ascii="Calibri" w:hAnsi="Calibri" w:cs="Calibri"/>
          <w:b/>
          <w:sz w:val="22"/>
          <w:szCs w:val="22"/>
        </w:rPr>
        <w:t xml:space="preserve"> </w:t>
      </w:r>
      <w:r w:rsidR="00D22F60" w:rsidRPr="0098215B">
        <w:rPr>
          <w:rFonts w:ascii="Calibri" w:hAnsi="Calibri" w:cs="Calibri"/>
          <w:b/>
          <w:sz w:val="22"/>
          <w:szCs w:val="22"/>
        </w:rPr>
        <w:t>results: non-core budget</w:t>
      </w:r>
      <w:r w:rsidR="00A236A3">
        <w:rPr>
          <w:rFonts w:ascii="Calibri" w:hAnsi="Calibri" w:cs="Calibri"/>
          <w:b/>
          <w:sz w:val="22"/>
          <w:szCs w:val="22"/>
        </w:rPr>
        <w:t xml:space="preserve"> and voluntary contributions</w:t>
      </w:r>
    </w:p>
    <w:p w:rsidR="000E650E" w:rsidRPr="0098215B" w:rsidRDefault="000E650E" w:rsidP="00842399">
      <w:pPr>
        <w:ind w:left="426"/>
        <w:rPr>
          <w:rFonts w:ascii="Calibri" w:hAnsi="Calibri"/>
          <w:sz w:val="22"/>
        </w:rPr>
      </w:pPr>
    </w:p>
    <w:p w:rsidR="0098215B" w:rsidRPr="0098215B" w:rsidRDefault="00CB778E" w:rsidP="005C0326">
      <w:pPr>
        <w:numPr>
          <w:ilvl w:val="0"/>
          <w:numId w:val="2"/>
        </w:numPr>
        <w:ind w:left="426" w:hanging="426"/>
        <w:rPr>
          <w:rFonts w:ascii="Calibri" w:hAnsi="Calibri"/>
          <w:sz w:val="22"/>
        </w:rPr>
      </w:pPr>
      <w:r w:rsidRPr="0098215B">
        <w:rPr>
          <w:rFonts w:ascii="Calibri" w:hAnsi="Calibri"/>
          <w:sz w:val="22"/>
        </w:rPr>
        <w:t xml:space="preserve">CHF </w:t>
      </w:r>
      <w:r w:rsidR="0098215B" w:rsidRPr="0098215B">
        <w:rPr>
          <w:rFonts w:ascii="Calibri" w:hAnsi="Calibri"/>
          <w:sz w:val="22"/>
        </w:rPr>
        <w:t xml:space="preserve">420,700 </w:t>
      </w:r>
      <w:r w:rsidRPr="0098215B">
        <w:rPr>
          <w:rFonts w:ascii="Calibri" w:hAnsi="Calibri"/>
          <w:sz w:val="22"/>
        </w:rPr>
        <w:t xml:space="preserve">non-core voluntary contributions </w:t>
      </w:r>
      <w:r w:rsidR="0098215B" w:rsidRPr="0098215B">
        <w:rPr>
          <w:rFonts w:ascii="Calibri" w:hAnsi="Calibri"/>
          <w:sz w:val="22"/>
        </w:rPr>
        <w:t>were received in 2015 for sponsored delegates to attend COP12 in Punte del Este, Uruguay. The contribut</w:t>
      </w:r>
      <w:r w:rsidR="00A74804">
        <w:rPr>
          <w:rFonts w:ascii="Calibri" w:hAnsi="Calibri"/>
          <w:sz w:val="22"/>
        </w:rPr>
        <w:t>ions are listed in T</w:t>
      </w:r>
      <w:r w:rsidR="0098215B">
        <w:rPr>
          <w:rFonts w:ascii="Calibri" w:hAnsi="Calibri"/>
          <w:sz w:val="22"/>
        </w:rPr>
        <w:t xml:space="preserve">able </w:t>
      </w:r>
      <w:r w:rsidR="00D77E07">
        <w:rPr>
          <w:rFonts w:ascii="Calibri" w:hAnsi="Calibri"/>
          <w:sz w:val="22"/>
        </w:rPr>
        <w:t>4</w:t>
      </w:r>
      <w:r w:rsidR="0098215B">
        <w:rPr>
          <w:rFonts w:ascii="Calibri" w:hAnsi="Calibri"/>
          <w:sz w:val="22"/>
        </w:rPr>
        <w:t>.</w:t>
      </w:r>
    </w:p>
    <w:p w:rsidR="00F23B0A" w:rsidRDefault="00F23B0A" w:rsidP="00F23B0A">
      <w:pPr>
        <w:rPr>
          <w:rFonts w:ascii="Calibri" w:hAnsi="Calibri"/>
          <w:sz w:val="22"/>
        </w:rPr>
      </w:pPr>
    </w:p>
    <w:p w:rsidR="0098215B" w:rsidRPr="00A74804" w:rsidRDefault="00450ADD" w:rsidP="00F23B0A">
      <w:pPr>
        <w:rPr>
          <w:rFonts w:ascii="Calibri" w:hAnsi="Calibri"/>
          <w:b/>
          <w:sz w:val="22"/>
        </w:rPr>
      </w:pPr>
      <w:r w:rsidRPr="00A74804">
        <w:rPr>
          <w:rFonts w:ascii="Calibri" w:hAnsi="Calibri"/>
          <w:b/>
          <w:sz w:val="22"/>
        </w:rPr>
        <w:t xml:space="preserve">Table </w:t>
      </w:r>
      <w:r w:rsidR="00D77E07">
        <w:rPr>
          <w:rFonts w:ascii="Calibri" w:hAnsi="Calibri"/>
          <w:b/>
          <w:sz w:val="22"/>
        </w:rPr>
        <w:t>4</w:t>
      </w:r>
      <w:r w:rsidR="00C171D3">
        <w:rPr>
          <w:rFonts w:ascii="Calibri" w:hAnsi="Calibri"/>
          <w:b/>
          <w:sz w:val="22"/>
        </w:rPr>
        <w:t>:</w:t>
      </w:r>
      <w:r w:rsidRPr="00A74804">
        <w:rPr>
          <w:rFonts w:ascii="Calibri" w:hAnsi="Calibri"/>
          <w:b/>
          <w:sz w:val="22"/>
        </w:rPr>
        <w:t xml:space="preserve"> </w:t>
      </w:r>
      <w:r w:rsidR="0098215B" w:rsidRPr="00A74804">
        <w:rPr>
          <w:rFonts w:ascii="Calibri" w:hAnsi="Calibri"/>
          <w:b/>
          <w:sz w:val="22"/>
        </w:rPr>
        <w:t>COP12 Fundraising, Sponsored Delegates, CHF</w:t>
      </w:r>
    </w:p>
    <w:tbl>
      <w:tblPr>
        <w:tblW w:w="6500" w:type="dxa"/>
        <w:tblInd w:w="103" w:type="dxa"/>
        <w:tblLook w:val="04A0" w:firstRow="1" w:lastRow="0" w:firstColumn="1" w:lastColumn="0" w:noHBand="0" w:noVBand="1"/>
      </w:tblPr>
      <w:tblGrid>
        <w:gridCol w:w="3080"/>
        <w:gridCol w:w="1540"/>
        <w:gridCol w:w="1880"/>
      </w:tblGrid>
      <w:tr w:rsidR="0098215B" w:rsidRPr="0098215B" w:rsidTr="0098215B">
        <w:trPr>
          <w:trHeight w:val="288"/>
        </w:trPr>
        <w:tc>
          <w:tcPr>
            <w:tcW w:w="30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8215B" w:rsidRPr="0098215B" w:rsidRDefault="0098215B" w:rsidP="0098215B">
            <w:pPr>
              <w:rPr>
                <w:rFonts w:asciiTheme="minorHAnsi" w:eastAsia="Times New Roman" w:hAnsiTheme="minorHAnsi"/>
                <w:b/>
                <w:bCs/>
                <w:color w:val="000000"/>
                <w:sz w:val="20"/>
                <w:szCs w:val="20"/>
                <w:lang w:val="en-GB" w:eastAsia="en-GB"/>
              </w:rPr>
            </w:pPr>
            <w:r w:rsidRPr="0098215B">
              <w:rPr>
                <w:rFonts w:asciiTheme="minorHAnsi" w:eastAsia="Times New Roman" w:hAnsiTheme="minorHAnsi"/>
                <w:b/>
                <w:bCs/>
                <w:color w:val="000000"/>
                <w:sz w:val="20"/>
                <w:szCs w:val="20"/>
                <w:lang w:val="en-GB" w:eastAsia="en-GB"/>
              </w:rPr>
              <w:t>Donor</w:t>
            </w:r>
          </w:p>
        </w:tc>
        <w:tc>
          <w:tcPr>
            <w:tcW w:w="1540" w:type="dxa"/>
            <w:tcBorders>
              <w:top w:val="single" w:sz="4" w:space="0" w:color="auto"/>
              <w:left w:val="nil"/>
              <w:bottom w:val="single" w:sz="4" w:space="0" w:color="auto"/>
              <w:right w:val="single" w:sz="4" w:space="0" w:color="auto"/>
            </w:tcBorders>
            <w:shd w:val="clear" w:color="000000" w:fill="C5D9F1"/>
            <w:noWrap/>
            <w:vAlign w:val="bottom"/>
            <w:hideMark/>
          </w:tcPr>
          <w:p w:rsidR="0098215B" w:rsidRPr="0098215B" w:rsidRDefault="0098215B" w:rsidP="0098215B">
            <w:pPr>
              <w:jc w:val="center"/>
              <w:rPr>
                <w:rFonts w:asciiTheme="minorHAnsi" w:eastAsia="Times New Roman" w:hAnsiTheme="minorHAnsi"/>
                <w:b/>
                <w:bCs/>
                <w:color w:val="000000"/>
                <w:sz w:val="20"/>
                <w:szCs w:val="20"/>
                <w:lang w:val="en-GB" w:eastAsia="en-GB"/>
              </w:rPr>
            </w:pPr>
            <w:r w:rsidRPr="0098215B">
              <w:rPr>
                <w:rFonts w:asciiTheme="minorHAnsi" w:eastAsia="Times New Roman" w:hAnsiTheme="minorHAnsi"/>
                <w:b/>
                <w:bCs/>
                <w:color w:val="000000"/>
                <w:sz w:val="20"/>
                <w:szCs w:val="20"/>
                <w:lang w:val="en-GB" w:eastAsia="en-GB"/>
              </w:rPr>
              <w:t>Amount CHF</w:t>
            </w:r>
          </w:p>
        </w:tc>
        <w:tc>
          <w:tcPr>
            <w:tcW w:w="1880" w:type="dxa"/>
            <w:tcBorders>
              <w:top w:val="single" w:sz="4" w:space="0" w:color="auto"/>
              <w:left w:val="nil"/>
              <w:bottom w:val="single" w:sz="4" w:space="0" w:color="auto"/>
              <w:right w:val="single" w:sz="4" w:space="0" w:color="auto"/>
            </w:tcBorders>
            <w:shd w:val="clear" w:color="000000" w:fill="C5D9F1"/>
            <w:noWrap/>
            <w:vAlign w:val="bottom"/>
            <w:hideMark/>
          </w:tcPr>
          <w:p w:rsidR="0098215B" w:rsidRPr="0098215B" w:rsidRDefault="0098215B" w:rsidP="0098215B">
            <w:pPr>
              <w:jc w:val="center"/>
              <w:rPr>
                <w:rFonts w:asciiTheme="minorHAnsi" w:eastAsia="Times New Roman" w:hAnsiTheme="minorHAnsi"/>
                <w:b/>
                <w:bCs/>
                <w:color w:val="000000"/>
                <w:sz w:val="20"/>
                <w:szCs w:val="20"/>
                <w:lang w:val="en-GB" w:eastAsia="en-GB"/>
              </w:rPr>
            </w:pPr>
            <w:r w:rsidRPr="0098215B">
              <w:rPr>
                <w:rFonts w:asciiTheme="minorHAnsi" w:eastAsia="Times New Roman" w:hAnsiTheme="minorHAnsi"/>
                <w:b/>
                <w:bCs/>
                <w:color w:val="000000"/>
                <w:sz w:val="20"/>
                <w:szCs w:val="20"/>
                <w:lang w:val="en-GB" w:eastAsia="en-GB"/>
              </w:rPr>
              <w:t>Currency</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Star Alliance</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13,566</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EUR 12,995</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Australia</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29,660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AUD 40,000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Austria</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5,166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EUR 5,000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Canada</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30,000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CAD 40,000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Finland</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20,807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EUR 20,000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Germany</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10,479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EUR 10,000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Korea (Republic of)</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23,750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USD 25,000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Netherlands</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8,070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EUR 7,500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Norway</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40,847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NOK 340,000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Sweden</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55,684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SEK 500,000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Switzerland</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115,000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CHF 115,000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UNEP-ROWA</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12,949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CHF 12,950</w:t>
            </w:r>
          </w:p>
        </w:tc>
      </w:tr>
      <w:tr w:rsidR="0098215B" w:rsidRPr="0098215B" w:rsidTr="0098215B">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Other funds (note 1)</w:t>
            </w:r>
          </w:p>
        </w:tc>
        <w:tc>
          <w:tcPr>
            <w:tcW w:w="1540" w:type="dxa"/>
            <w:tcBorders>
              <w:top w:val="nil"/>
              <w:left w:val="nil"/>
              <w:bottom w:val="single" w:sz="4" w:space="0" w:color="auto"/>
              <w:right w:val="single" w:sz="4" w:space="0" w:color="auto"/>
            </w:tcBorders>
            <w:shd w:val="clear" w:color="000000" w:fill="C5D9F1"/>
            <w:noWrap/>
            <w:vAlign w:val="bottom"/>
            <w:hideMark/>
          </w:tcPr>
          <w:p w:rsidR="0098215B" w:rsidRPr="0098215B" w:rsidRDefault="0098215B" w:rsidP="0098215B">
            <w:pPr>
              <w:jc w:val="right"/>
              <w:rPr>
                <w:rFonts w:asciiTheme="minorHAnsi" w:eastAsia="Times New Roman" w:hAnsiTheme="minorHAnsi"/>
                <w:sz w:val="20"/>
                <w:szCs w:val="20"/>
                <w:lang w:val="en-GB" w:eastAsia="en-GB"/>
              </w:rPr>
            </w:pPr>
            <w:r w:rsidRPr="0098215B">
              <w:rPr>
                <w:rFonts w:asciiTheme="minorHAnsi" w:eastAsia="Times New Roman" w:hAnsiTheme="minorHAnsi"/>
                <w:sz w:val="20"/>
                <w:szCs w:val="20"/>
                <w:lang w:val="en-GB" w:eastAsia="en-GB"/>
              </w:rPr>
              <w:t xml:space="preserve">54,711 </w:t>
            </w:r>
          </w:p>
        </w:tc>
        <w:tc>
          <w:tcPr>
            <w:tcW w:w="1880" w:type="dxa"/>
            <w:tcBorders>
              <w:top w:val="nil"/>
              <w:left w:val="nil"/>
              <w:bottom w:val="single" w:sz="4" w:space="0" w:color="auto"/>
              <w:right w:val="single" w:sz="4" w:space="0" w:color="auto"/>
            </w:tcBorders>
            <w:shd w:val="clear" w:color="auto" w:fill="auto"/>
            <w:noWrap/>
            <w:vAlign w:val="bottom"/>
            <w:hideMark/>
          </w:tcPr>
          <w:p w:rsidR="0098215B" w:rsidRPr="0098215B" w:rsidRDefault="0098215B" w:rsidP="0098215B">
            <w:pPr>
              <w:jc w:val="right"/>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CHF 54,700</w:t>
            </w:r>
          </w:p>
        </w:tc>
      </w:tr>
      <w:tr w:rsidR="0098215B" w:rsidRPr="0098215B" w:rsidTr="0098215B">
        <w:trPr>
          <w:trHeight w:val="288"/>
        </w:trPr>
        <w:tc>
          <w:tcPr>
            <w:tcW w:w="3080" w:type="dxa"/>
            <w:tcBorders>
              <w:top w:val="single" w:sz="4" w:space="0" w:color="auto"/>
              <w:left w:val="single" w:sz="4" w:space="0" w:color="auto"/>
              <w:bottom w:val="single" w:sz="4" w:space="0" w:color="auto"/>
              <w:right w:val="nil"/>
            </w:tcBorders>
            <w:shd w:val="clear" w:color="000000" w:fill="8DB4E2"/>
            <w:noWrap/>
            <w:vAlign w:val="bottom"/>
            <w:hideMark/>
          </w:tcPr>
          <w:p w:rsidR="0098215B" w:rsidRPr="0098215B" w:rsidRDefault="0098215B" w:rsidP="0098215B">
            <w:pPr>
              <w:rPr>
                <w:rFonts w:asciiTheme="minorHAnsi" w:eastAsia="Times New Roman" w:hAnsiTheme="minorHAnsi"/>
                <w:b/>
                <w:bCs/>
                <w:color w:val="000000"/>
                <w:sz w:val="20"/>
                <w:szCs w:val="20"/>
                <w:lang w:val="en-GB" w:eastAsia="en-GB"/>
              </w:rPr>
            </w:pPr>
            <w:r w:rsidRPr="0098215B">
              <w:rPr>
                <w:rFonts w:asciiTheme="minorHAnsi" w:eastAsia="Times New Roman" w:hAnsiTheme="minorHAnsi"/>
                <w:b/>
                <w:bCs/>
                <w:color w:val="000000"/>
                <w:sz w:val="20"/>
                <w:szCs w:val="20"/>
                <w:lang w:val="en-GB" w:eastAsia="en-GB"/>
              </w:rPr>
              <w:t>Total</w:t>
            </w:r>
          </w:p>
        </w:tc>
        <w:tc>
          <w:tcPr>
            <w:tcW w:w="1540" w:type="dxa"/>
            <w:tcBorders>
              <w:top w:val="nil"/>
              <w:left w:val="nil"/>
              <w:bottom w:val="single" w:sz="4" w:space="0" w:color="auto"/>
              <w:right w:val="single" w:sz="4" w:space="0" w:color="auto"/>
            </w:tcBorders>
            <w:shd w:val="clear" w:color="000000" w:fill="D9D9D9"/>
            <w:noWrap/>
            <w:vAlign w:val="bottom"/>
            <w:hideMark/>
          </w:tcPr>
          <w:p w:rsidR="0098215B" w:rsidRPr="0098215B" w:rsidRDefault="0098215B" w:rsidP="0098215B">
            <w:pPr>
              <w:jc w:val="right"/>
              <w:rPr>
                <w:rFonts w:asciiTheme="minorHAnsi" w:eastAsia="Times New Roman" w:hAnsiTheme="minorHAnsi"/>
                <w:b/>
                <w:bCs/>
                <w:color w:val="000000"/>
                <w:sz w:val="20"/>
                <w:szCs w:val="20"/>
                <w:lang w:val="en-GB" w:eastAsia="en-GB"/>
              </w:rPr>
            </w:pPr>
            <w:r w:rsidRPr="0098215B">
              <w:rPr>
                <w:rFonts w:asciiTheme="minorHAnsi" w:eastAsia="Times New Roman" w:hAnsiTheme="minorHAnsi"/>
                <w:b/>
                <w:bCs/>
                <w:color w:val="000000"/>
                <w:sz w:val="20"/>
                <w:szCs w:val="20"/>
                <w:lang w:val="en-GB" w:eastAsia="en-GB"/>
              </w:rPr>
              <w:t xml:space="preserve">420,688 </w:t>
            </w:r>
          </w:p>
        </w:tc>
        <w:tc>
          <w:tcPr>
            <w:tcW w:w="1880" w:type="dxa"/>
            <w:tcBorders>
              <w:top w:val="nil"/>
              <w:left w:val="nil"/>
              <w:bottom w:val="nil"/>
              <w:right w:val="nil"/>
            </w:tcBorders>
            <w:shd w:val="clear" w:color="000000" w:fill="FFFFFF"/>
            <w:noWrap/>
            <w:vAlign w:val="bottom"/>
            <w:hideMark/>
          </w:tcPr>
          <w:p w:rsidR="0098215B" w:rsidRPr="0098215B" w:rsidRDefault="0098215B" w:rsidP="0098215B">
            <w:pPr>
              <w:rPr>
                <w:rFonts w:asciiTheme="minorHAnsi" w:eastAsia="Times New Roman" w:hAnsiTheme="minorHAnsi"/>
                <w:color w:val="000000"/>
                <w:sz w:val="20"/>
                <w:szCs w:val="20"/>
                <w:lang w:val="en-GB" w:eastAsia="en-GB"/>
              </w:rPr>
            </w:pPr>
            <w:r w:rsidRPr="0098215B">
              <w:rPr>
                <w:rFonts w:asciiTheme="minorHAnsi" w:eastAsia="Times New Roman" w:hAnsiTheme="minorHAnsi"/>
                <w:color w:val="000000"/>
                <w:sz w:val="20"/>
                <w:szCs w:val="20"/>
                <w:lang w:val="en-GB" w:eastAsia="en-GB"/>
              </w:rPr>
              <w:t> </w:t>
            </w:r>
          </w:p>
        </w:tc>
      </w:tr>
    </w:tbl>
    <w:p w:rsidR="00C669C7" w:rsidRDefault="00C669C7" w:rsidP="00C669C7">
      <w:pPr>
        <w:rPr>
          <w:rFonts w:ascii="Helvetica" w:hAnsi="Helvetica" w:cs="Arial"/>
          <w:sz w:val="18"/>
          <w:szCs w:val="18"/>
        </w:rPr>
      </w:pPr>
    </w:p>
    <w:p w:rsidR="0098215B" w:rsidRPr="00A236A3" w:rsidRDefault="0098215B" w:rsidP="00C669C7">
      <w:pPr>
        <w:rPr>
          <w:rFonts w:asciiTheme="minorHAnsi" w:hAnsiTheme="minorHAnsi" w:cs="Arial"/>
          <w:sz w:val="20"/>
          <w:szCs w:val="20"/>
        </w:rPr>
      </w:pPr>
      <w:r w:rsidRPr="00A236A3">
        <w:rPr>
          <w:rFonts w:asciiTheme="minorHAnsi" w:hAnsiTheme="minorHAnsi" w:cs="Arial"/>
          <w:sz w:val="20"/>
          <w:szCs w:val="20"/>
        </w:rPr>
        <w:t>Note 1: Other funds = remaining amounts from other funding with agreement to use for sponsored delegates.</w:t>
      </w:r>
    </w:p>
    <w:p w:rsidR="0098215B" w:rsidRPr="0098215B" w:rsidRDefault="0098215B" w:rsidP="0098215B">
      <w:pPr>
        <w:pStyle w:val="ListParagraph"/>
        <w:rPr>
          <w:rFonts w:ascii="Helvetica" w:hAnsi="Helvetica" w:cs="Arial"/>
          <w:sz w:val="18"/>
          <w:szCs w:val="18"/>
        </w:rPr>
      </w:pPr>
    </w:p>
    <w:p w:rsidR="000876AD" w:rsidRPr="007D6396" w:rsidRDefault="000876AD" w:rsidP="0080525E">
      <w:pPr>
        <w:numPr>
          <w:ilvl w:val="0"/>
          <w:numId w:val="2"/>
        </w:numPr>
        <w:ind w:left="426" w:hanging="426"/>
        <w:rPr>
          <w:rFonts w:ascii="Calibri" w:hAnsi="Calibri"/>
          <w:sz w:val="22"/>
        </w:rPr>
      </w:pPr>
      <w:r w:rsidRPr="007D6396">
        <w:rPr>
          <w:rFonts w:ascii="Calibri" w:hAnsi="Calibri"/>
          <w:sz w:val="22"/>
          <w:lang w:val="en-GB"/>
        </w:rPr>
        <w:t>The United States of America voluntarily contributed CHF 1,149,575</w:t>
      </w:r>
      <w:r w:rsidR="002D0871">
        <w:rPr>
          <w:rFonts w:ascii="Calibri" w:hAnsi="Calibri"/>
          <w:sz w:val="22"/>
          <w:lang w:val="en-GB"/>
        </w:rPr>
        <w:t xml:space="preserve"> (USD</w:t>
      </w:r>
      <w:r w:rsidR="00A236A3">
        <w:rPr>
          <w:rFonts w:ascii="Calibri" w:hAnsi="Calibri"/>
          <w:sz w:val="22"/>
          <w:lang w:val="en-GB"/>
        </w:rPr>
        <w:t xml:space="preserve"> </w:t>
      </w:r>
      <w:r w:rsidR="002D0871">
        <w:rPr>
          <w:rFonts w:ascii="Calibri" w:hAnsi="Calibri"/>
          <w:sz w:val="22"/>
          <w:lang w:val="en-GB"/>
        </w:rPr>
        <w:t>1,150,000)</w:t>
      </w:r>
      <w:r w:rsidRPr="007D6396">
        <w:rPr>
          <w:rFonts w:ascii="Calibri" w:hAnsi="Calibri"/>
          <w:sz w:val="22"/>
          <w:lang w:val="en-GB"/>
        </w:rPr>
        <w:t>. CHF 1,065,800 was for the Secretariat core budget and CHF 83,775 was for non-core project</w:t>
      </w:r>
      <w:r w:rsidR="00744BBE">
        <w:rPr>
          <w:rFonts w:ascii="Calibri" w:hAnsi="Calibri"/>
          <w:sz w:val="22"/>
          <w:lang w:val="en-GB"/>
        </w:rPr>
        <w:t>s through the</w:t>
      </w:r>
      <w:r w:rsidRPr="007D6396">
        <w:rPr>
          <w:rFonts w:ascii="Calibri" w:hAnsi="Calibri"/>
          <w:sz w:val="22"/>
          <w:lang w:val="en-GB"/>
        </w:rPr>
        <w:t xml:space="preserve"> Wetlands for the Future</w:t>
      </w:r>
      <w:r w:rsidR="007D6396">
        <w:rPr>
          <w:rFonts w:ascii="Calibri" w:hAnsi="Calibri"/>
          <w:sz w:val="22"/>
          <w:lang w:val="en-GB"/>
        </w:rPr>
        <w:t xml:space="preserve"> Fund</w:t>
      </w:r>
      <w:r w:rsidRPr="007D6396">
        <w:rPr>
          <w:rFonts w:ascii="Calibri" w:hAnsi="Calibri"/>
          <w:sz w:val="22"/>
          <w:lang w:val="en-GB"/>
        </w:rPr>
        <w:t>.</w:t>
      </w:r>
    </w:p>
    <w:p w:rsidR="000876AD" w:rsidRPr="00015175" w:rsidRDefault="000876AD" w:rsidP="000876AD">
      <w:pPr>
        <w:ind w:left="540"/>
        <w:rPr>
          <w:rFonts w:ascii="Calibri" w:hAnsi="Calibri"/>
          <w:sz w:val="22"/>
          <w:lang w:val="en-GB"/>
        </w:rPr>
      </w:pPr>
    </w:p>
    <w:p w:rsidR="00015175" w:rsidRPr="00015175" w:rsidRDefault="00581A1C" w:rsidP="000C1D2A">
      <w:pPr>
        <w:numPr>
          <w:ilvl w:val="0"/>
          <w:numId w:val="2"/>
        </w:numPr>
        <w:ind w:left="426" w:hanging="426"/>
        <w:rPr>
          <w:rFonts w:ascii="Calibri" w:hAnsi="Calibri"/>
          <w:sz w:val="22"/>
          <w:lang w:val="en-GB"/>
        </w:rPr>
      </w:pPr>
      <w:r w:rsidRPr="00015175">
        <w:rPr>
          <w:rFonts w:ascii="Calibri" w:hAnsi="Calibri"/>
          <w:sz w:val="22"/>
          <w:lang w:val="en-GB"/>
        </w:rPr>
        <w:t xml:space="preserve">An additional </w:t>
      </w:r>
      <w:r w:rsidR="000E650E" w:rsidRPr="00015175">
        <w:rPr>
          <w:rFonts w:ascii="Calibri" w:hAnsi="Calibri"/>
          <w:sz w:val="22"/>
          <w:lang w:val="en-GB"/>
        </w:rPr>
        <w:t xml:space="preserve">CHF </w:t>
      </w:r>
      <w:r w:rsidR="007D6396" w:rsidRPr="00015175">
        <w:rPr>
          <w:rFonts w:ascii="Calibri" w:hAnsi="Calibri"/>
          <w:sz w:val="22"/>
          <w:lang w:val="en-GB"/>
        </w:rPr>
        <w:t>618</w:t>
      </w:r>
      <w:r w:rsidR="000E650E" w:rsidRPr="00015175">
        <w:rPr>
          <w:rFonts w:ascii="Calibri" w:hAnsi="Calibri"/>
          <w:sz w:val="22"/>
          <w:lang w:val="en-GB"/>
        </w:rPr>
        <w:t xml:space="preserve">,000 of voluntary </w:t>
      </w:r>
      <w:r w:rsidR="0079327A" w:rsidRPr="00015175">
        <w:rPr>
          <w:rFonts w:ascii="Calibri" w:hAnsi="Calibri"/>
          <w:sz w:val="22"/>
          <w:lang w:val="en-GB"/>
        </w:rPr>
        <w:t xml:space="preserve">cash </w:t>
      </w:r>
      <w:r w:rsidR="000E650E" w:rsidRPr="00015175">
        <w:rPr>
          <w:rFonts w:ascii="Calibri" w:hAnsi="Calibri"/>
          <w:sz w:val="22"/>
          <w:lang w:val="en-GB"/>
        </w:rPr>
        <w:t xml:space="preserve">contributions were received in </w:t>
      </w:r>
      <w:r w:rsidR="00380039" w:rsidRPr="00015175">
        <w:rPr>
          <w:rFonts w:ascii="Calibri" w:hAnsi="Calibri"/>
          <w:sz w:val="22"/>
          <w:lang w:val="en-GB"/>
        </w:rPr>
        <w:t>201</w:t>
      </w:r>
      <w:r w:rsidR="007D6396" w:rsidRPr="00015175">
        <w:rPr>
          <w:rFonts w:ascii="Calibri" w:hAnsi="Calibri"/>
          <w:sz w:val="22"/>
          <w:lang w:val="en-GB"/>
        </w:rPr>
        <w:t>5. CHF 259</w:t>
      </w:r>
      <w:r w:rsidR="000E650E" w:rsidRPr="00015175">
        <w:rPr>
          <w:rFonts w:ascii="Calibri" w:hAnsi="Calibri"/>
          <w:sz w:val="22"/>
          <w:lang w:val="en-GB"/>
        </w:rPr>
        <w:t xml:space="preserve">,000 came from Danone for </w:t>
      </w:r>
      <w:r w:rsidR="008658E5" w:rsidRPr="00015175">
        <w:rPr>
          <w:rFonts w:ascii="Calibri" w:hAnsi="Calibri"/>
          <w:sz w:val="22"/>
          <w:lang w:val="en-GB"/>
        </w:rPr>
        <w:t xml:space="preserve">its continuing commitment </w:t>
      </w:r>
      <w:r w:rsidR="005C35BE" w:rsidRPr="00015175">
        <w:rPr>
          <w:rFonts w:ascii="Calibri" w:hAnsi="Calibri"/>
          <w:sz w:val="22"/>
          <w:lang w:val="en-GB"/>
        </w:rPr>
        <w:t>to help Ramsar</w:t>
      </w:r>
      <w:r w:rsidR="008658E5" w:rsidRPr="00015175">
        <w:rPr>
          <w:rFonts w:ascii="Calibri" w:hAnsi="Calibri"/>
          <w:sz w:val="22"/>
          <w:lang w:val="en-GB"/>
        </w:rPr>
        <w:t xml:space="preserve"> </w:t>
      </w:r>
      <w:r w:rsidR="000E650E" w:rsidRPr="00015175">
        <w:rPr>
          <w:rFonts w:ascii="Calibri" w:hAnsi="Calibri"/>
          <w:sz w:val="22"/>
          <w:lang w:val="en-GB"/>
        </w:rPr>
        <w:t>communicat</w:t>
      </w:r>
      <w:r w:rsidR="005C35BE" w:rsidRPr="00015175">
        <w:rPr>
          <w:rFonts w:ascii="Calibri" w:hAnsi="Calibri"/>
          <w:sz w:val="22"/>
          <w:lang w:val="en-GB"/>
        </w:rPr>
        <w:t>e</w:t>
      </w:r>
      <w:r w:rsidR="000E650E" w:rsidRPr="00015175">
        <w:rPr>
          <w:rFonts w:ascii="Calibri" w:hAnsi="Calibri"/>
          <w:sz w:val="22"/>
          <w:lang w:val="en-GB"/>
        </w:rPr>
        <w:t xml:space="preserve"> </w:t>
      </w:r>
      <w:r w:rsidR="005C35BE" w:rsidRPr="00015175">
        <w:rPr>
          <w:rFonts w:ascii="Calibri" w:hAnsi="Calibri"/>
          <w:sz w:val="22"/>
          <w:lang w:val="en-GB"/>
        </w:rPr>
        <w:t xml:space="preserve">its mission (specifically, </w:t>
      </w:r>
      <w:r w:rsidR="00744BBE">
        <w:rPr>
          <w:rFonts w:ascii="Calibri" w:hAnsi="Calibri"/>
          <w:sz w:val="22"/>
          <w:lang w:val="en-GB"/>
        </w:rPr>
        <w:t xml:space="preserve">to </w:t>
      </w:r>
      <w:r w:rsidR="005C35BE" w:rsidRPr="00015175">
        <w:rPr>
          <w:rFonts w:ascii="Calibri" w:hAnsi="Calibri"/>
          <w:sz w:val="22"/>
          <w:lang w:val="en-GB"/>
        </w:rPr>
        <w:t>promote human well-being and healthy wetlands</w:t>
      </w:r>
      <w:r w:rsidR="00432445" w:rsidRPr="00015175">
        <w:rPr>
          <w:rFonts w:ascii="Calibri" w:hAnsi="Calibri"/>
          <w:sz w:val="22"/>
          <w:lang w:val="en-GB"/>
        </w:rPr>
        <w:t>)</w:t>
      </w:r>
      <w:r w:rsidR="002F7D7B" w:rsidRPr="00015175">
        <w:rPr>
          <w:rFonts w:ascii="Calibri" w:hAnsi="Calibri"/>
          <w:sz w:val="22"/>
          <w:lang w:val="en-GB"/>
        </w:rPr>
        <w:t>,</w:t>
      </w:r>
      <w:r w:rsidR="000E650E" w:rsidRPr="00015175">
        <w:rPr>
          <w:rFonts w:ascii="Calibri" w:hAnsi="Calibri"/>
          <w:sz w:val="22"/>
          <w:lang w:val="en-GB"/>
        </w:rPr>
        <w:t xml:space="preserve"> </w:t>
      </w:r>
      <w:r w:rsidR="00D22F60" w:rsidRPr="00015175">
        <w:rPr>
          <w:rFonts w:ascii="Calibri" w:hAnsi="Calibri"/>
          <w:sz w:val="22"/>
          <w:lang w:val="en-GB"/>
        </w:rPr>
        <w:t xml:space="preserve">CHF </w:t>
      </w:r>
      <w:r w:rsidR="007D6396" w:rsidRPr="00015175">
        <w:rPr>
          <w:rFonts w:ascii="Calibri" w:hAnsi="Calibri"/>
          <w:sz w:val="22"/>
          <w:lang w:val="en-GB"/>
        </w:rPr>
        <w:t>100</w:t>
      </w:r>
      <w:r w:rsidR="000E650E" w:rsidRPr="00015175">
        <w:rPr>
          <w:rFonts w:ascii="Calibri" w:hAnsi="Calibri"/>
          <w:sz w:val="22"/>
          <w:lang w:val="en-GB"/>
        </w:rPr>
        <w:t xml:space="preserve">,000 from the Government of Switzerland </w:t>
      </w:r>
      <w:r w:rsidR="00744BBE">
        <w:rPr>
          <w:rFonts w:ascii="Calibri" w:hAnsi="Calibri"/>
          <w:sz w:val="22"/>
          <w:lang w:val="en-GB"/>
        </w:rPr>
        <w:t>f</w:t>
      </w:r>
      <w:r w:rsidR="007D6396" w:rsidRPr="00015175">
        <w:rPr>
          <w:rFonts w:ascii="Calibri" w:hAnsi="Calibri"/>
          <w:sz w:val="22"/>
          <w:lang w:val="en-GB"/>
        </w:rPr>
        <w:t xml:space="preserve">or COP12 translation, CHF 177,000 from MAVA for </w:t>
      </w:r>
      <w:r w:rsidR="00744BBE">
        <w:rPr>
          <w:rFonts w:ascii="Calibri" w:hAnsi="Calibri"/>
          <w:sz w:val="22"/>
          <w:lang w:val="en-GB"/>
        </w:rPr>
        <w:t>c</w:t>
      </w:r>
      <w:r w:rsidR="007D6396" w:rsidRPr="00015175">
        <w:rPr>
          <w:rFonts w:ascii="Calibri" w:hAnsi="Calibri"/>
          <w:sz w:val="22"/>
          <w:lang w:val="en-GB"/>
        </w:rPr>
        <w:t xml:space="preserve">onservation of the natural and cultural heritage in wetlands, CHF 41,000 from </w:t>
      </w:r>
      <w:r w:rsidR="00A236A3">
        <w:rPr>
          <w:rFonts w:ascii="Calibri" w:hAnsi="Calibri"/>
          <w:sz w:val="22"/>
          <w:lang w:val="en-GB"/>
        </w:rPr>
        <w:t xml:space="preserve">the </w:t>
      </w:r>
      <w:r w:rsidR="007D6396" w:rsidRPr="00015175">
        <w:rPr>
          <w:rFonts w:ascii="Calibri" w:hAnsi="Calibri"/>
          <w:sz w:val="22"/>
          <w:lang w:val="en-GB"/>
        </w:rPr>
        <w:t xml:space="preserve">Convention on Biological Diversity for </w:t>
      </w:r>
      <w:r w:rsidR="00744BBE">
        <w:rPr>
          <w:rFonts w:ascii="Calibri" w:hAnsi="Calibri"/>
          <w:sz w:val="22"/>
          <w:lang w:val="en-GB"/>
        </w:rPr>
        <w:t xml:space="preserve">a </w:t>
      </w:r>
      <w:r w:rsidR="007D6396" w:rsidRPr="00015175">
        <w:rPr>
          <w:rFonts w:ascii="Calibri" w:hAnsi="Calibri"/>
          <w:sz w:val="22"/>
          <w:lang w:val="en-GB"/>
        </w:rPr>
        <w:t xml:space="preserve">publication on maintaining the </w:t>
      </w:r>
      <w:r w:rsidR="00A236A3">
        <w:rPr>
          <w:rFonts w:ascii="Calibri" w:hAnsi="Calibri"/>
          <w:sz w:val="22"/>
          <w:lang w:val="en-GB"/>
        </w:rPr>
        <w:t>capacity</w:t>
      </w:r>
      <w:r w:rsidR="00A236A3" w:rsidRPr="00015175">
        <w:rPr>
          <w:rFonts w:ascii="Calibri" w:hAnsi="Calibri"/>
          <w:sz w:val="22"/>
          <w:lang w:val="en-GB"/>
        </w:rPr>
        <w:t xml:space="preserve"> </w:t>
      </w:r>
      <w:r w:rsidR="007D6396" w:rsidRPr="00015175">
        <w:rPr>
          <w:rFonts w:ascii="Calibri" w:hAnsi="Calibri"/>
          <w:sz w:val="22"/>
          <w:lang w:val="en-GB"/>
        </w:rPr>
        <w:t>of biodiversity to continue to support the water cycle</w:t>
      </w:r>
      <w:r w:rsidR="00744BBE">
        <w:rPr>
          <w:rFonts w:ascii="Calibri" w:hAnsi="Calibri"/>
          <w:sz w:val="22"/>
          <w:lang w:val="en-GB"/>
        </w:rPr>
        <w:t>.</w:t>
      </w:r>
      <w:r w:rsidR="00380039" w:rsidRPr="00015175">
        <w:rPr>
          <w:rFonts w:ascii="Calibri" w:hAnsi="Calibri"/>
          <w:sz w:val="22"/>
          <w:lang w:val="en-GB"/>
        </w:rPr>
        <w:t xml:space="preserve"> South Korea</w:t>
      </w:r>
      <w:r w:rsidR="00015175" w:rsidRPr="00015175">
        <w:rPr>
          <w:rFonts w:ascii="Calibri" w:hAnsi="Calibri"/>
          <w:sz w:val="22"/>
          <w:lang w:val="en-GB"/>
        </w:rPr>
        <w:t xml:space="preserve"> (CHF 7,680)</w:t>
      </w:r>
      <w:r w:rsidR="00380039" w:rsidRPr="00015175">
        <w:rPr>
          <w:rFonts w:ascii="Calibri" w:hAnsi="Calibri"/>
          <w:sz w:val="22"/>
          <w:lang w:val="en-GB"/>
        </w:rPr>
        <w:t>, Japan</w:t>
      </w:r>
      <w:r w:rsidR="00015175" w:rsidRPr="00015175">
        <w:rPr>
          <w:rFonts w:ascii="Calibri" w:hAnsi="Calibri"/>
          <w:sz w:val="22"/>
          <w:lang w:val="en-GB"/>
        </w:rPr>
        <w:t xml:space="preserve"> (CHF 24,300)</w:t>
      </w:r>
      <w:r w:rsidR="00380039" w:rsidRPr="00015175">
        <w:rPr>
          <w:rFonts w:ascii="Calibri" w:hAnsi="Calibri"/>
          <w:sz w:val="22"/>
          <w:lang w:val="en-GB"/>
        </w:rPr>
        <w:t xml:space="preserve">, </w:t>
      </w:r>
      <w:r w:rsidR="002F7D7B" w:rsidRPr="00015175">
        <w:rPr>
          <w:rFonts w:ascii="Calibri" w:hAnsi="Calibri"/>
          <w:sz w:val="22"/>
          <w:lang w:val="en-GB"/>
        </w:rPr>
        <w:t>Norway</w:t>
      </w:r>
      <w:r w:rsidR="00015175" w:rsidRPr="00015175">
        <w:rPr>
          <w:rFonts w:ascii="Calibri" w:hAnsi="Calibri"/>
          <w:sz w:val="22"/>
          <w:lang w:val="en-GB"/>
        </w:rPr>
        <w:t xml:space="preserve"> (CHF 8,500) and</w:t>
      </w:r>
      <w:r w:rsidR="002F7D7B" w:rsidRPr="00015175">
        <w:rPr>
          <w:rFonts w:ascii="Calibri" w:hAnsi="Calibri"/>
          <w:sz w:val="22"/>
          <w:lang w:val="en-GB"/>
        </w:rPr>
        <w:t xml:space="preserve"> Star Alliance</w:t>
      </w:r>
      <w:r w:rsidR="00015175" w:rsidRPr="00015175">
        <w:rPr>
          <w:rFonts w:ascii="Calibri" w:hAnsi="Calibri"/>
          <w:sz w:val="22"/>
          <w:lang w:val="en-GB"/>
        </w:rPr>
        <w:t xml:space="preserve"> (CHF 17,000) </w:t>
      </w:r>
      <w:r w:rsidR="00380039" w:rsidRPr="00015175">
        <w:rPr>
          <w:rFonts w:ascii="Calibri" w:hAnsi="Calibri"/>
          <w:sz w:val="22"/>
          <w:lang w:val="en-GB"/>
        </w:rPr>
        <w:t xml:space="preserve">variously </w:t>
      </w:r>
      <w:r w:rsidR="002F7D7B" w:rsidRPr="00015175">
        <w:rPr>
          <w:rFonts w:ascii="Calibri" w:hAnsi="Calibri"/>
          <w:sz w:val="22"/>
          <w:lang w:val="en-GB"/>
        </w:rPr>
        <w:t>support</w:t>
      </w:r>
      <w:r w:rsidR="00380039" w:rsidRPr="00015175">
        <w:rPr>
          <w:rFonts w:ascii="Calibri" w:hAnsi="Calibri"/>
          <w:sz w:val="22"/>
          <w:lang w:val="en-GB"/>
        </w:rPr>
        <w:t>ed</w:t>
      </w:r>
      <w:r w:rsidR="002F7D7B" w:rsidRPr="00015175">
        <w:rPr>
          <w:rFonts w:ascii="Calibri" w:hAnsi="Calibri"/>
          <w:sz w:val="22"/>
          <w:lang w:val="en-GB"/>
        </w:rPr>
        <w:t xml:space="preserve"> regional meetings</w:t>
      </w:r>
      <w:r w:rsidR="000E650E" w:rsidRPr="00015175">
        <w:rPr>
          <w:rFonts w:ascii="Calibri" w:hAnsi="Calibri"/>
          <w:sz w:val="22"/>
          <w:lang w:val="en-GB"/>
        </w:rPr>
        <w:t>.</w:t>
      </w:r>
    </w:p>
    <w:p w:rsidR="004D335B" w:rsidRPr="00015175" w:rsidRDefault="00015175" w:rsidP="00015175">
      <w:pPr>
        <w:rPr>
          <w:rFonts w:ascii="Calibri" w:hAnsi="Calibri"/>
          <w:sz w:val="22"/>
          <w:lang w:val="en-GB"/>
        </w:rPr>
      </w:pPr>
      <w:r w:rsidRPr="00015175">
        <w:rPr>
          <w:rFonts w:ascii="Calibri" w:hAnsi="Calibri"/>
          <w:sz w:val="22"/>
          <w:lang w:val="en-GB"/>
        </w:rPr>
        <w:t xml:space="preserve"> </w:t>
      </w:r>
    </w:p>
    <w:p w:rsidR="00046784" w:rsidRPr="00BC59B6" w:rsidRDefault="004D335B" w:rsidP="000C1D2A">
      <w:pPr>
        <w:numPr>
          <w:ilvl w:val="0"/>
          <w:numId w:val="2"/>
        </w:numPr>
        <w:ind w:left="426" w:hanging="426"/>
        <w:rPr>
          <w:rFonts w:ascii="Calibri" w:hAnsi="Calibri"/>
          <w:sz w:val="22"/>
        </w:rPr>
      </w:pPr>
      <w:r w:rsidRPr="004D335B">
        <w:rPr>
          <w:rFonts w:ascii="Calibri" w:hAnsi="Calibri"/>
          <w:sz w:val="22"/>
        </w:rPr>
        <w:t>The budget approved at COP11 anticipate</w:t>
      </w:r>
      <w:r w:rsidR="00744BBE">
        <w:rPr>
          <w:rFonts w:ascii="Calibri" w:hAnsi="Calibri"/>
          <w:sz w:val="22"/>
        </w:rPr>
        <w:t>d</w:t>
      </w:r>
      <w:r w:rsidRPr="004D335B">
        <w:rPr>
          <w:rFonts w:ascii="Calibri" w:hAnsi="Calibri"/>
          <w:sz w:val="22"/>
        </w:rPr>
        <w:t xml:space="preserve"> voluntary </w:t>
      </w:r>
      <w:r w:rsidR="00A236A3">
        <w:rPr>
          <w:rFonts w:ascii="Calibri" w:hAnsi="Calibri"/>
          <w:sz w:val="22"/>
        </w:rPr>
        <w:t xml:space="preserve">non-core </w:t>
      </w:r>
      <w:r w:rsidRPr="004D335B">
        <w:rPr>
          <w:rFonts w:ascii="Calibri" w:hAnsi="Calibri"/>
          <w:sz w:val="22"/>
        </w:rPr>
        <w:t>contributions of CHF 1</w:t>
      </w:r>
      <w:r>
        <w:rPr>
          <w:rFonts w:ascii="Calibri" w:hAnsi="Calibri"/>
          <w:sz w:val="22"/>
        </w:rPr>
        <w:t>3</w:t>
      </w:r>
      <w:r w:rsidRPr="004D335B">
        <w:rPr>
          <w:rFonts w:ascii="Calibri" w:hAnsi="Calibri"/>
          <w:sz w:val="22"/>
        </w:rPr>
        <w:t xml:space="preserve">.4 million over the triennium to fund the priority </w:t>
      </w:r>
      <w:r w:rsidRPr="00A74804">
        <w:rPr>
          <w:rFonts w:ascii="Calibri" w:hAnsi="Calibri"/>
          <w:sz w:val="22"/>
        </w:rPr>
        <w:t xml:space="preserve">activities </w:t>
      </w:r>
      <w:r w:rsidR="00A236A3">
        <w:rPr>
          <w:rFonts w:ascii="Calibri" w:hAnsi="Calibri"/>
          <w:sz w:val="22"/>
        </w:rPr>
        <w:t xml:space="preserve">for 2013-2015 (see </w:t>
      </w:r>
      <w:r w:rsidRPr="00A74804">
        <w:rPr>
          <w:rFonts w:ascii="Calibri" w:hAnsi="Calibri"/>
          <w:sz w:val="22"/>
        </w:rPr>
        <w:t xml:space="preserve">Annex </w:t>
      </w:r>
      <w:r w:rsidR="00A74804">
        <w:rPr>
          <w:rFonts w:ascii="Calibri" w:hAnsi="Calibri"/>
          <w:sz w:val="22"/>
        </w:rPr>
        <w:t>4</w:t>
      </w:r>
      <w:r w:rsidR="00A236A3">
        <w:rPr>
          <w:rFonts w:ascii="Calibri" w:hAnsi="Calibri"/>
          <w:sz w:val="22"/>
        </w:rPr>
        <w:t>)</w:t>
      </w:r>
      <w:r w:rsidRPr="00A74804">
        <w:rPr>
          <w:rFonts w:ascii="Calibri" w:hAnsi="Calibri"/>
          <w:sz w:val="22"/>
        </w:rPr>
        <w:t>. CHF</w:t>
      </w:r>
      <w:r w:rsidRPr="004D335B">
        <w:rPr>
          <w:rFonts w:ascii="Calibri" w:hAnsi="Calibri"/>
          <w:sz w:val="22"/>
        </w:rPr>
        <w:t xml:space="preserve"> </w:t>
      </w:r>
      <w:r>
        <w:rPr>
          <w:rFonts w:ascii="Calibri" w:hAnsi="Calibri"/>
          <w:sz w:val="22"/>
        </w:rPr>
        <w:t>5.3</w:t>
      </w:r>
      <w:r w:rsidRPr="004D335B">
        <w:rPr>
          <w:rFonts w:ascii="Calibri" w:hAnsi="Calibri"/>
          <w:sz w:val="22"/>
        </w:rPr>
        <w:t xml:space="preserve"> million of this was planned for 201</w:t>
      </w:r>
      <w:r>
        <w:rPr>
          <w:rFonts w:ascii="Calibri" w:hAnsi="Calibri"/>
          <w:sz w:val="22"/>
        </w:rPr>
        <w:t>5</w:t>
      </w:r>
      <w:r w:rsidR="00A236A3">
        <w:rPr>
          <w:rFonts w:ascii="Calibri" w:hAnsi="Calibri"/>
          <w:sz w:val="22"/>
        </w:rPr>
        <w:t>;</w:t>
      </w:r>
      <w:r w:rsidR="00744BBE">
        <w:rPr>
          <w:rFonts w:ascii="Calibri" w:hAnsi="Calibri"/>
          <w:sz w:val="22"/>
        </w:rPr>
        <w:t xml:space="preserve"> </w:t>
      </w:r>
      <w:r w:rsidR="00A236A3">
        <w:rPr>
          <w:rFonts w:ascii="Calibri" w:hAnsi="Calibri"/>
          <w:sz w:val="22"/>
        </w:rPr>
        <w:t xml:space="preserve">however </w:t>
      </w:r>
      <w:r w:rsidR="00027C3D">
        <w:rPr>
          <w:rFonts w:ascii="Calibri" w:hAnsi="Calibri"/>
          <w:sz w:val="22"/>
        </w:rPr>
        <w:t xml:space="preserve">the </w:t>
      </w:r>
      <w:r w:rsidR="00A236A3">
        <w:rPr>
          <w:rFonts w:ascii="Calibri" w:hAnsi="Calibri"/>
          <w:sz w:val="22"/>
        </w:rPr>
        <w:t xml:space="preserve">2015 </w:t>
      </w:r>
      <w:r w:rsidR="00027C3D">
        <w:rPr>
          <w:rFonts w:ascii="Calibri" w:hAnsi="Calibri"/>
          <w:sz w:val="22"/>
        </w:rPr>
        <w:t xml:space="preserve">voluntary </w:t>
      </w:r>
      <w:r w:rsidR="00A236A3">
        <w:rPr>
          <w:rFonts w:ascii="Calibri" w:hAnsi="Calibri"/>
          <w:sz w:val="22"/>
        </w:rPr>
        <w:t xml:space="preserve">non-core </w:t>
      </w:r>
      <w:r w:rsidR="00027C3D">
        <w:rPr>
          <w:rFonts w:ascii="Calibri" w:hAnsi="Calibri"/>
          <w:sz w:val="22"/>
        </w:rPr>
        <w:t>contributions were in fact much lower, at</w:t>
      </w:r>
      <w:r w:rsidR="000917F6">
        <w:rPr>
          <w:rFonts w:ascii="Calibri" w:hAnsi="Calibri"/>
          <w:sz w:val="22"/>
        </w:rPr>
        <w:t xml:space="preserve"> CHF 1.2 million, as shown in Annex 1, Appendix A</w:t>
      </w:r>
      <w:r w:rsidR="006C2305">
        <w:rPr>
          <w:rFonts w:ascii="Calibri" w:hAnsi="Calibri"/>
          <w:sz w:val="22"/>
        </w:rPr>
        <w:t>.</w:t>
      </w:r>
    </w:p>
    <w:p w:rsidR="000917F6" w:rsidRPr="000917F6" w:rsidRDefault="000917F6" w:rsidP="004D335B">
      <w:pPr>
        <w:ind w:left="540"/>
        <w:rPr>
          <w:rFonts w:ascii="Calibri" w:hAnsi="Calibri"/>
          <w:b/>
          <w:sz w:val="22"/>
        </w:rPr>
      </w:pPr>
    </w:p>
    <w:p w:rsidR="00686584" w:rsidRDefault="00686584">
      <w:pPr>
        <w:rPr>
          <w:rFonts w:ascii="Calibri" w:hAnsi="Calibri"/>
          <w:b/>
          <w:sz w:val="22"/>
          <w:lang w:val="en-GB"/>
        </w:rPr>
      </w:pPr>
      <w:r>
        <w:rPr>
          <w:rFonts w:ascii="Calibri" w:hAnsi="Calibri"/>
          <w:b/>
          <w:sz w:val="22"/>
          <w:lang w:val="en-GB"/>
        </w:rPr>
        <w:br w:type="page"/>
      </w:r>
    </w:p>
    <w:p w:rsidR="00D22F60" w:rsidRPr="00314CBB" w:rsidRDefault="000E650E" w:rsidP="00842399">
      <w:pPr>
        <w:ind w:left="540" w:hanging="540"/>
        <w:rPr>
          <w:rFonts w:ascii="Calibri" w:hAnsi="Calibri"/>
          <w:b/>
          <w:sz w:val="22"/>
          <w:lang w:val="en-GB"/>
        </w:rPr>
      </w:pPr>
      <w:r w:rsidRPr="00314CBB">
        <w:rPr>
          <w:rFonts w:ascii="Calibri" w:hAnsi="Calibri"/>
          <w:b/>
          <w:sz w:val="22"/>
          <w:lang w:val="en-GB"/>
        </w:rPr>
        <w:lastRenderedPageBreak/>
        <w:t>201</w:t>
      </w:r>
      <w:r w:rsidR="00314CBB" w:rsidRPr="00314CBB">
        <w:rPr>
          <w:rFonts w:ascii="Calibri" w:hAnsi="Calibri"/>
          <w:b/>
          <w:sz w:val="22"/>
          <w:lang w:val="en-GB"/>
        </w:rPr>
        <w:t>5</w:t>
      </w:r>
      <w:r w:rsidRPr="00314CBB">
        <w:rPr>
          <w:rFonts w:ascii="Calibri" w:hAnsi="Calibri"/>
          <w:b/>
          <w:sz w:val="22"/>
          <w:lang w:val="en-GB"/>
        </w:rPr>
        <w:t xml:space="preserve"> </w:t>
      </w:r>
      <w:r w:rsidR="00D22F60" w:rsidRPr="00314CBB">
        <w:rPr>
          <w:rFonts w:ascii="Calibri" w:hAnsi="Calibri" w:cs="Calibri"/>
          <w:b/>
          <w:sz w:val="22"/>
          <w:szCs w:val="22"/>
          <w:lang w:val="en-GB"/>
        </w:rPr>
        <w:t>balance sheet</w:t>
      </w:r>
    </w:p>
    <w:p w:rsidR="000E650E" w:rsidRPr="00314CBB" w:rsidRDefault="000E650E" w:rsidP="00842399">
      <w:pPr>
        <w:ind w:left="426" w:hanging="426"/>
        <w:rPr>
          <w:rFonts w:ascii="Calibri" w:hAnsi="Calibri"/>
          <w:sz w:val="22"/>
        </w:rPr>
      </w:pPr>
    </w:p>
    <w:p w:rsidR="00314CBB" w:rsidRDefault="000F4158" w:rsidP="00842399">
      <w:pPr>
        <w:numPr>
          <w:ilvl w:val="0"/>
          <w:numId w:val="2"/>
        </w:numPr>
        <w:ind w:left="426" w:hanging="426"/>
        <w:rPr>
          <w:rFonts w:ascii="Calibri" w:hAnsi="Calibri"/>
          <w:sz w:val="22"/>
        </w:rPr>
      </w:pPr>
      <w:r w:rsidRPr="00A74804">
        <w:rPr>
          <w:rFonts w:ascii="Calibri" w:hAnsi="Calibri"/>
          <w:sz w:val="22"/>
        </w:rPr>
        <w:t>Annex 1</w:t>
      </w:r>
      <w:r w:rsidR="00A236A3">
        <w:rPr>
          <w:rFonts w:ascii="Calibri" w:hAnsi="Calibri"/>
          <w:sz w:val="22"/>
        </w:rPr>
        <w:t xml:space="preserve"> shows</w:t>
      </w:r>
      <w:r w:rsidRPr="00314CBB">
        <w:rPr>
          <w:rFonts w:ascii="Calibri" w:hAnsi="Calibri"/>
          <w:sz w:val="22"/>
        </w:rPr>
        <w:t xml:space="preserve"> t</w:t>
      </w:r>
      <w:r w:rsidR="000F045B" w:rsidRPr="00314CBB">
        <w:rPr>
          <w:rFonts w:ascii="Calibri" w:hAnsi="Calibri"/>
          <w:sz w:val="22"/>
        </w:rPr>
        <w:t xml:space="preserve">he balance sheet </w:t>
      </w:r>
      <w:r w:rsidR="00A236A3">
        <w:rPr>
          <w:rFonts w:ascii="Calibri" w:hAnsi="Calibri"/>
          <w:sz w:val="22"/>
        </w:rPr>
        <w:t>a</w:t>
      </w:r>
      <w:r w:rsidR="00A236A3" w:rsidRPr="00314CBB">
        <w:rPr>
          <w:rFonts w:ascii="Calibri" w:hAnsi="Calibri"/>
          <w:sz w:val="22"/>
        </w:rPr>
        <w:t xml:space="preserve">s </w:t>
      </w:r>
      <w:r w:rsidR="00380039" w:rsidRPr="00314CBB">
        <w:rPr>
          <w:rFonts w:ascii="Calibri" w:hAnsi="Calibri"/>
          <w:sz w:val="22"/>
        </w:rPr>
        <w:t xml:space="preserve">at </w:t>
      </w:r>
      <w:r w:rsidR="00314CBB">
        <w:rPr>
          <w:rFonts w:ascii="Calibri" w:hAnsi="Calibri"/>
          <w:sz w:val="22"/>
        </w:rPr>
        <w:t>31 Dec</w:t>
      </w:r>
      <w:r w:rsidR="000F045B" w:rsidRPr="00314CBB">
        <w:rPr>
          <w:rFonts w:ascii="Calibri" w:hAnsi="Calibri"/>
          <w:sz w:val="22"/>
        </w:rPr>
        <w:t>ember 201</w:t>
      </w:r>
      <w:r w:rsidR="00314CBB">
        <w:rPr>
          <w:rFonts w:ascii="Calibri" w:hAnsi="Calibri"/>
          <w:sz w:val="22"/>
        </w:rPr>
        <w:t>5</w:t>
      </w:r>
      <w:r w:rsidR="000F045B" w:rsidRPr="00314CBB">
        <w:rPr>
          <w:rFonts w:ascii="Calibri" w:hAnsi="Calibri"/>
          <w:sz w:val="22"/>
        </w:rPr>
        <w:t xml:space="preserve">. </w:t>
      </w:r>
      <w:r w:rsidR="000E650E" w:rsidRPr="00314CBB">
        <w:rPr>
          <w:rFonts w:ascii="Calibri" w:hAnsi="Calibri"/>
          <w:sz w:val="22"/>
        </w:rPr>
        <w:t xml:space="preserve">The </w:t>
      </w:r>
      <w:r w:rsidR="00314CBB">
        <w:rPr>
          <w:rFonts w:ascii="Calibri" w:hAnsi="Calibri"/>
          <w:sz w:val="22"/>
        </w:rPr>
        <w:t xml:space="preserve">Secretariat </w:t>
      </w:r>
      <w:r w:rsidR="00A236A3">
        <w:rPr>
          <w:rFonts w:ascii="Calibri" w:hAnsi="Calibri"/>
          <w:sz w:val="22"/>
        </w:rPr>
        <w:t xml:space="preserve">had </w:t>
      </w:r>
      <w:r w:rsidR="00314CBB">
        <w:rPr>
          <w:rFonts w:ascii="Calibri" w:hAnsi="Calibri"/>
          <w:sz w:val="22"/>
        </w:rPr>
        <w:t xml:space="preserve">an overall CHF equivalent cash balance of CHF </w:t>
      </w:r>
      <w:r w:rsidR="00FE541B">
        <w:rPr>
          <w:rFonts w:ascii="Calibri" w:hAnsi="Calibri"/>
          <w:sz w:val="22"/>
        </w:rPr>
        <w:t>4,652,368</w:t>
      </w:r>
      <w:r w:rsidR="00314CBB">
        <w:rPr>
          <w:rFonts w:ascii="Calibri" w:hAnsi="Calibri"/>
          <w:sz w:val="22"/>
        </w:rPr>
        <w:t xml:space="preserve"> in the following </w:t>
      </w:r>
      <w:r w:rsidR="000E650E" w:rsidRPr="00314CBB">
        <w:rPr>
          <w:rFonts w:ascii="Calibri" w:hAnsi="Calibri"/>
          <w:sz w:val="22"/>
        </w:rPr>
        <w:t>c</w:t>
      </w:r>
      <w:r w:rsidR="00314CBB">
        <w:rPr>
          <w:rFonts w:ascii="Calibri" w:hAnsi="Calibri"/>
          <w:sz w:val="22"/>
        </w:rPr>
        <w:t>urrencies: CHF</w:t>
      </w:r>
      <w:r w:rsidR="000E650E" w:rsidRPr="00314CBB">
        <w:rPr>
          <w:rFonts w:ascii="Calibri" w:hAnsi="Calibri"/>
          <w:sz w:val="22"/>
        </w:rPr>
        <w:t xml:space="preserve"> </w:t>
      </w:r>
      <w:r w:rsidR="00314CBB">
        <w:rPr>
          <w:rFonts w:ascii="Calibri" w:hAnsi="Calibri"/>
          <w:sz w:val="22"/>
        </w:rPr>
        <w:t>678,5</w:t>
      </w:r>
      <w:r w:rsidR="00FE541B">
        <w:rPr>
          <w:rFonts w:ascii="Calibri" w:hAnsi="Calibri"/>
          <w:sz w:val="22"/>
        </w:rPr>
        <w:t>4</w:t>
      </w:r>
      <w:r w:rsidR="00314CBB">
        <w:rPr>
          <w:rFonts w:ascii="Calibri" w:hAnsi="Calibri"/>
          <w:sz w:val="22"/>
        </w:rPr>
        <w:t xml:space="preserve">2, EUR </w:t>
      </w:r>
      <w:r w:rsidR="000B5AC4">
        <w:rPr>
          <w:rFonts w:ascii="Calibri" w:hAnsi="Calibri"/>
          <w:sz w:val="22"/>
        </w:rPr>
        <w:t>828,237</w:t>
      </w:r>
      <w:r w:rsidR="00314CBB">
        <w:rPr>
          <w:rFonts w:ascii="Calibri" w:hAnsi="Calibri"/>
          <w:sz w:val="22"/>
        </w:rPr>
        <w:t xml:space="preserve"> (CHF equivalent </w:t>
      </w:r>
      <w:r w:rsidR="000B5AC4">
        <w:rPr>
          <w:rFonts w:ascii="Calibri" w:hAnsi="Calibri"/>
          <w:sz w:val="22"/>
        </w:rPr>
        <w:t>896,657</w:t>
      </w:r>
      <w:r w:rsidR="00314CBB">
        <w:rPr>
          <w:rFonts w:ascii="Calibri" w:hAnsi="Calibri"/>
          <w:sz w:val="22"/>
        </w:rPr>
        <w:t xml:space="preserve">), USD 2,600,022 (CHF equivalent </w:t>
      </w:r>
      <w:r w:rsidR="000B5AC4">
        <w:rPr>
          <w:rFonts w:ascii="Calibri" w:hAnsi="Calibri"/>
          <w:sz w:val="22"/>
        </w:rPr>
        <w:t>2,576,115</w:t>
      </w:r>
      <w:r w:rsidR="00314CBB">
        <w:rPr>
          <w:rFonts w:ascii="Calibri" w:hAnsi="Calibri"/>
          <w:sz w:val="22"/>
        </w:rPr>
        <w:t xml:space="preserve">) and NOK 4,428,424 (CHF equivalent </w:t>
      </w:r>
      <w:r w:rsidR="000B5AC4">
        <w:rPr>
          <w:rFonts w:ascii="Calibri" w:hAnsi="Calibri"/>
          <w:sz w:val="22"/>
        </w:rPr>
        <w:t>501,052</w:t>
      </w:r>
      <w:r w:rsidR="00314CBB">
        <w:rPr>
          <w:rFonts w:ascii="Calibri" w:hAnsi="Calibri"/>
          <w:sz w:val="22"/>
        </w:rPr>
        <w:t xml:space="preserve">). </w:t>
      </w:r>
      <w:r w:rsidR="00A727D8">
        <w:rPr>
          <w:rFonts w:ascii="Calibri" w:hAnsi="Calibri"/>
          <w:sz w:val="22"/>
        </w:rPr>
        <w:t xml:space="preserve">In January 2015, the Swiss Franc </w:t>
      </w:r>
      <w:r w:rsidR="00E60657">
        <w:rPr>
          <w:rFonts w:ascii="Calibri" w:hAnsi="Calibri"/>
          <w:sz w:val="22"/>
        </w:rPr>
        <w:t>in</w:t>
      </w:r>
      <w:r w:rsidR="00A727D8">
        <w:rPr>
          <w:rFonts w:ascii="Calibri" w:hAnsi="Calibri"/>
          <w:sz w:val="22"/>
        </w:rPr>
        <w:t>creased in value</w:t>
      </w:r>
      <w:r w:rsidR="00547115">
        <w:rPr>
          <w:rFonts w:ascii="Calibri" w:hAnsi="Calibri"/>
          <w:sz w:val="22"/>
        </w:rPr>
        <w:t xml:space="preserve"> against most global currencies and a</w:t>
      </w:r>
      <w:r w:rsidR="00A727D8">
        <w:rPr>
          <w:rFonts w:ascii="Calibri" w:hAnsi="Calibri"/>
          <w:sz w:val="22"/>
        </w:rPr>
        <w:t>s a result</w:t>
      </w:r>
      <w:r w:rsidR="00547115">
        <w:rPr>
          <w:rFonts w:ascii="Calibri" w:hAnsi="Calibri"/>
          <w:sz w:val="22"/>
        </w:rPr>
        <w:t xml:space="preserve"> of holding foreign currencies,</w:t>
      </w:r>
      <w:r w:rsidR="00A727D8">
        <w:rPr>
          <w:rFonts w:ascii="Calibri" w:hAnsi="Calibri"/>
          <w:sz w:val="22"/>
        </w:rPr>
        <w:t xml:space="preserve"> the</w:t>
      </w:r>
      <w:r w:rsidR="00547115">
        <w:rPr>
          <w:rFonts w:ascii="Calibri" w:hAnsi="Calibri"/>
          <w:sz w:val="22"/>
        </w:rPr>
        <w:t>re was a significant foreign exchange loss of CHF 26</w:t>
      </w:r>
      <w:r w:rsidR="00E07352">
        <w:rPr>
          <w:rFonts w:ascii="Calibri" w:hAnsi="Calibri"/>
          <w:sz w:val="22"/>
        </w:rPr>
        <w:t>1</w:t>
      </w:r>
      <w:r w:rsidR="00547115">
        <w:rPr>
          <w:rFonts w:ascii="Calibri" w:hAnsi="Calibri"/>
          <w:sz w:val="22"/>
        </w:rPr>
        <w:t>,000.</w:t>
      </w:r>
      <w:r w:rsidR="00A727D8">
        <w:rPr>
          <w:rFonts w:ascii="Calibri" w:hAnsi="Calibri"/>
          <w:sz w:val="22"/>
        </w:rPr>
        <w:t xml:space="preserve">  </w:t>
      </w:r>
    </w:p>
    <w:p w:rsidR="00314CBB" w:rsidRDefault="00314CBB" w:rsidP="00314CBB">
      <w:pPr>
        <w:ind w:left="426"/>
        <w:rPr>
          <w:rFonts w:ascii="Calibri" w:hAnsi="Calibri"/>
          <w:sz w:val="22"/>
        </w:rPr>
      </w:pPr>
    </w:p>
    <w:p w:rsidR="00A727D8" w:rsidRPr="00A727D8" w:rsidRDefault="00A727D8" w:rsidP="00A727D8">
      <w:pPr>
        <w:numPr>
          <w:ilvl w:val="0"/>
          <w:numId w:val="2"/>
        </w:numPr>
        <w:ind w:left="426" w:hanging="426"/>
        <w:rPr>
          <w:rFonts w:ascii="Calibri" w:hAnsi="Calibri" w:cs="Calibri"/>
          <w:sz w:val="22"/>
          <w:szCs w:val="22"/>
          <w:lang w:val="en-GB"/>
        </w:rPr>
      </w:pPr>
      <w:r w:rsidRPr="00A727D8">
        <w:rPr>
          <w:rFonts w:ascii="Calibri" w:hAnsi="Calibri"/>
          <w:sz w:val="22"/>
        </w:rPr>
        <w:t>When</w:t>
      </w:r>
      <w:r>
        <w:rPr>
          <w:rFonts w:ascii="Calibri" w:hAnsi="Calibri"/>
          <w:sz w:val="22"/>
        </w:rPr>
        <w:t xml:space="preserve"> </w:t>
      </w:r>
      <w:r w:rsidRPr="00A727D8">
        <w:rPr>
          <w:rFonts w:ascii="Calibri" w:hAnsi="Calibri"/>
          <w:sz w:val="22"/>
        </w:rPr>
        <w:t xml:space="preserve">taken together, cash and accounts receivables </w:t>
      </w:r>
      <w:r w:rsidR="00A236A3">
        <w:rPr>
          <w:rFonts w:ascii="Calibri" w:hAnsi="Calibri"/>
          <w:sz w:val="22"/>
        </w:rPr>
        <w:t>were</w:t>
      </w:r>
      <w:r w:rsidR="00A236A3" w:rsidRPr="00A727D8">
        <w:rPr>
          <w:rFonts w:ascii="Calibri" w:hAnsi="Calibri"/>
          <w:sz w:val="22"/>
        </w:rPr>
        <w:t xml:space="preserve"> </w:t>
      </w:r>
      <w:r w:rsidR="00314CBB" w:rsidRPr="00A727D8">
        <w:rPr>
          <w:rFonts w:ascii="Calibri" w:hAnsi="Calibri"/>
          <w:sz w:val="22"/>
        </w:rPr>
        <w:t xml:space="preserve">sufficient to cover all of the Secretariat’s </w:t>
      </w:r>
      <w:r w:rsidRPr="00A727D8">
        <w:rPr>
          <w:rFonts w:ascii="Calibri" w:hAnsi="Calibri"/>
          <w:sz w:val="22"/>
        </w:rPr>
        <w:t xml:space="preserve">obligations </w:t>
      </w:r>
      <w:r>
        <w:rPr>
          <w:rFonts w:ascii="Calibri" w:hAnsi="Calibri"/>
          <w:sz w:val="22"/>
        </w:rPr>
        <w:t xml:space="preserve">(debt) </w:t>
      </w:r>
      <w:r w:rsidRPr="00A727D8">
        <w:rPr>
          <w:rFonts w:ascii="Calibri" w:hAnsi="Calibri"/>
          <w:sz w:val="22"/>
        </w:rPr>
        <w:t xml:space="preserve">at the end of 2015. </w:t>
      </w:r>
      <w:r w:rsidR="00547115">
        <w:rPr>
          <w:rFonts w:ascii="Calibri" w:hAnsi="Calibri"/>
          <w:sz w:val="22"/>
        </w:rPr>
        <w:t xml:space="preserve">As the trend of non-payment of outstanding contributions continues to increase, the Secretariat will monitor its cash position to ensure it maintains its </w:t>
      </w:r>
      <w:r w:rsidR="00744BBE">
        <w:rPr>
          <w:rFonts w:ascii="Calibri" w:hAnsi="Calibri"/>
          <w:sz w:val="22"/>
        </w:rPr>
        <w:t xml:space="preserve">position as a </w:t>
      </w:r>
      <w:r w:rsidR="00547115">
        <w:rPr>
          <w:rFonts w:ascii="Calibri" w:hAnsi="Calibri"/>
          <w:sz w:val="22"/>
        </w:rPr>
        <w:t>going concern.</w:t>
      </w:r>
    </w:p>
    <w:p w:rsidR="00A727D8" w:rsidRPr="00A727D8" w:rsidRDefault="00A727D8" w:rsidP="00A727D8">
      <w:pPr>
        <w:rPr>
          <w:rFonts w:ascii="Calibri" w:hAnsi="Calibri" w:cs="Calibri"/>
          <w:sz w:val="22"/>
          <w:szCs w:val="22"/>
          <w:lang w:val="en-GB"/>
        </w:rPr>
      </w:pPr>
    </w:p>
    <w:p w:rsidR="00A8357F" w:rsidRDefault="00A8357F" w:rsidP="00842399">
      <w:pPr>
        <w:numPr>
          <w:ilvl w:val="0"/>
          <w:numId w:val="2"/>
        </w:numPr>
        <w:ind w:left="426" w:hanging="426"/>
        <w:rPr>
          <w:rFonts w:ascii="Calibri" w:hAnsi="Calibri" w:cs="Calibri"/>
          <w:sz w:val="22"/>
          <w:szCs w:val="22"/>
          <w:lang w:val="en-GB"/>
        </w:rPr>
      </w:pPr>
      <w:r w:rsidRPr="00314CBB">
        <w:rPr>
          <w:rFonts w:ascii="Calibri" w:hAnsi="Calibri" w:cs="Calibri"/>
          <w:sz w:val="22"/>
          <w:szCs w:val="22"/>
          <w:lang w:val="en-GB"/>
        </w:rPr>
        <w:t xml:space="preserve">For </w:t>
      </w:r>
      <w:r w:rsidR="00A236A3">
        <w:rPr>
          <w:rFonts w:ascii="Calibri" w:hAnsi="Calibri" w:cs="Calibri"/>
          <w:sz w:val="22"/>
          <w:szCs w:val="22"/>
          <w:lang w:val="en-GB"/>
        </w:rPr>
        <w:t>further</w:t>
      </w:r>
      <w:r w:rsidR="00A236A3" w:rsidRPr="00314CBB">
        <w:rPr>
          <w:rFonts w:ascii="Calibri" w:hAnsi="Calibri" w:cs="Calibri"/>
          <w:sz w:val="22"/>
          <w:szCs w:val="22"/>
          <w:lang w:val="en-GB"/>
        </w:rPr>
        <w:t xml:space="preserve"> </w:t>
      </w:r>
      <w:r w:rsidRPr="00314CBB">
        <w:rPr>
          <w:rFonts w:ascii="Calibri" w:hAnsi="Calibri" w:cs="Calibri"/>
          <w:sz w:val="22"/>
          <w:szCs w:val="22"/>
          <w:lang w:val="en-GB"/>
        </w:rPr>
        <w:t xml:space="preserve">discussion on proposals for </w:t>
      </w:r>
      <w:r w:rsidR="00A11B52" w:rsidRPr="00314CBB">
        <w:rPr>
          <w:rFonts w:ascii="Calibri" w:hAnsi="Calibri" w:cs="Calibri"/>
          <w:sz w:val="22"/>
          <w:szCs w:val="22"/>
          <w:lang w:val="en-GB"/>
        </w:rPr>
        <w:t xml:space="preserve">a </w:t>
      </w:r>
      <w:r w:rsidRPr="00314CBB">
        <w:rPr>
          <w:rFonts w:ascii="Calibri" w:hAnsi="Calibri" w:cs="Calibri"/>
          <w:sz w:val="22"/>
          <w:szCs w:val="22"/>
          <w:lang w:val="en-GB"/>
        </w:rPr>
        <w:t xml:space="preserve">resolution related to non-payment of contributions </w:t>
      </w:r>
      <w:r w:rsidR="000917F6">
        <w:rPr>
          <w:rFonts w:ascii="Calibri" w:hAnsi="Calibri" w:cs="Calibri"/>
          <w:sz w:val="22"/>
          <w:szCs w:val="22"/>
          <w:lang w:val="en-GB"/>
        </w:rPr>
        <w:t xml:space="preserve">please </w:t>
      </w:r>
      <w:r w:rsidRPr="00314CBB">
        <w:rPr>
          <w:rFonts w:ascii="Calibri" w:hAnsi="Calibri" w:cs="Calibri"/>
          <w:sz w:val="22"/>
          <w:szCs w:val="22"/>
          <w:lang w:val="en-GB"/>
        </w:rPr>
        <w:t>see D</w:t>
      </w:r>
      <w:r w:rsidR="004B246E">
        <w:rPr>
          <w:rFonts w:ascii="Calibri" w:hAnsi="Calibri" w:cs="Calibri"/>
          <w:sz w:val="22"/>
          <w:szCs w:val="22"/>
          <w:lang w:val="en-GB"/>
        </w:rPr>
        <w:t>ocument</w:t>
      </w:r>
      <w:r w:rsidRPr="00314CBB">
        <w:rPr>
          <w:rFonts w:ascii="Calibri" w:hAnsi="Calibri" w:cs="Calibri"/>
          <w:sz w:val="22"/>
          <w:szCs w:val="22"/>
          <w:lang w:val="en-GB"/>
        </w:rPr>
        <w:t xml:space="preserve"> SC</w:t>
      </w:r>
      <w:r w:rsidR="0002611D" w:rsidRPr="00314CBB">
        <w:rPr>
          <w:rFonts w:ascii="Calibri" w:hAnsi="Calibri" w:cs="Calibri"/>
          <w:sz w:val="22"/>
          <w:szCs w:val="22"/>
          <w:lang w:val="en-GB"/>
        </w:rPr>
        <w:t>52</w:t>
      </w:r>
      <w:r w:rsidRPr="00314CBB">
        <w:rPr>
          <w:rFonts w:ascii="Calibri" w:hAnsi="Calibri" w:cs="Calibri"/>
          <w:sz w:val="22"/>
          <w:szCs w:val="22"/>
          <w:lang w:val="en-GB"/>
        </w:rPr>
        <w:t>-</w:t>
      </w:r>
      <w:r w:rsidR="0002611D" w:rsidRPr="00314CBB">
        <w:rPr>
          <w:rFonts w:ascii="Calibri" w:hAnsi="Calibri" w:cs="Calibri"/>
          <w:sz w:val="22"/>
          <w:szCs w:val="22"/>
          <w:lang w:val="en-GB"/>
        </w:rPr>
        <w:t>19</w:t>
      </w:r>
      <w:r w:rsidRPr="00314CBB">
        <w:rPr>
          <w:rFonts w:ascii="Calibri" w:hAnsi="Calibri" w:cs="Calibri"/>
          <w:sz w:val="22"/>
          <w:szCs w:val="22"/>
          <w:lang w:val="en-GB"/>
        </w:rPr>
        <w:t>.</w:t>
      </w:r>
    </w:p>
    <w:p w:rsidR="00BC59B6" w:rsidRDefault="00BC59B6" w:rsidP="00BC59B6">
      <w:pPr>
        <w:rPr>
          <w:rFonts w:ascii="Calibri" w:hAnsi="Calibri" w:cs="Calibri"/>
          <w:bCs/>
          <w:sz w:val="22"/>
          <w:szCs w:val="22"/>
          <w:lang w:val="en-GB"/>
        </w:rPr>
      </w:pPr>
    </w:p>
    <w:p w:rsidR="00450ADD" w:rsidRPr="00BC59B6" w:rsidRDefault="00450ADD" w:rsidP="00BC59B6">
      <w:pPr>
        <w:rPr>
          <w:rFonts w:ascii="Calibri" w:hAnsi="Calibri" w:cs="Calibri"/>
          <w:bCs/>
          <w:sz w:val="22"/>
          <w:szCs w:val="22"/>
          <w:lang w:val="en-GB"/>
        </w:rPr>
      </w:pPr>
    </w:p>
    <w:p w:rsidR="0044433D" w:rsidRPr="00C669C7" w:rsidRDefault="0044433D" w:rsidP="00842399">
      <w:pPr>
        <w:ind w:left="567" w:hanging="567"/>
        <w:rPr>
          <w:rFonts w:ascii="Calibri" w:hAnsi="Calibri" w:cs="Calibri"/>
          <w:b/>
          <w:sz w:val="22"/>
          <w:szCs w:val="22"/>
        </w:rPr>
      </w:pPr>
      <w:r w:rsidRPr="00C669C7">
        <w:rPr>
          <w:rFonts w:ascii="Calibri" w:hAnsi="Calibri" w:cs="Calibri"/>
          <w:b/>
          <w:sz w:val="22"/>
          <w:szCs w:val="22"/>
        </w:rPr>
        <w:t>Annexes</w:t>
      </w:r>
    </w:p>
    <w:p w:rsidR="008532A7" w:rsidRPr="00C669C7" w:rsidRDefault="008532A7" w:rsidP="00842399">
      <w:pPr>
        <w:ind w:left="567" w:hanging="567"/>
        <w:rPr>
          <w:rFonts w:ascii="Calibri" w:hAnsi="Calibri" w:cs="Calibri"/>
          <w:b/>
          <w:sz w:val="22"/>
          <w:szCs w:val="22"/>
        </w:rPr>
      </w:pPr>
    </w:p>
    <w:p w:rsidR="008532A7" w:rsidRPr="00C669C7" w:rsidRDefault="002A4500" w:rsidP="00297915">
      <w:pPr>
        <w:pStyle w:val="ListParagraph"/>
        <w:numPr>
          <w:ilvl w:val="0"/>
          <w:numId w:val="3"/>
        </w:numPr>
        <w:ind w:left="426" w:hanging="426"/>
        <w:rPr>
          <w:rFonts w:ascii="Calibri" w:hAnsi="Calibri" w:cs="Calibri"/>
          <w:sz w:val="22"/>
          <w:szCs w:val="22"/>
        </w:rPr>
      </w:pPr>
      <w:r>
        <w:rPr>
          <w:rFonts w:ascii="Calibri" w:hAnsi="Calibri" w:cs="Calibri"/>
          <w:sz w:val="22"/>
          <w:szCs w:val="22"/>
        </w:rPr>
        <w:t>A</w:t>
      </w:r>
      <w:r w:rsidR="008532A7" w:rsidRPr="00C669C7">
        <w:rPr>
          <w:rFonts w:ascii="Calibri" w:hAnsi="Calibri" w:cs="Calibri"/>
          <w:sz w:val="22"/>
          <w:szCs w:val="22"/>
        </w:rPr>
        <w:t xml:space="preserve">udited </w:t>
      </w:r>
      <w:r w:rsidR="006A6A68">
        <w:rPr>
          <w:rFonts w:ascii="Calibri" w:hAnsi="Calibri" w:cs="Calibri"/>
          <w:sz w:val="22"/>
          <w:szCs w:val="22"/>
        </w:rPr>
        <w:t>financial statements</w:t>
      </w:r>
      <w:r w:rsidR="00C669C7" w:rsidRPr="00C669C7">
        <w:rPr>
          <w:rFonts w:ascii="Calibri" w:hAnsi="Calibri" w:cs="Calibri"/>
          <w:sz w:val="22"/>
          <w:szCs w:val="22"/>
        </w:rPr>
        <w:t xml:space="preserve"> a</w:t>
      </w:r>
      <w:r w:rsidR="00C4435F" w:rsidRPr="00C669C7">
        <w:rPr>
          <w:rFonts w:ascii="Calibri" w:hAnsi="Calibri" w:cs="Calibri"/>
          <w:sz w:val="22"/>
          <w:szCs w:val="22"/>
        </w:rPr>
        <w:t>s of 31 December</w:t>
      </w:r>
      <w:r w:rsidR="006A6A68">
        <w:rPr>
          <w:rFonts w:ascii="Calibri" w:hAnsi="Calibri" w:cs="Calibri"/>
          <w:sz w:val="22"/>
          <w:szCs w:val="22"/>
        </w:rPr>
        <w:t xml:space="preserve"> 2015</w:t>
      </w:r>
      <w:r w:rsidR="00C01945">
        <w:rPr>
          <w:rFonts w:ascii="Calibri" w:hAnsi="Calibri" w:cs="Calibri"/>
          <w:sz w:val="22"/>
          <w:szCs w:val="22"/>
        </w:rPr>
        <w:t xml:space="preserve"> </w:t>
      </w:r>
      <w:r w:rsidR="00C01945" w:rsidRPr="00C01945">
        <w:rPr>
          <w:rFonts w:ascii="Calibri" w:hAnsi="Calibri" w:cs="Calibri"/>
          <w:sz w:val="22"/>
          <w:szCs w:val="22"/>
        </w:rPr>
        <w:t>(Swiss reporting format)</w:t>
      </w:r>
      <w:r w:rsidR="00C01945" w:rsidRPr="00C01945">
        <w:rPr>
          <w:rFonts w:ascii="Calibri" w:hAnsi="Calibri" w:cs="Calibri"/>
          <w:sz w:val="22"/>
          <w:szCs w:val="22"/>
        </w:rPr>
        <w:tab/>
      </w:r>
      <w:r w:rsidR="00C01945" w:rsidRPr="00C01945">
        <w:rPr>
          <w:rFonts w:ascii="Calibri" w:hAnsi="Calibri" w:cs="Calibri"/>
          <w:sz w:val="22"/>
          <w:szCs w:val="22"/>
        </w:rPr>
        <w:tab/>
        <w:t xml:space="preserve">  6</w:t>
      </w:r>
    </w:p>
    <w:p w:rsidR="008532A7" w:rsidRPr="00C669C7" w:rsidRDefault="008532A7" w:rsidP="00297915">
      <w:pPr>
        <w:pStyle w:val="ListParagraph"/>
        <w:numPr>
          <w:ilvl w:val="0"/>
          <w:numId w:val="3"/>
        </w:numPr>
        <w:ind w:left="426" w:hanging="426"/>
        <w:rPr>
          <w:rFonts w:ascii="Calibri" w:hAnsi="Calibri" w:cs="Calibri"/>
          <w:sz w:val="22"/>
          <w:szCs w:val="22"/>
        </w:rPr>
      </w:pPr>
      <w:r w:rsidRPr="00C669C7">
        <w:rPr>
          <w:rFonts w:ascii="Calibri" w:hAnsi="Calibri" w:cs="Calibri"/>
          <w:sz w:val="22"/>
          <w:szCs w:val="22"/>
        </w:rPr>
        <w:t>201</w:t>
      </w:r>
      <w:r w:rsidR="00C4435F" w:rsidRPr="00C669C7">
        <w:rPr>
          <w:rFonts w:ascii="Calibri" w:hAnsi="Calibri" w:cs="Calibri"/>
          <w:sz w:val="22"/>
          <w:szCs w:val="22"/>
        </w:rPr>
        <w:t>5</w:t>
      </w:r>
      <w:r w:rsidRPr="00C669C7">
        <w:rPr>
          <w:rFonts w:ascii="Calibri" w:hAnsi="Calibri" w:cs="Calibri"/>
          <w:sz w:val="22"/>
          <w:szCs w:val="22"/>
        </w:rPr>
        <w:t xml:space="preserve"> </w:t>
      </w:r>
      <w:r w:rsidR="00A236A3" w:rsidRPr="00C669C7">
        <w:rPr>
          <w:rFonts w:ascii="Calibri" w:hAnsi="Calibri" w:cs="Calibri"/>
          <w:sz w:val="22"/>
          <w:szCs w:val="22"/>
        </w:rPr>
        <w:t>core results</w:t>
      </w:r>
      <w:r w:rsidRPr="00C669C7">
        <w:rPr>
          <w:rFonts w:ascii="Calibri" w:hAnsi="Calibri" w:cs="Calibri"/>
          <w:sz w:val="22"/>
          <w:szCs w:val="22"/>
        </w:rPr>
        <w:t xml:space="preserve">, with </w:t>
      </w:r>
      <w:r w:rsidR="00C4435F" w:rsidRPr="00C669C7">
        <w:rPr>
          <w:rFonts w:ascii="Calibri" w:hAnsi="Calibri" w:cs="Calibri"/>
          <w:sz w:val="22"/>
          <w:szCs w:val="22"/>
        </w:rPr>
        <w:t>SC48</w:t>
      </w:r>
      <w:r w:rsidRPr="00C669C7">
        <w:rPr>
          <w:rFonts w:ascii="Calibri" w:hAnsi="Calibri" w:cs="Calibri"/>
          <w:sz w:val="22"/>
          <w:szCs w:val="22"/>
        </w:rPr>
        <w:t xml:space="preserve"> approved budget</w:t>
      </w:r>
      <w:r w:rsidR="00C669C7">
        <w:rPr>
          <w:rFonts w:ascii="Calibri" w:hAnsi="Calibri" w:cs="Calibri"/>
          <w:sz w:val="22"/>
          <w:szCs w:val="22"/>
        </w:rPr>
        <w:t>, actuals an</w:t>
      </w:r>
      <w:r w:rsidRPr="00C669C7">
        <w:rPr>
          <w:rFonts w:ascii="Calibri" w:hAnsi="Calibri" w:cs="Calibri"/>
          <w:sz w:val="22"/>
          <w:szCs w:val="22"/>
        </w:rPr>
        <w:t>d variance</w:t>
      </w:r>
      <w:r w:rsidR="00C669C7">
        <w:rPr>
          <w:rFonts w:ascii="Calibri" w:hAnsi="Calibri" w:cs="Calibri"/>
          <w:sz w:val="22"/>
          <w:szCs w:val="22"/>
        </w:rPr>
        <w:t xml:space="preserve"> from </w:t>
      </w:r>
      <w:r w:rsidR="00C01945">
        <w:rPr>
          <w:rFonts w:ascii="Calibri" w:hAnsi="Calibri" w:cs="Calibri"/>
          <w:sz w:val="22"/>
          <w:szCs w:val="22"/>
        </w:rPr>
        <w:br/>
      </w:r>
      <w:r w:rsidR="00C669C7">
        <w:rPr>
          <w:rFonts w:ascii="Calibri" w:hAnsi="Calibri" w:cs="Calibri"/>
          <w:sz w:val="22"/>
          <w:szCs w:val="22"/>
        </w:rPr>
        <w:t>approved budget</w:t>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t>10</w:t>
      </w:r>
    </w:p>
    <w:p w:rsidR="00584EE3" w:rsidRPr="00D2130B" w:rsidRDefault="00584EE3" w:rsidP="00297915">
      <w:pPr>
        <w:pStyle w:val="ListParagraph"/>
        <w:numPr>
          <w:ilvl w:val="0"/>
          <w:numId w:val="3"/>
        </w:numPr>
        <w:ind w:left="426" w:hanging="426"/>
        <w:rPr>
          <w:rFonts w:ascii="Calibri" w:hAnsi="Calibri" w:cs="Calibri"/>
          <w:sz w:val="22"/>
          <w:szCs w:val="22"/>
        </w:rPr>
      </w:pPr>
      <w:r>
        <w:rPr>
          <w:rFonts w:ascii="Calibri" w:hAnsi="Calibri" w:cs="Calibri"/>
          <w:sz w:val="22"/>
          <w:szCs w:val="22"/>
        </w:rPr>
        <w:t>SC51</w:t>
      </w:r>
      <w:r w:rsidR="00C01945">
        <w:rPr>
          <w:rFonts w:ascii="Calibri" w:hAnsi="Calibri" w:cs="Calibri"/>
          <w:sz w:val="22"/>
          <w:szCs w:val="22"/>
        </w:rPr>
        <w:t>-</w:t>
      </w:r>
      <w:r>
        <w:rPr>
          <w:rFonts w:ascii="Calibri" w:hAnsi="Calibri" w:cs="Calibri"/>
          <w:sz w:val="22"/>
          <w:szCs w:val="22"/>
        </w:rPr>
        <w:t>approved 2016 budget</w:t>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r>
      <w:r w:rsidR="00C01945">
        <w:rPr>
          <w:rFonts w:ascii="Calibri" w:hAnsi="Calibri" w:cs="Calibri"/>
          <w:sz w:val="22"/>
          <w:szCs w:val="22"/>
        </w:rPr>
        <w:tab/>
        <w:t>11</w:t>
      </w:r>
    </w:p>
    <w:p w:rsidR="00D67AA9" w:rsidRDefault="00D67AA9" w:rsidP="00297915">
      <w:pPr>
        <w:pStyle w:val="ListParagraph"/>
        <w:numPr>
          <w:ilvl w:val="0"/>
          <w:numId w:val="3"/>
        </w:numPr>
        <w:ind w:left="426" w:hanging="426"/>
        <w:rPr>
          <w:rFonts w:ascii="Calibri" w:hAnsi="Calibri" w:cs="Calibri"/>
          <w:sz w:val="22"/>
          <w:szCs w:val="22"/>
        </w:rPr>
      </w:pPr>
      <w:r w:rsidRPr="00D2130B">
        <w:rPr>
          <w:rFonts w:ascii="Calibri" w:hAnsi="Calibri" w:cs="Calibri"/>
          <w:sz w:val="22"/>
          <w:szCs w:val="22"/>
        </w:rPr>
        <w:t>Non-</w:t>
      </w:r>
      <w:r w:rsidR="00A236A3" w:rsidRPr="00D2130B">
        <w:rPr>
          <w:rFonts w:ascii="Calibri" w:hAnsi="Calibri" w:cs="Calibri"/>
          <w:sz w:val="22"/>
          <w:szCs w:val="22"/>
        </w:rPr>
        <w:t xml:space="preserve">core </w:t>
      </w:r>
      <w:r w:rsidRPr="00D2130B">
        <w:rPr>
          <w:rFonts w:ascii="Calibri" w:hAnsi="Calibri" w:cs="Calibri"/>
          <w:sz w:val="22"/>
          <w:szCs w:val="22"/>
        </w:rPr>
        <w:t xml:space="preserve">budget from 2013-2015 </w:t>
      </w:r>
      <w:r w:rsidR="00A236A3">
        <w:rPr>
          <w:rFonts w:ascii="Calibri" w:hAnsi="Calibri" w:cs="Calibri"/>
          <w:sz w:val="22"/>
          <w:szCs w:val="22"/>
        </w:rPr>
        <w:t>triennium</w:t>
      </w:r>
      <w:r w:rsidR="00A236A3" w:rsidRPr="00D2130B">
        <w:rPr>
          <w:rFonts w:ascii="Calibri" w:hAnsi="Calibri" w:cs="Calibri"/>
          <w:sz w:val="22"/>
          <w:szCs w:val="22"/>
        </w:rPr>
        <w:t xml:space="preserve"> </w:t>
      </w:r>
      <w:r w:rsidRPr="00D2130B">
        <w:rPr>
          <w:rFonts w:ascii="Calibri" w:hAnsi="Calibri" w:cs="Calibri"/>
          <w:sz w:val="22"/>
          <w:szCs w:val="22"/>
        </w:rPr>
        <w:t>(Annex III of Resolution XI.2)</w:t>
      </w:r>
      <w:r w:rsidR="00C01945">
        <w:rPr>
          <w:rFonts w:ascii="Calibri" w:hAnsi="Calibri" w:cs="Calibri"/>
          <w:sz w:val="22"/>
          <w:szCs w:val="22"/>
        </w:rPr>
        <w:tab/>
      </w:r>
      <w:r w:rsidR="00C01945">
        <w:rPr>
          <w:rFonts w:ascii="Calibri" w:hAnsi="Calibri" w:cs="Calibri"/>
          <w:sz w:val="22"/>
          <w:szCs w:val="22"/>
        </w:rPr>
        <w:tab/>
        <w:t>12</w:t>
      </w:r>
    </w:p>
    <w:p w:rsidR="00297915" w:rsidRPr="00297915" w:rsidRDefault="00C500C1" w:rsidP="00D67AA9">
      <w:pPr>
        <w:ind w:left="567" w:hanging="567"/>
        <w:rPr>
          <w:rFonts w:ascii="Calibri" w:hAnsi="Calibri" w:cs="Calibri"/>
          <w:b/>
        </w:rPr>
      </w:pPr>
      <w:r w:rsidRPr="0056312E">
        <w:rPr>
          <w:rFonts w:ascii="Calibri" w:hAnsi="Calibri" w:cs="Calibri"/>
          <w:b/>
          <w:sz w:val="22"/>
          <w:szCs w:val="22"/>
        </w:rPr>
        <w:br w:type="page"/>
      </w:r>
      <w:r w:rsidR="00D2130B" w:rsidRPr="00297915">
        <w:rPr>
          <w:rFonts w:ascii="Calibri" w:hAnsi="Calibri" w:cs="Calibri"/>
          <w:b/>
        </w:rPr>
        <w:lastRenderedPageBreak/>
        <w:t xml:space="preserve">Annex 1 </w:t>
      </w:r>
    </w:p>
    <w:p w:rsidR="00D67AA9" w:rsidRPr="00297915" w:rsidRDefault="00134002" w:rsidP="00134002">
      <w:pPr>
        <w:rPr>
          <w:rFonts w:ascii="Calibri" w:hAnsi="Calibri" w:cs="Calibri"/>
        </w:rPr>
      </w:pPr>
      <w:bookmarkStart w:id="1" w:name="_GoBack"/>
      <w:r w:rsidRPr="00134002">
        <w:rPr>
          <w:rFonts w:ascii="Calibri" w:hAnsi="Calibri" w:cs="Calibri"/>
          <w:b/>
        </w:rPr>
        <w:t xml:space="preserve">Audited financial statements </w:t>
      </w:r>
      <w:r w:rsidR="00DD5EE3" w:rsidRPr="00297915">
        <w:rPr>
          <w:rFonts w:ascii="Calibri" w:hAnsi="Calibri" w:cs="Calibri"/>
          <w:b/>
        </w:rPr>
        <w:t>as of</w:t>
      </w:r>
      <w:r w:rsidR="00D67AA9" w:rsidRPr="00297915">
        <w:rPr>
          <w:rFonts w:ascii="Calibri" w:hAnsi="Calibri" w:cs="Calibri"/>
          <w:b/>
        </w:rPr>
        <w:t xml:space="preserve"> 31 December 2015 (Swiss reporting format)</w:t>
      </w:r>
    </w:p>
    <w:bookmarkEnd w:id="1"/>
    <w:p w:rsidR="00D67AA9" w:rsidRDefault="00D67AA9" w:rsidP="00D67AA9">
      <w:pPr>
        <w:ind w:left="567" w:hanging="567"/>
        <w:rPr>
          <w:rFonts w:ascii="Calibri" w:hAnsi="Calibri" w:cs="Calibri"/>
        </w:rPr>
      </w:pPr>
    </w:p>
    <w:tbl>
      <w:tblPr>
        <w:tblW w:w="9150" w:type="dxa"/>
        <w:tblInd w:w="93" w:type="dxa"/>
        <w:tblLook w:val="04A0" w:firstRow="1" w:lastRow="0" w:firstColumn="1" w:lastColumn="0" w:noHBand="0" w:noVBand="1"/>
      </w:tblPr>
      <w:tblGrid>
        <w:gridCol w:w="5525"/>
        <w:gridCol w:w="861"/>
        <w:gridCol w:w="743"/>
        <w:gridCol w:w="280"/>
        <w:gridCol w:w="280"/>
        <w:gridCol w:w="1195"/>
        <w:gridCol w:w="266"/>
      </w:tblGrid>
      <w:tr w:rsidR="00586919" w:rsidRPr="00586919" w:rsidTr="00297915">
        <w:trPr>
          <w:trHeight w:val="330"/>
        </w:trPr>
        <w:tc>
          <w:tcPr>
            <w:tcW w:w="7129" w:type="dxa"/>
            <w:gridSpan w:val="3"/>
            <w:tcBorders>
              <w:top w:val="nil"/>
              <w:left w:val="nil"/>
              <w:bottom w:val="nil"/>
              <w:right w:val="nil"/>
            </w:tcBorders>
            <w:shd w:val="clear" w:color="000000" w:fill="FFFFFF"/>
            <w:noWrap/>
            <w:vAlign w:val="center"/>
            <w:hideMark/>
          </w:tcPr>
          <w:p w:rsidR="00586919" w:rsidRPr="00297915" w:rsidRDefault="00586919" w:rsidP="00586919">
            <w:pPr>
              <w:rPr>
                <w:rFonts w:ascii="Calibri" w:eastAsia="Times New Roman" w:hAnsi="Calibri" w:cs="Arial"/>
                <w:b/>
                <w:bCs/>
                <w:lang w:val="en-GB" w:eastAsia="en-GB"/>
              </w:rPr>
            </w:pPr>
            <w:bookmarkStart w:id="2" w:name="RANGE!E15:K50"/>
            <w:r w:rsidRPr="00297915">
              <w:rPr>
                <w:rFonts w:ascii="Calibri" w:eastAsia="Times New Roman" w:hAnsi="Calibri" w:cs="Arial"/>
                <w:b/>
                <w:bCs/>
                <w:lang w:val="en-GB" w:eastAsia="en-GB"/>
              </w:rPr>
              <w:t>BALANCE SHEET AS OF 31 DECEMBER</w:t>
            </w:r>
            <w:bookmarkEnd w:id="2"/>
          </w:p>
        </w:tc>
        <w:tc>
          <w:tcPr>
            <w:tcW w:w="280" w:type="dxa"/>
            <w:tcBorders>
              <w:top w:val="nil"/>
              <w:left w:val="nil"/>
              <w:bottom w:val="nil"/>
              <w:right w:val="nil"/>
            </w:tcBorders>
            <w:shd w:val="clear" w:color="000000" w:fill="FFFFFF"/>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FFFFFF"/>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r>
      <w:tr w:rsidR="00586919" w:rsidRPr="00586919" w:rsidTr="00297915">
        <w:trPr>
          <w:trHeight w:val="480"/>
        </w:trPr>
        <w:tc>
          <w:tcPr>
            <w:tcW w:w="5525" w:type="dxa"/>
            <w:tcBorders>
              <w:top w:val="nil"/>
              <w:left w:val="nil"/>
              <w:bottom w:val="single" w:sz="8"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i/>
                <w:iCs/>
                <w:sz w:val="20"/>
                <w:szCs w:val="20"/>
                <w:lang w:val="en-GB" w:eastAsia="en-GB"/>
              </w:rPr>
            </w:pPr>
            <w:r w:rsidRPr="00586919">
              <w:rPr>
                <w:rFonts w:ascii="Calibri" w:eastAsia="Times New Roman" w:hAnsi="Calibri" w:cs="Arial"/>
                <w:i/>
                <w:iCs/>
                <w:sz w:val="20"/>
                <w:szCs w:val="20"/>
                <w:lang w:val="en-GB" w:eastAsia="en-GB"/>
              </w:rPr>
              <w:t>in thousands of Swiss Francs (CHF '000s)</w:t>
            </w:r>
          </w:p>
        </w:tc>
        <w:tc>
          <w:tcPr>
            <w:tcW w:w="861" w:type="dxa"/>
            <w:tcBorders>
              <w:top w:val="nil"/>
              <w:left w:val="nil"/>
              <w:bottom w:val="single" w:sz="8" w:space="0" w:color="auto"/>
              <w:right w:val="nil"/>
            </w:tcBorders>
            <w:shd w:val="clear" w:color="000000" w:fill="FFFFFF"/>
            <w:noWrap/>
            <w:vAlign w:val="center"/>
            <w:hideMark/>
          </w:tcPr>
          <w:p w:rsidR="00586919" w:rsidRPr="00586919" w:rsidRDefault="00586919" w:rsidP="00586919">
            <w:pPr>
              <w:jc w:val="cente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xml:space="preserve"> Notes </w:t>
            </w:r>
          </w:p>
        </w:tc>
        <w:tc>
          <w:tcPr>
            <w:tcW w:w="1023" w:type="dxa"/>
            <w:gridSpan w:val="2"/>
            <w:tcBorders>
              <w:top w:val="nil"/>
              <w:left w:val="nil"/>
              <w:bottom w:val="single" w:sz="8" w:space="0" w:color="auto"/>
              <w:right w:val="nil"/>
            </w:tcBorders>
            <w:shd w:val="clear" w:color="000000" w:fill="8DB4E2"/>
            <w:noWrap/>
            <w:vAlign w:val="center"/>
            <w:hideMark/>
          </w:tcPr>
          <w:p w:rsidR="00586919" w:rsidRPr="00586919" w:rsidRDefault="00586919" w:rsidP="00586919">
            <w:pPr>
              <w:jc w:val="cente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xml:space="preserve"> 2015 </w:t>
            </w:r>
          </w:p>
        </w:tc>
        <w:tc>
          <w:tcPr>
            <w:tcW w:w="280" w:type="dxa"/>
            <w:tcBorders>
              <w:top w:val="nil"/>
              <w:left w:val="nil"/>
              <w:bottom w:val="single" w:sz="8" w:space="0" w:color="auto"/>
              <w:right w:val="nil"/>
            </w:tcBorders>
            <w:shd w:val="clear" w:color="000000" w:fill="D9D9D9"/>
            <w:noWrap/>
            <w:vAlign w:val="center"/>
            <w:hideMark/>
          </w:tcPr>
          <w:p w:rsidR="00586919" w:rsidRPr="00586919" w:rsidRDefault="00586919" w:rsidP="00586919">
            <w:pPr>
              <w:rPr>
                <w:rFonts w:ascii="Calibri" w:eastAsia="Times New Roman" w:hAnsi="Calibri" w:cs="Arial"/>
                <w:sz w:val="20"/>
                <w:szCs w:val="20"/>
                <w:lang w:val="en-GB" w:eastAsia="en-GB"/>
              </w:rPr>
            </w:pPr>
            <w:r w:rsidRPr="00586919">
              <w:rPr>
                <w:rFonts w:ascii="Calibri" w:eastAsia="Times New Roman" w:hAnsi="Calibri" w:cs="Arial"/>
                <w:sz w:val="20"/>
                <w:szCs w:val="20"/>
                <w:lang w:val="en-GB" w:eastAsia="en-GB"/>
              </w:rPr>
              <w:t> </w:t>
            </w:r>
          </w:p>
        </w:tc>
        <w:tc>
          <w:tcPr>
            <w:tcW w:w="1461" w:type="dxa"/>
            <w:gridSpan w:val="2"/>
            <w:tcBorders>
              <w:top w:val="nil"/>
              <w:left w:val="nil"/>
              <w:bottom w:val="single" w:sz="8" w:space="0" w:color="auto"/>
              <w:right w:val="nil"/>
            </w:tcBorders>
            <w:shd w:val="clear" w:color="000000" w:fill="D8E4BC"/>
            <w:noWrap/>
            <w:vAlign w:val="center"/>
            <w:hideMark/>
          </w:tcPr>
          <w:p w:rsidR="00586919" w:rsidRPr="00586919" w:rsidRDefault="00586919" w:rsidP="00586919">
            <w:pPr>
              <w:jc w:val="cente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xml:space="preserve"> 2014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ASSETS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Current assets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Cash and short term bank deposits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4,652</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6,443</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Contracting party receivables (net)</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6</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658</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460</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Other account receivables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7</w:t>
            </w:r>
          </w:p>
        </w:tc>
        <w:tc>
          <w:tcPr>
            <w:tcW w:w="743"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88</w:t>
            </w:r>
          </w:p>
        </w:tc>
        <w:tc>
          <w:tcPr>
            <w:tcW w:w="280" w:type="dxa"/>
            <w:tcBorders>
              <w:top w:val="nil"/>
              <w:left w:val="nil"/>
              <w:bottom w:val="single" w:sz="4"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single" w:sz="4" w:space="0" w:color="auto"/>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current assets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5,398</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6,914</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Fixed assets (net)</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Office furniture and computer equipment at cost</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82</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101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Less: accumulated depreciation</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9</w:t>
            </w:r>
          </w:p>
        </w:tc>
        <w:tc>
          <w:tcPr>
            <w:tcW w:w="743"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(48)</w:t>
            </w:r>
          </w:p>
        </w:tc>
        <w:tc>
          <w:tcPr>
            <w:tcW w:w="280" w:type="dxa"/>
            <w:tcBorders>
              <w:top w:val="nil"/>
              <w:left w:val="nil"/>
              <w:bottom w:val="single" w:sz="4"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single" w:sz="4" w:space="0" w:color="auto"/>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(61)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non-current assets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34</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40</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480"/>
        </w:trPr>
        <w:tc>
          <w:tcPr>
            <w:tcW w:w="5525" w:type="dxa"/>
            <w:tcBorders>
              <w:top w:val="nil"/>
              <w:left w:val="nil"/>
              <w:bottom w:val="nil"/>
              <w:right w:val="nil"/>
            </w:tcBorders>
            <w:shd w:val="clear" w:color="000000" w:fill="FFFFFF"/>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ASSETS</w:t>
            </w:r>
          </w:p>
        </w:tc>
        <w:tc>
          <w:tcPr>
            <w:tcW w:w="861" w:type="dxa"/>
            <w:tcBorders>
              <w:top w:val="nil"/>
              <w:left w:val="nil"/>
              <w:bottom w:val="nil"/>
              <w:right w:val="nil"/>
            </w:tcBorders>
            <w:shd w:val="clear" w:color="000000" w:fill="FFFFFF"/>
            <w:noWrap/>
            <w:vAlign w:val="center"/>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single" w:sz="4" w:space="0" w:color="auto"/>
              <w:left w:val="nil"/>
              <w:bottom w:val="single" w:sz="4" w:space="0" w:color="auto"/>
              <w:right w:val="nil"/>
            </w:tcBorders>
            <w:shd w:val="clear" w:color="000000" w:fill="FFFFFF"/>
            <w:noWrap/>
            <w:vAlign w:val="center"/>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5,432</w:t>
            </w:r>
          </w:p>
        </w:tc>
        <w:tc>
          <w:tcPr>
            <w:tcW w:w="280" w:type="dxa"/>
            <w:tcBorders>
              <w:top w:val="single" w:sz="4" w:space="0" w:color="auto"/>
              <w:left w:val="nil"/>
              <w:bottom w:val="single" w:sz="4" w:space="0" w:color="auto"/>
              <w:right w:val="nil"/>
            </w:tcBorders>
            <w:shd w:val="clear" w:color="000000" w:fill="FFFFFF"/>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single" w:sz="4" w:space="0" w:color="auto"/>
              <w:left w:val="nil"/>
              <w:bottom w:val="single" w:sz="4" w:space="0" w:color="auto"/>
              <w:right w:val="nil"/>
            </w:tcBorders>
            <w:shd w:val="clear" w:color="000000" w:fill="D9D9D9"/>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single" w:sz="4" w:space="0" w:color="auto"/>
              <w:left w:val="nil"/>
              <w:bottom w:val="single" w:sz="4" w:space="0" w:color="auto"/>
              <w:right w:val="nil"/>
            </w:tcBorders>
            <w:shd w:val="clear" w:color="000000" w:fill="FFFFFF"/>
            <w:noWrap/>
            <w:vAlign w:val="center"/>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6,954</w:t>
            </w:r>
          </w:p>
        </w:tc>
        <w:tc>
          <w:tcPr>
            <w:tcW w:w="266" w:type="dxa"/>
            <w:tcBorders>
              <w:top w:val="nil"/>
              <w:left w:val="nil"/>
              <w:bottom w:val="nil"/>
              <w:right w:val="nil"/>
            </w:tcBorders>
            <w:shd w:val="clear" w:color="000000" w:fill="FFFFFF"/>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LIABILITIES AND FUND BALANCES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Current liabilities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Amounts owed to IUCN</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775</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514</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Other payables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8</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630</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839</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Accrued liabilities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293</w:t>
            </w:r>
          </w:p>
        </w:tc>
        <w:tc>
          <w:tcPr>
            <w:tcW w:w="280" w:type="dxa"/>
            <w:tcBorders>
              <w:top w:val="nil"/>
              <w:left w:val="nil"/>
              <w:bottom w:val="single" w:sz="4"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single" w:sz="4" w:space="0" w:color="auto"/>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381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current liabilities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1,698</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1,734</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Provisions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Staff repatriation</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5</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124</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128</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Staff leave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5</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165</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123</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Staff termination</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5</w:t>
            </w:r>
          </w:p>
        </w:tc>
        <w:tc>
          <w:tcPr>
            <w:tcW w:w="743"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227</w:t>
            </w:r>
          </w:p>
        </w:tc>
        <w:tc>
          <w:tcPr>
            <w:tcW w:w="280" w:type="dxa"/>
            <w:tcBorders>
              <w:top w:val="nil"/>
              <w:left w:val="nil"/>
              <w:bottom w:val="single" w:sz="4"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single" w:sz="4" w:space="0" w:color="auto"/>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128</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provisions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516</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379</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Fund and Reserves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Unrestricted reserve fund</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11</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372</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709</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0"/>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xml:space="preserve">    Restricted projects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12</w:t>
            </w:r>
          </w:p>
        </w:tc>
        <w:tc>
          <w:tcPr>
            <w:tcW w:w="743"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2,846</w:t>
            </w:r>
          </w:p>
        </w:tc>
        <w:tc>
          <w:tcPr>
            <w:tcW w:w="280" w:type="dxa"/>
            <w:tcBorders>
              <w:top w:val="nil"/>
              <w:left w:val="nil"/>
              <w:bottom w:val="single" w:sz="4" w:space="0" w:color="auto"/>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280" w:type="dxa"/>
            <w:tcBorders>
              <w:top w:val="nil"/>
              <w:left w:val="nil"/>
              <w:bottom w:val="single" w:sz="4" w:space="0" w:color="auto"/>
              <w:right w:val="nil"/>
            </w:tcBorders>
            <w:shd w:val="clear" w:color="000000" w:fill="D9D9D9"/>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1195" w:type="dxa"/>
            <w:tcBorders>
              <w:top w:val="nil"/>
              <w:left w:val="nil"/>
              <w:bottom w:val="single" w:sz="4" w:space="0" w:color="auto"/>
              <w:right w:val="nil"/>
            </w:tcBorders>
            <w:shd w:val="clear" w:color="000000" w:fill="FFFFFF"/>
            <w:noWrap/>
            <w:vAlign w:val="bottom"/>
            <w:hideMark/>
          </w:tcPr>
          <w:p w:rsidR="00586919" w:rsidRPr="00586919" w:rsidRDefault="00586919" w:rsidP="00586919">
            <w:pPr>
              <w:jc w:val="right"/>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4,131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r>
      <w:tr w:rsidR="00586919" w:rsidRPr="00586919" w:rsidTr="00297915">
        <w:trPr>
          <w:trHeight w:val="336"/>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fund and reserves</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3,218</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4,841</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288"/>
        </w:trPr>
        <w:tc>
          <w:tcPr>
            <w:tcW w:w="5525" w:type="dxa"/>
            <w:tcBorders>
              <w:top w:val="nil"/>
              <w:left w:val="nil"/>
              <w:bottom w:val="nil"/>
              <w:right w:val="nil"/>
            </w:tcBorders>
            <w:shd w:val="clear" w:color="000000" w:fill="FFFFFF"/>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861" w:type="dxa"/>
            <w:tcBorders>
              <w:top w:val="nil"/>
              <w:left w:val="nil"/>
              <w:bottom w:val="nil"/>
              <w:right w:val="nil"/>
            </w:tcBorders>
            <w:shd w:val="clear" w:color="000000" w:fill="FFFFFF"/>
            <w:noWrap/>
            <w:vAlign w:val="bottom"/>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nil"/>
              <w:left w:val="nil"/>
              <w:bottom w:val="nil"/>
              <w:right w:val="nil"/>
            </w:tcBorders>
            <w:shd w:val="clear" w:color="000000" w:fill="D9D9D9"/>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66" w:type="dxa"/>
            <w:tcBorders>
              <w:top w:val="nil"/>
              <w:left w:val="nil"/>
              <w:bottom w:val="nil"/>
              <w:right w:val="nil"/>
            </w:tcBorders>
            <w:shd w:val="clear" w:color="000000" w:fill="FFFFFF"/>
            <w:noWrap/>
            <w:vAlign w:val="bottom"/>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r w:rsidR="00586919" w:rsidRPr="00586919" w:rsidTr="00297915">
        <w:trPr>
          <w:trHeight w:val="456"/>
        </w:trPr>
        <w:tc>
          <w:tcPr>
            <w:tcW w:w="5525" w:type="dxa"/>
            <w:tcBorders>
              <w:top w:val="nil"/>
              <w:left w:val="nil"/>
              <w:bottom w:val="nil"/>
              <w:right w:val="nil"/>
            </w:tcBorders>
            <w:shd w:val="clear" w:color="000000" w:fill="FFFFFF"/>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TOTAL LIABILITIES AND FUND BALANCES</w:t>
            </w:r>
          </w:p>
        </w:tc>
        <w:tc>
          <w:tcPr>
            <w:tcW w:w="861" w:type="dxa"/>
            <w:tcBorders>
              <w:top w:val="nil"/>
              <w:left w:val="nil"/>
              <w:bottom w:val="nil"/>
              <w:right w:val="nil"/>
            </w:tcBorders>
            <w:shd w:val="clear" w:color="000000" w:fill="FFFFFF"/>
            <w:noWrap/>
            <w:vAlign w:val="center"/>
            <w:hideMark/>
          </w:tcPr>
          <w:p w:rsidR="00586919" w:rsidRPr="00586919" w:rsidRDefault="00586919" w:rsidP="00586919">
            <w:pPr>
              <w:jc w:val="center"/>
              <w:rPr>
                <w:rFonts w:ascii="Calibri" w:eastAsia="Times New Roman" w:hAnsi="Calibri" w:cs="Arial"/>
                <w:sz w:val="22"/>
                <w:szCs w:val="22"/>
                <w:lang w:val="en-GB" w:eastAsia="en-GB"/>
              </w:rPr>
            </w:pPr>
            <w:r w:rsidRPr="00586919">
              <w:rPr>
                <w:rFonts w:ascii="Calibri" w:eastAsia="Times New Roman" w:hAnsi="Calibri" w:cs="Arial"/>
                <w:sz w:val="22"/>
                <w:szCs w:val="22"/>
                <w:lang w:val="en-GB" w:eastAsia="en-GB"/>
              </w:rPr>
              <w:t> </w:t>
            </w:r>
          </w:p>
        </w:tc>
        <w:tc>
          <w:tcPr>
            <w:tcW w:w="743" w:type="dxa"/>
            <w:tcBorders>
              <w:top w:val="single" w:sz="4" w:space="0" w:color="auto"/>
              <w:left w:val="nil"/>
              <w:bottom w:val="single" w:sz="4" w:space="0" w:color="auto"/>
              <w:right w:val="nil"/>
            </w:tcBorders>
            <w:shd w:val="clear" w:color="000000" w:fill="C5D9F1"/>
            <w:noWrap/>
            <w:vAlign w:val="center"/>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5,432</w:t>
            </w:r>
          </w:p>
        </w:tc>
        <w:tc>
          <w:tcPr>
            <w:tcW w:w="280" w:type="dxa"/>
            <w:tcBorders>
              <w:top w:val="single" w:sz="4" w:space="0" w:color="auto"/>
              <w:left w:val="nil"/>
              <w:bottom w:val="single" w:sz="4" w:space="0" w:color="auto"/>
              <w:right w:val="nil"/>
            </w:tcBorders>
            <w:shd w:val="clear" w:color="000000" w:fill="C5D9F1"/>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280" w:type="dxa"/>
            <w:tcBorders>
              <w:top w:val="single" w:sz="4" w:space="0" w:color="auto"/>
              <w:left w:val="nil"/>
              <w:bottom w:val="single" w:sz="4" w:space="0" w:color="auto"/>
              <w:right w:val="nil"/>
            </w:tcBorders>
            <w:shd w:val="clear" w:color="000000" w:fill="D9D9D9"/>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c>
          <w:tcPr>
            <w:tcW w:w="1195" w:type="dxa"/>
            <w:tcBorders>
              <w:top w:val="single" w:sz="4" w:space="0" w:color="auto"/>
              <w:left w:val="nil"/>
              <w:bottom w:val="single" w:sz="4" w:space="0" w:color="auto"/>
              <w:right w:val="nil"/>
            </w:tcBorders>
            <w:shd w:val="clear" w:color="000000" w:fill="EBF1DE"/>
            <w:noWrap/>
            <w:vAlign w:val="center"/>
            <w:hideMark/>
          </w:tcPr>
          <w:p w:rsidR="00586919" w:rsidRPr="00586919" w:rsidRDefault="00586919" w:rsidP="00586919">
            <w:pPr>
              <w:jc w:val="right"/>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6,954</w:t>
            </w:r>
          </w:p>
        </w:tc>
        <w:tc>
          <w:tcPr>
            <w:tcW w:w="266" w:type="dxa"/>
            <w:tcBorders>
              <w:top w:val="single" w:sz="4" w:space="0" w:color="auto"/>
              <w:left w:val="nil"/>
              <w:bottom w:val="single" w:sz="4" w:space="0" w:color="auto"/>
              <w:right w:val="nil"/>
            </w:tcBorders>
            <w:shd w:val="clear" w:color="000000" w:fill="EBF1DE"/>
            <w:noWrap/>
            <w:vAlign w:val="center"/>
            <w:hideMark/>
          </w:tcPr>
          <w:p w:rsidR="00586919" w:rsidRPr="00586919" w:rsidRDefault="00586919" w:rsidP="00586919">
            <w:pPr>
              <w:rPr>
                <w:rFonts w:ascii="Calibri" w:eastAsia="Times New Roman" w:hAnsi="Calibri" w:cs="Arial"/>
                <w:b/>
                <w:bCs/>
                <w:sz w:val="22"/>
                <w:szCs w:val="22"/>
                <w:lang w:val="en-GB" w:eastAsia="en-GB"/>
              </w:rPr>
            </w:pPr>
            <w:r w:rsidRPr="00586919">
              <w:rPr>
                <w:rFonts w:ascii="Calibri" w:eastAsia="Times New Roman" w:hAnsi="Calibri" w:cs="Arial"/>
                <w:b/>
                <w:bCs/>
                <w:sz w:val="22"/>
                <w:szCs w:val="22"/>
                <w:lang w:val="en-GB" w:eastAsia="en-GB"/>
              </w:rPr>
              <w:t> </w:t>
            </w:r>
          </w:p>
        </w:tc>
      </w:tr>
    </w:tbl>
    <w:p w:rsidR="00D67AA9" w:rsidRDefault="00D67AA9" w:rsidP="00D67AA9">
      <w:pPr>
        <w:ind w:left="567" w:hanging="567"/>
        <w:rPr>
          <w:rFonts w:ascii="Calibri" w:hAnsi="Calibr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2A4500" w:rsidRDefault="002A4500">
      <w:pPr>
        <w:rPr>
          <w:rFonts w:asciiTheme="minorHAnsi" w:hAnsiTheme="minorHAnsi" w:cs="Calibri"/>
          <w:b/>
        </w:rPr>
      </w:pPr>
    </w:p>
    <w:p w:rsidR="00820BA7" w:rsidRPr="00297915" w:rsidRDefault="004721ED">
      <w:pPr>
        <w:rPr>
          <w:rFonts w:ascii="Calibri" w:eastAsia="Times New Roman" w:hAnsi="Calibri" w:cs="Arial"/>
          <w:b/>
          <w:bCs/>
          <w:lang w:val="en-GB" w:eastAsia="en-GB"/>
        </w:rPr>
      </w:pPr>
      <w:r w:rsidRPr="00297915">
        <w:rPr>
          <w:rFonts w:ascii="Calibri" w:eastAsia="Times New Roman" w:hAnsi="Calibri" w:cs="Arial"/>
          <w:b/>
          <w:bCs/>
          <w:noProof/>
          <w:lang w:val="en-GB" w:eastAsia="en-GB"/>
        </w:rPr>
        <w:drawing>
          <wp:inline distT="0" distB="0" distL="0" distR="0" wp14:anchorId="7B477E51" wp14:editId="00C5F5B2">
            <wp:extent cx="5732145" cy="696106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6961069"/>
                    </a:xfrm>
                    <a:prstGeom prst="rect">
                      <a:avLst/>
                    </a:prstGeom>
                    <a:noFill/>
                    <a:ln>
                      <a:noFill/>
                    </a:ln>
                  </pic:spPr>
                </pic:pic>
              </a:graphicData>
            </a:graphic>
          </wp:inline>
        </w:drawing>
      </w: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820BA7" w:rsidRDefault="00820BA7">
      <w:pPr>
        <w:rPr>
          <w:rFonts w:asciiTheme="minorHAnsi" w:hAnsiTheme="minorHAnsi" w:cs="Calibri"/>
          <w:b/>
        </w:rPr>
      </w:pPr>
    </w:p>
    <w:p w:rsidR="00297915" w:rsidRDefault="00297915">
      <w:pPr>
        <w:rPr>
          <w:rFonts w:ascii="Calibri" w:hAnsi="Calibri" w:cs="Calibri"/>
          <w:b/>
        </w:rPr>
      </w:pPr>
      <w:r>
        <w:rPr>
          <w:rFonts w:ascii="Calibri" w:hAnsi="Calibri" w:cs="Calibri"/>
          <w:b/>
        </w:rPr>
        <w:br w:type="page"/>
      </w:r>
    </w:p>
    <w:p w:rsidR="00820BA7" w:rsidRDefault="00820BA7" w:rsidP="00297915">
      <w:pPr>
        <w:rPr>
          <w:rFonts w:ascii="Calibri" w:hAnsi="Calibri" w:cs="Calibri"/>
          <w:b/>
        </w:rPr>
      </w:pPr>
      <w:r w:rsidRPr="00297915">
        <w:rPr>
          <w:rFonts w:ascii="Calibri" w:hAnsi="Calibri" w:cs="Calibri"/>
          <w:b/>
        </w:rPr>
        <w:lastRenderedPageBreak/>
        <w:t>Annex 1, Appendix A: Projects Financed by Restricted Funds, 1 January to 31 December 2015</w:t>
      </w:r>
      <w:r w:rsidR="00297915">
        <w:rPr>
          <w:rFonts w:ascii="Calibri" w:hAnsi="Calibri" w:cs="Calibri"/>
          <w:b/>
        </w:rPr>
        <w:t xml:space="preserve"> (with rounding errors)</w:t>
      </w:r>
    </w:p>
    <w:p w:rsidR="00297915" w:rsidRDefault="00297915" w:rsidP="00297915">
      <w:pPr>
        <w:rPr>
          <w:rFonts w:ascii="Calibri" w:hAnsi="Calibri" w:cs="Calibri"/>
          <w:b/>
        </w:rPr>
      </w:pPr>
    </w:p>
    <w:p w:rsidR="00F83158" w:rsidRDefault="00820BA7" w:rsidP="00D2130B">
      <w:pPr>
        <w:rPr>
          <w:rFonts w:asciiTheme="minorHAnsi" w:hAnsiTheme="minorHAnsi" w:cs="Calibri"/>
          <w:b/>
        </w:rPr>
      </w:pPr>
      <w:r w:rsidRPr="00E133A1">
        <w:rPr>
          <w:noProof/>
          <w:lang w:val="en-GB" w:eastAsia="en-GB"/>
        </w:rPr>
        <w:drawing>
          <wp:inline distT="0" distB="0" distL="0" distR="0" wp14:anchorId="56FC9289" wp14:editId="328E811D">
            <wp:extent cx="5522026" cy="812774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3973" cy="8115888"/>
                    </a:xfrm>
                    <a:prstGeom prst="rect">
                      <a:avLst/>
                    </a:prstGeom>
                    <a:noFill/>
                    <a:ln>
                      <a:noFill/>
                    </a:ln>
                  </pic:spPr>
                </pic:pic>
              </a:graphicData>
            </a:graphic>
          </wp:inline>
        </w:drawing>
      </w:r>
    </w:p>
    <w:p w:rsidR="00F83158" w:rsidRPr="00D2130B" w:rsidRDefault="00F83158" w:rsidP="00F83158">
      <w:pPr>
        <w:ind w:left="567" w:hanging="567"/>
        <w:rPr>
          <w:rFonts w:ascii="Calibri" w:hAnsi="Calibri" w:cs="Calibri"/>
        </w:rPr>
      </w:pPr>
    </w:p>
    <w:p w:rsidR="00F83158" w:rsidRDefault="00F83158" w:rsidP="00D2130B">
      <w:pPr>
        <w:rPr>
          <w:rFonts w:asciiTheme="minorHAnsi" w:hAnsiTheme="minorHAnsi" w:cs="Calibri"/>
          <w:b/>
        </w:rPr>
      </w:pPr>
      <w:r w:rsidRPr="00E133A1">
        <w:rPr>
          <w:noProof/>
          <w:lang w:val="en-GB" w:eastAsia="en-GB"/>
        </w:rPr>
        <w:lastRenderedPageBreak/>
        <w:drawing>
          <wp:inline distT="0" distB="0" distL="0" distR="0" wp14:anchorId="7159A852" wp14:editId="179B3F0A">
            <wp:extent cx="5732145" cy="7046891"/>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7046891"/>
                    </a:xfrm>
                    <a:prstGeom prst="rect">
                      <a:avLst/>
                    </a:prstGeom>
                    <a:noFill/>
                    <a:ln>
                      <a:noFill/>
                    </a:ln>
                  </pic:spPr>
                </pic:pic>
              </a:graphicData>
            </a:graphic>
          </wp:inline>
        </w:drawing>
      </w:r>
    </w:p>
    <w:p w:rsidR="000C1D2A" w:rsidRDefault="000C1D2A">
      <w:pPr>
        <w:rPr>
          <w:rFonts w:asciiTheme="minorHAnsi" w:hAnsiTheme="minorHAnsi" w:cs="Calibri"/>
          <w:b/>
        </w:rPr>
      </w:pPr>
      <w:r>
        <w:rPr>
          <w:rFonts w:asciiTheme="minorHAnsi" w:hAnsiTheme="minorHAnsi" w:cs="Calibri"/>
          <w:b/>
        </w:rPr>
        <w:br w:type="page"/>
      </w:r>
    </w:p>
    <w:p w:rsidR="00C01945" w:rsidRDefault="00D2130B" w:rsidP="00D2130B">
      <w:pPr>
        <w:rPr>
          <w:rFonts w:asciiTheme="minorHAnsi" w:hAnsiTheme="minorHAnsi" w:cs="Calibri"/>
          <w:b/>
        </w:rPr>
      </w:pPr>
      <w:r w:rsidRPr="00D2130B">
        <w:rPr>
          <w:rFonts w:asciiTheme="minorHAnsi" w:hAnsiTheme="minorHAnsi" w:cs="Calibri"/>
          <w:b/>
        </w:rPr>
        <w:lastRenderedPageBreak/>
        <w:t xml:space="preserve">Annex 2 </w:t>
      </w:r>
    </w:p>
    <w:p w:rsidR="00D2130B" w:rsidRPr="00685D5C" w:rsidRDefault="00D2130B" w:rsidP="00D2130B">
      <w:pPr>
        <w:rPr>
          <w:rFonts w:ascii="Calibri" w:hAnsi="Calibri" w:cs="Calibri"/>
          <w:b/>
          <w:u w:val="single"/>
        </w:rPr>
      </w:pPr>
      <w:r w:rsidRPr="00D2130B">
        <w:rPr>
          <w:rFonts w:ascii="Calibri" w:hAnsi="Calibri" w:cs="Calibri"/>
          <w:b/>
        </w:rPr>
        <w:t xml:space="preserve">2015 </w:t>
      </w:r>
      <w:r w:rsidR="00011670">
        <w:rPr>
          <w:rFonts w:ascii="Calibri" w:hAnsi="Calibri" w:cs="Calibri"/>
          <w:b/>
        </w:rPr>
        <w:t>c</w:t>
      </w:r>
      <w:r w:rsidRPr="00D2130B">
        <w:rPr>
          <w:rFonts w:ascii="Calibri" w:hAnsi="Calibri" w:cs="Calibri"/>
          <w:b/>
        </w:rPr>
        <w:t xml:space="preserve">ore </w:t>
      </w:r>
      <w:r w:rsidR="00011670">
        <w:rPr>
          <w:rFonts w:ascii="Calibri" w:hAnsi="Calibri" w:cs="Calibri"/>
          <w:b/>
        </w:rPr>
        <w:t>r</w:t>
      </w:r>
      <w:r w:rsidRPr="00D2130B">
        <w:rPr>
          <w:rFonts w:ascii="Calibri" w:hAnsi="Calibri" w:cs="Calibri"/>
          <w:b/>
        </w:rPr>
        <w:t>esults, with SC48 approved budget, actuals and variance from approved budget</w:t>
      </w:r>
      <w:r w:rsidR="00685D5C">
        <w:rPr>
          <w:rFonts w:ascii="Calibri" w:hAnsi="Calibri" w:cs="Calibri"/>
          <w:b/>
        </w:rPr>
        <w:t xml:space="preserve"> (includes rounding errors)</w:t>
      </w:r>
    </w:p>
    <w:p w:rsidR="00D2130B" w:rsidRDefault="00D2130B" w:rsidP="002D6888">
      <w:pPr>
        <w:rPr>
          <w:rFonts w:asciiTheme="minorHAnsi" w:hAnsiTheme="minorHAnsi" w:cs="Calibri"/>
          <w:b/>
          <w:lang w:val="en-GB"/>
        </w:rPr>
      </w:pPr>
    </w:p>
    <w:tbl>
      <w:tblPr>
        <w:tblW w:w="8676" w:type="dxa"/>
        <w:tblInd w:w="103" w:type="dxa"/>
        <w:tblLook w:val="04A0" w:firstRow="1" w:lastRow="0" w:firstColumn="1" w:lastColumn="0" w:noHBand="0" w:noVBand="1"/>
      </w:tblPr>
      <w:tblGrid>
        <w:gridCol w:w="5509"/>
        <w:gridCol w:w="1159"/>
        <w:gridCol w:w="993"/>
        <w:gridCol w:w="1015"/>
      </w:tblGrid>
      <w:tr w:rsidR="00DD5EE3" w:rsidRPr="00A56B73" w:rsidTr="00812E6B">
        <w:trPr>
          <w:trHeight w:val="19"/>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 </w:t>
            </w:r>
          </w:p>
        </w:tc>
        <w:tc>
          <w:tcPr>
            <w:tcW w:w="1159" w:type="dxa"/>
            <w:tcBorders>
              <w:top w:val="single" w:sz="4" w:space="0" w:color="auto"/>
              <w:left w:val="single" w:sz="4" w:space="0" w:color="auto"/>
              <w:bottom w:val="single" w:sz="4" w:space="0" w:color="auto"/>
              <w:right w:val="single" w:sz="4" w:space="0" w:color="auto"/>
            </w:tcBorders>
            <w:shd w:val="clear" w:color="000000" w:fill="E4DFEC"/>
            <w:vAlign w:val="bottom"/>
            <w:hideMark/>
          </w:tcPr>
          <w:p w:rsidR="00A56B73" w:rsidRPr="00A56B73" w:rsidRDefault="00A56B73" w:rsidP="00812E6B">
            <w:pPr>
              <w:jc w:val="cente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Approved Core Budget</w:t>
            </w:r>
          </w:p>
        </w:tc>
        <w:tc>
          <w:tcPr>
            <w:tcW w:w="993" w:type="dxa"/>
            <w:tcBorders>
              <w:top w:val="single" w:sz="4" w:space="0" w:color="auto"/>
              <w:left w:val="nil"/>
              <w:bottom w:val="single" w:sz="4" w:space="0" w:color="auto"/>
              <w:right w:val="single" w:sz="4" w:space="0" w:color="auto"/>
            </w:tcBorders>
            <w:shd w:val="clear" w:color="000000" w:fill="E4DFEC"/>
            <w:vAlign w:val="bottom"/>
            <w:hideMark/>
          </w:tcPr>
          <w:p w:rsidR="00A56B73" w:rsidRPr="00A56B73" w:rsidRDefault="00A56B73" w:rsidP="00812E6B">
            <w:pPr>
              <w:jc w:val="cente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Core Actuals</w:t>
            </w:r>
          </w:p>
        </w:tc>
        <w:tc>
          <w:tcPr>
            <w:tcW w:w="1015" w:type="dxa"/>
            <w:tcBorders>
              <w:top w:val="single" w:sz="4" w:space="0" w:color="auto"/>
              <w:left w:val="nil"/>
              <w:bottom w:val="single" w:sz="4" w:space="0" w:color="auto"/>
              <w:right w:val="single" w:sz="4" w:space="0" w:color="auto"/>
            </w:tcBorders>
            <w:shd w:val="clear" w:color="000000" w:fill="E4DFEC"/>
            <w:vAlign w:val="bottom"/>
            <w:hideMark/>
          </w:tcPr>
          <w:p w:rsidR="00A56B73" w:rsidRPr="00A56B73" w:rsidRDefault="00A56B73" w:rsidP="00812E6B">
            <w:pPr>
              <w:jc w:val="cente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Variance</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INCOME</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CHF'000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CHF'000</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CHF'000</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Parties’ Contributions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3,779</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3,779</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Voluntary contributions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1,065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F95EB1">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1,06</w:t>
            </w:r>
            <w:r w:rsidR="00F95EB1">
              <w:rPr>
                <w:rFonts w:ascii="Calibri" w:eastAsia="Times New Roman" w:hAnsi="Calibri"/>
                <w:color w:val="000000"/>
                <w:sz w:val="16"/>
                <w:szCs w:val="18"/>
                <w:lang w:val="en-GB" w:eastAsia="en-GB"/>
              </w:rPr>
              <w:t>7</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F95EB1" w:rsidP="00F95EB1">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Income Tax</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225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222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iv.  Income Interest</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-10</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TOTAL INCOME</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5,081</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F95EB1">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5,06</w:t>
            </w:r>
            <w:r w:rsidR="00F95EB1">
              <w:rPr>
                <w:rFonts w:ascii="Calibri" w:eastAsia="Times New Roman" w:hAnsi="Calibri"/>
                <w:b/>
                <w:bCs/>
                <w:color w:val="000000"/>
                <w:sz w:val="16"/>
                <w:szCs w:val="18"/>
                <w:lang w:val="en-GB" w:eastAsia="en-GB"/>
              </w:rPr>
              <w:t>9</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C66085">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-1</w:t>
            </w:r>
            <w:r w:rsidR="00C66085">
              <w:rPr>
                <w:rFonts w:ascii="Calibri" w:eastAsia="Times New Roman" w:hAnsi="Calibri"/>
                <w:b/>
                <w:bCs/>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EXPENDITURES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A.  Secretariat Senior Management</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811</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763</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-48</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(SG ,DSG, Exec Asst to the SG)</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674</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658</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-16</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Travel on official business (SG, DSG)</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Other employment benefits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92</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-40</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B.  Partnership Coordinator</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259</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251</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(Partnership Coordinator)</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188</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188</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Travel on official business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21</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Other employment benefits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51</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-9</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C.  Regional Advice and Support</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1,339</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1217</w:t>
            </w:r>
            <w:r w:rsidR="00A56B73" w:rsidRPr="00A56B73">
              <w:rPr>
                <w:rFonts w:ascii="Calibri" w:eastAsia="Times New Roman" w:hAnsi="Calibri"/>
                <w:color w:val="000000"/>
                <w:sz w:val="16"/>
                <w:szCs w:val="18"/>
                <w:lang w:val="en-GB" w:eastAsia="en-GB"/>
              </w:rPr>
              <w:t>,</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-121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(4 SRAs , RAO , SPREP Officer, 4 Assistant Advisors)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1,201</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1,076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-124</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Travel on official business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70</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-15</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Other employment benefits **</w:t>
            </w:r>
          </w:p>
        </w:tc>
        <w:tc>
          <w:tcPr>
            <w:tcW w:w="1159" w:type="dxa"/>
            <w:tcBorders>
              <w:top w:val="nil"/>
              <w:left w:val="single" w:sz="4" w:space="0" w:color="auto"/>
              <w:bottom w:val="nil"/>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53</w:t>
            </w:r>
          </w:p>
        </w:tc>
        <w:tc>
          <w:tcPr>
            <w:tcW w:w="993" w:type="dxa"/>
            <w:tcBorders>
              <w:top w:val="nil"/>
              <w:left w:val="nil"/>
              <w:bottom w:val="nil"/>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70</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17</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D.  Support to Regional Initiatives</w:t>
            </w:r>
          </w:p>
        </w:tc>
        <w:tc>
          <w:tcPr>
            <w:tcW w:w="1159"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w:t>
            </w:r>
          </w:p>
        </w:tc>
        <w:tc>
          <w:tcPr>
            <w:tcW w:w="993" w:type="dxa"/>
            <w:tcBorders>
              <w:top w:val="single" w:sz="4" w:space="0" w:color="auto"/>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Regional networks and centers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E.  Scientific and Technical Services</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210</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198</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(Scientific and Technical Support Officer)</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110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107</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STRP implementation</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40</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STRP meetings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44</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iv.  STRP travel on official business (DSG for STRP)</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F.  Communications, Documentation, CEPA</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589</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590</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(Head, Document Officer and Comms Officer)</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434</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433</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CEPA Program</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29</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Communications, Translations, Publications and Reporting Implementation</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120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122</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iv. Travel</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G.  Administration/RSIS/Web</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898</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858</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-40</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Salaries and social costs (Finance Officer, HR, 3 Admin Assts, 2 Temp)</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629</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586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-43</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Staff hiring and departure costs***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25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28</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3</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Other employment benefits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fr-FR" w:eastAsia="en-GB"/>
              </w:rPr>
            </w:pPr>
            <w:r w:rsidRPr="00A56B73">
              <w:rPr>
                <w:rFonts w:ascii="Calibri" w:eastAsia="Times New Roman" w:hAnsi="Calibri"/>
                <w:color w:val="000000"/>
                <w:sz w:val="16"/>
                <w:szCs w:val="18"/>
                <w:lang w:val="fr-FR" w:eastAsia="en-GB"/>
              </w:rPr>
              <w:t>v.  Ramsar Sites Information Service</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150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145</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vi.  Web/IT support in addition to that provided by IUCN</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90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94</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4</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H.  Operating Costs</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95</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94</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Photocopying, printing, courier</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F95EB1">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7</w:t>
            </w:r>
            <w:r w:rsidR="00F95EB1">
              <w:rPr>
                <w:rFonts w:ascii="Calibri" w:eastAsia="Times New Roman" w:hAnsi="Calibri"/>
                <w:color w:val="000000"/>
                <w:sz w:val="16"/>
                <w:szCs w:val="18"/>
                <w:lang w:val="en-GB" w:eastAsia="en-GB"/>
              </w:rPr>
              <w:t>9</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Purchase &amp; Maintenance of Equipment/Office Supplies (includes depreciation)</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F95EB1">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r w:rsidR="00F95EB1">
              <w:rPr>
                <w:rFonts w:ascii="Calibri" w:eastAsia="Times New Roman" w:hAnsi="Calibri"/>
                <w:color w:val="000000"/>
                <w:sz w:val="16"/>
                <w:szCs w:val="18"/>
                <w:lang w:val="en-GB" w:eastAsia="en-GB"/>
              </w:rPr>
              <w:t>5</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Standing Committee Services</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85</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85</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Standing Committee delegates’ support</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44</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43</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Standing Committee meetings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iii.  Simultaneous interpretation at SC meetings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J.  IUCN Administrative Service Charges (maximum)</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566</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546</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-20</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Administration, Human Resources, Finance &amp; IT services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566</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546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-20</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CCC0DA"/>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K.  Miscellaneous - Reserve Fund</w:t>
            </w:r>
          </w:p>
        </w:tc>
        <w:tc>
          <w:tcPr>
            <w:tcW w:w="1159" w:type="dxa"/>
            <w:tcBorders>
              <w:top w:val="nil"/>
              <w:left w:val="single" w:sz="4" w:space="0" w:color="auto"/>
              <w:bottom w:val="single" w:sz="4"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110</w:t>
            </w:r>
          </w:p>
        </w:tc>
        <w:tc>
          <w:tcPr>
            <w:tcW w:w="993" w:type="dxa"/>
            <w:tcBorders>
              <w:top w:val="nil"/>
              <w:left w:val="nil"/>
              <w:bottom w:val="single" w:sz="4"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685</w:t>
            </w:r>
          </w:p>
        </w:tc>
        <w:tc>
          <w:tcPr>
            <w:tcW w:w="1015" w:type="dxa"/>
            <w:tcBorders>
              <w:top w:val="nil"/>
              <w:left w:val="nil"/>
              <w:bottom w:val="single" w:sz="4" w:space="0" w:color="auto"/>
              <w:right w:val="single" w:sz="4" w:space="0" w:color="auto"/>
            </w:tcBorders>
            <w:shd w:val="clear" w:color="000000" w:fill="B1A0C7"/>
            <w:noWrap/>
            <w:vAlign w:val="bottom"/>
            <w:hideMark/>
          </w:tcPr>
          <w:p w:rsidR="00A56B73" w:rsidRPr="00A56B73" w:rsidRDefault="00924389" w:rsidP="00685D5C">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575</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  Reserve Fund</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ii.  Increase in provision and exchange losses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50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406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356</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xml:space="preserve">iii.  Any other costs not listed above – </w:t>
            </w:r>
            <w:r w:rsidRPr="00A56B73">
              <w:rPr>
                <w:rFonts w:ascii="Calibri" w:eastAsia="Times New Roman" w:hAnsi="Calibri"/>
                <w:i/>
                <w:iCs/>
                <w:color w:val="000000"/>
                <w:sz w:val="16"/>
                <w:szCs w:val="18"/>
                <w:lang w:val="en-GB" w:eastAsia="en-GB"/>
              </w:rPr>
              <w:t>Legal services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60</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71</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11</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iv. Bad debt Provision</w:t>
            </w:r>
          </w:p>
        </w:tc>
        <w:tc>
          <w:tcPr>
            <w:tcW w:w="1159" w:type="dxa"/>
            <w:tcBorders>
              <w:top w:val="nil"/>
              <w:left w:val="single" w:sz="4" w:space="0" w:color="auto"/>
              <w:bottom w:val="single" w:sz="8"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993" w:type="dxa"/>
            <w:tcBorders>
              <w:top w:val="nil"/>
              <w:left w:val="nil"/>
              <w:bottom w:val="single" w:sz="8"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208</w:t>
            </w:r>
          </w:p>
        </w:tc>
        <w:tc>
          <w:tcPr>
            <w:tcW w:w="1015" w:type="dxa"/>
            <w:tcBorders>
              <w:top w:val="nil"/>
              <w:left w:val="nil"/>
              <w:bottom w:val="single" w:sz="8"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208</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TOTAL EXPENDITURES</w:t>
            </w:r>
          </w:p>
        </w:tc>
        <w:tc>
          <w:tcPr>
            <w:tcW w:w="1159" w:type="dxa"/>
            <w:tcBorders>
              <w:top w:val="single" w:sz="4" w:space="0" w:color="auto"/>
              <w:left w:val="single" w:sz="4" w:space="0" w:color="auto"/>
              <w:bottom w:val="double" w:sz="6" w:space="0" w:color="auto"/>
              <w:right w:val="single" w:sz="4" w:space="0" w:color="auto"/>
            </w:tcBorders>
            <w:shd w:val="clear" w:color="000000" w:fill="B1A0C7"/>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5,081</w:t>
            </w:r>
          </w:p>
        </w:tc>
        <w:tc>
          <w:tcPr>
            <w:tcW w:w="993" w:type="dxa"/>
            <w:tcBorders>
              <w:top w:val="single" w:sz="4" w:space="0" w:color="auto"/>
              <w:left w:val="nil"/>
              <w:bottom w:val="double" w:sz="6" w:space="0" w:color="auto"/>
              <w:right w:val="single" w:sz="4" w:space="0" w:color="auto"/>
            </w:tcBorders>
            <w:shd w:val="clear" w:color="000000" w:fill="B1A0C7"/>
            <w:noWrap/>
            <w:vAlign w:val="bottom"/>
            <w:hideMark/>
          </w:tcPr>
          <w:p w:rsidR="00A56B73" w:rsidRPr="00A56B73" w:rsidRDefault="00CA46DB" w:rsidP="00CA46DB">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5,406</w:t>
            </w:r>
          </w:p>
        </w:tc>
        <w:tc>
          <w:tcPr>
            <w:tcW w:w="1015" w:type="dxa"/>
            <w:tcBorders>
              <w:top w:val="single" w:sz="4" w:space="0" w:color="auto"/>
              <w:left w:val="nil"/>
              <w:bottom w:val="double" w:sz="6" w:space="0" w:color="auto"/>
              <w:right w:val="single" w:sz="4" w:space="0" w:color="auto"/>
            </w:tcBorders>
            <w:shd w:val="clear" w:color="000000" w:fill="B1A0C7"/>
            <w:noWrap/>
            <w:vAlign w:val="bottom"/>
            <w:hideMark/>
          </w:tcPr>
          <w:p w:rsidR="00A56B73" w:rsidRPr="00A56B73" w:rsidRDefault="00F95EB1" w:rsidP="00F95EB1">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326</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SURPLUS / (DEFICIT)</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 </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-337</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-337</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E4DFEC"/>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 xml:space="preserve">TOTAL SALARY COSTS – staff salaries and related costs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3,435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3,217</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b/>
                <w:bCs/>
                <w:color w:val="000000"/>
                <w:sz w:val="16"/>
                <w:szCs w:val="18"/>
                <w:lang w:val="en-GB" w:eastAsia="en-GB"/>
              </w:rPr>
            </w:pPr>
            <w:r>
              <w:rPr>
                <w:rFonts w:ascii="Calibri" w:eastAsia="Times New Roman" w:hAnsi="Calibri"/>
                <w:b/>
                <w:bCs/>
                <w:color w:val="000000"/>
                <w:sz w:val="16"/>
                <w:szCs w:val="18"/>
                <w:lang w:val="en-GB" w:eastAsia="en-GB"/>
              </w:rPr>
              <w:t>-218</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68%</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CA46DB" w:rsidP="00CA46DB">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59</w:t>
            </w:r>
            <w:r w:rsidR="00A56B73" w:rsidRPr="00A56B73">
              <w:rPr>
                <w:rFonts w:ascii="Calibri" w:eastAsia="Times New Roman" w:hAnsi="Calibri"/>
                <w:color w:val="000000"/>
                <w:sz w:val="16"/>
                <w:szCs w:val="18"/>
                <w:lang w:val="en-GB" w:eastAsia="en-GB"/>
              </w:rPr>
              <w:t>%</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924389" w:rsidP="00924389">
            <w:pPr>
              <w:jc w:val="right"/>
              <w:rPr>
                <w:rFonts w:ascii="Calibri" w:eastAsia="Times New Roman" w:hAnsi="Calibri"/>
                <w:color w:val="000000"/>
                <w:sz w:val="16"/>
                <w:szCs w:val="18"/>
                <w:lang w:val="en-GB" w:eastAsia="en-GB"/>
              </w:rPr>
            </w:pPr>
            <w:r>
              <w:rPr>
                <w:rFonts w:ascii="Calibri" w:eastAsia="Times New Roman" w:hAnsi="Calibri"/>
                <w:color w:val="000000"/>
                <w:sz w:val="16"/>
                <w:szCs w:val="18"/>
                <w:lang w:val="en-GB" w:eastAsia="en-GB"/>
              </w:rPr>
              <w:t>-8</w:t>
            </w:r>
          </w:p>
        </w:tc>
      </w:tr>
      <w:tr w:rsidR="00DD5EE3" w:rsidRPr="00A56B73" w:rsidTr="00812E6B">
        <w:trPr>
          <w:trHeight w:val="19"/>
        </w:trPr>
        <w:tc>
          <w:tcPr>
            <w:tcW w:w="0" w:type="auto"/>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TOTAL TRAVEL COSTS</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165</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156</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b/>
                <w:bCs/>
                <w:color w:val="000000"/>
                <w:sz w:val="16"/>
                <w:szCs w:val="18"/>
                <w:lang w:val="en-GB" w:eastAsia="en-GB"/>
              </w:rPr>
            </w:pPr>
            <w:r w:rsidRPr="00A56B73">
              <w:rPr>
                <w:rFonts w:ascii="Calibri" w:eastAsia="Times New Roman" w:hAnsi="Calibri"/>
                <w:b/>
                <w:bCs/>
                <w:color w:val="000000"/>
                <w:sz w:val="16"/>
                <w:szCs w:val="18"/>
                <w:lang w:val="en-GB" w:eastAsia="en-GB"/>
              </w:rPr>
              <w:t>-9</w:t>
            </w:r>
          </w:p>
        </w:tc>
      </w:tr>
      <w:tr w:rsidR="00A56B73" w:rsidRPr="00A56B73" w:rsidTr="00812E6B">
        <w:trPr>
          <w:trHeight w:val="1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6B73" w:rsidRPr="00A56B73" w:rsidRDefault="00A56B73" w:rsidP="00A56B73">
            <w:pPr>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 </w:t>
            </w:r>
          </w:p>
        </w:tc>
        <w:tc>
          <w:tcPr>
            <w:tcW w:w="1159" w:type="dxa"/>
            <w:tcBorders>
              <w:top w:val="nil"/>
              <w:left w:val="single" w:sz="4" w:space="0" w:color="auto"/>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c>
          <w:tcPr>
            <w:tcW w:w="993"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c>
          <w:tcPr>
            <w:tcW w:w="1015" w:type="dxa"/>
            <w:tcBorders>
              <w:top w:val="nil"/>
              <w:left w:val="nil"/>
              <w:bottom w:val="single" w:sz="4" w:space="0" w:color="auto"/>
              <w:right w:val="single" w:sz="4" w:space="0" w:color="auto"/>
            </w:tcBorders>
            <w:shd w:val="clear" w:color="000000" w:fill="E4DFEC"/>
            <w:noWrap/>
            <w:vAlign w:val="bottom"/>
            <w:hideMark/>
          </w:tcPr>
          <w:p w:rsidR="00A56B73" w:rsidRPr="00A56B73" w:rsidRDefault="00A56B73" w:rsidP="00A56B73">
            <w:pPr>
              <w:jc w:val="right"/>
              <w:rPr>
                <w:rFonts w:ascii="Calibri" w:eastAsia="Times New Roman" w:hAnsi="Calibri"/>
                <w:color w:val="000000"/>
                <w:sz w:val="16"/>
                <w:szCs w:val="18"/>
                <w:lang w:val="en-GB" w:eastAsia="en-GB"/>
              </w:rPr>
            </w:pPr>
            <w:r w:rsidRPr="00A56B73">
              <w:rPr>
                <w:rFonts w:ascii="Calibri" w:eastAsia="Times New Roman" w:hAnsi="Calibri"/>
                <w:color w:val="000000"/>
                <w:sz w:val="16"/>
                <w:szCs w:val="18"/>
                <w:lang w:val="en-GB" w:eastAsia="en-GB"/>
              </w:rPr>
              <w:t>3%</w:t>
            </w:r>
          </w:p>
        </w:tc>
      </w:tr>
    </w:tbl>
    <w:p w:rsidR="00D2130B" w:rsidRPr="00D2130B" w:rsidRDefault="00D2130B" w:rsidP="002D6888">
      <w:pPr>
        <w:rPr>
          <w:rFonts w:asciiTheme="minorHAnsi" w:hAnsiTheme="minorHAnsi" w:cs="Calibri"/>
          <w:b/>
          <w:lang w:val="en-GB"/>
        </w:rPr>
      </w:pPr>
    </w:p>
    <w:p w:rsidR="00D2130B" w:rsidRDefault="00D2130B" w:rsidP="002D6888">
      <w:pPr>
        <w:rPr>
          <w:rFonts w:asciiTheme="minorHAnsi" w:hAnsiTheme="minorHAnsi" w:cs="Calibri"/>
          <w:b/>
        </w:rPr>
      </w:pPr>
    </w:p>
    <w:p w:rsidR="00C01945" w:rsidRDefault="00C01945" w:rsidP="002D6888">
      <w:pPr>
        <w:rPr>
          <w:rFonts w:asciiTheme="minorHAnsi" w:hAnsiTheme="minorHAnsi" w:cs="Calibri"/>
          <w:b/>
        </w:rPr>
      </w:pPr>
      <w:r>
        <w:rPr>
          <w:rFonts w:asciiTheme="minorHAnsi" w:hAnsiTheme="minorHAnsi" w:cs="Calibri"/>
          <w:b/>
        </w:rPr>
        <w:lastRenderedPageBreak/>
        <w:t xml:space="preserve">Annex 3 </w:t>
      </w:r>
    </w:p>
    <w:p w:rsidR="00584EE3" w:rsidRDefault="00C01945" w:rsidP="002D6888">
      <w:pPr>
        <w:rPr>
          <w:rFonts w:asciiTheme="minorHAnsi" w:hAnsiTheme="minorHAnsi" w:cs="Calibri"/>
          <w:b/>
        </w:rPr>
      </w:pPr>
      <w:r>
        <w:rPr>
          <w:rFonts w:asciiTheme="minorHAnsi" w:hAnsiTheme="minorHAnsi" w:cs="Calibri"/>
          <w:b/>
        </w:rPr>
        <w:t>SC51-a</w:t>
      </w:r>
      <w:r w:rsidR="00584EE3">
        <w:rPr>
          <w:rFonts w:asciiTheme="minorHAnsi" w:hAnsiTheme="minorHAnsi" w:cs="Calibri"/>
          <w:b/>
        </w:rPr>
        <w:t xml:space="preserve">pproved 2016 </w:t>
      </w:r>
      <w:r w:rsidR="00011670">
        <w:rPr>
          <w:rFonts w:asciiTheme="minorHAnsi" w:hAnsiTheme="minorHAnsi" w:cs="Calibri"/>
          <w:b/>
        </w:rPr>
        <w:t>b</w:t>
      </w:r>
      <w:r w:rsidR="00584EE3">
        <w:rPr>
          <w:rFonts w:asciiTheme="minorHAnsi" w:hAnsiTheme="minorHAnsi" w:cs="Calibri"/>
          <w:b/>
        </w:rPr>
        <w:t>udget, CHF 000s</w:t>
      </w:r>
    </w:p>
    <w:p w:rsidR="00584EE3" w:rsidRDefault="00584EE3" w:rsidP="002D6888">
      <w:pPr>
        <w:rPr>
          <w:rFonts w:asciiTheme="minorHAnsi" w:hAnsiTheme="minorHAnsi" w:cs="Calibri"/>
          <w:b/>
        </w:rPr>
      </w:pPr>
    </w:p>
    <w:tbl>
      <w:tblPr>
        <w:tblW w:w="6536" w:type="dxa"/>
        <w:tblInd w:w="93" w:type="dxa"/>
        <w:tblLook w:val="04A0" w:firstRow="1" w:lastRow="0" w:firstColumn="1" w:lastColumn="0" w:noHBand="0" w:noVBand="1"/>
      </w:tblPr>
      <w:tblGrid>
        <w:gridCol w:w="5489"/>
        <w:gridCol w:w="1047"/>
      </w:tblGrid>
      <w:tr w:rsidR="00584EE3" w:rsidRPr="00584EE3" w:rsidTr="00812E6B">
        <w:trPr>
          <w:trHeight w:val="229"/>
        </w:trPr>
        <w:tc>
          <w:tcPr>
            <w:tcW w:w="548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584EE3" w:rsidRPr="00584EE3" w:rsidRDefault="00584EE3" w:rsidP="00584EE3">
            <w:pPr>
              <w:rPr>
                <w:rFonts w:ascii="Arial" w:eastAsia="Times New Roman" w:hAnsi="Arial" w:cs="Arial"/>
                <w:b/>
                <w:bCs/>
                <w:color w:val="000000"/>
                <w:sz w:val="16"/>
                <w:lang w:val="en-GB" w:eastAsia="en-GB"/>
              </w:rPr>
            </w:pPr>
            <w:r w:rsidRPr="00584EE3">
              <w:rPr>
                <w:rFonts w:ascii="Arial" w:eastAsia="Times New Roman" w:hAnsi="Arial" w:cs="Arial"/>
                <w:b/>
                <w:bCs/>
                <w:color w:val="000000"/>
                <w:sz w:val="16"/>
                <w:lang w:val="en-GB" w:eastAsia="en-GB"/>
              </w:rPr>
              <w:t>INCOME</w:t>
            </w:r>
          </w:p>
        </w:tc>
        <w:tc>
          <w:tcPr>
            <w:tcW w:w="1047"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color w:val="000000"/>
                <w:sz w:val="16"/>
                <w:szCs w:val="22"/>
                <w:lang w:val="en-GB" w:eastAsia="en-GB"/>
              </w:rPr>
              <w:t>CHF ‘000s</w:t>
            </w:r>
            <w:r w:rsidRPr="00584EE3">
              <w:rPr>
                <w:rFonts w:ascii="Arial" w:eastAsia="Times New Roman" w:hAnsi="Arial" w:cs="Arial"/>
                <w:b/>
                <w:bCs/>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Parties’ Contributions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3,779</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Voluntary contributions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1,065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Income Tax</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225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Income Interest</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12</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lang w:val="en-GB" w:eastAsia="en-GB"/>
              </w:rPr>
            </w:pPr>
            <w:r w:rsidRPr="00584EE3">
              <w:rPr>
                <w:rFonts w:ascii="Arial" w:eastAsia="Times New Roman" w:hAnsi="Arial" w:cs="Arial"/>
                <w:b/>
                <w:bCs/>
                <w:color w:val="000000"/>
                <w:sz w:val="16"/>
                <w:lang w:val="en-GB" w:eastAsia="en-GB"/>
              </w:rPr>
              <w:t>TOTAL INCOME</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5,081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b/>
                <w:bCs/>
                <w:color w:val="000000"/>
                <w:sz w:val="16"/>
                <w:lang w:val="en-GB" w:eastAsia="en-GB"/>
              </w:rPr>
            </w:pPr>
            <w:r w:rsidRPr="00584EE3">
              <w:rPr>
                <w:rFonts w:ascii="Arial" w:eastAsia="Times New Roman" w:hAnsi="Arial" w:cs="Arial"/>
                <w:b/>
                <w:bCs/>
                <w:color w:val="000000"/>
                <w:sz w:val="16"/>
                <w:lang w:val="en-GB" w:eastAsia="en-GB"/>
              </w:rPr>
              <w:t>EXPENDITURES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A.  Secretariat Senior Management</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605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554</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Other employment benefits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26</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25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B.  Partnership Coordinator</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64</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47</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Other employment benefits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17</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C.  Regional Advice and Support</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1,342</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1,201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Other employment benefits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56</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85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Ramsar Advisory Missions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D.  Support to Regional Initiatives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120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Regional networks and centers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120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E.  Scientific and Technical Services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212</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110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Other employment benefits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2</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STRP implementation</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40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STRP meetings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F.  Communications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569</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434</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CEPA Program</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30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Comms, Translations, Publications and Reporting Implementation</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100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G.  Administration/RSIS/Web</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981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Salaries and social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629</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Other employment benefits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Staff hiring and departure costs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120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Travel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Ramsar Sites Information Service (</w:t>
            </w:r>
            <w:r w:rsidR="00450ADD" w:rsidRPr="00584EE3">
              <w:rPr>
                <w:rFonts w:ascii="Arial" w:eastAsia="Times New Roman" w:hAnsi="Arial" w:cs="Arial"/>
                <w:color w:val="000000"/>
                <w:sz w:val="16"/>
                <w:szCs w:val="22"/>
                <w:lang w:val="en-GB" w:eastAsia="en-GB"/>
              </w:rPr>
              <w:t>maintenance</w:t>
            </w:r>
            <w:r w:rsidRPr="00584EE3">
              <w:rPr>
                <w:rFonts w:ascii="Arial" w:eastAsia="Times New Roman" w:hAnsi="Arial" w:cs="Arial"/>
                <w:color w:val="000000"/>
                <w:sz w:val="16"/>
                <w:szCs w:val="22"/>
                <w:lang w:val="en-GB" w:eastAsia="en-GB"/>
              </w:rPr>
              <w:t xml:space="preserve"> and develop)</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117</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Web/IT support and Development</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100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H.  Operating Costs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95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General</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80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Equipment/Office Supplies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I. Standing Committee Services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165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Standing Committee delegates’ support</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Standing Committee meetings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15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SC translation</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60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Simultaneous interpretation at SC meetings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40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J.  IUCN Administrative Service Charges (maximum)</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540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Administration, Human Resources, Finance &amp; IT services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540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K.  Miscellaneous - Reserve Fund</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388</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Reserve Fund</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278</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Staff termination &amp; repatriation provisions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Provisions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50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Legal Services</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60</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TOTAL EXPENDITURES</w:t>
            </w:r>
          </w:p>
        </w:tc>
        <w:tc>
          <w:tcPr>
            <w:tcW w:w="1047" w:type="dxa"/>
            <w:tcBorders>
              <w:top w:val="nil"/>
              <w:left w:val="nil"/>
              <w:bottom w:val="double" w:sz="6"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5,081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lang w:val="en-GB" w:eastAsia="en-GB"/>
              </w:rPr>
            </w:pPr>
            <w:r w:rsidRPr="00584EE3">
              <w:rPr>
                <w:rFonts w:ascii="Arial" w:eastAsia="Times New Roman" w:hAnsi="Arial" w:cs="Arial"/>
                <w:color w:val="000000"/>
                <w:sz w:val="16"/>
                <w:lang w:val="en-GB" w:eastAsia="en-GB"/>
              </w:rPr>
              <w:t> </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 </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 xml:space="preserve">TOTAL SALARY COSTS – staff salaries and related costs </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3,081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lang w:val="en-GB" w:eastAsia="en-GB"/>
              </w:rPr>
            </w:pPr>
            <w:r w:rsidRPr="00584EE3">
              <w:rPr>
                <w:rFonts w:ascii="Arial" w:eastAsia="Times New Roman" w:hAnsi="Arial" w:cs="Arial"/>
                <w:color w:val="000000"/>
                <w:sz w:val="16"/>
                <w:lang w:val="en-GB" w:eastAsia="en-GB"/>
              </w:rPr>
              <w:t> </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61%</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rsidR="00584EE3" w:rsidRPr="00584EE3" w:rsidRDefault="00584EE3" w:rsidP="00584EE3">
            <w:pPr>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TOTAL TRAVEL COSTS</w:t>
            </w:r>
          </w:p>
        </w:tc>
        <w:tc>
          <w:tcPr>
            <w:tcW w:w="1047" w:type="dxa"/>
            <w:tcBorders>
              <w:top w:val="nil"/>
              <w:left w:val="nil"/>
              <w:bottom w:val="single" w:sz="4" w:space="0" w:color="auto"/>
              <w:right w:val="single" w:sz="4" w:space="0" w:color="auto"/>
            </w:tcBorders>
            <w:shd w:val="clear" w:color="000000" w:fill="C4D79B"/>
            <w:noWrap/>
            <w:vAlign w:val="bottom"/>
            <w:hideMark/>
          </w:tcPr>
          <w:p w:rsidR="00584EE3" w:rsidRPr="00584EE3" w:rsidRDefault="00584EE3" w:rsidP="00584EE3">
            <w:pPr>
              <w:jc w:val="right"/>
              <w:rPr>
                <w:rFonts w:ascii="Arial" w:eastAsia="Times New Roman" w:hAnsi="Arial" w:cs="Arial"/>
                <w:b/>
                <w:bCs/>
                <w:color w:val="000000"/>
                <w:sz w:val="16"/>
                <w:szCs w:val="22"/>
                <w:lang w:val="en-GB" w:eastAsia="en-GB"/>
              </w:rPr>
            </w:pPr>
            <w:r w:rsidRPr="00584EE3">
              <w:rPr>
                <w:rFonts w:ascii="Arial" w:eastAsia="Times New Roman" w:hAnsi="Arial" w:cs="Arial"/>
                <w:b/>
                <w:bCs/>
                <w:color w:val="000000"/>
                <w:sz w:val="16"/>
                <w:szCs w:val="22"/>
                <w:lang w:val="en-GB" w:eastAsia="en-GB"/>
              </w:rPr>
              <w:t>135</w:t>
            </w:r>
          </w:p>
        </w:tc>
      </w:tr>
      <w:tr w:rsidR="00584EE3" w:rsidRPr="00584EE3" w:rsidTr="00812E6B">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rsidR="00584EE3" w:rsidRPr="00584EE3" w:rsidRDefault="00584EE3" w:rsidP="00584EE3">
            <w:pPr>
              <w:rPr>
                <w:rFonts w:ascii="Arial" w:eastAsia="Times New Roman" w:hAnsi="Arial" w:cs="Arial"/>
                <w:color w:val="000000"/>
                <w:sz w:val="16"/>
                <w:lang w:val="en-GB" w:eastAsia="en-GB"/>
              </w:rPr>
            </w:pPr>
            <w:r w:rsidRPr="00584EE3">
              <w:rPr>
                <w:rFonts w:ascii="Arial" w:eastAsia="Times New Roman" w:hAnsi="Arial" w:cs="Arial"/>
                <w:color w:val="000000"/>
                <w:sz w:val="16"/>
                <w:lang w:val="en-GB" w:eastAsia="en-GB"/>
              </w:rPr>
              <w:t> </w:t>
            </w:r>
          </w:p>
        </w:tc>
        <w:tc>
          <w:tcPr>
            <w:tcW w:w="1047" w:type="dxa"/>
            <w:tcBorders>
              <w:top w:val="nil"/>
              <w:left w:val="nil"/>
              <w:bottom w:val="single" w:sz="4" w:space="0" w:color="auto"/>
              <w:right w:val="single" w:sz="4" w:space="0" w:color="auto"/>
            </w:tcBorders>
            <w:shd w:val="clear" w:color="auto" w:fill="auto"/>
            <w:noWrap/>
            <w:vAlign w:val="bottom"/>
            <w:hideMark/>
          </w:tcPr>
          <w:p w:rsidR="00584EE3" w:rsidRPr="00584EE3" w:rsidRDefault="00584EE3" w:rsidP="00584EE3">
            <w:pPr>
              <w:jc w:val="right"/>
              <w:rPr>
                <w:rFonts w:ascii="Arial" w:eastAsia="Times New Roman" w:hAnsi="Arial" w:cs="Arial"/>
                <w:color w:val="000000"/>
                <w:sz w:val="16"/>
                <w:szCs w:val="22"/>
                <w:lang w:val="en-GB" w:eastAsia="en-GB"/>
              </w:rPr>
            </w:pPr>
            <w:r w:rsidRPr="00584EE3">
              <w:rPr>
                <w:rFonts w:ascii="Arial" w:eastAsia="Times New Roman" w:hAnsi="Arial" w:cs="Arial"/>
                <w:color w:val="000000"/>
                <w:sz w:val="16"/>
                <w:szCs w:val="22"/>
                <w:lang w:val="en-GB" w:eastAsia="en-GB"/>
              </w:rPr>
              <w:t>3%</w:t>
            </w:r>
          </w:p>
        </w:tc>
      </w:tr>
    </w:tbl>
    <w:p w:rsidR="00584EE3" w:rsidRDefault="00584EE3" w:rsidP="002D6888">
      <w:pPr>
        <w:rPr>
          <w:rFonts w:asciiTheme="minorHAnsi" w:hAnsiTheme="minorHAnsi" w:cs="Calibri"/>
          <w:b/>
        </w:rPr>
      </w:pPr>
    </w:p>
    <w:p w:rsidR="00584EE3" w:rsidRDefault="00584EE3" w:rsidP="002D6888">
      <w:pPr>
        <w:rPr>
          <w:rFonts w:asciiTheme="minorHAnsi" w:hAnsiTheme="minorHAnsi" w:cs="Calibri"/>
          <w:b/>
        </w:rPr>
      </w:pPr>
    </w:p>
    <w:p w:rsidR="000069E0" w:rsidRPr="003A25EC" w:rsidRDefault="00D67AA9" w:rsidP="002D6888">
      <w:pPr>
        <w:rPr>
          <w:rFonts w:asciiTheme="minorHAnsi" w:hAnsiTheme="minorHAnsi" w:cs="Calibri"/>
          <w:b/>
        </w:rPr>
      </w:pPr>
      <w:r>
        <w:rPr>
          <w:rFonts w:asciiTheme="minorHAnsi" w:hAnsiTheme="minorHAnsi" w:cs="Calibri"/>
          <w:b/>
        </w:rPr>
        <w:t xml:space="preserve">Annex </w:t>
      </w:r>
      <w:r w:rsidR="00584EE3">
        <w:rPr>
          <w:rFonts w:asciiTheme="minorHAnsi" w:hAnsiTheme="minorHAnsi" w:cs="Calibri"/>
          <w:b/>
        </w:rPr>
        <w:t>4</w:t>
      </w:r>
    </w:p>
    <w:p w:rsidR="00A135F5" w:rsidRPr="00C01945" w:rsidRDefault="00A135F5" w:rsidP="00A135F5">
      <w:pPr>
        <w:ind w:left="567" w:hanging="567"/>
        <w:rPr>
          <w:rFonts w:asciiTheme="minorHAnsi" w:hAnsiTheme="minorHAnsi"/>
          <w:b/>
        </w:rPr>
      </w:pPr>
      <w:r w:rsidRPr="00C01945">
        <w:rPr>
          <w:rFonts w:asciiTheme="minorHAnsi" w:hAnsiTheme="minorHAnsi"/>
          <w:b/>
          <w:bCs/>
        </w:rPr>
        <w:t>2013-2015 budgeted non-</w:t>
      </w:r>
      <w:r w:rsidR="00353ECB" w:rsidRPr="00C01945">
        <w:rPr>
          <w:rFonts w:asciiTheme="minorHAnsi" w:hAnsiTheme="minorHAnsi"/>
          <w:b/>
          <w:bCs/>
        </w:rPr>
        <w:t>c</w:t>
      </w:r>
      <w:r w:rsidRPr="00C01945">
        <w:rPr>
          <w:rFonts w:asciiTheme="minorHAnsi" w:hAnsiTheme="minorHAnsi"/>
          <w:b/>
          <w:bCs/>
        </w:rPr>
        <w:t>ore expenditures</w:t>
      </w:r>
      <w:r w:rsidR="00102FC1" w:rsidRPr="00C01945">
        <w:rPr>
          <w:rFonts w:asciiTheme="minorHAnsi" w:hAnsiTheme="minorHAnsi"/>
          <w:b/>
          <w:bCs/>
        </w:rPr>
        <w:t xml:space="preserve"> (from Annex III</w:t>
      </w:r>
      <w:r w:rsidR="00842399" w:rsidRPr="00C01945">
        <w:rPr>
          <w:rFonts w:asciiTheme="minorHAnsi" w:hAnsiTheme="minorHAnsi"/>
          <w:b/>
          <w:bCs/>
        </w:rPr>
        <w:t xml:space="preserve"> of Resolution</w:t>
      </w:r>
      <w:r w:rsidR="009C5E7D" w:rsidRPr="00C01945">
        <w:rPr>
          <w:rFonts w:asciiTheme="minorHAnsi" w:hAnsiTheme="minorHAnsi"/>
          <w:b/>
          <w:bCs/>
        </w:rPr>
        <w:t xml:space="preserve"> </w:t>
      </w:r>
      <w:r w:rsidR="00297915">
        <w:rPr>
          <w:rFonts w:asciiTheme="minorHAnsi" w:hAnsiTheme="minorHAnsi"/>
          <w:b/>
          <w:bCs/>
        </w:rPr>
        <w:t>XI.2)</w:t>
      </w:r>
    </w:p>
    <w:p w:rsidR="00A135F5" w:rsidRDefault="00A135F5" w:rsidP="00A135F5">
      <w:r>
        <w:t> </w:t>
      </w:r>
    </w:p>
    <w:tbl>
      <w:tblPr>
        <w:tblW w:w="9214" w:type="dxa"/>
        <w:tblLayout w:type="fixed"/>
        <w:tblCellMar>
          <w:left w:w="0" w:type="dxa"/>
          <w:right w:w="0" w:type="dxa"/>
        </w:tblCellMar>
        <w:tblLook w:val="04A0" w:firstRow="1" w:lastRow="0" w:firstColumn="1" w:lastColumn="0" w:noHBand="0" w:noVBand="1"/>
      </w:tblPr>
      <w:tblGrid>
        <w:gridCol w:w="6521"/>
        <w:gridCol w:w="1346"/>
        <w:gridCol w:w="1347"/>
      </w:tblGrid>
      <w:tr w:rsidR="00A135F5" w:rsidTr="003A25EC">
        <w:tc>
          <w:tcPr>
            <w:tcW w:w="6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3A25EC">
            <w:pPr>
              <w:pStyle w:val="MGfulltext"/>
              <w:spacing w:after="0"/>
              <w:ind w:left="284" w:right="-106" w:hanging="142"/>
              <w:rPr>
                <w:rFonts w:asciiTheme="minorHAnsi" w:eastAsia="Times New Roman" w:hAnsiTheme="minorHAnsi"/>
                <w:lang w:eastAsia="en-US"/>
              </w:rPr>
            </w:pPr>
            <w:r>
              <w:rPr>
                <w:color w:val="1F497D"/>
              </w:rPr>
              <w:t> </w:t>
            </w:r>
            <w:r w:rsidRPr="003A25EC">
              <w:rPr>
                <w:rFonts w:asciiTheme="minorHAnsi" w:hAnsiTheme="minorHAnsi"/>
              </w:rPr>
              <w:t> </w:t>
            </w:r>
          </w:p>
          <w:p w:rsidR="00A135F5" w:rsidRPr="003A25EC" w:rsidRDefault="00A135F5" w:rsidP="003A25EC">
            <w:pPr>
              <w:pStyle w:val="MGfulltext"/>
              <w:spacing w:after="0"/>
              <w:ind w:left="284" w:right="-106" w:hanging="142"/>
              <w:rPr>
                <w:rFonts w:asciiTheme="minorHAnsi" w:hAnsiTheme="minorHAnsi"/>
                <w:lang w:eastAsia="ja-JP"/>
              </w:rPr>
            </w:pPr>
            <w:r w:rsidRPr="003A25EC">
              <w:rPr>
                <w:rFonts w:asciiTheme="minorHAnsi" w:hAnsiTheme="minorHAnsi"/>
              </w:rPr>
              <w:t> </w:t>
            </w:r>
          </w:p>
        </w:tc>
        <w:tc>
          <w:tcPr>
            <w:tcW w:w="13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35F5" w:rsidRPr="003A25EC" w:rsidRDefault="00842399">
            <w:pPr>
              <w:rPr>
                <w:rFonts w:asciiTheme="minorHAnsi" w:eastAsia="MS PGothic" w:hAnsiTheme="minorHAnsi" w:cs="Calibri"/>
                <w:sz w:val="20"/>
                <w:szCs w:val="20"/>
                <w:lang w:eastAsia="ja-JP"/>
              </w:rPr>
            </w:pPr>
            <w:r>
              <w:rPr>
                <w:rFonts w:asciiTheme="minorHAnsi" w:hAnsiTheme="minorHAnsi"/>
                <w:sz w:val="20"/>
                <w:szCs w:val="20"/>
              </w:rPr>
              <w:t>Non-core</w:t>
            </w:r>
            <w:r w:rsidR="00A135F5" w:rsidRPr="003A25EC">
              <w:rPr>
                <w:rFonts w:asciiTheme="minorHAnsi" w:hAnsiTheme="minorHAnsi"/>
                <w:sz w:val="20"/>
                <w:szCs w:val="20"/>
              </w:rPr>
              <w:t xml:space="preserve"> budget item</w:t>
            </w:r>
          </w:p>
        </w:tc>
        <w:tc>
          <w:tcPr>
            <w:tcW w:w="13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Three year funding requirement</w:t>
            </w:r>
          </w:p>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CHF</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lang w:eastAsia="ja-JP"/>
              </w:rPr>
            </w:pPr>
            <w:r w:rsidRPr="003A25EC">
              <w:rPr>
                <w:rFonts w:asciiTheme="minorHAnsi" w:hAnsiTheme="minorHAnsi"/>
              </w:rPr>
              <w:t xml:space="preserve">Junior Partnership/fundraising officer to support the Partnership coordinator and build the unit. Could be JPO or other. </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B</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390,000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1 Regional Officer to support each of the 4 regional teams in the Secretariat, from 2014. Could be JPO.</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C</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1,174,000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Support to Regional Initiative Networks and Centres. Funding for the priority activities.</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D</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900,000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STRP programme of work for 2013-2015 (Strategy 1.1, 1.2, 1.4, 1.5, 1.6, 1.7, 1.9, 2.5, 3.1), including the Global Wetland Observing System (GWOS) project (but excluding the RSIS project in item 8 below)</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E</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1,905,000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Junior officer as webmaster/social media officer to strengthen the communications team</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F</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390,000</w:t>
            </w:r>
          </w:p>
        </w:tc>
      </w:tr>
      <w:tr w:rsidR="00A135F5" w:rsidTr="003A25EC">
        <w:trPr>
          <w:trHeight w:val="343"/>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 xml:space="preserve">IT Officer to, </w:t>
            </w:r>
            <w:r w:rsidRPr="00A80F86">
              <w:rPr>
                <w:rFonts w:asciiTheme="minorHAnsi" w:hAnsiTheme="minorHAnsi"/>
              </w:rPr>
              <w:t>inter alia</w:t>
            </w:r>
            <w:r w:rsidRPr="003A25EC">
              <w:rPr>
                <w:rFonts w:asciiTheme="minorHAnsi" w:hAnsiTheme="minorHAnsi"/>
              </w:rPr>
              <w:t>, drive upgrades in the website and documentation management software, allow for InforMEA participation and support other database management and upgrades. Also to oversee electronic RSIS and Ramsar Sites Database overhaul project</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G</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390,000</w:t>
            </w:r>
          </w:p>
        </w:tc>
      </w:tr>
      <w:tr w:rsidR="00A135F5" w:rsidTr="003A25EC">
        <w:trPr>
          <w:trHeight w:val="450"/>
        </w:trPr>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Interpretation for Standing Committee sub group meetings</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I</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75,000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Investment in Electronic RSIS submission and RIS database processes and software</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1</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400,000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World Wetlands Day (currently funded by Danone) at the current level, i.e., preparation and dissemination of products such as leaflets and posters and other CEPA materials for customization and promotion of WWD (Strategy 4.1)</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2</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300,000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Emergency Ramsar Advisory Missions for Parties unable to self-fund their missions (Strategy 2.4, 2.6)</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3</w:t>
            </w:r>
          </w:p>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 </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450,000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Delivery of one CEPA action planning workshop and oth</w:t>
            </w:r>
            <w:r w:rsidR="00353ECB">
              <w:rPr>
                <w:rFonts w:asciiTheme="minorHAnsi" w:hAnsiTheme="minorHAnsi"/>
              </w:rPr>
              <w:t>er CEPA actions to support the c</w:t>
            </w:r>
            <w:r w:rsidRPr="003A25EC">
              <w:rPr>
                <w:rFonts w:asciiTheme="minorHAnsi" w:hAnsiTheme="minorHAnsi"/>
              </w:rPr>
              <w:t>ore-funded CEPA activities (Strategy 4.1)</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4</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300,000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CHF 1 million per annum of resourcing for the Small Grants Fund and CHF 400,000 in other grant funding in order to keep the three current grant programmes operational. (Support to many 2009-2015 Strategies, including 1.3 and 5.1)</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5</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4,200,000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Annual regional meetings (technical), with enhanced funding in the pre-COP year to fund delegates and meeting costs for COP preparatory regional meetings</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6</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1,050,000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Sponsorship to bring eligible delegates to COP12 in 2015 (Strategy 3.3, 4.2)</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7</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1,200,000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A80F86">
            <w:pPr>
              <w:pStyle w:val="MGfulltext"/>
              <w:numPr>
                <w:ilvl w:val="0"/>
                <w:numId w:val="12"/>
              </w:numPr>
              <w:spacing w:after="0"/>
              <w:ind w:left="426" w:hanging="426"/>
              <w:rPr>
                <w:rFonts w:asciiTheme="minorHAnsi" w:hAnsiTheme="minorHAnsi"/>
              </w:rPr>
            </w:pPr>
            <w:r w:rsidRPr="003A25EC">
              <w:rPr>
                <w:rFonts w:asciiTheme="minorHAnsi" w:hAnsiTheme="minorHAnsi"/>
              </w:rPr>
              <w:t>2016-2021 visioning process and 2016-2021 Strategic Plan, with significant input from Contracting Parties and other relevant stakeholders for 2016-2021</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8</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250,000</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3A25EC">
            <w:pPr>
              <w:pStyle w:val="MGfulltext"/>
              <w:spacing w:after="0"/>
              <w:ind w:left="284" w:right="-106" w:hanging="142"/>
              <w:rPr>
                <w:rFonts w:asciiTheme="minorHAnsi" w:hAnsiTheme="minorHAnsi"/>
                <w:lang w:eastAsia="ja-JP"/>
              </w:rPr>
            </w:pPr>
            <w:r w:rsidRPr="003A25EC">
              <w:rPr>
                <w:rFonts w:asciiTheme="minorHAnsi" w:hAnsiTheme="minorHAnsi"/>
              </w:rPr>
              <w:t> </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 </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 </w:t>
            </w:r>
          </w:p>
        </w:tc>
      </w:tr>
      <w:tr w:rsidR="00A135F5" w:rsidTr="003A25EC">
        <w:tc>
          <w:tcPr>
            <w:tcW w:w="652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35F5" w:rsidRPr="003A25EC" w:rsidRDefault="00A135F5" w:rsidP="003A25EC">
            <w:pPr>
              <w:ind w:left="284" w:hanging="142"/>
              <w:rPr>
                <w:rFonts w:asciiTheme="minorHAnsi" w:eastAsia="MS PGothic" w:hAnsiTheme="minorHAnsi" w:cs="Calibri"/>
                <w:sz w:val="20"/>
                <w:szCs w:val="20"/>
                <w:lang w:eastAsia="ja-JP"/>
              </w:rPr>
            </w:pPr>
            <w:r w:rsidRPr="003A25EC">
              <w:rPr>
                <w:rFonts w:asciiTheme="minorHAnsi" w:hAnsiTheme="minorHAnsi"/>
                <w:sz w:val="20"/>
                <w:szCs w:val="20"/>
              </w:rPr>
              <w:t> </w:t>
            </w:r>
          </w:p>
        </w:tc>
        <w:tc>
          <w:tcPr>
            <w:tcW w:w="1346"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rPr>
                <w:rFonts w:asciiTheme="minorHAnsi" w:eastAsia="MS PGothic" w:hAnsiTheme="minorHAnsi" w:cs="Calibri"/>
                <w:sz w:val="20"/>
                <w:szCs w:val="20"/>
                <w:lang w:eastAsia="ja-JP"/>
              </w:rPr>
            </w:pPr>
            <w:r w:rsidRPr="003A25EC">
              <w:rPr>
                <w:rFonts w:asciiTheme="minorHAnsi" w:hAnsiTheme="minorHAnsi"/>
                <w:sz w:val="20"/>
                <w:szCs w:val="20"/>
              </w:rPr>
              <w:t>CHF</w:t>
            </w:r>
          </w:p>
        </w:tc>
        <w:tc>
          <w:tcPr>
            <w:tcW w:w="1347" w:type="dxa"/>
            <w:tcBorders>
              <w:top w:val="nil"/>
              <w:left w:val="nil"/>
              <w:bottom w:val="single" w:sz="8" w:space="0" w:color="000000"/>
              <w:right w:val="single" w:sz="8" w:space="0" w:color="000000"/>
            </w:tcBorders>
            <w:tcMar>
              <w:top w:w="0" w:type="dxa"/>
              <w:left w:w="108" w:type="dxa"/>
              <w:bottom w:w="0" w:type="dxa"/>
              <w:right w:w="108" w:type="dxa"/>
            </w:tcMar>
            <w:hideMark/>
          </w:tcPr>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13,374,000</w:t>
            </w:r>
          </w:p>
          <w:p w:rsidR="00A135F5" w:rsidRPr="003A25EC" w:rsidRDefault="00A135F5">
            <w:pPr>
              <w:jc w:val="right"/>
              <w:rPr>
                <w:rFonts w:asciiTheme="minorHAnsi" w:eastAsia="MS PGothic" w:hAnsiTheme="minorHAnsi" w:cs="Calibri"/>
                <w:sz w:val="20"/>
                <w:szCs w:val="20"/>
                <w:lang w:eastAsia="ja-JP"/>
              </w:rPr>
            </w:pPr>
            <w:r w:rsidRPr="003A25EC">
              <w:rPr>
                <w:rFonts w:asciiTheme="minorHAnsi" w:hAnsiTheme="minorHAnsi"/>
                <w:sz w:val="20"/>
                <w:szCs w:val="20"/>
              </w:rPr>
              <w:t> </w:t>
            </w:r>
          </w:p>
        </w:tc>
      </w:tr>
    </w:tbl>
    <w:p w:rsidR="00A135F5" w:rsidRDefault="00A135F5" w:rsidP="00A135F5">
      <w:pPr>
        <w:rPr>
          <w:rFonts w:ascii="Calibri" w:eastAsia="MS PGothic" w:hAnsi="Calibri" w:cs="Calibri"/>
          <w:sz w:val="22"/>
          <w:szCs w:val="22"/>
          <w:lang w:eastAsia="ja-JP"/>
        </w:rPr>
      </w:pPr>
      <w:r>
        <w:rPr>
          <w:color w:val="1F497D"/>
          <w:lang w:val="en-GB"/>
        </w:rPr>
        <w:t> </w:t>
      </w:r>
    </w:p>
    <w:p w:rsidR="00C4435F" w:rsidRDefault="00C4435F" w:rsidP="0044433D">
      <w:pPr>
        <w:rPr>
          <w:rFonts w:ascii="Calibri" w:hAnsi="Calibri" w:cs="Calibri"/>
          <w:b/>
          <w:sz w:val="26"/>
          <w:szCs w:val="26"/>
        </w:rPr>
      </w:pPr>
    </w:p>
    <w:sectPr w:rsidR="00C4435F" w:rsidSect="00DD5EE3">
      <w:footerReference w:type="default" r:id="rId13"/>
      <w:pgSz w:w="11907" w:h="16840" w:code="9"/>
      <w:pgMar w:top="993" w:right="1440" w:bottom="1440" w:left="1440"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45" w:rsidRDefault="00C01945">
      <w:r>
        <w:separator/>
      </w:r>
    </w:p>
  </w:endnote>
  <w:endnote w:type="continuationSeparator" w:id="0">
    <w:p w:rsidR="00C01945" w:rsidRDefault="00C0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945" w:rsidRPr="003A25EC" w:rsidRDefault="00C01945">
    <w:pPr>
      <w:pStyle w:val="Footer"/>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52</w:t>
    </w:r>
    <w:r w:rsidRPr="003A25EC">
      <w:rPr>
        <w:rFonts w:asciiTheme="minorHAnsi" w:hAnsiTheme="minorHAnsi"/>
        <w:sz w:val="20"/>
        <w:szCs w:val="20"/>
      </w:rPr>
      <w:t>-</w:t>
    </w:r>
    <w:r>
      <w:rPr>
        <w:rFonts w:asciiTheme="minorHAnsi" w:hAnsiTheme="minorHAnsi"/>
        <w:sz w:val="20"/>
        <w:szCs w:val="20"/>
      </w:rPr>
      <w:t>18 Rev.1</w:t>
    </w:r>
    <w:r w:rsidRPr="003A25EC">
      <w:rPr>
        <w:rFonts w:asciiTheme="minorHAnsi" w:hAnsiTheme="minorHAnsi"/>
        <w:sz w:val="20"/>
        <w:szCs w:val="20"/>
      </w:rPr>
      <w:tab/>
    </w:r>
    <w:r w:rsidRPr="003A25EC">
      <w:rPr>
        <w:rFonts w:asciiTheme="minorHAnsi" w:hAnsiTheme="minorHAnsi"/>
        <w:sz w:val="20"/>
        <w:szCs w:val="20"/>
      </w:rPr>
      <w:tab/>
    </w:r>
    <w:r w:rsidRPr="003A25EC">
      <w:rPr>
        <w:rFonts w:asciiTheme="minorHAnsi" w:hAnsiTheme="minorHAnsi"/>
        <w:sz w:val="20"/>
        <w:szCs w:val="20"/>
      </w:rPr>
      <w:fldChar w:fldCharType="begin"/>
    </w:r>
    <w:r w:rsidRPr="003A25EC">
      <w:rPr>
        <w:rFonts w:asciiTheme="minorHAnsi" w:hAnsiTheme="minorHAnsi"/>
        <w:sz w:val="20"/>
        <w:szCs w:val="20"/>
      </w:rPr>
      <w:instrText xml:space="preserve"> PAGE   \* MERGEFORMAT </w:instrText>
    </w:r>
    <w:r w:rsidRPr="003A25EC">
      <w:rPr>
        <w:rFonts w:asciiTheme="minorHAnsi" w:hAnsiTheme="minorHAnsi"/>
        <w:sz w:val="20"/>
        <w:szCs w:val="20"/>
      </w:rPr>
      <w:fldChar w:fldCharType="separate"/>
    </w:r>
    <w:r w:rsidR="00134002">
      <w:rPr>
        <w:rFonts w:asciiTheme="minorHAnsi" w:hAnsiTheme="minorHAnsi"/>
        <w:noProof/>
        <w:sz w:val="20"/>
        <w:szCs w:val="20"/>
      </w:rPr>
      <w:t>5</w:t>
    </w:r>
    <w:r w:rsidRPr="003A25EC">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45" w:rsidRDefault="00C01945">
      <w:r>
        <w:separator/>
      </w:r>
    </w:p>
  </w:footnote>
  <w:footnote w:type="continuationSeparator" w:id="0">
    <w:p w:rsidR="00C01945" w:rsidRDefault="00C01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E73D9D"/>
    <w:multiLevelType w:val="hybridMultilevel"/>
    <w:tmpl w:val="E4DC7C72"/>
    <w:lvl w:ilvl="0" w:tplc="04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C92944E">
      <w:start w:val="2014"/>
      <w:numFmt w:val="decimal"/>
      <w:lvlText w:val="%4"/>
      <w:lvlJc w:val="left"/>
      <w:pPr>
        <w:ind w:left="2864" w:hanging="42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17720A"/>
    <w:multiLevelType w:val="hybridMultilevel"/>
    <w:tmpl w:val="2362CE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319DB"/>
    <w:multiLevelType w:val="hybridMultilevel"/>
    <w:tmpl w:val="A38E067A"/>
    <w:lvl w:ilvl="0" w:tplc="AB00AD7A">
      <w:start w:val="1"/>
      <w:numFmt w:val="lowerRoman"/>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nsid w:val="71522428"/>
    <w:multiLevelType w:val="hybridMultilevel"/>
    <w:tmpl w:val="ABF8D5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15"/>
  </w:num>
  <w:num w:numId="6">
    <w:abstractNumId w:val="10"/>
  </w:num>
  <w:num w:numId="7">
    <w:abstractNumId w:val="3"/>
  </w:num>
  <w:num w:numId="8">
    <w:abstractNumId w:val="9"/>
  </w:num>
  <w:num w:numId="9">
    <w:abstractNumId w:val="1"/>
  </w:num>
  <w:num w:numId="10">
    <w:abstractNumId w:val="0"/>
  </w:num>
  <w:num w:numId="11">
    <w:abstractNumId w:val="5"/>
  </w:num>
  <w:num w:numId="12">
    <w:abstractNumId w:val="12"/>
  </w:num>
  <w:num w:numId="13">
    <w:abstractNumId w:val="2"/>
  </w:num>
  <w:num w:numId="14">
    <w:abstractNumId w:val="14"/>
  </w:num>
  <w:num w:numId="15">
    <w:abstractNumId w:val="11"/>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2D40"/>
    <w:rsid w:val="000069E0"/>
    <w:rsid w:val="0000744C"/>
    <w:rsid w:val="0001135A"/>
    <w:rsid w:val="00011670"/>
    <w:rsid w:val="00012537"/>
    <w:rsid w:val="00012828"/>
    <w:rsid w:val="0001420D"/>
    <w:rsid w:val="00015175"/>
    <w:rsid w:val="0001736C"/>
    <w:rsid w:val="00017FEC"/>
    <w:rsid w:val="000204FE"/>
    <w:rsid w:val="000211F3"/>
    <w:rsid w:val="00024785"/>
    <w:rsid w:val="00026108"/>
    <w:rsid w:val="0002611D"/>
    <w:rsid w:val="000265DF"/>
    <w:rsid w:val="00027190"/>
    <w:rsid w:val="00027C3D"/>
    <w:rsid w:val="000302DD"/>
    <w:rsid w:val="000303B9"/>
    <w:rsid w:val="00030BE3"/>
    <w:rsid w:val="00031725"/>
    <w:rsid w:val="00032B16"/>
    <w:rsid w:val="000331C5"/>
    <w:rsid w:val="00033217"/>
    <w:rsid w:val="000342B7"/>
    <w:rsid w:val="00036EAE"/>
    <w:rsid w:val="00040F55"/>
    <w:rsid w:val="0004138F"/>
    <w:rsid w:val="000414C7"/>
    <w:rsid w:val="00043345"/>
    <w:rsid w:val="00043D31"/>
    <w:rsid w:val="000442FE"/>
    <w:rsid w:val="00046784"/>
    <w:rsid w:val="000470AA"/>
    <w:rsid w:val="00047647"/>
    <w:rsid w:val="00047C59"/>
    <w:rsid w:val="00051B99"/>
    <w:rsid w:val="000528FA"/>
    <w:rsid w:val="000538AA"/>
    <w:rsid w:val="00054DA0"/>
    <w:rsid w:val="00062160"/>
    <w:rsid w:val="00063B3F"/>
    <w:rsid w:val="00064F37"/>
    <w:rsid w:val="000661D8"/>
    <w:rsid w:val="000674C5"/>
    <w:rsid w:val="00070241"/>
    <w:rsid w:val="000709C1"/>
    <w:rsid w:val="000739BA"/>
    <w:rsid w:val="00074D35"/>
    <w:rsid w:val="000755A6"/>
    <w:rsid w:val="00075CC3"/>
    <w:rsid w:val="000763D9"/>
    <w:rsid w:val="00077664"/>
    <w:rsid w:val="00077CD3"/>
    <w:rsid w:val="00083D79"/>
    <w:rsid w:val="00083F16"/>
    <w:rsid w:val="0008448B"/>
    <w:rsid w:val="00086D09"/>
    <w:rsid w:val="000876AD"/>
    <w:rsid w:val="0009101A"/>
    <w:rsid w:val="000917F6"/>
    <w:rsid w:val="00092F1E"/>
    <w:rsid w:val="00093118"/>
    <w:rsid w:val="00093EAD"/>
    <w:rsid w:val="0009664B"/>
    <w:rsid w:val="000A0953"/>
    <w:rsid w:val="000A2B7E"/>
    <w:rsid w:val="000A582B"/>
    <w:rsid w:val="000A7583"/>
    <w:rsid w:val="000B1686"/>
    <w:rsid w:val="000B301B"/>
    <w:rsid w:val="000B330F"/>
    <w:rsid w:val="000B4A7F"/>
    <w:rsid w:val="000B5AC4"/>
    <w:rsid w:val="000B7A27"/>
    <w:rsid w:val="000C0271"/>
    <w:rsid w:val="000C0ED3"/>
    <w:rsid w:val="000C1043"/>
    <w:rsid w:val="000C154E"/>
    <w:rsid w:val="000C1D2A"/>
    <w:rsid w:val="000C2055"/>
    <w:rsid w:val="000C2B05"/>
    <w:rsid w:val="000C488F"/>
    <w:rsid w:val="000C5AD0"/>
    <w:rsid w:val="000C6701"/>
    <w:rsid w:val="000D00AA"/>
    <w:rsid w:val="000D0B0F"/>
    <w:rsid w:val="000D2D66"/>
    <w:rsid w:val="000D7CF1"/>
    <w:rsid w:val="000D7D6D"/>
    <w:rsid w:val="000E0551"/>
    <w:rsid w:val="000E0C0D"/>
    <w:rsid w:val="000E650E"/>
    <w:rsid w:val="000E65CA"/>
    <w:rsid w:val="000E6D1F"/>
    <w:rsid w:val="000E7399"/>
    <w:rsid w:val="000E750C"/>
    <w:rsid w:val="000F02CD"/>
    <w:rsid w:val="000F045B"/>
    <w:rsid w:val="000F4158"/>
    <w:rsid w:val="000F608B"/>
    <w:rsid w:val="000F676C"/>
    <w:rsid w:val="000F6B82"/>
    <w:rsid w:val="000F7671"/>
    <w:rsid w:val="00101A5A"/>
    <w:rsid w:val="00102FC1"/>
    <w:rsid w:val="001074D5"/>
    <w:rsid w:val="00107792"/>
    <w:rsid w:val="00110D85"/>
    <w:rsid w:val="00111923"/>
    <w:rsid w:val="00112516"/>
    <w:rsid w:val="00112DF4"/>
    <w:rsid w:val="00113F9D"/>
    <w:rsid w:val="001161C4"/>
    <w:rsid w:val="00116AEA"/>
    <w:rsid w:val="00120CBE"/>
    <w:rsid w:val="0012137E"/>
    <w:rsid w:val="00121B06"/>
    <w:rsid w:val="00124EF4"/>
    <w:rsid w:val="00126B45"/>
    <w:rsid w:val="0012728F"/>
    <w:rsid w:val="00127C82"/>
    <w:rsid w:val="00131031"/>
    <w:rsid w:val="001331EB"/>
    <w:rsid w:val="00134002"/>
    <w:rsid w:val="00134599"/>
    <w:rsid w:val="00135B39"/>
    <w:rsid w:val="00136805"/>
    <w:rsid w:val="00137F31"/>
    <w:rsid w:val="0014079B"/>
    <w:rsid w:val="00141490"/>
    <w:rsid w:val="00141718"/>
    <w:rsid w:val="00141C37"/>
    <w:rsid w:val="00141FAF"/>
    <w:rsid w:val="00142317"/>
    <w:rsid w:val="00143507"/>
    <w:rsid w:val="00144E0A"/>
    <w:rsid w:val="00146DBD"/>
    <w:rsid w:val="001472A8"/>
    <w:rsid w:val="00147C7D"/>
    <w:rsid w:val="0015459C"/>
    <w:rsid w:val="00156778"/>
    <w:rsid w:val="00161AB9"/>
    <w:rsid w:val="00161CB8"/>
    <w:rsid w:val="00161D05"/>
    <w:rsid w:val="0016270D"/>
    <w:rsid w:val="00165955"/>
    <w:rsid w:val="00166322"/>
    <w:rsid w:val="00167059"/>
    <w:rsid w:val="001704C0"/>
    <w:rsid w:val="00171983"/>
    <w:rsid w:val="0017243B"/>
    <w:rsid w:val="00173006"/>
    <w:rsid w:val="0017328C"/>
    <w:rsid w:val="001734B2"/>
    <w:rsid w:val="00173B97"/>
    <w:rsid w:val="00174527"/>
    <w:rsid w:val="00174AFC"/>
    <w:rsid w:val="001778C4"/>
    <w:rsid w:val="001805A0"/>
    <w:rsid w:val="00181C11"/>
    <w:rsid w:val="00183630"/>
    <w:rsid w:val="00184A0A"/>
    <w:rsid w:val="00187B67"/>
    <w:rsid w:val="001911A5"/>
    <w:rsid w:val="00191760"/>
    <w:rsid w:val="00192290"/>
    <w:rsid w:val="00192AE5"/>
    <w:rsid w:val="001942CF"/>
    <w:rsid w:val="00196B36"/>
    <w:rsid w:val="001A1B45"/>
    <w:rsid w:val="001A226C"/>
    <w:rsid w:val="001A4CEC"/>
    <w:rsid w:val="001B0ECF"/>
    <w:rsid w:val="001B1A73"/>
    <w:rsid w:val="001B3677"/>
    <w:rsid w:val="001C005C"/>
    <w:rsid w:val="001C0854"/>
    <w:rsid w:val="001C1B96"/>
    <w:rsid w:val="001C2B94"/>
    <w:rsid w:val="001C2EA9"/>
    <w:rsid w:val="001C3A58"/>
    <w:rsid w:val="001C5192"/>
    <w:rsid w:val="001C5504"/>
    <w:rsid w:val="001C7F6C"/>
    <w:rsid w:val="001D1B0C"/>
    <w:rsid w:val="001D48D7"/>
    <w:rsid w:val="001D6BB5"/>
    <w:rsid w:val="001D7463"/>
    <w:rsid w:val="001D7666"/>
    <w:rsid w:val="001E26CB"/>
    <w:rsid w:val="001E2B38"/>
    <w:rsid w:val="001E2EC7"/>
    <w:rsid w:val="001E5DBE"/>
    <w:rsid w:val="001F0A9E"/>
    <w:rsid w:val="001F0DEF"/>
    <w:rsid w:val="001F1273"/>
    <w:rsid w:val="001F2842"/>
    <w:rsid w:val="001F3D66"/>
    <w:rsid w:val="001F40E1"/>
    <w:rsid w:val="001F6BDD"/>
    <w:rsid w:val="001F717F"/>
    <w:rsid w:val="001F7D0B"/>
    <w:rsid w:val="001F7EF9"/>
    <w:rsid w:val="00207B29"/>
    <w:rsid w:val="00211897"/>
    <w:rsid w:val="00211BF6"/>
    <w:rsid w:val="002155E2"/>
    <w:rsid w:val="0021794F"/>
    <w:rsid w:val="0022079A"/>
    <w:rsid w:val="00221239"/>
    <w:rsid w:val="00224108"/>
    <w:rsid w:val="0022565E"/>
    <w:rsid w:val="00226328"/>
    <w:rsid w:val="002268E8"/>
    <w:rsid w:val="002340A8"/>
    <w:rsid w:val="00234D98"/>
    <w:rsid w:val="002372B4"/>
    <w:rsid w:val="00237712"/>
    <w:rsid w:val="00241724"/>
    <w:rsid w:val="00241F7D"/>
    <w:rsid w:val="0024606D"/>
    <w:rsid w:val="002464F2"/>
    <w:rsid w:val="002466F5"/>
    <w:rsid w:val="00250633"/>
    <w:rsid w:val="0025063C"/>
    <w:rsid w:val="00250796"/>
    <w:rsid w:val="0025252F"/>
    <w:rsid w:val="00253966"/>
    <w:rsid w:val="00257138"/>
    <w:rsid w:val="00263953"/>
    <w:rsid w:val="00264C44"/>
    <w:rsid w:val="0026560A"/>
    <w:rsid w:val="00271D0E"/>
    <w:rsid w:val="00272633"/>
    <w:rsid w:val="00275C85"/>
    <w:rsid w:val="00276C10"/>
    <w:rsid w:val="00283A46"/>
    <w:rsid w:val="002928ED"/>
    <w:rsid w:val="00293670"/>
    <w:rsid w:val="00294CAC"/>
    <w:rsid w:val="00295095"/>
    <w:rsid w:val="00297427"/>
    <w:rsid w:val="00297915"/>
    <w:rsid w:val="002A4500"/>
    <w:rsid w:val="002A4581"/>
    <w:rsid w:val="002A50F3"/>
    <w:rsid w:val="002A6AC6"/>
    <w:rsid w:val="002A6B70"/>
    <w:rsid w:val="002B25E3"/>
    <w:rsid w:val="002B3403"/>
    <w:rsid w:val="002B491E"/>
    <w:rsid w:val="002B4BF2"/>
    <w:rsid w:val="002B5735"/>
    <w:rsid w:val="002B78A9"/>
    <w:rsid w:val="002C0090"/>
    <w:rsid w:val="002C0F8B"/>
    <w:rsid w:val="002C180A"/>
    <w:rsid w:val="002C58C3"/>
    <w:rsid w:val="002C69BF"/>
    <w:rsid w:val="002C7FA7"/>
    <w:rsid w:val="002D0871"/>
    <w:rsid w:val="002D0EA1"/>
    <w:rsid w:val="002D0F06"/>
    <w:rsid w:val="002D3049"/>
    <w:rsid w:val="002D6034"/>
    <w:rsid w:val="002D6888"/>
    <w:rsid w:val="002D76C0"/>
    <w:rsid w:val="002E152D"/>
    <w:rsid w:val="002E1B28"/>
    <w:rsid w:val="002E57AE"/>
    <w:rsid w:val="002E7954"/>
    <w:rsid w:val="002F0512"/>
    <w:rsid w:val="002F208E"/>
    <w:rsid w:val="002F381C"/>
    <w:rsid w:val="002F7D7B"/>
    <w:rsid w:val="003007B2"/>
    <w:rsid w:val="003007EE"/>
    <w:rsid w:val="00300F31"/>
    <w:rsid w:val="00302314"/>
    <w:rsid w:val="00302FD9"/>
    <w:rsid w:val="00306845"/>
    <w:rsid w:val="00306DB4"/>
    <w:rsid w:val="0030798A"/>
    <w:rsid w:val="003112A8"/>
    <w:rsid w:val="00313A78"/>
    <w:rsid w:val="00314B65"/>
    <w:rsid w:val="00314CBB"/>
    <w:rsid w:val="00315578"/>
    <w:rsid w:val="0031585B"/>
    <w:rsid w:val="00315B41"/>
    <w:rsid w:val="00320407"/>
    <w:rsid w:val="00321781"/>
    <w:rsid w:val="00322084"/>
    <w:rsid w:val="00322996"/>
    <w:rsid w:val="0032644F"/>
    <w:rsid w:val="00327E4E"/>
    <w:rsid w:val="0033113E"/>
    <w:rsid w:val="00331EB8"/>
    <w:rsid w:val="00332D36"/>
    <w:rsid w:val="003357A9"/>
    <w:rsid w:val="00342946"/>
    <w:rsid w:val="00342C63"/>
    <w:rsid w:val="00345053"/>
    <w:rsid w:val="003464B6"/>
    <w:rsid w:val="003505DE"/>
    <w:rsid w:val="00353ECB"/>
    <w:rsid w:val="0035655B"/>
    <w:rsid w:val="0036059A"/>
    <w:rsid w:val="00361FFD"/>
    <w:rsid w:val="0036661A"/>
    <w:rsid w:val="00366B57"/>
    <w:rsid w:val="0036720F"/>
    <w:rsid w:val="003709CC"/>
    <w:rsid w:val="0037146E"/>
    <w:rsid w:val="0037555D"/>
    <w:rsid w:val="0037674F"/>
    <w:rsid w:val="003777DE"/>
    <w:rsid w:val="00380039"/>
    <w:rsid w:val="003800FC"/>
    <w:rsid w:val="00380503"/>
    <w:rsid w:val="00383172"/>
    <w:rsid w:val="00385CA2"/>
    <w:rsid w:val="00386BBE"/>
    <w:rsid w:val="00387677"/>
    <w:rsid w:val="00390178"/>
    <w:rsid w:val="00390E5C"/>
    <w:rsid w:val="003914B6"/>
    <w:rsid w:val="003916FC"/>
    <w:rsid w:val="00392DA6"/>
    <w:rsid w:val="00394D25"/>
    <w:rsid w:val="00395DD1"/>
    <w:rsid w:val="003A1651"/>
    <w:rsid w:val="003A1E0A"/>
    <w:rsid w:val="003A25EC"/>
    <w:rsid w:val="003A361B"/>
    <w:rsid w:val="003A6FAE"/>
    <w:rsid w:val="003A7F44"/>
    <w:rsid w:val="003B0786"/>
    <w:rsid w:val="003B16DE"/>
    <w:rsid w:val="003B1AEA"/>
    <w:rsid w:val="003B396A"/>
    <w:rsid w:val="003B5DEF"/>
    <w:rsid w:val="003B7523"/>
    <w:rsid w:val="003C13D3"/>
    <w:rsid w:val="003C1D24"/>
    <w:rsid w:val="003C349D"/>
    <w:rsid w:val="003C371B"/>
    <w:rsid w:val="003C4198"/>
    <w:rsid w:val="003C6412"/>
    <w:rsid w:val="003C680B"/>
    <w:rsid w:val="003D1A74"/>
    <w:rsid w:val="003D402F"/>
    <w:rsid w:val="003E0E35"/>
    <w:rsid w:val="003E237D"/>
    <w:rsid w:val="003E25C0"/>
    <w:rsid w:val="003E41CB"/>
    <w:rsid w:val="003F01C9"/>
    <w:rsid w:val="003F0B30"/>
    <w:rsid w:val="003F1988"/>
    <w:rsid w:val="003F2534"/>
    <w:rsid w:val="004009E9"/>
    <w:rsid w:val="0040225B"/>
    <w:rsid w:val="0040442C"/>
    <w:rsid w:val="00404E09"/>
    <w:rsid w:val="0040715E"/>
    <w:rsid w:val="00411BB1"/>
    <w:rsid w:val="00414328"/>
    <w:rsid w:val="00414F10"/>
    <w:rsid w:val="00416DF3"/>
    <w:rsid w:val="00417672"/>
    <w:rsid w:val="00417A93"/>
    <w:rsid w:val="00421DDD"/>
    <w:rsid w:val="0042642D"/>
    <w:rsid w:val="00426866"/>
    <w:rsid w:val="00432445"/>
    <w:rsid w:val="004340A5"/>
    <w:rsid w:val="00436190"/>
    <w:rsid w:val="0044012B"/>
    <w:rsid w:val="004413AD"/>
    <w:rsid w:val="00441CF2"/>
    <w:rsid w:val="0044433D"/>
    <w:rsid w:val="00445578"/>
    <w:rsid w:val="0044625F"/>
    <w:rsid w:val="00450ADD"/>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5482"/>
    <w:rsid w:val="004721ED"/>
    <w:rsid w:val="004729B9"/>
    <w:rsid w:val="004732C1"/>
    <w:rsid w:val="00473B42"/>
    <w:rsid w:val="00480719"/>
    <w:rsid w:val="00480F48"/>
    <w:rsid w:val="004810F2"/>
    <w:rsid w:val="00483AB6"/>
    <w:rsid w:val="004848CF"/>
    <w:rsid w:val="00485139"/>
    <w:rsid w:val="00485219"/>
    <w:rsid w:val="004868DD"/>
    <w:rsid w:val="004908A3"/>
    <w:rsid w:val="0049618E"/>
    <w:rsid w:val="004966A1"/>
    <w:rsid w:val="004979EC"/>
    <w:rsid w:val="004A531A"/>
    <w:rsid w:val="004A551A"/>
    <w:rsid w:val="004A6723"/>
    <w:rsid w:val="004A6ABB"/>
    <w:rsid w:val="004A70CD"/>
    <w:rsid w:val="004A753B"/>
    <w:rsid w:val="004B246E"/>
    <w:rsid w:val="004B3903"/>
    <w:rsid w:val="004B5D6F"/>
    <w:rsid w:val="004C1CA2"/>
    <w:rsid w:val="004C54AC"/>
    <w:rsid w:val="004C629F"/>
    <w:rsid w:val="004D02D0"/>
    <w:rsid w:val="004D0BB4"/>
    <w:rsid w:val="004D1AED"/>
    <w:rsid w:val="004D335B"/>
    <w:rsid w:val="004D3472"/>
    <w:rsid w:val="004D746E"/>
    <w:rsid w:val="004E125F"/>
    <w:rsid w:val="004E1EF7"/>
    <w:rsid w:val="004E6693"/>
    <w:rsid w:val="004E7940"/>
    <w:rsid w:val="004E7ABB"/>
    <w:rsid w:val="004E7D07"/>
    <w:rsid w:val="004E7EAD"/>
    <w:rsid w:val="004F087A"/>
    <w:rsid w:val="004F0AD5"/>
    <w:rsid w:val="004F3121"/>
    <w:rsid w:val="004F3485"/>
    <w:rsid w:val="004F6CD7"/>
    <w:rsid w:val="004F70EF"/>
    <w:rsid w:val="004F7A87"/>
    <w:rsid w:val="00500792"/>
    <w:rsid w:val="00501B06"/>
    <w:rsid w:val="0050578F"/>
    <w:rsid w:val="00511AED"/>
    <w:rsid w:val="0051260E"/>
    <w:rsid w:val="00512A47"/>
    <w:rsid w:val="00513B77"/>
    <w:rsid w:val="00515D38"/>
    <w:rsid w:val="0051641E"/>
    <w:rsid w:val="0051655D"/>
    <w:rsid w:val="00521840"/>
    <w:rsid w:val="005244A4"/>
    <w:rsid w:val="00526A47"/>
    <w:rsid w:val="00527C60"/>
    <w:rsid w:val="00527DCC"/>
    <w:rsid w:val="00532E81"/>
    <w:rsid w:val="00533D9D"/>
    <w:rsid w:val="005363C2"/>
    <w:rsid w:val="00537103"/>
    <w:rsid w:val="00541A4F"/>
    <w:rsid w:val="005438A1"/>
    <w:rsid w:val="00547115"/>
    <w:rsid w:val="0055409F"/>
    <w:rsid w:val="005559AB"/>
    <w:rsid w:val="00560A8F"/>
    <w:rsid w:val="0056312E"/>
    <w:rsid w:val="00563486"/>
    <w:rsid w:val="00563B03"/>
    <w:rsid w:val="005650CB"/>
    <w:rsid w:val="00565391"/>
    <w:rsid w:val="0056687C"/>
    <w:rsid w:val="00566B37"/>
    <w:rsid w:val="005676AA"/>
    <w:rsid w:val="00567B3E"/>
    <w:rsid w:val="00571AE9"/>
    <w:rsid w:val="00571E47"/>
    <w:rsid w:val="005761AC"/>
    <w:rsid w:val="00581A1C"/>
    <w:rsid w:val="00581A67"/>
    <w:rsid w:val="00584E29"/>
    <w:rsid w:val="00584EE3"/>
    <w:rsid w:val="00586919"/>
    <w:rsid w:val="00592897"/>
    <w:rsid w:val="00596137"/>
    <w:rsid w:val="005975AB"/>
    <w:rsid w:val="005A0C49"/>
    <w:rsid w:val="005A1404"/>
    <w:rsid w:val="005A5036"/>
    <w:rsid w:val="005A731D"/>
    <w:rsid w:val="005A7505"/>
    <w:rsid w:val="005A7CD7"/>
    <w:rsid w:val="005B0C30"/>
    <w:rsid w:val="005B3BED"/>
    <w:rsid w:val="005B6670"/>
    <w:rsid w:val="005C0326"/>
    <w:rsid w:val="005C098C"/>
    <w:rsid w:val="005C0E05"/>
    <w:rsid w:val="005C35BE"/>
    <w:rsid w:val="005C689F"/>
    <w:rsid w:val="005D076B"/>
    <w:rsid w:val="005D0C79"/>
    <w:rsid w:val="005D36C6"/>
    <w:rsid w:val="005D3E21"/>
    <w:rsid w:val="005D46C3"/>
    <w:rsid w:val="005D58E2"/>
    <w:rsid w:val="005D7969"/>
    <w:rsid w:val="005E3E68"/>
    <w:rsid w:val="005E4084"/>
    <w:rsid w:val="005E4491"/>
    <w:rsid w:val="005F12E7"/>
    <w:rsid w:val="005F7929"/>
    <w:rsid w:val="006001D8"/>
    <w:rsid w:val="006011D5"/>
    <w:rsid w:val="00603096"/>
    <w:rsid w:val="00604851"/>
    <w:rsid w:val="00604E00"/>
    <w:rsid w:val="00605F53"/>
    <w:rsid w:val="00610EB4"/>
    <w:rsid w:val="006115F5"/>
    <w:rsid w:val="00612D5A"/>
    <w:rsid w:val="006146A9"/>
    <w:rsid w:val="00614AEB"/>
    <w:rsid w:val="00614DB4"/>
    <w:rsid w:val="00616294"/>
    <w:rsid w:val="00621364"/>
    <w:rsid w:val="00621600"/>
    <w:rsid w:val="00622897"/>
    <w:rsid w:val="00624FDE"/>
    <w:rsid w:val="00626641"/>
    <w:rsid w:val="00627B89"/>
    <w:rsid w:val="0063065A"/>
    <w:rsid w:val="0063105D"/>
    <w:rsid w:val="0063664B"/>
    <w:rsid w:val="006377DD"/>
    <w:rsid w:val="00640BA2"/>
    <w:rsid w:val="006427DC"/>
    <w:rsid w:val="006446C6"/>
    <w:rsid w:val="00645507"/>
    <w:rsid w:val="0064748F"/>
    <w:rsid w:val="006479AC"/>
    <w:rsid w:val="00647DF1"/>
    <w:rsid w:val="00651FEA"/>
    <w:rsid w:val="00652B6A"/>
    <w:rsid w:val="00655B39"/>
    <w:rsid w:val="006601F8"/>
    <w:rsid w:val="0066424E"/>
    <w:rsid w:val="0066468C"/>
    <w:rsid w:val="0066562F"/>
    <w:rsid w:val="006716D9"/>
    <w:rsid w:val="00671BBC"/>
    <w:rsid w:val="00672EEF"/>
    <w:rsid w:val="00673139"/>
    <w:rsid w:val="006733A4"/>
    <w:rsid w:val="00673514"/>
    <w:rsid w:val="00673834"/>
    <w:rsid w:val="00674391"/>
    <w:rsid w:val="006757DE"/>
    <w:rsid w:val="0067694B"/>
    <w:rsid w:val="006808C9"/>
    <w:rsid w:val="0068474C"/>
    <w:rsid w:val="00685128"/>
    <w:rsid w:val="00685D5C"/>
    <w:rsid w:val="00686584"/>
    <w:rsid w:val="00686BA4"/>
    <w:rsid w:val="006878BF"/>
    <w:rsid w:val="00691FCF"/>
    <w:rsid w:val="00695547"/>
    <w:rsid w:val="00695B85"/>
    <w:rsid w:val="006961AC"/>
    <w:rsid w:val="006967CF"/>
    <w:rsid w:val="00696DBE"/>
    <w:rsid w:val="006A215D"/>
    <w:rsid w:val="006A2460"/>
    <w:rsid w:val="006A2DCE"/>
    <w:rsid w:val="006A4196"/>
    <w:rsid w:val="006A6727"/>
    <w:rsid w:val="006A6A68"/>
    <w:rsid w:val="006A70BC"/>
    <w:rsid w:val="006B35FC"/>
    <w:rsid w:val="006B5DFC"/>
    <w:rsid w:val="006B6844"/>
    <w:rsid w:val="006B754C"/>
    <w:rsid w:val="006B7AA8"/>
    <w:rsid w:val="006B7F9F"/>
    <w:rsid w:val="006C1DD8"/>
    <w:rsid w:val="006C1DE7"/>
    <w:rsid w:val="006C2305"/>
    <w:rsid w:val="006C2598"/>
    <w:rsid w:val="006C2AF8"/>
    <w:rsid w:val="006C4DE9"/>
    <w:rsid w:val="006C58C9"/>
    <w:rsid w:val="006C7F4A"/>
    <w:rsid w:val="006D0786"/>
    <w:rsid w:val="006D127C"/>
    <w:rsid w:val="006D14EE"/>
    <w:rsid w:val="006D2E52"/>
    <w:rsid w:val="006D429C"/>
    <w:rsid w:val="006D4D06"/>
    <w:rsid w:val="006D65E9"/>
    <w:rsid w:val="006D6C5C"/>
    <w:rsid w:val="006E1099"/>
    <w:rsid w:val="006E1FDC"/>
    <w:rsid w:val="006E3D93"/>
    <w:rsid w:val="006F1F00"/>
    <w:rsid w:val="006F2240"/>
    <w:rsid w:val="006F4F21"/>
    <w:rsid w:val="00702061"/>
    <w:rsid w:val="00704839"/>
    <w:rsid w:val="00705583"/>
    <w:rsid w:val="00705A29"/>
    <w:rsid w:val="007074F3"/>
    <w:rsid w:val="00707BD2"/>
    <w:rsid w:val="00710B9B"/>
    <w:rsid w:val="00711958"/>
    <w:rsid w:val="007125C0"/>
    <w:rsid w:val="00712FA3"/>
    <w:rsid w:val="0071330E"/>
    <w:rsid w:val="00713A27"/>
    <w:rsid w:val="00713E17"/>
    <w:rsid w:val="00715639"/>
    <w:rsid w:val="00720716"/>
    <w:rsid w:val="00722A4C"/>
    <w:rsid w:val="00723E3F"/>
    <w:rsid w:val="00724819"/>
    <w:rsid w:val="0072564A"/>
    <w:rsid w:val="00726981"/>
    <w:rsid w:val="0072762F"/>
    <w:rsid w:val="00727664"/>
    <w:rsid w:val="00727F14"/>
    <w:rsid w:val="00732641"/>
    <w:rsid w:val="00733BBF"/>
    <w:rsid w:val="007344D7"/>
    <w:rsid w:val="00734816"/>
    <w:rsid w:val="00736A6C"/>
    <w:rsid w:val="00741175"/>
    <w:rsid w:val="00744BBE"/>
    <w:rsid w:val="0074590E"/>
    <w:rsid w:val="00745E7F"/>
    <w:rsid w:val="007508CF"/>
    <w:rsid w:val="007512B3"/>
    <w:rsid w:val="00752371"/>
    <w:rsid w:val="00752E21"/>
    <w:rsid w:val="00752FF3"/>
    <w:rsid w:val="00753C3E"/>
    <w:rsid w:val="00753DE0"/>
    <w:rsid w:val="007548FB"/>
    <w:rsid w:val="0075746B"/>
    <w:rsid w:val="0076149F"/>
    <w:rsid w:val="00761DF1"/>
    <w:rsid w:val="007625FF"/>
    <w:rsid w:val="007705EE"/>
    <w:rsid w:val="00770A5E"/>
    <w:rsid w:val="00770D8F"/>
    <w:rsid w:val="00774036"/>
    <w:rsid w:val="0077737B"/>
    <w:rsid w:val="0077738F"/>
    <w:rsid w:val="00777E45"/>
    <w:rsid w:val="00780865"/>
    <w:rsid w:val="00782ADA"/>
    <w:rsid w:val="00782CED"/>
    <w:rsid w:val="00784A2D"/>
    <w:rsid w:val="007858FA"/>
    <w:rsid w:val="00787BEC"/>
    <w:rsid w:val="00790566"/>
    <w:rsid w:val="007905FF"/>
    <w:rsid w:val="00790664"/>
    <w:rsid w:val="0079070A"/>
    <w:rsid w:val="007914B9"/>
    <w:rsid w:val="00791A68"/>
    <w:rsid w:val="0079327A"/>
    <w:rsid w:val="0079386E"/>
    <w:rsid w:val="007A1F3D"/>
    <w:rsid w:val="007A2CC1"/>
    <w:rsid w:val="007A37CE"/>
    <w:rsid w:val="007A46E5"/>
    <w:rsid w:val="007A486C"/>
    <w:rsid w:val="007A5332"/>
    <w:rsid w:val="007A6914"/>
    <w:rsid w:val="007A6C6B"/>
    <w:rsid w:val="007B2D89"/>
    <w:rsid w:val="007B5882"/>
    <w:rsid w:val="007B5D0D"/>
    <w:rsid w:val="007B616C"/>
    <w:rsid w:val="007B7DCA"/>
    <w:rsid w:val="007C021E"/>
    <w:rsid w:val="007C26EC"/>
    <w:rsid w:val="007C289E"/>
    <w:rsid w:val="007C50E4"/>
    <w:rsid w:val="007C5751"/>
    <w:rsid w:val="007C5BC5"/>
    <w:rsid w:val="007D216A"/>
    <w:rsid w:val="007D3429"/>
    <w:rsid w:val="007D6396"/>
    <w:rsid w:val="007E1345"/>
    <w:rsid w:val="007E1E5E"/>
    <w:rsid w:val="007E3F00"/>
    <w:rsid w:val="007E4224"/>
    <w:rsid w:val="007E618A"/>
    <w:rsid w:val="007E629A"/>
    <w:rsid w:val="007E6B05"/>
    <w:rsid w:val="007E7884"/>
    <w:rsid w:val="007F1735"/>
    <w:rsid w:val="007F2873"/>
    <w:rsid w:val="007F358E"/>
    <w:rsid w:val="007F37B6"/>
    <w:rsid w:val="007F6BFF"/>
    <w:rsid w:val="007F70CC"/>
    <w:rsid w:val="007F7CC8"/>
    <w:rsid w:val="00804D90"/>
    <w:rsid w:val="0080525E"/>
    <w:rsid w:val="00812529"/>
    <w:rsid w:val="008129DE"/>
    <w:rsid w:val="00812E6B"/>
    <w:rsid w:val="00812F67"/>
    <w:rsid w:val="00813315"/>
    <w:rsid w:val="00814B04"/>
    <w:rsid w:val="008163B6"/>
    <w:rsid w:val="008205D1"/>
    <w:rsid w:val="00820BA7"/>
    <w:rsid w:val="00821216"/>
    <w:rsid w:val="008215B2"/>
    <w:rsid w:val="0082316D"/>
    <w:rsid w:val="008236DA"/>
    <w:rsid w:val="00824F2C"/>
    <w:rsid w:val="0082548D"/>
    <w:rsid w:val="00825AAA"/>
    <w:rsid w:val="00831616"/>
    <w:rsid w:val="00832B34"/>
    <w:rsid w:val="00835970"/>
    <w:rsid w:val="008365D7"/>
    <w:rsid w:val="00836FFA"/>
    <w:rsid w:val="00840047"/>
    <w:rsid w:val="0084108C"/>
    <w:rsid w:val="0084197D"/>
    <w:rsid w:val="00842399"/>
    <w:rsid w:val="00843DCF"/>
    <w:rsid w:val="008440BE"/>
    <w:rsid w:val="0085129D"/>
    <w:rsid w:val="00851AF3"/>
    <w:rsid w:val="00852AD9"/>
    <w:rsid w:val="008532A7"/>
    <w:rsid w:val="0085609A"/>
    <w:rsid w:val="00856F5A"/>
    <w:rsid w:val="00861A80"/>
    <w:rsid w:val="00861AA2"/>
    <w:rsid w:val="00863A79"/>
    <w:rsid w:val="00863AEC"/>
    <w:rsid w:val="008653B5"/>
    <w:rsid w:val="0086543D"/>
    <w:rsid w:val="008658E5"/>
    <w:rsid w:val="00866232"/>
    <w:rsid w:val="00866F1D"/>
    <w:rsid w:val="008705D6"/>
    <w:rsid w:val="008721F6"/>
    <w:rsid w:val="0087272B"/>
    <w:rsid w:val="00872B75"/>
    <w:rsid w:val="00873D51"/>
    <w:rsid w:val="00874D36"/>
    <w:rsid w:val="008753CD"/>
    <w:rsid w:val="008765E9"/>
    <w:rsid w:val="0087775E"/>
    <w:rsid w:val="008824C9"/>
    <w:rsid w:val="00883322"/>
    <w:rsid w:val="008845E9"/>
    <w:rsid w:val="00884B74"/>
    <w:rsid w:val="0088687B"/>
    <w:rsid w:val="008869EC"/>
    <w:rsid w:val="008938BF"/>
    <w:rsid w:val="00893F55"/>
    <w:rsid w:val="008944FA"/>
    <w:rsid w:val="0089471A"/>
    <w:rsid w:val="008966E0"/>
    <w:rsid w:val="008977E6"/>
    <w:rsid w:val="00897C9F"/>
    <w:rsid w:val="00897EC0"/>
    <w:rsid w:val="008A1AE8"/>
    <w:rsid w:val="008A2AC9"/>
    <w:rsid w:val="008A3C22"/>
    <w:rsid w:val="008A3F44"/>
    <w:rsid w:val="008A77C9"/>
    <w:rsid w:val="008A77F1"/>
    <w:rsid w:val="008A7B60"/>
    <w:rsid w:val="008B0AE0"/>
    <w:rsid w:val="008B40E3"/>
    <w:rsid w:val="008B41B3"/>
    <w:rsid w:val="008B560E"/>
    <w:rsid w:val="008B6013"/>
    <w:rsid w:val="008C098D"/>
    <w:rsid w:val="008C1902"/>
    <w:rsid w:val="008C1BE1"/>
    <w:rsid w:val="008C458D"/>
    <w:rsid w:val="008C5D5F"/>
    <w:rsid w:val="008D4703"/>
    <w:rsid w:val="008D497C"/>
    <w:rsid w:val="008D6775"/>
    <w:rsid w:val="008E0508"/>
    <w:rsid w:val="008E101B"/>
    <w:rsid w:val="008E3238"/>
    <w:rsid w:val="008E3400"/>
    <w:rsid w:val="008E47A4"/>
    <w:rsid w:val="008E4EAF"/>
    <w:rsid w:val="008E59BC"/>
    <w:rsid w:val="008E7C71"/>
    <w:rsid w:val="008F166C"/>
    <w:rsid w:val="008F27D5"/>
    <w:rsid w:val="008F296F"/>
    <w:rsid w:val="008F3880"/>
    <w:rsid w:val="008F46AE"/>
    <w:rsid w:val="008F66BD"/>
    <w:rsid w:val="00900786"/>
    <w:rsid w:val="00903910"/>
    <w:rsid w:val="009061A5"/>
    <w:rsid w:val="0090652D"/>
    <w:rsid w:val="00906BF0"/>
    <w:rsid w:val="00910474"/>
    <w:rsid w:val="009108D9"/>
    <w:rsid w:val="00911718"/>
    <w:rsid w:val="00912433"/>
    <w:rsid w:val="00912CB8"/>
    <w:rsid w:val="00913CD1"/>
    <w:rsid w:val="0091433A"/>
    <w:rsid w:val="009144C0"/>
    <w:rsid w:val="00914637"/>
    <w:rsid w:val="009169C0"/>
    <w:rsid w:val="00920540"/>
    <w:rsid w:val="00923CE9"/>
    <w:rsid w:val="00924389"/>
    <w:rsid w:val="00925AB6"/>
    <w:rsid w:val="00927834"/>
    <w:rsid w:val="00930505"/>
    <w:rsid w:val="00933ECD"/>
    <w:rsid w:val="009342F7"/>
    <w:rsid w:val="00935361"/>
    <w:rsid w:val="00937ABD"/>
    <w:rsid w:val="009400D2"/>
    <w:rsid w:val="0094190E"/>
    <w:rsid w:val="00944692"/>
    <w:rsid w:val="00945507"/>
    <w:rsid w:val="00946EF0"/>
    <w:rsid w:val="00952B18"/>
    <w:rsid w:val="00952F5B"/>
    <w:rsid w:val="00953DBE"/>
    <w:rsid w:val="0095416E"/>
    <w:rsid w:val="00954F85"/>
    <w:rsid w:val="0095739C"/>
    <w:rsid w:val="0095754C"/>
    <w:rsid w:val="00957A1B"/>
    <w:rsid w:val="00960B8F"/>
    <w:rsid w:val="009614DB"/>
    <w:rsid w:val="00961EDA"/>
    <w:rsid w:val="00961F4A"/>
    <w:rsid w:val="00963F4F"/>
    <w:rsid w:val="00965B70"/>
    <w:rsid w:val="00967162"/>
    <w:rsid w:val="009674D2"/>
    <w:rsid w:val="00972139"/>
    <w:rsid w:val="00972509"/>
    <w:rsid w:val="0097332E"/>
    <w:rsid w:val="00974F57"/>
    <w:rsid w:val="00975BAA"/>
    <w:rsid w:val="00976070"/>
    <w:rsid w:val="00982102"/>
    <w:rsid w:val="0098215B"/>
    <w:rsid w:val="0098314C"/>
    <w:rsid w:val="00983438"/>
    <w:rsid w:val="009837C1"/>
    <w:rsid w:val="0098442A"/>
    <w:rsid w:val="00986F51"/>
    <w:rsid w:val="00991F32"/>
    <w:rsid w:val="00992C91"/>
    <w:rsid w:val="009934E3"/>
    <w:rsid w:val="0099372C"/>
    <w:rsid w:val="009937E0"/>
    <w:rsid w:val="009966E8"/>
    <w:rsid w:val="00996DAB"/>
    <w:rsid w:val="009A2918"/>
    <w:rsid w:val="009A2B38"/>
    <w:rsid w:val="009A3502"/>
    <w:rsid w:val="009A4BC2"/>
    <w:rsid w:val="009A55C0"/>
    <w:rsid w:val="009A5E78"/>
    <w:rsid w:val="009B39EF"/>
    <w:rsid w:val="009B3A10"/>
    <w:rsid w:val="009B3DFE"/>
    <w:rsid w:val="009B4BEB"/>
    <w:rsid w:val="009B5DF0"/>
    <w:rsid w:val="009B6EC9"/>
    <w:rsid w:val="009C3135"/>
    <w:rsid w:val="009C3C17"/>
    <w:rsid w:val="009C4788"/>
    <w:rsid w:val="009C5E7D"/>
    <w:rsid w:val="009C77B3"/>
    <w:rsid w:val="009C7DB0"/>
    <w:rsid w:val="009D1153"/>
    <w:rsid w:val="009D2213"/>
    <w:rsid w:val="009D28C3"/>
    <w:rsid w:val="009D2ABE"/>
    <w:rsid w:val="009E189D"/>
    <w:rsid w:val="009E337B"/>
    <w:rsid w:val="009E3D78"/>
    <w:rsid w:val="009E4E32"/>
    <w:rsid w:val="009E7032"/>
    <w:rsid w:val="009F0C9B"/>
    <w:rsid w:val="009F0E51"/>
    <w:rsid w:val="009F217F"/>
    <w:rsid w:val="009F38EF"/>
    <w:rsid w:val="009F39BD"/>
    <w:rsid w:val="009F4529"/>
    <w:rsid w:val="009F7F78"/>
    <w:rsid w:val="00A0303A"/>
    <w:rsid w:val="00A03D8D"/>
    <w:rsid w:val="00A0433B"/>
    <w:rsid w:val="00A0452E"/>
    <w:rsid w:val="00A0483E"/>
    <w:rsid w:val="00A0496A"/>
    <w:rsid w:val="00A0635E"/>
    <w:rsid w:val="00A11417"/>
    <w:rsid w:val="00A11B52"/>
    <w:rsid w:val="00A1250A"/>
    <w:rsid w:val="00A135F5"/>
    <w:rsid w:val="00A13804"/>
    <w:rsid w:val="00A14C8F"/>
    <w:rsid w:val="00A16E0C"/>
    <w:rsid w:val="00A173BD"/>
    <w:rsid w:val="00A20028"/>
    <w:rsid w:val="00A20784"/>
    <w:rsid w:val="00A22651"/>
    <w:rsid w:val="00A23412"/>
    <w:rsid w:val="00A236A3"/>
    <w:rsid w:val="00A23967"/>
    <w:rsid w:val="00A24C61"/>
    <w:rsid w:val="00A2680D"/>
    <w:rsid w:val="00A272BC"/>
    <w:rsid w:val="00A31897"/>
    <w:rsid w:val="00A323E6"/>
    <w:rsid w:val="00A33D0E"/>
    <w:rsid w:val="00A345E1"/>
    <w:rsid w:val="00A37739"/>
    <w:rsid w:val="00A37D74"/>
    <w:rsid w:val="00A4030B"/>
    <w:rsid w:val="00A41B98"/>
    <w:rsid w:val="00A42159"/>
    <w:rsid w:val="00A42BD2"/>
    <w:rsid w:val="00A42CAA"/>
    <w:rsid w:val="00A45B73"/>
    <w:rsid w:val="00A46B32"/>
    <w:rsid w:val="00A5053F"/>
    <w:rsid w:val="00A52060"/>
    <w:rsid w:val="00A5226D"/>
    <w:rsid w:val="00A52270"/>
    <w:rsid w:val="00A53FEF"/>
    <w:rsid w:val="00A5450D"/>
    <w:rsid w:val="00A56B73"/>
    <w:rsid w:val="00A66CF8"/>
    <w:rsid w:val="00A7093B"/>
    <w:rsid w:val="00A71F06"/>
    <w:rsid w:val="00A727D8"/>
    <w:rsid w:val="00A732F7"/>
    <w:rsid w:val="00A74804"/>
    <w:rsid w:val="00A753A3"/>
    <w:rsid w:val="00A76597"/>
    <w:rsid w:val="00A76F3E"/>
    <w:rsid w:val="00A776FB"/>
    <w:rsid w:val="00A77C2B"/>
    <w:rsid w:val="00A80F86"/>
    <w:rsid w:val="00A81083"/>
    <w:rsid w:val="00A8357F"/>
    <w:rsid w:val="00A84835"/>
    <w:rsid w:val="00A9083B"/>
    <w:rsid w:val="00A92018"/>
    <w:rsid w:val="00A95F0F"/>
    <w:rsid w:val="00A97B44"/>
    <w:rsid w:val="00AA00C6"/>
    <w:rsid w:val="00AA0CBC"/>
    <w:rsid w:val="00AA0EBC"/>
    <w:rsid w:val="00AA0ED6"/>
    <w:rsid w:val="00AA50C0"/>
    <w:rsid w:val="00AA6FF7"/>
    <w:rsid w:val="00AB2006"/>
    <w:rsid w:val="00AB5D10"/>
    <w:rsid w:val="00AB729C"/>
    <w:rsid w:val="00AC10CE"/>
    <w:rsid w:val="00AC22D3"/>
    <w:rsid w:val="00AC369B"/>
    <w:rsid w:val="00AC435E"/>
    <w:rsid w:val="00AC4480"/>
    <w:rsid w:val="00AC4A58"/>
    <w:rsid w:val="00AC6013"/>
    <w:rsid w:val="00AC705D"/>
    <w:rsid w:val="00AD10D0"/>
    <w:rsid w:val="00AD2BF3"/>
    <w:rsid w:val="00AD308C"/>
    <w:rsid w:val="00AD485C"/>
    <w:rsid w:val="00AD4D46"/>
    <w:rsid w:val="00AD4FFF"/>
    <w:rsid w:val="00AD55D6"/>
    <w:rsid w:val="00AD6449"/>
    <w:rsid w:val="00AD7AC5"/>
    <w:rsid w:val="00AE649A"/>
    <w:rsid w:val="00AE67C1"/>
    <w:rsid w:val="00AE79D5"/>
    <w:rsid w:val="00AF3EEA"/>
    <w:rsid w:val="00AF5935"/>
    <w:rsid w:val="00AF6042"/>
    <w:rsid w:val="00AF6DF2"/>
    <w:rsid w:val="00AF736E"/>
    <w:rsid w:val="00B00594"/>
    <w:rsid w:val="00B007AC"/>
    <w:rsid w:val="00B0100F"/>
    <w:rsid w:val="00B03300"/>
    <w:rsid w:val="00B04E20"/>
    <w:rsid w:val="00B1402F"/>
    <w:rsid w:val="00B16047"/>
    <w:rsid w:val="00B1650F"/>
    <w:rsid w:val="00B17D4C"/>
    <w:rsid w:val="00B21B27"/>
    <w:rsid w:val="00B22A52"/>
    <w:rsid w:val="00B23554"/>
    <w:rsid w:val="00B23CDF"/>
    <w:rsid w:val="00B24009"/>
    <w:rsid w:val="00B25F33"/>
    <w:rsid w:val="00B272F1"/>
    <w:rsid w:val="00B27BE9"/>
    <w:rsid w:val="00B30D14"/>
    <w:rsid w:val="00B30DEC"/>
    <w:rsid w:val="00B31C49"/>
    <w:rsid w:val="00B332D8"/>
    <w:rsid w:val="00B3518D"/>
    <w:rsid w:val="00B37ED1"/>
    <w:rsid w:val="00B40165"/>
    <w:rsid w:val="00B41EFC"/>
    <w:rsid w:val="00B42B40"/>
    <w:rsid w:val="00B43793"/>
    <w:rsid w:val="00B43F93"/>
    <w:rsid w:val="00B45215"/>
    <w:rsid w:val="00B45E80"/>
    <w:rsid w:val="00B46537"/>
    <w:rsid w:val="00B517CD"/>
    <w:rsid w:val="00B53D7B"/>
    <w:rsid w:val="00B5419B"/>
    <w:rsid w:val="00B62E7F"/>
    <w:rsid w:val="00B650F1"/>
    <w:rsid w:val="00B66E8B"/>
    <w:rsid w:val="00B71BA1"/>
    <w:rsid w:val="00B72E88"/>
    <w:rsid w:val="00B73EA1"/>
    <w:rsid w:val="00B74DDA"/>
    <w:rsid w:val="00B762E2"/>
    <w:rsid w:val="00B77613"/>
    <w:rsid w:val="00B81995"/>
    <w:rsid w:val="00B81CDA"/>
    <w:rsid w:val="00B81EBB"/>
    <w:rsid w:val="00B83697"/>
    <w:rsid w:val="00B85035"/>
    <w:rsid w:val="00B87575"/>
    <w:rsid w:val="00B91093"/>
    <w:rsid w:val="00B914A4"/>
    <w:rsid w:val="00B93BEE"/>
    <w:rsid w:val="00B9421B"/>
    <w:rsid w:val="00B95321"/>
    <w:rsid w:val="00B969C6"/>
    <w:rsid w:val="00BA023A"/>
    <w:rsid w:val="00BA5D99"/>
    <w:rsid w:val="00BA6559"/>
    <w:rsid w:val="00BB0FB2"/>
    <w:rsid w:val="00BB361C"/>
    <w:rsid w:val="00BB37EE"/>
    <w:rsid w:val="00BB4586"/>
    <w:rsid w:val="00BC0A40"/>
    <w:rsid w:val="00BC2CF4"/>
    <w:rsid w:val="00BC405B"/>
    <w:rsid w:val="00BC59B6"/>
    <w:rsid w:val="00BC5BC2"/>
    <w:rsid w:val="00BC63C9"/>
    <w:rsid w:val="00BD0521"/>
    <w:rsid w:val="00BD08E0"/>
    <w:rsid w:val="00BD25C0"/>
    <w:rsid w:val="00BD345B"/>
    <w:rsid w:val="00BD5401"/>
    <w:rsid w:val="00BD6BB2"/>
    <w:rsid w:val="00BD7978"/>
    <w:rsid w:val="00BE2722"/>
    <w:rsid w:val="00BE2F53"/>
    <w:rsid w:val="00BE3A6D"/>
    <w:rsid w:val="00BF074E"/>
    <w:rsid w:val="00BF2443"/>
    <w:rsid w:val="00BF2718"/>
    <w:rsid w:val="00BF345D"/>
    <w:rsid w:val="00BF3BEA"/>
    <w:rsid w:val="00BF4735"/>
    <w:rsid w:val="00BF633F"/>
    <w:rsid w:val="00BF6D9E"/>
    <w:rsid w:val="00C001A1"/>
    <w:rsid w:val="00C01945"/>
    <w:rsid w:val="00C020BA"/>
    <w:rsid w:val="00C02B99"/>
    <w:rsid w:val="00C031A9"/>
    <w:rsid w:val="00C058D0"/>
    <w:rsid w:val="00C11ECA"/>
    <w:rsid w:val="00C131A5"/>
    <w:rsid w:val="00C13462"/>
    <w:rsid w:val="00C135FD"/>
    <w:rsid w:val="00C13F0A"/>
    <w:rsid w:val="00C14A48"/>
    <w:rsid w:val="00C151F8"/>
    <w:rsid w:val="00C171D3"/>
    <w:rsid w:val="00C22818"/>
    <w:rsid w:val="00C22C92"/>
    <w:rsid w:val="00C22EFF"/>
    <w:rsid w:val="00C254AF"/>
    <w:rsid w:val="00C2601E"/>
    <w:rsid w:val="00C26037"/>
    <w:rsid w:val="00C2740F"/>
    <w:rsid w:val="00C27D90"/>
    <w:rsid w:val="00C300B6"/>
    <w:rsid w:val="00C31ACD"/>
    <w:rsid w:val="00C31DFF"/>
    <w:rsid w:val="00C34133"/>
    <w:rsid w:val="00C34CAA"/>
    <w:rsid w:val="00C35288"/>
    <w:rsid w:val="00C3550F"/>
    <w:rsid w:val="00C41ED0"/>
    <w:rsid w:val="00C42145"/>
    <w:rsid w:val="00C43945"/>
    <w:rsid w:val="00C43DF3"/>
    <w:rsid w:val="00C4435F"/>
    <w:rsid w:val="00C46F39"/>
    <w:rsid w:val="00C471F6"/>
    <w:rsid w:val="00C476D2"/>
    <w:rsid w:val="00C47AD4"/>
    <w:rsid w:val="00C47FA6"/>
    <w:rsid w:val="00C500C1"/>
    <w:rsid w:val="00C50BD3"/>
    <w:rsid w:val="00C52AD1"/>
    <w:rsid w:val="00C53323"/>
    <w:rsid w:val="00C535DB"/>
    <w:rsid w:val="00C554AC"/>
    <w:rsid w:val="00C56872"/>
    <w:rsid w:val="00C63097"/>
    <w:rsid w:val="00C6434A"/>
    <w:rsid w:val="00C66085"/>
    <w:rsid w:val="00C664B9"/>
    <w:rsid w:val="00C669C7"/>
    <w:rsid w:val="00C70712"/>
    <w:rsid w:val="00C72DBD"/>
    <w:rsid w:val="00C75621"/>
    <w:rsid w:val="00C77CC4"/>
    <w:rsid w:val="00C80075"/>
    <w:rsid w:val="00C81294"/>
    <w:rsid w:val="00C81E24"/>
    <w:rsid w:val="00C825BA"/>
    <w:rsid w:val="00C83193"/>
    <w:rsid w:val="00C83633"/>
    <w:rsid w:val="00C902FC"/>
    <w:rsid w:val="00C970CD"/>
    <w:rsid w:val="00C97643"/>
    <w:rsid w:val="00CA159D"/>
    <w:rsid w:val="00CA26F6"/>
    <w:rsid w:val="00CA3BAE"/>
    <w:rsid w:val="00CA46DB"/>
    <w:rsid w:val="00CA787C"/>
    <w:rsid w:val="00CB13E8"/>
    <w:rsid w:val="00CB18C9"/>
    <w:rsid w:val="00CB2E2E"/>
    <w:rsid w:val="00CB43B8"/>
    <w:rsid w:val="00CB4643"/>
    <w:rsid w:val="00CB5F8E"/>
    <w:rsid w:val="00CB64C3"/>
    <w:rsid w:val="00CB679B"/>
    <w:rsid w:val="00CB754F"/>
    <w:rsid w:val="00CB778E"/>
    <w:rsid w:val="00CB7FFA"/>
    <w:rsid w:val="00CC2E11"/>
    <w:rsid w:val="00CC5879"/>
    <w:rsid w:val="00CC58BC"/>
    <w:rsid w:val="00CC6571"/>
    <w:rsid w:val="00CC6B60"/>
    <w:rsid w:val="00CD1518"/>
    <w:rsid w:val="00CD261D"/>
    <w:rsid w:val="00CD3B25"/>
    <w:rsid w:val="00CD428E"/>
    <w:rsid w:val="00CD5A80"/>
    <w:rsid w:val="00CE0797"/>
    <w:rsid w:val="00CE1AFB"/>
    <w:rsid w:val="00CE22C5"/>
    <w:rsid w:val="00CE31E7"/>
    <w:rsid w:val="00CE5742"/>
    <w:rsid w:val="00CE69EC"/>
    <w:rsid w:val="00CF2223"/>
    <w:rsid w:val="00CF35B0"/>
    <w:rsid w:val="00CF6C30"/>
    <w:rsid w:val="00CF75E5"/>
    <w:rsid w:val="00CF7DF1"/>
    <w:rsid w:val="00D000F4"/>
    <w:rsid w:val="00D01A42"/>
    <w:rsid w:val="00D03C05"/>
    <w:rsid w:val="00D05ACD"/>
    <w:rsid w:val="00D06377"/>
    <w:rsid w:val="00D064B7"/>
    <w:rsid w:val="00D112F9"/>
    <w:rsid w:val="00D11E00"/>
    <w:rsid w:val="00D1335B"/>
    <w:rsid w:val="00D15998"/>
    <w:rsid w:val="00D167EC"/>
    <w:rsid w:val="00D201D9"/>
    <w:rsid w:val="00D2130B"/>
    <w:rsid w:val="00D22B7C"/>
    <w:rsid w:val="00D22F60"/>
    <w:rsid w:val="00D23386"/>
    <w:rsid w:val="00D2642D"/>
    <w:rsid w:val="00D27AE0"/>
    <w:rsid w:val="00D27FFB"/>
    <w:rsid w:val="00D31D60"/>
    <w:rsid w:val="00D3248C"/>
    <w:rsid w:val="00D32A21"/>
    <w:rsid w:val="00D34195"/>
    <w:rsid w:val="00D35E7B"/>
    <w:rsid w:val="00D37698"/>
    <w:rsid w:val="00D41361"/>
    <w:rsid w:val="00D42079"/>
    <w:rsid w:val="00D43BEB"/>
    <w:rsid w:val="00D445B5"/>
    <w:rsid w:val="00D459A7"/>
    <w:rsid w:val="00D47A45"/>
    <w:rsid w:val="00D50A38"/>
    <w:rsid w:val="00D523D3"/>
    <w:rsid w:val="00D537C7"/>
    <w:rsid w:val="00D573ED"/>
    <w:rsid w:val="00D61FB2"/>
    <w:rsid w:val="00D63F69"/>
    <w:rsid w:val="00D649D1"/>
    <w:rsid w:val="00D65957"/>
    <w:rsid w:val="00D66FE9"/>
    <w:rsid w:val="00D67AA9"/>
    <w:rsid w:val="00D70683"/>
    <w:rsid w:val="00D71026"/>
    <w:rsid w:val="00D72BF5"/>
    <w:rsid w:val="00D75B11"/>
    <w:rsid w:val="00D776A7"/>
    <w:rsid w:val="00D77E07"/>
    <w:rsid w:val="00D81FB7"/>
    <w:rsid w:val="00D82697"/>
    <w:rsid w:val="00D83393"/>
    <w:rsid w:val="00D84F93"/>
    <w:rsid w:val="00D85386"/>
    <w:rsid w:val="00D857A9"/>
    <w:rsid w:val="00D86939"/>
    <w:rsid w:val="00D872CB"/>
    <w:rsid w:val="00D915C6"/>
    <w:rsid w:val="00D94A62"/>
    <w:rsid w:val="00D94AC8"/>
    <w:rsid w:val="00D95CF0"/>
    <w:rsid w:val="00D97206"/>
    <w:rsid w:val="00DA392E"/>
    <w:rsid w:val="00DA64DA"/>
    <w:rsid w:val="00DA7CA4"/>
    <w:rsid w:val="00DB4EC1"/>
    <w:rsid w:val="00DB4FDE"/>
    <w:rsid w:val="00DB51F0"/>
    <w:rsid w:val="00DB53B7"/>
    <w:rsid w:val="00DB5A68"/>
    <w:rsid w:val="00DC03FF"/>
    <w:rsid w:val="00DC231D"/>
    <w:rsid w:val="00DC2F0C"/>
    <w:rsid w:val="00DC3E53"/>
    <w:rsid w:val="00DC3FF4"/>
    <w:rsid w:val="00DC6168"/>
    <w:rsid w:val="00DC715A"/>
    <w:rsid w:val="00DD0308"/>
    <w:rsid w:val="00DD0A3A"/>
    <w:rsid w:val="00DD1827"/>
    <w:rsid w:val="00DD3900"/>
    <w:rsid w:val="00DD5EE3"/>
    <w:rsid w:val="00DE06B1"/>
    <w:rsid w:val="00DE084D"/>
    <w:rsid w:val="00DE09A9"/>
    <w:rsid w:val="00DE0E6F"/>
    <w:rsid w:val="00DE1715"/>
    <w:rsid w:val="00DE47AF"/>
    <w:rsid w:val="00DE563D"/>
    <w:rsid w:val="00DE6070"/>
    <w:rsid w:val="00DE69BB"/>
    <w:rsid w:val="00DF0B11"/>
    <w:rsid w:val="00DF0F90"/>
    <w:rsid w:val="00DF1B8F"/>
    <w:rsid w:val="00DF3EA9"/>
    <w:rsid w:val="00DF3EC0"/>
    <w:rsid w:val="00DF52CE"/>
    <w:rsid w:val="00DF6817"/>
    <w:rsid w:val="00DF68B1"/>
    <w:rsid w:val="00E01D86"/>
    <w:rsid w:val="00E02876"/>
    <w:rsid w:val="00E055A2"/>
    <w:rsid w:val="00E07352"/>
    <w:rsid w:val="00E11150"/>
    <w:rsid w:val="00E11E41"/>
    <w:rsid w:val="00E1245E"/>
    <w:rsid w:val="00E15E1B"/>
    <w:rsid w:val="00E2174A"/>
    <w:rsid w:val="00E2375B"/>
    <w:rsid w:val="00E24F0D"/>
    <w:rsid w:val="00E25C25"/>
    <w:rsid w:val="00E25FC7"/>
    <w:rsid w:val="00E26446"/>
    <w:rsid w:val="00E27035"/>
    <w:rsid w:val="00E27BEB"/>
    <w:rsid w:val="00E3560F"/>
    <w:rsid w:val="00E35F5A"/>
    <w:rsid w:val="00E36334"/>
    <w:rsid w:val="00E42AD3"/>
    <w:rsid w:val="00E44873"/>
    <w:rsid w:val="00E45423"/>
    <w:rsid w:val="00E4585C"/>
    <w:rsid w:val="00E45C25"/>
    <w:rsid w:val="00E47EA8"/>
    <w:rsid w:val="00E50BEF"/>
    <w:rsid w:val="00E50F5E"/>
    <w:rsid w:val="00E5188F"/>
    <w:rsid w:val="00E55073"/>
    <w:rsid w:val="00E5571E"/>
    <w:rsid w:val="00E60657"/>
    <w:rsid w:val="00E61ABE"/>
    <w:rsid w:val="00E6240C"/>
    <w:rsid w:val="00E65758"/>
    <w:rsid w:val="00E70296"/>
    <w:rsid w:val="00E71B57"/>
    <w:rsid w:val="00E71B65"/>
    <w:rsid w:val="00E71C44"/>
    <w:rsid w:val="00E72D40"/>
    <w:rsid w:val="00E753D1"/>
    <w:rsid w:val="00E75ED9"/>
    <w:rsid w:val="00E76E7B"/>
    <w:rsid w:val="00E80672"/>
    <w:rsid w:val="00E820C1"/>
    <w:rsid w:val="00E83060"/>
    <w:rsid w:val="00E86184"/>
    <w:rsid w:val="00E86C0C"/>
    <w:rsid w:val="00E916C1"/>
    <w:rsid w:val="00E957AA"/>
    <w:rsid w:val="00E97B02"/>
    <w:rsid w:val="00EA0531"/>
    <w:rsid w:val="00EA0538"/>
    <w:rsid w:val="00EA1AED"/>
    <w:rsid w:val="00EA3D17"/>
    <w:rsid w:val="00EA776F"/>
    <w:rsid w:val="00EB1863"/>
    <w:rsid w:val="00EB2238"/>
    <w:rsid w:val="00EB5001"/>
    <w:rsid w:val="00EB63BB"/>
    <w:rsid w:val="00EB7CA6"/>
    <w:rsid w:val="00EC0651"/>
    <w:rsid w:val="00EC2160"/>
    <w:rsid w:val="00EC27C7"/>
    <w:rsid w:val="00EC2E04"/>
    <w:rsid w:val="00EC7E6B"/>
    <w:rsid w:val="00ED176A"/>
    <w:rsid w:val="00ED3361"/>
    <w:rsid w:val="00EE2653"/>
    <w:rsid w:val="00EE343C"/>
    <w:rsid w:val="00EE783D"/>
    <w:rsid w:val="00EF0BE0"/>
    <w:rsid w:val="00EF0FF7"/>
    <w:rsid w:val="00EF2603"/>
    <w:rsid w:val="00EF2B4D"/>
    <w:rsid w:val="00EF32C2"/>
    <w:rsid w:val="00EF3F40"/>
    <w:rsid w:val="00EF5D92"/>
    <w:rsid w:val="00EF7136"/>
    <w:rsid w:val="00F01D3A"/>
    <w:rsid w:val="00F04FB5"/>
    <w:rsid w:val="00F05194"/>
    <w:rsid w:val="00F11FE8"/>
    <w:rsid w:val="00F12815"/>
    <w:rsid w:val="00F14576"/>
    <w:rsid w:val="00F16BFC"/>
    <w:rsid w:val="00F2379B"/>
    <w:rsid w:val="00F239C2"/>
    <w:rsid w:val="00F23B0A"/>
    <w:rsid w:val="00F23D12"/>
    <w:rsid w:val="00F260E9"/>
    <w:rsid w:val="00F262D6"/>
    <w:rsid w:val="00F27C73"/>
    <w:rsid w:val="00F311C9"/>
    <w:rsid w:val="00F31A24"/>
    <w:rsid w:val="00F326F1"/>
    <w:rsid w:val="00F33DB1"/>
    <w:rsid w:val="00F352DF"/>
    <w:rsid w:val="00F377C6"/>
    <w:rsid w:val="00F40AE8"/>
    <w:rsid w:val="00F45446"/>
    <w:rsid w:val="00F45E17"/>
    <w:rsid w:val="00F4610D"/>
    <w:rsid w:val="00F46901"/>
    <w:rsid w:val="00F50605"/>
    <w:rsid w:val="00F51672"/>
    <w:rsid w:val="00F52190"/>
    <w:rsid w:val="00F53D93"/>
    <w:rsid w:val="00F53F78"/>
    <w:rsid w:val="00F54AB0"/>
    <w:rsid w:val="00F55867"/>
    <w:rsid w:val="00F5756B"/>
    <w:rsid w:val="00F62909"/>
    <w:rsid w:val="00F649C9"/>
    <w:rsid w:val="00F67D6A"/>
    <w:rsid w:val="00F70141"/>
    <w:rsid w:val="00F70525"/>
    <w:rsid w:val="00F719E5"/>
    <w:rsid w:val="00F739BE"/>
    <w:rsid w:val="00F74840"/>
    <w:rsid w:val="00F75ACB"/>
    <w:rsid w:val="00F7694E"/>
    <w:rsid w:val="00F83158"/>
    <w:rsid w:val="00F852E9"/>
    <w:rsid w:val="00F87918"/>
    <w:rsid w:val="00F9381E"/>
    <w:rsid w:val="00F952A2"/>
    <w:rsid w:val="00F95EB1"/>
    <w:rsid w:val="00F96AF8"/>
    <w:rsid w:val="00F96FB9"/>
    <w:rsid w:val="00FA091E"/>
    <w:rsid w:val="00FA186B"/>
    <w:rsid w:val="00FA3B09"/>
    <w:rsid w:val="00FA3E1C"/>
    <w:rsid w:val="00FA3ECE"/>
    <w:rsid w:val="00FA4B32"/>
    <w:rsid w:val="00FA7892"/>
    <w:rsid w:val="00FA7D22"/>
    <w:rsid w:val="00FB13AF"/>
    <w:rsid w:val="00FB2905"/>
    <w:rsid w:val="00FB4DCC"/>
    <w:rsid w:val="00FB65D0"/>
    <w:rsid w:val="00FC1DF4"/>
    <w:rsid w:val="00FC3C8C"/>
    <w:rsid w:val="00FC49AA"/>
    <w:rsid w:val="00FC5118"/>
    <w:rsid w:val="00FD2FFC"/>
    <w:rsid w:val="00FD335A"/>
    <w:rsid w:val="00FD4D7F"/>
    <w:rsid w:val="00FD536F"/>
    <w:rsid w:val="00FD5D2A"/>
    <w:rsid w:val="00FE1172"/>
    <w:rsid w:val="00FE524E"/>
    <w:rsid w:val="00FE541B"/>
    <w:rsid w:val="00FF2FC7"/>
    <w:rsid w:val="00FF34DF"/>
    <w:rsid w:val="00FF67F9"/>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13679458">
      <w:bodyDiv w:val="1"/>
      <w:marLeft w:val="0"/>
      <w:marRight w:val="0"/>
      <w:marTop w:val="0"/>
      <w:marBottom w:val="0"/>
      <w:divBdr>
        <w:top w:val="none" w:sz="0" w:space="0" w:color="auto"/>
        <w:left w:val="none" w:sz="0" w:space="0" w:color="auto"/>
        <w:bottom w:val="none" w:sz="0" w:space="0" w:color="auto"/>
        <w:right w:val="none" w:sz="0" w:space="0" w:color="auto"/>
      </w:divBdr>
    </w:div>
    <w:div w:id="322392354">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474490251">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15549184">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07724098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33930556">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amsar.org/cda/en/ramsar-documents-standing-40th-meeting-of-the-22812/main/ramsar/1-31-41%5e22812_4000_0__"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03E31-1556-46AA-8724-842BCDC8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18976</CharactersWithSpaces>
  <SharedDoc>false</SharedDoc>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2</cp:revision>
  <cp:lastPrinted>2016-05-24T09:24:00Z</cp:lastPrinted>
  <dcterms:created xsi:type="dcterms:W3CDTF">2016-05-31T11:40:00Z</dcterms:created>
  <dcterms:modified xsi:type="dcterms:W3CDTF">2016-05-31T11:40:00Z</dcterms:modified>
</cp:coreProperties>
</file>