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04AC3" w14:textId="77777777" w:rsidR="00A67FA2" w:rsidRPr="00F62B95" w:rsidRDefault="00A67FA2" w:rsidP="00A67FA2">
      <w:pPr>
        <w:pBdr>
          <w:top w:val="single" w:sz="12" w:space="0" w:color="auto" w:shadow="1"/>
          <w:left w:val="single" w:sz="12" w:space="4" w:color="auto" w:shadow="1"/>
          <w:bottom w:val="single" w:sz="12" w:space="0" w:color="auto" w:shadow="1"/>
          <w:right w:val="single" w:sz="12" w:space="0" w:color="auto" w:shadow="1"/>
        </w:pBdr>
        <w:ind w:right="2790"/>
        <w:rPr>
          <w:rFonts w:asciiTheme="minorHAnsi" w:hAnsiTheme="minorHAnsi" w:cstheme="minorHAnsi"/>
          <w:bCs/>
          <w:lang w:val="es-ES_tradnl"/>
        </w:rPr>
      </w:pPr>
      <w:r w:rsidRPr="00F62B95">
        <w:rPr>
          <w:rFonts w:asciiTheme="minorHAnsi" w:hAnsiTheme="minorHAnsi" w:cstheme="minorHAnsi"/>
          <w:bCs/>
          <w:lang w:val="es-ES_tradnl"/>
        </w:rPr>
        <w:t>CONVENCIÓN SOBRE LOS HUMEDALES (Ramsar, Irán, 1971)</w:t>
      </w:r>
    </w:p>
    <w:p w14:paraId="1320DDE7" w14:textId="77777777" w:rsidR="00A67FA2" w:rsidRPr="00F62B95" w:rsidRDefault="00A67FA2" w:rsidP="00A67FA2">
      <w:pPr>
        <w:pBdr>
          <w:top w:val="single" w:sz="12" w:space="0" w:color="auto" w:shadow="1"/>
          <w:left w:val="single" w:sz="12" w:space="4" w:color="auto" w:shadow="1"/>
          <w:bottom w:val="single" w:sz="12" w:space="0" w:color="auto" w:shadow="1"/>
          <w:right w:val="single" w:sz="12" w:space="0" w:color="auto" w:shadow="1"/>
        </w:pBdr>
        <w:ind w:right="2790"/>
        <w:rPr>
          <w:rFonts w:asciiTheme="minorHAnsi" w:hAnsiTheme="minorHAnsi" w:cstheme="minorHAnsi"/>
          <w:bCs/>
          <w:lang w:val="es-ES_tradnl"/>
        </w:rPr>
      </w:pPr>
      <w:r w:rsidRPr="00F62B95">
        <w:rPr>
          <w:rFonts w:asciiTheme="minorHAnsi" w:hAnsiTheme="minorHAnsi" w:cstheme="minorHAnsi"/>
          <w:bCs/>
          <w:lang w:val="es-ES_tradnl"/>
        </w:rPr>
        <w:t xml:space="preserve">52ª Reunión del Comité Permanente </w:t>
      </w:r>
    </w:p>
    <w:p w14:paraId="6EEDB032" w14:textId="2ED662B4" w:rsidR="00A67FA2" w:rsidRPr="00F62B95" w:rsidRDefault="00A67FA2" w:rsidP="00A67FA2">
      <w:pPr>
        <w:pBdr>
          <w:top w:val="single" w:sz="12" w:space="0" w:color="auto" w:shadow="1"/>
          <w:left w:val="single" w:sz="12" w:space="4" w:color="auto" w:shadow="1"/>
          <w:bottom w:val="single" w:sz="12" w:space="0" w:color="auto" w:shadow="1"/>
          <w:right w:val="single" w:sz="12" w:space="0" w:color="auto" w:shadow="1"/>
        </w:pBdr>
        <w:ind w:right="2790"/>
        <w:rPr>
          <w:rFonts w:asciiTheme="minorHAnsi" w:hAnsiTheme="minorHAnsi" w:cstheme="minorHAnsi"/>
          <w:bCs/>
          <w:lang w:val="es-ES_tradnl"/>
        </w:rPr>
      </w:pPr>
      <w:r w:rsidRPr="00F62B95">
        <w:rPr>
          <w:rFonts w:asciiTheme="minorHAnsi" w:hAnsiTheme="minorHAnsi" w:cstheme="minorHAnsi"/>
          <w:bCs/>
          <w:lang w:val="es-ES_tradnl"/>
        </w:rPr>
        <w:t>Gland, Suiza, 13 a 17 de junio de 2016</w:t>
      </w:r>
    </w:p>
    <w:p w14:paraId="342C7732" w14:textId="77777777" w:rsidR="00434554" w:rsidRPr="00F62B95" w:rsidRDefault="00434554" w:rsidP="00E2117F">
      <w:pPr>
        <w:jc w:val="center"/>
        <w:rPr>
          <w:rFonts w:asciiTheme="minorHAnsi" w:hAnsiTheme="minorHAnsi"/>
          <w:sz w:val="28"/>
          <w:lang w:val="es-ES_tradnl"/>
        </w:rPr>
      </w:pPr>
    </w:p>
    <w:p w14:paraId="28E59960" w14:textId="00B089FA" w:rsidR="002660B1" w:rsidRPr="00F62B95" w:rsidRDefault="002660B1" w:rsidP="00E2117F">
      <w:pPr>
        <w:jc w:val="right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F62B95">
        <w:rPr>
          <w:rFonts w:asciiTheme="minorHAnsi" w:hAnsiTheme="minorHAnsi" w:cstheme="minorHAnsi"/>
          <w:b/>
          <w:sz w:val="28"/>
          <w:szCs w:val="28"/>
          <w:lang w:val="es-ES_tradnl"/>
        </w:rPr>
        <w:t>SC</w:t>
      </w:r>
      <w:r w:rsidR="004F5DCD" w:rsidRPr="00F62B95">
        <w:rPr>
          <w:rFonts w:asciiTheme="minorHAnsi" w:hAnsiTheme="minorHAnsi" w:cstheme="minorHAnsi"/>
          <w:b/>
          <w:sz w:val="28"/>
          <w:szCs w:val="28"/>
          <w:lang w:val="es-ES_tradnl"/>
        </w:rPr>
        <w:t>5</w:t>
      </w:r>
      <w:r w:rsidR="0013075D" w:rsidRPr="00F62B95">
        <w:rPr>
          <w:rFonts w:asciiTheme="minorHAnsi" w:hAnsiTheme="minorHAnsi" w:cstheme="minorHAnsi"/>
          <w:b/>
          <w:sz w:val="28"/>
          <w:szCs w:val="28"/>
          <w:lang w:val="es-ES_tradnl"/>
        </w:rPr>
        <w:t>2</w:t>
      </w:r>
      <w:r w:rsidRPr="00F62B95">
        <w:rPr>
          <w:rFonts w:asciiTheme="minorHAnsi" w:hAnsiTheme="minorHAnsi" w:cstheme="minorHAnsi"/>
          <w:b/>
          <w:sz w:val="28"/>
          <w:szCs w:val="28"/>
          <w:lang w:val="es-ES_tradnl"/>
        </w:rPr>
        <w:t>-</w:t>
      </w:r>
      <w:r w:rsidR="00625F54" w:rsidRPr="00F62B95">
        <w:rPr>
          <w:rFonts w:asciiTheme="minorHAnsi" w:hAnsiTheme="minorHAnsi" w:cstheme="minorHAnsi"/>
          <w:b/>
          <w:sz w:val="28"/>
          <w:szCs w:val="28"/>
          <w:lang w:val="es-ES_tradnl"/>
        </w:rPr>
        <w:t>15</w:t>
      </w:r>
    </w:p>
    <w:p w14:paraId="0B39B40C" w14:textId="77777777" w:rsidR="001233DE" w:rsidRPr="00F62B95" w:rsidRDefault="001233DE" w:rsidP="00E2117F">
      <w:pPr>
        <w:jc w:val="center"/>
        <w:rPr>
          <w:rFonts w:asciiTheme="minorHAnsi" w:hAnsiTheme="minorHAnsi"/>
          <w:b/>
          <w:sz w:val="28"/>
          <w:szCs w:val="28"/>
          <w:lang w:val="es-ES_tradnl"/>
        </w:rPr>
      </w:pPr>
    </w:p>
    <w:p w14:paraId="4D64117E" w14:textId="6710D748" w:rsidR="003B6D11" w:rsidRPr="00F62B95" w:rsidRDefault="003B6D11" w:rsidP="00E2117F">
      <w:pPr>
        <w:jc w:val="center"/>
        <w:rPr>
          <w:rFonts w:ascii="Times" w:hAnsi="Times"/>
          <w:sz w:val="20"/>
          <w:szCs w:val="20"/>
          <w:lang w:val="es-ES_tradnl" w:eastAsia="es-ES"/>
        </w:rPr>
      </w:pPr>
      <w:r w:rsidRPr="00F62B95">
        <w:rPr>
          <w:rFonts w:asciiTheme="minorHAnsi" w:hAnsiTheme="minorHAnsi"/>
          <w:b/>
          <w:sz w:val="28"/>
          <w:lang w:val="es-ES_tradnl"/>
        </w:rPr>
        <w:t xml:space="preserve">Progresos en la aplicación de la Resolución XI.6 sobre </w:t>
      </w:r>
      <w:r w:rsidRPr="00F62B95">
        <w:rPr>
          <w:rFonts w:asciiTheme="minorHAnsi" w:hAnsiTheme="minorHAnsi"/>
          <w:b/>
          <w:i/>
          <w:sz w:val="28"/>
          <w:lang w:val="es-ES_tradnl"/>
        </w:rPr>
        <w:t>Asociaciones de colaboración y sinergias con acuerdos multilaterales sobre el medio ambiente y otras instituciones</w:t>
      </w:r>
    </w:p>
    <w:p w14:paraId="4BAB83DB" w14:textId="77777777" w:rsidR="00BA510D" w:rsidRPr="00F62B95" w:rsidRDefault="00BA510D" w:rsidP="005522A4">
      <w:pPr>
        <w:jc w:val="center"/>
        <w:rPr>
          <w:rFonts w:asciiTheme="minorHAnsi" w:hAnsiTheme="minorHAnsi"/>
          <w:b/>
          <w:sz w:val="28"/>
          <w:lang w:val="es-ES_tradnl"/>
        </w:rPr>
      </w:pPr>
    </w:p>
    <w:p w14:paraId="0DEE3BE2" w14:textId="77777777" w:rsidR="00E7270C" w:rsidRPr="00F62B95" w:rsidRDefault="00C74B34" w:rsidP="00D94C75">
      <w:pPr>
        <w:autoSpaceDE w:val="0"/>
        <w:autoSpaceDN w:val="0"/>
        <w:adjustRightInd w:val="0"/>
        <w:jc w:val="center"/>
        <w:rPr>
          <w:rFonts w:asciiTheme="minorHAnsi" w:eastAsiaTheme="minorHAnsi" w:hAnsiTheme="minorHAnsi" w:cs="Garamond"/>
          <w:sz w:val="22"/>
          <w:szCs w:val="22"/>
          <w:lang w:val="es-ES_tradnl" w:eastAsia="en-US"/>
        </w:rPr>
      </w:pPr>
      <w:r w:rsidRPr="00F62B95">
        <w:rPr>
          <w:noProof/>
          <w:szCs w:val="20"/>
        </w:rPr>
        <mc:AlternateContent>
          <mc:Choice Requires="wps">
            <w:drawing>
              <wp:inline distT="0" distB="0" distL="0" distR="0" wp14:anchorId="29C500F1" wp14:editId="7CB72DD2">
                <wp:extent cx="5842635" cy="885825"/>
                <wp:effectExtent l="0" t="0" r="24765" b="28575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2ABD" w14:textId="6832AB56" w:rsidR="00411226" w:rsidRPr="00F62B95" w:rsidRDefault="00411226" w:rsidP="00E7270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62B9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 xml:space="preserve">Acciones solicitadas: </w:t>
                            </w:r>
                          </w:p>
                          <w:p w14:paraId="418A69DB" w14:textId="678F1621" w:rsidR="00411226" w:rsidRPr="00F62B95" w:rsidRDefault="00411226" w:rsidP="00BA308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62B9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_tradnl"/>
                              </w:rPr>
                              <w:t xml:space="preserve">Se invita al Comité Permanente a tomar nota del informe sobre los progresos en la aplicación de la </w:t>
                            </w:r>
                            <w:r w:rsidRPr="00F62B9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Resolución XI.6 sobre </w:t>
                            </w:r>
                            <w:r w:rsidRPr="00F62B95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>Asociaciones de colaboración y sinergias con acuerdos multilaterales sobre el medio ambiente y otras instituciones</w:t>
                            </w:r>
                            <w:r w:rsidRPr="00F62B9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F62B9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_tradnl"/>
                              </w:rPr>
                              <w:t xml:space="preserve">y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_tradnl"/>
                              </w:rPr>
                              <w:t>a brindar</w:t>
                            </w:r>
                            <w:r w:rsidRPr="00F62B9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_tradnl"/>
                              </w:rPr>
                              <w:t xml:space="preserve"> asesoramiento según proceda.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width:460.0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">
                <v:textbox>
                  <w:txbxContent>
                    <w:p w14:paraId="330E2ABD" w14:textId="6832AB56" w:rsidR="00411226" w:rsidRPr="00F62B95" w:rsidRDefault="00411226" w:rsidP="00E7270C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F62B9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lang w:val="es-ES_tradnl"/>
                        </w:rPr>
                        <w:t xml:space="preserve">Acciones solicitadas: </w:t>
                      </w:r>
                    </w:p>
                    <w:p w14:paraId="418A69DB" w14:textId="678F1621" w:rsidR="00411226" w:rsidRPr="00F62B95" w:rsidRDefault="00411226" w:rsidP="00BA308D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_tradnl"/>
                        </w:rPr>
                      </w:pPr>
                      <w:r w:rsidRPr="00F62B95">
                        <w:rPr>
                          <w:rFonts w:asciiTheme="minorHAnsi" w:hAnsiTheme="minorHAnsi"/>
                          <w:sz w:val="22"/>
                          <w:szCs w:val="22"/>
                          <w:lang w:val="es-ES_tradnl"/>
                        </w:rPr>
                        <w:t xml:space="preserve">Se invita al Comité Permanente a tomar nota del informe sobre los progresos en la aplicación de la </w:t>
                      </w:r>
                      <w:r w:rsidRPr="00F62B95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s-ES_tradnl"/>
                        </w:rPr>
                        <w:t xml:space="preserve">Resolución XI.6 sobre </w:t>
                      </w:r>
                      <w:r w:rsidRPr="00F62B95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lang w:val="es-ES_tradnl"/>
                        </w:rPr>
                        <w:t>Asociaciones de colaboración y sinergias con acuerdos multilaterales sobre el medio ambiente y otras instituciones</w:t>
                      </w:r>
                      <w:r w:rsidRPr="00F62B95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F62B95">
                        <w:rPr>
                          <w:rFonts w:asciiTheme="minorHAnsi" w:hAnsiTheme="minorHAnsi"/>
                          <w:sz w:val="22"/>
                          <w:szCs w:val="22"/>
                          <w:lang w:val="es-ES_tradnl"/>
                        </w:rPr>
                        <w:t xml:space="preserve">y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_tradnl"/>
                        </w:rPr>
                        <w:t>a brindar</w:t>
                      </w:r>
                      <w:r w:rsidRPr="00F62B95">
                        <w:rPr>
                          <w:rFonts w:asciiTheme="minorHAnsi" w:hAnsiTheme="minorHAnsi"/>
                          <w:sz w:val="22"/>
                          <w:szCs w:val="22"/>
                          <w:lang w:val="es-ES_tradnl"/>
                        </w:rPr>
                        <w:t xml:space="preserve"> asesoramiento según proceda.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7BFFFB" w14:textId="77777777" w:rsidR="00D94C75" w:rsidRPr="00F62B95" w:rsidRDefault="00D94C75" w:rsidP="00BA6D1A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-Bold"/>
          <w:b/>
          <w:bCs/>
          <w:sz w:val="22"/>
          <w:szCs w:val="22"/>
          <w:lang w:val="es-ES_tradnl" w:eastAsia="en-US"/>
        </w:rPr>
      </w:pPr>
    </w:p>
    <w:p w14:paraId="04C7708E" w14:textId="77777777" w:rsidR="009A2101" w:rsidRPr="00F62B95" w:rsidRDefault="009A2101" w:rsidP="00BA6D1A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-Bold"/>
          <w:b/>
          <w:bCs/>
          <w:sz w:val="22"/>
          <w:szCs w:val="22"/>
          <w:lang w:val="es-ES_tradnl" w:eastAsia="en-US"/>
        </w:rPr>
      </w:pPr>
    </w:p>
    <w:p w14:paraId="3B180079" w14:textId="514DED55" w:rsidR="00D94C75" w:rsidRPr="00F62B95" w:rsidRDefault="003B6D11" w:rsidP="001B1570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2"/>
          <w:szCs w:val="22"/>
          <w:lang w:val="es-ES_tradnl" w:eastAsia="en-US"/>
        </w:rPr>
      </w:pPr>
      <w:r w:rsidRPr="00F62B95">
        <w:rPr>
          <w:rFonts w:asciiTheme="minorHAnsi" w:eastAsiaTheme="minorHAnsi" w:hAnsiTheme="minorHAnsi" w:cs="Calibri-Bold"/>
          <w:b/>
          <w:bCs/>
          <w:sz w:val="22"/>
          <w:szCs w:val="22"/>
          <w:lang w:val="es-ES_tradnl" w:eastAsia="en-US"/>
        </w:rPr>
        <w:t>Antecedentes</w:t>
      </w:r>
      <w:r w:rsidR="002A65F4" w:rsidRPr="00F62B95">
        <w:rPr>
          <w:rFonts w:asciiTheme="minorHAnsi" w:eastAsiaTheme="minorHAnsi" w:hAnsiTheme="minorHAnsi" w:cs="Calibri-Bold"/>
          <w:b/>
          <w:bCs/>
          <w:sz w:val="22"/>
          <w:szCs w:val="22"/>
          <w:lang w:val="es-ES_tradnl" w:eastAsia="en-US"/>
        </w:rPr>
        <w:t xml:space="preserve"> </w:t>
      </w:r>
    </w:p>
    <w:p w14:paraId="28459893" w14:textId="77777777" w:rsidR="00BE5EAD" w:rsidRPr="00F62B95" w:rsidRDefault="00BE5EAD" w:rsidP="001B1570">
      <w:p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  <w:lang w:val="es-ES_tradnl"/>
        </w:rPr>
      </w:pPr>
    </w:p>
    <w:p w14:paraId="10FB16C6" w14:textId="3A399F70" w:rsidR="00BE5EAD" w:rsidRPr="00F62B95" w:rsidRDefault="005333A7" w:rsidP="005333A7">
      <w:pPr>
        <w:pStyle w:val="ListParagraph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  <w:bCs/>
          <w:lang w:val="es-ES_tradnl"/>
        </w:rPr>
      </w:pPr>
      <w:r w:rsidRPr="00F62B95">
        <w:rPr>
          <w:rFonts w:asciiTheme="minorHAnsi" w:hAnsiTheme="minorHAnsi" w:cstheme="minorHAnsi"/>
          <w:bCs/>
          <w:lang w:val="es-ES_tradnl"/>
        </w:rPr>
        <w:t>En l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a Resolución </w:t>
      </w:r>
      <w:r w:rsidR="00AE6962" w:rsidRPr="00F62B95">
        <w:rPr>
          <w:rFonts w:asciiTheme="minorHAnsi" w:hAnsiTheme="minorHAnsi" w:cstheme="minorHAnsi"/>
          <w:bCs/>
          <w:lang w:val="es-ES_tradnl"/>
        </w:rPr>
        <w:t>XII.3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 sobre la </w:t>
      </w:r>
      <w:r w:rsidR="006D23D0" w:rsidRPr="00F62B95">
        <w:rPr>
          <w:rFonts w:asciiTheme="minorHAnsi" w:hAnsiTheme="minorHAnsi" w:cstheme="minorHAnsi"/>
          <w:bCs/>
          <w:i/>
          <w:lang w:val="es-ES_tradnl"/>
        </w:rPr>
        <w:t>Mejora de los idiomas, la visibilidad y la envergadura de la Convención, y de las sinergias con otros acuerdos multilaterales sobre el medio ambiente y otras instituciones internacionales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 </w:t>
      </w:r>
      <w:r w:rsidRPr="00F62B95">
        <w:rPr>
          <w:rFonts w:asciiTheme="minorHAnsi" w:hAnsiTheme="minorHAnsi" w:cstheme="minorHAnsi"/>
          <w:bCs/>
          <w:lang w:val="es-ES_tradnl"/>
        </w:rPr>
        <w:t xml:space="preserve">se 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encarga a la Secretaría que informe anualmente </w:t>
      </w:r>
      <w:r w:rsidR="005D5595" w:rsidRPr="00F62B95">
        <w:rPr>
          <w:rFonts w:asciiTheme="minorHAnsi" w:hAnsiTheme="minorHAnsi" w:cstheme="minorHAnsi"/>
          <w:bCs/>
          <w:lang w:val="es-ES_tradnl"/>
        </w:rPr>
        <w:t xml:space="preserve">al Comité Permanente 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sobre los progresos en la aplicación de la Resolución </w:t>
      </w:r>
      <w:r w:rsidR="00AE6962" w:rsidRPr="00F62B95">
        <w:rPr>
          <w:rFonts w:asciiTheme="minorHAnsi" w:hAnsiTheme="minorHAnsi" w:cstheme="minorHAnsi"/>
          <w:bCs/>
          <w:lang w:val="es-ES_tradnl"/>
        </w:rPr>
        <w:t>XI.6</w:t>
      </w:r>
      <w:r w:rsidR="002A65F4" w:rsidRPr="00F62B95">
        <w:rPr>
          <w:rFonts w:asciiTheme="minorHAnsi" w:hAnsiTheme="minorHAnsi" w:cstheme="minorHAnsi"/>
          <w:bCs/>
          <w:lang w:val="es-ES_tradnl"/>
        </w:rPr>
        <w:t xml:space="preserve"> 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sobre </w:t>
      </w:r>
      <w:r w:rsidR="005D5595" w:rsidRPr="00F62B95">
        <w:rPr>
          <w:rFonts w:asciiTheme="minorHAnsi" w:hAnsiTheme="minorHAnsi" w:cstheme="minorHAnsi"/>
          <w:bCs/>
          <w:i/>
          <w:lang w:val="es-ES_tradnl"/>
        </w:rPr>
        <w:t>Asociaciones de colaboración y sinergias con acuerdos multilaterales sobre el medio ambiente y otras instituciones</w:t>
      </w:r>
      <w:r w:rsidRPr="00F62B95">
        <w:rPr>
          <w:rFonts w:asciiTheme="minorHAnsi" w:hAnsiTheme="minorHAnsi" w:cstheme="minorHAnsi"/>
          <w:bCs/>
          <w:lang w:val="es-ES_tradnl"/>
        </w:rPr>
        <w:t>.</w:t>
      </w:r>
    </w:p>
    <w:p w14:paraId="1EE9DDD4" w14:textId="77777777" w:rsidR="005D5595" w:rsidRPr="00F62B95" w:rsidRDefault="005D5595" w:rsidP="005D5595">
      <w:pPr>
        <w:ind w:left="284"/>
        <w:rPr>
          <w:rFonts w:ascii="Times" w:hAnsi="Times"/>
          <w:sz w:val="20"/>
          <w:szCs w:val="20"/>
          <w:lang w:val="es-ES_tradnl" w:eastAsia="es-ES"/>
        </w:rPr>
      </w:pPr>
    </w:p>
    <w:p w14:paraId="5EBAEBC5" w14:textId="7455ED95" w:rsidR="006D23D0" w:rsidRPr="00F62B95" w:rsidRDefault="005D5595" w:rsidP="005D5595">
      <w:pPr>
        <w:pStyle w:val="ListParagraph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  <w:bCs/>
          <w:lang w:val="es-ES_tradnl"/>
        </w:rPr>
      </w:pPr>
      <w:r w:rsidRPr="00F62B95">
        <w:rPr>
          <w:rFonts w:asciiTheme="minorHAnsi" w:hAnsiTheme="minorHAnsi" w:cstheme="minorHAnsi"/>
          <w:bCs/>
          <w:lang w:val="es-ES_tradnl"/>
        </w:rPr>
        <w:t>En el párrafo 43 de la Resolución XII.3, se encarg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a la Secretaría que continúe trabajando para </w:t>
      </w:r>
      <w:r w:rsidR="00663970" w:rsidRPr="00F62B95">
        <w:rPr>
          <w:rFonts w:asciiTheme="minorHAnsi" w:hAnsiTheme="minorHAnsi" w:cstheme="minorHAnsi"/>
          <w:bCs/>
          <w:lang w:val="es-ES_tradnl"/>
        </w:rPr>
        <w:t>reforzar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 la colaboración con </w:t>
      </w:r>
      <w:r w:rsidR="00663970" w:rsidRPr="00F62B95">
        <w:rPr>
          <w:rFonts w:asciiTheme="minorHAnsi" w:hAnsiTheme="minorHAnsi" w:cstheme="minorHAnsi"/>
          <w:bCs/>
          <w:lang w:val="es-ES_tradnl"/>
        </w:rPr>
        <w:t>la Per</w:t>
      </w:r>
      <w:r w:rsidR="00F62B95">
        <w:rPr>
          <w:rFonts w:asciiTheme="minorHAnsi" w:hAnsiTheme="minorHAnsi" w:cstheme="minorHAnsi"/>
          <w:bCs/>
          <w:lang w:val="es-ES_tradnl"/>
        </w:rPr>
        <w:t>s</w:t>
      </w:r>
      <w:r w:rsidR="00663970" w:rsidRPr="00F62B95">
        <w:rPr>
          <w:rFonts w:asciiTheme="minorHAnsi" w:hAnsiTheme="minorHAnsi" w:cstheme="minorHAnsi"/>
          <w:bCs/>
          <w:lang w:val="es-ES_tradnl"/>
        </w:rPr>
        <w:t xml:space="preserve">pectiva del Patrimonio Mundial </w:t>
      </w:r>
      <w:r w:rsidR="006D23D0" w:rsidRPr="00F62B95">
        <w:rPr>
          <w:rFonts w:asciiTheme="minorHAnsi" w:hAnsiTheme="minorHAnsi" w:cstheme="minorHAnsi"/>
          <w:bCs/>
          <w:lang w:val="es-ES_tradnl"/>
        </w:rPr>
        <w:t>de la UICN, el PNUMA, la Base de Datos sobre Recursos Mundiales del</w:t>
      </w:r>
      <w:r w:rsidR="00B7361F">
        <w:rPr>
          <w:rFonts w:asciiTheme="minorHAnsi" w:hAnsiTheme="minorHAnsi" w:cstheme="minorHAnsi"/>
          <w:bCs/>
          <w:lang w:val="es-ES_tradnl"/>
        </w:rPr>
        <w:t xml:space="preserve"> PNUMA (PNUMA-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GRID), el PNUD, la UNESCO, las comisiones económicas regionales de las Naciones Unidas, el Banco Mundial, la </w:t>
      </w:r>
      <w:r w:rsidRPr="00F62B95">
        <w:rPr>
          <w:rFonts w:asciiTheme="minorHAnsi" w:hAnsiTheme="minorHAnsi" w:cstheme="minorHAnsi"/>
          <w:bCs/>
          <w:lang w:val="es-ES_tradnl"/>
        </w:rPr>
        <w:t>Organización Mundial de la Salud (</w:t>
      </w:r>
      <w:r w:rsidR="006D23D0" w:rsidRPr="00F62B95">
        <w:rPr>
          <w:rFonts w:asciiTheme="minorHAnsi" w:hAnsiTheme="minorHAnsi" w:cstheme="minorHAnsi"/>
          <w:bCs/>
          <w:lang w:val="es-ES_tradnl"/>
        </w:rPr>
        <w:t>OMS</w:t>
      </w:r>
      <w:r w:rsidRPr="00F62B95">
        <w:rPr>
          <w:rFonts w:asciiTheme="minorHAnsi" w:hAnsiTheme="minorHAnsi" w:cstheme="minorHAnsi"/>
          <w:bCs/>
          <w:lang w:val="es-ES_tradnl"/>
        </w:rPr>
        <w:t>)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, la Organización Meteorológica Mundial (OMM), la </w:t>
      </w:r>
      <w:r w:rsidR="00663970" w:rsidRPr="00F62B95">
        <w:rPr>
          <w:rFonts w:asciiTheme="minorHAnsi" w:hAnsiTheme="minorHAnsi" w:cstheme="minorHAnsi"/>
          <w:bCs/>
          <w:lang w:val="es-ES_tradnl"/>
        </w:rPr>
        <w:t>Organización de las Naciones Unidas para la Alimentación y la Agricultura (</w:t>
      </w:r>
      <w:r w:rsidR="006D23D0" w:rsidRPr="00F62B95">
        <w:rPr>
          <w:rFonts w:asciiTheme="minorHAnsi" w:hAnsiTheme="minorHAnsi" w:cstheme="minorHAnsi"/>
          <w:bCs/>
          <w:lang w:val="es-ES_tradnl"/>
        </w:rPr>
        <w:t>FAO</w:t>
      </w:r>
      <w:r w:rsidR="00663970" w:rsidRPr="00F62B95">
        <w:rPr>
          <w:rFonts w:asciiTheme="minorHAnsi" w:hAnsiTheme="minorHAnsi" w:cstheme="minorHAnsi"/>
          <w:bCs/>
          <w:lang w:val="es-ES_tradnl"/>
        </w:rPr>
        <w:t>)</w:t>
      </w:r>
      <w:r w:rsidR="006D23D0" w:rsidRPr="00F62B95">
        <w:rPr>
          <w:rFonts w:asciiTheme="minorHAnsi" w:hAnsiTheme="minorHAnsi" w:cstheme="minorHAnsi"/>
          <w:bCs/>
          <w:lang w:val="es-ES_tradnl"/>
        </w:rPr>
        <w:t>, el</w:t>
      </w:r>
      <w:r w:rsidR="003E7575">
        <w:rPr>
          <w:rFonts w:asciiTheme="minorHAnsi" w:hAnsiTheme="minorHAnsi" w:cstheme="minorHAnsi"/>
          <w:bCs/>
          <w:lang w:val="es-ES_tradnl"/>
        </w:rPr>
        <w:t xml:space="preserve"> </w:t>
      </w:r>
      <w:r w:rsidR="00663970" w:rsidRPr="00F62B95">
        <w:rPr>
          <w:rFonts w:asciiTheme="minorHAnsi" w:hAnsiTheme="minorHAnsi" w:cstheme="minorHAnsi"/>
          <w:bCs/>
          <w:lang w:val="es-ES_tradnl"/>
        </w:rPr>
        <w:t>Fondo para el Medio Ambiente Mundial (</w:t>
      </w:r>
      <w:r w:rsidR="006D23D0" w:rsidRPr="00F62B95">
        <w:rPr>
          <w:rFonts w:asciiTheme="minorHAnsi" w:hAnsiTheme="minorHAnsi" w:cstheme="minorHAnsi"/>
          <w:bCs/>
          <w:lang w:val="es-ES_tradnl"/>
        </w:rPr>
        <w:t>FMAM</w:t>
      </w:r>
      <w:r w:rsidR="00663970" w:rsidRPr="00F62B95">
        <w:rPr>
          <w:rFonts w:asciiTheme="minorHAnsi" w:hAnsiTheme="minorHAnsi" w:cstheme="minorHAnsi"/>
          <w:bCs/>
          <w:lang w:val="es-ES_tradnl"/>
        </w:rPr>
        <w:t>)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, la Plataforma Intergubernamental sobre Diversidad Biológica y Servicios de los Ecosistemas (IPBES) y otros, y que informe </w:t>
      </w:r>
      <w:r w:rsidR="00B7361F">
        <w:rPr>
          <w:rFonts w:asciiTheme="minorHAnsi" w:hAnsiTheme="minorHAnsi" w:cstheme="minorHAnsi"/>
          <w:bCs/>
          <w:lang w:val="es-ES_tradnl"/>
        </w:rPr>
        <w:t xml:space="preserve">periódicamente </w:t>
      </w:r>
      <w:r w:rsidR="006D23D0" w:rsidRPr="00F62B95">
        <w:rPr>
          <w:rFonts w:asciiTheme="minorHAnsi" w:hAnsiTheme="minorHAnsi" w:cstheme="minorHAnsi"/>
          <w:bCs/>
          <w:lang w:val="es-ES_tradnl"/>
        </w:rPr>
        <w:t>al Co</w:t>
      </w:r>
      <w:r w:rsidRPr="00F62B95">
        <w:rPr>
          <w:rFonts w:asciiTheme="minorHAnsi" w:hAnsiTheme="minorHAnsi" w:cstheme="minorHAnsi"/>
          <w:bCs/>
          <w:lang w:val="es-ES_tradnl"/>
        </w:rPr>
        <w:t>mité Permanente y a las Partes Contratantes sobre los progresos realizados.</w:t>
      </w:r>
    </w:p>
    <w:p w14:paraId="2010D31F" w14:textId="77777777" w:rsidR="00073599" w:rsidRPr="00F62B95" w:rsidRDefault="00073599" w:rsidP="000B6927">
      <w:pPr>
        <w:pStyle w:val="ListParagraph"/>
        <w:suppressAutoHyphens/>
        <w:ind w:left="426" w:hanging="426"/>
        <w:jc w:val="left"/>
        <w:rPr>
          <w:rFonts w:asciiTheme="minorHAnsi" w:hAnsiTheme="minorHAnsi"/>
          <w:lang w:val="es-ES_tradnl"/>
        </w:rPr>
      </w:pPr>
    </w:p>
    <w:p w14:paraId="0DA2B482" w14:textId="4F1FA7FA" w:rsidR="006D23D0" w:rsidRPr="00F62B95" w:rsidRDefault="00663970" w:rsidP="005D5595">
      <w:pPr>
        <w:pStyle w:val="ListParagraph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  <w:bCs/>
          <w:lang w:val="es-ES_tradnl"/>
        </w:rPr>
      </w:pPr>
      <w:r w:rsidRPr="00F62B95">
        <w:rPr>
          <w:rFonts w:asciiTheme="minorHAnsi" w:hAnsiTheme="minorHAnsi" w:cstheme="minorHAnsi"/>
          <w:bCs/>
          <w:lang w:val="es-ES_tradnl"/>
        </w:rPr>
        <w:t>También s</w:t>
      </w:r>
      <w:r w:rsidR="005D5595" w:rsidRPr="00F62B95">
        <w:rPr>
          <w:rFonts w:asciiTheme="minorHAnsi" w:hAnsiTheme="minorHAnsi" w:cstheme="minorHAnsi"/>
          <w:bCs/>
          <w:lang w:val="es-ES_tradnl"/>
        </w:rPr>
        <w:t>e pide a la Secretaría</w:t>
      </w:r>
      <w:r w:rsidRPr="00F62B95">
        <w:rPr>
          <w:rFonts w:asciiTheme="minorHAnsi" w:hAnsiTheme="minorHAnsi" w:cstheme="minorHAnsi"/>
          <w:bCs/>
          <w:lang w:val="es-ES_tradnl"/>
        </w:rPr>
        <w:t>,</w:t>
      </w:r>
      <w:r w:rsidR="005D5595" w:rsidRPr="00F62B95">
        <w:rPr>
          <w:rFonts w:asciiTheme="minorHAnsi" w:hAnsiTheme="minorHAnsi" w:cstheme="minorHAnsi"/>
          <w:bCs/>
          <w:lang w:val="es-ES_tradnl"/>
        </w:rPr>
        <w:t xml:space="preserve"> </w:t>
      </w:r>
      <w:r w:rsidRPr="00F62B95">
        <w:rPr>
          <w:rFonts w:asciiTheme="minorHAnsi" w:hAnsiTheme="minorHAnsi" w:cstheme="minorHAnsi"/>
          <w:bCs/>
          <w:lang w:val="es-ES_tradnl"/>
        </w:rPr>
        <w:t xml:space="preserve">en el párrafo 44, que 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siga trabajando con el Grupo de Enlace sobre la Diversidad Biológica </w:t>
      </w:r>
      <w:r w:rsidR="00B7361F">
        <w:rPr>
          <w:rFonts w:asciiTheme="minorHAnsi" w:hAnsiTheme="minorHAnsi" w:cstheme="minorHAnsi"/>
          <w:bCs/>
          <w:lang w:val="es-ES_tradnl"/>
        </w:rPr>
        <w:t>con el fin de fomentar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 la coherencia y cooperación y proseguir los esfuerzos para mejorar la efic</w:t>
      </w:r>
      <w:r w:rsidR="00EB63C5">
        <w:rPr>
          <w:rFonts w:asciiTheme="minorHAnsi" w:hAnsiTheme="minorHAnsi" w:cstheme="minorHAnsi"/>
          <w:bCs/>
          <w:lang w:val="es-ES_tradnl"/>
        </w:rPr>
        <w:t>acia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 y reducir </w:t>
      </w:r>
      <w:r w:rsidR="00B7361F">
        <w:rPr>
          <w:rFonts w:asciiTheme="minorHAnsi" w:hAnsiTheme="minorHAnsi" w:cstheme="minorHAnsi"/>
          <w:bCs/>
          <w:lang w:val="es-ES_tradnl"/>
        </w:rPr>
        <w:t>la superposición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 y duplicación innecesarias a todos los niveles pertinentes entre las Convenciones relacionadas con la b</w:t>
      </w:r>
      <w:r w:rsidR="005D5595" w:rsidRPr="00F62B95">
        <w:rPr>
          <w:rFonts w:asciiTheme="minorHAnsi" w:hAnsiTheme="minorHAnsi" w:cstheme="minorHAnsi"/>
          <w:bCs/>
          <w:lang w:val="es-ES_tradnl"/>
        </w:rPr>
        <w:t>iodiversidad.</w:t>
      </w:r>
    </w:p>
    <w:p w14:paraId="1EF13502" w14:textId="77777777" w:rsidR="005D6089" w:rsidRPr="00F62B95" w:rsidRDefault="005D6089" w:rsidP="000B6927">
      <w:pPr>
        <w:pStyle w:val="ListParagraph"/>
        <w:ind w:left="426" w:hanging="426"/>
        <w:jc w:val="left"/>
        <w:rPr>
          <w:rFonts w:asciiTheme="minorHAnsi" w:hAnsiTheme="minorHAnsi" w:cstheme="minorHAnsi"/>
          <w:bCs/>
          <w:lang w:val="es-ES_tradnl"/>
        </w:rPr>
      </w:pPr>
    </w:p>
    <w:p w14:paraId="04A53042" w14:textId="4D4F919D" w:rsidR="00F62B95" w:rsidRDefault="005D5595" w:rsidP="00B825B4">
      <w:pPr>
        <w:pStyle w:val="ListParagraph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  <w:bCs/>
          <w:lang w:val="es-ES_tradnl"/>
        </w:rPr>
      </w:pPr>
      <w:r w:rsidRPr="00F62B95">
        <w:rPr>
          <w:rFonts w:asciiTheme="minorHAnsi" w:hAnsiTheme="minorHAnsi" w:cstheme="minorHAnsi"/>
          <w:bCs/>
          <w:lang w:val="es-ES_tradnl"/>
        </w:rPr>
        <w:t xml:space="preserve">En el párrafo 33 de la Resolución </w:t>
      </w:r>
      <w:r w:rsidR="005D6089" w:rsidRPr="00F62B95">
        <w:rPr>
          <w:rFonts w:asciiTheme="minorHAnsi" w:hAnsiTheme="minorHAnsi" w:cstheme="minorHAnsi"/>
          <w:bCs/>
          <w:lang w:val="es-ES_tradnl"/>
        </w:rPr>
        <w:t xml:space="preserve">XII.3 </w:t>
      </w:r>
      <w:r w:rsidR="00B825B4" w:rsidRPr="00F62B95">
        <w:rPr>
          <w:rFonts w:asciiTheme="minorHAnsi" w:hAnsiTheme="minorHAnsi" w:cstheme="minorHAnsi"/>
          <w:bCs/>
          <w:lang w:val="es-ES_tradnl"/>
        </w:rPr>
        <w:t xml:space="preserve">se pide 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a la Secretaría que consulte </w:t>
      </w:r>
      <w:r w:rsidR="00663970" w:rsidRPr="00F62B95">
        <w:rPr>
          <w:rFonts w:asciiTheme="minorHAnsi" w:hAnsiTheme="minorHAnsi" w:cstheme="minorHAnsi"/>
          <w:bCs/>
          <w:lang w:val="es-ES_tradnl"/>
        </w:rPr>
        <w:t xml:space="preserve">con otros </w:t>
      </w:r>
      <w:r w:rsidR="00B7361F" w:rsidRPr="00F62B95">
        <w:rPr>
          <w:rFonts w:asciiTheme="minorHAnsi" w:hAnsiTheme="minorHAnsi"/>
          <w:lang w:val="es-ES_tradnl"/>
        </w:rPr>
        <w:t xml:space="preserve">acuerdos multilaterales sobre el medio ambiente </w:t>
      </w:r>
      <w:r w:rsidR="00B7361F">
        <w:rPr>
          <w:rFonts w:asciiTheme="minorHAnsi" w:hAnsiTheme="minorHAnsi"/>
          <w:lang w:val="es-ES_tradnl"/>
        </w:rPr>
        <w:t>(</w:t>
      </w:r>
      <w:r w:rsidR="00663970" w:rsidRPr="00F62B95">
        <w:rPr>
          <w:rFonts w:asciiTheme="minorHAnsi" w:hAnsiTheme="minorHAnsi" w:cstheme="minorHAnsi"/>
          <w:bCs/>
          <w:lang w:val="es-ES_tradnl"/>
        </w:rPr>
        <w:t>AMMA</w:t>
      </w:r>
      <w:r w:rsidR="00B7361F">
        <w:rPr>
          <w:rFonts w:asciiTheme="minorHAnsi" w:hAnsiTheme="minorHAnsi" w:cstheme="minorHAnsi"/>
          <w:bCs/>
          <w:lang w:val="es-ES_tradnl"/>
        </w:rPr>
        <w:t>)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 sobre sus experiencias en organizar sesiones</w:t>
      </w:r>
      <w:r w:rsidR="00B825B4" w:rsidRPr="00F62B95">
        <w:rPr>
          <w:rFonts w:asciiTheme="minorHAnsi" w:hAnsiTheme="minorHAnsi" w:cstheme="minorHAnsi"/>
          <w:bCs/>
          <w:lang w:val="es-ES_tradnl"/>
        </w:rPr>
        <w:t xml:space="preserve"> 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ministeriales de alto nivel, </w:t>
      </w:r>
      <w:r w:rsidR="00B7361F">
        <w:rPr>
          <w:rFonts w:asciiTheme="minorHAnsi" w:hAnsiTheme="minorHAnsi" w:cstheme="minorHAnsi"/>
          <w:bCs/>
          <w:lang w:val="es-ES_tradnl"/>
        </w:rPr>
        <w:t xml:space="preserve">a 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fin de identificar posibles vías para </w:t>
      </w:r>
      <w:r w:rsidR="00663970" w:rsidRPr="00F62B95">
        <w:rPr>
          <w:rFonts w:asciiTheme="minorHAnsi" w:hAnsiTheme="minorHAnsi" w:cstheme="minorHAnsi"/>
          <w:bCs/>
          <w:lang w:val="es-ES_tradnl"/>
        </w:rPr>
        <w:t>aprovech</w:t>
      </w:r>
      <w:r w:rsidR="006D23D0" w:rsidRPr="00F62B95">
        <w:rPr>
          <w:rFonts w:asciiTheme="minorHAnsi" w:hAnsiTheme="minorHAnsi" w:cstheme="minorHAnsi"/>
          <w:bCs/>
          <w:lang w:val="es-ES_tradnl"/>
        </w:rPr>
        <w:t>ar tales oportunidades</w:t>
      </w:r>
      <w:r w:rsidR="00B825B4" w:rsidRPr="00F62B95">
        <w:rPr>
          <w:rFonts w:asciiTheme="minorHAnsi" w:hAnsiTheme="minorHAnsi" w:cstheme="minorHAnsi"/>
          <w:bCs/>
          <w:lang w:val="es-ES_tradnl"/>
        </w:rPr>
        <w:t xml:space="preserve"> </w:t>
      </w:r>
      <w:r w:rsidR="006D23D0" w:rsidRPr="00F62B95">
        <w:rPr>
          <w:rFonts w:asciiTheme="minorHAnsi" w:hAnsiTheme="minorHAnsi" w:cstheme="minorHAnsi"/>
          <w:bCs/>
          <w:lang w:val="es-ES_tradnl"/>
        </w:rPr>
        <w:t xml:space="preserve">para mejorar la visibilidad, el apoyo político y el impacto de la Convención. </w:t>
      </w:r>
    </w:p>
    <w:p w14:paraId="36E57E8E" w14:textId="77777777" w:rsidR="00F62B95" w:rsidRPr="00F62B95" w:rsidRDefault="00F62B95" w:rsidP="00F62B95">
      <w:pPr>
        <w:rPr>
          <w:rFonts w:asciiTheme="minorHAnsi" w:hAnsiTheme="minorHAnsi"/>
          <w:lang w:val="es-ES_tradnl"/>
        </w:rPr>
      </w:pPr>
    </w:p>
    <w:p w14:paraId="01E8625E" w14:textId="121ED276" w:rsidR="00B825B4" w:rsidRPr="00F62B95" w:rsidRDefault="00B825B4" w:rsidP="00B825B4">
      <w:pPr>
        <w:pStyle w:val="ListParagraph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  <w:bCs/>
          <w:lang w:val="es-ES_tradnl"/>
        </w:rPr>
      </w:pPr>
      <w:r w:rsidRPr="00F62B95">
        <w:rPr>
          <w:rFonts w:asciiTheme="minorHAnsi" w:hAnsiTheme="minorHAnsi"/>
          <w:lang w:val="es-ES_tradnl"/>
        </w:rPr>
        <w:t xml:space="preserve">En el párrafo 21 de la </w:t>
      </w:r>
      <w:r w:rsidR="00073599" w:rsidRPr="00F62B95">
        <w:rPr>
          <w:rFonts w:asciiTheme="minorHAnsi" w:hAnsiTheme="minorHAnsi"/>
          <w:lang w:val="es-ES_tradnl"/>
        </w:rPr>
        <w:t>Resolu</w:t>
      </w:r>
      <w:r w:rsidRPr="00F62B95">
        <w:rPr>
          <w:rFonts w:asciiTheme="minorHAnsi" w:hAnsiTheme="minorHAnsi"/>
          <w:lang w:val="es-ES_tradnl"/>
        </w:rPr>
        <w:t>ción</w:t>
      </w:r>
      <w:r w:rsidR="002A65F4" w:rsidRPr="00F62B95">
        <w:rPr>
          <w:rFonts w:asciiTheme="minorHAnsi" w:hAnsiTheme="minorHAnsi"/>
          <w:lang w:val="es-ES_tradnl"/>
        </w:rPr>
        <w:t xml:space="preserve"> </w:t>
      </w:r>
      <w:r w:rsidR="00073599" w:rsidRPr="00F62B95">
        <w:rPr>
          <w:rFonts w:asciiTheme="minorHAnsi" w:hAnsiTheme="minorHAnsi"/>
          <w:lang w:val="es-ES_tradnl"/>
        </w:rPr>
        <w:t>XII.7</w:t>
      </w:r>
      <w:r w:rsidR="002A65F4" w:rsidRPr="00F62B95">
        <w:rPr>
          <w:rFonts w:asciiTheme="minorHAnsi" w:hAnsiTheme="minorHAnsi"/>
          <w:lang w:val="es-ES_tradnl"/>
        </w:rPr>
        <w:t xml:space="preserve"> </w:t>
      </w:r>
      <w:r w:rsidRPr="00F62B95">
        <w:rPr>
          <w:rFonts w:asciiTheme="minorHAnsi" w:hAnsiTheme="minorHAnsi"/>
          <w:lang w:val="es-ES_tradnl"/>
        </w:rPr>
        <w:t>sobre</w:t>
      </w:r>
      <w:r w:rsidRPr="00F62B95">
        <w:rPr>
          <w:rFonts w:ascii="Times" w:hAnsi="Times"/>
          <w:lang w:val="es-ES_tradnl" w:eastAsia="es-ES"/>
        </w:rPr>
        <w:t xml:space="preserve"> </w:t>
      </w:r>
      <w:r w:rsidRPr="00F62B95">
        <w:rPr>
          <w:rFonts w:asciiTheme="minorHAnsi" w:hAnsiTheme="minorHAnsi"/>
          <w:bCs/>
          <w:i/>
          <w:lang w:val="es-ES_tradnl"/>
        </w:rPr>
        <w:t>Marco de la Convención de Ramsar para la movilización de recursos y las asociaciones de colaboración</w:t>
      </w:r>
      <w:r w:rsidRPr="00F62B95">
        <w:rPr>
          <w:rFonts w:asciiTheme="minorHAnsi" w:hAnsiTheme="minorHAnsi"/>
          <w:lang w:val="es-ES_tradnl"/>
        </w:rPr>
        <w:t xml:space="preserve"> se pide a la Secretaría que</w:t>
      </w:r>
      <w:r w:rsidRPr="00F62B95">
        <w:rPr>
          <w:rFonts w:ascii="Times" w:hAnsi="Times"/>
          <w:lang w:val="es-ES_tradnl" w:eastAsia="es-ES"/>
        </w:rPr>
        <w:t xml:space="preserve"> </w:t>
      </w:r>
      <w:r w:rsidRPr="00F62B95">
        <w:rPr>
          <w:rFonts w:asciiTheme="minorHAnsi" w:hAnsiTheme="minorHAnsi"/>
          <w:lang w:val="es-ES_tradnl"/>
        </w:rPr>
        <w:t xml:space="preserve">fortalezca las alianzas con otros </w:t>
      </w:r>
      <w:r w:rsidR="00B7361F">
        <w:rPr>
          <w:rFonts w:asciiTheme="minorHAnsi" w:hAnsiTheme="minorHAnsi"/>
          <w:lang w:val="es-ES_tradnl"/>
        </w:rPr>
        <w:t>AMMA</w:t>
      </w:r>
      <w:r w:rsidRPr="00F62B95">
        <w:rPr>
          <w:rFonts w:asciiTheme="minorHAnsi" w:hAnsiTheme="minorHAnsi"/>
          <w:lang w:val="es-ES_tradnl"/>
        </w:rPr>
        <w:t xml:space="preserve">, tales como la Convención de las Naciones Unidas de Lucha contra </w:t>
      </w:r>
      <w:r w:rsidRPr="00F62B95">
        <w:rPr>
          <w:rFonts w:asciiTheme="minorHAnsi" w:hAnsiTheme="minorHAnsi"/>
          <w:lang w:val="es-ES_tradnl"/>
        </w:rPr>
        <w:lastRenderedPageBreak/>
        <w:t xml:space="preserve">la Desertificación (CNULD), el </w:t>
      </w:r>
      <w:r w:rsidR="00B7361F">
        <w:rPr>
          <w:rFonts w:asciiTheme="minorHAnsi" w:hAnsiTheme="minorHAnsi"/>
          <w:lang w:val="es-ES_tradnl"/>
        </w:rPr>
        <w:t>Convenio sobre la Diversidad Biológica (</w:t>
      </w:r>
      <w:r w:rsidRPr="00F62B95">
        <w:rPr>
          <w:rFonts w:asciiTheme="minorHAnsi" w:hAnsiTheme="minorHAnsi"/>
          <w:lang w:val="es-ES_tradnl"/>
        </w:rPr>
        <w:t>CDB</w:t>
      </w:r>
      <w:r w:rsidR="00B7361F">
        <w:rPr>
          <w:rFonts w:asciiTheme="minorHAnsi" w:hAnsiTheme="minorHAnsi"/>
          <w:lang w:val="es-ES_tradnl"/>
        </w:rPr>
        <w:t>),</w:t>
      </w:r>
      <w:r w:rsidRPr="00F62B95">
        <w:rPr>
          <w:rFonts w:asciiTheme="minorHAnsi" w:hAnsiTheme="minorHAnsi"/>
          <w:lang w:val="es-ES_tradnl"/>
        </w:rPr>
        <w:t xml:space="preserve"> </w:t>
      </w:r>
      <w:r w:rsidR="00B7361F">
        <w:rPr>
          <w:rFonts w:asciiTheme="minorHAnsi" w:hAnsiTheme="minorHAnsi"/>
          <w:lang w:val="es-ES_tradnl"/>
        </w:rPr>
        <w:t>entre</w:t>
      </w:r>
      <w:r w:rsidRPr="00F62B95">
        <w:rPr>
          <w:rFonts w:asciiTheme="minorHAnsi" w:hAnsiTheme="minorHAnsi"/>
          <w:lang w:val="es-ES_tradnl"/>
        </w:rPr>
        <w:t xml:space="preserve"> otros, con el fin de </w:t>
      </w:r>
      <w:r w:rsidR="00EB63C5">
        <w:rPr>
          <w:rFonts w:asciiTheme="minorHAnsi" w:hAnsiTheme="minorHAnsi"/>
          <w:lang w:val="es-ES_tradnl"/>
        </w:rPr>
        <w:t>fomentar</w:t>
      </w:r>
      <w:r w:rsidRPr="00F62B95">
        <w:rPr>
          <w:rFonts w:asciiTheme="minorHAnsi" w:hAnsiTheme="minorHAnsi"/>
          <w:lang w:val="es-ES_tradnl"/>
        </w:rPr>
        <w:t xml:space="preserve"> sinergias e intercambiar recursos, evitar la duplicación de esfuerzos y mejorar la aplicación, respetando el ma</w:t>
      </w:r>
      <w:r w:rsidR="00EB63C5">
        <w:rPr>
          <w:rFonts w:asciiTheme="minorHAnsi" w:hAnsiTheme="minorHAnsi"/>
          <w:lang w:val="es-ES_tradnl"/>
        </w:rPr>
        <w:t>ndato de cada Convención; asimismo, se pide</w:t>
      </w:r>
      <w:r w:rsidRPr="00F62B95">
        <w:rPr>
          <w:rFonts w:asciiTheme="minorHAnsi" w:hAnsiTheme="minorHAnsi"/>
          <w:lang w:val="es-ES_tradnl"/>
        </w:rPr>
        <w:t xml:space="preserve"> a la Secretaría que facilite al Comité Permanente en su 51ª reunión un plan sobre cómo aumentar la cooperación con otros AMMA y </w:t>
      </w:r>
      <w:r w:rsidR="00EB63C5">
        <w:rPr>
          <w:rFonts w:asciiTheme="minorHAnsi" w:hAnsiTheme="minorHAnsi"/>
          <w:lang w:val="es-ES_tradnl"/>
        </w:rPr>
        <w:t>que informe periódicamente de su</w:t>
      </w:r>
      <w:r w:rsidRPr="00F62B95">
        <w:rPr>
          <w:rFonts w:asciiTheme="minorHAnsi" w:hAnsiTheme="minorHAnsi"/>
          <w:lang w:val="es-ES_tradnl"/>
        </w:rPr>
        <w:t>s actividades al Comité Permanente.</w:t>
      </w:r>
    </w:p>
    <w:p w14:paraId="1B4E1708" w14:textId="77777777" w:rsidR="00073599" w:rsidRPr="00F62B95" w:rsidRDefault="00073599" w:rsidP="000B6927">
      <w:pPr>
        <w:tabs>
          <w:tab w:val="left" w:pos="709"/>
        </w:tabs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</w:p>
    <w:p w14:paraId="1DD65518" w14:textId="20DB8BAC" w:rsidR="00812CC5" w:rsidRPr="00F62B95" w:rsidRDefault="00921497" w:rsidP="000B6927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/>
          <w:lang w:val="es-ES_tradnl"/>
        </w:rPr>
      </w:pPr>
      <w:r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Por consiguiente, el presente informe se refiere a las actividades </w:t>
      </w:r>
      <w:r w:rsidR="007F575E"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realizadas </w:t>
      </w:r>
      <w:r w:rsidR="000E5F96"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conforme a lo previsto por las Resoluciones </w:t>
      </w:r>
      <w:r w:rsidR="005D6089" w:rsidRPr="00F62B95">
        <w:rPr>
          <w:rFonts w:asciiTheme="minorHAnsi" w:eastAsiaTheme="minorHAnsi" w:hAnsiTheme="minorHAnsi" w:cs="Calibri"/>
          <w:color w:val="000000"/>
          <w:lang w:val="es-ES_tradnl"/>
        </w:rPr>
        <w:t>XII.3</w:t>
      </w:r>
      <w:r w:rsidR="002A65F4"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 </w:t>
      </w:r>
      <w:r w:rsidR="00F401EC" w:rsidRPr="00F62B95">
        <w:rPr>
          <w:rFonts w:asciiTheme="minorHAnsi" w:eastAsiaTheme="minorHAnsi" w:hAnsiTheme="minorHAnsi" w:cs="Calibri"/>
          <w:color w:val="000000"/>
          <w:lang w:val="es-ES_tradnl"/>
        </w:rPr>
        <w:t>XI.6,</w:t>
      </w:r>
      <w:r w:rsidR="002A65F4"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 </w:t>
      </w:r>
      <w:r w:rsidR="000508B7" w:rsidRPr="00F62B95">
        <w:rPr>
          <w:rFonts w:ascii="Calibri" w:eastAsiaTheme="minorHAnsi" w:hAnsi="Calibri" w:cs="Calibri"/>
          <w:color w:val="000000"/>
          <w:lang w:val="es-ES_tradnl"/>
        </w:rPr>
        <w:t>concretamente las actividades realizadas en el Grupo de Enlace sobre la Diversidad Biológica</w:t>
      </w:r>
      <w:r w:rsidR="00C22296"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, </w:t>
      </w:r>
      <w:r w:rsidR="000E5F96"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la </w:t>
      </w:r>
      <w:r w:rsidR="00C22296" w:rsidRPr="00F62B95">
        <w:rPr>
          <w:rFonts w:asciiTheme="minorHAnsi" w:eastAsiaTheme="minorHAnsi" w:hAnsiTheme="minorHAnsi" w:cs="Calibri"/>
          <w:color w:val="000000"/>
          <w:lang w:val="es-ES_tradnl"/>
        </w:rPr>
        <w:t>IPBES</w:t>
      </w:r>
      <w:r w:rsidR="002A65F4" w:rsidRPr="00F62B95">
        <w:rPr>
          <w:rFonts w:asciiTheme="minorHAnsi" w:hAnsiTheme="minorHAnsi"/>
          <w:lang w:val="es-ES_tradnl"/>
        </w:rPr>
        <w:t xml:space="preserve"> </w:t>
      </w:r>
      <w:r w:rsidR="000E5F96" w:rsidRPr="00F62B95">
        <w:rPr>
          <w:rFonts w:asciiTheme="minorHAnsi" w:hAnsiTheme="minorHAnsi"/>
          <w:lang w:val="es-ES_tradnl"/>
        </w:rPr>
        <w:t>y</w:t>
      </w:r>
      <w:r w:rsidR="002A65F4" w:rsidRPr="00F62B95">
        <w:rPr>
          <w:rFonts w:asciiTheme="minorHAnsi" w:hAnsiTheme="minorHAnsi"/>
          <w:lang w:val="es-ES_tradnl"/>
        </w:rPr>
        <w:t xml:space="preserve"> </w:t>
      </w:r>
      <w:r w:rsidR="000E5F96" w:rsidRPr="00F62B95">
        <w:rPr>
          <w:rFonts w:asciiTheme="minorHAnsi" w:hAnsiTheme="minorHAnsi"/>
          <w:lang w:val="es-ES_tradnl"/>
        </w:rPr>
        <w:t xml:space="preserve">los progresos logrados con los AMMA, el PNUMA y otras instituciones. </w:t>
      </w:r>
    </w:p>
    <w:p w14:paraId="428B2AA6" w14:textId="77777777" w:rsidR="00812CC5" w:rsidRPr="00F62B95" w:rsidRDefault="00812CC5" w:rsidP="001B1570">
      <w:pPr>
        <w:pStyle w:val="ListParagraph"/>
        <w:ind w:left="0"/>
        <w:jc w:val="left"/>
        <w:rPr>
          <w:rFonts w:asciiTheme="minorHAnsi" w:hAnsiTheme="minorHAnsi"/>
          <w:lang w:val="es-ES_tradnl"/>
        </w:rPr>
      </w:pPr>
    </w:p>
    <w:p w14:paraId="3F3938A7" w14:textId="425FE325" w:rsidR="00C80895" w:rsidRPr="00F62B95" w:rsidRDefault="00C80895" w:rsidP="00C80895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F62B95">
        <w:rPr>
          <w:rFonts w:asciiTheme="minorHAnsi" w:hAnsiTheme="minorHAnsi"/>
          <w:b/>
          <w:sz w:val="22"/>
          <w:szCs w:val="22"/>
          <w:lang w:val="es-ES_tradnl"/>
        </w:rPr>
        <w:t>Trabajo en el marco del Grupo de Enlace sobre la Diversidad Biológica y los órganos científicos de las Convenciones relacionadas con la biodiversidad</w:t>
      </w:r>
    </w:p>
    <w:p w14:paraId="626CE2D9" w14:textId="77777777" w:rsidR="00F401EC" w:rsidRPr="00F62B95" w:rsidRDefault="00F401EC" w:rsidP="001B1570">
      <w:pPr>
        <w:rPr>
          <w:rFonts w:asciiTheme="minorHAnsi" w:hAnsiTheme="minorHAnsi"/>
          <w:sz w:val="22"/>
          <w:szCs w:val="22"/>
          <w:lang w:val="es-ES_tradnl"/>
        </w:rPr>
      </w:pPr>
    </w:p>
    <w:p w14:paraId="53110169" w14:textId="1AB1D764" w:rsidR="001B1570" w:rsidRPr="00F62B95" w:rsidRDefault="00C549BD" w:rsidP="001B1570">
      <w:pPr>
        <w:pStyle w:val="Default"/>
        <w:numPr>
          <w:ilvl w:val="0"/>
          <w:numId w:val="19"/>
        </w:numPr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La Secretaría de Ramsar </w:t>
      </w:r>
      <w:r w:rsidR="00DF1101" w:rsidRPr="00F62B95">
        <w:rPr>
          <w:rFonts w:asciiTheme="minorHAnsi" w:hAnsiTheme="minorHAnsi" w:cs="Calibri"/>
          <w:sz w:val="22"/>
          <w:szCs w:val="22"/>
          <w:lang w:val="es-ES_tradnl"/>
        </w:rPr>
        <w:t>ha seguido participando en las reuniones y ac</w:t>
      </w:r>
      <w:r w:rsidR="005F4888" w:rsidRPr="00F62B95">
        <w:rPr>
          <w:rFonts w:asciiTheme="minorHAnsi" w:hAnsiTheme="minorHAnsi" w:cs="Calibri"/>
          <w:sz w:val="22"/>
          <w:szCs w:val="22"/>
          <w:lang w:val="es-ES_tradnl"/>
        </w:rPr>
        <w:t>tividades conjun</w:t>
      </w:r>
      <w:r w:rsidR="00DF1101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tas del </w:t>
      </w:r>
      <w:r w:rsidR="005F4888" w:rsidRPr="00F62B95">
        <w:rPr>
          <w:rFonts w:asciiTheme="minorHAnsi" w:hAnsiTheme="minorHAnsi" w:cs="Calibri"/>
          <w:sz w:val="22"/>
          <w:szCs w:val="22"/>
          <w:lang w:val="es-ES_tradnl"/>
        </w:rPr>
        <w:t>Grupo de Enlace sobre la Diversidad Biológica (BLG)</w:t>
      </w:r>
      <w:r w:rsidR="005F4888" w:rsidRPr="00F62B95">
        <w:rPr>
          <w:rFonts w:ascii="Calibri" w:hAnsi="Calibri" w:cs="Calibri"/>
          <w:lang w:val="es-ES_tradnl"/>
        </w:rPr>
        <w:t xml:space="preserve"> </w:t>
      </w:r>
      <w:r w:rsidR="005F4888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con arreglo al plan de actividades conjuntas. La Secretaria General </w:t>
      </w:r>
      <w:r w:rsidR="00EB63C5">
        <w:rPr>
          <w:rFonts w:asciiTheme="minorHAnsi" w:hAnsiTheme="minorHAnsi" w:cs="Calibri"/>
          <w:sz w:val="22"/>
          <w:szCs w:val="22"/>
          <w:lang w:val="es-ES_tradnl"/>
        </w:rPr>
        <w:t>adjunta</w:t>
      </w:r>
      <w:r w:rsidR="005F4888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 presidió la reunión del BLG celebrada en septiembre de 2015, en la que se debatieron cuestiones esenciales, entre ellas:</w:t>
      </w:r>
      <w:r w:rsidR="003E7575">
        <w:rPr>
          <w:rFonts w:asciiTheme="minorHAnsi" w:hAnsiTheme="minorHAnsi" w:cs="Calibri"/>
          <w:sz w:val="22"/>
          <w:szCs w:val="22"/>
          <w:lang w:val="es-ES_tradnl"/>
        </w:rPr>
        <w:t xml:space="preserve"> </w:t>
      </w:r>
    </w:p>
    <w:p w14:paraId="05CB27DD" w14:textId="4F926DE5" w:rsidR="001B1570" w:rsidRPr="00F62B95" w:rsidRDefault="0087471E" w:rsidP="001B1570">
      <w:pPr>
        <w:pStyle w:val="Default"/>
        <w:numPr>
          <w:ilvl w:val="1"/>
          <w:numId w:val="19"/>
        </w:numPr>
        <w:ind w:left="851" w:hanging="425"/>
        <w:rPr>
          <w:rFonts w:asciiTheme="minorHAnsi" w:hAnsiTheme="minorHAnsi"/>
          <w:sz w:val="22"/>
          <w:szCs w:val="22"/>
          <w:lang w:val="es-ES_tradnl"/>
        </w:rPr>
      </w:pPr>
      <w:r w:rsidRPr="00F62B95">
        <w:rPr>
          <w:rFonts w:asciiTheme="minorHAnsi" w:hAnsiTheme="minorHAnsi" w:cs="Calibri"/>
          <w:sz w:val="22"/>
          <w:szCs w:val="22"/>
          <w:lang w:val="es-ES_tradnl"/>
        </w:rPr>
        <w:t>la sesión del</w:t>
      </w:r>
      <w:r w:rsidR="008932A5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 </w:t>
      </w:r>
      <w:r w:rsidR="001D2EF9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BLG </w:t>
      </w:r>
      <w:r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sobre </w:t>
      </w:r>
      <w:r w:rsidR="005F4888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los Objetivos de Desarrollo Sostenible </w:t>
      </w:r>
      <w:r w:rsidR="00870DDD" w:rsidRPr="00F62B95">
        <w:rPr>
          <w:rFonts w:asciiTheme="minorHAnsi" w:hAnsiTheme="minorHAnsi" w:cs="Calibri"/>
          <w:sz w:val="22"/>
          <w:szCs w:val="22"/>
          <w:lang w:val="es-ES_tradnl"/>
        </w:rPr>
        <w:t>(</w:t>
      </w:r>
      <w:r w:rsidR="005F4888" w:rsidRPr="00F62B95">
        <w:rPr>
          <w:rFonts w:asciiTheme="minorHAnsi" w:hAnsiTheme="minorHAnsi" w:cs="Calibri"/>
          <w:sz w:val="22"/>
          <w:szCs w:val="22"/>
          <w:lang w:val="es-ES_tradnl"/>
        </w:rPr>
        <w:t>ODS</w:t>
      </w:r>
      <w:r w:rsidR="00870DDD" w:rsidRPr="00F62B95">
        <w:rPr>
          <w:rFonts w:asciiTheme="minorHAnsi" w:hAnsiTheme="minorHAnsi" w:cs="Calibri"/>
          <w:sz w:val="22"/>
          <w:szCs w:val="22"/>
          <w:lang w:val="es-ES_tradnl"/>
        </w:rPr>
        <w:t>)</w:t>
      </w:r>
      <w:r w:rsidR="001B1570" w:rsidRPr="00F62B95">
        <w:rPr>
          <w:rFonts w:asciiTheme="minorHAnsi" w:hAnsiTheme="minorHAnsi" w:cs="Calibri"/>
          <w:sz w:val="22"/>
          <w:szCs w:val="22"/>
          <w:lang w:val="es-ES_tradnl"/>
        </w:rPr>
        <w:t>;</w:t>
      </w:r>
    </w:p>
    <w:p w14:paraId="296F0951" w14:textId="39E77A24" w:rsidR="001B1570" w:rsidRPr="00F62B95" w:rsidRDefault="0087471E" w:rsidP="001B1570">
      <w:pPr>
        <w:pStyle w:val="Default"/>
        <w:numPr>
          <w:ilvl w:val="1"/>
          <w:numId w:val="19"/>
        </w:numPr>
        <w:ind w:left="851" w:hanging="425"/>
        <w:rPr>
          <w:rFonts w:asciiTheme="minorHAnsi" w:hAnsiTheme="minorHAnsi"/>
          <w:sz w:val="22"/>
          <w:szCs w:val="22"/>
          <w:lang w:val="es-ES_tradnl"/>
        </w:rPr>
      </w:pPr>
      <w:r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la petición de la </w:t>
      </w:r>
      <w:r w:rsidR="001D2EF9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IPBES </w:t>
      </w:r>
      <w:r w:rsidRPr="00F62B95">
        <w:rPr>
          <w:rFonts w:asciiTheme="minorHAnsi" w:hAnsiTheme="minorHAnsi" w:cs="Calibri"/>
          <w:sz w:val="22"/>
          <w:szCs w:val="22"/>
          <w:lang w:val="es-ES_tradnl"/>
        </w:rPr>
        <w:t>dirigida a las Secretarías de los AMMA para que desarrollen asociaciones de colaboración estratégicas, basadas en el modelo actual de asociación de colaboración estraté</w:t>
      </w:r>
      <w:r w:rsidR="00EB63C5">
        <w:rPr>
          <w:rFonts w:asciiTheme="minorHAnsi" w:hAnsiTheme="minorHAnsi" w:cs="Calibri"/>
          <w:sz w:val="22"/>
          <w:szCs w:val="22"/>
          <w:lang w:val="es-ES_tradnl"/>
        </w:rPr>
        <w:t>gica con la Secretaría del CDB</w:t>
      </w:r>
      <w:r w:rsidR="00EB4809" w:rsidRPr="00F62B95">
        <w:rPr>
          <w:rFonts w:asciiTheme="minorHAnsi" w:hAnsiTheme="minorHAnsi"/>
          <w:sz w:val="22"/>
          <w:szCs w:val="22"/>
          <w:lang w:val="es-ES_tradnl"/>
        </w:rPr>
        <w:t>;</w:t>
      </w:r>
      <w:r w:rsidR="003E7575"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14:paraId="60DCA443" w14:textId="01E1201D" w:rsidR="001B1570" w:rsidRPr="00F62B95" w:rsidRDefault="0087471E" w:rsidP="001B1570">
      <w:pPr>
        <w:pStyle w:val="Default"/>
        <w:numPr>
          <w:ilvl w:val="1"/>
          <w:numId w:val="19"/>
        </w:numPr>
        <w:ind w:left="851" w:hanging="425"/>
        <w:rPr>
          <w:rFonts w:asciiTheme="minorHAnsi" w:hAnsiTheme="minorHAnsi"/>
          <w:sz w:val="22"/>
          <w:szCs w:val="22"/>
          <w:lang w:val="es-ES_tradnl"/>
        </w:rPr>
      </w:pPr>
      <w:r w:rsidRPr="00F62B95">
        <w:rPr>
          <w:rFonts w:asciiTheme="minorHAnsi" w:hAnsiTheme="minorHAnsi"/>
          <w:sz w:val="22"/>
          <w:szCs w:val="22"/>
          <w:lang w:val="es-ES_tradnl"/>
        </w:rPr>
        <w:t xml:space="preserve">la decisión </w:t>
      </w:r>
      <w:r w:rsidR="00EB4809" w:rsidRPr="00F62B95">
        <w:rPr>
          <w:rFonts w:asciiTheme="minorHAnsi" w:hAnsiTheme="minorHAnsi"/>
          <w:sz w:val="22"/>
          <w:szCs w:val="22"/>
          <w:lang w:val="es-ES_tradnl"/>
        </w:rPr>
        <w:t xml:space="preserve">XII/6 </w:t>
      </w:r>
      <w:r w:rsidRPr="00F62B95">
        <w:rPr>
          <w:rFonts w:asciiTheme="minorHAnsi" w:hAnsiTheme="minorHAnsi"/>
          <w:sz w:val="22"/>
          <w:szCs w:val="22"/>
          <w:lang w:val="es-ES_tradnl"/>
        </w:rPr>
        <w:t>de la Conferencia d</w:t>
      </w:r>
      <w:r w:rsidR="00EB63C5">
        <w:rPr>
          <w:rFonts w:asciiTheme="minorHAnsi" w:hAnsiTheme="minorHAnsi"/>
          <w:sz w:val="22"/>
          <w:szCs w:val="22"/>
          <w:lang w:val="es-ES_tradnl"/>
        </w:rPr>
        <w:t>e las Partes d</w:t>
      </w:r>
      <w:r w:rsidR="0030465B" w:rsidRPr="00F62B95">
        <w:rPr>
          <w:rFonts w:asciiTheme="minorHAnsi" w:hAnsiTheme="minorHAnsi"/>
          <w:sz w:val="22"/>
          <w:szCs w:val="22"/>
          <w:lang w:val="es-ES_tradnl"/>
        </w:rPr>
        <w:t>el CDB sobre el proceso establecido</w:t>
      </w:r>
      <w:r w:rsidR="00A67FA2" w:rsidRPr="00F62B95">
        <w:rPr>
          <w:rFonts w:asciiTheme="minorHAnsi" w:hAnsiTheme="minorHAnsi"/>
          <w:sz w:val="22"/>
          <w:szCs w:val="22"/>
          <w:lang w:val="es-ES_tradnl"/>
        </w:rPr>
        <w:t>,</w:t>
      </w:r>
      <w:r w:rsidR="0030465B" w:rsidRPr="00F62B95">
        <w:rPr>
          <w:rFonts w:asciiTheme="minorHAnsi" w:hAnsiTheme="minorHAnsi"/>
          <w:sz w:val="22"/>
          <w:szCs w:val="22"/>
          <w:lang w:val="es-ES_tradnl"/>
        </w:rPr>
        <w:t xml:space="preserve"> impulsado por las Partes</w:t>
      </w:r>
      <w:r w:rsidR="00A67FA2" w:rsidRPr="00F62B95">
        <w:rPr>
          <w:rFonts w:asciiTheme="minorHAnsi" w:hAnsiTheme="minorHAnsi"/>
          <w:sz w:val="22"/>
          <w:szCs w:val="22"/>
          <w:lang w:val="es-ES_tradnl"/>
        </w:rPr>
        <w:t>,</w:t>
      </w:r>
      <w:r w:rsidR="0030465B" w:rsidRPr="00F62B95">
        <w:rPr>
          <w:rFonts w:asciiTheme="minorHAnsi" w:hAnsiTheme="minorHAnsi"/>
          <w:sz w:val="22"/>
          <w:szCs w:val="22"/>
          <w:lang w:val="es-ES_tradnl"/>
        </w:rPr>
        <w:t xml:space="preserve"> relativo a la cooperación entre las Convenciones relacionadas con la diversidad biológica y </w:t>
      </w:r>
      <w:r w:rsidR="00A67FA2" w:rsidRPr="00F62B95">
        <w:rPr>
          <w:rFonts w:asciiTheme="minorHAnsi" w:hAnsiTheme="minorHAnsi"/>
          <w:sz w:val="22"/>
          <w:szCs w:val="22"/>
          <w:lang w:val="es-ES_tradnl"/>
        </w:rPr>
        <w:t xml:space="preserve">el taller </w:t>
      </w:r>
      <w:r w:rsidR="006E3462" w:rsidRPr="00F62B95">
        <w:rPr>
          <w:rFonts w:asciiTheme="minorHAnsi" w:hAnsiTheme="minorHAnsi"/>
          <w:sz w:val="22"/>
          <w:szCs w:val="22"/>
          <w:lang w:val="es-ES_tradnl"/>
        </w:rPr>
        <w:t xml:space="preserve">correspondiente </w:t>
      </w:r>
      <w:r w:rsidR="00A67FA2" w:rsidRPr="00F62B95">
        <w:rPr>
          <w:rFonts w:asciiTheme="minorHAnsi" w:hAnsiTheme="minorHAnsi"/>
          <w:sz w:val="22"/>
          <w:szCs w:val="22"/>
          <w:lang w:val="es-ES_tradnl"/>
        </w:rPr>
        <w:t xml:space="preserve">sobre sinergias </w:t>
      </w:r>
      <w:r w:rsidR="008932A5" w:rsidRPr="00F62B95">
        <w:rPr>
          <w:rFonts w:asciiTheme="minorHAnsi" w:hAnsiTheme="minorHAnsi"/>
          <w:sz w:val="22"/>
          <w:szCs w:val="22"/>
          <w:lang w:val="es-ES_tradnl"/>
        </w:rPr>
        <w:t>(G</w:t>
      </w:r>
      <w:r w:rsidR="00A67FA2" w:rsidRPr="00F62B95">
        <w:rPr>
          <w:rFonts w:asciiTheme="minorHAnsi" w:hAnsiTheme="minorHAnsi"/>
          <w:sz w:val="22"/>
          <w:szCs w:val="22"/>
          <w:lang w:val="es-ES_tradnl"/>
        </w:rPr>
        <w:t>inebra</w:t>
      </w:r>
      <w:r w:rsidR="008932A5" w:rsidRPr="00F62B95">
        <w:rPr>
          <w:rFonts w:asciiTheme="minorHAnsi" w:hAnsiTheme="minorHAnsi"/>
          <w:sz w:val="22"/>
          <w:szCs w:val="22"/>
          <w:lang w:val="es-ES_tradnl"/>
        </w:rPr>
        <w:t xml:space="preserve">, </w:t>
      </w:r>
      <w:r w:rsidR="00A67FA2" w:rsidRPr="00F62B95">
        <w:rPr>
          <w:rFonts w:asciiTheme="minorHAnsi" w:hAnsiTheme="minorHAnsi"/>
          <w:sz w:val="22"/>
          <w:szCs w:val="22"/>
          <w:lang w:val="es-ES_tradnl"/>
        </w:rPr>
        <w:t>febrero de</w:t>
      </w:r>
      <w:r w:rsidR="008932A5" w:rsidRPr="00F62B95">
        <w:rPr>
          <w:rFonts w:asciiTheme="minorHAnsi" w:hAnsiTheme="minorHAnsi"/>
          <w:sz w:val="22"/>
          <w:szCs w:val="22"/>
          <w:lang w:val="es-ES_tradnl"/>
        </w:rPr>
        <w:t xml:space="preserve"> 2016)</w:t>
      </w:r>
      <w:r w:rsidR="00EB4809" w:rsidRPr="00F62B95">
        <w:rPr>
          <w:rFonts w:asciiTheme="minorHAnsi" w:hAnsiTheme="minorHAnsi"/>
          <w:sz w:val="22"/>
          <w:szCs w:val="22"/>
          <w:lang w:val="es-ES_tradnl"/>
        </w:rPr>
        <w:t xml:space="preserve">; </w:t>
      </w:r>
    </w:p>
    <w:p w14:paraId="29A98A90" w14:textId="7AC1F688" w:rsidR="001B1570" w:rsidRPr="00F62B95" w:rsidRDefault="0087471E" w:rsidP="001B1570">
      <w:pPr>
        <w:pStyle w:val="Default"/>
        <w:numPr>
          <w:ilvl w:val="1"/>
          <w:numId w:val="19"/>
        </w:numPr>
        <w:ind w:left="851" w:hanging="425"/>
        <w:rPr>
          <w:rFonts w:asciiTheme="minorHAnsi" w:hAnsiTheme="minorHAnsi"/>
          <w:sz w:val="22"/>
          <w:szCs w:val="22"/>
          <w:lang w:val="es-ES_tradnl"/>
        </w:rPr>
      </w:pPr>
      <w:r w:rsidRPr="00F62B95">
        <w:rPr>
          <w:rFonts w:asciiTheme="minorHAnsi" w:hAnsiTheme="minorHAnsi"/>
          <w:sz w:val="22"/>
          <w:szCs w:val="22"/>
          <w:lang w:val="es-ES_tradnl"/>
        </w:rPr>
        <w:t xml:space="preserve">las sinergias para el desarrollo de sistemas de presentación de informes, incluyendo los sistemas futuros de presentación </w:t>
      </w:r>
      <w:r w:rsidR="006E3462" w:rsidRPr="00F62B95">
        <w:rPr>
          <w:rFonts w:asciiTheme="minorHAnsi" w:hAnsiTheme="minorHAnsi"/>
          <w:sz w:val="22"/>
          <w:szCs w:val="22"/>
          <w:lang w:val="es-ES_tradnl"/>
        </w:rPr>
        <w:t>electrónica de informes</w:t>
      </w:r>
      <w:r w:rsidR="00EB4809" w:rsidRPr="00F62B95">
        <w:rPr>
          <w:rFonts w:asciiTheme="minorHAnsi" w:hAnsiTheme="minorHAnsi"/>
          <w:sz w:val="22"/>
          <w:szCs w:val="22"/>
          <w:lang w:val="es-ES_tradnl"/>
        </w:rPr>
        <w:t xml:space="preserve">; </w:t>
      </w:r>
    </w:p>
    <w:p w14:paraId="657E4CAA" w14:textId="15AB97B5" w:rsidR="001B1570" w:rsidRPr="00F62B95" w:rsidRDefault="0087471E" w:rsidP="001B1570">
      <w:pPr>
        <w:pStyle w:val="Default"/>
        <w:numPr>
          <w:ilvl w:val="1"/>
          <w:numId w:val="19"/>
        </w:numPr>
        <w:ind w:left="851" w:hanging="425"/>
        <w:rPr>
          <w:rFonts w:asciiTheme="minorHAnsi" w:hAnsiTheme="minorHAnsi"/>
          <w:sz w:val="22"/>
          <w:szCs w:val="22"/>
          <w:lang w:val="es-ES_tradnl"/>
        </w:rPr>
      </w:pPr>
      <w:r w:rsidRPr="00F62B95">
        <w:rPr>
          <w:rFonts w:asciiTheme="minorHAnsi" w:hAnsiTheme="minorHAnsi"/>
          <w:sz w:val="22"/>
          <w:szCs w:val="22"/>
          <w:lang w:val="es-ES_tradnl"/>
        </w:rPr>
        <w:t>las contribuciones de las Convenciones relacionadas con la diversidad biológica y otras organizaciones a</w:t>
      </w:r>
      <w:r w:rsidR="00665CC7" w:rsidRPr="00F62B95">
        <w:rPr>
          <w:rFonts w:asciiTheme="minorHAnsi" w:hAnsiTheme="minorHAnsi"/>
          <w:sz w:val="22"/>
          <w:szCs w:val="22"/>
          <w:lang w:val="es-ES_tradnl"/>
        </w:rPr>
        <w:t xml:space="preserve"> las</w:t>
      </w:r>
      <w:r w:rsidR="003E7575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665CC7" w:rsidRPr="00F62B95">
        <w:rPr>
          <w:rFonts w:asciiTheme="minorHAnsi" w:hAnsiTheme="minorHAnsi"/>
          <w:sz w:val="22"/>
          <w:szCs w:val="22"/>
          <w:lang w:val="es-ES_tradnl"/>
        </w:rPr>
        <w:t xml:space="preserve">Metas de Aichi para la Diversidad Biológica; </w:t>
      </w:r>
    </w:p>
    <w:p w14:paraId="54840F85" w14:textId="52D794FE" w:rsidR="001B1570" w:rsidRPr="00F62B95" w:rsidRDefault="00665CC7" w:rsidP="001B1570">
      <w:pPr>
        <w:pStyle w:val="Default"/>
        <w:numPr>
          <w:ilvl w:val="1"/>
          <w:numId w:val="19"/>
        </w:numPr>
        <w:ind w:left="851" w:hanging="425"/>
        <w:rPr>
          <w:rFonts w:asciiTheme="minorHAnsi" w:hAnsiTheme="minorHAnsi"/>
          <w:sz w:val="22"/>
          <w:szCs w:val="22"/>
          <w:lang w:val="es-ES_tradnl"/>
        </w:rPr>
      </w:pPr>
      <w:r w:rsidRPr="00F62B95">
        <w:rPr>
          <w:rFonts w:asciiTheme="minorHAnsi" w:hAnsiTheme="minorHAnsi"/>
          <w:sz w:val="22"/>
          <w:szCs w:val="22"/>
          <w:lang w:val="es-ES_tradnl"/>
        </w:rPr>
        <w:t xml:space="preserve">promoción y comunicación; y </w:t>
      </w:r>
    </w:p>
    <w:p w14:paraId="42AE9746" w14:textId="41516E24" w:rsidR="00EB4809" w:rsidRPr="00F62B95" w:rsidRDefault="002E5ADC" w:rsidP="001B1570">
      <w:pPr>
        <w:pStyle w:val="Default"/>
        <w:numPr>
          <w:ilvl w:val="1"/>
          <w:numId w:val="19"/>
        </w:numPr>
        <w:ind w:left="851" w:hanging="425"/>
        <w:rPr>
          <w:rFonts w:asciiTheme="minorHAnsi" w:hAnsiTheme="minorHAnsi"/>
          <w:sz w:val="22"/>
          <w:szCs w:val="22"/>
          <w:lang w:val="es-ES_tradnl"/>
        </w:rPr>
      </w:pPr>
      <w:r w:rsidRPr="00F62B95">
        <w:rPr>
          <w:rFonts w:asciiTheme="minorHAnsi" w:hAnsiTheme="minorHAnsi"/>
          <w:sz w:val="22"/>
          <w:szCs w:val="22"/>
          <w:lang w:val="es-ES_tradnl"/>
        </w:rPr>
        <w:t xml:space="preserve">la Decisión </w:t>
      </w:r>
      <w:r w:rsidR="005E2530" w:rsidRPr="00F62B95">
        <w:rPr>
          <w:rFonts w:asciiTheme="minorHAnsi" w:hAnsiTheme="minorHAnsi"/>
          <w:sz w:val="22"/>
          <w:szCs w:val="22"/>
          <w:lang w:val="es-ES_tradnl"/>
        </w:rPr>
        <w:t xml:space="preserve">XII/30 </w:t>
      </w:r>
      <w:r w:rsidRPr="00F62B95">
        <w:rPr>
          <w:rFonts w:asciiTheme="minorHAnsi" w:hAnsiTheme="minorHAnsi"/>
          <w:sz w:val="22"/>
          <w:szCs w:val="22"/>
          <w:lang w:val="es-ES_tradnl"/>
        </w:rPr>
        <w:t xml:space="preserve">adoptada por la Conferencia de las Partes del CDB sobre el mecanismo financiero. </w:t>
      </w:r>
    </w:p>
    <w:p w14:paraId="1C8EEFE0" w14:textId="77777777" w:rsidR="00DC15A2" w:rsidRPr="00F62B95" w:rsidRDefault="00DC15A2" w:rsidP="001B1570">
      <w:pPr>
        <w:rPr>
          <w:rFonts w:asciiTheme="minorHAnsi" w:eastAsiaTheme="minorHAnsi" w:hAnsiTheme="minorHAnsi" w:cs="Calibri"/>
          <w:color w:val="000000"/>
          <w:sz w:val="22"/>
          <w:szCs w:val="22"/>
          <w:lang w:val="es-ES_tradnl"/>
        </w:rPr>
      </w:pPr>
    </w:p>
    <w:p w14:paraId="5624455D" w14:textId="443068B1" w:rsidR="00196C03" w:rsidRPr="00F62B95" w:rsidRDefault="00DF1101" w:rsidP="001B157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/>
          <w:b/>
          <w:lang w:val="es-ES_tradnl"/>
        </w:rPr>
      </w:pPr>
      <w:r w:rsidRPr="00F62B95">
        <w:rPr>
          <w:rFonts w:asciiTheme="minorHAnsi" w:eastAsiaTheme="minorHAnsi" w:hAnsiTheme="minorHAnsi" w:cs="Calibri"/>
          <w:color w:val="000000"/>
          <w:lang w:val="es-ES_tradnl"/>
        </w:rPr>
        <w:t>La Secretaría tambi</w:t>
      </w:r>
      <w:r w:rsidR="0024470D" w:rsidRPr="00F62B95">
        <w:rPr>
          <w:rFonts w:asciiTheme="minorHAnsi" w:eastAsiaTheme="minorHAnsi" w:hAnsiTheme="minorHAnsi" w:cs="Calibri"/>
          <w:color w:val="000000"/>
          <w:lang w:val="es-ES_tradnl"/>
        </w:rPr>
        <w:t>én participó en el t</w:t>
      </w:r>
      <w:r w:rsidRPr="00F62B95">
        <w:rPr>
          <w:rFonts w:asciiTheme="minorHAnsi" w:eastAsiaTheme="minorHAnsi" w:hAnsiTheme="minorHAnsi" w:cs="Calibri"/>
          <w:color w:val="000000"/>
          <w:lang w:val="es-ES_tradnl"/>
        </w:rPr>
        <w:t>aller sobre</w:t>
      </w:r>
      <w:r w:rsidR="00EB63C5">
        <w:rPr>
          <w:rFonts w:asciiTheme="minorHAnsi" w:eastAsiaTheme="minorHAnsi" w:hAnsiTheme="minorHAnsi" w:cs="Calibri"/>
          <w:color w:val="000000"/>
          <w:lang w:val="es-ES_tradnl"/>
        </w:rPr>
        <w:t xml:space="preserve"> sinergias entre las Convenciones relacionadas </w:t>
      </w:r>
      <w:r w:rsidR="0024470D" w:rsidRPr="00F62B95">
        <w:rPr>
          <w:rFonts w:asciiTheme="minorHAnsi" w:eastAsiaTheme="minorHAnsi" w:hAnsiTheme="minorHAnsi" w:cs="Calibri"/>
          <w:color w:val="000000"/>
          <w:lang w:val="es-ES_tradnl"/>
        </w:rPr>
        <w:t>con la biodiversidad</w:t>
      </w:r>
      <w:r w:rsidR="00EB63C5">
        <w:rPr>
          <w:rFonts w:asciiTheme="minorHAnsi" w:eastAsiaTheme="minorHAnsi" w:hAnsiTheme="minorHAnsi" w:cs="Calibri"/>
          <w:color w:val="000000"/>
          <w:lang w:val="es-ES_tradnl"/>
        </w:rPr>
        <w:t>,</w:t>
      </w:r>
      <w:r w:rsidR="0024470D"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 organizado por la Secretaría del CDB y el </w:t>
      </w:r>
      <w:r w:rsidR="00722CEF" w:rsidRPr="00F62B95">
        <w:rPr>
          <w:rFonts w:asciiTheme="minorHAnsi" w:eastAsiaTheme="minorHAnsi" w:hAnsiTheme="minorHAnsi" w:cs="Calibri"/>
          <w:color w:val="000000"/>
          <w:lang w:val="es-ES_tradnl"/>
        </w:rPr>
        <w:t>grupo asesor oficioso</w:t>
      </w:r>
      <w:r w:rsidR="00EB63C5">
        <w:rPr>
          <w:rFonts w:asciiTheme="minorHAnsi" w:eastAsiaTheme="minorHAnsi" w:hAnsiTheme="minorHAnsi" w:cs="Calibri"/>
          <w:color w:val="000000"/>
          <w:lang w:val="es-ES_tradnl"/>
        </w:rPr>
        <w:t>,</w:t>
      </w:r>
      <w:r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 que se celebró en Ginebra del 8 al 11 de febrero. Los Coordinadores Nacionales de las siete Convenciones relacionadas con la diversidad biológica debatieron sobre las opciones, incluyendo los elementos de una posible hoja de ruta, para fomentar las sinergias y mejorar la eficacia de las Convenciones en el cumplimiento de sus mandatos. </w:t>
      </w:r>
      <w:r w:rsidR="00834A95" w:rsidRPr="00F62B95">
        <w:rPr>
          <w:rFonts w:asciiTheme="minorHAnsi" w:hAnsiTheme="minorHAnsi"/>
          <w:lang w:val="es-ES_tradnl"/>
        </w:rPr>
        <w:t>Se informará de l</w:t>
      </w:r>
      <w:r w:rsidRPr="00F62B95">
        <w:rPr>
          <w:rFonts w:asciiTheme="minorHAnsi" w:hAnsiTheme="minorHAnsi"/>
          <w:lang w:val="es-ES_tradnl"/>
        </w:rPr>
        <w:t>os resultados y recomendaciones del taller</w:t>
      </w:r>
      <w:r w:rsidR="00834A95" w:rsidRPr="00F62B95">
        <w:rPr>
          <w:rFonts w:asciiTheme="minorHAnsi" w:hAnsiTheme="minorHAnsi"/>
          <w:lang w:val="es-ES_tradnl"/>
        </w:rPr>
        <w:t xml:space="preserve"> a la primera reunión del</w:t>
      </w:r>
      <w:r w:rsidR="003E7575">
        <w:rPr>
          <w:rFonts w:asciiTheme="minorHAnsi" w:hAnsiTheme="minorHAnsi"/>
          <w:lang w:val="es-ES_tradnl"/>
        </w:rPr>
        <w:t xml:space="preserve"> </w:t>
      </w:r>
      <w:r w:rsidR="00FF52FE" w:rsidRPr="00F62B95">
        <w:rPr>
          <w:rFonts w:asciiTheme="minorHAnsi" w:hAnsiTheme="minorHAnsi"/>
          <w:lang w:val="es-ES_tradnl"/>
        </w:rPr>
        <w:t xml:space="preserve">Órgano Subsidiario </w:t>
      </w:r>
      <w:r w:rsidR="00834A95" w:rsidRPr="00F62B95">
        <w:rPr>
          <w:rFonts w:asciiTheme="minorHAnsi" w:hAnsiTheme="minorHAnsi"/>
          <w:lang w:val="es-ES_tradnl"/>
        </w:rPr>
        <w:t xml:space="preserve">para la Aplicación del CDB en mayo de 2016, </w:t>
      </w:r>
      <w:r w:rsidRPr="00F62B95">
        <w:rPr>
          <w:rFonts w:asciiTheme="minorHAnsi" w:hAnsiTheme="minorHAnsi"/>
          <w:lang w:val="es-ES_tradnl"/>
        </w:rPr>
        <w:t xml:space="preserve">a fin de que pueda negociar un </w:t>
      </w:r>
      <w:r w:rsidR="00EB63C5">
        <w:rPr>
          <w:rFonts w:asciiTheme="minorHAnsi" w:hAnsiTheme="minorHAnsi"/>
          <w:lang w:val="es-ES_tradnl"/>
        </w:rPr>
        <w:t>proyecto de decis</w:t>
      </w:r>
      <w:r w:rsidR="0024470D" w:rsidRPr="00F62B95">
        <w:rPr>
          <w:rFonts w:asciiTheme="minorHAnsi" w:hAnsiTheme="minorHAnsi"/>
          <w:lang w:val="es-ES_tradnl"/>
        </w:rPr>
        <w:t xml:space="preserve">ión </w:t>
      </w:r>
      <w:r w:rsidRPr="00F62B95">
        <w:rPr>
          <w:rFonts w:asciiTheme="minorHAnsi" w:hAnsiTheme="minorHAnsi"/>
          <w:lang w:val="es-ES_tradnl"/>
        </w:rPr>
        <w:t xml:space="preserve">para someter a la consideración de la </w:t>
      </w:r>
      <w:r w:rsidR="0024470D" w:rsidRPr="00F62B95">
        <w:rPr>
          <w:rFonts w:asciiTheme="minorHAnsi" w:hAnsiTheme="minorHAnsi"/>
          <w:lang w:val="es-ES_tradnl"/>
        </w:rPr>
        <w:t xml:space="preserve">13ª reunión de la Conferencia de las Partes en diciembre de 2016. El orden del día y los documentos de la reunión están disponibles en el sitio web del CDB en: </w:t>
      </w:r>
      <w:hyperlink r:id="rId9" w:history="1">
        <w:r w:rsidR="00D0074C" w:rsidRPr="00F62B95">
          <w:rPr>
            <w:rStyle w:val="Hyperlink"/>
            <w:rFonts w:asciiTheme="minorHAnsi" w:eastAsiaTheme="minorHAnsi" w:hAnsiTheme="minorHAnsi" w:cs="Calibri"/>
            <w:lang w:val="es-ES_tradnl"/>
          </w:rPr>
          <w:t>https://www.cbd.int/doc/?meeting=BRCWS-2016-01</w:t>
        </w:r>
      </w:hyperlink>
      <w:r w:rsidR="00D0074C" w:rsidRPr="00F62B95">
        <w:rPr>
          <w:rFonts w:asciiTheme="minorHAnsi" w:eastAsiaTheme="minorHAnsi" w:hAnsiTheme="minorHAnsi" w:cs="Calibri"/>
          <w:color w:val="000000"/>
          <w:lang w:val="es-ES_tradnl"/>
        </w:rPr>
        <w:t>.</w:t>
      </w:r>
      <w:r w:rsidR="003E7575">
        <w:rPr>
          <w:rFonts w:asciiTheme="minorHAnsi" w:eastAsiaTheme="minorHAnsi" w:hAnsiTheme="minorHAnsi" w:cs="Calibri"/>
          <w:color w:val="000000"/>
          <w:lang w:val="es-ES_tradnl"/>
        </w:rPr>
        <w:t xml:space="preserve"> </w:t>
      </w:r>
    </w:p>
    <w:p w14:paraId="7A429999" w14:textId="77777777" w:rsidR="001B1570" w:rsidRPr="00F62B95" w:rsidRDefault="001B1570" w:rsidP="001B157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es-ES_tradnl"/>
        </w:rPr>
      </w:pPr>
    </w:p>
    <w:p w14:paraId="1410C9FD" w14:textId="0BEB7134" w:rsidR="00A963DB" w:rsidRPr="00F62B95" w:rsidRDefault="00A963DB" w:rsidP="00A963D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2"/>
          <w:szCs w:val="22"/>
          <w:lang w:val="es-ES_tradnl" w:eastAsia="en-US"/>
        </w:rPr>
      </w:pPr>
      <w:r w:rsidRPr="00F62B95">
        <w:rPr>
          <w:rFonts w:asciiTheme="minorHAnsi" w:hAnsiTheme="minorHAnsi"/>
          <w:b/>
          <w:sz w:val="22"/>
          <w:lang w:val="es-ES_tradnl"/>
        </w:rPr>
        <w:t xml:space="preserve">Plataforma Intergubernamental sobre Diversidad Biológica </w:t>
      </w:r>
      <w:r w:rsidR="00EB63C5">
        <w:rPr>
          <w:rFonts w:asciiTheme="minorHAnsi" w:hAnsiTheme="minorHAnsi"/>
          <w:b/>
          <w:sz w:val="22"/>
          <w:lang w:val="es-ES_tradnl"/>
        </w:rPr>
        <w:t xml:space="preserve">y Servicios de los Ecosistemas </w:t>
      </w:r>
    </w:p>
    <w:p w14:paraId="680B7A8A" w14:textId="0C7C0E9F" w:rsidR="001B1570" w:rsidRPr="00F62B95" w:rsidRDefault="002A65F4" w:rsidP="001B1570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sz w:val="22"/>
          <w:szCs w:val="22"/>
          <w:lang w:val="es-ES_tradnl" w:eastAsia="en-US"/>
        </w:rPr>
      </w:pPr>
      <w:r w:rsidRPr="00F62B95"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</w:p>
    <w:p w14:paraId="6A316A49" w14:textId="7BE22BCA" w:rsidR="009A2101" w:rsidRPr="00F62B95" w:rsidRDefault="00DF1101" w:rsidP="00F62B9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426" w:hanging="426"/>
        <w:jc w:val="left"/>
        <w:rPr>
          <w:rFonts w:asciiTheme="minorHAnsi" w:hAnsiTheme="minorHAnsi"/>
          <w:b/>
          <w:bCs/>
          <w:lang w:val="es-ES_tradnl"/>
        </w:rPr>
      </w:pPr>
      <w:r w:rsidRPr="00F62B95">
        <w:rPr>
          <w:rFonts w:asciiTheme="minorHAnsi" w:hAnsiTheme="minorHAnsi"/>
          <w:lang w:val="es-ES_tradnl"/>
        </w:rPr>
        <w:t xml:space="preserve">El GECT sigue </w:t>
      </w:r>
      <w:r w:rsidR="00E6556A" w:rsidRPr="00F62B95">
        <w:rPr>
          <w:rFonts w:asciiTheme="minorHAnsi" w:hAnsiTheme="minorHAnsi"/>
          <w:lang w:val="es-ES_tradnl"/>
        </w:rPr>
        <w:t xml:space="preserve">colaborando plenamente con la </w:t>
      </w:r>
      <w:r w:rsidR="00CE31CC" w:rsidRPr="00F62B95">
        <w:rPr>
          <w:rFonts w:asciiTheme="minorHAnsi" w:hAnsiTheme="minorHAnsi"/>
          <w:lang w:val="es-ES_tradnl"/>
        </w:rPr>
        <w:t>IPBES.</w:t>
      </w:r>
      <w:r w:rsidR="002A65F4" w:rsidRPr="00F62B95">
        <w:rPr>
          <w:rFonts w:asciiTheme="minorHAnsi" w:hAnsiTheme="minorHAnsi"/>
          <w:lang w:val="es-ES_tradnl"/>
        </w:rPr>
        <w:t xml:space="preserve"> </w:t>
      </w:r>
      <w:r w:rsidR="00E6556A" w:rsidRPr="00F62B95">
        <w:rPr>
          <w:rFonts w:asciiTheme="minorHAnsi" w:hAnsiTheme="minorHAnsi"/>
          <w:lang w:val="es-ES_tradnl"/>
        </w:rPr>
        <w:t xml:space="preserve">El Presidente del GECT es observador en el Grupo multidisciplinario de expertos de la IPBES y participó en el cuarto período de sesiones </w:t>
      </w:r>
      <w:r w:rsidR="00F7392D" w:rsidRPr="00F62B95">
        <w:rPr>
          <w:rFonts w:asciiTheme="minorHAnsi" w:hAnsiTheme="minorHAnsi"/>
          <w:lang w:val="es-ES_tradnl"/>
        </w:rPr>
        <w:t>(</w:t>
      </w:r>
      <w:r w:rsidR="00CE31CC" w:rsidRPr="00F62B95">
        <w:rPr>
          <w:rFonts w:asciiTheme="minorHAnsi" w:hAnsiTheme="minorHAnsi"/>
          <w:lang w:val="es-ES_tradnl"/>
        </w:rPr>
        <w:t>IPBES</w:t>
      </w:r>
      <w:r w:rsidR="00CE31CC" w:rsidRPr="00F62B95">
        <w:rPr>
          <w:rFonts w:asciiTheme="minorHAnsi" w:hAnsiTheme="minorHAnsi" w:cs="Cambria Math"/>
          <w:lang w:val="es-ES_tradnl"/>
        </w:rPr>
        <w:t>‐</w:t>
      </w:r>
      <w:r w:rsidR="0099484B" w:rsidRPr="00F62B95">
        <w:rPr>
          <w:rFonts w:asciiTheme="minorHAnsi" w:hAnsiTheme="minorHAnsi" w:cs="Cambria Math"/>
          <w:lang w:val="es-ES_tradnl"/>
        </w:rPr>
        <w:t>4</w:t>
      </w:r>
      <w:r w:rsidR="00F7392D" w:rsidRPr="00F62B95">
        <w:rPr>
          <w:rFonts w:asciiTheme="minorHAnsi" w:hAnsiTheme="minorHAnsi" w:cs="Cambria Math"/>
          <w:lang w:val="es-ES_tradnl"/>
        </w:rPr>
        <w:t>)</w:t>
      </w:r>
      <w:r w:rsidR="00CE31CC" w:rsidRPr="00F62B95">
        <w:rPr>
          <w:rFonts w:asciiTheme="minorHAnsi" w:hAnsiTheme="minorHAnsi"/>
          <w:lang w:val="es-ES_tradnl"/>
        </w:rPr>
        <w:t>.</w:t>
      </w:r>
      <w:r w:rsidR="002A65F4" w:rsidRPr="00F62B95">
        <w:rPr>
          <w:rFonts w:asciiTheme="minorHAnsi" w:hAnsiTheme="minorHAnsi"/>
          <w:lang w:val="es-ES_tradnl"/>
        </w:rPr>
        <w:t xml:space="preserve"> </w:t>
      </w:r>
      <w:r w:rsidR="00E6556A" w:rsidRPr="00F62B95">
        <w:rPr>
          <w:rFonts w:asciiTheme="minorHAnsi" w:hAnsiTheme="minorHAnsi"/>
          <w:lang w:val="es-ES_tradnl"/>
        </w:rPr>
        <w:t>Cabe destacar que la IPBES ha publicado su primera evaluación temática</w:t>
      </w:r>
      <w:r w:rsidR="00EB63C5">
        <w:rPr>
          <w:rFonts w:asciiTheme="minorHAnsi" w:hAnsiTheme="minorHAnsi"/>
          <w:lang w:val="es-ES_tradnl"/>
        </w:rPr>
        <w:t>,</w:t>
      </w:r>
      <w:r w:rsidR="00A963DB" w:rsidRPr="00F62B95">
        <w:rPr>
          <w:rFonts w:asciiTheme="minorHAnsi" w:hAnsiTheme="minorHAnsi"/>
          <w:lang w:val="es-ES_tradnl"/>
        </w:rPr>
        <w:t xml:space="preserve"> por vía </w:t>
      </w:r>
      <w:r w:rsidR="00A963DB" w:rsidRPr="00F62B95">
        <w:rPr>
          <w:rFonts w:asciiTheme="minorHAnsi" w:hAnsiTheme="minorHAnsi"/>
          <w:lang w:val="es-ES_tradnl"/>
        </w:rPr>
        <w:lastRenderedPageBreak/>
        <w:t>rápida</w:t>
      </w:r>
      <w:r w:rsidR="00EB63C5">
        <w:rPr>
          <w:rFonts w:asciiTheme="minorHAnsi" w:hAnsiTheme="minorHAnsi"/>
          <w:lang w:val="es-ES_tradnl"/>
        </w:rPr>
        <w:t>,</w:t>
      </w:r>
      <w:r w:rsidR="00A963DB" w:rsidRPr="00F62B95">
        <w:rPr>
          <w:rFonts w:asciiTheme="minorHAnsi" w:hAnsiTheme="minorHAnsi"/>
          <w:lang w:val="es-ES_tradnl"/>
        </w:rPr>
        <w:t xml:space="preserve"> de </w:t>
      </w:r>
      <w:r w:rsidR="00E931E0" w:rsidRPr="00F62B95">
        <w:rPr>
          <w:rFonts w:asciiTheme="minorHAnsi" w:hAnsiTheme="minorHAnsi"/>
          <w:lang w:val="es-ES_tradnl"/>
        </w:rPr>
        <w:t xml:space="preserve">los polinizadores, </w:t>
      </w:r>
      <w:r w:rsidR="00A963DB" w:rsidRPr="00F62B95">
        <w:rPr>
          <w:rFonts w:asciiTheme="minorHAnsi" w:hAnsiTheme="minorHAnsi"/>
          <w:lang w:val="es-ES_tradnl"/>
        </w:rPr>
        <w:t>la polinización</w:t>
      </w:r>
      <w:r w:rsidR="00E931E0" w:rsidRPr="00F62B95">
        <w:rPr>
          <w:rFonts w:asciiTheme="minorHAnsi" w:hAnsiTheme="minorHAnsi"/>
          <w:lang w:val="es-ES_tradnl"/>
        </w:rPr>
        <w:t xml:space="preserve"> </w:t>
      </w:r>
      <w:r w:rsidR="00A963DB" w:rsidRPr="00F62B95">
        <w:rPr>
          <w:rFonts w:asciiTheme="minorHAnsi" w:hAnsiTheme="minorHAnsi"/>
          <w:lang w:val="es-ES_tradnl"/>
        </w:rPr>
        <w:t>y la producción de alimentos.</w:t>
      </w:r>
      <w:r w:rsidR="003E7575">
        <w:rPr>
          <w:rFonts w:asciiTheme="minorHAnsi" w:hAnsiTheme="minorHAnsi"/>
          <w:lang w:val="es-ES_tradnl"/>
        </w:rPr>
        <w:t xml:space="preserve"> </w:t>
      </w:r>
      <w:r w:rsidR="00A963DB" w:rsidRPr="00F62B95">
        <w:rPr>
          <w:rFonts w:asciiTheme="minorHAnsi" w:hAnsiTheme="minorHAnsi"/>
          <w:color w:val="000000"/>
          <w:lang w:val="es-ES_tradnl"/>
        </w:rPr>
        <w:t xml:space="preserve">El </w:t>
      </w:r>
      <w:r w:rsidR="00E931E0" w:rsidRPr="00F62B95">
        <w:rPr>
          <w:rFonts w:asciiTheme="minorHAnsi" w:hAnsiTheme="minorHAnsi"/>
          <w:color w:val="000000"/>
          <w:lang w:val="es-ES_tradnl"/>
        </w:rPr>
        <w:t xml:space="preserve">cuarto período de sesiones de la </w:t>
      </w:r>
      <w:r w:rsidR="00991227" w:rsidRPr="00F62B95">
        <w:rPr>
          <w:rFonts w:asciiTheme="minorHAnsi" w:hAnsiTheme="minorHAnsi"/>
          <w:color w:val="000000"/>
          <w:lang w:val="es-ES_tradnl"/>
        </w:rPr>
        <w:t>IPBES</w:t>
      </w:r>
      <w:r w:rsidR="00E931E0" w:rsidRPr="00F62B95">
        <w:rPr>
          <w:rFonts w:asciiTheme="minorHAnsi" w:hAnsiTheme="minorHAnsi"/>
          <w:color w:val="000000"/>
          <w:lang w:val="es-ES_tradnl"/>
        </w:rPr>
        <w:t xml:space="preserve"> consideró oportuno el progreso realizado en la evaluación de la degradación y rehabilitación de la tierra</w:t>
      </w:r>
      <w:r w:rsidR="00810109" w:rsidRPr="00F62B95">
        <w:rPr>
          <w:rFonts w:asciiTheme="minorHAnsi" w:hAnsiTheme="minorHAnsi"/>
          <w:color w:val="000000"/>
          <w:lang w:val="es-ES_tradnl"/>
        </w:rPr>
        <w:t xml:space="preserve"> que se prevé someter a</w:t>
      </w:r>
      <w:r w:rsidR="00E931E0" w:rsidRPr="00F62B95">
        <w:rPr>
          <w:rFonts w:asciiTheme="minorHAnsi" w:hAnsiTheme="minorHAnsi"/>
          <w:color w:val="000000"/>
          <w:lang w:val="es-ES_tradnl"/>
        </w:rPr>
        <w:t xml:space="preserve"> la consideración del Sexto período de sesiones de la IPBES en 2018. El informe de alcance para la evaluación de las</w:t>
      </w:r>
      <w:r w:rsidR="00810109" w:rsidRPr="00F62B95">
        <w:rPr>
          <w:rFonts w:asciiTheme="minorHAnsi" w:hAnsiTheme="minorHAnsi"/>
          <w:color w:val="000000"/>
          <w:lang w:val="es-ES_tradnl"/>
        </w:rPr>
        <w:t xml:space="preserve"> especies exóticas invasoras y su control</w:t>
      </w:r>
      <w:r w:rsidR="00E931E0" w:rsidRPr="00F62B95">
        <w:rPr>
          <w:rFonts w:asciiTheme="minorHAnsi" w:hAnsiTheme="minorHAnsi"/>
          <w:color w:val="000000"/>
          <w:lang w:val="es-ES_tradnl"/>
        </w:rPr>
        <w:t xml:space="preserve"> </w:t>
      </w:r>
      <w:r w:rsidR="00810109" w:rsidRPr="00F62B95">
        <w:rPr>
          <w:rFonts w:asciiTheme="minorHAnsi" w:hAnsiTheme="minorHAnsi"/>
          <w:color w:val="000000"/>
          <w:lang w:val="es-ES_tradnl"/>
        </w:rPr>
        <w:t>fue aprobado pero la decisión sobre su realización se tomará durante el Quinto período de sesiones de la IPBES en 2017.</w:t>
      </w:r>
      <w:r w:rsidR="003E7575">
        <w:rPr>
          <w:rFonts w:asciiTheme="minorHAnsi" w:hAnsiTheme="minorHAnsi"/>
          <w:color w:val="000000"/>
          <w:lang w:val="es-ES_tradnl"/>
        </w:rPr>
        <w:t xml:space="preserve"> </w:t>
      </w:r>
      <w:r w:rsidR="00810109" w:rsidRPr="00F62B95">
        <w:rPr>
          <w:rFonts w:asciiTheme="minorHAnsi" w:hAnsiTheme="minorHAnsi"/>
          <w:color w:val="000000"/>
          <w:lang w:val="es-ES_tradnl"/>
        </w:rPr>
        <w:t xml:space="preserve">Asimismo, se someterá </w:t>
      </w:r>
      <w:r w:rsidR="00FF52FE" w:rsidRPr="00F62B95">
        <w:rPr>
          <w:rFonts w:asciiTheme="minorHAnsi" w:hAnsiTheme="minorHAnsi"/>
          <w:color w:val="000000"/>
          <w:lang w:val="es-ES_tradnl"/>
        </w:rPr>
        <w:t>un informe de al</w:t>
      </w:r>
      <w:r w:rsidR="00810109" w:rsidRPr="00F62B95">
        <w:rPr>
          <w:rFonts w:asciiTheme="minorHAnsi" w:hAnsiTheme="minorHAnsi"/>
          <w:color w:val="000000"/>
          <w:lang w:val="es-ES_tradnl"/>
        </w:rPr>
        <w:t xml:space="preserve">cance revisado </w:t>
      </w:r>
      <w:r w:rsidR="00FF52FE" w:rsidRPr="00F62B95">
        <w:rPr>
          <w:rFonts w:asciiTheme="minorHAnsi" w:hAnsiTheme="minorHAnsi"/>
          <w:color w:val="000000"/>
          <w:lang w:val="es-ES_tradnl"/>
        </w:rPr>
        <w:t xml:space="preserve">para la evaluación del uso sostenible y la biodiversidad </w:t>
      </w:r>
      <w:r w:rsidR="00810109" w:rsidRPr="00F62B95">
        <w:rPr>
          <w:rFonts w:asciiTheme="minorHAnsi" w:hAnsiTheme="minorHAnsi"/>
          <w:color w:val="000000"/>
          <w:lang w:val="es-ES_tradnl"/>
        </w:rPr>
        <w:t xml:space="preserve">a la consideración del </w:t>
      </w:r>
      <w:r w:rsidR="00FF52FE" w:rsidRPr="00F62B95">
        <w:rPr>
          <w:rFonts w:asciiTheme="minorHAnsi" w:hAnsiTheme="minorHAnsi"/>
          <w:color w:val="000000"/>
          <w:lang w:val="es-ES_tradnl"/>
        </w:rPr>
        <w:t xml:space="preserve">Quinto período de sesiones de la IPBES. </w:t>
      </w:r>
    </w:p>
    <w:p w14:paraId="6B25C104" w14:textId="671859A7" w:rsidR="00C442D4" w:rsidRPr="00F62B95" w:rsidRDefault="00C442D4" w:rsidP="001B157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  <w:lang w:val="es-ES_tradnl"/>
        </w:rPr>
      </w:pPr>
      <w:r w:rsidRPr="00F62B95">
        <w:rPr>
          <w:rFonts w:asciiTheme="minorHAnsi" w:hAnsiTheme="minorHAnsi"/>
          <w:b/>
          <w:bCs/>
          <w:sz w:val="22"/>
          <w:szCs w:val="22"/>
          <w:lang w:val="es-ES_tradnl"/>
        </w:rPr>
        <w:t>Ac</w:t>
      </w:r>
      <w:r w:rsidR="00DF1101" w:rsidRPr="00F62B95">
        <w:rPr>
          <w:rFonts w:asciiTheme="minorHAnsi" w:hAnsiTheme="minorHAnsi"/>
          <w:b/>
          <w:bCs/>
          <w:sz w:val="22"/>
          <w:szCs w:val="22"/>
          <w:lang w:val="es-ES_tradnl"/>
        </w:rPr>
        <w:t>cione</w:t>
      </w:r>
      <w:r w:rsidR="00B636C2">
        <w:rPr>
          <w:rFonts w:asciiTheme="minorHAnsi" w:hAnsiTheme="minorHAnsi"/>
          <w:b/>
          <w:bCs/>
          <w:sz w:val="22"/>
          <w:szCs w:val="22"/>
          <w:lang w:val="es-ES_tradnl"/>
        </w:rPr>
        <w:t>s para reforzar la cooperación</w:t>
      </w:r>
      <w:r w:rsidR="00DF1101" w:rsidRPr="00F62B95"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 con el Programa de Naciones Unidas </w:t>
      </w:r>
      <w:r w:rsidR="000A3510" w:rsidRPr="00F62B95">
        <w:rPr>
          <w:rFonts w:asciiTheme="minorHAnsi" w:hAnsiTheme="minorHAnsi"/>
          <w:b/>
          <w:bCs/>
          <w:sz w:val="22"/>
          <w:szCs w:val="22"/>
          <w:lang w:val="es-ES_tradnl"/>
        </w:rPr>
        <w:t xml:space="preserve">para el Medio Ambiente y otras instituciones internacionales </w:t>
      </w:r>
    </w:p>
    <w:p w14:paraId="226AB310" w14:textId="77777777" w:rsidR="00912820" w:rsidRPr="00F62B95" w:rsidRDefault="00912820" w:rsidP="001B1570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val="es-ES_tradnl" w:eastAsia="en-US"/>
        </w:rPr>
      </w:pPr>
    </w:p>
    <w:p w14:paraId="0FA62A32" w14:textId="6C6DF172" w:rsidR="00F62B95" w:rsidRDefault="00AE54B6" w:rsidP="00ED4C7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Fonts w:asciiTheme="minorHAnsi" w:eastAsiaTheme="minorHAnsi" w:hAnsiTheme="minorHAnsi" w:cs="Calibri"/>
          <w:color w:val="000000"/>
          <w:lang w:val="es-ES_tradnl"/>
        </w:rPr>
      </w:pPr>
      <w:r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Tal y como se </w:t>
      </w:r>
      <w:r w:rsidR="00B636C2">
        <w:rPr>
          <w:rFonts w:asciiTheme="minorHAnsi" w:eastAsiaTheme="minorHAnsi" w:hAnsiTheme="minorHAnsi" w:cs="Calibri"/>
          <w:color w:val="000000"/>
          <w:lang w:val="es-ES_tradnl"/>
        </w:rPr>
        <w:t xml:space="preserve">ha </w:t>
      </w:r>
      <w:r w:rsidR="000A3510" w:rsidRPr="00F62B95">
        <w:rPr>
          <w:rFonts w:asciiTheme="minorHAnsi" w:eastAsiaTheme="minorHAnsi" w:hAnsiTheme="minorHAnsi" w:cs="Calibri"/>
          <w:color w:val="000000"/>
          <w:lang w:val="es-ES_tradnl"/>
        </w:rPr>
        <w:t>seña</w:t>
      </w:r>
      <w:r w:rsidR="00B636C2">
        <w:rPr>
          <w:rFonts w:asciiTheme="minorHAnsi" w:eastAsiaTheme="minorHAnsi" w:hAnsiTheme="minorHAnsi" w:cs="Calibri"/>
          <w:color w:val="000000"/>
          <w:lang w:val="es-ES_tradnl"/>
        </w:rPr>
        <w:t>la</w:t>
      </w:r>
      <w:r w:rsidR="000A3510" w:rsidRPr="00F62B95">
        <w:rPr>
          <w:rFonts w:asciiTheme="minorHAnsi" w:eastAsiaTheme="minorHAnsi" w:hAnsiTheme="minorHAnsi" w:cs="Calibri"/>
          <w:color w:val="000000"/>
          <w:lang w:val="es-ES_tradnl"/>
        </w:rPr>
        <w:t>do en los informes anteriores al Comité Permanente, la Secr</w:t>
      </w:r>
      <w:r w:rsidRPr="00F62B95">
        <w:rPr>
          <w:rFonts w:asciiTheme="minorHAnsi" w:eastAsiaTheme="minorHAnsi" w:hAnsiTheme="minorHAnsi" w:cs="Calibri"/>
          <w:color w:val="000000"/>
          <w:lang w:val="es-ES_tradnl"/>
        </w:rPr>
        <w:t>etaría sigue trabajando para ref</w:t>
      </w:r>
      <w:r w:rsidR="000A3510" w:rsidRPr="00F62B95">
        <w:rPr>
          <w:rFonts w:asciiTheme="minorHAnsi" w:eastAsiaTheme="minorHAnsi" w:hAnsiTheme="minorHAnsi" w:cs="Calibri"/>
          <w:color w:val="000000"/>
          <w:lang w:val="es-ES_tradnl"/>
        </w:rPr>
        <w:t>orzar la colaboración con</w:t>
      </w:r>
      <w:r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 el PNUD, la</w:t>
      </w:r>
      <w:r w:rsidR="003E7575">
        <w:rPr>
          <w:rFonts w:asciiTheme="minorHAnsi" w:eastAsiaTheme="minorHAnsi" w:hAnsiTheme="minorHAnsi" w:cs="Calibri"/>
          <w:color w:val="000000"/>
          <w:lang w:val="es-ES_tradnl"/>
        </w:rPr>
        <w:t xml:space="preserve"> </w:t>
      </w:r>
      <w:r w:rsidR="00912820" w:rsidRPr="00F62B95">
        <w:rPr>
          <w:rFonts w:asciiTheme="minorHAnsi" w:eastAsiaTheme="minorHAnsi" w:hAnsiTheme="minorHAnsi" w:cs="Calibri"/>
          <w:color w:val="000000"/>
          <w:lang w:val="es-ES_tradnl"/>
        </w:rPr>
        <w:t>UNESCO,</w:t>
      </w:r>
      <w:r w:rsidR="002A65F4"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 </w:t>
      </w:r>
      <w:r w:rsidRPr="00F62B95">
        <w:rPr>
          <w:rFonts w:asciiTheme="minorHAnsi" w:eastAsiaTheme="minorHAnsi" w:hAnsiTheme="minorHAnsi" w:cs="Calibri"/>
          <w:color w:val="000000"/>
          <w:lang w:val="es-ES_tradnl"/>
        </w:rPr>
        <w:t>la CEPE, el Banco Mundial, la OMS, la OMM y otros</w:t>
      </w:r>
      <w:r w:rsidR="00912820" w:rsidRPr="00F62B95">
        <w:rPr>
          <w:rFonts w:asciiTheme="minorHAnsi" w:eastAsiaTheme="minorHAnsi" w:hAnsiTheme="minorHAnsi" w:cs="Calibri"/>
          <w:color w:val="000000"/>
          <w:lang w:val="es-ES_tradnl"/>
        </w:rPr>
        <w:t>.</w:t>
      </w:r>
      <w:r w:rsidR="002A65F4" w:rsidRPr="00F62B95">
        <w:rPr>
          <w:rFonts w:asciiTheme="minorHAnsi" w:eastAsiaTheme="minorHAnsi" w:hAnsiTheme="minorHAnsi" w:cs="Calibri"/>
          <w:color w:val="000000"/>
          <w:lang w:val="es-ES_tradnl"/>
        </w:rPr>
        <w:t xml:space="preserve"> </w:t>
      </w:r>
    </w:p>
    <w:p w14:paraId="40F48150" w14:textId="77777777" w:rsidR="00F62B95" w:rsidRPr="00F62B95" w:rsidRDefault="00F62B95" w:rsidP="00F62B95">
      <w:pPr>
        <w:autoSpaceDE w:val="0"/>
        <w:autoSpaceDN w:val="0"/>
        <w:adjustRightInd w:val="0"/>
        <w:ind w:left="284"/>
        <w:rPr>
          <w:rFonts w:asciiTheme="minorHAnsi" w:eastAsiaTheme="minorHAnsi" w:hAnsiTheme="minorHAnsi" w:cs="Calibri"/>
          <w:color w:val="000000"/>
          <w:lang w:val="es-ES_tradnl"/>
        </w:rPr>
      </w:pPr>
    </w:p>
    <w:p w14:paraId="33F35DAB" w14:textId="2780DFAA" w:rsidR="00B80AB7" w:rsidRPr="00F62B95" w:rsidRDefault="00AE54B6" w:rsidP="00ED4C7F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Fonts w:asciiTheme="minorHAnsi" w:eastAsiaTheme="minorHAnsi" w:hAnsiTheme="minorHAnsi" w:cs="Calibri"/>
          <w:color w:val="000000"/>
          <w:lang w:val="es-ES_tradnl"/>
        </w:rPr>
      </w:pPr>
      <w:r w:rsidRPr="00F62B95">
        <w:rPr>
          <w:rFonts w:asciiTheme="minorHAnsi" w:hAnsiTheme="minorHAnsi"/>
          <w:color w:val="000000"/>
          <w:lang w:val="es-ES_tradnl"/>
        </w:rPr>
        <w:t>E</w:t>
      </w:r>
      <w:r w:rsidR="00B825B4" w:rsidRPr="00F62B95">
        <w:rPr>
          <w:rFonts w:asciiTheme="minorHAnsi" w:hAnsiTheme="minorHAnsi"/>
          <w:color w:val="000000"/>
          <w:lang w:val="es-ES_tradnl"/>
        </w:rPr>
        <w:t xml:space="preserve">l </w:t>
      </w:r>
      <w:r w:rsidRPr="00F62B95">
        <w:rPr>
          <w:rFonts w:asciiTheme="minorHAnsi" w:hAnsiTheme="minorHAnsi"/>
          <w:color w:val="000000"/>
          <w:lang w:val="es-ES_tradnl"/>
        </w:rPr>
        <w:t xml:space="preserve">memorando de entendimiento </w:t>
      </w:r>
      <w:r w:rsidR="00B825B4" w:rsidRPr="00F62B95">
        <w:rPr>
          <w:rFonts w:asciiTheme="minorHAnsi" w:hAnsiTheme="minorHAnsi"/>
          <w:color w:val="000000"/>
          <w:lang w:val="es-ES_tradnl"/>
        </w:rPr>
        <w:t>con el PNUMA</w:t>
      </w:r>
      <w:r w:rsidR="000A3510" w:rsidRPr="00F62B95">
        <w:rPr>
          <w:rFonts w:asciiTheme="minorHAnsi" w:hAnsiTheme="minorHAnsi"/>
          <w:color w:val="000000"/>
          <w:lang w:val="es-ES_tradnl"/>
        </w:rPr>
        <w:t xml:space="preserve"> </w:t>
      </w:r>
      <w:r w:rsidRPr="00F62B95">
        <w:rPr>
          <w:rFonts w:asciiTheme="minorHAnsi" w:hAnsiTheme="minorHAnsi"/>
          <w:color w:val="000000"/>
          <w:lang w:val="es-ES_tradnl"/>
        </w:rPr>
        <w:t xml:space="preserve">se incluye </w:t>
      </w:r>
      <w:r w:rsidR="00B636C2">
        <w:rPr>
          <w:rFonts w:asciiTheme="minorHAnsi" w:hAnsiTheme="minorHAnsi"/>
          <w:color w:val="000000"/>
          <w:lang w:val="es-ES_tradnl"/>
        </w:rPr>
        <w:t>para su aprobación en</w:t>
      </w:r>
      <w:r w:rsidR="000A3510" w:rsidRPr="00F62B95">
        <w:rPr>
          <w:rFonts w:asciiTheme="minorHAnsi" w:hAnsiTheme="minorHAnsi"/>
          <w:color w:val="000000"/>
          <w:lang w:val="es-ES_tradnl"/>
        </w:rPr>
        <w:t xml:space="preserve"> la 52ª reunión del Comité Permanente</w:t>
      </w:r>
      <w:r w:rsidR="00040BDC" w:rsidRPr="00F62B95">
        <w:rPr>
          <w:rFonts w:asciiTheme="minorHAnsi" w:hAnsiTheme="minorHAnsi"/>
          <w:color w:val="000000"/>
          <w:lang w:val="es-ES_tradnl"/>
        </w:rPr>
        <w:t xml:space="preserve"> como Anexo del documento </w:t>
      </w:r>
      <w:r w:rsidR="00ED4C7F" w:rsidRPr="00F62B95">
        <w:rPr>
          <w:rFonts w:asciiTheme="minorHAnsi" w:hAnsiTheme="minorHAnsi"/>
          <w:color w:val="000000"/>
          <w:lang w:val="es-ES_tradnl"/>
        </w:rPr>
        <w:t xml:space="preserve">SC52-16 </w:t>
      </w:r>
      <w:r w:rsidR="00ED4C7F" w:rsidRPr="00F62B95">
        <w:rPr>
          <w:rFonts w:asciiTheme="minorHAnsi" w:hAnsiTheme="minorHAnsi"/>
          <w:i/>
          <w:color w:val="000000"/>
          <w:lang w:val="es-ES_tradnl"/>
        </w:rPr>
        <w:t>Actualización sobre los acuerdos formales y planes de trabajo conjuntos de la Convención de Ramsar y sus asociados.</w:t>
      </w:r>
    </w:p>
    <w:p w14:paraId="571AB416" w14:textId="77777777" w:rsidR="00376DDC" w:rsidRPr="00F62B95" w:rsidRDefault="00376DDC" w:rsidP="001B1570">
      <w:p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  <w:lang w:val="es-ES_tradnl"/>
        </w:rPr>
      </w:pPr>
    </w:p>
    <w:p w14:paraId="3D0A3A8D" w14:textId="34DF57BA" w:rsidR="00C863DD" w:rsidRPr="00F62B95" w:rsidRDefault="00ED4C7F" w:rsidP="00260F42">
      <w:pPr>
        <w:pStyle w:val="Footer"/>
        <w:numPr>
          <w:ilvl w:val="0"/>
          <w:numId w:val="19"/>
        </w:numPr>
        <w:autoSpaceDE w:val="0"/>
        <w:autoSpaceDN w:val="0"/>
        <w:adjustRightInd w:val="0"/>
        <w:ind w:left="426" w:hanging="426"/>
        <w:rPr>
          <w:rFonts w:asciiTheme="minorHAnsi" w:eastAsiaTheme="minorHAnsi" w:hAnsiTheme="minorHAnsi" w:cs="Calibri"/>
          <w:color w:val="000000"/>
          <w:sz w:val="22"/>
          <w:szCs w:val="22"/>
          <w:lang w:val="es-ES_tradnl" w:eastAsia="en-US"/>
        </w:rPr>
      </w:pPr>
      <w:r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La Secretaría sigue trabajando con </w:t>
      </w:r>
      <w:r w:rsidR="00260F42" w:rsidRPr="00F62B95">
        <w:rPr>
          <w:rFonts w:asciiTheme="minorHAnsi" w:hAnsiTheme="minorHAnsi" w:cs="Calibri"/>
          <w:sz w:val="22"/>
          <w:szCs w:val="22"/>
          <w:lang w:val="es-ES_tradnl"/>
        </w:rPr>
        <w:t>PNUMA</w:t>
      </w:r>
      <w:r w:rsidR="00376DDC" w:rsidRPr="00F62B95">
        <w:rPr>
          <w:rFonts w:asciiTheme="minorHAnsi" w:hAnsiTheme="minorHAnsi" w:cs="Calibri"/>
          <w:sz w:val="22"/>
          <w:szCs w:val="22"/>
          <w:lang w:val="es-ES_tradnl"/>
        </w:rPr>
        <w:t>-GRID</w:t>
      </w:r>
      <w:r w:rsidR="002A65F4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 </w:t>
      </w:r>
      <w:r w:rsidR="00260F42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para perfeccionar el nuevo </w:t>
      </w:r>
      <w:r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Servicio de Información sobre Sitios Ramsar (SISR) </w:t>
      </w:r>
      <w:r w:rsidR="00376DDC" w:rsidRPr="00F62B95">
        <w:rPr>
          <w:rFonts w:asciiTheme="minorHAnsi" w:hAnsiTheme="minorHAnsi" w:cs="Calibri"/>
          <w:sz w:val="22"/>
          <w:szCs w:val="22"/>
          <w:lang w:val="es-ES_tradnl"/>
        </w:rPr>
        <w:t>)</w:t>
      </w:r>
      <w:r w:rsidR="008932A5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 </w:t>
      </w:r>
      <w:r w:rsidR="00F62B95">
        <w:rPr>
          <w:rFonts w:asciiTheme="minorHAnsi" w:hAnsiTheme="minorHAnsi" w:cs="Calibri"/>
          <w:sz w:val="22"/>
          <w:szCs w:val="22"/>
          <w:lang w:val="es-ES_tradnl"/>
        </w:rPr>
        <w:t>y, asi</w:t>
      </w:r>
      <w:r w:rsidR="00260F42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mismo, en un proyecto nuevo </w:t>
      </w:r>
      <w:r w:rsidR="00F001E1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llamado "Monitoreo directo de la superficie de la Tierra" </w:t>
      </w:r>
      <w:r w:rsidR="008932A5" w:rsidRPr="00F62B95">
        <w:rPr>
          <w:rFonts w:asciiTheme="minorHAnsi" w:hAnsiTheme="minorHAnsi" w:cs="Calibri"/>
          <w:sz w:val="22"/>
          <w:szCs w:val="22"/>
          <w:lang w:val="es-ES_tradnl"/>
        </w:rPr>
        <w:t>(LiMES</w:t>
      </w:r>
      <w:r w:rsidR="00F001E1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 por sus siglas en inglés</w:t>
      </w:r>
      <w:r w:rsidR="008932A5" w:rsidRPr="00F62B95">
        <w:rPr>
          <w:rFonts w:asciiTheme="minorHAnsi" w:hAnsiTheme="minorHAnsi" w:cs="Calibri"/>
          <w:sz w:val="22"/>
          <w:szCs w:val="22"/>
          <w:lang w:val="es-ES_tradnl"/>
        </w:rPr>
        <w:t>)</w:t>
      </w:r>
      <w:r w:rsidR="00376DDC" w:rsidRPr="00F62B95">
        <w:rPr>
          <w:rFonts w:asciiTheme="minorHAnsi" w:hAnsiTheme="minorHAnsi" w:cs="Calibri"/>
          <w:sz w:val="22"/>
          <w:szCs w:val="22"/>
          <w:lang w:val="es-ES_tradnl"/>
        </w:rPr>
        <w:t>.</w:t>
      </w:r>
      <w:r w:rsidR="002A65F4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 </w:t>
      </w:r>
      <w:r w:rsidR="00B636C2">
        <w:rPr>
          <w:rFonts w:asciiTheme="minorHAnsi" w:hAnsiTheme="minorHAnsi" w:cs="Calibri"/>
          <w:sz w:val="22"/>
          <w:szCs w:val="22"/>
          <w:lang w:val="es-ES_tradnl"/>
        </w:rPr>
        <w:t xml:space="preserve">El papel desempeñado por </w:t>
      </w:r>
      <w:r w:rsidR="008D18CE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PNUMA-CMCM </w:t>
      </w:r>
      <w:r w:rsidR="00B636C2">
        <w:rPr>
          <w:rFonts w:asciiTheme="minorHAnsi" w:hAnsiTheme="minorHAnsi" w:cs="Calibri"/>
          <w:sz w:val="22"/>
          <w:szCs w:val="22"/>
          <w:lang w:val="es-ES_tradnl"/>
        </w:rPr>
        <w:t xml:space="preserve">ha sido fundamental </w:t>
      </w:r>
      <w:r w:rsidR="008D18CE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para </w:t>
      </w:r>
      <w:r w:rsidR="00B636C2">
        <w:rPr>
          <w:rFonts w:asciiTheme="minorHAnsi" w:hAnsiTheme="minorHAnsi" w:cs="Calibri"/>
          <w:sz w:val="22"/>
          <w:szCs w:val="22"/>
          <w:lang w:val="es-ES_tradnl"/>
        </w:rPr>
        <w:t xml:space="preserve">informar sobre </w:t>
      </w:r>
      <w:r w:rsidR="008D18CE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la preparación del Modelo de Informe Nacional </w:t>
      </w:r>
      <w:r w:rsidR="00411226" w:rsidRPr="00F62B95">
        <w:rPr>
          <w:rFonts w:asciiTheme="minorHAnsi" w:hAnsiTheme="minorHAnsi" w:cs="Calibri"/>
          <w:sz w:val="22"/>
          <w:szCs w:val="22"/>
          <w:lang w:val="es-ES_tradnl"/>
        </w:rPr>
        <w:t xml:space="preserve">en el sistema de informes electrónicos </w:t>
      </w:r>
      <w:r w:rsidR="008D18CE" w:rsidRPr="00F62B95">
        <w:rPr>
          <w:rFonts w:asciiTheme="minorHAnsi" w:hAnsiTheme="minorHAnsi" w:cs="Calibri"/>
          <w:sz w:val="22"/>
          <w:szCs w:val="22"/>
          <w:lang w:val="es-ES_tradnl"/>
        </w:rPr>
        <w:t>para la 13ª reunión de la Conferencia de las Partes y la Secretaría espera seguir trabajando con ellos sobre esta cuestión.</w:t>
      </w:r>
      <w:r w:rsidR="003E7575">
        <w:rPr>
          <w:rFonts w:asciiTheme="minorHAnsi" w:hAnsiTheme="minorHAnsi" w:cs="Calibri"/>
          <w:sz w:val="22"/>
          <w:szCs w:val="22"/>
          <w:lang w:val="es-ES_tradnl"/>
        </w:rPr>
        <w:t xml:space="preserve"> </w:t>
      </w:r>
    </w:p>
    <w:p w14:paraId="5AFFBAAC" w14:textId="77777777" w:rsidR="00254868" w:rsidRPr="00F62B95" w:rsidRDefault="00254868" w:rsidP="001B1570">
      <w:pPr>
        <w:autoSpaceDE w:val="0"/>
        <w:autoSpaceDN w:val="0"/>
        <w:adjustRightInd w:val="0"/>
        <w:ind w:left="426" w:hanging="426"/>
        <w:rPr>
          <w:rFonts w:asciiTheme="minorHAnsi" w:eastAsiaTheme="minorHAnsi" w:hAnsiTheme="minorHAnsi" w:cs="Calibri"/>
          <w:b/>
          <w:color w:val="000000"/>
          <w:sz w:val="22"/>
          <w:szCs w:val="22"/>
          <w:lang w:val="es-ES_tradnl" w:eastAsia="en-US"/>
        </w:rPr>
      </w:pPr>
    </w:p>
    <w:p w14:paraId="4C7503C5" w14:textId="77EEA3E4" w:rsidR="00912820" w:rsidRPr="00F62B95" w:rsidRDefault="00912820" w:rsidP="001B1570">
      <w:pPr>
        <w:autoSpaceDE w:val="0"/>
        <w:autoSpaceDN w:val="0"/>
        <w:adjustRightInd w:val="0"/>
        <w:ind w:left="426" w:hanging="426"/>
        <w:rPr>
          <w:rFonts w:asciiTheme="minorHAnsi" w:eastAsiaTheme="minorHAnsi" w:hAnsiTheme="minorHAnsi" w:cs="Calibri"/>
          <w:b/>
          <w:color w:val="000000"/>
          <w:sz w:val="22"/>
          <w:szCs w:val="22"/>
          <w:lang w:val="es-ES_tradnl" w:eastAsia="en-US"/>
        </w:rPr>
      </w:pPr>
      <w:r w:rsidRPr="00F62B95">
        <w:rPr>
          <w:rFonts w:asciiTheme="minorHAnsi" w:eastAsiaTheme="minorHAnsi" w:hAnsiTheme="minorHAnsi" w:cs="Calibri"/>
          <w:b/>
          <w:color w:val="000000"/>
          <w:sz w:val="22"/>
          <w:szCs w:val="22"/>
          <w:lang w:val="es-ES_tradnl" w:eastAsia="en-US"/>
        </w:rPr>
        <w:t>Col</w:t>
      </w:r>
      <w:r w:rsidR="00040BDC" w:rsidRPr="00F62B95">
        <w:rPr>
          <w:rFonts w:asciiTheme="minorHAnsi" w:eastAsiaTheme="minorHAnsi" w:hAnsiTheme="minorHAnsi" w:cs="Calibri"/>
          <w:b/>
          <w:color w:val="000000"/>
          <w:sz w:val="22"/>
          <w:szCs w:val="22"/>
          <w:lang w:val="es-ES_tradnl" w:eastAsia="en-US"/>
        </w:rPr>
        <w:t xml:space="preserve">aboración con la </w:t>
      </w:r>
      <w:r w:rsidRPr="00F62B95">
        <w:rPr>
          <w:rFonts w:asciiTheme="minorHAnsi" w:eastAsiaTheme="minorHAnsi" w:hAnsiTheme="minorHAnsi" w:cs="Calibri"/>
          <w:b/>
          <w:color w:val="000000"/>
          <w:sz w:val="22"/>
          <w:szCs w:val="22"/>
          <w:lang w:val="es-ES_tradnl" w:eastAsia="en-US"/>
        </w:rPr>
        <w:t>UNE</w:t>
      </w:r>
      <w:r w:rsidR="007E615D" w:rsidRPr="00F62B95">
        <w:rPr>
          <w:rFonts w:asciiTheme="minorHAnsi" w:eastAsiaTheme="minorHAnsi" w:hAnsiTheme="minorHAnsi" w:cs="Calibri"/>
          <w:b/>
          <w:color w:val="000000"/>
          <w:sz w:val="22"/>
          <w:szCs w:val="22"/>
          <w:lang w:val="es-ES_tradnl" w:eastAsia="en-US"/>
        </w:rPr>
        <w:t>SCO</w:t>
      </w:r>
    </w:p>
    <w:p w14:paraId="75CEC150" w14:textId="77777777" w:rsidR="006654EC" w:rsidRPr="00F62B95" w:rsidRDefault="006654EC" w:rsidP="001B1570">
      <w:pPr>
        <w:autoSpaceDE w:val="0"/>
        <w:autoSpaceDN w:val="0"/>
        <w:adjustRightInd w:val="0"/>
        <w:ind w:left="426" w:hanging="426"/>
        <w:rPr>
          <w:rFonts w:asciiTheme="minorHAnsi" w:eastAsiaTheme="minorHAnsi" w:hAnsiTheme="minorHAnsi" w:cs="Calibri"/>
          <w:b/>
          <w:color w:val="000000"/>
          <w:sz w:val="22"/>
          <w:szCs w:val="22"/>
          <w:lang w:val="es-ES_tradnl" w:eastAsia="en-US"/>
        </w:rPr>
      </w:pPr>
    </w:p>
    <w:p w14:paraId="31E423C5" w14:textId="54334EF8" w:rsidR="003417FD" w:rsidRPr="00F62B95" w:rsidRDefault="005F520E" w:rsidP="000B6927">
      <w:pPr>
        <w:pStyle w:val="ListParagraph"/>
        <w:numPr>
          <w:ilvl w:val="0"/>
          <w:numId w:val="19"/>
        </w:numPr>
        <w:ind w:left="426" w:hanging="426"/>
        <w:jc w:val="left"/>
        <w:rPr>
          <w:rFonts w:asciiTheme="minorHAnsi" w:hAnsiTheme="minorHAnsi"/>
          <w:lang w:val="es-ES_tradnl"/>
        </w:rPr>
      </w:pPr>
      <w:r w:rsidRPr="00F62B95">
        <w:rPr>
          <w:rFonts w:asciiTheme="minorHAnsi" w:hAnsiTheme="minorHAnsi"/>
          <w:lang w:val="es-ES_tradnl"/>
        </w:rPr>
        <w:t>Después</w:t>
      </w:r>
      <w:r w:rsidR="003E7575">
        <w:rPr>
          <w:rFonts w:asciiTheme="minorHAnsi" w:hAnsiTheme="minorHAnsi"/>
          <w:lang w:val="es-ES_tradnl"/>
        </w:rPr>
        <w:t xml:space="preserve"> </w:t>
      </w:r>
      <w:r w:rsidRPr="00F62B95">
        <w:rPr>
          <w:rFonts w:asciiTheme="minorHAnsi" w:hAnsiTheme="minorHAnsi" w:cs="Calibri"/>
          <w:lang w:val="es-ES_tradnl"/>
        </w:rPr>
        <w:t>del exitoso lanzamiento de la Cátedra Ramsar sobre el Uso Sostenible de los Humedales en 2013</w:t>
      </w:r>
      <w:r w:rsidR="00A056B6" w:rsidRPr="00F62B95">
        <w:rPr>
          <w:rFonts w:asciiTheme="minorHAnsi" w:hAnsiTheme="minorHAnsi" w:cs="Calibri"/>
          <w:lang w:val="es-ES_tradnl"/>
        </w:rPr>
        <w:t xml:space="preserve"> </w:t>
      </w:r>
      <w:r w:rsidR="00411226">
        <w:rPr>
          <w:rFonts w:asciiTheme="minorHAnsi" w:hAnsiTheme="minorHAnsi" w:cs="Calibri"/>
          <w:lang w:val="es-ES_tradnl"/>
        </w:rPr>
        <w:t xml:space="preserve">en </w:t>
      </w:r>
      <w:r w:rsidR="00A056B6" w:rsidRPr="00F62B95">
        <w:rPr>
          <w:rFonts w:asciiTheme="minorHAnsi" w:hAnsiTheme="minorHAnsi"/>
          <w:lang w:val="es-ES_tradnl"/>
        </w:rPr>
        <w:t>UNESCO-IHE</w:t>
      </w:r>
      <w:r w:rsidRPr="00F62B95">
        <w:rPr>
          <w:rFonts w:asciiTheme="minorHAnsi" w:hAnsiTheme="minorHAnsi" w:cs="Calibri"/>
          <w:lang w:val="es-ES_tradnl"/>
        </w:rPr>
        <w:t xml:space="preserve">, </w:t>
      </w:r>
      <w:r w:rsidR="00A056B6" w:rsidRPr="00F62B95">
        <w:rPr>
          <w:rFonts w:asciiTheme="minorHAnsi" w:hAnsiTheme="minorHAnsi" w:cs="Calibri"/>
          <w:lang w:val="es-ES_tradnl"/>
        </w:rPr>
        <w:t>se han producido va</w:t>
      </w:r>
      <w:r w:rsidR="00D942F2" w:rsidRPr="00F62B95">
        <w:rPr>
          <w:rFonts w:asciiTheme="minorHAnsi" w:hAnsiTheme="minorHAnsi" w:cs="Calibri"/>
          <w:lang w:val="es-ES_tradnl"/>
        </w:rPr>
        <w:t>rias publicaciones, así como la</w:t>
      </w:r>
      <w:r w:rsidR="00A056B6" w:rsidRPr="00F62B95">
        <w:rPr>
          <w:rFonts w:asciiTheme="minorHAnsi" w:hAnsiTheme="minorHAnsi" w:cs="Calibri"/>
          <w:lang w:val="es-ES_tradnl"/>
        </w:rPr>
        <w:t xml:space="preserve"> </w:t>
      </w:r>
      <w:r w:rsidR="00D942F2" w:rsidRPr="00F62B95">
        <w:rPr>
          <w:rFonts w:asciiTheme="minorHAnsi" w:hAnsiTheme="minorHAnsi" w:cs="Calibri"/>
          <w:lang w:val="es-ES_tradnl"/>
        </w:rPr>
        <w:t xml:space="preserve">conferencia magistral sobre los ODS y los humedales </w:t>
      </w:r>
      <w:r w:rsidR="00411226">
        <w:rPr>
          <w:rFonts w:asciiTheme="minorHAnsi" w:hAnsiTheme="minorHAnsi" w:cs="Calibri"/>
          <w:lang w:val="es-ES_tradnl"/>
        </w:rPr>
        <w:t xml:space="preserve">que fue </w:t>
      </w:r>
      <w:r w:rsidR="00D942F2" w:rsidRPr="00F62B95">
        <w:rPr>
          <w:rFonts w:asciiTheme="minorHAnsi" w:hAnsiTheme="minorHAnsi" w:cs="Calibri"/>
          <w:lang w:val="es-ES_tradnl"/>
        </w:rPr>
        <w:t xml:space="preserve">impartida en el </w:t>
      </w:r>
      <w:r w:rsidR="00D942F2" w:rsidRPr="00F62B95">
        <w:rPr>
          <w:rFonts w:asciiTheme="minorHAnsi" w:hAnsiTheme="minorHAnsi"/>
          <w:lang w:val="es-ES_tradnl"/>
        </w:rPr>
        <w:t>Simposio Internacional de los Ríos en septiembre de 2015. L</w:t>
      </w:r>
      <w:r w:rsidRPr="00F62B95">
        <w:rPr>
          <w:rFonts w:asciiTheme="minorHAnsi" w:hAnsiTheme="minorHAnsi" w:cs="Calibri"/>
          <w:lang w:val="es-ES_tradnl"/>
        </w:rPr>
        <w:t>os costos de la Cátedra están siendo sufragados por la Universidad de Charles Sturt</w:t>
      </w:r>
      <w:r w:rsidR="00D942F2" w:rsidRPr="00F62B95">
        <w:rPr>
          <w:rFonts w:asciiTheme="minorHAnsi" w:hAnsiTheme="minorHAnsi" w:cs="Calibri"/>
          <w:lang w:val="es-ES_tradnl"/>
        </w:rPr>
        <w:t xml:space="preserve"> y el </w:t>
      </w:r>
      <w:r w:rsidR="00BD6D34" w:rsidRPr="00F62B95">
        <w:rPr>
          <w:rFonts w:asciiTheme="minorHAnsi" w:hAnsiTheme="minorHAnsi" w:cs="Calibri"/>
          <w:lang w:val="es-ES_tradnl"/>
        </w:rPr>
        <w:t xml:space="preserve">Centro UNESCO. </w:t>
      </w:r>
    </w:p>
    <w:p w14:paraId="5BA5E274" w14:textId="77777777" w:rsidR="006654EC" w:rsidRPr="00F62B95" w:rsidRDefault="006654EC" w:rsidP="001B1570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es-ES_tradnl"/>
        </w:rPr>
      </w:pPr>
    </w:p>
    <w:p w14:paraId="29213BA8" w14:textId="639A9293" w:rsidR="00782506" w:rsidRPr="00F62B95" w:rsidRDefault="00BD6D34" w:rsidP="00F62B95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 w:cs="Calibri"/>
          <w:lang w:val="es-ES_tradnl"/>
        </w:rPr>
      </w:pPr>
      <w:r w:rsidRPr="00F62B95">
        <w:rPr>
          <w:rFonts w:asciiTheme="minorHAnsi" w:hAnsiTheme="minorHAnsi" w:cs="Calibri"/>
          <w:lang w:val="es-ES_tradnl"/>
        </w:rPr>
        <w:t xml:space="preserve">Se ha llevado a cabo un proyecto conjunto de Ramsar, la UICN y la UNESCO con el propósito de armonizar el manejo integrado de </w:t>
      </w:r>
      <w:r w:rsidR="00411226">
        <w:rPr>
          <w:rFonts w:asciiTheme="minorHAnsi" w:hAnsiTheme="minorHAnsi" w:cs="Calibri"/>
          <w:lang w:val="es-ES_tradnl"/>
        </w:rPr>
        <w:t xml:space="preserve">los </w:t>
      </w:r>
      <w:r w:rsidRPr="00F62B95">
        <w:rPr>
          <w:rFonts w:asciiTheme="minorHAnsi" w:hAnsiTheme="minorHAnsi" w:cs="Calibri"/>
          <w:lang w:val="es-ES_tradnl"/>
        </w:rPr>
        <w:t>sitios con múltiples designaciones en el marco de Ramsar, la Convenc</w:t>
      </w:r>
      <w:r w:rsidR="00053851" w:rsidRPr="00F62B95">
        <w:rPr>
          <w:rFonts w:asciiTheme="minorHAnsi" w:hAnsiTheme="minorHAnsi" w:cs="Calibri"/>
          <w:lang w:val="es-ES_tradnl"/>
        </w:rPr>
        <w:t>ión del Patrimonio Mundial</w:t>
      </w:r>
      <w:r w:rsidRPr="00F62B95">
        <w:rPr>
          <w:rFonts w:asciiTheme="minorHAnsi" w:hAnsiTheme="minorHAnsi" w:cs="Calibri"/>
          <w:lang w:val="es-ES_tradnl"/>
        </w:rPr>
        <w:t>,</w:t>
      </w:r>
      <w:r w:rsidR="00053851" w:rsidRPr="00F62B95">
        <w:rPr>
          <w:rFonts w:asciiTheme="minorHAnsi" w:hAnsiTheme="minorHAnsi" w:cs="Calibri"/>
          <w:lang w:val="es-ES_tradnl"/>
        </w:rPr>
        <w:t xml:space="preserve"> las Reservas de la Biosfera y</w:t>
      </w:r>
      <w:r w:rsidR="003E7575">
        <w:rPr>
          <w:rFonts w:asciiTheme="minorHAnsi" w:hAnsiTheme="minorHAnsi" w:cs="Calibri"/>
          <w:lang w:val="es-ES_tradnl"/>
        </w:rPr>
        <w:t xml:space="preserve"> </w:t>
      </w:r>
      <w:r w:rsidRPr="00F62B95">
        <w:rPr>
          <w:rFonts w:asciiTheme="minorHAnsi" w:hAnsiTheme="minorHAnsi" w:cs="Calibri"/>
          <w:lang w:val="es-ES_tradnl"/>
        </w:rPr>
        <w:t>los Geoparques</w:t>
      </w:r>
      <w:r w:rsidR="00053851" w:rsidRPr="00F62B95">
        <w:rPr>
          <w:rFonts w:asciiTheme="minorHAnsi" w:hAnsiTheme="minorHAnsi" w:cs="Calibri"/>
          <w:lang w:val="es-ES_tradnl"/>
        </w:rPr>
        <w:t>.</w:t>
      </w:r>
      <w:r w:rsidR="003E7575">
        <w:rPr>
          <w:rFonts w:asciiTheme="minorHAnsi" w:hAnsiTheme="minorHAnsi" w:cs="Calibri"/>
          <w:lang w:val="es-ES_tradnl"/>
        </w:rPr>
        <w:t xml:space="preserve"> </w:t>
      </w:r>
      <w:r w:rsidRPr="00F62B95">
        <w:rPr>
          <w:rFonts w:asciiTheme="minorHAnsi" w:hAnsiTheme="minorHAnsi" w:cs="Calibri"/>
          <w:lang w:val="es-ES_tradnl"/>
        </w:rPr>
        <w:t>Se trata de un nuevo proyecto con financiación aportada por la República de Corea</w:t>
      </w:r>
      <w:r w:rsidR="00411226">
        <w:rPr>
          <w:rFonts w:asciiTheme="minorHAnsi" w:hAnsiTheme="minorHAnsi" w:cs="Calibri"/>
          <w:lang w:val="es-ES_tradnl"/>
        </w:rPr>
        <w:t>.</w:t>
      </w:r>
      <w:r w:rsidRPr="00F62B95">
        <w:rPr>
          <w:rFonts w:asciiTheme="minorHAnsi" w:hAnsiTheme="minorHAnsi" w:cs="Calibri"/>
          <w:lang w:val="es-ES_tradnl"/>
        </w:rPr>
        <w:t xml:space="preserve"> </w:t>
      </w:r>
      <w:r w:rsidR="00411226">
        <w:rPr>
          <w:rFonts w:asciiTheme="minorHAnsi" w:hAnsiTheme="minorHAnsi" w:cs="Calibri"/>
          <w:lang w:val="es-ES_tradnl"/>
        </w:rPr>
        <w:t>La Secretaria General a</w:t>
      </w:r>
      <w:r w:rsidRPr="00F62B95">
        <w:rPr>
          <w:rFonts w:asciiTheme="minorHAnsi" w:hAnsiTheme="minorHAnsi" w:cs="Calibri"/>
          <w:lang w:val="es-ES_tradnl"/>
        </w:rPr>
        <w:t xml:space="preserve">djunta participó en el taller </w:t>
      </w:r>
      <w:r w:rsidR="00411226">
        <w:rPr>
          <w:rFonts w:asciiTheme="minorHAnsi" w:hAnsiTheme="minorHAnsi" w:cs="Calibri"/>
          <w:lang w:val="es-ES_tradnl"/>
        </w:rPr>
        <w:t>de introducción</w:t>
      </w:r>
      <w:r w:rsidRPr="00F62B95">
        <w:rPr>
          <w:rFonts w:asciiTheme="minorHAnsi" w:hAnsiTheme="minorHAnsi" w:cs="Calibri"/>
          <w:lang w:val="es-ES_tradnl"/>
        </w:rPr>
        <w:t xml:space="preserve"> que se celebró en Jeju en abril de 2015, y el proyecto se presentó </w:t>
      </w:r>
      <w:r w:rsidR="00053851" w:rsidRPr="00F62B95">
        <w:rPr>
          <w:rFonts w:asciiTheme="minorHAnsi" w:hAnsiTheme="minorHAnsi" w:cs="Calibri"/>
          <w:lang w:val="es-ES_tradnl"/>
        </w:rPr>
        <w:t xml:space="preserve">a las Partes </w:t>
      </w:r>
      <w:r w:rsidRPr="00F62B95">
        <w:rPr>
          <w:rFonts w:asciiTheme="minorHAnsi" w:hAnsiTheme="minorHAnsi" w:cs="Calibri"/>
          <w:lang w:val="es-ES_tradnl"/>
        </w:rPr>
        <w:t xml:space="preserve">en un evento paralelo </w:t>
      </w:r>
      <w:r w:rsidR="007770FA" w:rsidRPr="00F62B95">
        <w:rPr>
          <w:rFonts w:asciiTheme="minorHAnsi" w:hAnsiTheme="minorHAnsi" w:cs="Calibri"/>
          <w:lang w:val="es-ES_tradnl"/>
        </w:rPr>
        <w:t>durante la 12ª reunión de la Conferencia de las Partes en</w:t>
      </w:r>
      <w:r w:rsidRPr="00F62B95">
        <w:rPr>
          <w:rFonts w:asciiTheme="minorHAnsi" w:hAnsiTheme="minorHAnsi" w:cs="Calibri"/>
          <w:lang w:val="es-ES_tradnl"/>
        </w:rPr>
        <w:t xml:space="preserve"> Ramsar en junio de 2015. </w:t>
      </w:r>
      <w:r w:rsidR="007770FA" w:rsidRPr="00F62B95">
        <w:rPr>
          <w:rFonts w:asciiTheme="minorHAnsi" w:hAnsiTheme="minorHAnsi" w:cs="Calibri"/>
          <w:lang w:val="es-ES_tradnl"/>
        </w:rPr>
        <w:t xml:space="preserve">Se ha preparado un documento de orientación que se prevé utilizar como manual para los administradores de sitios con múltiples designaciones y que </w:t>
      </w:r>
      <w:r w:rsidR="00F62B95">
        <w:rPr>
          <w:rFonts w:asciiTheme="minorHAnsi" w:hAnsiTheme="minorHAnsi" w:cs="Calibri"/>
          <w:lang w:val="es-ES_tradnl"/>
        </w:rPr>
        <w:t xml:space="preserve">pueda servir </w:t>
      </w:r>
      <w:r w:rsidR="00411226" w:rsidRPr="00F62B95">
        <w:rPr>
          <w:rFonts w:asciiTheme="minorHAnsi" w:hAnsiTheme="minorHAnsi" w:cs="Calibri"/>
          <w:lang w:val="es-ES_tradnl"/>
        </w:rPr>
        <w:t>t</w:t>
      </w:r>
      <w:r w:rsidR="00411226">
        <w:rPr>
          <w:rFonts w:asciiTheme="minorHAnsi" w:hAnsiTheme="minorHAnsi" w:cs="Calibri"/>
          <w:lang w:val="es-ES_tradnl"/>
        </w:rPr>
        <w:t xml:space="preserve">ambién </w:t>
      </w:r>
      <w:r w:rsidR="00F62B95">
        <w:rPr>
          <w:rFonts w:asciiTheme="minorHAnsi" w:hAnsiTheme="minorHAnsi" w:cs="Calibri"/>
          <w:lang w:val="es-ES_tradnl"/>
        </w:rPr>
        <w:t>a las autor</w:t>
      </w:r>
      <w:r w:rsidR="007770FA" w:rsidRPr="00F62B95">
        <w:rPr>
          <w:rFonts w:asciiTheme="minorHAnsi" w:hAnsiTheme="minorHAnsi" w:cs="Calibri"/>
          <w:lang w:val="es-ES_tradnl"/>
        </w:rPr>
        <w:t xml:space="preserve">idades nacionales y organizaciones internacionales. El documento se presentará durante el Congreso Mundial de la Naturaleza de la UICN en </w:t>
      </w:r>
      <w:r w:rsidR="00F62B95" w:rsidRPr="00F62B95">
        <w:rPr>
          <w:rFonts w:asciiTheme="minorHAnsi" w:hAnsiTheme="minorHAnsi" w:cs="Calibri"/>
          <w:lang w:val="es-ES_tradnl"/>
        </w:rPr>
        <w:t>Hawái</w:t>
      </w:r>
      <w:r w:rsidR="007770FA" w:rsidRPr="00F62B95">
        <w:rPr>
          <w:rFonts w:asciiTheme="minorHAnsi" w:hAnsiTheme="minorHAnsi" w:cs="Calibri"/>
          <w:lang w:val="es-ES_tradnl"/>
        </w:rPr>
        <w:t xml:space="preserve">, Estados Unidos. </w:t>
      </w:r>
      <w:r w:rsidRPr="00F62B95">
        <w:rPr>
          <w:rFonts w:asciiTheme="minorHAnsi" w:hAnsiTheme="minorHAnsi" w:cs="Calibri"/>
          <w:lang w:val="es-ES_tradnl"/>
        </w:rPr>
        <w:t xml:space="preserve">El informe </w:t>
      </w:r>
      <w:r w:rsidR="007770FA" w:rsidRPr="00F62B95">
        <w:rPr>
          <w:rFonts w:asciiTheme="minorHAnsi" w:hAnsiTheme="minorHAnsi" w:cs="Calibri"/>
          <w:lang w:val="es-ES_tradnl"/>
        </w:rPr>
        <w:t xml:space="preserve">final ya está disponible y se ha actualizado la lista de los sitios con múltiples designaciones. </w:t>
      </w:r>
    </w:p>
    <w:p w14:paraId="7AFA6D53" w14:textId="77777777" w:rsidR="002C537A" w:rsidRPr="00F62B95" w:rsidRDefault="002C537A" w:rsidP="001B1570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2"/>
          <w:szCs w:val="22"/>
          <w:lang w:val="es-ES_tradnl" w:eastAsia="en-US"/>
        </w:rPr>
      </w:pPr>
    </w:p>
    <w:p w14:paraId="66929D51" w14:textId="77777777" w:rsidR="00E2117F" w:rsidRDefault="00E2117F">
      <w:pPr>
        <w:spacing w:after="200" w:line="276" w:lineRule="auto"/>
        <w:rPr>
          <w:rFonts w:asciiTheme="minorHAnsi" w:hAnsiTheme="minorHAnsi"/>
          <w:b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br w:type="page"/>
      </w:r>
    </w:p>
    <w:p w14:paraId="6C58CC8F" w14:textId="0ECCEC51" w:rsidR="00ED7DD6" w:rsidRPr="00F62B95" w:rsidRDefault="00ED7DD6" w:rsidP="001B157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es-ES_tradnl"/>
        </w:rPr>
      </w:pPr>
      <w:bookmarkStart w:id="0" w:name="_GoBack"/>
      <w:bookmarkEnd w:id="0"/>
      <w:r w:rsidRPr="00F62B95">
        <w:rPr>
          <w:rFonts w:asciiTheme="minorHAnsi" w:hAnsiTheme="minorHAnsi"/>
          <w:b/>
          <w:sz w:val="22"/>
          <w:szCs w:val="22"/>
          <w:lang w:val="es-ES_tradnl"/>
        </w:rPr>
        <w:lastRenderedPageBreak/>
        <w:t xml:space="preserve">Plan </w:t>
      </w:r>
      <w:r w:rsidR="00040BDC" w:rsidRPr="00F62B95">
        <w:rPr>
          <w:rFonts w:asciiTheme="minorHAnsi" w:hAnsiTheme="minorHAnsi"/>
          <w:b/>
          <w:sz w:val="22"/>
          <w:szCs w:val="22"/>
          <w:lang w:val="es-ES_tradnl"/>
        </w:rPr>
        <w:t>para fomentar la cooperación con otros AMMA</w:t>
      </w:r>
    </w:p>
    <w:p w14:paraId="2B85FFAE" w14:textId="77777777" w:rsidR="00363972" w:rsidRPr="00F62B95" w:rsidRDefault="00363972" w:rsidP="001B1570">
      <w:pPr>
        <w:rPr>
          <w:rFonts w:asciiTheme="minorHAnsi" w:hAnsiTheme="minorHAnsi"/>
          <w:sz w:val="22"/>
          <w:szCs w:val="22"/>
          <w:lang w:val="es-ES_tradnl"/>
        </w:rPr>
      </w:pPr>
    </w:p>
    <w:p w14:paraId="43D33F2B" w14:textId="670BDBA3" w:rsidR="0007167A" w:rsidRPr="00F62B95" w:rsidRDefault="00040BDC" w:rsidP="001B157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Fonts w:asciiTheme="minorHAnsi" w:eastAsiaTheme="minorHAnsi" w:hAnsiTheme="minorHAnsi" w:cs="Garamond"/>
          <w:lang w:val="es-ES_tradnl"/>
        </w:rPr>
      </w:pPr>
      <w:r w:rsidRPr="00F62B95">
        <w:rPr>
          <w:rFonts w:asciiTheme="minorHAnsi" w:hAnsiTheme="minorHAnsi"/>
          <w:lang w:val="es-ES_tradnl"/>
        </w:rPr>
        <w:t>Tal y como se indica en el ap</w:t>
      </w:r>
      <w:r w:rsidR="006A40A7" w:rsidRPr="00F62B95">
        <w:rPr>
          <w:rFonts w:asciiTheme="minorHAnsi" w:hAnsiTheme="minorHAnsi"/>
          <w:lang w:val="es-ES_tradnl"/>
        </w:rPr>
        <w:t>artado anterior, la Secretaría cola</w:t>
      </w:r>
      <w:r w:rsidR="00411226">
        <w:rPr>
          <w:rFonts w:asciiTheme="minorHAnsi" w:hAnsiTheme="minorHAnsi"/>
          <w:lang w:val="es-ES_tradnl"/>
        </w:rPr>
        <w:t>bora activamente con otros AMMA</w:t>
      </w:r>
      <w:r w:rsidR="006A40A7" w:rsidRPr="00F62B95">
        <w:rPr>
          <w:rFonts w:asciiTheme="minorHAnsi" w:hAnsiTheme="minorHAnsi"/>
          <w:lang w:val="es-ES_tradnl"/>
        </w:rPr>
        <w:t xml:space="preserve"> y de acuerdo con lo previsto por el párrafo 44 de la Resolución </w:t>
      </w:r>
      <w:r w:rsidR="0007167A" w:rsidRPr="00F62B95">
        <w:rPr>
          <w:rFonts w:asciiTheme="minorHAnsi" w:hAnsiTheme="minorHAnsi"/>
          <w:lang w:val="es-ES_tradnl"/>
        </w:rPr>
        <w:t>XII.3</w:t>
      </w:r>
      <w:r w:rsidR="00BA67EE" w:rsidRPr="00F62B95">
        <w:rPr>
          <w:rFonts w:asciiTheme="minorHAnsi" w:hAnsiTheme="minorHAnsi"/>
          <w:lang w:val="es-ES_tradnl"/>
        </w:rPr>
        <w:t>,</w:t>
      </w:r>
      <w:r w:rsidR="0007167A" w:rsidRPr="00F62B95">
        <w:rPr>
          <w:rFonts w:asciiTheme="minorHAnsi" w:hAnsiTheme="minorHAnsi"/>
          <w:lang w:val="es-ES_tradnl"/>
        </w:rPr>
        <w:t xml:space="preserve"> </w:t>
      </w:r>
      <w:r w:rsidR="006A40A7" w:rsidRPr="00F62B95">
        <w:rPr>
          <w:rFonts w:asciiTheme="minorHAnsi" w:hAnsiTheme="minorHAnsi"/>
          <w:lang w:val="es-ES_tradnl"/>
        </w:rPr>
        <w:t xml:space="preserve">la Secretaría ha concentrado sus esfuerzos en: </w:t>
      </w:r>
    </w:p>
    <w:p w14:paraId="1A2B1CB5" w14:textId="77777777" w:rsidR="0007167A" w:rsidRPr="00F62B95" w:rsidRDefault="0007167A" w:rsidP="001B157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s-ES_tradnl"/>
        </w:rPr>
      </w:pPr>
    </w:p>
    <w:p w14:paraId="02F900A8" w14:textId="3C12855C" w:rsidR="0007167A" w:rsidRPr="00F62B95" w:rsidRDefault="00647F07" w:rsidP="001B1570">
      <w:pPr>
        <w:pStyle w:val="ListParagraph"/>
        <w:numPr>
          <w:ilvl w:val="0"/>
          <w:numId w:val="24"/>
        </w:numPr>
        <w:ind w:left="851" w:hanging="425"/>
        <w:jc w:val="left"/>
        <w:rPr>
          <w:rFonts w:asciiTheme="minorHAnsi" w:hAnsiTheme="minorHAnsi"/>
          <w:lang w:val="es-ES_tradnl"/>
        </w:rPr>
      </w:pPr>
      <w:r w:rsidRPr="00F62B95">
        <w:rPr>
          <w:rFonts w:asciiTheme="minorHAnsi" w:hAnsiTheme="minorHAnsi"/>
          <w:lang w:val="es-ES_tradnl"/>
        </w:rPr>
        <w:t>aumentar la cooperación, la coordinación y la atención a sinergias</w:t>
      </w:r>
      <w:r w:rsidR="006A40A7" w:rsidRPr="00F62B95">
        <w:rPr>
          <w:rFonts w:asciiTheme="minorHAnsi" w:hAnsiTheme="minorHAnsi"/>
          <w:lang w:val="es-ES_tradnl"/>
        </w:rPr>
        <w:t xml:space="preserve"> en el estudio de sistemas de presentación de informes, incluyendo sistemas de presentación electrónica de informes</w:t>
      </w:r>
      <w:r w:rsidR="00DE3F71" w:rsidRPr="00F62B95">
        <w:rPr>
          <w:rFonts w:asciiTheme="minorHAnsi" w:hAnsiTheme="minorHAnsi"/>
          <w:lang w:val="es-ES_tradnl"/>
        </w:rPr>
        <w:t xml:space="preserve"> e indicadores</w:t>
      </w:r>
      <w:r w:rsidR="006A40A7" w:rsidRPr="00F62B95">
        <w:rPr>
          <w:rFonts w:asciiTheme="minorHAnsi" w:hAnsiTheme="minorHAnsi"/>
          <w:lang w:val="es-ES_tradnl"/>
        </w:rPr>
        <w:t xml:space="preserve"> </w:t>
      </w:r>
      <w:r w:rsidR="00DE3F71" w:rsidRPr="00F62B95">
        <w:rPr>
          <w:rFonts w:asciiTheme="minorHAnsi" w:hAnsiTheme="minorHAnsi"/>
          <w:lang w:val="es-ES_tradnl"/>
        </w:rPr>
        <w:t>para el futuro, a fin de lograr una mayor sinergia en la presentación de los informes nacionales de las Convenciones relacionadas con la diversidad biológica;</w:t>
      </w:r>
      <w:r w:rsidRPr="00F62B95">
        <w:rPr>
          <w:rFonts w:asciiTheme="minorHAnsi" w:hAnsiTheme="minorHAnsi"/>
          <w:lang w:val="es-ES_tradnl"/>
        </w:rPr>
        <w:t xml:space="preserve"> </w:t>
      </w:r>
    </w:p>
    <w:p w14:paraId="5F33E62B" w14:textId="77777777" w:rsidR="00BA67EE" w:rsidRPr="00F62B95" w:rsidRDefault="00BA67EE" w:rsidP="00BA67EE">
      <w:pPr>
        <w:pStyle w:val="ListParagraph"/>
        <w:ind w:left="851"/>
        <w:jc w:val="left"/>
        <w:rPr>
          <w:rFonts w:asciiTheme="minorHAnsi" w:hAnsiTheme="minorHAnsi"/>
          <w:lang w:val="es-ES_tradnl"/>
        </w:rPr>
      </w:pPr>
    </w:p>
    <w:p w14:paraId="259AE9A6" w14:textId="1CAD8907" w:rsidR="0007167A" w:rsidRPr="00F62B95" w:rsidRDefault="00DE3F71" w:rsidP="001B1570">
      <w:pPr>
        <w:pStyle w:val="ListParagraph"/>
        <w:numPr>
          <w:ilvl w:val="0"/>
          <w:numId w:val="24"/>
        </w:numPr>
        <w:ind w:left="851" w:hanging="425"/>
        <w:jc w:val="left"/>
        <w:rPr>
          <w:rFonts w:asciiTheme="minorHAnsi" w:hAnsiTheme="minorHAnsi"/>
          <w:lang w:val="es-ES_tradnl"/>
        </w:rPr>
      </w:pPr>
      <w:r w:rsidRPr="00F62B95">
        <w:rPr>
          <w:rFonts w:asciiTheme="minorHAnsi" w:hAnsiTheme="minorHAnsi"/>
          <w:lang w:val="es-ES_tradnl"/>
        </w:rPr>
        <w:t>estudiar formas y medios para</w:t>
      </w:r>
      <w:r w:rsidR="00647F07" w:rsidRPr="00F62B95">
        <w:rPr>
          <w:rFonts w:asciiTheme="minorHAnsi" w:hAnsiTheme="minorHAnsi"/>
          <w:lang w:val="es-ES_tradnl"/>
        </w:rPr>
        <w:t xml:space="preserve"> aumentar la cooperación relativa a </w:t>
      </w:r>
      <w:r w:rsidRPr="00F62B95">
        <w:rPr>
          <w:rFonts w:asciiTheme="minorHAnsi" w:hAnsiTheme="minorHAnsi"/>
          <w:lang w:val="es-ES_tradnl"/>
        </w:rPr>
        <w:t xml:space="preserve">las </w:t>
      </w:r>
      <w:r w:rsidR="00F62B95" w:rsidRPr="00F62B95">
        <w:rPr>
          <w:rFonts w:asciiTheme="minorHAnsi" w:hAnsiTheme="minorHAnsi"/>
          <w:lang w:val="es-ES_tradnl"/>
        </w:rPr>
        <w:t>estrategias</w:t>
      </w:r>
      <w:r w:rsidR="00647F07" w:rsidRPr="00F62B95">
        <w:rPr>
          <w:rFonts w:asciiTheme="minorHAnsi" w:hAnsiTheme="minorHAnsi"/>
          <w:lang w:val="es-ES_tradnl"/>
        </w:rPr>
        <w:t xml:space="preserve"> de</w:t>
      </w:r>
      <w:r w:rsidR="003E7575">
        <w:rPr>
          <w:rFonts w:asciiTheme="minorHAnsi" w:hAnsiTheme="minorHAnsi"/>
          <w:lang w:val="es-ES_tradnl"/>
        </w:rPr>
        <w:t xml:space="preserve"> </w:t>
      </w:r>
      <w:r w:rsidRPr="00F62B95">
        <w:rPr>
          <w:rFonts w:asciiTheme="minorHAnsi" w:hAnsiTheme="minorHAnsi"/>
          <w:lang w:val="es-ES_tradnl"/>
        </w:rPr>
        <w:t>promoción</w:t>
      </w:r>
      <w:r w:rsidR="0007167A" w:rsidRPr="00F62B95">
        <w:rPr>
          <w:rFonts w:asciiTheme="minorHAnsi" w:hAnsiTheme="minorHAnsi"/>
          <w:lang w:val="es-ES_tradnl"/>
        </w:rPr>
        <w:t xml:space="preserve"> </w:t>
      </w:r>
      <w:r w:rsidR="00647F07" w:rsidRPr="00F62B95">
        <w:rPr>
          <w:rFonts w:asciiTheme="minorHAnsi" w:hAnsiTheme="minorHAnsi"/>
          <w:lang w:val="es-ES_tradnl"/>
        </w:rPr>
        <w:t>y comunicación</w:t>
      </w:r>
      <w:r w:rsidR="0007167A" w:rsidRPr="00F62B95">
        <w:rPr>
          <w:rFonts w:asciiTheme="minorHAnsi" w:hAnsiTheme="minorHAnsi"/>
          <w:lang w:val="es-ES_tradnl"/>
        </w:rPr>
        <w:t>;</w:t>
      </w:r>
      <w:r w:rsidR="00546397" w:rsidRPr="00F62B95">
        <w:rPr>
          <w:rFonts w:asciiTheme="minorHAnsi" w:hAnsiTheme="minorHAnsi"/>
          <w:lang w:val="es-ES_tradnl"/>
        </w:rPr>
        <w:t xml:space="preserve"> </w:t>
      </w:r>
      <w:r w:rsidRPr="00F62B95">
        <w:rPr>
          <w:rFonts w:asciiTheme="minorHAnsi" w:hAnsiTheme="minorHAnsi"/>
          <w:lang w:val="es-ES_tradnl"/>
        </w:rPr>
        <w:t>y</w:t>
      </w:r>
    </w:p>
    <w:p w14:paraId="784C1B7C" w14:textId="77777777" w:rsidR="00BA67EE" w:rsidRPr="00F62B95" w:rsidRDefault="00BA67EE" w:rsidP="00BA67EE">
      <w:pPr>
        <w:pStyle w:val="ListParagraph"/>
        <w:rPr>
          <w:rFonts w:asciiTheme="minorHAnsi" w:hAnsiTheme="minorHAnsi"/>
          <w:lang w:val="es-ES_tradnl"/>
        </w:rPr>
      </w:pPr>
    </w:p>
    <w:p w14:paraId="43025D20" w14:textId="2E5D15BF" w:rsidR="0007167A" w:rsidRPr="00F62B95" w:rsidRDefault="00647F07" w:rsidP="001B1570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851" w:hanging="425"/>
        <w:jc w:val="left"/>
        <w:rPr>
          <w:rFonts w:asciiTheme="minorHAnsi" w:hAnsiTheme="minorHAnsi"/>
          <w:lang w:val="es-ES_tradnl"/>
        </w:rPr>
      </w:pPr>
      <w:r w:rsidRPr="00F62B95">
        <w:rPr>
          <w:rFonts w:asciiTheme="minorHAnsi" w:eastAsia="Times New Roman" w:hAnsiTheme="minorHAnsi"/>
          <w:lang w:val="es-ES_tradnl" w:eastAsia="lv-LV"/>
        </w:rPr>
        <w:t>encont</w:t>
      </w:r>
      <w:r w:rsidR="000628B7" w:rsidRPr="00F62B95">
        <w:rPr>
          <w:rFonts w:asciiTheme="minorHAnsi" w:eastAsia="Times New Roman" w:hAnsiTheme="minorHAnsi"/>
          <w:lang w:val="es-ES_tradnl" w:eastAsia="lv-LV"/>
        </w:rPr>
        <w:t>r</w:t>
      </w:r>
      <w:r w:rsidRPr="00F62B95">
        <w:rPr>
          <w:rFonts w:asciiTheme="minorHAnsi" w:eastAsia="Times New Roman" w:hAnsiTheme="minorHAnsi"/>
          <w:lang w:val="es-ES_tradnl" w:eastAsia="lv-LV"/>
        </w:rPr>
        <w:t xml:space="preserve">ar opciones para mejorar la cooperación </w:t>
      </w:r>
      <w:r w:rsidR="00DE3F71" w:rsidRPr="00F62B95">
        <w:rPr>
          <w:rFonts w:asciiTheme="minorHAnsi" w:eastAsia="Times New Roman" w:hAnsiTheme="minorHAnsi"/>
          <w:lang w:val="es-ES_tradnl" w:eastAsia="lv-LV"/>
        </w:rPr>
        <w:t xml:space="preserve">en asuntos convergentes. </w:t>
      </w:r>
    </w:p>
    <w:p w14:paraId="013405E8" w14:textId="77777777" w:rsidR="0007167A" w:rsidRPr="00F62B95" w:rsidRDefault="0007167A" w:rsidP="001B1570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es-ES_tradnl"/>
        </w:rPr>
      </w:pPr>
    </w:p>
    <w:p w14:paraId="0BF909EB" w14:textId="7A835430" w:rsidR="00EB447F" w:rsidRPr="00F62B95" w:rsidRDefault="00647F07" w:rsidP="00532FA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Style w:val="Strong"/>
          <w:rFonts w:asciiTheme="minorHAnsi" w:hAnsiTheme="minorHAnsi"/>
          <w:b w:val="0"/>
          <w:lang w:val="es-ES_tradnl"/>
        </w:rPr>
      </w:pPr>
      <w:r w:rsidRPr="00F62B95">
        <w:rPr>
          <w:rFonts w:asciiTheme="minorHAnsi" w:hAnsiTheme="minorHAnsi"/>
          <w:lang w:val="es-ES_tradnl"/>
        </w:rPr>
        <w:t>La Secretaría ha firmado memorandos de cooperación y ha acordado planes de trabajo conjunto con dos de las Convenciones relacionadas con la diversidad biol</w:t>
      </w:r>
      <w:r w:rsidR="00DE3F71" w:rsidRPr="00F62B95">
        <w:rPr>
          <w:rFonts w:asciiTheme="minorHAnsi" w:hAnsiTheme="minorHAnsi"/>
          <w:lang w:val="es-ES_tradnl"/>
        </w:rPr>
        <w:t xml:space="preserve">ógica que son el CDB y </w:t>
      </w:r>
      <w:r w:rsidR="00DE3F71" w:rsidRPr="00F62B95">
        <w:rPr>
          <w:rStyle w:val="Strong"/>
          <w:rFonts w:asciiTheme="minorHAnsi" w:hAnsiTheme="minorHAnsi"/>
          <w:b w:val="0"/>
          <w:lang w:val="es-ES_tradnl"/>
        </w:rPr>
        <w:t>la Convención del Patrimonio Mundial y, asimismo, con la CNULD</w:t>
      </w:r>
      <w:r w:rsidR="002B69AB" w:rsidRPr="00F62B95">
        <w:rPr>
          <w:rStyle w:val="Strong"/>
          <w:rFonts w:asciiTheme="minorHAnsi" w:hAnsiTheme="minorHAnsi"/>
          <w:b w:val="0"/>
          <w:lang w:val="es-ES_tradnl"/>
        </w:rPr>
        <w:t>.</w:t>
      </w:r>
      <w:r w:rsidR="00DE3F71" w:rsidRPr="00F62B95">
        <w:rPr>
          <w:rStyle w:val="Strong"/>
          <w:rFonts w:asciiTheme="minorHAnsi" w:hAnsiTheme="minorHAnsi"/>
          <w:b w:val="0"/>
          <w:lang w:val="es-ES_tradnl"/>
        </w:rPr>
        <w:t xml:space="preserve"> </w:t>
      </w:r>
      <w:r w:rsidR="002B69AB" w:rsidRPr="00F62B95">
        <w:rPr>
          <w:rFonts w:asciiTheme="minorHAnsi" w:eastAsiaTheme="minorHAnsi" w:hAnsiTheme="minorHAnsi"/>
          <w:color w:val="000000"/>
          <w:lang w:val="es-ES_tradnl"/>
        </w:rPr>
        <w:t xml:space="preserve">El plan de trabajo conjunto con la </w:t>
      </w:r>
      <w:r w:rsidR="00C96658">
        <w:rPr>
          <w:rFonts w:asciiTheme="minorHAnsi" w:eastAsiaTheme="minorHAnsi" w:hAnsiTheme="minorHAnsi"/>
          <w:color w:val="000000"/>
          <w:lang w:val="es-ES_tradnl"/>
        </w:rPr>
        <w:t xml:space="preserve">Convención sobre las Especies Migratorias (CEM) </w:t>
      </w:r>
      <w:r w:rsidR="002B69AB" w:rsidRPr="00F62B95">
        <w:rPr>
          <w:rFonts w:asciiTheme="minorHAnsi" w:eastAsiaTheme="minorHAnsi" w:hAnsiTheme="minorHAnsi"/>
          <w:color w:val="000000"/>
          <w:lang w:val="es-ES_tradnl"/>
        </w:rPr>
        <w:t>se está finalizando y se presentará a la próxima reunión de</w:t>
      </w:r>
      <w:r w:rsidR="00411226">
        <w:rPr>
          <w:rFonts w:asciiTheme="minorHAnsi" w:eastAsiaTheme="minorHAnsi" w:hAnsiTheme="minorHAnsi"/>
          <w:color w:val="000000"/>
          <w:lang w:val="es-ES_tradnl"/>
        </w:rPr>
        <w:t xml:space="preserve"> </w:t>
      </w:r>
      <w:r w:rsidR="002B69AB" w:rsidRPr="00F62B95">
        <w:rPr>
          <w:rFonts w:asciiTheme="minorHAnsi" w:eastAsiaTheme="minorHAnsi" w:hAnsiTheme="minorHAnsi"/>
          <w:color w:val="000000"/>
          <w:lang w:val="es-ES_tradnl"/>
        </w:rPr>
        <w:t>l</w:t>
      </w:r>
      <w:r w:rsidR="00411226">
        <w:rPr>
          <w:rFonts w:asciiTheme="minorHAnsi" w:eastAsiaTheme="minorHAnsi" w:hAnsiTheme="minorHAnsi"/>
          <w:color w:val="000000"/>
          <w:lang w:val="es-ES_tradnl"/>
        </w:rPr>
        <w:t>os</w:t>
      </w:r>
      <w:r w:rsidR="002B69AB" w:rsidRPr="00F62B95">
        <w:rPr>
          <w:rFonts w:asciiTheme="minorHAnsi" w:eastAsiaTheme="minorHAnsi" w:hAnsiTheme="minorHAnsi"/>
          <w:color w:val="000000"/>
          <w:lang w:val="es-ES_tradnl"/>
        </w:rPr>
        <w:t xml:space="preserve"> respectivo</w:t>
      </w:r>
      <w:r w:rsidR="00411226">
        <w:rPr>
          <w:rFonts w:asciiTheme="minorHAnsi" w:eastAsiaTheme="minorHAnsi" w:hAnsiTheme="minorHAnsi"/>
          <w:color w:val="000000"/>
          <w:lang w:val="es-ES_tradnl"/>
        </w:rPr>
        <w:t>s</w:t>
      </w:r>
      <w:r w:rsidR="002B69AB" w:rsidRPr="00F62B95">
        <w:rPr>
          <w:rFonts w:asciiTheme="minorHAnsi" w:eastAsiaTheme="minorHAnsi" w:hAnsiTheme="minorHAnsi"/>
          <w:color w:val="000000"/>
          <w:lang w:val="es-ES_tradnl"/>
        </w:rPr>
        <w:t xml:space="preserve"> Comité</w:t>
      </w:r>
      <w:r w:rsidR="00411226">
        <w:rPr>
          <w:rFonts w:asciiTheme="minorHAnsi" w:eastAsiaTheme="minorHAnsi" w:hAnsiTheme="minorHAnsi"/>
          <w:color w:val="000000"/>
          <w:lang w:val="es-ES_tradnl"/>
        </w:rPr>
        <w:t>s</w:t>
      </w:r>
      <w:r w:rsidR="002B69AB" w:rsidRPr="00F62B95">
        <w:rPr>
          <w:rFonts w:asciiTheme="minorHAnsi" w:eastAsiaTheme="minorHAnsi" w:hAnsiTheme="minorHAnsi"/>
          <w:color w:val="000000"/>
          <w:lang w:val="es-ES_tradnl"/>
        </w:rPr>
        <w:t xml:space="preserve"> Permanente</w:t>
      </w:r>
      <w:r w:rsidR="00411226">
        <w:rPr>
          <w:rFonts w:asciiTheme="minorHAnsi" w:eastAsiaTheme="minorHAnsi" w:hAnsiTheme="minorHAnsi"/>
          <w:color w:val="000000"/>
          <w:lang w:val="es-ES_tradnl"/>
        </w:rPr>
        <w:t>s</w:t>
      </w:r>
      <w:r w:rsidR="002B69AB" w:rsidRPr="00F62B95">
        <w:rPr>
          <w:rFonts w:asciiTheme="minorHAnsi" w:eastAsiaTheme="minorHAnsi" w:hAnsiTheme="minorHAnsi"/>
          <w:color w:val="000000"/>
          <w:lang w:val="es-ES_tradnl"/>
        </w:rPr>
        <w:t xml:space="preserve"> de sendas Convenciones </w:t>
      </w:r>
      <w:r w:rsidR="00BA67EE" w:rsidRPr="00F62B95">
        <w:rPr>
          <w:rFonts w:asciiTheme="minorHAnsi" w:eastAsiaTheme="minorHAnsi" w:hAnsiTheme="minorHAnsi"/>
          <w:color w:val="000000"/>
          <w:lang w:val="es-ES_tradnl"/>
        </w:rPr>
        <w:t>(</w:t>
      </w:r>
      <w:r w:rsidR="002B69AB" w:rsidRPr="00F62B95">
        <w:rPr>
          <w:rFonts w:asciiTheme="minorHAnsi" w:eastAsiaTheme="minorHAnsi" w:hAnsiTheme="minorHAnsi"/>
          <w:color w:val="000000"/>
          <w:lang w:val="es-ES_tradnl"/>
        </w:rPr>
        <w:t xml:space="preserve">45ª reunión del Comité Permanente </w:t>
      </w:r>
      <w:r w:rsidR="00411226">
        <w:rPr>
          <w:rFonts w:asciiTheme="minorHAnsi" w:eastAsiaTheme="minorHAnsi" w:hAnsiTheme="minorHAnsi"/>
          <w:color w:val="000000"/>
          <w:lang w:val="es-ES_tradnl"/>
        </w:rPr>
        <w:t xml:space="preserve">de la </w:t>
      </w:r>
      <w:r w:rsidR="00C96658">
        <w:rPr>
          <w:rFonts w:asciiTheme="minorHAnsi" w:eastAsiaTheme="minorHAnsi" w:hAnsiTheme="minorHAnsi"/>
          <w:color w:val="000000"/>
          <w:lang w:val="es-ES_tradnl"/>
        </w:rPr>
        <w:t>CEM</w:t>
      </w:r>
      <w:r w:rsidR="00411226">
        <w:rPr>
          <w:rFonts w:asciiTheme="minorHAnsi" w:eastAsiaTheme="minorHAnsi" w:hAnsiTheme="minorHAnsi"/>
          <w:color w:val="000000"/>
          <w:lang w:val="es-ES_tradnl"/>
        </w:rPr>
        <w:t xml:space="preserve"> en noviembre de 2016;</w:t>
      </w:r>
      <w:r w:rsidR="002B69AB" w:rsidRPr="00F62B95">
        <w:rPr>
          <w:rFonts w:asciiTheme="minorHAnsi" w:eastAsiaTheme="minorHAnsi" w:hAnsiTheme="minorHAnsi"/>
          <w:color w:val="000000"/>
          <w:lang w:val="es-ES_tradnl"/>
        </w:rPr>
        <w:t xml:space="preserve"> 53ª reunión del Comité Permanente de Ramsar en 2017). </w:t>
      </w:r>
    </w:p>
    <w:p w14:paraId="6BFE3AA2" w14:textId="77777777" w:rsidR="00F65FDA" w:rsidRPr="00F62B95" w:rsidRDefault="00F65FDA" w:rsidP="001B1570">
      <w:pPr>
        <w:autoSpaceDE w:val="0"/>
        <w:autoSpaceDN w:val="0"/>
        <w:adjustRightInd w:val="0"/>
        <w:ind w:left="426" w:hanging="426"/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</w:pPr>
    </w:p>
    <w:p w14:paraId="07F65D4D" w14:textId="701FF1E6" w:rsidR="00231D2A" w:rsidRPr="00F62B95" w:rsidRDefault="00E554A1" w:rsidP="001B157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Fonts w:asciiTheme="minorHAnsi" w:hAnsiTheme="minorHAnsi" w:cs="Arial"/>
          <w:lang w:val="es-ES_tradnl"/>
        </w:rPr>
      </w:pPr>
      <w:r w:rsidRPr="00F62B95">
        <w:rPr>
          <w:rFonts w:asciiTheme="minorHAnsi" w:hAnsiTheme="minorHAnsi" w:cs="Calibri"/>
          <w:lang w:val="es-ES_tradnl"/>
        </w:rPr>
        <w:t>La Secret</w:t>
      </w:r>
      <w:r w:rsidR="00316D8C" w:rsidRPr="00F62B95">
        <w:rPr>
          <w:rFonts w:asciiTheme="minorHAnsi" w:hAnsiTheme="minorHAnsi" w:cs="Calibri"/>
          <w:lang w:val="es-ES_tradnl"/>
        </w:rPr>
        <w:t>aría también ha colabora</w:t>
      </w:r>
      <w:r w:rsidRPr="00F62B95">
        <w:rPr>
          <w:rFonts w:asciiTheme="minorHAnsi" w:hAnsiTheme="minorHAnsi" w:cs="Calibri"/>
          <w:lang w:val="es-ES_tradnl"/>
        </w:rPr>
        <w:t xml:space="preserve">do con Convenciones relacionadas con la diversidad biológica tales como </w:t>
      </w:r>
      <w:r w:rsidR="00316D8C" w:rsidRPr="00F62B95">
        <w:rPr>
          <w:rFonts w:asciiTheme="minorHAnsi" w:hAnsiTheme="minorHAnsi" w:cs="Calibri"/>
          <w:lang w:val="es-ES_tradnl"/>
        </w:rPr>
        <w:t xml:space="preserve">la Iniciativa de Gestión de la Información y del Conocimiento sobre los acuerdos ambientales multilaterales </w:t>
      </w:r>
      <w:r w:rsidR="003417FD" w:rsidRPr="00F62B95">
        <w:rPr>
          <w:rFonts w:asciiTheme="minorHAnsi" w:hAnsiTheme="minorHAnsi" w:cs="Calibri"/>
          <w:lang w:val="es-ES_tradnl"/>
        </w:rPr>
        <w:t>(I</w:t>
      </w:r>
      <w:r w:rsidR="00AD7171" w:rsidRPr="00F62B95">
        <w:rPr>
          <w:rFonts w:asciiTheme="minorHAnsi" w:hAnsiTheme="minorHAnsi" w:cs="Calibri"/>
          <w:lang w:val="es-ES_tradnl"/>
        </w:rPr>
        <w:t>nfor</w:t>
      </w:r>
      <w:r w:rsidR="003417FD" w:rsidRPr="00F62B95">
        <w:rPr>
          <w:rFonts w:asciiTheme="minorHAnsi" w:hAnsiTheme="minorHAnsi" w:cs="Calibri"/>
          <w:lang w:val="es-ES_tradnl"/>
        </w:rPr>
        <w:t>MEA)</w:t>
      </w:r>
      <w:r w:rsidR="00376DDC" w:rsidRPr="00F62B95">
        <w:rPr>
          <w:rFonts w:asciiTheme="minorHAnsi" w:hAnsiTheme="minorHAnsi" w:cs="Calibri"/>
          <w:lang w:val="es-ES_tradnl"/>
        </w:rPr>
        <w:t>,</w:t>
      </w:r>
      <w:r w:rsidR="002A65F4" w:rsidRPr="00F62B95">
        <w:rPr>
          <w:rFonts w:asciiTheme="minorHAnsi" w:hAnsiTheme="minorHAnsi" w:cs="Calibri"/>
          <w:lang w:val="es-ES_tradnl"/>
        </w:rPr>
        <w:t xml:space="preserve"> </w:t>
      </w:r>
      <w:r w:rsidR="005F4AA3" w:rsidRPr="00F62B95">
        <w:rPr>
          <w:rFonts w:asciiTheme="minorHAnsi" w:hAnsiTheme="minorHAnsi" w:cs="Calibri"/>
          <w:lang w:val="es-ES_tradnl"/>
        </w:rPr>
        <w:t xml:space="preserve">y ha participado en el proyecto sobre Ontología de la legislación en materia ambiental </w:t>
      </w:r>
      <w:r w:rsidR="0007167A" w:rsidRPr="00F62B95">
        <w:rPr>
          <w:rFonts w:asciiTheme="minorHAnsi" w:hAnsiTheme="minorHAnsi" w:cs="Arial"/>
          <w:lang w:val="es-ES_tradnl"/>
        </w:rPr>
        <w:t>(LEO)</w:t>
      </w:r>
      <w:r w:rsidR="005F4AA3" w:rsidRPr="00F62B95">
        <w:rPr>
          <w:rFonts w:asciiTheme="minorHAnsi" w:hAnsiTheme="minorHAnsi" w:cs="Arial"/>
          <w:lang w:val="es-ES_tradnl"/>
        </w:rPr>
        <w:t xml:space="preserve"> cuyo objetivo es desarrollar una norma semántica, aceptada internacionalmente, relativa a la legislación y políticas ambientales. También ha colaborado con el PNUMA</w:t>
      </w:r>
      <w:r w:rsidR="003E7575">
        <w:rPr>
          <w:rFonts w:asciiTheme="minorHAnsi" w:hAnsiTheme="minorHAnsi" w:cs="Arial"/>
          <w:lang w:val="es-ES_tradnl"/>
        </w:rPr>
        <w:t xml:space="preserve"> </w:t>
      </w:r>
      <w:r w:rsidR="005F4AA3" w:rsidRPr="00F62B95">
        <w:rPr>
          <w:rFonts w:asciiTheme="minorHAnsi" w:hAnsiTheme="minorHAnsi" w:cs="Arial"/>
          <w:lang w:val="es-ES_tradnl"/>
        </w:rPr>
        <w:t>en el proyecto</w:t>
      </w:r>
      <w:r w:rsidR="003E7575">
        <w:rPr>
          <w:rFonts w:asciiTheme="minorHAnsi" w:hAnsiTheme="minorHAnsi" w:cs="Arial"/>
          <w:lang w:val="es-ES_tradnl"/>
        </w:rPr>
        <w:t xml:space="preserve"> </w:t>
      </w:r>
      <w:r w:rsidR="00376DDC" w:rsidRPr="00F62B95">
        <w:rPr>
          <w:rFonts w:asciiTheme="minorHAnsi" w:hAnsiTheme="minorHAnsi" w:cs="Calibri"/>
          <w:lang w:val="es-ES_tradnl"/>
        </w:rPr>
        <w:t>“</w:t>
      </w:r>
      <w:r w:rsidR="005F4AA3" w:rsidRPr="00F62B95">
        <w:rPr>
          <w:rFonts w:asciiTheme="minorHAnsi" w:hAnsiTheme="minorHAnsi" w:cs="Calibri"/>
          <w:i/>
          <w:lang w:val="es-ES_tradnl"/>
        </w:rPr>
        <w:t>Mejora de la efectividad y la cooperación entre las convenciones relacionadas con la biodiversidad y estudio de las oportunidades para mayores sinergias</w:t>
      </w:r>
      <w:r w:rsidR="00376DDC" w:rsidRPr="00F62B95">
        <w:rPr>
          <w:rFonts w:asciiTheme="minorHAnsi" w:hAnsiTheme="minorHAnsi" w:cs="Calibri"/>
          <w:lang w:val="es-ES_tradnl"/>
        </w:rPr>
        <w:t>”</w:t>
      </w:r>
      <w:r w:rsidR="005F4AA3" w:rsidRPr="00F62B95">
        <w:rPr>
          <w:rFonts w:asciiTheme="minorHAnsi" w:hAnsiTheme="minorHAnsi" w:cs="Calibri"/>
          <w:lang w:val="es-ES_tradnl"/>
        </w:rPr>
        <w:t>.</w:t>
      </w:r>
      <w:r w:rsidR="003E7575">
        <w:rPr>
          <w:rFonts w:asciiTheme="minorHAnsi" w:hAnsiTheme="minorHAnsi" w:cs="Calibri"/>
          <w:lang w:val="es-ES_tradnl"/>
        </w:rPr>
        <w:t xml:space="preserve"> </w:t>
      </w:r>
      <w:r w:rsidR="005F4AA3" w:rsidRPr="00F62B95">
        <w:rPr>
          <w:rFonts w:asciiTheme="minorHAnsi" w:hAnsiTheme="minorHAnsi" w:cs="Calibri"/>
          <w:lang w:val="es-ES_tradnl"/>
        </w:rPr>
        <w:t>La Secretaría seguirá</w:t>
      </w:r>
      <w:r w:rsidRPr="00F62B95">
        <w:rPr>
          <w:rFonts w:asciiTheme="minorHAnsi" w:hAnsiTheme="minorHAnsi" w:cs="Calibri"/>
          <w:lang w:val="es-ES_tradnl"/>
        </w:rPr>
        <w:t xml:space="preserve"> participando en </w:t>
      </w:r>
      <w:r w:rsidR="00E02043" w:rsidRPr="00F62B95">
        <w:rPr>
          <w:rFonts w:asciiTheme="minorHAnsi" w:hAnsiTheme="minorHAnsi" w:cs="Calibri"/>
          <w:lang w:val="es-ES_tradnl"/>
        </w:rPr>
        <w:t xml:space="preserve">estas actividades a través de su </w:t>
      </w:r>
      <w:r w:rsidR="00411226">
        <w:rPr>
          <w:rFonts w:asciiTheme="minorHAnsi" w:hAnsiTheme="minorHAnsi" w:cs="Calibri"/>
          <w:lang w:val="es-ES_tradnl"/>
        </w:rPr>
        <w:t>colaboración con</w:t>
      </w:r>
      <w:r w:rsidR="00E02043" w:rsidRPr="00F62B95">
        <w:rPr>
          <w:rFonts w:asciiTheme="minorHAnsi" w:hAnsiTheme="minorHAnsi" w:cs="Calibri"/>
          <w:lang w:val="es-ES_tradnl"/>
        </w:rPr>
        <w:t xml:space="preserve"> el grupo de trabajo </w:t>
      </w:r>
      <w:r w:rsidR="005F4AA3" w:rsidRPr="00F62B95">
        <w:rPr>
          <w:rFonts w:asciiTheme="minorHAnsi" w:hAnsiTheme="minorHAnsi" w:cs="Calibri"/>
          <w:lang w:val="es-ES_tradnl"/>
        </w:rPr>
        <w:t xml:space="preserve">sobre </w:t>
      </w:r>
      <w:r w:rsidR="00231D2A" w:rsidRPr="00F62B95">
        <w:rPr>
          <w:rFonts w:asciiTheme="minorHAnsi" w:hAnsiTheme="minorHAnsi" w:cs="Arial"/>
          <w:lang w:val="es-ES_tradnl"/>
        </w:rPr>
        <w:t>Infor</w:t>
      </w:r>
      <w:r w:rsidR="00C34775" w:rsidRPr="00F62B95">
        <w:rPr>
          <w:rFonts w:asciiTheme="minorHAnsi" w:hAnsiTheme="minorHAnsi" w:cs="Arial"/>
          <w:lang w:val="es-ES_tradnl"/>
        </w:rPr>
        <w:t>MEA</w:t>
      </w:r>
      <w:r w:rsidR="00231D2A" w:rsidRPr="00F62B95">
        <w:rPr>
          <w:rFonts w:asciiTheme="minorHAnsi" w:hAnsiTheme="minorHAnsi" w:cs="Arial"/>
          <w:lang w:val="es-ES_tradnl"/>
        </w:rPr>
        <w:t>.</w:t>
      </w:r>
    </w:p>
    <w:p w14:paraId="759CACD4" w14:textId="77777777" w:rsidR="00ED7DD6" w:rsidRPr="00F62B95" w:rsidRDefault="00ED7DD6" w:rsidP="001B1570">
      <w:pPr>
        <w:pStyle w:val="ListParagraph"/>
        <w:jc w:val="left"/>
        <w:rPr>
          <w:rFonts w:asciiTheme="minorHAnsi" w:hAnsiTheme="minorHAnsi" w:cs="Arial"/>
          <w:lang w:val="es-ES_tradnl"/>
        </w:rPr>
      </w:pPr>
    </w:p>
    <w:p w14:paraId="08843B29" w14:textId="0CBD9E33" w:rsidR="00ED7DD6" w:rsidRPr="00F62B95" w:rsidRDefault="0045248F" w:rsidP="001B1570">
      <w:pPr>
        <w:pStyle w:val="ListParagraph"/>
        <w:numPr>
          <w:ilvl w:val="0"/>
          <w:numId w:val="19"/>
        </w:numPr>
        <w:ind w:left="426" w:hanging="426"/>
        <w:jc w:val="left"/>
        <w:rPr>
          <w:rFonts w:asciiTheme="minorHAnsi" w:hAnsiTheme="minorHAnsi"/>
          <w:lang w:val="es-ES_tradnl"/>
        </w:rPr>
      </w:pPr>
      <w:r w:rsidRPr="00F62B95">
        <w:rPr>
          <w:rFonts w:asciiTheme="minorHAnsi" w:hAnsiTheme="minorHAnsi"/>
          <w:lang w:val="es-ES_tradnl"/>
        </w:rPr>
        <w:t xml:space="preserve">El día 21 de marzo de 2016, tendrá lugar una celebración conjunta de </w:t>
      </w:r>
      <w:r w:rsidR="00ED7DD6" w:rsidRPr="00F62B95">
        <w:rPr>
          <w:rFonts w:asciiTheme="minorHAnsi" w:hAnsiTheme="minorHAnsi"/>
          <w:lang w:val="es-ES_tradnl"/>
        </w:rPr>
        <w:t>Ramsar/</w:t>
      </w:r>
      <w:r w:rsidRPr="00F62B95">
        <w:rPr>
          <w:rFonts w:asciiTheme="minorHAnsi" w:hAnsiTheme="minorHAnsi"/>
          <w:lang w:val="es-ES_tradnl"/>
        </w:rPr>
        <w:t>CEPE</w:t>
      </w:r>
      <w:r w:rsidR="00ED7DD6" w:rsidRPr="00F62B95">
        <w:rPr>
          <w:rFonts w:asciiTheme="minorHAnsi" w:hAnsiTheme="minorHAnsi"/>
          <w:lang w:val="es-ES_tradnl"/>
        </w:rPr>
        <w:t xml:space="preserve">/FAO </w:t>
      </w:r>
      <w:r w:rsidR="00AD7171" w:rsidRPr="00F62B95">
        <w:rPr>
          <w:rFonts w:asciiTheme="minorHAnsi" w:hAnsiTheme="minorHAnsi"/>
          <w:lang w:val="es-ES_tradnl"/>
        </w:rPr>
        <w:t>c</w:t>
      </w:r>
      <w:r w:rsidRPr="00F62B95">
        <w:rPr>
          <w:rFonts w:asciiTheme="minorHAnsi" w:hAnsiTheme="minorHAnsi"/>
          <w:lang w:val="es-ES_tradnl"/>
        </w:rPr>
        <w:t xml:space="preserve">on motivo del Día </w:t>
      </w:r>
      <w:r w:rsidR="009106C7" w:rsidRPr="00F62B95">
        <w:rPr>
          <w:rFonts w:asciiTheme="minorHAnsi" w:hAnsiTheme="minorHAnsi"/>
          <w:lang w:val="es-ES_tradnl"/>
        </w:rPr>
        <w:t>Internacional</w:t>
      </w:r>
      <w:r w:rsidRPr="00F62B95">
        <w:rPr>
          <w:rFonts w:asciiTheme="minorHAnsi" w:hAnsiTheme="minorHAnsi"/>
          <w:lang w:val="es-ES_tradnl"/>
        </w:rPr>
        <w:t xml:space="preserve"> de los Bosques. </w:t>
      </w:r>
      <w:r w:rsidR="009106C7" w:rsidRPr="00F62B95">
        <w:rPr>
          <w:rFonts w:asciiTheme="minorHAnsi" w:hAnsiTheme="minorHAnsi"/>
          <w:lang w:val="es-ES_tradnl"/>
        </w:rPr>
        <w:t>El evento está organizado conjuntamente por la Secretaría del Convenio del A</w:t>
      </w:r>
      <w:r w:rsidR="00C25DFB">
        <w:rPr>
          <w:rFonts w:asciiTheme="minorHAnsi" w:hAnsiTheme="minorHAnsi"/>
          <w:lang w:val="es-ES_tradnl"/>
        </w:rPr>
        <w:t>gua de la CEPE, la Unidad de Viv</w:t>
      </w:r>
      <w:r w:rsidR="009106C7" w:rsidRPr="00F62B95">
        <w:rPr>
          <w:rFonts w:asciiTheme="minorHAnsi" w:hAnsiTheme="minorHAnsi"/>
          <w:lang w:val="es-ES_tradnl"/>
        </w:rPr>
        <w:t>ienda y Gestión del Suelo de la CEPE</w:t>
      </w:r>
      <w:r w:rsidR="002F1740" w:rsidRPr="00F62B95">
        <w:rPr>
          <w:rFonts w:asciiTheme="minorHAnsi" w:hAnsiTheme="minorHAnsi"/>
          <w:lang w:val="es-ES_tradnl"/>
        </w:rPr>
        <w:t xml:space="preserve">, la </w:t>
      </w:r>
      <w:r w:rsidR="00C34775" w:rsidRPr="00F62B95">
        <w:rPr>
          <w:rFonts w:asciiTheme="minorHAnsi" w:hAnsiTheme="minorHAnsi"/>
          <w:lang w:val="es-ES_tradnl"/>
        </w:rPr>
        <w:t>FAO</w:t>
      </w:r>
      <w:r w:rsidR="002F1740" w:rsidRPr="00F62B95">
        <w:rPr>
          <w:rFonts w:asciiTheme="minorHAnsi" w:hAnsiTheme="minorHAnsi"/>
          <w:lang w:val="es-ES_tradnl"/>
        </w:rPr>
        <w:t xml:space="preserve"> y la Secretaría de la Convención de Ramsar, con el apoyo de los Gobiernos de</w:t>
      </w:r>
      <w:r w:rsidR="00C34775" w:rsidRPr="00F62B95">
        <w:rPr>
          <w:rFonts w:asciiTheme="minorHAnsi" w:hAnsiTheme="minorHAnsi"/>
          <w:lang w:val="es-ES_tradnl"/>
        </w:rPr>
        <w:t xml:space="preserve"> </w:t>
      </w:r>
      <w:r w:rsidR="002F1740" w:rsidRPr="00F62B95">
        <w:rPr>
          <w:rFonts w:asciiTheme="minorHAnsi" w:hAnsiTheme="minorHAnsi"/>
          <w:lang w:val="es-ES_tradnl"/>
        </w:rPr>
        <w:t xml:space="preserve">Suiza y Finlandia. Este año </w:t>
      </w:r>
      <w:r w:rsidR="008F7391">
        <w:rPr>
          <w:rFonts w:asciiTheme="minorHAnsi" w:hAnsiTheme="minorHAnsi"/>
          <w:lang w:val="es-ES_tradnl"/>
        </w:rPr>
        <w:t xml:space="preserve">el </w:t>
      </w:r>
      <w:r w:rsidR="002F1740" w:rsidRPr="00F62B95">
        <w:rPr>
          <w:rFonts w:asciiTheme="minorHAnsi" w:hAnsiTheme="minorHAnsi"/>
          <w:lang w:val="es-ES_tradnl"/>
        </w:rPr>
        <w:t xml:space="preserve">evento se organiza en torno al tema </w:t>
      </w:r>
      <w:r w:rsidR="00ED7DD6" w:rsidRPr="00F62B95">
        <w:rPr>
          <w:rFonts w:asciiTheme="minorHAnsi" w:hAnsiTheme="minorHAnsi"/>
          <w:lang w:val="es-ES_tradnl"/>
        </w:rPr>
        <w:t>“</w:t>
      </w:r>
      <w:r w:rsidR="002F1740" w:rsidRPr="00F62B95">
        <w:rPr>
          <w:rFonts w:asciiTheme="minorHAnsi" w:hAnsiTheme="minorHAnsi"/>
          <w:lang w:val="es-ES_tradnl"/>
        </w:rPr>
        <w:t>Bosques y Agua</w:t>
      </w:r>
      <w:r w:rsidR="00ED7DD6" w:rsidRPr="00F62B95">
        <w:rPr>
          <w:rFonts w:asciiTheme="minorHAnsi" w:hAnsiTheme="minorHAnsi"/>
          <w:lang w:val="es-ES_tradnl"/>
        </w:rPr>
        <w:t xml:space="preserve">” </w:t>
      </w:r>
      <w:r w:rsidR="002F1740" w:rsidRPr="00F62B95">
        <w:rPr>
          <w:rFonts w:asciiTheme="minorHAnsi" w:hAnsiTheme="minorHAnsi"/>
          <w:lang w:val="es-ES_tradnl"/>
        </w:rPr>
        <w:t xml:space="preserve">y tiene como propósito promover la toma de conciencia sobre las interconexiones entre los bosques y el agua. </w:t>
      </w:r>
      <w:r w:rsidR="006C130E" w:rsidRPr="00F62B95">
        <w:rPr>
          <w:rFonts w:asciiTheme="minorHAnsi" w:hAnsiTheme="minorHAnsi"/>
          <w:lang w:val="es-ES_tradnl"/>
        </w:rPr>
        <w:t>El evento incluirá experiencias de países y estudios de caso, destacando los servicios de los ecosistemas forestales para salvaguardar el equilibrio</w:t>
      </w:r>
      <w:r w:rsidR="00755FD5" w:rsidRPr="00F62B95">
        <w:rPr>
          <w:rFonts w:asciiTheme="minorHAnsi" w:hAnsiTheme="minorHAnsi"/>
          <w:lang w:val="es-ES_tradnl"/>
        </w:rPr>
        <w:t xml:space="preserve"> hídrico</w:t>
      </w:r>
      <w:r w:rsidR="006C130E" w:rsidRPr="00F62B95">
        <w:rPr>
          <w:rFonts w:asciiTheme="minorHAnsi" w:hAnsiTheme="minorHAnsi"/>
          <w:lang w:val="es-ES_tradnl"/>
        </w:rPr>
        <w:t xml:space="preserve"> y </w:t>
      </w:r>
      <w:r w:rsidR="00755FD5" w:rsidRPr="00F62B95">
        <w:rPr>
          <w:rFonts w:asciiTheme="minorHAnsi" w:hAnsiTheme="minorHAnsi"/>
          <w:lang w:val="es-ES_tradnl"/>
        </w:rPr>
        <w:t xml:space="preserve">el suministro de agua, además del papel de los bosques para mejorar la resiliencia del paisaje frente a los peligros relacionados con el agua. Por iniciativa de la Secretaría, el sector privado también presentará algunas experiencias a través del </w:t>
      </w:r>
      <w:r w:rsidR="00E82142" w:rsidRPr="00F62B95">
        <w:rPr>
          <w:rFonts w:asciiTheme="minorHAnsi" w:hAnsiTheme="minorHAnsi"/>
          <w:lang w:val="es-ES_tradnl"/>
        </w:rPr>
        <w:t>Consejo Empresarial Mundial de Desarrollo Sostenible</w:t>
      </w:r>
      <w:r w:rsidR="00C34775" w:rsidRPr="00F62B95">
        <w:rPr>
          <w:rFonts w:asciiTheme="minorHAnsi" w:hAnsiTheme="minorHAnsi"/>
          <w:lang w:val="es-ES_tradnl"/>
        </w:rPr>
        <w:t>.</w:t>
      </w:r>
      <w:r w:rsidR="003E7575">
        <w:rPr>
          <w:rFonts w:asciiTheme="minorHAnsi" w:hAnsiTheme="minorHAnsi"/>
          <w:lang w:val="es-ES_tradnl"/>
        </w:rPr>
        <w:t xml:space="preserve"> </w:t>
      </w:r>
    </w:p>
    <w:p w14:paraId="3C0667A5" w14:textId="77777777" w:rsidR="00231D2A" w:rsidRPr="00F62B95" w:rsidRDefault="00231D2A" w:rsidP="001B1570">
      <w:pPr>
        <w:autoSpaceDE w:val="0"/>
        <w:autoSpaceDN w:val="0"/>
        <w:adjustRightInd w:val="0"/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</w:pPr>
    </w:p>
    <w:p w14:paraId="3BDE2029" w14:textId="03106097" w:rsidR="00095D96" w:rsidRPr="00F62B95" w:rsidRDefault="001A1845" w:rsidP="001B157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Style w:val="Strong"/>
          <w:rFonts w:asciiTheme="minorHAnsi" w:hAnsiTheme="minorHAnsi"/>
          <w:b w:val="0"/>
          <w:lang w:val="es-ES_tradnl"/>
        </w:rPr>
      </w:pPr>
      <w:r>
        <w:rPr>
          <w:rStyle w:val="Strong"/>
          <w:rFonts w:asciiTheme="minorHAnsi" w:hAnsiTheme="minorHAnsi"/>
          <w:b w:val="0"/>
          <w:lang w:val="es-ES_tradnl"/>
        </w:rPr>
        <w:t>Respecto de</w:t>
      </w:r>
      <w:r w:rsidR="00C2335B" w:rsidRPr="00F62B95">
        <w:rPr>
          <w:rStyle w:val="Strong"/>
          <w:rFonts w:asciiTheme="minorHAnsi" w:hAnsiTheme="minorHAnsi"/>
          <w:b w:val="0"/>
          <w:lang w:val="es-ES_tradnl"/>
        </w:rPr>
        <w:t xml:space="preserve"> </w:t>
      </w:r>
      <w:r w:rsidR="008F7391">
        <w:rPr>
          <w:rStyle w:val="Strong"/>
          <w:rFonts w:asciiTheme="minorHAnsi" w:hAnsiTheme="minorHAnsi"/>
          <w:b w:val="0"/>
          <w:lang w:val="es-ES_tradnl"/>
        </w:rPr>
        <w:t xml:space="preserve">la organización de </w:t>
      </w:r>
      <w:r w:rsidR="00C2335B" w:rsidRPr="00F62B95">
        <w:rPr>
          <w:rStyle w:val="Strong"/>
          <w:rFonts w:asciiTheme="minorHAnsi" w:hAnsiTheme="minorHAnsi"/>
          <w:b w:val="0"/>
          <w:lang w:val="es-ES_tradnl"/>
        </w:rPr>
        <w:t>las sesiones ministeriales de alto nivel</w:t>
      </w:r>
      <w:r w:rsidR="00A35021" w:rsidRPr="00F62B95">
        <w:rPr>
          <w:rStyle w:val="Strong"/>
          <w:rFonts w:asciiTheme="minorHAnsi" w:hAnsiTheme="minorHAnsi"/>
          <w:b w:val="0"/>
          <w:lang w:val="es-ES_tradnl"/>
        </w:rPr>
        <w:t>,</w:t>
      </w:r>
      <w:r w:rsidR="00C2335B" w:rsidRPr="00F62B95">
        <w:rPr>
          <w:rStyle w:val="Strong"/>
          <w:rFonts w:asciiTheme="minorHAnsi" w:hAnsiTheme="minorHAnsi"/>
          <w:b w:val="0"/>
          <w:lang w:val="es-ES_tradnl"/>
        </w:rPr>
        <w:t xml:space="preserve"> la Secretaría ha consultado con las Secretarías de </w:t>
      </w:r>
      <w:r w:rsidR="00E82142" w:rsidRPr="00F62B95">
        <w:rPr>
          <w:rStyle w:val="Strong"/>
          <w:rFonts w:asciiTheme="minorHAnsi" w:hAnsiTheme="minorHAnsi"/>
          <w:b w:val="0"/>
          <w:lang w:val="es-ES_tradnl"/>
        </w:rPr>
        <w:t xml:space="preserve">la </w:t>
      </w:r>
      <w:r w:rsidR="00C96658">
        <w:rPr>
          <w:rStyle w:val="Strong"/>
          <w:rFonts w:asciiTheme="minorHAnsi" w:hAnsiTheme="minorHAnsi"/>
          <w:b w:val="0"/>
          <w:lang w:val="es-ES_tradnl"/>
        </w:rPr>
        <w:t>CEM</w:t>
      </w:r>
      <w:r w:rsidR="00E82142" w:rsidRPr="00F62B95">
        <w:rPr>
          <w:rStyle w:val="Strong"/>
          <w:rFonts w:asciiTheme="minorHAnsi" w:hAnsiTheme="minorHAnsi"/>
          <w:b w:val="0"/>
          <w:lang w:val="es-ES_tradnl"/>
        </w:rPr>
        <w:t xml:space="preserve">, el CDB, la CITES y la Convención del Patrimonio Mundial </w:t>
      </w:r>
      <w:r w:rsidR="00C2335B" w:rsidRPr="00F62B95">
        <w:rPr>
          <w:rStyle w:val="Strong"/>
          <w:rFonts w:asciiTheme="minorHAnsi" w:hAnsiTheme="minorHAnsi"/>
          <w:b w:val="0"/>
          <w:lang w:val="es-ES_tradnl"/>
        </w:rPr>
        <w:t>sobre sus experiencias al respecto; a continuación se resume el asesoramiento recibido.</w:t>
      </w:r>
      <w:r w:rsidR="003E7575">
        <w:rPr>
          <w:rStyle w:val="Strong"/>
          <w:rFonts w:asciiTheme="minorHAnsi" w:hAnsiTheme="minorHAnsi"/>
          <w:b w:val="0"/>
          <w:lang w:val="es-ES_tradnl"/>
        </w:rPr>
        <w:t xml:space="preserve"> </w:t>
      </w:r>
    </w:p>
    <w:p w14:paraId="413DE3A9" w14:textId="05D2260E" w:rsidR="00376DDC" w:rsidRPr="00F62B95" w:rsidRDefault="003E7575" w:rsidP="001B1570">
      <w:pPr>
        <w:autoSpaceDE w:val="0"/>
        <w:autoSpaceDN w:val="0"/>
        <w:adjustRightInd w:val="0"/>
        <w:ind w:left="426" w:hanging="426"/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</w:pPr>
      <w:r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 xml:space="preserve"> </w:t>
      </w:r>
    </w:p>
    <w:p w14:paraId="08FB5C7D" w14:textId="330BAF61" w:rsidR="00095D96" w:rsidRPr="00F62B95" w:rsidRDefault="00095D96" w:rsidP="00AD7171">
      <w:pPr>
        <w:autoSpaceDE w:val="0"/>
        <w:autoSpaceDN w:val="0"/>
        <w:adjustRightInd w:val="0"/>
        <w:rPr>
          <w:rStyle w:val="Strong"/>
          <w:rFonts w:asciiTheme="minorHAnsi" w:hAnsiTheme="minorHAnsi"/>
          <w:sz w:val="22"/>
          <w:szCs w:val="22"/>
          <w:lang w:val="es-ES_tradnl"/>
        </w:rPr>
      </w:pPr>
      <w:r w:rsidRPr="00F62B95">
        <w:rPr>
          <w:rStyle w:val="Strong"/>
          <w:rFonts w:asciiTheme="minorHAnsi" w:hAnsiTheme="minorHAnsi"/>
          <w:sz w:val="22"/>
          <w:szCs w:val="22"/>
          <w:lang w:val="es-ES_tradnl"/>
        </w:rPr>
        <w:lastRenderedPageBreak/>
        <w:t>Natur</w:t>
      </w:r>
      <w:r w:rsidR="00C2335B" w:rsidRPr="00F62B95">
        <w:rPr>
          <w:rStyle w:val="Strong"/>
          <w:rFonts w:asciiTheme="minorHAnsi" w:hAnsiTheme="minorHAnsi"/>
          <w:sz w:val="22"/>
          <w:szCs w:val="22"/>
          <w:lang w:val="es-ES_tradnl"/>
        </w:rPr>
        <w:t xml:space="preserve">aleza de la sesión ministerial de alto nivel y principales resultados de la misma </w:t>
      </w:r>
    </w:p>
    <w:p w14:paraId="63662871" w14:textId="77777777" w:rsidR="00095D96" w:rsidRPr="00F62B95" w:rsidRDefault="00095D96" w:rsidP="001B1570">
      <w:pPr>
        <w:autoSpaceDE w:val="0"/>
        <w:autoSpaceDN w:val="0"/>
        <w:adjustRightInd w:val="0"/>
        <w:ind w:left="426" w:hanging="426"/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</w:pPr>
    </w:p>
    <w:p w14:paraId="6370CFD8" w14:textId="37FABF5D" w:rsidR="00C73EC1" w:rsidRPr="00F62B95" w:rsidRDefault="00C2335B" w:rsidP="001B1570">
      <w:pPr>
        <w:pStyle w:val="Default"/>
        <w:numPr>
          <w:ilvl w:val="0"/>
          <w:numId w:val="19"/>
        </w:numPr>
        <w:ind w:left="426" w:hanging="426"/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</w:pPr>
      <w:r w:rsidRPr="00F62B95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 xml:space="preserve">En el caso de todas las Convenciones, salvo el CDB, las sesiones suelen ser </w:t>
      </w:r>
      <w:r w:rsidR="00C069A3" w:rsidRPr="00F62B95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 xml:space="preserve">en grupos ministeriales o mesas redondas ministeriales, siempre con el fin de debatir sobre cuestiones temáticas específicas. La sesión puede celebrarse antes o después de las reuniones de las Conferencias de las Partes o de los comités, con las ventajas e inconvenientes correspondientes que </w:t>
      </w:r>
      <w:r w:rsidR="008F7391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 xml:space="preserve">suponen </w:t>
      </w:r>
      <w:r w:rsidR="00C069A3" w:rsidRPr="00F62B95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>ambas opciones.</w:t>
      </w:r>
      <w:r w:rsidR="003E7575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 xml:space="preserve"> </w:t>
      </w:r>
      <w:r w:rsidR="008F7391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>Por lo tanto, hay quienes opinan que es mejor</w:t>
      </w:r>
      <w:r w:rsidR="00C069A3" w:rsidRPr="00F62B95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 xml:space="preserve"> que estas sesiones tengan lugar an</w:t>
      </w:r>
      <w:r w:rsidR="001A1845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>tes de la reunión principal a fi</w:t>
      </w:r>
      <w:r w:rsidR="00C069A3" w:rsidRPr="00F62B95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>n de aportar contribuciones sobre las cuestiones importan</w:t>
      </w:r>
      <w:r w:rsidR="008F7391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>tes a tratar durante la reunión mientras o</w:t>
      </w:r>
      <w:r w:rsidR="00C069A3" w:rsidRPr="00F62B95"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  <w:t xml:space="preserve">tros consideran que es preferible una vez finalizada la reunión a fin de incluir los temas importantes en las conclusiones. </w:t>
      </w:r>
    </w:p>
    <w:p w14:paraId="5B55009E" w14:textId="77777777" w:rsidR="007613B5" w:rsidRPr="00F62B95" w:rsidRDefault="007613B5" w:rsidP="001B1570">
      <w:pPr>
        <w:autoSpaceDE w:val="0"/>
        <w:autoSpaceDN w:val="0"/>
        <w:adjustRightInd w:val="0"/>
        <w:ind w:left="426" w:hanging="426"/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</w:pPr>
    </w:p>
    <w:p w14:paraId="3ECDCF96" w14:textId="491A4B22" w:rsidR="00462967" w:rsidRPr="00F62B95" w:rsidRDefault="00F86361" w:rsidP="001B157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rStyle w:val="Strong"/>
          <w:rFonts w:asciiTheme="minorHAnsi" w:hAnsiTheme="minorHAnsi"/>
          <w:b w:val="0"/>
          <w:lang w:val="es-ES_tradnl"/>
        </w:rPr>
      </w:pPr>
      <w:r w:rsidRPr="00F62B95">
        <w:rPr>
          <w:rStyle w:val="Strong"/>
          <w:rFonts w:asciiTheme="minorHAnsi" w:hAnsiTheme="minorHAnsi"/>
          <w:b w:val="0"/>
          <w:lang w:val="es-ES_tradnl"/>
        </w:rPr>
        <w:t>Los resultados principales de las sesiones ministeriales de alto nivel con frecuencia consisten en la adopción de declaraci</w:t>
      </w:r>
      <w:r w:rsidR="000628B7" w:rsidRPr="00F62B95">
        <w:rPr>
          <w:rStyle w:val="Strong"/>
          <w:rFonts w:asciiTheme="minorHAnsi" w:hAnsiTheme="minorHAnsi"/>
          <w:b w:val="0"/>
          <w:lang w:val="es-ES_tradnl"/>
        </w:rPr>
        <w:t>ones que son</w:t>
      </w:r>
      <w:r w:rsidRPr="00F62B95">
        <w:rPr>
          <w:rStyle w:val="Strong"/>
          <w:rFonts w:asciiTheme="minorHAnsi" w:hAnsiTheme="minorHAnsi"/>
          <w:b w:val="0"/>
          <w:lang w:val="es-ES_tradnl"/>
        </w:rPr>
        <w:t xml:space="preserve"> independientes de las negociaciones de la reunión de la Conferencia de las Partes. </w:t>
      </w:r>
      <w:r w:rsidR="000628B7" w:rsidRPr="00F62B95">
        <w:rPr>
          <w:rStyle w:val="Strong"/>
          <w:rFonts w:asciiTheme="minorHAnsi" w:hAnsiTheme="minorHAnsi"/>
          <w:b w:val="0"/>
          <w:lang w:val="es-ES_tradnl"/>
        </w:rPr>
        <w:t xml:space="preserve">En el caso de los grupos ministeriales de alto nivel o mesas redondas ministeriales, los principales resultados suelen ser en forma de una declaración de la presidencia de la sesión o declaraciones conjuntas. </w:t>
      </w:r>
    </w:p>
    <w:p w14:paraId="70BC19BF" w14:textId="77777777" w:rsidR="00A8161A" w:rsidRPr="00F62B95" w:rsidRDefault="00A8161A" w:rsidP="001B1570">
      <w:pPr>
        <w:pStyle w:val="ListParagraph"/>
        <w:jc w:val="left"/>
        <w:rPr>
          <w:rStyle w:val="Strong"/>
          <w:rFonts w:asciiTheme="minorHAnsi" w:hAnsiTheme="minorHAnsi"/>
          <w:b w:val="0"/>
          <w:highlight w:val="yellow"/>
          <w:lang w:val="es-ES_tradnl"/>
        </w:rPr>
      </w:pPr>
    </w:p>
    <w:p w14:paraId="67E5BEC9" w14:textId="7D707947" w:rsidR="00A8161A" w:rsidRPr="00F62B95" w:rsidRDefault="000628B7" w:rsidP="001B1570">
      <w:pPr>
        <w:pStyle w:val="ListParagraph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  <w:bCs/>
          <w:lang w:val="es-ES_tradnl"/>
        </w:rPr>
      </w:pPr>
      <w:r w:rsidRPr="00F62B95">
        <w:rPr>
          <w:rFonts w:asciiTheme="minorHAnsi" w:hAnsiTheme="minorHAnsi" w:cstheme="minorHAnsi"/>
          <w:bCs/>
          <w:lang w:val="es-ES_tradnl"/>
        </w:rPr>
        <w:t xml:space="preserve">En términos generales, se considera que las sesiones de alto nivel </w:t>
      </w:r>
      <w:r w:rsidR="001D267A" w:rsidRPr="00F62B95">
        <w:rPr>
          <w:rFonts w:asciiTheme="minorHAnsi" w:hAnsiTheme="minorHAnsi" w:cstheme="minorHAnsi"/>
          <w:bCs/>
          <w:lang w:val="es-ES_tradnl"/>
        </w:rPr>
        <w:t>(</w:t>
      </w:r>
      <w:r w:rsidR="00A35021" w:rsidRPr="00F62B95">
        <w:rPr>
          <w:rFonts w:asciiTheme="minorHAnsi" w:hAnsiTheme="minorHAnsi" w:cstheme="minorHAnsi"/>
          <w:bCs/>
          <w:lang w:val="es-ES_tradnl"/>
        </w:rPr>
        <w:t>grupos ministeriales de alto nivel o mesas redondas ministeriales</w:t>
      </w:r>
      <w:r w:rsidR="001D267A" w:rsidRPr="00F62B95">
        <w:rPr>
          <w:rFonts w:asciiTheme="minorHAnsi" w:hAnsiTheme="minorHAnsi" w:cstheme="minorHAnsi"/>
          <w:bCs/>
          <w:lang w:val="es-ES_tradnl"/>
        </w:rPr>
        <w:t xml:space="preserve">) </w:t>
      </w:r>
      <w:r w:rsidR="00A35021" w:rsidRPr="00F62B95">
        <w:rPr>
          <w:rFonts w:asciiTheme="minorHAnsi" w:hAnsiTheme="minorHAnsi" w:cstheme="minorHAnsi"/>
          <w:bCs/>
          <w:lang w:val="es-ES_tradnl"/>
        </w:rPr>
        <w:t xml:space="preserve">aportan oportunidades para mejorar la visibilidad, apoyo político e impacto de las Convenciones. No obstante, uno de los mayores retos consiste en garantizar la presencia de los ministros pertinentes. </w:t>
      </w:r>
    </w:p>
    <w:p w14:paraId="689AD07F" w14:textId="77777777" w:rsidR="00462967" w:rsidRPr="00F62B95" w:rsidRDefault="00462967" w:rsidP="001B1570">
      <w:pPr>
        <w:autoSpaceDE w:val="0"/>
        <w:autoSpaceDN w:val="0"/>
        <w:adjustRightInd w:val="0"/>
        <w:ind w:left="426" w:hanging="426"/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</w:pPr>
    </w:p>
    <w:p w14:paraId="163D83F6" w14:textId="43379974" w:rsidR="00462967" w:rsidRPr="00F62B95" w:rsidRDefault="00462967" w:rsidP="000B6927">
      <w:pPr>
        <w:autoSpaceDE w:val="0"/>
        <w:autoSpaceDN w:val="0"/>
        <w:adjustRightInd w:val="0"/>
        <w:rPr>
          <w:rStyle w:val="Strong"/>
          <w:rFonts w:asciiTheme="minorHAnsi" w:hAnsiTheme="minorHAnsi"/>
          <w:sz w:val="22"/>
          <w:szCs w:val="22"/>
          <w:lang w:val="es-ES_tradnl"/>
        </w:rPr>
      </w:pPr>
      <w:r w:rsidRPr="00F62B95">
        <w:rPr>
          <w:rStyle w:val="Strong"/>
          <w:rFonts w:asciiTheme="minorHAnsi" w:hAnsiTheme="minorHAnsi"/>
          <w:sz w:val="22"/>
          <w:szCs w:val="22"/>
          <w:lang w:val="es-ES_tradnl"/>
        </w:rPr>
        <w:t>Organiza</w:t>
      </w:r>
      <w:r w:rsidR="00E02043" w:rsidRPr="00F62B95">
        <w:rPr>
          <w:rStyle w:val="Strong"/>
          <w:rFonts w:asciiTheme="minorHAnsi" w:hAnsiTheme="minorHAnsi"/>
          <w:sz w:val="22"/>
          <w:szCs w:val="22"/>
          <w:lang w:val="es-ES_tradnl"/>
        </w:rPr>
        <w:t>ción y costo</w:t>
      </w:r>
    </w:p>
    <w:p w14:paraId="76C1E1EB" w14:textId="77777777" w:rsidR="00462967" w:rsidRPr="00F62B95" w:rsidRDefault="00462967" w:rsidP="001B1570">
      <w:pPr>
        <w:autoSpaceDE w:val="0"/>
        <w:autoSpaceDN w:val="0"/>
        <w:adjustRightInd w:val="0"/>
        <w:ind w:left="426" w:hanging="426"/>
        <w:rPr>
          <w:rStyle w:val="Strong"/>
          <w:rFonts w:asciiTheme="minorHAnsi" w:hAnsiTheme="minorHAnsi"/>
          <w:b w:val="0"/>
          <w:sz w:val="22"/>
          <w:szCs w:val="22"/>
          <w:lang w:val="es-ES_tradnl"/>
        </w:rPr>
      </w:pPr>
    </w:p>
    <w:p w14:paraId="0232148F" w14:textId="1FB7C5F9" w:rsidR="00936945" w:rsidRPr="00F62B95" w:rsidRDefault="00A35021" w:rsidP="001B1570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426" w:hanging="426"/>
        <w:jc w:val="left"/>
        <w:rPr>
          <w:lang w:val="es-ES_tradnl"/>
        </w:rPr>
      </w:pPr>
      <w:r w:rsidRPr="00F62B95">
        <w:rPr>
          <w:rStyle w:val="Strong"/>
          <w:rFonts w:asciiTheme="minorHAnsi" w:hAnsiTheme="minorHAnsi"/>
          <w:b w:val="0"/>
          <w:lang w:val="es-ES_tradnl"/>
        </w:rPr>
        <w:t xml:space="preserve">En todo caso, las sesiones ministeriales de alto nivel o grupos ministeriales de alto nivel/mesas redondas ministeriales se organizan y se financian por el país anfitrión. Las Secretarías colaboran en la preparación del orden del día pero generalmente es el país anfitrión quien se ocupa de todos los aspectos logísticos y protocolarios, incluyendo las invitaciones a la reunión. </w:t>
      </w:r>
    </w:p>
    <w:sectPr w:rsidR="00936945" w:rsidRPr="00F62B95" w:rsidSect="00625F54">
      <w:footerReference w:type="defaul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8A5CB" w14:textId="77777777" w:rsidR="00411226" w:rsidRDefault="00411226" w:rsidP="00FF697B">
      <w:r>
        <w:separator/>
      </w:r>
    </w:p>
  </w:endnote>
  <w:endnote w:type="continuationSeparator" w:id="0">
    <w:p w14:paraId="1E73950C" w14:textId="77777777" w:rsidR="00411226" w:rsidRDefault="00411226" w:rsidP="00FF697B">
      <w:r>
        <w:continuationSeparator/>
      </w:r>
    </w:p>
  </w:endnote>
  <w:endnote w:type="continuationNotice" w:id="1">
    <w:p w14:paraId="01D4E358" w14:textId="77777777" w:rsidR="00411226" w:rsidRDefault="00411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486939314"/>
      <w:docPartObj>
        <w:docPartGallery w:val="Page Numbers (Bottom of Page)"/>
        <w:docPartUnique/>
      </w:docPartObj>
    </w:sdtPr>
    <w:sdtEndPr/>
    <w:sdtContent>
      <w:p w14:paraId="20FC02BB" w14:textId="7E12AE6B" w:rsidR="00411226" w:rsidRPr="002714E9" w:rsidRDefault="00411226" w:rsidP="00625F54">
        <w:pPr>
          <w:pStyle w:val="Footer"/>
          <w:tabs>
            <w:tab w:val="clear" w:pos="9360"/>
            <w:tab w:val="right" w:pos="4680"/>
            <w:tab w:val="right" w:pos="9072"/>
          </w:tabs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>SC52-15</w:t>
        </w:r>
        <w:r>
          <w:rPr>
            <w:rFonts w:asciiTheme="minorHAnsi" w:hAnsiTheme="minorHAnsi"/>
            <w:sz w:val="20"/>
            <w:szCs w:val="20"/>
          </w:rPr>
          <w:tab/>
        </w:r>
        <w:r>
          <w:rPr>
            <w:rFonts w:asciiTheme="minorHAnsi" w:hAnsiTheme="minorHAnsi"/>
            <w:sz w:val="20"/>
            <w:szCs w:val="20"/>
          </w:rPr>
          <w:tab/>
        </w:r>
        <w:r w:rsidRPr="00625F54">
          <w:rPr>
            <w:rFonts w:asciiTheme="minorHAnsi" w:hAnsiTheme="minorHAnsi"/>
            <w:sz w:val="20"/>
            <w:szCs w:val="20"/>
          </w:rPr>
          <w:fldChar w:fldCharType="begin"/>
        </w:r>
        <w:r w:rsidRPr="00625F5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625F54">
          <w:rPr>
            <w:rFonts w:asciiTheme="minorHAnsi" w:hAnsiTheme="minorHAnsi"/>
            <w:sz w:val="20"/>
            <w:szCs w:val="20"/>
          </w:rPr>
          <w:fldChar w:fldCharType="separate"/>
        </w:r>
        <w:r w:rsidR="00E2117F">
          <w:rPr>
            <w:rFonts w:asciiTheme="minorHAnsi" w:hAnsiTheme="minorHAnsi"/>
            <w:noProof/>
            <w:sz w:val="20"/>
            <w:szCs w:val="20"/>
          </w:rPr>
          <w:t>2</w:t>
        </w:r>
        <w:r w:rsidRPr="00625F54">
          <w:rPr>
            <w:rFonts w:asciiTheme="minorHAnsi" w:hAnsiTheme="minorHAnsi"/>
            <w:noProof/>
            <w:sz w:val="20"/>
            <w:szCs w:val="20"/>
          </w:rPr>
          <w:fldChar w:fldCharType="end"/>
        </w:r>
        <w:r>
          <w:rPr>
            <w:rFonts w:asciiTheme="minorHAnsi" w:hAnsiTheme="minorHAnsi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9085B" w14:textId="77777777" w:rsidR="00411226" w:rsidRDefault="00411226" w:rsidP="00FF697B">
      <w:r>
        <w:separator/>
      </w:r>
    </w:p>
  </w:footnote>
  <w:footnote w:type="continuationSeparator" w:id="0">
    <w:p w14:paraId="7DD3B61C" w14:textId="77777777" w:rsidR="00411226" w:rsidRDefault="00411226" w:rsidP="00FF697B">
      <w:r>
        <w:continuationSeparator/>
      </w:r>
    </w:p>
  </w:footnote>
  <w:footnote w:type="continuationNotice" w:id="1">
    <w:p w14:paraId="60D41F3E" w14:textId="77777777" w:rsidR="00411226" w:rsidRDefault="004112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F2E"/>
    <w:multiLevelType w:val="hybridMultilevel"/>
    <w:tmpl w:val="98A0BFD8"/>
    <w:lvl w:ilvl="0" w:tplc="6DEEB5FE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2D0B"/>
    <w:multiLevelType w:val="hybridMultilevel"/>
    <w:tmpl w:val="8C38CF18"/>
    <w:lvl w:ilvl="0" w:tplc="E438E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3E43"/>
    <w:multiLevelType w:val="hybridMultilevel"/>
    <w:tmpl w:val="256AD27C"/>
    <w:lvl w:ilvl="0" w:tplc="0C9C0494">
      <w:numFmt w:val="bullet"/>
      <w:lvlText w:val="•"/>
      <w:lvlJc w:val="left"/>
      <w:pPr>
        <w:ind w:left="1080" w:hanging="360"/>
      </w:pPr>
      <w:rPr>
        <w:rFonts w:ascii="Calibri" w:eastAsiaTheme="minorHAnsi" w:hAnsi="Calibri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4334E"/>
    <w:multiLevelType w:val="hybridMultilevel"/>
    <w:tmpl w:val="D2964664"/>
    <w:lvl w:ilvl="0" w:tplc="E894F93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D3F26"/>
    <w:multiLevelType w:val="hybridMultilevel"/>
    <w:tmpl w:val="9E18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EE071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934B3"/>
    <w:multiLevelType w:val="hybridMultilevel"/>
    <w:tmpl w:val="C9A2D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9173C"/>
    <w:multiLevelType w:val="hybridMultilevel"/>
    <w:tmpl w:val="FF449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7A5F5D"/>
    <w:multiLevelType w:val="hybridMultilevel"/>
    <w:tmpl w:val="08CCE2C2"/>
    <w:lvl w:ilvl="0" w:tplc="E438E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C0529"/>
    <w:multiLevelType w:val="hybridMultilevel"/>
    <w:tmpl w:val="B4824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4129E"/>
    <w:multiLevelType w:val="hybridMultilevel"/>
    <w:tmpl w:val="C2723764"/>
    <w:lvl w:ilvl="0" w:tplc="0C9C0494">
      <w:numFmt w:val="bullet"/>
      <w:lvlText w:val="•"/>
      <w:lvlJc w:val="left"/>
      <w:pPr>
        <w:ind w:left="1506" w:hanging="360"/>
      </w:pPr>
      <w:rPr>
        <w:rFonts w:ascii="Calibri" w:eastAsiaTheme="minorHAnsi" w:hAnsi="Calibri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7778D0"/>
    <w:multiLevelType w:val="hybridMultilevel"/>
    <w:tmpl w:val="E0EC3DA8"/>
    <w:lvl w:ilvl="0" w:tplc="7AF2F740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654747"/>
    <w:multiLevelType w:val="hybridMultilevel"/>
    <w:tmpl w:val="A11634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F3E75"/>
    <w:multiLevelType w:val="hybridMultilevel"/>
    <w:tmpl w:val="6D62D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B4E8C"/>
    <w:multiLevelType w:val="hybridMultilevel"/>
    <w:tmpl w:val="BFBE8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91C17"/>
    <w:multiLevelType w:val="hybridMultilevel"/>
    <w:tmpl w:val="85AA5D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D3985"/>
    <w:multiLevelType w:val="hybridMultilevel"/>
    <w:tmpl w:val="D87E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47FBE"/>
    <w:multiLevelType w:val="hybridMultilevel"/>
    <w:tmpl w:val="85AA5D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E4FF5"/>
    <w:multiLevelType w:val="hybridMultilevel"/>
    <w:tmpl w:val="7212B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82480"/>
    <w:multiLevelType w:val="hybridMultilevel"/>
    <w:tmpl w:val="1230011A"/>
    <w:lvl w:ilvl="0" w:tplc="D77EA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16F21"/>
    <w:multiLevelType w:val="hybridMultilevel"/>
    <w:tmpl w:val="40DC8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077F0"/>
    <w:multiLevelType w:val="hybridMultilevel"/>
    <w:tmpl w:val="2488C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C184B"/>
    <w:multiLevelType w:val="hybridMultilevel"/>
    <w:tmpl w:val="A1B89946"/>
    <w:lvl w:ilvl="0" w:tplc="05947E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D3A1A"/>
    <w:multiLevelType w:val="hybridMultilevel"/>
    <w:tmpl w:val="1E46C4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F1F7F"/>
    <w:multiLevelType w:val="hybridMultilevel"/>
    <w:tmpl w:val="697C10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62977"/>
    <w:multiLevelType w:val="hybridMultilevel"/>
    <w:tmpl w:val="C71E5C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C2886"/>
    <w:multiLevelType w:val="hybridMultilevel"/>
    <w:tmpl w:val="AAC49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43990"/>
    <w:multiLevelType w:val="hybridMultilevel"/>
    <w:tmpl w:val="F2D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5101C"/>
    <w:multiLevelType w:val="hybridMultilevel"/>
    <w:tmpl w:val="5E9CE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633EE"/>
    <w:multiLevelType w:val="hybridMultilevel"/>
    <w:tmpl w:val="3A2C3A8E"/>
    <w:lvl w:ilvl="0" w:tplc="10BE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51DB6"/>
    <w:multiLevelType w:val="hybridMultilevel"/>
    <w:tmpl w:val="08CCE2C2"/>
    <w:lvl w:ilvl="0" w:tplc="E438E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5791B"/>
    <w:multiLevelType w:val="hybridMultilevel"/>
    <w:tmpl w:val="C4FA3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049A6"/>
    <w:multiLevelType w:val="hybridMultilevel"/>
    <w:tmpl w:val="642EA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02A92"/>
    <w:multiLevelType w:val="hybridMultilevel"/>
    <w:tmpl w:val="CBAE5578"/>
    <w:lvl w:ilvl="0" w:tplc="783E841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8B5CDE"/>
    <w:multiLevelType w:val="hybridMultilevel"/>
    <w:tmpl w:val="034A6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E174C"/>
    <w:multiLevelType w:val="hybridMultilevel"/>
    <w:tmpl w:val="C58AF338"/>
    <w:lvl w:ilvl="0" w:tplc="7AF2F7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3"/>
  </w:num>
  <w:num w:numId="4">
    <w:abstractNumId w:val="2"/>
  </w:num>
  <w:num w:numId="5">
    <w:abstractNumId w:val="9"/>
  </w:num>
  <w:num w:numId="6">
    <w:abstractNumId w:val="5"/>
  </w:num>
  <w:num w:numId="7">
    <w:abstractNumId w:val="25"/>
  </w:num>
  <w:num w:numId="8">
    <w:abstractNumId w:val="4"/>
  </w:num>
  <w:num w:numId="9">
    <w:abstractNumId w:val="11"/>
  </w:num>
  <w:num w:numId="10">
    <w:abstractNumId w:val="30"/>
  </w:num>
  <w:num w:numId="11">
    <w:abstractNumId w:val="17"/>
  </w:num>
  <w:num w:numId="12">
    <w:abstractNumId w:val="26"/>
  </w:num>
  <w:num w:numId="13">
    <w:abstractNumId w:val="23"/>
  </w:num>
  <w:num w:numId="14">
    <w:abstractNumId w:val="8"/>
  </w:num>
  <w:num w:numId="15">
    <w:abstractNumId w:val="32"/>
  </w:num>
  <w:num w:numId="16">
    <w:abstractNumId w:val="33"/>
  </w:num>
  <w:num w:numId="17">
    <w:abstractNumId w:val="10"/>
  </w:num>
  <w:num w:numId="18">
    <w:abstractNumId w:val="34"/>
  </w:num>
  <w:num w:numId="19">
    <w:abstractNumId w:val="3"/>
  </w:num>
  <w:num w:numId="20">
    <w:abstractNumId w:val="31"/>
  </w:num>
  <w:num w:numId="21">
    <w:abstractNumId w:val="27"/>
  </w:num>
  <w:num w:numId="22">
    <w:abstractNumId w:val="18"/>
  </w:num>
  <w:num w:numId="23">
    <w:abstractNumId w:val="21"/>
  </w:num>
  <w:num w:numId="24">
    <w:abstractNumId w:val="16"/>
  </w:num>
  <w:num w:numId="25">
    <w:abstractNumId w:val="14"/>
  </w:num>
  <w:num w:numId="26">
    <w:abstractNumId w:val="0"/>
  </w:num>
  <w:num w:numId="27">
    <w:abstractNumId w:val="6"/>
  </w:num>
  <w:num w:numId="28">
    <w:abstractNumId w:val="24"/>
  </w:num>
  <w:num w:numId="29">
    <w:abstractNumId w:val="12"/>
  </w:num>
  <w:num w:numId="30">
    <w:abstractNumId w:val="22"/>
  </w:num>
  <w:num w:numId="31">
    <w:abstractNumId w:val="29"/>
  </w:num>
  <w:num w:numId="32">
    <w:abstractNumId w:val="15"/>
  </w:num>
  <w:num w:numId="33">
    <w:abstractNumId w:val="1"/>
  </w:num>
  <w:num w:numId="34">
    <w:abstractNumId w:val="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B1"/>
    <w:rsid w:val="000119F7"/>
    <w:rsid w:val="00015F2A"/>
    <w:rsid w:val="00032C51"/>
    <w:rsid w:val="00033522"/>
    <w:rsid w:val="00040BDC"/>
    <w:rsid w:val="00041AFD"/>
    <w:rsid w:val="000508B7"/>
    <w:rsid w:val="00051CDC"/>
    <w:rsid w:val="00053851"/>
    <w:rsid w:val="0005674C"/>
    <w:rsid w:val="00057770"/>
    <w:rsid w:val="000628B7"/>
    <w:rsid w:val="0007167A"/>
    <w:rsid w:val="000728A7"/>
    <w:rsid w:val="00073599"/>
    <w:rsid w:val="0007671F"/>
    <w:rsid w:val="00080B42"/>
    <w:rsid w:val="000815CF"/>
    <w:rsid w:val="00081961"/>
    <w:rsid w:val="00092540"/>
    <w:rsid w:val="00094BDE"/>
    <w:rsid w:val="00095D96"/>
    <w:rsid w:val="000A170F"/>
    <w:rsid w:val="000A3510"/>
    <w:rsid w:val="000A5223"/>
    <w:rsid w:val="000A6728"/>
    <w:rsid w:val="000A6883"/>
    <w:rsid w:val="000B3C8C"/>
    <w:rsid w:val="000B4FCC"/>
    <w:rsid w:val="000B6927"/>
    <w:rsid w:val="000C15BC"/>
    <w:rsid w:val="000C47C6"/>
    <w:rsid w:val="000C55D5"/>
    <w:rsid w:val="000C7803"/>
    <w:rsid w:val="000E0DD8"/>
    <w:rsid w:val="000E19EC"/>
    <w:rsid w:val="000E5F96"/>
    <w:rsid w:val="000F1D6E"/>
    <w:rsid w:val="001006BE"/>
    <w:rsid w:val="00100888"/>
    <w:rsid w:val="00104BBE"/>
    <w:rsid w:val="0010584A"/>
    <w:rsid w:val="0011563D"/>
    <w:rsid w:val="00117941"/>
    <w:rsid w:val="001233DE"/>
    <w:rsid w:val="0013075D"/>
    <w:rsid w:val="001348B6"/>
    <w:rsid w:val="0013737A"/>
    <w:rsid w:val="00141F99"/>
    <w:rsid w:val="00146F43"/>
    <w:rsid w:val="00172DDC"/>
    <w:rsid w:val="0017359A"/>
    <w:rsid w:val="00174630"/>
    <w:rsid w:val="001803EE"/>
    <w:rsid w:val="00183A30"/>
    <w:rsid w:val="00191F11"/>
    <w:rsid w:val="00196C03"/>
    <w:rsid w:val="001A0160"/>
    <w:rsid w:val="001A1845"/>
    <w:rsid w:val="001A6258"/>
    <w:rsid w:val="001B1570"/>
    <w:rsid w:val="001C02DA"/>
    <w:rsid w:val="001C3563"/>
    <w:rsid w:val="001C64CD"/>
    <w:rsid w:val="001C7254"/>
    <w:rsid w:val="001D0F43"/>
    <w:rsid w:val="001D265C"/>
    <w:rsid w:val="001D267A"/>
    <w:rsid w:val="001D2EF9"/>
    <w:rsid w:val="001D4A5C"/>
    <w:rsid w:val="001E3547"/>
    <w:rsid w:val="001F1FBB"/>
    <w:rsid w:val="00212D24"/>
    <w:rsid w:val="00231D2A"/>
    <w:rsid w:val="00243645"/>
    <w:rsid w:val="0024470D"/>
    <w:rsid w:val="002447E7"/>
    <w:rsid w:val="002514F1"/>
    <w:rsid w:val="00254868"/>
    <w:rsid w:val="00260F42"/>
    <w:rsid w:val="002646FA"/>
    <w:rsid w:val="002660B1"/>
    <w:rsid w:val="002714E9"/>
    <w:rsid w:val="002835A3"/>
    <w:rsid w:val="002934B0"/>
    <w:rsid w:val="002953F3"/>
    <w:rsid w:val="002A0507"/>
    <w:rsid w:val="002A65F4"/>
    <w:rsid w:val="002B1E27"/>
    <w:rsid w:val="002B42B8"/>
    <w:rsid w:val="002B4F2F"/>
    <w:rsid w:val="002B69AB"/>
    <w:rsid w:val="002B7D26"/>
    <w:rsid w:val="002C0479"/>
    <w:rsid w:val="002C0555"/>
    <w:rsid w:val="002C1151"/>
    <w:rsid w:val="002C537A"/>
    <w:rsid w:val="002D6856"/>
    <w:rsid w:val="002E5ADC"/>
    <w:rsid w:val="002E64DF"/>
    <w:rsid w:val="002F1740"/>
    <w:rsid w:val="002F58A7"/>
    <w:rsid w:val="0030465B"/>
    <w:rsid w:val="00316D8C"/>
    <w:rsid w:val="0032502F"/>
    <w:rsid w:val="00325679"/>
    <w:rsid w:val="00326F22"/>
    <w:rsid w:val="003320A7"/>
    <w:rsid w:val="00337C92"/>
    <w:rsid w:val="003417FD"/>
    <w:rsid w:val="00363972"/>
    <w:rsid w:val="00376063"/>
    <w:rsid w:val="00376DDC"/>
    <w:rsid w:val="00382E89"/>
    <w:rsid w:val="003915FB"/>
    <w:rsid w:val="00391C56"/>
    <w:rsid w:val="00392B8E"/>
    <w:rsid w:val="00392E1D"/>
    <w:rsid w:val="003B050A"/>
    <w:rsid w:val="003B253B"/>
    <w:rsid w:val="003B5014"/>
    <w:rsid w:val="003B6D11"/>
    <w:rsid w:val="003C128F"/>
    <w:rsid w:val="003C20FF"/>
    <w:rsid w:val="003C36FA"/>
    <w:rsid w:val="003C6A54"/>
    <w:rsid w:val="003E0E4E"/>
    <w:rsid w:val="003E11F9"/>
    <w:rsid w:val="003E7575"/>
    <w:rsid w:val="003F2F88"/>
    <w:rsid w:val="003F7B34"/>
    <w:rsid w:val="00400BE4"/>
    <w:rsid w:val="004070EF"/>
    <w:rsid w:val="00407F93"/>
    <w:rsid w:val="00411226"/>
    <w:rsid w:val="00423D8B"/>
    <w:rsid w:val="00434554"/>
    <w:rsid w:val="00437D89"/>
    <w:rsid w:val="004427DB"/>
    <w:rsid w:val="00446641"/>
    <w:rsid w:val="0045248F"/>
    <w:rsid w:val="00454E40"/>
    <w:rsid w:val="00456306"/>
    <w:rsid w:val="00457E6A"/>
    <w:rsid w:val="004611F7"/>
    <w:rsid w:val="00462967"/>
    <w:rsid w:val="004731DE"/>
    <w:rsid w:val="004819CC"/>
    <w:rsid w:val="00482DC9"/>
    <w:rsid w:val="00487333"/>
    <w:rsid w:val="004A08F0"/>
    <w:rsid w:val="004B4F43"/>
    <w:rsid w:val="004C3C9F"/>
    <w:rsid w:val="004C7A23"/>
    <w:rsid w:val="004D7848"/>
    <w:rsid w:val="004E1F6C"/>
    <w:rsid w:val="004F034D"/>
    <w:rsid w:val="004F5DCB"/>
    <w:rsid w:val="004F5DCD"/>
    <w:rsid w:val="004F6FD2"/>
    <w:rsid w:val="00500752"/>
    <w:rsid w:val="00504F5D"/>
    <w:rsid w:val="005153CF"/>
    <w:rsid w:val="005312F9"/>
    <w:rsid w:val="00532FA8"/>
    <w:rsid w:val="00533213"/>
    <w:rsid w:val="005333A7"/>
    <w:rsid w:val="00534542"/>
    <w:rsid w:val="00536ED0"/>
    <w:rsid w:val="0053736B"/>
    <w:rsid w:val="00545DA3"/>
    <w:rsid w:val="00546397"/>
    <w:rsid w:val="005502D2"/>
    <w:rsid w:val="005518CD"/>
    <w:rsid w:val="005522A4"/>
    <w:rsid w:val="005526B6"/>
    <w:rsid w:val="00552FAB"/>
    <w:rsid w:val="005630B6"/>
    <w:rsid w:val="005667AA"/>
    <w:rsid w:val="00581EC3"/>
    <w:rsid w:val="00582948"/>
    <w:rsid w:val="00587498"/>
    <w:rsid w:val="00590622"/>
    <w:rsid w:val="00592107"/>
    <w:rsid w:val="00596A96"/>
    <w:rsid w:val="005A4493"/>
    <w:rsid w:val="005B581C"/>
    <w:rsid w:val="005B769D"/>
    <w:rsid w:val="005D067A"/>
    <w:rsid w:val="005D2A79"/>
    <w:rsid w:val="005D5595"/>
    <w:rsid w:val="005D5FFC"/>
    <w:rsid w:val="005D6089"/>
    <w:rsid w:val="005D7F8A"/>
    <w:rsid w:val="005E0D1B"/>
    <w:rsid w:val="005E2530"/>
    <w:rsid w:val="005E538D"/>
    <w:rsid w:val="005F4888"/>
    <w:rsid w:val="005F4AA3"/>
    <w:rsid w:val="005F4ABE"/>
    <w:rsid w:val="005F520E"/>
    <w:rsid w:val="00617BD2"/>
    <w:rsid w:val="00625F54"/>
    <w:rsid w:val="00631532"/>
    <w:rsid w:val="006368E9"/>
    <w:rsid w:val="006422BC"/>
    <w:rsid w:val="0064540F"/>
    <w:rsid w:val="00645412"/>
    <w:rsid w:val="00645924"/>
    <w:rsid w:val="00645FEF"/>
    <w:rsid w:val="0064751D"/>
    <w:rsid w:val="00647F07"/>
    <w:rsid w:val="00651E2D"/>
    <w:rsid w:val="00657000"/>
    <w:rsid w:val="00663970"/>
    <w:rsid w:val="006654EC"/>
    <w:rsid w:val="00665CC7"/>
    <w:rsid w:val="00667F55"/>
    <w:rsid w:val="006820B0"/>
    <w:rsid w:val="00685DA0"/>
    <w:rsid w:val="00694AC4"/>
    <w:rsid w:val="006961B7"/>
    <w:rsid w:val="006A36AA"/>
    <w:rsid w:val="006A40A7"/>
    <w:rsid w:val="006A4A76"/>
    <w:rsid w:val="006B4949"/>
    <w:rsid w:val="006B6339"/>
    <w:rsid w:val="006C130E"/>
    <w:rsid w:val="006D0C5F"/>
    <w:rsid w:val="006D12B3"/>
    <w:rsid w:val="006D23D0"/>
    <w:rsid w:val="006E19DD"/>
    <w:rsid w:val="006E3462"/>
    <w:rsid w:val="006E3610"/>
    <w:rsid w:val="006F4786"/>
    <w:rsid w:val="00703BEF"/>
    <w:rsid w:val="00720D5C"/>
    <w:rsid w:val="00722CEF"/>
    <w:rsid w:val="00735D60"/>
    <w:rsid w:val="00755FD5"/>
    <w:rsid w:val="00760D4B"/>
    <w:rsid w:val="007613B5"/>
    <w:rsid w:val="00764684"/>
    <w:rsid w:val="00771876"/>
    <w:rsid w:val="00776D8F"/>
    <w:rsid w:val="00776F3B"/>
    <w:rsid w:val="007770FA"/>
    <w:rsid w:val="00782506"/>
    <w:rsid w:val="007831BE"/>
    <w:rsid w:val="00787545"/>
    <w:rsid w:val="007A16D7"/>
    <w:rsid w:val="007A5606"/>
    <w:rsid w:val="007A738C"/>
    <w:rsid w:val="007B419C"/>
    <w:rsid w:val="007B692D"/>
    <w:rsid w:val="007E615D"/>
    <w:rsid w:val="007E7B4D"/>
    <w:rsid w:val="007F1BF9"/>
    <w:rsid w:val="007F1E7B"/>
    <w:rsid w:val="007F38E9"/>
    <w:rsid w:val="007F4615"/>
    <w:rsid w:val="007F575E"/>
    <w:rsid w:val="00803E9B"/>
    <w:rsid w:val="00806209"/>
    <w:rsid w:val="00806CA6"/>
    <w:rsid w:val="00810109"/>
    <w:rsid w:val="00810F0C"/>
    <w:rsid w:val="00812CC5"/>
    <w:rsid w:val="008200FA"/>
    <w:rsid w:val="00823213"/>
    <w:rsid w:val="0082444A"/>
    <w:rsid w:val="00834A95"/>
    <w:rsid w:val="00837832"/>
    <w:rsid w:val="00863FEF"/>
    <w:rsid w:val="00870DDD"/>
    <w:rsid w:val="00870DF6"/>
    <w:rsid w:val="008723F0"/>
    <w:rsid w:val="00872A6F"/>
    <w:rsid w:val="00873D23"/>
    <w:rsid w:val="0087471E"/>
    <w:rsid w:val="008769EA"/>
    <w:rsid w:val="0088481D"/>
    <w:rsid w:val="00892E1A"/>
    <w:rsid w:val="008932A5"/>
    <w:rsid w:val="00896DF7"/>
    <w:rsid w:val="008A43C7"/>
    <w:rsid w:val="008A6402"/>
    <w:rsid w:val="008A769A"/>
    <w:rsid w:val="008B2CBB"/>
    <w:rsid w:val="008C0144"/>
    <w:rsid w:val="008C29EC"/>
    <w:rsid w:val="008C445B"/>
    <w:rsid w:val="008C67E5"/>
    <w:rsid w:val="008D14FE"/>
    <w:rsid w:val="008D18CE"/>
    <w:rsid w:val="008E03AA"/>
    <w:rsid w:val="008E23DC"/>
    <w:rsid w:val="008E4ED0"/>
    <w:rsid w:val="008E7A2A"/>
    <w:rsid w:val="008F7391"/>
    <w:rsid w:val="009106C7"/>
    <w:rsid w:val="00912820"/>
    <w:rsid w:val="00914AF8"/>
    <w:rsid w:val="009157D4"/>
    <w:rsid w:val="0092099E"/>
    <w:rsid w:val="00920D91"/>
    <w:rsid w:val="009211DF"/>
    <w:rsid w:val="00921497"/>
    <w:rsid w:val="00936945"/>
    <w:rsid w:val="00941D6F"/>
    <w:rsid w:val="00947491"/>
    <w:rsid w:val="00952B90"/>
    <w:rsid w:val="00952C58"/>
    <w:rsid w:val="00954E10"/>
    <w:rsid w:val="00955DFF"/>
    <w:rsid w:val="009752E1"/>
    <w:rsid w:val="00981796"/>
    <w:rsid w:val="00991227"/>
    <w:rsid w:val="0099484B"/>
    <w:rsid w:val="009A2101"/>
    <w:rsid w:val="009C69F8"/>
    <w:rsid w:val="009D1E33"/>
    <w:rsid w:val="009D4081"/>
    <w:rsid w:val="009D7EE2"/>
    <w:rsid w:val="009F1447"/>
    <w:rsid w:val="00A00B62"/>
    <w:rsid w:val="00A018CD"/>
    <w:rsid w:val="00A02F36"/>
    <w:rsid w:val="00A056B6"/>
    <w:rsid w:val="00A07D4F"/>
    <w:rsid w:val="00A10C01"/>
    <w:rsid w:val="00A14906"/>
    <w:rsid w:val="00A158A4"/>
    <w:rsid w:val="00A16BDF"/>
    <w:rsid w:val="00A222EB"/>
    <w:rsid w:val="00A228B2"/>
    <w:rsid w:val="00A35021"/>
    <w:rsid w:val="00A36B41"/>
    <w:rsid w:val="00A43C7D"/>
    <w:rsid w:val="00A46E45"/>
    <w:rsid w:val="00A55093"/>
    <w:rsid w:val="00A6690C"/>
    <w:rsid w:val="00A67FA2"/>
    <w:rsid w:val="00A8161A"/>
    <w:rsid w:val="00A8614B"/>
    <w:rsid w:val="00A963DB"/>
    <w:rsid w:val="00AA0B82"/>
    <w:rsid w:val="00AA5FEC"/>
    <w:rsid w:val="00AB28A1"/>
    <w:rsid w:val="00AB7590"/>
    <w:rsid w:val="00AC06C2"/>
    <w:rsid w:val="00AC384B"/>
    <w:rsid w:val="00AC669A"/>
    <w:rsid w:val="00AD39A4"/>
    <w:rsid w:val="00AD7171"/>
    <w:rsid w:val="00AE05E7"/>
    <w:rsid w:val="00AE54B6"/>
    <w:rsid w:val="00AE6962"/>
    <w:rsid w:val="00AF1FC8"/>
    <w:rsid w:val="00AF2442"/>
    <w:rsid w:val="00AF391D"/>
    <w:rsid w:val="00AF63F3"/>
    <w:rsid w:val="00B12264"/>
    <w:rsid w:val="00B12E52"/>
    <w:rsid w:val="00B30085"/>
    <w:rsid w:val="00B31BC1"/>
    <w:rsid w:val="00B446EE"/>
    <w:rsid w:val="00B447BA"/>
    <w:rsid w:val="00B4614C"/>
    <w:rsid w:val="00B636C2"/>
    <w:rsid w:val="00B7361F"/>
    <w:rsid w:val="00B80AB7"/>
    <w:rsid w:val="00B825B4"/>
    <w:rsid w:val="00B8388D"/>
    <w:rsid w:val="00B90C60"/>
    <w:rsid w:val="00B94F41"/>
    <w:rsid w:val="00B96189"/>
    <w:rsid w:val="00BA1F7B"/>
    <w:rsid w:val="00BA2127"/>
    <w:rsid w:val="00BA308D"/>
    <w:rsid w:val="00BA4D61"/>
    <w:rsid w:val="00BA510D"/>
    <w:rsid w:val="00BA67EE"/>
    <w:rsid w:val="00BA6D1A"/>
    <w:rsid w:val="00BA70B5"/>
    <w:rsid w:val="00BB14C9"/>
    <w:rsid w:val="00BC245F"/>
    <w:rsid w:val="00BC621C"/>
    <w:rsid w:val="00BC63FB"/>
    <w:rsid w:val="00BD0330"/>
    <w:rsid w:val="00BD5EA5"/>
    <w:rsid w:val="00BD6D34"/>
    <w:rsid w:val="00BE5EAD"/>
    <w:rsid w:val="00BF3184"/>
    <w:rsid w:val="00C012D2"/>
    <w:rsid w:val="00C069A3"/>
    <w:rsid w:val="00C14551"/>
    <w:rsid w:val="00C17766"/>
    <w:rsid w:val="00C22296"/>
    <w:rsid w:val="00C2335B"/>
    <w:rsid w:val="00C25DFB"/>
    <w:rsid w:val="00C34775"/>
    <w:rsid w:val="00C442D4"/>
    <w:rsid w:val="00C45363"/>
    <w:rsid w:val="00C4689B"/>
    <w:rsid w:val="00C53DB5"/>
    <w:rsid w:val="00C545EA"/>
    <w:rsid w:val="00C549BD"/>
    <w:rsid w:val="00C552A9"/>
    <w:rsid w:val="00C55392"/>
    <w:rsid w:val="00C57997"/>
    <w:rsid w:val="00C606CD"/>
    <w:rsid w:val="00C7225E"/>
    <w:rsid w:val="00C73EC1"/>
    <w:rsid w:val="00C74B34"/>
    <w:rsid w:val="00C770A9"/>
    <w:rsid w:val="00C80895"/>
    <w:rsid w:val="00C80D1A"/>
    <w:rsid w:val="00C81BEE"/>
    <w:rsid w:val="00C863DD"/>
    <w:rsid w:val="00C90A2F"/>
    <w:rsid w:val="00C92309"/>
    <w:rsid w:val="00C931F7"/>
    <w:rsid w:val="00C96658"/>
    <w:rsid w:val="00CA36DC"/>
    <w:rsid w:val="00CA6667"/>
    <w:rsid w:val="00CA789B"/>
    <w:rsid w:val="00CB4D8B"/>
    <w:rsid w:val="00CC018D"/>
    <w:rsid w:val="00CC52A6"/>
    <w:rsid w:val="00CD26B4"/>
    <w:rsid w:val="00CE06B5"/>
    <w:rsid w:val="00CE31CC"/>
    <w:rsid w:val="00D0074C"/>
    <w:rsid w:val="00D12244"/>
    <w:rsid w:val="00D21621"/>
    <w:rsid w:val="00D25BCE"/>
    <w:rsid w:val="00D3141D"/>
    <w:rsid w:val="00D33954"/>
    <w:rsid w:val="00D36866"/>
    <w:rsid w:val="00D55DD9"/>
    <w:rsid w:val="00D56300"/>
    <w:rsid w:val="00D75281"/>
    <w:rsid w:val="00D76D82"/>
    <w:rsid w:val="00D8166D"/>
    <w:rsid w:val="00D91024"/>
    <w:rsid w:val="00D942F2"/>
    <w:rsid w:val="00D94A4D"/>
    <w:rsid w:val="00D94C75"/>
    <w:rsid w:val="00DB7D67"/>
    <w:rsid w:val="00DC15A2"/>
    <w:rsid w:val="00DC3C16"/>
    <w:rsid w:val="00DC4D8F"/>
    <w:rsid w:val="00DC50A0"/>
    <w:rsid w:val="00DC7754"/>
    <w:rsid w:val="00DE135D"/>
    <w:rsid w:val="00DE297C"/>
    <w:rsid w:val="00DE3F71"/>
    <w:rsid w:val="00DE6164"/>
    <w:rsid w:val="00DF047C"/>
    <w:rsid w:val="00DF0CB9"/>
    <w:rsid w:val="00DF1101"/>
    <w:rsid w:val="00DF1E83"/>
    <w:rsid w:val="00DF5AF4"/>
    <w:rsid w:val="00E02043"/>
    <w:rsid w:val="00E039B7"/>
    <w:rsid w:val="00E06543"/>
    <w:rsid w:val="00E077BC"/>
    <w:rsid w:val="00E2117F"/>
    <w:rsid w:val="00E26DD6"/>
    <w:rsid w:val="00E441CB"/>
    <w:rsid w:val="00E554A1"/>
    <w:rsid w:val="00E6556A"/>
    <w:rsid w:val="00E656E6"/>
    <w:rsid w:val="00E7270C"/>
    <w:rsid w:val="00E74E07"/>
    <w:rsid w:val="00E8018B"/>
    <w:rsid w:val="00E82142"/>
    <w:rsid w:val="00E8264A"/>
    <w:rsid w:val="00E86897"/>
    <w:rsid w:val="00E916CA"/>
    <w:rsid w:val="00E929EF"/>
    <w:rsid w:val="00E931E0"/>
    <w:rsid w:val="00E959F6"/>
    <w:rsid w:val="00EA1425"/>
    <w:rsid w:val="00EA3FBC"/>
    <w:rsid w:val="00EB3C7C"/>
    <w:rsid w:val="00EB42CB"/>
    <w:rsid w:val="00EB447F"/>
    <w:rsid w:val="00EB4809"/>
    <w:rsid w:val="00EB63C5"/>
    <w:rsid w:val="00ED4C7F"/>
    <w:rsid w:val="00ED7DD6"/>
    <w:rsid w:val="00EE0E62"/>
    <w:rsid w:val="00EF17EF"/>
    <w:rsid w:val="00EF2796"/>
    <w:rsid w:val="00EF2B14"/>
    <w:rsid w:val="00EF2E30"/>
    <w:rsid w:val="00EF3281"/>
    <w:rsid w:val="00EF4815"/>
    <w:rsid w:val="00F001E1"/>
    <w:rsid w:val="00F05AA5"/>
    <w:rsid w:val="00F110D1"/>
    <w:rsid w:val="00F156CB"/>
    <w:rsid w:val="00F35761"/>
    <w:rsid w:val="00F36036"/>
    <w:rsid w:val="00F401EC"/>
    <w:rsid w:val="00F427E1"/>
    <w:rsid w:val="00F507B8"/>
    <w:rsid w:val="00F62B95"/>
    <w:rsid w:val="00F65FDA"/>
    <w:rsid w:val="00F664F5"/>
    <w:rsid w:val="00F66E12"/>
    <w:rsid w:val="00F73267"/>
    <w:rsid w:val="00F7392D"/>
    <w:rsid w:val="00F8072A"/>
    <w:rsid w:val="00F83863"/>
    <w:rsid w:val="00F85A79"/>
    <w:rsid w:val="00F86361"/>
    <w:rsid w:val="00F86463"/>
    <w:rsid w:val="00F93B73"/>
    <w:rsid w:val="00FA2B25"/>
    <w:rsid w:val="00FA633D"/>
    <w:rsid w:val="00FB4B57"/>
    <w:rsid w:val="00FB5873"/>
    <w:rsid w:val="00FC2FD7"/>
    <w:rsid w:val="00FC4460"/>
    <w:rsid w:val="00FD04F2"/>
    <w:rsid w:val="00FD0F57"/>
    <w:rsid w:val="00FD1E4F"/>
    <w:rsid w:val="00FE0FAB"/>
    <w:rsid w:val="00FE3C74"/>
    <w:rsid w:val="00FF0CE5"/>
    <w:rsid w:val="00FF52FE"/>
    <w:rsid w:val="00FF5C21"/>
    <w:rsid w:val="00FF697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3DE"/>
    <w:pPr>
      <w:ind w:left="720"/>
      <w:contextualSpacing/>
      <w:jc w:val="both"/>
    </w:pPr>
    <w:rPr>
      <w:rFonts w:ascii="Tahoma" w:eastAsia="Calibri" w:hAnsi="Tahoma"/>
      <w:sz w:val="22"/>
      <w:szCs w:val="22"/>
      <w:lang w:eastAsia="en-US"/>
    </w:rPr>
  </w:style>
  <w:style w:type="paragraph" w:customStyle="1" w:styleId="Pa7">
    <w:name w:val="Pa7"/>
    <w:basedOn w:val="Normal"/>
    <w:next w:val="Normal"/>
    <w:uiPriority w:val="99"/>
    <w:rsid w:val="00446641"/>
    <w:pPr>
      <w:autoSpaceDE w:val="0"/>
      <w:autoSpaceDN w:val="0"/>
      <w:adjustRightInd w:val="0"/>
      <w:spacing w:line="241" w:lineRule="atLeast"/>
    </w:pPr>
    <w:rPr>
      <w:rFonts w:ascii="Palatino Linotype" w:eastAsiaTheme="minorHAnsi" w:hAnsi="Palatino Linotype" w:cstheme="minorBidi"/>
      <w:lang w:eastAsia="en-US"/>
    </w:rPr>
  </w:style>
  <w:style w:type="paragraph" w:customStyle="1" w:styleId="Default">
    <w:name w:val="Default"/>
    <w:rsid w:val="00F8386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2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6454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5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4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4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6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97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97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330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72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73599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7359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F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60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427DB"/>
  </w:style>
  <w:style w:type="character" w:styleId="Emphasis">
    <w:name w:val="Emphasis"/>
    <w:basedOn w:val="DefaultParagraphFont"/>
    <w:uiPriority w:val="20"/>
    <w:qFormat/>
    <w:rsid w:val="004427DB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8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3DE"/>
    <w:pPr>
      <w:ind w:left="720"/>
      <w:contextualSpacing/>
      <w:jc w:val="both"/>
    </w:pPr>
    <w:rPr>
      <w:rFonts w:ascii="Tahoma" w:eastAsia="Calibri" w:hAnsi="Tahoma"/>
      <w:sz w:val="22"/>
      <w:szCs w:val="22"/>
      <w:lang w:eastAsia="en-US"/>
    </w:rPr>
  </w:style>
  <w:style w:type="paragraph" w:customStyle="1" w:styleId="Pa7">
    <w:name w:val="Pa7"/>
    <w:basedOn w:val="Normal"/>
    <w:next w:val="Normal"/>
    <w:uiPriority w:val="99"/>
    <w:rsid w:val="00446641"/>
    <w:pPr>
      <w:autoSpaceDE w:val="0"/>
      <w:autoSpaceDN w:val="0"/>
      <w:adjustRightInd w:val="0"/>
      <w:spacing w:line="241" w:lineRule="atLeast"/>
    </w:pPr>
    <w:rPr>
      <w:rFonts w:ascii="Palatino Linotype" w:eastAsiaTheme="minorHAnsi" w:hAnsi="Palatino Linotype" w:cstheme="minorBidi"/>
      <w:lang w:eastAsia="en-US"/>
    </w:rPr>
  </w:style>
  <w:style w:type="paragraph" w:customStyle="1" w:styleId="Default">
    <w:name w:val="Default"/>
    <w:rsid w:val="00F8386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2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6454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5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4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4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6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97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97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330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72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73599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7359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F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60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427DB"/>
  </w:style>
  <w:style w:type="character" w:styleId="Emphasis">
    <w:name w:val="Emphasis"/>
    <w:basedOn w:val="DefaultParagraphFont"/>
    <w:uiPriority w:val="20"/>
    <w:qFormat/>
    <w:rsid w:val="004427DB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8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bd.int/doc/?meeting=BRCWS-2016-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344A-9CA1-459A-8972-B539C31A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2362</Words>
  <Characters>12710</Characters>
  <Application>Microsoft Office Word</Application>
  <DocSecurity>4</DocSecurity>
  <Lines>577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Maria</dc:creator>
  <cp:lastModifiedBy>Ramsar\JenningsE</cp:lastModifiedBy>
  <cp:revision>2</cp:revision>
  <cp:lastPrinted>2016-03-26T12:52:00Z</cp:lastPrinted>
  <dcterms:created xsi:type="dcterms:W3CDTF">2016-03-31T22:40:00Z</dcterms:created>
  <dcterms:modified xsi:type="dcterms:W3CDTF">2016-03-31T22:40:00Z</dcterms:modified>
</cp:coreProperties>
</file>