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2A27" w14:textId="23ECF781" w:rsidR="002660B1" w:rsidRPr="001466EF"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bookmarkStart w:id="0" w:name="_GoBack"/>
      <w:bookmarkEnd w:id="0"/>
      <w:r w:rsidRPr="001466EF">
        <w:rPr>
          <w:rFonts w:asciiTheme="minorHAnsi" w:hAnsiTheme="minorHAnsi" w:cstheme="minorHAnsi"/>
          <w:bCs/>
          <w:szCs w:val="20"/>
          <w:lang w:val="fr-CA"/>
        </w:rPr>
        <w:t>CONVENTION</w:t>
      </w:r>
      <w:r w:rsidR="002A65F4" w:rsidRPr="001466EF">
        <w:rPr>
          <w:rFonts w:asciiTheme="minorHAnsi" w:hAnsiTheme="minorHAnsi" w:cstheme="minorHAnsi"/>
          <w:bCs/>
          <w:szCs w:val="20"/>
          <w:lang w:val="fr-CA"/>
        </w:rPr>
        <w:t xml:space="preserve"> </w:t>
      </w:r>
      <w:r w:rsidR="006509AD" w:rsidRPr="001466EF">
        <w:rPr>
          <w:rFonts w:asciiTheme="minorHAnsi" w:hAnsiTheme="minorHAnsi" w:cstheme="minorHAnsi"/>
          <w:bCs/>
          <w:szCs w:val="20"/>
          <w:lang w:val="fr-CA"/>
        </w:rPr>
        <w:t>SUR LES ZONES</w:t>
      </w:r>
      <w:r w:rsidR="002A65F4" w:rsidRPr="001466EF">
        <w:rPr>
          <w:rFonts w:asciiTheme="minorHAnsi" w:hAnsiTheme="minorHAnsi" w:cstheme="minorHAnsi"/>
          <w:bCs/>
          <w:szCs w:val="20"/>
          <w:lang w:val="fr-CA"/>
        </w:rPr>
        <w:t xml:space="preserve"> </w:t>
      </w:r>
      <w:r w:rsidR="006509AD" w:rsidRPr="001466EF">
        <w:rPr>
          <w:rFonts w:asciiTheme="minorHAnsi" w:hAnsiTheme="minorHAnsi" w:cstheme="minorHAnsi"/>
          <w:bCs/>
          <w:szCs w:val="20"/>
          <w:lang w:val="fr-CA"/>
        </w:rPr>
        <w:t>HUMIDES</w:t>
      </w:r>
      <w:r w:rsidR="002A65F4" w:rsidRPr="001466EF">
        <w:rPr>
          <w:rFonts w:asciiTheme="minorHAnsi" w:hAnsiTheme="minorHAnsi" w:cstheme="minorHAnsi"/>
          <w:bCs/>
          <w:szCs w:val="20"/>
          <w:lang w:val="fr-CA"/>
        </w:rPr>
        <w:t xml:space="preserve"> </w:t>
      </w:r>
      <w:r w:rsidRPr="001466EF">
        <w:rPr>
          <w:rFonts w:asciiTheme="minorHAnsi" w:hAnsiTheme="minorHAnsi" w:cstheme="minorHAnsi"/>
          <w:bCs/>
          <w:szCs w:val="20"/>
          <w:lang w:val="fr-CA"/>
        </w:rPr>
        <w:t>(Ramsar,</w:t>
      </w:r>
      <w:r w:rsidR="002A65F4" w:rsidRPr="001466EF">
        <w:rPr>
          <w:rFonts w:asciiTheme="minorHAnsi" w:hAnsiTheme="minorHAnsi" w:cstheme="minorHAnsi"/>
          <w:bCs/>
          <w:szCs w:val="20"/>
          <w:lang w:val="fr-CA"/>
        </w:rPr>
        <w:t xml:space="preserve"> </w:t>
      </w:r>
      <w:r w:rsidRPr="001466EF">
        <w:rPr>
          <w:rFonts w:asciiTheme="minorHAnsi" w:hAnsiTheme="minorHAnsi" w:cstheme="minorHAnsi"/>
          <w:bCs/>
          <w:szCs w:val="20"/>
          <w:lang w:val="fr-CA"/>
        </w:rPr>
        <w:t>Iran,</w:t>
      </w:r>
      <w:r w:rsidR="002A65F4" w:rsidRPr="001466EF">
        <w:rPr>
          <w:rFonts w:asciiTheme="minorHAnsi" w:hAnsiTheme="minorHAnsi" w:cstheme="minorHAnsi"/>
          <w:bCs/>
          <w:szCs w:val="20"/>
          <w:lang w:val="fr-CA"/>
        </w:rPr>
        <w:t xml:space="preserve"> </w:t>
      </w:r>
      <w:r w:rsidRPr="001466EF">
        <w:rPr>
          <w:rFonts w:asciiTheme="minorHAnsi" w:hAnsiTheme="minorHAnsi" w:cstheme="minorHAnsi"/>
          <w:bCs/>
          <w:szCs w:val="20"/>
          <w:lang w:val="fr-CA"/>
        </w:rPr>
        <w:t>1971)</w:t>
      </w:r>
    </w:p>
    <w:p w14:paraId="0B39F79B" w14:textId="666E0CF7" w:rsidR="002660B1" w:rsidRPr="001466EF" w:rsidRDefault="00BA510D"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1466EF">
        <w:rPr>
          <w:rFonts w:asciiTheme="minorHAnsi" w:hAnsiTheme="minorHAnsi" w:cstheme="minorHAnsi"/>
          <w:bCs/>
          <w:szCs w:val="20"/>
          <w:lang w:val="fr-CA"/>
        </w:rPr>
        <w:t>5</w:t>
      </w:r>
      <w:r w:rsidR="0013075D" w:rsidRPr="001466EF">
        <w:rPr>
          <w:rFonts w:asciiTheme="minorHAnsi" w:hAnsiTheme="minorHAnsi" w:cstheme="minorHAnsi"/>
          <w:bCs/>
          <w:szCs w:val="20"/>
          <w:lang w:val="fr-CA"/>
        </w:rPr>
        <w:t>2</w:t>
      </w:r>
      <w:r w:rsidR="006509AD" w:rsidRPr="001466EF">
        <w:rPr>
          <w:rFonts w:asciiTheme="minorHAnsi" w:hAnsiTheme="minorHAnsi" w:cstheme="minorHAnsi"/>
          <w:bCs/>
          <w:szCs w:val="20"/>
          <w:vertAlign w:val="superscript"/>
          <w:lang w:val="fr-CA"/>
        </w:rPr>
        <w:t>e</w:t>
      </w:r>
      <w:r w:rsidR="0013075D" w:rsidRPr="001466EF">
        <w:rPr>
          <w:rFonts w:asciiTheme="minorHAnsi" w:hAnsiTheme="minorHAnsi" w:cstheme="minorHAnsi"/>
          <w:bCs/>
          <w:szCs w:val="20"/>
          <w:lang w:val="fr-CA"/>
        </w:rPr>
        <w:t xml:space="preserve"> </w:t>
      </w:r>
      <w:r w:rsidR="006509AD" w:rsidRPr="001466EF">
        <w:rPr>
          <w:rFonts w:asciiTheme="minorHAnsi" w:hAnsiTheme="minorHAnsi" w:cstheme="minorHAnsi"/>
          <w:bCs/>
          <w:szCs w:val="20"/>
          <w:lang w:val="fr-CA"/>
        </w:rPr>
        <w:t>Réunion du Comité permanent</w:t>
      </w:r>
    </w:p>
    <w:p w14:paraId="49DCBC31" w14:textId="246D7879" w:rsidR="002660B1" w:rsidRPr="001466EF"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sidRPr="001466EF">
        <w:rPr>
          <w:rFonts w:asciiTheme="minorHAnsi" w:hAnsiTheme="minorHAnsi" w:cstheme="minorHAnsi"/>
          <w:bCs/>
          <w:szCs w:val="20"/>
          <w:lang w:val="fr-CA"/>
        </w:rPr>
        <w:t>Gland,</w:t>
      </w:r>
      <w:r w:rsidR="002A65F4" w:rsidRPr="001466EF">
        <w:rPr>
          <w:rFonts w:asciiTheme="minorHAnsi" w:hAnsiTheme="minorHAnsi" w:cstheme="minorHAnsi"/>
          <w:bCs/>
          <w:szCs w:val="20"/>
          <w:lang w:val="fr-CA"/>
        </w:rPr>
        <w:t xml:space="preserve"> </w:t>
      </w:r>
      <w:r w:rsidR="006509AD" w:rsidRPr="001466EF">
        <w:rPr>
          <w:rFonts w:asciiTheme="minorHAnsi" w:hAnsiTheme="minorHAnsi" w:cstheme="minorHAnsi"/>
          <w:bCs/>
          <w:szCs w:val="20"/>
          <w:lang w:val="fr-CA"/>
        </w:rPr>
        <w:t>Suisse</w:t>
      </w:r>
      <w:r w:rsidRPr="001466EF">
        <w:rPr>
          <w:rFonts w:asciiTheme="minorHAnsi" w:hAnsiTheme="minorHAnsi" w:cstheme="minorHAnsi"/>
          <w:bCs/>
          <w:szCs w:val="20"/>
          <w:lang w:val="fr-CA"/>
        </w:rPr>
        <w:t>,</w:t>
      </w:r>
      <w:r w:rsidR="002A65F4" w:rsidRPr="001466EF">
        <w:rPr>
          <w:rFonts w:asciiTheme="minorHAnsi" w:hAnsiTheme="minorHAnsi" w:cstheme="minorHAnsi"/>
          <w:bCs/>
          <w:szCs w:val="20"/>
          <w:lang w:val="fr-CA"/>
        </w:rPr>
        <w:t xml:space="preserve"> </w:t>
      </w:r>
      <w:r w:rsidR="0013075D" w:rsidRPr="001466EF">
        <w:rPr>
          <w:rFonts w:asciiTheme="minorHAnsi" w:hAnsiTheme="minorHAnsi" w:cstheme="minorHAnsi"/>
          <w:bCs/>
          <w:szCs w:val="20"/>
          <w:lang w:val="fr-CA"/>
        </w:rPr>
        <w:t>13</w:t>
      </w:r>
      <w:r w:rsidR="006509AD" w:rsidRPr="001466EF">
        <w:rPr>
          <w:rFonts w:asciiTheme="minorHAnsi" w:hAnsiTheme="minorHAnsi" w:cstheme="minorHAnsi"/>
          <w:bCs/>
          <w:szCs w:val="20"/>
          <w:lang w:val="fr-CA"/>
        </w:rPr>
        <w:t xml:space="preserve"> au </w:t>
      </w:r>
      <w:r w:rsidR="0013075D" w:rsidRPr="001466EF">
        <w:rPr>
          <w:rFonts w:asciiTheme="minorHAnsi" w:hAnsiTheme="minorHAnsi" w:cstheme="minorHAnsi"/>
          <w:bCs/>
          <w:szCs w:val="20"/>
          <w:lang w:val="fr-CA"/>
        </w:rPr>
        <w:t>17</w:t>
      </w:r>
      <w:r w:rsidR="002A65F4" w:rsidRPr="001466EF">
        <w:rPr>
          <w:rFonts w:asciiTheme="minorHAnsi" w:hAnsiTheme="minorHAnsi" w:cstheme="minorHAnsi"/>
          <w:bCs/>
          <w:szCs w:val="20"/>
          <w:lang w:val="fr-CA"/>
        </w:rPr>
        <w:t xml:space="preserve"> </w:t>
      </w:r>
      <w:r w:rsidR="006509AD" w:rsidRPr="001466EF">
        <w:rPr>
          <w:rFonts w:asciiTheme="minorHAnsi" w:hAnsiTheme="minorHAnsi" w:cstheme="minorHAnsi"/>
          <w:bCs/>
          <w:szCs w:val="20"/>
          <w:lang w:val="fr-CA"/>
        </w:rPr>
        <w:t>juin</w:t>
      </w:r>
      <w:r w:rsidR="003C36FA" w:rsidRPr="001466EF">
        <w:rPr>
          <w:rFonts w:asciiTheme="minorHAnsi" w:hAnsiTheme="minorHAnsi" w:cstheme="minorHAnsi"/>
          <w:bCs/>
          <w:szCs w:val="20"/>
          <w:lang w:val="fr-CA"/>
        </w:rPr>
        <w:t xml:space="preserve"> </w:t>
      </w:r>
      <w:r w:rsidRPr="001466EF">
        <w:rPr>
          <w:rFonts w:asciiTheme="minorHAnsi" w:hAnsiTheme="minorHAnsi" w:cstheme="minorHAnsi"/>
          <w:bCs/>
          <w:szCs w:val="20"/>
          <w:lang w:val="fr-CA"/>
        </w:rPr>
        <w:t>201</w:t>
      </w:r>
      <w:r w:rsidR="0013075D" w:rsidRPr="001466EF">
        <w:rPr>
          <w:rFonts w:asciiTheme="minorHAnsi" w:hAnsiTheme="minorHAnsi" w:cstheme="minorHAnsi"/>
          <w:bCs/>
          <w:szCs w:val="20"/>
          <w:lang w:val="fr-CA"/>
        </w:rPr>
        <w:t>6</w:t>
      </w:r>
    </w:p>
    <w:p w14:paraId="342C7732" w14:textId="77777777" w:rsidR="00434554" w:rsidRPr="001466EF" w:rsidRDefault="00434554">
      <w:pPr>
        <w:rPr>
          <w:rFonts w:asciiTheme="minorHAnsi" w:hAnsiTheme="minorHAnsi"/>
          <w:sz w:val="28"/>
          <w:lang w:val="fr-CA"/>
        </w:rPr>
      </w:pPr>
    </w:p>
    <w:p w14:paraId="28E59960" w14:textId="00B089FA" w:rsidR="002660B1" w:rsidRPr="001466EF" w:rsidRDefault="002660B1" w:rsidP="002660B1">
      <w:pPr>
        <w:jc w:val="right"/>
        <w:rPr>
          <w:rFonts w:asciiTheme="minorHAnsi" w:hAnsiTheme="minorHAnsi" w:cstheme="minorHAnsi"/>
          <w:b/>
          <w:sz w:val="28"/>
          <w:szCs w:val="28"/>
          <w:lang w:val="fr-CA"/>
        </w:rPr>
      </w:pPr>
      <w:r w:rsidRPr="001466EF">
        <w:rPr>
          <w:rFonts w:asciiTheme="minorHAnsi" w:hAnsiTheme="minorHAnsi" w:cstheme="minorHAnsi"/>
          <w:b/>
          <w:sz w:val="28"/>
          <w:szCs w:val="28"/>
          <w:lang w:val="fr-CA"/>
        </w:rPr>
        <w:t>SC</w:t>
      </w:r>
      <w:r w:rsidR="004F5DCD" w:rsidRPr="001466EF">
        <w:rPr>
          <w:rFonts w:asciiTheme="minorHAnsi" w:hAnsiTheme="minorHAnsi" w:cstheme="minorHAnsi"/>
          <w:b/>
          <w:sz w:val="28"/>
          <w:szCs w:val="28"/>
          <w:lang w:val="fr-CA"/>
        </w:rPr>
        <w:t>5</w:t>
      </w:r>
      <w:r w:rsidR="0013075D" w:rsidRPr="001466EF">
        <w:rPr>
          <w:rFonts w:asciiTheme="minorHAnsi" w:hAnsiTheme="minorHAnsi" w:cstheme="minorHAnsi"/>
          <w:b/>
          <w:sz w:val="28"/>
          <w:szCs w:val="28"/>
          <w:lang w:val="fr-CA"/>
        </w:rPr>
        <w:t>2</w:t>
      </w:r>
      <w:r w:rsidRPr="001466EF">
        <w:rPr>
          <w:rFonts w:asciiTheme="minorHAnsi" w:hAnsiTheme="minorHAnsi" w:cstheme="minorHAnsi"/>
          <w:b/>
          <w:sz w:val="28"/>
          <w:szCs w:val="28"/>
          <w:lang w:val="fr-CA"/>
        </w:rPr>
        <w:t>-</w:t>
      </w:r>
      <w:r w:rsidR="00625F54" w:rsidRPr="001466EF">
        <w:rPr>
          <w:rFonts w:asciiTheme="minorHAnsi" w:hAnsiTheme="minorHAnsi" w:cstheme="minorHAnsi"/>
          <w:b/>
          <w:sz w:val="28"/>
          <w:szCs w:val="28"/>
          <w:lang w:val="fr-CA"/>
        </w:rPr>
        <w:t>15</w:t>
      </w:r>
    </w:p>
    <w:p w14:paraId="0B39B40C" w14:textId="77777777" w:rsidR="001233DE" w:rsidRPr="001466EF" w:rsidRDefault="001233DE" w:rsidP="001233DE">
      <w:pPr>
        <w:jc w:val="center"/>
        <w:rPr>
          <w:rFonts w:asciiTheme="minorHAnsi" w:hAnsiTheme="minorHAnsi"/>
          <w:b/>
          <w:sz w:val="28"/>
          <w:szCs w:val="28"/>
          <w:lang w:val="fr-CA"/>
        </w:rPr>
      </w:pPr>
    </w:p>
    <w:p w14:paraId="3FBCDE5E" w14:textId="501341F0" w:rsidR="00D94C75" w:rsidRPr="001466EF" w:rsidRDefault="00BA308D" w:rsidP="00D94C75">
      <w:pPr>
        <w:autoSpaceDE w:val="0"/>
        <w:autoSpaceDN w:val="0"/>
        <w:adjustRightInd w:val="0"/>
        <w:jc w:val="center"/>
        <w:rPr>
          <w:rFonts w:asciiTheme="minorHAnsi" w:eastAsiaTheme="minorHAnsi" w:hAnsiTheme="minorHAnsi"/>
          <w:b/>
          <w:sz w:val="28"/>
          <w:lang w:val="fr-CA"/>
        </w:rPr>
      </w:pPr>
      <w:r w:rsidRPr="001466EF">
        <w:rPr>
          <w:rFonts w:asciiTheme="minorHAnsi" w:hAnsiTheme="minorHAnsi"/>
          <w:b/>
          <w:sz w:val="28"/>
          <w:lang w:val="fr-CA"/>
        </w:rPr>
        <w:t>Progr</w:t>
      </w:r>
      <w:r w:rsidR="00DC066D" w:rsidRPr="001466EF">
        <w:rPr>
          <w:rFonts w:asciiTheme="minorHAnsi" w:hAnsiTheme="minorHAnsi"/>
          <w:b/>
          <w:sz w:val="28"/>
          <w:lang w:val="fr-CA"/>
        </w:rPr>
        <w:t>ès d’application de la Ré</w:t>
      </w:r>
      <w:r w:rsidRPr="001466EF">
        <w:rPr>
          <w:rFonts w:asciiTheme="minorHAnsi" w:hAnsiTheme="minorHAnsi"/>
          <w:b/>
          <w:sz w:val="28"/>
          <w:lang w:val="fr-CA"/>
        </w:rPr>
        <w:t>solution</w:t>
      </w:r>
      <w:r w:rsidR="002A65F4" w:rsidRPr="001466EF">
        <w:rPr>
          <w:rFonts w:asciiTheme="minorHAnsi" w:hAnsiTheme="minorHAnsi"/>
          <w:b/>
          <w:sz w:val="28"/>
          <w:lang w:val="fr-CA"/>
        </w:rPr>
        <w:t xml:space="preserve"> </w:t>
      </w:r>
      <w:r w:rsidRPr="001466EF">
        <w:rPr>
          <w:rFonts w:asciiTheme="minorHAnsi" w:hAnsiTheme="minorHAnsi"/>
          <w:b/>
          <w:sz w:val="28"/>
          <w:lang w:val="fr-CA"/>
        </w:rPr>
        <w:t>XI.6</w:t>
      </w:r>
      <w:r w:rsidR="00BC5179" w:rsidRPr="001466EF">
        <w:rPr>
          <w:rFonts w:asciiTheme="minorHAnsi" w:hAnsiTheme="minorHAnsi"/>
          <w:b/>
          <w:sz w:val="28"/>
          <w:lang w:val="fr-CA"/>
        </w:rPr>
        <w:t>,</w:t>
      </w:r>
      <w:r w:rsidR="002A65F4" w:rsidRPr="001466EF">
        <w:rPr>
          <w:rFonts w:asciiTheme="minorHAnsi" w:hAnsiTheme="minorHAnsi"/>
          <w:b/>
          <w:sz w:val="28"/>
          <w:lang w:val="fr-CA"/>
        </w:rPr>
        <w:t xml:space="preserve"> </w:t>
      </w:r>
      <w:r w:rsidR="00DC066D" w:rsidRPr="001466EF">
        <w:rPr>
          <w:rFonts w:asciiTheme="minorHAnsi" w:hAnsiTheme="minorHAnsi"/>
          <w:b/>
          <w:i/>
          <w:sz w:val="28"/>
          <w:lang w:val="fr-CA"/>
        </w:rPr>
        <w:t>Partenariats et synergies avec les Accords multilatéraux sur l’environnement et autres institutions</w:t>
      </w:r>
    </w:p>
    <w:p w14:paraId="4BAB83DB" w14:textId="77777777" w:rsidR="00BA510D" w:rsidRPr="001466EF" w:rsidRDefault="00BA510D" w:rsidP="005522A4">
      <w:pPr>
        <w:jc w:val="center"/>
        <w:rPr>
          <w:rFonts w:asciiTheme="minorHAnsi" w:hAnsiTheme="minorHAnsi"/>
          <w:b/>
          <w:sz w:val="28"/>
          <w:lang w:val="fr-CA"/>
        </w:rPr>
      </w:pPr>
    </w:p>
    <w:p w14:paraId="0DEE3BE2" w14:textId="77777777" w:rsidR="00E7270C" w:rsidRPr="001466EF" w:rsidRDefault="00C74B34" w:rsidP="00D94C75">
      <w:pPr>
        <w:autoSpaceDE w:val="0"/>
        <w:autoSpaceDN w:val="0"/>
        <w:adjustRightInd w:val="0"/>
        <w:jc w:val="center"/>
        <w:rPr>
          <w:rFonts w:asciiTheme="minorHAnsi" w:eastAsiaTheme="minorHAnsi" w:hAnsiTheme="minorHAnsi" w:cs="Garamond"/>
          <w:sz w:val="22"/>
          <w:szCs w:val="22"/>
          <w:lang w:val="fr-CA" w:eastAsia="en-US"/>
        </w:rPr>
      </w:pPr>
      <w:r w:rsidRPr="001466EF">
        <w:rPr>
          <w:noProof/>
          <w:szCs w:val="20"/>
        </w:rPr>
        <mc:AlternateContent>
          <mc:Choice Requires="wps">
            <w:drawing>
              <wp:inline distT="0" distB="0" distL="0" distR="0" wp14:anchorId="29C500F1" wp14:editId="73101849">
                <wp:extent cx="5842635" cy="920750"/>
                <wp:effectExtent l="0" t="0" r="24765" b="1270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920750"/>
                        </a:xfrm>
                        <a:prstGeom prst="rect">
                          <a:avLst/>
                        </a:prstGeom>
                        <a:solidFill>
                          <a:srgbClr val="FFFFFF"/>
                        </a:solidFill>
                        <a:ln w="9525">
                          <a:solidFill>
                            <a:srgbClr val="000000"/>
                          </a:solidFill>
                          <a:miter lim="800000"/>
                          <a:headEnd/>
                          <a:tailEnd/>
                        </a:ln>
                      </wps:spPr>
                      <wps:txbx>
                        <w:txbxContent>
                          <w:p w14:paraId="330E2ABD" w14:textId="4991DDE8" w:rsidR="006368E9" w:rsidRPr="00BC5179" w:rsidRDefault="006368E9" w:rsidP="00E7270C">
                            <w:pPr>
                              <w:rPr>
                                <w:rFonts w:ascii="Calibri" w:hAnsi="Calibri"/>
                                <w:b/>
                                <w:bCs/>
                                <w:sz w:val="22"/>
                                <w:szCs w:val="22"/>
                                <w:lang w:val="fr-CH"/>
                              </w:rPr>
                            </w:pPr>
                            <w:r w:rsidRPr="00BC5179">
                              <w:rPr>
                                <w:rFonts w:ascii="Calibri" w:hAnsi="Calibri"/>
                                <w:b/>
                                <w:bCs/>
                                <w:sz w:val="22"/>
                                <w:szCs w:val="22"/>
                                <w:lang w:val="fr-CH"/>
                              </w:rPr>
                              <w:t>Actions requ</w:t>
                            </w:r>
                            <w:r w:rsidR="00BC5179" w:rsidRPr="00BC5179">
                              <w:rPr>
                                <w:rFonts w:ascii="Calibri" w:hAnsi="Calibri"/>
                                <w:b/>
                                <w:bCs/>
                                <w:sz w:val="22"/>
                                <w:szCs w:val="22"/>
                                <w:lang w:val="fr-CH"/>
                              </w:rPr>
                              <w:t xml:space="preserve">ises </w:t>
                            </w:r>
                            <w:r w:rsidRPr="00BC5179">
                              <w:rPr>
                                <w:rFonts w:ascii="Calibri" w:hAnsi="Calibri"/>
                                <w:b/>
                                <w:bCs/>
                                <w:sz w:val="22"/>
                                <w:szCs w:val="22"/>
                                <w:lang w:val="fr-CH"/>
                              </w:rPr>
                              <w:t xml:space="preserve">: </w:t>
                            </w:r>
                          </w:p>
                          <w:p w14:paraId="418A69DB" w14:textId="1C88DCD1" w:rsidR="006368E9" w:rsidRPr="00BC5179" w:rsidRDefault="00BC5179" w:rsidP="00BA308D">
                            <w:pPr>
                              <w:rPr>
                                <w:rFonts w:asciiTheme="minorHAnsi" w:hAnsiTheme="minorHAnsi"/>
                                <w:sz w:val="22"/>
                                <w:szCs w:val="22"/>
                                <w:lang w:val="fr-CH"/>
                              </w:rPr>
                            </w:pPr>
                            <w:r w:rsidRPr="00BC5179">
                              <w:rPr>
                                <w:rFonts w:asciiTheme="minorHAnsi" w:hAnsiTheme="minorHAnsi"/>
                                <w:sz w:val="22"/>
                                <w:szCs w:val="22"/>
                                <w:lang w:val="fr-CH"/>
                              </w:rPr>
                              <w:t>Le Comité permanent est invit</w:t>
                            </w:r>
                            <w:r>
                              <w:rPr>
                                <w:rFonts w:asciiTheme="minorHAnsi" w:hAnsiTheme="minorHAnsi"/>
                                <w:sz w:val="22"/>
                                <w:szCs w:val="22"/>
                                <w:lang w:val="fr-CH"/>
                              </w:rPr>
                              <w:t>é</w:t>
                            </w:r>
                            <w:r w:rsidRPr="00BC5179">
                              <w:rPr>
                                <w:rFonts w:asciiTheme="minorHAnsi" w:hAnsiTheme="minorHAnsi"/>
                                <w:sz w:val="22"/>
                                <w:szCs w:val="22"/>
                                <w:lang w:val="fr-CH"/>
                              </w:rPr>
                              <w:t xml:space="preserve"> à prendre note du rapport sur les progr</w:t>
                            </w:r>
                            <w:r>
                              <w:rPr>
                                <w:rFonts w:asciiTheme="minorHAnsi" w:hAnsiTheme="minorHAnsi"/>
                                <w:sz w:val="22"/>
                                <w:szCs w:val="22"/>
                                <w:lang w:val="fr-CH"/>
                              </w:rPr>
                              <w:t>ès</w:t>
                            </w:r>
                            <w:r w:rsidRPr="00BC5179">
                              <w:rPr>
                                <w:rFonts w:asciiTheme="minorHAnsi" w:hAnsiTheme="minorHAnsi"/>
                                <w:sz w:val="22"/>
                                <w:szCs w:val="22"/>
                                <w:lang w:val="fr-CH"/>
                              </w:rPr>
                              <w:t xml:space="preserve"> d’application de la</w:t>
                            </w:r>
                            <w:r w:rsidR="006368E9" w:rsidRPr="00BC5179">
                              <w:rPr>
                                <w:rFonts w:asciiTheme="minorHAnsi" w:hAnsiTheme="minorHAnsi"/>
                                <w:sz w:val="22"/>
                                <w:szCs w:val="22"/>
                                <w:lang w:val="fr-CH"/>
                              </w:rPr>
                              <w:t xml:space="preserve"> </w:t>
                            </w:r>
                            <w:r w:rsidR="006368E9" w:rsidRPr="00BC5179">
                              <w:rPr>
                                <w:rFonts w:asciiTheme="minorHAnsi" w:hAnsiTheme="minorHAnsi"/>
                                <w:b/>
                                <w:sz w:val="22"/>
                                <w:szCs w:val="22"/>
                                <w:lang w:val="fr-CH"/>
                              </w:rPr>
                              <w:t>R</w:t>
                            </w:r>
                            <w:r w:rsidRPr="00BC5179">
                              <w:rPr>
                                <w:rFonts w:asciiTheme="minorHAnsi" w:hAnsiTheme="minorHAnsi"/>
                                <w:b/>
                                <w:sz w:val="22"/>
                                <w:szCs w:val="22"/>
                                <w:lang w:val="fr-CH"/>
                              </w:rPr>
                              <w:t>é</w:t>
                            </w:r>
                            <w:r w:rsidR="006368E9" w:rsidRPr="00BC5179">
                              <w:rPr>
                                <w:rFonts w:asciiTheme="minorHAnsi" w:hAnsiTheme="minorHAnsi"/>
                                <w:b/>
                                <w:sz w:val="22"/>
                                <w:szCs w:val="22"/>
                                <w:lang w:val="fr-CH"/>
                              </w:rPr>
                              <w:t>solution</w:t>
                            </w:r>
                            <w:r w:rsidR="006368E9" w:rsidRPr="00BC5179">
                              <w:rPr>
                                <w:rFonts w:asciiTheme="minorHAnsi" w:hAnsiTheme="minorHAnsi" w:cstheme="minorHAnsi"/>
                                <w:b/>
                                <w:bCs/>
                                <w:lang w:val="fr-CH"/>
                              </w:rPr>
                              <w:t xml:space="preserve"> XI.6</w:t>
                            </w:r>
                            <w:r w:rsidRPr="00BC5179">
                              <w:rPr>
                                <w:rFonts w:asciiTheme="minorHAnsi" w:hAnsiTheme="minorHAnsi" w:cstheme="minorHAnsi"/>
                                <w:b/>
                                <w:bCs/>
                                <w:lang w:val="fr-CH"/>
                              </w:rPr>
                              <w:t>,</w:t>
                            </w:r>
                            <w:r w:rsidR="006368E9" w:rsidRPr="00BC5179">
                              <w:rPr>
                                <w:rFonts w:asciiTheme="minorHAnsi" w:hAnsiTheme="minorHAnsi" w:cstheme="minorHAnsi"/>
                                <w:b/>
                                <w:bCs/>
                                <w:lang w:val="fr-CH"/>
                              </w:rPr>
                              <w:t xml:space="preserve"> </w:t>
                            </w:r>
                            <w:r w:rsidRPr="00BC5179">
                              <w:rPr>
                                <w:rFonts w:asciiTheme="minorHAnsi" w:hAnsiTheme="minorHAnsi" w:cstheme="minorHAnsi"/>
                                <w:b/>
                                <w:bCs/>
                                <w:i/>
                                <w:sz w:val="22"/>
                                <w:szCs w:val="22"/>
                                <w:lang w:val="fr-CH"/>
                              </w:rPr>
                              <w:t xml:space="preserve">Partenariats et synergies avec les Accords multilatéraux sur l’environnement et autres institutions </w:t>
                            </w:r>
                            <w:r>
                              <w:rPr>
                                <w:rFonts w:asciiTheme="minorHAnsi" w:hAnsiTheme="minorHAnsi"/>
                                <w:sz w:val="22"/>
                                <w:szCs w:val="22"/>
                                <w:lang w:val="fr-CH"/>
                              </w:rPr>
                              <w:t>et à donner ses conseils s’il y a lieu</w:t>
                            </w:r>
                            <w:r w:rsidR="006368E9" w:rsidRPr="00BC5179">
                              <w:rPr>
                                <w:rFonts w:asciiTheme="minorHAnsi" w:hAnsiTheme="minorHAnsi"/>
                                <w:sz w:val="22"/>
                                <w:szCs w:val="22"/>
                                <w:lang w:val="fr-CH"/>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">
                <v:textbox>
                  <w:txbxContent>
                    <w:p w14:paraId="330E2ABD" w14:textId="4991DDE8" w:rsidR="006368E9" w:rsidRPr="00BC5179" w:rsidRDefault="006368E9" w:rsidP="00E7270C">
                      <w:pPr>
                        <w:rPr>
                          <w:rFonts w:ascii="Calibri" w:hAnsi="Calibri"/>
                          <w:b/>
                          <w:bCs/>
                          <w:sz w:val="22"/>
                          <w:szCs w:val="22"/>
                          <w:lang w:val="fr-CH"/>
                        </w:rPr>
                      </w:pPr>
                      <w:r w:rsidRPr="00BC5179">
                        <w:rPr>
                          <w:rFonts w:ascii="Calibri" w:hAnsi="Calibri"/>
                          <w:b/>
                          <w:bCs/>
                          <w:sz w:val="22"/>
                          <w:szCs w:val="22"/>
                          <w:lang w:val="fr-CH"/>
                        </w:rPr>
                        <w:t>Actions requ</w:t>
                      </w:r>
                      <w:r w:rsidR="00BC5179" w:rsidRPr="00BC5179">
                        <w:rPr>
                          <w:rFonts w:ascii="Calibri" w:hAnsi="Calibri"/>
                          <w:b/>
                          <w:bCs/>
                          <w:sz w:val="22"/>
                          <w:szCs w:val="22"/>
                          <w:lang w:val="fr-CH"/>
                        </w:rPr>
                        <w:t xml:space="preserve">ises </w:t>
                      </w:r>
                      <w:r w:rsidRPr="00BC5179">
                        <w:rPr>
                          <w:rFonts w:ascii="Calibri" w:hAnsi="Calibri"/>
                          <w:b/>
                          <w:bCs/>
                          <w:sz w:val="22"/>
                          <w:szCs w:val="22"/>
                          <w:lang w:val="fr-CH"/>
                        </w:rPr>
                        <w:t xml:space="preserve">: </w:t>
                      </w:r>
                    </w:p>
                    <w:p w14:paraId="418A69DB" w14:textId="1C88DCD1" w:rsidR="006368E9" w:rsidRPr="00BC5179" w:rsidRDefault="00BC5179" w:rsidP="00BA308D">
                      <w:pPr>
                        <w:rPr>
                          <w:rFonts w:asciiTheme="minorHAnsi" w:hAnsiTheme="minorHAnsi"/>
                          <w:sz w:val="22"/>
                          <w:szCs w:val="22"/>
                          <w:lang w:val="fr-CH"/>
                        </w:rPr>
                      </w:pPr>
                      <w:r w:rsidRPr="00BC5179">
                        <w:rPr>
                          <w:rFonts w:asciiTheme="minorHAnsi" w:hAnsiTheme="minorHAnsi"/>
                          <w:sz w:val="22"/>
                          <w:szCs w:val="22"/>
                          <w:lang w:val="fr-CH"/>
                        </w:rPr>
                        <w:t>Le Comité permanent est invit</w:t>
                      </w:r>
                      <w:r>
                        <w:rPr>
                          <w:rFonts w:asciiTheme="minorHAnsi" w:hAnsiTheme="minorHAnsi"/>
                          <w:sz w:val="22"/>
                          <w:szCs w:val="22"/>
                          <w:lang w:val="fr-CH"/>
                        </w:rPr>
                        <w:t>é</w:t>
                      </w:r>
                      <w:r w:rsidRPr="00BC5179">
                        <w:rPr>
                          <w:rFonts w:asciiTheme="minorHAnsi" w:hAnsiTheme="minorHAnsi"/>
                          <w:sz w:val="22"/>
                          <w:szCs w:val="22"/>
                          <w:lang w:val="fr-CH"/>
                        </w:rPr>
                        <w:t xml:space="preserve"> à prendre note du rapport sur les progr</w:t>
                      </w:r>
                      <w:r>
                        <w:rPr>
                          <w:rFonts w:asciiTheme="minorHAnsi" w:hAnsiTheme="minorHAnsi"/>
                          <w:sz w:val="22"/>
                          <w:szCs w:val="22"/>
                          <w:lang w:val="fr-CH"/>
                        </w:rPr>
                        <w:t>ès</w:t>
                      </w:r>
                      <w:r w:rsidRPr="00BC5179">
                        <w:rPr>
                          <w:rFonts w:asciiTheme="minorHAnsi" w:hAnsiTheme="minorHAnsi"/>
                          <w:sz w:val="22"/>
                          <w:szCs w:val="22"/>
                          <w:lang w:val="fr-CH"/>
                        </w:rPr>
                        <w:t xml:space="preserve"> d’application de la</w:t>
                      </w:r>
                      <w:r w:rsidR="006368E9" w:rsidRPr="00BC5179">
                        <w:rPr>
                          <w:rFonts w:asciiTheme="minorHAnsi" w:hAnsiTheme="minorHAnsi"/>
                          <w:sz w:val="22"/>
                          <w:szCs w:val="22"/>
                          <w:lang w:val="fr-CH"/>
                        </w:rPr>
                        <w:t xml:space="preserve"> </w:t>
                      </w:r>
                      <w:r w:rsidR="006368E9" w:rsidRPr="00BC5179">
                        <w:rPr>
                          <w:rFonts w:asciiTheme="minorHAnsi" w:hAnsiTheme="minorHAnsi"/>
                          <w:b/>
                          <w:sz w:val="22"/>
                          <w:szCs w:val="22"/>
                          <w:lang w:val="fr-CH"/>
                        </w:rPr>
                        <w:t>R</w:t>
                      </w:r>
                      <w:r w:rsidRPr="00BC5179">
                        <w:rPr>
                          <w:rFonts w:asciiTheme="minorHAnsi" w:hAnsiTheme="minorHAnsi"/>
                          <w:b/>
                          <w:sz w:val="22"/>
                          <w:szCs w:val="22"/>
                          <w:lang w:val="fr-CH"/>
                        </w:rPr>
                        <w:t>é</w:t>
                      </w:r>
                      <w:r w:rsidR="006368E9" w:rsidRPr="00BC5179">
                        <w:rPr>
                          <w:rFonts w:asciiTheme="minorHAnsi" w:hAnsiTheme="minorHAnsi"/>
                          <w:b/>
                          <w:sz w:val="22"/>
                          <w:szCs w:val="22"/>
                          <w:lang w:val="fr-CH"/>
                        </w:rPr>
                        <w:t>solution</w:t>
                      </w:r>
                      <w:r w:rsidR="006368E9" w:rsidRPr="00BC5179">
                        <w:rPr>
                          <w:rFonts w:asciiTheme="minorHAnsi" w:hAnsiTheme="minorHAnsi" w:cstheme="minorHAnsi"/>
                          <w:b/>
                          <w:bCs/>
                          <w:lang w:val="fr-CH"/>
                        </w:rPr>
                        <w:t xml:space="preserve"> XI.6</w:t>
                      </w:r>
                      <w:r w:rsidRPr="00BC5179">
                        <w:rPr>
                          <w:rFonts w:asciiTheme="minorHAnsi" w:hAnsiTheme="minorHAnsi" w:cstheme="minorHAnsi"/>
                          <w:b/>
                          <w:bCs/>
                          <w:lang w:val="fr-CH"/>
                        </w:rPr>
                        <w:t>,</w:t>
                      </w:r>
                      <w:r w:rsidR="006368E9" w:rsidRPr="00BC5179">
                        <w:rPr>
                          <w:rFonts w:asciiTheme="minorHAnsi" w:hAnsiTheme="minorHAnsi" w:cstheme="minorHAnsi"/>
                          <w:b/>
                          <w:bCs/>
                          <w:lang w:val="fr-CH"/>
                        </w:rPr>
                        <w:t xml:space="preserve"> </w:t>
                      </w:r>
                      <w:r w:rsidRPr="00BC5179">
                        <w:rPr>
                          <w:rFonts w:asciiTheme="minorHAnsi" w:hAnsiTheme="minorHAnsi" w:cstheme="minorHAnsi"/>
                          <w:b/>
                          <w:bCs/>
                          <w:i/>
                          <w:sz w:val="22"/>
                          <w:szCs w:val="22"/>
                          <w:lang w:val="fr-CH"/>
                        </w:rPr>
                        <w:t xml:space="preserve">Partenariats et synergies avec les Accords multilatéraux sur l’environnement et autres institutions </w:t>
                      </w:r>
                      <w:r>
                        <w:rPr>
                          <w:rFonts w:asciiTheme="minorHAnsi" w:hAnsiTheme="minorHAnsi"/>
                          <w:sz w:val="22"/>
                          <w:szCs w:val="22"/>
                          <w:lang w:val="fr-CH"/>
                        </w:rPr>
                        <w:t>et à donner ses conseils s’il y a lieu</w:t>
                      </w:r>
                      <w:r w:rsidR="006368E9" w:rsidRPr="00BC5179">
                        <w:rPr>
                          <w:rFonts w:asciiTheme="minorHAnsi" w:hAnsiTheme="minorHAnsi"/>
                          <w:sz w:val="22"/>
                          <w:szCs w:val="22"/>
                          <w:lang w:val="fr-CH"/>
                        </w:rPr>
                        <w:t>.</w:t>
                      </w:r>
                    </w:p>
                  </w:txbxContent>
                </v:textbox>
                <w10:anchorlock/>
              </v:shape>
            </w:pict>
          </mc:Fallback>
        </mc:AlternateContent>
      </w:r>
    </w:p>
    <w:p w14:paraId="077BFFFB" w14:textId="77777777" w:rsidR="00D94C75" w:rsidRPr="001466EF" w:rsidRDefault="00D94C75" w:rsidP="00BA6D1A">
      <w:pPr>
        <w:autoSpaceDE w:val="0"/>
        <w:autoSpaceDN w:val="0"/>
        <w:adjustRightInd w:val="0"/>
        <w:jc w:val="center"/>
        <w:rPr>
          <w:rFonts w:asciiTheme="minorHAnsi" w:eastAsiaTheme="minorHAnsi" w:hAnsiTheme="minorHAnsi" w:cs="Calibri-Bold"/>
          <w:b/>
          <w:bCs/>
          <w:sz w:val="22"/>
          <w:szCs w:val="22"/>
          <w:lang w:val="fr-CA" w:eastAsia="en-US"/>
        </w:rPr>
      </w:pPr>
    </w:p>
    <w:p w14:paraId="04C7708E" w14:textId="77777777" w:rsidR="009A2101" w:rsidRPr="001466EF" w:rsidRDefault="009A2101" w:rsidP="00BA6D1A">
      <w:pPr>
        <w:autoSpaceDE w:val="0"/>
        <w:autoSpaceDN w:val="0"/>
        <w:adjustRightInd w:val="0"/>
        <w:jc w:val="center"/>
        <w:rPr>
          <w:rFonts w:asciiTheme="minorHAnsi" w:eastAsiaTheme="minorHAnsi" w:hAnsiTheme="minorHAnsi" w:cs="Calibri-Bold"/>
          <w:b/>
          <w:bCs/>
          <w:sz w:val="22"/>
          <w:szCs w:val="22"/>
          <w:lang w:val="fr-CA" w:eastAsia="en-US"/>
        </w:rPr>
      </w:pPr>
    </w:p>
    <w:p w14:paraId="3B180079" w14:textId="74E9C725" w:rsidR="00D94C75" w:rsidRPr="001466EF" w:rsidRDefault="00BC5179" w:rsidP="001B1570">
      <w:pPr>
        <w:autoSpaceDE w:val="0"/>
        <w:autoSpaceDN w:val="0"/>
        <w:adjustRightInd w:val="0"/>
        <w:rPr>
          <w:rFonts w:asciiTheme="minorHAnsi" w:eastAsiaTheme="minorHAnsi" w:hAnsiTheme="minorHAnsi" w:cs="Calibri-Bold"/>
          <w:b/>
          <w:bCs/>
          <w:sz w:val="22"/>
          <w:szCs w:val="22"/>
          <w:lang w:val="fr-CA" w:eastAsia="en-US"/>
        </w:rPr>
      </w:pPr>
      <w:r w:rsidRPr="001466EF">
        <w:rPr>
          <w:rFonts w:asciiTheme="minorHAnsi" w:eastAsiaTheme="minorHAnsi" w:hAnsiTheme="minorHAnsi" w:cs="Calibri-Bold"/>
          <w:b/>
          <w:bCs/>
          <w:sz w:val="22"/>
          <w:szCs w:val="22"/>
          <w:lang w:val="fr-CA" w:eastAsia="en-US"/>
        </w:rPr>
        <w:t>Contexte</w:t>
      </w:r>
    </w:p>
    <w:p w14:paraId="28459893" w14:textId="77777777" w:rsidR="00BE5EAD" w:rsidRPr="001466EF" w:rsidRDefault="00BE5EAD" w:rsidP="001B1570">
      <w:pPr>
        <w:autoSpaceDE w:val="0"/>
        <w:autoSpaceDN w:val="0"/>
        <w:adjustRightInd w:val="0"/>
        <w:ind w:left="426" w:hanging="426"/>
        <w:rPr>
          <w:rFonts w:asciiTheme="minorHAnsi" w:hAnsiTheme="minorHAnsi"/>
          <w:sz w:val="22"/>
          <w:szCs w:val="22"/>
          <w:lang w:val="fr-CA"/>
        </w:rPr>
      </w:pPr>
    </w:p>
    <w:p w14:paraId="10FB16C6" w14:textId="41D14EBA" w:rsidR="00BE5EAD" w:rsidRPr="001466EF" w:rsidRDefault="00BC5179" w:rsidP="00BC5179">
      <w:pPr>
        <w:pStyle w:val="ListParagraph"/>
        <w:numPr>
          <w:ilvl w:val="0"/>
          <w:numId w:val="19"/>
        </w:numPr>
        <w:suppressAutoHyphens/>
        <w:ind w:left="450" w:hanging="450"/>
        <w:jc w:val="left"/>
        <w:rPr>
          <w:rFonts w:asciiTheme="minorHAnsi" w:hAnsiTheme="minorHAnsi"/>
          <w:lang w:val="fr-CA"/>
        </w:rPr>
      </w:pPr>
      <w:r w:rsidRPr="001466EF">
        <w:rPr>
          <w:rFonts w:asciiTheme="minorHAnsi" w:hAnsiTheme="minorHAnsi" w:cstheme="minorHAnsi"/>
          <w:bCs/>
          <w:lang w:val="fr-CA"/>
        </w:rPr>
        <w:t>La Ré</w:t>
      </w:r>
      <w:r w:rsidR="00AE6962" w:rsidRPr="001466EF">
        <w:rPr>
          <w:rFonts w:asciiTheme="minorHAnsi" w:hAnsiTheme="minorHAnsi" w:cstheme="minorHAnsi"/>
          <w:bCs/>
          <w:lang w:val="fr-CA"/>
        </w:rPr>
        <w:t>solution</w:t>
      </w:r>
      <w:r w:rsidR="002A65F4" w:rsidRPr="001466EF">
        <w:rPr>
          <w:rFonts w:asciiTheme="minorHAnsi" w:hAnsiTheme="minorHAnsi" w:cstheme="minorHAnsi"/>
          <w:bCs/>
          <w:lang w:val="fr-CA"/>
        </w:rPr>
        <w:t xml:space="preserve"> </w:t>
      </w:r>
      <w:r w:rsidR="00AE6962" w:rsidRPr="001466EF">
        <w:rPr>
          <w:rFonts w:asciiTheme="minorHAnsi" w:hAnsiTheme="minorHAnsi" w:cstheme="minorHAnsi"/>
          <w:bCs/>
          <w:lang w:val="fr-CA"/>
        </w:rPr>
        <w:t>XII.3</w:t>
      </w:r>
      <w:r w:rsidRPr="001466EF">
        <w:rPr>
          <w:rFonts w:asciiTheme="minorHAnsi" w:hAnsiTheme="minorHAnsi" w:cstheme="minorHAnsi"/>
          <w:bCs/>
          <w:lang w:val="fr-CA"/>
        </w:rPr>
        <w:t>,</w:t>
      </w:r>
      <w:r w:rsidR="002A65F4" w:rsidRPr="001466EF">
        <w:rPr>
          <w:rFonts w:asciiTheme="minorHAnsi" w:hAnsiTheme="minorHAnsi" w:cstheme="minorHAnsi"/>
          <w:bCs/>
          <w:lang w:val="fr-CA"/>
        </w:rPr>
        <w:t xml:space="preserve"> </w:t>
      </w:r>
      <w:r w:rsidRPr="001466EF">
        <w:rPr>
          <w:rFonts w:asciiTheme="minorHAnsi" w:eastAsiaTheme="minorHAnsi" w:hAnsiTheme="minorHAnsi" w:cs="Garamond"/>
          <w:i/>
          <w:color w:val="000000"/>
          <w:lang w:val="fr-CA"/>
        </w:rPr>
        <w:t>Renforcer l’utilisation des langues, la visibilité et la stature de la Convention et améliorer les synergies avec d’autres accords multilatéraux sur l’environnement et autres institutions internationales</w:t>
      </w:r>
      <w:r w:rsidR="002A65F4" w:rsidRPr="001466EF">
        <w:rPr>
          <w:rFonts w:asciiTheme="minorHAnsi" w:eastAsiaTheme="minorHAnsi" w:hAnsiTheme="minorHAnsi" w:cs="Garamond"/>
          <w:i/>
          <w:color w:val="000000"/>
          <w:lang w:val="fr-CA"/>
        </w:rPr>
        <w:t xml:space="preserve"> </w:t>
      </w:r>
      <w:r w:rsidRPr="001466EF">
        <w:rPr>
          <w:rFonts w:asciiTheme="minorHAnsi" w:hAnsiTheme="minorHAnsi" w:cstheme="minorHAnsi"/>
          <w:bCs/>
          <w:lang w:val="fr-CA"/>
        </w:rPr>
        <w:t>donne instruction au</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Secrétariat</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de faire rapport, chaque année, au Comité permanent, sur les progrès d’application de la Rés</w:t>
      </w:r>
      <w:r w:rsidR="00AE6962" w:rsidRPr="001466EF">
        <w:rPr>
          <w:rFonts w:asciiTheme="minorHAnsi" w:hAnsiTheme="minorHAnsi" w:cstheme="minorHAnsi"/>
          <w:bCs/>
          <w:lang w:val="fr-CA"/>
        </w:rPr>
        <w:t>olution</w:t>
      </w:r>
      <w:r w:rsidR="002A65F4" w:rsidRPr="001466EF">
        <w:rPr>
          <w:rFonts w:asciiTheme="minorHAnsi" w:hAnsiTheme="minorHAnsi" w:cstheme="minorHAnsi"/>
          <w:bCs/>
          <w:lang w:val="fr-CA"/>
        </w:rPr>
        <w:t xml:space="preserve"> </w:t>
      </w:r>
      <w:r w:rsidR="00AE6962" w:rsidRPr="001466EF">
        <w:rPr>
          <w:rFonts w:asciiTheme="minorHAnsi" w:hAnsiTheme="minorHAnsi" w:cstheme="minorHAnsi"/>
          <w:bCs/>
          <w:lang w:val="fr-CA"/>
        </w:rPr>
        <w:t>XI.6</w:t>
      </w:r>
      <w:r w:rsidRPr="001466EF">
        <w:rPr>
          <w:rFonts w:asciiTheme="minorHAnsi" w:hAnsiTheme="minorHAnsi" w:cstheme="minorHAnsi"/>
          <w:bCs/>
          <w:lang w:val="fr-CA"/>
        </w:rPr>
        <w:t>,</w:t>
      </w:r>
      <w:r w:rsidR="002A65F4" w:rsidRPr="001466EF">
        <w:rPr>
          <w:rFonts w:asciiTheme="minorHAnsi" w:hAnsiTheme="minorHAnsi" w:cstheme="minorHAnsi"/>
          <w:bCs/>
          <w:lang w:val="fr-CA"/>
        </w:rPr>
        <w:t xml:space="preserve"> </w:t>
      </w:r>
      <w:r w:rsidRPr="001466EF">
        <w:rPr>
          <w:rFonts w:asciiTheme="minorHAnsi" w:hAnsiTheme="minorHAnsi" w:cstheme="minorHAnsi"/>
          <w:bCs/>
          <w:i/>
          <w:lang w:val="fr-CA"/>
        </w:rPr>
        <w:t>Partenariats et synergies avec les Accords multilatéraux sur l’environnement et autres institutions</w:t>
      </w:r>
      <w:r w:rsidR="00F401EC" w:rsidRPr="001466EF">
        <w:rPr>
          <w:rFonts w:asciiTheme="minorHAnsi" w:hAnsiTheme="minorHAnsi" w:cstheme="minorHAnsi"/>
          <w:bCs/>
          <w:lang w:val="fr-CA"/>
        </w:rPr>
        <w:t>.</w:t>
      </w:r>
      <w:r w:rsidR="002A65F4" w:rsidRPr="001466EF">
        <w:rPr>
          <w:rFonts w:asciiTheme="minorHAnsi" w:hAnsiTheme="minorHAnsi" w:cstheme="minorHAnsi"/>
          <w:bCs/>
          <w:lang w:val="fr-CA"/>
        </w:rPr>
        <w:t xml:space="preserve"> </w:t>
      </w:r>
    </w:p>
    <w:p w14:paraId="0BA55577" w14:textId="77777777" w:rsidR="00073599" w:rsidRPr="001466EF" w:rsidRDefault="00073599" w:rsidP="000B6927">
      <w:pPr>
        <w:tabs>
          <w:tab w:val="left" w:pos="709"/>
        </w:tabs>
        <w:suppressAutoHyphens/>
        <w:ind w:left="426" w:hanging="426"/>
        <w:rPr>
          <w:rFonts w:asciiTheme="minorHAnsi" w:hAnsiTheme="minorHAnsi"/>
          <w:sz w:val="22"/>
          <w:szCs w:val="22"/>
          <w:lang w:val="fr-CA"/>
        </w:rPr>
      </w:pPr>
    </w:p>
    <w:p w14:paraId="60CC7E29" w14:textId="67C3A4B6" w:rsidR="00073599" w:rsidRPr="001466EF" w:rsidRDefault="00BC5179" w:rsidP="00BC5179">
      <w:pPr>
        <w:pStyle w:val="ListParagraph"/>
        <w:numPr>
          <w:ilvl w:val="0"/>
          <w:numId w:val="19"/>
        </w:numPr>
        <w:ind w:left="450" w:hanging="450"/>
        <w:jc w:val="left"/>
        <w:rPr>
          <w:rFonts w:asciiTheme="minorHAnsi" w:hAnsiTheme="minorHAnsi" w:cstheme="minorHAnsi"/>
          <w:bCs/>
          <w:lang w:val="fr-CA"/>
        </w:rPr>
      </w:pPr>
      <w:r w:rsidRPr="001466EF">
        <w:rPr>
          <w:rFonts w:asciiTheme="minorHAnsi" w:hAnsiTheme="minorHAnsi" w:cstheme="minorHAnsi"/>
          <w:bCs/>
          <w:lang w:val="fr-CA"/>
        </w:rPr>
        <w:t>Le p</w:t>
      </w:r>
      <w:r w:rsidR="00073599" w:rsidRPr="001466EF">
        <w:rPr>
          <w:rFonts w:asciiTheme="minorHAnsi" w:hAnsiTheme="minorHAnsi" w:cstheme="minorHAnsi"/>
          <w:bCs/>
          <w:lang w:val="fr-CA"/>
        </w:rPr>
        <w:t>aragraph</w:t>
      </w:r>
      <w:r w:rsidRPr="001466EF">
        <w:rPr>
          <w:rFonts w:asciiTheme="minorHAnsi" w:hAnsiTheme="minorHAnsi" w:cstheme="minorHAnsi"/>
          <w:bCs/>
          <w:lang w:val="fr-CA"/>
        </w:rPr>
        <w:t>e</w:t>
      </w:r>
      <w:r w:rsidR="002A65F4" w:rsidRPr="001466EF">
        <w:rPr>
          <w:rFonts w:asciiTheme="minorHAnsi" w:hAnsiTheme="minorHAnsi" w:cstheme="minorHAnsi"/>
          <w:bCs/>
          <w:lang w:val="fr-CA"/>
        </w:rPr>
        <w:t xml:space="preserve"> </w:t>
      </w:r>
      <w:r w:rsidR="00073599" w:rsidRPr="001466EF">
        <w:rPr>
          <w:rFonts w:asciiTheme="minorHAnsi" w:hAnsiTheme="minorHAnsi" w:cstheme="minorHAnsi"/>
          <w:bCs/>
          <w:lang w:val="fr-CA"/>
        </w:rPr>
        <w:t>43</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de la</w:t>
      </w:r>
      <w:r w:rsidR="002A65F4" w:rsidRPr="001466EF">
        <w:rPr>
          <w:rFonts w:asciiTheme="minorHAnsi" w:hAnsiTheme="minorHAnsi" w:cstheme="minorHAnsi"/>
          <w:bCs/>
          <w:lang w:val="fr-CA"/>
        </w:rPr>
        <w:t xml:space="preserve"> </w:t>
      </w:r>
      <w:r w:rsidR="009F1447" w:rsidRPr="001466EF">
        <w:rPr>
          <w:rFonts w:asciiTheme="minorHAnsi" w:hAnsiTheme="minorHAnsi" w:cstheme="minorHAnsi"/>
          <w:bCs/>
          <w:lang w:val="fr-CA"/>
        </w:rPr>
        <w:t>R</w:t>
      </w:r>
      <w:r w:rsidRPr="001466EF">
        <w:rPr>
          <w:rFonts w:asciiTheme="minorHAnsi" w:hAnsiTheme="minorHAnsi" w:cstheme="minorHAnsi"/>
          <w:bCs/>
          <w:lang w:val="fr-CA"/>
        </w:rPr>
        <w:t>é</w:t>
      </w:r>
      <w:r w:rsidR="009F1447" w:rsidRPr="001466EF">
        <w:rPr>
          <w:rFonts w:asciiTheme="minorHAnsi" w:hAnsiTheme="minorHAnsi" w:cstheme="minorHAnsi"/>
          <w:bCs/>
          <w:lang w:val="fr-CA"/>
        </w:rPr>
        <w:t>solution</w:t>
      </w:r>
      <w:r w:rsidR="002A65F4" w:rsidRPr="001466EF">
        <w:rPr>
          <w:rFonts w:asciiTheme="minorHAnsi" w:hAnsiTheme="minorHAnsi" w:cstheme="minorHAnsi"/>
          <w:bCs/>
          <w:lang w:val="fr-CA"/>
        </w:rPr>
        <w:t xml:space="preserve"> </w:t>
      </w:r>
      <w:r w:rsidR="009F1447" w:rsidRPr="001466EF">
        <w:rPr>
          <w:rFonts w:asciiTheme="minorHAnsi" w:hAnsiTheme="minorHAnsi" w:cstheme="minorHAnsi"/>
          <w:bCs/>
          <w:lang w:val="fr-CA"/>
        </w:rPr>
        <w:t>XII.3</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donne instruction au Secrétariat de continuer de travailler de manière à renforcer la collaboration avec la Perspective pour le patrimoine mondial de l’</w:t>
      </w:r>
      <w:r w:rsidR="00A0522A">
        <w:rPr>
          <w:rFonts w:asciiTheme="minorHAnsi" w:hAnsiTheme="minorHAnsi" w:cstheme="minorHAnsi"/>
          <w:bCs/>
          <w:lang w:val="fr-CA"/>
        </w:rPr>
        <w:t>Union internationale pour la conservation de la nature (</w:t>
      </w:r>
      <w:r w:rsidRPr="001466EF">
        <w:rPr>
          <w:rFonts w:asciiTheme="minorHAnsi" w:hAnsiTheme="minorHAnsi" w:cstheme="minorHAnsi"/>
          <w:bCs/>
          <w:lang w:val="fr-CA"/>
        </w:rPr>
        <w:t>UICN</w:t>
      </w:r>
      <w:r w:rsidR="00A0522A">
        <w:rPr>
          <w:rFonts w:asciiTheme="minorHAnsi" w:hAnsiTheme="minorHAnsi" w:cstheme="minorHAnsi"/>
          <w:bCs/>
          <w:lang w:val="fr-CA"/>
        </w:rPr>
        <w:t>)</w:t>
      </w:r>
      <w:r w:rsidRPr="001466EF">
        <w:rPr>
          <w:rFonts w:asciiTheme="minorHAnsi" w:hAnsiTheme="minorHAnsi" w:cstheme="minorHAnsi"/>
          <w:bCs/>
          <w:lang w:val="fr-CA"/>
        </w:rPr>
        <w:t xml:space="preserve">, le </w:t>
      </w:r>
      <w:r w:rsidR="00A0522A">
        <w:rPr>
          <w:rFonts w:asciiTheme="minorHAnsi" w:hAnsiTheme="minorHAnsi" w:cstheme="minorHAnsi"/>
          <w:bCs/>
          <w:lang w:val="fr-CA"/>
        </w:rPr>
        <w:t>Programme des Nations Unies pour l’environnement (</w:t>
      </w:r>
      <w:r w:rsidRPr="001466EF">
        <w:rPr>
          <w:rFonts w:asciiTheme="minorHAnsi" w:hAnsiTheme="minorHAnsi" w:cstheme="minorHAnsi"/>
          <w:bCs/>
          <w:lang w:val="fr-CA"/>
        </w:rPr>
        <w:t>PNUE</w:t>
      </w:r>
      <w:r w:rsidR="00A0522A">
        <w:rPr>
          <w:rFonts w:asciiTheme="minorHAnsi" w:hAnsiTheme="minorHAnsi" w:cstheme="minorHAnsi"/>
          <w:bCs/>
          <w:lang w:val="fr-CA"/>
        </w:rPr>
        <w:t>)</w:t>
      </w:r>
      <w:r w:rsidRPr="001466EF">
        <w:rPr>
          <w:rFonts w:asciiTheme="minorHAnsi" w:hAnsiTheme="minorHAnsi" w:cstheme="minorHAnsi"/>
          <w:bCs/>
          <w:lang w:val="fr-CA"/>
        </w:rPr>
        <w:t xml:space="preserve">, le PNUE-GRID, le </w:t>
      </w:r>
      <w:r w:rsidR="00A0522A">
        <w:rPr>
          <w:rFonts w:asciiTheme="minorHAnsi" w:hAnsiTheme="minorHAnsi" w:cstheme="minorHAnsi"/>
          <w:bCs/>
          <w:lang w:val="fr-CA"/>
        </w:rPr>
        <w:t>Programme des Nations Unies pour</w:t>
      </w:r>
      <w:r w:rsidR="00A0522A" w:rsidRPr="001466EF">
        <w:rPr>
          <w:rFonts w:asciiTheme="minorHAnsi" w:hAnsiTheme="minorHAnsi" w:cstheme="minorHAnsi"/>
          <w:bCs/>
          <w:lang w:val="fr-CA"/>
        </w:rPr>
        <w:t xml:space="preserve"> </w:t>
      </w:r>
      <w:r w:rsidR="00A0522A">
        <w:rPr>
          <w:rFonts w:asciiTheme="minorHAnsi" w:hAnsiTheme="minorHAnsi" w:cstheme="minorHAnsi"/>
          <w:bCs/>
          <w:lang w:val="fr-CA"/>
        </w:rPr>
        <w:t>le développement (</w:t>
      </w:r>
      <w:r w:rsidRPr="001466EF">
        <w:rPr>
          <w:rFonts w:asciiTheme="minorHAnsi" w:hAnsiTheme="minorHAnsi" w:cstheme="minorHAnsi"/>
          <w:bCs/>
          <w:lang w:val="fr-CA"/>
        </w:rPr>
        <w:t>PNUD</w:t>
      </w:r>
      <w:r w:rsidR="00A0522A">
        <w:rPr>
          <w:rFonts w:asciiTheme="minorHAnsi" w:hAnsiTheme="minorHAnsi" w:cstheme="minorHAnsi"/>
          <w:bCs/>
          <w:lang w:val="fr-CA"/>
        </w:rPr>
        <w:t>)</w:t>
      </w:r>
      <w:r w:rsidRPr="001466EF">
        <w:rPr>
          <w:rFonts w:asciiTheme="minorHAnsi" w:hAnsiTheme="minorHAnsi" w:cstheme="minorHAnsi"/>
          <w:bCs/>
          <w:lang w:val="fr-CA"/>
        </w:rPr>
        <w:t xml:space="preserve">, l’Organisation des Nations Unies pour l’éducation, la science et la culture (UNESCO), les commissions économiques régionales des Nations Unies, la Banque mondiale, l’OMS, l’Organisation météorologique mondiale (OMM), </w:t>
      </w:r>
      <w:r w:rsidR="00A0522A">
        <w:rPr>
          <w:rFonts w:asciiTheme="minorHAnsi" w:hAnsiTheme="minorHAnsi" w:cstheme="minorHAnsi"/>
          <w:bCs/>
          <w:lang w:val="fr-CA"/>
        </w:rPr>
        <w:t>l’Organisation des Nations Unies pour l’alimentation et l’agriculture (</w:t>
      </w:r>
      <w:r w:rsidRPr="001466EF">
        <w:rPr>
          <w:rFonts w:asciiTheme="minorHAnsi" w:hAnsiTheme="minorHAnsi" w:cstheme="minorHAnsi"/>
          <w:bCs/>
          <w:lang w:val="fr-CA"/>
        </w:rPr>
        <w:t xml:space="preserve"> FAO</w:t>
      </w:r>
      <w:r w:rsidR="00A0522A">
        <w:rPr>
          <w:rFonts w:asciiTheme="minorHAnsi" w:hAnsiTheme="minorHAnsi" w:cstheme="minorHAnsi"/>
          <w:bCs/>
          <w:lang w:val="fr-CA"/>
        </w:rPr>
        <w:t>)</w:t>
      </w:r>
      <w:r w:rsidRPr="001466EF">
        <w:rPr>
          <w:rFonts w:asciiTheme="minorHAnsi" w:hAnsiTheme="minorHAnsi" w:cstheme="minorHAnsi"/>
          <w:bCs/>
          <w:lang w:val="fr-CA"/>
        </w:rPr>
        <w:t xml:space="preserve">, le </w:t>
      </w:r>
      <w:r w:rsidR="00A0522A">
        <w:rPr>
          <w:rFonts w:asciiTheme="minorHAnsi" w:hAnsiTheme="minorHAnsi" w:cstheme="minorHAnsi"/>
          <w:bCs/>
          <w:lang w:val="fr-CA"/>
        </w:rPr>
        <w:t>Fonds pour l’environnement mondial (</w:t>
      </w:r>
      <w:r w:rsidRPr="001466EF">
        <w:rPr>
          <w:rFonts w:asciiTheme="minorHAnsi" w:hAnsiTheme="minorHAnsi" w:cstheme="minorHAnsi"/>
          <w:bCs/>
          <w:lang w:val="fr-CA"/>
        </w:rPr>
        <w:t>FEM</w:t>
      </w:r>
      <w:r w:rsidR="00A0522A">
        <w:rPr>
          <w:rFonts w:asciiTheme="minorHAnsi" w:hAnsiTheme="minorHAnsi" w:cstheme="minorHAnsi"/>
          <w:bCs/>
          <w:lang w:val="fr-CA"/>
        </w:rPr>
        <w:t>)</w:t>
      </w:r>
      <w:r w:rsidRPr="001466EF">
        <w:rPr>
          <w:rFonts w:asciiTheme="minorHAnsi" w:hAnsiTheme="minorHAnsi" w:cstheme="minorHAnsi"/>
          <w:bCs/>
          <w:lang w:val="fr-CA"/>
        </w:rPr>
        <w:t>, la Plateforme intergouvernementale, politique et scientifique, sur la biodiversité et les services écosystémiques (IPBES), entre autres, et de faire régulièrement rapport sur les progrès au Comité permanent et aux Parties contractantes</w:t>
      </w:r>
      <w:r w:rsidR="005526B6" w:rsidRPr="001466EF">
        <w:rPr>
          <w:rFonts w:asciiTheme="minorHAnsi" w:hAnsiTheme="minorHAnsi" w:cstheme="minorHAnsi"/>
          <w:bCs/>
          <w:lang w:val="fr-CA"/>
        </w:rPr>
        <w:t>.</w:t>
      </w:r>
      <w:r w:rsidR="002A65F4" w:rsidRPr="001466EF">
        <w:rPr>
          <w:rFonts w:asciiTheme="minorHAnsi" w:hAnsiTheme="minorHAnsi" w:cstheme="minorHAnsi"/>
          <w:bCs/>
          <w:lang w:val="fr-CA"/>
        </w:rPr>
        <w:t xml:space="preserve"> </w:t>
      </w:r>
    </w:p>
    <w:p w14:paraId="2010D31F" w14:textId="77777777" w:rsidR="00073599" w:rsidRPr="001466EF" w:rsidRDefault="00073599" w:rsidP="000B6927">
      <w:pPr>
        <w:pStyle w:val="ListParagraph"/>
        <w:suppressAutoHyphens/>
        <w:ind w:left="426" w:hanging="426"/>
        <w:jc w:val="left"/>
        <w:rPr>
          <w:rFonts w:asciiTheme="minorHAnsi" w:hAnsiTheme="minorHAnsi"/>
          <w:lang w:val="fr-CA"/>
        </w:rPr>
      </w:pPr>
    </w:p>
    <w:p w14:paraId="40801923" w14:textId="1DC5AECA" w:rsidR="00073599" w:rsidRPr="001466EF" w:rsidRDefault="00BC5179" w:rsidP="00C943CF">
      <w:pPr>
        <w:pStyle w:val="ListParagraph"/>
        <w:numPr>
          <w:ilvl w:val="0"/>
          <w:numId w:val="19"/>
        </w:numPr>
        <w:ind w:left="450" w:hanging="450"/>
        <w:jc w:val="left"/>
        <w:rPr>
          <w:rFonts w:asciiTheme="minorHAnsi" w:hAnsiTheme="minorHAnsi" w:cstheme="minorHAnsi"/>
          <w:bCs/>
          <w:lang w:val="fr-CA"/>
        </w:rPr>
      </w:pPr>
      <w:r w:rsidRPr="001466EF">
        <w:rPr>
          <w:rFonts w:asciiTheme="minorHAnsi" w:hAnsiTheme="minorHAnsi" w:cstheme="minorHAnsi"/>
          <w:bCs/>
          <w:lang w:val="fr-CA"/>
        </w:rPr>
        <w:t>Le</w:t>
      </w:r>
      <w:r w:rsidR="002A65F4" w:rsidRPr="001466EF">
        <w:rPr>
          <w:rFonts w:asciiTheme="minorHAnsi" w:hAnsiTheme="minorHAnsi" w:cstheme="minorHAnsi"/>
          <w:bCs/>
          <w:lang w:val="fr-CA"/>
        </w:rPr>
        <w:t xml:space="preserve"> </w:t>
      </w:r>
      <w:r w:rsidR="00073599" w:rsidRPr="001466EF">
        <w:rPr>
          <w:rFonts w:asciiTheme="minorHAnsi" w:hAnsiTheme="minorHAnsi" w:cstheme="minorHAnsi"/>
          <w:bCs/>
          <w:lang w:val="fr-CA"/>
        </w:rPr>
        <w:t>Secr</w:t>
      </w:r>
      <w:r w:rsidRPr="001466EF">
        <w:rPr>
          <w:rFonts w:asciiTheme="minorHAnsi" w:hAnsiTheme="minorHAnsi" w:cstheme="minorHAnsi"/>
          <w:bCs/>
          <w:lang w:val="fr-CA"/>
        </w:rPr>
        <w:t>é</w:t>
      </w:r>
      <w:r w:rsidR="00073599" w:rsidRPr="001466EF">
        <w:rPr>
          <w:rFonts w:asciiTheme="minorHAnsi" w:hAnsiTheme="minorHAnsi" w:cstheme="minorHAnsi"/>
          <w:bCs/>
          <w:lang w:val="fr-CA"/>
        </w:rPr>
        <w:t>tariat</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est également prié</w:t>
      </w:r>
      <w:r w:rsidR="00806CA6" w:rsidRPr="001466EF">
        <w:rPr>
          <w:rFonts w:asciiTheme="minorHAnsi" w:hAnsiTheme="minorHAnsi" w:cstheme="minorHAnsi"/>
          <w:bCs/>
          <w:lang w:val="fr-CA"/>
        </w:rPr>
        <w:t>,</w:t>
      </w:r>
      <w:r w:rsidR="002A65F4" w:rsidRPr="001466EF">
        <w:rPr>
          <w:rFonts w:asciiTheme="minorHAnsi" w:hAnsiTheme="minorHAnsi" w:cstheme="minorHAnsi"/>
          <w:bCs/>
          <w:lang w:val="fr-CA"/>
        </w:rPr>
        <w:t xml:space="preserve"> </w:t>
      </w:r>
      <w:r w:rsidRPr="001466EF">
        <w:rPr>
          <w:rFonts w:asciiTheme="minorHAnsi" w:hAnsiTheme="minorHAnsi" w:cstheme="minorHAnsi"/>
          <w:bCs/>
          <w:lang w:val="fr-CA"/>
        </w:rPr>
        <w:t>dans le</w:t>
      </w:r>
      <w:r w:rsidR="002A65F4" w:rsidRPr="001466EF">
        <w:rPr>
          <w:rFonts w:asciiTheme="minorHAnsi" w:hAnsiTheme="minorHAnsi" w:cstheme="minorHAnsi"/>
          <w:bCs/>
          <w:lang w:val="fr-CA"/>
        </w:rPr>
        <w:t xml:space="preserve"> </w:t>
      </w:r>
      <w:r w:rsidR="00073599" w:rsidRPr="001466EF">
        <w:rPr>
          <w:rFonts w:asciiTheme="minorHAnsi" w:hAnsiTheme="minorHAnsi" w:cstheme="minorHAnsi"/>
          <w:bCs/>
          <w:lang w:val="fr-CA"/>
        </w:rPr>
        <w:t>paragraph</w:t>
      </w:r>
      <w:r w:rsidRPr="001466EF">
        <w:rPr>
          <w:rFonts w:asciiTheme="minorHAnsi" w:hAnsiTheme="minorHAnsi" w:cstheme="minorHAnsi"/>
          <w:bCs/>
          <w:lang w:val="fr-CA"/>
        </w:rPr>
        <w:t>e</w:t>
      </w:r>
      <w:r w:rsidR="002A65F4" w:rsidRPr="001466EF">
        <w:rPr>
          <w:rFonts w:asciiTheme="minorHAnsi" w:hAnsiTheme="minorHAnsi" w:cstheme="minorHAnsi"/>
          <w:bCs/>
          <w:lang w:val="fr-CA"/>
        </w:rPr>
        <w:t xml:space="preserve"> </w:t>
      </w:r>
      <w:r w:rsidR="00073599" w:rsidRPr="001466EF">
        <w:rPr>
          <w:rFonts w:asciiTheme="minorHAnsi" w:hAnsiTheme="minorHAnsi" w:cstheme="minorHAnsi"/>
          <w:bCs/>
          <w:lang w:val="fr-CA"/>
        </w:rPr>
        <w:t>44,</w:t>
      </w:r>
      <w:r w:rsidR="002A65F4" w:rsidRPr="001466EF">
        <w:rPr>
          <w:rFonts w:asciiTheme="minorHAnsi" w:hAnsiTheme="minorHAnsi" w:cstheme="minorHAnsi"/>
          <w:bCs/>
          <w:lang w:val="fr-CA"/>
        </w:rPr>
        <w:t xml:space="preserve"> </w:t>
      </w:r>
      <w:r w:rsidR="00C943CF" w:rsidRPr="001466EF">
        <w:rPr>
          <w:rFonts w:asciiTheme="minorHAnsi" w:hAnsiTheme="minorHAnsi" w:cstheme="minorHAnsi"/>
          <w:bCs/>
          <w:lang w:val="fr-CA"/>
        </w:rPr>
        <w:t xml:space="preserve">de poursuivre ses travaux avec le Groupe de liaison sur la biodiversité </w:t>
      </w:r>
      <w:r w:rsidR="00A0522A">
        <w:rPr>
          <w:rFonts w:asciiTheme="minorHAnsi" w:hAnsiTheme="minorHAnsi" w:cstheme="minorHAnsi"/>
          <w:bCs/>
          <w:lang w:val="fr-CA"/>
        </w:rPr>
        <w:t xml:space="preserve">(GLB) </w:t>
      </w:r>
      <w:r w:rsidR="00C943CF" w:rsidRPr="001466EF">
        <w:rPr>
          <w:rFonts w:asciiTheme="minorHAnsi" w:hAnsiTheme="minorHAnsi" w:cstheme="minorHAnsi"/>
          <w:bCs/>
          <w:lang w:val="fr-CA"/>
        </w:rPr>
        <w:t>pour renforcer la cohérence et la coopération, poursuivre les efforts d’amélioration de l’efficacité et réduire le recouvrement et le dédoublement inutiles à tous les niveaux pertinents entre les conventions relatives à la biodiversité</w:t>
      </w:r>
      <w:r w:rsidR="00073599" w:rsidRPr="001466EF">
        <w:rPr>
          <w:rFonts w:asciiTheme="minorHAnsi" w:hAnsiTheme="minorHAnsi" w:cstheme="minorHAnsi"/>
          <w:bCs/>
          <w:lang w:val="fr-CA"/>
        </w:rPr>
        <w:t>.</w:t>
      </w:r>
    </w:p>
    <w:p w14:paraId="1EF13502" w14:textId="77777777" w:rsidR="005D6089" w:rsidRPr="001466EF" w:rsidRDefault="005D6089" w:rsidP="000B6927">
      <w:pPr>
        <w:pStyle w:val="ListParagraph"/>
        <w:ind w:left="426" w:hanging="426"/>
        <w:jc w:val="left"/>
        <w:rPr>
          <w:rFonts w:asciiTheme="minorHAnsi" w:hAnsiTheme="minorHAnsi" w:cstheme="minorHAnsi"/>
          <w:bCs/>
          <w:lang w:val="fr-CA"/>
        </w:rPr>
      </w:pPr>
    </w:p>
    <w:p w14:paraId="61C0079E" w14:textId="34F24C61" w:rsidR="005D6089" w:rsidRPr="001466EF" w:rsidRDefault="00C943CF" w:rsidP="00C943CF">
      <w:pPr>
        <w:pStyle w:val="ListParagraph"/>
        <w:numPr>
          <w:ilvl w:val="0"/>
          <w:numId w:val="19"/>
        </w:numPr>
        <w:ind w:left="450" w:hanging="450"/>
        <w:jc w:val="left"/>
        <w:rPr>
          <w:rFonts w:asciiTheme="minorHAnsi" w:hAnsiTheme="minorHAnsi" w:cstheme="minorHAnsi"/>
          <w:bCs/>
          <w:lang w:val="fr-CA"/>
        </w:rPr>
      </w:pPr>
      <w:r w:rsidRPr="001466EF">
        <w:rPr>
          <w:rFonts w:asciiTheme="minorHAnsi" w:hAnsiTheme="minorHAnsi" w:cstheme="minorHAnsi"/>
          <w:bCs/>
          <w:lang w:val="fr-CA"/>
        </w:rPr>
        <w:t>Le p</w:t>
      </w:r>
      <w:r w:rsidR="005D6089" w:rsidRPr="001466EF">
        <w:rPr>
          <w:rFonts w:asciiTheme="minorHAnsi" w:hAnsiTheme="minorHAnsi" w:cstheme="minorHAnsi"/>
          <w:bCs/>
          <w:lang w:val="fr-CA"/>
        </w:rPr>
        <w:t>aragraph</w:t>
      </w:r>
      <w:r w:rsidRPr="001466EF">
        <w:rPr>
          <w:rFonts w:asciiTheme="minorHAnsi" w:hAnsiTheme="minorHAnsi" w:cstheme="minorHAnsi"/>
          <w:bCs/>
          <w:lang w:val="fr-CA"/>
        </w:rPr>
        <w:t>e</w:t>
      </w:r>
      <w:r w:rsidR="005D6089" w:rsidRPr="001466EF">
        <w:rPr>
          <w:rFonts w:asciiTheme="minorHAnsi" w:hAnsiTheme="minorHAnsi" w:cstheme="minorHAnsi"/>
          <w:bCs/>
          <w:lang w:val="fr-CA"/>
        </w:rPr>
        <w:t xml:space="preserve"> 33 </w:t>
      </w:r>
      <w:r w:rsidRPr="001466EF">
        <w:rPr>
          <w:rFonts w:asciiTheme="minorHAnsi" w:hAnsiTheme="minorHAnsi" w:cstheme="minorHAnsi"/>
          <w:bCs/>
          <w:lang w:val="fr-CA"/>
        </w:rPr>
        <w:t>de la</w:t>
      </w:r>
      <w:r w:rsidR="005D6089" w:rsidRPr="001466EF">
        <w:rPr>
          <w:rFonts w:asciiTheme="minorHAnsi" w:hAnsiTheme="minorHAnsi" w:cstheme="minorHAnsi"/>
          <w:bCs/>
          <w:lang w:val="fr-CA"/>
        </w:rPr>
        <w:t xml:space="preserve"> R</w:t>
      </w:r>
      <w:r w:rsidRPr="001466EF">
        <w:rPr>
          <w:rFonts w:asciiTheme="minorHAnsi" w:hAnsiTheme="minorHAnsi" w:cstheme="minorHAnsi"/>
          <w:bCs/>
          <w:lang w:val="fr-CA"/>
        </w:rPr>
        <w:t>é</w:t>
      </w:r>
      <w:r w:rsidR="005D6089" w:rsidRPr="001466EF">
        <w:rPr>
          <w:rFonts w:asciiTheme="minorHAnsi" w:hAnsiTheme="minorHAnsi" w:cstheme="minorHAnsi"/>
          <w:bCs/>
          <w:lang w:val="fr-CA"/>
        </w:rPr>
        <w:t xml:space="preserve">solution XII.3 </w:t>
      </w:r>
      <w:r w:rsidRPr="001466EF">
        <w:rPr>
          <w:rFonts w:asciiTheme="minorHAnsi" w:hAnsiTheme="minorHAnsi" w:cstheme="minorHAnsi"/>
          <w:bCs/>
          <w:lang w:val="fr-CA"/>
        </w:rPr>
        <w:t>demande au Secrétariat de consulter les autres AME quant à leur expérience concernant l’accueil de segments ministériels de haut niveau afin de déterminer des moyens possibles de recourir à de telles possibilités pour améliorer la visibilité, l’appui politique et l’</w:t>
      </w:r>
      <w:r w:rsidR="00A05867">
        <w:rPr>
          <w:rFonts w:asciiTheme="minorHAnsi" w:hAnsiTheme="minorHAnsi" w:cstheme="minorHAnsi"/>
          <w:bCs/>
          <w:lang w:val="fr-CA"/>
        </w:rPr>
        <w:t>impact</w:t>
      </w:r>
      <w:r w:rsidRPr="001466EF">
        <w:rPr>
          <w:rFonts w:asciiTheme="minorHAnsi" w:hAnsiTheme="minorHAnsi" w:cstheme="minorHAnsi"/>
          <w:bCs/>
          <w:lang w:val="fr-CA"/>
        </w:rPr>
        <w:t xml:space="preserve"> de la Convention</w:t>
      </w:r>
      <w:r w:rsidR="005D6089" w:rsidRPr="001466EF">
        <w:rPr>
          <w:rFonts w:asciiTheme="minorHAnsi" w:hAnsiTheme="minorHAnsi" w:cstheme="minorHAnsi"/>
          <w:bCs/>
          <w:lang w:val="fr-CA"/>
        </w:rPr>
        <w:t>.</w:t>
      </w:r>
    </w:p>
    <w:p w14:paraId="0D513B7E" w14:textId="77777777" w:rsidR="00073599" w:rsidRPr="001466EF" w:rsidRDefault="00073599" w:rsidP="000B6927">
      <w:pPr>
        <w:pStyle w:val="ListParagraph"/>
        <w:ind w:left="426" w:hanging="426"/>
        <w:jc w:val="left"/>
        <w:rPr>
          <w:rFonts w:asciiTheme="minorHAnsi" w:hAnsiTheme="minorHAnsi" w:cstheme="minorHAnsi"/>
          <w:bCs/>
          <w:lang w:val="fr-CA"/>
        </w:rPr>
      </w:pPr>
    </w:p>
    <w:p w14:paraId="00641A35" w14:textId="2B39E905" w:rsidR="00812CC5" w:rsidRPr="001466EF" w:rsidRDefault="00EF753F" w:rsidP="00EF753F">
      <w:pPr>
        <w:pStyle w:val="ListParagraph"/>
        <w:numPr>
          <w:ilvl w:val="0"/>
          <w:numId w:val="19"/>
        </w:numPr>
        <w:ind w:left="450" w:right="-46" w:hanging="450"/>
        <w:jc w:val="left"/>
        <w:rPr>
          <w:rFonts w:asciiTheme="minorHAnsi" w:hAnsiTheme="minorHAnsi" w:cstheme="minorHAnsi"/>
          <w:bCs/>
          <w:lang w:val="fr-CA"/>
        </w:rPr>
      </w:pPr>
      <w:r w:rsidRPr="001466EF">
        <w:rPr>
          <w:rFonts w:asciiTheme="minorHAnsi" w:hAnsiTheme="minorHAnsi"/>
          <w:lang w:val="fr-CA"/>
        </w:rPr>
        <w:t>Dans son paragraphe 21, l</w:t>
      </w:r>
      <w:r w:rsidR="00C943CF" w:rsidRPr="001466EF">
        <w:rPr>
          <w:rFonts w:asciiTheme="minorHAnsi" w:hAnsiTheme="minorHAnsi"/>
          <w:lang w:val="fr-CA"/>
        </w:rPr>
        <w:t>a Ré</w:t>
      </w:r>
      <w:r w:rsidR="00073599" w:rsidRPr="001466EF">
        <w:rPr>
          <w:rFonts w:asciiTheme="minorHAnsi" w:hAnsiTheme="minorHAnsi"/>
          <w:lang w:val="fr-CA"/>
        </w:rPr>
        <w:t>solution</w:t>
      </w:r>
      <w:r w:rsidR="002A65F4" w:rsidRPr="001466EF">
        <w:rPr>
          <w:rFonts w:asciiTheme="minorHAnsi" w:hAnsiTheme="minorHAnsi"/>
          <w:lang w:val="fr-CA"/>
        </w:rPr>
        <w:t xml:space="preserve"> </w:t>
      </w:r>
      <w:r w:rsidR="00073599" w:rsidRPr="001466EF">
        <w:rPr>
          <w:rFonts w:asciiTheme="minorHAnsi" w:hAnsiTheme="minorHAnsi"/>
          <w:lang w:val="fr-CA"/>
        </w:rPr>
        <w:t>XII.7</w:t>
      </w:r>
      <w:r w:rsidR="00C943CF" w:rsidRPr="001466EF">
        <w:rPr>
          <w:rFonts w:asciiTheme="minorHAnsi" w:hAnsiTheme="minorHAnsi"/>
          <w:lang w:val="fr-CA"/>
        </w:rPr>
        <w:t>,</w:t>
      </w:r>
      <w:r w:rsidR="002A65F4" w:rsidRPr="001466EF">
        <w:rPr>
          <w:rFonts w:asciiTheme="minorHAnsi" w:hAnsiTheme="minorHAnsi"/>
          <w:lang w:val="fr-CA"/>
        </w:rPr>
        <w:t xml:space="preserve"> </w:t>
      </w:r>
      <w:r w:rsidRPr="001466EF">
        <w:rPr>
          <w:rFonts w:asciiTheme="minorHAnsi" w:hAnsiTheme="minorHAnsi"/>
          <w:bCs/>
          <w:i/>
          <w:lang w:val="fr-CA"/>
        </w:rPr>
        <w:t>Cadre de la Convention de Ramsar pour la mobilisation de ressources et les partenariats</w:t>
      </w:r>
      <w:r w:rsidR="00812CC5" w:rsidRPr="001466EF">
        <w:rPr>
          <w:rFonts w:asciiTheme="minorHAnsi" w:hAnsiTheme="minorHAnsi"/>
          <w:bCs/>
          <w:i/>
          <w:lang w:val="fr-CA"/>
        </w:rPr>
        <w:t>,</w:t>
      </w:r>
      <w:r w:rsidR="002A65F4" w:rsidRPr="001466EF">
        <w:rPr>
          <w:rFonts w:asciiTheme="minorHAnsi" w:hAnsiTheme="minorHAnsi"/>
          <w:bCs/>
          <w:i/>
          <w:lang w:val="fr-CA"/>
        </w:rPr>
        <w:t xml:space="preserve"> </w:t>
      </w:r>
      <w:r w:rsidRPr="001466EF">
        <w:rPr>
          <w:rFonts w:asciiTheme="minorHAnsi" w:hAnsiTheme="minorHAnsi"/>
          <w:bCs/>
          <w:lang w:val="fr-CA"/>
        </w:rPr>
        <w:t xml:space="preserve">demande </w:t>
      </w:r>
      <w:r w:rsidRPr="001466EF">
        <w:rPr>
          <w:rFonts w:asciiTheme="minorHAnsi" w:hAnsiTheme="minorHAnsi"/>
          <w:lang w:val="fr-CA"/>
        </w:rPr>
        <w:t xml:space="preserve">au Secrétariat de renforcer les </w:t>
      </w:r>
      <w:r w:rsidRPr="001466EF">
        <w:rPr>
          <w:rFonts w:asciiTheme="minorHAnsi" w:hAnsiTheme="minorHAnsi"/>
          <w:lang w:val="fr-CA"/>
        </w:rPr>
        <w:lastRenderedPageBreak/>
        <w:t>partenariats avec d’autres accords multilatéraux sur l’environnement comme, par exemple, la Convention des Nations Unies sur la lutte contre la désertification (CNULD)</w:t>
      </w:r>
      <w:r w:rsidR="00A05867">
        <w:rPr>
          <w:rFonts w:asciiTheme="minorHAnsi" w:hAnsiTheme="minorHAnsi"/>
          <w:lang w:val="fr-CA"/>
        </w:rPr>
        <w:t xml:space="preserve"> et</w:t>
      </w:r>
      <w:r w:rsidRPr="001466EF">
        <w:rPr>
          <w:rFonts w:asciiTheme="minorHAnsi" w:hAnsiTheme="minorHAnsi"/>
          <w:lang w:val="fr-CA"/>
        </w:rPr>
        <w:t xml:space="preserve"> la </w:t>
      </w:r>
      <w:r w:rsidR="00A0522A">
        <w:rPr>
          <w:rFonts w:asciiTheme="minorHAnsi" w:hAnsiTheme="minorHAnsi"/>
          <w:lang w:val="fr-CA"/>
        </w:rPr>
        <w:t>Convention sur la diversité biologique (</w:t>
      </w:r>
      <w:r w:rsidRPr="001466EF">
        <w:rPr>
          <w:rFonts w:asciiTheme="minorHAnsi" w:hAnsiTheme="minorHAnsi"/>
          <w:lang w:val="fr-CA"/>
        </w:rPr>
        <w:t>CDB</w:t>
      </w:r>
      <w:r w:rsidR="00A0522A">
        <w:rPr>
          <w:rFonts w:asciiTheme="minorHAnsi" w:hAnsiTheme="minorHAnsi"/>
          <w:lang w:val="fr-CA"/>
        </w:rPr>
        <w:t>)</w:t>
      </w:r>
      <w:r w:rsidRPr="001466EF">
        <w:rPr>
          <w:rFonts w:asciiTheme="minorHAnsi" w:hAnsiTheme="minorHAnsi"/>
          <w:lang w:val="fr-CA"/>
        </w:rPr>
        <w:t>, afin de renforcer les synergies et le partage des ressources, d’éviter le dédoublement des efforts et d’améliorer la mise en œuvre, dans le respect du mandat de chaque Convention; et demande au Secrétariat de fournir, à la 51</w:t>
      </w:r>
      <w:r w:rsidRPr="001466EF">
        <w:rPr>
          <w:rFonts w:asciiTheme="minorHAnsi" w:hAnsiTheme="minorHAnsi"/>
          <w:vertAlign w:val="superscript"/>
          <w:lang w:val="fr-CA"/>
        </w:rPr>
        <w:t>e</w:t>
      </w:r>
      <w:r w:rsidRPr="001466EF">
        <w:rPr>
          <w:rFonts w:asciiTheme="minorHAnsi" w:hAnsiTheme="minorHAnsi"/>
          <w:lang w:val="fr-CA"/>
        </w:rPr>
        <w:t xml:space="preserve"> Réunion du Comité permanent, un plan sur la façon d’améliorer la coopération avec d’autres AME, et de rendre régulièrement compte de ses activités au Comité permanent</w:t>
      </w:r>
      <w:r w:rsidR="005526B6" w:rsidRPr="001466EF">
        <w:rPr>
          <w:rFonts w:asciiTheme="minorHAnsi" w:hAnsiTheme="minorHAnsi"/>
          <w:lang w:val="fr-CA"/>
        </w:rPr>
        <w:t>.</w:t>
      </w:r>
    </w:p>
    <w:p w14:paraId="1B4E1708" w14:textId="77777777" w:rsidR="00073599" w:rsidRPr="001466EF" w:rsidRDefault="00073599" w:rsidP="000B6927">
      <w:pPr>
        <w:tabs>
          <w:tab w:val="left" w:pos="709"/>
        </w:tabs>
        <w:suppressAutoHyphens/>
        <w:ind w:left="426" w:hanging="426"/>
        <w:rPr>
          <w:rFonts w:asciiTheme="minorHAnsi" w:hAnsiTheme="minorHAnsi"/>
          <w:sz w:val="22"/>
          <w:szCs w:val="22"/>
          <w:lang w:val="fr-CA"/>
        </w:rPr>
      </w:pPr>
    </w:p>
    <w:p w14:paraId="1DD65518" w14:textId="6664AB69" w:rsidR="00812CC5" w:rsidRPr="001466EF" w:rsidRDefault="009C7AAF" w:rsidP="000B6927">
      <w:pPr>
        <w:pStyle w:val="ListParagraph"/>
        <w:numPr>
          <w:ilvl w:val="0"/>
          <w:numId w:val="19"/>
        </w:numPr>
        <w:autoSpaceDE w:val="0"/>
        <w:autoSpaceDN w:val="0"/>
        <w:adjustRightInd w:val="0"/>
        <w:ind w:left="426" w:hanging="426"/>
        <w:jc w:val="left"/>
        <w:rPr>
          <w:rFonts w:asciiTheme="minorHAnsi" w:hAnsiTheme="minorHAnsi"/>
          <w:lang w:val="fr-CA"/>
        </w:rPr>
      </w:pPr>
      <w:r w:rsidRPr="001466EF">
        <w:rPr>
          <w:rFonts w:asciiTheme="minorHAnsi" w:eastAsiaTheme="minorHAnsi" w:hAnsiTheme="minorHAnsi" w:cs="Calibri"/>
          <w:color w:val="000000"/>
          <w:lang w:val="fr-CA"/>
        </w:rPr>
        <w:t xml:space="preserve">En conséquence, le présent rapport couvre les principales activités entreprises au titre de la Résolution </w:t>
      </w:r>
      <w:r w:rsidR="005D6089" w:rsidRPr="001466EF">
        <w:rPr>
          <w:rFonts w:asciiTheme="minorHAnsi" w:eastAsiaTheme="minorHAnsi" w:hAnsiTheme="minorHAnsi" w:cs="Calibri"/>
          <w:color w:val="000000"/>
          <w:lang w:val="fr-CA"/>
        </w:rPr>
        <w:t xml:space="preserve">XII.3 </w:t>
      </w:r>
      <w:r w:rsidRPr="001466EF">
        <w:rPr>
          <w:rFonts w:asciiTheme="minorHAnsi" w:eastAsiaTheme="minorHAnsi" w:hAnsiTheme="minorHAnsi" w:cs="Calibri"/>
          <w:color w:val="000000"/>
          <w:lang w:val="fr-CA"/>
        </w:rPr>
        <w:t>et de la Résolution</w:t>
      </w:r>
      <w:r w:rsidR="002A65F4" w:rsidRPr="001466EF">
        <w:rPr>
          <w:rFonts w:asciiTheme="minorHAnsi" w:eastAsiaTheme="minorHAnsi" w:hAnsiTheme="minorHAnsi" w:cs="Calibri"/>
          <w:color w:val="000000"/>
          <w:lang w:val="fr-CA"/>
        </w:rPr>
        <w:t xml:space="preserve"> </w:t>
      </w:r>
      <w:r w:rsidR="00F401EC" w:rsidRPr="001466EF">
        <w:rPr>
          <w:rFonts w:asciiTheme="minorHAnsi" w:eastAsiaTheme="minorHAnsi" w:hAnsiTheme="minorHAnsi" w:cs="Calibri"/>
          <w:color w:val="000000"/>
          <w:lang w:val="fr-CA"/>
        </w:rPr>
        <w:t>XI.6,</w:t>
      </w:r>
      <w:r w:rsidR="002A65F4" w:rsidRPr="001466EF">
        <w:rPr>
          <w:rFonts w:asciiTheme="minorHAnsi" w:eastAsiaTheme="minorHAnsi" w:hAnsiTheme="minorHAnsi" w:cs="Calibri"/>
          <w:color w:val="000000"/>
          <w:lang w:val="fr-CA"/>
        </w:rPr>
        <w:t xml:space="preserve"> </w:t>
      </w:r>
      <w:r w:rsidRPr="001466EF">
        <w:rPr>
          <w:rFonts w:asciiTheme="minorHAnsi" w:eastAsiaTheme="minorHAnsi" w:hAnsiTheme="minorHAnsi" w:cs="Calibri"/>
          <w:color w:val="000000"/>
          <w:lang w:val="fr-CA"/>
        </w:rPr>
        <w:t>et plus précisément les activités relatives au GLB, à l’</w:t>
      </w:r>
      <w:r w:rsidR="00C22296" w:rsidRPr="001466EF">
        <w:rPr>
          <w:rFonts w:asciiTheme="minorHAnsi" w:eastAsiaTheme="minorHAnsi" w:hAnsiTheme="minorHAnsi" w:cs="Calibri"/>
          <w:color w:val="000000"/>
          <w:lang w:val="fr-CA"/>
        </w:rPr>
        <w:t>IPBES</w:t>
      </w:r>
      <w:r w:rsidR="002A65F4" w:rsidRPr="001466EF">
        <w:rPr>
          <w:rFonts w:asciiTheme="minorHAnsi" w:hAnsiTheme="minorHAnsi"/>
          <w:lang w:val="fr-CA"/>
        </w:rPr>
        <w:t xml:space="preserve"> </w:t>
      </w:r>
      <w:r w:rsidRPr="001466EF">
        <w:rPr>
          <w:rFonts w:asciiTheme="minorHAnsi" w:hAnsiTheme="minorHAnsi"/>
          <w:lang w:val="fr-CA"/>
        </w:rPr>
        <w:t>et les progrès réalisés avec les AME, le PNUE et d’autres institutions.</w:t>
      </w:r>
      <w:r w:rsidR="002A65F4" w:rsidRPr="001466EF">
        <w:rPr>
          <w:rFonts w:asciiTheme="minorHAnsi" w:hAnsiTheme="minorHAnsi"/>
          <w:lang w:val="fr-CA"/>
        </w:rPr>
        <w:t xml:space="preserve"> </w:t>
      </w:r>
    </w:p>
    <w:p w14:paraId="428B2AA6" w14:textId="77777777" w:rsidR="00812CC5" w:rsidRPr="001466EF" w:rsidRDefault="00812CC5" w:rsidP="001B1570">
      <w:pPr>
        <w:pStyle w:val="ListParagraph"/>
        <w:ind w:left="0"/>
        <w:jc w:val="left"/>
        <w:rPr>
          <w:rFonts w:asciiTheme="minorHAnsi" w:hAnsiTheme="minorHAnsi"/>
          <w:lang w:val="fr-CA"/>
        </w:rPr>
      </w:pPr>
    </w:p>
    <w:p w14:paraId="6FEFED3B" w14:textId="53E99917" w:rsidR="00F401EC" w:rsidRPr="001466EF" w:rsidRDefault="00AD6BE7" w:rsidP="001B1570">
      <w:pPr>
        <w:rPr>
          <w:rFonts w:asciiTheme="minorHAnsi" w:hAnsiTheme="minorHAnsi"/>
          <w:b/>
          <w:sz w:val="22"/>
          <w:szCs w:val="22"/>
          <w:lang w:val="fr-CA"/>
        </w:rPr>
      </w:pPr>
      <w:r w:rsidRPr="00716694">
        <w:rPr>
          <w:rFonts w:asciiTheme="minorHAnsi" w:hAnsiTheme="minorHAnsi"/>
          <w:b/>
          <w:sz w:val="22"/>
          <w:szCs w:val="22"/>
          <w:lang w:val="fr-CA"/>
        </w:rPr>
        <w:t>Travaux</w:t>
      </w:r>
      <w:r>
        <w:rPr>
          <w:rFonts w:asciiTheme="minorHAnsi" w:hAnsiTheme="minorHAnsi"/>
          <w:b/>
          <w:sz w:val="22"/>
          <w:szCs w:val="22"/>
          <w:lang w:val="fr-CA"/>
        </w:rPr>
        <w:t xml:space="preserve"> dans le cadre du Groupe de liaison sur la biodiversité et des organes scientifiques des conventions relatives à la biodiversité </w:t>
      </w:r>
    </w:p>
    <w:p w14:paraId="626CE2D9" w14:textId="77777777" w:rsidR="00F401EC" w:rsidRPr="001466EF" w:rsidRDefault="00F401EC" w:rsidP="001B1570">
      <w:pPr>
        <w:rPr>
          <w:rFonts w:asciiTheme="minorHAnsi" w:hAnsiTheme="minorHAnsi"/>
          <w:sz w:val="22"/>
          <w:szCs w:val="22"/>
          <w:lang w:val="fr-CA"/>
        </w:rPr>
      </w:pPr>
    </w:p>
    <w:p w14:paraId="53110169" w14:textId="1856B645" w:rsidR="001B1570" w:rsidRPr="001466EF" w:rsidRDefault="00AD6BE7" w:rsidP="001B1570">
      <w:pPr>
        <w:pStyle w:val="Default"/>
        <w:numPr>
          <w:ilvl w:val="0"/>
          <w:numId w:val="19"/>
        </w:numPr>
        <w:ind w:left="426" w:hanging="426"/>
        <w:rPr>
          <w:rFonts w:asciiTheme="minorHAnsi" w:hAnsiTheme="minorHAnsi"/>
          <w:sz w:val="22"/>
          <w:szCs w:val="22"/>
          <w:lang w:val="fr-CA"/>
        </w:rPr>
      </w:pPr>
      <w:r>
        <w:rPr>
          <w:rFonts w:asciiTheme="minorHAnsi" w:hAnsiTheme="minorHAnsi" w:cs="Calibri"/>
          <w:sz w:val="22"/>
          <w:szCs w:val="22"/>
          <w:lang w:val="fr-CA"/>
        </w:rPr>
        <w:t xml:space="preserve">Le Secrétariat </w:t>
      </w:r>
      <w:r w:rsidR="00D56300" w:rsidRPr="001466EF">
        <w:rPr>
          <w:rFonts w:asciiTheme="minorHAnsi" w:hAnsiTheme="minorHAnsi" w:cs="Calibri"/>
          <w:sz w:val="22"/>
          <w:szCs w:val="22"/>
          <w:lang w:val="fr-CA"/>
        </w:rPr>
        <w:t>Ramsar</w:t>
      </w:r>
      <w:r w:rsidR="002A65F4" w:rsidRPr="001466EF">
        <w:rPr>
          <w:rFonts w:asciiTheme="minorHAnsi" w:hAnsiTheme="minorHAnsi" w:cs="Calibri"/>
          <w:sz w:val="22"/>
          <w:szCs w:val="22"/>
          <w:lang w:val="fr-CA"/>
        </w:rPr>
        <w:t xml:space="preserve"> </w:t>
      </w:r>
      <w:r>
        <w:rPr>
          <w:rFonts w:asciiTheme="minorHAnsi" w:hAnsiTheme="minorHAnsi" w:cs="Calibri"/>
          <w:sz w:val="22"/>
          <w:szCs w:val="22"/>
          <w:lang w:val="fr-CA"/>
        </w:rPr>
        <w:t>a continué de participer aux réunions et aux actions conjointes du GLB, selon son plan d’activités conjointes. La Secrétaire générale adjointe a présidé la réunion du GLB en septembre 2015, à laquelle des questions de grande importance ont été discutées, notamment :</w:t>
      </w:r>
    </w:p>
    <w:p w14:paraId="05CB27DD" w14:textId="7966C5F0"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cs="Calibri"/>
          <w:sz w:val="22"/>
          <w:szCs w:val="22"/>
          <w:lang w:val="fr-CA"/>
        </w:rPr>
        <w:t xml:space="preserve">la séance du GLB sur les </w:t>
      </w:r>
      <w:r w:rsidR="00A05867">
        <w:rPr>
          <w:rFonts w:asciiTheme="minorHAnsi" w:hAnsiTheme="minorHAnsi" w:cs="Calibri"/>
          <w:sz w:val="22"/>
          <w:szCs w:val="22"/>
          <w:lang w:val="fr-CA"/>
        </w:rPr>
        <w:t>O</w:t>
      </w:r>
      <w:r>
        <w:rPr>
          <w:rFonts w:asciiTheme="minorHAnsi" w:hAnsiTheme="minorHAnsi" w:cs="Calibri"/>
          <w:sz w:val="22"/>
          <w:szCs w:val="22"/>
          <w:lang w:val="fr-CA"/>
        </w:rPr>
        <w:t xml:space="preserve">bjectifs de développement durable (ODD); </w:t>
      </w:r>
    </w:p>
    <w:p w14:paraId="296F0951" w14:textId="4EAA7A9E"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cs="Calibri"/>
          <w:sz w:val="22"/>
          <w:szCs w:val="22"/>
          <w:lang w:val="fr-CA"/>
        </w:rPr>
        <w:t>la demande de l’</w:t>
      </w:r>
      <w:r w:rsidR="001D2EF9" w:rsidRPr="001466EF">
        <w:rPr>
          <w:rFonts w:asciiTheme="minorHAnsi" w:hAnsiTheme="minorHAnsi" w:cs="Calibri"/>
          <w:sz w:val="22"/>
          <w:szCs w:val="22"/>
          <w:lang w:val="fr-CA"/>
        </w:rPr>
        <w:t xml:space="preserve">IPBES </w:t>
      </w:r>
      <w:r>
        <w:rPr>
          <w:rFonts w:asciiTheme="minorHAnsi" w:hAnsiTheme="minorHAnsi" w:cs="Calibri"/>
          <w:sz w:val="22"/>
          <w:szCs w:val="22"/>
          <w:lang w:val="fr-CA"/>
        </w:rPr>
        <w:t xml:space="preserve">aux Secrétariats des AME de </w:t>
      </w:r>
      <w:r w:rsidR="00A0522A">
        <w:rPr>
          <w:rFonts w:asciiTheme="minorHAnsi" w:hAnsiTheme="minorHAnsi" w:cs="Calibri"/>
          <w:sz w:val="22"/>
          <w:szCs w:val="22"/>
          <w:lang w:val="fr-CA"/>
        </w:rPr>
        <w:t>construire</w:t>
      </w:r>
      <w:r>
        <w:rPr>
          <w:rFonts w:asciiTheme="minorHAnsi" w:hAnsiTheme="minorHAnsi" w:cs="Calibri"/>
          <w:sz w:val="22"/>
          <w:szCs w:val="22"/>
          <w:lang w:val="fr-CA"/>
        </w:rPr>
        <w:t xml:space="preserve"> des partenariats stratégiques </w:t>
      </w:r>
      <w:r w:rsidR="00A0522A">
        <w:rPr>
          <w:rFonts w:asciiTheme="minorHAnsi" w:hAnsiTheme="minorHAnsi" w:cs="Calibri"/>
          <w:sz w:val="22"/>
          <w:szCs w:val="22"/>
          <w:lang w:val="fr-CA"/>
        </w:rPr>
        <w:t>sur le modèle des</w:t>
      </w:r>
      <w:r>
        <w:rPr>
          <w:rFonts w:asciiTheme="minorHAnsi" w:hAnsiTheme="minorHAnsi" w:cs="Calibri"/>
          <w:sz w:val="22"/>
          <w:szCs w:val="22"/>
          <w:lang w:val="fr-CA"/>
        </w:rPr>
        <w:t xml:space="preserve"> dispositions de partenariat stratégique existantes avec le Secrétariat de la CDB;</w:t>
      </w:r>
      <w:r w:rsidR="00EB4809" w:rsidRPr="001466EF">
        <w:rPr>
          <w:rFonts w:asciiTheme="minorHAnsi" w:hAnsiTheme="minorHAnsi"/>
          <w:sz w:val="22"/>
          <w:szCs w:val="22"/>
          <w:lang w:val="fr-CA"/>
        </w:rPr>
        <w:t xml:space="preserve"> </w:t>
      </w:r>
      <w:r w:rsidR="001D2EF9" w:rsidRPr="001466EF">
        <w:rPr>
          <w:rFonts w:asciiTheme="minorHAnsi" w:hAnsiTheme="minorHAnsi"/>
          <w:sz w:val="22"/>
          <w:szCs w:val="22"/>
          <w:lang w:val="fr-CA"/>
        </w:rPr>
        <w:t xml:space="preserve"> </w:t>
      </w:r>
    </w:p>
    <w:p w14:paraId="60DCA443" w14:textId="7D2EDBB5"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sz w:val="22"/>
          <w:szCs w:val="22"/>
          <w:lang w:val="fr-CA"/>
        </w:rPr>
        <w:t xml:space="preserve">la Décision </w:t>
      </w:r>
      <w:r w:rsidR="00EB4809" w:rsidRPr="001466EF">
        <w:rPr>
          <w:rFonts w:asciiTheme="minorHAnsi" w:hAnsiTheme="minorHAnsi"/>
          <w:sz w:val="22"/>
          <w:szCs w:val="22"/>
          <w:lang w:val="fr-CA"/>
        </w:rPr>
        <w:t xml:space="preserve">XII/6 </w:t>
      </w:r>
      <w:r>
        <w:rPr>
          <w:rFonts w:asciiTheme="minorHAnsi" w:hAnsiTheme="minorHAnsi"/>
          <w:sz w:val="22"/>
          <w:szCs w:val="22"/>
          <w:lang w:val="fr-CA"/>
        </w:rPr>
        <w:t xml:space="preserve">de la CDB sur le processus établi et dirigé par les Parties concernant la coopération entre les conventions relatives à la biodiversité et l’atelier sur les synergies à cet égard (Genève, février 2016); </w:t>
      </w:r>
    </w:p>
    <w:p w14:paraId="29A98A90" w14:textId="2634CE98"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sz w:val="22"/>
          <w:szCs w:val="22"/>
          <w:lang w:val="fr-CA"/>
        </w:rPr>
        <w:t xml:space="preserve">les </w:t>
      </w:r>
      <w:r w:rsidR="00EB4809" w:rsidRPr="001466EF">
        <w:rPr>
          <w:rFonts w:asciiTheme="minorHAnsi" w:hAnsiTheme="minorHAnsi"/>
          <w:sz w:val="22"/>
          <w:szCs w:val="22"/>
          <w:lang w:val="fr-CA"/>
        </w:rPr>
        <w:t xml:space="preserve">synergies </w:t>
      </w:r>
      <w:r>
        <w:rPr>
          <w:rFonts w:asciiTheme="minorHAnsi" w:hAnsiTheme="minorHAnsi"/>
          <w:sz w:val="22"/>
          <w:szCs w:val="22"/>
          <w:lang w:val="fr-CA"/>
        </w:rPr>
        <w:t xml:space="preserve">dans l’élaboration de systèmes </w:t>
      </w:r>
      <w:r w:rsidR="00A0522A">
        <w:rPr>
          <w:rFonts w:asciiTheme="minorHAnsi" w:hAnsiTheme="minorHAnsi"/>
          <w:sz w:val="22"/>
          <w:szCs w:val="22"/>
          <w:lang w:val="fr-CA"/>
        </w:rPr>
        <w:t>de communication</w:t>
      </w:r>
      <w:r>
        <w:rPr>
          <w:rFonts w:asciiTheme="minorHAnsi" w:hAnsiTheme="minorHAnsi"/>
          <w:sz w:val="22"/>
          <w:szCs w:val="22"/>
          <w:lang w:val="fr-CA"/>
        </w:rPr>
        <w:t xml:space="preserve"> de</w:t>
      </w:r>
      <w:r w:rsidR="00A0522A">
        <w:rPr>
          <w:rFonts w:asciiTheme="minorHAnsi" w:hAnsiTheme="minorHAnsi"/>
          <w:sz w:val="22"/>
          <w:szCs w:val="22"/>
          <w:lang w:val="fr-CA"/>
        </w:rPr>
        <w:t>s</w:t>
      </w:r>
      <w:r>
        <w:rPr>
          <w:rFonts w:asciiTheme="minorHAnsi" w:hAnsiTheme="minorHAnsi"/>
          <w:sz w:val="22"/>
          <w:szCs w:val="22"/>
          <w:lang w:val="fr-CA"/>
        </w:rPr>
        <w:t xml:space="preserve"> rapport</w:t>
      </w:r>
      <w:r w:rsidR="00A0522A">
        <w:rPr>
          <w:rFonts w:asciiTheme="minorHAnsi" w:hAnsiTheme="minorHAnsi"/>
          <w:sz w:val="22"/>
          <w:szCs w:val="22"/>
          <w:lang w:val="fr-CA"/>
        </w:rPr>
        <w:t>s</w:t>
      </w:r>
      <w:r>
        <w:rPr>
          <w:rFonts w:asciiTheme="minorHAnsi" w:hAnsiTheme="minorHAnsi"/>
          <w:sz w:val="22"/>
          <w:szCs w:val="22"/>
          <w:lang w:val="fr-CA"/>
        </w:rPr>
        <w:t xml:space="preserve">, y compris les futurs systèmes en ligne; </w:t>
      </w:r>
    </w:p>
    <w:p w14:paraId="657E4CAA" w14:textId="48C379C9"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sz w:val="22"/>
          <w:szCs w:val="22"/>
          <w:lang w:val="fr-CA"/>
        </w:rPr>
        <w:t xml:space="preserve">les </w:t>
      </w:r>
      <w:r w:rsidR="00EB4809" w:rsidRPr="001466EF">
        <w:rPr>
          <w:rFonts w:asciiTheme="minorHAnsi" w:hAnsiTheme="minorHAnsi"/>
          <w:sz w:val="22"/>
          <w:szCs w:val="22"/>
          <w:lang w:val="fr-CA"/>
        </w:rPr>
        <w:t xml:space="preserve">contributions </w:t>
      </w:r>
      <w:r>
        <w:rPr>
          <w:rFonts w:asciiTheme="minorHAnsi" w:hAnsiTheme="minorHAnsi"/>
          <w:sz w:val="22"/>
          <w:szCs w:val="22"/>
          <w:lang w:val="fr-CA"/>
        </w:rPr>
        <w:t>des conventions relatives à la biodiversité et autres organisations aux Objectifs d’Aichi pour la biodiversité;</w:t>
      </w:r>
    </w:p>
    <w:p w14:paraId="54840F85" w14:textId="382F9E60" w:rsidR="001B1570"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sz w:val="22"/>
          <w:szCs w:val="22"/>
          <w:lang w:val="fr-CA"/>
        </w:rPr>
        <w:t xml:space="preserve">l’information et la </w:t>
      </w:r>
      <w:r w:rsidR="001A6258" w:rsidRPr="001466EF">
        <w:rPr>
          <w:rFonts w:asciiTheme="minorHAnsi" w:hAnsiTheme="minorHAnsi"/>
          <w:sz w:val="22"/>
          <w:szCs w:val="22"/>
          <w:lang w:val="fr-CA"/>
        </w:rPr>
        <w:t>communication</w:t>
      </w:r>
      <w:r w:rsidR="001B1570" w:rsidRPr="001466EF">
        <w:rPr>
          <w:rFonts w:asciiTheme="minorHAnsi" w:hAnsiTheme="minorHAnsi"/>
          <w:sz w:val="22"/>
          <w:szCs w:val="22"/>
          <w:lang w:val="fr-CA"/>
        </w:rPr>
        <w:t xml:space="preserve">; </w:t>
      </w:r>
      <w:r>
        <w:rPr>
          <w:rFonts w:asciiTheme="minorHAnsi" w:hAnsiTheme="minorHAnsi"/>
          <w:sz w:val="22"/>
          <w:szCs w:val="22"/>
          <w:lang w:val="fr-CA"/>
        </w:rPr>
        <w:t>et</w:t>
      </w:r>
    </w:p>
    <w:p w14:paraId="42AE9746" w14:textId="52E66BAB" w:rsidR="00EB4809" w:rsidRPr="001466EF" w:rsidRDefault="00AD6BE7" w:rsidP="001B1570">
      <w:pPr>
        <w:pStyle w:val="Default"/>
        <w:numPr>
          <w:ilvl w:val="1"/>
          <w:numId w:val="19"/>
        </w:numPr>
        <w:ind w:left="851" w:hanging="425"/>
        <w:rPr>
          <w:rFonts w:asciiTheme="minorHAnsi" w:hAnsiTheme="minorHAnsi"/>
          <w:sz w:val="22"/>
          <w:szCs w:val="22"/>
          <w:lang w:val="fr-CA"/>
        </w:rPr>
      </w:pPr>
      <w:r>
        <w:rPr>
          <w:rFonts w:asciiTheme="minorHAnsi" w:hAnsiTheme="minorHAnsi"/>
          <w:sz w:val="22"/>
          <w:szCs w:val="22"/>
          <w:lang w:val="fr-CA"/>
        </w:rPr>
        <w:t xml:space="preserve">la Décision </w:t>
      </w:r>
      <w:r w:rsidR="005E2530" w:rsidRPr="001466EF">
        <w:rPr>
          <w:rFonts w:asciiTheme="minorHAnsi" w:hAnsiTheme="minorHAnsi"/>
          <w:sz w:val="22"/>
          <w:szCs w:val="22"/>
          <w:lang w:val="fr-CA"/>
        </w:rPr>
        <w:t xml:space="preserve">XII/30 </w:t>
      </w:r>
      <w:r>
        <w:rPr>
          <w:rFonts w:asciiTheme="minorHAnsi" w:hAnsiTheme="minorHAnsi"/>
          <w:sz w:val="22"/>
          <w:szCs w:val="22"/>
          <w:lang w:val="fr-CA"/>
        </w:rPr>
        <w:t xml:space="preserve">de la CDB sur le mécanisme financier. </w:t>
      </w:r>
    </w:p>
    <w:p w14:paraId="1C8EEFE0" w14:textId="77777777" w:rsidR="00DC15A2" w:rsidRPr="001466EF" w:rsidRDefault="00DC15A2" w:rsidP="001B1570">
      <w:pPr>
        <w:rPr>
          <w:rFonts w:asciiTheme="minorHAnsi" w:eastAsiaTheme="minorHAnsi" w:hAnsiTheme="minorHAnsi" w:cs="Calibri"/>
          <w:color w:val="000000"/>
          <w:sz w:val="22"/>
          <w:szCs w:val="22"/>
          <w:lang w:val="fr-CA"/>
        </w:rPr>
      </w:pPr>
    </w:p>
    <w:p w14:paraId="5624455D" w14:textId="4511ADFA" w:rsidR="00196C03" w:rsidRPr="001466EF" w:rsidRDefault="00AD6BE7" w:rsidP="001B1570">
      <w:pPr>
        <w:pStyle w:val="ListParagraph"/>
        <w:numPr>
          <w:ilvl w:val="0"/>
          <w:numId w:val="19"/>
        </w:numPr>
        <w:autoSpaceDE w:val="0"/>
        <w:autoSpaceDN w:val="0"/>
        <w:adjustRightInd w:val="0"/>
        <w:ind w:left="426" w:hanging="426"/>
        <w:jc w:val="left"/>
        <w:rPr>
          <w:rFonts w:asciiTheme="minorHAnsi" w:hAnsiTheme="minorHAnsi"/>
          <w:b/>
          <w:lang w:val="fr-CA"/>
        </w:rPr>
      </w:pPr>
      <w:r>
        <w:rPr>
          <w:rFonts w:asciiTheme="minorHAnsi" w:eastAsiaTheme="minorHAnsi" w:hAnsiTheme="minorHAnsi" w:cs="Calibri"/>
          <w:color w:val="000000"/>
          <w:lang w:val="fr-CA"/>
        </w:rPr>
        <w:t xml:space="preserve">Le Secrétariat a aussi participé à l’Atelier sur les synergies entre les conventions relatives à la biodiversité, organisé par le Secrétariat de la CDB et le Groupe consultatif informel (GCI) qui a eu lieu du 8 au 11 février à Genève. Les Correspondants nationaux de sept conventions relatives à la biodiversité ont discuté des </w:t>
      </w:r>
      <w:r w:rsidR="00A0522A">
        <w:rPr>
          <w:rFonts w:asciiTheme="minorHAnsi" w:eastAsiaTheme="minorHAnsi" w:hAnsiTheme="minorHAnsi" w:cs="Calibri"/>
          <w:color w:val="000000"/>
          <w:lang w:val="fr-CA"/>
        </w:rPr>
        <w:t xml:space="preserve">différentes </w:t>
      </w:r>
      <w:r>
        <w:rPr>
          <w:rFonts w:asciiTheme="minorHAnsi" w:eastAsiaTheme="minorHAnsi" w:hAnsiTheme="minorHAnsi" w:cs="Calibri"/>
          <w:color w:val="000000"/>
          <w:lang w:val="fr-CA"/>
        </w:rPr>
        <w:t xml:space="preserve">options, y compris des éléments d’une feuille de route possible pour renforcer les synergies et </w:t>
      </w:r>
      <w:r w:rsidR="00A0522A">
        <w:rPr>
          <w:rFonts w:asciiTheme="minorHAnsi" w:eastAsiaTheme="minorHAnsi" w:hAnsiTheme="minorHAnsi" w:cs="Calibri"/>
          <w:color w:val="000000"/>
          <w:lang w:val="fr-CA"/>
        </w:rPr>
        <w:t>aider les</w:t>
      </w:r>
      <w:r>
        <w:rPr>
          <w:rFonts w:asciiTheme="minorHAnsi" w:eastAsiaTheme="minorHAnsi" w:hAnsiTheme="minorHAnsi" w:cs="Calibri"/>
          <w:color w:val="000000"/>
          <w:lang w:val="fr-CA"/>
        </w:rPr>
        <w:t xml:space="preserve"> conventions </w:t>
      </w:r>
      <w:r w:rsidR="00250F64">
        <w:rPr>
          <w:rFonts w:asciiTheme="minorHAnsi" w:eastAsiaTheme="minorHAnsi" w:hAnsiTheme="minorHAnsi" w:cs="Calibri"/>
          <w:color w:val="000000"/>
          <w:lang w:val="fr-CA"/>
        </w:rPr>
        <w:t>à remplir plus efficacement</w:t>
      </w:r>
      <w:r>
        <w:rPr>
          <w:rFonts w:asciiTheme="minorHAnsi" w:eastAsiaTheme="minorHAnsi" w:hAnsiTheme="minorHAnsi" w:cs="Calibri"/>
          <w:color w:val="000000"/>
          <w:lang w:val="fr-CA"/>
        </w:rPr>
        <w:t xml:space="preserve"> leurs mandats respectifs. Les conclusions et recommandations de l’atelier seront transmises à la première réunion de l’organe subsidiaire sur l’application de la CDB en mai 2016 afin qu’il puisse négocier un projet de décision pour examen par la COP à sa 13</w:t>
      </w:r>
      <w:r w:rsidRPr="00AD6BE7">
        <w:rPr>
          <w:rFonts w:asciiTheme="minorHAnsi" w:eastAsiaTheme="minorHAnsi" w:hAnsiTheme="minorHAnsi" w:cs="Calibri"/>
          <w:color w:val="000000"/>
          <w:vertAlign w:val="superscript"/>
          <w:lang w:val="fr-CA"/>
        </w:rPr>
        <w:t>e</w:t>
      </w:r>
      <w:r>
        <w:rPr>
          <w:rFonts w:asciiTheme="minorHAnsi" w:eastAsiaTheme="minorHAnsi" w:hAnsiTheme="minorHAnsi" w:cs="Calibri"/>
          <w:color w:val="000000"/>
          <w:lang w:val="fr-CA"/>
        </w:rPr>
        <w:t xml:space="preserve"> session, en décembre 2016. L’ordre du jour et les documents de la réunion sont disponibles sur le site web de la CDB à l’adresse : </w:t>
      </w:r>
      <w:hyperlink r:id="rId9" w:history="1">
        <w:r w:rsidR="00D0074C" w:rsidRPr="001466EF">
          <w:rPr>
            <w:rStyle w:val="Hyperlink"/>
            <w:rFonts w:asciiTheme="minorHAnsi" w:eastAsiaTheme="minorHAnsi" w:hAnsiTheme="minorHAnsi" w:cs="Calibri"/>
            <w:lang w:val="fr-CA"/>
          </w:rPr>
          <w:t>https://www.cbd.int/doc/?meeting=BRCWS-2016-01</w:t>
        </w:r>
      </w:hyperlink>
      <w:r w:rsidR="00D0074C" w:rsidRPr="001466EF">
        <w:rPr>
          <w:rFonts w:asciiTheme="minorHAnsi" w:eastAsiaTheme="minorHAnsi" w:hAnsiTheme="minorHAnsi" w:cs="Calibri"/>
          <w:color w:val="000000"/>
          <w:lang w:val="fr-CA"/>
        </w:rPr>
        <w:t xml:space="preserve">. </w:t>
      </w:r>
      <w:r w:rsidR="00CA789B" w:rsidRPr="001466EF">
        <w:rPr>
          <w:rFonts w:asciiTheme="minorHAnsi" w:hAnsiTheme="minorHAnsi"/>
          <w:lang w:val="fr-CA"/>
        </w:rPr>
        <w:t xml:space="preserve"> </w:t>
      </w:r>
    </w:p>
    <w:p w14:paraId="7A429999" w14:textId="77777777" w:rsidR="001B1570" w:rsidRPr="001466EF" w:rsidRDefault="001B1570" w:rsidP="001B1570">
      <w:pPr>
        <w:autoSpaceDE w:val="0"/>
        <w:autoSpaceDN w:val="0"/>
        <w:adjustRightInd w:val="0"/>
        <w:rPr>
          <w:rFonts w:asciiTheme="minorHAnsi" w:hAnsiTheme="minorHAnsi"/>
          <w:b/>
          <w:sz w:val="22"/>
          <w:szCs w:val="22"/>
          <w:lang w:val="fr-CA"/>
        </w:rPr>
      </w:pPr>
    </w:p>
    <w:p w14:paraId="647DB542" w14:textId="524C1EB8" w:rsidR="00CE31CC" w:rsidRPr="001466EF" w:rsidRDefault="00AD6BE7" w:rsidP="001B1570">
      <w:pPr>
        <w:autoSpaceDE w:val="0"/>
        <w:autoSpaceDN w:val="0"/>
        <w:adjustRightInd w:val="0"/>
        <w:rPr>
          <w:rFonts w:asciiTheme="minorHAnsi" w:hAnsiTheme="minorHAnsi"/>
          <w:b/>
          <w:sz w:val="22"/>
          <w:szCs w:val="22"/>
          <w:lang w:val="fr-CA"/>
        </w:rPr>
      </w:pPr>
      <w:r>
        <w:rPr>
          <w:rFonts w:asciiTheme="minorHAnsi" w:hAnsiTheme="minorHAnsi"/>
          <w:b/>
          <w:sz w:val="22"/>
          <w:szCs w:val="22"/>
          <w:lang w:val="fr-CA"/>
        </w:rPr>
        <w:t>Plateforme intergouvernementale</w:t>
      </w:r>
      <w:r w:rsidR="00250F64">
        <w:rPr>
          <w:rFonts w:asciiTheme="minorHAnsi" w:hAnsiTheme="minorHAnsi"/>
          <w:b/>
          <w:sz w:val="22"/>
          <w:szCs w:val="22"/>
          <w:lang w:val="fr-CA"/>
        </w:rPr>
        <w:t>, scientifique et politique,</w:t>
      </w:r>
      <w:r>
        <w:rPr>
          <w:rFonts w:asciiTheme="minorHAnsi" w:hAnsiTheme="minorHAnsi"/>
          <w:b/>
          <w:sz w:val="22"/>
          <w:szCs w:val="22"/>
          <w:lang w:val="fr-CA"/>
        </w:rPr>
        <w:t xml:space="preserve"> sur la biodiversité et les services écosystémiques </w:t>
      </w:r>
    </w:p>
    <w:p w14:paraId="680B7A8A" w14:textId="77777777" w:rsidR="001B1570" w:rsidRPr="001466EF" w:rsidRDefault="001B1570" w:rsidP="001B1570">
      <w:pPr>
        <w:autoSpaceDE w:val="0"/>
        <w:autoSpaceDN w:val="0"/>
        <w:adjustRightInd w:val="0"/>
        <w:rPr>
          <w:rFonts w:asciiTheme="minorHAnsi" w:eastAsiaTheme="minorHAnsi" w:hAnsiTheme="minorHAnsi" w:cs="Calibri-Bold"/>
          <w:b/>
          <w:bCs/>
          <w:sz w:val="22"/>
          <w:szCs w:val="22"/>
          <w:lang w:val="fr-CA" w:eastAsia="en-US"/>
        </w:rPr>
      </w:pPr>
    </w:p>
    <w:p w14:paraId="0A507D6C" w14:textId="6E18D8EF" w:rsidR="00991227" w:rsidRPr="001466EF" w:rsidRDefault="00AD6BE7" w:rsidP="001B1570">
      <w:pPr>
        <w:pStyle w:val="ListParagraph"/>
        <w:numPr>
          <w:ilvl w:val="0"/>
          <w:numId w:val="19"/>
        </w:numPr>
        <w:autoSpaceDE w:val="0"/>
        <w:autoSpaceDN w:val="0"/>
        <w:adjustRightInd w:val="0"/>
        <w:ind w:left="426" w:hanging="426"/>
        <w:jc w:val="left"/>
        <w:rPr>
          <w:rFonts w:asciiTheme="minorHAnsi" w:hAnsiTheme="minorHAnsi"/>
          <w:color w:val="000000"/>
          <w:lang w:val="fr-CA"/>
        </w:rPr>
      </w:pPr>
      <w:r>
        <w:rPr>
          <w:rFonts w:asciiTheme="minorHAnsi" w:hAnsiTheme="minorHAnsi"/>
          <w:lang w:val="fr-CA"/>
        </w:rPr>
        <w:t xml:space="preserve">Le GEST reste pleinement engagé auprès de l’IPBES. Le Président du GEST </w:t>
      </w:r>
      <w:r w:rsidR="00250F64">
        <w:rPr>
          <w:rFonts w:asciiTheme="minorHAnsi" w:hAnsiTheme="minorHAnsi"/>
          <w:lang w:val="fr-CA"/>
        </w:rPr>
        <w:t>a le statut d’</w:t>
      </w:r>
      <w:r>
        <w:rPr>
          <w:rFonts w:asciiTheme="minorHAnsi" w:hAnsiTheme="minorHAnsi"/>
          <w:lang w:val="fr-CA"/>
        </w:rPr>
        <w:t xml:space="preserve">observateur au Groupe d’experts multidisciplinaire (GEM) de l’IPBES et a participé à </w:t>
      </w:r>
      <w:r w:rsidR="00250F64">
        <w:rPr>
          <w:rFonts w:asciiTheme="minorHAnsi" w:hAnsiTheme="minorHAnsi"/>
          <w:lang w:val="fr-CA"/>
        </w:rPr>
        <w:t>s</w:t>
      </w:r>
      <w:r>
        <w:rPr>
          <w:rFonts w:asciiTheme="minorHAnsi" w:hAnsiTheme="minorHAnsi"/>
          <w:lang w:val="fr-CA"/>
        </w:rPr>
        <w:t>a 4</w:t>
      </w:r>
      <w:r w:rsidRPr="00AD6BE7">
        <w:rPr>
          <w:rFonts w:asciiTheme="minorHAnsi" w:hAnsiTheme="minorHAnsi"/>
          <w:vertAlign w:val="superscript"/>
          <w:lang w:val="fr-CA"/>
        </w:rPr>
        <w:t>e</w:t>
      </w:r>
      <w:r>
        <w:rPr>
          <w:rFonts w:asciiTheme="minorHAnsi" w:hAnsiTheme="minorHAnsi"/>
          <w:lang w:val="fr-CA"/>
        </w:rPr>
        <w:t xml:space="preserve"> session </w:t>
      </w:r>
      <w:r w:rsidR="00F7392D" w:rsidRPr="001466EF">
        <w:rPr>
          <w:rFonts w:asciiTheme="minorHAnsi" w:hAnsiTheme="minorHAnsi"/>
          <w:lang w:val="fr-CA"/>
        </w:rPr>
        <w:t>(</w:t>
      </w:r>
      <w:r w:rsidR="00CE31CC" w:rsidRPr="001466EF">
        <w:rPr>
          <w:rFonts w:asciiTheme="minorHAnsi" w:hAnsiTheme="minorHAnsi"/>
          <w:lang w:val="fr-CA"/>
        </w:rPr>
        <w:t>IPBES</w:t>
      </w:r>
      <w:r w:rsidR="00CE31CC" w:rsidRPr="001466EF">
        <w:rPr>
          <w:rFonts w:asciiTheme="minorHAnsi" w:hAnsiTheme="minorHAnsi" w:cs="Cambria Math"/>
          <w:lang w:val="fr-CA"/>
        </w:rPr>
        <w:t>‐</w:t>
      </w:r>
      <w:r w:rsidR="0099484B" w:rsidRPr="001466EF">
        <w:rPr>
          <w:rFonts w:asciiTheme="minorHAnsi" w:hAnsiTheme="minorHAnsi" w:cs="Cambria Math"/>
          <w:lang w:val="fr-CA"/>
        </w:rPr>
        <w:t>4</w:t>
      </w:r>
      <w:r w:rsidR="00F7392D" w:rsidRPr="001466EF">
        <w:rPr>
          <w:rFonts w:asciiTheme="minorHAnsi" w:hAnsiTheme="minorHAnsi" w:cs="Cambria Math"/>
          <w:lang w:val="fr-CA"/>
        </w:rPr>
        <w:t>)</w:t>
      </w:r>
      <w:r w:rsidR="00CE31CC" w:rsidRPr="001466EF">
        <w:rPr>
          <w:rFonts w:asciiTheme="minorHAnsi" w:hAnsiTheme="minorHAnsi"/>
          <w:lang w:val="fr-CA"/>
        </w:rPr>
        <w:t>.</w:t>
      </w:r>
      <w:r w:rsidR="002A65F4" w:rsidRPr="001466EF">
        <w:rPr>
          <w:rFonts w:asciiTheme="minorHAnsi" w:hAnsiTheme="minorHAnsi"/>
          <w:lang w:val="fr-CA"/>
        </w:rPr>
        <w:t xml:space="preserve"> </w:t>
      </w:r>
      <w:r w:rsidR="008C62CF">
        <w:rPr>
          <w:rFonts w:asciiTheme="minorHAnsi" w:hAnsiTheme="minorHAnsi"/>
          <w:lang w:val="fr-CA"/>
        </w:rPr>
        <w:t>Surtout, l’</w:t>
      </w:r>
      <w:r w:rsidR="00991227" w:rsidRPr="001466EF">
        <w:rPr>
          <w:rFonts w:asciiTheme="minorHAnsi" w:hAnsiTheme="minorHAnsi"/>
          <w:color w:val="000000"/>
          <w:lang w:val="fr-CA"/>
        </w:rPr>
        <w:t xml:space="preserve">IPBES </w:t>
      </w:r>
      <w:r w:rsidR="008C62CF">
        <w:rPr>
          <w:rFonts w:asciiTheme="minorHAnsi" w:hAnsiTheme="minorHAnsi"/>
          <w:color w:val="000000"/>
          <w:lang w:val="fr-CA"/>
        </w:rPr>
        <w:t xml:space="preserve">a publié sa première évaluation thématique </w:t>
      </w:r>
      <w:r w:rsidR="00250F64">
        <w:rPr>
          <w:rFonts w:asciiTheme="minorHAnsi" w:hAnsiTheme="minorHAnsi"/>
          <w:color w:val="000000"/>
          <w:lang w:val="fr-CA"/>
        </w:rPr>
        <w:t>accélérée</w:t>
      </w:r>
      <w:r w:rsidR="008C62CF">
        <w:rPr>
          <w:rFonts w:asciiTheme="minorHAnsi" w:hAnsiTheme="minorHAnsi"/>
          <w:color w:val="000000"/>
          <w:lang w:val="fr-CA"/>
        </w:rPr>
        <w:t xml:space="preserve"> et axée sur les pollinisateurs, la pollinisation et la production alimentaire. L’</w:t>
      </w:r>
      <w:r w:rsidR="00991227" w:rsidRPr="001466EF">
        <w:rPr>
          <w:rFonts w:asciiTheme="minorHAnsi" w:hAnsiTheme="minorHAnsi"/>
          <w:color w:val="000000"/>
          <w:lang w:val="fr-CA"/>
        </w:rPr>
        <w:t xml:space="preserve">IPBES-4 </w:t>
      </w:r>
      <w:r w:rsidR="00716694">
        <w:rPr>
          <w:rFonts w:asciiTheme="minorHAnsi" w:hAnsiTheme="minorHAnsi"/>
          <w:color w:val="000000"/>
          <w:lang w:val="fr-CA"/>
        </w:rPr>
        <w:t>s’</w:t>
      </w:r>
      <w:r w:rsidR="008C62CF">
        <w:rPr>
          <w:rFonts w:asciiTheme="minorHAnsi" w:hAnsiTheme="minorHAnsi"/>
          <w:color w:val="000000"/>
          <w:lang w:val="fr-CA"/>
        </w:rPr>
        <w:t xml:space="preserve">est félicitée </w:t>
      </w:r>
      <w:r w:rsidR="008C62CF">
        <w:rPr>
          <w:rFonts w:asciiTheme="minorHAnsi" w:hAnsiTheme="minorHAnsi"/>
          <w:color w:val="000000"/>
          <w:lang w:val="fr-CA"/>
        </w:rPr>
        <w:lastRenderedPageBreak/>
        <w:t>des progrès réalisés par l’évaluation de la dégradation et de la restauration des sols qui devrait être examinée à l’IPBES-6 e</w:t>
      </w:r>
      <w:r w:rsidR="00991227" w:rsidRPr="001466EF">
        <w:rPr>
          <w:rFonts w:asciiTheme="minorHAnsi" w:hAnsiTheme="minorHAnsi"/>
          <w:color w:val="000000"/>
          <w:lang w:val="fr-CA"/>
        </w:rPr>
        <w:t>n</w:t>
      </w:r>
      <w:r w:rsidR="008C62CF">
        <w:rPr>
          <w:rFonts w:asciiTheme="minorHAnsi" w:hAnsiTheme="minorHAnsi"/>
          <w:color w:val="000000"/>
          <w:lang w:val="fr-CA"/>
        </w:rPr>
        <w:t> </w:t>
      </w:r>
      <w:r w:rsidR="00991227" w:rsidRPr="001466EF">
        <w:rPr>
          <w:rFonts w:asciiTheme="minorHAnsi" w:hAnsiTheme="minorHAnsi"/>
          <w:color w:val="000000"/>
          <w:lang w:val="fr-CA"/>
        </w:rPr>
        <w:t xml:space="preserve">2018. </w:t>
      </w:r>
      <w:r w:rsidR="008C62CF">
        <w:rPr>
          <w:rFonts w:asciiTheme="minorHAnsi" w:hAnsiTheme="minorHAnsi"/>
          <w:color w:val="000000"/>
          <w:lang w:val="fr-CA"/>
        </w:rPr>
        <w:t>Le rapport de délimitation du champ</w:t>
      </w:r>
      <w:r w:rsidR="00250F64">
        <w:rPr>
          <w:rFonts w:asciiTheme="minorHAnsi" w:hAnsiTheme="minorHAnsi"/>
          <w:color w:val="000000"/>
          <w:lang w:val="fr-CA"/>
        </w:rPr>
        <w:t>,</w:t>
      </w:r>
      <w:r w:rsidR="008C62CF">
        <w:rPr>
          <w:rFonts w:asciiTheme="minorHAnsi" w:hAnsiTheme="minorHAnsi"/>
          <w:color w:val="000000"/>
          <w:lang w:val="fr-CA"/>
        </w:rPr>
        <w:t xml:space="preserve"> pour l’évaluation sur les espèces exotiques envahissantes et leur contrôle</w:t>
      </w:r>
      <w:r w:rsidR="00250F64">
        <w:rPr>
          <w:rFonts w:asciiTheme="minorHAnsi" w:hAnsiTheme="minorHAnsi"/>
          <w:color w:val="000000"/>
          <w:lang w:val="fr-CA"/>
        </w:rPr>
        <w:t>,</w:t>
      </w:r>
      <w:r w:rsidR="008C62CF">
        <w:rPr>
          <w:rFonts w:asciiTheme="minorHAnsi" w:hAnsiTheme="minorHAnsi"/>
          <w:color w:val="000000"/>
          <w:lang w:val="fr-CA"/>
        </w:rPr>
        <w:t xml:space="preserve"> a été approuvé mais la décision d’entreprendre cette évaluation </w:t>
      </w:r>
      <w:r w:rsidR="00250F64">
        <w:rPr>
          <w:rFonts w:asciiTheme="minorHAnsi" w:hAnsiTheme="minorHAnsi"/>
          <w:color w:val="000000"/>
          <w:lang w:val="fr-CA"/>
        </w:rPr>
        <w:t>sera prise</w:t>
      </w:r>
      <w:r w:rsidR="008C62CF">
        <w:rPr>
          <w:rFonts w:asciiTheme="minorHAnsi" w:hAnsiTheme="minorHAnsi"/>
          <w:color w:val="000000"/>
          <w:lang w:val="fr-CA"/>
        </w:rPr>
        <w:t xml:space="preserve"> à l’</w:t>
      </w:r>
      <w:r w:rsidR="00991227" w:rsidRPr="001466EF">
        <w:rPr>
          <w:rFonts w:asciiTheme="minorHAnsi" w:hAnsiTheme="minorHAnsi"/>
          <w:color w:val="000000"/>
          <w:lang w:val="fr-CA"/>
        </w:rPr>
        <w:t>IPBES-5</w:t>
      </w:r>
      <w:r w:rsidR="008C62CF">
        <w:rPr>
          <w:rFonts w:asciiTheme="minorHAnsi" w:hAnsiTheme="minorHAnsi"/>
          <w:color w:val="000000"/>
          <w:lang w:val="fr-CA"/>
        </w:rPr>
        <w:t>, e</w:t>
      </w:r>
      <w:r w:rsidR="00991227" w:rsidRPr="001466EF">
        <w:rPr>
          <w:rFonts w:asciiTheme="minorHAnsi" w:hAnsiTheme="minorHAnsi"/>
          <w:color w:val="000000"/>
          <w:lang w:val="fr-CA"/>
        </w:rPr>
        <w:t xml:space="preserve">n 2017. </w:t>
      </w:r>
      <w:r w:rsidR="008C62CF">
        <w:rPr>
          <w:rFonts w:asciiTheme="minorHAnsi" w:hAnsiTheme="minorHAnsi"/>
          <w:color w:val="000000"/>
          <w:lang w:val="fr-CA"/>
        </w:rPr>
        <w:t>De même, un rapport de délimitation du champ</w:t>
      </w:r>
      <w:r w:rsidR="00250F64">
        <w:rPr>
          <w:rFonts w:asciiTheme="minorHAnsi" w:hAnsiTheme="minorHAnsi"/>
          <w:color w:val="000000"/>
          <w:lang w:val="fr-CA"/>
        </w:rPr>
        <w:t>,</w:t>
      </w:r>
      <w:r w:rsidR="008C62CF">
        <w:rPr>
          <w:rFonts w:asciiTheme="minorHAnsi" w:hAnsiTheme="minorHAnsi"/>
          <w:color w:val="000000"/>
          <w:lang w:val="fr-CA"/>
        </w:rPr>
        <w:t xml:space="preserve"> révisé</w:t>
      </w:r>
      <w:r w:rsidR="00250F64">
        <w:rPr>
          <w:rFonts w:asciiTheme="minorHAnsi" w:hAnsiTheme="minorHAnsi"/>
          <w:color w:val="000000"/>
          <w:lang w:val="fr-CA"/>
        </w:rPr>
        <w:t>,</w:t>
      </w:r>
      <w:r w:rsidR="008C62CF">
        <w:rPr>
          <w:rFonts w:asciiTheme="minorHAnsi" w:hAnsiTheme="minorHAnsi"/>
          <w:color w:val="000000"/>
          <w:lang w:val="fr-CA"/>
        </w:rPr>
        <w:t xml:space="preserve"> pour l’évaluation sur l’utilisation durable et la biodiversité sera examiné à l’</w:t>
      </w:r>
      <w:r w:rsidR="00991227" w:rsidRPr="001466EF">
        <w:rPr>
          <w:rFonts w:asciiTheme="minorHAnsi" w:hAnsiTheme="minorHAnsi"/>
          <w:color w:val="000000"/>
          <w:lang w:val="fr-CA"/>
        </w:rPr>
        <w:t xml:space="preserve">IBPES-5. </w:t>
      </w:r>
    </w:p>
    <w:p w14:paraId="1B68F8FF" w14:textId="77777777" w:rsidR="001B1570" w:rsidRPr="001466EF" w:rsidRDefault="001B1570" w:rsidP="001B1570">
      <w:pPr>
        <w:autoSpaceDE w:val="0"/>
        <w:autoSpaceDN w:val="0"/>
        <w:adjustRightInd w:val="0"/>
        <w:rPr>
          <w:rFonts w:asciiTheme="minorHAnsi" w:hAnsiTheme="minorHAnsi"/>
          <w:b/>
          <w:bCs/>
          <w:sz w:val="22"/>
          <w:szCs w:val="22"/>
          <w:lang w:val="fr-CA"/>
        </w:rPr>
      </w:pPr>
    </w:p>
    <w:p w14:paraId="6B25C104" w14:textId="4DC15219" w:rsidR="00C442D4" w:rsidRPr="001466EF" w:rsidRDefault="008C62CF" w:rsidP="001B1570">
      <w:pPr>
        <w:autoSpaceDE w:val="0"/>
        <w:autoSpaceDN w:val="0"/>
        <w:adjustRightInd w:val="0"/>
        <w:rPr>
          <w:rFonts w:asciiTheme="minorHAnsi" w:hAnsiTheme="minorHAnsi"/>
          <w:b/>
          <w:bCs/>
          <w:sz w:val="22"/>
          <w:szCs w:val="22"/>
          <w:lang w:val="fr-CA"/>
        </w:rPr>
      </w:pPr>
      <w:r>
        <w:rPr>
          <w:rFonts w:asciiTheme="minorHAnsi" w:hAnsiTheme="minorHAnsi"/>
          <w:b/>
          <w:bCs/>
          <w:sz w:val="22"/>
          <w:szCs w:val="22"/>
          <w:lang w:val="fr-CA"/>
        </w:rPr>
        <w:t xml:space="preserve">Mesures de renforcement de la coopération avec le Programme des Nations Unies pour l’environnement et d’autres institutions internationales </w:t>
      </w:r>
      <w:r w:rsidR="002A65F4" w:rsidRPr="001466EF">
        <w:rPr>
          <w:rFonts w:asciiTheme="minorHAnsi" w:hAnsiTheme="minorHAnsi"/>
          <w:b/>
          <w:bCs/>
          <w:sz w:val="22"/>
          <w:szCs w:val="22"/>
          <w:lang w:val="fr-CA"/>
        </w:rPr>
        <w:t xml:space="preserve"> </w:t>
      </w:r>
    </w:p>
    <w:p w14:paraId="226AB310" w14:textId="77777777" w:rsidR="00912820" w:rsidRPr="001466EF" w:rsidRDefault="00912820" w:rsidP="001B1570">
      <w:pPr>
        <w:autoSpaceDE w:val="0"/>
        <w:autoSpaceDN w:val="0"/>
        <w:adjustRightInd w:val="0"/>
        <w:rPr>
          <w:rFonts w:asciiTheme="minorHAnsi" w:eastAsiaTheme="minorHAnsi" w:hAnsiTheme="minorHAnsi" w:cs="Calibri"/>
          <w:color w:val="000000"/>
          <w:sz w:val="22"/>
          <w:szCs w:val="22"/>
          <w:lang w:val="fr-CA" w:eastAsia="en-US"/>
        </w:rPr>
      </w:pPr>
    </w:p>
    <w:p w14:paraId="726422FC" w14:textId="727DE6C6" w:rsidR="00912820" w:rsidRPr="001466EF" w:rsidRDefault="008C62CF" w:rsidP="001B1570">
      <w:pPr>
        <w:pStyle w:val="ListParagraph"/>
        <w:numPr>
          <w:ilvl w:val="0"/>
          <w:numId w:val="19"/>
        </w:numPr>
        <w:autoSpaceDE w:val="0"/>
        <w:autoSpaceDN w:val="0"/>
        <w:adjustRightInd w:val="0"/>
        <w:ind w:left="426" w:hanging="426"/>
        <w:jc w:val="left"/>
        <w:rPr>
          <w:rFonts w:asciiTheme="minorHAnsi" w:eastAsiaTheme="minorHAnsi" w:hAnsiTheme="minorHAnsi" w:cs="Calibri"/>
          <w:color w:val="000000"/>
          <w:lang w:val="fr-CA"/>
        </w:rPr>
      </w:pPr>
      <w:r>
        <w:rPr>
          <w:rFonts w:asciiTheme="minorHAnsi" w:eastAsiaTheme="minorHAnsi" w:hAnsiTheme="minorHAnsi" w:cs="Calibri"/>
          <w:color w:val="000000"/>
          <w:lang w:val="fr-CA"/>
        </w:rPr>
        <w:t xml:space="preserve">Comme noté dans </w:t>
      </w:r>
      <w:r w:rsidR="00250F64">
        <w:rPr>
          <w:rFonts w:asciiTheme="minorHAnsi" w:eastAsiaTheme="minorHAnsi" w:hAnsiTheme="minorHAnsi" w:cs="Calibri"/>
          <w:color w:val="000000"/>
          <w:lang w:val="fr-CA"/>
        </w:rPr>
        <w:t>s</w:t>
      </w:r>
      <w:r>
        <w:rPr>
          <w:rFonts w:asciiTheme="minorHAnsi" w:eastAsiaTheme="minorHAnsi" w:hAnsiTheme="minorHAnsi" w:cs="Calibri"/>
          <w:color w:val="000000"/>
          <w:lang w:val="fr-CA"/>
        </w:rPr>
        <w:t xml:space="preserve">es rapports précédents au Comité permanent, le Secrétariat poursuit ses travaux en vue de renforcer la collaboration avec le PNUD, l’UNESCO, la </w:t>
      </w:r>
      <w:r w:rsidR="000F5647">
        <w:rPr>
          <w:rFonts w:asciiTheme="minorHAnsi" w:eastAsiaTheme="minorHAnsi" w:hAnsiTheme="minorHAnsi" w:cs="Calibri"/>
          <w:color w:val="000000"/>
          <w:lang w:val="fr-CA"/>
        </w:rPr>
        <w:t>Commission économique des Nations Unies pour l’Europe (</w:t>
      </w:r>
      <w:r>
        <w:rPr>
          <w:rFonts w:asciiTheme="minorHAnsi" w:eastAsiaTheme="minorHAnsi" w:hAnsiTheme="minorHAnsi" w:cs="Calibri"/>
          <w:color w:val="000000"/>
          <w:lang w:val="fr-CA"/>
        </w:rPr>
        <w:t>CEE</w:t>
      </w:r>
      <w:r>
        <w:rPr>
          <w:rFonts w:asciiTheme="minorHAnsi" w:eastAsiaTheme="minorHAnsi" w:hAnsiTheme="minorHAnsi" w:cs="Calibri"/>
          <w:color w:val="000000"/>
          <w:lang w:val="fr-CA"/>
        </w:rPr>
        <w:noBreakHyphen/>
        <w:t>ONU</w:t>
      </w:r>
      <w:r w:rsidR="000F5647">
        <w:rPr>
          <w:rFonts w:asciiTheme="minorHAnsi" w:eastAsiaTheme="minorHAnsi" w:hAnsiTheme="minorHAnsi" w:cs="Calibri"/>
          <w:color w:val="000000"/>
          <w:lang w:val="fr-CA"/>
        </w:rPr>
        <w:t>)</w:t>
      </w:r>
      <w:r>
        <w:rPr>
          <w:rFonts w:asciiTheme="minorHAnsi" w:eastAsiaTheme="minorHAnsi" w:hAnsiTheme="minorHAnsi" w:cs="Calibri"/>
          <w:color w:val="000000"/>
          <w:lang w:val="fr-CA"/>
        </w:rPr>
        <w:t>, la Banque mondiale, l’OMS, l’OMM, etc.</w:t>
      </w:r>
      <w:r w:rsidR="002A65F4" w:rsidRPr="001466EF">
        <w:rPr>
          <w:rFonts w:asciiTheme="minorHAnsi" w:eastAsiaTheme="minorHAnsi" w:hAnsiTheme="minorHAnsi" w:cs="Calibri"/>
          <w:color w:val="000000"/>
          <w:lang w:val="fr-CA"/>
        </w:rPr>
        <w:t xml:space="preserve"> </w:t>
      </w:r>
    </w:p>
    <w:p w14:paraId="069F03E7" w14:textId="77777777" w:rsidR="00C863DD" w:rsidRPr="001466EF" w:rsidRDefault="00C863DD" w:rsidP="001B1570">
      <w:pPr>
        <w:autoSpaceDE w:val="0"/>
        <w:autoSpaceDN w:val="0"/>
        <w:adjustRightInd w:val="0"/>
        <w:rPr>
          <w:rFonts w:asciiTheme="minorHAnsi" w:hAnsiTheme="minorHAnsi"/>
          <w:color w:val="000000"/>
          <w:sz w:val="22"/>
          <w:szCs w:val="22"/>
          <w:lang w:val="fr-CA"/>
        </w:rPr>
      </w:pPr>
    </w:p>
    <w:p w14:paraId="33F35DAB" w14:textId="5AF03E7D" w:rsidR="00B80AB7" w:rsidRPr="001466EF" w:rsidRDefault="008C62CF" w:rsidP="006D759D">
      <w:pPr>
        <w:pStyle w:val="ListParagraph"/>
        <w:numPr>
          <w:ilvl w:val="0"/>
          <w:numId w:val="19"/>
        </w:numPr>
        <w:autoSpaceDE w:val="0"/>
        <w:autoSpaceDN w:val="0"/>
        <w:adjustRightInd w:val="0"/>
        <w:ind w:left="450" w:hanging="450"/>
        <w:jc w:val="left"/>
        <w:rPr>
          <w:rFonts w:asciiTheme="minorHAnsi" w:hAnsiTheme="minorHAnsi"/>
          <w:color w:val="000000"/>
          <w:lang w:val="fr-CA"/>
        </w:rPr>
      </w:pPr>
      <w:r>
        <w:rPr>
          <w:rFonts w:asciiTheme="minorHAnsi" w:hAnsiTheme="minorHAnsi"/>
          <w:color w:val="000000"/>
          <w:lang w:val="fr-CA"/>
        </w:rPr>
        <w:t xml:space="preserve">Le mémorandum d’accord avec le PNUE figure </w:t>
      </w:r>
      <w:r w:rsidR="006440F0">
        <w:rPr>
          <w:rFonts w:asciiTheme="minorHAnsi" w:hAnsiTheme="minorHAnsi"/>
          <w:color w:val="000000"/>
          <w:lang w:val="fr-CA"/>
        </w:rPr>
        <w:t xml:space="preserve">en annexe au document </w:t>
      </w:r>
      <w:r w:rsidR="00B80AB7" w:rsidRPr="001466EF">
        <w:rPr>
          <w:rFonts w:asciiTheme="minorHAnsi" w:hAnsiTheme="minorHAnsi"/>
          <w:color w:val="000000"/>
          <w:lang w:val="fr-CA"/>
        </w:rPr>
        <w:t>SC52-</w:t>
      </w:r>
      <w:r w:rsidR="00F7392D" w:rsidRPr="001466EF">
        <w:rPr>
          <w:rFonts w:asciiTheme="minorHAnsi" w:hAnsiTheme="minorHAnsi"/>
          <w:color w:val="000000"/>
          <w:lang w:val="fr-CA"/>
        </w:rPr>
        <w:t>16</w:t>
      </w:r>
      <w:r w:rsidR="00B80AB7" w:rsidRPr="001466EF">
        <w:rPr>
          <w:rFonts w:asciiTheme="minorHAnsi" w:hAnsiTheme="minorHAnsi"/>
          <w:color w:val="000000"/>
          <w:lang w:val="fr-CA"/>
        </w:rPr>
        <w:t xml:space="preserve"> </w:t>
      </w:r>
      <w:r w:rsidR="006D759D" w:rsidRPr="001466EF">
        <w:rPr>
          <w:rFonts w:asciiTheme="minorHAnsi" w:hAnsiTheme="minorHAnsi"/>
          <w:i/>
          <w:color w:val="000000"/>
          <w:lang w:val="fr-CA"/>
        </w:rPr>
        <w:t>Mise à jour sur les accords officiels et plans de travail conjoints entre la Convention de Ramsar et ses partenaires</w:t>
      </w:r>
      <w:r w:rsidR="006440F0">
        <w:rPr>
          <w:rFonts w:asciiTheme="minorHAnsi" w:hAnsiTheme="minorHAnsi"/>
          <w:color w:val="000000"/>
          <w:lang w:val="fr-CA"/>
        </w:rPr>
        <w:t>, présenté à la 52</w:t>
      </w:r>
      <w:r w:rsidR="006440F0" w:rsidRPr="006440F0">
        <w:rPr>
          <w:rFonts w:asciiTheme="minorHAnsi" w:hAnsiTheme="minorHAnsi"/>
          <w:color w:val="000000"/>
          <w:vertAlign w:val="superscript"/>
          <w:lang w:val="fr-CA"/>
        </w:rPr>
        <w:t>e</w:t>
      </w:r>
      <w:r w:rsidR="006440F0">
        <w:rPr>
          <w:rFonts w:asciiTheme="minorHAnsi" w:hAnsiTheme="minorHAnsi"/>
          <w:color w:val="000000"/>
          <w:lang w:val="fr-CA"/>
        </w:rPr>
        <w:t> Réunion du Comité permanent pour approbation</w:t>
      </w:r>
      <w:r w:rsidR="00B80AB7" w:rsidRPr="001466EF">
        <w:rPr>
          <w:rFonts w:asciiTheme="minorHAnsi" w:hAnsiTheme="minorHAnsi"/>
          <w:color w:val="000000"/>
          <w:lang w:val="fr-CA"/>
        </w:rPr>
        <w:t>.</w:t>
      </w:r>
      <w:r w:rsidR="00B80AB7" w:rsidRPr="001466EF" w:rsidDel="00B80AB7">
        <w:rPr>
          <w:rFonts w:asciiTheme="minorHAnsi" w:hAnsiTheme="minorHAnsi"/>
          <w:color w:val="000000"/>
          <w:lang w:val="fr-CA"/>
        </w:rPr>
        <w:t xml:space="preserve"> </w:t>
      </w:r>
    </w:p>
    <w:p w14:paraId="571AB416" w14:textId="77777777" w:rsidR="00376DDC" w:rsidRPr="001466EF" w:rsidRDefault="00376DDC" w:rsidP="001B1570">
      <w:pPr>
        <w:autoSpaceDE w:val="0"/>
        <w:autoSpaceDN w:val="0"/>
        <w:adjustRightInd w:val="0"/>
        <w:ind w:left="426" w:hanging="426"/>
        <w:rPr>
          <w:rFonts w:asciiTheme="minorHAnsi" w:hAnsiTheme="minorHAnsi"/>
          <w:sz w:val="22"/>
          <w:szCs w:val="22"/>
          <w:lang w:val="fr-CA"/>
        </w:rPr>
      </w:pPr>
    </w:p>
    <w:p w14:paraId="3D0A3A8D" w14:textId="3E8315F7" w:rsidR="00C863DD" w:rsidRPr="001466EF" w:rsidRDefault="006440F0" w:rsidP="001B1570">
      <w:pPr>
        <w:pStyle w:val="Footer"/>
        <w:numPr>
          <w:ilvl w:val="0"/>
          <w:numId w:val="19"/>
        </w:numPr>
        <w:tabs>
          <w:tab w:val="clear" w:pos="4680"/>
          <w:tab w:val="clear" w:pos="9360"/>
        </w:tabs>
        <w:autoSpaceDE w:val="0"/>
        <w:autoSpaceDN w:val="0"/>
        <w:adjustRightInd w:val="0"/>
        <w:ind w:left="426" w:hanging="426"/>
        <w:rPr>
          <w:rFonts w:asciiTheme="minorHAnsi" w:eastAsiaTheme="minorHAnsi" w:hAnsiTheme="minorHAnsi" w:cs="Calibri"/>
          <w:color w:val="000000"/>
          <w:sz w:val="22"/>
          <w:szCs w:val="22"/>
          <w:lang w:val="fr-CA" w:eastAsia="en-US"/>
        </w:rPr>
      </w:pPr>
      <w:r>
        <w:rPr>
          <w:rFonts w:asciiTheme="minorHAnsi" w:hAnsiTheme="minorHAnsi" w:cs="Calibri"/>
          <w:sz w:val="22"/>
          <w:szCs w:val="22"/>
          <w:lang w:val="fr-CA"/>
        </w:rPr>
        <w:t>Le Secrétariat continue de collaborer avec le PNUE</w:t>
      </w:r>
      <w:r>
        <w:rPr>
          <w:rFonts w:asciiTheme="minorHAnsi" w:hAnsiTheme="minorHAnsi" w:cs="Calibri"/>
          <w:sz w:val="22"/>
          <w:szCs w:val="22"/>
          <w:lang w:val="fr-CA"/>
        </w:rPr>
        <w:noBreakHyphen/>
        <w:t xml:space="preserve">GRID afin d’affiner le nouveau Service d’information sur les Sites Ramsar </w:t>
      </w:r>
      <w:r w:rsidR="00376DDC" w:rsidRPr="001466EF">
        <w:rPr>
          <w:rFonts w:asciiTheme="minorHAnsi" w:hAnsiTheme="minorHAnsi" w:cs="Calibri"/>
          <w:sz w:val="22"/>
          <w:szCs w:val="22"/>
          <w:lang w:val="fr-CA"/>
        </w:rPr>
        <w:t>(R</w:t>
      </w:r>
      <w:r>
        <w:rPr>
          <w:rFonts w:asciiTheme="minorHAnsi" w:hAnsiTheme="minorHAnsi" w:cs="Calibri"/>
          <w:sz w:val="22"/>
          <w:szCs w:val="22"/>
          <w:lang w:val="fr-CA"/>
        </w:rPr>
        <w:t>ISR</w:t>
      </w:r>
      <w:r w:rsidR="00376DDC" w:rsidRPr="001466EF">
        <w:rPr>
          <w:rFonts w:asciiTheme="minorHAnsi" w:hAnsiTheme="minorHAnsi" w:cs="Calibri"/>
          <w:sz w:val="22"/>
          <w:szCs w:val="22"/>
          <w:lang w:val="fr-CA"/>
        </w:rPr>
        <w:t>)</w:t>
      </w:r>
      <w:r>
        <w:rPr>
          <w:rFonts w:asciiTheme="minorHAnsi" w:hAnsiTheme="minorHAnsi" w:cs="Calibri"/>
          <w:sz w:val="22"/>
          <w:szCs w:val="22"/>
          <w:lang w:val="fr-CA"/>
        </w:rPr>
        <w:t>, ainsi qu</w:t>
      </w:r>
      <w:r w:rsidR="002C6A41">
        <w:rPr>
          <w:rFonts w:asciiTheme="minorHAnsi" w:hAnsiTheme="minorHAnsi" w:cs="Calibri"/>
          <w:sz w:val="22"/>
          <w:szCs w:val="22"/>
          <w:lang w:val="fr-CA"/>
        </w:rPr>
        <w:t>e le</w:t>
      </w:r>
      <w:r>
        <w:rPr>
          <w:rFonts w:asciiTheme="minorHAnsi" w:hAnsiTheme="minorHAnsi" w:cs="Calibri"/>
          <w:sz w:val="22"/>
          <w:szCs w:val="22"/>
          <w:lang w:val="fr-CA"/>
        </w:rPr>
        <w:t xml:space="preserve"> nouveau projet </w:t>
      </w:r>
      <w:r w:rsidR="002C6A41" w:rsidRPr="001466EF">
        <w:rPr>
          <w:rFonts w:asciiTheme="minorHAnsi" w:hAnsiTheme="minorHAnsi" w:cs="Calibri"/>
          <w:sz w:val="22"/>
          <w:szCs w:val="22"/>
          <w:lang w:val="fr-CA"/>
        </w:rPr>
        <w:t>LiMES</w:t>
      </w:r>
      <w:r>
        <w:rPr>
          <w:rFonts w:asciiTheme="minorHAnsi" w:hAnsiTheme="minorHAnsi" w:cs="Calibri"/>
          <w:sz w:val="22"/>
          <w:szCs w:val="22"/>
          <w:lang w:val="fr-CA"/>
        </w:rPr>
        <w:t xml:space="preserve"> </w:t>
      </w:r>
      <w:r w:rsidR="002C6A41">
        <w:rPr>
          <w:rFonts w:asciiTheme="minorHAnsi" w:hAnsiTheme="minorHAnsi" w:cs="Calibri"/>
          <w:sz w:val="22"/>
          <w:szCs w:val="22"/>
          <w:lang w:val="fr-CA"/>
        </w:rPr>
        <w:t xml:space="preserve">(acronyme anglais </w:t>
      </w:r>
      <w:r w:rsidR="000F5647">
        <w:rPr>
          <w:rFonts w:asciiTheme="minorHAnsi" w:hAnsiTheme="minorHAnsi" w:cs="Calibri"/>
          <w:sz w:val="22"/>
          <w:szCs w:val="22"/>
          <w:lang w:val="fr-CA"/>
        </w:rPr>
        <w:t>pour</w:t>
      </w:r>
      <w:r w:rsidR="002C6A41">
        <w:rPr>
          <w:rFonts w:asciiTheme="minorHAnsi" w:hAnsiTheme="minorHAnsi" w:cs="Calibri"/>
          <w:sz w:val="22"/>
          <w:szCs w:val="22"/>
          <w:lang w:val="fr-CA"/>
        </w:rPr>
        <w:t xml:space="preserve"> ‘s</w:t>
      </w:r>
      <w:r>
        <w:rPr>
          <w:rFonts w:asciiTheme="minorHAnsi" w:hAnsiTheme="minorHAnsi" w:cs="Calibri"/>
          <w:sz w:val="22"/>
          <w:szCs w:val="22"/>
          <w:lang w:val="fr-CA"/>
        </w:rPr>
        <w:t>uivi en direct de la surface terrestre</w:t>
      </w:r>
      <w:r w:rsidR="002C6A41">
        <w:rPr>
          <w:rFonts w:asciiTheme="minorHAnsi" w:hAnsiTheme="minorHAnsi" w:cs="Calibri"/>
          <w:sz w:val="22"/>
          <w:szCs w:val="22"/>
          <w:lang w:val="fr-CA"/>
        </w:rPr>
        <w:t>’</w:t>
      </w:r>
      <w:r w:rsidR="008932A5" w:rsidRPr="001466EF">
        <w:rPr>
          <w:rFonts w:asciiTheme="minorHAnsi" w:hAnsiTheme="minorHAnsi" w:cs="Calibri"/>
          <w:sz w:val="22"/>
          <w:szCs w:val="22"/>
          <w:lang w:val="fr-CA"/>
        </w:rPr>
        <w:t>)</w:t>
      </w:r>
      <w:r w:rsidR="00376DDC" w:rsidRPr="001466EF">
        <w:rPr>
          <w:rFonts w:asciiTheme="minorHAnsi" w:hAnsiTheme="minorHAnsi" w:cs="Calibri"/>
          <w:sz w:val="22"/>
          <w:szCs w:val="22"/>
          <w:lang w:val="fr-CA"/>
        </w:rPr>
        <w:t>.</w:t>
      </w:r>
      <w:r w:rsidR="002A65F4" w:rsidRPr="001466EF">
        <w:rPr>
          <w:rFonts w:asciiTheme="minorHAnsi" w:hAnsiTheme="minorHAnsi" w:cs="Calibri"/>
          <w:sz w:val="22"/>
          <w:szCs w:val="22"/>
          <w:lang w:val="fr-CA"/>
        </w:rPr>
        <w:t xml:space="preserve"> </w:t>
      </w:r>
      <w:r>
        <w:rPr>
          <w:rFonts w:asciiTheme="minorHAnsi" w:hAnsiTheme="minorHAnsi" w:cs="Calibri"/>
          <w:sz w:val="22"/>
          <w:szCs w:val="22"/>
          <w:lang w:val="fr-CA"/>
        </w:rPr>
        <w:t>Le PNUE</w:t>
      </w:r>
      <w:r w:rsidR="00C92309" w:rsidRPr="001466EF">
        <w:rPr>
          <w:rFonts w:asciiTheme="minorHAnsi" w:hAnsiTheme="minorHAnsi" w:cs="Calibri"/>
          <w:sz w:val="22"/>
          <w:szCs w:val="22"/>
          <w:lang w:val="fr-CA"/>
        </w:rPr>
        <w:t>-WCMC</w:t>
      </w:r>
      <w:r w:rsidR="002A65F4" w:rsidRPr="001466EF">
        <w:rPr>
          <w:rFonts w:asciiTheme="minorHAnsi" w:hAnsiTheme="minorHAnsi" w:cs="Calibri"/>
          <w:sz w:val="22"/>
          <w:szCs w:val="22"/>
          <w:lang w:val="fr-CA"/>
        </w:rPr>
        <w:t xml:space="preserve"> </w:t>
      </w:r>
      <w:r>
        <w:rPr>
          <w:rFonts w:asciiTheme="minorHAnsi" w:hAnsiTheme="minorHAnsi" w:cs="Calibri"/>
          <w:sz w:val="22"/>
          <w:szCs w:val="22"/>
          <w:lang w:val="fr-CA"/>
        </w:rPr>
        <w:t xml:space="preserve">a joué un rôle clé </w:t>
      </w:r>
      <w:r w:rsidR="002C6A41">
        <w:rPr>
          <w:rFonts w:asciiTheme="minorHAnsi" w:hAnsiTheme="minorHAnsi" w:cs="Calibri"/>
          <w:sz w:val="22"/>
          <w:szCs w:val="22"/>
          <w:lang w:val="fr-CA"/>
        </w:rPr>
        <w:t>par sa contribution à</w:t>
      </w:r>
      <w:r>
        <w:rPr>
          <w:rFonts w:asciiTheme="minorHAnsi" w:hAnsiTheme="minorHAnsi" w:cs="Calibri"/>
          <w:sz w:val="22"/>
          <w:szCs w:val="22"/>
          <w:lang w:val="fr-CA"/>
        </w:rPr>
        <w:t xml:space="preserve"> la préparation du modèle de Rapport national pour la COP13 dans le système d</w:t>
      </w:r>
      <w:r w:rsidR="002C6A41">
        <w:rPr>
          <w:rFonts w:asciiTheme="minorHAnsi" w:hAnsiTheme="minorHAnsi" w:cs="Calibri"/>
          <w:sz w:val="22"/>
          <w:szCs w:val="22"/>
          <w:lang w:val="fr-CA"/>
        </w:rPr>
        <w:t>e communication</w:t>
      </w:r>
      <w:r>
        <w:rPr>
          <w:rFonts w:asciiTheme="minorHAnsi" w:hAnsiTheme="minorHAnsi" w:cs="Calibri"/>
          <w:sz w:val="22"/>
          <w:szCs w:val="22"/>
          <w:lang w:val="fr-CA"/>
        </w:rPr>
        <w:t xml:space="preserve"> des rapports en ligne et le Secrétariat s’attend à poursuivre ses travaux avec cette organisation sur cette question.</w:t>
      </w:r>
      <w:r w:rsidR="002A65F4" w:rsidRPr="001466EF">
        <w:rPr>
          <w:rFonts w:asciiTheme="minorHAnsi" w:hAnsiTheme="minorHAnsi" w:cs="Calibri"/>
          <w:sz w:val="22"/>
          <w:szCs w:val="22"/>
          <w:lang w:val="fr-CA"/>
        </w:rPr>
        <w:t xml:space="preserve"> </w:t>
      </w:r>
    </w:p>
    <w:p w14:paraId="5AFFBAAC" w14:textId="77777777" w:rsidR="00254868" w:rsidRPr="001466EF" w:rsidRDefault="00254868" w:rsidP="001B1570">
      <w:pPr>
        <w:autoSpaceDE w:val="0"/>
        <w:autoSpaceDN w:val="0"/>
        <w:adjustRightInd w:val="0"/>
        <w:ind w:left="426" w:hanging="426"/>
        <w:rPr>
          <w:rFonts w:asciiTheme="minorHAnsi" w:eastAsiaTheme="minorHAnsi" w:hAnsiTheme="minorHAnsi" w:cs="Calibri"/>
          <w:b/>
          <w:color w:val="000000"/>
          <w:sz w:val="22"/>
          <w:szCs w:val="22"/>
          <w:lang w:val="fr-CA" w:eastAsia="en-US"/>
        </w:rPr>
      </w:pPr>
    </w:p>
    <w:p w14:paraId="4C7503C5" w14:textId="0EFD7055" w:rsidR="00912820" w:rsidRPr="001466EF" w:rsidRDefault="00912820" w:rsidP="001B1570">
      <w:pPr>
        <w:autoSpaceDE w:val="0"/>
        <w:autoSpaceDN w:val="0"/>
        <w:adjustRightInd w:val="0"/>
        <w:ind w:left="426" w:hanging="426"/>
        <w:rPr>
          <w:rFonts w:asciiTheme="minorHAnsi" w:eastAsiaTheme="minorHAnsi" w:hAnsiTheme="minorHAnsi" w:cs="Calibri"/>
          <w:b/>
          <w:color w:val="000000"/>
          <w:sz w:val="22"/>
          <w:szCs w:val="22"/>
          <w:lang w:val="fr-CA" w:eastAsia="en-US"/>
        </w:rPr>
      </w:pPr>
      <w:r w:rsidRPr="001466EF">
        <w:rPr>
          <w:rFonts w:asciiTheme="minorHAnsi" w:eastAsiaTheme="minorHAnsi" w:hAnsiTheme="minorHAnsi" w:cs="Calibri"/>
          <w:b/>
          <w:color w:val="000000"/>
          <w:sz w:val="22"/>
          <w:szCs w:val="22"/>
          <w:lang w:val="fr-CA" w:eastAsia="en-US"/>
        </w:rPr>
        <w:t>Collaboration</w:t>
      </w:r>
      <w:r w:rsidR="002A65F4" w:rsidRPr="001466EF">
        <w:rPr>
          <w:rFonts w:asciiTheme="minorHAnsi" w:eastAsiaTheme="minorHAnsi" w:hAnsiTheme="minorHAnsi" w:cs="Calibri"/>
          <w:b/>
          <w:color w:val="000000"/>
          <w:sz w:val="22"/>
          <w:szCs w:val="22"/>
          <w:lang w:val="fr-CA" w:eastAsia="en-US"/>
        </w:rPr>
        <w:t xml:space="preserve"> </w:t>
      </w:r>
      <w:r w:rsidR="006440F0">
        <w:rPr>
          <w:rFonts w:asciiTheme="minorHAnsi" w:eastAsiaTheme="minorHAnsi" w:hAnsiTheme="minorHAnsi" w:cs="Calibri"/>
          <w:b/>
          <w:color w:val="000000"/>
          <w:sz w:val="22"/>
          <w:szCs w:val="22"/>
          <w:lang w:val="fr-CA" w:eastAsia="en-US"/>
        </w:rPr>
        <w:t>avec l’</w:t>
      </w:r>
      <w:r w:rsidRPr="001466EF">
        <w:rPr>
          <w:rFonts w:asciiTheme="minorHAnsi" w:eastAsiaTheme="minorHAnsi" w:hAnsiTheme="minorHAnsi" w:cs="Calibri"/>
          <w:b/>
          <w:color w:val="000000"/>
          <w:sz w:val="22"/>
          <w:szCs w:val="22"/>
          <w:lang w:val="fr-CA" w:eastAsia="en-US"/>
        </w:rPr>
        <w:t>UNE</w:t>
      </w:r>
      <w:r w:rsidR="007E615D" w:rsidRPr="001466EF">
        <w:rPr>
          <w:rFonts w:asciiTheme="minorHAnsi" w:eastAsiaTheme="minorHAnsi" w:hAnsiTheme="minorHAnsi" w:cs="Calibri"/>
          <w:b/>
          <w:color w:val="000000"/>
          <w:sz w:val="22"/>
          <w:szCs w:val="22"/>
          <w:lang w:val="fr-CA" w:eastAsia="en-US"/>
        </w:rPr>
        <w:t>SCO</w:t>
      </w:r>
    </w:p>
    <w:p w14:paraId="75CEC150" w14:textId="77777777" w:rsidR="006654EC" w:rsidRPr="001466EF" w:rsidRDefault="006654EC" w:rsidP="001B1570">
      <w:pPr>
        <w:autoSpaceDE w:val="0"/>
        <w:autoSpaceDN w:val="0"/>
        <w:adjustRightInd w:val="0"/>
        <w:ind w:left="426" w:hanging="426"/>
        <w:rPr>
          <w:rFonts w:asciiTheme="minorHAnsi" w:eastAsiaTheme="minorHAnsi" w:hAnsiTheme="minorHAnsi" w:cs="Calibri"/>
          <w:b/>
          <w:color w:val="000000"/>
          <w:sz w:val="22"/>
          <w:szCs w:val="22"/>
          <w:lang w:val="fr-CA" w:eastAsia="en-US"/>
        </w:rPr>
      </w:pPr>
    </w:p>
    <w:p w14:paraId="31E423C5" w14:textId="5ECB882D" w:rsidR="003417FD" w:rsidRPr="001466EF" w:rsidRDefault="006440F0" w:rsidP="000B6927">
      <w:pPr>
        <w:pStyle w:val="ListParagraph"/>
        <w:numPr>
          <w:ilvl w:val="0"/>
          <w:numId w:val="19"/>
        </w:numPr>
        <w:ind w:left="426" w:hanging="426"/>
        <w:jc w:val="left"/>
        <w:rPr>
          <w:rFonts w:asciiTheme="minorHAnsi" w:hAnsiTheme="minorHAnsi"/>
          <w:lang w:val="fr-CA"/>
        </w:rPr>
      </w:pPr>
      <w:r>
        <w:rPr>
          <w:rFonts w:asciiTheme="minorHAnsi" w:hAnsiTheme="minorHAnsi"/>
          <w:lang w:val="fr-CA"/>
        </w:rPr>
        <w:t xml:space="preserve">Suite </w:t>
      </w:r>
      <w:r w:rsidR="00EC0627">
        <w:rPr>
          <w:rFonts w:asciiTheme="minorHAnsi" w:hAnsiTheme="minorHAnsi"/>
          <w:lang w:val="fr-CA"/>
        </w:rPr>
        <w:t>à l’inauguration,</w:t>
      </w:r>
      <w:r>
        <w:rPr>
          <w:rFonts w:asciiTheme="minorHAnsi" w:hAnsiTheme="minorHAnsi"/>
          <w:lang w:val="fr-CA"/>
        </w:rPr>
        <w:t xml:space="preserve"> en 2013</w:t>
      </w:r>
      <w:r w:rsidR="00EC0627">
        <w:rPr>
          <w:rFonts w:asciiTheme="minorHAnsi" w:hAnsiTheme="minorHAnsi"/>
          <w:lang w:val="fr-CA"/>
        </w:rPr>
        <w:t>,</w:t>
      </w:r>
      <w:r>
        <w:rPr>
          <w:rFonts w:asciiTheme="minorHAnsi" w:hAnsiTheme="minorHAnsi"/>
          <w:lang w:val="fr-CA"/>
        </w:rPr>
        <w:t xml:space="preserve"> de la Chaire Ramsar sur l’utilisation rationnelle des zones humides auprès de l’</w:t>
      </w:r>
      <w:r w:rsidR="000B6927" w:rsidRPr="001466EF">
        <w:rPr>
          <w:rFonts w:asciiTheme="minorHAnsi" w:hAnsiTheme="minorHAnsi"/>
          <w:lang w:val="fr-CA"/>
        </w:rPr>
        <w:t>UNESCO</w:t>
      </w:r>
      <w:r>
        <w:rPr>
          <w:rFonts w:asciiTheme="minorHAnsi" w:hAnsiTheme="minorHAnsi"/>
          <w:lang w:val="fr-CA"/>
        </w:rPr>
        <w:noBreakHyphen/>
      </w:r>
      <w:r w:rsidR="000B6927" w:rsidRPr="001466EF">
        <w:rPr>
          <w:rFonts w:asciiTheme="minorHAnsi" w:hAnsiTheme="minorHAnsi"/>
          <w:lang w:val="fr-CA"/>
        </w:rPr>
        <w:t>IHE</w:t>
      </w:r>
      <w:r w:rsidR="00645FEF" w:rsidRPr="001466EF">
        <w:rPr>
          <w:rFonts w:asciiTheme="minorHAnsi" w:hAnsiTheme="minorHAnsi"/>
          <w:lang w:val="fr-CA"/>
        </w:rPr>
        <w:t>,</w:t>
      </w:r>
      <w:r w:rsidR="006654EC" w:rsidRPr="001466EF">
        <w:rPr>
          <w:rFonts w:asciiTheme="minorHAnsi" w:hAnsiTheme="minorHAnsi"/>
          <w:lang w:val="fr-CA"/>
        </w:rPr>
        <w:t xml:space="preserve"> </w:t>
      </w:r>
      <w:r>
        <w:rPr>
          <w:rFonts w:asciiTheme="minorHAnsi" w:hAnsiTheme="minorHAnsi"/>
          <w:lang w:val="fr-CA"/>
        </w:rPr>
        <w:t xml:space="preserve">plusieurs publications ont été produites et un discours liminaire sur les ODD et les zones humides a été </w:t>
      </w:r>
      <w:r w:rsidR="00EC0627">
        <w:rPr>
          <w:rFonts w:asciiTheme="minorHAnsi" w:hAnsiTheme="minorHAnsi"/>
          <w:lang w:val="fr-CA"/>
        </w:rPr>
        <w:t xml:space="preserve">délivré </w:t>
      </w:r>
      <w:r>
        <w:rPr>
          <w:rFonts w:asciiTheme="minorHAnsi" w:hAnsiTheme="minorHAnsi"/>
          <w:lang w:val="fr-CA"/>
        </w:rPr>
        <w:t xml:space="preserve">à l’occasion du Symposium sur les cours d’eau internationaux, en septembre 2015. Les coûts de la Chaire Ramsar sont couverts par l’Université </w:t>
      </w:r>
      <w:r w:rsidR="007E615D" w:rsidRPr="001466EF">
        <w:rPr>
          <w:rFonts w:asciiTheme="minorHAnsi" w:hAnsiTheme="minorHAnsi"/>
          <w:lang w:val="fr-CA"/>
        </w:rPr>
        <w:t>Charles</w:t>
      </w:r>
      <w:r w:rsidR="002A65F4" w:rsidRPr="001466EF">
        <w:rPr>
          <w:rFonts w:asciiTheme="minorHAnsi" w:hAnsiTheme="minorHAnsi"/>
          <w:lang w:val="fr-CA"/>
        </w:rPr>
        <w:t xml:space="preserve"> </w:t>
      </w:r>
      <w:r w:rsidR="007E615D" w:rsidRPr="001466EF">
        <w:rPr>
          <w:rFonts w:asciiTheme="minorHAnsi" w:hAnsiTheme="minorHAnsi"/>
          <w:lang w:val="fr-CA"/>
        </w:rPr>
        <w:t>Sturt</w:t>
      </w:r>
      <w:r w:rsidR="002A65F4" w:rsidRPr="001466EF">
        <w:rPr>
          <w:rFonts w:asciiTheme="minorHAnsi" w:hAnsiTheme="minorHAnsi"/>
          <w:lang w:val="fr-CA"/>
        </w:rPr>
        <w:t xml:space="preserve"> </w:t>
      </w:r>
      <w:r>
        <w:rPr>
          <w:rFonts w:asciiTheme="minorHAnsi" w:hAnsiTheme="minorHAnsi"/>
          <w:lang w:val="fr-CA"/>
        </w:rPr>
        <w:t>et le Centre de l’</w:t>
      </w:r>
      <w:r w:rsidR="007E615D" w:rsidRPr="001466EF">
        <w:rPr>
          <w:rFonts w:asciiTheme="minorHAnsi" w:hAnsiTheme="minorHAnsi"/>
          <w:lang w:val="fr-CA"/>
        </w:rPr>
        <w:t>UNESCO</w:t>
      </w:r>
      <w:r w:rsidR="006654EC" w:rsidRPr="001466EF">
        <w:rPr>
          <w:rFonts w:asciiTheme="minorHAnsi" w:hAnsiTheme="minorHAnsi"/>
          <w:lang w:val="fr-CA"/>
        </w:rPr>
        <w:t xml:space="preserve">. </w:t>
      </w:r>
    </w:p>
    <w:p w14:paraId="5BA5E274" w14:textId="77777777" w:rsidR="006654EC" w:rsidRPr="001466EF" w:rsidRDefault="006654EC" w:rsidP="001B1570">
      <w:pPr>
        <w:autoSpaceDE w:val="0"/>
        <w:autoSpaceDN w:val="0"/>
        <w:adjustRightInd w:val="0"/>
        <w:rPr>
          <w:rFonts w:asciiTheme="minorHAnsi" w:hAnsiTheme="minorHAnsi" w:cs="Calibri"/>
          <w:sz w:val="22"/>
          <w:szCs w:val="22"/>
          <w:lang w:val="fr-CA"/>
        </w:rPr>
      </w:pPr>
    </w:p>
    <w:p w14:paraId="29213BA8" w14:textId="2227B181" w:rsidR="00782506" w:rsidRPr="001466EF" w:rsidRDefault="006440F0" w:rsidP="001B1570">
      <w:pPr>
        <w:pStyle w:val="ListParagraph"/>
        <w:numPr>
          <w:ilvl w:val="0"/>
          <w:numId w:val="19"/>
        </w:numPr>
        <w:autoSpaceDE w:val="0"/>
        <w:autoSpaceDN w:val="0"/>
        <w:adjustRightInd w:val="0"/>
        <w:ind w:left="426" w:hanging="426"/>
        <w:jc w:val="left"/>
        <w:rPr>
          <w:rFonts w:asciiTheme="minorHAnsi" w:hAnsiTheme="minorHAnsi" w:cs="Calibri"/>
          <w:lang w:val="fr-CA"/>
        </w:rPr>
      </w:pPr>
      <w:r>
        <w:rPr>
          <w:rFonts w:asciiTheme="minorHAnsi" w:hAnsiTheme="minorHAnsi" w:cs="Calibri"/>
          <w:lang w:val="fr-CA"/>
        </w:rPr>
        <w:t xml:space="preserve">Un projet conjoint </w:t>
      </w:r>
      <w:r w:rsidR="002C537A" w:rsidRPr="001466EF">
        <w:rPr>
          <w:rFonts w:asciiTheme="minorHAnsi" w:hAnsiTheme="minorHAnsi" w:cs="Calibri"/>
          <w:lang w:val="fr-CA"/>
        </w:rPr>
        <w:t>Ramsar/</w:t>
      </w:r>
      <w:r>
        <w:rPr>
          <w:rFonts w:asciiTheme="minorHAnsi" w:hAnsiTheme="minorHAnsi" w:cs="Calibri"/>
          <w:lang w:val="fr-CA"/>
        </w:rPr>
        <w:t>UICN</w:t>
      </w:r>
      <w:r w:rsidR="002C537A" w:rsidRPr="001466EF">
        <w:rPr>
          <w:rFonts w:asciiTheme="minorHAnsi" w:hAnsiTheme="minorHAnsi" w:cs="Calibri"/>
          <w:lang w:val="fr-CA"/>
        </w:rPr>
        <w:t>/UNESCO</w:t>
      </w:r>
      <w:r w:rsidR="002A65F4" w:rsidRPr="001466EF">
        <w:rPr>
          <w:rFonts w:asciiTheme="minorHAnsi" w:hAnsiTheme="minorHAnsi" w:cs="Calibri"/>
          <w:lang w:val="fr-CA"/>
        </w:rPr>
        <w:t xml:space="preserve"> </w:t>
      </w:r>
      <w:r>
        <w:rPr>
          <w:rFonts w:asciiTheme="minorHAnsi" w:hAnsiTheme="minorHAnsi" w:cs="Calibri"/>
          <w:lang w:val="fr-CA"/>
        </w:rPr>
        <w:t xml:space="preserve">a été entrepris dans le but d’harmoniser la gestion intégrée des aires protégées ayant de multiples désignations internationales – </w:t>
      </w:r>
      <w:r w:rsidR="00EC0627">
        <w:rPr>
          <w:rFonts w:asciiTheme="minorHAnsi" w:hAnsiTheme="minorHAnsi" w:cs="Calibri"/>
          <w:lang w:val="fr-CA"/>
        </w:rPr>
        <w:t xml:space="preserve">Site </w:t>
      </w:r>
      <w:r>
        <w:rPr>
          <w:rFonts w:asciiTheme="minorHAnsi" w:hAnsiTheme="minorHAnsi" w:cs="Calibri"/>
          <w:lang w:val="fr-CA"/>
        </w:rPr>
        <w:t xml:space="preserve">Ramsar, </w:t>
      </w:r>
      <w:r w:rsidR="00EC0627">
        <w:rPr>
          <w:rFonts w:asciiTheme="minorHAnsi" w:hAnsiTheme="minorHAnsi" w:cs="Calibri"/>
          <w:lang w:val="fr-CA"/>
        </w:rPr>
        <w:t>bien du</w:t>
      </w:r>
      <w:r>
        <w:rPr>
          <w:rFonts w:asciiTheme="minorHAnsi" w:hAnsiTheme="minorHAnsi" w:cs="Calibri"/>
          <w:lang w:val="fr-CA"/>
        </w:rPr>
        <w:t xml:space="preserve"> patrimoine mondial, Réserves de biosphère et Géoparcs mondiaux. C’est un nouveau projet qui bénéficie d’un financement de la République de Corée. La Secrétaire générale adjointe a participé à l’atelier inaugural </w:t>
      </w:r>
      <w:r w:rsidR="00EC0627">
        <w:rPr>
          <w:rFonts w:asciiTheme="minorHAnsi" w:hAnsiTheme="minorHAnsi" w:cs="Calibri"/>
          <w:lang w:val="fr-CA"/>
        </w:rPr>
        <w:t>du</w:t>
      </w:r>
      <w:r>
        <w:rPr>
          <w:rFonts w:asciiTheme="minorHAnsi" w:hAnsiTheme="minorHAnsi" w:cs="Calibri"/>
          <w:lang w:val="fr-CA"/>
        </w:rPr>
        <w:t xml:space="preserve"> projet, à Jeju, en avril 2015, et </w:t>
      </w:r>
      <w:r w:rsidR="00EC0627">
        <w:rPr>
          <w:rFonts w:asciiTheme="minorHAnsi" w:hAnsiTheme="minorHAnsi" w:cs="Calibri"/>
          <w:lang w:val="fr-CA"/>
        </w:rPr>
        <w:t>celui-ci</w:t>
      </w:r>
      <w:r>
        <w:rPr>
          <w:rFonts w:asciiTheme="minorHAnsi" w:hAnsiTheme="minorHAnsi" w:cs="Calibri"/>
          <w:lang w:val="fr-CA"/>
        </w:rPr>
        <w:t xml:space="preserve"> a été présenté aux Parties lors d’une activité parallèle</w:t>
      </w:r>
      <w:r w:rsidR="00EC0627">
        <w:rPr>
          <w:rFonts w:asciiTheme="minorHAnsi" w:hAnsiTheme="minorHAnsi" w:cs="Calibri"/>
          <w:lang w:val="fr-CA"/>
        </w:rPr>
        <w:t>, à</w:t>
      </w:r>
      <w:r>
        <w:rPr>
          <w:rFonts w:asciiTheme="minorHAnsi" w:hAnsiTheme="minorHAnsi" w:cs="Calibri"/>
          <w:lang w:val="fr-CA"/>
        </w:rPr>
        <w:t xml:space="preserve"> la COP12 de Ramsar, en juin 2015. Un document d’orientation a été préparé, conçu comme un manuel pour les administrateurs de sites à désignations multiples et s’adressant également aux autorités nationales et organisations internationales. Il sera lancé à l’occasion du Congrès mondial de la nature de l’UICN de 2016, à </w:t>
      </w:r>
      <w:r w:rsidR="00AF1FC8" w:rsidRPr="001466EF">
        <w:rPr>
          <w:rFonts w:asciiTheme="minorHAnsi" w:hAnsiTheme="minorHAnsi"/>
          <w:lang w:val="fr-CA"/>
        </w:rPr>
        <w:t xml:space="preserve">Hawaii, </w:t>
      </w:r>
      <w:r>
        <w:rPr>
          <w:rFonts w:asciiTheme="minorHAnsi" w:hAnsiTheme="minorHAnsi"/>
          <w:lang w:val="fr-CA"/>
        </w:rPr>
        <w:t>États</w:t>
      </w:r>
      <w:r>
        <w:rPr>
          <w:rFonts w:asciiTheme="minorHAnsi" w:hAnsiTheme="minorHAnsi"/>
          <w:lang w:val="fr-CA"/>
        </w:rPr>
        <w:noBreakHyphen/>
        <w:t>Unis</w:t>
      </w:r>
      <w:r w:rsidR="00AF1FC8" w:rsidRPr="001466EF">
        <w:rPr>
          <w:rFonts w:asciiTheme="minorHAnsi" w:hAnsiTheme="minorHAnsi"/>
          <w:lang w:val="fr-CA"/>
        </w:rPr>
        <w:t xml:space="preserve">. </w:t>
      </w:r>
      <w:r>
        <w:rPr>
          <w:rFonts w:asciiTheme="minorHAnsi" w:hAnsiTheme="minorHAnsi"/>
          <w:lang w:val="fr-CA"/>
        </w:rPr>
        <w:t xml:space="preserve">Le rapport final est désormais disponible et une liste de sites à désignations multiples a été mise à jour. </w:t>
      </w:r>
    </w:p>
    <w:p w14:paraId="7AFA6D53" w14:textId="77777777" w:rsidR="002C537A" w:rsidRPr="001466EF" w:rsidRDefault="002C537A" w:rsidP="001B1570">
      <w:pPr>
        <w:autoSpaceDE w:val="0"/>
        <w:autoSpaceDN w:val="0"/>
        <w:adjustRightInd w:val="0"/>
        <w:rPr>
          <w:rFonts w:asciiTheme="minorHAnsi" w:eastAsiaTheme="minorHAnsi" w:hAnsiTheme="minorHAnsi" w:cs="Calibri"/>
          <w:color w:val="000000"/>
          <w:sz w:val="22"/>
          <w:szCs w:val="22"/>
          <w:lang w:val="fr-CA" w:eastAsia="en-US"/>
        </w:rPr>
      </w:pPr>
    </w:p>
    <w:p w14:paraId="6C58CC8F" w14:textId="30D6DE2F" w:rsidR="00ED7DD6" w:rsidRPr="001466EF" w:rsidRDefault="00ED7DD6" w:rsidP="001B1570">
      <w:pPr>
        <w:autoSpaceDE w:val="0"/>
        <w:autoSpaceDN w:val="0"/>
        <w:adjustRightInd w:val="0"/>
        <w:rPr>
          <w:rFonts w:asciiTheme="minorHAnsi" w:hAnsiTheme="minorHAnsi"/>
          <w:b/>
          <w:sz w:val="22"/>
          <w:szCs w:val="22"/>
          <w:lang w:val="fr-CA"/>
        </w:rPr>
      </w:pPr>
      <w:r w:rsidRPr="001466EF">
        <w:rPr>
          <w:rFonts w:asciiTheme="minorHAnsi" w:hAnsiTheme="minorHAnsi"/>
          <w:b/>
          <w:sz w:val="22"/>
          <w:szCs w:val="22"/>
          <w:lang w:val="fr-CA"/>
        </w:rPr>
        <w:t xml:space="preserve">Plan </w:t>
      </w:r>
      <w:r w:rsidR="00497B33">
        <w:rPr>
          <w:rFonts w:asciiTheme="minorHAnsi" w:hAnsiTheme="minorHAnsi"/>
          <w:b/>
          <w:sz w:val="22"/>
          <w:szCs w:val="22"/>
          <w:lang w:val="fr-CA"/>
        </w:rPr>
        <w:t>pour renforcer la coopération avec les AME</w:t>
      </w:r>
      <w:r w:rsidRPr="001466EF">
        <w:rPr>
          <w:rFonts w:asciiTheme="minorHAnsi" w:hAnsiTheme="minorHAnsi"/>
          <w:b/>
          <w:sz w:val="22"/>
          <w:szCs w:val="22"/>
          <w:lang w:val="fr-CA"/>
        </w:rPr>
        <w:t xml:space="preserve"> </w:t>
      </w:r>
    </w:p>
    <w:p w14:paraId="2B85FFAE" w14:textId="77777777" w:rsidR="00363972" w:rsidRPr="001466EF" w:rsidRDefault="00363972" w:rsidP="001B1570">
      <w:pPr>
        <w:rPr>
          <w:rFonts w:asciiTheme="minorHAnsi" w:hAnsiTheme="minorHAnsi"/>
          <w:sz w:val="22"/>
          <w:szCs w:val="22"/>
          <w:lang w:val="fr-CA"/>
        </w:rPr>
      </w:pPr>
    </w:p>
    <w:p w14:paraId="43D33F2B" w14:textId="4032E73A" w:rsidR="0007167A" w:rsidRPr="001466EF" w:rsidRDefault="00497B33" w:rsidP="001B1570">
      <w:pPr>
        <w:pStyle w:val="ListParagraph"/>
        <w:numPr>
          <w:ilvl w:val="0"/>
          <w:numId w:val="19"/>
        </w:numPr>
        <w:autoSpaceDE w:val="0"/>
        <w:autoSpaceDN w:val="0"/>
        <w:adjustRightInd w:val="0"/>
        <w:ind w:left="426" w:hanging="426"/>
        <w:jc w:val="left"/>
        <w:rPr>
          <w:rFonts w:asciiTheme="minorHAnsi" w:eastAsiaTheme="minorHAnsi" w:hAnsiTheme="minorHAnsi" w:cs="Garamond"/>
          <w:lang w:val="fr-CA"/>
        </w:rPr>
      </w:pPr>
      <w:r>
        <w:rPr>
          <w:rFonts w:asciiTheme="minorHAnsi" w:hAnsiTheme="minorHAnsi"/>
          <w:lang w:val="fr-CA"/>
        </w:rPr>
        <w:t>Comme indiqué dans la section précédente, le Secrétariat est actif auprès d’autres AME et, selon le paragraphe 44 de la Résolution </w:t>
      </w:r>
      <w:r w:rsidR="0007167A" w:rsidRPr="001466EF">
        <w:rPr>
          <w:rFonts w:asciiTheme="minorHAnsi" w:hAnsiTheme="minorHAnsi"/>
          <w:lang w:val="fr-CA"/>
        </w:rPr>
        <w:t>XII.3</w:t>
      </w:r>
      <w:r w:rsidR="00BA67EE" w:rsidRPr="001466EF">
        <w:rPr>
          <w:rFonts w:asciiTheme="minorHAnsi" w:hAnsiTheme="minorHAnsi"/>
          <w:lang w:val="fr-CA"/>
        </w:rPr>
        <w:t>,</w:t>
      </w:r>
      <w:r w:rsidR="0007167A" w:rsidRPr="001466EF">
        <w:rPr>
          <w:rFonts w:asciiTheme="minorHAnsi" w:hAnsiTheme="minorHAnsi"/>
          <w:lang w:val="fr-CA"/>
        </w:rPr>
        <w:t xml:space="preserve"> </w:t>
      </w:r>
      <w:r>
        <w:rPr>
          <w:rFonts w:asciiTheme="minorHAnsi" w:hAnsiTheme="minorHAnsi"/>
          <w:lang w:val="fr-CA"/>
        </w:rPr>
        <w:t xml:space="preserve">le Secrétariat a axé ses efforts </w:t>
      </w:r>
      <w:r w:rsidRPr="004E2F26">
        <w:rPr>
          <w:rFonts w:asciiTheme="minorHAnsi" w:hAnsiTheme="minorHAnsi"/>
          <w:lang w:val="fr-CA"/>
        </w:rPr>
        <w:t>sur</w:t>
      </w:r>
      <w:r w:rsidR="007A4881">
        <w:rPr>
          <w:rFonts w:asciiTheme="minorHAnsi" w:hAnsiTheme="minorHAnsi"/>
          <w:lang w:val="fr-CA"/>
        </w:rPr>
        <w:t xml:space="preserve"> les points suivants</w:t>
      </w:r>
      <w:r>
        <w:rPr>
          <w:rFonts w:asciiTheme="minorHAnsi" w:hAnsiTheme="minorHAnsi"/>
          <w:lang w:val="fr-CA"/>
        </w:rPr>
        <w:t xml:space="preserve"> : </w:t>
      </w:r>
    </w:p>
    <w:p w14:paraId="1A2B1CB5" w14:textId="77777777" w:rsidR="0007167A" w:rsidRPr="001466EF" w:rsidRDefault="0007167A" w:rsidP="001B1570">
      <w:pPr>
        <w:autoSpaceDE w:val="0"/>
        <w:autoSpaceDN w:val="0"/>
        <w:adjustRightInd w:val="0"/>
        <w:rPr>
          <w:rFonts w:asciiTheme="minorHAnsi" w:hAnsiTheme="minorHAnsi"/>
          <w:sz w:val="22"/>
          <w:szCs w:val="22"/>
          <w:lang w:val="fr-CA"/>
        </w:rPr>
      </w:pPr>
    </w:p>
    <w:p w14:paraId="68B796E5" w14:textId="77777777" w:rsidR="00127184" w:rsidRPr="001466EF" w:rsidRDefault="00127184" w:rsidP="00497B33">
      <w:pPr>
        <w:pStyle w:val="ListParagraph"/>
        <w:numPr>
          <w:ilvl w:val="0"/>
          <w:numId w:val="36"/>
        </w:numPr>
        <w:autoSpaceDE w:val="0"/>
        <w:autoSpaceDN w:val="0"/>
        <w:adjustRightInd w:val="0"/>
        <w:ind w:hanging="286"/>
        <w:jc w:val="left"/>
        <w:rPr>
          <w:rFonts w:ascii="Calibri" w:hAnsi="Calibri"/>
          <w:lang w:val="fr-CA"/>
        </w:rPr>
      </w:pPr>
      <w:r w:rsidRPr="001466EF">
        <w:rPr>
          <w:rFonts w:ascii="Calibri" w:hAnsi="Calibri"/>
          <w:lang w:val="fr-CA"/>
        </w:rPr>
        <w:t>renforcer la coopération, la coordination et l’attention accordées aux synergies pour l’exploration de systèmes d’établissement des rapports, y compris de futurs systèmes d’établissement des rapports et d’indicateurs en ligne, comme moyen d’améliorer la synergie en matière d’établissement des rapports nationaux aux conventions relatives à la biodiversité;</w:t>
      </w:r>
    </w:p>
    <w:p w14:paraId="00F98CA1" w14:textId="77777777" w:rsidR="00127184" w:rsidRPr="001466EF" w:rsidRDefault="00127184" w:rsidP="00497B33">
      <w:pPr>
        <w:pStyle w:val="ListParagraph"/>
        <w:autoSpaceDE w:val="0"/>
        <w:autoSpaceDN w:val="0"/>
        <w:adjustRightInd w:val="0"/>
        <w:ind w:hanging="286"/>
        <w:jc w:val="left"/>
        <w:rPr>
          <w:rFonts w:ascii="Calibri" w:hAnsi="Calibri"/>
          <w:lang w:val="fr-CA"/>
        </w:rPr>
      </w:pPr>
    </w:p>
    <w:p w14:paraId="6624CAF9" w14:textId="77777777" w:rsidR="00127184" w:rsidRPr="001466EF" w:rsidRDefault="00127184" w:rsidP="00497B33">
      <w:pPr>
        <w:pStyle w:val="ListParagraph"/>
        <w:numPr>
          <w:ilvl w:val="0"/>
          <w:numId w:val="36"/>
        </w:numPr>
        <w:autoSpaceDE w:val="0"/>
        <w:autoSpaceDN w:val="0"/>
        <w:adjustRightInd w:val="0"/>
        <w:ind w:hanging="286"/>
        <w:jc w:val="left"/>
        <w:rPr>
          <w:rFonts w:ascii="Calibri" w:hAnsi="Calibri"/>
          <w:lang w:val="fr-CA"/>
        </w:rPr>
      </w:pPr>
      <w:r w:rsidRPr="001466EF">
        <w:rPr>
          <w:rFonts w:ascii="Calibri" w:hAnsi="Calibri"/>
          <w:lang w:val="fr-CA"/>
        </w:rPr>
        <w:t>envisager des moyens de renforcer la coopération en matière de stratégies d’information et de communication;</w:t>
      </w:r>
    </w:p>
    <w:p w14:paraId="0094B49D" w14:textId="77777777" w:rsidR="00127184" w:rsidRPr="001466EF" w:rsidRDefault="00127184" w:rsidP="00497B33">
      <w:pPr>
        <w:pStyle w:val="ListParagraph"/>
        <w:autoSpaceDE w:val="0"/>
        <w:autoSpaceDN w:val="0"/>
        <w:adjustRightInd w:val="0"/>
        <w:ind w:hanging="286"/>
        <w:jc w:val="left"/>
        <w:rPr>
          <w:rFonts w:ascii="Calibri" w:hAnsi="Calibri"/>
          <w:lang w:val="fr-CA"/>
        </w:rPr>
      </w:pPr>
    </w:p>
    <w:p w14:paraId="43025D20" w14:textId="63E1A062" w:rsidR="0007167A" w:rsidRPr="001466EF" w:rsidRDefault="00127184" w:rsidP="00497B33">
      <w:pPr>
        <w:pStyle w:val="ListParagraph"/>
        <w:numPr>
          <w:ilvl w:val="0"/>
          <w:numId w:val="36"/>
        </w:numPr>
        <w:autoSpaceDE w:val="0"/>
        <w:autoSpaceDN w:val="0"/>
        <w:adjustRightInd w:val="0"/>
        <w:ind w:hanging="286"/>
        <w:jc w:val="left"/>
        <w:rPr>
          <w:rFonts w:asciiTheme="minorHAnsi" w:hAnsiTheme="minorHAnsi"/>
          <w:lang w:val="fr-CA"/>
        </w:rPr>
      </w:pPr>
      <w:r w:rsidRPr="001466EF">
        <w:rPr>
          <w:rFonts w:ascii="Calibri" w:hAnsi="Calibri"/>
          <w:lang w:val="fr-CA"/>
        </w:rPr>
        <w:t xml:space="preserve">définir des possibilités de renforcer la coopération </w:t>
      </w:r>
      <w:r w:rsidRPr="001466EF">
        <w:rPr>
          <w:rFonts w:ascii="Calibri" w:hAnsi="Calibri" w:cs="Palatino Linotype"/>
          <w:color w:val="221E1F"/>
          <w:lang w:val="fr-CA"/>
        </w:rPr>
        <w:t>pour les travaux relatifs à des questions intersectorielles.</w:t>
      </w:r>
    </w:p>
    <w:p w14:paraId="013405E8" w14:textId="77777777" w:rsidR="0007167A" w:rsidRPr="001466EF" w:rsidRDefault="0007167A" w:rsidP="001B1570">
      <w:pPr>
        <w:autoSpaceDE w:val="0"/>
        <w:autoSpaceDN w:val="0"/>
        <w:adjustRightInd w:val="0"/>
        <w:rPr>
          <w:rFonts w:asciiTheme="minorHAnsi" w:hAnsiTheme="minorHAnsi"/>
          <w:b/>
          <w:sz w:val="22"/>
          <w:szCs w:val="22"/>
          <w:lang w:val="fr-CA"/>
        </w:rPr>
      </w:pPr>
    </w:p>
    <w:p w14:paraId="0BF909EB" w14:textId="2B48E4B7" w:rsidR="00EB447F" w:rsidRPr="001466EF" w:rsidRDefault="00497B33" w:rsidP="00532FA8">
      <w:pPr>
        <w:pStyle w:val="ListParagraph"/>
        <w:numPr>
          <w:ilvl w:val="0"/>
          <w:numId w:val="19"/>
        </w:numPr>
        <w:autoSpaceDE w:val="0"/>
        <w:autoSpaceDN w:val="0"/>
        <w:adjustRightInd w:val="0"/>
        <w:ind w:left="426" w:hanging="426"/>
        <w:jc w:val="left"/>
        <w:rPr>
          <w:rStyle w:val="Strong"/>
          <w:rFonts w:asciiTheme="minorHAnsi" w:hAnsiTheme="minorHAnsi"/>
          <w:b w:val="0"/>
          <w:lang w:val="fr-CA"/>
        </w:rPr>
      </w:pPr>
      <w:r>
        <w:rPr>
          <w:rFonts w:asciiTheme="minorHAnsi" w:hAnsiTheme="minorHAnsi"/>
          <w:lang w:val="fr-CA"/>
        </w:rPr>
        <w:t>Le Secrétariat a signé des mémorandum</w:t>
      </w:r>
      <w:r w:rsidR="00AB7000">
        <w:rPr>
          <w:rFonts w:asciiTheme="minorHAnsi" w:hAnsiTheme="minorHAnsi"/>
          <w:lang w:val="fr-CA"/>
        </w:rPr>
        <w:t>s</w:t>
      </w:r>
      <w:r>
        <w:rPr>
          <w:rFonts w:asciiTheme="minorHAnsi" w:hAnsiTheme="minorHAnsi"/>
          <w:lang w:val="fr-CA"/>
        </w:rPr>
        <w:t xml:space="preserve"> de coopération et des plans </w:t>
      </w:r>
      <w:r w:rsidR="00AB7000">
        <w:rPr>
          <w:rFonts w:asciiTheme="minorHAnsi" w:hAnsiTheme="minorHAnsi"/>
          <w:lang w:val="fr-CA"/>
        </w:rPr>
        <w:t>de travail conjoints avec deux des conventions relatives à la biodiversité, la CDB et la Convention du patrimoine mondial ainsi qu’avec la Convention des Nations Unies sur la lutte contre la désertification. Le plan de travail conjoint avec la CMS est en train d’être finalisé et sera soumis pour approbation aux prochaines réunions des comités permanents de chaque Convention (la 45</w:t>
      </w:r>
      <w:r w:rsidR="00AB7000" w:rsidRPr="00AB7000">
        <w:rPr>
          <w:rFonts w:asciiTheme="minorHAnsi" w:hAnsiTheme="minorHAnsi"/>
          <w:vertAlign w:val="superscript"/>
          <w:lang w:val="fr-CA"/>
        </w:rPr>
        <w:t>e</w:t>
      </w:r>
      <w:r w:rsidR="00AB7000">
        <w:rPr>
          <w:rFonts w:asciiTheme="minorHAnsi" w:hAnsiTheme="minorHAnsi"/>
          <w:lang w:val="fr-CA"/>
        </w:rPr>
        <w:t> session du Comité permanent de la CMS en novembre 2016 et la 53</w:t>
      </w:r>
      <w:r w:rsidR="00AB7000" w:rsidRPr="00AB7000">
        <w:rPr>
          <w:rFonts w:asciiTheme="minorHAnsi" w:hAnsiTheme="minorHAnsi"/>
          <w:vertAlign w:val="superscript"/>
          <w:lang w:val="fr-CA"/>
        </w:rPr>
        <w:t>e</w:t>
      </w:r>
      <w:r w:rsidR="00AB7000">
        <w:rPr>
          <w:rFonts w:asciiTheme="minorHAnsi" w:hAnsiTheme="minorHAnsi"/>
          <w:lang w:val="fr-CA"/>
        </w:rPr>
        <w:t> Réunion du Comité permanent de la Convention de Ramsar en 2017).</w:t>
      </w:r>
      <w:r w:rsidR="00532FA8" w:rsidRPr="001466EF">
        <w:rPr>
          <w:rFonts w:asciiTheme="minorHAnsi" w:eastAsiaTheme="minorHAnsi" w:hAnsiTheme="minorHAnsi"/>
          <w:color w:val="000000"/>
          <w:lang w:val="fr-CA"/>
        </w:rPr>
        <w:t xml:space="preserve">         </w:t>
      </w:r>
    </w:p>
    <w:p w14:paraId="6BFE3AA2" w14:textId="77777777" w:rsidR="00F65FDA" w:rsidRPr="001466EF" w:rsidRDefault="00F65FDA" w:rsidP="001B1570">
      <w:pPr>
        <w:autoSpaceDE w:val="0"/>
        <w:autoSpaceDN w:val="0"/>
        <w:adjustRightInd w:val="0"/>
        <w:ind w:left="426" w:hanging="426"/>
        <w:rPr>
          <w:rStyle w:val="Strong"/>
          <w:rFonts w:asciiTheme="minorHAnsi" w:hAnsiTheme="minorHAnsi"/>
          <w:b w:val="0"/>
          <w:sz w:val="22"/>
          <w:szCs w:val="22"/>
          <w:lang w:val="fr-CA"/>
        </w:rPr>
      </w:pPr>
    </w:p>
    <w:p w14:paraId="07F65D4D" w14:textId="493B56E4" w:rsidR="00231D2A" w:rsidRPr="001466EF" w:rsidRDefault="00547515" w:rsidP="001B1570">
      <w:pPr>
        <w:pStyle w:val="ListParagraph"/>
        <w:numPr>
          <w:ilvl w:val="0"/>
          <w:numId w:val="19"/>
        </w:numPr>
        <w:autoSpaceDE w:val="0"/>
        <w:autoSpaceDN w:val="0"/>
        <w:adjustRightInd w:val="0"/>
        <w:ind w:left="426" w:hanging="426"/>
        <w:jc w:val="left"/>
        <w:rPr>
          <w:rFonts w:asciiTheme="minorHAnsi" w:hAnsiTheme="minorHAnsi" w:cs="Arial"/>
          <w:lang w:val="fr-CA"/>
        </w:rPr>
      </w:pPr>
      <w:r>
        <w:rPr>
          <w:rFonts w:asciiTheme="minorHAnsi" w:hAnsiTheme="minorHAnsi" w:cs="Calibri"/>
          <w:lang w:val="fr-CA"/>
        </w:rPr>
        <w:t>Le Secrétariat collabor</w:t>
      </w:r>
      <w:r w:rsidR="007A4881">
        <w:rPr>
          <w:rFonts w:asciiTheme="minorHAnsi" w:hAnsiTheme="minorHAnsi" w:cs="Calibri"/>
          <w:lang w:val="fr-CA"/>
        </w:rPr>
        <w:t>e aussi à certaines initiatives</w:t>
      </w:r>
      <w:r>
        <w:rPr>
          <w:rFonts w:asciiTheme="minorHAnsi" w:hAnsiTheme="minorHAnsi" w:cs="Calibri"/>
          <w:lang w:val="fr-CA"/>
        </w:rPr>
        <w:t xml:space="preserve"> avec les conventions relatives à la biodiversité, par exemple, </w:t>
      </w:r>
      <w:r w:rsidR="007A4881">
        <w:rPr>
          <w:rFonts w:asciiTheme="minorHAnsi" w:hAnsiTheme="minorHAnsi" w:cs="Calibri"/>
          <w:lang w:val="fr-CA"/>
        </w:rPr>
        <w:t xml:space="preserve">l’initiative des </w:t>
      </w:r>
      <w:r w:rsidR="007A4881" w:rsidRPr="007A4881">
        <w:rPr>
          <w:rFonts w:asciiTheme="minorHAnsi" w:hAnsiTheme="minorHAnsi" w:cs="Calibri"/>
          <w:lang w:val="fr-CA"/>
        </w:rPr>
        <w:t>AME</w:t>
      </w:r>
      <w:r w:rsidR="004E2F26" w:rsidRPr="007A4881">
        <w:rPr>
          <w:rFonts w:asciiTheme="minorHAnsi" w:hAnsiTheme="minorHAnsi" w:cs="Calibri"/>
          <w:lang w:val="fr-CA"/>
        </w:rPr>
        <w:t xml:space="preserve"> sur </w:t>
      </w:r>
      <w:r w:rsidRPr="007A4881">
        <w:rPr>
          <w:rFonts w:asciiTheme="minorHAnsi" w:hAnsiTheme="minorHAnsi" w:cs="Calibri"/>
          <w:lang w:val="fr-CA"/>
        </w:rPr>
        <w:t xml:space="preserve">l’information </w:t>
      </w:r>
      <w:r w:rsidR="004E2F26" w:rsidRPr="007A4881">
        <w:rPr>
          <w:rFonts w:asciiTheme="minorHAnsi" w:hAnsiTheme="minorHAnsi" w:cs="Calibri"/>
          <w:lang w:val="fr-CA"/>
        </w:rPr>
        <w:t xml:space="preserve">et la gestion </w:t>
      </w:r>
      <w:r w:rsidRPr="007A4881">
        <w:rPr>
          <w:rFonts w:asciiTheme="minorHAnsi" w:hAnsiTheme="minorHAnsi" w:cs="Calibri"/>
          <w:lang w:val="fr-CA"/>
        </w:rPr>
        <w:t xml:space="preserve">des connaissances </w:t>
      </w:r>
      <w:r w:rsidR="003417FD" w:rsidRPr="001466EF">
        <w:rPr>
          <w:rFonts w:asciiTheme="minorHAnsi" w:hAnsiTheme="minorHAnsi" w:cs="Calibri"/>
          <w:lang w:val="fr-CA"/>
        </w:rPr>
        <w:t>(I</w:t>
      </w:r>
      <w:r w:rsidR="00AD7171" w:rsidRPr="001466EF">
        <w:rPr>
          <w:rFonts w:asciiTheme="minorHAnsi" w:hAnsiTheme="minorHAnsi" w:cs="Calibri"/>
          <w:lang w:val="fr-CA"/>
        </w:rPr>
        <w:t>nfor</w:t>
      </w:r>
      <w:r w:rsidR="003417FD" w:rsidRPr="001466EF">
        <w:rPr>
          <w:rFonts w:asciiTheme="minorHAnsi" w:hAnsiTheme="minorHAnsi" w:cs="Calibri"/>
          <w:lang w:val="fr-CA"/>
        </w:rPr>
        <w:t>MEA)</w:t>
      </w:r>
      <w:r>
        <w:rPr>
          <w:rFonts w:asciiTheme="minorHAnsi" w:hAnsiTheme="minorHAnsi" w:cs="Calibri"/>
          <w:lang w:val="fr-CA"/>
        </w:rPr>
        <w:t xml:space="preserve"> et a pris part au projet </w:t>
      </w:r>
      <w:r w:rsidR="007A4881">
        <w:rPr>
          <w:rFonts w:asciiTheme="minorHAnsi" w:hAnsiTheme="minorHAnsi" w:cs="Calibri"/>
          <w:lang w:val="fr-CA"/>
        </w:rPr>
        <w:t>Law and Environment Ontology</w:t>
      </w:r>
      <w:r w:rsidR="00A0318B">
        <w:rPr>
          <w:rFonts w:asciiTheme="minorHAnsi" w:hAnsiTheme="minorHAnsi" w:cs="Calibri"/>
          <w:lang w:val="fr-CA"/>
        </w:rPr>
        <w:t xml:space="preserve"> – </w:t>
      </w:r>
      <w:r>
        <w:rPr>
          <w:rFonts w:asciiTheme="minorHAnsi" w:hAnsiTheme="minorHAnsi" w:cs="Calibri"/>
          <w:lang w:val="fr-CA"/>
        </w:rPr>
        <w:t>LEO</w:t>
      </w:r>
      <w:r w:rsidR="00A0318B">
        <w:rPr>
          <w:rFonts w:asciiTheme="minorHAnsi" w:hAnsiTheme="minorHAnsi" w:cs="Calibri"/>
          <w:lang w:val="fr-CA"/>
        </w:rPr>
        <w:t xml:space="preserve"> (droit et ontologie de l’environnement)</w:t>
      </w:r>
      <w:r w:rsidR="00376DDC" w:rsidRPr="001466EF">
        <w:rPr>
          <w:rFonts w:asciiTheme="minorHAnsi" w:hAnsiTheme="minorHAnsi" w:cs="Calibri"/>
          <w:lang w:val="fr-CA"/>
        </w:rPr>
        <w:t>,</w:t>
      </w:r>
      <w:r w:rsidR="002A65F4" w:rsidRPr="001466EF">
        <w:rPr>
          <w:rFonts w:asciiTheme="minorHAnsi" w:hAnsiTheme="minorHAnsi" w:cs="Calibri"/>
          <w:lang w:val="fr-CA"/>
        </w:rPr>
        <w:t xml:space="preserve"> </w:t>
      </w:r>
      <w:r>
        <w:rPr>
          <w:rFonts w:asciiTheme="minorHAnsi" w:hAnsiTheme="minorHAnsi" w:cs="Calibri"/>
          <w:lang w:val="fr-CA"/>
        </w:rPr>
        <w:t>afin d’élaborer des normes de sémantique acceptées au plan international pour le droit et les politiques de l’environnement et le projet « </w:t>
      </w:r>
      <w:r>
        <w:rPr>
          <w:rFonts w:asciiTheme="minorHAnsi" w:hAnsiTheme="minorHAnsi" w:cs="Calibri"/>
          <w:i/>
          <w:lang w:val="fr-CA"/>
        </w:rPr>
        <w:t xml:space="preserve">Améliorer l’efficacité et la coopération entre les conventions relatives à la biodiversité et explorer des possibilités de synergies futures » </w:t>
      </w:r>
      <w:r>
        <w:rPr>
          <w:rFonts w:asciiTheme="minorHAnsi" w:hAnsiTheme="minorHAnsi" w:cs="Calibri"/>
          <w:lang w:val="fr-CA"/>
        </w:rPr>
        <w:t>avec le PNUE. Le Secrétariat continuera de s’engager dans ces projets en participant au groupe de travail d’</w:t>
      </w:r>
      <w:r w:rsidR="00231D2A" w:rsidRPr="001466EF">
        <w:rPr>
          <w:rFonts w:asciiTheme="minorHAnsi" w:hAnsiTheme="minorHAnsi" w:cs="Arial"/>
          <w:lang w:val="fr-CA"/>
        </w:rPr>
        <w:t>Infor</w:t>
      </w:r>
      <w:r w:rsidR="00C34775" w:rsidRPr="001466EF">
        <w:rPr>
          <w:rFonts w:asciiTheme="minorHAnsi" w:hAnsiTheme="minorHAnsi" w:cs="Arial"/>
          <w:lang w:val="fr-CA"/>
        </w:rPr>
        <w:t>MEA</w:t>
      </w:r>
      <w:r w:rsidR="00231D2A" w:rsidRPr="001466EF">
        <w:rPr>
          <w:rFonts w:asciiTheme="minorHAnsi" w:hAnsiTheme="minorHAnsi" w:cs="Arial"/>
          <w:lang w:val="fr-CA"/>
        </w:rPr>
        <w:t>.</w:t>
      </w:r>
    </w:p>
    <w:p w14:paraId="759CACD4" w14:textId="77777777" w:rsidR="00ED7DD6" w:rsidRPr="001466EF" w:rsidRDefault="00ED7DD6" w:rsidP="001B1570">
      <w:pPr>
        <w:pStyle w:val="ListParagraph"/>
        <w:jc w:val="left"/>
        <w:rPr>
          <w:rFonts w:asciiTheme="minorHAnsi" w:hAnsiTheme="minorHAnsi" w:cs="Arial"/>
          <w:lang w:val="fr-CA"/>
        </w:rPr>
      </w:pPr>
    </w:p>
    <w:p w14:paraId="08843B29" w14:textId="1E672E78" w:rsidR="00ED7DD6" w:rsidRPr="001466EF" w:rsidRDefault="00547515" w:rsidP="001B1570">
      <w:pPr>
        <w:pStyle w:val="ListParagraph"/>
        <w:numPr>
          <w:ilvl w:val="0"/>
          <w:numId w:val="19"/>
        </w:numPr>
        <w:ind w:left="426" w:hanging="426"/>
        <w:jc w:val="left"/>
        <w:rPr>
          <w:rFonts w:asciiTheme="minorHAnsi" w:hAnsiTheme="minorHAnsi"/>
          <w:lang w:val="fr-CA"/>
        </w:rPr>
      </w:pPr>
      <w:r>
        <w:rPr>
          <w:rFonts w:asciiTheme="minorHAnsi" w:hAnsiTheme="minorHAnsi"/>
          <w:lang w:val="fr-CA"/>
        </w:rPr>
        <w:t xml:space="preserve">Une cérémonie conjointe </w:t>
      </w:r>
      <w:r w:rsidR="00ED7DD6" w:rsidRPr="001466EF">
        <w:rPr>
          <w:rFonts w:asciiTheme="minorHAnsi" w:hAnsiTheme="minorHAnsi"/>
          <w:lang w:val="fr-CA"/>
        </w:rPr>
        <w:t>Ramsar/</w:t>
      </w:r>
      <w:r>
        <w:rPr>
          <w:rFonts w:asciiTheme="minorHAnsi" w:hAnsiTheme="minorHAnsi"/>
          <w:lang w:val="fr-CA"/>
        </w:rPr>
        <w:t>CEE</w:t>
      </w:r>
      <w:r>
        <w:rPr>
          <w:rFonts w:asciiTheme="minorHAnsi" w:hAnsiTheme="minorHAnsi"/>
          <w:lang w:val="fr-CA"/>
        </w:rPr>
        <w:noBreakHyphen/>
        <w:t>ONU</w:t>
      </w:r>
      <w:r w:rsidR="00ED7DD6" w:rsidRPr="001466EF">
        <w:rPr>
          <w:rFonts w:asciiTheme="minorHAnsi" w:hAnsiTheme="minorHAnsi"/>
          <w:lang w:val="fr-CA"/>
        </w:rPr>
        <w:t xml:space="preserve">/FAO </w:t>
      </w:r>
      <w:r w:rsidR="00A0318B" w:rsidRPr="00A0318B">
        <w:rPr>
          <w:rFonts w:asciiTheme="minorHAnsi" w:hAnsiTheme="minorHAnsi"/>
          <w:lang w:val="fr-CA"/>
        </w:rPr>
        <w:t>aura</w:t>
      </w:r>
      <w:r w:rsidRPr="00A0318B">
        <w:rPr>
          <w:rFonts w:asciiTheme="minorHAnsi" w:hAnsiTheme="minorHAnsi"/>
          <w:lang w:val="fr-CA"/>
        </w:rPr>
        <w:t xml:space="preserve"> lieu à l’occasion de la Journée mondiale des forêts, le 21 mars 2016. L’événement </w:t>
      </w:r>
      <w:r w:rsidR="00A0318B" w:rsidRPr="00A0318B">
        <w:rPr>
          <w:rFonts w:asciiTheme="minorHAnsi" w:hAnsiTheme="minorHAnsi"/>
          <w:lang w:val="fr-CA"/>
        </w:rPr>
        <w:t>est</w:t>
      </w:r>
      <w:r w:rsidRPr="00A0318B">
        <w:rPr>
          <w:rFonts w:asciiTheme="minorHAnsi" w:hAnsiTheme="minorHAnsi"/>
          <w:lang w:val="fr-CA"/>
        </w:rPr>
        <w:t xml:space="preserve"> organisé</w:t>
      </w:r>
      <w:r>
        <w:rPr>
          <w:rFonts w:asciiTheme="minorHAnsi" w:hAnsiTheme="minorHAnsi"/>
          <w:lang w:val="fr-CA"/>
        </w:rPr>
        <w:t xml:space="preserve"> conjointement par le Secrétariat de la Convention sur l’eau de la CEE</w:t>
      </w:r>
      <w:r>
        <w:rPr>
          <w:rFonts w:asciiTheme="minorHAnsi" w:hAnsiTheme="minorHAnsi"/>
          <w:lang w:val="fr-CA"/>
        </w:rPr>
        <w:noBreakHyphen/>
        <w:t>ONU</w:t>
      </w:r>
      <w:r w:rsidR="004E2F26">
        <w:rPr>
          <w:rFonts w:asciiTheme="minorHAnsi" w:hAnsiTheme="minorHAnsi"/>
          <w:lang w:val="fr-CA"/>
        </w:rPr>
        <w:t xml:space="preserve">, </w:t>
      </w:r>
      <w:r w:rsidR="004E2F26" w:rsidRPr="000F5647">
        <w:rPr>
          <w:rFonts w:asciiTheme="minorHAnsi" w:hAnsiTheme="minorHAnsi"/>
          <w:lang w:val="fr-CA"/>
        </w:rPr>
        <w:t>l</w:t>
      </w:r>
      <w:r w:rsidR="000F5647" w:rsidRPr="000F5647">
        <w:rPr>
          <w:rFonts w:asciiTheme="minorHAnsi" w:hAnsiTheme="minorHAnsi"/>
          <w:lang w:val="fr-CA"/>
        </w:rPr>
        <w:t>e Comité du logement et de l’aménagement du territoire</w:t>
      </w:r>
      <w:r w:rsidR="004E2F26" w:rsidRPr="000F5647">
        <w:rPr>
          <w:rFonts w:asciiTheme="minorHAnsi" w:hAnsiTheme="minorHAnsi"/>
          <w:lang w:val="fr-CA"/>
        </w:rPr>
        <w:t xml:space="preserve"> de la CEE</w:t>
      </w:r>
      <w:r w:rsidR="004E2F26" w:rsidRPr="000F5647">
        <w:rPr>
          <w:rFonts w:asciiTheme="minorHAnsi" w:hAnsiTheme="minorHAnsi"/>
          <w:lang w:val="fr-CA"/>
        </w:rPr>
        <w:noBreakHyphen/>
        <w:t>ONU</w:t>
      </w:r>
      <w:r w:rsidR="004E2F26">
        <w:rPr>
          <w:rFonts w:asciiTheme="minorHAnsi" w:hAnsiTheme="minorHAnsi"/>
          <w:lang w:val="fr-CA"/>
        </w:rPr>
        <w:t xml:space="preserve">, la FAO et le Secrétariat de la Convention de Ramsar sur les zones humides, avec l’appui des Gouvernements de la Suisse et de la Finlande. L’événement de cette </w:t>
      </w:r>
      <w:r w:rsidR="004E2F26" w:rsidRPr="00A0318B">
        <w:rPr>
          <w:rFonts w:asciiTheme="minorHAnsi" w:hAnsiTheme="minorHAnsi"/>
          <w:lang w:val="fr-CA"/>
        </w:rPr>
        <w:t>année sera organisé</w:t>
      </w:r>
      <w:r w:rsidR="004E2F26">
        <w:rPr>
          <w:rFonts w:asciiTheme="minorHAnsi" w:hAnsiTheme="minorHAnsi"/>
          <w:lang w:val="fr-CA"/>
        </w:rPr>
        <w:t xml:space="preserve"> sur le thème « Les forêts et l’eau » dans le but de sensibiliser aux liens multiples entre les forêts et les sources d’eau. L’expérience de différents pays </w:t>
      </w:r>
      <w:r w:rsidR="00A0318B">
        <w:rPr>
          <w:rFonts w:asciiTheme="minorHAnsi" w:hAnsiTheme="minorHAnsi"/>
          <w:lang w:val="fr-CA"/>
        </w:rPr>
        <w:t>sera présentée de même que</w:t>
      </w:r>
      <w:r w:rsidR="004E2F26">
        <w:rPr>
          <w:rFonts w:asciiTheme="minorHAnsi" w:hAnsiTheme="minorHAnsi"/>
          <w:lang w:val="fr-CA"/>
        </w:rPr>
        <w:t xml:space="preserve"> des études de cas soulignant les services écosystémiques des forêts qui sauvegardent l’équilibre de l’eau et l’approvisionnement en eau </w:t>
      </w:r>
      <w:r w:rsidR="00A0318B">
        <w:rPr>
          <w:rFonts w:asciiTheme="minorHAnsi" w:hAnsiTheme="minorHAnsi"/>
          <w:lang w:val="fr-CA"/>
        </w:rPr>
        <w:t>et</w:t>
      </w:r>
      <w:r w:rsidR="004E2F26">
        <w:rPr>
          <w:rFonts w:asciiTheme="minorHAnsi" w:hAnsiTheme="minorHAnsi"/>
          <w:lang w:val="fr-CA"/>
        </w:rPr>
        <w:t xml:space="preserve"> le rôle des forêts dans le renforcement de la résilience des paysages aux risques relatifs à l’eau. Grâce aux efforts du Secrétariat, le secteur privé présentera également quelques expériences dans le cadre du </w:t>
      </w:r>
      <w:r w:rsidR="00C34775" w:rsidRPr="001466EF">
        <w:rPr>
          <w:rFonts w:asciiTheme="minorHAnsi" w:hAnsiTheme="minorHAnsi"/>
          <w:lang w:val="fr-CA"/>
        </w:rPr>
        <w:t xml:space="preserve">WBCSD.  </w:t>
      </w:r>
    </w:p>
    <w:p w14:paraId="3C0667A5" w14:textId="77777777" w:rsidR="00231D2A" w:rsidRPr="001466EF" w:rsidRDefault="00231D2A" w:rsidP="001B1570">
      <w:pPr>
        <w:autoSpaceDE w:val="0"/>
        <w:autoSpaceDN w:val="0"/>
        <w:adjustRightInd w:val="0"/>
        <w:rPr>
          <w:rStyle w:val="Strong"/>
          <w:rFonts w:asciiTheme="minorHAnsi" w:hAnsiTheme="minorHAnsi"/>
          <w:b w:val="0"/>
          <w:sz w:val="22"/>
          <w:szCs w:val="22"/>
          <w:lang w:val="fr-CA"/>
        </w:rPr>
      </w:pPr>
    </w:p>
    <w:p w14:paraId="3BDE2029" w14:textId="26A879E0" w:rsidR="00095D96" w:rsidRPr="001466EF" w:rsidRDefault="004E2F26" w:rsidP="001B1570">
      <w:pPr>
        <w:pStyle w:val="ListParagraph"/>
        <w:numPr>
          <w:ilvl w:val="0"/>
          <w:numId w:val="19"/>
        </w:numPr>
        <w:autoSpaceDE w:val="0"/>
        <w:autoSpaceDN w:val="0"/>
        <w:adjustRightInd w:val="0"/>
        <w:ind w:left="426" w:hanging="426"/>
        <w:jc w:val="left"/>
        <w:rPr>
          <w:rStyle w:val="Strong"/>
          <w:rFonts w:asciiTheme="minorHAnsi" w:hAnsiTheme="minorHAnsi"/>
          <w:b w:val="0"/>
          <w:lang w:val="fr-CA"/>
        </w:rPr>
      </w:pPr>
      <w:r>
        <w:rPr>
          <w:rStyle w:val="Strong"/>
          <w:rFonts w:asciiTheme="minorHAnsi" w:hAnsiTheme="minorHAnsi"/>
          <w:b w:val="0"/>
          <w:lang w:val="fr-CA"/>
        </w:rPr>
        <w:t>En ce qui concerne la tenue de segments ministériels de haut niveau, le Secrétariat a consulté les Secrétariats de la CMS, de la CDB, de la CITES et de la Convention du patrimoine mondial pour connaître leur expérience. Les avis reçus sont résumés ci</w:t>
      </w:r>
      <w:r>
        <w:rPr>
          <w:rStyle w:val="Strong"/>
          <w:rFonts w:asciiTheme="minorHAnsi" w:hAnsiTheme="minorHAnsi"/>
          <w:b w:val="0"/>
          <w:lang w:val="fr-CA"/>
        </w:rPr>
        <w:noBreakHyphen/>
        <w:t>dessous.</w:t>
      </w:r>
    </w:p>
    <w:p w14:paraId="413DE3A9" w14:textId="5384AB65" w:rsidR="00376DDC" w:rsidRPr="001466EF" w:rsidRDefault="00095D96" w:rsidP="001B1570">
      <w:pPr>
        <w:autoSpaceDE w:val="0"/>
        <w:autoSpaceDN w:val="0"/>
        <w:adjustRightInd w:val="0"/>
        <w:ind w:left="426" w:hanging="426"/>
        <w:rPr>
          <w:rStyle w:val="Strong"/>
          <w:rFonts w:asciiTheme="minorHAnsi" w:hAnsiTheme="minorHAnsi"/>
          <w:b w:val="0"/>
          <w:sz w:val="22"/>
          <w:szCs w:val="22"/>
          <w:lang w:val="fr-CA"/>
        </w:rPr>
      </w:pPr>
      <w:r w:rsidRPr="001466EF">
        <w:rPr>
          <w:rStyle w:val="Strong"/>
          <w:rFonts w:asciiTheme="minorHAnsi" w:hAnsiTheme="minorHAnsi"/>
          <w:b w:val="0"/>
          <w:sz w:val="22"/>
          <w:szCs w:val="22"/>
          <w:lang w:val="fr-CA"/>
        </w:rPr>
        <w:t xml:space="preserve">   </w:t>
      </w:r>
      <w:r w:rsidR="005D6089" w:rsidRPr="001466EF">
        <w:rPr>
          <w:rStyle w:val="Strong"/>
          <w:rFonts w:asciiTheme="minorHAnsi" w:hAnsiTheme="minorHAnsi"/>
          <w:b w:val="0"/>
          <w:sz w:val="22"/>
          <w:szCs w:val="22"/>
          <w:lang w:val="fr-CA"/>
        </w:rPr>
        <w:t xml:space="preserve">  </w:t>
      </w:r>
    </w:p>
    <w:p w14:paraId="08FB5C7D" w14:textId="5D8740AF" w:rsidR="00095D96" w:rsidRPr="001466EF" w:rsidRDefault="00095D96" w:rsidP="00AD7171">
      <w:pPr>
        <w:autoSpaceDE w:val="0"/>
        <w:autoSpaceDN w:val="0"/>
        <w:adjustRightInd w:val="0"/>
        <w:rPr>
          <w:rStyle w:val="Strong"/>
          <w:rFonts w:asciiTheme="minorHAnsi" w:hAnsiTheme="minorHAnsi"/>
          <w:sz w:val="22"/>
          <w:szCs w:val="22"/>
          <w:lang w:val="fr-CA"/>
        </w:rPr>
      </w:pPr>
      <w:r w:rsidRPr="001466EF">
        <w:rPr>
          <w:rStyle w:val="Strong"/>
          <w:rFonts w:asciiTheme="minorHAnsi" w:hAnsiTheme="minorHAnsi"/>
          <w:sz w:val="22"/>
          <w:szCs w:val="22"/>
          <w:lang w:val="fr-CA"/>
        </w:rPr>
        <w:t xml:space="preserve">Nature </w:t>
      </w:r>
      <w:r w:rsidR="004E2F26">
        <w:rPr>
          <w:rStyle w:val="Strong"/>
          <w:rFonts w:asciiTheme="minorHAnsi" w:hAnsiTheme="minorHAnsi"/>
          <w:sz w:val="22"/>
          <w:szCs w:val="22"/>
          <w:lang w:val="fr-CA"/>
        </w:rPr>
        <w:t xml:space="preserve">du segment ministériel de haut niveau et principaux résultats </w:t>
      </w:r>
    </w:p>
    <w:p w14:paraId="63662871" w14:textId="77777777" w:rsidR="00095D96" w:rsidRPr="001466EF" w:rsidRDefault="00095D96" w:rsidP="001B1570">
      <w:pPr>
        <w:autoSpaceDE w:val="0"/>
        <w:autoSpaceDN w:val="0"/>
        <w:adjustRightInd w:val="0"/>
        <w:ind w:left="426" w:hanging="426"/>
        <w:rPr>
          <w:rStyle w:val="Strong"/>
          <w:rFonts w:asciiTheme="minorHAnsi" w:hAnsiTheme="minorHAnsi"/>
          <w:b w:val="0"/>
          <w:sz w:val="22"/>
          <w:szCs w:val="22"/>
          <w:lang w:val="fr-CA"/>
        </w:rPr>
      </w:pPr>
    </w:p>
    <w:p w14:paraId="6370CFD8" w14:textId="6A5E30C5" w:rsidR="00C73EC1" w:rsidRPr="001466EF" w:rsidRDefault="004E2F26" w:rsidP="001B1570">
      <w:pPr>
        <w:pStyle w:val="Default"/>
        <w:numPr>
          <w:ilvl w:val="0"/>
          <w:numId w:val="19"/>
        </w:numPr>
        <w:ind w:left="426" w:hanging="426"/>
        <w:rPr>
          <w:rStyle w:val="Strong"/>
          <w:rFonts w:asciiTheme="minorHAnsi" w:hAnsiTheme="minorHAnsi"/>
          <w:b w:val="0"/>
          <w:sz w:val="22"/>
          <w:szCs w:val="22"/>
          <w:lang w:val="fr-CA"/>
        </w:rPr>
      </w:pPr>
      <w:r>
        <w:rPr>
          <w:rStyle w:val="Strong"/>
          <w:rFonts w:asciiTheme="minorHAnsi" w:hAnsiTheme="minorHAnsi"/>
          <w:b w:val="0"/>
          <w:sz w:val="22"/>
          <w:szCs w:val="22"/>
          <w:lang w:val="fr-CA"/>
        </w:rPr>
        <w:t xml:space="preserve">À l’exception de la CDB, pour toutes les autres conventions, les segments sont souvent des groupes ministériels de haut niveau ou des tables rondes ministérielles dans le but de discuter de questions thématiques spécifiques. Un segment peut avoir lieu avant ou à la fin des réunions </w:t>
      </w:r>
      <w:r>
        <w:rPr>
          <w:rStyle w:val="Strong"/>
          <w:rFonts w:asciiTheme="minorHAnsi" w:hAnsiTheme="minorHAnsi"/>
          <w:b w:val="0"/>
          <w:sz w:val="22"/>
          <w:szCs w:val="22"/>
          <w:lang w:val="fr-CA"/>
        </w:rPr>
        <w:lastRenderedPageBreak/>
        <w:t xml:space="preserve">de la COP ou de comités, ce qui </w:t>
      </w:r>
      <w:r w:rsidR="00A05867">
        <w:rPr>
          <w:rStyle w:val="Strong"/>
          <w:rFonts w:asciiTheme="minorHAnsi" w:hAnsiTheme="minorHAnsi"/>
          <w:b w:val="0"/>
          <w:sz w:val="22"/>
          <w:szCs w:val="22"/>
          <w:lang w:val="fr-CA"/>
        </w:rPr>
        <w:t>a</w:t>
      </w:r>
      <w:r>
        <w:rPr>
          <w:rStyle w:val="Strong"/>
          <w:rFonts w:asciiTheme="minorHAnsi" w:hAnsiTheme="minorHAnsi"/>
          <w:b w:val="0"/>
          <w:sz w:val="22"/>
          <w:szCs w:val="22"/>
          <w:lang w:val="fr-CA"/>
        </w:rPr>
        <w:t xml:space="preserve"> dans chaque cas des avantages et des inconvénients. </w:t>
      </w:r>
      <w:r w:rsidR="00A0318B">
        <w:rPr>
          <w:rStyle w:val="Strong"/>
          <w:rFonts w:asciiTheme="minorHAnsi" w:hAnsiTheme="minorHAnsi"/>
          <w:b w:val="0"/>
          <w:sz w:val="22"/>
          <w:szCs w:val="22"/>
          <w:lang w:val="fr-CA"/>
        </w:rPr>
        <w:t>Pour</w:t>
      </w:r>
      <w:r>
        <w:rPr>
          <w:rStyle w:val="Strong"/>
          <w:rFonts w:asciiTheme="minorHAnsi" w:hAnsiTheme="minorHAnsi"/>
          <w:b w:val="0"/>
          <w:sz w:val="22"/>
          <w:szCs w:val="22"/>
          <w:lang w:val="fr-CA"/>
        </w:rPr>
        <w:t xml:space="preserve"> certains, il vaut mieux que ces segments aient lieu avant la réunion principale afin d’apporter une contribution à des questions pertinentes qui seront traitées lors de la réunion. D’autres considèrent qu’il vaut mieux que le segment ait lieu à la fin, en vue d’inclure des questions pertinentes dans les conclusions.</w:t>
      </w:r>
      <w:r w:rsidR="007613B5" w:rsidRPr="001466EF">
        <w:rPr>
          <w:rStyle w:val="Strong"/>
          <w:rFonts w:asciiTheme="minorHAnsi" w:hAnsiTheme="minorHAnsi"/>
          <w:b w:val="0"/>
          <w:sz w:val="22"/>
          <w:szCs w:val="22"/>
          <w:lang w:val="fr-CA"/>
        </w:rPr>
        <w:t xml:space="preserve">       </w:t>
      </w:r>
    </w:p>
    <w:p w14:paraId="5B55009E" w14:textId="77777777" w:rsidR="007613B5" w:rsidRPr="001466EF" w:rsidRDefault="007613B5" w:rsidP="001B1570">
      <w:pPr>
        <w:autoSpaceDE w:val="0"/>
        <w:autoSpaceDN w:val="0"/>
        <w:adjustRightInd w:val="0"/>
        <w:ind w:left="426" w:hanging="426"/>
        <w:rPr>
          <w:rStyle w:val="Strong"/>
          <w:rFonts w:asciiTheme="minorHAnsi" w:hAnsiTheme="minorHAnsi"/>
          <w:b w:val="0"/>
          <w:sz w:val="22"/>
          <w:szCs w:val="22"/>
          <w:lang w:val="fr-CA"/>
        </w:rPr>
      </w:pPr>
    </w:p>
    <w:p w14:paraId="3ECDCF96" w14:textId="1A3BD857" w:rsidR="00462967" w:rsidRPr="001466EF" w:rsidRDefault="004E2F26" w:rsidP="001B1570">
      <w:pPr>
        <w:pStyle w:val="ListParagraph"/>
        <w:numPr>
          <w:ilvl w:val="0"/>
          <w:numId w:val="19"/>
        </w:numPr>
        <w:autoSpaceDE w:val="0"/>
        <w:autoSpaceDN w:val="0"/>
        <w:adjustRightInd w:val="0"/>
        <w:ind w:left="426" w:hanging="426"/>
        <w:jc w:val="left"/>
        <w:rPr>
          <w:rStyle w:val="Strong"/>
          <w:rFonts w:asciiTheme="minorHAnsi" w:hAnsiTheme="minorHAnsi"/>
          <w:b w:val="0"/>
          <w:lang w:val="fr-CA"/>
        </w:rPr>
      </w:pPr>
      <w:r>
        <w:rPr>
          <w:rStyle w:val="Strong"/>
          <w:rFonts w:asciiTheme="minorHAnsi" w:hAnsiTheme="minorHAnsi"/>
          <w:b w:val="0"/>
          <w:lang w:val="fr-CA"/>
        </w:rPr>
        <w:t xml:space="preserve">Dans le cas de segments ministériels de haut niveau, les principaux résultats sont souvent l’adoption de déclarations distinctes des négociations des sessions d’une COP. Pour les </w:t>
      </w:r>
      <w:r w:rsidRPr="00A0318B">
        <w:rPr>
          <w:rStyle w:val="Strong"/>
          <w:rFonts w:asciiTheme="minorHAnsi" w:hAnsiTheme="minorHAnsi"/>
          <w:b w:val="0"/>
          <w:lang w:val="fr-CA"/>
        </w:rPr>
        <w:t>groupes</w:t>
      </w:r>
      <w:r w:rsidR="00A0318B">
        <w:rPr>
          <w:rStyle w:val="Strong"/>
          <w:rFonts w:asciiTheme="minorHAnsi" w:hAnsiTheme="minorHAnsi"/>
          <w:b w:val="0"/>
          <w:lang w:val="fr-CA"/>
        </w:rPr>
        <w:t xml:space="preserve"> ministériels</w:t>
      </w:r>
      <w:r w:rsidRPr="00A0318B">
        <w:rPr>
          <w:rStyle w:val="Strong"/>
          <w:rFonts w:asciiTheme="minorHAnsi" w:hAnsiTheme="minorHAnsi"/>
          <w:b w:val="0"/>
          <w:lang w:val="fr-CA"/>
        </w:rPr>
        <w:t xml:space="preserve"> de haut niveau</w:t>
      </w:r>
      <w:r>
        <w:rPr>
          <w:rStyle w:val="Strong"/>
          <w:rFonts w:asciiTheme="minorHAnsi" w:hAnsiTheme="minorHAnsi"/>
          <w:b w:val="0"/>
          <w:lang w:val="fr-CA"/>
        </w:rPr>
        <w:t xml:space="preserve"> ou les tables rondes ministérielles, les principaux résultats revêtent la forme d’une déclaration du président du segment ou de déclarations conjointes.</w:t>
      </w:r>
    </w:p>
    <w:p w14:paraId="70BC19BF" w14:textId="77777777" w:rsidR="00A8161A" w:rsidRPr="001466EF" w:rsidRDefault="00A8161A" w:rsidP="001B1570">
      <w:pPr>
        <w:pStyle w:val="ListParagraph"/>
        <w:jc w:val="left"/>
        <w:rPr>
          <w:rStyle w:val="Strong"/>
          <w:rFonts w:asciiTheme="minorHAnsi" w:hAnsiTheme="minorHAnsi"/>
          <w:b w:val="0"/>
          <w:highlight w:val="yellow"/>
          <w:lang w:val="fr-CA"/>
        </w:rPr>
      </w:pPr>
    </w:p>
    <w:p w14:paraId="67E5BEC9" w14:textId="1C95147B" w:rsidR="00A8161A" w:rsidRPr="001466EF" w:rsidRDefault="004E2F26" w:rsidP="001B1570">
      <w:pPr>
        <w:pStyle w:val="ListParagraph"/>
        <w:numPr>
          <w:ilvl w:val="0"/>
          <w:numId w:val="19"/>
        </w:numPr>
        <w:ind w:left="426" w:hanging="426"/>
        <w:jc w:val="left"/>
        <w:rPr>
          <w:rFonts w:asciiTheme="minorHAnsi" w:hAnsiTheme="minorHAnsi" w:cstheme="minorHAnsi"/>
          <w:bCs/>
          <w:lang w:val="fr-CA"/>
        </w:rPr>
      </w:pPr>
      <w:r>
        <w:rPr>
          <w:rFonts w:asciiTheme="minorHAnsi" w:hAnsiTheme="minorHAnsi" w:cstheme="minorHAnsi"/>
          <w:bCs/>
          <w:lang w:val="fr-CA"/>
        </w:rPr>
        <w:t>En général, il est considéré que les segments de haut niveau (groupes ministériels de haut niveau ou tables rondes ministérielles) offrent la possibilité d’améliorer la visibilité, l’appui politique et l’impact des conventions. Toutefois, une des principales difficultés consiste à garantir la présence des ministres pertinents.</w:t>
      </w:r>
      <w:r w:rsidR="001D267A" w:rsidRPr="001466EF">
        <w:rPr>
          <w:rFonts w:asciiTheme="minorHAnsi" w:hAnsiTheme="minorHAnsi" w:cstheme="minorHAnsi"/>
          <w:bCs/>
          <w:lang w:val="fr-CA"/>
        </w:rPr>
        <w:t xml:space="preserve">  </w:t>
      </w:r>
    </w:p>
    <w:p w14:paraId="689AD07F" w14:textId="77777777" w:rsidR="00462967" w:rsidRPr="001466EF" w:rsidRDefault="00462967" w:rsidP="001B1570">
      <w:pPr>
        <w:autoSpaceDE w:val="0"/>
        <w:autoSpaceDN w:val="0"/>
        <w:adjustRightInd w:val="0"/>
        <w:ind w:left="426" w:hanging="426"/>
        <w:rPr>
          <w:rStyle w:val="Strong"/>
          <w:rFonts w:asciiTheme="minorHAnsi" w:hAnsiTheme="minorHAnsi"/>
          <w:b w:val="0"/>
          <w:sz w:val="22"/>
          <w:szCs w:val="22"/>
          <w:lang w:val="fr-CA"/>
        </w:rPr>
      </w:pPr>
    </w:p>
    <w:p w14:paraId="163D83F6" w14:textId="3038B5E5" w:rsidR="00462967" w:rsidRPr="001466EF" w:rsidRDefault="00462967" w:rsidP="000B6927">
      <w:pPr>
        <w:autoSpaceDE w:val="0"/>
        <w:autoSpaceDN w:val="0"/>
        <w:adjustRightInd w:val="0"/>
        <w:rPr>
          <w:rStyle w:val="Strong"/>
          <w:rFonts w:asciiTheme="minorHAnsi" w:hAnsiTheme="minorHAnsi"/>
          <w:sz w:val="22"/>
          <w:szCs w:val="22"/>
          <w:lang w:val="fr-CA"/>
        </w:rPr>
      </w:pPr>
      <w:r w:rsidRPr="001466EF">
        <w:rPr>
          <w:rStyle w:val="Strong"/>
          <w:rFonts w:asciiTheme="minorHAnsi" w:hAnsiTheme="minorHAnsi"/>
          <w:sz w:val="22"/>
          <w:szCs w:val="22"/>
          <w:lang w:val="fr-CA"/>
        </w:rPr>
        <w:t>Organi</w:t>
      </w:r>
      <w:r w:rsidR="004E2F26">
        <w:rPr>
          <w:rStyle w:val="Strong"/>
          <w:rFonts w:asciiTheme="minorHAnsi" w:hAnsiTheme="minorHAnsi"/>
          <w:sz w:val="22"/>
          <w:szCs w:val="22"/>
          <w:lang w:val="fr-CA"/>
        </w:rPr>
        <w:t>s</w:t>
      </w:r>
      <w:r w:rsidRPr="001466EF">
        <w:rPr>
          <w:rStyle w:val="Strong"/>
          <w:rFonts w:asciiTheme="minorHAnsi" w:hAnsiTheme="minorHAnsi"/>
          <w:sz w:val="22"/>
          <w:szCs w:val="22"/>
          <w:lang w:val="fr-CA"/>
        </w:rPr>
        <w:t xml:space="preserve">ation </w:t>
      </w:r>
      <w:r w:rsidR="004E2F26">
        <w:rPr>
          <w:rStyle w:val="Strong"/>
          <w:rFonts w:asciiTheme="minorHAnsi" w:hAnsiTheme="minorHAnsi"/>
          <w:sz w:val="22"/>
          <w:szCs w:val="22"/>
          <w:lang w:val="fr-CA"/>
        </w:rPr>
        <w:t>et coût</w:t>
      </w:r>
    </w:p>
    <w:p w14:paraId="76C1E1EB" w14:textId="77777777" w:rsidR="00462967" w:rsidRPr="001466EF" w:rsidRDefault="00462967" w:rsidP="001B1570">
      <w:pPr>
        <w:autoSpaceDE w:val="0"/>
        <w:autoSpaceDN w:val="0"/>
        <w:adjustRightInd w:val="0"/>
        <w:ind w:left="426" w:hanging="426"/>
        <w:rPr>
          <w:rStyle w:val="Strong"/>
          <w:rFonts w:asciiTheme="minorHAnsi" w:hAnsiTheme="minorHAnsi"/>
          <w:b w:val="0"/>
          <w:sz w:val="22"/>
          <w:szCs w:val="22"/>
          <w:lang w:val="fr-CA"/>
        </w:rPr>
      </w:pPr>
    </w:p>
    <w:p w14:paraId="0232148F" w14:textId="2A728F80" w:rsidR="00936945" w:rsidRPr="001466EF" w:rsidRDefault="004E2F26" w:rsidP="001B1570">
      <w:pPr>
        <w:pStyle w:val="ListParagraph"/>
        <w:numPr>
          <w:ilvl w:val="0"/>
          <w:numId w:val="19"/>
        </w:numPr>
        <w:autoSpaceDE w:val="0"/>
        <w:autoSpaceDN w:val="0"/>
        <w:adjustRightInd w:val="0"/>
        <w:ind w:left="426" w:hanging="426"/>
        <w:jc w:val="left"/>
        <w:rPr>
          <w:lang w:val="fr-CA"/>
        </w:rPr>
      </w:pPr>
      <w:r>
        <w:rPr>
          <w:rStyle w:val="Strong"/>
          <w:rFonts w:asciiTheme="minorHAnsi" w:hAnsiTheme="minorHAnsi"/>
          <w:b w:val="0"/>
          <w:lang w:val="fr-CA"/>
        </w:rPr>
        <w:t xml:space="preserve">Dans tous les cas, les segments ministériels de haut niveau ou les groupes ministériels de haut niveau/tables rondes ministérielles sont organisés et financés par le pays hôte. Les Secrétariats collaborent à la préparation de l’ordre du jour mais en général tous les aspects de la logistique et du protocole, y compris les invitations, sont préparés par le pays hôte. </w:t>
      </w:r>
    </w:p>
    <w:sectPr w:rsidR="00936945" w:rsidRPr="001466EF" w:rsidSect="00625F54">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CB5A4" w14:textId="77777777" w:rsidR="00A30ADF" w:rsidRDefault="00A30ADF" w:rsidP="00FF697B">
      <w:r>
        <w:separator/>
      </w:r>
    </w:p>
  </w:endnote>
  <w:endnote w:type="continuationSeparator" w:id="0">
    <w:p w14:paraId="5A32528A" w14:textId="77777777" w:rsidR="00A30ADF" w:rsidRDefault="00A30ADF" w:rsidP="00FF697B">
      <w:r>
        <w:continuationSeparator/>
      </w:r>
    </w:p>
  </w:endnote>
  <w:endnote w:type="continuationNotice" w:id="1">
    <w:p w14:paraId="19F486E9" w14:textId="77777777" w:rsidR="00A30ADF" w:rsidRDefault="00A3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486939314"/>
      <w:docPartObj>
        <w:docPartGallery w:val="Page Numbers (Bottom of Page)"/>
        <w:docPartUnique/>
      </w:docPartObj>
    </w:sdtPr>
    <w:sdtEndPr/>
    <w:sdtContent>
      <w:p w14:paraId="20FC02BB" w14:textId="1E4450C0" w:rsidR="006368E9" w:rsidRPr="002714E9" w:rsidRDefault="006368E9" w:rsidP="00625F54">
        <w:pPr>
          <w:pStyle w:val="Footer"/>
          <w:tabs>
            <w:tab w:val="clear" w:pos="9360"/>
            <w:tab w:val="right" w:pos="4680"/>
            <w:tab w:val="right" w:pos="9072"/>
          </w:tabs>
          <w:rPr>
            <w:rFonts w:asciiTheme="minorHAnsi" w:hAnsiTheme="minorHAnsi"/>
            <w:sz w:val="20"/>
            <w:szCs w:val="20"/>
          </w:rPr>
        </w:pPr>
        <w:r>
          <w:rPr>
            <w:rFonts w:asciiTheme="minorHAnsi" w:hAnsiTheme="minorHAnsi"/>
            <w:sz w:val="20"/>
            <w:szCs w:val="20"/>
          </w:rPr>
          <w:t>SC5</w:t>
        </w:r>
        <w:r w:rsidR="00F156CB">
          <w:rPr>
            <w:rFonts w:asciiTheme="minorHAnsi" w:hAnsiTheme="minorHAnsi"/>
            <w:sz w:val="20"/>
            <w:szCs w:val="20"/>
          </w:rPr>
          <w:t>2</w:t>
        </w:r>
        <w:r>
          <w:rPr>
            <w:rFonts w:asciiTheme="minorHAnsi" w:hAnsiTheme="minorHAnsi"/>
            <w:sz w:val="20"/>
            <w:szCs w:val="20"/>
          </w:rPr>
          <w:t>-</w:t>
        </w:r>
        <w:r w:rsidR="00625F54">
          <w:rPr>
            <w:rFonts w:asciiTheme="minorHAnsi" w:hAnsiTheme="minorHAnsi"/>
            <w:sz w:val="20"/>
            <w:szCs w:val="20"/>
          </w:rPr>
          <w:t>15</w:t>
        </w:r>
        <w:r w:rsidR="00625F54">
          <w:rPr>
            <w:rFonts w:asciiTheme="minorHAnsi" w:hAnsiTheme="minorHAnsi"/>
            <w:sz w:val="20"/>
            <w:szCs w:val="20"/>
          </w:rPr>
          <w:tab/>
        </w:r>
        <w:r w:rsidR="00625F54">
          <w:rPr>
            <w:rFonts w:asciiTheme="minorHAnsi" w:hAnsiTheme="minorHAnsi"/>
            <w:sz w:val="20"/>
            <w:szCs w:val="20"/>
          </w:rPr>
          <w:tab/>
        </w:r>
        <w:r w:rsidR="00625F54" w:rsidRPr="00625F54">
          <w:rPr>
            <w:rFonts w:asciiTheme="minorHAnsi" w:hAnsiTheme="minorHAnsi"/>
            <w:sz w:val="20"/>
            <w:szCs w:val="20"/>
          </w:rPr>
          <w:fldChar w:fldCharType="begin"/>
        </w:r>
        <w:r w:rsidR="00625F54" w:rsidRPr="00625F54">
          <w:rPr>
            <w:rFonts w:asciiTheme="minorHAnsi" w:hAnsiTheme="minorHAnsi"/>
            <w:sz w:val="20"/>
            <w:szCs w:val="20"/>
          </w:rPr>
          <w:instrText xml:space="preserve"> PAGE   \* MERGEFORMAT </w:instrText>
        </w:r>
        <w:r w:rsidR="00625F54" w:rsidRPr="00625F54">
          <w:rPr>
            <w:rFonts w:asciiTheme="minorHAnsi" w:hAnsiTheme="minorHAnsi"/>
            <w:sz w:val="20"/>
            <w:szCs w:val="20"/>
          </w:rPr>
          <w:fldChar w:fldCharType="separate"/>
        </w:r>
        <w:r w:rsidR="003820AD">
          <w:rPr>
            <w:rFonts w:asciiTheme="minorHAnsi" w:hAnsiTheme="minorHAnsi"/>
            <w:noProof/>
            <w:sz w:val="20"/>
            <w:szCs w:val="20"/>
          </w:rPr>
          <w:t>2</w:t>
        </w:r>
        <w:r w:rsidR="00625F54" w:rsidRPr="00625F54">
          <w:rPr>
            <w:rFonts w:asciiTheme="minorHAnsi" w:hAnsiTheme="minorHAnsi"/>
            <w:noProof/>
            <w:sz w:val="20"/>
            <w:szCs w:val="20"/>
          </w:rPr>
          <w:fldChar w:fldCharType="end"/>
        </w:r>
        <w:r>
          <w:rPr>
            <w:rFonts w:asciiTheme="minorHAnsi" w:hAnsiTheme="minorHAnsi"/>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3DB52" w14:textId="77777777" w:rsidR="00A30ADF" w:rsidRDefault="00A30ADF" w:rsidP="00FF697B">
      <w:r>
        <w:separator/>
      </w:r>
    </w:p>
  </w:footnote>
  <w:footnote w:type="continuationSeparator" w:id="0">
    <w:p w14:paraId="7FA7517C" w14:textId="77777777" w:rsidR="00A30ADF" w:rsidRDefault="00A30ADF" w:rsidP="00FF697B">
      <w:r>
        <w:continuationSeparator/>
      </w:r>
    </w:p>
  </w:footnote>
  <w:footnote w:type="continuationNotice" w:id="1">
    <w:p w14:paraId="57E44B75" w14:textId="77777777" w:rsidR="00A30ADF" w:rsidRDefault="00A30A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F2E"/>
    <w:multiLevelType w:val="hybridMultilevel"/>
    <w:tmpl w:val="98A0BFD8"/>
    <w:lvl w:ilvl="0" w:tplc="6DEEB5FE">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52D0B"/>
    <w:multiLevelType w:val="hybridMultilevel"/>
    <w:tmpl w:val="8C38CF18"/>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4334E"/>
    <w:multiLevelType w:val="hybridMultilevel"/>
    <w:tmpl w:val="D2964664"/>
    <w:lvl w:ilvl="0" w:tplc="E894F936">
      <w:start w:val="1"/>
      <w:numFmt w:val="decimal"/>
      <w:lvlText w:val="%1."/>
      <w:lvlJc w:val="left"/>
      <w:pPr>
        <w:ind w:left="644" w:hanging="360"/>
      </w:pPr>
      <w:rPr>
        <w:rFonts w:asciiTheme="minorHAnsi" w:hAnsiTheme="minorHAnsi" w:hint="default"/>
        <w:b w:val="0"/>
        <w:i w:val="0"/>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909173C"/>
    <w:multiLevelType w:val="hybridMultilevel"/>
    <w:tmpl w:val="FF449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7A5F5D"/>
    <w:multiLevelType w:val="hybridMultilevel"/>
    <w:tmpl w:val="08CCE2C2"/>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1F3E75"/>
    <w:multiLevelType w:val="hybridMultilevel"/>
    <w:tmpl w:val="6D62D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A91C17"/>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nsid w:val="29C17C4C"/>
    <w:multiLevelType w:val="hybridMultilevel"/>
    <w:tmpl w:val="8640EB7C"/>
    <w:lvl w:ilvl="0" w:tplc="0C0C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nsid w:val="2DDD3985"/>
    <w:multiLevelType w:val="hybridMultilevel"/>
    <w:tmpl w:val="D87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nsid w:val="303C3254"/>
    <w:multiLevelType w:val="hybridMultilevel"/>
    <w:tmpl w:val="1268832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5C184B"/>
    <w:multiLevelType w:val="hybridMultilevel"/>
    <w:tmpl w:val="A1B89946"/>
    <w:lvl w:ilvl="0" w:tplc="05947E0A">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ED3A1A"/>
    <w:multiLevelType w:val="hybridMultilevel"/>
    <w:tmpl w:val="1E46C4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462977"/>
    <w:multiLevelType w:val="hybridMultilevel"/>
    <w:tmpl w:val="C71E5C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51DB6"/>
    <w:multiLevelType w:val="hybridMultilevel"/>
    <w:tmpl w:val="08CCE2C2"/>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1"/>
  </w:num>
  <w:num w:numId="3">
    <w:abstractNumId w:val="13"/>
  </w:num>
  <w:num w:numId="4">
    <w:abstractNumId w:val="2"/>
  </w:num>
  <w:num w:numId="5">
    <w:abstractNumId w:val="9"/>
  </w:num>
  <w:num w:numId="6">
    <w:abstractNumId w:val="5"/>
  </w:num>
  <w:num w:numId="7">
    <w:abstractNumId w:val="26"/>
  </w:num>
  <w:num w:numId="8">
    <w:abstractNumId w:val="4"/>
  </w:num>
  <w:num w:numId="9">
    <w:abstractNumId w:val="11"/>
  </w:num>
  <w:num w:numId="10">
    <w:abstractNumId w:val="31"/>
  </w:num>
  <w:num w:numId="11">
    <w:abstractNumId w:val="19"/>
  </w:num>
  <w:num w:numId="12">
    <w:abstractNumId w:val="27"/>
  </w:num>
  <w:num w:numId="13">
    <w:abstractNumId w:val="24"/>
  </w:num>
  <w:num w:numId="14">
    <w:abstractNumId w:val="8"/>
  </w:num>
  <w:num w:numId="15">
    <w:abstractNumId w:val="33"/>
  </w:num>
  <w:num w:numId="16">
    <w:abstractNumId w:val="34"/>
  </w:num>
  <w:num w:numId="17">
    <w:abstractNumId w:val="10"/>
  </w:num>
  <w:num w:numId="18">
    <w:abstractNumId w:val="35"/>
  </w:num>
  <w:num w:numId="19">
    <w:abstractNumId w:val="3"/>
  </w:num>
  <w:num w:numId="20">
    <w:abstractNumId w:val="32"/>
  </w:num>
  <w:num w:numId="21">
    <w:abstractNumId w:val="28"/>
  </w:num>
  <w:num w:numId="22">
    <w:abstractNumId w:val="20"/>
  </w:num>
  <w:num w:numId="23">
    <w:abstractNumId w:val="22"/>
  </w:num>
  <w:num w:numId="24">
    <w:abstractNumId w:val="17"/>
  </w:num>
  <w:num w:numId="25">
    <w:abstractNumId w:val="14"/>
  </w:num>
  <w:num w:numId="26">
    <w:abstractNumId w:val="0"/>
  </w:num>
  <w:num w:numId="27">
    <w:abstractNumId w:val="6"/>
  </w:num>
  <w:num w:numId="28">
    <w:abstractNumId w:val="25"/>
  </w:num>
  <w:num w:numId="29">
    <w:abstractNumId w:val="12"/>
  </w:num>
  <w:num w:numId="30">
    <w:abstractNumId w:val="23"/>
  </w:num>
  <w:num w:numId="31">
    <w:abstractNumId w:val="30"/>
  </w:num>
  <w:num w:numId="32">
    <w:abstractNumId w:val="16"/>
  </w:num>
  <w:num w:numId="33">
    <w:abstractNumId w:val="1"/>
  </w:num>
  <w:num w:numId="34">
    <w:abstractNumId w:val="7"/>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4AA1"/>
    <w:rsid w:val="000119F7"/>
    <w:rsid w:val="00015F2A"/>
    <w:rsid w:val="00032C51"/>
    <w:rsid w:val="00033522"/>
    <w:rsid w:val="00041AFD"/>
    <w:rsid w:val="00051CDC"/>
    <w:rsid w:val="0005674C"/>
    <w:rsid w:val="00057770"/>
    <w:rsid w:val="0007167A"/>
    <w:rsid w:val="000728A7"/>
    <w:rsid w:val="00073599"/>
    <w:rsid w:val="0007671F"/>
    <w:rsid w:val="00080B42"/>
    <w:rsid w:val="000815CF"/>
    <w:rsid w:val="00081961"/>
    <w:rsid w:val="00092540"/>
    <w:rsid w:val="00094BDE"/>
    <w:rsid w:val="00095D96"/>
    <w:rsid w:val="000A170F"/>
    <w:rsid w:val="000A5223"/>
    <w:rsid w:val="000A6728"/>
    <w:rsid w:val="000A6883"/>
    <w:rsid w:val="000B3C8C"/>
    <w:rsid w:val="000B4FCC"/>
    <w:rsid w:val="000B6927"/>
    <w:rsid w:val="000C15BC"/>
    <w:rsid w:val="000C47C6"/>
    <w:rsid w:val="000C7803"/>
    <w:rsid w:val="000E0DD8"/>
    <w:rsid w:val="000E19EC"/>
    <w:rsid w:val="000F1D6E"/>
    <w:rsid w:val="000F5647"/>
    <w:rsid w:val="001006BE"/>
    <w:rsid w:val="00100888"/>
    <w:rsid w:val="00104BBE"/>
    <w:rsid w:val="0010584A"/>
    <w:rsid w:val="0011563D"/>
    <w:rsid w:val="00117941"/>
    <w:rsid w:val="001233DE"/>
    <w:rsid w:val="00127184"/>
    <w:rsid w:val="0013075D"/>
    <w:rsid w:val="001348B6"/>
    <w:rsid w:val="0013737A"/>
    <w:rsid w:val="00141F99"/>
    <w:rsid w:val="001466EF"/>
    <w:rsid w:val="00146F43"/>
    <w:rsid w:val="00172DDC"/>
    <w:rsid w:val="0017359A"/>
    <w:rsid w:val="00174630"/>
    <w:rsid w:val="001803EE"/>
    <w:rsid w:val="00183A30"/>
    <w:rsid w:val="00191F11"/>
    <w:rsid w:val="00194C48"/>
    <w:rsid w:val="00196C03"/>
    <w:rsid w:val="001A0160"/>
    <w:rsid w:val="001A6258"/>
    <w:rsid w:val="001B1570"/>
    <w:rsid w:val="001C02DA"/>
    <w:rsid w:val="001C3563"/>
    <w:rsid w:val="001C64CD"/>
    <w:rsid w:val="001C7254"/>
    <w:rsid w:val="001D0F43"/>
    <w:rsid w:val="001D265C"/>
    <w:rsid w:val="001D267A"/>
    <w:rsid w:val="001D2EF9"/>
    <w:rsid w:val="001D4A5C"/>
    <w:rsid w:val="001E3547"/>
    <w:rsid w:val="001F1FBB"/>
    <w:rsid w:val="00212D24"/>
    <w:rsid w:val="00231D2A"/>
    <w:rsid w:val="00243645"/>
    <w:rsid w:val="002447E7"/>
    <w:rsid w:val="00250F64"/>
    <w:rsid w:val="002514F1"/>
    <w:rsid w:val="00254868"/>
    <w:rsid w:val="002646FA"/>
    <w:rsid w:val="002660B1"/>
    <w:rsid w:val="002714E9"/>
    <w:rsid w:val="002835A3"/>
    <w:rsid w:val="002934B0"/>
    <w:rsid w:val="002953F3"/>
    <w:rsid w:val="002A0507"/>
    <w:rsid w:val="002A65F4"/>
    <w:rsid w:val="002B1E27"/>
    <w:rsid w:val="002B42B8"/>
    <w:rsid w:val="002B4F2F"/>
    <w:rsid w:val="002B7D26"/>
    <w:rsid w:val="002C0479"/>
    <w:rsid w:val="002C0555"/>
    <w:rsid w:val="002C1151"/>
    <w:rsid w:val="002C537A"/>
    <w:rsid w:val="002C6A41"/>
    <w:rsid w:val="002D6856"/>
    <w:rsid w:val="002E64DF"/>
    <w:rsid w:val="002F58A7"/>
    <w:rsid w:val="0032502F"/>
    <w:rsid w:val="00325679"/>
    <w:rsid w:val="00326F22"/>
    <w:rsid w:val="003320A7"/>
    <w:rsid w:val="00337C92"/>
    <w:rsid w:val="003417FD"/>
    <w:rsid w:val="00363972"/>
    <w:rsid w:val="00376063"/>
    <w:rsid w:val="00376DDC"/>
    <w:rsid w:val="003820AD"/>
    <w:rsid w:val="00382E89"/>
    <w:rsid w:val="003915FB"/>
    <w:rsid w:val="00391C56"/>
    <w:rsid w:val="00392B8E"/>
    <w:rsid w:val="00392E1D"/>
    <w:rsid w:val="003B050A"/>
    <w:rsid w:val="003B253B"/>
    <w:rsid w:val="003B5014"/>
    <w:rsid w:val="003C128F"/>
    <w:rsid w:val="003C20FF"/>
    <w:rsid w:val="003C36FA"/>
    <w:rsid w:val="003C6A54"/>
    <w:rsid w:val="003E0E4E"/>
    <w:rsid w:val="003E11F9"/>
    <w:rsid w:val="003F2F88"/>
    <w:rsid w:val="003F7B34"/>
    <w:rsid w:val="00400BE4"/>
    <w:rsid w:val="004070EF"/>
    <w:rsid w:val="00407F93"/>
    <w:rsid w:val="00423D8B"/>
    <w:rsid w:val="00425707"/>
    <w:rsid w:val="00434554"/>
    <w:rsid w:val="00437D89"/>
    <w:rsid w:val="004427DB"/>
    <w:rsid w:val="00446641"/>
    <w:rsid w:val="00454E40"/>
    <w:rsid w:val="00456306"/>
    <w:rsid w:val="00457E6A"/>
    <w:rsid w:val="004611F7"/>
    <w:rsid w:val="00462967"/>
    <w:rsid w:val="004731DE"/>
    <w:rsid w:val="004819CC"/>
    <w:rsid w:val="00482DC9"/>
    <w:rsid w:val="00487333"/>
    <w:rsid w:val="00497B33"/>
    <w:rsid w:val="004A08F0"/>
    <w:rsid w:val="004B4F43"/>
    <w:rsid w:val="004C3C9F"/>
    <w:rsid w:val="004C7A23"/>
    <w:rsid w:val="004D7848"/>
    <w:rsid w:val="004E1F6C"/>
    <w:rsid w:val="004E2F26"/>
    <w:rsid w:val="004F034D"/>
    <w:rsid w:val="004F5DCB"/>
    <w:rsid w:val="004F5DCD"/>
    <w:rsid w:val="004F6FD2"/>
    <w:rsid w:val="00500752"/>
    <w:rsid w:val="00504F5D"/>
    <w:rsid w:val="005153CF"/>
    <w:rsid w:val="005312F9"/>
    <w:rsid w:val="00532FA8"/>
    <w:rsid w:val="00533213"/>
    <w:rsid w:val="00534542"/>
    <w:rsid w:val="00536ED0"/>
    <w:rsid w:val="0053736B"/>
    <w:rsid w:val="00545DA3"/>
    <w:rsid w:val="00546397"/>
    <w:rsid w:val="00547515"/>
    <w:rsid w:val="005502D2"/>
    <w:rsid w:val="005518CD"/>
    <w:rsid w:val="005522A4"/>
    <w:rsid w:val="005526B6"/>
    <w:rsid w:val="00552FAB"/>
    <w:rsid w:val="005630B6"/>
    <w:rsid w:val="005667AA"/>
    <w:rsid w:val="00581EC3"/>
    <w:rsid w:val="00582948"/>
    <w:rsid w:val="00587498"/>
    <w:rsid w:val="00590622"/>
    <w:rsid w:val="00592107"/>
    <w:rsid w:val="00596A96"/>
    <w:rsid w:val="005A4493"/>
    <w:rsid w:val="005B581C"/>
    <w:rsid w:val="005B769D"/>
    <w:rsid w:val="005D2A79"/>
    <w:rsid w:val="005D5FFC"/>
    <w:rsid w:val="005D6089"/>
    <w:rsid w:val="005D7F8A"/>
    <w:rsid w:val="005E0D1B"/>
    <w:rsid w:val="005E2530"/>
    <w:rsid w:val="005E538D"/>
    <w:rsid w:val="005F4ABE"/>
    <w:rsid w:val="00617BD2"/>
    <w:rsid w:val="00625F54"/>
    <w:rsid w:val="00631532"/>
    <w:rsid w:val="006368E9"/>
    <w:rsid w:val="006422BC"/>
    <w:rsid w:val="006440F0"/>
    <w:rsid w:val="0064540F"/>
    <w:rsid w:val="00645412"/>
    <w:rsid w:val="00645924"/>
    <w:rsid w:val="00645FEF"/>
    <w:rsid w:val="0064751D"/>
    <w:rsid w:val="006509AD"/>
    <w:rsid w:val="00651E2D"/>
    <w:rsid w:val="00657000"/>
    <w:rsid w:val="006654EC"/>
    <w:rsid w:val="00667F55"/>
    <w:rsid w:val="006820B0"/>
    <w:rsid w:val="00685DA0"/>
    <w:rsid w:val="00694AC4"/>
    <w:rsid w:val="006961B7"/>
    <w:rsid w:val="006A36AA"/>
    <w:rsid w:val="006A4A76"/>
    <w:rsid w:val="006B4949"/>
    <w:rsid w:val="006B6339"/>
    <w:rsid w:val="006D0C5F"/>
    <w:rsid w:val="006D12B3"/>
    <w:rsid w:val="006D759D"/>
    <w:rsid w:val="006E19DD"/>
    <w:rsid w:val="006E3610"/>
    <w:rsid w:val="006F4786"/>
    <w:rsid w:val="00703BEF"/>
    <w:rsid w:val="00716694"/>
    <w:rsid w:val="00720D5C"/>
    <w:rsid w:val="00735D60"/>
    <w:rsid w:val="00760D4B"/>
    <w:rsid w:val="007613B5"/>
    <w:rsid w:val="00764684"/>
    <w:rsid w:val="00771876"/>
    <w:rsid w:val="00776D8F"/>
    <w:rsid w:val="00776F3B"/>
    <w:rsid w:val="00782506"/>
    <w:rsid w:val="007831BE"/>
    <w:rsid w:val="00787545"/>
    <w:rsid w:val="007A16D7"/>
    <w:rsid w:val="007A4881"/>
    <w:rsid w:val="007A5606"/>
    <w:rsid w:val="007A738C"/>
    <w:rsid w:val="007B419C"/>
    <w:rsid w:val="007B692D"/>
    <w:rsid w:val="007E3A55"/>
    <w:rsid w:val="007E615D"/>
    <w:rsid w:val="007E7B4D"/>
    <w:rsid w:val="007F1BF9"/>
    <w:rsid w:val="007F1E7B"/>
    <w:rsid w:val="007F38E9"/>
    <w:rsid w:val="007F4615"/>
    <w:rsid w:val="00803E9B"/>
    <w:rsid w:val="008050F4"/>
    <w:rsid w:val="00806209"/>
    <w:rsid w:val="00806CA6"/>
    <w:rsid w:val="00810F0C"/>
    <w:rsid w:val="00812CC5"/>
    <w:rsid w:val="008200FA"/>
    <w:rsid w:val="00823213"/>
    <w:rsid w:val="0082444A"/>
    <w:rsid w:val="00837832"/>
    <w:rsid w:val="00863FEF"/>
    <w:rsid w:val="00870DDD"/>
    <w:rsid w:val="00870DF6"/>
    <w:rsid w:val="008723F0"/>
    <w:rsid w:val="00872A6F"/>
    <w:rsid w:val="00873D23"/>
    <w:rsid w:val="008769EA"/>
    <w:rsid w:val="0088481D"/>
    <w:rsid w:val="00892E1A"/>
    <w:rsid w:val="008932A5"/>
    <w:rsid w:val="00896DF7"/>
    <w:rsid w:val="008A43C7"/>
    <w:rsid w:val="008A6402"/>
    <w:rsid w:val="008A769A"/>
    <w:rsid w:val="008B2CBB"/>
    <w:rsid w:val="008C0144"/>
    <w:rsid w:val="008C29EC"/>
    <w:rsid w:val="008C445B"/>
    <w:rsid w:val="008C62CF"/>
    <w:rsid w:val="008C67E5"/>
    <w:rsid w:val="008D14FE"/>
    <w:rsid w:val="008E03AA"/>
    <w:rsid w:val="008E23DC"/>
    <w:rsid w:val="008E4ED0"/>
    <w:rsid w:val="008E7A2A"/>
    <w:rsid w:val="00912820"/>
    <w:rsid w:val="00914AF8"/>
    <w:rsid w:val="009157D4"/>
    <w:rsid w:val="0092099E"/>
    <w:rsid w:val="00920D91"/>
    <w:rsid w:val="009211DF"/>
    <w:rsid w:val="00936945"/>
    <w:rsid w:val="00941D6F"/>
    <w:rsid w:val="00947491"/>
    <w:rsid w:val="00952C58"/>
    <w:rsid w:val="00954E10"/>
    <w:rsid w:val="00955DFF"/>
    <w:rsid w:val="009752E1"/>
    <w:rsid w:val="00981796"/>
    <w:rsid w:val="00991227"/>
    <w:rsid w:val="0099484B"/>
    <w:rsid w:val="009A2101"/>
    <w:rsid w:val="009C69F8"/>
    <w:rsid w:val="009C7AAF"/>
    <w:rsid w:val="009D1E33"/>
    <w:rsid w:val="009D4081"/>
    <w:rsid w:val="009D7EE2"/>
    <w:rsid w:val="009F1447"/>
    <w:rsid w:val="00A00B62"/>
    <w:rsid w:val="00A018CD"/>
    <w:rsid w:val="00A02F36"/>
    <w:rsid w:val="00A0318B"/>
    <w:rsid w:val="00A0522A"/>
    <w:rsid w:val="00A05867"/>
    <w:rsid w:val="00A07D4F"/>
    <w:rsid w:val="00A10C01"/>
    <w:rsid w:val="00A14906"/>
    <w:rsid w:val="00A158A4"/>
    <w:rsid w:val="00A16BDF"/>
    <w:rsid w:val="00A222EB"/>
    <w:rsid w:val="00A228B2"/>
    <w:rsid w:val="00A30ADF"/>
    <w:rsid w:val="00A36B41"/>
    <w:rsid w:val="00A40128"/>
    <w:rsid w:val="00A43C7D"/>
    <w:rsid w:val="00A46E45"/>
    <w:rsid w:val="00A55093"/>
    <w:rsid w:val="00A6690C"/>
    <w:rsid w:val="00A8161A"/>
    <w:rsid w:val="00A8614B"/>
    <w:rsid w:val="00AA0B82"/>
    <w:rsid w:val="00AA5FEC"/>
    <w:rsid w:val="00AB28A1"/>
    <w:rsid w:val="00AB7000"/>
    <w:rsid w:val="00AB7590"/>
    <w:rsid w:val="00AC06C2"/>
    <w:rsid w:val="00AC384B"/>
    <w:rsid w:val="00AC669A"/>
    <w:rsid w:val="00AD39A4"/>
    <w:rsid w:val="00AD6BE7"/>
    <w:rsid w:val="00AD7171"/>
    <w:rsid w:val="00AE05E7"/>
    <w:rsid w:val="00AE6962"/>
    <w:rsid w:val="00AF1FC8"/>
    <w:rsid w:val="00AF2442"/>
    <w:rsid w:val="00AF391D"/>
    <w:rsid w:val="00AF63F3"/>
    <w:rsid w:val="00B12264"/>
    <w:rsid w:val="00B12E52"/>
    <w:rsid w:val="00B30085"/>
    <w:rsid w:val="00B31BC1"/>
    <w:rsid w:val="00B446EE"/>
    <w:rsid w:val="00B447BA"/>
    <w:rsid w:val="00B4614C"/>
    <w:rsid w:val="00B80AB7"/>
    <w:rsid w:val="00B8388D"/>
    <w:rsid w:val="00B94F41"/>
    <w:rsid w:val="00B96189"/>
    <w:rsid w:val="00BA1F7B"/>
    <w:rsid w:val="00BA2127"/>
    <w:rsid w:val="00BA308D"/>
    <w:rsid w:val="00BA4D61"/>
    <w:rsid w:val="00BA510D"/>
    <w:rsid w:val="00BA67EE"/>
    <w:rsid w:val="00BA6D1A"/>
    <w:rsid w:val="00BA70B5"/>
    <w:rsid w:val="00BB14C9"/>
    <w:rsid w:val="00BC245F"/>
    <w:rsid w:val="00BC5179"/>
    <w:rsid w:val="00BC621C"/>
    <w:rsid w:val="00BC63FB"/>
    <w:rsid w:val="00BD0330"/>
    <w:rsid w:val="00BD5EA5"/>
    <w:rsid w:val="00BE5EAD"/>
    <w:rsid w:val="00BF3184"/>
    <w:rsid w:val="00C012D2"/>
    <w:rsid w:val="00C14551"/>
    <w:rsid w:val="00C17766"/>
    <w:rsid w:val="00C22296"/>
    <w:rsid w:val="00C34775"/>
    <w:rsid w:val="00C34EE8"/>
    <w:rsid w:val="00C442D4"/>
    <w:rsid w:val="00C45363"/>
    <w:rsid w:val="00C4689B"/>
    <w:rsid w:val="00C53DB5"/>
    <w:rsid w:val="00C545EA"/>
    <w:rsid w:val="00C552A9"/>
    <w:rsid w:val="00C55392"/>
    <w:rsid w:val="00C57997"/>
    <w:rsid w:val="00C606CD"/>
    <w:rsid w:val="00C7225E"/>
    <w:rsid w:val="00C73EC1"/>
    <w:rsid w:val="00C74B34"/>
    <w:rsid w:val="00C770A9"/>
    <w:rsid w:val="00C80D1A"/>
    <w:rsid w:val="00C81BEE"/>
    <w:rsid w:val="00C863DD"/>
    <w:rsid w:val="00C90A2F"/>
    <w:rsid w:val="00C92309"/>
    <w:rsid w:val="00C931F7"/>
    <w:rsid w:val="00C943CF"/>
    <w:rsid w:val="00CA36DC"/>
    <w:rsid w:val="00CA6667"/>
    <w:rsid w:val="00CA789B"/>
    <w:rsid w:val="00CB4D8B"/>
    <w:rsid w:val="00CC018D"/>
    <w:rsid w:val="00CC52A6"/>
    <w:rsid w:val="00CD26B4"/>
    <w:rsid w:val="00CE06B5"/>
    <w:rsid w:val="00CE31CC"/>
    <w:rsid w:val="00D0074C"/>
    <w:rsid w:val="00D12244"/>
    <w:rsid w:val="00D21621"/>
    <w:rsid w:val="00D25BCE"/>
    <w:rsid w:val="00D3141D"/>
    <w:rsid w:val="00D33954"/>
    <w:rsid w:val="00D36866"/>
    <w:rsid w:val="00D55DD9"/>
    <w:rsid w:val="00D56300"/>
    <w:rsid w:val="00D75281"/>
    <w:rsid w:val="00D76D82"/>
    <w:rsid w:val="00D8166D"/>
    <w:rsid w:val="00D91024"/>
    <w:rsid w:val="00D94A4D"/>
    <w:rsid w:val="00D94C75"/>
    <w:rsid w:val="00DB7D67"/>
    <w:rsid w:val="00DC066D"/>
    <w:rsid w:val="00DC15A2"/>
    <w:rsid w:val="00DC3C16"/>
    <w:rsid w:val="00DC4D8F"/>
    <w:rsid w:val="00DC50A0"/>
    <w:rsid w:val="00DC7754"/>
    <w:rsid w:val="00DE135D"/>
    <w:rsid w:val="00DE297C"/>
    <w:rsid w:val="00DE6164"/>
    <w:rsid w:val="00DF047C"/>
    <w:rsid w:val="00DF0CB9"/>
    <w:rsid w:val="00DF1E83"/>
    <w:rsid w:val="00DF5AF4"/>
    <w:rsid w:val="00E039B7"/>
    <w:rsid w:val="00E06543"/>
    <w:rsid w:val="00E077BC"/>
    <w:rsid w:val="00E26DD6"/>
    <w:rsid w:val="00E441CB"/>
    <w:rsid w:val="00E656E6"/>
    <w:rsid w:val="00E7270C"/>
    <w:rsid w:val="00E74E07"/>
    <w:rsid w:val="00E8018B"/>
    <w:rsid w:val="00E8264A"/>
    <w:rsid w:val="00E86897"/>
    <w:rsid w:val="00E916CA"/>
    <w:rsid w:val="00E929EF"/>
    <w:rsid w:val="00E959F6"/>
    <w:rsid w:val="00EA1425"/>
    <w:rsid w:val="00EA3FBC"/>
    <w:rsid w:val="00EB3C7C"/>
    <w:rsid w:val="00EB42CB"/>
    <w:rsid w:val="00EB447F"/>
    <w:rsid w:val="00EB4809"/>
    <w:rsid w:val="00EC0627"/>
    <w:rsid w:val="00ED7DD6"/>
    <w:rsid w:val="00EE0E62"/>
    <w:rsid w:val="00EE7A7E"/>
    <w:rsid w:val="00EF17EF"/>
    <w:rsid w:val="00EF2796"/>
    <w:rsid w:val="00EF2B14"/>
    <w:rsid w:val="00EF2E30"/>
    <w:rsid w:val="00EF3281"/>
    <w:rsid w:val="00EF4815"/>
    <w:rsid w:val="00EF753F"/>
    <w:rsid w:val="00F05AA5"/>
    <w:rsid w:val="00F110D1"/>
    <w:rsid w:val="00F156CB"/>
    <w:rsid w:val="00F26D37"/>
    <w:rsid w:val="00F35761"/>
    <w:rsid w:val="00F36036"/>
    <w:rsid w:val="00F401EC"/>
    <w:rsid w:val="00F427E1"/>
    <w:rsid w:val="00F507B8"/>
    <w:rsid w:val="00F65FDA"/>
    <w:rsid w:val="00F664F5"/>
    <w:rsid w:val="00F66E12"/>
    <w:rsid w:val="00F73267"/>
    <w:rsid w:val="00F7392D"/>
    <w:rsid w:val="00F8072A"/>
    <w:rsid w:val="00F83863"/>
    <w:rsid w:val="00F85A79"/>
    <w:rsid w:val="00F86463"/>
    <w:rsid w:val="00F93B73"/>
    <w:rsid w:val="00FA2B25"/>
    <w:rsid w:val="00FA633D"/>
    <w:rsid w:val="00FB4B57"/>
    <w:rsid w:val="00FB5873"/>
    <w:rsid w:val="00FC2FD7"/>
    <w:rsid w:val="00FC4460"/>
    <w:rsid w:val="00FD04F2"/>
    <w:rsid w:val="00FD0F57"/>
    <w:rsid w:val="00FD1E4F"/>
    <w:rsid w:val="00FD1F6D"/>
    <w:rsid w:val="00FE0FAB"/>
    <w:rsid w:val="00FE3C74"/>
    <w:rsid w:val="00FF0CE5"/>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bd.int/doc/?meeting=BRCWS-20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00EA-EDD6-4523-8FDB-18EA53D2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12134</Characters>
  <Application>Microsoft Office Word</Application>
  <DocSecurity>4</DocSecurity>
  <Lines>263</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2015-01-06T11:20:00Z</cp:lastPrinted>
  <dcterms:created xsi:type="dcterms:W3CDTF">2016-03-11T11:07:00Z</dcterms:created>
  <dcterms:modified xsi:type="dcterms:W3CDTF">2016-03-11T11:07:00Z</dcterms:modified>
</cp:coreProperties>
</file>