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88744" w14:textId="6F1907E3" w:rsidR="0070240E" w:rsidRPr="00CC3A91" w:rsidRDefault="0070240E" w:rsidP="0070240E">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lang w:val="es-ES_tradnl"/>
        </w:rPr>
      </w:pPr>
      <w:bookmarkStart w:id="0" w:name="OLE_LINK1"/>
      <w:bookmarkStart w:id="1" w:name="OLE_LINK2"/>
      <w:r w:rsidRPr="00CC3A91">
        <w:rPr>
          <w:rFonts w:asciiTheme="majorHAnsi" w:eastAsia="Batang" w:hAnsiTheme="majorHAnsi"/>
          <w:bCs/>
          <w:sz w:val="22"/>
          <w:szCs w:val="22"/>
          <w:lang w:val="es-ES_tradnl"/>
        </w:rPr>
        <w:t>CONVENCIÓN SOBRE LOS HUMEDALES (Ramsar, Irán, 1971)</w:t>
      </w:r>
    </w:p>
    <w:p w14:paraId="1B13BE2B" w14:textId="7C4FC371" w:rsidR="00920E7F" w:rsidRPr="00CC3A91"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sz w:val="22"/>
          <w:szCs w:val="22"/>
          <w:lang w:val="es-ES_tradnl"/>
        </w:rPr>
      </w:pPr>
      <w:r w:rsidRPr="00CC3A91">
        <w:rPr>
          <w:rFonts w:asciiTheme="majorHAnsi" w:eastAsia="Batang" w:hAnsiTheme="majorHAnsi"/>
          <w:bCs/>
          <w:sz w:val="22"/>
          <w:szCs w:val="22"/>
          <w:lang w:val="es-ES_tradnl"/>
        </w:rPr>
        <w:t>5</w:t>
      </w:r>
      <w:r w:rsidR="0008555C" w:rsidRPr="00CC3A91">
        <w:rPr>
          <w:rFonts w:asciiTheme="majorHAnsi" w:eastAsia="Batang" w:hAnsiTheme="majorHAnsi"/>
          <w:bCs/>
          <w:sz w:val="22"/>
          <w:szCs w:val="22"/>
          <w:lang w:val="es-ES_tradnl"/>
        </w:rPr>
        <w:t>2</w:t>
      </w:r>
      <w:r w:rsidR="0070240E" w:rsidRPr="00CC3A91">
        <w:rPr>
          <w:rFonts w:asciiTheme="majorHAnsi" w:eastAsia="Batang" w:hAnsiTheme="majorHAnsi"/>
          <w:bCs/>
          <w:sz w:val="22"/>
          <w:szCs w:val="22"/>
          <w:vertAlign w:val="superscript"/>
          <w:lang w:val="es-ES_tradnl"/>
        </w:rPr>
        <w:t xml:space="preserve">ª </w:t>
      </w:r>
      <w:r w:rsidR="0070240E" w:rsidRPr="00CC3A91">
        <w:rPr>
          <w:rFonts w:asciiTheme="majorHAnsi" w:eastAsia="Batang" w:hAnsiTheme="majorHAnsi"/>
          <w:bCs/>
          <w:sz w:val="22"/>
          <w:szCs w:val="22"/>
          <w:lang w:val="es-ES_tradnl"/>
        </w:rPr>
        <w:t xml:space="preserve">Reunión del Comité Permanente </w:t>
      </w:r>
    </w:p>
    <w:p w14:paraId="5F732F71" w14:textId="22E73D29" w:rsidR="00920E7F" w:rsidRPr="00CC3A91"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sz w:val="22"/>
          <w:szCs w:val="22"/>
          <w:lang w:val="es-ES_tradnl"/>
        </w:rPr>
      </w:pPr>
      <w:r w:rsidRPr="00CC3A91">
        <w:rPr>
          <w:rFonts w:asciiTheme="majorHAnsi" w:eastAsia="Batang" w:hAnsiTheme="majorHAnsi"/>
          <w:bCs/>
          <w:sz w:val="22"/>
          <w:szCs w:val="22"/>
          <w:lang w:val="es-ES_tradnl"/>
        </w:rPr>
        <w:t>Gland,</w:t>
      </w:r>
      <w:r w:rsidR="00E01336" w:rsidRPr="00CC3A91">
        <w:rPr>
          <w:rFonts w:asciiTheme="majorHAnsi" w:eastAsia="Batang" w:hAnsiTheme="majorHAnsi"/>
          <w:bCs/>
          <w:sz w:val="22"/>
          <w:szCs w:val="22"/>
          <w:lang w:val="es-ES_tradnl"/>
        </w:rPr>
        <w:t xml:space="preserve"> </w:t>
      </w:r>
      <w:r w:rsidRPr="00CC3A91">
        <w:rPr>
          <w:rFonts w:asciiTheme="majorHAnsi" w:eastAsia="Batang" w:hAnsiTheme="majorHAnsi"/>
          <w:bCs/>
          <w:sz w:val="22"/>
          <w:szCs w:val="22"/>
          <w:lang w:val="es-ES_tradnl"/>
        </w:rPr>
        <w:t>S</w:t>
      </w:r>
      <w:r w:rsidR="0070240E" w:rsidRPr="00CC3A91">
        <w:rPr>
          <w:rFonts w:asciiTheme="majorHAnsi" w:eastAsia="Batang" w:hAnsiTheme="majorHAnsi"/>
          <w:bCs/>
          <w:sz w:val="22"/>
          <w:szCs w:val="22"/>
          <w:lang w:val="es-ES_tradnl"/>
        </w:rPr>
        <w:t>uiza</w:t>
      </w:r>
      <w:r w:rsidRPr="00CC3A91">
        <w:rPr>
          <w:rFonts w:asciiTheme="majorHAnsi" w:eastAsia="Batang" w:hAnsiTheme="majorHAnsi"/>
          <w:bCs/>
          <w:sz w:val="22"/>
          <w:szCs w:val="22"/>
          <w:lang w:val="es-ES_tradnl"/>
        </w:rPr>
        <w:t>,</w:t>
      </w:r>
      <w:r w:rsidR="00E01336" w:rsidRPr="00CC3A91">
        <w:rPr>
          <w:rFonts w:asciiTheme="majorHAnsi" w:eastAsia="Batang" w:hAnsiTheme="majorHAnsi"/>
          <w:bCs/>
          <w:sz w:val="22"/>
          <w:szCs w:val="22"/>
          <w:lang w:val="es-ES_tradnl"/>
        </w:rPr>
        <w:t xml:space="preserve"> </w:t>
      </w:r>
      <w:r w:rsidR="00BA273F" w:rsidRPr="00CC3A91">
        <w:rPr>
          <w:rFonts w:asciiTheme="majorHAnsi" w:eastAsia="Batang" w:hAnsiTheme="majorHAnsi"/>
          <w:bCs/>
          <w:sz w:val="22"/>
          <w:szCs w:val="22"/>
          <w:lang w:val="es-ES_tradnl"/>
        </w:rPr>
        <w:t>13</w:t>
      </w:r>
      <w:r w:rsidR="0070240E" w:rsidRPr="00CC3A91">
        <w:rPr>
          <w:rFonts w:asciiTheme="majorHAnsi" w:eastAsia="Batang" w:hAnsiTheme="majorHAnsi"/>
          <w:bCs/>
          <w:sz w:val="22"/>
          <w:szCs w:val="22"/>
          <w:lang w:val="es-ES_tradnl"/>
        </w:rPr>
        <w:t xml:space="preserve"> a</w:t>
      </w:r>
      <w:r w:rsidR="00084614" w:rsidRPr="00CC3A91">
        <w:rPr>
          <w:rFonts w:asciiTheme="majorHAnsi" w:eastAsia="Batang" w:hAnsiTheme="majorHAnsi"/>
          <w:bCs/>
          <w:sz w:val="22"/>
          <w:szCs w:val="22"/>
          <w:lang w:val="es-ES_tradnl"/>
        </w:rPr>
        <w:t xml:space="preserve"> </w:t>
      </w:r>
      <w:r w:rsidR="00BA273F" w:rsidRPr="00CC3A91">
        <w:rPr>
          <w:rFonts w:asciiTheme="majorHAnsi" w:eastAsia="Batang" w:hAnsiTheme="majorHAnsi"/>
          <w:bCs/>
          <w:sz w:val="22"/>
          <w:szCs w:val="22"/>
          <w:lang w:val="es-ES_tradnl"/>
        </w:rPr>
        <w:t>17</w:t>
      </w:r>
      <w:r w:rsidR="00E01336" w:rsidRPr="00CC3A91">
        <w:rPr>
          <w:rFonts w:asciiTheme="majorHAnsi" w:eastAsia="Batang" w:hAnsiTheme="majorHAnsi"/>
          <w:bCs/>
          <w:sz w:val="22"/>
          <w:szCs w:val="22"/>
          <w:lang w:val="es-ES_tradnl"/>
        </w:rPr>
        <w:t xml:space="preserve"> </w:t>
      </w:r>
      <w:r w:rsidR="0070240E" w:rsidRPr="00CC3A91">
        <w:rPr>
          <w:rFonts w:asciiTheme="majorHAnsi" w:eastAsia="Batang" w:hAnsiTheme="majorHAnsi"/>
          <w:bCs/>
          <w:sz w:val="22"/>
          <w:szCs w:val="22"/>
          <w:lang w:val="es-ES_tradnl"/>
        </w:rPr>
        <w:t>de junio</w:t>
      </w:r>
      <w:r w:rsidR="00E01336" w:rsidRPr="00CC3A91">
        <w:rPr>
          <w:rFonts w:asciiTheme="majorHAnsi" w:eastAsia="Batang" w:hAnsiTheme="majorHAnsi"/>
          <w:bCs/>
          <w:sz w:val="22"/>
          <w:szCs w:val="22"/>
          <w:lang w:val="es-ES_tradnl"/>
        </w:rPr>
        <w:t xml:space="preserve"> </w:t>
      </w:r>
      <w:r w:rsidR="0008555C" w:rsidRPr="00CC3A91">
        <w:rPr>
          <w:rFonts w:asciiTheme="majorHAnsi" w:eastAsia="Batang" w:hAnsiTheme="majorHAnsi"/>
          <w:bCs/>
          <w:sz w:val="22"/>
          <w:szCs w:val="22"/>
          <w:lang w:val="es-ES_tradnl"/>
        </w:rPr>
        <w:t>2016</w:t>
      </w:r>
    </w:p>
    <w:p w14:paraId="60EFF613" w14:textId="77777777" w:rsidR="00920E7F" w:rsidRPr="00CC3A91" w:rsidRDefault="00920E7F" w:rsidP="00914A1A">
      <w:pPr>
        <w:keepNext/>
        <w:suppressAutoHyphens/>
        <w:outlineLvl w:val="0"/>
        <w:rPr>
          <w:rFonts w:asciiTheme="majorHAnsi" w:eastAsia="Batang" w:hAnsiTheme="majorHAnsi"/>
          <w:b/>
          <w:sz w:val="22"/>
          <w:szCs w:val="22"/>
          <w:lang w:val="es-ES_tradnl"/>
        </w:rPr>
      </w:pPr>
    </w:p>
    <w:p w14:paraId="70C02E56" w14:textId="1335163A" w:rsidR="00920E7F" w:rsidRPr="00CC3A91" w:rsidRDefault="00EF4061" w:rsidP="00914A1A">
      <w:pPr>
        <w:jc w:val="right"/>
        <w:rPr>
          <w:rFonts w:asciiTheme="majorHAnsi" w:eastAsiaTheme="minorHAnsi" w:hAnsiTheme="majorHAnsi" w:cstheme="minorBidi"/>
          <w:b/>
          <w:sz w:val="28"/>
          <w:szCs w:val="28"/>
          <w:lang w:val="es-ES_tradnl"/>
        </w:rPr>
      </w:pPr>
      <w:r w:rsidRPr="00CC3A91">
        <w:rPr>
          <w:rFonts w:asciiTheme="majorHAnsi" w:eastAsiaTheme="minorHAnsi" w:hAnsiTheme="majorHAnsi" w:cstheme="minorBidi"/>
          <w:b/>
          <w:sz w:val="28"/>
          <w:szCs w:val="28"/>
          <w:lang w:val="es-ES_tradnl"/>
        </w:rPr>
        <w:t>SC52-</w:t>
      </w:r>
      <w:r w:rsidR="00FB3790" w:rsidRPr="00CC3A91">
        <w:rPr>
          <w:rFonts w:asciiTheme="majorHAnsi" w:eastAsiaTheme="minorHAnsi" w:hAnsiTheme="majorHAnsi" w:cstheme="minorBidi"/>
          <w:b/>
          <w:sz w:val="28"/>
          <w:szCs w:val="28"/>
          <w:lang w:val="es-ES_tradnl"/>
        </w:rPr>
        <w:t>10</w:t>
      </w:r>
    </w:p>
    <w:p w14:paraId="4EA7375A" w14:textId="77777777" w:rsidR="00920E7F" w:rsidRPr="00CC3A91" w:rsidRDefault="00920E7F" w:rsidP="00914A1A">
      <w:pPr>
        <w:jc w:val="center"/>
        <w:rPr>
          <w:rFonts w:asciiTheme="majorHAnsi" w:eastAsiaTheme="minorHAnsi" w:hAnsiTheme="majorHAnsi" w:cstheme="minorBidi"/>
          <w:b/>
          <w:sz w:val="28"/>
          <w:szCs w:val="28"/>
          <w:lang w:val="es-ES_tradnl"/>
        </w:rPr>
      </w:pPr>
    </w:p>
    <w:p w14:paraId="3A836DA0" w14:textId="1209A4E6" w:rsidR="0070240E" w:rsidRPr="00CC3A91" w:rsidRDefault="00E01336" w:rsidP="0070240E">
      <w:pPr>
        <w:jc w:val="center"/>
        <w:rPr>
          <w:rFonts w:asciiTheme="majorHAnsi" w:eastAsiaTheme="minorHAnsi" w:hAnsiTheme="majorHAnsi" w:cstheme="minorBidi"/>
          <w:b/>
          <w:sz w:val="28"/>
          <w:szCs w:val="28"/>
          <w:lang w:val="es-ES_tradnl"/>
        </w:rPr>
      </w:pPr>
      <w:r w:rsidRPr="00CC3A91">
        <w:rPr>
          <w:rFonts w:asciiTheme="majorHAnsi" w:eastAsiaTheme="minorHAnsi" w:hAnsiTheme="majorHAnsi" w:cstheme="minorBidi"/>
          <w:b/>
          <w:sz w:val="28"/>
          <w:szCs w:val="28"/>
          <w:lang w:val="es-ES_tradnl"/>
        </w:rPr>
        <w:t xml:space="preserve"> </w:t>
      </w:r>
      <w:r w:rsidR="0070240E" w:rsidRPr="00CC3A91">
        <w:rPr>
          <w:rFonts w:asciiTheme="majorHAnsi" w:eastAsiaTheme="minorHAnsi" w:hAnsiTheme="majorHAnsi" w:cstheme="minorBidi"/>
          <w:b/>
          <w:sz w:val="28"/>
          <w:szCs w:val="28"/>
          <w:lang w:val="es-ES_tradnl"/>
        </w:rPr>
        <w:t xml:space="preserve">Informe de la Presidencia del Grupo de Examen Científico y Técnico (GECT) y proyecto </w:t>
      </w:r>
      <w:r w:rsidR="00084614" w:rsidRPr="00CC3A91">
        <w:rPr>
          <w:rFonts w:asciiTheme="majorHAnsi" w:eastAsiaTheme="minorHAnsi" w:hAnsiTheme="majorHAnsi" w:cstheme="minorBidi"/>
          <w:b/>
          <w:sz w:val="28"/>
          <w:szCs w:val="28"/>
          <w:lang w:val="es-ES_tradnl"/>
        </w:rPr>
        <w:t>modificad</w:t>
      </w:r>
      <w:r w:rsidR="0070240E" w:rsidRPr="00CC3A91">
        <w:rPr>
          <w:rFonts w:asciiTheme="majorHAnsi" w:eastAsiaTheme="minorHAnsi" w:hAnsiTheme="majorHAnsi" w:cstheme="minorBidi"/>
          <w:b/>
          <w:sz w:val="28"/>
          <w:szCs w:val="28"/>
          <w:lang w:val="es-ES_tradnl"/>
        </w:rPr>
        <w:t>o de plan de trabajo del GECT para 2016-2018</w:t>
      </w:r>
    </w:p>
    <w:p w14:paraId="697379D6" w14:textId="2C79D0DE" w:rsidR="00372E0C" w:rsidRPr="00CC3A91" w:rsidRDefault="00372E0C" w:rsidP="00FB3790">
      <w:pPr>
        <w:jc w:val="center"/>
        <w:rPr>
          <w:rFonts w:asciiTheme="majorHAnsi" w:eastAsiaTheme="minorHAnsi" w:hAnsiTheme="majorHAnsi" w:cstheme="minorBidi"/>
          <w:b/>
          <w:sz w:val="28"/>
          <w:szCs w:val="28"/>
          <w:lang w:val="es-ES_tradnl"/>
        </w:rPr>
      </w:pPr>
    </w:p>
    <w:bookmarkEnd w:id="0"/>
    <w:bookmarkEnd w:id="1"/>
    <w:p w14:paraId="0642857B" w14:textId="6BF5446F" w:rsidR="00703261" w:rsidRPr="00CC3A91" w:rsidRDefault="00372E0C" w:rsidP="00FB3790">
      <w:pPr>
        <w:pBdr>
          <w:top w:val="single" w:sz="4" w:space="1" w:color="auto"/>
          <w:left w:val="single" w:sz="4" w:space="1" w:color="auto"/>
          <w:bottom w:val="single" w:sz="4" w:space="1" w:color="auto"/>
          <w:right w:val="single" w:sz="4" w:space="4" w:color="auto"/>
        </w:pBdr>
        <w:rPr>
          <w:rFonts w:asciiTheme="majorHAnsi" w:hAnsiTheme="majorHAnsi"/>
          <w:b/>
          <w:sz w:val="22"/>
          <w:szCs w:val="22"/>
          <w:lang w:val="es-ES_tradnl"/>
        </w:rPr>
      </w:pPr>
      <w:r w:rsidRPr="00CC3A91">
        <w:rPr>
          <w:rFonts w:asciiTheme="majorHAnsi" w:hAnsiTheme="majorHAnsi"/>
          <w:b/>
          <w:sz w:val="22"/>
          <w:szCs w:val="22"/>
          <w:lang w:val="es-ES_tradnl"/>
        </w:rPr>
        <w:t>Ac</w:t>
      </w:r>
      <w:r w:rsidR="0070240E" w:rsidRPr="00CC3A91">
        <w:rPr>
          <w:rFonts w:asciiTheme="majorHAnsi" w:hAnsiTheme="majorHAnsi"/>
          <w:b/>
          <w:sz w:val="22"/>
          <w:szCs w:val="22"/>
          <w:lang w:val="es-ES_tradnl"/>
        </w:rPr>
        <w:t xml:space="preserve">ciones </w:t>
      </w:r>
      <w:r w:rsidR="00CC3A91" w:rsidRPr="00CC3A91">
        <w:rPr>
          <w:rFonts w:asciiTheme="majorHAnsi" w:hAnsiTheme="majorHAnsi"/>
          <w:b/>
          <w:sz w:val="22"/>
          <w:szCs w:val="22"/>
          <w:lang w:val="es-ES_tradnl"/>
        </w:rPr>
        <w:t>solicitadas</w:t>
      </w:r>
      <w:r w:rsidRPr="00CC3A91">
        <w:rPr>
          <w:rFonts w:asciiTheme="majorHAnsi" w:hAnsiTheme="majorHAnsi"/>
          <w:b/>
          <w:sz w:val="22"/>
          <w:szCs w:val="22"/>
          <w:lang w:val="es-ES_tradnl"/>
        </w:rPr>
        <w:t>:</w:t>
      </w:r>
      <w:r w:rsidR="00E01336" w:rsidRPr="00CC3A91">
        <w:rPr>
          <w:rFonts w:asciiTheme="majorHAnsi" w:hAnsiTheme="majorHAnsi"/>
          <w:b/>
          <w:sz w:val="22"/>
          <w:szCs w:val="22"/>
          <w:lang w:val="es-ES_tradnl"/>
        </w:rPr>
        <w:t xml:space="preserve"> </w:t>
      </w:r>
    </w:p>
    <w:p w14:paraId="78EDDEF1" w14:textId="4F50B8B1" w:rsidR="00656349" w:rsidRPr="00CC3A91" w:rsidRDefault="0070240E" w:rsidP="00FB3790">
      <w:pPr>
        <w:pBdr>
          <w:top w:val="single" w:sz="4" w:space="1" w:color="auto"/>
          <w:left w:val="single" w:sz="4" w:space="1" w:color="auto"/>
          <w:bottom w:val="single" w:sz="4" w:space="1" w:color="auto"/>
          <w:right w:val="single" w:sz="4" w:space="4" w:color="auto"/>
        </w:pBdr>
        <w:rPr>
          <w:rFonts w:asciiTheme="majorHAnsi" w:hAnsiTheme="majorHAnsi"/>
          <w:sz w:val="22"/>
          <w:szCs w:val="22"/>
          <w:lang w:val="es-ES_tradnl"/>
        </w:rPr>
      </w:pPr>
      <w:r w:rsidRPr="00CC3A91">
        <w:rPr>
          <w:rFonts w:asciiTheme="majorHAnsi" w:hAnsiTheme="majorHAnsi"/>
          <w:sz w:val="22"/>
          <w:szCs w:val="22"/>
          <w:lang w:val="es-ES_tradnl"/>
        </w:rPr>
        <w:t xml:space="preserve">Se invita al Comité Permanente a hacer lo siguiente: </w:t>
      </w:r>
    </w:p>
    <w:p w14:paraId="588ECF11" w14:textId="5075031A" w:rsidR="00656349" w:rsidRPr="00CC3A91" w:rsidRDefault="00AF1432" w:rsidP="00FB3790">
      <w:pPr>
        <w:pBdr>
          <w:top w:val="single" w:sz="4" w:space="1" w:color="auto"/>
          <w:left w:val="single" w:sz="4" w:space="1" w:color="auto"/>
          <w:bottom w:val="single" w:sz="4" w:space="1" w:color="auto"/>
          <w:right w:val="single" w:sz="4" w:space="4" w:color="auto"/>
        </w:pBdr>
        <w:ind w:left="426" w:hanging="426"/>
        <w:rPr>
          <w:rFonts w:asciiTheme="majorHAnsi" w:hAnsiTheme="majorHAnsi"/>
          <w:sz w:val="22"/>
          <w:szCs w:val="22"/>
          <w:lang w:val="es-ES_tradnl"/>
        </w:rPr>
      </w:pPr>
      <w:r w:rsidRPr="00CC3A91">
        <w:rPr>
          <w:rFonts w:asciiTheme="majorHAnsi" w:hAnsiTheme="majorHAnsi"/>
          <w:sz w:val="22"/>
          <w:szCs w:val="22"/>
          <w:lang w:val="es-ES_tradnl"/>
        </w:rPr>
        <w:tab/>
      </w:r>
      <w:r w:rsidR="00656349" w:rsidRPr="00CC3A91">
        <w:rPr>
          <w:rFonts w:asciiTheme="majorHAnsi" w:hAnsiTheme="majorHAnsi"/>
          <w:sz w:val="22"/>
          <w:szCs w:val="22"/>
          <w:lang w:val="es-ES_tradnl"/>
        </w:rPr>
        <w:t>a)</w:t>
      </w:r>
      <w:r w:rsidR="00E01336" w:rsidRPr="00CC3A91">
        <w:rPr>
          <w:rFonts w:asciiTheme="majorHAnsi" w:hAnsiTheme="majorHAnsi"/>
          <w:sz w:val="22"/>
          <w:szCs w:val="22"/>
          <w:lang w:val="es-ES_tradnl"/>
        </w:rPr>
        <w:t xml:space="preserve"> </w:t>
      </w:r>
      <w:r w:rsidRPr="00CC3A91">
        <w:rPr>
          <w:rFonts w:asciiTheme="majorHAnsi" w:hAnsiTheme="majorHAnsi"/>
          <w:sz w:val="22"/>
          <w:szCs w:val="22"/>
          <w:lang w:val="es-ES_tradnl"/>
        </w:rPr>
        <w:tab/>
      </w:r>
      <w:r w:rsidR="0070240E" w:rsidRPr="00CC3A91">
        <w:rPr>
          <w:rFonts w:asciiTheme="majorHAnsi" w:hAnsiTheme="majorHAnsi"/>
          <w:sz w:val="22"/>
          <w:szCs w:val="22"/>
          <w:lang w:val="es-ES_tradnl"/>
        </w:rPr>
        <w:t xml:space="preserve">tomar nota del informe de la Presidencia del GECT; </w:t>
      </w:r>
    </w:p>
    <w:p w14:paraId="79AAA167" w14:textId="63F0F943" w:rsidR="00656349" w:rsidRPr="00CC3A91" w:rsidRDefault="00AF1432" w:rsidP="00FB3790">
      <w:pPr>
        <w:pBdr>
          <w:top w:val="single" w:sz="4" w:space="1" w:color="auto"/>
          <w:left w:val="single" w:sz="4" w:space="1" w:color="auto"/>
          <w:bottom w:val="single" w:sz="4" w:space="1" w:color="auto"/>
          <w:right w:val="single" w:sz="4" w:space="4" w:color="auto"/>
        </w:pBdr>
        <w:ind w:left="426" w:hanging="426"/>
        <w:rPr>
          <w:rFonts w:asciiTheme="majorHAnsi" w:hAnsiTheme="majorHAnsi"/>
          <w:sz w:val="22"/>
          <w:szCs w:val="22"/>
          <w:lang w:val="es-ES_tradnl"/>
        </w:rPr>
      </w:pPr>
      <w:r w:rsidRPr="00CC3A91">
        <w:rPr>
          <w:rFonts w:asciiTheme="majorHAnsi" w:hAnsiTheme="majorHAnsi"/>
          <w:sz w:val="22"/>
          <w:szCs w:val="22"/>
          <w:lang w:val="es-ES_tradnl"/>
        </w:rPr>
        <w:tab/>
      </w:r>
      <w:r w:rsidR="00656349" w:rsidRPr="00CC3A91">
        <w:rPr>
          <w:rFonts w:asciiTheme="majorHAnsi" w:hAnsiTheme="majorHAnsi"/>
          <w:sz w:val="22"/>
          <w:szCs w:val="22"/>
          <w:lang w:val="es-ES_tradnl"/>
        </w:rPr>
        <w:t>b)</w:t>
      </w:r>
      <w:r w:rsidR="00E01336" w:rsidRPr="00CC3A91">
        <w:rPr>
          <w:rFonts w:asciiTheme="majorHAnsi" w:hAnsiTheme="majorHAnsi"/>
          <w:sz w:val="22"/>
          <w:szCs w:val="22"/>
          <w:lang w:val="es-ES_tradnl"/>
        </w:rPr>
        <w:t xml:space="preserve"> </w:t>
      </w:r>
      <w:r w:rsidRPr="00CC3A91">
        <w:rPr>
          <w:rFonts w:asciiTheme="majorHAnsi" w:hAnsiTheme="majorHAnsi"/>
          <w:sz w:val="22"/>
          <w:szCs w:val="22"/>
          <w:lang w:val="es-ES_tradnl"/>
        </w:rPr>
        <w:tab/>
      </w:r>
      <w:r w:rsidR="0070240E" w:rsidRPr="00CC3A91">
        <w:rPr>
          <w:rFonts w:asciiTheme="majorHAnsi" w:hAnsiTheme="majorHAnsi"/>
          <w:sz w:val="22"/>
          <w:szCs w:val="22"/>
          <w:lang w:val="es-ES_tradnl"/>
        </w:rPr>
        <w:t xml:space="preserve">examinar y aprobar el proyecto </w:t>
      </w:r>
      <w:r w:rsidR="00084614" w:rsidRPr="00CC3A91">
        <w:rPr>
          <w:rFonts w:asciiTheme="majorHAnsi" w:hAnsiTheme="majorHAnsi"/>
          <w:sz w:val="22"/>
          <w:szCs w:val="22"/>
          <w:lang w:val="es-ES_tradnl"/>
        </w:rPr>
        <w:t>modificado</w:t>
      </w:r>
      <w:r w:rsidR="0070240E" w:rsidRPr="00CC3A91">
        <w:rPr>
          <w:rFonts w:asciiTheme="majorHAnsi" w:hAnsiTheme="majorHAnsi"/>
          <w:sz w:val="22"/>
          <w:szCs w:val="22"/>
          <w:lang w:val="es-ES_tradnl"/>
        </w:rPr>
        <w:t xml:space="preserve"> de plan de trabajo del GECT para </w:t>
      </w:r>
      <w:r w:rsidR="007B5675" w:rsidRPr="00CC3A91">
        <w:rPr>
          <w:rFonts w:asciiTheme="majorHAnsi" w:hAnsiTheme="majorHAnsi"/>
          <w:sz w:val="22"/>
          <w:szCs w:val="22"/>
          <w:lang w:val="es-ES_tradnl"/>
        </w:rPr>
        <w:t>2016-2018</w:t>
      </w:r>
      <w:r w:rsidR="00E01336" w:rsidRPr="00CC3A91">
        <w:rPr>
          <w:rFonts w:asciiTheme="majorHAnsi" w:hAnsiTheme="majorHAnsi"/>
          <w:sz w:val="22"/>
          <w:szCs w:val="22"/>
          <w:lang w:val="es-ES_tradnl"/>
        </w:rPr>
        <w:t xml:space="preserve"> </w:t>
      </w:r>
      <w:r w:rsidR="007B5675" w:rsidRPr="00CC3A91">
        <w:rPr>
          <w:rFonts w:asciiTheme="majorHAnsi" w:hAnsiTheme="majorHAnsi"/>
          <w:sz w:val="22"/>
          <w:szCs w:val="22"/>
          <w:lang w:val="es-ES_tradnl"/>
        </w:rPr>
        <w:t>(An</w:t>
      </w:r>
      <w:r w:rsidR="0070240E" w:rsidRPr="00CC3A91">
        <w:rPr>
          <w:rFonts w:asciiTheme="majorHAnsi" w:hAnsiTheme="majorHAnsi"/>
          <w:sz w:val="22"/>
          <w:szCs w:val="22"/>
          <w:lang w:val="es-ES_tradnl"/>
        </w:rPr>
        <w:t>exo</w:t>
      </w:r>
      <w:r w:rsidR="00E01336" w:rsidRPr="00CC3A91">
        <w:rPr>
          <w:rFonts w:asciiTheme="majorHAnsi" w:hAnsiTheme="majorHAnsi"/>
          <w:sz w:val="22"/>
          <w:szCs w:val="22"/>
          <w:lang w:val="es-ES_tradnl"/>
        </w:rPr>
        <w:t xml:space="preserve"> </w:t>
      </w:r>
      <w:r w:rsidR="007B5675" w:rsidRPr="00CC3A91">
        <w:rPr>
          <w:rFonts w:asciiTheme="majorHAnsi" w:hAnsiTheme="majorHAnsi"/>
          <w:sz w:val="22"/>
          <w:szCs w:val="22"/>
          <w:lang w:val="es-ES_tradnl"/>
        </w:rPr>
        <w:t>)</w:t>
      </w:r>
      <w:r w:rsidR="00656349" w:rsidRPr="00CC3A91">
        <w:rPr>
          <w:rFonts w:asciiTheme="majorHAnsi" w:hAnsiTheme="majorHAnsi"/>
          <w:sz w:val="22"/>
          <w:szCs w:val="22"/>
          <w:lang w:val="es-ES_tradnl"/>
        </w:rPr>
        <w:t>;</w:t>
      </w:r>
      <w:r w:rsidR="0088725B" w:rsidRPr="00CC3A91">
        <w:rPr>
          <w:rFonts w:asciiTheme="majorHAnsi" w:hAnsiTheme="majorHAnsi"/>
          <w:sz w:val="22"/>
          <w:szCs w:val="22"/>
          <w:lang w:val="es-ES_tradnl"/>
        </w:rPr>
        <w:t xml:space="preserve"> </w:t>
      </w:r>
      <w:r w:rsidR="0070240E" w:rsidRPr="00CC3A91">
        <w:rPr>
          <w:rFonts w:asciiTheme="majorHAnsi" w:hAnsiTheme="majorHAnsi"/>
          <w:sz w:val="22"/>
          <w:szCs w:val="22"/>
          <w:lang w:val="es-ES_tradnl"/>
        </w:rPr>
        <w:t>y</w:t>
      </w:r>
    </w:p>
    <w:p w14:paraId="4C88F8EB" w14:textId="6E4B0D6C" w:rsidR="00372E0C" w:rsidRPr="00CC3A91" w:rsidRDefault="00AF1432" w:rsidP="00FB3790">
      <w:pPr>
        <w:pBdr>
          <w:top w:val="single" w:sz="4" w:space="1" w:color="auto"/>
          <w:left w:val="single" w:sz="4" w:space="1" w:color="auto"/>
          <w:bottom w:val="single" w:sz="4" w:space="1" w:color="auto"/>
          <w:right w:val="single" w:sz="4" w:space="4" w:color="auto"/>
        </w:pBdr>
        <w:ind w:left="426" w:hanging="426"/>
        <w:rPr>
          <w:rFonts w:asciiTheme="majorHAnsi" w:hAnsiTheme="majorHAnsi"/>
          <w:b/>
          <w:sz w:val="22"/>
          <w:szCs w:val="22"/>
          <w:lang w:val="es-ES_tradnl"/>
        </w:rPr>
      </w:pPr>
      <w:r w:rsidRPr="00CC3A91">
        <w:rPr>
          <w:rFonts w:asciiTheme="majorHAnsi" w:hAnsiTheme="majorHAnsi"/>
          <w:sz w:val="22"/>
          <w:szCs w:val="22"/>
          <w:lang w:val="es-ES_tradnl"/>
        </w:rPr>
        <w:tab/>
      </w:r>
      <w:r w:rsidR="00656349" w:rsidRPr="00CC3A91">
        <w:rPr>
          <w:rFonts w:asciiTheme="majorHAnsi" w:hAnsiTheme="majorHAnsi"/>
          <w:sz w:val="22"/>
          <w:szCs w:val="22"/>
          <w:lang w:val="es-ES_tradnl"/>
        </w:rPr>
        <w:t>c)</w:t>
      </w:r>
      <w:r w:rsidR="00E01336" w:rsidRPr="00CC3A91">
        <w:rPr>
          <w:rFonts w:asciiTheme="majorHAnsi" w:hAnsiTheme="majorHAnsi"/>
          <w:sz w:val="22"/>
          <w:szCs w:val="22"/>
          <w:lang w:val="es-ES_tradnl"/>
        </w:rPr>
        <w:t xml:space="preserve"> </w:t>
      </w:r>
      <w:r w:rsidRPr="00CC3A91">
        <w:rPr>
          <w:rFonts w:asciiTheme="majorHAnsi" w:hAnsiTheme="majorHAnsi"/>
          <w:sz w:val="22"/>
          <w:szCs w:val="22"/>
          <w:lang w:val="es-ES_tradnl"/>
        </w:rPr>
        <w:tab/>
      </w:r>
      <w:r w:rsidR="0070240E" w:rsidRPr="00CC3A91">
        <w:rPr>
          <w:rFonts w:asciiTheme="majorHAnsi" w:hAnsiTheme="majorHAnsi"/>
          <w:sz w:val="22"/>
          <w:szCs w:val="22"/>
          <w:lang w:val="es-ES_tradnl"/>
        </w:rPr>
        <w:t xml:space="preserve">estudiar las posibles formas de recaudar fondos para la realización de las tareas incluidas en el plan de trabajo del GECT aprobado para </w:t>
      </w:r>
      <w:r w:rsidR="007B5675" w:rsidRPr="00CC3A91">
        <w:rPr>
          <w:rFonts w:asciiTheme="majorHAnsi" w:hAnsiTheme="majorHAnsi"/>
          <w:sz w:val="22"/>
          <w:szCs w:val="22"/>
          <w:lang w:val="es-ES_tradnl"/>
        </w:rPr>
        <w:t>STRP</w:t>
      </w:r>
      <w:r w:rsidR="00E01336" w:rsidRPr="00CC3A91">
        <w:rPr>
          <w:rFonts w:asciiTheme="majorHAnsi" w:hAnsiTheme="majorHAnsi"/>
          <w:sz w:val="22"/>
          <w:szCs w:val="22"/>
          <w:lang w:val="es-ES_tradnl"/>
        </w:rPr>
        <w:t xml:space="preserve"> </w:t>
      </w:r>
      <w:r w:rsidR="007B5675" w:rsidRPr="00CC3A91">
        <w:rPr>
          <w:rFonts w:asciiTheme="majorHAnsi" w:hAnsiTheme="majorHAnsi"/>
          <w:sz w:val="22"/>
          <w:szCs w:val="22"/>
          <w:lang w:val="es-ES_tradnl"/>
        </w:rPr>
        <w:t>2016-2018,</w:t>
      </w:r>
      <w:r w:rsidR="00E01336" w:rsidRPr="00CC3A91">
        <w:rPr>
          <w:rFonts w:asciiTheme="majorHAnsi" w:hAnsiTheme="majorHAnsi"/>
          <w:sz w:val="22"/>
          <w:szCs w:val="22"/>
          <w:lang w:val="es-ES_tradnl"/>
        </w:rPr>
        <w:t xml:space="preserve"> </w:t>
      </w:r>
      <w:r w:rsidR="0070240E" w:rsidRPr="00CC3A91">
        <w:rPr>
          <w:rFonts w:asciiTheme="majorHAnsi" w:hAnsiTheme="majorHAnsi"/>
          <w:sz w:val="22"/>
          <w:szCs w:val="22"/>
          <w:lang w:val="es-ES_tradnl"/>
        </w:rPr>
        <w:t xml:space="preserve">si fuese necesario. </w:t>
      </w:r>
    </w:p>
    <w:p w14:paraId="3DC22F21" w14:textId="77777777" w:rsidR="00372E0C" w:rsidRPr="00CC3A91" w:rsidRDefault="00372E0C" w:rsidP="00FB3790">
      <w:pPr>
        <w:ind w:left="567" w:hanging="567"/>
        <w:rPr>
          <w:rFonts w:asciiTheme="majorHAnsi" w:hAnsiTheme="majorHAnsi"/>
          <w:b/>
          <w:sz w:val="22"/>
          <w:szCs w:val="22"/>
          <w:lang w:val="es-ES_tradnl"/>
        </w:rPr>
      </w:pPr>
    </w:p>
    <w:p w14:paraId="5D96E412" w14:textId="504EED3B" w:rsidR="00372E0C" w:rsidRPr="00CC3A91" w:rsidRDefault="00372E0C" w:rsidP="00FB3790">
      <w:pPr>
        <w:ind w:left="567" w:hanging="567"/>
        <w:rPr>
          <w:rFonts w:asciiTheme="majorHAnsi" w:hAnsiTheme="majorHAnsi"/>
          <w:b/>
          <w:sz w:val="22"/>
          <w:szCs w:val="22"/>
          <w:lang w:val="es-ES_tradnl"/>
        </w:rPr>
      </w:pPr>
      <w:r w:rsidRPr="00CC3A91">
        <w:rPr>
          <w:rFonts w:asciiTheme="majorHAnsi" w:hAnsiTheme="majorHAnsi"/>
          <w:b/>
          <w:sz w:val="22"/>
          <w:szCs w:val="22"/>
          <w:lang w:val="es-ES_tradnl"/>
        </w:rPr>
        <w:t>Introduc</w:t>
      </w:r>
      <w:r w:rsidR="0070240E" w:rsidRPr="00CC3A91">
        <w:rPr>
          <w:rFonts w:asciiTheme="majorHAnsi" w:hAnsiTheme="majorHAnsi"/>
          <w:b/>
          <w:sz w:val="22"/>
          <w:szCs w:val="22"/>
          <w:lang w:val="es-ES_tradnl"/>
        </w:rPr>
        <w:t>ción</w:t>
      </w:r>
    </w:p>
    <w:p w14:paraId="5B0B4AD1" w14:textId="77777777" w:rsidR="00496E6B" w:rsidRPr="00CC3A91" w:rsidRDefault="00496E6B" w:rsidP="00FB3790">
      <w:pPr>
        <w:ind w:left="567" w:hanging="567"/>
        <w:rPr>
          <w:rFonts w:asciiTheme="majorHAnsi" w:eastAsia="Calibri" w:hAnsiTheme="majorHAnsi" w:cs="Calibri"/>
          <w:sz w:val="22"/>
          <w:szCs w:val="22"/>
          <w:lang w:val="es-ES_tradnl"/>
        </w:rPr>
      </w:pPr>
    </w:p>
    <w:p w14:paraId="2880DF09" w14:textId="024768BA" w:rsidR="00F74AFE" w:rsidRPr="00CC3A91" w:rsidRDefault="0070240E"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El presente informe de la Presidencia del Grupo de Examen Científico y Técnico (GECT) se refiere al proyecto </w:t>
      </w:r>
      <w:r w:rsidR="00084614" w:rsidRPr="00CC3A91">
        <w:rPr>
          <w:rFonts w:asciiTheme="majorHAnsi" w:hAnsiTheme="majorHAnsi"/>
          <w:szCs w:val="22"/>
          <w:lang w:val="es-ES_tradnl"/>
        </w:rPr>
        <w:t>modificado</w:t>
      </w:r>
      <w:r w:rsidRPr="00CC3A91">
        <w:rPr>
          <w:rFonts w:asciiTheme="majorHAnsi" w:hAnsiTheme="majorHAnsi"/>
          <w:szCs w:val="22"/>
          <w:lang w:val="es-ES_tradnl"/>
        </w:rPr>
        <w:t xml:space="preserve"> de plan de trabajo, </w:t>
      </w:r>
      <w:r w:rsidR="00394062" w:rsidRPr="00CC3A91">
        <w:rPr>
          <w:rFonts w:asciiTheme="majorHAnsi" w:hAnsiTheme="majorHAnsi"/>
          <w:szCs w:val="22"/>
          <w:lang w:val="es-ES_tradnl"/>
        </w:rPr>
        <w:t>incluyendo las consultas con los Coordinadores Nacionales y Coordinadores Nacionales del GECT</w:t>
      </w:r>
      <w:r w:rsidR="0050391C" w:rsidRPr="00CC3A91">
        <w:rPr>
          <w:rFonts w:asciiTheme="majorHAnsi" w:hAnsiTheme="majorHAnsi"/>
          <w:szCs w:val="22"/>
          <w:lang w:val="es-ES_tradnl"/>
        </w:rPr>
        <w:t xml:space="preserve">, </w:t>
      </w:r>
      <w:r w:rsidRPr="00CC3A91">
        <w:rPr>
          <w:rFonts w:asciiTheme="majorHAnsi" w:hAnsiTheme="majorHAnsi"/>
          <w:szCs w:val="22"/>
          <w:lang w:val="es-ES_tradnl"/>
        </w:rPr>
        <w:t xml:space="preserve">y proporciona información actualizada sobre el trabajo de la Plataforma </w:t>
      </w:r>
      <w:r w:rsidR="00534531" w:rsidRPr="00CC3A91">
        <w:rPr>
          <w:rFonts w:asciiTheme="majorHAnsi" w:hAnsiTheme="majorHAnsi"/>
          <w:szCs w:val="22"/>
          <w:lang w:val="es-ES_tradnl"/>
        </w:rPr>
        <w:t xml:space="preserve">Intergubernamental sobre Diversidad Biológica y Servicios de los Ecosistemas </w:t>
      </w:r>
      <w:r w:rsidR="00FD121B" w:rsidRPr="00CC3A91">
        <w:rPr>
          <w:rFonts w:asciiTheme="majorHAnsi" w:hAnsiTheme="majorHAnsi"/>
          <w:szCs w:val="22"/>
          <w:lang w:val="es-ES_tradnl"/>
        </w:rPr>
        <w:t>(IPBES).</w:t>
      </w:r>
    </w:p>
    <w:p w14:paraId="72F9186F" w14:textId="77777777" w:rsidR="00372E0C" w:rsidRPr="00CC3A91" w:rsidRDefault="00372E0C" w:rsidP="00FB3790">
      <w:pPr>
        <w:ind w:left="567" w:hanging="567"/>
        <w:rPr>
          <w:rFonts w:asciiTheme="majorHAnsi" w:hAnsiTheme="majorHAnsi"/>
          <w:sz w:val="22"/>
          <w:szCs w:val="22"/>
          <w:lang w:val="es-ES_tradnl"/>
        </w:rPr>
      </w:pPr>
    </w:p>
    <w:p w14:paraId="592B550E" w14:textId="5C3D60A4" w:rsidR="00372E0C" w:rsidRPr="00CC3A91" w:rsidRDefault="0008555C" w:rsidP="00FB3790">
      <w:pPr>
        <w:ind w:left="567" w:hanging="567"/>
        <w:rPr>
          <w:rFonts w:asciiTheme="majorHAnsi" w:hAnsiTheme="majorHAnsi"/>
          <w:b/>
          <w:sz w:val="22"/>
          <w:szCs w:val="22"/>
          <w:lang w:val="es-ES_tradnl"/>
        </w:rPr>
      </w:pPr>
      <w:r w:rsidRPr="00CC3A91">
        <w:rPr>
          <w:rFonts w:asciiTheme="majorHAnsi" w:hAnsiTheme="majorHAnsi"/>
          <w:b/>
          <w:sz w:val="22"/>
          <w:szCs w:val="22"/>
          <w:lang w:val="es-ES_tradnl"/>
        </w:rPr>
        <w:t>Consulta</w:t>
      </w:r>
      <w:r w:rsidR="00202AF6" w:rsidRPr="00CC3A91">
        <w:rPr>
          <w:rFonts w:asciiTheme="majorHAnsi" w:hAnsiTheme="majorHAnsi"/>
          <w:b/>
          <w:sz w:val="22"/>
          <w:szCs w:val="22"/>
          <w:lang w:val="es-ES_tradnl"/>
        </w:rPr>
        <w:t>s</w:t>
      </w:r>
      <w:r w:rsidR="00FD2638" w:rsidRPr="00CC3A91">
        <w:rPr>
          <w:rFonts w:asciiTheme="majorHAnsi" w:hAnsiTheme="majorHAnsi"/>
          <w:b/>
          <w:sz w:val="22"/>
          <w:szCs w:val="22"/>
          <w:lang w:val="es-ES_tradnl"/>
        </w:rPr>
        <w:t xml:space="preserve"> </w:t>
      </w:r>
      <w:r w:rsidR="00394062" w:rsidRPr="00CC3A91">
        <w:rPr>
          <w:rFonts w:asciiTheme="majorHAnsi" w:hAnsiTheme="majorHAnsi"/>
          <w:b/>
          <w:sz w:val="22"/>
          <w:szCs w:val="22"/>
          <w:lang w:val="es-ES_tradnl"/>
        </w:rPr>
        <w:t xml:space="preserve">realizadas </w:t>
      </w:r>
      <w:r w:rsidR="00084614" w:rsidRPr="00CC3A91">
        <w:rPr>
          <w:rFonts w:asciiTheme="majorHAnsi" w:hAnsiTheme="majorHAnsi"/>
          <w:b/>
          <w:sz w:val="22"/>
          <w:szCs w:val="22"/>
          <w:lang w:val="es-ES_tradnl"/>
        </w:rPr>
        <w:t>para</w:t>
      </w:r>
      <w:r w:rsidR="00394062" w:rsidRPr="00CC3A91">
        <w:rPr>
          <w:rFonts w:asciiTheme="majorHAnsi" w:hAnsiTheme="majorHAnsi"/>
          <w:b/>
          <w:sz w:val="22"/>
          <w:szCs w:val="22"/>
          <w:lang w:val="es-ES_tradnl"/>
        </w:rPr>
        <w:t xml:space="preserve"> la revisión del proyecto de plan de trabajo del GECT para </w:t>
      </w:r>
      <w:r w:rsidRPr="00CC3A91">
        <w:rPr>
          <w:rFonts w:asciiTheme="majorHAnsi" w:hAnsiTheme="majorHAnsi"/>
          <w:b/>
          <w:sz w:val="22"/>
          <w:szCs w:val="22"/>
          <w:lang w:val="es-ES_tradnl"/>
        </w:rPr>
        <w:t>2016-2018</w:t>
      </w:r>
    </w:p>
    <w:p w14:paraId="6E6AE84E" w14:textId="77777777" w:rsidR="00372E0C" w:rsidRPr="00CC3A91" w:rsidRDefault="00372E0C" w:rsidP="00FB3790">
      <w:pPr>
        <w:ind w:left="567" w:hanging="567"/>
        <w:rPr>
          <w:rFonts w:asciiTheme="majorHAnsi" w:hAnsiTheme="majorHAnsi"/>
          <w:sz w:val="22"/>
          <w:szCs w:val="22"/>
          <w:lang w:val="es-ES_tradnl"/>
        </w:rPr>
      </w:pPr>
    </w:p>
    <w:p w14:paraId="165ED999" w14:textId="53D75B34" w:rsidR="00372E0C" w:rsidRPr="00CC3A91" w:rsidRDefault="00BB252A"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bCs/>
          <w:szCs w:val="22"/>
          <w:lang w:val="es-ES_tradnl"/>
        </w:rPr>
        <w:t>De acuerdo con lo previsto por la</w:t>
      </w:r>
      <w:r w:rsidR="0070240E" w:rsidRPr="00CC3A91">
        <w:rPr>
          <w:rFonts w:asciiTheme="majorHAnsi" w:hAnsiTheme="majorHAnsi"/>
          <w:bCs/>
          <w:szCs w:val="22"/>
          <w:lang w:val="es-ES_tradnl"/>
        </w:rPr>
        <w:t xml:space="preserve"> </w:t>
      </w:r>
      <w:r w:rsidR="0008555C" w:rsidRPr="00CC3A91">
        <w:rPr>
          <w:rFonts w:asciiTheme="majorHAnsi" w:hAnsiTheme="majorHAnsi"/>
          <w:bCs/>
          <w:szCs w:val="22"/>
          <w:lang w:val="es-ES_tradnl"/>
        </w:rPr>
        <w:t>Decisi</w:t>
      </w:r>
      <w:r w:rsidR="0070240E" w:rsidRPr="00CC3A91">
        <w:rPr>
          <w:rFonts w:asciiTheme="majorHAnsi" w:hAnsiTheme="majorHAnsi"/>
          <w:bCs/>
          <w:szCs w:val="22"/>
          <w:lang w:val="es-ES_tradnl"/>
        </w:rPr>
        <w:t>ó</w:t>
      </w:r>
      <w:r w:rsidR="0008555C" w:rsidRPr="00CC3A91">
        <w:rPr>
          <w:rFonts w:asciiTheme="majorHAnsi" w:hAnsiTheme="majorHAnsi"/>
          <w:bCs/>
          <w:szCs w:val="22"/>
          <w:lang w:val="es-ES_tradnl"/>
        </w:rPr>
        <w:t>n SC51-07</w:t>
      </w:r>
      <w:r w:rsidR="00084614" w:rsidRPr="00CC3A91">
        <w:rPr>
          <w:rFonts w:asciiTheme="majorHAnsi" w:hAnsiTheme="majorHAnsi"/>
          <w:bCs/>
          <w:szCs w:val="22"/>
          <w:lang w:val="es-ES_tradnl"/>
        </w:rPr>
        <w:t xml:space="preserve">, </w:t>
      </w:r>
      <w:r w:rsidRPr="00CC3A91">
        <w:rPr>
          <w:rFonts w:asciiTheme="majorHAnsi" w:hAnsiTheme="majorHAnsi"/>
          <w:bCs/>
          <w:szCs w:val="22"/>
          <w:lang w:val="es-ES_tradnl"/>
        </w:rPr>
        <w:t>sería preciso</w:t>
      </w:r>
      <w:r w:rsidR="00084614" w:rsidRPr="00CC3A91">
        <w:rPr>
          <w:rFonts w:asciiTheme="majorHAnsi" w:hAnsiTheme="majorHAnsi"/>
          <w:bCs/>
          <w:szCs w:val="22"/>
          <w:lang w:val="es-ES_tradnl"/>
        </w:rPr>
        <w:t xml:space="preserve"> presentar</w:t>
      </w:r>
      <w:r w:rsidR="00534531" w:rsidRPr="00CC3A91">
        <w:rPr>
          <w:rFonts w:asciiTheme="majorHAnsi" w:hAnsiTheme="majorHAnsi"/>
          <w:bCs/>
          <w:szCs w:val="22"/>
          <w:lang w:val="es-ES_tradnl"/>
        </w:rPr>
        <w:t xml:space="preserve"> un plan de trabajo del GECT </w:t>
      </w:r>
      <w:r w:rsidR="00084614" w:rsidRPr="00CC3A91">
        <w:rPr>
          <w:rFonts w:asciiTheme="majorHAnsi" w:hAnsiTheme="majorHAnsi"/>
          <w:bCs/>
          <w:szCs w:val="22"/>
          <w:lang w:val="es-ES_tradnl"/>
        </w:rPr>
        <w:t>modificado</w:t>
      </w:r>
      <w:r w:rsidR="00534531" w:rsidRPr="00CC3A91">
        <w:rPr>
          <w:rFonts w:asciiTheme="majorHAnsi" w:hAnsiTheme="majorHAnsi"/>
          <w:bCs/>
          <w:szCs w:val="22"/>
          <w:lang w:val="es-ES_tradnl"/>
        </w:rPr>
        <w:t xml:space="preserve"> a la 52ª reunión del Comité Permanente, </w:t>
      </w:r>
      <w:r w:rsidRPr="00CC3A91">
        <w:rPr>
          <w:rFonts w:asciiTheme="majorHAnsi" w:hAnsiTheme="majorHAnsi"/>
          <w:bCs/>
          <w:szCs w:val="22"/>
          <w:lang w:val="es-ES_tradnl"/>
        </w:rPr>
        <w:t xml:space="preserve">previa petición de </w:t>
      </w:r>
      <w:r w:rsidR="00394062" w:rsidRPr="00CC3A91">
        <w:rPr>
          <w:rFonts w:asciiTheme="majorHAnsi" w:hAnsiTheme="majorHAnsi"/>
          <w:bCs/>
          <w:szCs w:val="22"/>
          <w:lang w:val="es-ES_tradnl"/>
        </w:rPr>
        <w:t>contribuciones adicionale</w:t>
      </w:r>
      <w:r w:rsidRPr="00CC3A91">
        <w:rPr>
          <w:rFonts w:asciiTheme="majorHAnsi" w:hAnsiTheme="majorHAnsi"/>
          <w:bCs/>
          <w:szCs w:val="22"/>
          <w:lang w:val="es-ES_tradnl"/>
        </w:rPr>
        <w:t>s a las Partes Contratantes y a</w:t>
      </w:r>
      <w:r w:rsidR="00084614" w:rsidRPr="00CC3A91">
        <w:rPr>
          <w:rFonts w:asciiTheme="majorHAnsi" w:hAnsiTheme="majorHAnsi"/>
          <w:bCs/>
          <w:szCs w:val="22"/>
          <w:lang w:val="es-ES_tradnl"/>
        </w:rPr>
        <w:t xml:space="preserve"> los</w:t>
      </w:r>
      <w:r w:rsidR="00394062" w:rsidRPr="00CC3A91">
        <w:rPr>
          <w:rFonts w:asciiTheme="majorHAnsi" w:hAnsiTheme="majorHAnsi"/>
          <w:bCs/>
          <w:szCs w:val="22"/>
          <w:lang w:val="es-ES_tradnl"/>
        </w:rPr>
        <w:t xml:space="preserve"> Coordinadores Nacionales del GECT</w:t>
      </w:r>
      <w:r w:rsidR="00084614" w:rsidRPr="00CC3A91">
        <w:rPr>
          <w:rFonts w:asciiTheme="majorHAnsi" w:hAnsiTheme="majorHAnsi"/>
          <w:bCs/>
          <w:szCs w:val="22"/>
          <w:lang w:val="es-ES_tradnl"/>
        </w:rPr>
        <w:t xml:space="preserve"> correspondientes</w:t>
      </w:r>
      <w:r w:rsidR="00394062" w:rsidRPr="00CC3A91">
        <w:rPr>
          <w:rFonts w:asciiTheme="majorHAnsi" w:hAnsiTheme="majorHAnsi"/>
          <w:bCs/>
          <w:szCs w:val="22"/>
          <w:lang w:val="es-ES_tradnl"/>
        </w:rPr>
        <w:t xml:space="preserve">. </w:t>
      </w:r>
    </w:p>
    <w:p w14:paraId="28188DD6" w14:textId="77777777" w:rsidR="00B92C68" w:rsidRPr="00CC3A91" w:rsidRDefault="00B92C68" w:rsidP="00FB3790">
      <w:pPr>
        <w:ind w:left="426" w:hanging="426"/>
        <w:rPr>
          <w:rFonts w:asciiTheme="majorHAnsi" w:hAnsiTheme="majorHAnsi"/>
          <w:sz w:val="22"/>
          <w:szCs w:val="22"/>
          <w:lang w:val="es-ES_tradnl"/>
        </w:rPr>
      </w:pPr>
    </w:p>
    <w:p w14:paraId="0CE56E13" w14:textId="58A36681" w:rsidR="00B92C68" w:rsidRPr="00CC3A91" w:rsidRDefault="0070240E" w:rsidP="00FB3790">
      <w:pPr>
        <w:pStyle w:val="ListParagraph"/>
        <w:numPr>
          <w:ilvl w:val="0"/>
          <w:numId w:val="1"/>
        </w:numPr>
        <w:ind w:left="426" w:hanging="426"/>
        <w:rPr>
          <w:rFonts w:asciiTheme="majorHAnsi" w:eastAsia="Calibri" w:hAnsiTheme="majorHAnsi" w:cs="Calibri"/>
          <w:bCs/>
          <w:szCs w:val="22"/>
          <w:lang w:val="es-ES_tradnl"/>
        </w:rPr>
      </w:pPr>
      <w:r w:rsidRPr="00CC3A91">
        <w:rPr>
          <w:rFonts w:asciiTheme="majorHAnsi" w:hAnsiTheme="majorHAnsi"/>
          <w:szCs w:val="22"/>
          <w:lang w:val="es-ES_tradnl"/>
        </w:rPr>
        <w:t xml:space="preserve">El </w:t>
      </w:r>
      <w:r w:rsidR="00B92C68" w:rsidRPr="00CC3A91">
        <w:rPr>
          <w:rFonts w:asciiTheme="majorHAnsi" w:hAnsiTheme="majorHAnsi"/>
          <w:szCs w:val="22"/>
          <w:lang w:val="es-ES_tradnl"/>
        </w:rPr>
        <w:t xml:space="preserve">15 </w:t>
      </w:r>
      <w:r w:rsidRPr="00CC3A91">
        <w:rPr>
          <w:rFonts w:asciiTheme="majorHAnsi" w:hAnsiTheme="majorHAnsi"/>
          <w:szCs w:val="22"/>
          <w:lang w:val="es-ES_tradnl"/>
        </w:rPr>
        <w:t xml:space="preserve">de diciembre de </w:t>
      </w:r>
      <w:r w:rsidR="00B92C68" w:rsidRPr="00CC3A91">
        <w:rPr>
          <w:rFonts w:asciiTheme="majorHAnsi" w:hAnsiTheme="majorHAnsi"/>
          <w:szCs w:val="22"/>
          <w:lang w:val="es-ES_tradnl"/>
        </w:rPr>
        <w:t xml:space="preserve">2015, </w:t>
      </w:r>
      <w:r w:rsidRPr="00CC3A91">
        <w:rPr>
          <w:rFonts w:asciiTheme="majorHAnsi" w:hAnsiTheme="majorHAnsi"/>
          <w:szCs w:val="22"/>
          <w:lang w:val="es-ES_tradnl"/>
        </w:rPr>
        <w:t>la Secretaría envió un mensaje a</w:t>
      </w:r>
      <w:r w:rsidR="00A118C9" w:rsidRPr="00CC3A91">
        <w:rPr>
          <w:rFonts w:asciiTheme="majorHAnsi" w:hAnsiTheme="majorHAnsi"/>
          <w:szCs w:val="22"/>
          <w:lang w:val="es-ES_tradnl"/>
        </w:rPr>
        <w:t xml:space="preserve"> </w:t>
      </w:r>
      <w:r w:rsidR="00BB252A" w:rsidRPr="00CC3A91">
        <w:rPr>
          <w:rFonts w:asciiTheme="majorHAnsi" w:hAnsiTheme="majorHAnsi"/>
          <w:szCs w:val="22"/>
          <w:lang w:val="es-ES_tradnl"/>
        </w:rPr>
        <w:t xml:space="preserve">los responsables </w:t>
      </w:r>
      <w:r w:rsidR="00394062" w:rsidRPr="00CC3A91">
        <w:rPr>
          <w:rFonts w:asciiTheme="majorHAnsi" w:eastAsia="Calibri" w:hAnsiTheme="majorHAnsi" w:cs="Calibri"/>
          <w:bCs/>
          <w:szCs w:val="22"/>
          <w:lang w:val="es-ES_tradnl"/>
        </w:rPr>
        <w:t>de las Autoridades Administrativas</w:t>
      </w:r>
      <w:r w:rsidR="00B92C68" w:rsidRPr="00CC3A91">
        <w:rPr>
          <w:rFonts w:asciiTheme="majorHAnsi" w:eastAsia="Calibri" w:hAnsiTheme="majorHAnsi" w:cs="Calibri"/>
          <w:bCs/>
          <w:szCs w:val="22"/>
          <w:lang w:val="es-ES_tradnl"/>
        </w:rPr>
        <w:t xml:space="preserve">, </w:t>
      </w:r>
      <w:r w:rsidR="00BB252A" w:rsidRPr="00CC3A91">
        <w:rPr>
          <w:rFonts w:asciiTheme="majorHAnsi" w:eastAsia="Calibri" w:hAnsiTheme="majorHAnsi" w:cs="Calibri"/>
          <w:bCs/>
          <w:szCs w:val="22"/>
          <w:lang w:val="es-ES_tradnl"/>
        </w:rPr>
        <w:t xml:space="preserve">y a </w:t>
      </w:r>
      <w:r w:rsidR="00534531" w:rsidRPr="00CC3A91">
        <w:rPr>
          <w:rFonts w:asciiTheme="majorHAnsi" w:eastAsia="Calibri" w:hAnsiTheme="majorHAnsi" w:cs="Calibri"/>
          <w:bCs/>
          <w:szCs w:val="22"/>
          <w:lang w:val="es-ES_tradnl"/>
        </w:rPr>
        <w:t>los Coordinadores Nacionales y Coordinadores Nacionales del GECT</w:t>
      </w:r>
      <w:r w:rsidR="00EE07E1" w:rsidRPr="00CC3A91">
        <w:rPr>
          <w:rFonts w:asciiTheme="majorHAnsi" w:eastAsia="Calibri" w:hAnsiTheme="majorHAnsi" w:cs="Calibri"/>
          <w:bCs/>
          <w:szCs w:val="22"/>
          <w:lang w:val="es-ES_tradnl"/>
        </w:rPr>
        <w:t xml:space="preserve">, </w:t>
      </w:r>
      <w:r w:rsidRPr="00CC3A91">
        <w:rPr>
          <w:rFonts w:asciiTheme="majorHAnsi" w:eastAsia="Calibri" w:hAnsiTheme="majorHAnsi" w:cs="Calibri"/>
          <w:bCs/>
          <w:szCs w:val="22"/>
          <w:lang w:val="es-ES_tradnl"/>
        </w:rPr>
        <w:t>invitánd</w:t>
      </w:r>
      <w:r w:rsidR="00EE07E1" w:rsidRPr="00CC3A91">
        <w:rPr>
          <w:rFonts w:asciiTheme="majorHAnsi" w:eastAsia="Calibri" w:hAnsiTheme="majorHAnsi" w:cs="Calibri"/>
          <w:bCs/>
          <w:szCs w:val="22"/>
          <w:lang w:val="es-ES_tradnl"/>
        </w:rPr>
        <w:t>o</w:t>
      </w:r>
      <w:r w:rsidRPr="00CC3A91">
        <w:rPr>
          <w:rFonts w:asciiTheme="majorHAnsi" w:eastAsia="Calibri" w:hAnsiTheme="majorHAnsi" w:cs="Calibri"/>
          <w:bCs/>
          <w:szCs w:val="22"/>
          <w:lang w:val="es-ES_tradnl"/>
        </w:rPr>
        <w:t>les a aportar sus c</w:t>
      </w:r>
      <w:r w:rsidR="00BB252A" w:rsidRPr="00CC3A91">
        <w:rPr>
          <w:rFonts w:asciiTheme="majorHAnsi" w:eastAsia="Calibri" w:hAnsiTheme="majorHAnsi" w:cs="Calibri"/>
          <w:bCs/>
          <w:szCs w:val="22"/>
          <w:lang w:val="es-ES_tradnl"/>
        </w:rPr>
        <w:t>omentarios sobre el proyecto de</w:t>
      </w:r>
      <w:r w:rsidRPr="00CC3A91">
        <w:rPr>
          <w:rFonts w:asciiTheme="majorHAnsi" w:eastAsia="Calibri" w:hAnsiTheme="majorHAnsi" w:cs="Calibri"/>
          <w:bCs/>
          <w:szCs w:val="22"/>
          <w:lang w:val="es-ES_tradnl"/>
        </w:rPr>
        <w:t xml:space="preserve"> plan de trabajo del GECT para </w:t>
      </w:r>
      <w:r w:rsidR="00B92C68" w:rsidRPr="00CC3A91">
        <w:rPr>
          <w:rFonts w:asciiTheme="majorHAnsi" w:eastAsia="Calibri" w:hAnsiTheme="majorHAnsi" w:cs="Calibri"/>
          <w:bCs/>
          <w:szCs w:val="22"/>
          <w:lang w:val="es-ES_tradnl"/>
        </w:rPr>
        <w:t>2016-2018.</w:t>
      </w:r>
    </w:p>
    <w:p w14:paraId="6A36C4C7" w14:textId="77777777" w:rsidR="00B92C68" w:rsidRPr="00CC3A91" w:rsidRDefault="00B92C68" w:rsidP="00FB3790">
      <w:pPr>
        <w:ind w:left="426" w:hanging="426"/>
        <w:rPr>
          <w:rFonts w:asciiTheme="majorHAnsi" w:hAnsiTheme="majorHAnsi"/>
          <w:sz w:val="22"/>
          <w:szCs w:val="22"/>
          <w:lang w:val="es-ES_tradnl"/>
        </w:rPr>
      </w:pPr>
    </w:p>
    <w:p w14:paraId="0D64DD88" w14:textId="6B44A6FB" w:rsidR="00645B77" w:rsidRPr="00CC3A91" w:rsidRDefault="0070240E"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Entre el </w:t>
      </w:r>
      <w:r w:rsidR="00DD0A35" w:rsidRPr="00CC3A91">
        <w:rPr>
          <w:rFonts w:asciiTheme="majorHAnsi" w:hAnsiTheme="majorHAnsi"/>
          <w:szCs w:val="22"/>
          <w:lang w:val="es-ES_tradnl"/>
        </w:rPr>
        <w:t>19</w:t>
      </w:r>
      <w:r w:rsidRPr="00CC3A91">
        <w:rPr>
          <w:rFonts w:asciiTheme="majorHAnsi" w:hAnsiTheme="majorHAnsi"/>
          <w:szCs w:val="22"/>
          <w:lang w:val="es-ES_tradnl"/>
        </w:rPr>
        <w:t xml:space="preserve"> y el </w:t>
      </w:r>
      <w:r w:rsidR="00DD0A35" w:rsidRPr="00CC3A91">
        <w:rPr>
          <w:rFonts w:asciiTheme="majorHAnsi" w:hAnsiTheme="majorHAnsi"/>
          <w:szCs w:val="22"/>
          <w:lang w:val="es-ES_tradnl"/>
        </w:rPr>
        <w:t xml:space="preserve">25 </w:t>
      </w:r>
      <w:r w:rsidRPr="00CC3A91">
        <w:rPr>
          <w:rFonts w:asciiTheme="majorHAnsi" w:hAnsiTheme="majorHAnsi"/>
          <w:szCs w:val="22"/>
          <w:lang w:val="es-ES_tradnl"/>
        </w:rPr>
        <w:t>de enero de</w:t>
      </w:r>
      <w:r w:rsidR="00645B77" w:rsidRPr="00CC3A91">
        <w:rPr>
          <w:rFonts w:asciiTheme="majorHAnsi" w:hAnsiTheme="majorHAnsi"/>
          <w:szCs w:val="22"/>
          <w:lang w:val="es-ES_tradnl"/>
        </w:rPr>
        <w:t xml:space="preserve"> 2016, </w:t>
      </w:r>
      <w:r w:rsidRPr="00CC3A91">
        <w:rPr>
          <w:rFonts w:asciiTheme="majorHAnsi" w:hAnsiTheme="majorHAnsi"/>
          <w:szCs w:val="22"/>
          <w:lang w:val="es-ES_tradnl"/>
        </w:rPr>
        <w:t xml:space="preserve">el GECT celebró </w:t>
      </w:r>
      <w:r w:rsidR="00856800" w:rsidRPr="00CC3A91">
        <w:rPr>
          <w:rFonts w:asciiTheme="majorHAnsi" w:hAnsiTheme="majorHAnsi"/>
          <w:szCs w:val="22"/>
          <w:lang w:val="es-ES_tradnl"/>
        </w:rPr>
        <w:t xml:space="preserve">cinco seminarios web </w:t>
      </w:r>
      <w:r w:rsidR="00645B77" w:rsidRPr="00CC3A91">
        <w:rPr>
          <w:rFonts w:asciiTheme="majorHAnsi" w:hAnsiTheme="majorHAnsi"/>
          <w:szCs w:val="22"/>
          <w:lang w:val="es-ES_tradnl"/>
        </w:rPr>
        <w:t>(</w:t>
      </w:r>
      <w:r w:rsidR="00856800" w:rsidRPr="00CC3A91">
        <w:rPr>
          <w:rFonts w:asciiTheme="majorHAnsi" w:hAnsiTheme="majorHAnsi"/>
          <w:szCs w:val="22"/>
          <w:lang w:val="es-ES_tradnl"/>
        </w:rPr>
        <w:t xml:space="preserve">uno para cada área </w:t>
      </w:r>
      <w:r w:rsidR="00CC3A91" w:rsidRPr="00CC3A91">
        <w:rPr>
          <w:rFonts w:asciiTheme="majorHAnsi" w:hAnsiTheme="majorHAnsi"/>
          <w:szCs w:val="22"/>
          <w:lang w:val="es-ES_tradnl"/>
        </w:rPr>
        <w:t>temática</w:t>
      </w:r>
      <w:r w:rsidR="00856800" w:rsidRPr="00CC3A91">
        <w:rPr>
          <w:rFonts w:asciiTheme="majorHAnsi" w:hAnsiTheme="majorHAnsi"/>
          <w:szCs w:val="22"/>
          <w:lang w:val="es-ES_tradnl"/>
        </w:rPr>
        <w:t xml:space="preserve"> de trabajo</w:t>
      </w:r>
      <w:r w:rsidR="00645B77" w:rsidRPr="00CC3A91">
        <w:rPr>
          <w:rFonts w:asciiTheme="majorHAnsi" w:hAnsiTheme="majorHAnsi"/>
          <w:szCs w:val="22"/>
          <w:lang w:val="es-ES_tradnl"/>
        </w:rPr>
        <w:t xml:space="preserve">) </w:t>
      </w:r>
      <w:r w:rsidR="00856800" w:rsidRPr="00CC3A91">
        <w:rPr>
          <w:rFonts w:asciiTheme="majorHAnsi" w:hAnsiTheme="majorHAnsi"/>
          <w:szCs w:val="22"/>
          <w:lang w:val="es-ES_tradnl"/>
        </w:rPr>
        <w:t xml:space="preserve">a fin de proporcionar otro canal para </w:t>
      </w:r>
      <w:r w:rsidR="00BB252A" w:rsidRPr="00CC3A91">
        <w:rPr>
          <w:rFonts w:asciiTheme="majorHAnsi" w:hAnsiTheme="majorHAnsi"/>
          <w:szCs w:val="22"/>
          <w:lang w:val="es-ES_tradnl"/>
        </w:rPr>
        <w:t xml:space="preserve">recibir las </w:t>
      </w:r>
      <w:r w:rsidR="00856800" w:rsidRPr="00CC3A91">
        <w:rPr>
          <w:rFonts w:asciiTheme="majorHAnsi" w:hAnsiTheme="majorHAnsi"/>
          <w:szCs w:val="22"/>
          <w:lang w:val="es-ES_tradnl"/>
        </w:rPr>
        <w:t xml:space="preserve">contribuciones de </w:t>
      </w:r>
      <w:r w:rsidR="00394062" w:rsidRPr="00CC3A91">
        <w:rPr>
          <w:rFonts w:asciiTheme="majorHAnsi" w:hAnsiTheme="majorHAnsi"/>
          <w:szCs w:val="22"/>
          <w:lang w:val="es-ES_tradnl"/>
        </w:rPr>
        <w:t>los Coordinadores Nacionales del GECT</w:t>
      </w:r>
      <w:r w:rsidR="00645B77" w:rsidRPr="00CC3A91">
        <w:rPr>
          <w:rFonts w:asciiTheme="majorHAnsi" w:hAnsiTheme="majorHAnsi"/>
          <w:szCs w:val="22"/>
          <w:lang w:val="es-ES_tradnl"/>
        </w:rPr>
        <w:t>.</w:t>
      </w:r>
    </w:p>
    <w:p w14:paraId="3B6ED0D4" w14:textId="77777777" w:rsidR="00645B77" w:rsidRPr="00CC3A91" w:rsidRDefault="00645B77" w:rsidP="00FB3790">
      <w:pPr>
        <w:ind w:left="426" w:hanging="426"/>
        <w:rPr>
          <w:rFonts w:asciiTheme="majorHAnsi" w:hAnsiTheme="majorHAnsi"/>
          <w:sz w:val="22"/>
          <w:szCs w:val="22"/>
          <w:lang w:val="es-ES_tradnl"/>
        </w:rPr>
      </w:pPr>
    </w:p>
    <w:p w14:paraId="64E6C4AF" w14:textId="4DFF8A4E" w:rsidR="00645B77" w:rsidRPr="00CC3A91" w:rsidRDefault="00BB252A"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Se pidió, asimismo, </w:t>
      </w:r>
      <w:r w:rsidR="00856800" w:rsidRPr="00CC3A91">
        <w:rPr>
          <w:rFonts w:asciiTheme="majorHAnsi" w:hAnsiTheme="majorHAnsi"/>
          <w:szCs w:val="22"/>
          <w:lang w:val="es-ES_tradnl"/>
        </w:rPr>
        <w:t xml:space="preserve">a los miembros del GECT que utilizasen sus contactos personales para llegar directamente a los </w:t>
      </w:r>
      <w:r w:rsidR="00394062" w:rsidRPr="00CC3A91">
        <w:rPr>
          <w:rFonts w:asciiTheme="majorHAnsi" w:hAnsiTheme="majorHAnsi"/>
          <w:szCs w:val="22"/>
          <w:lang w:val="es-ES_tradnl"/>
        </w:rPr>
        <w:t>Coordinadores Nacionales del GECT</w:t>
      </w:r>
      <w:r w:rsidR="0088725B" w:rsidRPr="00CC3A91">
        <w:rPr>
          <w:rFonts w:asciiTheme="majorHAnsi" w:hAnsiTheme="majorHAnsi"/>
          <w:szCs w:val="22"/>
          <w:lang w:val="es-ES_tradnl"/>
        </w:rPr>
        <w:t xml:space="preserve"> </w:t>
      </w:r>
      <w:r w:rsidR="00856800" w:rsidRPr="00CC3A91">
        <w:rPr>
          <w:rFonts w:asciiTheme="majorHAnsi" w:hAnsiTheme="majorHAnsi"/>
          <w:szCs w:val="22"/>
          <w:lang w:val="es-ES_tradnl"/>
        </w:rPr>
        <w:t>y a</w:t>
      </w:r>
      <w:r w:rsidR="00C3041D" w:rsidRPr="00CC3A91">
        <w:rPr>
          <w:rFonts w:asciiTheme="majorHAnsi" w:hAnsiTheme="majorHAnsi"/>
          <w:szCs w:val="22"/>
          <w:lang w:val="es-ES_tradnl"/>
        </w:rPr>
        <w:t>lent</w:t>
      </w:r>
      <w:r w:rsidR="00856800" w:rsidRPr="00CC3A91">
        <w:rPr>
          <w:rFonts w:asciiTheme="majorHAnsi" w:hAnsiTheme="majorHAnsi"/>
          <w:szCs w:val="22"/>
          <w:lang w:val="es-ES_tradnl"/>
        </w:rPr>
        <w:t>arles a aportar sus contribuciones sobre el</w:t>
      </w:r>
      <w:r w:rsidR="0088725B" w:rsidRPr="00CC3A91">
        <w:rPr>
          <w:rFonts w:asciiTheme="majorHAnsi" w:hAnsiTheme="majorHAnsi"/>
          <w:szCs w:val="22"/>
          <w:lang w:val="es-ES_tradnl"/>
        </w:rPr>
        <w:t xml:space="preserve"> </w:t>
      </w:r>
      <w:r w:rsidR="00394062" w:rsidRPr="00CC3A91">
        <w:rPr>
          <w:rFonts w:asciiTheme="majorHAnsi" w:hAnsiTheme="majorHAnsi"/>
          <w:szCs w:val="22"/>
          <w:lang w:val="es-ES_tradnl"/>
        </w:rPr>
        <w:t>pro</w:t>
      </w:r>
      <w:r w:rsidR="00C3041D" w:rsidRPr="00CC3A91">
        <w:rPr>
          <w:rFonts w:asciiTheme="majorHAnsi" w:hAnsiTheme="majorHAnsi"/>
          <w:szCs w:val="22"/>
          <w:lang w:val="es-ES_tradnl"/>
        </w:rPr>
        <w:t>y</w:t>
      </w:r>
      <w:r w:rsidR="00394062" w:rsidRPr="00CC3A91">
        <w:rPr>
          <w:rFonts w:asciiTheme="majorHAnsi" w:hAnsiTheme="majorHAnsi"/>
          <w:szCs w:val="22"/>
          <w:lang w:val="es-ES_tradnl"/>
        </w:rPr>
        <w:t xml:space="preserve">ecto de plan de trabajo del GECT para </w:t>
      </w:r>
      <w:r w:rsidR="00645B77" w:rsidRPr="00CC3A91">
        <w:rPr>
          <w:rFonts w:asciiTheme="majorHAnsi" w:eastAsia="Calibri" w:hAnsiTheme="majorHAnsi" w:cs="Calibri"/>
          <w:bCs/>
          <w:szCs w:val="22"/>
          <w:lang w:val="es-ES_tradnl"/>
        </w:rPr>
        <w:t>2016-2018</w:t>
      </w:r>
      <w:r w:rsidR="00394062" w:rsidRPr="00CC3A91">
        <w:rPr>
          <w:rFonts w:asciiTheme="majorHAnsi" w:eastAsia="Calibri" w:hAnsiTheme="majorHAnsi" w:cs="Calibri"/>
          <w:bCs/>
          <w:szCs w:val="22"/>
          <w:lang w:val="es-ES_tradnl"/>
        </w:rPr>
        <w:t>.</w:t>
      </w:r>
    </w:p>
    <w:p w14:paraId="19241DC2" w14:textId="77777777" w:rsidR="00645B77" w:rsidRPr="00CC3A91" w:rsidRDefault="00645B77" w:rsidP="00FB3790">
      <w:pPr>
        <w:ind w:left="426" w:hanging="426"/>
        <w:rPr>
          <w:rFonts w:asciiTheme="majorHAnsi" w:hAnsiTheme="majorHAnsi"/>
          <w:sz w:val="22"/>
          <w:szCs w:val="22"/>
          <w:lang w:val="es-ES_tradnl"/>
        </w:rPr>
      </w:pPr>
    </w:p>
    <w:p w14:paraId="3D467E20" w14:textId="52FF22CD" w:rsidR="00372E0C" w:rsidRPr="00CC3A91" w:rsidRDefault="00810463"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Durante el proceso de consultas, r</w:t>
      </w:r>
      <w:r w:rsidR="00856800" w:rsidRPr="00CC3A91">
        <w:rPr>
          <w:rFonts w:asciiTheme="majorHAnsi" w:hAnsiTheme="majorHAnsi"/>
          <w:szCs w:val="22"/>
          <w:lang w:val="es-ES_tradnl"/>
        </w:rPr>
        <w:t xml:space="preserve">ecibimos </w:t>
      </w:r>
      <w:r w:rsidRPr="00CC3A91">
        <w:rPr>
          <w:rFonts w:asciiTheme="majorHAnsi" w:hAnsiTheme="majorHAnsi"/>
          <w:szCs w:val="22"/>
          <w:lang w:val="es-ES_tradnl"/>
        </w:rPr>
        <w:t xml:space="preserve">comentarios </w:t>
      </w:r>
      <w:r w:rsidR="00856800" w:rsidRPr="00CC3A91">
        <w:rPr>
          <w:rFonts w:asciiTheme="majorHAnsi" w:hAnsiTheme="majorHAnsi"/>
          <w:szCs w:val="22"/>
          <w:lang w:val="es-ES_tradnl"/>
        </w:rPr>
        <w:t xml:space="preserve">de </w:t>
      </w:r>
      <w:r w:rsidRPr="00CC3A91">
        <w:rPr>
          <w:rFonts w:asciiTheme="majorHAnsi" w:hAnsiTheme="majorHAnsi"/>
          <w:szCs w:val="22"/>
          <w:lang w:val="es-ES_tradnl"/>
        </w:rPr>
        <w:t xml:space="preserve">nueve Coordinadores Nacionales y de nueve </w:t>
      </w:r>
      <w:r w:rsidR="000A1FC0" w:rsidRPr="00CC3A91">
        <w:rPr>
          <w:rFonts w:asciiTheme="majorHAnsi" w:hAnsiTheme="majorHAnsi"/>
          <w:szCs w:val="22"/>
          <w:lang w:val="es-ES_tradnl"/>
        </w:rPr>
        <w:t>Coordinadores Nacionales del GECT</w:t>
      </w:r>
      <w:r w:rsidRPr="00CC3A91">
        <w:rPr>
          <w:rFonts w:asciiTheme="majorHAnsi" w:hAnsiTheme="majorHAnsi"/>
          <w:szCs w:val="22"/>
          <w:lang w:val="es-ES_tradnl"/>
        </w:rPr>
        <w:t>, que representaban un total de 14 Partes Contratantes.</w:t>
      </w:r>
      <w:r w:rsidR="004A5FAE" w:rsidRPr="00CC3A91">
        <w:rPr>
          <w:rFonts w:asciiTheme="majorHAnsi" w:hAnsiTheme="majorHAnsi"/>
          <w:szCs w:val="22"/>
          <w:lang w:val="es-ES_tradnl"/>
        </w:rPr>
        <w:t xml:space="preserve"> </w:t>
      </w:r>
      <w:r w:rsidR="00C3041D" w:rsidRPr="00CC3A91">
        <w:rPr>
          <w:rFonts w:asciiTheme="majorHAnsi" w:hAnsiTheme="majorHAnsi"/>
          <w:szCs w:val="22"/>
          <w:lang w:val="es-ES_tradnl"/>
        </w:rPr>
        <w:t xml:space="preserve">Los comentarios específicos, </w:t>
      </w:r>
      <w:r w:rsidR="00856800" w:rsidRPr="00CC3A91">
        <w:rPr>
          <w:rFonts w:asciiTheme="majorHAnsi" w:hAnsiTheme="majorHAnsi"/>
          <w:szCs w:val="22"/>
          <w:lang w:val="es-ES_tradnl"/>
        </w:rPr>
        <w:t>con las respuestas</w:t>
      </w:r>
      <w:r w:rsidR="00C3041D" w:rsidRPr="00CC3A91">
        <w:rPr>
          <w:rFonts w:asciiTheme="majorHAnsi" w:hAnsiTheme="majorHAnsi"/>
          <w:szCs w:val="22"/>
          <w:lang w:val="es-ES_tradnl"/>
        </w:rPr>
        <w:t xml:space="preserve"> correspondientes</w:t>
      </w:r>
      <w:r w:rsidR="00856800" w:rsidRPr="00CC3A91">
        <w:rPr>
          <w:rFonts w:asciiTheme="majorHAnsi" w:hAnsiTheme="majorHAnsi"/>
          <w:szCs w:val="22"/>
          <w:lang w:val="es-ES_tradnl"/>
        </w:rPr>
        <w:t>, se pueden ver en la tabla</w:t>
      </w:r>
      <w:r w:rsidRPr="00CC3A91">
        <w:rPr>
          <w:rFonts w:asciiTheme="majorHAnsi" w:hAnsiTheme="majorHAnsi"/>
          <w:szCs w:val="22"/>
          <w:lang w:val="es-ES_tradnl"/>
        </w:rPr>
        <w:t xml:space="preserve"> que está disponible en</w:t>
      </w:r>
      <w:r w:rsidR="00AF13A3">
        <w:rPr>
          <w:rFonts w:asciiTheme="majorHAnsi" w:hAnsiTheme="majorHAnsi"/>
          <w:szCs w:val="22"/>
          <w:lang w:val="es-ES_tradnl"/>
        </w:rPr>
        <w:t>:</w:t>
      </w:r>
      <w:r w:rsidRPr="00CC3A91">
        <w:rPr>
          <w:rFonts w:asciiTheme="majorHAnsi" w:hAnsiTheme="majorHAnsi"/>
          <w:szCs w:val="22"/>
          <w:lang w:val="es-ES_tradnl"/>
        </w:rPr>
        <w:t xml:space="preserve"> </w:t>
      </w:r>
      <w:hyperlink r:id="rId9" w:history="1">
        <w:r w:rsidR="00CC3A91" w:rsidRPr="0067204E">
          <w:rPr>
            <w:rStyle w:val="Hyperlink"/>
            <w:rFonts w:asciiTheme="majorHAnsi" w:hAnsiTheme="majorHAnsi"/>
            <w:szCs w:val="22"/>
            <w:lang w:val="es-ES_tradnl"/>
          </w:rPr>
          <w:t>http://www.ramsar.org/sites/default/files/documents/library/strp_draft_workplan_201618_cp_feedback.pdf</w:t>
        </w:r>
      </w:hyperlink>
      <w:r w:rsidRPr="00CC3A91">
        <w:rPr>
          <w:rFonts w:asciiTheme="majorHAnsi" w:hAnsiTheme="majorHAnsi"/>
          <w:szCs w:val="22"/>
          <w:lang w:val="es-ES_tradnl"/>
        </w:rPr>
        <w:t xml:space="preserve">. </w:t>
      </w:r>
      <w:r w:rsidR="00856800" w:rsidRPr="00CC3A91">
        <w:rPr>
          <w:rFonts w:asciiTheme="majorHAnsi" w:hAnsiTheme="majorHAnsi"/>
          <w:szCs w:val="22"/>
          <w:lang w:val="es-ES_tradnl"/>
        </w:rPr>
        <w:t xml:space="preserve">Algunas de las respuestas se muestran de forma más detallada a continuación. </w:t>
      </w:r>
    </w:p>
    <w:p w14:paraId="54615655" w14:textId="77777777" w:rsidR="00CA75EF" w:rsidRPr="00CC3A91" w:rsidRDefault="00CA75EF" w:rsidP="00FB3790">
      <w:pPr>
        <w:ind w:left="567" w:hanging="567"/>
        <w:rPr>
          <w:rFonts w:asciiTheme="majorHAnsi" w:hAnsiTheme="majorHAnsi"/>
          <w:sz w:val="22"/>
          <w:szCs w:val="22"/>
          <w:lang w:val="es-ES_tradnl"/>
        </w:rPr>
      </w:pPr>
    </w:p>
    <w:p w14:paraId="3539EA60" w14:textId="0A7F37BC" w:rsidR="00AC45B7" w:rsidRPr="00CC3A91" w:rsidRDefault="0047336B" w:rsidP="00FB3790">
      <w:pPr>
        <w:rPr>
          <w:rFonts w:asciiTheme="majorHAnsi" w:hAnsiTheme="majorHAnsi"/>
          <w:b/>
          <w:sz w:val="22"/>
          <w:szCs w:val="22"/>
          <w:lang w:val="es-ES_tradnl"/>
        </w:rPr>
      </w:pPr>
      <w:r w:rsidRPr="00CC3A91">
        <w:rPr>
          <w:rFonts w:asciiTheme="majorHAnsi" w:hAnsiTheme="majorHAnsi"/>
          <w:b/>
          <w:sz w:val="22"/>
          <w:szCs w:val="22"/>
          <w:lang w:val="es-ES_tradnl"/>
        </w:rPr>
        <w:t>Resp</w:t>
      </w:r>
      <w:r w:rsidR="006C4704" w:rsidRPr="00CC3A91">
        <w:rPr>
          <w:rFonts w:asciiTheme="majorHAnsi" w:hAnsiTheme="majorHAnsi"/>
          <w:b/>
          <w:sz w:val="22"/>
          <w:szCs w:val="22"/>
          <w:lang w:val="es-ES_tradnl"/>
        </w:rPr>
        <w:t xml:space="preserve">uestas a las contribuciones recibidas durante el proceso de consulta </w:t>
      </w:r>
    </w:p>
    <w:p w14:paraId="09E12325" w14:textId="77777777" w:rsidR="00AC45B7" w:rsidRPr="00CC3A91" w:rsidRDefault="00AC45B7" w:rsidP="00FB3790">
      <w:pPr>
        <w:rPr>
          <w:rFonts w:asciiTheme="majorHAnsi" w:hAnsiTheme="majorHAnsi"/>
          <w:sz w:val="22"/>
          <w:szCs w:val="22"/>
          <w:lang w:val="es-ES_tradnl"/>
        </w:rPr>
      </w:pPr>
    </w:p>
    <w:p w14:paraId="24769D30" w14:textId="33D78BB7" w:rsidR="009A7F56" w:rsidRPr="00CC3A91" w:rsidRDefault="00BF7846"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Cada una de las </w:t>
      </w:r>
      <w:r w:rsidR="00C3041D" w:rsidRPr="00CC3A91">
        <w:rPr>
          <w:rFonts w:asciiTheme="majorHAnsi" w:hAnsiTheme="majorHAnsi"/>
          <w:szCs w:val="22"/>
          <w:lang w:val="es-ES_tradnl"/>
        </w:rPr>
        <w:t xml:space="preserve">cinco </w:t>
      </w:r>
      <w:r w:rsidRPr="00CC3A91">
        <w:rPr>
          <w:rFonts w:asciiTheme="majorHAnsi" w:hAnsiTheme="majorHAnsi"/>
          <w:szCs w:val="22"/>
          <w:lang w:val="es-ES_tradnl"/>
        </w:rPr>
        <w:t xml:space="preserve">áreas </w:t>
      </w:r>
      <w:r w:rsidR="00856800" w:rsidRPr="00CC3A91">
        <w:rPr>
          <w:rFonts w:asciiTheme="majorHAnsi" w:hAnsiTheme="majorHAnsi"/>
          <w:szCs w:val="22"/>
          <w:lang w:val="es-ES_tradnl"/>
        </w:rPr>
        <w:t xml:space="preserve">temáticas de trabajo del GECT </w:t>
      </w:r>
      <w:r w:rsidR="00C3041D" w:rsidRPr="00CC3A91">
        <w:rPr>
          <w:rFonts w:asciiTheme="majorHAnsi" w:hAnsiTheme="majorHAnsi"/>
          <w:szCs w:val="22"/>
          <w:lang w:val="es-ES_tradnl"/>
        </w:rPr>
        <w:t xml:space="preserve">estudió </w:t>
      </w:r>
      <w:r w:rsidR="00856800" w:rsidRPr="00CC3A91">
        <w:rPr>
          <w:rFonts w:asciiTheme="majorHAnsi" w:hAnsiTheme="majorHAnsi"/>
          <w:szCs w:val="22"/>
          <w:lang w:val="es-ES_tradnl"/>
        </w:rPr>
        <w:t>las contribuciones recibidas</w:t>
      </w:r>
      <w:r w:rsidR="00AD4723" w:rsidRPr="00CC3A91">
        <w:rPr>
          <w:rFonts w:asciiTheme="majorHAnsi" w:hAnsiTheme="majorHAnsi"/>
          <w:szCs w:val="22"/>
          <w:lang w:val="es-ES_tradnl"/>
        </w:rPr>
        <w:t xml:space="preserve"> y a la luz de dichos comentarios, </w:t>
      </w:r>
      <w:r w:rsidR="00C3041D" w:rsidRPr="00CC3A91">
        <w:rPr>
          <w:rFonts w:asciiTheme="majorHAnsi" w:hAnsiTheme="majorHAnsi"/>
          <w:szCs w:val="22"/>
          <w:lang w:val="es-ES_tradnl"/>
        </w:rPr>
        <w:t xml:space="preserve">las enmiendas </w:t>
      </w:r>
      <w:r w:rsidR="00AD4723" w:rsidRPr="00CC3A91">
        <w:rPr>
          <w:rFonts w:asciiTheme="majorHAnsi" w:hAnsiTheme="majorHAnsi"/>
          <w:szCs w:val="22"/>
          <w:lang w:val="es-ES_tradnl"/>
        </w:rPr>
        <w:t xml:space="preserve">se debatieron </w:t>
      </w:r>
      <w:r w:rsidR="00C3041D" w:rsidRPr="00CC3A91">
        <w:rPr>
          <w:rFonts w:asciiTheme="majorHAnsi" w:hAnsiTheme="majorHAnsi"/>
          <w:szCs w:val="22"/>
          <w:lang w:val="es-ES_tradnl"/>
        </w:rPr>
        <w:t>por medios electrónicos</w:t>
      </w:r>
      <w:r w:rsidR="00AD4723" w:rsidRPr="00CC3A91">
        <w:rPr>
          <w:rFonts w:asciiTheme="majorHAnsi" w:hAnsiTheme="majorHAnsi"/>
          <w:szCs w:val="22"/>
          <w:lang w:val="es-ES_tradnl"/>
        </w:rPr>
        <w:t xml:space="preserve">. </w:t>
      </w:r>
      <w:r w:rsidR="005A788A" w:rsidRPr="00CC3A91">
        <w:rPr>
          <w:rFonts w:asciiTheme="majorHAnsi" w:hAnsiTheme="majorHAnsi"/>
          <w:szCs w:val="22"/>
          <w:lang w:val="es-ES_tradnl"/>
        </w:rPr>
        <w:t>En algunos casos, las instrucciones recibidas por el GECT eran contradictorias. Por ejemplo,</w:t>
      </w:r>
      <w:r w:rsidR="000A1FC0" w:rsidRPr="00CC3A91">
        <w:rPr>
          <w:rFonts w:asciiTheme="majorHAnsi" w:hAnsiTheme="majorHAnsi"/>
          <w:szCs w:val="22"/>
          <w:lang w:val="es-ES_tradnl"/>
        </w:rPr>
        <w:t xml:space="preserve"> hubo una división de opiniones entre las Partes Contratantes respecto de </w:t>
      </w:r>
      <w:r w:rsidR="00C3041D" w:rsidRPr="00CC3A91">
        <w:rPr>
          <w:rFonts w:asciiTheme="majorHAnsi" w:hAnsiTheme="majorHAnsi"/>
          <w:szCs w:val="22"/>
          <w:lang w:val="es-ES_tradnl"/>
        </w:rPr>
        <w:t>la permanencia de determinadas</w:t>
      </w:r>
      <w:r w:rsidR="005F0114" w:rsidRPr="00CC3A91">
        <w:rPr>
          <w:rFonts w:asciiTheme="majorHAnsi" w:hAnsiTheme="majorHAnsi"/>
          <w:szCs w:val="22"/>
          <w:lang w:val="es-ES_tradnl"/>
        </w:rPr>
        <w:t xml:space="preserve"> </w:t>
      </w:r>
      <w:r w:rsidR="000A1FC0" w:rsidRPr="00CC3A91">
        <w:rPr>
          <w:rFonts w:asciiTheme="majorHAnsi" w:hAnsiTheme="majorHAnsi"/>
          <w:szCs w:val="22"/>
          <w:lang w:val="es-ES_tradnl"/>
        </w:rPr>
        <w:t xml:space="preserve">tareas </w:t>
      </w:r>
      <w:r w:rsidR="005F0114" w:rsidRPr="00CC3A91">
        <w:rPr>
          <w:rFonts w:asciiTheme="majorHAnsi" w:hAnsiTheme="majorHAnsi"/>
          <w:szCs w:val="22"/>
          <w:lang w:val="es-ES_tradnl"/>
        </w:rPr>
        <w:t xml:space="preserve">en el plan de trabajo. </w:t>
      </w:r>
      <w:r w:rsidR="005A788A" w:rsidRPr="00CC3A91">
        <w:rPr>
          <w:rFonts w:asciiTheme="majorHAnsi" w:hAnsiTheme="majorHAnsi"/>
          <w:szCs w:val="22"/>
          <w:lang w:val="es-ES_tradnl"/>
        </w:rPr>
        <w:t>En</w:t>
      </w:r>
      <w:r w:rsidR="0047336B" w:rsidRPr="00CC3A91">
        <w:rPr>
          <w:rFonts w:asciiTheme="majorHAnsi" w:hAnsiTheme="majorHAnsi"/>
          <w:szCs w:val="22"/>
          <w:lang w:val="es-ES_tradnl"/>
        </w:rPr>
        <w:t xml:space="preserve"> </w:t>
      </w:r>
      <w:r w:rsidR="005A788A" w:rsidRPr="00CC3A91">
        <w:rPr>
          <w:rFonts w:asciiTheme="majorHAnsi" w:hAnsiTheme="majorHAnsi"/>
          <w:szCs w:val="22"/>
          <w:lang w:val="es-ES_tradnl"/>
        </w:rPr>
        <w:t xml:space="preserve">estos casos, el GECT ha decidido conservar dichas tareas en el proyecto </w:t>
      </w:r>
      <w:r w:rsidR="00084614" w:rsidRPr="00CC3A91">
        <w:rPr>
          <w:rFonts w:asciiTheme="majorHAnsi" w:hAnsiTheme="majorHAnsi"/>
          <w:szCs w:val="22"/>
          <w:lang w:val="es-ES_tradnl"/>
        </w:rPr>
        <w:t>modificado</w:t>
      </w:r>
      <w:r w:rsidR="005A788A" w:rsidRPr="00CC3A91">
        <w:rPr>
          <w:rFonts w:asciiTheme="majorHAnsi" w:hAnsiTheme="majorHAnsi"/>
          <w:szCs w:val="22"/>
          <w:lang w:val="es-ES_tradnl"/>
        </w:rPr>
        <w:t xml:space="preserve"> de plan de trabajo </w:t>
      </w:r>
      <w:r w:rsidR="003B7FB9" w:rsidRPr="00CC3A91">
        <w:rPr>
          <w:rFonts w:asciiTheme="majorHAnsi" w:hAnsiTheme="majorHAnsi"/>
          <w:szCs w:val="22"/>
          <w:lang w:val="es-ES_tradnl"/>
        </w:rPr>
        <w:t xml:space="preserve">y </w:t>
      </w:r>
      <w:r w:rsidR="005A788A" w:rsidRPr="00CC3A91">
        <w:rPr>
          <w:rFonts w:asciiTheme="majorHAnsi" w:hAnsiTheme="majorHAnsi"/>
          <w:szCs w:val="22"/>
          <w:lang w:val="es-ES_tradnl"/>
        </w:rPr>
        <w:t xml:space="preserve">someterlo a la consideración </w:t>
      </w:r>
      <w:r w:rsidR="00FB0AD5" w:rsidRPr="00CC3A91">
        <w:rPr>
          <w:rFonts w:asciiTheme="majorHAnsi" w:hAnsiTheme="majorHAnsi"/>
          <w:szCs w:val="22"/>
          <w:lang w:val="es-ES_tradnl"/>
        </w:rPr>
        <w:t xml:space="preserve">y resolución final </w:t>
      </w:r>
      <w:r w:rsidR="005A788A" w:rsidRPr="00CC3A91">
        <w:rPr>
          <w:rFonts w:asciiTheme="majorHAnsi" w:hAnsiTheme="majorHAnsi"/>
          <w:szCs w:val="22"/>
          <w:lang w:val="es-ES_tradnl"/>
        </w:rPr>
        <w:t>del Comité Permanente</w:t>
      </w:r>
      <w:r w:rsidR="00FB0AD5" w:rsidRPr="00CC3A91">
        <w:rPr>
          <w:rFonts w:asciiTheme="majorHAnsi" w:hAnsiTheme="majorHAnsi"/>
          <w:szCs w:val="22"/>
          <w:lang w:val="es-ES_tradnl"/>
        </w:rPr>
        <w:t>.</w:t>
      </w:r>
      <w:r w:rsidR="005A788A" w:rsidRPr="00CC3A91">
        <w:rPr>
          <w:rFonts w:asciiTheme="majorHAnsi" w:hAnsiTheme="majorHAnsi"/>
          <w:szCs w:val="22"/>
          <w:lang w:val="es-ES_tradnl"/>
        </w:rPr>
        <w:t xml:space="preserve"> </w:t>
      </w:r>
    </w:p>
    <w:p w14:paraId="052829F2" w14:textId="77777777" w:rsidR="00BB023F" w:rsidRPr="00CC3A91" w:rsidRDefault="00BB023F" w:rsidP="00FB3790">
      <w:pPr>
        <w:ind w:left="426" w:hanging="426"/>
        <w:rPr>
          <w:rFonts w:asciiTheme="majorHAnsi" w:hAnsiTheme="majorHAnsi"/>
          <w:sz w:val="22"/>
          <w:szCs w:val="22"/>
          <w:lang w:val="es-ES_tradnl"/>
        </w:rPr>
      </w:pPr>
    </w:p>
    <w:p w14:paraId="70DDD8A4" w14:textId="129F2DAD" w:rsidR="00BB023F" w:rsidRPr="00CC3A91" w:rsidRDefault="00FB0AD5"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Una función </w:t>
      </w:r>
      <w:r w:rsidR="006C4704" w:rsidRPr="00CC3A91">
        <w:rPr>
          <w:rFonts w:asciiTheme="majorHAnsi" w:hAnsiTheme="majorHAnsi"/>
          <w:szCs w:val="22"/>
          <w:lang w:val="es-ES_tradnl"/>
        </w:rPr>
        <w:t>esencial del GEC</w:t>
      </w:r>
      <w:r w:rsidRPr="00CC3A91">
        <w:rPr>
          <w:rFonts w:asciiTheme="majorHAnsi" w:hAnsiTheme="majorHAnsi"/>
          <w:szCs w:val="22"/>
          <w:lang w:val="es-ES_tradnl"/>
        </w:rPr>
        <w:t>T consiste en proporciona</w:t>
      </w:r>
      <w:r w:rsidR="006C4704" w:rsidRPr="00CC3A91">
        <w:rPr>
          <w:rFonts w:asciiTheme="majorHAnsi" w:hAnsiTheme="majorHAnsi"/>
          <w:szCs w:val="22"/>
          <w:lang w:val="es-ES_tradnl"/>
        </w:rPr>
        <w:t>r asesoramiento que no necesa</w:t>
      </w:r>
      <w:r w:rsidRPr="00CC3A91">
        <w:rPr>
          <w:rFonts w:asciiTheme="majorHAnsi" w:hAnsiTheme="majorHAnsi"/>
          <w:szCs w:val="22"/>
          <w:lang w:val="es-ES_tradnl"/>
        </w:rPr>
        <w:t xml:space="preserve">riamente resulte en un producto publicado tangible. En el marco de la Resolución </w:t>
      </w:r>
      <w:r w:rsidR="00BB023F" w:rsidRPr="00CC3A91">
        <w:rPr>
          <w:rFonts w:asciiTheme="majorHAnsi" w:hAnsiTheme="majorHAnsi"/>
          <w:szCs w:val="22"/>
          <w:lang w:val="es-ES_tradnl"/>
        </w:rPr>
        <w:t>XII.5 (An</w:t>
      </w:r>
      <w:r w:rsidRPr="00CC3A91">
        <w:rPr>
          <w:rFonts w:asciiTheme="majorHAnsi" w:hAnsiTheme="majorHAnsi"/>
          <w:szCs w:val="22"/>
          <w:lang w:val="es-ES_tradnl"/>
        </w:rPr>
        <w:t>exo</w:t>
      </w:r>
      <w:r w:rsidR="00BB023F" w:rsidRPr="00CC3A91">
        <w:rPr>
          <w:rFonts w:asciiTheme="majorHAnsi" w:hAnsiTheme="majorHAnsi"/>
          <w:szCs w:val="22"/>
          <w:lang w:val="es-ES_tradnl"/>
        </w:rPr>
        <w:t xml:space="preserve"> I, p</w:t>
      </w:r>
      <w:r w:rsidRPr="00CC3A91">
        <w:rPr>
          <w:rFonts w:asciiTheme="majorHAnsi" w:hAnsiTheme="majorHAnsi"/>
          <w:szCs w:val="22"/>
          <w:lang w:val="es-ES_tradnl"/>
        </w:rPr>
        <w:t>árrafos</w:t>
      </w:r>
      <w:r w:rsidR="00BB023F" w:rsidRPr="00CC3A91">
        <w:rPr>
          <w:rFonts w:asciiTheme="majorHAnsi" w:hAnsiTheme="majorHAnsi"/>
          <w:szCs w:val="22"/>
          <w:lang w:val="es-ES_tradnl"/>
        </w:rPr>
        <w:t xml:space="preserve"> 2, 12(v), 15 </w:t>
      </w:r>
      <w:r w:rsidRPr="00CC3A91">
        <w:rPr>
          <w:rFonts w:asciiTheme="majorHAnsi" w:hAnsiTheme="majorHAnsi"/>
          <w:szCs w:val="22"/>
          <w:lang w:val="es-ES_tradnl"/>
        </w:rPr>
        <w:t>y</w:t>
      </w:r>
      <w:r w:rsidR="00BB023F" w:rsidRPr="00CC3A91">
        <w:rPr>
          <w:rFonts w:asciiTheme="majorHAnsi" w:hAnsiTheme="majorHAnsi"/>
          <w:szCs w:val="22"/>
          <w:lang w:val="es-ES_tradnl"/>
        </w:rPr>
        <w:t xml:space="preserve"> 38), </w:t>
      </w:r>
      <w:r w:rsidR="00EB5785" w:rsidRPr="00CC3A91">
        <w:rPr>
          <w:rFonts w:asciiTheme="majorHAnsi" w:hAnsiTheme="majorHAnsi"/>
          <w:szCs w:val="22"/>
          <w:lang w:val="es-ES_tradnl"/>
        </w:rPr>
        <w:t xml:space="preserve">estas funciones de asesoramiento ad hoc incluyen, entre otras: </w:t>
      </w:r>
      <w:r w:rsidR="00BB023F" w:rsidRPr="00CC3A91">
        <w:rPr>
          <w:rFonts w:asciiTheme="majorHAnsi" w:hAnsiTheme="majorHAnsi"/>
          <w:szCs w:val="22"/>
          <w:lang w:val="es-ES_tradnl"/>
        </w:rPr>
        <w:t>respond</w:t>
      </w:r>
      <w:r w:rsidR="00BF7846" w:rsidRPr="00CC3A91">
        <w:rPr>
          <w:rFonts w:asciiTheme="majorHAnsi" w:hAnsiTheme="majorHAnsi"/>
          <w:szCs w:val="22"/>
          <w:lang w:val="es-ES_tradnl"/>
        </w:rPr>
        <w:t xml:space="preserve">er a las peticiones de asesoramiento o contribuciones </w:t>
      </w:r>
      <w:r w:rsidR="00EB5785" w:rsidRPr="00CC3A91">
        <w:rPr>
          <w:rFonts w:asciiTheme="majorHAnsi" w:hAnsiTheme="majorHAnsi"/>
          <w:szCs w:val="22"/>
          <w:lang w:val="es-ES_tradnl"/>
        </w:rPr>
        <w:t>formuladas por</w:t>
      </w:r>
      <w:r w:rsidR="00BF7846" w:rsidRPr="00CC3A91">
        <w:rPr>
          <w:rFonts w:asciiTheme="majorHAnsi" w:hAnsiTheme="majorHAnsi"/>
          <w:szCs w:val="22"/>
          <w:lang w:val="es-ES_tradnl"/>
        </w:rPr>
        <w:t xml:space="preserve"> la Secretaría </w:t>
      </w:r>
      <w:r w:rsidR="00BB023F" w:rsidRPr="00CC3A91">
        <w:rPr>
          <w:rFonts w:asciiTheme="majorHAnsi" w:hAnsiTheme="majorHAnsi"/>
          <w:szCs w:val="22"/>
          <w:lang w:val="es-ES_tradnl"/>
        </w:rPr>
        <w:t>(inclu</w:t>
      </w:r>
      <w:r w:rsidR="00EB5785" w:rsidRPr="00CC3A91">
        <w:rPr>
          <w:rFonts w:asciiTheme="majorHAnsi" w:hAnsiTheme="majorHAnsi"/>
          <w:szCs w:val="22"/>
          <w:lang w:val="es-ES_tradnl"/>
        </w:rPr>
        <w:t>yendo las relativas al Programa de CECoP y los indicadores del Cuarto Plan Estratégico</w:t>
      </w:r>
      <w:r w:rsidR="00BB023F" w:rsidRPr="00CC3A91">
        <w:rPr>
          <w:rFonts w:asciiTheme="majorHAnsi" w:hAnsiTheme="majorHAnsi"/>
          <w:szCs w:val="22"/>
          <w:lang w:val="es-ES_tradnl"/>
        </w:rPr>
        <w:t xml:space="preserve">) </w:t>
      </w:r>
      <w:r w:rsidR="00BF7846" w:rsidRPr="00CC3A91">
        <w:rPr>
          <w:rFonts w:asciiTheme="majorHAnsi" w:hAnsiTheme="majorHAnsi"/>
          <w:szCs w:val="22"/>
          <w:lang w:val="es-ES_tradnl"/>
        </w:rPr>
        <w:t xml:space="preserve">y </w:t>
      </w:r>
      <w:r w:rsidR="00EB5785" w:rsidRPr="00CC3A91">
        <w:rPr>
          <w:rFonts w:asciiTheme="majorHAnsi" w:hAnsiTheme="majorHAnsi"/>
          <w:szCs w:val="22"/>
          <w:lang w:val="es-ES_tradnl"/>
        </w:rPr>
        <w:t xml:space="preserve">por </w:t>
      </w:r>
      <w:r w:rsidR="00BF7846" w:rsidRPr="00CC3A91">
        <w:rPr>
          <w:rFonts w:asciiTheme="majorHAnsi" w:hAnsiTheme="majorHAnsi"/>
          <w:szCs w:val="22"/>
          <w:lang w:val="es-ES_tradnl"/>
        </w:rPr>
        <w:t>el Comité Permanente</w:t>
      </w:r>
      <w:r w:rsidR="00BB023F" w:rsidRPr="00CC3A91">
        <w:rPr>
          <w:rFonts w:asciiTheme="majorHAnsi" w:hAnsiTheme="majorHAnsi"/>
          <w:szCs w:val="22"/>
          <w:lang w:val="es-ES_tradnl"/>
        </w:rPr>
        <w:t xml:space="preserve">; </w:t>
      </w:r>
      <w:r w:rsidR="00BF7846" w:rsidRPr="00CC3A91">
        <w:rPr>
          <w:rFonts w:asciiTheme="majorHAnsi" w:hAnsiTheme="majorHAnsi"/>
          <w:szCs w:val="22"/>
          <w:lang w:val="es-ES_tradnl"/>
        </w:rPr>
        <w:t>redactar</w:t>
      </w:r>
      <w:r w:rsidR="00BB023F" w:rsidRPr="00CC3A91">
        <w:rPr>
          <w:rFonts w:asciiTheme="majorHAnsi" w:hAnsiTheme="majorHAnsi"/>
          <w:szCs w:val="22"/>
          <w:lang w:val="es-ES_tradnl"/>
        </w:rPr>
        <w:t xml:space="preserve"> (</w:t>
      </w:r>
      <w:r w:rsidR="00BF7846" w:rsidRPr="00CC3A91">
        <w:rPr>
          <w:rFonts w:asciiTheme="majorHAnsi" w:hAnsiTheme="majorHAnsi"/>
          <w:szCs w:val="22"/>
          <w:lang w:val="es-ES_tradnl"/>
        </w:rPr>
        <w:t>a petición de las Partes Contratantes</w:t>
      </w:r>
      <w:r w:rsidR="00BB023F" w:rsidRPr="00CC3A91">
        <w:rPr>
          <w:rFonts w:asciiTheme="majorHAnsi" w:hAnsiTheme="majorHAnsi"/>
          <w:szCs w:val="22"/>
          <w:lang w:val="es-ES_tradnl"/>
        </w:rPr>
        <w:t>) o</w:t>
      </w:r>
      <w:r w:rsidR="00BF7846" w:rsidRPr="00CC3A91">
        <w:rPr>
          <w:rFonts w:asciiTheme="majorHAnsi" w:hAnsiTheme="majorHAnsi"/>
          <w:szCs w:val="22"/>
          <w:lang w:val="es-ES_tradnl"/>
        </w:rPr>
        <w:t xml:space="preserve"> aportar </w:t>
      </w:r>
      <w:r w:rsidR="00EB5785" w:rsidRPr="00CC3A91">
        <w:rPr>
          <w:rFonts w:asciiTheme="majorHAnsi" w:hAnsiTheme="majorHAnsi"/>
          <w:szCs w:val="22"/>
          <w:lang w:val="es-ES_tradnl"/>
        </w:rPr>
        <w:t xml:space="preserve">contribuciones a los proyectos de Resolución presentados por las Partes Contratantes; </w:t>
      </w:r>
      <w:r w:rsidR="00BB023F" w:rsidRPr="00CC3A91">
        <w:rPr>
          <w:rFonts w:asciiTheme="majorHAnsi" w:hAnsiTheme="majorHAnsi"/>
          <w:szCs w:val="22"/>
          <w:lang w:val="es-ES_tradnl"/>
        </w:rPr>
        <w:t>respon</w:t>
      </w:r>
      <w:r w:rsidR="00F73803" w:rsidRPr="00CC3A91">
        <w:rPr>
          <w:rFonts w:asciiTheme="majorHAnsi" w:hAnsiTheme="majorHAnsi"/>
          <w:szCs w:val="22"/>
          <w:lang w:val="es-ES_tradnl"/>
        </w:rPr>
        <w:t>d</w:t>
      </w:r>
      <w:r w:rsidR="00EB5785" w:rsidRPr="00CC3A91">
        <w:rPr>
          <w:rFonts w:asciiTheme="majorHAnsi" w:hAnsiTheme="majorHAnsi"/>
          <w:szCs w:val="22"/>
          <w:lang w:val="es-ES_tradnl"/>
        </w:rPr>
        <w:t xml:space="preserve">er a peticiones específicas de asesoramiento de las Partes Contratantes; </w:t>
      </w:r>
      <w:r w:rsidR="00BB023F" w:rsidRPr="00CC3A91">
        <w:rPr>
          <w:rFonts w:asciiTheme="majorHAnsi" w:hAnsiTheme="majorHAnsi"/>
          <w:szCs w:val="22"/>
          <w:lang w:val="es-ES_tradnl"/>
        </w:rPr>
        <w:t>participa</w:t>
      </w:r>
      <w:r w:rsidR="00F73803" w:rsidRPr="00CC3A91">
        <w:rPr>
          <w:rFonts w:asciiTheme="majorHAnsi" w:hAnsiTheme="majorHAnsi"/>
          <w:szCs w:val="22"/>
          <w:lang w:val="es-ES_tradnl"/>
        </w:rPr>
        <w:t xml:space="preserve">r en Misiones Ramsar de Asesoramiento cuando así se le solicite; </w:t>
      </w:r>
      <w:r w:rsidR="003B7FB9" w:rsidRPr="00CC3A91">
        <w:rPr>
          <w:rFonts w:asciiTheme="majorHAnsi" w:hAnsiTheme="majorHAnsi"/>
          <w:szCs w:val="22"/>
          <w:lang w:val="es-ES_tradnl"/>
        </w:rPr>
        <w:t xml:space="preserve">ofrecer </w:t>
      </w:r>
      <w:r w:rsidR="00CC3A91" w:rsidRPr="00CC3A91">
        <w:rPr>
          <w:rFonts w:asciiTheme="majorHAnsi" w:hAnsiTheme="majorHAnsi"/>
          <w:szCs w:val="22"/>
          <w:lang w:val="es-ES_tradnl"/>
        </w:rPr>
        <w:t>asesoramiento</w:t>
      </w:r>
      <w:r w:rsidR="00F73803" w:rsidRPr="00CC3A91">
        <w:rPr>
          <w:rFonts w:asciiTheme="majorHAnsi" w:hAnsiTheme="majorHAnsi"/>
          <w:szCs w:val="22"/>
          <w:lang w:val="es-ES_tradnl"/>
        </w:rPr>
        <w:t xml:space="preserve"> sobre peticiones para e</w:t>
      </w:r>
      <w:r w:rsidR="00270013" w:rsidRPr="00CC3A91">
        <w:rPr>
          <w:rFonts w:asciiTheme="majorHAnsi" w:hAnsiTheme="majorHAnsi"/>
          <w:szCs w:val="22"/>
          <w:lang w:val="es-ES_tradnl"/>
        </w:rPr>
        <w:t>xcluir</w:t>
      </w:r>
      <w:r w:rsidR="00F73803" w:rsidRPr="00CC3A91">
        <w:rPr>
          <w:rFonts w:asciiTheme="majorHAnsi" w:hAnsiTheme="majorHAnsi"/>
          <w:szCs w:val="22"/>
          <w:lang w:val="es-ES_tradnl"/>
        </w:rPr>
        <w:t xml:space="preserve"> sitios Ramsar</w:t>
      </w:r>
      <w:r w:rsidR="0088725B" w:rsidRPr="00CC3A91">
        <w:rPr>
          <w:rFonts w:asciiTheme="majorHAnsi" w:hAnsiTheme="majorHAnsi"/>
          <w:szCs w:val="22"/>
          <w:lang w:val="es-ES_tradnl"/>
        </w:rPr>
        <w:t xml:space="preserve"> </w:t>
      </w:r>
      <w:r w:rsidR="00F73803" w:rsidRPr="00CC3A91">
        <w:rPr>
          <w:rFonts w:asciiTheme="majorHAnsi" w:hAnsiTheme="majorHAnsi"/>
          <w:szCs w:val="22"/>
          <w:lang w:val="es-ES_tradnl"/>
        </w:rPr>
        <w:t xml:space="preserve">del Registro de </w:t>
      </w:r>
      <w:r w:rsidR="00BB023F" w:rsidRPr="00CC3A91">
        <w:rPr>
          <w:rFonts w:asciiTheme="majorHAnsi" w:hAnsiTheme="majorHAnsi"/>
          <w:szCs w:val="22"/>
          <w:lang w:val="es-ES_tradnl"/>
        </w:rPr>
        <w:t>Montreux; serv</w:t>
      </w:r>
      <w:r w:rsidR="00F73803" w:rsidRPr="00CC3A91">
        <w:rPr>
          <w:rFonts w:asciiTheme="majorHAnsi" w:hAnsiTheme="majorHAnsi"/>
          <w:szCs w:val="22"/>
          <w:lang w:val="es-ES_tradnl"/>
        </w:rPr>
        <w:t xml:space="preserve">ir </w:t>
      </w:r>
      <w:r w:rsidR="00270013" w:rsidRPr="00CC3A91">
        <w:rPr>
          <w:rFonts w:asciiTheme="majorHAnsi" w:hAnsiTheme="majorHAnsi"/>
          <w:szCs w:val="22"/>
          <w:lang w:val="es-ES_tradnl"/>
        </w:rPr>
        <w:t xml:space="preserve">como miembro del Comité </w:t>
      </w:r>
      <w:r w:rsidR="003B7FB9" w:rsidRPr="00CC3A91">
        <w:rPr>
          <w:rFonts w:asciiTheme="majorHAnsi" w:hAnsiTheme="majorHAnsi"/>
          <w:szCs w:val="22"/>
          <w:lang w:val="es-ES_tradnl"/>
        </w:rPr>
        <w:t xml:space="preserve">Asesor Independiente </w:t>
      </w:r>
      <w:r w:rsidR="00270013" w:rsidRPr="00CC3A91">
        <w:rPr>
          <w:rFonts w:asciiTheme="majorHAnsi" w:hAnsiTheme="majorHAnsi"/>
          <w:szCs w:val="22"/>
          <w:lang w:val="es-ES_tradnl"/>
        </w:rPr>
        <w:t xml:space="preserve">para la Acreditación de Ciudad de Humedal Ramsar; </w:t>
      </w:r>
      <w:r w:rsidR="00F73803" w:rsidRPr="00CC3A91">
        <w:rPr>
          <w:rFonts w:asciiTheme="majorHAnsi" w:hAnsiTheme="majorHAnsi"/>
          <w:szCs w:val="22"/>
          <w:lang w:val="es-ES_tradnl"/>
        </w:rPr>
        <w:t>y pr</w:t>
      </w:r>
      <w:r w:rsidR="00270013" w:rsidRPr="00CC3A91">
        <w:rPr>
          <w:rFonts w:asciiTheme="majorHAnsi" w:hAnsiTheme="majorHAnsi"/>
          <w:szCs w:val="22"/>
          <w:lang w:val="es-ES_tradnl"/>
        </w:rPr>
        <w:t>estar</w:t>
      </w:r>
      <w:r w:rsidR="00F73803" w:rsidRPr="00CC3A91">
        <w:rPr>
          <w:rFonts w:asciiTheme="majorHAnsi" w:hAnsiTheme="majorHAnsi"/>
          <w:szCs w:val="22"/>
          <w:lang w:val="es-ES_tradnl"/>
        </w:rPr>
        <w:t xml:space="preserve"> asesoramiento sobre cuestiones emergentes. </w:t>
      </w:r>
      <w:r w:rsidR="003B7FB9" w:rsidRPr="00CC3A91">
        <w:rPr>
          <w:rFonts w:asciiTheme="majorHAnsi" w:hAnsiTheme="majorHAnsi"/>
          <w:szCs w:val="22"/>
          <w:lang w:val="es-ES_tradnl"/>
        </w:rPr>
        <w:t>En</w:t>
      </w:r>
      <w:r w:rsidR="00270013" w:rsidRPr="00CC3A91">
        <w:rPr>
          <w:rFonts w:asciiTheme="majorHAnsi" w:hAnsiTheme="majorHAnsi"/>
          <w:szCs w:val="22"/>
          <w:lang w:val="es-ES_tradnl"/>
        </w:rPr>
        <w:t xml:space="preserve"> respuesta a los comentarios</w:t>
      </w:r>
      <w:r w:rsidR="003B7FB9" w:rsidRPr="00CC3A91">
        <w:rPr>
          <w:rFonts w:asciiTheme="majorHAnsi" w:hAnsiTheme="majorHAnsi"/>
          <w:szCs w:val="22"/>
          <w:lang w:val="es-ES_tradnl"/>
        </w:rPr>
        <w:t xml:space="preserve"> recibidos</w:t>
      </w:r>
      <w:r w:rsidR="00270013" w:rsidRPr="00CC3A91">
        <w:rPr>
          <w:rFonts w:asciiTheme="majorHAnsi" w:hAnsiTheme="majorHAnsi"/>
          <w:szCs w:val="22"/>
          <w:lang w:val="es-ES_tradnl"/>
        </w:rPr>
        <w:t xml:space="preserve">, hemos reconfigurado el plan de trabajo para que las tareas incluidas en las áreas temáticas </w:t>
      </w:r>
      <w:r w:rsidR="00810463" w:rsidRPr="00CC3A91">
        <w:rPr>
          <w:rFonts w:asciiTheme="majorHAnsi" w:hAnsiTheme="majorHAnsi"/>
          <w:szCs w:val="22"/>
          <w:lang w:val="es-ES_tradnl"/>
        </w:rPr>
        <w:t xml:space="preserve">de trabajo </w:t>
      </w:r>
      <w:r w:rsidR="00270013" w:rsidRPr="00CC3A91">
        <w:rPr>
          <w:rFonts w:asciiTheme="majorHAnsi" w:hAnsiTheme="majorHAnsi"/>
          <w:szCs w:val="22"/>
          <w:lang w:val="es-ES_tradnl"/>
        </w:rPr>
        <w:t xml:space="preserve">contengan exclusivamente tareas que </w:t>
      </w:r>
      <w:r w:rsidR="007C56B4" w:rsidRPr="00CC3A91">
        <w:rPr>
          <w:rFonts w:asciiTheme="majorHAnsi" w:hAnsiTheme="majorHAnsi"/>
          <w:szCs w:val="22"/>
          <w:lang w:val="es-ES_tradnl"/>
        </w:rPr>
        <w:t>con</w:t>
      </w:r>
      <w:r w:rsidR="003B7FB9" w:rsidRPr="00CC3A91">
        <w:rPr>
          <w:rFonts w:asciiTheme="majorHAnsi" w:hAnsiTheme="majorHAnsi"/>
          <w:szCs w:val="22"/>
          <w:lang w:val="es-ES_tradnl"/>
        </w:rPr>
        <w:t xml:space="preserve">lleven un producto definido. </w:t>
      </w:r>
      <w:r w:rsidR="007C56B4" w:rsidRPr="00CC3A91">
        <w:rPr>
          <w:rFonts w:asciiTheme="majorHAnsi" w:hAnsiTheme="majorHAnsi"/>
          <w:szCs w:val="22"/>
          <w:lang w:val="es-ES_tradnl"/>
        </w:rPr>
        <w:t xml:space="preserve">Las tareas de asesoramiento actualmente están destacadas al principio del plan de trabajo. </w:t>
      </w:r>
    </w:p>
    <w:p w14:paraId="09CD0078" w14:textId="77777777" w:rsidR="00BB023F" w:rsidRPr="00CC3A91" w:rsidRDefault="00BB023F" w:rsidP="00FB3790">
      <w:pPr>
        <w:pStyle w:val="ListParagraph"/>
        <w:ind w:left="426" w:hanging="426"/>
        <w:rPr>
          <w:rFonts w:asciiTheme="majorHAnsi" w:hAnsiTheme="majorHAnsi"/>
          <w:szCs w:val="22"/>
          <w:lang w:val="es-ES_tradnl"/>
        </w:rPr>
      </w:pPr>
    </w:p>
    <w:p w14:paraId="1425DD6D" w14:textId="4C2C5330" w:rsidR="00752016" w:rsidRPr="00CC3A91" w:rsidRDefault="00FB0AD5"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Recibimos varios comentarios</w:t>
      </w:r>
      <w:r w:rsidR="007C56B4" w:rsidRPr="00CC3A91">
        <w:rPr>
          <w:rFonts w:asciiTheme="majorHAnsi" w:hAnsiTheme="majorHAnsi"/>
          <w:szCs w:val="22"/>
          <w:lang w:val="es-ES_tradnl"/>
        </w:rPr>
        <w:t xml:space="preserve"> que expresaron</w:t>
      </w:r>
      <w:r w:rsidRPr="00CC3A91">
        <w:rPr>
          <w:rFonts w:asciiTheme="majorHAnsi" w:hAnsiTheme="majorHAnsi"/>
          <w:szCs w:val="22"/>
          <w:lang w:val="es-ES_tradnl"/>
        </w:rPr>
        <w:t xml:space="preserve"> preocupación </w:t>
      </w:r>
      <w:r w:rsidR="00C06C7C" w:rsidRPr="00CC3A91">
        <w:rPr>
          <w:rFonts w:asciiTheme="majorHAnsi" w:hAnsiTheme="majorHAnsi"/>
          <w:szCs w:val="22"/>
          <w:lang w:val="es-ES_tradnl"/>
        </w:rPr>
        <w:t xml:space="preserve">sobre la cantidad de </w:t>
      </w:r>
      <w:r w:rsidR="005E12E8" w:rsidRPr="00CC3A91">
        <w:rPr>
          <w:rFonts w:asciiTheme="majorHAnsi" w:hAnsiTheme="majorHAnsi"/>
          <w:szCs w:val="22"/>
          <w:lang w:val="es-ES_tradnl"/>
        </w:rPr>
        <w:t>tareas</w:t>
      </w:r>
      <w:r w:rsidR="0042494B" w:rsidRPr="00CC3A91">
        <w:rPr>
          <w:rFonts w:asciiTheme="majorHAnsi" w:hAnsiTheme="majorHAnsi"/>
          <w:szCs w:val="22"/>
          <w:lang w:val="es-ES_tradnl"/>
        </w:rPr>
        <w:t xml:space="preserve"> rela</w:t>
      </w:r>
      <w:r w:rsidR="00C06C7C" w:rsidRPr="00CC3A91">
        <w:rPr>
          <w:rFonts w:asciiTheme="majorHAnsi" w:hAnsiTheme="majorHAnsi"/>
          <w:szCs w:val="22"/>
          <w:lang w:val="es-ES_tradnl"/>
        </w:rPr>
        <w:t xml:space="preserve">cionadas con las turberas. </w:t>
      </w:r>
      <w:r w:rsidR="003B7FB9" w:rsidRPr="00CC3A91">
        <w:rPr>
          <w:rFonts w:asciiTheme="majorHAnsi" w:hAnsiTheme="majorHAnsi"/>
          <w:szCs w:val="22"/>
          <w:lang w:val="es-ES_tradnl"/>
        </w:rPr>
        <w:t>Hemos modificado el proyecto de</w:t>
      </w:r>
      <w:r w:rsidR="00C06C7C" w:rsidRPr="00CC3A91">
        <w:rPr>
          <w:rFonts w:asciiTheme="majorHAnsi" w:hAnsiTheme="majorHAnsi"/>
          <w:szCs w:val="22"/>
          <w:lang w:val="es-ES_tradnl"/>
        </w:rPr>
        <w:t xml:space="preserve"> plan de trabajo para que las tres </w:t>
      </w:r>
      <w:r w:rsidR="005E12E8" w:rsidRPr="00CC3A91">
        <w:rPr>
          <w:rFonts w:asciiTheme="majorHAnsi" w:hAnsiTheme="majorHAnsi"/>
          <w:szCs w:val="22"/>
          <w:lang w:val="es-ES_tradnl"/>
        </w:rPr>
        <w:t xml:space="preserve">tareas propuestas relativas a las turberas en las áreas temáticas de trabajo </w:t>
      </w:r>
      <w:r w:rsidR="00C06C7C" w:rsidRPr="00CC3A91">
        <w:rPr>
          <w:rFonts w:asciiTheme="majorHAnsi" w:hAnsiTheme="majorHAnsi"/>
          <w:szCs w:val="22"/>
          <w:lang w:val="es-ES_tradnl"/>
        </w:rPr>
        <w:t xml:space="preserve">estén más alineadas con </w:t>
      </w:r>
      <w:r w:rsidR="005E12E8" w:rsidRPr="00CC3A91">
        <w:rPr>
          <w:rFonts w:asciiTheme="majorHAnsi" w:hAnsiTheme="majorHAnsi"/>
          <w:szCs w:val="22"/>
          <w:lang w:val="es-ES_tradnl"/>
        </w:rPr>
        <w:t xml:space="preserve">las peticiones formuladas por la Conferencia de las Partes en la Resolución </w:t>
      </w:r>
      <w:r w:rsidR="0042494B" w:rsidRPr="00CC3A91">
        <w:rPr>
          <w:rFonts w:asciiTheme="majorHAnsi" w:hAnsiTheme="majorHAnsi"/>
          <w:szCs w:val="22"/>
          <w:lang w:val="es-ES_tradnl"/>
        </w:rPr>
        <w:t>X</w:t>
      </w:r>
      <w:r w:rsidR="00BA273F" w:rsidRPr="00CC3A91">
        <w:rPr>
          <w:rFonts w:asciiTheme="majorHAnsi" w:hAnsiTheme="majorHAnsi"/>
          <w:szCs w:val="22"/>
          <w:lang w:val="es-ES_tradnl"/>
        </w:rPr>
        <w:t>I</w:t>
      </w:r>
      <w:r w:rsidR="0042494B" w:rsidRPr="00CC3A91">
        <w:rPr>
          <w:rFonts w:asciiTheme="majorHAnsi" w:hAnsiTheme="majorHAnsi"/>
          <w:szCs w:val="22"/>
          <w:lang w:val="es-ES_tradnl"/>
        </w:rPr>
        <w:t xml:space="preserve">I.11. </w:t>
      </w:r>
      <w:r w:rsidR="00BB023F" w:rsidRPr="00CC3A91">
        <w:rPr>
          <w:rFonts w:asciiTheme="majorHAnsi" w:hAnsiTheme="majorHAnsi"/>
          <w:szCs w:val="22"/>
          <w:lang w:val="es-ES_tradnl"/>
        </w:rPr>
        <w:t>(</w:t>
      </w:r>
      <w:r w:rsidR="00203259" w:rsidRPr="00CC3A91">
        <w:rPr>
          <w:rFonts w:asciiTheme="majorHAnsi" w:hAnsiTheme="majorHAnsi"/>
          <w:szCs w:val="22"/>
          <w:lang w:val="es-ES_tradnl"/>
        </w:rPr>
        <w:t xml:space="preserve">Hay una cuarta tarea relativa a las turberas incluida entre las tareas de asesoramiento.) </w:t>
      </w:r>
      <w:r w:rsidR="00A30D55" w:rsidRPr="00CC3A91">
        <w:rPr>
          <w:rFonts w:asciiTheme="majorHAnsi" w:hAnsiTheme="majorHAnsi"/>
          <w:szCs w:val="22"/>
          <w:lang w:val="es-ES_tradnl"/>
        </w:rPr>
        <w:t xml:space="preserve">Desde una perspectiva científica, </w:t>
      </w:r>
      <w:r w:rsidR="005E12E8" w:rsidRPr="00CC3A91">
        <w:rPr>
          <w:rFonts w:asciiTheme="majorHAnsi" w:hAnsiTheme="majorHAnsi"/>
          <w:szCs w:val="22"/>
          <w:lang w:val="es-ES_tradnl"/>
        </w:rPr>
        <w:t xml:space="preserve">se debe </w:t>
      </w:r>
      <w:r w:rsidR="00A30D55" w:rsidRPr="00CC3A91">
        <w:rPr>
          <w:rFonts w:asciiTheme="majorHAnsi" w:hAnsiTheme="majorHAnsi"/>
          <w:szCs w:val="22"/>
          <w:lang w:val="es-ES_tradnl"/>
        </w:rPr>
        <w:t>tener en cuenta que 'turbera'</w:t>
      </w:r>
      <w:r w:rsidR="005E12E8" w:rsidRPr="00CC3A91">
        <w:rPr>
          <w:rFonts w:asciiTheme="majorHAnsi" w:hAnsiTheme="majorHAnsi"/>
          <w:szCs w:val="22"/>
          <w:lang w:val="es-ES_tradnl"/>
        </w:rPr>
        <w:t xml:space="preserve"> es un término genérico que engloba muchos tipos diferentes de humedales. Se </w:t>
      </w:r>
      <w:r w:rsidR="00A30D55" w:rsidRPr="00CC3A91">
        <w:rPr>
          <w:rFonts w:asciiTheme="majorHAnsi" w:hAnsiTheme="majorHAnsi"/>
          <w:szCs w:val="22"/>
          <w:lang w:val="es-ES_tradnl"/>
        </w:rPr>
        <w:t>estima</w:t>
      </w:r>
      <w:r w:rsidR="005E12E8" w:rsidRPr="00CC3A91">
        <w:rPr>
          <w:rFonts w:asciiTheme="majorHAnsi" w:hAnsiTheme="majorHAnsi"/>
          <w:szCs w:val="22"/>
          <w:lang w:val="es-ES_tradnl"/>
        </w:rPr>
        <w:t xml:space="preserve"> que al menos un tercio de todos los humedales mundiales son turberas.</w:t>
      </w:r>
      <w:r w:rsidR="0088725B" w:rsidRPr="00CC3A91">
        <w:rPr>
          <w:rFonts w:asciiTheme="majorHAnsi" w:hAnsiTheme="majorHAnsi"/>
          <w:szCs w:val="22"/>
          <w:lang w:val="es-ES_tradnl"/>
        </w:rPr>
        <w:t xml:space="preserve"> </w:t>
      </w:r>
      <w:r w:rsidR="00E8644F" w:rsidRPr="00CC3A91">
        <w:rPr>
          <w:rFonts w:asciiTheme="majorHAnsi" w:hAnsiTheme="majorHAnsi"/>
          <w:szCs w:val="22"/>
          <w:lang w:val="es-ES_tradnl"/>
        </w:rPr>
        <w:t>En la Clasificación de Tipos de Humedales de Ramsar, las turberas se clasifican expresamente como</w:t>
      </w:r>
      <w:r w:rsidR="00A30D55" w:rsidRPr="00CC3A91">
        <w:rPr>
          <w:rFonts w:asciiTheme="majorHAnsi" w:hAnsiTheme="majorHAnsi"/>
          <w:szCs w:val="22"/>
          <w:lang w:val="es-ES_tradnl"/>
        </w:rPr>
        <w:t>:</w:t>
      </w:r>
      <w:r w:rsidR="00E8644F" w:rsidRPr="00CC3A91">
        <w:rPr>
          <w:rFonts w:asciiTheme="majorHAnsi" w:hAnsiTheme="majorHAnsi"/>
          <w:szCs w:val="22"/>
          <w:lang w:val="es-ES_tradnl"/>
        </w:rPr>
        <w:t xml:space="preserve"> Tipo U </w:t>
      </w:r>
      <w:r w:rsidR="0042494B" w:rsidRPr="00CC3A91">
        <w:rPr>
          <w:rFonts w:asciiTheme="majorHAnsi" w:hAnsiTheme="majorHAnsi"/>
          <w:szCs w:val="22"/>
          <w:lang w:val="es-ES_tradnl"/>
        </w:rPr>
        <w:t xml:space="preserve">— </w:t>
      </w:r>
      <w:r w:rsidR="00E8644F" w:rsidRPr="00CC3A91">
        <w:rPr>
          <w:rFonts w:asciiTheme="majorHAnsi" w:hAnsiTheme="majorHAnsi"/>
          <w:szCs w:val="22"/>
          <w:lang w:val="es-ES_tradnl"/>
        </w:rPr>
        <w:t>Turberas no arboladas</w:t>
      </w:r>
      <w:r w:rsidR="0042494B" w:rsidRPr="00CC3A91">
        <w:rPr>
          <w:rFonts w:asciiTheme="majorHAnsi" w:hAnsiTheme="majorHAnsi"/>
          <w:szCs w:val="22"/>
          <w:lang w:val="es-ES_tradnl"/>
        </w:rPr>
        <w:t>,</w:t>
      </w:r>
      <w:r w:rsidR="00EA1105" w:rsidRPr="00CC3A91">
        <w:rPr>
          <w:rFonts w:asciiTheme="majorHAnsi" w:hAnsiTheme="majorHAnsi"/>
          <w:szCs w:val="22"/>
          <w:lang w:val="es-ES_tradnl"/>
        </w:rPr>
        <w:t xml:space="preserve"> que incluye</w:t>
      </w:r>
      <w:r w:rsidR="00E8644F" w:rsidRPr="00CC3A91">
        <w:rPr>
          <w:rFonts w:asciiTheme="majorHAnsi" w:hAnsiTheme="majorHAnsi"/>
          <w:szCs w:val="22"/>
          <w:lang w:val="es-ES_tradnl"/>
        </w:rPr>
        <w:t xml:space="preserve"> turberas arbustivas o abiertas, </w:t>
      </w:r>
      <w:r w:rsidR="00A30D55" w:rsidRPr="00CC3A91">
        <w:rPr>
          <w:rFonts w:asciiTheme="majorHAnsi" w:hAnsiTheme="majorHAnsi"/>
          <w:szCs w:val="22"/>
          <w:lang w:val="es-ES_tradnl"/>
        </w:rPr>
        <w:t xml:space="preserve">y </w:t>
      </w:r>
      <w:r w:rsidR="00E8644F" w:rsidRPr="00CC3A91">
        <w:rPr>
          <w:rFonts w:asciiTheme="majorHAnsi" w:hAnsiTheme="majorHAnsi"/>
          <w:szCs w:val="22"/>
          <w:lang w:val="es-ES_tradnl"/>
        </w:rPr>
        <w:t>turberas de gramíneas o carrizo</w:t>
      </w:r>
      <w:r w:rsidR="00A30D55" w:rsidRPr="00CC3A91">
        <w:rPr>
          <w:rFonts w:asciiTheme="majorHAnsi" w:hAnsiTheme="majorHAnsi"/>
          <w:szCs w:val="22"/>
          <w:lang w:val="es-ES_tradnl"/>
        </w:rPr>
        <w:t>;</w:t>
      </w:r>
      <w:r w:rsidR="0042494B" w:rsidRPr="00CC3A91">
        <w:rPr>
          <w:rFonts w:asciiTheme="majorHAnsi" w:hAnsiTheme="majorHAnsi"/>
          <w:szCs w:val="22"/>
          <w:lang w:val="es-ES_tradnl"/>
        </w:rPr>
        <w:t xml:space="preserve"> </w:t>
      </w:r>
      <w:r w:rsidR="00A30D55" w:rsidRPr="00CC3A91">
        <w:rPr>
          <w:rFonts w:asciiTheme="majorHAnsi" w:hAnsiTheme="majorHAnsi"/>
          <w:szCs w:val="22"/>
          <w:lang w:val="es-ES_tradnl"/>
        </w:rPr>
        <w:t xml:space="preserve">y </w:t>
      </w:r>
      <w:r w:rsidR="00E8644F" w:rsidRPr="00CC3A91">
        <w:rPr>
          <w:rFonts w:asciiTheme="majorHAnsi" w:hAnsiTheme="majorHAnsi"/>
          <w:szCs w:val="22"/>
          <w:lang w:val="es-ES_tradnl"/>
        </w:rPr>
        <w:t>Tipo</w:t>
      </w:r>
      <w:r w:rsidR="0042494B" w:rsidRPr="00CC3A91">
        <w:rPr>
          <w:rFonts w:asciiTheme="majorHAnsi" w:hAnsiTheme="majorHAnsi"/>
          <w:szCs w:val="22"/>
          <w:lang w:val="es-ES_tradnl"/>
        </w:rPr>
        <w:t xml:space="preserve"> Xp — </w:t>
      </w:r>
      <w:r w:rsidR="00EA1105" w:rsidRPr="00CC3A91">
        <w:rPr>
          <w:rFonts w:asciiTheme="majorHAnsi" w:hAnsiTheme="majorHAnsi"/>
          <w:szCs w:val="22"/>
          <w:lang w:val="es-ES_tradnl"/>
        </w:rPr>
        <w:t>Turberas arboladas, que incluye</w:t>
      </w:r>
      <w:r w:rsidR="00E8644F" w:rsidRPr="00CC3A91">
        <w:rPr>
          <w:rFonts w:asciiTheme="majorHAnsi" w:hAnsiTheme="majorHAnsi"/>
          <w:szCs w:val="22"/>
          <w:lang w:val="es-ES_tradnl"/>
        </w:rPr>
        <w:t xml:space="preserve"> bosques inundados turbosos. </w:t>
      </w:r>
      <w:r w:rsidR="00EA1105" w:rsidRPr="00CC3A91">
        <w:rPr>
          <w:rFonts w:asciiTheme="majorHAnsi" w:hAnsiTheme="majorHAnsi"/>
          <w:szCs w:val="22"/>
          <w:lang w:val="es-ES_tradnl"/>
        </w:rPr>
        <w:t>Además, hay otros tipos de humedales, tales como el Tipo Vt</w:t>
      </w:r>
      <w:r w:rsidR="0088725B" w:rsidRPr="00CC3A91">
        <w:rPr>
          <w:rFonts w:asciiTheme="majorHAnsi" w:hAnsiTheme="majorHAnsi"/>
          <w:szCs w:val="22"/>
          <w:lang w:val="es-ES_tradnl"/>
        </w:rPr>
        <w:t xml:space="preserve"> </w:t>
      </w:r>
      <w:r w:rsidR="0042494B" w:rsidRPr="00CC3A91">
        <w:rPr>
          <w:rFonts w:asciiTheme="majorHAnsi" w:hAnsiTheme="majorHAnsi"/>
          <w:szCs w:val="22"/>
          <w:lang w:val="es-ES_tradnl"/>
        </w:rPr>
        <w:t xml:space="preserve">— </w:t>
      </w:r>
      <w:r w:rsidR="00EA1105" w:rsidRPr="00CC3A91">
        <w:rPr>
          <w:rFonts w:asciiTheme="majorHAnsi" w:hAnsiTheme="majorHAnsi"/>
          <w:szCs w:val="22"/>
          <w:lang w:val="es-ES_tradnl"/>
        </w:rPr>
        <w:t>Humedales de la t</w:t>
      </w:r>
      <w:r w:rsidR="0042494B" w:rsidRPr="00CC3A91">
        <w:rPr>
          <w:rFonts w:asciiTheme="majorHAnsi" w:hAnsiTheme="majorHAnsi"/>
          <w:szCs w:val="22"/>
          <w:lang w:val="es-ES_tradnl"/>
        </w:rPr>
        <w:t xml:space="preserve">undra, </w:t>
      </w:r>
      <w:r w:rsidR="00EA1105" w:rsidRPr="00CC3A91">
        <w:rPr>
          <w:rFonts w:asciiTheme="majorHAnsi" w:hAnsiTheme="majorHAnsi"/>
          <w:szCs w:val="22"/>
          <w:lang w:val="es-ES_tradnl"/>
        </w:rPr>
        <w:t>que incluye</w:t>
      </w:r>
      <w:r w:rsidR="00A30D55" w:rsidRPr="00CC3A91">
        <w:rPr>
          <w:rFonts w:asciiTheme="majorHAnsi" w:hAnsiTheme="majorHAnsi"/>
          <w:szCs w:val="22"/>
          <w:lang w:val="es-ES_tradnl"/>
        </w:rPr>
        <w:t>n</w:t>
      </w:r>
      <w:r w:rsidR="00EA1105" w:rsidRPr="00CC3A91">
        <w:rPr>
          <w:rFonts w:asciiTheme="majorHAnsi" w:hAnsiTheme="majorHAnsi"/>
          <w:szCs w:val="22"/>
          <w:lang w:val="es-ES_tradnl"/>
        </w:rPr>
        <w:t xml:space="preserve"> humedales con suficientes capas de suelo orgánico para ser considerados turberas.</w:t>
      </w:r>
      <w:r w:rsidR="0088725B" w:rsidRPr="00CC3A91">
        <w:rPr>
          <w:rFonts w:asciiTheme="majorHAnsi" w:hAnsiTheme="majorHAnsi"/>
          <w:szCs w:val="22"/>
          <w:lang w:val="es-ES_tradnl"/>
        </w:rPr>
        <w:t xml:space="preserve"> </w:t>
      </w:r>
      <w:r w:rsidR="00E47597" w:rsidRPr="00CC3A91">
        <w:rPr>
          <w:rFonts w:asciiTheme="majorHAnsi" w:hAnsiTheme="majorHAnsi"/>
          <w:szCs w:val="22"/>
          <w:lang w:val="es-ES_tradnl"/>
        </w:rPr>
        <w:t xml:space="preserve">Las </w:t>
      </w:r>
      <w:r w:rsidR="00A30D55" w:rsidRPr="00CC3A91">
        <w:rPr>
          <w:rFonts w:asciiTheme="majorHAnsi" w:hAnsiTheme="majorHAnsi"/>
          <w:szCs w:val="22"/>
          <w:lang w:val="es-ES_tradnl"/>
        </w:rPr>
        <w:t>turberas existen</w:t>
      </w:r>
      <w:r w:rsidR="00EA1105" w:rsidRPr="00CC3A91">
        <w:rPr>
          <w:rFonts w:asciiTheme="majorHAnsi" w:hAnsiTheme="majorHAnsi"/>
          <w:szCs w:val="22"/>
          <w:lang w:val="es-ES_tradnl"/>
        </w:rPr>
        <w:t xml:space="preserve"> en prácticamente todos los países</w:t>
      </w:r>
      <w:r w:rsidR="00A30D55" w:rsidRPr="00CC3A91">
        <w:rPr>
          <w:rFonts w:asciiTheme="majorHAnsi" w:hAnsiTheme="majorHAnsi"/>
          <w:szCs w:val="22"/>
          <w:lang w:val="es-ES_tradnl"/>
        </w:rPr>
        <w:t xml:space="preserve">, </w:t>
      </w:r>
      <w:r w:rsidR="00E47597" w:rsidRPr="00CC3A91">
        <w:rPr>
          <w:rFonts w:asciiTheme="majorHAnsi" w:hAnsiTheme="majorHAnsi"/>
          <w:szCs w:val="22"/>
          <w:lang w:val="es-ES_tradnl"/>
        </w:rPr>
        <w:t xml:space="preserve">por lo que, </w:t>
      </w:r>
      <w:r w:rsidR="00A30D55" w:rsidRPr="00CC3A91">
        <w:rPr>
          <w:rFonts w:asciiTheme="majorHAnsi" w:hAnsiTheme="majorHAnsi"/>
          <w:szCs w:val="22"/>
          <w:lang w:val="es-ES_tradnl"/>
        </w:rPr>
        <w:t xml:space="preserve">en este contexto, </w:t>
      </w:r>
      <w:r w:rsidR="00E47597" w:rsidRPr="00CC3A91">
        <w:rPr>
          <w:rFonts w:asciiTheme="majorHAnsi" w:hAnsiTheme="majorHAnsi"/>
          <w:szCs w:val="22"/>
          <w:lang w:val="es-ES_tradnl"/>
        </w:rPr>
        <w:t xml:space="preserve">el GECT opina </w:t>
      </w:r>
      <w:r w:rsidR="00EA1105" w:rsidRPr="00CC3A91">
        <w:rPr>
          <w:rFonts w:asciiTheme="majorHAnsi" w:hAnsiTheme="majorHAnsi"/>
          <w:szCs w:val="22"/>
          <w:lang w:val="es-ES_tradnl"/>
        </w:rPr>
        <w:t xml:space="preserve">que no </w:t>
      </w:r>
      <w:r w:rsidR="00A30D55" w:rsidRPr="00CC3A91">
        <w:rPr>
          <w:rFonts w:asciiTheme="majorHAnsi" w:hAnsiTheme="majorHAnsi"/>
          <w:szCs w:val="22"/>
          <w:lang w:val="es-ES_tradnl"/>
        </w:rPr>
        <w:t xml:space="preserve">es </w:t>
      </w:r>
      <w:r w:rsidR="007C56B4" w:rsidRPr="00CC3A91">
        <w:rPr>
          <w:rFonts w:asciiTheme="majorHAnsi" w:hAnsiTheme="majorHAnsi"/>
          <w:szCs w:val="22"/>
          <w:lang w:val="es-ES_tradnl"/>
        </w:rPr>
        <w:t xml:space="preserve">tan excesiva </w:t>
      </w:r>
      <w:r w:rsidR="00E47597" w:rsidRPr="00CC3A91">
        <w:rPr>
          <w:rFonts w:asciiTheme="majorHAnsi" w:hAnsiTheme="majorHAnsi"/>
          <w:szCs w:val="22"/>
          <w:lang w:val="es-ES_tradnl"/>
        </w:rPr>
        <w:t>la atención que se les presta</w:t>
      </w:r>
      <w:r w:rsidR="00A30D55" w:rsidRPr="00CC3A91">
        <w:rPr>
          <w:rFonts w:asciiTheme="majorHAnsi" w:hAnsiTheme="majorHAnsi"/>
          <w:szCs w:val="22"/>
          <w:lang w:val="es-ES_tradnl"/>
        </w:rPr>
        <w:t xml:space="preserve"> </w:t>
      </w:r>
      <w:r w:rsidR="00E47597" w:rsidRPr="00CC3A91">
        <w:rPr>
          <w:rFonts w:asciiTheme="majorHAnsi" w:hAnsiTheme="majorHAnsi"/>
          <w:szCs w:val="22"/>
          <w:lang w:val="es-ES_tradnl"/>
        </w:rPr>
        <w:t xml:space="preserve">en el proyecto de plan de trabajo como </w:t>
      </w:r>
      <w:r w:rsidR="007C56B4" w:rsidRPr="00CC3A91">
        <w:rPr>
          <w:rFonts w:asciiTheme="majorHAnsi" w:hAnsiTheme="majorHAnsi"/>
          <w:szCs w:val="22"/>
          <w:lang w:val="es-ES_tradnl"/>
        </w:rPr>
        <w:t>puede pare</w:t>
      </w:r>
      <w:r w:rsidR="00E47597" w:rsidRPr="00CC3A91">
        <w:rPr>
          <w:rFonts w:asciiTheme="majorHAnsi" w:hAnsiTheme="majorHAnsi"/>
          <w:szCs w:val="22"/>
          <w:lang w:val="es-ES_tradnl"/>
        </w:rPr>
        <w:t>cer a primera vista,</w:t>
      </w:r>
      <w:r w:rsidR="00EC457D" w:rsidRPr="00CC3A91">
        <w:rPr>
          <w:rFonts w:asciiTheme="majorHAnsi" w:hAnsiTheme="majorHAnsi"/>
          <w:szCs w:val="22"/>
          <w:lang w:val="es-ES_tradnl"/>
        </w:rPr>
        <w:t xml:space="preserve"> sobre todo si </w:t>
      </w:r>
      <w:r w:rsidR="00EA1105" w:rsidRPr="00CC3A91">
        <w:rPr>
          <w:rFonts w:asciiTheme="majorHAnsi" w:hAnsiTheme="majorHAnsi"/>
          <w:szCs w:val="22"/>
          <w:lang w:val="es-ES_tradnl"/>
        </w:rPr>
        <w:t>se tiene en cuenta que la Tarea 1.3</w:t>
      </w:r>
      <w:r w:rsidR="0088725B" w:rsidRPr="00CC3A91">
        <w:rPr>
          <w:rFonts w:asciiTheme="majorHAnsi" w:hAnsiTheme="majorHAnsi"/>
          <w:szCs w:val="22"/>
          <w:lang w:val="es-ES_tradnl"/>
        </w:rPr>
        <w:t xml:space="preserve"> </w:t>
      </w:r>
      <w:r w:rsidR="00E47597" w:rsidRPr="00CC3A91">
        <w:rPr>
          <w:rFonts w:asciiTheme="majorHAnsi" w:hAnsiTheme="majorHAnsi"/>
          <w:szCs w:val="22"/>
          <w:lang w:val="es-ES_tradnl"/>
        </w:rPr>
        <w:t xml:space="preserve">se refiere </w:t>
      </w:r>
      <w:r w:rsidR="00EC457D" w:rsidRPr="00CC3A91">
        <w:rPr>
          <w:rFonts w:asciiTheme="majorHAnsi" w:hAnsiTheme="majorHAnsi"/>
          <w:szCs w:val="22"/>
          <w:lang w:val="es-ES_tradnl"/>
        </w:rPr>
        <w:t xml:space="preserve">específicamente a las turberas tropicales que sufren presiones inmensas, con implicaciones regionales para el bienestar humano y la diversidad biológica; la Tarea </w:t>
      </w:r>
      <w:r w:rsidR="0042494B" w:rsidRPr="00CC3A91">
        <w:rPr>
          <w:rFonts w:asciiTheme="majorHAnsi" w:hAnsiTheme="majorHAnsi"/>
          <w:szCs w:val="22"/>
          <w:lang w:val="es-ES_tradnl"/>
        </w:rPr>
        <w:t>2.</w:t>
      </w:r>
      <w:r w:rsidR="006E0C22" w:rsidRPr="00CC3A91">
        <w:rPr>
          <w:rFonts w:asciiTheme="majorHAnsi" w:hAnsiTheme="majorHAnsi"/>
          <w:szCs w:val="22"/>
          <w:lang w:val="es-ES_tradnl"/>
        </w:rPr>
        <w:t>3</w:t>
      </w:r>
      <w:r w:rsidR="009E5820" w:rsidRPr="00CC3A91">
        <w:rPr>
          <w:rFonts w:asciiTheme="majorHAnsi" w:hAnsiTheme="majorHAnsi"/>
          <w:szCs w:val="22"/>
          <w:lang w:val="es-ES_tradnl"/>
        </w:rPr>
        <w:t xml:space="preserve"> </w:t>
      </w:r>
      <w:r w:rsidR="00EC457D" w:rsidRPr="00CC3A91">
        <w:rPr>
          <w:rFonts w:asciiTheme="majorHAnsi" w:hAnsiTheme="majorHAnsi"/>
          <w:szCs w:val="22"/>
          <w:lang w:val="es-ES_tradnl"/>
        </w:rPr>
        <w:t xml:space="preserve">aborda la aplicación de los Lineamientos para la acción mundial sobre las turberas; y la Tarea </w:t>
      </w:r>
      <w:r w:rsidR="0042494B" w:rsidRPr="00CC3A91">
        <w:rPr>
          <w:rFonts w:asciiTheme="majorHAnsi" w:hAnsiTheme="majorHAnsi"/>
          <w:szCs w:val="22"/>
          <w:lang w:val="es-ES_tradnl"/>
        </w:rPr>
        <w:t xml:space="preserve">5.3 </w:t>
      </w:r>
      <w:r w:rsidR="00EC457D" w:rsidRPr="00CC3A91">
        <w:rPr>
          <w:rFonts w:asciiTheme="majorHAnsi" w:hAnsiTheme="majorHAnsi"/>
          <w:szCs w:val="22"/>
          <w:lang w:val="es-ES_tradnl"/>
        </w:rPr>
        <w:t xml:space="preserve">está relacionada con las técnicas de restauración. </w:t>
      </w:r>
    </w:p>
    <w:p w14:paraId="6F2E398B" w14:textId="77777777" w:rsidR="00752016" w:rsidRPr="00CC3A91" w:rsidRDefault="00752016" w:rsidP="00FB3790">
      <w:pPr>
        <w:ind w:left="426" w:hanging="426"/>
        <w:rPr>
          <w:rFonts w:asciiTheme="majorHAnsi" w:hAnsiTheme="majorHAnsi"/>
          <w:sz w:val="22"/>
          <w:szCs w:val="22"/>
          <w:lang w:val="es-ES_tradnl"/>
        </w:rPr>
      </w:pPr>
    </w:p>
    <w:p w14:paraId="7CA924D3" w14:textId="6A72D756" w:rsidR="009A7F56" w:rsidRPr="00CC3A91" w:rsidRDefault="00EC457D"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Adem</w:t>
      </w:r>
      <w:r w:rsidR="00BD01A5" w:rsidRPr="00CC3A91">
        <w:rPr>
          <w:rFonts w:asciiTheme="majorHAnsi" w:hAnsiTheme="majorHAnsi"/>
          <w:szCs w:val="22"/>
          <w:lang w:val="es-ES_tradnl"/>
        </w:rPr>
        <w:t>ás, conviene señalar que</w:t>
      </w:r>
      <w:r w:rsidR="00E47597" w:rsidRPr="00CC3A91">
        <w:rPr>
          <w:rFonts w:asciiTheme="majorHAnsi" w:hAnsiTheme="majorHAnsi"/>
          <w:szCs w:val="22"/>
          <w:lang w:val="es-ES_tradnl"/>
        </w:rPr>
        <w:t>, aunque</w:t>
      </w:r>
      <w:r w:rsidR="00BD01A5" w:rsidRPr="00CC3A91">
        <w:rPr>
          <w:rFonts w:asciiTheme="majorHAnsi" w:hAnsiTheme="majorHAnsi"/>
          <w:szCs w:val="22"/>
          <w:lang w:val="es-ES_tradnl"/>
        </w:rPr>
        <w:t xml:space="preserve"> la Tarea </w:t>
      </w:r>
      <w:r w:rsidR="009E5820" w:rsidRPr="00CC3A91">
        <w:rPr>
          <w:rFonts w:asciiTheme="majorHAnsi" w:hAnsiTheme="majorHAnsi"/>
          <w:szCs w:val="22"/>
          <w:lang w:val="es-ES_tradnl"/>
        </w:rPr>
        <w:t>2.</w:t>
      </w:r>
      <w:r w:rsidR="00BA273F" w:rsidRPr="00CC3A91">
        <w:rPr>
          <w:rFonts w:asciiTheme="majorHAnsi" w:hAnsiTheme="majorHAnsi"/>
          <w:szCs w:val="22"/>
          <w:lang w:val="es-ES_tradnl"/>
        </w:rPr>
        <w:t>3</w:t>
      </w:r>
      <w:r w:rsidR="0042494B" w:rsidRPr="00CC3A91">
        <w:rPr>
          <w:rFonts w:asciiTheme="majorHAnsi" w:hAnsiTheme="majorHAnsi"/>
          <w:szCs w:val="22"/>
          <w:lang w:val="es-ES_tradnl"/>
        </w:rPr>
        <w:t xml:space="preserve"> a</w:t>
      </w:r>
      <w:r w:rsidR="00BD01A5" w:rsidRPr="00CC3A91">
        <w:rPr>
          <w:rFonts w:asciiTheme="majorHAnsi" w:hAnsiTheme="majorHAnsi"/>
          <w:szCs w:val="22"/>
          <w:lang w:val="es-ES_tradnl"/>
        </w:rPr>
        <w:t>borda muchos tipos de turberas</w:t>
      </w:r>
      <w:r w:rsidR="00E47597" w:rsidRPr="00CC3A91">
        <w:rPr>
          <w:rFonts w:asciiTheme="majorHAnsi" w:hAnsiTheme="majorHAnsi"/>
          <w:szCs w:val="22"/>
          <w:lang w:val="es-ES_tradnl"/>
        </w:rPr>
        <w:t>, también</w:t>
      </w:r>
      <w:r w:rsidR="00BD01A5" w:rsidRPr="00CC3A91">
        <w:rPr>
          <w:rFonts w:asciiTheme="majorHAnsi" w:hAnsiTheme="majorHAnsi"/>
          <w:szCs w:val="22"/>
          <w:lang w:val="es-ES_tradnl"/>
        </w:rPr>
        <w:t xml:space="preserve"> aporta </w:t>
      </w:r>
      <w:r w:rsidR="00E47597" w:rsidRPr="00CC3A91">
        <w:rPr>
          <w:rFonts w:asciiTheme="majorHAnsi" w:hAnsiTheme="majorHAnsi"/>
          <w:szCs w:val="22"/>
          <w:lang w:val="es-ES_tradnl"/>
        </w:rPr>
        <w:t xml:space="preserve">otros </w:t>
      </w:r>
      <w:r w:rsidR="00BD01A5" w:rsidRPr="00CC3A91">
        <w:rPr>
          <w:rFonts w:asciiTheme="majorHAnsi" w:hAnsiTheme="majorHAnsi"/>
          <w:szCs w:val="22"/>
          <w:lang w:val="es-ES_tradnl"/>
        </w:rPr>
        <w:t xml:space="preserve">beneficios no relacionados con </w:t>
      </w:r>
      <w:r w:rsidR="00E47597" w:rsidRPr="00CC3A91">
        <w:rPr>
          <w:rFonts w:asciiTheme="majorHAnsi" w:hAnsiTheme="majorHAnsi"/>
          <w:szCs w:val="22"/>
          <w:lang w:val="es-ES_tradnl"/>
        </w:rPr>
        <w:t>ellas.</w:t>
      </w:r>
      <w:r w:rsidR="00BD01A5" w:rsidRPr="00CC3A91">
        <w:rPr>
          <w:rFonts w:asciiTheme="majorHAnsi" w:hAnsiTheme="majorHAnsi"/>
          <w:szCs w:val="22"/>
          <w:lang w:val="es-ES_tradnl"/>
        </w:rPr>
        <w:t xml:space="preserve"> </w:t>
      </w:r>
      <w:r w:rsidR="00E47597" w:rsidRPr="00CC3A91">
        <w:rPr>
          <w:rFonts w:asciiTheme="majorHAnsi" w:hAnsiTheme="majorHAnsi"/>
          <w:szCs w:val="22"/>
          <w:lang w:val="es-ES_tradnl"/>
        </w:rPr>
        <w:t>L</w:t>
      </w:r>
      <w:r w:rsidR="00BD01A5" w:rsidRPr="00CC3A91">
        <w:rPr>
          <w:rFonts w:asciiTheme="majorHAnsi" w:hAnsiTheme="majorHAnsi"/>
          <w:szCs w:val="22"/>
          <w:lang w:val="es-ES_tradnl"/>
        </w:rPr>
        <w:t xml:space="preserve">a tarea contempla contactar con 20 </w:t>
      </w:r>
      <w:r w:rsidR="00BD01A5" w:rsidRPr="00CC3A91">
        <w:rPr>
          <w:rFonts w:asciiTheme="majorHAnsi" w:hAnsiTheme="majorHAnsi"/>
          <w:szCs w:val="22"/>
          <w:lang w:val="es-ES_tradnl"/>
        </w:rPr>
        <w:lastRenderedPageBreak/>
        <w:t xml:space="preserve">Coordinadores Nacionales del GECT </w:t>
      </w:r>
      <w:r w:rsidR="00A21859" w:rsidRPr="00CC3A91">
        <w:rPr>
          <w:rFonts w:asciiTheme="majorHAnsi" w:hAnsiTheme="majorHAnsi"/>
          <w:szCs w:val="22"/>
          <w:lang w:val="es-ES_tradnl"/>
        </w:rPr>
        <w:t xml:space="preserve">con el fin de </w:t>
      </w:r>
      <w:r w:rsidR="00BD01A5" w:rsidRPr="00CC3A91">
        <w:rPr>
          <w:rFonts w:asciiTheme="majorHAnsi" w:hAnsiTheme="majorHAnsi"/>
          <w:szCs w:val="22"/>
          <w:lang w:val="es-ES_tradnl"/>
        </w:rPr>
        <w:t>obtener información</w:t>
      </w:r>
      <w:r w:rsidR="00E47597" w:rsidRPr="00CC3A91">
        <w:rPr>
          <w:rFonts w:asciiTheme="majorHAnsi" w:hAnsiTheme="majorHAnsi"/>
          <w:szCs w:val="22"/>
          <w:lang w:val="es-ES_tradnl"/>
        </w:rPr>
        <w:t xml:space="preserve"> </w:t>
      </w:r>
      <w:r w:rsidR="00A21859" w:rsidRPr="00CC3A91">
        <w:rPr>
          <w:rFonts w:asciiTheme="majorHAnsi" w:hAnsiTheme="majorHAnsi"/>
          <w:szCs w:val="22"/>
          <w:lang w:val="es-ES_tradnl"/>
        </w:rPr>
        <w:t>para evaluar la aplicación de los Lineamientos para la acción mundial sobre las turberas</w:t>
      </w:r>
      <w:r w:rsidR="00BD01A5" w:rsidRPr="00CC3A91">
        <w:rPr>
          <w:rFonts w:asciiTheme="majorHAnsi" w:hAnsiTheme="majorHAnsi"/>
          <w:szCs w:val="22"/>
          <w:lang w:val="es-ES_tradnl"/>
        </w:rPr>
        <w:t>. La ta</w:t>
      </w:r>
      <w:r w:rsidR="00086577" w:rsidRPr="00CC3A91">
        <w:rPr>
          <w:rFonts w:asciiTheme="majorHAnsi" w:hAnsiTheme="majorHAnsi"/>
          <w:szCs w:val="22"/>
          <w:lang w:val="es-ES_tradnl"/>
        </w:rPr>
        <w:t xml:space="preserve">rea </w:t>
      </w:r>
      <w:r w:rsidR="00A21859" w:rsidRPr="00CC3A91">
        <w:rPr>
          <w:rFonts w:asciiTheme="majorHAnsi" w:hAnsiTheme="majorHAnsi"/>
          <w:szCs w:val="22"/>
          <w:lang w:val="es-ES_tradnl"/>
        </w:rPr>
        <w:t xml:space="preserve">en sí </w:t>
      </w:r>
      <w:r w:rsidR="00086577" w:rsidRPr="00CC3A91">
        <w:rPr>
          <w:rFonts w:asciiTheme="majorHAnsi" w:hAnsiTheme="majorHAnsi"/>
          <w:szCs w:val="22"/>
          <w:lang w:val="es-ES_tradnl"/>
        </w:rPr>
        <w:t xml:space="preserve">va a suponer una mayor cooperación entre el GECT y sus Coordinadores Nacionales, además de una colaboración más estrecha con los Coordinadores Nacionales del GECT y su red de trabajo (teniendo en cuenta que la tarea </w:t>
      </w:r>
      <w:r w:rsidR="00BA4015" w:rsidRPr="00CC3A91">
        <w:rPr>
          <w:rFonts w:asciiTheme="majorHAnsi" w:hAnsiTheme="majorHAnsi"/>
          <w:szCs w:val="22"/>
          <w:lang w:val="es-ES_tradnl"/>
        </w:rPr>
        <w:t>requiere</w:t>
      </w:r>
      <w:r w:rsidR="00086577" w:rsidRPr="00CC3A91">
        <w:rPr>
          <w:rFonts w:asciiTheme="majorHAnsi" w:hAnsiTheme="majorHAnsi"/>
          <w:szCs w:val="22"/>
          <w:lang w:val="es-ES_tradnl"/>
        </w:rPr>
        <w:t xml:space="preserve"> que se coordinen con otros para </w:t>
      </w:r>
      <w:r w:rsidR="00A21859" w:rsidRPr="00CC3A91">
        <w:rPr>
          <w:rFonts w:asciiTheme="majorHAnsi" w:hAnsiTheme="majorHAnsi"/>
          <w:szCs w:val="22"/>
          <w:lang w:val="es-ES_tradnl"/>
        </w:rPr>
        <w:t xml:space="preserve">la </w:t>
      </w:r>
      <w:r w:rsidR="00086577" w:rsidRPr="00CC3A91">
        <w:rPr>
          <w:rFonts w:asciiTheme="majorHAnsi" w:hAnsiTheme="majorHAnsi"/>
          <w:szCs w:val="22"/>
          <w:lang w:val="es-ES_tradnl"/>
        </w:rPr>
        <w:t>recopila</w:t>
      </w:r>
      <w:r w:rsidR="00A21859" w:rsidRPr="00CC3A91">
        <w:rPr>
          <w:rFonts w:asciiTheme="majorHAnsi" w:hAnsiTheme="majorHAnsi"/>
          <w:szCs w:val="22"/>
          <w:lang w:val="es-ES_tradnl"/>
        </w:rPr>
        <w:t>ción</w:t>
      </w:r>
      <w:r w:rsidR="00086577" w:rsidRPr="00CC3A91">
        <w:rPr>
          <w:rFonts w:asciiTheme="majorHAnsi" w:hAnsiTheme="majorHAnsi"/>
          <w:szCs w:val="22"/>
          <w:lang w:val="es-ES_tradnl"/>
        </w:rPr>
        <w:t xml:space="preserve"> </w:t>
      </w:r>
      <w:r w:rsidR="00A21859" w:rsidRPr="00CC3A91">
        <w:rPr>
          <w:rFonts w:asciiTheme="majorHAnsi" w:hAnsiTheme="majorHAnsi"/>
          <w:szCs w:val="22"/>
          <w:lang w:val="es-ES_tradnl"/>
        </w:rPr>
        <w:t xml:space="preserve">de </w:t>
      </w:r>
      <w:r w:rsidR="00086577" w:rsidRPr="00CC3A91">
        <w:rPr>
          <w:rFonts w:asciiTheme="majorHAnsi" w:hAnsiTheme="majorHAnsi"/>
          <w:szCs w:val="22"/>
          <w:lang w:val="es-ES_tradnl"/>
        </w:rPr>
        <w:t xml:space="preserve">dichos datos). </w:t>
      </w:r>
      <w:r w:rsidR="0030522D" w:rsidRPr="0037459B">
        <w:rPr>
          <w:rFonts w:asciiTheme="majorHAnsi" w:hAnsiTheme="majorHAnsi"/>
          <w:szCs w:val="22"/>
          <w:lang w:val="es-ES_tradnl"/>
        </w:rPr>
        <w:t xml:space="preserve">No obstante, el GECT </w:t>
      </w:r>
      <w:r w:rsidR="00A21859" w:rsidRPr="0037459B">
        <w:rPr>
          <w:rFonts w:asciiTheme="majorHAnsi" w:hAnsiTheme="majorHAnsi"/>
          <w:szCs w:val="22"/>
          <w:lang w:val="es-ES_tradnl"/>
        </w:rPr>
        <w:t>agradece</w:t>
      </w:r>
      <w:r w:rsidR="00E93BD9" w:rsidRPr="0037459B">
        <w:rPr>
          <w:rFonts w:asciiTheme="majorHAnsi" w:hAnsiTheme="majorHAnsi"/>
          <w:szCs w:val="22"/>
          <w:lang w:val="es-ES_tradnl"/>
        </w:rPr>
        <w:t>ría</w:t>
      </w:r>
      <w:r w:rsidR="00A21859" w:rsidRPr="0037459B">
        <w:rPr>
          <w:rFonts w:asciiTheme="majorHAnsi" w:hAnsiTheme="majorHAnsi"/>
          <w:szCs w:val="22"/>
          <w:lang w:val="es-ES_tradnl"/>
        </w:rPr>
        <w:t xml:space="preserve"> la aclaración e instrucciones del Comité Permanente sobre las tareas relativas a las turberas. </w:t>
      </w:r>
    </w:p>
    <w:p w14:paraId="32BA5574" w14:textId="77777777" w:rsidR="009A7F56" w:rsidRPr="00CC3A91" w:rsidRDefault="009A7F56" w:rsidP="00FB3790">
      <w:pPr>
        <w:pStyle w:val="ListParagraph"/>
        <w:ind w:left="426" w:hanging="426"/>
        <w:rPr>
          <w:rFonts w:asciiTheme="majorHAnsi" w:hAnsiTheme="majorHAnsi"/>
          <w:szCs w:val="22"/>
          <w:lang w:val="es-ES_tradnl"/>
        </w:rPr>
      </w:pPr>
    </w:p>
    <w:p w14:paraId="5D3DA2E2" w14:textId="67BFA876" w:rsidR="008B19DC" w:rsidRPr="00CC3A91" w:rsidRDefault="005E12E8"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Hubo vario</w:t>
      </w:r>
      <w:r w:rsidR="00A21859" w:rsidRPr="00CC3A91">
        <w:rPr>
          <w:rFonts w:asciiTheme="majorHAnsi" w:hAnsiTheme="majorHAnsi"/>
          <w:szCs w:val="22"/>
          <w:lang w:val="es-ES_tradnl"/>
        </w:rPr>
        <w:t xml:space="preserve">s comentarios a favor de </w:t>
      </w:r>
      <w:r w:rsidRPr="00CC3A91">
        <w:rPr>
          <w:rFonts w:asciiTheme="majorHAnsi" w:hAnsiTheme="majorHAnsi"/>
          <w:szCs w:val="22"/>
          <w:lang w:val="es-ES_tradnl"/>
        </w:rPr>
        <w:t xml:space="preserve">una mayor inclusión de </w:t>
      </w:r>
      <w:r w:rsidR="00C32B40" w:rsidRPr="00CC3A91">
        <w:rPr>
          <w:rFonts w:asciiTheme="majorHAnsi" w:hAnsiTheme="majorHAnsi"/>
          <w:szCs w:val="22"/>
          <w:lang w:val="es-ES_tradnl"/>
        </w:rPr>
        <w:t xml:space="preserve">los </w:t>
      </w:r>
      <w:r w:rsidRPr="00CC3A91">
        <w:rPr>
          <w:rFonts w:asciiTheme="majorHAnsi" w:hAnsiTheme="majorHAnsi"/>
          <w:szCs w:val="22"/>
          <w:lang w:val="es-ES_tradnl"/>
        </w:rPr>
        <w:t>conocimientos indígenas y locales</w:t>
      </w:r>
      <w:r w:rsidR="0088725B" w:rsidRPr="00CC3A91">
        <w:rPr>
          <w:rFonts w:asciiTheme="majorHAnsi" w:hAnsiTheme="majorHAnsi"/>
          <w:szCs w:val="22"/>
          <w:lang w:val="es-ES_tradnl"/>
        </w:rPr>
        <w:t xml:space="preserve"> </w:t>
      </w:r>
      <w:r w:rsidRPr="00CC3A91">
        <w:rPr>
          <w:rFonts w:asciiTheme="majorHAnsi" w:hAnsiTheme="majorHAnsi"/>
          <w:szCs w:val="22"/>
          <w:lang w:val="es-ES_tradnl"/>
        </w:rPr>
        <w:t xml:space="preserve">en el proyecto de plan de trabajo. </w:t>
      </w:r>
      <w:r w:rsidR="00822D50" w:rsidRPr="00CC3A91">
        <w:rPr>
          <w:rFonts w:asciiTheme="majorHAnsi" w:hAnsiTheme="majorHAnsi"/>
          <w:szCs w:val="22"/>
          <w:lang w:val="es-ES_tradnl"/>
        </w:rPr>
        <w:t>El proyecto</w:t>
      </w:r>
      <w:r w:rsidR="00A21859" w:rsidRPr="00CC3A91">
        <w:rPr>
          <w:rFonts w:asciiTheme="majorHAnsi" w:hAnsiTheme="majorHAnsi"/>
          <w:szCs w:val="22"/>
          <w:lang w:val="es-ES_tradnl"/>
        </w:rPr>
        <w:t xml:space="preserve"> modificado</w:t>
      </w:r>
      <w:r w:rsidR="00822D50" w:rsidRPr="00CC3A91">
        <w:rPr>
          <w:rFonts w:asciiTheme="majorHAnsi" w:hAnsiTheme="majorHAnsi"/>
          <w:szCs w:val="22"/>
          <w:lang w:val="es-ES_tradnl"/>
        </w:rPr>
        <w:t xml:space="preserve"> de plan de trabajo ahora</w:t>
      </w:r>
      <w:r w:rsidRPr="00CC3A91">
        <w:rPr>
          <w:rFonts w:asciiTheme="majorHAnsi" w:hAnsiTheme="majorHAnsi"/>
          <w:szCs w:val="22"/>
          <w:lang w:val="es-ES_tradnl"/>
        </w:rPr>
        <w:t xml:space="preserve"> incluye referencias específicas a </w:t>
      </w:r>
      <w:r w:rsidR="00822D50" w:rsidRPr="00CC3A91">
        <w:rPr>
          <w:rFonts w:asciiTheme="majorHAnsi" w:hAnsiTheme="majorHAnsi"/>
          <w:szCs w:val="22"/>
          <w:lang w:val="es-ES_tradnl"/>
        </w:rPr>
        <w:t xml:space="preserve">los </w:t>
      </w:r>
      <w:r w:rsidR="00810463" w:rsidRPr="00CC3A91">
        <w:rPr>
          <w:rFonts w:asciiTheme="majorHAnsi" w:hAnsiTheme="majorHAnsi"/>
          <w:szCs w:val="22"/>
          <w:lang w:val="es-ES_tradnl"/>
        </w:rPr>
        <w:t>C</w:t>
      </w:r>
      <w:r w:rsidR="00822D50" w:rsidRPr="00CC3A91">
        <w:rPr>
          <w:rFonts w:asciiTheme="majorHAnsi" w:hAnsiTheme="majorHAnsi"/>
          <w:szCs w:val="22"/>
          <w:lang w:val="es-ES_tradnl"/>
        </w:rPr>
        <w:t xml:space="preserve">onocimientos </w:t>
      </w:r>
      <w:r w:rsidR="00810463" w:rsidRPr="00CC3A91">
        <w:rPr>
          <w:rFonts w:asciiTheme="majorHAnsi" w:hAnsiTheme="majorHAnsi"/>
          <w:szCs w:val="22"/>
          <w:lang w:val="es-ES_tradnl"/>
        </w:rPr>
        <w:t>I</w:t>
      </w:r>
      <w:r w:rsidR="00822D50" w:rsidRPr="00CC3A91">
        <w:rPr>
          <w:rFonts w:asciiTheme="majorHAnsi" w:hAnsiTheme="majorHAnsi"/>
          <w:szCs w:val="22"/>
          <w:lang w:val="es-ES_tradnl"/>
        </w:rPr>
        <w:t xml:space="preserve">ndígenas y </w:t>
      </w:r>
      <w:r w:rsidR="00810463" w:rsidRPr="00CC3A91">
        <w:rPr>
          <w:rFonts w:asciiTheme="majorHAnsi" w:hAnsiTheme="majorHAnsi"/>
          <w:szCs w:val="22"/>
          <w:lang w:val="es-ES_tradnl"/>
        </w:rPr>
        <w:t>L</w:t>
      </w:r>
      <w:r w:rsidR="00822D50" w:rsidRPr="00CC3A91">
        <w:rPr>
          <w:rFonts w:asciiTheme="majorHAnsi" w:hAnsiTheme="majorHAnsi"/>
          <w:szCs w:val="22"/>
          <w:lang w:val="es-ES_tradnl"/>
        </w:rPr>
        <w:t xml:space="preserve">ocales </w:t>
      </w:r>
      <w:r w:rsidRPr="00CC3A91">
        <w:rPr>
          <w:rFonts w:asciiTheme="majorHAnsi" w:hAnsiTheme="majorHAnsi"/>
          <w:szCs w:val="22"/>
          <w:lang w:val="es-ES_tradnl"/>
        </w:rPr>
        <w:t>en la tarea</w:t>
      </w:r>
      <w:r w:rsidR="0088725B" w:rsidRPr="00CC3A91">
        <w:rPr>
          <w:rFonts w:asciiTheme="majorHAnsi" w:hAnsiTheme="majorHAnsi"/>
          <w:szCs w:val="22"/>
          <w:lang w:val="es-ES_tradnl"/>
        </w:rPr>
        <w:t xml:space="preserve"> </w:t>
      </w:r>
      <w:r w:rsidR="009E5820" w:rsidRPr="00CC3A91">
        <w:rPr>
          <w:rFonts w:asciiTheme="majorHAnsi" w:hAnsiTheme="majorHAnsi"/>
          <w:szCs w:val="22"/>
          <w:lang w:val="es-ES_tradnl"/>
        </w:rPr>
        <w:t>1.2</w:t>
      </w:r>
      <w:r w:rsidR="000D600D" w:rsidRPr="00CC3A91">
        <w:rPr>
          <w:rFonts w:asciiTheme="majorHAnsi" w:hAnsiTheme="majorHAnsi"/>
          <w:szCs w:val="22"/>
          <w:lang w:val="es-ES_tradnl"/>
        </w:rPr>
        <w:t xml:space="preserve"> </w:t>
      </w:r>
      <w:r w:rsidR="002A557E" w:rsidRPr="00CC3A91">
        <w:rPr>
          <w:rFonts w:asciiTheme="majorHAnsi" w:hAnsiTheme="majorHAnsi"/>
          <w:szCs w:val="22"/>
          <w:lang w:val="es-ES_tradnl"/>
        </w:rPr>
        <w:t>relativa a los</w:t>
      </w:r>
      <w:r w:rsidRPr="00CC3A91">
        <w:rPr>
          <w:rFonts w:asciiTheme="majorHAnsi" w:hAnsiTheme="majorHAnsi"/>
          <w:szCs w:val="22"/>
          <w:lang w:val="es-ES_tradnl"/>
        </w:rPr>
        <w:t xml:space="preserve"> inventarios culturales</w:t>
      </w:r>
      <w:r w:rsidR="000D600D" w:rsidRPr="00CC3A91">
        <w:rPr>
          <w:rFonts w:asciiTheme="majorHAnsi" w:hAnsiTheme="majorHAnsi"/>
          <w:szCs w:val="22"/>
          <w:lang w:val="es-ES_tradnl"/>
        </w:rPr>
        <w:t xml:space="preserve">; </w:t>
      </w:r>
      <w:r w:rsidR="00B56234" w:rsidRPr="00CC3A91">
        <w:rPr>
          <w:rFonts w:asciiTheme="majorHAnsi" w:hAnsiTheme="majorHAnsi"/>
          <w:szCs w:val="22"/>
          <w:lang w:val="es-ES_tradnl"/>
        </w:rPr>
        <w:t xml:space="preserve">en </w:t>
      </w:r>
      <w:r w:rsidRPr="00CC3A91">
        <w:rPr>
          <w:rFonts w:asciiTheme="majorHAnsi" w:hAnsiTheme="majorHAnsi"/>
          <w:szCs w:val="22"/>
          <w:lang w:val="es-ES_tradnl"/>
        </w:rPr>
        <w:t>las tareas</w:t>
      </w:r>
      <w:r w:rsidR="00BB023F" w:rsidRPr="00CC3A91">
        <w:rPr>
          <w:rFonts w:asciiTheme="majorHAnsi" w:hAnsiTheme="majorHAnsi"/>
          <w:szCs w:val="22"/>
          <w:lang w:val="es-ES_tradnl"/>
        </w:rPr>
        <w:t xml:space="preserve"> 3.1 </w:t>
      </w:r>
      <w:r w:rsidRPr="00CC3A91">
        <w:rPr>
          <w:rFonts w:asciiTheme="majorHAnsi" w:hAnsiTheme="majorHAnsi"/>
          <w:szCs w:val="22"/>
          <w:lang w:val="es-ES_tradnl"/>
        </w:rPr>
        <w:t>y</w:t>
      </w:r>
      <w:r w:rsidR="00BB023F" w:rsidRPr="00CC3A91">
        <w:rPr>
          <w:rFonts w:asciiTheme="majorHAnsi" w:hAnsiTheme="majorHAnsi"/>
          <w:szCs w:val="22"/>
          <w:lang w:val="es-ES_tradnl"/>
        </w:rPr>
        <w:t xml:space="preserve"> 3.2 </w:t>
      </w:r>
      <w:r w:rsidR="002A557E" w:rsidRPr="00CC3A91">
        <w:rPr>
          <w:rFonts w:asciiTheme="majorHAnsi" w:hAnsiTheme="majorHAnsi"/>
          <w:szCs w:val="22"/>
          <w:lang w:val="es-ES_tradnl"/>
        </w:rPr>
        <w:t>referentes a la valoración de los humedales</w:t>
      </w:r>
      <w:r w:rsidR="00BB023F" w:rsidRPr="00CC3A91">
        <w:rPr>
          <w:rFonts w:asciiTheme="majorHAnsi" w:hAnsiTheme="majorHAnsi"/>
          <w:szCs w:val="22"/>
          <w:lang w:val="es-ES_tradnl"/>
        </w:rPr>
        <w:t xml:space="preserve">; </w:t>
      </w:r>
      <w:r w:rsidRPr="00CC3A91">
        <w:rPr>
          <w:rFonts w:asciiTheme="majorHAnsi" w:hAnsiTheme="majorHAnsi"/>
          <w:szCs w:val="22"/>
          <w:lang w:val="es-ES_tradnl"/>
        </w:rPr>
        <w:t>y la tarea</w:t>
      </w:r>
      <w:r w:rsidR="000D600D" w:rsidRPr="00CC3A91">
        <w:rPr>
          <w:rFonts w:asciiTheme="majorHAnsi" w:hAnsiTheme="majorHAnsi"/>
          <w:szCs w:val="22"/>
          <w:lang w:val="es-ES_tradnl"/>
        </w:rPr>
        <w:t xml:space="preserve"> 4.2 </w:t>
      </w:r>
      <w:r w:rsidR="002A557E" w:rsidRPr="00CC3A91">
        <w:rPr>
          <w:rFonts w:asciiTheme="majorHAnsi" w:hAnsiTheme="majorHAnsi"/>
          <w:szCs w:val="22"/>
          <w:lang w:val="es-ES_tradnl"/>
        </w:rPr>
        <w:t>referente a</w:t>
      </w:r>
      <w:r w:rsidR="00B56234" w:rsidRPr="00CC3A91">
        <w:rPr>
          <w:rFonts w:asciiTheme="majorHAnsi" w:hAnsiTheme="majorHAnsi"/>
          <w:szCs w:val="22"/>
          <w:lang w:val="es-ES_tradnl"/>
        </w:rPr>
        <w:t xml:space="preserve">l examen y análisis de los informes de las Misiones Ramsar de Asesoramiento. </w:t>
      </w:r>
      <w:r w:rsidRPr="00CC3A91">
        <w:rPr>
          <w:rFonts w:asciiTheme="majorHAnsi" w:hAnsiTheme="majorHAnsi"/>
          <w:szCs w:val="22"/>
          <w:lang w:val="es-ES_tradnl"/>
        </w:rPr>
        <w:t>El GECT agradece el ofrecimiento por parte de Nueva Zeland</w:t>
      </w:r>
      <w:r w:rsidR="008C5F46" w:rsidRPr="00CC3A91">
        <w:rPr>
          <w:rFonts w:asciiTheme="majorHAnsi" w:hAnsiTheme="majorHAnsi"/>
          <w:szCs w:val="22"/>
          <w:lang w:val="es-ES_tradnl"/>
        </w:rPr>
        <w:t>i</w:t>
      </w:r>
      <w:r w:rsidR="00DA19C9" w:rsidRPr="00CC3A91">
        <w:rPr>
          <w:rFonts w:asciiTheme="majorHAnsi" w:hAnsiTheme="majorHAnsi"/>
          <w:szCs w:val="22"/>
          <w:lang w:val="es-ES_tradnl"/>
        </w:rPr>
        <w:t xml:space="preserve">a </w:t>
      </w:r>
      <w:r w:rsidRPr="00CC3A91">
        <w:rPr>
          <w:rFonts w:asciiTheme="majorHAnsi" w:hAnsiTheme="majorHAnsi"/>
          <w:szCs w:val="22"/>
          <w:lang w:val="es-ES_tradnl"/>
        </w:rPr>
        <w:t xml:space="preserve">a proporcionar </w:t>
      </w:r>
      <w:r w:rsidR="00EA1105" w:rsidRPr="00CC3A91">
        <w:rPr>
          <w:rFonts w:asciiTheme="majorHAnsi" w:hAnsiTheme="majorHAnsi"/>
          <w:szCs w:val="22"/>
          <w:lang w:val="es-ES_tradnl"/>
        </w:rPr>
        <w:t xml:space="preserve">algunos casos de estudio </w:t>
      </w:r>
      <w:r w:rsidR="008C5F46" w:rsidRPr="00CC3A91">
        <w:rPr>
          <w:rFonts w:asciiTheme="majorHAnsi" w:hAnsiTheme="majorHAnsi"/>
          <w:szCs w:val="22"/>
          <w:lang w:val="es-ES_tradnl"/>
        </w:rPr>
        <w:t>relativos a los conocimientos indígenas y locales</w:t>
      </w:r>
      <w:r w:rsidR="00DA19C9" w:rsidRPr="00CC3A91">
        <w:rPr>
          <w:rFonts w:asciiTheme="majorHAnsi" w:hAnsiTheme="majorHAnsi"/>
          <w:szCs w:val="22"/>
          <w:lang w:val="es-ES_tradnl"/>
        </w:rPr>
        <w:t>, y agradecería que otras Partes Contratantes hiciesen lo mismo</w:t>
      </w:r>
      <w:r w:rsidR="000D600D" w:rsidRPr="00CC3A91">
        <w:rPr>
          <w:rFonts w:asciiTheme="majorHAnsi" w:hAnsiTheme="majorHAnsi"/>
          <w:szCs w:val="22"/>
          <w:lang w:val="es-ES_tradnl"/>
        </w:rPr>
        <w:t>.</w:t>
      </w:r>
      <w:r w:rsidR="0027797B" w:rsidRPr="00CC3A91">
        <w:rPr>
          <w:rFonts w:asciiTheme="majorHAnsi" w:hAnsiTheme="majorHAnsi"/>
          <w:szCs w:val="22"/>
          <w:lang w:val="es-ES_tradnl"/>
        </w:rPr>
        <w:t xml:space="preserve"> </w:t>
      </w:r>
      <w:r w:rsidR="008C5F46" w:rsidRPr="00CC3A91">
        <w:rPr>
          <w:rFonts w:asciiTheme="majorHAnsi" w:hAnsiTheme="majorHAnsi"/>
          <w:szCs w:val="22"/>
          <w:lang w:val="es-ES_tradnl"/>
        </w:rPr>
        <w:t xml:space="preserve">Además, </w:t>
      </w:r>
      <w:r w:rsidR="002A557E" w:rsidRPr="00CC3A91">
        <w:rPr>
          <w:rFonts w:asciiTheme="majorHAnsi" w:hAnsiTheme="majorHAnsi"/>
          <w:szCs w:val="22"/>
          <w:lang w:val="es-ES_tradnl"/>
        </w:rPr>
        <w:t xml:space="preserve">la Resolución </w:t>
      </w:r>
      <w:r w:rsidR="00394B6B" w:rsidRPr="00CC3A91">
        <w:rPr>
          <w:rFonts w:asciiTheme="majorHAnsi" w:hAnsiTheme="majorHAnsi"/>
          <w:szCs w:val="22"/>
          <w:lang w:val="es-ES_tradnl"/>
        </w:rPr>
        <w:t xml:space="preserve">XII.5 </w:t>
      </w:r>
      <w:r w:rsidR="002A557E" w:rsidRPr="00CC3A91">
        <w:rPr>
          <w:rFonts w:asciiTheme="majorHAnsi" w:hAnsiTheme="majorHAnsi"/>
          <w:szCs w:val="22"/>
          <w:lang w:val="es-ES_tradnl"/>
        </w:rPr>
        <w:t xml:space="preserve">aporta un mecanismo para </w:t>
      </w:r>
      <w:r w:rsidR="0017099D" w:rsidRPr="00CC3A91">
        <w:rPr>
          <w:rFonts w:asciiTheme="majorHAnsi" w:hAnsiTheme="majorHAnsi"/>
          <w:szCs w:val="22"/>
          <w:lang w:val="es-ES_tradnl"/>
        </w:rPr>
        <w:t xml:space="preserve">fomentar la </w:t>
      </w:r>
      <w:r w:rsidR="002A557E" w:rsidRPr="00CC3A91">
        <w:rPr>
          <w:rFonts w:asciiTheme="majorHAnsi" w:hAnsiTheme="majorHAnsi"/>
          <w:szCs w:val="22"/>
          <w:lang w:val="es-ES_tradnl"/>
        </w:rPr>
        <w:t>participación de expertos en conocimientos indígenas y locales. Las Partes Contratantes pueden proponer a expertos para participar en las reuniones o los procesos del GECT en períodos entre sesiones</w:t>
      </w:r>
      <w:r w:rsidR="0017099D" w:rsidRPr="00CC3A91">
        <w:rPr>
          <w:rFonts w:asciiTheme="majorHAnsi" w:hAnsiTheme="majorHAnsi"/>
          <w:szCs w:val="22"/>
          <w:lang w:val="es-ES_tradnl"/>
        </w:rPr>
        <w:t>,</w:t>
      </w:r>
      <w:r w:rsidR="002A557E" w:rsidRPr="00CC3A91">
        <w:rPr>
          <w:rFonts w:asciiTheme="majorHAnsi" w:hAnsiTheme="majorHAnsi"/>
          <w:szCs w:val="22"/>
          <w:lang w:val="es-ES_tradnl"/>
        </w:rPr>
        <w:t xml:space="preserve"> con la aprobación de la Presidencia del GECT </w:t>
      </w:r>
      <w:r w:rsidR="006C1101" w:rsidRPr="00CC3A91">
        <w:rPr>
          <w:rFonts w:asciiTheme="majorHAnsi" w:hAnsiTheme="majorHAnsi"/>
          <w:szCs w:val="22"/>
          <w:lang w:val="es-ES_tradnl"/>
        </w:rPr>
        <w:t>(</w:t>
      </w:r>
      <w:r w:rsidR="002A557E" w:rsidRPr="00CC3A91">
        <w:rPr>
          <w:rFonts w:asciiTheme="majorHAnsi" w:hAnsiTheme="majorHAnsi"/>
          <w:szCs w:val="22"/>
          <w:lang w:val="es-ES_tradnl"/>
        </w:rPr>
        <w:t xml:space="preserve">véase la Resolución </w:t>
      </w:r>
      <w:r w:rsidR="006C1101" w:rsidRPr="00CC3A91">
        <w:rPr>
          <w:rFonts w:asciiTheme="majorHAnsi" w:hAnsiTheme="majorHAnsi"/>
          <w:szCs w:val="22"/>
          <w:lang w:val="es-ES_tradnl"/>
        </w:rPr>
        <w:t>XII. 5, Anex</w:t>
      </w:r>
      <w:r w:rsidR="002A557E" w:rsidRPr="00CC3A91">
        <w:rPr>
          <w:rFonts w:asciiTheme="majorHAnsi" w:hAnsiTheme="majorHAnsi"/>
          <w:szCs w:val="22"/>
          <w:lang w:val="es-ES_tradnl"/>
        </w:rPr>
        <w:t>o</w:t>
      </w:r>
      <w:r w:rsidR="006C1101" w:rsidRPr="00CC3A91">
        <w:rPr>
          <w:rFonts w:asciiTheme="majorHAnsi" w:hAnsiTheme="majorHAnsi"/>
          <w:szCs w:val="22"/>
          <w:lang w:val="es-ES_tradnl"/>
        </w:rPr>
        <w:t xml:space="preserve"> 1, p</w:t>
      </w:r>
      <w:r w:rsidR="002A557E" w:rsidRPr="00CC3A91">
        <w:rPr>
          <w:rFonts w:asciiTheme="majorHAnsi" w:hAnsiTheme="majorHAnsi"/>
          <w:szCs w:val="22"/>
          <w:lang w:val="es-ES_tradnl"/>
        </w:rPr>
        <w:t>árrafos</w:t>
      </w:r>
      <w:r w:rsidR="006C1101" w:rsidRPr="00CC3A91">
        <w:rPr>
          <w:rFonts w:asciiTheme="majorHAnsi" w:hAnsiTheme="majorHAnsi"/>
          <w:szCs w:val="22"/>
          <w:lang w:val="es-ES_tradnl"/>
        </w:rPr>
        <w:t xml:space="preserve"> 9-10)</w:t>
      </w:r>
      <w:r w:rsidR="008B19DC" w:rsidRPr="00CC3A91">
        <w:rPr>
          <w:rFonts w:asciiTheme="majorHAnsi" w:hAnsiTheme="majorHAnsi"/>
          <w:szCs w:val="22"/>
          <w:lang w:val="es-ES_tradnl"/>
        </w:rPr>
        <w:t>.</w:t>
      </w:r>
      <w:r w:rsidR="00BB023F" w:rsidRPr="00CC3A91">
        <w:rPr>
          <w:rFonts w:asciiTheme="majorHAnsi" w:hAnsiTheme="majorHAnsi"/>
          <w:szCs w:val="22"/>
          <w:lang w:val="es-ES_tradnl"/>
        </w:rPr>
        <w:t xml:space="preserve"> A</w:t>
      </w:r>
      <w:r w:rsidR="002A557E" w:rsidRPr="00CC3A91">
        <w:rPr>
          <w:rFonts w:asciiTheme="majorHAnsi" w:hAnsiTheme="majorHAnsi"/>
          <w:szCs w:val="22"/>
          <w:lang w:val="es-ES_tradnl"/>
        </w:rPr>
        <w:t xml:space="preserve">unque el presupuesto del GECT no puede cubrir los </w:t>
      </w:r>
      <w:r w:rsidR="00AB13EF" w:rsidRPr="00CC3A91">
        <w:rPr>
          <w:rFonts w:asciiTheme="majorHAnsi" w:hAnsiTheme="majorHAnsi"/>
          <w:szCs w:val="22"/>
          <w:lang w:val="es-ES_tradnl"/>
        </w:rPr>
        <w:t xml:space="preserve">costos de viaje de dichos expertos adicionales, si </w:t>
      </w:r>
      <w:r w:rsidR="0017099D" w:rsidRPr="00CC3A91">
        <w:rPr>
          <w:rFonts w:asciiTheme="majorHAnsi" w:hAnsiTheme="majorHAnsi"/>
          <w:szCs w:val="22"/>
          <w:lang w:val="es-ES_tradnl"/>
        </w:rPr>
        <w:t xml:space="preserve">ellos pudiesen </w:t>
      </w:r>
      <w:r w:rsidR="00AB13EF" w:rsidRPr="00CC3A91">
        <w:rPr>
          <w:rFonts w:asciiTheme="majorHAnsi" w:hAnsiTheme="majorHAnsi"/>
          <w:szCs w:val="22"/>
          <w:lang w:val="es-ES_tradnl"/>
        </w:rPr>
        <w:t>obtener financiación de otras</w:t>
      </w:r>
      <w:r w:rsidR="0017099D" w:rsidRPr="00CC3A91">
        <w:rPr>
          <w:rFonts w:asciiTheme="majorHAnsi" w:hAnsiTheme="majorHAnsi"/>
          <w:szCs w:val="22"/>
          <w:lang w:val="es-ES_tradnl"/>
        </w:rPr>
        <w:t xml:space="preserve"> </w:t>
      </w:r>
      <w:r w:rsidR="00AB13EF" w:rsidRPr="00CC3A91">
        <w:rPr>
          <w:rFonts w:asciiTheme="majorHAnsi" w:hAnsiTheme="majorHAnsi"/>
          <w:szCs w:val="22"/>
          <w:lang w:val="es-ES_tradnl"/>
        </w:rPr>
        <w:t>fuentes, se</w:t>
      </w:r>
      <w:r w:rsidR="0017099D" w:rsidRPr="00CC3A91">
        <w:rPr>
          <w:rFonts w:asciiTheme="majorHAnsi" w:hAnsiTheme="majorHAnsi"/>
          <w:szCs w:val="22"/>
          <w:lang w:val="es-ES_tradnl"/>
        </w:rPr>
        <w:t xml:space="preserve"> acogería con agrado su participación. </w:t>
      </w:r>
      <w:r w:rsidR="00AB13EF" w:rsidRPr="00CC3A91">
        <w:rPr>
          <w:rFonts w:asciiTheme="majorHAnsi" w:hAnsiTheme="majorHAnsi"/>
          <w:szCs w:val="22"/>
          <w:lang w:val="es-ES_tradnl"/>
        </w:rPr>
        <w:t xml:space="preserve">Además, dichos expertos podrían participar en las tareas </w:t>
      </w:r>
      <w:r w:rsidR="0042636B" w:rsidRPr="00CC3A91">
        <w:rPr>
          <w:rFonts w:asciiTheme="majorHAnsi" w:hAnsiTheme="majorHAnsi"/>
          <w:szCs w:val="22"/>
          <w:lang w:val="es-ES_tradnl"/>
        </w:rPr>
        <w:t xml:space="preserve">por medios </w:t>
      </w:r>
      <w:r w:rsidR="00AB13EF" w:rsidRPr="00CC3A91">
        <w:rPr>
          <w:rFonts w:asciiTheme="majorHAnsi" w:hAnsiTheme="majorHAnsi"/>
          <w:szCs w:val="22"/>
          <w:lang w:val="es-ES_tradnl"/>
        </w:rPr>
        <w:t>electrónic</w:t>
      </w:r>
      <w:r w:rsidR="0042636B" w:rsidRPr="00CC3A91">
        <w:rPr>
          <w:rFonts w:asciiTheme="majorHAnsi" w:hAnsiTheme="majorHAnsi"/>
          <w:szCs w:val="22"/>
          <w:lang w:val="es-ES_tradnl"/>
        </w:rPr>
        <w:t>os</w:t>
      </w:r>
      <w:r w:rsidR="00AB13EF" w:rsidRPr="00CC3A91">
        <w:rPr>
          <w:rFonts w:asciiTheme="majorHAnsi" w:hAnsiTheme="majorHAnsi"/>
          <w:szCs w:val="22"/>
          <w:lang w:val="es-ES_tradnl"/>
        </w:rPr>
        <w:t>.</w:t>
      </w:r>
      <w:r w:rsidR="0088725B" w:rsidRPr="00CC3A91">
        <w:rPr>
          <w:rFonts w:asciiTheme="majorHAnsi" w:hAnsiTheme="majorHAnsi"/>
          <w:szCs w:val="22"/>
          <w:lang w:val="es-ES_tradnl"/>
        </w:rPr>
        <w:t xml:space="preserve"> </w:t>
      </w:r>
    </w:p>
    <w:p w14:paraId="6BB932F7" w14:textId="6B318604" w:rsidR="00765A01" w:rsidRPr="00CC3A91" w:rsidRDefault="00765A01" w:rsidP="00FB3790">
      <w:pPr>
        <w:ind w:left="426" w:hanging="426"/>
        <w:rPr>
          <w:rFonts w:asciiTheme="majorHAnsi" w:hAnsiTheme="majorHAnsi"/>
          <w:sz w:val="22"/>
          <w:szCs w:val="22"/>
          <w:lang w:val="es-ES_tradnl"/>
        </w:rPr>
      </w:pPr>
    </w:p>
    <w:p w14:paraId="3447FB9B" w14:textId="6DBDCCA9" w:rsidR="00765A01" w:rsidRPr="00CC3A91" w:rsidRDefault="0042636B"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Se planteó una pregunta acerca de</w:t>
      </w:r>
      <w:r w:rsidR="00EE4FE1" w:rsidRPr="00CC3A91">
        <w:rPr>
          <w:rFonts w:asciiTheme="majorHAnsi" w:hAnsiTheme="majorHAnsi"/>
          <w:szCs w:val="22"/>
          <w:lang w:val="es-ES_tradnl"/>
        </w:rPr>
        <w:t xml:space="preserve">l Índice de Extensión de los Humedales (WET) y su relación </w:t>
      </w:r>
      <w:r w:rsidR="00681E81" w:rsidRPr="00CC3A91">
        <w:rPr>
          <w:rFonts w:asciiTheme="majorHAnsi" w:hAnsiTheme="majorHAnsi"/>
          <w:szCs w:val="22"/>
          <w:lang w:val="es-ES_tradnl"/>
        </w:rPr>
        <w:t xml:space="preserve">con la Convención de </w:t>
      </w:r>
      <w:r w:rsidR="00765A01" w:rsidRPr="00CC3A91">
        <w:rPr>
          <w:rFonts w:asciiTheme="majorHAnsi" w:hAnsiTheme="majorHAnsi"/>
          <w:szCs w:val="22"/>
          <w:lang w:val="es-ES_tradnl"/>
        </w:rPr>
        <w:t xml:space="preserve">Ramsar </w:t>
      </w:r>
      <w:r w:rsidR="00681E81" w:rsidRPr="00CC3A91">
        <w:rPr>
          <w:rFonts w:asciiTheme="majorHAnsi" w:hAnsiTheme="majorHAnsi"/>
          <w:szCs w:val="22"/>
          <w:lang w:val="es-ES_tradnl"/>
        </w:rPr>
        <w:t>y otras convenciones</w:t>
      </w:r>
      <w:r w:rsidR="00765A01" w:rsidRPr="00CC3A91">
        <w:rPr>
          <w:rFonts w:asciiTheme="majorHAnsi" w:hAnsiTheme="majorHAnsi"/>
          <w:szCs w:val="22"/>
          <w:lang w:val="es-ES_tradnl"/>
        </w:rPr>
        <w:t>, notabl</w:t>
      </w:r>
      <w:r w:rsidR="0017099D" w:rsidRPr="00CC3A91">
        <w:rPr>
          <w:rFonts w:asciiTheme="majorHAnsi" w:hAnsiTheme="majorHAnsi"/>
          <w:szCs w:val="22"/>
          <w:lang w:val="es-ES_tradnl"/>
        </w:rPr>
        <w:t>emente el</w:t>
      </w:r>
      <w:r w:rsidR="00681E81" w:rsidRPr="00CC3A91">
        <w:rPr>
          <w:rFonts w:asciiTheme="majorHAnsi" w:hAnsiTheme="majorHAnsi"/>
          <w:szCs w:val="22"/>
          <w:lang w:val="es-ES_tradnl"/>
        </w:rPr>
        <w:t xml:space="preserve"> </w:t>
      </w:r>
      <w:r w:rsidR="00765A01" w:rsidRPr="00CC3A91">
        <w:rPr>
          <w:rFonts w:asciiTheme="majorHAnsi" w:hAnsiTheme="majorHAnsi"/>
          <w:szCs w:val="22"/>
          <w:lang w:val="es-ES_tradnl"/>
        </w:rPr>
        <w:t>Conven</w:t>
      </w:r>
      <w:r w:rsidR="00681E81" w:rsidRPr="00CC3A91">
        <w:rPr>
          <w:rFonts w:asciiTheme="majorHAnsi" w:hAnsiTheme="majorHAnsi"/>
          <w:szCs w:val="22"/>
          <w:lang w:val="es-ES_tradnl"/>
        </w:rPr>
        <w:t xml:space="preserve">io sobre la Diversidad Biológica </w:t>
      </w:r>
      <w:r w:rsidR="00765A01" w:rsidRPr="00CC3A91">
        <w:rPr>
          <w:rFonts w:asciiTheme="majorHAnsi" w:hAnsiTheme="majorHAnsi"/>
          <w:szCs w:val="22"/>
          <w:lang w:val="es-ES_tradnl"/>
        </w:rPr>
        <w:t>(C</w:t>
      </w:r>
      <w:r w:rsidR="00681E81" w:rsidRPr="00CC3A91">
        <w:rPr>
          <w:rFonts w:asciiTheme="majorHAnsi" w:hAnsiTheme="majorHAnsi"/>
          <w:szCs w:val="22"/>
          <w:lang w:val="es-ES_tradnl"/>
        </w:rPr>
        <w:t>D</w:t>
      </w:r>
      <w:r w:rsidR="00765A01" w:rsidRPr="00CC3A91">
        <w:rPr>
          <w:rFonts w:asciiTheme="majorHAnsi" w:hAnsiTheme="majorHAnsi"/>
          <w:szCs w:val="22"/>
          <w:lang w:val="es-ES_tradnl"/>
        </w:rPr>
        <w:t xml:space="preserve">B). </w:t>
      </w:r>
      <w:r w:rsidR="009552D1" w:rsidRPr="00CC3A91">
        <w:rPr>
          <w:rFonts w:asciiTheme="majorHAnsi" w:eastAsia="Calibri" w:hAnsiTheme="majorHAnsi" w:cs="Courier"/>
          <w:szCs w:val="22"/>
          <w:lang w:val="es-ES_tradnl"/>
        </w:rPr>
        <w:t xml:space="preserve">El </w:t>
      </w:r>
      <w:r w:rsidR="00A8614A" w:rsidRPr="00CC3A91">
        <w:rPr>
          <w:rFonts w:asciiTheme="majorHAnsi" w:eastAsia="Calibri" w:hAnsiTheme="majorHAnsi" w:cs="Courier"/>
          <w:szCs w:val="22"/>
          <w:lang w:val="es-ES_tradnl"/>
        </w:rPr>
        <w:t xml:space="preserve">Índice </w:t>
      </w:r>
      <w:r w:rsidR="00765A01" w:rsidRPr="00CC3A91">
        <w:rPr>
          <w:rFonts w:asciiTheme="majorHAnsi" w:eastAsia="Calibri" w:hAnsiTheme="majorHAnsi" w:cs="Courier"/>
          <w:szCs w:val="22"/>
          <w:lang w:val="es-ES_tradnl"/>
        </w:rPr>
        <w:t xml:space="preserve">WET </w:t>
      </w:r>
      <w:r w:rsidR="00A8614A" w:rsidRPr="00CC3A91">
        <w:rPr>
          <w:rFonts w:asciiTheme="majorHAnsi" w:eastAsia="Calibri" w:hAnsiTheme="majorHAnsi" w:cs="Courier"/>
          <w:szCs w:val="22"/>
          <w:lang w:val="es-ES_tradnl"/>
        </w:rPr>
        <w:t xml:space="preserve">fue concebido como indicador para la Convención de </w:t>
      </w:r>
      <w:r w:rsidR="00765A01" w:rsidRPr="00CC3A91">
        <w:rPr>
          <w:rFonts w:asciiTheme="majorHAnsi" w:eastAsia="Calibri" w:hAnsiTheme="majorHAnsi" w:cs="Courier"/>
          <w:szCs w:val="22"/>
          <w:lang w:val="es-ES_tradnl"/>
        </w:rPr>
        <w:t>Ramsar</w:t>
      </w:r>
      <w:r w:rsidR="00A8614A" w:rsidRPr="00CC3A91">
        <w:rPr>
          <w:rFonts w:asciiTheme="majorHAnsi" w:eastAsia="Calibri" w:hAnsiTheme="majorHAnsi" w:cs="Courier"/>
          <w:szCs w:val="22"/>
          <w:lang w:val="es-ES_tradnl"/>
        </w:rPr>
        <w:t xml:space="preserve"> </w:t>
      </w:r>
      <w:r w:rsidR="0017099D" w:rsidRPr="00CC3A91">
        <w:rPr>
          <w:rFonts w:asciiTheme="majorHAnsi" w:eastAsia="Calibri" w:hAnsiTheme="majorHAnsi" w:cs="Courier"/>
          <w:szCs w:val="22"/>
          <w:lang w:val="es-ES_tradnl"/>
        </w:rPr>
        <w:t xml:space="preserve">a fin de cubrir un vacío en la </w:t>
      </w:r>
      <w:r w:rsidR="004D0FFC" w:rsidRPr="00CC3A91">
        <w:rPr>
          <w:rFonts w:asciiTheme="majorHAnsi" w:eastAsia="Calibri" w:hAnsiTheme="majorHAnsi" w:cs="Courier"/>
          <w:szCs w:val="22"/>
          <w:lang w:val="es-ES_tradnl"/>
        </w:rPr>
        <w:t xml:space="preserve">base científica </w:t>
      </w:r>
      <w:r w:rsidR="0017099D" w:rsidRPr="00CC3A91">
        <w:rPr>
          <w:rFonts w:asciiTheme="majorHAnsi" w:eastAsia="Calibri" w:hAnsiTheme="majorHAnsi" w:cs="Courier"/>
          <w:szCs w:val="22"/>
          <w:lang w:val="es-ES_tradnl"/>
        </w:rPr>
        <w:t>de</w:t>
      </w:r>
      <w:r w:rsidR="00765A01" w:rsidRPr="00CC3A91">
        <w:rPr>
          <w:rFonts w:asciiTheme="majorHAnsi" w:eastAsia="Calibri" w:hAnsiTheme="majorHAnsi" w:cs="Courier"/>
          <w:szCs w:val="22"/>
          <w:lang w:val="es-ES_tradnl"/>
        </w:rPr>
        <w:t xml:space="preserve"> Ramsar. </w:t>
      </w:r>
      <w:r w:rsidR="00204083" w:rsidRPr="00CC3A91">
        <w:rPr>
          <w:rFonts w:asciiTheme="majorHAnsi" w:eastAsia="Calibri" w:hAnsiTheme="majorHAnsi" w:cs="Courier"/>
          <w:szCs w:val="22"/>
          <w:lang w:val="es-ES_tradnl"/>
        </w:rPr>
        <w:t>La versión inicial fue desarrollada y probada por PNUMA</w:t>
      </w:r>
      <w:r w:rsidR="00765A01" w:rsidRPr="00CC3A91">
        <w:rPr>
          <w:rFonts w:asciiTheme="majorHAnsi" w:eastAsia="Calibri" w:hAnsiTheme="majorHAnsi" w:cs="Courier"/>
          <w:szCs w:val="22"/>
          <w:lang w:val="es-ES_tradnl"/>
        </w:rPr>
        <w:t xml:space="preserve">-WCMC, </w:t>
      </w:r>
      <w:r w:rsidR="00204083" w:rsidRPr="00CC3A91">
        <w:rPr>
          <w:rFonts w:asciiTheme="majorHAnsi" w:eastAsia="Calibri" w:hAnsiTheme="majorHAnsi" w:cs="Courier"/>
          <w:szCs w:val="22"/>
          <w:lang w:val="es-ES_tradnl"/>
        </w:rPr>
        <w:t xml:space="preserve">con financiación de la Convención de Ramsar, y </w:t>
      </w:r>
      <w:r w:rsidR="0017099D" w:rsidRPr="00CC3A91">
        <w:rPr>
          <w:rFonts w:asciiTheme="majorHAnsi" w:eastAsia="Calibri" w:hAnsiTheme="majorHAnsi" w:cs="Courier"/>
          <w:szCs w:val="22"/>
          <w:lang w:val="es-ES_tradnl"/>
        </w:rPr>
        <w:t>se apoyó</w:t>
      </w:r>
      <w:r w:rsidR="00204083" w:rsidRPr="00CC3A91">
        <w:rPr>
          <w:rFonts w:asciiTheme="majorHAnsi" w:eastAsia="Calibri" w:hAnsiTheme="majorHAnsi" w:cs="Courier"/>
          <w:szCs w:val="22"/>
          <w:lang w:val="es-ES_tradnl"/>
        </w:rPr>
        <w:t xml:space="preserve"> en contribuci</w:t>
      </w:r>
      <w:r w:rsidR="0001220D" w:rsidRPr="00CC3A91">
        <w:rPr>
          <w:rFonts w:asciiTheme="majorHAnsi" w:eastAsia="Calibri" w:hAnsiTheme="majorHAnsi" w:cs="Courier"/>
          <w:szCs w:val="22"/>
          <w:lang w:val="es-ES_tradnl"/>
        </w:rPr>
        <w:t>ones en especie, consistentes en tiempo de trabajo, por parte de PNUMA</w:t>
      </w:r>
      <w:r w:rsidR="00765A01" w:rsidRPr="00CC3A91">
        <w:rPr>
          <w:rFonts w:asciiTheme="majorHAnsi" w:eastAsia="Calibri" w:hAnsiTheme="majorHAnsi" w:cs="Courier"/>
          <w:szCs w:val="22"/>
          <w:lang w:val="es-ES_tradnl"/>
        </w:rPr>
        <w:t xml:space="preserve">-WCMC. </w:t>
      </w:r>
      <w:r w:rsidR="00BB6D34" w:rsidRPr="00CC3A91">
        <w:rPr>
          <w:rFonts w:asciiTheme="majorHAnsi" w:eastAsia="Calibri" w:hAnsiTheme="majorHAnsi" w:cs="Courier"/>
          <w:szCs w:val="22"/>
          <w:lang w:val="es-ES_tradnl"/>
        </w:rPr>
        <w:t>El Índice</w:t>
      </w:r>
      <w:r w:rsidR="00765A01" w:rsidRPr="00CC3A91">
        <w:rPr>
          <w:rFonts w:asciiTheme="majorHAnsi" w:eastAsia="Calibri" w:hAnsiTheme="majorHAnsi" w:cs="Courier"/>
          <w:szCs w:val="22"/>
          <w:lang w:val="es-ES_tradnl"/>
        </w:rPr>
        <w:t xml:space="preserve"> WET </w:t>
      </w:r>
      <w:r w:rsidR="00BB6D34" w:rsidRPr="00CC3A91">
        <w:rPr>
          <w:rFonts w:asciiTheme="majorHAnsi" w:eastAsia="Calibri" w:hAnsiTheme="majorHAnsi" w:cs="Courier"/>
          <w:szCs w:val="22"/>
          <w:lang w:val="es-ES_tradnl"/>
        </w:rPr>
        <w:t>no pertenece a ningún otro proceso</w:t>
      </w:r>
      <w:r w:rsidR="0017099D" w:rsidRPr="00CC3A91">
        <w:rPr>
          <w:rFonts w:asciiTheme="majorHAnsi" w:eastAsia="Calibri" w:hAnsiTheme="majorHAnsi" w:cs="Courier"/>
          <w:szCs w:val="22"/>
          <w:lang w:val="es-ES_tradnl"/>
        </w:rPr>
        <w:t>, ni</w:t>
      </w:r>
      <w:r w:rsidR="00BB6D34" w:rsidRPr="00CC3A91">
        <w:rPr>
          <w:rFonts w:asciiTheme="majorHAnsi" w:eastAsia="Calibri" w:hAnsiTheme="majorHAnsi" w:cs="Courier"/>
          <w:szCs w:val="22"/>
          <w:lang w:val="es-ES_tradnl"/>
        </w:rPr>
        <w:t xml:space="preserve"> está financiado por el CDB o por cualquier otra Convención. </w:t>
      </w:r>
      <w:r w:rsidR="000E2376" w:rsidRPr="00CC3A91">
        <w:rPr>
          <w:rFonts w:asciiTheme="majorHAnsi" w:eastAsia="Calibri" w:hAnsiTheme="majorHAnsi" w:cs="Courier"/>
          <w:szCs w:val="22"/>
          <w:lang w:val="es-ES_tradnl"/>
        </w:rPr>
        <w:t>A nuestro entender,</w:t>
      </w:r>
      <w:r w:rsidR="001D3CAB" w:rsidRPr="00CC3A91">
        <w:rPr>
          <w:rFonts w:asciiTheme="majorHAnsi" w:eastAsia="Calibri" w:hAnsiTheme="majorHAnsi" w:cs="Courier"/>
          <w:szCs w:val="22"/>
          <w:lang w:val="es-ES_tradnl"/>
        </w:rPr>
        <w:t xml:space="preserve"> </w:t>
      </w:r>
      <w:r w:rsidR="000E2376" w:rsidRPr="00CC3A91">
        <w:rPr>
          <w:rFonts w:asciiTheme="majorHAnsi" w:eastAsia="Calibri" w:hAnsiTheme="majorHAnsi" w:cs="Courier"/>
          <w:szCs w:val="22"/>
          <w:lang w:val="es-ES_tradnl"/>
        </w:rPr>
        <w:t xml:space="preserve">se ha incluido en el informe del </w:t>
      </w:r>
      <w:r w:rsidR="00BB6D34" w:rsidRPr="00CC3A91">
        <w:rPr>
          <w:rFonts w:asciiTheme="majorHAnsi" w:eastAsia="Calibri" w:hAnsiTheme="majorHAnsi" w:cs="Courier"/>
          <w:szCs w:val="22"/>
          <w:lang w:val="es-ES_tradnl"/>
        </w:rPr>
        <w:t xml:space="preserve">Grupo Especial de Expertos Técnicos </w:t>
      </w:r>
      <w:r w:rsidR="006E0C22" w:rsidRPr="00CC3A91">
        <w:rPr>
          <w:rFonts w:asciiTheme="majorHAnsi" w:eastAsia="Calibri" w:hAnsiTheme="majorHAnsi" w:cs="Courier"/>
          <w:szCs w:val="22"/>
          <w:lang w:val="es-ES_tradnl"/>
        </w:rPr>
        <w:t>(</w:t>
      </w:r>
      <w:r w:rsidR="00765A01" w:rsidRPr="00CC3A91">
        <w:rPr>
          <w:rFonts w:asciiTheme="majorHAnsi" w:eastAsia="Calibri" w:hAnsiTheme="majorHAnsi" w:cs="Courier"/>
          <w:szCs w:val="22"/>
          <w:lang w:val="es-ES_tradnl"/>
        </w:rPr>
        <w:t>AHTEG</w:t>
      </w:r>
      <w:r w:rsidR="006E0C22" w:rsidRPr="00CC3A91">
        <w:rPr>
          <w:rFonts w:asciiTheme="majorHAnsi" w:eastAsia="Calibri" w:hAnsiTheme="majorHAnsi" w:cs="Courier"/>
          <w:szCs w:val="22"/>
          <w:lang w:val="es-ES_tradnl"/>
        </w:rPr>
        <w:t>)</w:t>
      </w:r>
      <w:r w:rsidR="00765A01" w:rsidRPr="00CC3A91">
        <w:rPr>
          <w:rFonts w:asciiTheme="majorHAnsi" w:eastAsia="Calibri" w:hAnsiTheme="majorHAnsi" w:cs="Courier"/>
          <w:szCs w:val="22"/>
          <w:lang w:val="es-ES_tradnl"/>
        </w:rPr>
        <w:t xml:space="preserve"> </w:t>
      </w:r>
      <w:r w:rsidR="000E2376" w:rsidRPr="00CC3A91">
        <w:rPr>
          <w:rFonts w:asciiTheme="majorHAnsi" w:eastAsia="Calibri" w:hAnsiTheme="majorHAnsi" w:cs="Courier"/>
          <w:szCs w:val="22"/>
          <w:lang w:val="es-ES_tradnl"/>
        </w:rPr>
        <w:t>del CDB con el único fin de</w:t>
      </w:r>
      <w:r w:rsidR="00765A01" w:rsidRPr="00CC3A91">
        <w:rPr>
          <w:rFonts w:asciiTheme="majorHAnsi" w:eastAsia="Calibri" w:hAnsiTheme="majorHAnsi" w:cs="Courier"/>
          <w:szCs w:val="22"/>
          <w:lang w:val="es-ES_tradnl"/>
        </w:rPr>
        <w:t xml:space="preserve"> </w:t>
      </w:r>
      <w:r w:rsidR="000E2376" w:rsidRPr="00CC3A91">
        <w:rPr>
          <w:rFonts w:asciiTheme="majorHAnsi" w:eastAsia="Calibri" w:hAnsiTheme="majorHAnsi" w:cs="Courier"/>
          <w:szCs w:val="22"/>
          <w:lang w:val="es-ES_tradnl"/>
        </w:rPr>
        <w:t>señalar su existencia e importancia como</w:t>
      </w:r>
      <w:r w:rsidR="004D0FFC" w:rsidRPr="00CC3A91">
        <w:rPr>
          <w:rFonts w:asciiTheme="majorHAnsi" w:eastAsia="Calibri" w:hAnsiTheme="majorHAnsi" w:cs="Courier"/>
          <w:szCs w:val="22"/>
          <w:lang w:val="es-ES_tradnl"/>
        </w:rPr>
        <w:t xml:space="preserve"> </w:t>
      </w:r>
      <w:r w:rsidR="00765A01" w:rsidRPr="00CC3A91">
        <w:rPr>
          <w:rFonts w:asciiTheme="majorHAnsi" w:eastAsia="Calibri" w:hAnsiTheme="majorHAnsi" w:cs="Courier"/>
          <w:szCs w:val="22"/>
          <w:lang w:val="es-ES_tradnl"/>
        </w:rPr>
        <w:t>indica</w:t>
      </w:r>
      <w:r w:rsidR="004D0FFC" w:rsidRPr="00CC3A91">
        <w:rPr>
          <w:rFonts w:asciiTheme="majorHAnsi" w:eastAsia="Calibri" w:hAnsiTheme="majorHAnsi" w:cs="Courier"/>
          <w:szCs w:val="22"/>
          <w:lang w:val="es-ES_tradnl"/>
        </w:rPr>
        <w:t>dor para la</w:t>
      </w:r>
      <w:r w:rsidR="00765A01" w:rsidRPr="00CC3A91">
        <w:rPr>
          <w:rFonts w:asciiTheme="majorHAnsi" w:eastAsia="Calibri" w:hAnsiTheme="majorHAnsi" w:cs="Courier"/>
          <w:szCs w:val="22"/>
          <w:lang w:val="es-ES_tradnl"/>
        </w:rPr>
        <w:t xml:space="preserve"> </w:t>
      </w:r>
      <w:r w:rsidR="004D0FFC" w:rsidRPr="00CC3A91">
        <w:rPr>
          <w:rFonts w:asciiTheme="majorHAnsi" w:eastAsia="Calibri" w:hAnsiTheme="majorHAnsi" w:cs="Courier"/>
          <w:szCs w:val="22"/>
          <w:lang w:val="es-ES_tradnl"/>
        </w:rPr>
        <w:t xml:space="preserve">Meta 5 de </w:t>
      </w:r>
      <w:r w:rsidR="00765A01" w:rsidRPr="00CC3A91">
        <w:rPr>
          <w:rFonts w:asciiTheme="majorHAnsi" w:eastAsia="Calibri" w:hAnsiTheme="majorHAnsi" w:cs="Courier"/>
          <w:szCs w:val="22"/>
          <w:lang w:val="es-ES_tradnl"/>
        </w:rPr>
        <w:t xml:space="preserve">Aichi. </w:t>
      </w:r>
      <w:r w:rsidR="00FC6184" w:rsidRPr="00CC3A91">
        <w:rPr>
          <w:rFonts w:asciiTheme="majorHAnsi" w:eastAsia="Calibri" w:hAnsiTheme="majorHAnsi" w:cs="Courier"/>
          <w:szCs w:val="22"/>
          <w:lang w:val="es-ES_tradnl"/>
        </w:rPr>
        <w:t>Es cierto que</w:t>
      </w:r>
      <w:r w:rsidR="000E2376" w:rsidRPr="00CC3A91">
        <w:rPr>
          <w:rFonts w:asciiTheme="majorHAnsi" w:eastAsia="Calibri" w:hAnsiTheme="majorHAnsi" w:cs="Courier"/>
          <w:szCs w:val="22"/>
          <w:lang w:val="es-ES_tradnl"/>
        </w:rPr>
        <w:t>, como indicador de la extensión del ecosistema, el Índice WET es pertinente para los procesos del CDB y de los Objetivos de Desarrollo Sostenible,</w:t>
      </w:r>
      <w:r w:rsidR="0088725B" w:rsidRPr="00CC3A91">
        <w:rPr>
          <w:rFonts w:asciiTheme="majorHAnsi" w:eastAsia="Calibri" w:hAnsiTheme="majorHAnsi" w:cs="Courier"/>
          <w:szCs w:val="22"/>
          <w:lang w:val="es-ES_tradnl"/>
        </w:rPr>
        <w:t xml:space="preserve"> </w:t>
      </w:r>
      <w:r w:rsidR="006C7CD0" w:rsidRPr="00CC3A91">
        <w:rPr>
          <w:rFonts w:asciiTheme="majorHAnsi" w:eastAsia="Calibri" w:hAnsiTheme="majorHAnsi" w:cs="Courier"/>
          <w:szCs w:val="22"/>
          <w:lang w:val="es-ES_tradnl"/>
        </w:rPr>
        <w:t xml:space="preserve">y se utilizó uno de los primeros análisis </w:t>
      </w:r>
      <w:r w:rsidR="000E2376" w:rsidRPr="00CC3A91">
        <w:rPr>
          <w:rFonts w:asciiTheme="majorHAnsi" w:eastAsia="Calibri" w:hAnsiTheme="majorHAnsi" w:cs="Courier"/>
          <w:szCs w:val="22"/>
          <w:lang w:val="es-ES_tradnl"/>
        </w:rPr>
        <w:t xml:space="preserve">en la cuarta edición de la Perspectiva Mundial sobre la </w:t>
      </w:r>
      <w:r w:rsidR="00CC3A91" w:rsidRPr="00CC3A91">
        <w:rPr>
          <w:rFonts w:asciiTheme="majorHAnsi" w:eastAsia="Calibri" w:hAnsiTheme="majorHAnsi" w:cs="Courier"/>
          <w:szCs w:val="22"/>
          <w:lang w:val="es-ES_tradnl"/>
        </w:rPr>
        <w:t>Diversidad</w:t>
      </w:r>
      <w:r w:rsidR="000E2376" w:rsidRPr="00CC3A91">
        <w:rPr>
          <w:rFonts w:asciiTheme="majorHAnsi" w:eastAsia="Calibri" w:hAnsiTheme="majorHAnsi" w:cs="Courier"/>
          <w:szCs w:val="22"/>
          <w:lang w:val="es-ES_tradnl"/>
        </w:rPr>
        <w:t xml:space="preserve"> Biológica</w:t>
      </w:r>
      <w:r w:rsidR="0084725E" w:rsidRPr="00CC3A91">
        <w:rPr>
          <w:rFonts w:asciiTheme="majorHAnsi" w:eastAsia="Calibri" w:hAnsiTheme="majorHAnsi" w:cs="Courier"/>
          <w:szCs w:val="22"/>
          <w:lang w:val="es-ES_tradnl"/>
        </w:rPr>
        <w:t xml:space="preserve"> </w:t>
      </w:r>
      <w:r w:rsidR="004C1EF3" w:rsidRPr="00CC3A91">
        <w:rPr>
          <w:rFonts w:asciiTheme="majorHAnsi" w:eastAsia="Calibri" w:hAnsiTheme="majorHAnsi" w:cs="Courier"/>
          <w:szCs w:val="22"/>
          <w:lang w:val="es-ES_tradnl"/>
        </w:rPr>
        <w:t>(</w:t>
      </w:r>
      <w:r w:rsidR="000E2376" w:rsidRPr="00CC3A91">
        <w:rPr>
          <w:rFonts w:asciiTheme="majorHAnsi" w:eastAsia="Calibri" w:hAnsiTheme="majorHAnsi" w:cs="Courier"/>
          <w:szCs w:val="22"/>
          <w:lang w:val="es-ES_tradnl"/>
        </w:rPr>
        <w:t>PMDB</w:t>
      </w:r>
      <w:r w:rsidR="0084725E" w:rsidRPr="00CC3A91">
        <w:rPr>
          <w:rFonts w:asciiTheme="majorHAnsi" w:eastAsia="Calibri" w:hAnsiTheme="majorHAnsi" w:cs="Courier"/>
          <w:szCs w:val="22"/>
          <w:lang w:val="es-ES_tradnl"/>
        </w:rPr>
        <w:t>-4</w:t>
      </w:r>
      <w:r w:rsidR="004C1EF3" w:rsidRPr="00CC3A91">
        <w:rPr>
          <w:rFonts w:asciiTheme="majorHAnsi" w:eastAsia="Calibri" w:hAnsiTheme="majorHAnsi" w:cs="Courier"/>
          <w:szCs w:val="22"/>
          <w:lang w:val="es-ES_tradnl"/>
        </w:rPr>
        <w:t>)</w:t>
      </w:r>
      <w:r w:rsidR="0084725E" w:rsidRPr="00CC3A91">
        <w:rPr>
          <w:rFonts w:asciiTheme="majorHAnsi" w:eastAsia="Calibri" w:hAnsiTheme="majorHAnsi" w:cs="Courier"/>
          <w:szCs w:val="22"/>
          <w:lang w:val="es-ES_tradnl"/>
        </w:rPr>
        <w:t>. N</w:t>
      </w:r>
      <w:r w:rsidR="006C7CD0" w:rsidRPr="00CC3A91">
        <w:rPr>
          <w:rFonts w:asciiTheme="majorHAnsi" w:eastAsia="Calibri" w:hAnsiTheme="majorHAnsi" w:cs="Courier"/>
          <w:szCs w:val="22"/>
          <w:lang w:val="es-ES_tradnl"/>
        </w:rPr>
        <w:t xml:space="preserve">o obstante, el Índice WET siempre ha sido un indicador </w:t>
      </w:r>
      <w:r w:rsidR="00B36510" w:rsidRPr="00CC3A91">
        <w:rPr>
          <w:rFonts w:asciiTheme="majorHAnsi" w:eastAsia="Calibri" w:hAnsiTheme="majorHAnsi" w:cs="Courier"/>
          <w:szCs w:val="22"/>
          <w:lang w:val="es-ES_tradnl"/>
        </w:rPr>
        <w:t xml:space="preserve">Ramsar de gran relevancia para el Estado </w:t>
      </w:r>
      <w:r w:rsidR="00FC6184" w:rsidRPr="00CC3A91">
        <w:rPr>
          <w:rFonts w:asciiTheme="majorHAnsi" w:eastAsia="Calibri" w:hAnsiTheme="majorHAnsi" w:cs="Courier"/>
          <w:szCs w:val="22"/>
          <w:lang w:val="es-ES_tradnl"/>
        </w:rPr>
        <w:t xml:space="preserve">de los humedales mundiales y </w:t>
      </w:r>
      <w:r w:rsidR="00B36510" w:rsidRPr="00CC3A91">
        <w:rPr>
          <w:rFonts w:asciiTheme="majorHAnsi" w:eastAsia="Calibri" w:hAnsiTheme="majorHAnsi" w:cs="Courier"/>
          <w:szCs w:val="22"/>
          <w:lang w:val="es-ES_tradnl"/>
        </w:rPr>
        <w:t xml:space="preserve">los servicios que prestan a las personas </w:t>
      </w:r>
      <w:r w:rsidR="001C7CBD" w:rsidRPr="00CC3A91">
        <w:rPr>
          <w:rFonts w:asciiTheme="majorHAnsi" w:eastAsia="Calibri" w:hAnsiTheme="majorHAnsi" w:cs="Courier"/>
          <w:szCs w:val="22"/>
          <w:lang w:val="es-ES_tradnl"/>
        </w:rPr>
        <w:t>(</w:t>
      </w:r>
      <w:r w:rsidR="00FC6184" w:rsidRPr="00CC3A91">
        <w:rPr>
          <w:rFonts w:asciiTheme="majorHAnsi" w:eastAsia="Calibri" w:hAnsiTheme="majorHAnsi" w:cs="Courier"/>
          <w:szCs w:val="22"/>
          <w:lang w:val="es-ES_tradnl"/>
        </w:rPr>
        <w:t>EHMS)</w:t>
      </w:r>
      <w:r w:rsidR="00765A01" w:rsidRPr="00CC3A91">
        <w:rPr>
          <w:rFonts w:asciiTheme="majorHAnsi" w:eastAsia="Calibri" w:hAnsiTheme="majorHAnsi" w:cs="Courier"/>
          <w:szCs w:val="22"/>
          <w:lang w:val="es-ES_tradnl"/>
        </w:rPr>
        <w:t xml:space="preserve"> </w:t>
      </w:r>
      <w:r w:rsidR="00B36510" w:rsidRPr="00CC3A91">
        <w:rPr>
          <w:rFonts w:asciiTheme="majorHAnsi" w:eastAsia="Calibri" w:hAnsiTheme="majorHAnsi" w:cs="Courier"/>
          <w:szCs w:val="22"/>
          <w:lang w:val="es-ES_tradnl"/>
        </w:rPr>
        <w:t xml:space="preserve">y para hacer un seguimiento de la aplicación e impacto de la Convención. Por tanto, en el proyecto </w:t>
      </w:r>
      <w:r w:rsidR="00FC6184" w:rsidRPr="00CC3A91">
        <w:rPr>
          <w:rFonts w:asciiTheme="majorHAnsi" w:eastAsia="Calibri" w:hAnsiTheme="majorHAnsi" w:cs="Courier"/>
          <w:szCs w:val="22"/>
          <w:lang w:val="es-ES_tradnl"/>
        </w:rPr>
        <w:t>modificado de plan de trabajo</w:t>
      </w:r>
      <w:r w:rsidR="00B36510" w:rsidRPr="00CC3A91">
        <w:rPr>
          <w:rFonts w:asciiTheme="majorHAnsi" w:eastAsia="Calibri" w:hAnsiTheme="majorHAnsi" w:cs="Courier"/>
          <w:szCs w:val="22"/>
          <w:lang w:val="es-ES_tradnl"/>
        </w:rPr>
        <w:t>, ahora se incluye el Índice WET como parte de la tarea relativa a</w:t>
      </w:r>
      <w:r w:rsidR="00FC6184" w:rsidRPr="00CC3A91">
        <w:rPr>
          <w:rFonts w:asciiTheme="majorHAnsi" w:eastAsia="Calibri" w:hAnsiTheme="majorHAnsi" w:cs="Courier"/>
          <w:szCs w:val="22"/>
          <w:lang w:val="es-ES_tradnl"/>
        </w:rPr>
        <w:t>l EHMS.</w:t>
      </w:r>
    </w:p>
    <w:p w14:paraId="368C922E" w14:textId="77777777" w:rsidR="001C7CBD" w:rsidRPr="00CC3A91" w:rsidRDefault="001C7CBD" w:rsidP="00FB3790">
      <w:pPr>
        <w:pStyle w:val="ListParagraph"/>
        <w:ind w:left="426" w:hanging="426"/>
        <w:rPr>
          <w:rFonts w:asciiTheme="majorHAnsi" w:hAnsiTheme="majorHAnsi"/>
          <w:szCs w:val="22"/>
          <w:lang w:val="es-ES_tradnl"/>
        </w:rPr>
      </w:pPr>
    </w:p>
    <w:p w14:paraId="6B0D1A75" w14:textId="3EAEADB4" w:rsidR="001C7CBD" w:rsidRPr="00CC3A91" w:rsidRDefault="00A460B0" w:rsidP="00FB3790">
      <w:pPr>
        <w:pStyle w:val="ListParagraph"/>
        <w:numPr>
          <w:ilvl w:val="0"/>
          <w:numId w:val="1"/>
        </w:numPr>
        <w:ind w:left="426" w:hanging="426"/>
        <w:rPr>
          <w:rFonts w:asciiTheme="majorHAnsi" w:hAnsiTheme="majorHAnsi"/>
          <w:szCs w:val="22"/>
          <w:lang w:val="es-ES_tradnl"/>
        </w:rPr>
      </w:pPr>
      <w:r w:rsidRPr="00CC3A91">
        <w:rPr>
          <w:rFonts w:asciiTheme="majorHAnsi" w:eastAsia="Calibri" w:hAnsiTheme="majorHAnsi" w:cs="Courier"/>
          <w:szCs w:val="22"/>
          <w:lang w:val="es-ES_tradnl"/>
        </w:rPr>
        <w:t xml:space="preserve">En relación al Índice WET, se </w:t>
      </w:r>
      <w:r w:rsidR="00A9149E" w:rsidRPr="00CC3A91">
        <w:rPr>
          <w:rFonts w:asciiTheme="majorHAnsi" w:eastAsia="Calibri" w:hAnsiTheme="majorHAnsi" w:cs="Courier"/>
          <w:szCs w:val="22"/>
          <w:lang w:val="es-ES_tradnl"/>
        </w:rPr>
        <w:t xml:space="preserve">cuestionó si era necesario el trabajo adicional previsto </w:t>
      </w:r>
      <w:r w:rsidR="00FC6184" w:rsidRPr="00CC3A91">
        <w:rPr>
          <w:rFonts w:asciiTheme="majorHAnsi" w:eastAsia="Calibri" w:hAnsiTheme="majorHAnsi" w:cs="Courier"/>
          <w:szCs w:val="22"/>
          <w:lang w:val="es-ES_tradnl"/>
        </w:rPr>
        <w:t>al respecto</w:t>
      </w:r>
      <w:r w:rsidRPr="00CC3A91">
        <w:rPr>
          <w:rFonts w:asciiTheme="majorHAnsi" w:eastAsia="Calibri" w:hAnsiTheme="majorHAnsi" w:cs="Courier"/>
          <w:szCs w:val="22"/>
          <w:lang w:val="es-ES_tradnl"/>
        </w:rPr>
        <w:t xml:space="preserve"> </w:t>
      </w:r>
      <w:r w:rsidR="001C7CBD" w:rsidRPr="00CC3A91">
        <w:rPr>
          <w:rFonts w:asciiTheme="majorHAnsi" w:eastAsia="Calibri" w:hAnsiTheme="majorHAnsi" w:cs="Courier"/>
          <w:szCs w:val="22"/>
          <w:lang w:val="es-ES_tradnl"/>
        </w:rPr>
        <w:t>(</w:t>
      </w:r>
      <w:r w:rsidRPr="00CC3A91">
        <w:rPr>
          <w:rFonts w:asciiTheme="majorHAnsi" w:eastAsia="Calibri" w:hAnsiTheme="majorHAnsi" w:cs="Courier"/>
          <w:szCs w:val="22"/>
          <w:lang w:val="es-ES_tradnl"/>
        </w:rPr>
        <w:t xml:space="preserve">y el presupuesto </w:t>
      </w:r>
      <w:r w:rsidR="00A9149E" w:rsidRPr="00CC3A91">
        <w:rPr>
          <w:rFonts w:asciiTheme="majorHAnsi" w:eastAsia="Calibri" w:hAnsiTheme="majorHAnsi" w:cs="Courier"/>
          <w:szCs w:val="22"/>
          <w:lang w:val="es-ES_tradnl"/>
        </w:rPr>
        <w:t xml:space="preserve">correspondiente </w:t>
      </w:r>
      <w:r w:rsidRPr="00CC3A91">
        <w:rPr>
          <w:rFonts w:asciiTheme="majorHAnsi" w:eastAsia="Calibri" w:hAnsiTheme="majorHAnsi" w:cs="Courier"/>
          <w:szCs w:val="22"/>
          <w:lang w:val="es-ES_tradnl"/>
        </w:rPr>
        <w:t xml:space="preserve">de </w:t>
      </w:r>
      <w:r w:rsidR="001C7CBD" w:rsidRPr="00CC3A91">
        <w:rPr>
          <w:rFonts w:asciiTheme="majorHAnsi" w:eastAsia="Calibri" w:hAnsiTheme="majorHAnsi" w:cs="Courier"/>
          <w:szCs w:val="22"/>
          <w:lang w:val="es-ES_tradnl"/>
        </w:rPr>
        <w:t>50</w:t>
      </w:r>
      <w:r w:rsidRPr="00CC3A91">
        <w:rPr>
          <w:rFonts w:asciiTheme="majorHAnsi" w:eastAsia="Calibri" w:hAnsiTheme="majorHAnsi" w:cs="Courier"/>
          <w:szCs w:val="22"/>
          <w:lang w:val="es-ES_tradnl"/>
        </w:rPr>
        <w:t>.</w:t>
      </w:r>
      <w:r w:rsidR="001C7CBD" w:rsidRPr="00CC3A91">
        <w:rPr>
          <w:rFonts w:asciiTheme="majorHAnsi" w:eastAsia="Calibri" w:hAnsiTheme="majorHAnsi" w:cs="Courier"/>
          <w:szCs w:val="22"/>
          <w:lang w:val="es-ES_tradnl"/>
        </w:rPr>
        <w:t>000</w:t>
      </w:r>
      <w:r w:rsidRPr="00CC3A91">
        <w:rPr>
          <w:rFonts w:asciiTheme="majorHAnsi" w:eastAsia="Calibri" w:hAnsiTheme="majorHAnsi" w:cs="Courier"/>
          <w:szCs w:val="22"/>
          <w:lang w:val="es-ES_tradnl"/>
        </w:rPr>
        <w:t xml:space="preserve"> francos suizos</w:t>
      </w:r>
      <w:r w:rsidR="001C7CBD" w:rsidRPr="00CC3A91">
        <w:rPr>
          <w:rFonts w:asciiTheme="majorHAnsi" w:eastAsia="Calibri" w:hAnsiTheme="majorHAnsi" w:cs="Courier"/>
          <w:szCs w:val="22"/>
          <w:lang w:val="es-ES_tradnl"/>
        </w:rPr>
        <w:t>)</w:t>
      </w:r>
      <w:r w:rsidRPr="00CC3A91">
        <w:rPr>
          <w:rFonts w:asciiTheme="majorHAnsi" w:eastAsia="Calibri" w:hAnsiTheme="majorHAnsi" w:cs="Courier"/>
          <w:szCs w:val="22"/>
          <w:lang w:val="es-ES_tradnl"/>
        </w:rPr>
        <w:t xml:space="preserve">, teniendo en cuenta que la metodología fue publicada en la revista </w:t>
      </w:r>
      <w:r w:rsidR="001C7CBD" w:rsidRPr="00CC3A91">
        <w:rPr>
          <w:rFonts w:asciiTheme="majorHAnsi" w:eastAsia="Calibri" w:hAnsiTheme="majorHAnsi" w:cs="Courier"/>
          <w:szCs w:val="22"/>
          <w:lang w:val="es-ES_tradnl"/>
        </w:rPr>
        <w:t xml:space="preserve">Biological Conservation </w:t>
      </w:r>
      <w:r w:rsidRPr="00CC3A91">
        <w:rPr>
          <w:rFonts w:asciiTheme="majorHAnsi" w:eastAsia="Calibri" w:hAnsiTheme="majorHAnsi" w:cs="Courier"/>
          <w:szCs w:val="22"/>
          <w:lang w:val="es-ES_tradnl"/>
        </w:rPr>
        <w:t>en</w:t>
      </w:r>
      <w:r w:rsidR="001C7CBD" w:rsidRPr="00CC3A91">
        <w:rPr>
          <w:rFonts w:asciiTheme="majorHAnsi" w:eastAsia="Calibri" w:hAnsiTheme="majorHAnsi" w:cs="Courier"/>
          <w:szCs w:val="22"/>
          <w:lang w:val="es-ES_tradnl"/>
        </w:rPr>
        <w:t xml:space="preserve"> 2015. </w:t>
      </w:r>
      <w:r w:rsidRPr="00CC3A91">
        <w:rPr>
          <w:rFonts w:asciiTheme="majorHAnsi" w:eastAsia="Calibri" w:hAnsiTheme="majorHAnsi" w:cs="Courier"/>
          <w:szCs w:val="22"/>
          <w:lang w:val="es-ES_tradnl"/>
        </w:rPr>
        <w:t xml:space="preserve">Es importante señalar que el trabajo inicial </w:t>
      </w:r>
      <w:r w:rsidR="00A9149E" w:rsidRPr="00CC3A91">
        <w:rPr>
          <w:rFonts w:asciiTheme="majorHAnsi" w:eastAsia="Calibri" w:hAnsiTheme="majorHAnsi" w:cs="Courier"/>
          <w:szCs w:val="22"/>
          <w:lang w:val="es-ES_tradnl"/>
        </w:rPr>
        <w:t>correspondía</w:t>
      </w:r>
      <w:r w:rsidR="00FC6184" w:rsidRPr="00CC3A91">
        <w:rPr>
          <w:rFonts w:asciiTheme="majorHAnsi" w:eastAsia="Calibri" w:hAnsiTheme="majorHAnsi" w:cs="Courier"/>
          <w:szCs w:val="22"/>
          <w:lang w:val="es-ES_tradnl"/>
        </w:rPr>
        <w:t xml:space="preserve"> a</w:t>
      </w:r>
      <w:r w:rsidR="00447596" w:rsidRPr="00CC3A91">
        <w:rPr>
          <w:rFonts w:asciiTheme="majorHAnsi" w:eastAsia="Calibri" w:hAnsiTheme="majorHAnsi" w:cs="Courier"/>
          <w:szCs w:val="22"/>
          <w:lang w:val="es-ES_tradnl"/>
        </w:rPr>
        <w:t xml:space="preserve"> la primera prueba de concepto </w:t>
      </w:r>
      <w:r w:rsidR="00A9149E" w:rsidRPr="00CC3A91">
        <w:rPr>
          <w:rFonts w:asciiTheme="majorHAnsi" w:eastAsia="Calibri" w:hAnsiTheme="majorHAnsi" w:cs="Courier"/>
          <w:szCs w:val="22"/>
          <w:lang w:val="es-ES_tradnl"/>
        </w:rPr>
        <w:t>para establecer</w:t>
      </w:r>
      <w:r w:rsidR="00B12E7A" w:rsidRPr="00CC3A91">
        <w:rPr>
          <w:rFonts w:asciiTheme="majorHAnsi" w:eastAsia="Calibri" w:hAnsiTheme="majorHAnsi" w:cs="Courier"/>
          <w:szCs w:val="22"/>
          <w:lang w:val="es-ES_tradnl"/>
        </w:rPr>
        <w:t xml:space="preserve"> la metodología y el análisis de tendencias obtenid</w:t>
      </w:r>
      <w:r w:rsidR="00A9149E" w:rsidRPr="00CC3A91">
        <w:rPr>
          <w:rFonts w:asciiTheme="majorHAnsi" w:eastAsia="Calibri" w:hAnsiTheme="majorHAnsi" w:cs="Courier"/>
          <w:szCs w:val="22"/>
          <w:lang w:val="es-ES_tradnl"/>
        </w:rPr>
        <w:t>o solamente cubrió</w:t>
      </w:r>
      <w:r w:rsidR="00B12E7A" w:rsidRPr="00CC3A91">
        <w:rPr>
          <w:rFonts w:asciiTheme="majorHAnsi" w:eastAsia="Calibri" w:hAnsiTheme="majorHAnsi" w:cs="Courier"/>
          <w:szCs w:val="22"/>
          <w:lang w:val="es-ES_tradnl"/>
        </w:rPr>
        <w:t xml:space="preserve"> hasta el año 2008. La inversión adicional permitiría actualizar el </w:t>
      </w:r>
      <w:r w:rsidR="00810463" w:rsidRPr="00CC3A91">
        <w:rPr>
          <w:rFonts w:asciiTheme="majorHAnsi" w:eastAsia="Calibri" w:hAnsiTheme="majorHAnsi" w:cs="Courier"/>
          <w:szCs w:val="22"/>
          <w:lang w:val="es-ES_tradnl"/>
        </w:rPr>
        <w:t>í</w:t>
      </w:r>
      <w:r w:rsidR="00B12E7A" w:rsidRPr="00CC3A91">
        <w:rPr>
          <w:rFonts w:asciiTheme="majorHAnsi" w:eastAsia="Calibri" w:hAnsiTheme="majorHAnsi" w:cs="Courier"/>
          <w:szCs w:val="22"/>
          <w:lang w:val="es-ES_tradnl"/>
        </w:rPr>
        <w:t xml:space="preserve">ndice. Otro aspecto importante es que la primera prueba de concepto arrojó </w:t>
      </w:r>
      <w:r w:rsidR="004E7FBE" w:rsidRPr="00CC3A91">
        <w:rPr>
          <w:rFonts w:asciiTheme="majorHAnsi" w:eastAsia="Calibri" w:hAnsiTheme="majorHAnsi" w:cs="Courier"/>
          <w:szCs w:val="22"/>
          <w:lang w:val="es-ES_tradnl"/>
        </w:rPr>
        <w:t>algunas</w:t>
      </w:r>
      <w:r w:rsidR="00B12E7A" w:rsidRPr="00CC3A91">
        <w:rPr>
          <w:rFonts w:asciiTheme="majorHAnsi" w:eastAsia="Calibri" w:hAnsiTheme="majorHAnsi" w:cs="Courier"/>
          <w:szCs w:val="22"/>
          <w:lang w:val="es-ES_tradnl"/>
        </w:rPr>
        <w:t xml:space="preserve"> lagunas y </w:t>
      </w:r>
      <w:r w:rsidR="004E7FBE" w:rsidRPr="00CC3A91">
        <w:rPr>
          <w:rFonts w:asciiTheme="majorHAnsi" w:eastAsia="Calibri" w:hAnsiTheme="majorHAnsi" w:cs="Courier"/>
          <w:szCs w:val="22"/>
          <w:lang w:val="es-ES_tradnl"/>
        </w:rPr>
        <w:t>desequilibrios geográficos (notable</w:t>
      </w:r>
      <w:r w:rsidR="00A9149E" w:rsidRPr="00CC3A91">
        <w:rPr>
          <w:rFonts w:asciiTheme="majorHAnsi" w:eastAsia="Calibri" w:hAnsiTheme="majorHAnsi" w:cs="Courier"/>
          <w:szCs w:val="22"/>
          <w:lang w:val="es-ES_tradnl"/>
        </w:rPr>
        <w:t>mente</w:t>
      </w:r>
      <w:r w:rsidR="004E7FBE" w:rsidRPr="00CC3A91">
        <w:rPr>
          <w:rFonts w:asciiTheme="majorHAnsi" w:eastAsia="Calibri" w:hAnsiTheme="majorHAnsi" w:cs="Courier"/>
          <w:szCs w:val="22"/>
          <w:lang w:val="es-ES_tradnl"/>
        </w:rPr>
        <w:t xml:space="preserve"> respecto de América Latina). El trabajo adicional ayudaría a cubrir estas deficiencias para que el Índice </w:t>
      </w:r>
      <w:r w:rsidR="004E7FBE" w:rsidRPr="00CC3A91">
        <w:rPr>
          <w:rFonts w:asciiTheme="majorHAnsi" w:eastAsia="Calibri" w:hAnsiTheme="majorHAnsi" w:cs="Courier"/>
          <w:szCs w:val="22"/>
          <w:lang w:val="es-ES_tradnl"/>
        </w:rPr>
        <w:lastRenderedPageBreak/>
        <w:t>sea un indic</w:t>
      </w:r>
      <w:r w:rsidR="00A9149E" w:rsidRPr="00CC3A91">
        <w:rPr>
          <w:rFonts w:asciiTheme="majorHAnsi" w:eastAsia="Calibri" w:hAnsiTheme="majorHAnsi" w:cs="Courier"/>
          <w:szCs w:val="22"/>
          <w:lang w:val="es-ES_tradnl"/>
        </w:rPr>
        <w:t>ador mundial más representativo</w:t>
      </w:r>
      <w:r w:rsidR="004E7FBE" w:rsidRPr="00CC3A91">
        <w:rPr>
          <w:rFonts w:asciiTheme="majorHAnsi" w:eastAsia="Calibri" w:hAnsiTheme="majorHAnsi" w:cs="Courier"/>
          <w:szCs w:val="22"/>
          <w:lang w:val="es-ES_tradnl"/>
        </w:rPr>
        <w:t xml:space="preserve"> y permita hacer mejores c</w:t>
      </w:r>
      <w:r w:rsidR="00B56234" w:rsidRPr="00CC3A91">
        <w:rPr>
          <w:rFonts w:asciiTheme="majorHAnsi" w:eastAsia="Calibri" w:hAnsiTheme="majorHAnsi" w:cs="Courier"/>
          <w:szCs w:val="22"/>
          <w:lang w:val="es-ES_tradnl"/>
        </w:rPr>
        <w:t>omparaciones submundiales/regio</w:t>
      </w:r>
      <w:r w:rsidR="004E7FBE" w:rsidRPr="00CC3A91">
        <w:rPr>
          <w:rFonts w:asciiTheme="majorHAnsi" w:eastAsia="Calibri" w:hAnsiTheme="majorHAnsi" w:cs="Courier"/>
          <w:szCs w:val="22"/>
          <w:lang w:val="es-ES_tradnl"/>
        </w:rPr>
        <w:t xml:space="preserve">nales. </w:t>
      </w:r>
    </w:p>
    <w:p w14:paraId="5E19FAF3" w14:textId="77777777" w:rsidR="00E24CF9" w:rsidRPr="00CC3A91" w:rsidRDefault="00E24CF9" w:rsidP="00FB3790">
      <w:pPr>
        <w:ind w:left="426" w:hanging="426"/>
        <w:rPr>
          <w:rFonts w:asciiTheme="majorHAnsi" w:hAnsiTheme="majorHAnsi"/>
          <w:sz w:val="22"/>
          <w:szCs w:val="22"/>
          <w:lang w:val="es-ES_tradnl"/>
        </w:rPr>
      </w:pPr>
    </w:p>
    <w:p w14:paraId="1ED4EB53" w14:textId="6C9CCA22" w:rsidR="000152B0" w:rsidRPr="00CC3A91" w:rsidRDefault="00AD1D67"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Con respecto a la financiación de la tarea relativa a</w:t>
      </w:r>
      <w:r w:rsidR="00B56234" w:rsidRPr="00CC3A91">
        <w:rPr>
          <w:rFonts w:asciiTheme="majorHAnsi" w:hAnsiTheme="majorHAnsi"/>
          <w:szCs w:val="22"/>
          <w:lang w:val="es-ES_tradnl"/>
        </w:rPr>
        <w:t>l</w:t>
      </w:r>
      <w:r w:rsidRPr="00CC3A91">
        <w:rPr>
          <w:rFonts w:asciiTheme="majorHAnsi" w:hAnsiTheme="majorHAnsi"/>
          <w:szCs w:val="22"/>
          <w:lang w:val="es-ES_tradnl"/>
        </w:rPr>
        <w:t xml:space="preserve"> EHMS, el proyecto de plan de trabajo inicial </w:t>
      </w:r>
      <w:r w:rsidR="00D73ED8" w:rsidRPr="00CC3A91">
        <w:rPr>
          <w:rFonts w:asciiTheme="majorHAnsi" w:hAnsiTheme="majorHAnsi"/>
          <w:szCs w:val="22"/>
          <w:lang w:val="es-ES_tradnl"/>
        </w:rPr>
        <w:t>tenía cierta ambigüedad al incluir dos opciones presupuestarias</w:t>
      </w:r>
      <w:r w:rsidRPr="00CC3A91">
        <w:rPr>
          <w:rFonts w:asciiTheme="majorHAnsi" w:hAnsiTheme="majorHAnsi"/>
          <w:szCs w:val="22"/>
          <w:lang w:val="es-ES_tradnl"/>
        </w:rPr>
        <w:t>. La cifra más elevada</w:t>
      </w:r>
      <w:r w:rsidR="00A043EC" w:rsidRPr="00CC3A91">
        <w:rPr>
          <w:rFonts w:asciiTheme="majorHAnsi" w:hAnsiTheme="majorHAnsi"/>
          <w:szCs w:val="22"/>
          <w:lang w:val="es-ES_tradnl"/>
        </w:rPr>
        <w:t xml:space="preserve"> (25</w:t>
      </w:r>
      <w:r w:rsidR="003E0B7C" w:rsidRPr="00CC3A91">
        <w:rPr>
          <w:rFonts w:asciiTheme="majorHAnsi" w:hAnsiTheme="majorHAnsi"/>
          <w:szCs w:val="22"/>
          <w:lang w:val="es-ES_tradnl"/>
        </w:rPr>
        <w:t>0</w:t>
      </w:r>
      <w:r w:rsidR="008C5F46" w:rsidRPr="00CC3A91">
        <w:rPr>
          <w:rFonts w:asciiTheme="majorHAnsi" w:hAnsiTheme="majorHAnsi"/>
          <w:szCs w:val="22"/>
          <w:lang w:val="es-ES_tradnl"/>
        </w:rPr>
        <w:t>.</w:t>
      </w:r>
      <w:r w:rsidR="003E0B7C"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3E0B7C" w:rsidRPr="00CC3A91">
        <w:rPr>
          <w:rFonts w:asciiTheme="majorHAnsi" w:hAnsiTheme="majorHAnsi"/>
          <w:szCs w:val="22"/>
          <w:lang w:val="es-ES_tradnl"/>
        </w:rPr>
        <w:t xml:space="preserve">) </w:t>
      </w:r>
      <w:r w:rsidR="00D73ED8" w:rsidRPr="00CC3A91">
        <w:rPr>
          <w:rFonts w:asciiTheme="majorHAnsi" w:hAnsiTheme="majorHAnsi"/>
          <w:szCs w:val="22"/>
          <w:lang w:val="es-ES_tradnl"/>
        </w:rPr>
        <w:t>contemplaba</w:t>
      </w:r>
      <w:r w:rsidR="0088725B" w:rsidRPr="00CC3A91">
        <w:rPr>
          <w:rFonts w:asciiTheme="majorHAnsi" w:hAnsiTheme="majorHAnsi"/>
          <w:szCs w:val="22"/>
          <w:lang w:val="es-ES_tradnl"/>
        </w:rPr>
        <w:t xml:space="preserve"> </w:t>
      </w:r>
      <w:r w:rsidRPr="00CC3A91">
        <w:rPr>
          <w:rFonts w:asciiTheme="majorHAnsi" w:hAnsiTheme="majorHAnsi"/>
          <w:szCs w:val="22"/>
          <w:lang w:val="es-ES_tradnl"/>
        </w:rPr>
        <w:t>la recaudación de fon</w:t>
      </w:r>
      <w:r w:rsidR="00D73ED8" w:rsidRPr="00CC3A91">
        <w:rPr>
          <w:rFonts w:asciiTheme="majorHAnsi" w:hAnsiTheme="majorHAnsi"/>
          <w:szCs w:val="22"/>
          <w:lang w:val="es-ES_tradnl"/>
        </w:rPr>
        <w:t>dos y el empleo de consulto</w:t>
      </w:r>
      <w:r w:rsidRPr="00CC3A91">
        <w:rPr>
          <w:rFonts w:asciiTheme="majorHAnsi" w:hAnsiTheme="majorHAnsi"/>
          <w:szCs w:val="22"/>
          <w:lang w:val="es-ES_tradnl"/>
        </w:rPr>
        <w:t xml:space="preserve">res remunerados de cada región </w:t>
      </w:r>
      <w:r w:rsidR="0027797B" w:rsidRPr="00CC3A91">
        <w:rPr>
          <w:rFonts w:asciiTheme="majorHAnsi" w:hAnsiTheme="majorHAnsi"/>
          <w:szCs w:val="22"/>
          <w:lang w:val="es-ES_tradnl"/>
        </w:rPr>
        <w:t>Ramsar</w:t>
      </w:r>
      <w:r w:rsidR="003E0B7C" w:rsidRPr="00CC3A91">
        <w:rPr>
          <w:rFonts w:asciiTheme="majorHAnsi" w:hAnsiTheme="majorHAnsi"/>
          <w:szCs w:val="22"/>
          <w:lang w:val="es-ES_tradnl"/>
        </w:rPr>
        <w:t xml:space="preserve">. </w:t>
      </w:r>
      <w:r w:rsidRPr="00CC3A91">
        <w:rPr>
          <w:rFonts w:asciiTheme="majorHAnsi" w:hAnsiTheme="majorHAnsi"/>
          <w:szCs w:val="22"/>
          <w:lang w:val="es-ES_tradnl"/>
        </w:rPr>
        <w:t xml:space="preserve">No obstante, en estos momentos, no se prevé que dichos fondos sean aportados de forma voluntaria. Por tanto, proponemos que prosigamos con una cifra </w:t>
      </w:r>
      <w:r w:rsidR="002D7809" w:rsidRPr="00CC3A91">
        <w:rPr>
          <w:rFonts w:asciiTheme="majorHAnsi" w:hAnsiTheme="majorHAnsi"/>
          <w:szCs w:val="22"/>
          <w:lang w:val="es-ES_tradnl"/>
        </w:rPr>
        <w:t xml:space="preserve">de </w:t>
      </w:r>
      <w:r w:rsidRPr="00CC3A91">
        <w:rPr>
          <w:rFonts w:asciiTheme="majorHAnsi" w:hAnsiTheme="majorHAnsi"/>
          <w:szCs w:val="22"/>
          <w:lang w:val="es-ES_tradnl"/>
        </w:rPr>
        <w:t>menor</w:t>
      </w:r>
      <w:r w:rsidR="002D7809" w:rsidRPr="00CC3A91">
        <w:rPr>
          <w:rFonts w:asciiTheme="majorHAnsi" w:hAnsiTheme="majorHAnsi"/>
          <w:szCs w:val="22"/>
          <w:lang w:val="es-ES_tradnl"/>
        </w:rPr>
        <w:t xml:space="preserve"> cuantía</w:t>
      </w:r>
      <w:r w:rsidRPr="00CC3A91">
        <w:rPr>
          <w:rFonts w:asciiTheme="majorHAnsi" w:hAnsiTheme="majorHAnsi"/>
          <w:szCs w:val="22"/>
          <w:lang w:val="es-ES_tradnl"/>
        </w:rPr>
        <w:t xml:space="preserve"> </w:t>
      </w:r>
      <w:r w:rsidR="002A2E28" w:rsidRPr="00CC3A91">
        <w:rPr>
          <w:rFonts w:asciiTheme="majorHAnsi" w:hAnsiTheme="majorHAnsi"/>
          <w:szCs w:val="22"/>
          <w:lang w:val="es-ES_tradnl"/>
        </w:rPr>
        <w:t>(137</w:t>
      </w:r>
      <w:r w:rsidR="008C5F46" w:rsidRPr="00CC3A91">
        <w:rPr>
          <w:rFonts w:asciiTheme="majorHAnsi" w:hAnsiTheme="majorHAnsi"/>
          <w:szCs w:val="22"/>
          <w:lang w:val="es-ES_tradnl"/>
        </w:rPr>
        <w:t>.</w:t>
      </w:r>
      <w:r w:rsidR="002A2E28"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2A2E28" w:rsidRPr="00CC3A91">
        <w:rPr>
          <w:rFonts w:asciiTheme="majorHAnsi" w:hAnsiTheme="majorHAnsi"/>
          <w:szCs w:val="22"/>
          <w:lang w:val="es-ES_tradnl"/>
        </w:rPr>
        <w:t>)</w:t>
      </w:r>
      <w:r w:rsidR="003E0B7C" w:rsidRPr="00CC3A91">
        <w:rPr>
          <w:rFonts w:asciiTheme="majorHAnsi" w:hAnsiTheme="majorHAnsi"/>
          <w:szCs w:val="22"/>
          <w:lang w:val="es-ES_tradnl"/>
        </w:rPr>
        <w:t xml:space="preserve">. </w:t>
      </w:r>
      <w:r w:rsidR="00D73ED8" w:rsidRPr="00CC3A91">
        <w:rPr>
          <w:rFonts w:asciiTheme="majorHAnsi" w:hAnsiTheme="majorHAnsi"/>
          <w:szCs w:val="22"/>
          <w:lang w:val="es-ES_tradnl"/>
        </w:rPr>
        <w:t>El GECT prepararía el informe del</w:t>
      </w:r>
      <w:r w:rsidR="002D7809" w:rsidRPr="00CC3A91">
        <w:rPr>
          <w:rFonts w:asciiTheme="majorHAnsi" w:hAnsiTheme="majorHAnsi"/>
          <w:szCs w:val="22"/>
          <w:lang w:val="es-ES_tradnl"/>
        </w:rPr>
        <w:t xml:space="preserve"> EHMS</w:t>
      </w:r>
      <w:r w:rsidR="003E0B7C" w:rsidRPr="00CC3A91">
        <w:rPr>
          <w:rFonts w:asciiTheme="majorHAnsi" w:hAnsiTheme="majorHAnsi"/>
          <w:szCs w:val="22"/>
          <w:lang w:val="es-ES_tradnl"/>
        </w:rPr>
        <w:t xml:space="preserve"> </w:t>
      </w:r>
      <w:r w:rsidR="002D7809" w:rsidRPr="00CC3A91">
        <w:rPr>
          <w:rFonts w:asciiTheme="majorHAnsi" w:hAnsiTheme="majorHAnsi"/>
          <w:szCs w:val="22"/>
          <w:lang w:val="es-ES_tradnl"/>
        </w:rPr>
        <w:t>y los fondos se destinarían a financiar una reunión entre los autores</w:t>
      </w:r>
      <w:r w:rsidR="004D6438" w:rsidRPr="00CC3A91">
        <w:rPr>
          <w:rFonts w:asciiTheme="majorHAnsi" w:hAnsiTheme="majorHAnsi"/>
          <w:szCs w:val="22"/>
          <w:lang w:val="es-ES_tradnl"/>
        </w:rPr>
        <w:t xml:space="preserve"> (20</w:t>
      </w:r>
      <w:r w:rsidR="008C5F46" w:rsidRPr="00CC3A91">
        <w:rPr>
          <w:rFonts w:asciiTheme="majorHAnsi" w:hAnsiTheme="majorHAnsi"/>
          <w:szCs w:val="22"/>
          <w:lang w:val="es-ES_tradnl"/>
        </w:rPr>
        <w:t>.</w:t>
      </w:r>
      <w:r w:rsidR="004D6438"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4D6438" w:rsidRPr="00CC3A91">
        <w:rPr>
          <w:rFonts w:asciiTheme="majorHAnsi" w:hAnsiTheme="majorHAnsi"/>
          <w:szCs w:val="22"/>
          <w:lang w:val="es-ES_tradnl"/>
        </w:rPr>
        <w:t>)</w:t>
      </w:r>
      <w:r w:rsidR="003E0B7C" w:rsidRPr="00CC3A91">
        <w:rPr>
          <w:rFonts w:asciiTheme="majorHAnsi" w:hAnsiTheme="majorHAnsi"/>
          <w:szCs w:val="22"/>
          <w:lang w:val="es-ES_tradnl"/>
        </w:rPr>
        <w:t xml:space="preserve"> </w:t>
      </w:r>
      <w:r w:rsidR="002D7809" w:rsidRPr="00CC3A91">
        <w:rPr>
          <w:rFonts w:asciiTheme="majorHAnsi" w:hAnsiTheme="majorHAnsi"/>
          <w:szCs w:val="22"/>
          <w:lang w:val="es-ES_tradnl"/>
        </w:rPr>
        <w:t xml:space="preserve">y la maquetación, diseño, traducción y demás costos de publicación </w:t>
      </w:r>
      <w:r w:rsidR="006E17FD" w:rsidRPr="00CC3A91">
        <w:rPr>
          <w:rFonts w:asciiTheme="majorHAnsi" w:hAnsiTheme="majorHAnsi"/>
          <w:szCs w:val="22"/>
          <w:lang w:val="es-ES_tradnl"/>
        </w:rPr>
        <w:t>(67</w:t>
      </w:r>
      <w:r w:rsidR="008C5F46" w:rsidRPr="00CC3A91">
        <w:rPr>
          <w:rFonts w:asciiTheme="majorHAnsi" w:hAnsiTheme="majorHAnsi"/>
          <w:szCs w:val="22"/>
          <w:lang w:val="es-ES_tradnl"/>
        </w:rPr>
        <w:t>.</w:t>
      </w:r>
      <w:r w:rsidR="006E17FD"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6E17FD" w:rsidRPr="00CC3A91">
        <w:rPr>
          <w:rFonts w:asciiTheme="majorHAnsi" w:hAnsiTheme="majorHAnsi"/>
          <w:szCs w:val="22"/>
          <w:lang w:val="es-ES_tradnl"/>
        </w:rPr>
        <w:t>)</w:t>
      </w:r>
      <w:r w:rsidR="003E0B7C" w:rsidRPr="00CC3A91">
        <w:rPr>
          <w:rFonts w:asciiTheme="majorHAnsi" w:hAnsiTheme="majorHAnsi"/>
          <w:szCs w:val="22"/>
          <w:lang w:val="es-ES_tradnl"/>
        </w:rPr>
        <w:t xml:space="preserve">. </w:t>
      </w:r>
      <w:r w:rsidR="002D7809" w:rsidRPr="00CC3A91">
        <w:rPr>
          <w:rFonts w:asciiTheme="majorHAnsi" w:hAnsiTheme="majorHAnsi"/>
          <w:szCs w:val="22"/>
          <w:lang w:val="es-ES_tradnl"/>
        </w:rPr>
        <w:t xml:space="preserve">Si se incluye el costo previsto para el Índice WET </w:t>
      </w:r>
      <w:r w:rsidR="0046215B" w:rsidRPr="00CC3A91">
        <w:rPr>
          <w:rFonts w:asciiTheme="majorHAnsi" w:hAnsiTheme="majorHAnsi"/>
          <w:szCs w:val="22"/>
          <w:lang w:val="es-ES_tradnl"/>
        </w:rPr>
        <w:t>(50</w:t>
      </w:r>
      <w:r w:rsidR="008C5F46" w:rsidRPr="00CC3A91">
        <w:rPr>
          <w:rFonts w:asciiTheme="majorHAnsi" w:hAnsiTheme="majorHAnsi"/>
          <w:szCs w:val="22"/>
          <w:lang w:val="es-ES_tradnl"/>
        </w:rPr>
        <w:t>.</w:t>
      </w:r>
      <w:r w:rsidR="0046215B"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46215B" w:rsidRPr="00CC3A91">
        <w:rPr>
          <w:rFonts w:asciiTheme="majorHAnsi" w:hAnsiTheme="majorHAnsi"/>
          <w:szCs w:val="22"/>
          <w:lang w:val="es-ES_tradnl"/>
        </w:rPr>
        <w:t xml:space="preserve">), </w:t>
      </w:r>
      <w:r w:rsidR="002D7809" w:rsidRPr="00CC3A91">
        <w:rPr>
          <w:rFonts w:asciiTheme="majorHAnsi" w:hAnsiTheme="majorHAnsi"/>
          <w:szCs w:val="22"/>
          <w:lang w:val="es-ES_tradnl"/>
        </w:rPr>
        <w:t>el costo total estimado de la tarea relativa a</w:t>
      </w:r>
      <w:r w:rsidR="00D73ED8" w:rsidRPr="00CC3A91">
        <w:rPr>
          <w:rFonts w:asciiTheme="majorHAnsi" w:hAnsiTheme="majorHAnsi"/>
          <w:szCs w:val="22"/>
          <w:lang w:val="es-ES_tradnl"/>
        </w:rPr>
        <w:t>l</w:t>
      </w:r>
      <w:r w:rsidR="002D7809" w:rsidRPr="00CC3A91">
        <w:rPr>
          <w:rFonts w:asciiTheme="majorHAnsi" w:hAnsiTheme="majorHAnsi"/>
          <w:szCs w:val="22"/>
          <w:lang w:val="es-ES_tradnl"/>
        </w:rPr>
        <w:t xml:space="preserve"> EHMS en el proyecto </w:t>
      </w:r>
      <w:r w:rsidR="00D73ED8" w:rsidRPr="00CC3A91">
        <w:rPr>
          <w:rFonts w:asciiTheme="majorHAnsi" w:hAnsiTheme="majorHAnsi"/>
          <w:szCs w:val="22"/>
          <w:lang w:val="es-ES_tradnl"/>
        </w:rPr>
        <w:t xml:space="preserve">modificado </w:t>
      </w:r>
      <w:r w:rsidR="002D7809" w:rsidRPr="00CC3A91">
        <w:rPr>
          <w:rFonts w:asciiTheme="majorHAnsi" w:hAnsiTheme="majorHAnsi"/>
          <w:szCs w:val="22"/>
          <w:lang w:val="es-ES_tradnl"/>
        </w:rPr>
        <w:t xml:space="preserve">de plan de trabajo es de </w:t>
      </w:r>
      <w:r w:rsidR="0046215B" w:rsidRPr="00CC3A91">
        <w:rPr>
          <w:rFonts w:asciiTheme="majorHAnsi" w:hAnsiTheme="majorHAnsi"/>
          <w:szCs w:val="22"/>
          <w:lang w:val="es-ES_tradnl"/>
        </w:rPr>
        <w:t>1</w:t>
      </w:r>
      <w:r w:rsidR="00F27FDD" w:rsidRPr="00CC3A91">
        <w:rPr>
          <w:rFonts w:asciiTheme="majorHAnsi" w:hAnsiTheme="majorHAnsi"/>
          <w:szCs w:val="22"/>
          <w:lang w:val="es-ES_tradnl"/>
        </w:rPr>
        <w:t>3</w:t>
      </w:r>
      <w:r w:rsidR="0046215B" w:rsidRPr="00CC3A91">
        <w:rPr>
          <w:rFonts w:asciiTheme="majorHAnsi" w:hAnsiTheme="majorHAnsi"/>
          <w:szCs w:val="22"/>
          <w:lang w:val="es-ES_tradnl"/>
        </w:rPr>
        <w:t>7</w:t>
      </w:r>
      <w:r w:rsidR="008C5F46" w:rsidRPr="00CC3A91">
        <w:rPr>
          <w:rFonts w:asciiTheme="majorHAnsi" w:hAnsiTheme="majorHAnsi"/>
          <w:szCs w:val="22"/>
          <w:lang w:val="es-ES_tradnl"/>
        </w:rPr>
        <w:t>.</w:t>
      </w:r>
      <w:r w:rsidR="0046215B" w:rsidRPr="00CC3A91">
        <w:rPr>
          <w:rFonts w:asciiTheme="majorHAnsi" w:hAnsiTheme="majorHAnsi"/>
          <w:szCs w:val="22"/>
          <w:lang w:val="es-ES_tradnl"/>
        </w:rPr>
        <w:t>000</w:t>
      </w:r>
      <w:r w:rsidR="008C5F46" w:rsidRPr="00CC3A91">
        <w:rPr>
          <w:rFonts w:asciiTheme="majorHAnsi" w:hAnsiTheme="majorHAnsi"/>
          <w:szCs w:val="22"/>
          <w:lang w:val="es-ES_tradnl"/>
        </w:rPr>
        <w:t xml:space="preserve"> francos suizos</w:t>
      </w:r>
      <w:r w:rsidR="0046215B" w:rsidRPr="00CC3A91">
        <w:rPr>
          <w:rFonts w:asciiTheme="majorHAnsi" w:hAnsiTheme="majorHAnsi"/>
          <w:szCs w:val="22"/>
          <w:lang w:val="es-ES_tradnl"/>
        </w:rPr>
        <w:t xml:space="preserve">. </w:t>
      </w:r>
      <w:r w:rsidR="003E0B7C" w:rsidRPr="00CC3A91">
        <w:rPr>
          <w:rFonts w:asciiTheme="majorHAnsi" w:hAnsiTheme="majorHAnsi"/>
          <w:szCs w:val="22"/>
          <w:lang w:val="es-ES_tradnl"/>
        </w:rPr>
        <w:t>A</w:t>
      </w:r>
      <w:r w:rsidR="002D7809" w:rsidRPr="00CC3A91">
        <w:rPr>
          <w:rFonts w:asciiTheme="majorHAnsi" w:hAnsiTheme="majorHAnsi"/>
          <w:szCs w:val="22"/>
          <w:lang w:val="es-ES_tradnl"/>
        </w:rPr>
        <w:t xml:space="preserve"> modo comparativo, el presupuesto estimado para la evaluación </w:t>
      </w:r>
      <w:r w:rsidR="00D73ED8" w:rsidRPr="00CC3A91">
        <w:rPr>
          <w:rFonts w:asciiTheme="majorHAnsi" w:hAnsiTheme="majorHAnsi"/>
          <w:szCs w:val="22"/>
          <w:lang w:val="es-ES_tradnl"/>
        </w:rPr>
        <w:t xml:space="preserve">de la IPBES </w:t>
      </w:r>
      <w:r w:rsidR="002D7809" w:rsidRPr="00CC3A91">
        <w:rPr>
          <w:rFonts w:asciiTheme="majorHAnsi" w:hAnsiTheme="majorHAnsi"/>
          <w:szCs w:val="22"/>
          <w:lang w:val="es-ES_tradnl"/>
        </w:rPr>
        <w:t>sobre los polinizadores</w:t>
      </w:r>
      <w:r w:rsidR="00D73ED8" w:rsidRPr="00CC3A91">
        <w:rPr>
          <w:rFonts w:asciiTheme="majorHAnsi" w:hAnsiTheme="majorHAnsi"/>
          <w:szCs w:val="22"/>
          <w:lang w:val="es-ES_tradnl"/>
        </w:rPr>
        <w:t xml:space="preserve"> </w:t>
      </w:r>
      <w:r w:rsidR="003736F8" w:rsidRPr="00CC3A91">
        <w:rPr>
          <w:rFonts w:asciiTheme="majorHAnsi" w:hAnsiTheme="majorHAnsi"/>
          <w:szCs w:val="22"/>
          <w:lang w:val="es-ES_tradnl"/>
        </w:rPr>
        <w:t>(Decisi</w:t>
      </w:r>
      <w:r w:rsidR="002D7809" w:rsidRPr="00CC3A91">
        <w:rPr>
          <w:rFonts w:asciiTheme="majorHAnsi" w:hAnsiTheme="majorHAnsi"/>
          <w:szCs w:val="22"/>
          <w:lang w:val="es-ES_tradnl"/>
        </w:rPr>
        <w:t>ó</w:t>
      </w:r>
      <w:r w:rsidR="003736F8" w:rsidRPr="00CC3A91">
        <w:rPr>
          <w:rFonts w:asciiTheme="majorHAnsi" w:hAnsiTheme="majorHAnsi"/>
          <w:szCs w:val="22"/>
          <w:lang w:val="es-ES_tradnl"/>
        </w:rPr>
        <w:t>n IPBES-2/5)</w:t>
      </w:r>
      <w:r w:rsidR="003E0B7C" w:rsidRPr="00CC3A91">
        <w:rPr>
          <w:rFonts w:asciiTheme="majorHAnsi" w:hAnsiTheme="majorHAnsi"/>
          <w:szCs w:val="22"/>
          <w:lang w:val="es-ES_tradnl"/>
        </w:rPr>
        <w:t xml:space="preserve"> </w:t>
      </w:r>
      <w:r w:rsidR="002D7809" w:rsidRPr="00CC3A91">
        <w:rPr>
          <w:rFonts w:asciiTheme="majorHAnsi" w:hAnsiTheme="majorHAnsi"/>
          <w:szCs w:val="22"/>
          <w:lang w:val="es-ES_tradnl"/>
        </w:rPr>
        <w:t xml:space="preserve">fue de </w:t>
      </w:r>
      <w:r w:rsidR="003736F8" w:rsidRPr="00CC3A91">
        <w:rPr>
          <w:rFonts w:asciiTheme="majorHAnsi" w:hAnsiTheme="majorHAnsi"/>
          <w:szCs w:val="22"/>
          <w:lang w:val="es-ES_tradnl"/>
        </w:rPr>
        <w:t>749</w:t>
      </w:r>
      <w:r w:rsidR="002D7809" w:rsidRPr="00CC3A91">
        <w:rPr>
          <w:rFonts w:asciiTheme="majorHAnsi" w:hAnsiTheme="majorHAnsi"/>
          <w:szCs w:val="22"/>
          <w:lang w:val="es-ES_tradnl"/>
        </w:rPr>
        <w:t>.</w:t>
      </w:r>
      <w:r w:rsidR="003736F8" w:rsidRPr="00CC3A91">
        <w:rPr>
          <w:rFonts w:asciiTheme="majorHAnsi" w:hAnsiTheme="majorHAnsi"/>
          <w:szCs w:val="22"/>
          <w:lang w:val="es-ES_tradnl"/>
        </w:rPr>
        <w:t>250</w:t>
      </w:r>
      <w:r w:rsidR="00D73ED8" w:rsidRPr="00CC3A91">
        <w:rPr>
          <w:rFonts w:asciiTheme="majorHAnsi" w:hAnsiTheme="majorHAnsi"/>
          <w:szCs w:val="22"/>
          <w:lang w:val="es-ES_tradnl"/>
        </w:rPr>
        <w:t xml:space="preserve"> dólares de los EE.UU.</w:t>
      </w:r>
      <w:r w:rsidR="0088725B" w:rsidRPr="00CC3A91">
        <w:rPr>
          <w:rFonts w:asciiTheme="majorHAnsi" w:hAnsiTheme="majorHAnsi"/>
          <w:szCs w:val="22"/>
          <w:lang w:val="es-ES_tradnl"/>
        </w:rPr>
        <w:t xml:space="preserve"> </w:t>
      </w:r>
    </w:p>
    <w:p w14:paraId="3BCF62BD" w14:textId="77777777" w:rsidR="00FD121B" w:rsidRPr="00CC3A91" w:rsidRDefault="00FD121B" w:rsidP="00FB3790">
      <w:pPr>
        <w:ind w:left="426" w:hanging="426"/>
        <w:rPr>
          <w:rFonts w:asciiTheme="majorHAnsi" w:hAnsiTheme="majorHAnsi"/>
          <w:sz w:val="22"/>
          <w:szCs w:val="22"/>
          <w:lang w:val="es-ES_tradnl"/>
        </w:rPr>
      </w:pPr>
    </w:p>
    <w:p w14:paraId="04D19B7F" w14:textId="3540F8FC" w:rsidR="00E24CF9" w:rsidRPr="00CC3A91" w:rsidRDefault="005D79F9" w:rsidP="00FB3790">
      <w:pPr>
        <w:pStyle w:val="ListParagraph"/>
        <w:numPr>
          <w:ilvl w:val="0"/>
          <w:numId w:val="1"/>
        </w:numPr>
        <w:ind w:left="426" w:hanging="426"/>
        <w:rPr>
          <w:rFonts w:asciiTheme="majorHAnsi" w:hAnsiTheme="majorHAnsi"/>
          <w:szCs w:val="22"/>
          <w:lang w:val="es-ES_tradnl"/>
        </w:rPr>
      </w:pPr>
      <w:r w:rsidRPr="00CC3A91">
        <w:rPr>
          <w:rFonts w:asciiTheme="majorHAnsi" w:eastAsia="Calibri" w:hAnsiTheme="majorHAnsi" w:cs="Calibri"/>
          <w:szCs w:val="22"/>
          <w:lang w:val="es-ES_tradnl"/>
        </w:rPr>
        <w:t>Antes de la 19ª reunión del GECT, s</w:t>
      </w:r>
      <w:r w:rsidR="002D7809" w:rsidRPr="00CC3A91">
        <w:rPr>
          <w:rFonts w:asciiTheme="majorHAnsi" w:eastAsia="Calibri" w:hAnsiTheme="majorHAnsi" w:cs="Calibri"/>
          <w:szCs w:val="22"/>
          <w:lang w:val="es-ES_tradnl"/>
        </w:rPr>
        <w:t>e hizo una revisión bibliográfica de toda la orientación proporcionada por</w:t>
      </w:r>
      <w:r w:rsidRPr="00CC3A91">
        <w:rPr>
          <w:rFonts w:asciiTheme="majorHAnsi" w:eastAsia="Calibri" w:hAnsiTheme="majorHAnsi" w:cs="Calibri"/>
          <w:szCs w:val="22"/>
          <w:lang w:val="es-ES_tradnl"/>
        </w:rPr>
        <w:t xml:space="preserve"> Ramsar y por</w:t>
      </w:r>
      <w:r w:rsidR="002D7809" w:rsidRPr="00CC3A91">
        <w:rPr>
          <w:rFonts w:asciiTheme="majorHAnsi" w:eastAsia="Calibri" w:hAnsiTheme="majorHAnsi" w:cs="Calibri"/>
          <w:szCs w:val="22"/>
          <w:lang w:val="es-ES_tradnl"/>
        </w:rPr>
        <w:t xml:space="preserve"> las OIA</w:t>
      </w:r>
      <w:r w:rsidRPr="00CC3A91">
        <w:rPr>
          <w:rFonts w:asciiTheme="majorHAnsi" w:eastAsia="Calibri" w:hAnsiTheme="majorHAnsi" w:cs="Calibri"/>
          <w:szCs w:val="22"/>
          <w:lang w:val="es-ES_tradnl"/>
        </w:rPr>
        <w:t xml:space="preserve">; se encontraron más de 100 documentos de orientación relevantes para las </w:t>
      </w:r>
      <w:r w:rsidR="00BA072F" w:rsidRPr="00CC3A91">
        <w:rPr>
          <w:rFonts w:asciiTheme="majorHAnsi" w:eastAsia="Calibri" w:hAnsiTheme="majorHAnsi" w:cs="Calibri"/>
          <w:szCs w:val="22"/>
          <w:lang w:val="es-ES_tradnl"/>
        </w:rPr>
        <w:t xml:space="preserve">grandes </w:t>
      </w:r>
      <w:r w:rsidRPr="00CC3A91">
        <w:rPr>
          <w:rFonts w:asciiTheme="majorHAnsi" w:eastAsia="Calibri" w:hAnsiTheme="majorHAnsi" w:cs="Calibri"/>
          <w:szCs w:val="22"/>
          <w:lang w:val="es-ES_tradnl"/>
        </w:rPr>
        <w:t xml:space="preserve">áreas </w:t>
      </w:r>
      <w:r w:rsidR="005D5542" w:rsidRPr="00CC3A91">
        <w:rPr>
          <w:rFonts w:asciiTheme="majorHAnsi" w:eastAsia="Calibri" w:hAnsiTheme="majorHAnsi" w:cs="Calibri"/>
          <w:szCs w:val="22"/>
          <w:lang w:val="es-ES_tradnl"/>
        </w:rPr>
        <w:t>temáticas de trabajo</w:t>
      </w:r>
      <w:r w:rsidRPr="00CC3A91">
        <w:rPr>
          <w:rFonts w:asciiTheme="majorHAnsi" w:eastAsia="Calibri" w:hAnsiTheme="majorHAnsi" w:cs="Calibri"/>
          <w:szCs w:val="22"/>
          <w:lang w:val="es-ES_tradnl"/>
        </w:rPr>
        <w:t>.</w:t>
      </w:r>
      <w:r w:rsidR="00602087" w:rsidRPr="00CC3A91">
        <w:rPr>
          <w:rFonts w:asciiTheme="majorHAnsi" w:eastAsia="Calibri" w:hAnsiTheme="majorHAnsi" w:cs="Calibri"/>
          <w:szCs w:val="22"/>
          <w:lang w:val="es-ES_tradnl"/>
        </w:rPr>
        <w:t xml:space="preserve"> </w:t>
      </w:r>
      <w:r w:rsidRPr="00CC3A91">
        <w:rPr>
          <w:rFonts w:asciiTheme="majorHAnsi" w:eastAsia="Calibri" w:hAnsiTheme="majorHAnsi" w:cs="Calibri"/>
          <w:szCs w:val="22"/>
          <w:lang w:val="es-ES_tradnl"/>
        </w:rPr>
        <w:t xml:space="preserve">La revisión bibliográfica </w:t>
      </w:r>
      <w:r w:rsidR="004A4117" w:rsidRPr="00CC3A91">
        <w:rPr>
          <w:rFonts w:asciiTheme="majorHAnsi" w:eastAsia="Calibri" w:hAnsiTheme="majorHAnsi" w:cs="Calibri"/>
          <w:szCs w:val="22"/>
          <w:lang w:val="es-ES_tradnl"/>
        </w:rPr>
        <w:t xml:space="preserve">se distribuyó a todos los participantes en la 19ª reunión del GECT, </w:t>
      </w:r>
      <w:r w:rsidR="007F4E17" w:rsidRPr="00CC3A91">
        <w:rPr>
          <w:rFonts w:asciiTheme="majorHAnsi" w:eastAsia="Calibri" w:hAnsiTheme="majorHAnsi" w:cs="Calibri"/>
          <w:szCs w:val="22"/>
          <w:lang w:val="es-ES_tradnl"/>
        </w:rPr>
        <w:t xml:space="preserve">y se pidió al grupo de trabajo de cada área temática que tuviese en consideración la orientación existente </w:t>
      </w:r>
      <w:r w:rsidR="00BA072F" w:rsidRPr="00CC3A91">
        <w:rPr>
          <w:rFonts w:asciiTheme="majorHAnsi" w:eastAsia="Calibri" w:hAnsiTheme="majorHAnsi" w:cs="Calibri"/>
          <w:szCs w:val="22"/>
          <w:lang w:val="es-ES_tradnl"/>
        </w:rPr>
        <w:t>a la hora de</w:t>
      </w:r>
      <w:r w:rsidR="007F4E17" w:rsidRPr="00CC3A91">
        <w:rPr>
          <w:rFonts w:asciiTheme="majorHAnsi" w:eastAsia="Calibri" w:hAnsiTheme="majorHAnsi" w:cs="Calibri"/>
          <w:szCs w:val="22"/>
          <w:lang w:val="es-ES_tradnl"/>
        </w:rPr>
        <w:t xml:space="preserve"> desarrollar sus recomendaciones. </w:t>
      </w:r>
      <w:r w:rsidR="002F6EEF" w:rsidRPr="00CC3A91">
        <w:rPr>
          <w:rFonts w:asciiTheme="majorHAnsi" w:eastAsia="Calibri" w:hAnsiTheme="majorHAnsi" w:cs="Calibri"/>
          <w:szCs w:val="22"/>
          <w:lang w:val="es-ES_tradnl"/>
        </w:rPr>
        <w:t>Asimismo, en e</w:t>
      </w:r>
      <w:r w:rsidR="007F4E17" w:rsidRPr="00CC3A91">
        <w:rPr>
          <w:rFonts w:asciiTheme="majorHAnsi" w:eastAsia="Calibri" w:hAnsiTheme="majorHAnsi" w:cs="Calibri"/>
          <w:szCs w:val="22"/>
          <w:lang w:val="es-ES_tradnl"/>
        </w:rPr>
        <w:t xml:space="preserve">l mensaje </w:t>
      </w:r>
      <w:r w:rsidR="002F6EEF" w:rsidRPr="00CC3A91">
        <w:rPr>
          <w:rFonts w:asciiTheme="majorHAnsi" w:eastAsia="Calibri" w:hAnsiTheme="majorHAnsi" w:cs="Calibri"/>
          <w:szCs w:val="22"/>
          <w:lang w:val="es-ES_tradnl"/>
        </w:rPr>
        <w:t xml:space="preserve">del 15 de diciembre de 2015 </w:t>
      </w:r>
      <w:r w:rsidR="007F4E17" w:rsidRPr="00CC3A91">
        <w:rPr>
          <w:rFonts w:asciiTheme="majorHAnsi" w:eastAsia="Calibri" w:hAnsiTheme="majorHAnsi" w:cs="Calibri"/>
          <w:szCs w:val="22"/>
          <w:lang w:val="es-ES_tradnl"/>
        </w:rPr>
        <w:t xml:space="preserve">enviado por la Secretaría </w:t>
      </w:r>
      <w:r w:rsidR="002F6EEF" w:rsidRPr="00CC3A91">
        <w:rPr>
          <w:rFonts w:asciiTheme="majorHAnsi" w:eastAsia="Calibri" w:hAnsiTheme="majorHAnsi" w:cs="Calibri"/>
          <w:szCs w:val="22"/>
          <w:lang w:val="es-ES_tradnl"/>
        </w:rPr>
        <w:t xml:space="preserve">a los </w:t>
      </w:r>
      <w:r w:rsidR="00BA072F" w:rsidRPr="00CC3A91">
        <w:rPr>
          <w:rFonts w:asciiTheme="majorHAnsi" w:eastAsia="Calibri" w:hAnsiTheme="majorHAnsi" w:cs="Calibri"/>
          <w:szCs w:val="22"/>
          <w:lang w:val="es-ES_tradnl"/>
        </w:rPr>
        <w:t>responsables</w:t>
      </w:r>
      <w:r w:rsidR="009D180E" w:rsidRPr="00CC3A91">
        <w:rPr>
          <w:rFonts w:asciiTheme="majorHAnsi" w:eastAsia="Calibri" w:hAnsiTheme="majorHAnsi" w:cs="Calibri"/>
          <w:bCs/>
          <w:szCs w:val="22"/>
          <w:lang w:val="es-ES_tradnl"/>
        </w:rPr>
        <w:t xml:space="preserve"> </w:t>
      </w:r>
      <w:r w:rsidR="002F6EEF" w:rsidRPr="00CC3A91">
        <w:rPr>
          <w:rFonts w:asciiTheme="majorHAnsi" w:eastAsia="Calibri" w:hAnsiTheme="majorHAnsi" w:cs="Calibri"/>
          <w:bCs/>
          <w:szCs w:val="22"/>
          <w:lang w:val="es-ES_tradnl"/>
        </w:rPr>
        <w:t>de las Autoridades Ad</w:t>
      </w:r>
      <w:r w:rsidR="00BA072F" w:rsidRPr="00CC3A91">
        <w:rPr>
          <w:rFonts w:asciiTheme="majorHAnsi" w:eastAsia="Calibri" w:hAnsiTheme="majorHAnsi" w:cs="Calibri"/>
          <w:bCs/>
          <w:szCs w:val="22"/>
          <w:lang w:val="es-ES_tradnl"/>
        </w:rPr>
        <w:t>ministrativas y a</w:t>
      </w:r>
      <w:r w:rsidR="002F6EEF" w:rsidRPr="00CC3A91">
        <w:rPr>
          <w:rFonts w:asciiTheme="majorHAnsi" w:eastAsia="Calibri" w:hAnsiTheme="majorHAnsi" w:cs="Calibri"/>
          <w:bCs/>
          <w:szCs w:val="22"/>
          <w:lang w:val="es-ES_tradnl"/>
        </w:rPr>
        <w:t xml:space="preserve"> los Coordinadores Nacionales y Coordinadores Nacionales del GECT, se les pidió </w:t>
      </w:r>
      <w:r w:rsidR="00BC1BAA" w:rsidRPr="00CC3A91">
        <w:rPr>
          <w:rFonts w:asciiTheme="majorHAnsi" w:eastAsia="Calibri" w:hAnsiTheme="majorHAnsi" w:cs="Calibri"/>
          <w:bCs/>
          <w:szCs w:val="22"/>
          <w:lang w:val="es-ES_tradnl"/>
        </w:rPr>
        <w:t>que enviasen</w:t>
      </w:r>
      <w:r w:rsidR="0088725B" w:rsidRPr="00CC3A91">
        <w:rPr>
          <w:rFonts w:asciiTheme="majorHAnsi" w:eastAsia="Calibri" w:hAnsiTheme="majorHAnsi" w:cs="Calibri"/>
          <w:bCs/>
          <w:szCs w:val="22"/>
          <w:lang w:val="es-ES_tradnl"/>
        </w:rPr>
        <w:t xml:space="preserve"> </w:t>
      </w:r>
      <w:r w:rsidR="00BC1BAA" w:rsidRPr="00CC3A91">
        <w:rPr>
          <w:rFonts w:asciiTheme="majorHAnsi" w:eastAsia="Calibri" w:hAnsiTheme="majorHAnsi" w:cs="Calibri"/>
          <w:bCs/>
          <w:szCs w:val="22"/>
          <w:lang w:val="es-ES_tradnl"/>
        </w:rPr>
        <w:t xml:space="preserve">sus </w:t>
      </w:r>
      <w:r w:rsidR="002F6EEF" w:rsidRPr="00CC3A91">
        <w:rPr>
          <w:rFonts w:asciiTheme="majorHAnsi" w:eastAsia="Calibri" w:hAnsiTheme="majorHAnsi" w:cs="Calibri"/>
          <w:bCs/>
          <w:szCs w:val="22"/>
          <w:lang w:val="es-ES_tradnl"/>
        </w:rPr>
        <w:t xml:space="preserve">contribuciones </w:t>
      </w:r>
      <w:r w:rsidR="00BC1BAA" w:rsidRPr="00CC3A91">
        <w:rPr>
          <w:rFonts w:asciiTheme="majorHAnsi" w:eastAsia="Calibri" w:hAnsiTheme="majorHAnsi" w:cs="Calibri"/>
          <w:bCs/>
          <w:szCs w:val="22"/>
          <w:lang w:val="es-ES_tradnl"/>
        </w:rPr>
        <w:t xml:space="preserve">sobre orientación para incluir en la revisión bibliográfica. </w:t>
      </w:r>
    </w:p>
    <w:p w14:paraId="3B4CADCB" w14:textId="602797A2" w:rsidR="00AC45B7" w:rsidRPr="00CC3A91" w:rsidRDefault="00AC45B7" w:rsidP="00FB3790">
      <w:pPr>
        <w:ind w:left="567" w:hanging="567"/>
        <w:rPr>
          <w:rFonts w:asciiTheme="majorHAnsi" w:hAnsiTheme="majorHAnsi"/>
          <w:sz w:val="22"/>
          <w:szCs w:val="22"/>
          <w:lang w:val="es-ES_tradnl"/>
        </w:rPr>
      </w:pPr>
    </w:p>
    <w:p w14:paraId="07B4228F" w14:textId="2FE5A9D8" w:rsidR="00372E0C" w:rsidRPr="00CC3A91" w:rsidRDefault="002F6EEF" w:rsidP="00FB3790">
      <w:pPr>
        <w:rPr>
          <w:rFonts w:asciiTheme="majorHAnsi" w:hAnsiTheme="majorHAnsi"/>
          <w:b/>
          <w:sz w:val="22"/>
          <w:szCs w:val="22"/>
          <w:lang w:val="es-ES_tradnl"/>
        </w:rPr>
      </w:pPr>
      <w:r w:rsidRPr="00CC3A91">
        <w:rPr>
          <w:rFonts w:asciiTheme="majorHAnsi" w:hAnsiTheme="majorHAnsi"/>
          <w:b/>
          <w:sz w:val="22"/>
          <w:szCs w:val="22"/>
          <w:lang w:val="es-ES_tradnl"/>
        </w:rPr>
        <w:t xml:space="preserve">Proyecto </w:t>
      </w:r>
      <w:r w:rsidR="00084614" w:rsidRPr="00CC3A91">
        <w:rPr>
          <w:rFonts w:asciiTheme="majorHAnsi" w:hAnsiTheme="majorHAnsi"/>
          <w:b/>
          <w:sz w:val="22"/>
          <w:szCs w:val="22"/>
          <w:lang w:val="es-ES_tradnl"/>
        </w:rPr>
        <w:t>modificado</w:t>
      </w:r>
      <w:r w:rsidRPr="00CC3A91">
        <w:rPr>
          <w:rFonts w:asciiTheme="majorHAnsi" w:hAnsiTheme="majorHAnsi"/>
          <w:b/>
          <w:sz w:val="22"/>
          <w:szCs w:val="22"/>
          <w:lang w:val="es-ES_tradnl"/>
        </w:rPr>
        <w:t xml:space="preserve"> de plan de trabajo del GECT para </w:t>
      </w:r>
      <w:r w:rsidR="00EA0941" w:rsidRPr="00CC3A91">
        <w:rPr>
          <w:rFonts w:asciiTheme="majorHAnsi" w:hAnsiTheme="majorHAnsi"/>
          <w:b/>
          <w:sz w:val="22"/>
          <w:szCs w:val="22"/>
          <w:lang w:val="es-ES_tradnl"/>
        </w:rPr>
        <w:t>2016-2018</w:t>
      </w:r>
    </w:p>
    <w:p w14:paraId="249E8B50" w14:textId="77777777" w:rsidR="00372E0C" w:rsidRPr="00CC3A91" w:rsidRDefault="00372E0C" w:rsidP="00FB3790">
      <w:pPr>
        <w:ind w:left="567" w:hanging="567"/>
        <w:rPr>
          <w:rFonts w:asciiTheme="majorHAnsi" w:hAnsiTheme="majorHAnsi"/>
          <w:sz w:val="22"/>
          <w:szCs w:val="22"/>
          <w:lang w:val="es-ES_tradnl"/>
        </w:rPr>
      </w:pPr>
    </w:p>
    <w:p w14:paraId="7670D24F" w14:textId="04A65E78" w:rsidR="005309CA" w:rsidRPr="00CC3A91" w:rsidRDefault="008330AF"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El proyecto </w:t>
      </w:r>
      <w:r w:rsidR="00084614" w:rsidRPr="00CC3A91">
        <w:rPr>
          <w:rFonts w:asciiTheme="majorHAnsi" w:hAnsiTheme="majorHAnsi"/>
          <w:szCs w:val="22"/>
          <w:lang w:val="es-ES_tradnl"/>
        </w:rPr>
        <w:t>modificado</w:t>
      </w:r>
      <w:r w:rsidRPr="00CC3A91">
        <w:rPr>
          <w:rFonts w:asciiTheme="majorHAnsi" w:hAnsiTheme="majorHAnsi"/>
          <w:szCs w:val="22"/>
          <w:lang w:val="es-ES_tradnl"/>
        </w:rPr>
        <w:t xml:space="preserve"> de plan de trabajo que figura en el Anexo del presente informe se presenta</w:t>
      </w:r>
      <w:r w:rsidR="00DC1282" w:rsidRPr="00CC3A91">
        <w:rPr>
          <w:rFonts w:asciiTheme="majorHAnsi" w:hAnsiTheme="majorHAnsi"/>
          <w:szCs w:val="22"/>
          <w:lang w:val="es-ES_tradnl"/>
        </w:rPr>
        <w:t>rá</w:t>
      </w:r>
      <w:r w:rsidRPr="00CC3A91">
        <w:rPr>
          <w:rFonts w:asciiTheme="majorHAnsi" w:hAnsiTheme="majorHAnsi"/>
          <w:szCs w:val="22"/>
          <w:lang w:val="es-ES_tradnl"/>
        </w:rPr>
        <w:t xml:space="preserve"> para la aprobación del Comité Permanente durante su 52ª reunión. El proyecto </w:t>
      </w:r>
      <w:r w:rsidR="00084614" w:rsidRPr="00CC3A91">
        <w:rPr>
          <w:rFonts w:asciiTheme="majorHAnsi" w:hAnsiTheme="majorHAnsi"/>
          <w:szCs w:val="22"/>
          <w:lang w:val="es-ES_tradnl"/>
        </w:rPr>
        <w:t>modificado</w:t>
      </w:r>
      <w:r w:rsidRPr="00CC3A91">
        <w:rPr>
          <w:rFonts w:asciiTheme="majorHAnsi" w:hAnsiTheme="majorHAnsi"/>
          <w:szCs w:val="22"/>
          <w:lang w:val="es-ES_tradnl"/>
        </w:rPr>
        <w:t xml:space="preserve"> de plan de trabajo tiene en cuenta las cinco áreas temáticas de trabajo aprobadas por las Partes Contratantes en la 12ª reunión de la Conferencia de las Partes </w:t>
      </w:r>
      <w:r w:rsidR="00F06E9D" w:rsidRPr="00CC3A91">
        <w:rPr>
          <w:rFonts w:asciiTheme="majorHAnsi" w:hAnsiTheme="majorHAnsi"/>
          <w:szCs w:val="22"/>
          <w:lang w:val="es-ES_tradnl"/>
        </w:rPr>
        <w:t>(</w:t>
      </w:r>
      <w:r w:rsidR="009A7402" w:rsidRPr="00CC3A91">
        <w:rPr>
          <w:rFonts w:asciiTheme="majorHAnsi" w:hAnsiTheme="majorHAnsi"/>
          <w:szCs w:val="22"/>
          <w:lang w:val="es-ES_tradnl"/>
        </w:rPr>
        <w:t>definidas</w:t>
      </w:r>
      <w:r w:rsidR="00BC1BAA" w:rsidRPr="00CC3A91">
        <w:rPr>
          <w:rFonts w:asciiTheme="majorHAnsi" w:hAnsiTheme="majorHAnsi"/>
          <w:szCs w:val="22"/>
          <w:lang w:val="es-ES_tradnl"/>
        </w:rPr>
        <w:t xml:space="preserve"> en la</w:t>
      </w:r>
      <w:r w:rsidR="00DC1282" w:rsidRPr="00CC3A91">
        <w:rPr>
          <w:rFonts w:asciiTheme="majorHAnsi" w:hAnsiTheme="majorHAnsi"/>
          <w:szCs w:val="22"/>
          <w:lang w:val="es-ES_tradnl"/>
        </w:rPr>
        <w:t xml:space="preserve"> </w:t>
      </w:r>
      <w:r w:rsidR="00F06E9D" w:rsidRPr="00CC3A91">
        <w:rPr>
          <w:rFonts w:asciiTheme="majorHAnsi" w:hAnsiTheme="majorHAnsi"/>
          <w:szCs w:val="22"/>
          <w:lang w:val="es-ES_tradnl"/>
        </w:rPr>
        <w:t>Resolu</w:t>
      </w:r>
      <w:r w:rsidR="00BC1BAA" w:rsidRPr="00CC3A91">
        <w:rPr>
          <w:rFonts w:asciiTheme="majorHAnsi" w:hAnsiTheme="majorHAnsi"/>
          <w:szCs w:val="22"/>
          <w:lang w:val="es-ES_tradnl"/>
        </w:rPr>
        <w:t>ción</w:t>
      </w:r>
      <w:r w:rsidR="00E01336" w:rsidRPr="00CC3A91">
        <w:rPr>
          <w:rFonts w:asciiTheme="majorHAnsi" w:hAnsiTheme="majorHAnsi"/>
          <w:szCs w:val="22"/>
          <w:lang w:val="es-ES_tradnl"/>
        </w:rPr>
        <w:t xml:space="preserve"> </w:t>
      </w:r>
      <w:r w:rsidR="00F06E9D" w:rsidRPr="00CC3A91">
        <w:rPr>
          <w:rFonts w:asciiTheme="majorHAnsi" w:hAnsiTheme="majorHAnsi"/>
          <w:szCs w:val="22"/>
          <w:lang w:val="es-ES_tradnl"/>
        </w:rPr>
        <w:t>XII.5,</w:t>
      </w:r>
      <w:r w:rsidR="00E01336" w:rsidRPr="00CC3A91">
        <w:rPr>
          <w:rFonts w:asciiTheme="majorHAnsi" w:hAnsiTheme="majorHAnsi"/>
          <w:szCs w:val="22"/>
          <w:lang w:val="es-ES_tradnl"/>
        </w:rPr>
        <w:t xml:space="preserve"> </w:t>
      </w:r>
      <w:r w:rsidR="00F06E9D" w:rsidRPr="00CC3A91">
        <w:rPr>
          <w:rFonts w:asciiTheme="majorHAnsi" w:hAnsiTheme="majorHAnsi"/>
          <w:szCs w:val="22"/>
          <w:lang w:val="es-ES_tradnl"/>
        </w:rPr>
        <w:t>An</w:t>
      </w:r>
      <w:r w:rsidR="00BC1BAA" w:rsidRPr="00CC3A91">
        <w:rPr>
          <w:rFonts w:asciiTheme="majorHAnsi" w:hAnsiTheme="majorHAnsi"/>
          <w:szCs w:val="22"/>
          <w:lang w:val="es-ES_tradnl"/>
        </w:rPr>
        <w:t>exo</w:t>
      </w:r>
      <w:r w:rsidR="00E01336" w:rsidRPr="00CC3A91">
        <w:rPr>
          <w:rFonts w:asciiTheme="majorHAnsi" w:hAnsiTheme="majorHAnsi"/>
          <w:szCs w:val="22"/>
          <w:lang w:val="es-ES_tradnl"/>
        </w:rPr>
        <w:t xml:space="preserve"> </w:t>
      </w:r>
      <w:r w:rsidR="00013A24" w:rsidRPr="00CC3A91">
        <w:rPr>
          <w:rFonts w:asciiTheme="majorHAnsi" w:hAnsiTheme="majorHAnsi"/>
          <w:szCs w:val="22"/>
          <w:lang w:val="es-ES_tradnl"/>
        </w:rPr>
        <w:t>3</w:t>
      </w:r>
      <w:r w:rsidR="00F06E9D" w:rsidRPr="00CC3A91">
        <w:rPr>
          <w:rFonts w:asciiTheme="majorHAnsi" w:hAnsiTheme="majorHAnsi"/>
          <w:szCs w:val="22"/>
          <w:lang w:val="es-ES_tradnl"/>
        </w:rPr>
        <w:t>),</w:t>
      </w:r>
      <w:r w:rsidR="00E01336" w:rsidRPr="00CC3A91">
        <w:rPr>
          <w:rFonts w:asciiTheme="majorHAnsi" w:hAnsiTheme="majorHAnsi"/>
          <w:szCs w:val="22"/>
          <w:lang w:val="es-ES_tradnl"/>
        </w:rPr>
        <w:t xml:space="preserve"> </w:t>
      </w:r>
      <w:r w:rsidRPr="00CC3A91">
        <w:rPr>
          <w:rFonts w:asciiTheme="majorHAnsi" w:hAnsiTheme="majorHAnsi"/>
          <w:szCs w:val="22"/>
          <w:lang w:val="es-ES_tradnl"/>
        </w:rPr>
        <w:t>el Cuarto Plan Estratégico de Ramsar</w:t>
      </w:r>
      <w:r w:rsidR="00E01336" w:rsidRPr="00CC3A91">
        <w:rPr>
          <w:rFonts w:asciiTheme="majorHAnsi" w:hAnsiTheme="majorHAnsi"/>
          <w:szCs w:val="22"/>
          <w:lang w:val="es-ES_tradnl"/>
        </w:rPr>
        <w:t xml:space="preserve"> </w:t>
      </w:r>
      <w:r w:rsidR="00F06E9D" w:rsidRPr="00CC3A91">
        <w:rPr>
          <w:rFonts w:asciiTheme="majorHAnsi" w:hAnsiTheme="majorHAnsi"/>
          <w:szCs w:val="22"/>
          <w:lang w:val="es-ES_tradnl"/>
        </w:rPr>
        <w:t>(Resolu</w:t>
      </w:r>
      <w:r w:rsidR="00BC1BAA" w:rsidRPr="00CC3A91">
        <w:rPr>
          <w:rFonts w:asciiTheme="majorHAnsi" w:hAnsiTheme="majorHAnsi"/>
          <w:szCs w:val="22"/>
          <w:lang w:val="es-ES_tradnl"/>
        </w:rPr>
        <w:t>ción</w:t>
      </w:r>
      <w:r w:rsidR="00E01336" w:rsidRPr="00CC3A91">
        <w:rPr>
          <w:rFonts w:asciiTheme="majorHAnsi" w:hAnsiTheme="majorHAnsi"/>
          <w:szCs w:val="22"/>
          <w:lang w:val="es-ES_tradnl"/>
        </w:rPr>
        <w:t xml:space="preserve"> </w:t>
      </w:r>
      <w:r w:rsidR="00F06E9D" w:rsidRPr="00CC3A91">
        <w:rPr>
          <w:rFonts w:asciiTheme="majorHAnsi" w:hAnsiTheme="majorHAnsi"/>
          <w:szCs w:val="22"/>
          <w:lang w:val="es-ES_tradnl"/>
        </w:rPr>
        <w:t>XII.2),</w:t>
      </w:r>
      <w:r w:rsidR="00E01336" w:rsidRPr="00CC3A91">
        <w:rPr>
          <w:rFonts w:asciiTheme="majorHAnsi" w:hAnsiTheme="majorHAnsi"/>
          <w:szCs w:val="22"/>
          <w:lang w:val="es-ES_tradnl"/>
        </w:rPr>
        <w:t xml:space="preserve"> </w:t>
      </w:r>
      <w:r w:rsidR="009A7402" w:rsidRPr="00CC3A91">
        <w:rPr>
          <w:rFonts w:asciiTheme="majorHAnsi" w:hAnsiTheme="majorHAnsi"/>
          <w:szCs w:val="22"/>
          <w:lang w:val="es-ES_tradnl"/>
        </w:rPr>
        <w:t xml:space="preserve">las </w:t>
      </w:r>
      <w:r w:rsidRPr="00CC3A91">
        <w:rPr>
          <w:rFonts w:asciiTheme="majorHAnsi" w:hAnsiTheme="majorHAnsi"/>
          <w:szCs w:val="22"/>
          <w:lang w:val="es-ES_tradnl"/>
        </w:rPr>
        <w:t xml:space="preserve">peticiones de las Partes Contratantes en las Resoluciones de la 12ª reunión de la Conferencia de las Partes y las consultas adicionales realizadas después de la 51ª reunión del Comité Permanente. </w:t>
      </w:r>
    </w:p>
    <w:p w14:paraId="419EFB3B" w14:textId="77777777" w:rsidR="005309CA" w:rsidRPr="00CC3A91" w:rsidRDefault="005309CA" w:rsidP="00FB3790">
      <w:pPr>
        <w:ind w:left="426" w:hanging="426"/>
        <w:rPr>
          <w:rFonts w:asciiTheme="majorHAnsi" w:hAnsiTheme="majorHAnsi"/>
          <w:sz w:val="22"/>
          <w:szCs w:val="22"/>
          <w:lang w:val="es-ES_tradnl"/>
        </w:rPr>
      </w:pPr>
    </w:p>
    <w:p w14:paraId="343B136D" w14:textId="2AFA5D94" w:rsidR="005309CA" w:rsidRPr="00CC3A91" w:rsidRDefault="004E7FBE"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El proyecto de plan de trabajo </w:t>
      </w:r>
      <w:r w:rsidR="00084614" w:rsidRPr="00CC3A91">
        <w:rPr>
          <w:rFonts w:asciiTheme="majorHAnsi" w:hAnsiTheme="majorHAnsi"/>
          <w:szCs w:val="22"/>
          <w:lang w:val="es-ES_tradnl"/>
        </w:rPr>
        <w:t>modificado</w:t>
      </w:r>
      <w:r w:rsidRPr="00CC3A91">
        <w:rPr>
          <w:rFonts w:asciiTheme="majorHAnsi" w:hAnsiTheme="majorHAnsi"/>
          <w:szCs w:val="22"/>
          <w:lang w:val="es-ES_tradnl"/>
        </w:rPr>
        <w:t xml:space="preserve"> </w:t>
      </w:r>
      <w:r w:rsidR="00056B5A" w:rsidRPr="00CC3A91">
        <w:rPr>
          <w:rFonts w:asciiTheme="majorHAnsi" w:hAnsiTheme="majorHAnsi"/>
          <w:szCs w:val="22"/>
          <w:lang w:val="es-ES_tradnl"/>
        </w:rPr>
        <w:t>inclu</w:t>
      </w:r>
      <w:r w:rsidR="008330AF" w:rsidRPr="00CC3A91">
        <w:rPr>
          <w:rFonts w:asciiTheme="majorHAnsi" w:hAnsiTheme="majorHAnsi"/>
          <w:szCs w:val="22"/>
          <w:lang w:val="es-ES_tradnl"/>
        </w:rPr>
        <w:t>ye una tarea nueva rela</w:t>
      </w:r>
      <w:r w:rsidR="00BF5905" w:rsidRPr="00CC3A91">
        <w:rPr>
          <w:rFonts w:asciiTheme="majorHAnsi" w:hAnsiTheme="majorHAnsi"/>
          <w:szCs w:val="22"/>
          <w:lang w:val="es-ES_tradnl"/>
        </w:rPr>
        <w:t>cionada con el</w:t>
      </w:r>
      <w:r w:rsidR="008330AF" w:rsidRPr="00CC3A91">
        <w:rPr>
          <w:rFonts w:asciiTheme="majorHAnsi" w:hAnsiTheme="majorHAnsi"/>
          <w:szCs w:val="22"/>
          <w:lang w:val="es-ES_tradnl"/>
        </w:rPr>
        <w:t xml:space="preserve"> asesoramiento </w:t>
      </w:r>
      <w:r w:rsidR="004E3AAF" w:rsidRPr="00CC3A91">
        <w:rPr>
          <w:rFonts w:asciiTheme="majorHAnsi" w:hAnsiTheme="majorHAnsi"/>
          <w:szCs w:val="22"/>
          <w:lang w:val="es-ES_tradnl"/>
        </w:rPr>
        <w:t xml:space="preserve">a administradores de humedales, </w:t>
      </w:r>
      <w:r w:rsidR="004E3AAF" w:rsidRPr="00CC3A91">
        <w:rPr>
          <w:rFonts w:asciiTheme="majorHAnsi" w:hAnsiTheme="majorHAnsi"/>
          <w:szCs w:val="22"/>
          <w:shd w:val="clear" w:color="auto" w:fill="FFFFFF"/>
          <w:lang w:val="es-ES_tradnl"/>
        </w:rPr>
        <w:t xml:space="preserve">profesionales de la salud y responsables de políticas </w:t>
      </w:r>
      <w:r w:rsidR="008330AF" w:rsidRPr="00CC3A91">
        <w:rPr>
          <w:rFonts w:asciiTheme="majorHAnsi" w:hAnsiTheme="majorHAnsi"/>
          <w:szCs w:val="22"/>
          <w:lang w:val="es-ES_tradnl"/>
        </w:rPr>
        <w:t xml:space="preserve">sobre el manejo de los </w:t>
      </w:r>
      <w:r w:rsidR="009B73CD" w:rsidRPr="00CC3A91">
        <w:rPr>
          <w:rFonts w:asciiTheme="majorHAnsi" w:hAnsiTheme="majorHAnsi"/>
          <w:szCs w:val="22"/>
          <w:lang w:val="es-ES_tradnl"/>
        </w:rPr>
        <w:t>mosquitos portadores de enfermedades en los humedales</w:t>
      </w:r>
      <w:r w:rsidR="00BF5905" w:rsidRPr="00CC3A91">
        <w:rPr>
          <w:rFonts w:asciiTheme="majorHAnsi" w:hAnsiTheme="majorHAnsi"/>
          <w:szCs w:val="22"/>
          <w:shd w:val="clear" w:color="auto" w:fill="FFFFFF"/>
          <w:lang w:val="es-ES_tradnl"/>
        </w:rPr>
        <w:t xml:space="preserve">, como tema emergente englobado en el área </w:t>
      </w:r>
      <w:r w:rsidR="009A62E6" w:rsidRPr="00CC3A91">
        <w:rPr>
          <w:rFonts w:asciiTheme="majorHAnsi" w:hAnsiTheme="majorHAnsi"/>
          <w:szCs w:val="22"/>
          <w:shd w:val="clear" w:color="auto" w:fill="FFFFFF"/>
          <w:lang w:val="es-ES_tradnl"/>
        </w:rPr>
        <w:t xml:space="preserve">temática </w:t>
      </w:r>
      <w:r w:rsidR="00BF5905" w:rsidRPr="00CC3A91">
        <w:rPr>
          <w:rFonts w:asciiTheme="majorHAnsi" w:hAnsiTheme="majorHAnsi"/>
          <w:szCs w:val="22"/>
          <w:shd w:val="clear" w:color="auto" w:fill="FFFFFF"/>
          <w:lang w:val="es-ES_tradnl"/>
        </w:rPr>
        <w:t>de trabajo 2.</w:t>
      </w:r>
      <w:r w:rsidR="0088725B" w:rsidRPr="00CC3A91">
        <w:rPr>
          <w:rFonts w:asciiTheme="majorHAnsi" w:hAnsiTheme="majorHAnsi"/>
          <w:szCs w:val="22"/>
          <w:shd w:val="clear" w:color="auto" w:fill="FFFFFF"/>
          <w:lang w:val="es-ES_tradnl"/>
        </w:rPr>
        <w:t xml:space="preserve"> </w:t>
      </w:r>
      <w:r w:rsidR="00BF5905" w:rsidRPr="00CC3A91">
        <w:rPr>
          <w:rFonts w:asciiTheme="majorHAnsi" w:hAnsiTheme="majorHAnsi"/>
          <w:szCs w:val="22"/>
          <w:lang w:val="es-ES_tradnl"/>
        </w:rPr>
        <w:t>También, hemos incluido otra tarea nueva relati</w:t>
      </w:r>
      <w:r w:rsidR="00BA4015" w:rsidRPr="00CC3A91">
        <w:rPr>
          <w:rFonts w:asciiTheme="majorHAnsi" w:hAnsiTheme="majorHAnsi"/>
          <w:szCs w:val="22"/>
          <w:lang w:val="es-ES_tradnl"/>
        </w:rPr>
        <w:t>va al Registro de Montreux en la misma</w:t>
      </w:r>
      <w:r w:rsidR="00BF5905" w:rsidRPr="00CC3A91">
        <w:rPr>
          <w:rFonts w:asciiTheme="majorHAnsi" w:hAnsiTheme="majorHAnsi"/>
          <w:szCs w:val="22"/>
          <w:lang w:val="es-ES_tradnl"/>
        </w:rPr>
        <w:t xml:space="preserve"> área </w:t>
      </w:r>
      <w:r w:rsidR="009A62E6" w:rsidRPr="00CC3A91">
        <w:rPr>
          <w:rFonts w:asciiTheme="majorHAnsi" w:hAnsiTheme="majorHAnsi"/>
          <w:szCs w:val="22"/>
          <w:lang w:val="es-ES_tradnl"/>
        </w:rPr>
        <w:t xml:space="preserve">temática </w:t>
      </w:r>
      <w:r w:rsidR="00BF5905" w:rsidRPr="00CC3A91">
        <w:rPr>
          <w:rFonts w:asciiTheme="majorHAnsi" w:hAnsiTheme="majorHAnsi"/>
          <w:szCs w:val="22"/>
          <w:lang w:val="es-ES_tradnl"/>
        </w:rPr>
        <w:t xml:space="preserve">de trabajo 2. </w:t>
      </w:r>
    </w:p>
    <w:p w14:paraId="4467C9B2" w14:textId="77777777" w:rsidR="00CE00F8" w:rsidRPr="00CC3A91" w:rsidRDefault="00CE00F8" w:rsidP="00FB3790">
      <w:pPr>
        <w:ind w:left="426" w:hanging="426"/>
        <w:rPr>
          <w:rFonts w:asciiTheme="majorHAnsi" w:hAnsiTheme="majorHAnsi"/>
          <w:sz w:val="22"/>
          <w:szCs w:val="22"/>
          <w:lang w:val="es-ES_tradnl"/>
        </w:rPr>
      </w:pPr>
    </w:p>
    <w:p w14:paraId="3FFB99FD" w14:textId="47556A4F" w:rsidR="00CE00F8" w:rsidRPr="00CC3A91" w:rsidRDefault="00BF5905"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Con respecto a la financiación para la realización de las tareas, actualmente hay tres fuentes de financiación disponibles en el presupuesto de la Convención. </w:t>
      </w:r>
      <w:r w:rsidR="00891541" w:rsidRPr="00CC3A91">
        <w:rPr>
          <w:rFonts w:asciiTheme="majorHAnsi" w:hAnsiTheme="majorHAnsi"/>
          <w:szCs w:val="22"/>
          <w:lang w:val="es-ES_tradnl"/>
        </w:rPr>
        <w:t xml:space="preserve">En primer lugar, hay fondos todavía disponibles del trienio anterior, sin limitación de plazo, por un importe de aproximadamente </w:t>
      </w:r>
      <w:r w:rsidR="00137A95" w:rsidRPr="00CC3A91">
        <w:rPr>
          <w:rFonts w:asciiTheme="majorHAnsi" w:hAnsiTheme="majorHAnsi"/>
          <w:szCs w:val="22"/>
          <w:lang w:val="es-ES_tradnl"/>
        </w:rPr>
        <w:t>118</w:t>
      </w:r>
      <w:r w:rsidR="00891541" w:rsidRPr="00CC3A91">
        <w:rPr>
          <w:rFonts w:asciiTheme="majorHAnsi" w:hAnsiTheme="majorHAnsi"/>
          <w:szCs w:val="22"/>
          <w:lang w:val="es-ES_tradnl"/>
        </w:rPr>
        <w:t>.</w:t>
      </w:r>
      <w:r w:rsidR="00137A95" w:rsidRPr="00CC3A91">
        <w:rPr>
          <w:rFonts w:asciiTheme="majorHAnsi" w:hAnsiTheme="majorHAnsi"/>
          <w:szCs w:val="22"/>
          <w:lang w:val="es-ES_tradnl"/>
        </w:rPr>
        <w:t>000</w:t>
      </w:r>
      <w:r w:rsidR="00891541" w:rsidRPr="00CC3A91">
        <w:rPr>
          <w:rFonts w:asciiTheme="majorHAnsi" w:hAnsiTheme="majorHAnsi"/>
          <w:szCs w:val="22"/>
          <w:lang w:val="es-ES_tradnl"/>
        </w:rPr>
        <w:t xml:space="preserve"> francos suizos. </w:t>
      </w:r>
      <w:r w:rsidR="001F5F62" w:rsidRPr="00CC3A91">
        <w:rPr>
          <w:rFonts w:asciiTheme="majorHAnsi" w:hAnsiTheme="majorHAnsi"/>
          <w:szCs w:val="22"/>
          <w:lang w:val="es-ES_tradnl"/>
        </w:rPr>
        <w:t>S</w:t>
      </w:r>
      <w:r w:rsidR="00891541" w:rsidRPr="00CC3A91">
        <w:rPr>
          <w:rFonts w:asciiTheme="majorHAnsi" w:hAnsiTheme="majorHAnsi"/>
          <w:szCs w:val="22"/>
          <w:lang w:val="es-ES_tradnl"/>
        </w:rPr>
        <w:t xml:space="preserve">egundo, hay una partida de 120.000 francos suizos (40.000 francos suizos anuales) </w:t>
      </w:r>
      <w:r w:rsidR="004E3AAF" w:rsidRPr="00CC3A91">
        <w:rPr>
          <w:rFonts w:asciiTheme="majorHAnsi" w:hAnsiTheme="majorHAnsi"/>
          <w:szCs w:val="22"/>
          <w:lang w:val="es-ES_tradnl"/>
        </w:rPr>
        <w:t>d</w:t>
      </w:r>
      <w:r w:rsidR="00891541" w:rsidRPr="00CC3A91">
        <w:rPr>
          <w:rFonts w:asciiTheme="majorHAnsi" w:hAnsiTheme="majorHAnsi"/>
          <w:szCs w:val="22"/>
          <w:lang w:val="es-ES_tradnl"/>
        </w:rPr>
        <w:t>el presupuesto</w:t>
      </w:r>
      <w:r w:rsidR="0088725B" w:rsidRPr="00CC3A91">
        <w:rPr>
          <w:rFonts w:asciiTheme="majorHAnsi" w:hAnsiTheme="majorHAnsi"/>
          <w:szCs w:val="22"/>
          <w:lang w:val="es-ES_tradnl"/>
        </w:rPr>
        <w:t xml:space="preserve"> </w:t>
      </w:r>
      <w:r w:rsidR="001F5F62" w:rsidRPr="00CC3A91">
        <w:rPr>
          <w:rFonts w:asciiTheme="majorHAnsi" w:hAnsiTheme="majorHAnsi"/>
          <w:szCs w:val="22"/>
          <w:lang w:val="es-ES_tradnl"/>
        </w:rPr>
        <w:t xml:space="preserve">2016-2018 </w:t>
      </w:r>
      <w:r w:rsidR="00891541" w:rsidRPr="00CC3A91">
        <w:rPr>
          <w:rFonts w:asciiTheme="majorHAnsi" w:hAnsiTheme="majorHAnsi"/>
          <w:szCs w:val="22"/>
          <w:lang w:val="es-ES_tradnl"/>
        </w:rPr>
        <w:t xml:space="preserve">para la aplicación del plan de trabajo. Tercero, gracias a la planificación cuidadosa de las </w:t>
      </w:r>
      <w:r w:rsidR="00D30888" w:rsidRPr="00CC3A91">
        <w:rPr>
          <w:rFonts w:asciiTheme="majorHAnsi" w:hAnsiTheme="majorHAnsi"/>
          <w:szCs w:val="22"/>
          <w:lang w:val="es-ES_tradnl"/>
        </w:rPr>
        <w:t xml:space="preserve">reuniones del GECT, quedan </w:t>
      </w:r>
      <w:r w:rsidR="001F5F62" w:rsidRPr="00CC3A91">
        <w:rPr>
          <w:rFonts w:asciiTheme="majorHAnsi" w:hAnsiTheme="majorHAnsi"/>
          <w:szCs w:val="22"/>
          <w:lang w:val="es-ES_tradnl"/>
        </w:rPr>
        <w:t>50</w:t>
      </w:r>
      <w:r w:rsidR="00D30888" w:rsidRPr="00CC3A91">
        <w:rPr>
          <w:rFonts w:asciiTheme="majorHAnsi" w:hAnsiTheme="majorHAnsi"/>
          <w:szCs w:val="22"/>
          <w:lang w:val="es-ES_tradnl"/>
        </w:rPr>
        <w:t>.</w:t>
      </w:r>
      <w:r w:rsidR="001F5F62" w:rsidRPr="00CC3A91">
        <w:rPr>
          <w:rFonts w:asciiTheme="majorHAnsi" w:hAnsiTheme="majorHAnsi"/>
          <w:szCs w:val="22"/>
          <w:lang w:val="es-ES_tradnl"/>
        </w:rPr>
        <w:t>000</w:t>
      </w:r>
      <w:r w:rsidR="00D30888" w:rsidRPr="00CC3A91">
        <w:rPr>
          <w:rFonts w:asciiTheme="majorHAnsi" w:hAnsiTheme="majorHAnsi"/>
          <w:szCs w:val="22"/>
          <w:lang w:val="es-ES_tradnl"/>
        </w:rPr>
        <w:t xml:space="preserve"> francos suizos de la partida del presupuesto 2016 asignada para las reuniones del GECT.</w:t>
      </w:r>
      <w:r w:rsidR="0088725B" w:rsidRPr="00CC3A91">
        <w:rPr>
          <w:rFonts w:asciiTheme="majorHAnsi" w:hAnsiTheme="majorHAnsi"/>
          <w:szCs w:val="22"/>
          <w:lang w:val="es-ES_tradnl"/>
        </w:rPr>
        <w:t xml:space="preserve"> </w:t>
      </w:r>
      <w:r w:rsidR="001F5F62" w:rsidRPr="00CC3A91">
        <w:rPr>
          <w:rFonts w:asciiTheme="majorHAnsi" w:hAnsiTheme="majorHAnsi"/>
          <w:szCs w:val="22"/>
          <w:lang w:val="es-ES_tradnl"/>
        </w:rPr>
        <w:t>(</w:t>
      </w:r>
      <w:r w:rsidR="00D30888" w:rsidRPr="00CC3A91">
        <w:rPr>
          <w:rFonts w:asciiTheme="majorHAnsi" w:hAnsiTheme="majorHAnsi"/>
          <w:szCs w:val="22"/>
          <w:lang w:val="es-ES_tradnl"/>
        </w:rPr>
        <w:t xml:space="preserve">La 19ª reunión del GECT, celebrada en </w:t>
      </w:r>
      <w:r w:rsidR="001F5F62" w:rsidRPr="00CC3A91">
        <w:rPr>
          <w:rFonts w:asciiTheme="majorHAnsi" w:hAnsiTheme="majorHAnsi"/>
          <w:szCs w:val="22"/>
          <w:lang w:val="es-ES_tradnl"/>
        </w:rPr>
        <w:t xml:space="preserve">2015, </w:t>
      </w:r>
      <w:r w:rsidR="00D30888" w:rsidRPr="00CC3A91">
        <w:rPr>
          <w:rFonts w:asciiTheme="majorHAnsi" w:hAnsiTheme="majorHAnsi"/>
          <w:szCs w:val="22"/>
          <w:lang w:val="es-ES_tradnl"/>
        </w:rPr>
        <w:t>se financió de l</w:t>
      </w:r>
      <w:r w:rsidR="004E3AAF" w:rsidRPr="00CC3A91">
        <w:rPr>
          <w:rFonts w:asciiTheme="majorHAnsi" w:hAnsiTheme="majorHAnsi"/>
          <w:szCs w:val="22"/>
          <w:lang w:val="es-ES_tradnl"/>
        </w:rPr>
        <w:t xml:space="preserve">os fondos asignados para reuniones en </w:t>
      </w:r>
      <w:r w:rsidR="004E3AAF" w:rsidRPr="00CC3A91">
        <w:rPr>
          <w:rFonts w:asciiTheme="majorHAnsi" w:hAnsiTheme="majorHAnsi"/>
          <w:szCs w:val="22"/>
          <w:lang w:val="es-ES_tradnl"/>
        </w:rPr>
        <w:lastRenderedPageBreak/>
        <w:t>2015</w:t>
      </w:r>
      <w:r w:rsidR="001F5F62" w:rsidRPr="00CC3A91">
        <w:rPr>
          <w:rFonts w:asciiTheme="majorHAnsi" w:hAnsiTheme="majorHAnsi"/>
          <w:szCs w:val="22"/>
          <w:lang w:val="es-ES_tradnl"/>
        </w:rPr>
        <w:t xml:space="preserve">; </w:t>
      </w:r>
      <w:r w:rsidR="00D30888" w:rsidRPr="00CC3A91">
        <w:rPr>
          <w:rFonts w:asciiTheme="majorHAnsi" w:hAnsiTheme="majorHAnsi"/>
          <w:szCs w:val="22"/>
          <w:lang w:val="es-ES_tradnl"/>
        </w:rPr>
        <w:t>la 20ª reunión del GECT tendrá lugar en 2017 y se financiará de los fon</w:t>
      </w:r>
      <w:r w:rsidR="004E3AAF" w:rsidRPr="00CC3A91">
        <w:rPr>
          <w:rFonts w:asciiTheme="majorHAnsi" w:hAnsiTheme="majorHAnsi"/>
          <w:szCs w:val="22"/>
          <w:lang w:val="es-ES_tradnl"/>
        </w:rPr>
        <w:t xml:space="preserve">dos asignados para reuniones en </w:t>
      </w:r>
      <w:r w:rsidR="00D30888" w:rsidRPr="00CC3A91">
        <w:rPr>
          <w:rFonts w:asciiTheme="majorHAnsi" w:hAnsiTheme="majorHAnsi"/>
          <w:szCs w:val="22"/>
          <w:lang w:val="es-ES_tradnl"/>
        </w:rPr>
        <w:t>2017</w:t>
      </w:r>
      <w:r w:rsidR="001F5F62" w:rsidRPr="00CC3A91">
        <w:rPr>
          <w:rFonts w:asciiTheme="majorHAnsi" w:hAnsiTheme="majorHAnsi"/>
          <w:szCs w:val="22"/>
          <w:lang w:val="es-ES_tradnl"/>
        </w:rPr>
        <w:t xml:space="preserve">.) </w:t>
      </w:r>
      <w:r w:rsidR="00D30888" w:rsidRPr="00CC3A91">
        <w:rPr>
          <w:rFonts w:asciiTheme="majorHAnsi" w:hAnsiTheme="majorHAnsi"/>
          <w:szCs w:val="22"/>
          <w:lang w:val="es-ES_tradnl"/>
        </w:rPr>
        <w:t xml:space="preserve">Suponiendo que los fondos para </w:t>
      </w:r>
      <w:r w:rsidR="004E3AAF" w:rsidRPr="00CC3A91">
        <w:rPr>
          <w:rFonts w:asciiTheme="majorHAnsi" w:hAnsiTheme="majorHAnsi"/>
          <w:szCs w:val="22"/>
          <w:lang w:val="es-ES_tradnl"/>
        </w:rPr>
        <w:t>las reuniones del 2016 se destin</w:t>
      </w:r>
      <w:r w:rsidR="00D30888" w:rsidRPr="00CC3A91">
        <w:rPr>
          <w:rFonts w:asciiTheme="majorHAnsi" w:hAnsiTheme="majorHAnsi"/>
          <w:szCs w:val="22"/>
          <w:lang w:val="es-ES_tradnl"/>
        </w:rPr>
        <w:t xml:space="preserve">en a las reuniones </w:t>
      </w:r>
      <w:r w:rsidR="004E3AAF" w:rsidRPr="00CC3A91">
        <w:rPr>
          <w:rFonts w:asciiTheme="majorHAnsi" w:hAnsiTheme="majorHAnsi"/>
          <w:szCs w:val="22"/>
          <w:lang w:val="es-ES_tradnl"/>
        </w:rPr>
        <w:t xml:space="preserve">de autores y </w:t>
      </w:r>
      <w:r w:rsidR="00D30888" w:rsidRPr="00CC3A91">
        <w:rPr>
          <w:rFonts w:asciiTheme="majorHAnsi" w:hAnsiTheme="majorHAnsi"/>
          <w:szCs w:val="22"/>
          <w:lang w:val="es-ES_tradnl"/>
        </w:rPr>
        <w:t xml:space="preserve">talleres, quedarían aproximadamente </w:t>
      </w:r>
      <w:r w:rsidR="00990656" w:rsidRPr="00CC3A91">
        <w:rPr>
          <w:rFonts w:asciiTheme="majorHAnsi" w:hAnsiTheme="majorHAnsi"/>
          <w:szCs w:val="22"/>
          <w:lang w:val="es-ES_tradnl"/>
        </w:rPr>
        <w:t>288</w:t>
      </w:r>
      <w:r w:rsidR="00D30888" w:rsidRPr="00CC3A91">
        <w:rPr>
          <w:rFonts w:asciiTheme="majorHAnsi" w:hAnsiTheme="majorHAnsi"/>
          <w:szCs w:val="22"/>
          <w:lang w:val="es-ES_tradnl"/>
        </w:rPr>
        <w:t>.</w:t>
      </w:r>
      <w:r w:rsidR="00990656" w:rsidRPr="00CC3A91">
        <w:rPr>
          <w:rFonts w:asciiTheme="majorHAnsi" w:hAnsiTheme="majorHAnsi"/>
          <w:szCs w:val="22"/>
          <w:lang w:val="es-ES_tradnl"/>
        </w:rPr>
        <w:t>000</w:t>
      </w:r>
      <w:r w:rsidR="00D30888" w:rsidRPr="00CC3A91">
        <w:rPr>
          <w:rFonts w:asciiTheme="majorHAnsi" w:hAnsiTheme="majorHAnsi"/>
          <w:szCs w:val="22"/>
          <w:lang w:val="es-ES_tradnl"/>
        </w:rPr>
        <w:t xml:space="preserve"> francos suizos </w:t>
      </w:r>
      <w:r w:rsidR="004E3AAF" w:rsidRPr="00CC3A91">
        <w:rPr>
          <w:rFonts w:asciiTheme="majorHAnsi" w:hAnsiTheme="majorHAnsi"/>
          <w:szCs w:val="22"/>
          <w:lang w:val="es-ES_tradnl"/>
        </w:rPr>
        <w:t xml:space="preserve">disponibles </w:t>
      </w:r>
      <w:r w:rsidR="00D30888" w:rsidRPr="00CC3A91">
        <w:rPr>
          <w:rFonts w:asciiTheme="majorHAnsi" w:hAnsiTheme="majorHAnsi"/>
          <w:szCs w:val="22"/>
          <w:lang w:val="es-ES_tradnl"/>
        </w:rPr>
        <w:t>para la aplicación del plan de trabajo</w:t>
      </w:r>
      <w:r w:rsidR="00990656" w:rsidRPr="00CC3A91">
        <w:rPr>
          <w:rFonts w:asciiTheme="majorHAnsi" w:hAnsiTheme="majorHAnsi"/>
          <w:szCs w:val="22"/>
          <w:lang w:val="es-ES_tradnl"/>
        </w:rPr>
        <w:t>.</w:t>
      </w:r>
    </w:p>
    <w:p w14:paraId="324F4C76" w14:textId="77777777" w:rsidR="00CE00F8" w:rsidRPr="00CC3A91" w:rsidRDefault="00CE00F8" w:rsidP="00FB3790">
      <w:pPr>
        <w:pStyle w:val="ListParagraph"/>
        <w:ind w:left="426" w:hanging="426"/>
        <w:rPr>
          <w:rFonts w:asciiTheme="majorHAnsi" w:hAnsiTheme="majorHAnsi"/>
          <w:szCs w:val="22"/>
          <w:lang w:val="es-ES_tradnl"/>
        </w:rPr>
      </w:pPr>
    </w:p>
    <w:p w14:paraId="22E8095B" w14:textId="1C85F04E" w:rsidR="00CE00F8" w:rsidRPr="00CC3A91" w:rsidRDefault="00D30888"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Además</w:t>
      </w:r>
      <w:r w:rsidR="008F169F" w:rsidRPr="00CC3A91">
        <w:rPr>
          <w:rFonts w:asciiTheme="majorHAnsi" w:hAnsiTheme="majorHAnsi"/>
          <w:szCs w:val="22"/>
          <w:lang w:val="es-ES_tradnl"/>
        </w:rPr>
        <w:t xml:space="preserve">, </w:t>
      </w:r>
      <w:r w:rsidRPr="00CC3A91">
        <w:rPr>
          <w:rFonts w:asciiTheme="majorHAnsi" w:hAnsiTheme="majorHAnsi"/>
          <w:szCs w:val="22"/>
          <w:lang w:val="es-ES_tradnl"/>
        </w:rPr>
        <w:t xml:space="preserve">es posible que </w:t>
      </w:r>
      <w:r w:rsidR="00246FC8" w:rsidRPr="00CC3A91">
        <w:rPr>
          <w:rFonts w:asciiTheme="majorHAnsi" w:hAnsiTheme="majorHAnsi"/>
          <w:szCs w:val="22"/>
          <w:lang w:val="es-ES_tradnl"/>
        </w:rPr>
        <w:t>WWF</w:t>
      </w:r>
      <w:r w:rsidR="001F3367" w:rsidRPr="00CC3A91">
        <w:rPr>
          <w:rFonts w:asciiTheme="majorHAnsi" w:hAnsiTheme="majorHAnsi"/>
          <w:szCs w:val="22"/>
          <w:lang w:val="es-ES_tradnl"/>
        </w:rPr>
        <w:t xml:space="preserve"> </w:t>
      </w:r>
      <w:r w:rsidRPr="00CC3A91">
        <w:rPr>
          <w:rFonts w:asciiTheme="majorHAnsi" w:hAnsiTheme="majorHAnsi"/>
          <w:szCs w:val="22"/>
          <w:lang w:val="es-ES_tradnl"/>
        </w:rPr>
        <w:t xml:space="preserve">pueda financiar totalmente la Tarea </w:t>
      </w:r>
      <w:r w:rsidR="001F3367" w:rsidRPr="00CC3A91">
        <w:rPr>
          <w:rFonts w:asciiTheme="majorHAnsi" w:hAnsiTheme="majorHAnsi"/>
          <w:szCs w:val="22"/>
          <w:lang w:val="es-ES_tradnl"/>
        </w:rPr>
        <w:t>4.1 (100</w:t>
      </w:r>
      <w:r w:rsidRPr="00CC3A91">
        <w:rPr>
          <w:rFonts w:asciiTheme="majorHAnsi" w:hAnsiTheme="majorHAnsi"/>
          <w:szCs w:val="22"/>
          <w:lang w:val="es-ES_tradnl"/>
        </w:rPr>
        <w:t>.</w:t>
      </w:r>
      <w:r w:rsidR="001F3367" w:rsidRPr="00CC3A91">
        <w:rPr>
          <w:rFonts w:asciiTheme="majorHAnsi" w:hAnsiTheme="majorHAnsi"/>
          <w:szCs w:val="22"/>
          <w:lang w:val="es-ES_tradnl"/>
        </w:rPr>
        <w:t>000</w:t>
      </w:r>
      <w:r w:rsidRPr="00CC3A91">
        <w:rPr>
          <w:rFonts w:asciiTheme="majorHAnsi" w:hAnsiTheme="majorHAnsi"/>
          <w:szCs w:val="22"/>
          <w:lang w:val="es-ES_tradnl"/>
        </w:rPr>
        <w:t xml:space="preserve"> francos suizos</w:t>
      </w:r>
      <w:r w:rsidR="001F3367" w:rsidRPr="00CC3A91">
        <w:rPr>
          <w:rFonts w:asciiTheme="majorHAnsi" w:hAnsiTheme="majorHAnsi"/>
          <w:szCs w:val="22"/>
          <w:lang w:val="es-ES_tradnl"/>
        </w:rPr>
        <w:t xml:space="preserve">; </w:t>
      </w:r>
      <w:r w:rsidRPr="00CC3A91">
        <w:rPr>
          <w:rFonts w:asciiTheme="majorHAnsi" w:hAnsiTheme="majorHAnsi"/>
          <w:szCs w:val="22"/>
          <w:lang w:val="es-ES_tradnl"/>
        </w:rPr>
        <w:t xml:space="preserve">Necesidades </w:t>
      </w:r>
      <w:r w:rsidR="004B2344" w:rsidRPr="00CC3A91">
        <w:rPr>
          <w:rFonts w:asciiTheme="majorHAnsi" w:hAnsiTheme="majorHAnsi"/>
          <w:szCs w:val="22"/>
          <w:lang w:val="es-ES_tradnl"/>
        </w:rPr>
        <w:t>hídricas de los humedales</w:t>
      </w:r>
      <w:r w:rsidR="001F3367" w:rsidRPr="00CC3A91">
        <w:rPr>
          <w:rFonts w:asciiTheme="majorHAnsi" w:hAnsiTheme="majorHAnsi"/>
          <w:szCs w:val="22"/>
          <w:lang w:val="es-ES_tradnl"/>
        </w:rPr>
        <w:t>)</w:t>
      </w:r>
      <w:r w:rsidR="004B2344" w:rsidRPr="00CC3A91">
        <w:rPr>
          <w:rFonts w:asciiTheme="majorHAnsi" w:hAnsiTheme="majorHAnsi"/>
          <w:szCs w:val="22"/>
          <w:lang w:val="es-ES_tradnl"/>
        </w:rPr>
        <w:t xml:space="preserve">, y parcialmente la Tarea </w:t>
      </w:r>
      <w:r w:rsidR="001F3367" w:rsidRPr="00CC3A91">
        <w:rPr>
          <w:rFonts w:asciiTheme="majorHAnsi" w:hAnsiTheme="majorHAnsi"/>
          <w:szCs w:val="22"/>
          <w:lang w:val="es-ES_tradnl"/>
        </w:rPr>
        <w:t>4.2 (22</w:t>
      </w:r>
      <w:r w:rsidR="004B2344" w:rsidRPr="00CC3A91">
        <w:rPr>
          <w:rFonts w:asciiTheme="majorHAnsi" w:hAnsiTheme="majorHAnsi"/>
          <w:szCs w:val="22"/>
          <w:lang w:val="es-ES_tradnl"/>
        </w:rPr>
        <w:t>.</w:t>
      </w:r>
      <w:r w:rsidR="001F3367" w:rsidRPr="00CC3A91">
        <w:rPr>
          <w:rFonts w:asciiTheme="majorHAnsi" w:hAnsiTheme="majorHAnsi"/>
          <w:szCs w:val="22"/>
          <w:lang w:val="es-ES_tradnl"/>
        </w:rPr>
        <w:t>000</w:t>
      </w:r>
      <w:r w:rsidR="004B2344" w:rsidRPr="00CC3A91">
        <w:rPr>
          <w:rFonts w:asciiTheme="majorHAnsi" w:hAnsiTheme="majorHAnsi"/>
          <w:szCs w:val="22"/>
          <w:lang w:val="es-ES_tradnl"/>
        </w:rPr>
        <w:t xml:space="preserve"> francos suizos</w:t>
      </w:r>
      <w:r w:rsidR="001F3367" w:rsidRPr="00CC3A91">
        <w:rPr>
          <w:rFonts w:asciiTheme="majorHAnsi" w:hAnsiTheme="majorHAnsi"/>
          <w:szCs w:val="22"/>
          <w:lang w:val="es-ES_tradnl"/>
        </w:rPr>
        <w:t xml:space="preserve">; </w:t>
      </w:r>
      <w:r w:rsidR="00FD5EF9" w:rsidRPr="00CC3A91">
        <w:rPr>
          <w:rFonts w:asciiTheme="majorHAnsi" w:hAnsiTheme="majorHAnsi"/>
          <w:szCs w:val="22"/>
          <w:lang w:val="es-ES_tradnl"/>
        </w:rPr>
        <w:t xml:space="preserve">Examen y </w:t>
      </w:r>
      <w:r w:rsidR="001F3367" w:rsidRPr="00CC3A91">
        <w:rPr>
          <w:rFonts w:asciiTheme="majorHAnsi" w:hAnsiTheme="majorHAnsi"/>
          <w:szCs w:val="22"/>
          <w:lang w:val="es-ES_tradnl"/>
        </w:rPr>
        <w:t>An</w:t>
      </w:r>
      <w:r w:rsidR="00FD5EF9" w:rsidRPr="00CC3A91">
        <w:rPr>
          <w:rFonts w:asciiTheme="majorHAnsi" w:hAnsiTheme="majorHAnsi"/>
          <w:szCs w:val="22"/>
          <w:lang w:val="es-ES_tradnl"/>
        </w:rPr>
        <w:t xml:space="preserve">álisis delos informes de las Misiones Ramsar de Asesoramiento). </w:t>
      </w:r>
      <w:r w:rsidR="004B2344" w:rsidRPr="00CC3A91">
        <w:rPr>
          <w:rFonts w:asciiTheme="majorHAnsi" w:hAnsiTheme="majorHAnsi"/>
          <w:szCs w:val="22"/>
          <w:lang w:val="es-ES_tradnl"/>
        </w:rPr>
        <w:t xml:space="preserve">El GECT valora muy positivamente el apoyo firme de WWF a la Convención. </w:t>
      </w:r>
    </w:p>
    <w:p w14:paraId="15060484" w14:textId="77777777" w:rsidR="00CE00F8" w:rsidRPr="00CC3A91" w:rsidRDefault="00CE00F8" w:rsidP="00FB3790">
      <w:pPr>
        <w:ind w:left="426" w:hanging="426"/>
        <w:rPr>
          <w:rFonts w:asciiTheme="majorHAnsi" w:hAnsiTheme="majorHAnsi"/>
          <w:sz w:val="22"/>
          <w:szCs w:val="22"/>
          <w:lang w:val="es-ES_tradnl"/>
        </w:rPr>
      </w:pPr>
    </w:p>
    <w:p w14:paraId="0B3EE28F" w14:textId="2339249C" w:rsidR="00CE00F8" w:rsidRPr="00CC3A91" w:rsidRDefault="004B2344"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Teniendo en cuenta los recursos disponibles, el Grupo recomienda que se preste una atención especial a las diez tareas </w:t>
      </w:r>
      <w:r w:rsidR="005F6A5A" w:rsidRPr="00CC3A91">
        <w:rPr>
          <w:rFonts w:asciiTheme="majorHAnsi" w:hAnsiTheme="majorHAnsi"/>
          <w:szCs w:val="22"/>
          <w:lang w:val="es-ES_tradnl"/>
        </w:rPr>
        <w:t>que figuran</w:t>
      </w:r>
      <w:r w:rsidRPr="00CC3A91">
        <w:rPr>
          <w:rFonts w:asciiTheme="majorHAnsi" w:hAnsiTheme="majorHAnsi"/>
          <w:szCs w:val="22"/>
          <w:lang w:val="es-ES_tradnl"/>
        </w:rPr>
        <w:t xml:space="preserve"> a continuación</w:t>
      </w:r>
      <w:r w:rsidR="00F759C8" w:rsidRPr="00CC3A91">
        <w:rPr>
          <w:rFonts w:asciiTheme="majorHAnsi" w:hAnsiTheme="majorHAnsi"/>
          <w:szCs w:val="22"/>
          <w:lang w:val="es-ES_tradnl"/>
        </w:rPr>
        <w:t>,</w:t>
      </w:r>
      <w:r w:rsidR="0088725B" w:rsidRPr="00CC3A91">
        <w:rPr>
          <w:rFonts w:asciiTheme="majorHAnsi" w:hAnsiTheme="majorHAnsi"/>
          <w:szCs w:val="22"/>
          <w:lang w:val="es-ES_tradnl"/>
        </w:rPr>
        <w:t xml:space="preserve"> </w:t>
      </w:r>
      <w:r w:rsidRPr="00CC3A91">
        <w:rPr>
          <w:rFonts w:asciiTheme="majorHAnsi" w:hAnsiTheme="majorHAnsi" w:cs="Arial"/>
          <w:szCs w:val="22"/>
          <w:lang w:val="es-ES_tradnl"/>
        </w:rPr>
        <w:t>en el orden en que aparecen en el plan de trabajo</w:t>
      </w:r>
      <w:r w:rsidR="00F759C8" w:rsidRPr="00CC3A91">
        <w:rPr>
          <w:rFonts w:asciiTheme="majorHAnsi" w:hAnsiTheme="majorHAnsi" w:cs="Arial"/>
          <w:szCs w:val="22"/>
          <w:lang w:val="es-ES_tradnl"/>
        </w:rPr>
        <w:t xml:space="preserve">, </w:t>
      </w:r>
      <w:r w:rsidR="005F6A5A" w:rsidRPr="00CC3A91">
        <w:rPr>
          <w:rFonts w:asciiTheme="majorHAnsi" w:hAnsiTheme="majorHAnsi" w:cs="Arial"/>
          <w:szCs w:val="22"/>
          <w:lang w:val="es-ES_tradnl"/>
        </w:rPr>
        <w:t xml:space="preserve">y asimismo al </w:t>
      </w:r>
      <w:r w:rsidR="00F759C8" w:rsidRPr="00CC3A91">
        <w:rPr>
          <w:rFonts w:asciiTheme="majorHAnsi" w:hAnsiTheme="majorHAnsi"/>
          <w:szCs w:val="22"/>
          <w:lang w:val="es-ES_tradnl"/>
        </w:rPr>
        <w:t>informe sobre</w:t>
      </w:r>
      <w:r w:rsidR="00FD2638" w:rsidRPr="00CC3A91">
        <w:rPr>
          <w:rFonts w:asciiTheme="majorHAnsi" w:hAnsiTheme="majorHAnsi"/>
          <w:szCs w:val="22"/>
          <w:lang w:val="es-ES_tradnl"/>
        </w:rPr>
        <w:t xml:space="preserve"> el</w:t>
      </w:r>
      <w:r w:rsidR="00F759C8" w:rsidRPr="00CC3A91">
        <w:rPr>
          <w:rFonts w:asciiTheme="majorHAnsi" w:hAnsiTheme="majorHAnsi"/>
          <w:szCs w:val="22"/>
          <w:lang w:val="es-ES_tradnl"/>
        </w:rPr>
        <w:t xml:space="preserve"> EHMS</w:t>
      </w:r>
      <w:r w:rsidRPr="00CC3A91">
        <w:rPr>
          <w:rFonts w:asciiTheme="majorHAnsi" w:hAnsiTheme="majorHAnsi" w:cs="Arial"/>
          <w:szCs w:val="22"/>
          <w:lang w:val="es-ES_tradnl"/>
        </w:rPr>
        <w:t xml:space="preserve">. El costo total </w:t>
      </w:r>
      <w:r w:rsidR="00F437E8" w:rsidRPr="00CC3A91">
        <w:rPr>
          <w:rFonts w:asciiTheme="majorHAnsi" w:hAnsiTheme="majorHAnsi" w:cs="Arial"/>
          <w:szCs w:val="22"/>
          <w:lang w:val="es-ES_tradnl"/>
        </w:rPr>
        <w:t>estimado correspondiente a estas tareas propuestas como más</w:t>
      </w:r>
      <w:r w:rsidR="001D1772" w:rsidRPr="00CC3A91">
        <w:rPr>
          <w:rFonts w:asciiTheme="majorHAnsi" w:hAnsiTheme="majorHAnsi" w:cs="Arial"/>
          <w:szCs w:val="22"/>
          <w:lang w:val="es-ES_tradnl"/>
        </w:rPr>
        <w:t xml:space="preserve"> priori</w:t>
      </w:r>
      <w:r w:rsidR="00F437E8" w:rsidRPr="00CC3A91">
        <w:rPr>
          <w:rFonts w:asciiTheme="majorHAnsi" w:hAnsiTheme="majorHAnsi" w:cs="Arial"/>
          <w:szCs w:val="22"/>
          <w:lang w:val="es-ES_tradnl"/>
        </w:rPr>
        <w:t xml:space="preserve">tarias </w:t>
      </w:r>
      <w:r w:rsidR="008B2B77" w:rsidRPr="00CC3A91">
        <w:rPr>
          <w:rFonts w:asciiTheme="majorHAnsi" w:hAnsiTheme="majorHAnsi" w:cs="Arial"/>
          <w:szCs w:val="22"/>
          <w:lang w:val="es-ES_tradnl"/>
        </w:rPr>
        <w:t>(“</w:t>
      </w:r>
      <w:r w:rsidR="00F759C8" w:rsidRPr="00CC3A91">
        <w:rPr>
          <w:rFonts w:asciiTheme="majorHAnsi" w:hAnsiTheme="majorHAnsi" w:cs="Arial"/>
          <w:szCs w:val="22"/>
          <w:lang w:val="es-ES_tradnl"/>
        </w:rPr>
        <w:t xml:space="preserve">EHMS </w:t>
      </w:r>
      <w:r w:rsidR="008B2B77" w:rsidRPr="00CC3A91">
        <w:rPr>
          <w:rFonts w:asciiTheme="majorHAnsi" w:hAnsiTheme="majorHAnsi" w:cs="Arial"/>
          <w:szCs w:val="22"/>
          <w:lang w:val="es-ES_tradnl"/>
        </w:rPr>
        <w:t xml:space="preserve">+ 10”) </w:t>
      </w:r>
      <w:r w:rsidR="00F437E8" w:rsidRPr="00CC3A91">
        <w:rPr>
          <w:rFonts w:asciiTheme="majorHAnsi" w:hAnsiTheme="majorHAnsi" w:cs="Arial"/>
          <w:szCs w:val="22"/>
          <w:lang w:val="es-ES_tradnl"/>
        </w:rPr>
        <w:t xml:space="preserve">es de </w:t>
      </w:r>
      <w:r w:rsidR="008B2B77" w:rsidRPr="00CC3A91">
        <w:rPr>
          <w:rFonts w:asciiTheme="majorHAnsi" w:hAnsiTheme="majorHAnsi" w:cs="Arial"/>
          <w:szCs w:val="22"/>
          <w:lang w:val="es-ES_tradnl"/>
        </w:rPr>
        <w:t>3</w:t>
      </w:r>
      <w:r w:rsidR="00F27FDD" w:rsidRPr="00CC3A91">
        <w:rPr>
          <w:rFonts w:asciiTheme="majorHAnsi" w:hAnsiTheme="majorHAnsi" w:cs="Arial"/>
          <w:szCs w:val="22"/>
          <w:lang w:val="es-ES_tradnl"/>
        </w:rPr>
        <w:t>17</w:t>
      </w:r>
      <w:r w:rsidR="00F437E8" w:rsidRPr="00CC3A91">
        <w:rPr>
          <w:rFonts w:asciiTheme="majorHAnsi" w:hAnsiTheme="majorHAnsi" w:cs="Arial"/>
          <w:szCs w:val="22"/>
          <w:lang w:val="es-ES_tradnl"/>
        </w:rPr>
        <w:t>.</w:t>
      </w:r>
      <w:r w:rsidR="008B2B77" w:rsidRPr="00CC3A91">
        <w:rPr>
          <w:rFonts w:asciiTheme="majorHAnsi" w:hAnsiTheme="majorHAnsi" w:cs="Arial"/>
          <w:szCs w:val="22"/>
          <w:lang w:val="es-ES_tradnl"/>
        </w:rPr>
        <w:t>300</w:t>
      </w:r>
      <w:r w:rsidR="00F437E8" w:rsidRPr="00CC3A91">
        <w:rPr>
          <w:rFonts w:asciiTheme="majorHAnsi" w:hAnsiTheme="majorHAnsi" w:cs="Arial"/>
          <w:szCs w:val="22"/>
          <w:lang w:val="es-ES_tradnl"/>
        </w:rPr>
        <w:t xml:space="preserve"> francos suizos</w:t>
      </w:r>
      <w:r w:rsidR="008B2B77" w:rsidRPr="00CC3A91">
        <w:rPr>
          <w:rFonts w:asciiTheme="majorHAnsi" w:hAnsiTheme="majorHAnsi" w:cs="Arial"/>
          <w:szCs w:val="22"/>
          <w:lang w:val="es-ES_tradnl"/>
        </w:rPr>
        <w:t xml:space="preserve">, </w:t>
      </w:r>
      <w:r w:rsidR="00F437E8" w:rsidRPr="00CC3A91">
        <w:rPr>
          <w:rFonts w:asciiTheme="majorHAnsi" w:hAnsiTheme="majorHAnsi" w:cs="Arial"/>
          <w:szCs w:val="22"/>
          <w:lang w:val="es-ES_tradnl"/>
        </w:rPr>
        <w:t xml:space="preserve">lo que supone un </w:t>
      </w:r>
      <w:r w:rsidR="00F759C8" w:rsidRPr="00CC3A91">
        <w:rPr>
          <w:rFonts w:asciiTheme="majorHAnsi" w:hAnsiTheme="majorHAnsi" w:cs="Arial"/>
          <w:szCs w:val="22"/>
          <w:lang w:val="es-ES_tradnl"/>
        </w:rPr>
        <w:t xml:space="preserve">déficit de </w:t>
      </w:r>
      <w:r w:rsidR="00F27FDD" w:rsidRPr="00CC3A91">
        <w:rPr>
          <w:rFonts w:asciiTheme="majorHAnsi" w:hAnsiTheme="majorHAnsi" w:cs="Arial"/>
          <w:szCs w:val="22"/>
          <w:lang w:val="es-ES_tradnl"/>
        </w:rPr>
        <w:t>29</w:t>
      </w:r>
      <w:r w:rsidR="00F759C8" w:rsidRPr="00CC3A91">
        <w:rPr>
          <w:rFonts w:asciiTheme="majorHAnsi" w:hAnsiTheme="majorHAnsi" w:cs="Arial"/>
          <w:szCs w:val="22"/>
          <w:lang w:val="es-ES_tradnl"/>
        </w:rPr>
        <w:t>.</w:t>
      </w:r>
      <w:r w:rsidR="008B2B77" w:rsidRPr="00CC3A91">
        <w:rPr>
          <w:rFonts w:asciiTheme="majorHAnsi" w:hAnsiTheme="majorHAnsi" w:cs="Arial"/>
          <w:szCs w:val="22"/>
          <w:lang w:val="es-ES_tradnl"/>
        </w:rPr>
        <w:t>300</w:t>
      </w:r>
      <w:r w:rsidR="00F759C8" w:rsidRPr="00CC3A91">
        <w:rPr>
          <w:rFonts w:asciiTheme="majorHAnsi" w:hAnsiTheme="majorHAnsi" w:cs="Arial"/>
          <w:szCs w:val="22"/>
          <w:lang w:val="es-ES_tradnl"/>
        </w:rPr>
        <w:t xml:space="preserve"> francos suizos. No obstante, hay que señalar que el importe estimado representa un costo máximo de maquetación, diseño, revisión, traducción y publicación desglosado en: hasta 9.000 francos suizos </w:t>
      </w:r>
      <w:r w:rsidR="002B34E4" w:rsidRPr="00CC3A91">
        <w:rPr>
          <w:rFonts w:asciiTheme="majorHAnsi" w:hAnsiTheme="majorHAnsi" w:cs="Arial"/>
          <w:szCs w:val="22"/>
          <w:lang w:val="es-ES_tradnl"/>
        </w:rPr>
        <w:t>para</w:t>
      </w:r>
      <w:r w:rsidR="00F759C8" w:rsidRPr="00CC3A91">
        <w:rPr>
          <w:rFonts w:asciiTheme="majorHAnsi" w:hAnsiTheme="majorHAnsi" w:cs="Arial"/>
          <w:szCs w:val="22"/>
          <w:lang w:val="es-ES_tradnl"/>
        </w:rPr>
        <w:t xml:space="preserve"> una Nota sobre polí</w:t>
      </w:r>
      <w:r w:rsidR="002B34E4" w:rsidRPr="00CC3A91">
        <w:rPr>
          <w:rFonts w:asciiTheme="majorHAnsi" w:hAnsiTheme="majorHAnsi" w:cs="Arial"/>
          <w:szCs w:val="22"/>
          <w:lang w:val="es-ES_tradnl"/>
        </w:rPr>
        <w:t>ticas; hasta 13.00</w:t>
      </w:r>
      <w:r w:rsidR="005F6A5A" w:rsidRPr="00CC3A91">
        <w:rPr>
          <w:rFonts w:asciiTheme="majorHAnsi" w:hAnsiTheme="majorHAnsi" w:cs="Arial"/>
          <w:szCs w:val="22"/>
          <w:lang w:val="es-ES_tradnl"/>
        </w:rPr>
        <w:t>0</w:t>
      </w:r>
      <w:r w:rsidR="002B34E4" w:rsidRPr="00CC3A91">
        <w:rPr>
          <w:rFonts w:asciiTheme="majorHAnsi" w:hAnsiTheme="majorHAnsi" w:cs="Arial"/>
          <w:szCs w:val="22"/>
          <w:lang w:val="es-ES_tradnl"/>
        </w:rPr>
        <w:t xml:space="preserve"> francos suizos para</w:t>
      </w:r>
      <w:r w:rsidR="00F759C8" w:rsidRPr="00CC3A91">
        <w:rPr>
          <w:rFonts w:asciiTheme="majorHAnsi" w:hAnsiTheme="majorHAnsi" w:cs="Arial"/>
          <w:szCs w:val="22"/>
          <w:lang w:val="es-ES_tradnl"/>
        </w:rPr>
        <w:t xml:space="preserve"> </w:t>
      </w:r>
      <w:r w:rsidR="002B34E4" w:rsidRPr="00CC3A91">
        <w:rPr>
          <w:rFonts w:asciiTheme="majorHAnsi" w:hAnsiTheme="majorHAnsi" w:cs="Arial"/>
          <w:szCs w:val="22"/>
          <w:lang w:val="es-ES_tradnl"/>
        </w:rPr>
        <w:t>una Nota Informativa; y</w:t>
      </w:r>
      <w:r w:rsidR="005F6A5A" w:rsidRPr="00CC3A91">
        <w:rPr>
          <w:rFonts w:asciiTheme="majorHAnsi" w:hAnsiTheme="majorHAnsi" w:cs="Arial"/>
          <w:szCs w:val="22"/>
          <w:lang w:val="es-ES_tradnl"/>
        </w:rPr>
        <w:t xml:space="preserve"> hasta 33.500 francos suizos para</w:t>
      </w:r>
      <w:r w:rsidR="002B34E4" w:rsidRPr="00CC3A91">
        <w:rPr>
          <w:rFonts w:asciiTheme="majorHAnsi" w:hAnsiTheme="majorHAnsi" w:cs="Arial"/>
          <w:szCs w:val="22"/>
          <w:lang w:val="es-ES_tradnl"/>
        </w:rPr>
        <w:t xml:space="preserve"> un Informe Técnico de Ramsar. Esperamos que en alg</w:t>
      </w:r>
      <w:r w:rsidR="005F6A5A" w:rsidRPr="00CC3A91">
        <w:rPr>
          <w:rFonts w:asciiTheme="majorHAnsi" w:hAnsiTheme="majorHAnsi" w:cs="Arial"/>
          <w:szCs w:val="22"/>
          <w:lang w:val="es-ES_tradnl"/>
        </w:rPr>
        <w:t>unos casos los costos reales se</w:t>
      </w:r>
      <w:r w:rsidR="002B34E4" w:rsidRPr="00CC3A91">
        <w:rPr>
          <w:rFonts w:asciiTheme="majorHAnsi" w:hAnsiTheme="majorHAnsi" w:cs="Arial"/>
          <w:szCs w:val="22"/>
          <w:lang w:val="es-ES_tradnl"/>
        </w:rPr>
        <w:t>an menores, por</w:t>
      </w:r>
      <w:r w:rsidR="005F6A5A" w:rsidRPr="00CC3A91">
        <w:rPr>
          <w:rFonts w:asciiTheme="majorHAnsi" w:hAnsiTheme="majorHAnsi" w:cs="Arial"/>
          <w:szCs w:val="22"/>
          <w:lang w:val="es-ES_tradnl"/>
        </w:rPr>
        <w:t xml:space="preserve"> lo que estamos bastante convenc</w:t>
      </w:r>
      <w:r w:rsidR="002B34E4" w:rsidRPr="00CC3A91">
        <w:rPr>
          <w:rFonts w:asciiTheme="majorHAnsi" w:hAnsiTheme="majorHAnsi" w:cs="Arial"/>
          <w:szCs w:val="22"/>
          <w:lang w:val="es-ES_tradnl"/>
        </w:rPr>
        <w:t>idos de que los recu</w:t>
      </w:r>
      <w:r w:rsidR="005F6A5A" w:rsidRPr="00CC3A91">
        <w:rPr>
          <w:rFonts w:asciiTheme="majorHAnsi" w:hAnsiTheme="majorHAnsi" w:cs="Arial"/>
          <w:szCs w:val="22"/>
          <w:lang w:val="es-ES_tradnl"/>
        </w:rPr>
        <w:t>rsos actualmente disponibles serán</w:t>
      </w:r>
      <w:r w:rsidR="002B34E4" w:rsidRPr="00CC3A91">
        <w:rPr>
          <w:rFonts w:asciiTheme="majorHAnsi" w:hAnsiTheme="majorHAnsi" w:cs="Arial"/>
          <w:szCs w:val="22"/>
          <w:lang w:val="es-ES_tradnl"/>
        </w:rPr>
        <w:t xml:space="preserve"> suficientes para financiar </w:t>
      </w:r>
      <w:r w:rsidR="00FD2638" w:rsidRPr="00CC3A91">
        <w:rPr>
          <w:rFonts w:asciiTheme="majorHAnsi" w:hAnsiTheme="majorHAnsi" w:cs="Arial"/>
          <w:szCs w:val="22"/>
          <w:lang w:val="es-ES_tradnl"/>
        </w:rPr>
        <w:t>el</w:t>
      </w:r>
      <w:r w:rsidR="005F6A5A" w:rsidRPr="00CC3A91">
        <w:rPr>
          <w:rFonts w:asciiTheme="majorHAnsi" w:hAnsiTheme="majorHAnsi" w:cs="Arial"/>
          <w:szCs w:val="22"/>
          <w:lang w:val="es-ES_tradnl"/>
        </w:rPr>
        <w:t xml:space="preserve"> costo del</w:t>
      </w:r>
      <w:r w:rsidR="00FD2638" w:rsidRPr="00CC3A91">
        <w:rPr>
          <w:rFonts w:asciiTheme="majorHAnsi" w:hAnsiTheme="majorHAnsi" w:cs="Arial"/>
          <w:szCs w:val="22"/>
          <w:lang w:val="es-ES_tradnl"/>
        </w:rPr>
        <w:t xml:space="preserve"> </w:t>
      </w:r>
      <w:r w:rsidR="00AA27A3" w:rsidRPr="00CC3A91">
        <w:rPr>
          <w:rFonts w:asciiTheme="majorHAnsi" w:hAnsiTheme="majorHAnsi" w:cs="Arial"/>
          <w:szCs w:val="22"/>
          <w:lang w:val="es-ES_tradnl"/>
        </w:rPr>
        <w:t>“</w:t>
      </w:r>
      <w:r w:rsidR="002B34E4" w:rsidRPr="00CC3A91">
        <w:rPr>
          <w:rFonts w:asciiTheme="majorHAnsi" w:hAnsiTheme="majorHAnsi" w:cs="Arial"/>
          <w:szCs w:val="22"/>
          <w:lang w:val="es-ES_tradnl"/>
        </w:rPr>
        <w:t>EHMS</w:t>
      </w:r>
      <w:r w:rsidR="00AA27A3" w:rsidRPr="00CC3A91">
        <w:rPr>
          <w:rFonts w:asciiTheme="majorHAnsi" w:hAnsiTheme="majorHAnsi" w:cs="Arial"/>
          <w:szCs w:val="22"/>
          <w:lang w:val="es-ES_tradnl"/>
        </w:rPr>
        <w:t xml:space="preserve"> + 10”.</w:t>
      </w:r>
      <w:r w:rsidR="00CE00F8" w:rsidRPr="00CC3A91" w:rsidDel="00CE00F8">
        <w:rPr>
          <w:rFonts w:asciiTheme="majorHAnsi" w:hAnsiTheme="majorHAnsi"/>
          <w:szCs w:val="22"/>
          <w:lang w:val="es-ES_tradnl"/>
        </w:rPr>
        <w:t xml:space="preserve"> </w:t>
      </w:r>
    </w:p>
    <w:p w14:paraId="3D059108" w14:textId="1999C7C2" w:rsidR="006C1101" w:rsidRPr="00CC3A91" w:rsidRDefault="006C1101" w:rsidP="00CE00F8">
      <w:pPr>
        <w:ind w:left="-360"/>
        <w:rPr>
          <w:rFonts w:asciiTheme="majorHAnsi" w:hAnsiTheme="majorHAnsi"/>
          <w:sz w:val="22"/>
          <w:szCs w:val="22"/>
          <w:lang w:val="es-ES_tradnl"/>
        </w:rPr>
      </w:pPr>
    </w:p>
    <w:p w14:paraId="3B8B8D8A" w14:textId="77777777" w:rsidR="00FB3790" w:rsidRPr="00CC3A91" w:rsidRDefault="00FB3790" w:rsidP="00CE00F8">
      <w:pPr>
        <w:ind w:left="-360"/>
        <w:rPr>
          <w:rFonts w:asciiTheme="majorHAnsi" w:hAnsiTheme="majorHAnsi"/>
          <w:sz w:val="22"/>
          <w:szCs w:val="22"/>
          <w:lang w:val="es-ES_tradnl"/>
        </w:rPr>
      </w:pPr>
    </w:p>
    <w:tbl>
      <w:tblPr>
        <w:tblW w:w="4942" w:type="pct"/>
        <w:jc w:val="center"/>
        <w:tblBorders>
          <w:top w:val="nil"/>
          <w:left w:val="nil"/>
          <w:right w:val="nil"/>
        </w:tblBorders>
        <w:tblLook w:val="0000" w:firstRow="0" w:lastRow="0" w:firstColumn="0" w:lastColumn="0" w:noHBand="0" w:noVBand="0"/>
      </w:tblPr>
      <w:tblGrid>
        <w:gridCol w:w="2465"/>
        <w:gridCol w:w="709"/>
        <w:gridCol w:w="3970"/>
        <w:gridCol w:w="1991"/>
      </w:tblGrid>
      <w:tr w:rsidR="008B2B77" w:rsidRPr="00CC3A91" w14:paraId="2C20E8C5" w14:textId="77777777" w:rsidTr="00E81A45">
        <w:trPr>
          <w:cantSplit/>
          <w:tblHeader/>
          <w:jc w:val="center"/>
        </w:trPr>
        <w:tc>
          <w:tcPr>
            <w:tcW w:w="1349" w:type="pct"/>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49191B8B" w14:textId="1EEE20A4" w:rsidR="008B2B77" w:rsidRPr="00CC3A91" w:rsidRDefault="00AA680A" w:rsidP="003C03B2">
            <w:pPr>
              <w:jc w:val="center"/>
              <w:rPr>
                <w:rFonts w:asciiTheme="majorHAnsi" w:eastAsia="Calibri" w:hAnsiTheme="majorHAnsi"/>
                <w:sz w:val="20"/>
                <w:szCs w:val="20"/>
                <w:lang w:val="es-ES_tradnl"/>
              </w:rPr>
            </w:pPr>
            <w:r w:rsidRPr="00CC3A91">
              <w:rPr>
                <w:rFonts w:asciiTheme="majorHAnsi" w:eastAsia="Calibri" w:hAnsiTheme="majorHAnsi" w:cs="Calibri"/>
                <w:b/>
                <w:bCs/>
                <w:sz w:val="20"/>
                <w:szCs w:val="20"/>
                <w:lang w:val="es-ES_tradnl"/>
              </w:rPr>
              <w:t>Título de la tarea</w:t>
            </w:r>
          </w:p>
        </w:tc>
        <w:tc>
          <w:tcPr>
            <w:tcW w:w="388"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63426F79" w14:textId="7A21CE92" w:rsidR="008B2B77" w:rsidRPr="00CC3A91" w:rsidRDefault="008B2B77" w:rsidP="006E20AA">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b/>
                <w:bCs/>
                <w:sz w:val="20"/>
                <w:szCs w:val="20"/>
                <w:lang w:val="es-ES_tradnl"/>
              </w:rPr>
              <w:t>Ta</w:t>
            </w:r>
            <w:r w:rsidR="006E20AA" w:rsidRPr="00CC3A91">
              <w:rPr>
                <w:rFonts w:asciiTheme="majorHAnsi" w:eastAsia="Calibri" w:hAnsiTheme="majorHAnsi" w:cs="Calibri"/>
                <w:b/>
                <w:bCs/>
                <w:sz w:val="20"/>
                <w:szCs w:val="20"/>
                <w:lang w:val="es-ES_tradnl"/>
              </w:rPr>
              <w:t>rea</w:t>
            </w:r>
            <w:r w:rsidRPr="00CC3A91">
              <w:rPr>
                <w:rFonts w:asciiTheme="majorHAnsi" w:eastAsia="Calibri" w:hAnsiTheme="majorHAnsi" w:cs="Calibri"/>
                <w:b/>
                <w:bCs/>
                <w:sz w:val="20"/>
                <w:szCs w:val="20"/>
                <w:lang w:val="es-ES_tradnl"/>
              </w:rPr>
              <w:t xml:space="preserve"> </w:t>
            </w:r>
            <w:r w:rsidR="006E20AA" w:rsidRPr="00CC3A91">
              <w:rPr>
                <w:rFonts w:asciiTheme="majorHAnsi" w:eastAsia="Calibri" w:hAnsiTheme="majorHAnsi" w:cs="Calibri"/>
                <w:b/>
                <w:bCs/>
                <w:sz w:val="20"/>
                <w:szCs w:val="20"/>
                <w:lang w:val="es-ES_tradnl"/>
              </w:rPr>
              <w:t>Nº.</w:t>
            </w:r>
          </w:p>
        </w:tc>
        <w:tc>
          <w:tcPr>
            <w:tcW w:w="2173"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06BB55D8" w14:textId="39E4FC2E" w:rsidR="008B2B77" w:rsidRPr="00CC3A91" w:rsidRDefault="00AA680A" w:rsidP="005F6A5A">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b/>
                <w:bCs/>
                <w:sz w:val="20"/>
                <w:szCs w:val="20"/>
                <w:lang w:val="es-ES_tradnl"/>
              </w:rPr>
              <w:t>Grupo(s) destinatario</w:t>
            </w:r>
            <w:r w:rsidR="003D6766">
              <w:rPr>
                <w:rFonts w:asciiTheme="majorHAnsi" w:eastAsia="Calibri" w:hAnsiTheme="majorHAnsi" w:cs="Calibri"/>
                <w:b/>
                <w:bCs/>
                <w:sz w:val="20"/>
                <w:szCs w:val="20"/>
                <w:lang w:val="es-ES_tradnl"/>
              </w:rPr>
              <w:t>(s)</w:t>
            </w:r>
          </w:p>
        </w:tc>
        <w:tc>
          <w:tcPr>
            <w:tcW w:w="1090"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5BD8EDA0" w14:textId="6C9B36AF" w:rsidR="008B2B77" w:rsidRPr="00CC3A91" w:rsidRDefault="00AA680A" w:rsidP="00AA680A">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b/>
                <w:bCs/>
                <w:sz w:val="20"/>
                <w:szCs w:val="20"/>
                <w:lang w:val="es-ES_tradnl"/>
              </w:rPr>
              <w:t>Costo estimado</w:t>
            </w:r>
            <w:r w:rsidR="005F6A5A" w:rsidRPr="00CC3A91">
              <w:rPr>
                <w:rFonts w:asciiTheme="majorHAnsi" w:eastAsia="Calibri" w:hAnsiTheme="majorHAnsi" w:cs="Calibri"/>
                <w:b/>
                <w:bCs/>
                <w:sz w:val="20"/>
                <w:szCs w:val="20"/>
                <w:lang w:val="es-ES_tradnl"/>
              </w:rPr>
              <w:t xml:space="preserve"> (francos suizos</w:t>
            </w:r>
            <w:r w:rsidR="008B2B77" w:rsidRPr="00CC3A91">
              <w:rPr>
                <w:rFonts w:asciiTheme="majorHAnsi" w:eastAsia="Calibri" w:hAnsiTheme="majorHAnsi" w:cs="Calibri"/>
                <w:b/>
                <w:bCs/>
                <w:sz w:val="20"/>
                <w:szCs w:val="20"/>
                <w:lang w:val="es-ES_tradnl"/>
              </w:rPr>
              <w:t>)</w:t>
            </w:r>
          </w:p>
        </w:tc>
      </w:tr>
      <w:tr w:rsidR="008B2B77" w:rsidRPr="00CC3A91" w14:paraId="566016E9"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058E98A6" w14:textId="4FB6D14E" w:rsidR="008B2B77" w:rsidRPr="00CC3A91" w:rsidRDefault="008C5F46" w:rsidP="00DE5E39">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Estado de los humedales del mundo y de los servicios que prestan a las personas</w:t>
            </w:r>
            <w:r w:rsidR="006E20AA" w:rsidRPr="00CC3A91">
              <w:rPr>
                <w:rFonts w:asciiTheme="majorHAnsi" w:eastAsia="Calibri" w:hAnsiTheme="majorHAnsi" w:cs="Calibri"/>
                <w:sz w:val="22"/>
                <w:szCs w:val="22"/>
                <w:lang w:val="es-ES_tradnl"/>
              </w:rPr>
              <w:t xml:space="preserve"> </w:t>
            </w:r>
            <w:r w:rsidR="008B2B77" w:rsidRPr="00CC3A91">
              <w:rPr>
                <w:rFonts w:asciiTheme="majorHAnsi" w:eastAsia="Calibri" w:hAnsiTheme="majorHAnsi" w:cs="Calibri"/>
                <w:sz w:val="20"/>
                <w:szCs w:val="20"/>
                <w:lang w:val="es-ES_tradnl"/>
              </w:rPr>
              <w:t>(</w:t>
            </w:r>
            <w:r w:rsidR="00DE5E39" w:rsidRPr="00CC3A91">
              <w:rPr>
                <w:rFonts w:asciiTheme="majorHAnsi" w:eastAsia="Calibri" w:hAnsiTheme="majorHAnsi" w:cs="Calibri"/>
                <w:sz w:val="20"/>
                <w:szCs w:val="20"/>
                <w:lang w:val="es-ES_tradnl"/>
              </w:rPr>
              <w:t>EHMS</w:t>
            </w:r>
            <w:r w:rsidR="008B2B77" w:rsidRPr="00CC3A91">
              <w:rPr>
                <w:rFonts w:asciiTheme="majorHAnsi" w:eastAsia="Calibri" w:hAnsiTheme="majorHAnsi" w:cs="Calibri"/>
                <w:sz w:val="20"/>
                <w:szCs w:val="20"/>
                <w:lang w:val="es-ES_tradnl"/>
              </w:rPr>
              <w:t>)</w:t>
            </w:r>
          </w:p>
        </w:tc>
        <w:tc>
          <w:tcPr>
            <w:tcW w:w="388" w:type="pct"/>
            <w:tcBorders>
              <w:bottom w:val="single" w:sz="10" w:space="0" w:color="000000"/>
              <w:right w:val="single" w:sz="10" w:space="0" w:color="000000"/>
            </w:tcBorders>
            <w:tcMar>
              <w:top w:w="144" w:type="nil"/>
              <w:right w:w="144" w:type="nil"/>
            </w:tcMar>
          </w:tcPr>
          <w:p w14:paraId="4A82CBEE" w14:textId="77777777" w:rsidR="008B2B77" w:rsidRPr="00CC3A91" w:rsidRDefault="008B2B77" w:rsidP="008B2B77">
            <w:pPr>
              <w:widowControl w:val="0"/>
              <w:autoSpaceDE w:val="0"/>
              <w:autoSpaceDN w:val="0"/>
              <w:adjustRightInd w:val="0"/>
              <w:rPr>
                <w:rFonts w:asciiTheme="majorHAnsi" w:eastAsia="Calibri" w:hAnsiTheme="majorHAnsi"/>
                <w:sz w:val="20"/>
                <w:szCs w:val="20"/>
                <w:lang w:val="es-ES_tradnl"/>
              </w:rPr>
            </w:pPr>
          </w:p>
        </w:tc>
        <w:tc>
          <w:tcPr>
            <w:tcW w:w="2173" w:type="pct"/>
            <w:tcBorders>
              <w:bottom w:val="single" w:sz="10" w:space="0" w:color="000000"/>
              <w:right w:val="single" w:sz="10" w:space="0" w:color="000000"/>
            </w:tcBorders>
            <w:tcMar>
              <w:top w:w="144" w:type="nil"/>
              <w:right w:w="144" w:type="nil"/>
            </w:tcMar>
          </w:tcPr>
          <w:p w14:paraId="16D64913" w14:textId="5241B593" w:rsidR="008B2B77" w:rsidRPr="00CC3A91" w:rsidRDefault="005B4BA2" w:rsidP="00AA680A">
            <w:pPr>
              <w:widowControl w:val="0"/>
              <w:autoSpaceDE w:val="0"/>
              <w:autoSpaceDN w:val="0"/>
              <w:adjustRightInd w:val="0"/>
              <w:rPr>
                <w:rFonts w:asciiTheme="majorHAnsi" w:eastAsia="Calibri" w:hAnsiTheme="majorHAnsi"/>
                <w:sz w:val="20"/>
                <w:szCs w:val="20"/>
                <w:lang w:val="es-ES_tradnl"/>
              </w:rPr>
            </w:pPr>
            <w:r w:rsidRPr="00CC3A91">
              <w:rPr>
                <w:rFonts w:asciiTheme="majorHAnsi" w:hAnsiTheme="majorHAnsi" w:cs="Arial"/>
                <w:sz w:val="20"/>
                <w:szCs w:val="20"/>
                <w:lang w:val="es-ES_tradnl"/>
              </w:rPr>
              <w:t xml:space="preserve">Responsables </w:t>
            </w:r>
            <w:r w:rsidR="0088725B" w:rsidRPr="00CC3A91">
              <w:rPr>
                <w:rFonts w:asciiTheme="majorHAnsi" w:hAnsiTheme="majorHAnsi" w:cs="Arial"/>
                <w:sz w:val="20"/>
                <w:szCs w:val="20"/>
                <w:lang w:val="es-ES_tradnl"/>
              </w:rPr>
              <w:t>de políticas</w:t>
            </w:r>
            <w:r w:rsidR="008B2B77" w:rsidRPr="00CC3A91">
              <w:rPr>
                <w:rFonts w:asciiTheme="majorHAnsi" w:hAnsiTheme="majorHAnsi" w:cs="Arial"/>
                <w:sz w:val="20"/>
                <w:szCs w:val="20"/>
                <w:lang w:val="es-ES_tradnl"/>
              </w:rPr>
              <w:t xml:space="preserve"> </w:t>
            </w:r>
            <w:r w:rsidR="00AA680A" w:rsidRPr="00CC3A91">
              <w:rPr>
                <w:rFonts w:asciiTheme="majorHAnsi" w:hAnsiTheme="majorHAnsi" w:cs="Arial"/>
                <w:sz w:val="20"/>
                <w:szCs w:val="20"/>
                <w:lang w:val="es-ES_tradnl"/>
              </w:rPr>
              <w:t>y</w:t>
            </w:r>
            <w:r w:rsidR="008B2B77" w:rsidRPr="00CC3A91">
              <w:rPr>
                <w:rFonts w:asciiTheme="majorHAnsi" w:hAnsiTheme="majorHAnsi" w:cs="Arial"/>
                <w:sz w:val="20"/>
                <w:szCs w:val="20"/>
                <w:lang w:val="es-ES_tradnl"/>
              </w:rPr>
              <w:t xml:space="preserve"> </w:t>
            </w:r>
            <w:r w:rsidRPr="00CC3A91">
              <w:rPr>
                <w:rFonts w:asciiTheme="majorHAnsi" w:hAnsiTheme="majorHAnsi" w:cs="Arial"/>
                <w:sz w:val="20"/>
                <w:szCs w:val="20"/>
                <w:lang w:val="es-ES_tradnl"/>
              </w:rPr>
              <w:t>profesionales</w:t>
            </w:r>
            <w:r w:rsidR="008B2B77" w:rsidRPr="00CC3A91">
              <w:rPr>
                <w:rFonts w:asciiTheme="majorHAnsi" w:hAnsiTheme="majorHAnsi" w:cs="Arial"/>
                <w:sz w:val="20"/>
                <w:szCs w:val="20"/>
                <w:lang w:val="es-ES_tradnl"/>
              </w:rPr>
              <w:t xml:space="preserve"> (</w:t>
            </w:r>
            <w:r w:rsidR="00DE5E39" w:rsidRPr="00CC3A91">
              <w:rPr>
                <w:rFonts w:asciiTheme="majorHAnsi" w:hAnsiTheme="majorHAnsi" w:cs="Arial"/>
                <w:sz w:val="20"/>
                <w:szCs w:val="20"/>
                <w:lang w:val="es-ES_tradnl"/>
              </w:rPr>
              <w:t xml:space="preserve">administradores de humedales e interesados directos, incluyendo los administradores de áreas protegidas y centros </w:t>
            </w:r>
            <w:r w:rsidR="00AA680A" w:rsidRPr="00CC3A91">
              <w:rPr>
                <w:rFonts w:asciiTheme="majorHAnsi" w:hAnsiTheme="majorHAnsi" w:cs="Arial"/>
                <w:sz w:val="20"/>
                <w:szCs w:val="20"/>
                <w:lang w:val="es-ES_tradnl"/>
              </w:rPr>
              <w:t>de educación sobre los humedales</w:t>
            </w:r>
            <w:r w:rsidR="008B2B77" w:rsidRPr="00CC3A91">
              <w:rPr>
                <w:rFonts w:asciiTheme="majorHAnsi" w:hAnsiTheme="majorHAnsi" w:cs="Arial"/>
                <w:sz w:val="20"/>
                <w:szCs w:val="20"/>
                <w:lang w:val="es-ES_tradnl"/>
              </w:rPr>
              <w:t>)</w:t>
            </w:r>
          </w:p>
        </w:tc>
        <w:tc>
          <w:tcPr>
            <w:tcW w:w="1090" w:type="pct"/>
            <w:tcBorders>
              <w:bottom w:val="single" w:sz="10" w:space="0" w:color="000000"/>
              <w:right w:val="single" w:sz="10" w:space="0" w:color="000000"/>
            </w:tcBorders>
            <w:tcMar>
              <w:top w:w="144" w:type="nil"/>
              <w:right w:w="144" w:type="nil"/>
            </w:tcMar>
          </w:tcPr>
          <w:p w14:paraId="35BE08B0" w14:textId="241A0E82" w:rsidR="008B2B77" w:rsidRPr="00CC3A91" w:rsidRDefault="008B2B77" w:rsidP="008B2B77">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13</w:t>
            </w:r>
            <w:r w:rsidR="00F27FDD" w:rsidRPr="00CC3A91">
              <w:rPr>
                <w:rFonts w:asciiTheme="majorHAnsi" w:eastAsia="Calibri" w:hAnsiTheme="majorHAnsi" w:cs="Calibri"/>
                <w:sz w:val="20"/>
                <w:szCs w:val="20"/>
                <w:lang w:val="es-ES_tradnl"/>
              </w:rPr>
              <w:t>7</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000</w:t>
            </w:r>
          </w:p>
        </w:tc>
      </w:tr>
      <w:tr w:rsidR="008B2B77" w:rsidRPr="00CC3A91" w14:paraId="677F78F3"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3F5BD3B8" w14:textId="2E563233" w:rsidR="008B2B77" w:rsidRPr="00CC3A91" w:rsidRDefault="005B4BA2" w:rsidP="00FD2638">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hAnsiTheme="majorHAnsi" w:cs="Arial"/>
                <w:sz w:val="20"/>
                <w:szCs w:val="20"/>
                <w:lang w:val="es-ES_tradnl"/>
              </w:rPr>
              <w:t xml:space="preserve">Observación de la Tierra como instrumento de "buenas prácticas" para realizar inventarios, mapas y vigilancia de los humedales, incluyendo los sitios Ramsar. </w:t>
            </w:r>
          </w:p>
        </w:tc>
        <w:tc>
          <w:tcPr>
            <w:tcW w:w="388" w:type="pct"/>
            <w:tcBorders>
              <w:bottom w:val="single" w:sz="10" w:space="0" w:color="000000"/>
              <w:right w:val="single" w:sz="10" w:space="0" w:color="000000"/>
            </w:tcBorders>
            <w:tcMar>
              <w:top w:w="144" w:type="nil"/>
              <w:right w:w="144" w:type="nil"/>
            </w:tcMar>
          </w:tcPr>
          <w:p w14:paraId="40D602F9"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sz w:val="20"/>
                <w:szCs w:val="20"/>
                <w:lang w:val="es-ES_tradnl"/>
              </w:rPr>
              <w:t>1.1</w:t>
            </w:r>
          </w:p>
        </w:tc>
        <w:tc>
          <w:tcPr>
            <w:tcW w:w="2173" w:type="pct"/>
            <w:tcBorders>
              <w:bottom w:val="single" w:sz="10" w:space="0" w:color="000000"/>
              <w:right w:val="single" w:sz="10" w:space="0" w:color="000000"/>
            </w:tcBorders>
            <w:tcMar>
              <w:top w:w="144" w:type="nil"/>
              <w:right w:w="144" w:type="nil"/>
            </w:tcMar>
          </w:tcPr>
          <w:p w14:paraId="6D3CEF15" w14:textId="744616B8" w:rsidR="008B2B77" w:rsidRPr="00CC3A91" w:rsidRDefault="005B4BA2" w:rsidP="008B2B77">
            <w:pPr>
              <w:widowControl w:val="0"/>
              <w:autoSpaceDE w:val="0"/>
              <w:autoSpaceDN w:val="0"/>
              <w:adjustRightInd w:val="0"/>
              <w:rPr>
                <w:rFonts w:asciiTheme="majorHAnsi" w:hAnsiTheme="majorHAnsi" w:cs="Arial"/>
                <w:sz w:val="20"/>
                <w:szCs w:val="20"/>
                <w:lang w:val="es-ES_tradnl"/>
              </w:rPr>
            </w:pPr>
            <w:r w:rsidRPr="00CC3A91">
              <w:rPr>
                <w:rFonts w:asciiTheme="majorHAnsi" w:hAnsiTheme="majorHAnsi" w:cs="Arial"/>
                <w:sz w:val="20"/>
                <w:szCs w:val="20"/>
                <w:lang w:val="es-ES_tradnl"/>
              </w:rPr>
              <w:t>Profesionales</w:t>
            </w:r>
          </w:p>
        </w:tc>
        <w:tc>
          <w:tcPr>
            <w:tcW w:w="1090" w:type="pct"/>
            <w:tcBorders>
              <w:bottom w:val="single" w:sz="10" w:space="0" w:color="000000"/>
              <w:right w:val="single" w:sz="10" w:space="0" w:color="000000"/>
            </w:tcBorders>
            <w:tcMar>
              <w:top w:w="144" w:type="nil"/>
              <w:right w:w="144" w:type="nil"/>
            </w:tcMar>
          </w:tcPr>
          <w:p w14:paraId="55ACF6A8" w14:textId="3FE28941" w:rsidR="008B2B77" w:rsidRPr="00CC3A91" w:rsidRDefault="00F27FDD"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33</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5</w:t>
            </w:r>
            <w:r w:rsidR="008B2B77" w:rsidRPr="00CC3A91">
              <w:rPr>
                <w:rFonts w:asciiTheme="majorHAnsi" w:eastAsia="Calibri" w:hAnsiTheme="majorHAnsi" w:cs="Calibri"/>
                <w:sz w:val="20"/>
                <w:szCs w:val="20"/>
                <w:lang w:val="es-ES_tradnl"/>
              </w:rPr>
              <w:t>00</w:t>
            </w:r>
          </w:p>
        </w:tc>
      </w:tr>
      <w:tr w:rsidR="008B2B77" w:rsidRPr="00CC3A91" w14:paraId="3ED01B4A"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204FEE07" w14:textId="0B5F7800" w:rsidR="008B2B77" w:rsidRPr="00CC3A91" w:rsidRDefault="008B2B77" w:rsidP="00AA680A">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hAnsiTheme="majorHAnsi"/>
                <w:sz w:val="20"/>
                <w:szCs w:val="20"/>
                <w:lang w:val="es-ES_tradnl"/>
              </w:rPr>
              <w:t>De</w:t>
            </w:r>
            <w:r w:rsidR="009A2356" w:rsidRPr="00CC3A91">
              <w:rPr>
                <w:rFonts w:asciiTheme="majorHAnsi" w:hAnsiTheme="majorHAnsi"/>
                <w:sz w:val="20"/>
                <w:szCs w:val="20"/>
                <w:lang w:val="es-ES_tradnl"/>
              </w:rPr>
              <w:t xml:space="preserve">sarrollo de lineamientos para hacer </w:t>
            </w:r>
            <w:r w:rsidR="00AA680A" w:rsidRPr="00CC3A91">
              <w:rPr>
                <w:rFonts w:asciiTheme="majorHAnsi" w:hAnsiTheme="majorHAnsi"/>
                <w:sz w:val="20"/>
                <w:szCs w:val="20"/>
                <w:lang w:val="es-ES_tradnl"/>
              </w:rPr>
              <w:t>inventarios de las turberas para su posible designación como Humedales de</w:t>
            </w:r>
            <w:r w:rsidR="0088725B" w:rsidRPr="00CC3A91">
              <w:rPr>
                <w:rFonts w:asciiTheme="majorHAnsi" w:hAnsiTheme="majorHAnsi"/>
                <w:sz w:val="20"/>
                <w:szCs w:val="20"/>
                <w:lang w:val="es-ES_tradnl"/>
              </w:rPr>
              <w:t xml:space="preserve"> </w:t>
            </w:r>
            <w:r w:rsidR="00AA680A" w:rsidRPr="00CC3A91">
              <w:rPr>
                <w:rFonts w:asciiTheme="majorHAnsi" w:hAnsiTheme="majorHAnsi"/>
                <w:sz w:val="20"/>
                <w:szCs w:val="20"/>
                <w:lang w:val="es-ES_tradnl"/>
              </w:rPr>
              <w:t xml:space="preserve">Importancia Internacional </w:t>
            </w:r>
          </w:p>
        </w:tc>
        <w:tc>
          <w:tcPr>
            <w:tcW w:w="388" w:type="pct"/>
            <w:tcBorders>
              <w:bottom w:val="single" w:sz="10" w:space="0" w:color="000000"/>
              <w:right w:val="single" w:sz="10" w:space="0" w:color="000000"/>
            </w:tcBorders>
            <w:tcMar>
              <w:top w:w="144" w:type="nil"/>
              <w:right w:w="144" w:type="nil"/>
            </w:tcMar>
          </w:tcPr>
          <w:p w14:paraId="356B3DAA"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1.3</w:t>
            </w:r>
          </w:p>
        </w:tc>
        <w:tc>
          <w:tcPr>
            <w:tcW w:w="2173" w:type="pct"/>
            <w:tcBorders>
              <w:bottom w:val="single" w:sz="10" w:space="0" w:color="000000"/>
              <w:right w:val="single" w:sz="10" w:space="0" w:color="000000"/>
            </w:tcBorders>
            <w:tcMar>
              <w:top w:w="144" w:type="nil"/>
              <w:right w:w="144" w:type="nil"/>
            </w:tcMar>
          </w:tcPr>
          <w:p w14:paraId="6E29624B" w14:textId="491D8226" w:rsidR="008B2B77" w:rsidRPr="00CC3A91" w:rsidRDefault="005B4BA2" w:rsidP="008B2B77">
            <w:pPr>
              <w:rPr>
                <w:rFonts w:asciiTheme="majorHAnsi" w:hAnsiTheme="majorHAnsi" w:cs="Calibri"/>
                <w:b/>
                <w:bCs/>
                <w:sz w:val="20"/>
                <w:szCs w:val="20"/>
                <w:lang w:val="es-ES_tradnl"/>
              </w:rPr>
            </w:pPr>
            <w:r w:rsidRPr="00CC3A91">
              <w:rPr>
                <w:rFonts w:asciiTheme="majorHAnsi" w:hAnsiTheme="majorHAnsi" w:cs="Calibri"/>
                <w:bCs/>
                <w:sz w:val="20"/>
                <w:szCs w:val="20"/>
                <w:lang w:val="es-ES_tradnl"/>
              </w:rPr>
              <w:t>Profesionales</w:t>
            </w:r>
            <w:r w:rsidR="008B2B77" w:rsidRPr="00CC3A91">
              <w:rPr>
                <w:rFonts w:asciiTheme="majorHAnsi" w:hAnsiTheme="majorHAnsi" w:cs="Calibri"/>
                <w:bCs/>
                <w:sz w:val="20"/>
                <w:szCs w:val="20"/>
                <w:lang w:val="es-ES_tradnl"/>
              </w:rPr>
              <w:t xml:space="preserve"> (</w:t>
            </w:r>
            <w:r w:rsidR="00AA680A" w:rsidRPr="00CC3A91">
              <w:rPr>
                <w:rFonts w:asciiTheme="majorHAnsi" w:hAnsiTheme="majorHAnsi" w:cs="Calibri"/>
                <w:bCs/>
                <w:sz w:val="20"/>
                <w:szCs w:val="20"/>
                <w:lang w:val="es-ES_tradnl"/>
              </w:rPr>
              <w:t xml:space="preserve">administradores de los sitios </w:t>
            </w:r>
            <w:r w:rsidR="008B2B77" w:rsidRPr="00CC3A91">
              <w:rPr>
                <w:rFonts w:asciiTheme="majorHAnsi" w:hAnsiTheme="majorHAnsi" w:cs="Calibri"/>
                <w:bCs/>
                <w:sz w:val="20"/>
                <w:szCs w:val="20"/>
                <w:lang w:val="es-ES_tradnl"/>
              </w:rPr>
              <w:t>Ramsar) (</w:t>
            </w:r>
            <w:r w:rsidR="00AA680A" w:rsidRPr="00CC3A91">
              <w:rPr>
                <w:rFonts w:asciiTheme="majorHAnsi" w:hAnsiTheme="majorHAnsi" w:cs="Calibri"/>
                <w:bCs/>
                <w:sz w:val="20"/>
                <w:szCs w:val="20"/>
                <w:lang w:val="es-ES_tradnl"/>
              </w:rPr>
              <w:t>Nota Informativa</w:t>
            </w:r>
            <w:r w:rsidR="008B2B77" w:rsidRPr="00CC3A91">
              <w:rPr>
                <w:rFonts w:asciiTheme="majorHAnsi" w:hAnsiTheme="majorHAnsi" w:cs="Calibri"/>
                <w:bCs/>
                <w:sz w:val="20"/>
                <w:szCs w:val="20"/>
                <w:lang w:val="es-ES_tradnl"/>
              </w:rPr>
              <w:t xml:space="preserve">) </w:t>
            </w:r>
            <w:r w:rsidR="00AA680A" w:rsidRPr="00CC3A91">
              <w:rPr>
                <w:rFonts w:asciiTheme="majorHAnsi" w:hAnsiTheme="majorHAnsi" w:cs="Calibri"/>
                <w:bCs/>
                <w:sz w:val="20"/>
                <w:szCs w:val="20"/>
                <w:lang w:val="es-ES_tradnl"/>
              </w:rPr>
              <w:t>y</w:t>
            </w:r>
            <w:r w:rsidR="008B2B77" w:rsidRPr="00CC3A91">
              <w:rPr>
                <w:rFonts w:asciiTheme="majorHAnsi" w:hAnsiTheme="majorHAnsi" w:cs="Calibri"/>
                <w:bCs/>
                <w:sz w:val="20"/>
                <w:szCs w:val="20"/>
                <w:lang w:val="es-ES_tradnl"/>
              </w:rPr>
              <w:t xml:space="preserve"> </w:t>
            </w:r>
            <w:r w:rsidRPr="00CC3A91">
              <w:rPr>
                <w:rFonts w:asciiTheme="majorHAnsi" w:hAnsiTheme="majorHAnsi" w:cs="Calibri"/>
                <w:bCs/>
                <w:sz w:val="20"/>
                <w:szCs w:val="20"/>
                <w:lang w:val="es-ES_tradnl"/>
              </w:rPr>
              <w:t xml:space="preserve">responsables </w:t>
            </w:r>
            <w:r w:rsidR="0088725B" w:rsidRPr="00CC3A91">
              <w:rPr>
                <w:rFonts w:asciiTheme="majorHAnsi" w:hAnsiTheme="majorHAnsi" w:cs="Calibri"/>
                <w:bCs/>
                <w:sz w:val="20"/>
                <w:szCs w:val="20"/>
                <w:lang w:val="es-ES_tradnl"/>
              </w:rPr>
              <w:t>de políticas</w:t>
            </w:r>
            <w:r w:rsidR="008B2B77" w:rsidRPr="00CC3A91">
              <w:rPr>
                <w:rFonts w:asciiTheme="majorHAnsi" w:hAnsiTheme="majorHAnsi" w:cs="Calibri"/>
                <w:bCs/>
                <w:sz w:val="20"/>
                <w:szCs w:val="20"/>
                <w:lang w:val="es-ES_tradnl"/>
              </w:rPr>
              <w:t xml:space="preserve"> (An</w:t>
            </w:r>
            <w:r w:rsidR="00AA680A" w:rsidRPr="00CC3A91">
              <w:rPr>
                <w:rFonts w:asciiTheme="majorHAnsi" w:hAnsiTheme="majorHAnsi" w:cs="Calibri"/>
                <w:bCs/>
                <w:sz w:val="20"/>
                <w:szCs w:val="20"/>
                <w:lang w:val="es-ES_tradnl"/>
              </w:rPr>
              <w:t>exo al proyecto de Resolución</w:t>
            </w:r>
            <w:r w:rsidR="008B2B77" w:rsidRPr="00CC3A91">
              <w:rPr>
                <w:rFonts w:asciiTheme="majorHAnsi" w:hAnsiTheme="majorHAnsi" w:cs="Calibri"/>
                <w:bCs/>
                <w:sz w:val="20"/>
                <w:szCs w:val="20"/>
                <w:lang w:val="es-ES_tradnl"/>
              </w:rPr>
              <w:t xml:space="preserve">) </w:t>
            </w:r>
          </w:p>
          <w:p w14:paraId="44ACD8A6" w14:textId="77777777" w:rsidR="008B2B77" w:rsidRPr="00CC3A91" w:rsidRDefault="008B2B77" w:rsidP="008B2B77">
            <w:pPr>
              <w:widowControl w:val="0"/>
              <w:autoSpaceDE w:val="0"/>
              <w:autoSpaceDN w:val="0"/>
              <w:adjustRightInd w:val="0"/>
              <w:rPr>
                <w:rFonts w:asciiTheme="majorHAnsi" w:hAnsiTheme="majorHAnsi" w:cs="Arial"/>
                <w:sz w:val="20"/>
                <w:szCs w:val="20"/>
                <w:lang w:val="es-ES_tradnl"/>
              </w:rPr>
            </w:pPr>
          </w:p>
        </w:tc>
        <w:tc>
          <w:tcPr>
            <w:tcW w:w="1090" w:type="pct"/>
            <w:tcBorders>
              <w:bottom w:val="single" w:sz="10" w:space="0" w:color="000000"/>
              <w:right w:val="single" w:sz="10" w:space="0" w:color="000000"/>
            </w:tcBorders>
            <w:tcMar>
              <w:top w:w="144" w:type="nil"/>
              <w:right w:w="144" w:type="nil"/>
            </w:tcMar>
          </w:tcPr>
          <w:p w14:paraId="36002675" w14:textId="2A3A09E4" w:rsidR="008B2B77" w:rsidRPr="00CC3A91" w:rsidRDefault="008B2B77"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13</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000</w:t>
            </w:r>
          </w:p>
        </w:tc>
      </w:tr>
      <w:tr w:rsidR="008B2B77" w:rsidRPr="00E81A45" w14:paraId="2329E5C4"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06B66FDE" w14:textId="0F9A27BA" w:rsidR="009A2356" w:rsidRPr="00CC3A91" w:rsidRDefault="009A2356" w:rsidP="009A2356">
            <w:pPr>
              <w:rPr>
                <w:rFonts w:asciiTheme="majorHAnsi" w:hAnsiTheme="majorHAnsi" w:cs="Arial"/>
                <w:b/>
                <w:sz w:val="20"/>
                <w:szCs w:val="20"/>
                <w:lang w:val="es-ES_tradnl"/>
              </w:rPr>
            </w:pPr>
            <w:r w:rsidRPr="00CC3A91">
              <w:rPr>
                <w:rFonts w:asciiTheme="majorHAnsi" w:hAnsiTheme="majorHAnsi" w:cs="Arial"/>
                <w:sz w:val="20"/>
                <w:szCs w:val="20"/>
                <w:lang w:val="es-ES_tradnl"/>
              </w:rPr>
              <w:t>Juego de herramientas para el manejo de los sitios Ramsar</w:t>
            </w:r>
          </w:p>
          <w:p w14:paraId="50B3B5FB" w14:textId="77777777" w:rsidR="008B2B77" w:rsidRPr="00CC3A91" w:rsidRDefault="008B2B77" w:rsidP="008B2B77">
            <w:pPr>
              <w:widowControl w:val="0"/>
              <w:autoSpaceDE w:val="0"/>
              <w:autoSpaceDN w:val="0"/>
              <w:adjustRightInd w:val="0"/>
              <w:rPr>
                <w:rFonts w:asciiTheme="majorHAnsi" w:hAnsiTheme="majorHAnsi"/>
                <w:sz w:val="20"/>
                <w:szCs w:val="20"/>
                <w:lang w:val="es-ES_tradnl"/>
              </w:rPr>
            </w:pPr>
          </w:p>
        </w:tc>
        <w:tc>
          <w:tcPr>
            <w:tcW w:w="388" w:type="pct"/>
            <w:tcBorders>
              <w:bottom w:val="single" w:sz="10" w:space="0" w:color="000000"/>
              <w:right w:val="single" w:sz="10" w:space="0" w:color="000000"/>
            </w:tcBorders>
            <w:tcMar>
              <w:top w:w="144" w:type="nil"/>
              <w:right w:w="144" w:type="nil"/>
            </w:tcMar>
          </w:tcPr>
          <w:p w14:paraId="19593EB2" w14:textId="77777777" w:rsidR="008B2B77" w:rsidRPr="00CC3A91" w:rsidRDefault="008B2B77" w:rsidP="003C03B2">
            <w:pPr>
              <w:widowControl w:val="0"/>
              <w:autoSpaceDE w:val="0"/>
              <w:autoSpaceDN w:val="0"/>
              <w:adjustRightInd w:val="0"/>
              <w:jc w:val="center"/>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2.1</w:t>
            </w:r>
          </w:p>
        </w:tc>
        <w:tc>
          <w:tcPr>
            <w:tcW w:w="2173" w:type="pct"/>
            <w:tcBorders>
              <w:bottom w:val="single" w:sz="10" w:space="0" w:color="000000"/>
              <w:right w:val="single" w:sz="10" w:space="0" w:color="000000"/>
            </w:tcBorders>
            <w:tcMar>
              <w:top w:w="144" w:type="nil"/>
              <w:right w:w="144" w:type="nil"/>
            </w:tcMar>
          </w:tcPr>
          <w:p w14:paraId="0FC6E458" w14:textId="295742AB" w:rsidR="008B2B77" w:rsidRPr="00CC3A91" w:rsidRDefault="005B4BA2" w:rsidP="00AA680A">
            <w:pPr>
              <w:rPr>
                <w:rFonts w:asciiTheme="majorHAnsi" w:hAnsiTheme="majorHAnsi" w:cs="Calibri"/>
                <w:bCs/>
                <w:sz w:val="20"/>
                <w:szCs w:val="20"/>
                <w:lang w:val="es-ES_tradnl"/>
              </w:rPr>
            </w:pPr>
            <w:r w:rsidRPr="00CC3A91">
              <w:rPr>
                <w:rFonts w:asciiTheme="majorHAnsi" w:eastAsiaTheme="minorHAnsi" w:hAnsiTheme="majorHAnsi" w:cs="Arial"/>
                <w:sz w:val="20"/>
                <w:szCs w:val="20"/>
                <w:lang w:val="es-ES_tradnl"/>
              </w:rPr>
              <w:t>Profesionales</w:t>
            </w:r>
            <w:r w:rsidR="008B2B77" w:rsidRPr="00CC3A91">
              <w:rPr>
                <w:rFonts w:asciiTheme="majorHAnsi" w:eastAsiaTheme="minorHAnsi" w:hAnsiTheme="majorHAnsi" w:cs="Arial"/>
                <w:sz w:val="20"/>
                <w:szCs w:val="20"/>
                <w:lang w:val="es-ES_tradnl"/>
              </w:rPr>
              <w:t xml:space="preserve"> (</w:t>
            </w:r>
            <w:r w:rsidR="00AA680A" w:rsidRPr="00CC3A91">
              <w:rPr>
                <w:rFonts w:asciiTheme="majorHAnsi" w:eastAsiaTheme="minorHAnsi" w:hAnsiTheme="majorHAnsi" w:cs="Arial"/>
                <w:sz w:val="20"/>
                <w:szCs w:val="20"/>
                <w:lang w:val="es-ES_tradnl"/>
              </w:rPr>
              <w:t xml:space="preserve">administradores de los sitios </w:t>
            </w:r>
            <w:r w:rsidR="008B2B77" w:rsidRPr="00CC3A91">
              <w:rPr>
                <w:rFonts w:asciiTheme="majorHAnsi" w:eastAsiaTheme="minorHAnsi" w:hAnsiTheme="majorHAnsi" w:cs="Arial"/>
                <w:sz w:val="20"/>
                <w:szCs w:val="20"/>
                <w:lang w:val="es-ES_tradnl"/>
              </w:rPr>
              <w:t>Ramsar)</w:t>
            </w:r>
          </w:p>
        </w:tc>
        <w:tc>
          <w:tcPr>
            <w:tcW w:w="1090" w:type="pct"/>
            <w:tcBorders>
              <w:bottom w:val="single" w:sz="10" w:space="0" w:color="000000"/>
              <w:right w:val="single" w:sz="10" w:space="0" w:color="000000"/>
            </w:tcBorders>
            <w:tcMar>
              <w:top w:w="144" w:type="nil"/>
              <w:right w:w="144" w:type="nil"/>
            </w:tcMar>
          </w:tcPr>
          <w:p w14:paraId="5C32C7DA" w14:textId="49312626" w:rsidR="008B2B77" w:rsidRPr="00CC3A91" w:rsidRDefault="00674F73" w:rsidP="00873C91">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 xml:space="preserve">No </w:t>
            </w:r>
            <w:r w:rsidR="00873C91" w:rsidRPr="00CC3A91">
              <w:rPr>
                <w:rFonts w:asciiTheme="majorHAnsi" w:eastAsia="Calibri" w:hAnsiTheme="majorHAnsi" w:cs="Calibri"/>
                <w:sz w:val="20"/>
                <w:szCs w:val="20"/>
                <w:lang w:val="es-ES_tradnl"/>
              </w:rPr>
              <w:t>implica</w:t>
            </w:r>
            <w:r w:rsidR="00FC3AB4" w:rsidRPr="00CC3A91">
              <w:rPr>
                <w:rFonts w:asciiTheme="majorHAnsi" w:eastAsia="Calibri" w:hAnsiTheme="majorHAnsi" w:cs="Calibri"/>
                <w:sz w:val="20"/>
                <w:szCs w:val="20"/>
                <w:lang w:val="es-ES_tradnl"/>
              </w:rPr>
              <w:t xml:space="preserve"> co</w:t>
            </w:r>
            <w:r w:rsidR="00873C91" w:rsidRPr="00CC3A91">
              <w:rPr>
                <w:rFonts w:asciiTheme="majorHAnsi" w:eastAsia="Calibri" w:hAnsiTheme="majorHAnsi" w:cs="Calibri"/>
                <w:sz w:val="20"/>
                <w:szCs w:val="20"/>
                <w:lang w:val="es-ES_tradnl"/>
              </w:rPr>
              <w:t xml:space="preserve">sto alguno </w:t>
            </w:r>
            <w:r w:rsidR="00FC3AB4" w:rsidRPr="00CC3A91">
              <w:rPr>
                <w:rFonts w:asciiTheme="majorHAnsi" w:eastAsia="Calibri" w:hAnsiTheme="majorHAnsi" w:cs="Calibri"/>
                <w:sz w:val="20"/>
                <w:szCs w:val="20"/>
                <w:lang w:val="es-ES_tradnl"/>
              </w:rPr>
              <w:t>para el</w:t>
            </w:r>
            <w:r w:rsidR="00AA680A" w:rsidRPr="00CC3A91">
              <w:rPr>
                <w:rFonts w:asciiTheme="majorHAnsi" w:eastAsia="Calibri" w:hAnsiTheme="majorHAnsi" w:cs="Calibri"/>
                <w:sz w:val="20"/>
                <w:szCs w:val="20"/>
                <w:lang w:val="es-ES_tradnl"/>
              </w:rPr>
              <w:t xml:space="preserve"> presupuesto del GECT</w:t>
            </w:r>
            <w:r w:rsidRPr="00CC3A91">
              <w:rPr>
                <w:rFonts w:asciiTheme="majorHAnsi" w:eastAsia="Calibri" w:hAnsiTheme="majorHAnsi" w:cs="Calibri"/>
                <w:sz w:val="20"/>
                <w:szCs w:val="20"/>
                <w:lang w:val="es-ES_tradnl"/>
              </w:rPr>
              <w:t xml:space="preserve">. </w:t>
            </w:r>
            <w:r w:rsidR="00AA680A" w:rsidRPr="00CC3A91">
              <w:rPr>
                <w:rFonts w:asciiTheme="majorHAnsi" w:eastAsia="Calibri" w:hAnsiTheme="majorHAnsi" w:cs="Calibri"/>
                <w:sz w:val="20"/>
                <w:szCs w:val="20"/>
                <w:lang w:val="es-ES_tradnl"/>
              </w:rPr>
              <w:t xml:space="preserve">El asesoramiento se proporciona de forma voluntaria. </w:t>
            </w:r>
          </w:p>
        </w:tc>
      </w:tr>
      <w:tr w:rsidR="008B2B77" w:rsidRPr="00CC3A91" w14:paraId="52CDF434"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19605571" w14:textId="214BBE8E" w:rsidR="008B2B77" w:rsidRPr="00CC3A91" w:rsidRDefault="008B2B77" w:rsidP="00FC3AB4">
            <w:pPr>
              <w:widowControl w:val="0"/>
              <w:autoSpaceDE w:val="0"/>
              <w:autoSpaceDN w:val="0"/>
              <w:adjustRightInd w:val="0"/>
              <w:rPr>
                <w:rFonts w:asciiTheme="majorHAnsi" w:hAnsiTheme="majorHAnsi"/>
                <w:sz w:val="20"/>
                <w:szCs w:val="20"/>
                <w:lang w:val="es-ES_tradnl"/>
              </w:rPr>
            </w:pPr>
            <w:r w:rsidRPr="00CC3A91">
              <w:rPr>
                <w:rFonts w:asciiTheme="majorHAnsi" w:hAnsiTheme="majorHAnsi" w:cs="Arial"/>
                <w:sz w:val="20"/>
                <w:szCs w:val="20"/>
                <w:lang w:val="es-ES_tradnl"/>
              </w:rPr>
              <w:t>Man</w:t>
            </w:r>
            <w:r w:rsidR="00FC3AB4" w:rsidRPr="00CC3A91">
              <w:rPr>
                <w:rFonts w:asciiTheme="majorHAnsi" w:hAnsiTheme="majorHAnsi" w:cs="Arial"/>
                <w:sz w:val="20"/>
                <w:szCs w:val="20"/>
                <w:lang w:val="es-ES_tradnl"/>
              </w:rPr>
              <w:t xml:space="preserve">ejo de los mosquitos portadores de enfermedades en los humedales </w:t>
            </w:r>
          </w:p>
        </w:tc>
        <w:tc>
          <w:tcPr>
            <w:tcW w:w="388" w:type="pct"/>
            <w:tcBorders>
              <w:bottom w:val="single" w:sz="10" w:space="0" w:color="000000"/>
              <w:right w:val="single" w:sz="10" w:space="0" w:color="000000"/>
            </w:tcBorders>
            <w:tcMar>
              <w:top w:w="144" w:type="nil"/>
              <w:right w:w="144" w:type="nil"/>
            </w:tcMar>
          </w:tcPr>
          <w:p w14:paraId="1FBA7D3C" w14:textId="77777777" w:rsidR="008B2B77" w:rsidRPr="00CC3A91" w:rsidRDefault="008B2B77" w:rsidP="003C03B2">
            <w:pPr>
              <w:widowControl w:val="0"/>
              <w:autoSpaceDE w:val="0"/>
              <w:autoSpaceDN w:val="0"/>
              <w:adjustRightInd w:val="0"/>
              <w:jc w:val="center"/>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2.5</w:t>
            </w:r>
          </w:p>
        </w:tc>
        <w:tc>
          <w:tcPr>
            <w:tcW w:w="2173" w:type="pct"/>
            <w:tcBorders>
              <w:bottom w:val="single" w:sz="10" w:space="0" w:color="000000"/>
              <w:right w:val="single" w:sz="10" w:space="0" w:color="000000"/>
            </w:tcBorders>
            <w:tcMar>
              <w:top w:w="144" w:type="nil"/>
              <w:right w:w="144" w:type="nil"/>
            </w:tcMar>
          </w:tcPr>
          <w:p w14:paraId="50632E94" w14:textId="0673B0BB" w:rsidR="008B2B77" w:rsidRPr="00CC3A91" w:rsidRDefault="005B4BA2" w:rsidP="00FC3AB4">
            <w:pPr>
              <w:pStyle w:val="NormalWeb"/>
              <w:shd w:val="clear" w:color="auto" w:fill="FFFFFF"/>
              <w:rPr>
                <w:rFonts w:asciiTheme="majorHAnsi" w:hAnsiTheme="majorHAnsi" w:cs="Arial"/>
                <w:sz w:val="20"/>
                <w:szCs w:val="20"/>
                <w:lang w:val="es-ES_tradnl"/>
              </w:rPr>
            </w:pPr>
            <w:r w:rsidRPr="00CC3A91">
              <w:rPr>
                <w:rFonts w:asciiTheme="majorHAnsi" w:hAnsiTheme="majorHAnsi" w:cs="Arial"/>
                <w:sz w:val="20"/>
                <w:szCs w:val="20"/>
                <w:lang w:val="es-ES_tradnl"/>
              </w:rPr>
              <w:t>Profesionales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 xml:space="preserve">administradores de humedales y </w:t>
            </w:r>
            <w:r w:rsidRPr="00CC3A91">
              <w:rPr>
                <w:rFonts w:asciiTheme="majorHAnsi" w:hAnsiTheme="majorHAnsi" w:cs="Arial"/>
                <w:sz w:val="20"/>
                <w:szCs w:val="20"/>
                <w:lang w:val="es-ES_tradnl"/>
              </w:rPr>
              <w:t>profesionales</w:t>
            </w:r>
            <w:r w:rsidR="00FC3AB4" w:rsidRPr="00CC3A91">
              <w:rPr>
                <w:rFonts w:asciiTheme="majorHAnsi" w:hAnsiTheme="majorHAnsi" w:cs="Arial"/>
                <w:sz w:val="20"/>
                <w:szCs w:val="20"/>
                <w:lang w:val="es-ES_tradnl"/>
              </w:rPr>
              <w:t xml:space="preserve"> de la salud urbana/per</w:t>
            </w:r>
            <w:r w:rsidR="008D7167" w:rsidRPr="00CC3A91">
              <w:rPr>
                <w:rFonts w:asciiTheme="majorHAnsi" w:hAnsiTheme="majorHAnsi" w:cs="Arial"/>
                <w:sz w:val="20"/>
                <w:szCs w:val="20"/>
                <w:lang w:val="es-ES_tradnl"/>
              </w:rPr>
              <w:t>i</w:t>
            </w:r>
            <w:r w:rsidR="00FC3AB4" w:rsidRPr="00CC3A91">
              <w:rPr>
                <w:rFonts w:asciiTheme="majorHAnsi" w:hAnsiTheme="majorHAnsi" w:cs="Arial"/>
                <w:sz w:val="20"/>
                <w:szCs w:val="20"/>
                <w:lang w:val="es-ES_tradnl"/>
              </w:rPr>
              <w:t>urbana</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y</w:t>
            </w:r>
            <w:r w:rsidR="008D7167" w:rsidRPr="00CC3A91">
              <w:rPr>
                <w:rFonts w:asciiTheme="majorHAnsi" w:hAnsiTheme="majorHAnsi" w:cs="Arial"/>
                <w:sz w:val="20"/>
                <w:szCs w:val="20"/>
                <w:lang w:val="es-ES_tradnl"/>
              </w:rPr>
              <w:t xml:space="preserve"> </w:t>
            </w:r>
            <w:r w:rsidRPr="00CC3A91">
              <w:rPr>
                <w:rFonts w:asciiTheme="majorHAnsi" w:hAnsiTheme="majorHAnsi" w:cs="Arial"/>
                <w:sz w:val="20"/>
                <w:szCs w:val="20"/>
                <w:lang w:val="es-ES_tradnl"/>
              </w:rPr>
              <w:t xml:space="preserve">responsables </w:t>
            </w:r>
            <w:r w:rsidR="0088725B" w:rsidRPr="00CC3A91">
              <w:rPr>
                <w:rFonts w:asciiTheme="majorHAnsi" w:hAnsiTheme="majorHAnsi" w:cs="Arial"/>
                <w:sz w:val="20"/>
                <w:szCs w:val="20"/>
                <w:lang w:val="es-ES_tradnl"/>
              </w:rPr>
              <w:t>de políticas</w:t>
            </w:r>
          </w:p>
        </w:tc>
        <w:tc>
          <w:tcPr>
            <w:tcW w:w="1090" w:type="pct"/>
            <w:tcBorders>
              <w:bottom w:val="single" w:sz="10" w:space="0" w:color="000000"/>
              <w:right w:val="single" w:sz="10" w:space="0" w:color="000000"/>
            </w:tcBorders>
            <w:tcMar>
              <w:top w:w="144" w:type="nil"/>
              <w:right w:w="144" w:type="nil"/>
            </w:tcMar>
          </w:tcPr>
          <w:p w14:paraId="07FEBE0F" w14:textId="79D54DE1" w:rsidR="008B2B77" w:rsidRPr="00CC3A91" w:rsidRDefault="008B2B77"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22</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000</w:t>
            </w:r>
          </w:p>
        </w:tc>
      </w:tr>
      <w:tr w:rsidR="008B2B77" w:rsidRPr="00CC3A91" w14:paraId="55C4FD4F"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421E55EB" w14:textId="1F4FB4BA" w:rsidR="008B2B77" w:rsidRPr="00CC3A91" w:rsidRDefault="009A2356" w:rsidP="009A2356">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lastRenderedPageBreak/>
              <w:t>Nota sobre políticas relativa a la evaluación y valoración de los servicios de los ecosistemas de</w:t>
            </w:r>
            <w:r w:rsidR="008D7167" w:rsidRPr="00CC3A91">
              <w:rPr>
                <w:rFonts w:asciiTheme="majorHAnsi" w:eastAsia="Calibri" w:hAnsiTheme="majorHAnsi" w:cs="Calibri"/>
                <w:sz w:val="20"/>
                <w:szCs w:val="20"/>
                <w:lang w:val="es-ES_tradnl"/>
              </w:rPr>
              <w:t xml:space="preserve"> los</w:t>
            </w:r>
            <w:r w:rsidRPr="00CC3A91">
              <w:rPr>
                <w:rFonts w:asciiTheme="majorHAnsi" w:eastAsia="Calibri" w:hAnsiTheme="majorHAnsi" w:cs="Calibri"/>
                <w:sz w:val="20"/>
                <w:szCs w:val="20"/>
                <w:lang w:val="es-ES_tradnl"/>
              </w:rPr>
              <w:t xml:space="preserve"> humedales, con Anexo</w:t>
            </w:r>
            <w:r w:rsidRPr="00CC3A91">
              <w:rPr>
                <w:rFonts w:asciiTheme="majorHAnsi" w:eastAsia="Calibri" w:hAnsiTheme="majorHAnsi" w:cs="Calibri"/>
                <w:sz w:val="22"/>
                <w:szCs w:val="22"/>
                <w:lang w:val="es-ES_tradnl"/>
              </w:rPr>
              <w:t xml:space="preserve"> </w:t>
            </w:r>
          </w:p>
        </w:tc>
        <w:tc>
          <w:tcPr>
            <w:tcW w:w="388" w:type="pct"/>
            <w:tcBorders>
              <w:bottom w:val="single" w:sz="10" w:space="0" w:color="000000"/>
              <w:right w:val="single" w:sz="10" w:space="0" w:color="000000"/>
            </w:tcBorders>
            <w:tcMar>
              <w:top w:w="144" w:type="nil"/>
              <w:right w:w="144" w:type="nil"/>
            </w:tcMar>
          </w:tcPr>
          <w:p w14:paraId="20D2E8D9"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3.1</w:t>
            </w:r>
          </w:p>
        </w:tc>
        <w:tc>
          <w:tcPr>
            <w:tcW w:w="2173" w:type="pct"/>
            <w:tcBorders>
              <w:bottom w:val="single" w:sz="10" w:space="0" w:color="000000"/>
              <w:right w:val="single" w:sz="10" w:space="0" w:color="000000"/>
            </w:tcBorders>
            <w:tcMar>
              <w:top w:w="144" w:type="nil"/>
              <w:right w:w="144" w:type="nil"/>
            </w:tcMar>
          </w:tcPr>
          <w:p w14:paraId="563B8374" w14:textId="3D0A3AD3" w:rsidR="008B2B77" w:rsidRPr="00CC3A91" w:rsidRDefault="005B4BA2" w:rsidP="008D7167">
            <w:pPr>
              <w:widowControl w:val="0"/>
              <w:autoSpaceDE w:val="0"/>
              <w:autoSpaceDN w:val="0"/>
              <w:adjustRightInd w:val="0"/>
              <w:rPr>
                <w:rFonts w:asciiTheme="majorHAnsi" w:hAnsiTheme="majorHAnsi" w:cs="Arial"/>
                <w:sz w:val="20"/>
                <w:szCs w:val="20"/>
                <w:lang w:val="es-ES_tradnl"/>
              </w:rPr>
            </w:pPr>
            <w:r w:rsidRPr="00CC3A91">
              <w:rPr>
                <w:rFonts w:asciiTheme="majorHAnsi" w:hAnsiTheme="majorHAnsi" w:cs="Arial"/>
                <w:sz w:val="20"/>
                <w:szCs w:val="20"/>
                <w:lang w:val="es-ES_tradnl"/>
              </w:rPr>
              <w:t xml:space="preserve">Responsables </w:t>
            </w:r>
            <w:r w:rsidR="0088725B" w:rsidRPr="00CC3A91">
              <w:rPr>
                <w:rFonts w:asciiTheme="majorHAnsi" w:hAnsiTheme="majorHAnsi" w:cs="Arial"/>
                <w:sz w:val="20"/>
                <w:szCs w:val="20"/>
                <w:lang w:val="es-ES_tradnl"/>
              </w:rPr>
              <w:t>de políticas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 xml:space="preserve">Nota </w:t>
            </w:r>
            <w:r w:rsidR="008D7167" w:rsidRPr="00CC3A91">
              <w:rPr>
                <w:rFonts w:asciiTheme="majorHAnsi" w:hAnsiTheme="majorHAnsi" w:cs="Arial"/>
                <w:sz w:val="20"/>
                <w:szCs w:val="20"/>
                <w:lang w:val="es-ES_tradnl"/>
              </w:rPr>
              <w:t>sobre políticas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y</w:t>
            </w:r>
            <w:r w:rsidR="008B2B77" w:rsidRPr="00CC3A91">
              <w:rPr>
                <w:rFonts w:asciiTheme="majorHAnsi" w:hAnsiTheme="majorHAnsi" w:cs="Arial"/>
                <w:sz w:val="20"/>
                <w:szCs w:val="20"/>
                <w:lang w:val="es-ES_tradnl"/>
              </w:rPr>
              <w:t xml:space="preserve"> </w:t>
            </w:r>
            <w:r w:rsidRPr="00CC3A91">
              <w:rPr>
                <w:rFonts w:asciiTheme="majorHAnsi" w:hAnsiTheme="majorHAnsi" w:cs="Arial"/>
                <w:sz w:val="20"/>
                <w:szCs w:val="20"/>
                <w:lang w:val="es-ES_tradnl"/>
              </w:rPr>
              <w:t>profesionales</w:t>
            </w:r>
            <w:r w:rsidR="00FD2638" w:rsidRPr="00CC3A91">
              <w:rPr>
                <w:rFonts w:asciiTheme="majorHAnsi" w:hAnsiTheme="majorHAnsi" w:cs="Arial"/>
                <w:sz w:val="20"/>
                <w:szCs w:val="20"/>
                <w:lang w:val="es-ES_tradnl"/>
              </w:rPr>
              <w:t xml:space="preserve"> (</w:t>
            </w:r>
            <w:r w:rsidR="008B2B77" w:rsidRPr="00CC3A91">
              <w:rPr>
                <w:rFonts w:asciiTheme="majorHAnsi" w:hAnsiTheme="majorHAnsi" w:cs="Arial"/>
                <w:sz w:val="20"/>
                <w:szCs w:val="20"/>
                <w:lang w:val="es-ES_tradnl"/>
              </w:rPr>
              <w:t>protocol</w:t>
            </w:r>
            <w:r w:rsidR="00FC3AB4" w:rsidRPr="00CC3A91">
              <w:rPr>
                <w:rFonts w:asciiTheme="majorHAnsi" w:hAnsiTheme="majorHAnsi" w:cs="Arial"/>
                <w:sz w:val="20"/>
                <w:szCs w:val="20"/>
                <w:lang w:val="es-ES_tradnl"/>
              </w:rPr>
              <w:t>o anexo</w:t>
            </w:r>
            <w:r w:rsidR="008B2B77" w:rsidRPr="00CC3A91">
              <w:rPr>
                <w:rFonts w:asciiTheme="majorHAnsi" w:hAnsiTheme="majorHAnsi" w:cs="Arial"/>
                <w:sz w:val="20"/>
                <w:szCs w:val="20"/>
                <w:lang w:val="es-ES_tradnl"/>
              </w:rPr>
              <w:t>)</w:t>
            </w:r>
          </w:p>
        </w:tc>
        <w:tc>
          <w:tcPr>
            <w:tcW w:w="1090" w:type="pct"/>
            <w:tcBorders>
              <w:bottom w:val="single" w:sz="10" w:space="0" w:color="000000"/>
              <w:right w:val="single" w:sz="10" w:space="0" w:color="000000"/>
            </w:tcBorders>
            <w:tcMar>
              <w:top w:w="144" w:type="nil"/>
              <w:right w:w="144" w:type="nil"/>
            </w:tcMar>
          </w:tcPr>
          <w:p w14:paraId="442EE2F0" w14:textId="10BFD7C5" w:rsidR="008B2B77" w:rsidRPr="00CC3A91" w:rsidRDefault="008B2B77" w:rsidP="008B2B77">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25</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300</w:t>
            </w:r>
          </w:p>
        </w:tc>
      </w:tr>
      <w:tr w:rsidR="008B2B77" w:rsidRPr="00CC3A91" w14:paraId="28A64FCC"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01369DAA" w14:textId="2AC56919" w:rsidR="008B2B77" w:rsidRPr="00CC3A91" w:rsidRDefault="009A2356" w:rsidP="009A2356">
            <w:pPr>
              <w:widowControl w:val="0"/>
              <w:autoSpaceDE w:val="0"/>
              <w:autoSpaceDN w:val="0"/>
              <w:adjustRightInd w:val="0"/>
              <w:rPr>
                <w:rFonts w:asciiTheme="majorHAnsi" w:eastAsia="Calibri" w:hAnsiTheme="majorHAnsi"/>
                <w:sz w:val="20"/>
                <w:szCs w:val="20"/>
                <w:lang w:val="es-ES_tradnl"/>
              </w:rPr>
            </w:pPr>
            <w:r w:rsidRPr="00CC3A91">
              <w:rPr>
                <w:rFonts w:asciiTheme="majorHAnsi" w:hAnsiTheme="majorHAnsi" w:cs="Arial"/>
                <w:sz w:val="20"/>
                <w:szCs w:val="20"/>
                <w:lang w:val="es-ES_tradnl"/>
              </w:rPr>
              <w:t>Protocolo para evaluar los múltiples valores de los humedales – juego de herramientas (IPBES)</w:t>
            </w:r>
            <w:r w:rsidRPr="00CC3A91">
              <w:rPr>
                <w:rFonts w:asciiTheme="majorHAnsi" w:eastAsia="Calibri" w:hAnsiTheme="majorHAnsi" w:cs="Calibri"/>
                <w:sz w:val="22"/>
                <w:szCs w:val="22"/>
                <w:lang w:val="es-ES_tradnl"/>
              </w:rPr>
              <w:t xml:space="preserve"> </w:t>
            </w:r>
          </w:p>
        </w:tc>
        <w:tc>
          <w:tcPr>
            <w:tcW w:w="388" w:type="pct"/>
            <w:tcBorders>
              <w:bottom w:val="single" w:sz="10" w:space="0" w:color="000000"/>
              <w:right w:val="single" w:sz="10" w:space="0" w:color="000000"/>
            </w:tcBorders>
            <w:tcMar>
              <w:top w:w="144" w:type="nil"/>
              <w:right w:w="144" w:type="nil"/>
            </w:tcMar>
          </w:tcPr>
          <w:p w14:paraId="274B2DB2"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3.2</w:t>
            </w:r>
          </w:p>
        </w:tc>
        <w:tc>
          <w:tcPr>
            <w:tcW w:w="2173" w:type="pct"/>
            <w:tcBorders>
              <w:bottom w:val="single" w:sz="10" w:space="0" w:color="000000"/>
              <w:right w:val="single" w:sz="10" w:space="0" w:color="000000"/>
            </w:tcBorders>
            <w:tcMar>
              <w:top w:w="144" w:type="nil"/>
              <w:right w:w="144" w:type="nil"/>
            </w:tcMar>
          </w:tcPr>
          <w:p w14:paraId="0A24BC37" w14:textId="104EE3CA" w:rsidR="008B2B77" w:rsidRPr="00CC3A91" w:rsidRDefault="005B4BA2" w:rsidP="008B2B77">
            <w:pPr>
              <w:rPr>
                <w:rFonts w:asciiTheme="majorHAnsi" w:hAnsiTheme="majorHAnsi" w:cs="Arial"/>
                <w:b/>
                <w:sz w:val="20"/>
                <w:szCs w:val="20"/>
                <w:lang w:val="es-ES_tradnl"/>
              </w:rPr>
            </w:pPr>
            <w:r w:rsidRPr="00CC3A91">
              <w:rPr>
                <w:rFonts w:asciiTheme="majorHAnsi" w:hAnsiTheme="majorHAnsi" w:cs="Arial"/>
                <w:sz w:val="20"/>
                <w:szCs w:val="20"/>
                <w:lang w:val="es-ES_tradnl"/>
              </w:rPr>
              <w:t>Profesionales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administradores de humedales</w:t>
            </w:r>
            <w:r w:rsidR="008B2B77" w:rsidRPr="00CC3A91">
              <w:rPr>
                <w:rFonts w:asciiTheme="majorHAnsi" w:hAnsiTheme="majorHAnsi" w:cs="Arial"/>
                <w:sz w:val="20"/>
                <w:szCs w:val="20"/>
                <w:lang w:val="es-ES_tradnl"/>
              </w:rPr>
              <w:t>)</w:t>
            </w:r>
          </w:p>
          <w:p w14:paraId="3E5551F3" w14:textId="77777777" w:rsidR="008B2B77" w:rsidRPr="00CC3A91" w:rsidRDefault="008B2B77" w:rsidP="008B2B77">
            <w:pPr>
              <w:widowControl w:val="0"/>
              <w:autoSpaceDE w:val="0"/>
              <w:autoSpaceDN w:val="0"/>
              <w:adjustRightInd w:val="0"/>
              <w:rPr>
                <w:rFonts w:asciiTheme="majorHAnsi" w:eastAsia="Calibri" w:hAnsiTheme="majorHAnsi"/>
                <w:sz w:val="20"/>
                <w:szCs w:val="20"/>
                <w:lang w:val="es-ES_tradnl"/>
              </w:rPr>
            </w:pPr>
          </w:p>
        </w:tc>
        <w:tc>
          <w:tcPr>
            <w:tcW w:w="1090" w:type="pct"/>
            <w:tcBorders>
              <w:bottom w:val="single" w:sz="10" w:space="0" w:color="000000"/>
              <w:right w:val="single" w:sz="10" w:space="0" w:color="000000"/>
            </w:tcBorders>
            <w:tcMar>
              <w:top w:w="144" w:type="nil"/>
              <w:right w:w="144" w:type="nil"/>
            </w:tcMar>
          </w:tcPr>
          <w:p w14:paraId="6A35AFCE" w14:textId="3D8580F1" w:rsidR="008B2B77" w:rsidRPr="00CC3A91" w:rsidRDefault="00F27FDD" w:rsidP="008B2B77">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33</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5</w:t>
            </w:r>
            <w:r w:rsidR="008B2B77" w:rsidRPr="00CC3A91">
              <w:rPr>
                <w:rFonts w:asciiTheme="majorHAnsi" w:eastAsia="Calibri" w:hAnsiTheme="majorHAnsi" w:cs="Calibri"/>
                <w:sz w:val="20"/>
                <w:szCs w:val="20"/>
                <w:lang w:val="es-ES_tradnl"/>
              </w:rPr>
              <w:t>00</w:t>
            </w:r>
          </w:p>
        </w:tc>
      </w:tr>
      <w:tr w:rsidR="008B2B77" w:rsidRPr="00CC3A91" w14:paraId="09717006"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0F501669" w14:textId="4C7F7968" w:rsidR="008B2B77" w:rsidRPr="00CC3A91" w:rsidRDefault="009A2356" w:rsidP="00BD1DA9">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 xml:space="preserve">Los ecosistemas de </w:t>
            </w:r>
            <w:r w:rsidR="008D7167" w:rsidRPr="00CC3A91">
              <w:rPr>
                <w:rFonts w:asciiTheme="majorHAnsi" w:eastAsia="Calibri" w:hAnsiTheme="majorHAnsi" w:cs="Calibri"/>
                <w:sz w:val="20"/>
                <w:szCs w:val="20"/>
                <w:lang w:val="es-ES_tradnl"/>
              </w:rPr>
              <w:t xml:space="preserve">los </w:t>
            </w:r>
            <w:r w:rsidRPr="00CC3A91">
              <w:rPr>
                <w:rFonts w:asciiTheme="majorHAnsi" w:eastAsia="Calibri" w:hAnsiTheme="majorHAnsi" w:cs="Calibri"/>
                <w:sz w:val="20"/>
                <w:szCs w:val="20"/>
                <w:lang w:val="es-ES_tradnl"/>
              </w:rPr>
              <w:t>humedales para reducir el riesgo de desastres</w:t>
            </w:r>
            <w:r w:rsidRPr="00CC3A91">
              <w:rPr>
                <w:rFonts w:asciiTheme="majorHAnsi" w:eastAsia="Calibri" w:hAnsiTheme="majorHAnsi" w:cs="Calibri"/>
                <w:sz w:val="22"/>
                <w:szCs w:val="22"/>
                <w:lang w:val="es-ES_tradnl"/>
              </w:rPr>
              <w:t xml:space="preserve"> </w:t>
            </w:r>
          </w:p>
        </w:tc>
        <w:tc>
          <w:tcPr>
            <w:tcW w:w="388" w:type="pct"/>
            <w:tcBorders>
              <w:bottom w:val="single" w:sz="10" w:space="0" w:color="000000"/>
              <w:right w:val="single" w:sz="10" w:space="0" w:color="000000"/>
            </w:tcBorders>
            <w:tcMar>
              <w:top w:w="144" w:type="nil"/>
              <w:right w:w="144" w:type="nil"/>
            </w:tcMar>
          </w:tcPr>
          <w:p w14:paraId="0E7870B2" w14:textId="77777777" w:rsidR="008B2B77" w:rsidRPr="00CC3A91" w:rsidRDefault="008B2B77" w:rsidP="003C03B2">
            <w:pPr>
              <w:widowControl w:val="0"/>
              <w:autoSpaceDE w:val="0"/>
              <w:autoSpaceDN w:val="0"/>
              <w:adjustRightInd w:val="0"/>
              <w:jc w:val="center"/>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3.3</w:t>
            </w:r>
          </w:p>
        </w:tc>
        <w:tc>
          <w:tcPr>
            <w:tcW w:w="2173" w:type="pct"/>
            <w:tcBorders>
              <w:bottom w:val="single" w:sz="10" w:space="0" w:color="000000"/>
              <w:right w:val="single" w:sz="10" w:space="0" w:color="000000"/>
            </w:tcBorders>
            <w:tcMar>
              <w:top w:w="144" w:type="nil"/>
              <w:right w:w="144" w:type="nil"/>
            </w:tcMar>
          </w:tcPr>
          <w:p w14:paraId="3D881922" w14:textId="6FD75192" w:rsidR="008B2B77" w:rsidRPr="00CC3A91" w:rsidRDefault="005B4BA2"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 xml:space="preserve">Responsables </w:t>
            </w:r>
            <w:r w:rsidR="0088725B" w:rsidRPr="00CC3A91">
              <w:rPr>
                <w:rFonts w:asciiTheme="majorHAnsi" w:eastAsia="Calibri" w:hAnsiTheme="majorHAnsi" w:cs="Calibri"/>
                <w:sz w:val="20"/>
                <w:szCs w:val="20"/>
                <w:lang w:val="es-ES_tradnl"/>
              </w:rPr>
              <w:t>de políticas</w:t>
            </w:r>
          </w:p>
        </w:tc>
        <w:tc>
          <w:tcPr>
            <w:tcW w:w="1090" w:type="pct"/>
            <w:tcBorders>
              <w:bottom w:val="single" w:sz="10" w:space="0" w:color="000000"/>
              <w:right w:val="single" w:sz="10" w:space="0" w:color="000000"/>
            </w:tcBorders>
            <w:tcMar>
              <w:top w:w="144" w:type="nil"/>
              <w:right w:w="144" w:type="nil"/>
            </w:tcMar>
          </w:tcPr>
          <w:p w14:paraId="2938F73C" w14:textId="2EA5AA59" w:rsidR="008B2B77" w:rsidRPr="00CC3A91" w:rsidRDefault="008B2B77"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9</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000</w:t>
            </w:r>
          </w:p>
        </w:tc>
      </w:tr>
      <w:tr w:rsidR="008B2B77" w:rsidRPr="00E81A45" w14:paraId="686DAB21" w14:textId="77777777" w:rsidTr="00E81A45">
        <w:tblPrEx>
          <w:tblBorders>
            <w:top w:val="none" w:sz="0" w:space="0" w:color="auto"/>
          </w:tblBorders>
        </w:tblPrEx>
        <w:trPr>
          <w:cantSplit/>
          <w:jc w:val="center"/>
        </w:trPr>
        <w:tc>
          <w:tcPr>
            <w:tcW w:w="1349" w:type="pct"/>
            <w:tcBorders>
              <w:left w:val="single" w:sz="10" w:space="0" w:color="000000"/>
              <w:bottom w:val="single" w:sz="10" w:space="0" w:color="000000"/>
              <w:right w:val="single" w:sz="10" w:space="0" w:color="000000"/>
            </w:tcBorders>
            <w:tcMar>
              <w:top w:w="144" w:type="nil"/>
              <w:right w:w="144" w:type="nil"/>
            </w:tcMar>
          </w:tcPr>
          <w:p w14:paraId="5FE344A2" w14:textId="176300AA" w:rsidR="008B2B77" w:rsidRPr="00CC3A91" w:rsidRDefault="00BD1DA9" w:rsidP="008B2B77">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Necesidades hídricas de los humedales</w:t>
            </w:r>
          </w:p>
        </w:tc>
        <w:tc>
          <w:tcPr>
            <w:tcW w:w="388" w:type="pct"/>
            <w:tcBorders>
              <w:bottom w:val="single" w:sz="10" w:space="0" w:color="000000"/>
              <w:right w:val="single" w:sz="10" w:space="0" w:color="000000"/>
            </w:tcBorders>
            <w:tcMar>
              <w:top w:w="144" w:type="nil"/>
              <w:right w:w="144" w:type="nil"/>
            </w:tcMar>
          </w:tcPr>
          <w:p w14:paraId="2CCCEC5F"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4.1</w:t>
            </w:r>
          </w:p>
        </w:tc>
        <w:tc>
          <w:tcPr>
            <w:tcW w:w="2173" w:type="pct"/>
            <w:tcBorders>
              <w:bottom w:val="single" w:sz="10" w:space="0" w:color="000000"/>
              <w:right w:val="single" w:sz="10" w:space="0" w:color="000000"/>
            </w:tcBorders>
            <w:tcMar>
              <w:top w:w="144" w:type="nil"/>
              <w:right w:w="144" w:type="nil"/>
            </w:tcMar>
          </w:tcPr>
          <w:p w14:paraId="4C94B31B" w14:textId="516172EE" w:rsidR="008B2B77" w:rsidRPr="00CC3A91" w:rsidRDefault="005B4BA2" w:rsidP="00FC3AB4">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cs="Calibri"/>
                <w:sz w:val="20"/>
                <w:szCs w:val="20"/>
                <w:lang w:val="es-ES_tradnl"/>
              </w:rPr>
              <w:t xml:space="preserve">Responsables </w:t>
            </w:r>
            <w:r w:rsidR="0088725B" w:rsidRPr="00CC3A91">
              <w:rPr>
                <w:rFonts w:asciiTheme="majorHAnsi" w:eastAsia="Calibri" w:hAnsiTheme="majorHAnsi" w:cs="Calibri"/>
                <w:sz w:val="20"/>
                <w:szCs w:val="20"/>
                <w:lang w:val="es-ES_tradnl"/>
              </w:rPr>
              <w:t>de políticas</w:t>
            </w:r>
            <w:r w:rsidR="008B2B77" w:rsidRPr="00CC3A91">
              <w:rPr>
                <w:rFonts w:asciiTheme="majorHAnsi" w:eastAsia="Calibri" w:hAnsiTheme="majorHAnsi" w:cs="Calibri"/>
                <w:sz w:val="20"/>
                <w:szCs w:val="20"/>
                <w:lang w:val="es-ES_tradnl"/>
              </w:rPr>
              <w:t xml:space="preserve"> </w:t>
            </w:r>
            <w:r w:rsidR="00BD1DA9" w:rsidRPr="00CC3A91">
              <w:rPr>
                <w:rFonts w:asciiTheme="majorHAnsi" w:eastAsia="Calibri" w:hAnsiTheme="majorHAnsi" w:cs="Calibri"/>
                <w:sz w:val="20"/>
                <w:szCs w:val="20"/>
                <w:lang w:val="es-ES_tradnl"/>
              </w:rPr>
              <w:t>y</w:t>
            </w:r>
            <w:r w:rsidR="008D7167" w:rsidRPr="00CC3A91">
              <w:rPr>
                <w:rFonts w:asciiTheme="majorHAnsi" w:eastAsia="Calibri" w:hAnsiTheme="majorHAnsi" w:cs="Calibri"/>
                <w:sz w:val="20"/>
                <w:szCs w:val="20"/>
                <w:lang w:val="es-ES_tradnl"/>
              </w:rPr>
              <w:t xml:space="preserve"> </w:t>
            </w:r>
            <w:r w:rsidRPr="00CC3A91">
              <w:rPr>
                <w:rFonts w:asciiTheme="majorHAnsi" w:eastAsia="Calibri" w:hAnsiTheme="majorHAnsi" w:cs="Calibri"/>
                <w:sz w:val="20"/>
                <w:szCs w:val="20"/>
                <w:lang w:val="es-ES_tradnl"/>
              </w:rPr>
              <w:t>profesionales</w:t>
            </w:r>
            <w:r w:rsidR="008B2B77" w:rsidRPr="00CC3A91">
              <w:rPr>
                <w:rFonts w:asciiTheme="majorHAnsi" w:eastAsia="Calibri" w:hAnsiTheme="majorHAnsi" w:cs="Calibri"/>
                <w:sz w:val="20"/>
                <w:szCs w:val="20"/>
                <w:lang w:val="es-ES_tradnl"/>
              </w:rPr>
              <w:t xml:space="preserve"> </w:t>
            </w:r>
            <w:r w:rsidR="00FC3AB4" w:rsidRPr="00CC3A91">
              <w:rPr>
                <w:rFonts w:asciiTheme="majorHAnsi" w:eastAsia="Calibri" w:hAnsiTheme="majorHAnsi" w:cs="Calibri"/>
                <w:sz w:val="20"/>
                <w:szCs w:val="20"/>
                <w:lang w:val="es-ES_tradnl"/>
              </w:rPr>
              <w:t xml:space="preserve">en el ámbito nacional, de cuenca y local </w:t>
            </w:r>
          </w:p>
        </w:tc>
        <w:tc>
          <w:tcPr>
            <w:tcW w:w="1090" w:type="pct"/>
            <w:tcBorders>
              <w:bottom w:val="single" w:sz="10" w:space="0" w:color="000000"/>
              <w:right w:val="single" w:sz="10" w:space="0" w:color="000000"/>
            </w:tcBorders>
            <w:tcMar>
              <w:top w:w="144" w:type="nil"/>
              <w:right w:w="144" w:type="nil"/>
            </w:tcMar>
          </w:tcPr>
          <w:p w14:paraId="7FA7EE4B" w14:textId="01C8CB57" w:rsidR="008B2B77" w:rsidRPr="00CC3A91" w:rsidRDefault="008B2B77" w:rsidP="008D7167">
            <w:pPr>
              <w:widowControl w:val="0"/>
              <w:autoSpaceDE w:val="0"/>
              <w:autoSpaceDN w:val="0"/>
              <w:adjustRightInd w:val="0"/>
              <w:rPr>
                <w:rFonts w:asciiTheme="majorHAnsi" w:eastAsia="Calibri" w:hAnsiTheme="majorHAnsi"/>
                <w:sz w:val="20"/>
                <w:szCs w:val="20"/>
                <w:lang w:val="es-ES_tradnl"/>
              </w:rPr>
            </w:pPr>
            <w:r w:rsidRPr="00CC3A91">
              <w:rPr>
                <w:rFonts w:asciiTheme="majorHAnsi" w:hAnsiTheme="majorHAnsi" w:cs="Arial"/>
                <w:sz w:val="20"/>
                <w:szCs w:val="20"/>
                <w:lang w:val="es-ES_tradnl"/>
              </w:rPr>
              <w:t xml:space="preserve">No </w:t>
            </w:r>
            <w:r w:rsidR="008D7167" w:rsidRPr="00CC3A91">
              <w:rPr>
                <w:rFonts w:asciiTheme="majorHAnsi" w:hAnsiTheme="majorHAnsi" w:cs="Arial"/>
                <w:sz w:val="20"/>
                <w:szCs w:val="20"/>
                <w:lang w:val="es-ES_tradnl"/>
              </w:rPr>
              <w:t xml:space="preserve">implica costo </w:t>
            </w:r>
            <w:r w:rsidR="00FC3AB4" w:rsidRPr="00CC3A91">
              <w:rPr>
                <w:rFonts w:asciiTheme="majorHAnsi" w:hAnsiTheme="majorHAnsi" w:cs="Arial"/>
                <w:sz w:val="20"/>
                <w:szCs w:val="20"/>
                <w:lang w:val="es-ES_tradnl"/>
              </w:rPr>
              <w:t xml:space="preserve">tiene </w:t>
            </w:r>
            <w:r w:rsidR="008D7167" w:rsidRPr="00CC3A91">
              <w:rPr>
                <w:rFonts w:asciiTheme="majorHAnsi" w:hAnsiTheme="majorHAnsi" w:cs="Arial"/>
                <w:sz w:val="20"/>
                <w:szCs w:val="20"/>
                <w:lang w:val="es-ES_tradnl"/>
              </w:rPr>
              <w:t>alguno para el presupuesto</w:t>
            </w:r>
            <w:r w:rsidR="00FC3AB4" w:rsidRPr="00CC3A91">
              <w:rPr>
                <w:rFonts w:asciiTheme="majorHAnsi" w:hAnsiTheme="majorHAnsi" w:cs="Arial"/>
                <w:sz w:val="20"/>
                <w:szCs w:val="20"/>
                <w:lang w:val="es-ES_tradnl"/>
              </w:rPr>
              <w:t xml:space="preserve"> del GECT </w:t>
            </w:r>
            <w:r w:rsidRPr="00CC3A91">
              <w:rPr>
                <w:rFonts w:asciiTheme="majorHAnsi" w:eastAsia="Calibri" w:hAnsiTheme="majorHAnsi" w:cs="Calibri"/>
                <w:sz w:val="20"/>
                <w:szCs w:val="20"/>
                <w:lang w:val="es-ES_tradnl"/>
              </w:rPr>
              <w:t>[100</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 xml:space="preserve">000 </w:t>
            </w:r>
            <w:r w:rsidR="00FC3AB4" w:rsidRPr="00CC3A91">
              <w:rPr>
                <w:rFonts w:asciiTheme="majorHAnsi" w:eastAsia="Calibri" w:hAnsiTheme="majorHAnsi" w:cs="Calibri"/>
                <w:sz w:val="20"/>
                <w:szCs w:val="20"/>
                <w:lang w:val="es-ES_tradnl"/>
              </w:rPr>
              <w:t xml:space="preserve">serán aportados por </w:t>
            </w:r>
            <w:r w:rsidRPr="00CC3A91">
              <w:rPr>
                <w:rFonts w:asciiTheme="majorHAnsi" w:eastAsia="Calibri" w:hAnsiTheme="majorHAnsi" w:cs="Calibri"/>
                <w:sz w:val="20"/>
                <w:szCs w:val="20"/>
                <w:lang w:val="es-ES_tradnl"/>
              </w:rPr>
              <w:t xml:space="preserve">WWF] </w:t>
            </w:r>
          </w:p>
        </w:tc>
      </w:tr>
      <w:tr w:rsidR="008B2B77" w:rsidRPr="00CC3A91" w14:paraId="0116AD56" w14:textId="77777777" w:rsidTr="00E81A45">
        <w:tblPrEx>
          <w:tblBorders>
            <w:top w:val="none" w:sz="0" w:space="0" w:color="auto"/>
          </w:tblBorders>
        </w:tblPrEx>
        <w:trPr>
          <w:cantSplit/>
          <w:jc w:val="center"/>
        </w:trPr>
        <w:tc>
          <w:tcPr>
            <w:tcW w:w="1349" w:type="pct"/>
            <w:tcBorders>
              <w:left w:val="single" w:sz="10" w:space="0" w:color="000000"/>
              <w:bottom w:val="single" w:sz="12" w:space="0" w:color="000000"/>
              <w:right w:val="single" w:sz="10" w:space="0" w:color="000000"/>
            </w:tcBorders>
            <w:tcMar>
              <w:top w:w="144" w:type="nil"/>
              <w:right w:w="144" w:type="nil"/>
            </w:tcMar>
          </w:tcPr>
          <w:p w14:paraId="524B02CE" w14:textId="0FD995DC" w:rsidR="008B2B77" w:rsidRPr="00CC3A91" w:rsidRDefault="00BD1DA9"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Examen y análisis de los informes de las Misiones Ramsar de Asesoramiento</w:t>
            </w:r>
            <w:r w:rsidRPr="00CC3A91">
              <w:rPr>
                <w:rFonts w:asciiTheme="majorHAnsi" w:eastAsia="Calibri" w:hAnsiTheme="majorHAnsi" w:cs="Calibri"/>
                <w:sz w:val="22"/>
                <w:szCs w:val="22"/>
                <w:lang w:val="es-ES_tradnl"/>
              </w:rPr>
              <w:t xml:space="preserve"> </w:t>
            </w:r>
          </w:p>
        </w:tc>
        <w:tc>
          <w:tcPr>
            <w:tcW w:w="388" w:type="pct"/>
            <w:tcBorders>
              <w:bottom w:val="single" w:sz="12" w:space="0" w:color="000000"/>
              <w:right w:val="single" w:sz="10" w:space="0" w:color="000000"/>
            </w:tcBorders>
            <w:tcMar>
              <w:top w:w="144" w:type="nil"/>
              <w:right w:w="144" w:type="nil"/>
            </w:tcMar>
          </w:tcPr>
          <w:p w14:paraId="22B76F4E" w14:textId="77777777" w:rsidR="008B2B77" w:rsidRPr="00CC3A91" w:rsidRDefault="008B2B77" w:rsidP="003C03B2">
            <w:pPr>
              <w:widowControl w:val="0"/>
              <w:autoSpaceDE w:val="0"/>
              <w:autoSpaceDN w:val="0"/>
              <w:adjustRightInd w:val="0"/>
              <w:jc w:val="center"/>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4.2</w:t>
            </w:r>
          </w:p>
        </w:tc>
        <w:tc>
          <w:tcPr>
            <w:tcW w:w="2173" w:type="pct"/>
            <w:tcBorders>
              <w:bottom w:val="single" w:sz="12" w:space="0" w:color="000000"/>
              <w:right w:val="single" w:sz="10" w:space="0" w:color="000000"/>
            </w:tcBorders>
            <w:tcMar>
              <w:top w:w="144" w:type="nil"/>
              <w:right w:w="144" w:type="nil"/>
            </w:tcMar>
          </w:tcPr>
          <w:p w14:paraId="7235CE56" w14:textId="2983D045" w:rsidR="008B2B77" w:rsidRPr="00CC3A91" w:rsidRDefault="005B4BA2" w:rsidP="00FC3AB4">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hAnsiTheme="majorHAnsi" w:cs="Arial"/>
                <w:sz w:val="20"/>
                <w:szCs w:val="20"/>
                <w:lang w:val="es-ES_tradnl"/>
              </w:rPr>
              <w:t xml:space="preserve">Responsables </w:t>
            </w:r>
            <w:r w:rsidR="0088725B" w:rsidRPr="00CC3A91">
              <w:rPr>
                <w:rFonts w:asciiTheme="majorHAnsi" w:hAnsiTheme="majorHAnsi" w:cs="Arial"/>
                <w:sz w:val="20"/>
                <w:szCs w:val="20"/>
                <w:lang w:val="es-ES_tradnl"/>
              </w:rPr>
              <w:t>de políticas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y</w:t>
            </w:r>
            <w:r w:rsidR="008B2B77" w:rsidRPr="00CC3A91">
              <w:rPr>
                <w:rFonts w:asciiTheme="majorHAnsi" w:hAnsiTheme="majorHAnsi" w:cs="Arial"/>
                <w:sz w:val="20"/>
                <w:szCs w:val="20"/>
                <w:lang w:val="es-ES_tradnl"/>
              </w:rPr>
              <w:t xml:space="preserve"> </w:t>
            </w:r>
            <w:r w:rsidRPr="00CC3A91">
              <w:rPr>
                <w:rFonts w:asciiTheme="majorHAnsi" w:hAnsiTheme="majorHAnsi" w:cs="Arial"/>
                <w:sz w:val="20"/>
                <w:szCs w:val="20"/>
                <w:lang w:val="es-ES_tradnl"/>
              </w:rPr>
              <w:t>profesionales</w:t>
            </w:r>
            <w:r w:rsidR="008B2B77" w:rsidRPr="00CC3A91">
              <w:rPr>
                <w:rFonts w:asciiTheme="majorHAnsi" w:hAnsiTheme="majorHAnsi" w:cs="Arial"/>
                <w:sz w:val="20"/>
                <w:szCs w:val="20"/>
                <w:lang w:val="es-ES_tradnl"/>
              </w:rPr>
              <w:t xml:space="preserve"> (</w:t>
            </w:r>
            <w:r w:rsidR="00FC3AB4" w:rsidRPr="00CC3A91">
              <w:rPr>
                <w:rFonts w:asciiTheme="majorHAnsi" w:hAnsiTheme="majorHAnsi" w:cs="Arial"/>
                <w:sz w:val="20"/>
                <w:szCs w:val="20"/>
                <w:lang w:val="es-ES_tradnl"/>
              </w:rPr>
              <w:t>administradores de humedales</w:t>
            </w:r>
            <w:r w:rsidR="008B2B77" w:rsidRPr="00CC3A91">
              <w:rPr>
                <w:rFonts w:asciiTheme="majorHAnsi" w:hAnsiTheme="majorHAnsi" w:cs="Arial"/>
                <w:sz w:val="20"/>
                <w:szCs w:val="20"/>
                <w:lang w:val="es-ES_tradnl"/>
              </w:rPr>
              <w:t>).</w:t>
            </w:r>
          </w:p>
        </w:tc>
        <w:tc>
          <w:tcPr>
            <w:tcW w:w="1090" w:type="pct"/>
            <w:tcBorders>
              <w:bottom w:val="single" w:sz="12" w:space="0" w:color="000000"/>
              <w:right w:val="single" w:sz="10" w:space="0" w:color="000000"/>
            </w:tcBorders>
            <w:tcMar>
              <w:top w:w="144" w:type="nil"/>
              <w:right w:w="144" w:type="nil"/>
            </w:tcMar>
          </w:tcPr>
          <w:p w14:paraId="1539B2A1" w14:textId="48F4F9F6" w:rsidR="008B2B77" w:rsidRPr="00CC3A91" w:rsidRDefault="008B2B77" w:rsidP="008B2B77">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22</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000</w:t>
            </w:r>
          </w:p>
          <w:p w14:paraId="618687DA" w14:textId="2C0765D5" w:rsidR="008B2B77" w:rsidRPr="00CC3A91" w:rsidRDefault="008B2B77" w:rsidP="00FC3AB4">
            <w:pPr>
              <w:widowControl w:val="0"/>
              <w:autoSpaceDE w:val="0"/>
              <w:autoSpaceDN w:val="0"/>
              <w:adjustRightInd w:val="0"/>
              <w:rPr>
                <w:rFonts w:asciiTheme="majorHAnsi" w:eastAsia="Calibri" w:hAnsiTheme="majorHAnsi" w:cs="Calibri"/>
                <w:sz w:val="20"/>
                <w:szCs w:val="20"/>
                <w:lang w:val="es-ES_tradnl"/>
              </w:rPr>
            </w:pPr>
            <w:r w:rsidRPr="00CC3A91">
              <w:rPr>
                <w:rFonts w:asciiTheme="majorHAnsi" w:eastAsia="Calibri" w:hAnsiTheme="majorHAnsi" w:cs="Calibri"/>
                <w:sz w:val="20"/>
                <w:szCs w:val="20"/>
                <w:lang w:val="es-ES_tradnl"/>
              </w:rPr>
              <w:t>[</w:t>
            </w:r>
            <w:r w:rsidR="00FC3AB4" w:rsidRPr="00CC3A91">
              <w:rPr>
                <w:rFonts w:asciiTheme="majorHAnsi" w:eastAsia="Calibri" w:hAnsiTheme="majorHAnsi" w:cs="Calibri"/>
                <w:sz w:val="20"/>
                <w:szCs w:val="20"/>
                <w:lang w:val="es-ES_tradnl"/>
              </w:rPr>
              <w:t xml:space="preserve">WWF aportará </w:t>
            </w:r>
            <w:r w:rsidRPr="00CC3A91">
              <w:rPr>
                <w:rFonts w:asciiTheme="majorHAnsi" w:eastAsia="Calibri" w:hAnsiTheme="majorHAnsi" w:cs="Calibri"/>
                <w:sz w:val="20"/>
                <w:szCs w:val="20"/>
                <w:lang w:val="es-ES_tradnl"/>
              </w:rPr>
              <w:t>22</w:t>
            </w:r>
            <w:r w:rsidR="00534531" w:rsidRPr="00CC3A91">
              <w:rPr>
                <w:rFonts w:asciiTheme="majorHAnsi" w:eastAsia="Calibri" w:hAnsiTheme="majorHAnsi" w:cs="Calibri"/>
                <w:sz w:val="20"/>
                <w:szCs w:val="20"/>
                <w:lang w:val="es-ES_tradnl"/>
              </w:rPr>
              <w:t>.</w:t>
            </w:r>
            <w:r w:rsidRPr="00CC3A91">
              <w:rPr>
                <w:rFonts w:asciiTheme="majorHAnsi" w:eastAsia="Calibri" w:hAnsiTheme="majorHAnsi" w:cs="Calibri"/>
                <w:sz w:val="20"/>
                <w:szCs w:val="20"/>
                <w:lang w:val="es-ES_tradnl"/>
              </w:rPr>
              <w:t xml:space="preserve">000 </w:t>
            </w:r>
            <w:r w:rsidR="00FC3AB4" w:rsidRPr="00CC3A91">
              <w:rPr>
                <w:rFonts w:asciiTheme="majorHAnsi" w:eastAsia="Calibri" w:hAnsiTheme="majorHAnsi" w:cs="Calibri"/>
                <w:sz w:val="20"/>
                <w:szCs w:val="20"/>
                <w:lang w:val="es-ES_tradnl"/>
              </w:rPr>
              <w:t>adicionales</w:t>
            </w:r>
            <w:r w:rsidRPr="00CC3A91">
              <w:rPr>
                <w:rFonts w:asciiTheme="majorHAnsi" w:eastAsia="Calibri" w:hAnsiTheme="majorHAnsi" w:cs="Calibri"/>
                <w:sz w:val="20"/>
                <w:szCs w:val="20"/>
                <w:lang w:val="es-ES_tradnl"/>
              </w:rPr>
              <w:t>]</w:t>
            </w:r>
          </w:p>
        </w:tc>
      </w:tr>
      <w:tr w:rsidR="008B2B77" w:rsidRPr="00CC3A91" w14:paraId="1C696307" w14:textId="77777777" w:rsidTr="00E81A45">
        <w:trPr>
          <w:cantSplit/>
          <w:jc w:val="center"/>
        </w:trPr>
        <w:tc>
          <w:tcPr>
            <w:tcW w:w="1349"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5E046860" w14:textId="7CF6ED90" w:rsidR="008B2B77" w:rsidRPr="00CC3A91" w:rsidRDefault="008B2B77" w:rsidP="00BD1DA9">
            <w:pPr>
              <w:widowControl w:val="0"/>
              <w:autoSpaceDE w:val="0"/>
              <w:autoSpaceDN w:val="0"/>
              <w:adjustRightInd w:val="0"/>
              <w:rPr>
                <w:rFonts w:asciiTheme="majorHAnsi" w:eastAsia="Calibri" w:hAnsiTheme="majorHAnsi"/>
                <w:sz w:val="20"/>
                <w:szCs w:val="20"/>
                <w:lang w:val="es-ES_tradnl"/>
              </w:rPr>
            </w:pPr>
            <w:r w:rsidRPr="00CC3A91">
              <w:rPr>
                <w:rFonts w:asciiTheme="majorHAnsi" w:hAnsiTheme="majorHAnsi" w:cs="Arial"/>
                <w:sz w:val="20"/>
                <w:szCs w:val="20"/>
                <w:lang w:val="es-ES_tradnl" w:eastAsia="zh-CN"/>
              </w:rPr>
              <w:t>Promo</w:t>
            </w:r>
            <w:r w:rsidR="00BD1DA9" w:rsidRPr="00CC3A91">
              <w:rPr>
                <w:rFonts w:asciiTheme="majorHAnsi" w:hAnsiTheme="majorHAnsi" w:cs="Arial"/>
                <w:sz w:val="20"/>
                <w:szCs w:val="20"/>
                <w:lang w:val="es-ES_tradnl" w:eastAsia="zh-CN"/>
              </w:rPr>
              <w:t xml:space="preserve">ver las buenas prácticas de restauración de los humedales </w:t>
            </w:r>
          </w:p>
        </w:tc>
        <w:tc>
          <w:tcPr>
            <w:tcW w:w="388"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6A250430" w14:textId="77777777" w:rsidR="008B2B77" w:rsidRPr="00CC3A91" w:rsidRDefault="008B2B77" w:rsidP="003C03B2">
            <w:pPr>
              <w:widowControl w:val="0"/>
              <w:autoSpaceDE w:val="0"/>
              <w:autoSpaceDN w:val="0"/>
              <w:adjustRightInd w:val="0"/>
              <w:jc w:val="center"/>
              <w:rPr>
                <w:rFonts w:asciiTheme="majorHAnsi" w:eastAsia="Calibri" w:hAnsiTheme="majorHAnsi"/>
                <w:sz w:val="20"/>
                <w:szCs w:val="20"/>
                <w:lang w:val="es-ES_tradnl"/>
              </w:rPr>
            </w:pPr>
            <w:r w:rsidRPr="00CC3A91">
              <w:rPr>
                <w:rFonts w:asciiTheme="majorHAnsi" w:eastAsia="Calibri" w:hAnsiTheme="majorHAnsi"/>
                <w:sz w:val="20"/>
                <w:szCs w:val="20"/>
                <w:lang w:val="es-ES_tradnl"/>
              </w:rPr>
              <w:t>5.1</w:t>
            </w:r>
          </w:p>
        </w:tc>
        <w:tc>
          <w:tcPr>
            <w:tcW w:w="2173"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291E9E86" w14:textId="7CCD35D2" w:rsidR="008B2B77" w:rsidRPr="00CC3A91" w:rsidRDefault="005B4BA2" w:rsidP="00BD1DA9">
            <w:pPr>
              <w:widowControl w:val="0"/>
              <w:autoSpaceDE w:val="0"/>
              <w:autoSpaceDN w:val="0"/>
              <w:adjustRightInd w:val="0"/>
              <w:rPr>
                <w:rFonts w:asciiTheme="majorHAnsi" w:eastAsia="Calibri" w:hAnsiTheme="majorHAnsi"/>
                <w:sz w:val="20"/>
                <w:szCs w:val="20"/>
                <w:lang w:val="es-ES_tradnl"/>
              </w:rPr>
            </w:pPr>
            <w:r w:rsidRPr="00CC3A91">
              <w:rPr>
                <w:rFonts w:asciiTheme="majorHAnsi" w:hAnsiTheme="majorHAnsi" w:cs="Arial"/>
                <w:sz w:val="20"/>
                <w:szCs w:val="20"/>
                <w:lang w:val="es-ES_tradnl"/>
              </w:rPr>
              <w:t xml:space="preserve">Responsables </w:t>
            </w:r>
            <w:r w:rsidR="0088725B" w:rsidRPr="00CC3A91">
              <w:rPr>
                <w:rFonts w:asciiTheme="majorHAnsi" w:hAnsiTheme="majorHAnsi" w:cs="Arial"/>
                <w:sz w:val="20"/>
                <w:szCs w:val="20"/>
                <w:lang w:val="es-ES_tradnl"/>
              </w:rPr>
              <w:t>de políticas</w:t>
            </w:r>
            <w:r w:rsidR="008B2B77" w:rsidRPr="00CC3A91">
              <w:rPr>
                <w:rFonts w:asciiTheme="majorHAnsi" w:hAnsiTheme="majorHAnsi" w:cs="Arial"/>
                <w:sz w:val="20"/>
                <w:szCs w:val="20"/>
                <w:lang w:val="es-ES_tradnl"/>
              </w:rPr>
              <w:t xml:space="preserve"> </w:t>
            </w:r>
            <w:r w:rsidR="00BD1DA9" w:rsidRPr="00CC3A91">
              <w:rPr>
                <w:rFonts w:asciiTheme="majorHAnsi" w:hAnsiTheme="majorHAnsi" w:cs="Arial"/>
                <w:sz w:val="20"/>
                <w:szCs w:val="20"/>
                <w:lang w:val="es-ES_tradnl"/>
              </w:rPr>
              <w:t xml:space="preserve">y </w:t>
            </w:r>
            <w:r w:rsidRPr="00CC3A91">
              <w:rPr>
                <w:rFonts w:asciiTheme="majorHAnsi" w:hAnsiTheme="majorHAnsi" w:cs="Arial"/>
                <w:sz w:val="20"/>
                <w:szCs w:val="20"/>
                <w:lang w:val="es-ES_tradnl"/>
              </w:rPr>
              <w:t>profesionales</w:t>
            </w:r>
            <w:r w:rsidR="008B2B77" w:rsidRPr="00CC3A91">
              <w:rPr>
                <w:rFonts w:asciiTheme="majorHAnsi" w:hAnsiTheme="majorHAnsi" w:cs="Arial"/>
                <w:sz w:val="20"/>
                <w:szCs w:val="20"/>
                <w:lang w:val="es-ES_tradnl"/>
              </w:rPr>
              <w:t xml:space="preserve"> (</w:t>
            </w:r>
            <w:r w:rsidR="00BD1DA9" w:rsidRPr="00CC3A91">
              <w:rPr>
                <w:rFonts w:asciiTheme="majorHAnsi" w:hAnsiTheme="majorHAnsi" w:cs="Arial"/>
                <w:sz w:val="20"/>
                <w:szCs w:val="20"/>
                <w:lang w:val="es-ES_tradnl"/>
              </w:rPr>
              <w:t>administradores de humedales</w:t>
            </w:r>
            <w:r w:rsidR="008B2B77" w:rsidRPr="00CC3A91">
              <w:rPr>
                <w:rFonts w:asciiTheme="majorHAnsi" w:hAnsiTheme="majorHAnsi" w:cs="Arial"/>
                <w:sz w:val="20"/>
                <w:szCs w:val="20"/>
                <w:lang w:val="es-ES_tradnl"/>
              </w:rPr>
              <w:t>)</w:t>
            </w:r>
          </w:p>
        </w:tc>
        <w:tc>
          <w:tcPr>
            <w:tcW w:w="1090"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16B4428A" w14:textId="3B3C0EFB" w:rsidR="008B2B77" w:rsidRPr="00CC3A91" w:rsidRDefault="008B2B77" w:rsidP="008B2B77">
            <w:pPr>
              <w:widowControl w:val="0"/>
              <w:autoSpaceDE w:val="0"/>
              <w:autoSpaceDN w:val="0"/>
              <w:adjustRightInd w:val="0"/>
              <w:rPr>
                <w:rFonts w:asciiTheme="majorHAnsi" w:eastAsia="Calibri" w:hAnsiTheme="majorHAnsi"/>
                <w:sz w:val="20"/>
                <w:szCs w:val="20"/>
                <w:lang w:val="es-ES_tradnl"/>
              </w:rPr>
            </w:pPr>
            <w:r w:rsidRPr="00CC3A91">
              <w:rPr>
                <w:rFonts w:asciiTheme="majorHAnsi" w:eastAsia="Calibri" w:hAnsiTheme="majorHAnsi"/>
                <w:sz w:val="20"/>
                <w:szCs w:val="20"/>
                <w:lang w:val="es-ES_tradnl"/>
              </w:rPr>
              <w:t>22</w:t>
            </w:r>
            <w:r w:rsidR="00534531" w:rsidRPr="00CC3A91">
              <w:rPr>
                <w:rFonts w:asciiTheme="majorHAnsi" w:eastAsia="Calibri" w:hAnsiTheme="majorHAnsi"/>
                <w:sz w:val="20"/>
                <w:szCs w:val="20"/>
                <w:lang w:val="es-ES_tradnl"/>
              </w:rPr>
              <w:t>.</w:t>
            </w:r>
            <w:r w:rsidRPr="00CC3A91">
              <w:rPr>
                <w:rFonts w:asciiTheme="majorHAnsi" w:eastAsia="Calibri" w:hAnsiTheme="majorHAnsi"/>
                <w:sz w:val="20"/>
                <w:szCs w:val="20"/>
                <w:lang w:val="es-ES_tradnl"/>
              </w:rPr>
              <w:t>000</w:t>
            </w:r>
          </w:p>
        </w:tc>
      </w:tr>
    </w:tbl>
    <w:p w14:paraId="65FEC43A" w14:textId="045845BB" w:rsidR="008B2B77" w:rsidRPr="00CC3A91" w:rsidRDefault="008B2B77" w:rsidP="00FB3790">
      <w:pPr>
        <w:rPr>
          <w:szCs w:val="22"/>
          <w:lang w:val="es-ES_tradnl"/>
        </w:rPr>
      </w:pPr>
    </w:p>
    <w:p w14:paraId="154518D5" w14:textId="59D9FD5D" w:rsidR="007572F7" w:rsidRPr="00CC3A91" w:rsidRDefault="000C4E7E"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En el caso de la Tarea </w:t>
      </w:r>
      <w:r w:rsidR="00C75C06" w:rsidRPr="00CC3A91">
        <w:rPr>
          <w:rFonts w:asciiTheme="majorHAnsi" w:hAnsiTheme="majorHAnsi"/>
          <w:szCs w:val="22"/>
          <w:lang w:val="es-ES_tradnl"/>
        </w:rPr>
        <w:t xml:space="preserve">4.2, </w:t>
      </w:r>
      <w:r w:rsidRPr="00CC3A91">
        <w:rPr>
          <w:rFonts w:asciiTheme="majorHAnsi" w:hAnsiTheme="majorHAnsi"/>
          <w:szCs w:val="22"/>
          <w:lang w:val="es-ES_tradnl"/>
        </w:rPr>
        <w:t xml:space="preserve">los fondos proporcionados por </w:t>
      </w:r>
      <w:r w:rsidR="00C75C06" w:rsidRPr="00CC3A91">
        <w:rPr>
          <w:rFonts w:asciiTheme="majorHAnsi" w:hAnsiTheme="majorHAnsi"/>
          <w:szCs w:val="22"/>
          <w:lang w:val="es-ES_tradnl"/>
        </w:rPr>
        <w:t xml:space="preserve">WWF </w:t>
      </w:r>
      <w:r w:rsidRPr="00CC3A91">
        <w:rPr>
          <w:rFonts w:asciiTheme="majorHAnsi" w:hAnsiTheme="majorHAnsi"/>
          <w:szCs w:val="22"/>
          <w:lang w:val="es-ES_tradnl"/>
        </w:rPr>
        <w:t xml:space="preserve">deben estar asignados antes </w:t>
      </w:r>
      <w:r w:rsidR="00343A68" w:rsidRPr="00CC3A91">
        <w:rPr>
          <w:rFonts w:asciiTheme="majorHAnsi" w:hAnsiTheme="majorHAnsi"/>
          <w:szCs w:val="22"/>
          <w:lang w:val="es-ES_tradnl"/>
        </w:rPr>
        <w:t>de la reunión del Com</w:t>
      </w:r>
      <w:r w:rsidR="000D373B" w:rsidRPr="00CC3A91">
        <w:rPr>
          <w:rFonts w:asciiTheme="majorHAnsi" w:hAnsiTheme="majorHAnsi"/>
          <w:szCs w:val="22"/>
          <w:lang w:val="es-ES_tradnl"/>
        </w:rPr>
        <w:t>ité Permanente en junio de 2016,</w:t>
      </w:r>
      <w:r w:rsidR="00343A68" w:rsidRPr="00CC3A91">
        <w:rPr>
          <w:rFonts w:asciiTheme="majorHAnsi" w:hAnsiTheme="majorHAnsi"/>
          <w:szCs w:val="22"/>
          <w:lang w:val="es-ES_tradnl"/>
        </w:rPr>
        <w:t xml:space="preserve"> de lo contrario</w:t>
      </w:r>
      <w:r w:rsidR="000D373B" w:rsidRPr="00CC3A91">
        <w:rPr>
          <w:rFonts w:asciiTheme="majorHAnsi" w:hAnsiTheme="majorHAnsi"/>
          <w:szCs w:val="22"/>
          <w:lang w:val="es-ES_tradnl"/>
        </w:rPr>
        <w:t>,</w:t>
      </w:r>
      <w:r w:rsidR="00343A68" w:rsidRPr="00CC3A91">
        <w:rPr>
          <w:rFonts w:asciiTheme="majorHAnsi" w:hAnsiTheme="majorHAnsi"/>
          <w:szCs w:val="22"/>
          <w:lang w:val="es-ES_tradnl"/>
        </w:rPr>
        <w:t xml:space="preserve"> </w:t>
      </w:r>
      <w:r w:rsidR="001568CB" w:rsidRPr="00CC3A91">
        <w:rPr>
          <w:rFonts w:asciiTheme="majorHAnsi" w:hAnsiTheme="majorHAnsi"/>
          <w:szCs w:val="22"/>
          <w:lang w:val="es-ES_tradnl"/>
        </w:rPr>
        <w:t>no se podrá disponer de ellos para las citadas tareas del GECT. Por tanto, La Presidencia del GECT, junto</w:t>
      </w:r>
      <w:r w:rsidR="0088725B" w:rsidRPr="00CC3A91">
        <w:rPr>
          <w:rFonts w:asciiTheme="majorHAnsi" w:hAnsiTheme="majorHAnsi"/>
          <w:szCs w:val="22"/>
          <w:lang w:val="es-ES_tradnl"/>
        </w:rPr>
        <w:t xml:space="preserve"> </w:t>
      </w:r>
      <w:r w:rsidR="001568CB" w:rsidRPr="00CC3A91">
        <w:rPr>
          <w:rFonts w:asciiTheme="majorHAnsi" w:hAnsiTheme="majorHAnsi"/>
          <w:szCs w:val="22"/>
          <w:lang w:val="es-ES_tradnl"/>
        </w:rPr>
        <w:t>con la Secretaría General en funciones y la Presidencia del Comité Permanente, estudiarán los mecanismos para avanzar en estas tareas antes de la 52ª reunión del Comité Permanente.</w:t>
      </w:r>
      <w:r w:rsidR="0088725B" w:rsidRPr="00CC3A91">
        <w:rPr>
          <w:rFonts w:asciiTheme="majorHAnsi" w:hAnsiTheme="majorHAnsi"/>
          <w:szCs w:val="22"/>
          <w:lang w:val="es-ES_tradnl"/>
        </w:rPr>
        <w:t xml:space="preserve"> </w:t>
      </w:r>
    </w:p>
    <w:p w14:paraId="1938F113" w14:textId="77777777" w:rsidR="00E00AE3" w:rsidRPr="00CC3A91" w:rsidRDefault="00E00AE3" w:rsidP="00FB3790">
      <w:pPr>
        <w:ind w:left="426" w:hanging="426"/>
        <w:rPr>
          <w:rFonts w:asciiTheme="majorHAnsi" w:hAnsiTheme="majorHAnsi"/>
          <w:sz w:val="22"/>
          <w:szCs w:val="22"/>
          <w:lang w:val="es-ES_tradnl"/>
        </w:rPr>
      </w:pPr>
    </w:p>
    <w:p w14:paraId="7DD2C0BC" w14:textId="3573B422" w:rsidR="00E00AE3" w:rsidRPr="00CC3A91" w:rsidRDefault="001568CB"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Las prioridades en la categoría de funciones de asesoramiento ad hoc y colaboración con otros organismos internacionales incluyen</w:t>
      </w:r>
      <w:r w:rsidR="000D373B" w:rsidRPr="00CC3A91">
        <w:rPr>
          <w:rFonts w:asciiTheme="majorHAnsi" w:hAnsiTheme="majorHAnsi"/>
          <w:szCs w:val="22"/>
          <w:lang w:val="es-ES_tradnl"/>
        </w:rPr>
        <w:t>:</w:t>
      </w:r>
      <w:r w:rsidRPr="00CC3A91">
        <w:rPr>
          <w:rFonts w:asciiTheme="majorHAnsi" w:hAnsiTheme="majorHAnsi"/>
          <w:szCs w:val="22"/>
          <w:lang w:val="es-ES_tradnl"/>
        </w:rPr>
        <w:t xml:space="preserve"> </w:t>
      </w:r>
      <w:r w:rsidR="000D373B" w:rsidRPr="00CC3A91">
        <w:rPr>
          <w:rFonts w:asciiTheme="majorHAnsi" w:hAnsiTheme="majorHAnsi"/>
          <w:szCs w:val="22"/>
          <w:lang w:val="es-ES_tradnl"/>
        </w:rPr>
        <w:t>trabajar con</w:t>
      </w:r>
      <w:r w:rsidRPr="00CC3A91">
        <w:rPr>
          <w:rFonts w:asciiTheme="majorHAnsi" w:hAnsiTheme="majorHAnsi"/>
          <w:szCs w:val="22"/>
          <w:lang w:val="es-ES_tradnl"/>
        </w:rPr>
        <w:t xml:space="preserve"> la Secretaría y el Centro Regional Ramsar para Asia Oriental en un manual simplificado para los administradores de sitios Ramsar</w:t>
      </w:r>
      <w:r w:rsidR="000D373B" w:rsidRPr="00CC3A91">
        <w:rPr>
          <w:rFonts w:asciiTheme="majorHAnsi" w:hAnsiTheme="majorHAnsi"/>
          <w:szCs w:val="22"/>
          <w:lang w:val="es-ES_tradnl"/>
        </w:rPr>
        <w:t>;</w:t>
      </w:r>
      <w:r w:rsidRPr="00CC3A91">
        <w:rPr>
          <w:rFonts w:asciiTheme="majorHAnsi" w:hAnsiTheme="majorHAnsi"/>
          <w:szCs w:val="22"/>
          <w:lang w:val="es-ES_tradnl"/>
        </w:rPr>
        <w:t xml:space="preserve"> y participar en el proceso de la IPBES. </w:t>
      </w:r>
    </w:p>
    <w:p w14:paraId="0559A056" w14:textId="77777777" w:rsidR="00602087" w:rsidRPr="00CC3A91" w:rsidRDefault="00602087" w:rsidP="009443B1">
      <w:pPr>
        <w:rPr>
          <w:rFonts w:asciiTheme="majorHAnsi" w:hAnsiTheme="majorHAnsi"/>
          <w:sz w:val="22"/>
          <w:szCs w:val="22"/>
          <w:lang w:val="es-ES_tradnl"/>
        </w:rPr>
      </w:pPr>
    </w:p>
    <w:p w14:paraId="5A68B01F" w14:textId="6F35021C" w:rsidR="00602087" w:rsidRPr="00CC3A91" w:rsidRDefault="00D147AB" w:rsidP="0061160B">
      <w:pPr>
        <w:rPr>
          <w:rFonts w:asciiTheme="majorHAnsi" w:hAnsiTheme="majorHAnsi"/>
          <w:b/>
          <w:sz w:val="22"/>
          <w:szCs w:val="22"/>
          <w:lang w:val="es-ES_tradnl"/>
        </w:rPr>
      </w:pPr>
      <w:r w:rsidRPr="00CC3A91">
        <w:rPr>
          <w:rFonts w:asciiTheme="majorHAnsi" w:hAnsiTheme="majorHAnsi"/>
          <w:b/>
          <w:sz w:val="22"/>
          <w:szCs w:val="22"/>
          <w:lang w:val="es-ES_tradnl"/>
        </w:rPr>
        <w:t>Información actualizado sobre la IPBES</w:t>
      </w:r>
    </w:p>
    <w:p w14:paraId="1D1FFECF" w14:textId="77777777" w:rsidR="00EC3802" w:rsidRPr="00CC3A91" w:rsidRDefault="00EC3802" w:rsidP="0061160B">
      <w:pPr>
        <w:rPr>
          <w:rFonts w:asciiTheme="majorHAnsi" w:hAnsiTheme="majorHAnsi"/>
          <w:b/>
          <w:sz w:val="22"/>
          <w:szCs w:val="22"/>
          <w:lang w:val="es-ES_tradnl"/>
        </w:rPr>
      </w:pPr>
    </w:p>
    <w:p w14:paraId="61B810E0" w14:textId="77777777" w:rsidR="00D147AB" w:rsidRPr="00CC3A91" w:rsidRDefault="00EE560D" w:rsidP="00CB7037">
      <w:pPr>
        <w:pStyle w:val="ListParagraph"/>
        <w:numPr>
          <w:ilvl w:val="0"/>
          <w:numId w:val="1"/>
        </w:numPr>
        <w:ind w:left="360" w:hanging="426"/>
        <w:rPr>
          <w:rFonts w:asciiTheme="majorHAnsi" w:eastAsia="Calibri" w:hAnsiTheme="majorHAnsi"/>
          <w:szCs w:val="22"/>
          <w:lang w:val="es-ES_tradnl"/>
        </w:rPr>
      </w:pPr>
      <w:r w:rsidRPr="00CC3A91">
        <w:rPr>
          <w:rFonts w:asciiTheme="majorHAnsi" w:hAnsiTheme="majorHAnsi"/>
          <w:szCs w:val="22"/>
          <w:lang w:val="es-ES_tradnl"/>
        </w:rPr>
        <w:t xml:space="preserve">La Cuarta Sesión Plenaria de la Plataforma Intergubernamental sobre Diversidad Biológica y Servicios de los Ecosistemas tuvo lugar en </w:t>
      </w:r>
      <w:r w:rsidR="0021025F" w:rsidRPr="00CC3A91">
        <w:rPr>
          <w:rFonts w:asciiTheme="majorHAnsi" w:hAnsiTheme="majorHAnsi"/>
          <w:szCs w:val="22"/>
          <w:lang w:val="es-ES_tradnl"/>
        </w:rPr>
        <w:t xml:space="preserve">Kuala Lumpur, Malasia, </w:t>
      </w:r>
      <w:r w:rsidRPr="00CC3A91">
        <w:rPr>
          <w:rFonts w:asciiTheme="majorHAnsi" w:hAnsiTheme="majorHAnsi"/>
          <w:szCs w:val="22"/>
          <w:lang w:val="es-ES_tradnl"/>
        </w:rPr>
        <w:t xml:space="preserve">desde el 22 al </w:t>
      </w:r>
      <w:r w:rsidR="0021025F" w:rsidRPr="00CC3A91">
        <w:rPr>
          <w:rFonts w:asciiTheme="majorHAnsi" w:hAnsiTheme="majorHAnsi"/>
          <w:szCs w:val="22"/>
          <w:lang w:val="es-ES_tradnl"/>
        </w:rPr>
        <w:t xml:space="preserve">28 </w:t>
      </w:r>
      <w:r w:rsidRPr="00CC3A91">
        <w:rPr>
          <w:rFonts w:asciiTheme="majorHAnsi" w:hAnsiTheme="majorHAnsi"/>
          <w:szCs w:val="22"/>
          <w:lang w:val="es-ES_tradnl"/>
        </w:rPr>
        <w:t xml:space="preserve">de febrero de </w:t>
      </w:r>
      <w:r w:rsidR="0021025F" w:rsidRPr="00CC3A91">
        <w:rPr>
          <w:rFonts w:asciiTheme="majorHAnsi" w:hAnsiTheme="majorHAnsi"/>
          <w:szCs w:val="22"/>
          <w:lang w:val="es-ES_tradnl"/>
        </w:rPr>
        <w:t xml:space="preserve">2016. </w:t>
      </w:r>
      <w:r w:rsidR="00DD73B8" w:rsidRPr="00CC3A91">
        <w:rPr>
          <w:rFonts w:asciiTheme="majorHAnsi" w:hAnsiTheme="majorHAnsi"/>
          <w:szCs w:val="22"/>
          <w:lang w:val="es-ES_tradnl"/>
        </w:rPr>
        <w:t xml:space="preserve">La Presidencia del GECT asistió a la cuarta sesión plenaria de la IPBES en calidad de observador del Grupo Multidisciplinario de Expertos de la </w:t>
      </w:r>
      <w:r w:rsidR="0021025F" w:rsidRPr="00CC3A91">
        <w:rPr>
          <w:rFonts w:asciiTheme="majorHAnsi" w:hAnsiTheme="majorHAnsi"/>
          <w:szCs w:val="22"/>
          <w:lang w:val="es-ES_tradnl"/>
        </w:rPr>
        <w:t>IPBES</w:t>
      </w:r>
      <w:r w:rsidR="00D147AB" w:rsidRPr="00CC3A91">
        <w:rPr>
          <w:rFonts w:asciiTheme="majorHAnsi" w:hAnsiTheme="majorHAnsi"/>
          <w:szCs w:val="22"/>
          <w:lang w:val="es-ES_tradnl"/>
        </w:rPr>
        <w:t>.</w:t>
      </w:r>
    </w:p>
    <w:p w14:paraId="6D0E744E" w14:textId="77777777" w:rsidR="00D147AB" w:rsidRPr="00CC3A91" w:rsidRDefault="00D147AB" w:rsidP="00D147AB">
      <w:pPr>
        <w:ind w:left="360"/>
        <w:rPr>
          <w:rFonts w:asciiTheme="majorHAnsi" w:eastAsia="Calibri" w:hAnsiTheme="majorHAnsi"/>
          <w:szCs w:val="22"/>
          <w:lang w:val="es-ES_tradnl"/>
        </w:rPr>
      </w:pPr>
    </w:p>
    <w:p w14:paraId="46211F85" w14:textId="508AAEFC" w:rsidR="00744F7D" w:rsidRPr="00CC3A91" w:rsidRDefault="00D147AB" w:rsidP="00CB7037">
      <w:pPr>
        <w:pStyle w:val="ListParagraph"/>
        <w:numPr>
          <w:ilvl w:val="0"/>
          <w:numId w:val="1"/>
        </w:numPr>
        <w:ind w:left="360" w:hanging="426"/>
        <w:rPr>
          <w:rFonts w:asciiTheme="majorHAnsi" w:eastAsia="Calibri" w:hAnsiTheme="majorHAnsi"/>
          <w:szCs w:val="22"/>
          <w:lang w:val="es-ES_tradnl"/>
        </w:rPr>
      </w:pPr>
      <w:r w:rsidRPr="00CC3A91">
        <w:rPr>
          <w:rFonts w:asciiTheme="majorHAnsi" w:hAnsiTheme="majorHAnsi"/>
          <w:szCs w:val="22"/>
          <w:lang w:val="es-ES_tradnl"/>
        </w:rPr>
        <w:t>Cabe destacar que</w:t>
      </w:r>
      <w:r w:rsidR="007B7CFA" w:rsidRPr="00CC3A91">
        <w:rPr>
          <w:rFonts w:asciiTheme="majorHAnsi" w:hAnsiTheme="majorHAnsi"/>
          <w:szCs w:val="22"/>
          <w:lang w:val="es-ES_tradnl"/>
        </w:rPr>
        <w:t xml:space="preserve"> la primera</w:t>
      </w:r>
      <w:r w:rsidR="0088725B" w:rsidRPr="00CC3A91">
        <w:rPr>
          <w:rFonts w:asciiTheme="majorHAnsi" w:hAnsiTheme="majorHAnsi"/>
          <w:szCs w:val="22"/>
          <w:lang w:val="es-ES_tradnl"/>
        </w:rPr>
        <w:t xml:space="preserve"> </w:t>
      </w:r>
      <w:r w:rsidR="00CB7037" w:rsidRPr="00CC3A91">
        <w:rPr>
          <w:rFonts w:asciiTheme="majorHAnsi" w:eastAsia="Calibri" w:hAnsiTheme="majorHAnsi" w:cs="Cambria"/>
          <w:szCs w:val="22"/>
          <w:lang w:val="es-ES_tradnl"/>
        </w:rPr>
        <w:t>evaluación temática</w:t>
      </w:r>
      <w:r w:rsidR="007B7CFA" w:rsidRPr="00CC3A91">
        <w:rPr>
          <w:rFonts w:asciiTheme="majorHAnsi" w:eastAsia="Calibri" w:hAnsiTheme="majorHAnsi" w:cs="Cambria"/>
          <w:szCs w:val="22"/>
          <w:lang w:val="es-ES_tradnl"/>
        </w:rPr>
        <w:t xml:space="preserve"> de la IPBES</w:t>
      </w:r>
      <w:r w:rsidR="00FD2638" w:rsidRPr="00CC3A91">
        <w:rPr>
          <w:rFonts w:asciiTheme="majorHAnsi" w:eastAsia="Calibri" w:hAnsiTheme="majorHAnsi" w:cs="Cambria"/>
          <w:szCs w:val="22"/>
          <w:lang w:val="es-ES_tradnl"/>
        </w:rPr>
        <w:t xml:space="preserve"> –</w:t>
      </w:r>
      <w:r w:rsidR="00CB7037" w:rsidRPr="00CC3A91">
        <w:rPr>
          <w:rFonts w:asciiTheme="majorHAnsi" w:eastAsia="Calibri" w:hAnsiTheme="majorHAnsi" w:cs="Cambria"/>
          <w:szCs w:val="22"/>
          <w:lang w:val="es-ES_tradnl"/>
        </w:rPr>
        <w:t>sobre polinizadores, polinización y producción de alimentos</w:t>
      </w:r>
      <w:r w:rsidR="00FD2638" w:rsidRPr="00CC3A91">
        <w:rPr>
          <w:rFonts w:asciiTheme="majorHAnsi" w:hAnsiTheme="majorHAnsi"/>
          <w:szCs w:val="22"/>
          <w:lang w:val="es-ES_tradnl"/>
        </w:rPr>
        <w:t>– f</w:t>
      </w:r>
      <w:r w:rsidR="007B7CFA" w:rsidRPr="00CC3A91">
        <w:rPr>
          <w:rFonts w:asciiTheme="majorHAnsi" w:hAnsiTheme="majorHAnsi"/>
          <w:szCs w:val="22"/>
          <w:lang w:val="es-ES_tradnl"/>
        </w:rPr>
        <w:t>ue aceptada por la Plataforma</w:t>
      </w:r>
      <w:r w:rsidR="00134986" w:rsidRPr="00CC3A91">
        <w:rPr>
          <w:rFonts w:asciiTheme="majorHAnsi" w:hAnsiTheme="majorHAnsi"/>
          <w:szCs w:val="22"/>
          <w:lang w:val="es-ES_tradnl"/>
        </w:rPr>
        <w:t>, siendo u</w:t>
      </w:r>
      <w:r w:rsidR="00CB7037" w:rsidRPr="00CC3A91">
        <w:rPr>
          <w:rFonts w:asciiTheme="majorHAnsi" w:eastAsia="Calibri" w:hAnsiTheme="majorHAnsi" w:cs="Cambria"/>
          <w:szCs w:val="22"/>
          <w:lang w:val="es-ES_tradnl"/>
        </w:rPr>
        <w:t>no de los mensajes clave</w:t>
      </w:r>
      <w:r w:rsidR="00134986" w:rsidRPr="00CC3A91">
        <w:rPr>
          <w:rFonts w:asciiTheme="majorHAnsi" w:eastAsia="Calibri" w:hAnsiTheme="majorHAnsi" w:cs="Cambria"/>
          <w:szCs w:val="22"/>
          <w:lang w:val="es-ES_tradnl"/>
        </w:rPr>
        <w:t xml:space="preserve"> </w:t>
      </w:r>
      <w:r w:rsidR="00CB7037" w:rsidRPr="00CC3A91">
        <w:rPr>
          <w:rFonts w:asciiTheme="majorHAnsi" w:eastAsia="Calibri" w:hAnsiTheme="majorHAnsi" w:cs="Cambria"/>
          <w:szCs w:val="22"/>
          <w:lang w:val="es-ES_tradnl"/>
        </w:rPr>
        <w:t xml:space="preserve">que </w:t>
      </w:r>
      <w:r w:rsidR="00744F7D" w:rsidRPr="00CC3A91">
        <w:rPr>
          <w:rFonts w:asciiTheme="majorHAnsi" w:eastAsia="Calibri" w:hAnsiTheme="majorHAnsi" w:cs="Cambria"/>
          <w:szCs w:val="22"/>
          <w:lang w:val="es-ES_tradnl"/>
        </w:rPr>
        <w:t>“</w:t>
      </w:r>
      <w:r w:rsidR="00CB7037" w:rsidRPr="00CC3A91">
        <w:rPr>
          <w:rFonts w:asciiTheme="majorHAnsi" w:eastAsia="Calibri" w:hAnsiTheme="majorHAnsi" w:cs="Cambria"/>
          <w:szCs w:val="22"/>
          <w:lang w:val="es-ES_tradnl"/>
        </w:rPr>
        <w:t xml:space="preserve">la abundancia, diversidad y salud de los polinizadores y la provisión de polinización se ven amenazadas por factores impulsores directos que generan riesgos para las sociedades y los ecosistemas, </w:t>
      </w:r>
      <w:r w:rsidR="007B7CFA" w:rsidRPr="00CC3A91">
        <w:rPr>
          <w:rFonts w:asciiTheme="majorHAnsi" w:eastAsia="Calibri" w:hAnsiTheme="majorHAnsi" w:cs="Cambria"/>
          <w:szCs w:val="22"/>
          <w:lang w:val="es-ES_tradnl"/>
        </w:rPr>
        <w:t xml:space="preserve">incluyendo </w:t>
      </w:r>
      <w:r w:rsidR="00CB7037" w:rsidRPr="00CC3A91">
        <w:rPr>
          <w:rFonts w:asciiTheme="majorHAnsi" w:eastAsia="Calibri" w:hAnsiTheme="majorHAnsi" w:cs="Cambria"/>
          <w:szCs w:val="22"/>
          <w:lang w:val="es-ES_tradnl"/>
        </w:rPr>
        <w:t>el cambio en el uso de la tierra</w:t>
      </w:r>
      <w:r w:rsidR="007B7CFA" w:rsidRPr="00CC3A91">
        <w:rPr>
          <w:rFonts w:asciiTheme="majorHAnsi" w:eastAsia="Calibri" w:hAnsiTheme="majorHAnsi" w:cs="Cambria"/>
          <w:szCs w:val="22"/>
          <w:lang w:val="es-ES_tradnl"/>
        </w:rPr>
        <w:t xml:space="preserve">. La evaluación incluye referencias a los humedales, entre ellas: </w:t>
      </w:r>
    </w:p>
    <w:p w14:paraId="6E811472" w14:textId="77777777" w:rsidR="00CD31F3" w:rsidRPr="00CC3A91" w:rsidRDefault="00CD31F3" w:rsidP="00CD31F3">
      <w:pPr>
        <w:widowControl w:val="0"/>
        <w:autoSpaceDE w:val="0"/>
        <w:autoSpaceDN w:val="0"/>
        <w:adjustRightInd w:val="0"/>
        <w:ind w:left="360" w:firstLine="360"/>
        <w:rPr>
          <w:rFonts w:asciiTheme="majorHAnsi" w:eastAsia="Calibri" w:hAnsiTheme="majorHAnsi"/>
          <w:sz w:val="22"/>
          <w:szCs w:val="22"/>
          <w:lang w:val="es-ES_tradnl"/>
        </w:rPr>
      </w:pPr>
    </w:p>
    <w:p w14:paraId="56B669DA" w14:textId="73C31080" w:rsidR="003C03B2" w:rsidRPr="00CC3A91" w:rsidRDefault="00EE560D" w:rsidP="00FB3790">
      <w:pPr>
        <w:pStyle w:val="ListParagraph"/>
        <w:widowControl w:val="0"/>
        <w:numPr>
          <w:ilvl w:val="0"/>
          <w:numId w:val="2"/>
        </w:numPr>
        <w:autoSpaceDE w:val="0"/>
        <w:autoSpaceDN w:val="0"/>
        <w:adjustRightInd w:val="0"/>
        <w:ind w:left="851" w:hanging="425"/>
        <w:rPr>
          <w:rFonts w:asciiTheme="majorHAnsi" w:eastAsia="Calibri" w:hAnsiTheme="majorHAnsi" w:cs="Cambria"/>
          <w:szCs w:val="22"/>
          <w:lang w:val="es-ES_tradnl"/>
        </w:rPr>
      </w:pPr>
      <w:r w:rsidRPr="00CC3A91">
        <w:rPr>
          <w:rFonts w:asciiTheme="majorHAnsi" w:eastAsia="Calibri" w:hAnsiTheme="majorHAnsi" w:cs="Cambria"/>
          <w:szCs w:val="22"/>
          <w:lang w:val="es-ES_tradnl"/>
        </w:rPr>
        <w:t>La</w:t>
      </w:r>
      <w:r w:rsidR="007B7CFA" w:rsidRPr="00CC3A91">
        <w:rPr>
          <w:rFonts w:asciiTheme="majorHAnsi" w:eastAsia="Calibri" w:hAnsiTheme="majorHAnsi" w:cs="Cambria"/>
          <w:szCs w:val="22"/>
          <w:lang w:val="es-ES_tradnl"/>
        </w:rPr>
        <w:t xml:space="preserve"> afirmación de</w:t>
      </w:r>
      <w:r w:rsidR="009A5649" w:rsidRPr="00CC3A91">
        <w:rPr>
          <w:rFonts w:asciiTheme="majorHAnsi" w:eastAsia="Calibri" w:hAnsiTheme="majorHAnsi" w:cs="Cambria"/>
          <w:szCs w:val="22"/>
          <w:lang w:val="es-ES_tradnl"/>
        </w:rPr>
        <w:t xml:space="preserve"> que la disminución de varias especies de abejorros y de mariposas probablemente sea atribuible a la pérdida de</w:t>
      </w:r>
      <w:r w:rsidR="004958CC" w:rsidRPr="00CC3A91">
        <w:rPr>
          <w:rFonts w:asciiTheme="majorHAnsi" w:eastAsia="Calibri" w:hAnsiTheme="majorHAnsi" w:cs="Cambria"/>
          <w:szCs w:val="22"/>
          <w:lang w:val="es-ES_tradnl"/>
        </w:rPr>
        <w:t xml:space="preserve"> </w:t>
      </w:r>
      <w:r w:rsidR="006F52F2" w:rsidRPr="00CC3A91">
        <w:rPr>
          <w:rFonts w:asciiTheme="majorHAnsi" w:eastAsia="Calibri" w:hAnsiTheme="majorHAnsi" w:cs="Cambria"/>
          <w:szCs w:val="22"/>
          <w:lang w:val="es-ES_tradnl"/>
        </w:rPr>
        <w:t xml:space="preserve">los </w:t>
      </w:r>
      <w:r w:rsidR="008941D9" w:rsidRPr="00CC3A91">
        <w:rPr>
          <w:rFonts w:asciiTheme="majorHAnsi" w:eastAsia="Calibri" w:hAnsiTheme="majorHAnsi" w:cs="Cambria"/>
          <w:szCs w:val="22"/>
          <w:lang w:val="es-ES_tradnl"/>
        </w:rPr>
        <w:t>pastizales</w:t>
      </w:r>
      <w:r w:rsidR="00744F7D" w:rsidRPr="00CC3A91">
        <w:rPr>
          <w:rFonts w:asciiTheme="majorHAnsi" w:eastAsia="Calibri" w:hAnsiTheme="majorHAnsi" w:cs="Cambria"/>
          <w:szCs w:val="22"/>
          <w:lang w:val="es-ES_tradnl"/>
        </w:rPr>
        <w:t xml:space="preserve">, </w:t>
      </w:r>
      <w:r w:rsidR="004958CC" w:rsidRPr="00CC3A91">
        <w:rPr>
          <w:rFonts w:asciiTheme="majorHAnsi" w:eastAsia="Calibri" w:hAnsiTheme="majorHAnsi" w:cs="Cambria"/>
          <w:szCs w:val="22"/>
          <w:lang w:val="es-ES_tradnl"/>
        </w:rPr>
        <w:t>brezales</w:t>
      </w:r>
      <w:r w:rsidR="00744F7D" w:rsidRPr="00CC3A91">
        <w:rPr>
          <w:rFonts w:asciiTheme="majorHAnsi" w:eastAsia="Calibri" w:hAnsiTheme="majorHAnsi" w:cs="Cambria"/>
          <w:szCs w:val="22"/>
          <w:lang w:val="es-ES_tradnl"/>
        </w:rPr>
        <w:t xml:space="preserve">, </w:t>
      </w:r>
      <w:r w:rsidR="009A5649" w:rsidRPr="00CC3A91">
        <w:rPr>
          <w:rFonts w:asciiTheme="majorHAnsi" w:eastAsia="Calibri" w:hAnsiTheme="majorHAnsi" w:cs="Cambria"/>
          <w:szCs w:val="22"/>
          <w:lang w:val="es-ES_tradnl"/>
        </w:rPr>
        <w:t>humedales y</w:t>
      </w:r>
      <w:r w:rsidR="0088725B" w:rsidRPr="00CC3A91">
        <w:rPr>
          <w:rFonts w:asciiTheme="majorHAnsi" w:eastAsia="Calibri" w:hAnsiTheme="majorHAnsi" w:cs="Cambria"/>
          <w:szCs w:val="22"/>
          <w:lang w:val="es-ES_tradnl"/>
        </w:rPr>
        <w:t xml:space="preserve"> </w:t>
      </w:r>
      <w:r w:rsidR="008941D9" w:rsidRPr="00CC3A91">
        <w:rPr>
          <w:rFonts w:asciiTheme="majorHAnsi" w:eastAsia="Calibri" w:hAnsiTheme="majorHAnsi" w:cs="Cambria"/>
          <w:szCs w:val="22"/>
          <w:lang w:val="es-ES_tradnl"/>
        </w:rPr>
        <w:t xml:space="preserve">turberas </w:t>
      </w:r>
      <w:r w:rsidRPr="00CC3A91">
        <w:rPr>
          <w:rFonts w:asciiTheme="majorHAnsi" w:eastAsia="Calibri" w:hAnsiTheme="majorHAnsi" w:cs="Cambria"/>
          <w:szCs w:val="22"/>
          <w:lang w:val="es-ES_tradnl"/>
        </w:rPr>
        <w:lastRenderedPageBreak/>
        <w:t>arbustivas</w:t>
      </w:r>
      <w:r w:rsidR="00134986" w:rsidRPr="00CC3A91">
        <w:rPr>
          <w:rFonts w:asciiTheme="majorHAnsi" w:eastAsia="Calibri" w:hAnsiTheme="majorHAnsi" w:cs="Cambria"/>
          <w:szCs w:val="22"/>
          <w:lang w:val="es-ES_tradnl"/>
        </w:rPr>
        <w:t xml:space="preserve"> no manejados</w:t>
      </w:r>
      <w:r w:rsidR="00744F7D" w:rsidRPr="00CC3A91">
        <w:rPr>
          <w:rFonts w:asciiTheme="majorHAnsi" w:eastAsia="Calibri" w:hAnsiTheme="majorHAnsi" w:cs="Cambria"/>
          <w:szCs w:val="22"/>
          <w:lang w:val="es-ES_tradnl"/>
        </w:rPr>
        <w:t>.</w:t>
      </w:r>
    </w:p>
    <w:p w14:paraId="56C7ADC6" w14:textId="77777777" w:rsidR="003C03B2" w:rsidRPr="00CC3A91" w:rsidRDefault="003C03B2" w:rsidP="00FB3790">
      <w:pPr>
        <w:widowControl w:val="0"/>
        <w:autoSpaceDE w:val="0"/>
        <w:autoSpaceDN w:val="0"/>
        <w:adjustRightInd w:val="0"/>
        <w:ind w:left="851" w:hanging="425"/>
        <w:rPr>
          <w:rFonts w:asciiTheme="majorHAnsi" w:eastAsia="Calibri" w:hAnsiTheme="majorHAnsi" w:cs="Cambria"/>
          <w:sz w:val="22"/>
          <w:szCs w:val="22"/>
          <w:lang w:val="es-ES_tradnl"/>
        </w:rPr>
      </w:pPr>
    </w:p>
    <w:p w14:paraId="67D29204" w14:textId="7FE70AF3" w:rsidR="003C03B2" w:rsidRPr="00CC3A91" w:rsidRDefault="00EE560D" w:rsidP="00FB3790">
      <w:pPr>
        <w:pStyle w:val="ListParagraph"/>
        <w:widowControl w:val="0"/>
        <w:numPr>
          <w:ilvl w:val="0"/>
          <w:numId w:val="2"/>
        </w:numPr>
        <w:autoSpaceDE w:val="0"/>
        <w:autoSpaceDN w:val="0"/>
        <w:adjustRightInd w:val="0"/>
        <w:ind w:left="851" w:hanging="425"/>
        <w:rPr>
          <w:rFonts w:asciiTheme="majorHAnsi" w:eastAsia="Calibri" w:hAnsiTheme="majorHAnsi" w:cs="Cambria"/>
          <w:szCs w:val="22"/>
          <w:lang w:val="es-ES_tradnl"/>
        </w:rPr>
      </w:pPr>
      <w:r w:rsidRPr="00CC3A91">
        <w:rPr>
          <w:rFonts w:asciiTheme="majorHAnsi" w:eastAsia="Calibri" w:hAnsiTheme="majorHAnsi" w:cs="Cambria"/>
          <w:szCs w:val="22"/>
          <w:lang w:val="es-ES_tradnl"/>
        </w:rPr>
        <w:t xml:space="preserve">El ejemplo de caso relativo a la apicultura </w:t>
      </w:r>
      <w:r w:rsidR="00134986" w:rsidRPr="00CC3A91">
        <w:rPr>
          <w:rFonts w:asciiTheme="majorHAnsi" w:eastAsia="Calibri" w:hAnsiTheme="majorHAnsi" w:cs="Cambria"/>
          <w:szCs w:val="22"/>
          <w:lang w:val="es-ES_tradnl"/>
        </w:rPr>
        <w:t xml:space="preserve">como medio de vida </w:t>
      </w:r>
      <w:r w:rsidRPr="00CC3A91">
        <w:rPr>
          <w:rFonts w:asciiTheme="majorHAnsi" w:eastAsia="Calibri" w:hAnsiTheme="majorHAnsi" w:cs="Cambria"/>
          <w:szCs w:val="22"/>
          <w:lang w:val="es-ES_tradnl"/>
        </w:rPr>
        <w:t xml:space="preserve">en los manglares de </w:t>
      </w:r>
      <w:r w:rsidR="00744F7D" w:rsidRPr="00CC3A91">
        <w:rPr>
          <w:rFonts w:asciiTheme="majorHAnsi" w:eastAsia="Calibri" w:hAnsiTheme="majorHAnsi" w:cs="Cambria"/>
          <w:szCs w:val="22"/>
          <w:lang w:val="es-ES_tradnl"/>
        </w:rPr>
        <w:t>Guinea</w:t>
      </w:r>
      <w:r w:rsidRPr="00CC3A91">
        <w:rPr>
          <w:rFonts w:asciiTheme="majorHAnsi" w:eastAsia="Calibri" w:hAnsiTheme="majorHAnsi" w:cs="Cambria"/>
          <w:szCs w:val="22"/>
          <w:lang w:val="es-ES_tradnl"/>
        </w:rPr>
        <w:t>-</w:t>
      </w:r>
      <w:r w:rsidR="00744F7D" w:rsidRPr="00CC3A91">
        <w:rPr>
          <w:rFonts w:asciiTheme="majorHAnsi" w:eastAsia="Calibri" w:hAnsiTheme="majorHAnsi" w:cs="Cambria"/>
          <w:szCs w:val="22"/>
          <w:lang w:val="es-ES_tradnl"/>
        </w:rPr>
        <w:t>Bissau.</w:t>
      </w:r>
    </w:p>
    <w:p w14:paraId="5BFC74ED" w14:textId="77777777" w:rsidR="003C03B2" w:rsidRPr="00CC3A91" w:rsidRDefault="003C03B2" w:rsidP="00FB3790">
      <w:pPr>
        <w:widowControl w:val="0"/>
        <w:autoSpaceDE w:val="0"/>
        <w:autoSpaceDN w:val="0"/>
        <w:adjustRightInd w:val="0"/>
        <w:ind w:left="851" w:hanging="425"/>
        <w:rPr>
          <w:rFonts w:asciiTheme="majorHAnsi" w:eastAsia="Calibri" w:hAnsiTheme="majorHAnsi" w:cs="Cambria"/>
          <w:sz w:val="22"/>
          <w:szCs w:val="22"/>
          <w:lang w:val="es-ES_tradnl"/>
        </w:rPr>
      </w:pPr>
    </w:p>
    <w:p w14:paraId="1728ACAE" w14:textId="3A2C06A6" w:rsidR="003C03B2" w:rsidRPr="00CC3A91" w:rsidRDefault="00EE560D" w:rsidP="00FB3790">
      <w:pPr>
        <w:pStyle w:val="ListParagraph"/>
        <w:widowControl w:val="0"/>
        <w:numPr>
          <w:ilvl w:val="0"/>
          <w:numId w:val="2"/>
        </w:numPr>
        <w:autoSpaceDE w:val="0"/>
        <w:autoSpaceDN w:val="0"/>
        <w:adjustRightInd w:val="0"/>
        <w:ind w:left="851" w:hanging="425"/>
        <w:rPr>
          <w:rFonts w:asciiTheme="majorHAnsi" w:eastAsia="Calibri" w:hAnsiTheme="majorHAnsi" w:cs="Cambria"/>
          <w:szCs w:val="22"/>
          <w:lang w:val="es-ES_tradnl"/>
        </w:rPr>
      </w:pPr>
      <w:r w:rsidRPr="00CC3A91">
        <w:rPr>
          <w:rFonts w:asciiTheme="majorHAnsi" w:eastAsia="Calibri" w:hAnsiTheme="majorHAnsi" w:cs="Cambria"/>
          <w:szCs w:val="22"/>
          <w:lang w:val="es-ES_tradnl"/>
        </w:rPr>
        <w:t>La observación de que "</w:t>
      </w:r>
      <w:r w:rsidR="00DD73B8" w:rsidRPr="00CC3A91">
        <w:rPr>
          <w:rFonts w:asciiTheme="majorHAnsi" w:eastAsia="Calibri" w:hAnsiTheme="majorHAnsi" w:cs="Cambria"/>
          <w:szCs w:val="22"/>
          <w:lang w:val="es-ES_tradnl"/>
        </w:rPr>
        <w:t xml:space="preserve">las especies cuyas poblaciones están restringidas espacialmente, tales como </w:t>
      </w:r>
      <w:r w:rsidR="00A91254" w:rsidRPr="00CC3A91">
        <w:rPr>
          <w:rFonts w:asciiTheme="majorHAnsi" w:eastAsia="Calibri" w:hAnsiTheme="majorHAnsi" w:cs="Cambria"/>
          <w:szCs w:val="22"/>
          <w:lang w:val="es-ES_tradnl"/>
        </w:rPr>
        <w:t>las especies boreoalpinas relictas, y las que están conf</w:t>
      </w:r>
      <w:r w:rsidR="00356FE0" w:rsidRPr="00CC3A91">
        <w:rPr>
          <w:rFonts w:asciiTheme="majorHAnsi" w:eastAsia="Calibri" w:hAnsiTheme="majorHAnsi" w:cs="Cambria"/>
          <w:szCs w:val="22"/>
          <w:lang w:val="es-ES_tradnl"/>
        </w:rPr>
        <w:t>inadas a hábitats pequeños y aislado</w:t>
      </w:r>
      <w:r w:rsidR="00A91254" w:rsidRPr="00CC3A91">
        <w:rPr>
          <w:rFonts w:asciiTheme="majorHAnsi" w:eastAsia="Calibri" w:hAnsiTheme="majorHAnsi" w:cs="Cambria"/>
          <w:szCs w:val="22"/>
          <w:lang w:val="es-ES_tradnl"/>
        </w:rPr>
        <w:t xml:space="preserve">s </w:t>
      </w:r>
      <w:r w:rsidR="00744F7D" w:rsidRPr="00CC3A91">
        <w:rPr>
          <w:rFonts w:asciiTheme="majorHAnsi" w:eastAsia="Calibri" w:hAnsiTheme="majorHAnsi" w:cs="Cambria"/>
          <w:szCs w:val="22"/>
          <w:lang w:val="es-ES_tradnl"/>
        </w:rPr>
        <w:t>(</w:t>
      </w:r>
      <w:r w:rsidR="00A91254" w:rsidRPr="00CC3A91">
        <w:rPr>
          <w:rFonts w:asciiTheme="majorHAnsi" w:eastAsia="Calibri" w:hAnsiTheme="majorHAnsi" w:cs="Cambria"/>
          <w:szCs w:val="22"/>
          <w:lang w:val="es-ES_tradnl"/>
        </w:rPr>
        <w:t>por ejemplo, las turberas arbustivas</w:t>
      </w:r>
      <w:r w:rsidR="00744F7D" w:rsidRPr="00CC3A91">
        <w:rPr>
          <w:rFonts w:asciiTheme="majorHAnsi" w:eastAsia="Calibri" w:hAnsiTheme="majorHAnsi" w:cs="Cambria"/>
          <w:szCs w:val="22"/>
          <w:lang w:val="es-ES_tradnl"/>
        </w:rPr>
        <w:t>)</w:t>
      </w:r>
      <w:r w:rsidR="00A91254" w:rsidRPr="00CC3A91">
        <w:rPr>
          <w:rFonts w:asciiTheme="majorHAnsi" w:eastAsia="Calibri" w:hAnsiTheme="majorHAnsi" w:cs="Cambria"/>
          <w:szCs w:val="22"/>
          <w:lang w:val="es-ES_tradnl"/>
        </w:rPr>
        <w:t xml:space="preserve"> se verán especialmente afectadas por grandes magnitudes de cambio climático</w:t>
      </w:r>
      <w:r w:rsidR="00744F7D" w:rsidRPr="00CC3A91">
        <w:rPr>
          <w:rFonts w:asciiTheme="majorHAnsi" w:eastAsia="Calibri" w:hAnsiTheme="majorHAnsi" w:cs="Cambria"/>
          <w:szCs w:val="22"/>
          <w:lang w:val="es-ES_tradnl"/>
        </w:rPr>
        <w:t>,</w:t>
      </w:r>
      <w:r w:rsidR="00A91254" w:rsidRPr="00CC3A91">
        <w:rPr>
          <w:rFonts w:asciiTheme="majorHAnsi" w:eastAsia="Calibri" w:hAnsiTheme="majorHAnsi" w:cs="Cambria"/>
          <w:szCs w:val="22"/>
          <w:lang w:val="es-ES_tradnl"/>
        </w:rPr>
        <w:t xml:space="preserve"> ya que posiblemente no encuentren hábitats idóneos, ni</w:t>
      </w:r>
      <w:r w:rsidR="00744F7D" w:rsidRPr="00CC3A91">
        <w:rPr>
          <w:rFonts w:asciiTheme="majorHAnsi" w:eastAsia="Calibri" w:hAnsiTheme="majorHAnsi" w:cs="Cambria"/>
          <w:szCs w:val="22"/>
          <w:lang w:val="es-ES_tradnl"/>
        </w:rPr>
        <w:t xml:space="preserve"> </w:t>
      </w:r>
      <w:r w:rsidR="00A91254" w:rsidRPr="00CC3A91">
        <w:rPr>
          <w:rFonts w:asciiTheme="majorHAnsi" w:eastAsia="Calibri" w:hAnsiTheme="majorHAnsi" w:cs="Cambria"/>
          <w:szCs w:val="22"/>
          <w:lang w:val="es-ES_tradnl"/>
        </w:rPr>
        <w:t xml:space="preserve">cimas de montaña (para poder desplazarse </w:t>
      </w:r>
      <w:r w:rsidR="0091050E" w:rsidRPr="00CC3A91">
        <w:rPr>
          <w:rFonts w:asciiTheme="majorHAnsi" w:eastAsia="Calibri" w:hAnsiTheme="majorHAnsi" w:cs="Cambria"/>
          <w:szCs w:val="22"/>
          <w:lang w:val="es-ES_tradnl"/>
        </w:rPr>
        <w:t xml:space="preserve">hacia niveles más altos), aún cuando la especie tenga la capacidad biológica de desplazarse rápidamente y encontrar climas idóneos." </w:t>
      </w:r>
    </w:p>
    <w:p w14:paraId="47D91A14" w14:textId="77777777" w:rsidR="003C03B2" w:rsidRPr="00CC3A91" w:rsidRDefault="003C03B2" w:rsidP="00FB3790">
      <w:pPr>
        <w:widowControl w:val="0"/>
        <w:autoSpaceDE w:val="0"/>
        <w:autoSpaceDN w:val="0"/>
        <w:adjustRightInd w:val="0"/>
        <w:ind w:left="851" w:hanging="425"/>
        <w:rPr>
          <w:rFonts w:asciiTheme="majorHAnsi" w:eastAsia="Calibri" w:hAnsiTheme="majorHAnsi" w:cs="Cambria"/>
          <w:sz w:val="22"/>
          <w:szCs w:val="22"/>
          <w:lang w:val="es-ES_tradnl"/>
        </w:rPr>
      </w:pPr>
    </w:p>
    <w:p w14:paraId="29DD004E" w14:textId="6BE411D8" w:rsidR="00744F7D" w:rsidRPr="00CC3A91" w:rsidRDefault="00EE560D" w:rsidP="00FB3790">
      <w:pPr>
        <w:pStyle w:val="ListParagraph"/>
        <w:widowControl w:val="0"/>
        <w:numPr>
          <w:ilvl w:val="0"/>
          <w:numId w:val="2"/>
        </w:numPr>
        <w:autoSpaceDE w:val="0"/>
        <w:autoSpaceDN w:val="0"/>
        <w:adjustRightInd w:val="0"/>
        <w:ind w:left="851" w:hanging="425"/>
        <w:rPr>
          <w:rFonts w:asciiTheme="majorHAnsi" w:eastAsia="Calibri" w:hAnsiTheme="majorHAnsi" w:cs="Cambria"/>
          <w:szCs w:val="22"/>
          <w:lang w:val="es-ES_tradnl"/>
        </w:rPr>
      </w:pPr>
      <w:r w:rsidRPr="00CC3A91">
        <w:rPr>
          <w:rFonts w:asciiTheme="majorHAnsi" w:eastAsia="Calibri" w:hAnsiTheme="majorHAnsi" w:cs="Cambria"/>
          <w:szCs w:val="22"/>
          <w:lang w:val="es-ES_tradnl"/>
        </w:rPr>
        <w:t xml:space="preserve">El informe de </w:t>
      </w:r>
      <w:r w:rsidR="0091050E" w:rsidRPr="00CC3A91">
        <w:rPr>
          <w:rFonts w:asciiTheme="majorHAnsi" w:eastAsia="Calibri" w:hAnsiTheme="majorHAnsi" w:cs="Cambria"/>
          <w:szCs w:val="22"/>
          <w:lang w:val="es-ES_tradnl"/>
        </w:rPr>
        <w:t xml:space="preserve">los </w:t>
      </w:r>
      <w:r w:rsidR="00147B3C" w:rsidRPr="00CC3A91">
        <w:rPr>
          <w:rFonts w:asciiTheme="majorHAnsi" w:eastAsia="Calibri" w:hAnsiTheme="majorHAnsi" w:cs="Cambria"/>
          <w:szCs w:val="22"/>
          <w:lang w:val="es-ES_tradnl"/>
        </w:rPr>
        <w:t>recolectores de miel de la región del lago</w:t>
      </w:r>
      <w:r w:rsidR="0088725B" w:rsidRPr="00CC3A91">
        <w:rPr>
          <w:rFonts w:asciiTheme="majorHAnsi" w:eastAsia="Calibri" w:hAnsiTheme="majorHAnsi" w:cs="Cambria"/>
          <w:szCs w:val="22"/>
          <w:lang w:val="es-ES_tradnl"/>
        </w:rPr>
        <w:t xml:space="preserve"> </w:t>
      </w:r>
      <w:r w:rsidR="00744F7D" w:rsidRPr="00CC3A91">
        <w:rPr>
          <w:rFonts w:asciiTheme="majorHAnsi" w:eastAsia="Calibri" w:hAnsiTheme="majorHAnsi" w:cs="Cambria"/>
          <w:szCs w:val="22"/>
          <w:lang w:val="es-ES_tradnl"/>
        </w:rPr>
        <w:t>Sentarum</w:t>
      </w:r>
      <w:r w:rsidR="0091050E" w:rsidRPr="00CC3A91">
        <w:rPr>
          <w:rFonts w:asciiTheme="majorHAnsi" w:eastAsia="Calibri" w:hAnsiTheme="majorHAnsi" w:cs="Cambria"/>
          <w:szCs w:val="22"/>
          <w:lang w:val="es-ES_tradnl"/>
        </w:rPr>
        <w:t xml:space="preserve"> en</w:t>
      </w:r>
      <w:r w:rsidR="0088725B" w:rsidRPr="00CC3A91">
        <w:rPr>
          <w:rFonts w:asciiTheme="majorHAnsi" w:eastAsia="Calibri" w:hAnsiTheme="majorHAnsi" w:cs="Cambria"/>
          <w:szCs w:val="22"/>
          <w:lang w:val="es-ES_tradnl"/>
        </w:rPr>
        <w:t xml:space="preserve"> </w:t>
      </w:r>
      <w:r w:rsidR="00744F7D" w:rsidRPr="00CC3A91">
        <w:rPr>
          <w:rFonts w:asciiTheme="majorHAnsi" w:eastAsia="Calibri" w:hAnsiTheme="majorHAnsi" w:cs="Cambria"/>
          <w:szCs w:val="22"/>
          <w:lang w:val="es-ES_tradnl"/>
        </w:rPr>
        <w:t>Indonesia</w:t>
      </w:r>
      <w:r w:rsidR="00356FE0" w:rsidRPr="00CC3A91">
        <w:rPr>
          <w:rFonts w:asciiTheme="majorHAnsi" w:eastAsia="Calibri" w:hAnsiTheme="majorHAnsi" w:cs="Cambria"/>
          <w:szCs w:val="22"/>
          <w:lang w:val="es-ES_tradnl"/>
        </w:rPr>
        <w:t>, segú</w:t>
      </w:r>
      <w:r w:rsidR="0091050E" w:rsidRPr="00CC3A91">
        <w:rPr>
          <w:rFonts w:asciiTheme="majorHAnsi" w:eastAsia="Calibri" w:hAnsiTheme="majorHAnsi" w:cs="Cambria"/>
          <w:szCs w:val="22"/>
          <w:lang w:val="es-ES_tradnl"/>
        </w:rPr>
        <w:t>n el cual</w:t>
      </w:r>
      <w:r w:rsidR="00356FE0" w:rsidRPr="00CC3A91">
        <w:rPr>
          <w:rFonts w:asciiTheme="majorHAnsi" w:eastAsia="Calibri" w:hAnsiTheme="majorHAnsi" w:cs="Cambria"/>
          <w:szCs w:val="22"/>
          <w:lang w:val="es-ES_tradnl"/>
        </w:rPr>
        <w:t>,</w:t>
      </w:r>
      <w:r w:rsidR="00744F7D" w:rsidRPr="00CC3A91">
        <w:rPr>
          <w:rFonts w:asciiTheme="majorHAnsi" w:eastAsia="Calibri" w:hAnsiTheme="majorHAnsi" w:cs="Cambria"/>
          <w:szCs w:val="22"/>
          <w:lang w:val="es-ES_tradnl"/>
        </w:rPr>
        <w:t xml:space="preserve"> “</w:t>
      </w:r>
      <w:r w:rsidR="00147B3C" w:rsidRPr="00CC3A91">
        <w:rPr>
          <w:rFonts w:asciiTheme="majorHAnsi" w:eastAsia="Calibri" w:hAnsiTheme="majorHAnsi" w:cs="Cambria"/>
          <w:szCs w:val="22"/>
          <w:lang w:val="es-ES_tradnl"/>
        </w:rPr>
        <w:t>el humo procedente de</w:t>
      </w:r>
      <w:r w:rsidR="0091050E" w:rsidRPr="00CC3A91">
        <w:rPr>
          <w:rFonts w:asciiTheme="majorHAnsi" w:eastAsia="Calibri" w:hAnsiTheme="majorHAnsi" w:cs="Cambria"/>
          <w:szCs w:val="22"/>
          <w:lang w:val="es-ES_tradnl"/>
        </w:rPr>
        <w:t xml:space="preserve"> la deforestación para plantacio</w:t>
      </w:r>
      <w:r w:rsidR="00147B3C" w:rsidRPr="00CC3A91">
        <w:rPr>
          <w:rFonts w:asciiTheme="majorHAnsi" w:eastAsia="Calibri" w:hAnsiTheme="majorHAnsi" w:cs="Cambria"/>
          <w:szCs w:val="22"/>
          <w:lang w:val="es-ES_tradnl"/>
        </w:rPr>
        <w:t>nes tiene un impacto negativo directo sobre la llegada de los enjambres durante la estación productiva</w:t>
      </w:r>
      <w:r w:rsidR="0091050E" w:rsidRPr="00CC3A91">
        <w:rPr>
          <w:rFonts w:asciiTheme="majorHAnsi" w:eastAsia="Calibri" w:hAnsiTheme="majorHAnsi" w:cs="Cambria"/>
          <w:szCs w:val="22"/>
          <w:lang w:val="es-ES_tradnl"/>
        </w:rPr>
        <w:t xml:space="preserve"> y, por consiguiente, sobre</w:t>
      </w:r>
      <w:r w:rsidR="00147B3C" w:rsidRPr="00CC3A91">
        <w:rPr>
          <w:rFonts w:asciiTheme="majorHAnsi" w:eastAsia="Calibri" w:hAnsiTheme="majorHAnsi" w:cs="Cambria"/>
          <w:szCs w:val="22"/>
          <w:lang w:val="es-ES_tradnl"/>
        </w:rPr>
        <w:t xml:space="preserve"> la producción de </w:t>
      </w:r>
      <w:r w:rsidR="00536817" w:rsidRPr="00CC3A91">
        <w:rPr>
          <w:rFonts w:asciiTheme="majorHAnsi" w:eastAsia="Calibri" w:hAnsiTheme="majorHAnsi" w:cs="Cambria"/>
          <w:szCs w:val="22"/>
          <w:lang w:val="es-ES_tradnl"/>
        </w:rPr>
        <w:t>miel</w:t>
      </w:r>
      <w:r w:rsidR="003D6766">
        <w:rPr>
          <w:rFonts w:asciiTheme="majorHAnsi" w:eastAsia="Calibri" w:hAnsiTheme="majorHAnsi" w:cs="Cambria"/>
          <w:szCs w:val="22"/>
          <w:lang w:val="es-ES_tradnl"/>
        </w:rPr>
        <w:t>”</w:t>
      </w:r>
      <w:r w:rsidR="00147B3C" w:rsidRPr="00CC3A91">
        <w:rPr>
          <w:rFonts w:asciiTheme="majorHAnsi" w:eastAsia="Calibri" w:hAnsiTheme="majorHAnsi" w:cs="Cambria"/>
          <w:szCs w:val="22"/>
          <w:lang w:val="es-ES_tradnl"/>
        </w:rPr>
        <w:t>.</w:t>
      </w:r>
    </w:p>
    <w:p w14:paraId="583C01F8" w14:textId="77777777" w:rsidR="0061532C" w:rsidRPr="00CC3A91" w:rsidRDefault="0061532C" w:rsidP="00744F7D">
      <w:pPr>
        <w:pStyle w:val="ListParagraph"/>
        <w:ind w:left="450"/>
        <w:rPr>
          <w:rFonts w:asciiTheme="majorHAnsi" w:hAnsiTheme="majorHAnsi"/>
          <w:szCs w:val="22"/>
          <w:lang w:val="es-ES_tradnl"/>
        </w:rPr>
      </w:pPr>
    </w:p>
    <w:p w14:paraId="12CF3A3C" w14:textId="2B079368" w:rsidR="00D81A52" w:rsidRPr="00CC3A91" w:rsidRDefault="00536817" w:rsidP="00FB3790">
      <w:pPr>
        <w:pStyle w:val="ListParagraph"/>
        <w:numPr>
          <w:ilvl w:val="0"/>
          <w:numId w:val="1"/>
        </w:numPr>
        <w:ind w:left="426" w:hanging="426"/>
        <w:rPr>
          <w:rFonts w:asciiTheme="majorHAnsi" w:hAnsiTheme="majorHAnsi"/>
          <w:szCs w:val="22"/>
          <w:lang w:val="es-ES_tradnl"/>
        </w:rPr>
      </w:pPr>
      <w:r w:rsidRPr="00CC3A91">
        <w:rPr>
          <w:rFonts w:asciiTheme="majorHAnsi" w:hAnsiTheme="majorHAnsi"/>
          <w:szCs w:val="22"/>
          <w:lang w:val="es-ES_tradnl"/>
        </w:rPr>
        <w:t xml:space="preserve">Con respecto a otras evaluaciones temáticas especialmente pertinentes para Ramsar, la </w:t>
      </w:r>
      <w:r w:rsidR="00356FE0" w:rsidRPr="00CC3A91">
        <w:rPr>
          <w:rFonts w:asciiTheme="majorHAnsi" w:hAnsiTheme="majorHAnsi"/>
          <w:szCs w:val="22"/>
          <w:lang w:val="es-ES_tradnl"/>
        </w:rPr>
        <w:t xml:space="preserve">cuarta sesión plenaria de la </w:t>
      </w:r>
      <w:r w:rsidRPr="00CC3A91">
        <w:rPr>
          <w:rFonts w:asciiTheme="majorHAnsi" w:hAnsiTheme="majorHAnsi"/>
          <w:szCs w:val="22"/>
          <w:lang w:val="es-ES_tradnl"/>
        </w:rPr>
        <w:t>IPBES</w:t>
      </w:r>
      <w:r w:rsidR="00356FE0" w:rsidRPr="00CC3A91">
        <w:rPr>
          <w:rFonts w:asciiTheme="majorHAnsi" w:hAnsiTheme="majorHAnsi"/>
          <w:szCs w:val="22"/>
          <w:lang w:val="es-ES_tradnl"/>
        </w:rPr>
        <w:t xml:space="preserve"> consideró</w:t>
      </w:r>
      <w:r w:rsidRPr="00CC3A91">
        <w:rPr>
          <w:rFonts w:asciiTheme="majorHAnsi" w:hAnsiTheme="majorHAnsi"/>
          <w:szCs w:val="22"/>
          <w:lang w:val="es-ES_tradnl"/>
        </w:rPr>
        <w:t xml:space="preserve"> oportuno el progreso logrado en la evaluación de la degradación y rehabilitación del suelo, </w:t>
      </w:r>
      <w:r w:rsidR="00356FE0" w:rsidRPr="00CC3A91">
        <w:rPr>
          <w:rFonts w:asciiTheme="majorHAnsi" w:hAnsiTheme="majorHAnsi"/>
          <w:szCs w:val="22"/>
          <w:lang w:val="es-ES_tradnl"/>
        </w:rPr>
        <w:t xml:space="preserve">lo </w:t>
      </w:r>
      <w:r w:rsidRPr="00CC3A91">
        <w:rPr>
          <w:rFonts w:asciiTheme="majorHAnsi" w:hAnsiTheme="majorHAnsi"/>
          <w:szCs w:val="22"/>
          <w:lang w:val="es-ES_tradnl"/>
        </w:rPr>
        <w:t>que debería ser sometida a la consideración de la</w:t>
      </w:r>
      <w:r w:rsidR="0012163E" w:rsidRPr="00CC3A91">
        <w:rPr>
          <w:rFonts w:asciiTheme="majorHAnsi" w:hAnsiTheme="majorHAnsi"/>
          <w:szCs w:val="22"/>
          <w:lang w:val="es-ES_tradnl"/>
        </w:rPr>
        <w:t xml:space="preserve"> sexta sesión plenaria de la IPBES</w:t>
      </w:r>
      <w:r w:rsidRPr="00CC3A91">
        <w:rPr>
          <w:rFonts w:asciiTheme="majorHAnsi" w:hAnsiTheme="majorHAnsi"/>
          <w:szCs w:val="22"/>
          <w:lang w:val="es-ES_tradnl"/>
        </w:rPr>
        <w:t xml:space="preserve"> en 2018. </w:t>
      </w:r>
      <w:r w:rsidR="00925137" w:rsidRPr="00CC3A91">
        <w:rPr>
          <w:rFonts w:asciiTheme="majorHAnsi" w:hAnsiTheme="majorHAnsi"/>
          <w:szCs w:val="22"/>
          <w:lang w:val="es-ES_tradnl"/>
        </w:rPr>
        <w:t xml:space="preserve">El informe de alcance relativo a la evaluación de las especies exóticas invasoras y </w:t>
      </w:r>
      <w:r w:rsidR="00356FE0" w:rsidRPr="00CC3A91">
        <w:rPr>
          <w:rFonts w:asciiTheme="majorHAnsi" w:hAnsiTheme="majorHAnsi"/>
          <w:szCs w:val="22"/>
          <w:lang w:val="es-ES_tradnl"/>
        </w:rPr>
        <w:t xml:space="preserve">el </w:t>
      </w:r>
      <w:r w:rsidR="00925137" w:rsidRPr="00CC3A91">
        <w:rPr>
          <w:rFonts w:asciiTheme="majorHAnsi" w:hAnsiTheme="majorHAnsi"/>
          <w:szCs w:val="22"/>
          <w:lang w:val="es-ES_tradnl"/>
        </w:rPr>
        <w:t>control de las mismas fue aprobado pero la decisión sobre la realización de la evaluación se tomará en la quinta sesión plenaria de la IPBES en 2017.</w:t>
      </w:r>
      <w:r w:rsidR="00975D71" w:rsidRPr="00CC3A91">
        <w:rPr>
          <w:rFonts w:asciiTheme="majorHAnsi" w:hAnsiTheme="majorHAnsi"/>
          <w:szCs w:val="22"/>
          <w:lang w:val="es-ES_tradnl"/>
        </w:rPr>
        <w:t xml:space="preserve"> Asimismo, se presentará un </w:t>
      </w:r>
      <w:r w:rsidR="00356FE0" w:rsidRPr="00CC3A91">
        <w:rPr>
          <w:rFonts w:asciiTheme="majorHAnsi" w:hAnsiTheme="majorHAnsi"/>
          <w:szCs w:val="22"/>
          <w:lang w:val="es-ES_tradnl"/>
        </w:rPr>
        <w:t>informe de alcance revisado, relativo a</w:t>
      </w:r>
      <w:r w:rsidR="00975D71" w:rsidRPr="00CC3A91">
        <w:rPr>
          <w:rFonts w:asciiTheme="majorHAnsi" w:hAnsiTheme="majorHAnsi"/>
          <w:szCs w:val="22"/>
          <w:lang w:val="es-ES_tradnl"/>
        </w:rPr>
        <w:t xml:space="preserve"> la evaluación sobre uso sostenible y diversidad biológica</w:t>
      </w:r>
      <w:r w:rsidR="00356FE0" w:rsidRPr="00CC3A91">
        <w:rPr>
          <w:rFonts w:asciiTheme="majorHAnsi" w:hAnsiTheme="majorHAnsi"/>
          <w:szCs w:val="22"/>
          <w:lang w:val="es-ES_tradnl"/>
        </w:rPr>
        <w:t>,</w:t>
      </w:r>
      <w:r w:rsidR="00975D71" w:rsidRPr="00CC3A91">
        <w:rPr>
          <w:rFonts w:asciiTheme="majorHAnsi" w:hAnsiTheme="majorHAnsi"/>
          <w:szCs w:val="22"/>
          <w:lang w:val="es-ES_tradnl"/>
        </w:rPr>
        <w:t xml:space="preserve"> a la consideración de la quinta sesión plenaria de la IBPES.</w:t>
      </w:r>
      <w:r w:rsidR="0088725B" w:rsidRPr="00CC3A91">
        <w:rPr>
          <w:rFonts w:asciiTheme="majorHAnsi" w:hAnsiTheme="majorHAnsi"/>
          <w:szCs w:val="22"/>
          <w:lang w:val="es-ES_tradnl"/>
        </w:rPr>
        <w:t xml:space="preserve"> </w:t>
      </w:r>
    </w:p>
    <w:p w14:paraId="1210F932" w14:textId="77777777" w:rsidR="00DB4A39" w:rsidRPr="00CC3A91" w:rsidRDefault="00DB4A39" w:rsidP="00FB3790">
      <w:pPr>
        <w:pStyle w:val="ListParagraph"/>
        <w:ind w:left="426" w:hanging="426"/>
        <w:rPr>
          <w:rFonts w:asciiTheme="majorHAnsi" w:hAnsiTheme="majorHAnsi"/>
          <w:szCs w:val="22"/>
          <w:lang w:val="es-ES_tradnl"/>
        </w:rPr>
      </w:pPr>
    </w:p>
    <w:p w14:paraId="0A80236D" w14:textId="4130B758" w:rsidR="003C03B2" w:rsidRPr="00CC3A91" w:rsidRDefault="00356FE0" w:rsidP="00FB3790">
      <w:pPr>
        <w:pStyle w:val="NormalWeb"/>
        <w:numPr>
          <w:ilvl w:val="0"/>
          <w:numId w:val="1"/>
        </w:numPr>
        <w:spacing w:before="0" w:beforeAutospacing="0" w:after="0" w:afterAutospacing="0"/>
        <w:ind w:left="426" w:hanging="426"/>
        <w:rPr>
          <w:rFonts w:asciiTheme="majorHAnsi" w:hAnsiTheme="majorHAnsi"/>
          <w:sz w:val="22"/>
          <w:szCs w:val="22"/>
          <w:lang w:val="es-ES_tradnl"/>
        </w:rPr>
      </w:pPr>
      <w:r w:rsidRPr="00CC3A91">
        <w:rPr>
          <w:rFonts w:asciiTheme="majorHAnsi" w:hAnsiTheme="majorHAnsi"/>
          <w:sz w:val="22"/>
          <w:szCs w:val="22"/>
          <w:lang w:val="es-ES_tradnl"/>
        </w:rPr>
        <w:t>La cuarta</w:t>
      </w:r>
      <w:r w:rsidR="00975D71" w:rsidRPr="00CC3A91">
        <w:rPr>
          <w:rFonts w:asciiTheme="majorHAnsi" w:hAnsiTheme="majorHAnsi"/>
          <w:sz w:val="22"/>
          <w:szCs w:val="22"/>
          <w:lang w:val="es-ES_tradnl"/>
        </w:rPr>
        <w:t xml:space="preserve"> sesión plenaria de la </w:t>
      </w:r>
      <w:r w:rsidR="00692721" w:rsidRPr="00CC3A91">
        <w:rPr>
          <w:rFonts w:asciiTheme="majorHAnsi" w:hAnsiTheme="majorHAnsi"/>
          <w:sz w:val="22"/>
          <w:szCs w:val="22"/>
          <w:lang w:val="es-ES_tradnl"/>
        </w:rPr>
        <w:t xml:space="preserve">IPBES </w:t>
      </w:r>
      <w:r w:rsidR="00975D71" w:rsidRPr="00CC3A91">
        <w:rPr>
          <w:rFonts w:asciiTheme="majorHAnsi" w:hAnsiTheme="majorHAnsi"/>
          <w:sz w:val="22"/>
          <w:szCs w:val="22"/>
          <w:lang w:val="es-ES_tradnl"/>
        </w:rPr>
        <w:t>pidió a la Secretaría Ejecutiva de la IPBES que finalizase los memorandos de cooperación con las secretarías de las distintas convenciones relativas a la diversidad biológica, incluyendo la Convención de Ramsar y la Secretaría de la Plataforma.</w:t>
      </w:r>
      <w:r w:rsidR="0088725B" w:rsidRPr="00CC3A91">
        <w:rPr>
          <w:rFonts w:asciiTheme="majorHAnsi" w:hAnsiTheme="majorHAnsi"/>
          <w:sz w:val="22"/>
          <w:szCs w:val="22"/>
          <w:lang w:val="es-ES_tradnl"/>
        </w:rPr>
        <w:t xml:space="preserve"> </w:t>
      </w:r>
    </w:p>
    <w:p w14:paraId="1972B451" w14:textId="77777777" w:rsidR="003C03B2" w:rsidRPr="00CC3A91" w:rsidRDefault="003C03B2" w:rsidP="00FB3790">
      <w:pPr>
        <w:pStyle w:val="NormalWeb"/>
        <w:spacing w:before="0" w:beforeAutospacing="0" w:after="0" w:afterAutospacing="0"/>
        <w:ind w:left="426" w:hanging="426"/>
        <w:rPr>
          <w:rFonts w:asciiTheme="majorHAnsi" w:hAnsiTheme="majorHAnsi"/>
          <w:sz w:val="22"/>
          <w:szCs w:val="22"/>
          <w:lang w:val="es-ES_tradnl"/>
        </w:rPr>
      </w:pPr>
    </w:p>
    <w:p w14:paraId="7AC66722" w14:textId="2D5A24BC" w:rsidR="00BA1B7D" w:rsidRPr="00CC3A91" w:rsidRDefault="00975D71" w:rsidP="00BA1B7D">
      <w:pPr>
        <w:pStyle w:val="ListParagraph"/>
        <w:numPr>
          <w:ilvl w:val="0"/>
          <w:numId w:val="1"/>
        </w:numPr>
        <w:ind w:left="426" w:hanging="426"/>
        <w:contextualSpacing w:val="0"/>
        <w:rPr>
          <w:rFonts w:asciiTheme="majorHAnsi" w:hAnsiTheme="majorHAnsi"/>
          <w:szCs w:val="22"/>
          <w:lang w:val="es-ES_tradnl"/>
        </w:rPr>
      </w:pPr>
      <w:r w:rsidRPr="00CC3A91">
        <w:rPr>
          <w:rFonts w:asciiTheme="majorHAnsi" w:hAnsiTheme="majorHAnsi"/>
          <w:szCs w:val="22"/>
          <w:lang w:val="es-ES_tradnl"/>
        </w:rPr>
        <w:t xml:space="preserve">Los miembros de la comunidad Ramsar </w:t>
      </w:r>
      <w:r w:rsidR="0017304D" w:rsidRPr="00CC3A91">
        <w:rPr>
          <w:rFonts w:asciiTheme="majorHAnsi" w:hAnsiTheme="majorHAnsi"/>
          <w:szCs w:val="22"/>
          <w:lang w:val="es-ES_tradnl"/>
        </w:rPr>
        <w:t xml:space="preserve">siguen participando en el trabajo de la IPBES, entre ellos </w:t>
      </w:r>
      <w:r w:rsidR="00CD5819" w:rsidRPr="00CC3A91">
        <w:rPr>
          <w:rFonts w:asciiTheme="majorHAnsi" w:hAnsiTheme="majorHAnsi"/>
          <w:szCs w:val="22"/>
          <w:lang w:val="es-ES_tradnl"/>
        </w:rPr>
        <w:t>algunos</w:t>
      </w:r>
      <w:r w:rsidR="0017304D" w:rsidRPr="00CC3A91">
        <w:rPr>
          <w:rFonts w:asciiTheme="majorHAnsi" w:hAnsiTheme="majorHAnsi"/>
          <w:szCs w:val="22"/>
          <w:lang w:val="es-ES_tradnl"/>
        </w:rPr>
        <w:t xml:space="preserve"> miembros del GEC</w:t>
      </w:r>
      <w:r w:rsidR="00CD5819" w:rsidRPr="00CC3A91">
        <w:rPr>
          <w:rFonts w:asciiTheme="majorHAnsi" w:hAnsiTheme="majorHAnsi"/>
          <w:szCs w:val="22"/>
          <w:lang w:val="es-ES_tradnl"/>
        </w:rPr>
        <w:t>T:</w:t>
      </w:r>
      <w:r w:rsidR="0017304D" w:rsidRPr="00CC3A91">
        <w:rPr>
          <w:rFonts w:asciiTheme="majorHAnsi" w:hAnsiTheme="majorHAnsi"/>
          <w:szCs w:val="22"/>
          <w:lang w:val="es-ES_tradnl"/>
        </w:rPr>
        <w:t xml:space="preserve"> </w:t>
      </w:r>
      <w:r w:rsidR="00692721" w:rsidRPr="00CC3A91">
        <w:rPr>
          <w:rFonts w:asciiTheme="majorHAnsi" w:hAnsiTheme="majorHAnsi"/>
          <w:szCs w:val="22"/>
          <w:lang w:val="es-ES_tradnl"/>
        </w:rPr>
        <w:t>Ritesh</w:t>
      </w:r>
      <w:r w:rsidR="00391405" w:rsidRPr="00CC3A91">
        <w:rPr>
          <w:rFonts w:asciiTheme="majorHAnsi" w:hAnsiTheme="majorHAnsi"/>
          <w:szCs w:val="22"/>
          <w:lang w:val="es-ES_tradnl"/>
        </w:rPr>
        <w:t xml:space="preserve"> Kumar</w:t>
      </w:r>
      <w:r w:rsidR="00343989" w:rsidRPr="00CC3A91">
        <w:rPr>
          <w:rFonts w:asciiTheme="majorHAnsi" w:hAnsiTheme="majorHAnsi"/>
          <w:szCs w:val="22"/>
          <w:lang w:val="es-ES_tradnl"/>
        </w:rPr>
        <w:t xml:space="preserve"> (</w:t>
      </w:r>
      <w:r w:rsidR="0017304D" w:rsidRPr="00CC3A91">
        <w:rPr>
          <w:rFonts w:asciiTheme="majorHAnsi" w:hAnsiTheme="majorHAnsi"/>
          <w:szCs w:val="22"/>
          <w:lang w:val="es-ES_tradnl"/>
        </w:rPr>
        <w:t xml:space="preserve">grupo de expertos sobre metodologías de valoración </w:t>
      </w:r>
      <w:r w:rsidR="00965D03" w:rsidRPr="00CC3A91">
        <w:rPr>
          <w:rFonts w:asciiTheme="majorHAnsi" w:hAnsiTheme="majorHAnsi"/>
          <w:szCs w:val="22"/>
          <w:lang w:val="es-ES_tradnl"/>
        </w:rPr>
        <w:t>y evaluaciones regionales/subregionales sobre la diversidad biológica y los servicios de los ecosistemas)</w:t>
      </w:r>
      <w:r w:rsidR="00CD5819" w:rsidRPr="00CC3A91">
        <w:rPr>
          <w:rFonts w:asciiTheme="majorHAnsi" w:hAnsiTheme="majorHAnsi"/>
          <w:szCs w:val="22"/>
          <w:lang w:val="es-ES_tradnl"/>
        </w:rPr>
        <w:t xml:space="preserve"> y</w:t>
      </w:r>
      <w:r w:rsidR="00391405" w:rsidRPr="00CC3A91">
        <w:rPr>
          <w:rFonts w:asciiTheme="majorHAnsi" w:hAnsiTheme="majorHAnsi"/>
          <w:szCs w:val="22"/>
          <w:lang w:val="es-ES_tradnl"/>
        </w:rPr>
        <w:t xml:space="preserve"> </w:t>
      </w:r>
      <w:r w:rsidR="00692721" w:rsidRPr="00CC3A91">
        <w:rPr>
          <w:rFonts w:asciiTheme="majorHAnsi" w:hAnsiTheme="majorHAnsi"/>
          <w:szCs w:val="22"/>
          <w:lang w:val="es-ES_tradnl"/>
        </w:rPr>
        <w:t>Siobhan</w:t>
      </w:r>
      <w:r w:rsidR="00391405" w:rsidRPr="00CC3A91">
        <w:rPr>
          <w:rFonts w:asciiTheme="majorHAnsi" w:hAnsiTheme="majorHAnsi"/>
          <w:szCs w:val="22"/>
          <w:lang w:val="es-ES_tradnl"/>
        </w:rPr>
        <w:t xml:space="preserve"> Fennessy</w:t>
      </w:r>
      <w:r w:rsidR="00343989" w:rsidRPr="00CC3A91">
        <w:rPr>
          <w:rFonts w:asciiTheme="majorHAnsi" w:hAnsiTheme="majorHAnsi"/>
          <w:szCs w:val="22"/>
          <w:lang w:val="es-ES_tradnl"/>
        </w:rPr>
        <w:t xml:space="preserve"> (</w:t>
      </w:r>
      <w:r w:rsidR="00965D03" w:rsidRPr="00CC3A91">
        <w:rPr>
          <w:rFonts w:asciiTheme="majorHAnsi" w:hAnsiTheme="majorHAnsi"/>
          <w:szCs w:val="22"/>
          <w:lang w:val="es-ES_tradnl"/>
        </w:rPr>
        <w:t xml:space="preserve">autora principal de la evaluación temática </w:t>
      </w:r>
      <w:r w:rsidR="00CD5819" w:rsidRPr="00CC3A91">
        <w:rPr>
          <w:rFonts w:asciiTheme="majorHAnsi" w:hAnsiTheme="majorHAnsi"/>
          <w:szCs w:val="22"/>
          <w:lang w:val="es-ES_tradnl"/>
        </w:rPr>
        <w:t>sobre</w:t>
      </w:r>
      <w:r w:rsidR="00965D03" w:rsidRPr="00CC3A91">
        <w:rPr>
          <w:rFonts w:asciiTheme="majorHAnsi" w:hAnsiTheme="majorHAnsi"/>
          <w:szCs w:val="22"/>
          <w:lang w:val="es-ES_tradnl"/>
        </w:rPr>
        <w:t xml:space="preserve"> degradación y rehabilitación del suelo, </w:t>
      </w:r>
      <w:r w:rsidR="001F23AF" w:rsidRPr="00CC3A91">
        <w:rPr>
          <w:rFonts w:asciiTheme="majorHAnsi" w:hAnsiTheme="majorHAnsi"/>
          <w:szCs w:val="22"/>
          <w:lang w:val="es-ES_tradnl"/>
        </w:rPr>
        <w:t xml:space="preserve">así como </w:t>
      </w:r>
      <w:r w:rsidR="00692721" w:rsidRPr="00CC3A91">
        <w:rPr>
          <w:rFonts w:asciiTheme="majorHAnsi" w:hAnsiTheme="majorHAnsi"/>
          <w:szCs w:val="22"/>
          <w:lang w:val="es-ES_tradnl"/>
        </w:rPr>
        <w:t>Sonali</w:t>
      </w:r>
      <w:r w:rsidR="00564BB7" w:rsidRPr="00CC3A91">
        <w:rPr>
          <w:rFonts w:asciiTheme="majorHAnsi" w:hAnsiTheme="majorHAnsi"/>
          <w:szCs w:val="22"/>
          <w:lang w:val="es-ES_tradnl"/>
        </w:rPr>
        <w:t xml:space="preserve"> Senaratna Sellamuttu</w:t>
      </w:r>
      <w:r w:rsidR="00692721" w:rsidRPr="00CC3A91">
        <w:rPr>
          <w:rFonts w:asciiTheme="majorHAnsi" w:hAnsiTheme="majorHAnsi"/>
          <w:szCs w:val="22"/>
          <w:lang w:val="es-ES_tradnl"/>
        </w:rPr>
        <w:t xml:space="preserve">, </w:t>
      </w:r>
      <w:r w:rsidR="00391405" w:rsidRPr="00CC3A91">
        <w:rPr>
          <w:rFonts w:asciiTheme="majorHAnsi" w:hAnsiTheme="majorHAnsi"/>
          <w:szCs w:val="22"/>
          <w:lang w:val="es-ES_tradnl"/>
        </w:rPr>
        <w:t>representa</w:t>
      </w:r>
      <w:r w:rsidR="00CD5819" w:rsidRPr="00CC3A91">
        <w:rPr>
          <w:rFonts w:asciiTheme="majorHAnsi" w:hAnsiTheme="majorHAnsi"/>
          <w:szCs w:val="22"/>
          <w:lang w:val="es-ES_tradnl"/>
        </w:rPr>
        <w:t>nte anterior del I</w:t>
      </w:r>
      <w:r w:rsidR="00965D03" w:rsidRPr="00CC3A91">
        <w:rPr>
          <w:rFonts w:asciiTheme="majorHAnsi" w:hAnsiTheme="majorHAnsi"/>
          <w:szCs w:val="22"/>
          <w:lang w:val="es-ES_tradnl"/>
        </w:rPr>
        <w:t>W</w:t>
      </w:r>
      <w:r w:rsidR="00CD5819" w:rsidRPr="00CC3A91">
        <w:rPr>
          <w:rFonts w:asciiTheme="majorHAnsi" w:hAnsiTheme="majorHAnsi"/>
          <w:szCs w:val="22"/>
          <w:lang w:val="es-ES_tradnl"/>
        </w:rPr>
        <w:t>M</w:t>
      </w:r>
      <w:r w:rsidR="00965D03" w:rsidRPr="00CC3A91">
        <w:rPr>
          <w:rFonts w:asciiTheme="majorHAnsi" w:hAnsiTheme="majorHAnsi"/>
          <w:szCs w:val="22"/>
          <w:lang w:val="es-ES_tradnl"/>
        </w:rPr>
        <w:t xml:space="preserve">I en el </w:t>
      </w:r>
      <w:r w:rsidR="00965D03" w:rsidRPr="0037459B">
        <w:rPr>
          <w:rFonts w:asciiTheme="majorHAnsi" w:hAnsiTheme="majorHAnsi"/>
          <w:szCs w:val="22"/>
          <w:lang w:val="es-ES_tradnl"/>
        </w:rPr>
        <w:t>GECT</w:t>
      </w:r>
      <w:r w:rsidR="00343989" w:rsidRPr="0037459B">
        <w:rPr>
          <w:rFonts w:asciiTheme="majorHAnsi" w:hAnsiTheme="majorHAnsi"/>
          <w:szCs w:val="22"/>
          <w:lang w:val="es-ES_tradnl"/>
        </w:rPr>
        <w:t xml:space="preserve"> (Co</w:t>
      </w:r>
      <w:r w:rsidR="00965D03" w:rsidRPr="0037459B">
        <w:rPr>
          <w:rFonts w:asciiTheme="majorHAnsi" w:hAnsiTheme="majorHAnsi"/>
          <w:szCs w:val="22"/>
          <w:lang w:val="es-ES_tradnl"/>
        </w:rPr>
        <w:t xml:space="preserve">presidencia de la evaluación regional </w:t>
      </w:r>
      <w:r w:rsidR="00343989" w:rsidRPr="0037459B">
        <w:rPr>
          <w:rFonts w:asciiTheme="majorHAnsi" w:hAnsiTheme="majorHAnsi"/>
          <w:szCs w:val="22"/>
          <w:lang w:val="es-ES_tradnl"/>
        </w:rPr>
        <w:t>Asia-Pac</w:t>
      </w:r>
      <w:r w:rsidR="00965D03" w:rsidRPr="0037459B">
        <w:rPr>
          <w:rFonts w:asciiTheme="majorHAnsi" w:hAnsiTheme="majorHAnsi"/>
          <w:szCs w:val="22"/>
          <w:lang w:val="es-ES_tradnl"/>
        </w:rPr>
        <w:t>í</w:t>
      </w:r>
      <w:r w:rsidR="00343989" w:rsidRPr="0037459B">
        <w:rPr>
          <w:rFonts w:asciiTheme="majorHAnsi" w:hAnsiTheme="majorHAnsi"/>
          <w:szCs w:val="22"/>
          <w:lang w:val="es-ES_tradnl"/>
        </w:rPr>
        <w:t>fic</w:t>
      </w:r>
      <w:r w:rsidR="00965D03" w:rsidRPr="0037459B">
        <w:rPr>
          <w:rFonts w:asciiTheme="majorHAnsi" w:hAnsiTheme="majorHAnsi"/>
          <w:szCs w:val="22"/>
          <w:lang w:val="es-ES_tradnl"/>
        </w:rPr>
        <w:t>o</w:t>
      </w:r>
      <w:r w:rsidR="00F27FDD" w:rsidRPr="0037459B">
        <w:rPr>
          <w:rFonts w:asciiTheme="majorHAnsi" w:hAnsiTheme="majorHAnsi"/>
          <w:szCs w:val="22"/>
          <w:lang w:val="es-ES_tradnl"/>
        </w:rPr>
        <w:t>)</w:t>
      </w:r>
      <w:r w:rsidR="00DB4A39" w:rsidRPr="00CC3A91">
        <w:rPr>
          <w:rFonts w:asciiTheme="majorHAnsi" w:hAnsiTheme="majorHAnsi"/>
          <w:szCs w:val="22"/>
          <w:lang w:val="es-ES_tradnl"/>
        </w:rPr>
        <w:t xml:space="preserve"> </w:t>
      </w:r>
      <w:r w:rsidR="00965D03" w:rsidRPr="00CC3A91">
        <w:rPr>
          <w:rFonts w:asciiTheme="majorHAnsi" w:hAnsiTheme="majorHAnsi"/>
          <w:szCs w:val="22"/>
          <w:lang w:val="es-ES_tradnl"/>
        </w:rPr>
        <w:t xml:space="preserve">y </w:t>
      </w:r>
      <w:r w:rsidR="001F23AF" w:rsidRPr="00CC3A91">
        <w:rPr>
          <w:rFonts w:asciiTheme="majorHAnsi" w:hAnsiTheme="majorHAnsi"/>
          <w:szCs w:val="22"/>
          <w:lang w:val="es-ES_tradnl"/>
        </w:rPr>
        <w:t xml:space="preserve">Susan Galatowitsch, </w:t>
      </w:r>
      <w:r w:rsidR="00965D03" w:rsidRPr="00CC3A91">
        <w:rPr>
          <w:rFonts w:asciiTheme="majorHAnsi" w:hAnsiTheme="majorHAnsi"/>
          <w:szCs w:val="22"/>
          <w:lang w:val="es-ES_tradnl"/>
        </w:rPr>
        <w:t xml:space="preserve">experta invitada de la GECT </w:t>
      </w:r>
      <w:r w:rsidR="001F23AF" w:rsidRPr="00CC3A91">
        <w:rPr>
          <w:rFonts w:asciiTheme="majorHAnsi" w:hAnsiTheme="majorHAnsi"/>
          <w:szCs w:val="22"/>
          <w:lang w:val="es-ES_tradnl"/>
        </w:rPr>
        <w:t>en el pasado</w:t>
      </w:r>
      <w:r w:rsidR="00965D03" w:rsidRPr="00CC3A91">
        <w:rPr>
          <w:rFonts w:asciiTheme="majorHAnsi" w:hAnsiTheme="majorHAnsi"/>
          <w:szCs w:val="22"/>
          <w:lang w:val="es-ES_tradnl"/>
        </w:rPr>
        <w:t xml:space="preserve"> </w:t>
      </w:r>
      <w:r w:rsidR="001F4BBE" w:rsidRPr="00CC3A91">
        <w:rPr>
          <w:rFonts w:asciiTheme="majorHAnsi" w:hAnsiTheme="majorHAnsi"/>
          <w:szCs w:val="22"/>
          <w:lang w:val="es-ES_tradnl"/>
        </w:rPr>
        <w:t>(</w:t>
      </w:r>
      <w:r w:rsidR="00CD5819" w:rsidRPr="00CC3A91">
        <w:rPr>
          <w:rFonts w:asciiTheme="majorHAnsi" w:hAnsiTheme="majorHAnsi"/>
          <w:szCs w:val="22"/>
          <w:lang w:val="es-ES_tradnl"/>
        </w:rPr>
        <w:t xml:space="preserve">revisora </w:t>
      </w:r>
      <w:r w:rsidR="001F23AF" w:rsidRPr="00CC3A91">
        <w:rPr>
          <w:rFonts w:asciiTheme="majorHAnsi" w:hAnsiTheme="majorHAnsi"/>
          <w:szCs w:val="22"/>
          <w:lang w:val="es-ES_tradnl"/>
        </w:rPr>
        <w:t>del capítulo s</w:t>
      </w:r>
      <w:r w:rsidR="00EF4163" w:rsidRPr="00CC3A91">
        <w:rPr>
          <w:rFonts w:asciiTheme="majorHAnsi" w:hAnsiTheme="majorHAnsi"/>
          <w:szCs w:val="22"/>
          <w:lang w:val="es-ES_tradnl"/>
        </w:rPr>
        <w:t>eis de la evaluación temática sobre</w:t>
      </w:r>
      <w:r w:rsidR="001F23AF" w:rsidRPr="00CC3A91">
        <w:rPr>
          <w:rFonts w:asciiTheme="majorHAnsi" w:hAnsiTheme="majorHAnsi"/>
          <w:szCs w:val="22"/>
          <w:lang w:val="es-ES_tradnl"/>
        </w:rPr>
        <w:t xml:space="preserve"> degradación y rehabilitación del suelo).</w:t>
      </w:r>
      <w:r w:rsidR="0088725B" w:rsidRPr="00CC3A91">
        <w:rPr>
          <w:rFonts w:asciiTheme="majorHAnsi" w:hAnsiTheme="majorHAnsi"/>
          <w:szCs w:val="22"/>
          <w:lang w:val="es-ES_tradnl"/>
        </w:rPr>
        <w:t xml:space="preserve"> </w:t>
      </w:r>
      <w:r w:rsidR="001F23AF" w:rsidRPr="00CC3A91">
        <w:rPr>
          <w:rFonts w:asciiTheme="majorHAnsi" w:hAnsiTheme="majorHAnsi"/>
          <w:szCs w:val="22"/>
          <w:lang w:val="es-ES_tradnl"/>
        </w:rPr>
        <w:t xml:space="preserve">Además, durante la cuarta sesión plenaria de la IPBES, </w:t>
      </w:r>
      <w:r w:rsidR="00692721" w:rsidRPr="00CC3A91">
        <w:rPr>
          <w:rFonts w:asciiTheme="majorHAnsi" w:hAnsiTheme="majorHAnsi"/>
          <w:szCs w:val="22"/>
          <w:lang w:val="es-ES_tradnl"/>
        </w:rPr>
        <w:t xml:space="preserve">Rashad Allahverdiev, </w:t>
      </w:r>
      <w:r w:rsidR="001F23AF" w:rsidRPr="00CC3A91">
        <w:rPr>
          <w:rFonts w:asciiTheme="majorHAnsi" w:hAnsiTheme="majorHAnsi"/>
          <w:szCs w:val="22"/>
          <w:lang w:val="es-ES_tradnl"/>
        </w:rPr>
        <w:t>el Coordinador Nacional de Ramsar para Azerbaiyán, fue elegido</w:t>
      </w:r>
      <w:r w:rsidR="0049106F" w:rsidRPr="00CC3A91">
        <w:rPr>
          <w:rFonts w:asciiTheme="majorHAnsi" w:hAnsiTheme="majorHAnsi"/>
          <w:szCs w:val="22"/>
          <w:lang w:val="es-ES_tradnl"/>
        </w:rPr>
        <w:t xml:space="preserve"> miembro de la Mesa de la IPBES</w:t>
      </w:r>
      <w:r w:rsidR="001F23AF" w:rsidRPr="00CC3A91">
        <w:rPr>
          <w:rFonts w:asciiTheme="majorHAnsi" w:hAnsiTheme="majorHAnsi"/>
          <w:szCs w:val="22"/>
          <w:lang w:val="es-ES_tradnl"/>
        </w:rPr>
        <w:t>.</w:t>
      </w:r>
    </w:p>
    <w:p w14:paraId="25A92ADD" w14:textId="77777777" w:rsidR="000E28DF" w:rsidRPr="00CC3A91" w:rsidRDefault="000E28DF" w:rsidP="000E28DF">
      <w:pPr>
        <w:ind w:left="360"/>
        <w:rPr>
          <w:rFonts w:asciiTheme="majorHAnsi" w:hAnsiTheme="majorHAnsi"/>
          <w:szCs w:val="22"/>
          <w:lang w:val="es-ES_tradnl"/>
        </w:rPr>
      </w:pPr>
    </w:p>
    <w:p w14:paraId="211A1A13" w14:textId="3B06EE6D" w:rsidR="00E00AE3" w:rsidRPr="00CC3A91" w:rsidRDefault="00E00AE3" w:rsidP="00914A1A">
      <w:pPr>
        <w:rPr>
          <w:rFonts w:asciiTheme="majorHAnsi" w:hAnsiTheme="majorHAnsi"/>
          <w:b/>
          <w:sz w:val="22"/>
          <w:szCs w:val="22"/>
          <w:lang w:val="es-ES_tradnl"/>
        </w:rPr>
      </w:pPr>
      <w:r w:rsidRPr="00CC3A91">
        <w:rPr>
          <w:rFonts w:asciiTheme="majorHAnsi" w:hAnsiTheme="majorHAnsi"/>
          <w:b/>
          <w:sz w:val="22"/>
          <w:szCs w:val="22"/>
          <w:lang w:val="es-ES_tradnl"/>
        </w:rPr>
        <w:t>20</w:t>
      </w:r>
      <w:r w:rsidR="00966F10" w:rsidRPr="00CC3A91">
        <w:rPr>
          <w:rFonts w:asciiTheme="majorHAnsi" w:hAnsiTheme="majorHAnsi"/>
          <w:b/>
          <w:sz w:val="22"/>
          <w:szCs w:val="22"/>
          <w:lang w:val="es-ES_tradnl"/>
        </w:rPr>
        <w:t>ª reunión del GECT</w:t>
      </w:r>
    </w:p>
    <w:p w14:paraId="01670ECB" w14:textId="77777777" w:rsidR="00E00AE3" w:rsidRPr="00CC3A91" w:rsidRDefault="00E00AE3" w:rsidP="00914A1A">
      <w:pPr>
        <w:rPr>
          <w:rFonts w:asciiTheme="majorHAnsi" w:hAnsiTheme="majorHAnsi"/>
          <w:sz w:val="22"/>
          <w:szCs w:val="22"/>
          <w:lang w:val="es-ES_tradnl"/>
        </w:rPr>
      </w:pPr>
    </w:p>
    <w:p w14:paraId="275ED3F4" w14:textId="607D7999" w:rsidR="001571F3" w:rsidRPr="003D6766" w:rsidRDefault="00966F10" w:rsidP="00F71FD7">
      <w:pPr>
        <w:ind w:left="360"/>
        <w:rPr>
          <w:rFonts w:asciiTheme="majorHAnsi" w:hAnsiTheme="majorHAnsi"/>
          <w:sz w:val="22"/>
          <w:szCs w:val="22"/>
          <w:lang w:val="es-ES_tradnl"/>
        </w:rPr>
      </w:pPr>
      <w:r w:rsidRPr="003D6766">
        <w:rPr>
          <w:rFonts w:asciiTheme="majorHAnsi" w:hAnsiTheme="majorHAnsi"/>
          <w:sz w:val="22"/>
          <w:szCs w:val="22"/>
          <w:lang w:val="es-ES_tradnl"/>
        </w:rPr>
        <w:t xml:space="preserve">Una vez aprobado formalmente el Plan de Trabajo por el Comité Permanente, los </w:t>
      </w:r>
      <w:r w:rsidR="00360FBC" w:rsidRPr="003D6766">
        <w:rPr>
          <w:rFonts w:asciiTheme="majorHAnsi" w:hAnsiTheme="majorHAnsi"/>
          <w:sz w:val="22"/>
          <w:szCs w:val="22"/>
          <w:lang w:val="es-ES_tradnl"/>
        </w:rPr>
        <w:t>responsables</w:t>
      </w:r>
      <w:r w:rsidR="007B51BD" w:rsidRPr="003D6766">
        <w:rPr>
          <w:rFonts w:asciiTheme="majorHAnsi" w:hAnsiTheme="majorHAnsi"/>
          <w:sz w:val="22"/>
          <w:szCs w:val="22"/>
          <w:lang w:val="es-ES_tradnl"/>
        </w:rPr>
        <w:t xml:space="preserve"> de las tareas </w:t>
      </w:r>
      <w:r w:rsidRPr="003D6766">
        <w:rPr>
          <w:rFonts w:asciiTheme="majorHAnsi" w:hAnsiTheme="majorHAnsi"/>
          <w:sz w:val="22"/>
          <w:szCs w:val="22"/>
          <w:lang w:val="es-ES_tradnl"/>
        </w:rPr>
        <w:t xml:space="preserve">tienen la intención de empezar a trabajar </w:t>
      </w:r>
      <w:r w:rsidR="00EF4163" w:rsidRPr="003D6766">
        <w:rPr>
          <w:rFonts w:asciiTheme="majorHAnsi" w:hAnsiTheme="majorHAnsi"/>
          <w:sz w:val="22"/>
          <w:szCs w:val="22"/>
          <w:lang w:val="es-ES_tradnl"/>
        </w:rPr>
        <w:t>por medios</w:t>
      </w:r>
      <w:r w:rsidRPr="003D6766">
        <w:rPr>
          <w:rFonts w:asciiTheme="majorHAnsi" w:hAnsiTheme="majorHAnsi"/>
          <w:sz w:val="22"/>
          <w:szCs w:val="22"/>
          <w:lang w:val="es-ES_tradnl"/>
        </w:rPr>
        <w:t xml:space="preserve"> electrónic</w:t>
      </w:r>
      <w:r w:rsidR="00EF4163" w:rsidRPr="003D6766">
        <w:rPr>
          <w:rFonts w:asciiTheme="majorHAnsi" w:hAnsiTheme="majorHAnsi"/>
          <w:sz w:val="22"/>
          <w:szCs w:val="22"/>
          <w:lang w:val="es-ES_tradnl"/>
        </w:rPr>
        <w:t>os</w:t>
      </w:r>
      <w:r w:rsidRPr="003D6766">
        <w:rPr>
          <w:rFonts w:asciiTheme="majorHAnsi" w:hAnsiTheme="majorHAnsi"/>
          <w:sz w:val="22"/>
          <w:szCs w:val="22"/>
          <w:lang w:val="es-ES_tradnl"/>
        </w:rPr>
        <w:t xml:space="preserve">. La 20ª reunión del GECT </w:t>
      </w:r>
      <w:r w:rsidR="00F71FD7" w:rsidRPr="003D6766">
        <w:rPr>
          <w:rFonts w:asciiTheme="majorHAnsi" w:hAnsiTheme="majorHAnsi"/>
          <w:sz w:val="22"/>
          <w:szCs w:val="22"/>
          <w:lang w:val="es-ES_tradnl"/>
        </w:rPr>
        <w:t xml:space="preserve">para evaluar el progreso logrado respecto del Plan de Trabajo aprobado </w:t>
      </w:r>
      <w:r w:rsidRPr="003D6766">
        <w:rPr>
          <w:rFonts w:asciiTheme="majorHAnsi" w:hAnsiTheme="majorHAnsi"/>
          <w:sz w:val="22"/>
          <w:szCs w:val="22"/>
          <w:lang w:val="es-ES_tradnl"/>
        </w:rPr>
        <w:t>está prevista para principios de 2017</w:t>
      </w:r>
      <w:r w:rsidR="00F71FD7" w:rsidRPr="003D6766">
        <w:rPr>
          <w:rFonts w:asciiTheme="majorHAnsi" w:hAnsiTheme="majorHAnsi"/>
          <w:sz w:val="22"/>
          <w:szCs w:val="22"/>
          <w:lang w:val="es-ES_tradnl"/>
        </w:rPr>
        <w:t>.</w:t>
      </w:r>
      <w:r w:rsidR="0088725B" w:rsidRPr="003D6766">
        <w:rPr>
          <w:rFonts w:asciiTheme="majorHAnsi" w:hAnsiTheme="majorHAnsi"/>
          <w:sz w:val="22"/>
          <w:szCs w:val="22"/>
          <w:lang w:val="es-ES_tradnl"/>
        </w:rPr>
        <w:t xml:space="preserve"> </w:t>
      </w:r>
    </w:p>
    <w:p w14:paraId="4AF84502" w14:textId="77777777" w:rsidR="00B24BA3" w:rsidRPr="00CC3A91" w:rsidRDefault="00B24BA3" w:rsidP="00914A1A">
      <w:pPr>
        <w:rPr>
          <w:rFonts w:asciiTheme="majorHAnsi" w:hAnsiTheme="majorHAnsi"/>
          <w:sz w:val="22"/>
          <w:szCs w:val="22"/>
          <w:lang w:val="es-ES_tradnl"/>
        </w:rPr>
        <w:sectPr w:rsidR="00B24BA3" w:rsidRPr="00CC3A91" w:rsidSect="00FB3790">
          <w:footerReference w:type="default" r:id="rId10"/>
          <w:pgSz w:w="11906" w:h="16838"/>
          <w:pgMar w:top="1440" w:right="1440" w:bottom="1440" w:left="1440" w:header="709" w:footer="709" w:gutter="0"/>
          <w:cols w:space="708"/>
          <w:titlePg/>
          <w:docGrid w:linePitch="360"/>
        </w:sectPr>
      </w:pPr>
    </w:p>
    <w:p w14:paraId="7247AB61" w14:textId="37398BF4" w:rsidR="00B70CC9" w:rsidRPr="00CC3A91" w:rsidRDefault="00B70CC9" w:rsidP="00B70CC9">
      <w:pPr>
        <w:jc w:val="center"/>
        <w:rPr>
          <w:rFonts w:asciiTheme="majorHAnsi" w:hAnsiTheme="majorHAnsi" w:cs="Arial"/>
          <w:b/>
          <w:lang w:val="es-ES_tradnl"/>
        </w:rPr>
      </w:pPr>
      <w:r w:rsidRPr="00CC3A91">
        <w:rPr>
          <w:rFonts w:asciiTheme="majorHAnsi" w:hAnsiTheme="majorHAnsi" w:cs="Arial"/>
          <w:b/>
          <w:lang w:val="es-ES_tradnl"/>
        </w:rPr>
        <w:lastRenderedPageBreak/>
        <w:t xml:space="preserve">Proyecto </w:t>
      </w:r>
      <w:r w:rsidR="00084614" w:rsidRPr="00CC3A91">
        <w:rPr>
          <w:rFonts w:asciiTheme="majorHAnsi" w:hAnsiTheme="majorHAnsi" w:cs="Arial"/>
          <w:b/>
          <w:lang w:val="es-ES_tradnl"/>
        </w:rPr>
        <w:t>modificado</w:t>
      </w:r>
      <w:r w:rsidRPr="00CC3A91">
        <w:rPr>
          <w:rFonts w:asciiTheme="majorHAnsi" w:hAnsiTheme="majorHAnsi" w:cs="Arial"/>
          <w:b/>
          <w:lang w:val="es-ES_tradnl"/>
        </w:rPr>
        <w:t xml:space="preserve"> de plan de trabajo del Grupo de Examen Científico y Técnico </w:t>
      </w:r>
    </w:p>
    <w:p w14:paraId="31F75109" w14:textId="4286A13F" w:rsidR="00B70CC9" w:rsidRPr="00CC3A91" w:rsidRDefault="00B70CC9" w:rsidP="00B70CC9">
      <w:pPr>
        <w:jc w:val="center"/>
        <w:rPr>
          <w:rFonts w:asciiTheme="majorHAnsi" w:hAnsiTheme="majorHAnsi" w:cs="Arial"/>
          <w:b/>
          <w:lang w:val="es-ES_tradnl"/>
        </w:rPr>
      </w:pPr>
      <w:r w:rsidRPr="00CC3A91">
        <w:rPr>
          <w:rFonts w:asciiTheme="majorHAnsi" w:hAnsiTheme="majorHAnsi" w:cs="Arial"/>
          <w:b/>
          <w:lang w:val="es-ES_tradnl"/>
        </w:rPr>
        <w:t>para el trienio 2016-2018</w:t>
      </w:r>
    </w:p>
    <w:p w14:paraId="77EC964A" w14:textId="77777777" w:rsidR="00B70CC9" w:rsidRPr="00CC3A91" w:rsidRDefault="00B70CC9" w:rsidP="00B70CC9">
      <w:pPr>
        <w:rPr>
          <w:rFonts w:asciiTheme="majorHAnsi" w:hAnsiTheme="majorHAnsi" w:cs="Arial"/>
          <w:sz w:val="20"/>
          <w:szCs w:val="20"/>
          <w:lang w:val="es-ES_tradnl"/>
        </w:rPr>
      </w:pPr>
    </w:p>
    <w:p w14:paraId="4A4E94C9" w14:textId="748389B9" w:rsidR="00B70CC9" w:rsidRPr="00CC3A91" w:rsidRDefault="00805ED5" w:rsidP="00B70CC9">
      <w:pPr>
        <w:rPr>
          <w:rFonts w:asciiTheme="majorHAnsi" w:eastAsia="Calibri" w:hAnsiTheme="majorHAnsi" w:cs="Calibri"/>
          <w:color w:val="000000"/>
          <w:sz w:val="22"/>
          <w:szCs w:val="22"/>
          <w:lang w:val="es-ES_tradnl"/>
        </w:rPr>
      </w:pPr>
      <w:r w:rsidRPr="00CC3A91">
        <w:rPr>
          <w:rFonts w:asciiTheme="majorHAnsi" w:eastAsia="Calibri" w:hAnsiTheme="majorHAnsi" w:cs="Calibri"/>
          <w:color w:val="000000"/>
          <w:sz w:val="22"/>
          <w:szCs w:val="22"/>
          <w:lang w:val="es-ES_tradnl"/>
        </w:rPr>
        <w:t>Durante su 19ª reunión (del 2 al 6 de noviembre de 2015), e</w:t>
      </w:r>
      <w:r w:rsidR="00B70CC9" w:rsidRPr="00CC3A91">
        <w:rPr>
          <w:rFonts w:asciiTheme="majorHAnsi" w:eastAsia="Calibri" w:hAnsiTheme="majorHAnsi" w:cs="Calibri"/>
          <w:color w:val="000000"/>
          <w:sz w:val="22"/>
          <w:szCs w:val="22"/>
          <w:lang w:val="es-ES_tradnl"/>
        </w:rPr>
        <w:t xml:space="preserve">l GECT elaboró </w:t>
      </w:r>
      <w:r w:rsidR="00D42931" w:rsidRPr="00CC3A91">
        <w:rPr>
          <w:rFonts w:asciiTheme="majorHAnsi" w:eastAsia="Calibri" w:hAnsiTheme="majorHAnsi" w:cs="Calibri"/>
          <w:color w:val="000000"/>
          <w:sz w:val="22"/>
          <w:szCs w:val="22"/>
          <w:lang w:val="es-ES_tradnl"/>
        </w:rPr>
        <w:t xml:space="preserve">su proyecto de </w:t>
      </w:r>
      <w:r w:rsidR="00B70CC9" w:rsidRPr="00CC3A91">
        <w:rPr>
          <w:rFonts w:asciiTheme="majorHAnsi" w:eastAsia="Calibri" w:hAnsiTheme="majorHAnsi" w:cs="Calibri"/>
          <w:color w:val="000000"/>
          <w:sz w:val="22"/>
          <w:szCs w:val="22"/>
          <w:lang w:val="es-ES_tradnl"/>
        </w:rPr>
        <w:t>plan de trabajo para el trienio 2016-2018 para su aprobación por el Comi</w:t>
      </w:r>
      <w:r w:rsidR="00D42931" w:rsidRPr="00CC3A91">
        <w:rPr>
          <w:rFonts w:asciiTheme="majorHAnsi" w:eastAsia="Calibri" w:hAnsiTheme="majorHAnsi" w:cs="Calibri"/>
          <w:color w:val="000000"/>
          <w:sz w:val="22"/>
          <w:szCs w:val="22"/>
          <w:lang w:val="es-ES_tradnl"/>
        </w:rPr>
        <w:t xml:space="preserve">té Permanente en su 51ª reunión, </w:t>
      </w:r>
      <w:r w:rsidR="00B70CC9" w:rsidRPr="00CC3A91">
        <w:rPr>
          <w:rFonts w:asciiTheme="majorHAnsi" w:eastAsia="Calibri" w:hAnsiTheme="majorHAnsi" w:cs="Calibri"/>
          <w:color w:val="000000"/>
          <w:sz w:val="22"/>
          <w:szCs w:val="22"/>
          <w:lang w:val="es-ES_tradnl"/>
        </w:rPr>
        <w:t xml:space="preserve">de acuerdo con la Resolución XII. 5 (Anexo I, párrafo 49), teniendo en cuenta las cinco áreas temáticas de trabajo aprobadas por las Partes Contratantes en la 12ª reunión de la Conferencia de las Partes (Anexo III), el Cuarto Plan Estratégico de Ramsar 2016-2024 (Resolución XII.2), y las peticiones de las Partes Contratantes en las Resoluciones adoptadas durante la 12ª reunión de la Conferencia de las Partes. </w:t>
      </w:r>
      <w:r w:rsidR="00D42931" w:rsidRPr="00CC3A91">
        <w:rPr>
          <w:rFonts w:asciiTheme="majorHAnsi" w:eastAsia="Calibri" w:hAnsiTheme="majorHAnsi" w:cs="Calibri"/>
          <w:color w:val="000000"/>
          <w:sz w:val="22"/>
          <w:szCs w:val="22"/>
          <w:lang w:val="es-ES_tradnl"/>
        </w:rPr>
        <w:t xml:space="preserve">De acuerdo con lo previsto por la Decisión </w:t>
      </w:r>
      <w:r w:rsidR="00D42931" w:rsidRPr="00CC3A91">
        <w:rPr>
          <w:rFonts w:ascii="Calibri" w:hAnsi="Calibri"/>
          <w:bCs/>
          <w:sz w:val="22"/>
          <w:szCs w:val="22"/>
          <w:lang w:val="es-ES_tradnl"/>
        </w:rPr>
        <w:t xml:space="preserve">SC51-07, </w:t>
      </w:r>
      <w:r w:rsidR="0064689F" w:rsidRPr="00CC3A91">
        <w:rPr>
          <w:rFonts w:ascii="Calibri" w:hAnsi="Calibri"/>
          <w:bCs/>
          <w:sz w:val="22"/>
          <w:szCs w:val="22"/>
          <w:lang w:val="es-ES_tradnl"/>
        </w:rPr>
        <w:t>el proyecto de plan de trabajo ha sido revisado después de un amplio proceso de consulta</w:t>
      </w:r>
      <w:r w:rsidRPr="00CC3A91">
        <w:rPr>
          <w:rFonts w:ascii="Calibri" w:hAnsi="Calibri"/>
          <w:bCs/>
          <w:sz w:val="22"/>
          <w:szCs w:val="22"/>
          <w:lang w:val="es-ES_tradnl"/>
        </w:rPr>
        <w:t>s</w:t>
      </w:r>
      <w:r w:rsidR="0064689F" w:rsidRPr="00CC3A91">
        <w:rPr>
          <w:rFonts w:ascii="Calibri" w:hAnsi="Calibri"/>
          <w:bCs/>
          <w:sz w:val="22"/>
          <w:szCs w:val="22"/>
          <w:lang w:val="es-ES_tradnl"/>
        </w:rPr>
        <w:t xml:space="preserve"> con los Coordinadores Nacionales y los Coordinadores Nacionales del GECT.</w:t>
      </w:r>
      <w:r w:rsidR="0088725B" w:rsidRPr="00CC3A91">
        <w:rPr>
          <w:rFonts w:ascii="Calibri" w:hAnsi="Calibri"/>
          <w:bCs/>
          <w:sz w:val="22"/>
          <w:szCs w:val="22"/>
          <w:lang w:val="es-ES_tradnl"/>
        </w:rPr>
        <w:t xml:space="preserve"> </w:t>
      </w:r>
    </w:p>
    <w:p w14:paraId="43AEBF42" w14:textId="77777777" w:rsidR="00B70CC9" w:rsidRPr="00CC3A91" w:rsidRDefault="00B70CC9" w:rsidP="00B70CC9">
      <w:pPr>
        <w:rPr>
          <w:rFonts w:asciiTheme="majorHAnsi" w:eastAsia="Calibri" w:hAnsiTheme="majorHAnsi" w:cs="Calibri"/>
          <w:color w:val="000000"/>
          <w:sz w:val="22"/>
          <w:szCs w:val="22"/>
          <w:lang w:val="es-ES_tradnl"/>
        </w:rPr>
      </w:pPr>
    </w:p>
    <w:p w14:paraId="21EC1175" w14:textId="7E44DE19" w:rsidR="00B70CC9" w:rsidRPr="00CC3A91" w:rsidRDefault="00805ED5" w:rsidP="00B70CC9">
      <w:pPr>
        <w:rPr>
          <w:rFonts w:asciiTheme="majorHAnsi" w:eastAsia="Calibri" w:hAnsiTheme="majorHAnsi" w:cs="Calibri"/>
          <w:color w:val="000000"/>
          <w:sz w:val="22"/>
          <w:szCs w:val="22"/>
          <w:lang w:val="es-ES_tradnl"/>
        </w:rPr>
      </w:pPr>
      <w:r w:rsidRPr="00CC3A91">
        <w:rPr>
          <w:rFonts w:asciiTheme="majorHAnsi" w:eastAsia="Calibri" w:hAnsiTheme="majorHAnsi" w:cs="Calibri"/>
          <w:color w:val="000000"/>
          <w:sz w:val="22"/>
          <w:szCs w:val="22"/>
          <w:lang w:val="es-ES_tradnl"/>
        </w:rPr>
        <w:t xml:space="preserve">Es importante </w:t>
      </w:r>
      <w:r w:rsidR="00B70CC9" w:rsidRPr="00CC3A91">
        <w:rPr>
          <w:rFonts w:asciiTheme="majorHAnsi" w:eastAsia="Calibri" w:hAnsiTheme="majorHAnsi" w:cs="Calibri"/>
          <w:color w:val="000000"/>
          <w:sz w:val="22"/>
          <w:szCs w:val="22"/>
          <w:lang w:val="es-ES_tradnl"/>
        </w:rPr>
        <w:t xml:space="preserve">tener en cuenta que, además de las </w:t>
      </w:r>
      <w:r w:rsidR="0064689F" w:rsidRPr="00CC3A91">
        <w:rPr>
          <w:rFonts w:asciiTheme="majorHAnsi" w:eastAsia="Calibri" w:hAnsiTheme="majorHAnsi" w:cs="Calibri"/>
          <w:color w:val="000000"/>
          <w:sz w:val="22"/>
          <w:szCs w:val="22"/>
          <w:lang w:val="es-ES_tradnl"/>
        </w:rPr>
        <w:t xml:space="preserve">Áreas </w:t>
      </w:r>
      <w:r w:rsidRPr="00CC3A91">
        <w:rPr>
          <w:rFonts w:asciiTheme="majorHAnsi" w:eastAsia="Calibri" w:hAnsiTheme="majorHAnsi" w:cs="Calibri"/>
          <w:color w:val="000000"/>
          <w:sz w:val="22"/>
          <w:szCs w:val="22"/>
          <w:lang w:val="es-ES_tradnl"/>
        </w:rPr>
        <w:t xml:space="preserve">Temáticas </w:t>
      </w:r>
      <w:r w:rsidR="0064689F" w:rsidRPr="00CC3A91">
        <w:rPr>
          <w:rFonts w:asciiTheme="majorHAnsi" w:eastAsia="Calibri" w:hAnsiTheme="majorHAnsi" w:cs="Calibri"/>
          <w:color w:val="000000"/>
          <w:sz w:val="22"/>
          <w:szCs w:val="22"/>
          <w:lang w:val="es-ES_tradnl"/>
        </w:rPr>
        <w:t xml:space="preserve">de Trabajo y </w:t>
      </w:r>
      <w:r w:rsidRPr="00CC3A91">
        <w:rPr>
          <w:rFonts w:asciiTheme="majorHAnsi" w:eastAsia="Calibri" w:hAnsiTheme="majorHAnsi" w:cs="Calibri"/>
          <w:color w:val="000000"/>
          <w:sz w:val="22"/>
          <w:szCs w:val="22"/>
          <w:lang w:val="es-ES_tradnl"/>
        </w:rPr>
        <w:t xml:space="preserve">las </w:t>
      </w:r>
      <w:r w:rsidR="00B70CC9" w:rsidRPr="00CC3A91">
        <w:rPr>
          <w:rFonts w:asciiTheme="majorHAnsi" w:eastAsia="Calibri" w:hAnsiTheme="majorHAnsi" w:cs="Calibri"/>
          <w:color w:val="000000"/>
          <w:sz w:val="22"/>
          <w:szCs w:val="22"/>
          <w:lang w:val="es-ES_tradnl"/>
        </w:rPr>
        <w:t>tareas específicas de</w:t>
      </w:r>
      <w:r w:rsidR="0064689F" w:rsidRPr="00CC3A91">
        <w:rPr>
          <w:rFonts w:asciiTheme="majorHAnsi" w:eastAsia="Calibri" w:hAnsiTheme="majorHAnsi" w:cs="Calibri"/>
          <w:color w:val="000000"/>
          <w:sz w:val="22"/>
          <w:szCs w:val="22"/>
          <w:lang w:val="es-ES_tradnl"/>
        </w:rPr>
        <w:t>talladas</w:t>
      </w:r>
      <w:r w:rsidR="00B70CC9" w:rsidRPr="00CC3A91">
        <w:rPr>
          <w:rFonts w:asciiTheme="majorHAnsi" w:eastAsia="Calibri" w:hAnsiTheme="majorHAnsi" w:cs="Calibri"/>
          <w:color w:val="000000"/>
          <w:sz w:val="22"/>
          <w:szCs w:val="22"/>
          <w:lang w:val="es-ES_tradnl"/>
        </w:rPr>
        <w:t xml:space="preserve"> </w:t>
      </w:r>
      <w:r w:rsidR="0064689F" w:rsidRPr="00CC3A91">
        <w:rPr>
          <w:rFonts w:asciiTheme="majorHAnsi" w:eastAsia="Calibri" w:hAnsiTheme="majorHAnsi" w:cs="Calibri"/>
          <w:color w:val="000000"/>
          <w:sz w:val="22"/>
          <w:szCs w:val="22"/>
          <w:lang w:val="es-ES_tradnl"/>
        </w:rPr>
        <w:t xml:space="preserve">a continuación, en </w:t>
      </w:r>
      <w:r w:rsidR="00B70CC9" w:rsidRPr="00CC3A91">
        <w:rPr>
          <w:rFonts w:asciiTheme="majorHAnsi" w:eastAsia="Calibri" w:hAnsiTheme="majorHAnsi" w:cs="Calibri"/>
          <w:color w:val="000000"/>
          <w:sz w:val="22"/>
          <w:szCs w:val="22"/>
          <w:lang w:val="es-ES_tradnl"/>
        </w:rPr>
        <w:t>el marco de la Resolu</w:t>
      </w:r>
      <w:r w:rsidR="0064689F" w:rsidRPr="00CC3A91">
        <w:rPr>
          <w:rFonts w:asciiTheme="majorHAnsi" w:eastAsia="Calibri" w:hAnsiTheme="majorHAnsi" w:cs="Calibri"/>
          <w:color w:val="000000"/>
          <w:sz w:val="22"/>
          <w:szCs w:val="22"/>
          <w:lang w:val="es-ES_tradnl"/>
        </w:rPr>
        <w:t xml:space="preserve">ción XII.5, </w:t>
      </w:r>
      <w:r w:rsidR="00B70CC9" w:rsidRPr="00CC3A91">
        <w:rPr>
          <w:rFonts w:asciiTheme="majorHAnsi" w:eastAsia="Calibri" w:hAnsiTheme="majorHAnsi" w:cs="Calibri"/>
          <w:color w:val="000000"/>
          <w:sz w:val="22"/>
          <w:szCs w:val="22"/>
          <w:lang w:val="es-ES_tradnl"/>
        </w:rPr>
        <w:t xml:space="preserve">el GECT tiene una serie de funciones básicas de asesoramiento </w:t>
      </w:r>
      <w:r w:rsidR="00C47297" w:rsidRPr="00CC3A91">
        <w:rPr>
          <w:rFonts w:asciiTheme="majorHAnsi" w:eastAsia="Calibri" w:hAnsiTheme="majorHAnsi" w:cs="Calibri"/>
          <w:color w:val="000000"/>
          <w:sz w:val="22"/>
          <w:szCs w:val="22"/>
          <w:lang w:val="es-ES_tradnl"/>
        </w:rPr>
        <w:t>ad hoc</w:t>
      </w:r>
      <w:r w:rsidR="00B70CC9" w:rsidRPr="00CC3A91">
        <w:rPr>
          <w:rFonts w:asciiTheme="majorHAnsi" w:eastAsia="Calibri" w:hAnsiTheme="majorHAnsi" w:cs="Calibri"/>
          <w:color w:val="000000"/>
          <w:sz w:val="22"/>
          <w:szCs w:val="22"/>
          <w:lang w:val="es-ES_tradnl"/>
        </w:rPr>
        <w:t xml:space="preserve"> </w:t>
      </w:r>
      <w:r w:rsidR="0064689F" w:rsidRPr="00CC3A91">
        <w:rPr>
          <w:rFonts w:asciiTheme="majorHAnsi" w:eastAsia="Calibri" w:hAnsiTheme="majorHAnsi" w:cs="Calibri"/>
          <w:color w:val="000000"/>
          <w:sz w:val="22"/>
          <w:szCs w:val="22"/>
          <w:lang w:val="es-ES_tradnl"/>
        </w:rPr>
        <w:t xml:space="preserve">(indicadas más abajo). </w:t>
      </w:r>
    </w:p>
    <w:p w14:paraId="49CF81D7" w14:textId="77777777" w:rsidR="0064689F" w:rsidRPr="00CC3A91" w:rsidRDefault="0064689F" w:rsidP="00B70CC9">
      <w:pPr>
        <w:rPr>
          <w:rFonts w:asciiTheme="majorHAnsi" w:eastAsia="Calibri" w:hAnsiTheme="majorHAnsi" w:cs="Calibri"/>
          <w:color w:val="000000"/>
          <w:sz w:val="22"/>
          <w:szCs w:val="22"/>
          <w:lang w:val="es-ES_tradnl"/>
        </w:rPr>
      </w:pPr>
    </w:p>
    <w:p w14:paraId="38B4E4C1" w14:textId="24B6567C" w:rsidR="0064689F" w:rsidRPr="00CC3A91" w:rsidRDefault="00C47297" w:rsidP="00B70CC9">
      <w:pPr>
        <w:rPr>
          <w:rFonts w:asciiTheme="majorHAnsi" w:eastAsia="Calibri" w:hAnsiTheme="majorHAnsi" w:cs="Calibri"/>
          <w:color w:val="000000"/>
          <w:sz w:val="22"/>
          <w:szCs w:val="22"/>
          <w:lang w:val="es-ES_tradnl"/>
        </w:rPr>
      </w:pPr>
      <w:r w:rsidRPr="00CC3A91">
        <w:rPr>
          <w:rFonts w:asciiTheme="majorHAnsi" w:eastAsia="Calibri" w:hAnsiTheme="majorHAnsi" w:cs="Calibri"/>
          <w:color w:val="000000"/>
          <w:sz w:val="22"/>
          <w:szCs w:val="22"/>
          <w:lang w:val="es-ES_tradnl"/>
        </w:rPr>
        <w:t>Los productos</w:t>
      </w:r>
      <w:r w:rsidR="0064689F" w:rsidRPr="00CC3A91">
        <w:rPr>
          <w:rFonts w:asciiTheme="majorHAnsi" w:eastAsia="Calibri" w:hAnsiTheme="majorHAnsi" w:cs="Calibri"/>
          <w:color w:val="000000"/>
          <w:sz w:val="22"/>
          <w:szCs w:val="22"/>
          <w:lang w:val="es-ES_tradnl"/>
        </w:rPr>
        <w:t xml:space="preserve"> pr</w:t>
      </w:r>
      <w:r w:rsidRPr="00CC3A91">
        <w:rPr>
          <w:rFonts w:asciiTheme="majorHAnsi" w:eastAsia="Calibri" w:hAnsiTheme="majorHAnsi" w:cs="Calibri"/>
          <w:color w:val="000000"/>
          <w:sz w:val="22"/>
          <w:szCs w:val="22"/>
          <w:lang w:val="es-ES_tradnl"/>
        </w:rPr>
        <w:t>evistos por</w:t>
      </w:r>
      <w:r w:rsidR="0064689F" w:rsidRPr="00CC3A91">
        <w:rPr>
          <w:rFonts w:asciiTheme="majorHAnsi" w:eastAsia="Calibri" w:hAnsiTheme="majorHAnsi" w:cs="Calibri"/>
          <w:color w:val="000000"/>
          <w:sz w:val="22"/>
          <w:szCs w:val="22"/>
          <w:lang w:val="es-ES_tradnl"/>
        </w:rPr>
        <w:t xml:space="preserve"> el presente proyecto de plan de trabajo están dirigidos a dos grupos </w:t>
      </w:r>
      <w:r w:rsidRPr="00CC3A91">
        <w:rPr>
          <w:rFonts w:asciiTheme="majorHAnsi" w:eastAsia="Calibri" w:hAnsiTheme="majorHAnsi" w:cs="Calibri"/>
          <w:color w:val="000000"/>
          <w:sz w:val="22"/>
          <w:szCs w:val="22"/>
          <w:lang w:val="es-ES_tradnl"/>
        </w:rPr>
        <w:t>destinatarios</w:t>
      </w:r>
      <w:r w:rsidR="0064689F" w:rsidRPr="00CC3A91">
        <w:rPr>
          <w:rFonts w:asciiTheme="majorHAnsi" w:eastAsia="Calibri" w:hAnsiTheme="majorHAnsi" w:cs="Calibri"/>
          <w:color w:val="000000"/>
          <w:sz w:val="22"/>
          <w:szCs w:val="22"/>
          <w:lang w:val="es-ES_tradnl"/>
        </w:rPr>
        <w:t xml:space="preserve">, de acuerdo con </w:t>
      </w:r>
      <w:r w:rsidR="00852ABF" w:rsidRPr="00CC3A91">
        <w:rPr>
          <w:rFonts w:asciiTheme="majorHAnsi" w:eastAsia="Calibri" w:hAnsiTheme="majorHAnsi" w:cs="Calibri"/>
          <w:color w:val="000000"/>
          <w:sz w:val="22"/>
          <w:szCs w:val="22"/>
          <w:lang w:val="es-ES_tradnl"/>
        </w:rPr>
        <w:t xml:space="preserve">la Resolución XII.5, Anexo 1, párrafo </w:t>
      </w:r>
      <w:r w:rsidR="00E5209E" w:rsidRPr="00CC3A91">
        <w:rPr>
          <w:rFonts w:asciiTheme="majorHAnsi" w:eastAsia="Calibri" w:hAnsiTheme="majorHAnsi" w:cs="Calibri"/>
          <w:color w:val="000000"/>
          <w:sz w:val="22"/>
          <w:szCs w:val="22"/>
          <w:lang w:val="es-ES_tradnl"/>
        </w:rPr>
        <w:t>54:</w:t>
      </w:r>
    </w:p>
    <w:p w14:paraId="0C1C433C" w14:textId="77777777" w:rsidR="00E5209E" w:rsidRPr="00CC3A91" w:rsidRDefault="00E5209E" w:rsidP="00B70CC9">
      <w:pPr>
        <w:rPr>
          <w:rFonts w:asciiTheme="majorHAnsi" w:eastAsia="Calibri" w:hAnsiTheme="majorHAnsi" w:cs="Calibri"/>
          <w:color w:val="000000"/>
          <w:sz w:val="22"/>
          <w:szCs w:val="22"/>
          <w:lang w:val="es-ES_tradnl"/>
        </w:rPr>
      </w:pPr>
    </w:p>
    <w:p w14:paraId="1D21B438" w14:textId="2821DCB2" w:rsidR="00E5209E" w:rsidRPr="00CC3A91" w:rsidRDefault="00E5209E" w:rsidP="00E5209E">
      <w:pPr>
        <w:pStyle w:val="ListParagraph"/>
        <w:numPr>
          <w:ilvl w:val="0"/>
          <w:numId w:val="5"/>
        </w:numPr>
        <w:rPr>
          <w:rFonts w:asciiTheme="majorHAnsi" w:eastAsia="Calibri" w:hAnsiTheme="majorHAnsi" w:cs="Calibri"/>
          <w:color w:val="000000"/>
          <w:szCs w:val="22"/>
          <w:lang w:val="es-ES_tradnl"/>
        </w:rPr>
      </w:pPr>
      <w:r w:rsidRPr="00CC3A91">
        <w:rPr>
          <w:rFonts w:asciiTheme="majorHAnsi" w:eastAsia="Calibri" w:hAnsiTheme="majorHAnsi" w:cs="Calibri"/>
          <w:color w:val="000000"/>
          <w:szCs w:val="22"/>
          <w:lang w:val="es-ES_tradnl"/>
        </w:rPr>
        <w:t>Responsables de políticas, inclu</w:t>
      </w:r>
      <w:r w:rsidR="00AF23C0" w:rsidRPr="00CC3A91">
        <w:rPr>
          <w:rFonts w:asciiTheme="majorHAnsi" w:eastAsia="Calibri" w:hAnsiTheme="majorHAnsi" w:cs="Calibri"/>
          <w:color w:val="000000"/>
          <w:szCs w:val="22"/>
          <w:lang w:val="es-ES_tradnl"/>
        </w:rPr>
        <w:t>yendo</w:t>
      </w:r>
      <w:r w:rsidR="00642BAA" w:rsidRPr="00CC3A91">
        <w:rPr>
          <w:rFonts w:asciiTheme="majorHAnsi" w:eastAsia="Calibri" w:hAnsiTheme="majorHAnsi" w:cs="Calibri"/>
          <w:color w:val="000000"/>
          <w:szCs w:val="22"/>
          <w:lang w:val="es-ES_tradnl"/>
        </w:rPr>
        <w:t xml:space="preserve"> </w:t>
      </w:r>
      <w:r w:rsidRPr="00CC3A91">
        <w:rPr>
          <w:rFonts w:asciiTheme="majorHAnsi" w:eastAsia="Calibri" w:hAnsiTheme="majorHAnsi" w:cs="Calibri"/>
          <w:color w:val="000000"/>
          <w:szCs w:val="22"/>
          <w:lang w:val="es-ES_tradnl"/>
        </w:rPr>
        <w:t xml:space="preserve">de los sectores del agua y </w:t>
      </w:r>
      <w:r w:rsidR="00AF23C0" w:rsidRPr="00CC3A91">
        <w:rPr>
          <w:rFonts w:asciiTheme="majorHAnsi" w:eastAsia="Calibri" w:hAnsiTheme="majorHAnsi" w:cs="Calibri"/>
          <w:color w:val="000000"/>
          <w:szCs w:val="22"/>
          <w:lang w:val="es-ES_tradnl"/>
        </w:rPr>
        <w:t>d</w:t>
      </w:r>
      <w:r w:rsidRPr="00CC3A91">
        <w:rPr>
          <w:rFonts w:asciiTheme="majorHAnsi" w:eastAsia="Calibri" w:hAnsiTheme="majorHAnsi" w:cs="Calibri"/>
          <w:color w:val="000000"/>
          <w:szCs w:val="22"/>
          <w:lang w:val="es-ES_tradnl"/>
        </w:rPr>
        <w:t xml:space="preserve">el medio ambiente y otros sectores afines tales como la energía, la salud y el saneamiento, la agricultura, las infraestructuras; y </w:t>
      </w:r>
    </w:p>
    <w:p w14:paraId="27141E0F" w14:textId="4B7AC2A6" w:rsidR="00E5209E" w:rsidRPr="00CC3A91" w:rsidRDefault="00E5209E" w:rsidP="00E5209E">
      <w:pPr>
        <w:pStyle w:val="ListParagraph"/>
        <w:numPr>
          <w:ilvl w:val="0"/>
          <w:numId w:val="5"/>
        </w:numPr>
        <w:rPr>
          <w:rFonts w:asciiTheme="majorHAnsi" w:eastAsia="Calibri" w:hAnsiTheme="majorHAnsi" w:cs="Calibri"/>
          <w:color w:val="000000"/>
          <w:szCs w:val="22"/>
          <w:lang w:val="es-ES_tradnl"/>
        </w:rPr>
      </w:pPr>
      <w:r w:rsidRPr="00CC3A91">
        <w:rPr>
          <w:rFonts w:asciiTheme="majorHAnsi" w:eastAsia="Calibri" w:hAnsiTheme="majorHAnsi" w:cs="Calibri"/>
          <w:color w:val="000000"/>
          <w:szCs w:val="22"/>
          <w:lang w:val="es-ES_tradnl"/>
        </w:rPr>
        <w:t>Implementadores y particularmente administradores de humedales e interesados relacionados con ellos, pero también otros de ámbitos afines, tales como gestores de áreas protegidas y personal de centros de educación sobre los humedales.</w:t>
      </w:r>
    </w:p>
    <w:p w14:paraId="334C0BB8" w14:textId="77777777" w:rsidR="00E5209E" w:rsidRPr="00CC3A91" w:rsidRDefault="00E5209E" w:rsidP="00B70CC9">
      <w:pPr>
        <w:rPr>
          <w:rFonts w:asciiTheme="majorHAnsi" w:hAnsiTheme="majorHAnsi"/>
          <w:szCs w:val="22"/>
          <w:lang w:val="es-ES_tradnl"/>
        </w:rPr>
      </w:pPr>
    </w:p>
    <w:p w14:paraId="57E0B8D9" w14:textId="0F907ECE" w:rsidR="00F33C1D" w:rsidRPr="00CC3A91" w:rsidRDefault="00F33C1D" w:rsidP="00F33C1D">
      <w:pPr>
        <w:rPr>
          <w:rFonts w:asciiTheme="majorHAnsi" w:eastAsia="Calibri" w:hAnsiTheme="majorHAnsi" w:cs="Calibri"/>
          <w:color w:val="000000"/>
          <w:sz w:val="22"/>
          <w:szCs w:val="22"/>
          <w:lang w:val="es-ES_tradnl"/>
        </w:rPr>
      </w:pPr>
      <w:r w:rsidRPr="00CC3A91">
        <w:rPr>
          <w:rFonts w:asciiTheme="majorHAnsi" w:eastAsia="Calibri" w:hAnsiTheme="majorHAnsi" w:cs="Calibri"/>
          <w:color w:val="000000"/>
          <w:sz w:val="22"/>
          <w:szCs w:val="22"/>
          <w:lang w:val="es-ES_tradnl"/>
        </w:rPr>
        <w:t>Se señala, para mayor claridad, que en el caso de los productos pensados para los administradores de s</w:t>
      </w:r>
      <w:r w:rsidR="00C47297" w:rsidRPr="00CC3A91">
        <w:rPr>
          <w:rFonts w:asciiTheme="majorHAnsi" w:eastAsia="Calibri" w:hAnsiTheme="majorHAnsi" w:cs="Calibri"/>
          <w:color w:val="000000"/>
          <w:sz w:val="22"/>
          <w:szCs w:val="22"/>
          <w:lang w:val="es-ES_tradnl"/>
        </w:rPr>
        <w:t xml:space="preserve">itios Ramsar, el grupo </w:t>
      </w:r>
      <w:r w:rsidRPr="00CC3A91">
        <w:rPr>
          <w:rFonts w:asciiTheme="majorHAnsi" w:eastAsia="Calibri" w:hAnsiTheme="majorHAnsi" w:cs="Calibri"/>
          <w:color w:val="000000"/>
          <w:sz w:val="22"/>
          <w:szCs w:val="22"/>
          <w:lang w:val="es-ES_tradnl"/>
        </w:rPr>
        <w:t>destinata</w:t>
      </w:r>
      <w:r w:rsidR="00C47297" w:rsidRPr="00CC3A91">
        <w:rPr>
          <w:rFonts w:asciiTheme="majorHAnsi" w:eastAsia="Calibri" w:hAnsiTheme="majorHAnsi" w:cs="Calibri"/>
          <w:color w:val="000000"/>
          <w:sz w:val="22"/>
          <w:szCs w:val="22"/>
          <w:lang w:val="es-ES_tradnl"/>
        </w:rPr>
        <w:t>rio</w:t>
      </w:r>
      <w:r w:rsidRPr="00CC3A91">
        <w:rPr>
          <w:rFonts w:asciiTheme="majorHAnsi" w:eastAsia="Calibri" w:hAnsiTheme="majorHAnsi" w:cs="Calibri"/>
          <w:color w:val="000000"/>
          <w:sz w:val="22"/>
          <w:szCs w:val="22"/>
          <w:lang w:val="es-ES_tradnl"/>
        </w:rPr>
        <w:t xml:space="preserve"> se especifica como</w:t>
      </w:r>
      <w:r w:rsidR="0088725B" w:rsidRPr="00CC3A91">
        <w:rPr>
          <w:rFonts w:asciiTheme="majorHAnsi" w:eastAsia="Calibri" w:hAnsiTheme="majorHAnsi" w:cs="Calibri"/>
          <w:color w:val="000000"/>
          <w:sz w:val="22"/>
          <w:szCs w:val="22"/>
          <w:lang w:val="es-ES_tradnl"/>
        </w:rPr>
        <w:t xml:space="preserve"> </w:t>
      </w:r>
      <w:r w:rsidRPr="00CC3A91">
        <w:rPr>
          <w:rFonts w:asciiTheme="majorHAnsi" w:eastAsia="Calibri" w:hAnsiTheme="majorHAnsi" w:cs="Calibri"/>
          <w:color w:val="000000"/>
          <w:sz w:val="22"/>
          <w:szCs w:val="22"/>
          <w:lang w:val="es-ES_tradnl"/>
        </w:rPr>
        <w:t xml:space="preserve">“Profesionales (administradores de sitios Ramsar)”, mientras en el caso de los productos dirigidos a administradores de humedales en general, el grupo </w:t>
      </w:r>
      <w:r w:rsidR="00C47297" w:rsidRPr="00CC3A91">
        <w:rPr>
          <w:rFonts w:asciiTheme="majorHAnsi" w:eastAsia="Calibri" w:hAnsiTheme="majorHAnsi" w:cs="Calibri"/>
          <w:color w:val="000000"/>
          <w:sz w:val="22"/>
          <w:szCs w:val="22"/>
          <w:lang w:val="es-ES_tradnl"/>
        </w:rPr>
        <w:t>destinatario</w:t>
      </w:r>
      <w:r w:rsidRPr="00CC3A91">
        <w:rPr>
          <w:rFonts w:asciiTheme="majorHAnsi" w:eastAsia="Calibri" w:hAnsiTheme="majorHAnsi" w:cs="Calibri"/>
          <w:color w:val="000000"/>
          <w:sz w:val="22"/>
          <w:szCs w:val="22"/>
          <w:lang w:val="es-ES_tradnl"/>
        </w:rPr>
        <w:t xml:space="preserve"> se especifica como “Profesionales (administradores de humedales)”. </w:t>
      </w:r>
    </w:p>
    <w:p w14:paraId="78667E1B" w14:textId="77777777" w:rsidR="00B70CC9" w:rsidRPr="00CC3A91" w:rsidRDefault="00B70CC9" w:rsidP="00B70CC9">
      <w:pPr>
        <w:rPr>
          <w:rFonts w:asciiTheme="majorHAnsi" w:hAnsiTheme="majorHAnsi" w:cs="Tahoma"/>
          <w:color w:val="000000"/>
          <w:sz w:val="22"/>
          <w:szCs w:val="22"/>
          <w:lang w:val="es-ES_tradnl"/>
        </w:rPr>
      </w:pPr>
    </w:p>
    <w:p w14:paraId="0F00D264" w14:textId="79193743" w:rsidR="00B70CC9" w:rsidRPr="00CC3A91" w:rsidRDefault="00B70CC9" w:rsidP="00B70CC9">
      <w:pPr>
        <w:rPr>
          <w:rFonts w:asciiTheme="majorHAnsi" w:hAnsiTheme="majorHAnsi" w:cs="Arial"/>
          <w:sz w:val="22"/>
          <w:szCs w:val="22"/>
          <w:lang w:val="es-ES_tradnl"/>
        </w:rPr>
      </w:pPr>
      <w:r w:rsidRPr="00CC3A91">
        <w:rPr>
          <w:rFonts w:asciiTheme="majorHAnsi" w:hAnsiTheme="majorHAnsi" w:cs="Tahoma"/>
          <w:color w:val="000000"/>
          <w:sz w:val="22"/>
          <w:szCs w:val="22"/>
          <w:shd w:val="clear" w:color="auto" w:fill="FFFFFF"/>
          <w:lang w:val="es-ES_tradnl"/>
        </w:rPr>
        <w:t xml:space="preserve">El presupuesto indicativo para las tareas está basado normalmente en el siguiente </w:t>
      </w:r>
      <w:r w:rsidRPr="00CC3A91">
        <w:rPr>
          <w:rFonts w:asciiTheme="majorHAnsi" w:hAnsiTheme="majorHAnsi" w:cs="Tahoma"/>
          <w:b/>
          <w:bCs/>
          <w:color w:val="000000"/>
          <w:sz w:val="22"/>
          <w:szCs w:val="22"/>
          <w:shd w:val="clear" w:color="auto" w:fill="FFFFFF"/>
          <w:lang w:val="es-ES_tradnl"/>
        </w:rPr>
        <w:t>supuesto</w:t>
      </w:r>
      <w:r w:rsidRPr="00CC3A91">
        <w:rPr>
          <w:rFonts w:asciiTheme="majorHAnsi" w:hAnsiTheme="majorHAnsi" w:cs="Tahoma"/>
          <w:color w:val="000000"/>
          <w:sz w:val="22"/>
          <w:szCs w:val="22"/>
          <w:shd w:val="clear" w:color="auto" w:fill="FFFFFF"/>
          <w:lang w:val="es-ES_tradnl"/>
        </w:rPr>
        <w:t xml:space="preserve"> de costos de maquetación, diseño, revisión, traducción y publicación: </w:t>
      </w:r>
      <w:r w:rsidR="00B34418" w:rsidRPr="00CC3A91">
        <w:rPr>
          <w:rFonts w:asciiTheme="majorHAnsi" w:hAnsiTheme="majorHAnsi" w:cs="Tahoma"/>
          <w:color w:val="000000"/>
          <w:sz w:val="22"/>
          <w:szCs w:val="22"/>
          <w:shd w:val="clear" w:color="auto" w:fill="FFFFFF"/>
          <w:lang w:val="es-ES_tradnl"/>
        </w:rPr>
        <w:t xml:space="preserve">hasta </w:t>
      </w:r>
      <w:r w:rsidRPr="00CC3A91">
        <w:rPr>
          <w:rFonts w:asciiTheme="majorHAnsi" w:hAnsiTheme="majorHAnsi" w:cs="Arial"/>
          <w:sz w:val="22"/>
          <w:szCs w:val="22"/>
          <w:lang w:val="es-ES_tradnl"/>
        </w:rPr>
        <w:t xml:space="preserve">6.000 francos suizos por una Ficha Informativa; </w:t>
      </w:r>
      <w:r w:rsidR="00B34418" w:rsidRPr="00CC3A91">
        <w:rPr>
          <w:rFonts w:asciiTheme="majorHAnsi" w:hAnsiTheme="majorHAnsi" w:cs="Arial"/>
          <w:sz w:val="22"/>
          <w:szCs w:val="22"/>
          <w:lang w:val="es-ES_tradnl"/>
        </w:rPr>
        <w:t xml:space="preserve">hasta </w:t>
      </w:r>
      <w:r w:rsidRPr="00CC3A91">
        <w:rPr>
          <w:rFonts w:asciiTheme="majorHAnsi" w:hAnsiTheme="majorHAnsi" w:cs="Arial"/>
          <w:sz w:val="22"/>
          <w:szCs w:val="22"/>
          <w:lang w:val="es-ES_tradnl"/>
        </w:rPr>
        <w:t xml:space="preserve">9.000 francos suizos por una Nota sobre políticas; </w:t>
      </w:r>
      <w:r w:rsidR="00B34418" w:rsidRPr="00CC3A91">
        <w:rPr>
          <w:rFonts w:asciiTheme="majorHAnsi" w:hAnsiTheme="majorHAnsi" w:cs="Arial"/>
          <w:sz w:val="22"/>
          <w:szCs w:val="22"/>
          <w:lang w:val="es-ES_tradnl"/>
        </w:rPr>
        <w:t xml:space="preserve">hasta </w:t>
      </w:r>
      <w:r w:rsidRPr="00CC3A91">
        <w:rPr>
          <w:rFonts w:asciiTheme="majorHAnsi" w:hAnsiTheme="majorHAnsi" w:cs="Arial"/>
          <w:sz w:val="22"/>
          <w:szCs w:val="22"/>
          <w:lang w:val="es-ES_tradnl"/>
        </w:rPr>
        <w:t xml:space="preserve">13.000 francos suizos por una Nota Informativa; y </w:t>
      </w:r>
      <w:r w:rsidR="00B34418" w:rsidRPr="00CC3A91">
        <w:rPr>
          <w:rFonts w:asciiTheme="majorHAnsi" w:hAnsiTheme="majorHAnsi" w:cs="Arial"/>
          <w:sz w:val="22"/>
          <w:szCs w:val="22"/>
          <w:lang w:val="es-ES_tradnl"/>
        </w:rPr>
        <w:t xml:space="preserve">hasta </w:t>
      </w:r>
      <w:r w:rsidRPr="00CC3A91">
        <w:rPr>
          <w:rFonts w:asciiTheme="majorHAnsi" w:hAnsiTheme="majorHAnsi" w:cs="Arial"/>
          <w:sz w:val="22"/>
          <w:szCs w:val="22"/>
          <w:lang w:val="es-ES_tradnl"/>
        </w:rPr>
        <w:t xml:space="preserve">33.500 francos suizos por un Informe Técnico de Ramsar. </w:t>
      </w:r>
      <w:r w:rsidR="00B34418" w:rsidRPr="00CC3A91">
        <w:rPr>
          <w:rFonts w:asciiTheme="majorHAnsi" w:hAnsiTheme="majorHAnsi" w:cs="Arial"/>
          <w:sz w:val="22"/>
          <w:szCs w:val="22"/>
          <w:lang w:val="es-ES_tradnl"/>
        </w:rPr>
        <w:t>Dichas estimaciones están basadas en los lineamientos de la Secretaría relativos a publicaciones</w:t>
      </w:r>
      <w:r w:rsidR="00C47297" w:rsidRPr="00CC3A91">
        <w:rPr>
          <w:rFonts w:asciiTheme="majorHAnsi" w:hAnsiTheme="majorHAnsi" w:cs="Arial"/>
          <w:sz w:val="22"/>
          <w:szCs w:val="22"/>
          <w:lang w:val="es-ES_tradnl"/>
        </w:rPr>
        <w:t>,</w:t>
      </w:r>
      <w:r w:rsidR="00B34418" w:rsidRPr="00CC3A91">
        <w:rPr>
          <w:rFonts w:asciiTheme="majorHAnsi" w:hAnsiTheme="majorHAnsi" w:cs="Arial"/>
          <w:sz w:val="22"/>
          <w:szCs w:val="22"/>
          <w:lang w:val="es-ES_tradnl"/>
        </w:rPr>
        <w:t xml:space="preserve"> y en </w:t>
      </w:r>
      <w:r w:rsidR="00C47297" w:rsidRPr="00CC3A91">
        <w:rPr>
          <w:rFonts w:asciiTheme="majorHAnsi" w:hAnsiTheme="majorHAnsi" w:cs="Arial"/>
          <w:sz w:val="22"/>
          <w:szCs w:val="22"/>
          <w:lang w:val="es-ES_tradnl"/>
        </w:rPr>
        <w:t>el costo</w:t>
      </w:r>
      <w:r w:rsidR="00B34418" w:rsidRPr="00CC3A91">
        <w:rPr>
          <w:rFonts w:asciiTheme="majorHAnsi" w:hAnsiTheme="majorHAnsi" w:cs="Arial"/>
          <w:sz w:val="22"/>
          <w:szCs w:val="22"/>
          <w:lang w:val="es-ES_tradnl"/>
        </w:rPr>
        <w:t xml:space="preserve"> de </w:t>
      </w:r>
      <w:r w:rsidR="00C47297" w:rsidRPr="00CC3A91">
        <w:rPr>
          <w:rFonts w:asciiTheme="majorHAnsi" w:hAnsiTheme="majorHAnsi" w:cs="Arial"/>
          <w:sz w:val="22"/>
          <w:szCs w:val="22"/>
          <w:lang w:val="es-ES_tradnl"/>
        </w:rPr>
        <w:t xml:space="preserve">la </w:t>
      </w:r>
      <w:r w:rsidR="00B34418" w:rsidRPr="00CC3A91">
        <w:rPr>
          <w:rFonts w:asciiTheme="majorHAnsi" w:hAnsiTheme="majorHAnsi" w:cs="Arial"/>
          <w:sz w:val="22"/>
          <w:szCs w:val="22"/>
          <w:lang w:val="es-ES_tradnl"/>
        </w:rPr>
        <w:t xml:space="preserve">traducción por página. </w:t>
      </w:r>
    </w:p>
    <w:p w14:paraId="5D1ED8B0" w14:textId="77777777" w:rsidR="00EF4061" w:rsidRPr="00CC3A91" w:rsidRDefault="00EF4061" w:rsidP="00EF4061">
      <w:pPr>
        <w:rPr>
          <w:rFonts w:asciiTheme="majorHAnsi" w:hAnsiTheme="majorHAnsi" w:cs="Arial"/>
          <w:sz w:val="20"/>
          <w:szCs w:val="20"/>
          <w:lang w:val="es-ES_tradnl"/>
        </w:rPr>
      </w:pPr>
    </w:p>
    <w:p w14:paraId="185E4E97" w14:textId="77777777" w:rsidR="00EF4061" w:rsidRPr="00CC3A91" w:rsidRDefault="00EF4061" w:rsidP="00EF4061">
      <w:pPr>
        <w:rPr>
          <w:rFonts w:asciiTheme="majorHAnsi" w:eastAsia="Calibri" w:hAnsiTheme="majorHAnsi" w:cs="Calibri"/>
          <w:color w:val="000000"/>
          <w:sz w:val="22"/>
          <w:szCs w:val="22"/>
          <w:lang w:val="es-ES_tradnl"/>
        </w:rPr>
      </w:pPr>
    </w:p>
    <w:p w14:paraId="3CB6C0CF" w14:textId="77777777" w:rsidR="00EF4061" w:rsidRPr="00CC3A91" w:rsidRDefault="00EF4061" w:rsidP="00EF4061">
      <w:pPr>
        <w:pStyle w:val="ListParagraph"/>
        <w:rPr>
          <w:rFonts w:asciiTheme="majorHAnsi" w:eastAsia="Calibri" w:hAnsiTheme="majorHAnsi" w:cs="Calibri"/>
          <w:color w:val="000000"/>
          <w:szCs w:val="22"/>
          <w:lang w:val="es-ES_tradnl"/>
        </w:rPr>
      </w:pPr>
    </w:p>
    <w:p w14:paraId="1091C734" w14:textId="77777777" w:rsidR="00EF4061" w:rsidRPr="00CC3A91" w:rsidRDefault="00EF4061" w:rsidP="00EF4061">
      <w:pPr>
        <w:rPr>
          <w:rFonts w:asciiTheme="majorHAnsi" w:hAnsiTheme="majorHAnsi" w:cs="Arial"/>
          <w:sz w:val="22"/>
          <w:szCs w:val="22"/>
          <w:lang w:val="es-ES_tradnl"/>
        </w:rPr>
      </w:pPr>
    </w:p>
    <w:p w14:paraId="1A360F14" w14:textId="3A01155B" w:rsidR="00EF4061" w:rsidRPr="00CC3A91" w:rsidRDefault="00B34418" w:rsidP="00B34418">
      <w:pPr>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Arial"/>
          <w:sz w:val="20"/>
          <w:szCs w:val="20"/>
          <w:lang w:val="es-ES_tradnl"/>
        </w:rPr>
      </w:pPr>
      <w:r w:rsidRPr="00CC3A91">
        <w:rPr>
          <w:rFonts w:asciiTheme="majorHAnsi" w:hAnsiTheme="majorHAnsi" w:cs="Arial"/>
          <w:b/>
          <w:color w:val="FFFFFF" w:themeColor="background1"/>
          <w:sz w:val="20"/>
          <w:szCs w:val="20"/>
          <w:lang w:val="es-ES_tradnl"/>
        </w:rPr>
        <w:lastRenderedPageBreak/>
        <w:t xml:space="preserve">Funciones de asesoramiento ad hoc y colaboración con otros organismos y procesos internacionales </w:t>
      </w:r>
    </w:p>
    <w:tbl>
      <w:tblPr>
        <w:tblStyle w:val="TableGrid"/>
        <w:tblW w:w="0" w:type="auto"/>
        <w:tblLook w:val="04A0" w:firstRow="1" w:lastRow="0" w:firstColumn="1" w:lastColumn="0" w:noHBand="0" w:noVBand="1"/>
      </w:tblPr>
      <w:tblGrid>
        <w:gridCol w:w="3875"/>
        <w:gridCol w:w="1019"/>
        <w:gridCol w:w="1346"/>
        <w:gridCol w:w="5253"/>
        <w:gridCol w:w="2681"/>
      </w:tblGrid>
      <w:tr w:rsidR="00CA77C8" w:rsidRPr="00CC3A91" w14:paraId="1B8F7A53" w14:textId="77777777" w:rsidTr="00EF4061">
        <w:tc>
          <w:tcPr>
            <w:tcW w:w="0" w:type="auto"/>
            <w:shd w:val="clear" w:color="auto" w:fill="BFBFBF" w:themeFill="background1" w:themeFillShade="BF"/>
          </w:tcPr>
          <w:p w14:paraId="26ED3088" w14:textId="62BF272D" w:rsidR="00EF4061" w:rsidRPr="00CC3A91" w:rsidRDefault="00EF4061" w:rsidP="00B34418">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T</w:t>
            </w:r>
            <w:r w:rsidR="00B34418" w:rsidRPr="00CC3A91">
              <w:rPr>
                <w:rFonts w:asciiTheme="majorHAnsi" w:hAnsiTheme="majorHAnsi" w:cs="Arial"/>
                <w:sz w:val="20"/>
                <w:szCs w:val="20"/>
                <w:lang w:val="es-ES_tradnl"/>
              </w:rPr>
              <w:t>ipo de asesoramiento/colaboración</w:t>
            </w:r>
          </w:p>
        </w:tc>
        <w:tc>
          <w:tcPr>
            <w:tcW w:w="0" w:type="auto"/>
            <w:shd w:val="clear" w:color="auto" w:fill="BFBFBF" w:themeFill="background1" w:themeFillShade="BF"/>
          </w:tcPr>
          <w:p w14:paraId="746BA912" w14:textId="77777777" w:rsidR="00EF4061" w:rsidRPr="00CC3A91" w:rsidRDefault="00EF4061" w:rsidP="00EF4061">
            <w:pPr>
              <w:jc w:val="center"/>
              <w:rPr>
                <w:rFonts w:asciiTheme="majorHAnsi" w:hAnsiTheme="majorHAnsi" w:cs="Arial"/>
                <w:b w:val="0"/>
                <w:sz w:val="20"/>
                <w:szCs w:val="20"/>
                <w:lang w:val="es-ES_tradnl"/>
              </w:rPr>
            </w:pPr>
            <w:r w:rsidRPr="00CC3A91">
              <w:rPr>
                <w:rFonts w:asciiTheme="majorHAnsi" w:hAnsiTheme="majorHAnsi" w:cs="Arial"/>
                <w:sz w:val="20"/>
                <w:szCs w:val="20"/>
                <w:lang w:val="es-ES_tradnl"/>
              </w:rPr>
              <w:t>Res.</w:t>
            </w:r>
          </w:p>
        </w:tc>
        <w:tc>
          <w:tcPr>
            <w:tcW w:w="0" w:type="auto"/>
            <w:shd w:val="clear" w:color="auto" w:fill="BFBFBF" w:themeFill="background1" w:themeFillShade="BF"/>
          </w:tcPr>
          <w:p w14:paraId="6142054F" w14:textId="5A4ED22C" w:rsidR="00EF4061" w:rsidRPr="00CC3A91" w:rsidRDefault="00B34418" w:rsidP="00B34418">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0" w:type="auto"/>
            <w:shd w:val="clear" w:color="auto" w:fill="BFBFBF" w:themeFill="background1" w:themeFillShade="BF"/>
          </w:tcPr>
          <w:p w14:paraId="3CD28596" w14:textId="1CE1C03F" w:rsidR="00EF4061" w:rsidRPr="00CC3A91" w:rsidRDefault="00EF4061" w:rsidP="00B34418">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Descrip</w:t>
            </w:r>
            <w:r w:rsidR="00B34418" w:rsidRPr="00CC3A91">
              <w:rPr>
                <w:rFonts w:asciiTheme="majorHAnsi" w:hAnsiTheme="majorHAnsi" w:cs="Arial"/>
                <w:sz w:val="20"/>
                <w:szCs w:val="20"/>
                <w:lang w:val="es-ES_tradnl"/>
              </w:rPr>
              <w:t>ción</w:t>
            </w:r>
          </w:p>
        </w:tc>
        <w:tc>
          <w:tcPr>
            <w:tcW w:w="0" w:type="auto"/>
            <w:shd w:val="clear" w:color="auto" w:fill="BFBFBF" w:themeFill="background1" w:themeFillShade="BF"/>
          </w:tcPr>
          <w:p w14:paraId="33BA01D8" w14:textId="77777777" w:rsidR="00EF4061" w:rsidRPr="00CC3A91" w:rsidRDefault="00EF4061" w:rsidP="00B34418">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w:t>
            </w:r>
            <w:r w:rsidR="00B34418" w:rsidRPr="00CC3A91">
              <w:rPr>
                <w:rFonts w:asciiTheme="majorHAnsi" w:hAnsiTheme="majorHAnsi" w:cs="Arial"/>
                <w:sz w:val="20"/>
                <w:szCs w:val="20"/>
                <w:lang w:val="es-ES_tradnl"/>
              </w:rPr>
              <w:t>o</w:t>
            </w:r>
            <w:r w:rsidR="00C47297" w:rsidRPr="00CC3A91">
              <w:rPr>
                <w:rFonts w:asciiTheme="majorHAnsi" w:hAnsiTheme="majorHAnsi" w:cs="Arial"/>
                <w:sz w:val="20"/>
                <w:szCs w:val="20"/>
                <w:lang w:val="es-ES_tradnl"/>
              </w:rPr>
              <w:t xml:space="preserve"> </w:t>
            </w:r>
          </w:p>
          <w:p w14:paraId="735B95D1" w14:textId="608F3E82" w:rsidR="00C47297" w:rsidRPr="00CC3A91" w:rsidRDefault="00C47297" w:rsidP="00B34418">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EF4061" w:rsidRPr="00E81A45" w14:paraId="467EE429" w14:textId="77777777" w:rsidTr="00EF4061">
        <w:tc>
          <w:tcPr>
            <w:tcW w:w="0" w:type="auto"/>
            <w:gridSpan w:val="5"/>
            <w:shd w:val="clear" w:color="auto" w:fill="D9D9D9" w:themeFill="background1" w:themeFillShade="D9"/>
          </w:tcPr>
          <w:p w14:paraId="6A547E51" w14:textId="01E59B9B" w:rsidR="00EF4061" w:rsidRPr="00CC3A91" w:rsidRDefault="00B34418" w:rsidP="00B34418">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Procesos de la Convención de </w:t>
            </w:r>
            <w:r w:rsidR="00EF4061" w:rsidRPr="00CC3A91">
              <w:rPr>
                <w:rFonts w:asciiTheme="majorHAnsi" w:hAnsiTheme="majorHAnsi" w:cs="Arial"/>
                <w:sz w:val="20"/>
                <w:szCs w:val="20"/>
                <w:lang w:val="es-ES_tradnl"/>
              </w:rPr>
              <w:t xml:space="preserve">Ramsar </w:t>
            </w:r>
          </w:p>
        </w:tc>
      </w:tr>
      <w:tr w:rsidR="00CA77C8" w:rsidRPr="00E81A45" w14:paraId="1B634F9C" w14:textId="77777777" w:rsidTr="00EF4061">
        <w:tc>
          <w:tcPr>
            <w:tcW w:w="0" w:type="auto"/>
          </w:tcPr>
          <w:p w14:paraId="0D03C09B" w14:textId="4C4136D3" w:rsidR="00EF4061" w:rsidRPr="00CC3A91" w:rsidRDefault="00EF4061" w:rsidP="00DF2144">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Pro</w:t>
            </w:r>
            <w:r w:rsidR="00DF2144" w:rsidRPr="00CC3A91">
              <w:rPr>
                <w:rFonts w:asciiTheme="majorHAnsi" w:hAnsiTheme="majorHAnsi" w:cs="Arial"/>
                <w:b w:val="0"/>
                <w:sz w:val="20"/>
                <w:szCs w:val="20"/>
                <w:lang w:val="es-ES_tradnl"/>
              </w:rPr>
              <w:t xml:space="preserve">porcionar asesoramiento a las Partes Contratantes de Ramsar e interesados directos sobre el Estado de los Humedales del Mundo y de los Servicios que prestan a las personas (EHMS) </w:t>
            </w:r>
          </w:p>
        </w:tc>
        <w:tc>
          <w:tcPr>
            <w:tcW w:w="0" w:type="auto"/>
          </w:tcPr>
          <w:p w14:paraId="6400A744"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25</w:t>
            </w:r>
          </w:p>
        </w:tc>
        <w:tc>
          <w:tcPr>
            <w:tcW w:w="0" w:type="auto"/>
          </w:tcPr>
          <w:p w14:paraId="081DB4F2"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3.11, 4.14, 4.16</w:t>
            </w:r>
          </w:p>
        </w:tc>
        <w:tc>
          <w:tcPr>
            <w:tcW w:w="0" w:type="auto"/>
          </w:tcPr>
          <w:p w14:paraId="76B36833" w14:textId="2BDA57BD"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00EF4061"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xml:space="preserve">Producción de la edición 2018 de la publicación periódica emblemática sobre el estado de los humedales del mundo, los factores que impulsan la pérdida de humedales y las respuestas para promover los objetivos de la Convención, </w:t>
            </w:r>
            <w:r w:rsidR="00C47297" w:rsidRPr="00CC3A91">
              <w:rPr>
                <w:rFonts w:asciiTheme="majorHAnsi" w:hAnsiTheme="majorHAnsi" w:cs="Arial"/>
                <w:b w:val="0"/>
                <w:sz w:val="20"/>
                <w:szCs w:val="20"/>
                <w:lang w:val="es-ES_tradnl"/>
              </w:rPr>
              <w:t xml:space="preserve">con enlaces </w:t>
            </w:r>
            <w:r w:rsidRPr="00CC3A91">
              <w:rPr>
                <w:rFonts w:asciiTheme="majorHAnsi" w:hAnsiTheme="majorHAnsi" w:cs="Arial"/>
                <w:b w:val="0"/>
                <w:sz w:val="20"/>
                <w:szCs w:val="20"/>
                <w:lang w:val="es-ES_tradnl"/>
              </w:rPr>
              <w:t xml:space="preserve">al Plan Estratégico y a otros procesos internacionales (tales como los </w:t>
            </w:r>
            <w:r w:rsidR="00B77D3F" w:rsidRPr="00CC3A91">
              <w:rPr>
                <w:rFonts w:asciiTheme="majorHAnsi" w:hAnsiTheme="majorHAnsi" w:cs="Arial"/>
                <w:b w:val="0"/>
                <w:sz w:val="20"/>
                <w:szCs w:val="20"/>
                <w:lang w:val="es-ES_tradnl"/>
              </w:rPr>
              <w:t>Objetivos de Desarrollo Sostenible (</w:t>
            </w:r>
            <w:r w:rsidRPr="00CC3A91">
              <w:rPr>
                <w:rFonts w:asciiTheme="majorHAnsi" w:hAnsiTheme="majorHAnsi" w:cs="Arial"/>
                <w:b w:val="0"/>
                <w:sz w:val="20"/>
                <w:szCs w:val="20"/>
                <w:lang w:val="es-ES_tradnl"/>
              </w:rPr>
              <w:t>ODS</w:t>
            </w:r>
            <w:r w:rsidR="00B77D3F"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las metas de Aichi, la P</w:t>
            </w:r>
            <w:r w:rsidR="00B77D3F" w:rsidRPr="00CC3A91">
              <w:rPr>
                <w:rFonts w:asciiTheme="majorHAnsi" w:hAnsiTheme="majorHAnsi" w:cs="Arial"/>
                <w:b w:val="0"/>
                <w:sz w:val="20"/>
                <w:szCs w:val="20"/>
                <w:lang w:val="es-ES_tradnl"/>
              </w:rPr>
              <w:t xml:space="preserve">erspectiva </w:t>
            </w:r>
            <w:r w:rsidRPr="00CC3A91">
              <w:rPr>
                <w:rFonts w:asciiTheme="majorHAnsi" w:hAnsiTheme="majorHAnsi" w:cs="Arial"/>
                <w:b w:val="0"/>
                <w:sz w:val="20"/>
                <w:szCs w:val="20"/>
                <w:lang w:val="es-ES_tradnl"/>
              </w:rPr>
              <w:t>M</w:t>
            </w:r>
            <w:r w:rsidR="00B77D3F" w:rsidRPr="00CC3A91">
              <w:rPr>
                <w:rFonts w:asciiTheme="majorHAnsi" w:hAnsiTheme="majorHAnsi" w:cs="Arial"/>
                <w:b w:val="0"/>
                <w:sz w:val="20"/>
                <w:szCs w:val="20"/>
                <w:lang w:val="es-ES_tradnl"/>
              </w:rPr>
              <w:t>undial sobre la Diversidad Biológica</w:t>
            </w:r>
            <w:r w:rsidRPr="00CC3A91">
              <w:rPr>
                <w:rFonts w:asciiTheme="majorHAnsi" w:hAnsiTheme="majorHAnsi" w:cs="Arial"/>
                <w:b w:val="0"/>
                <w:sz w:val="20"/>
                <w:szCs w:val="20"/>
                <w:lang w:val="es-ES_tradnl"/>
              </w:rPr>
              <w:t xml:space="preserve">). </w:t>
            </w:r>
          </w:p>
          <w:p w14:paraId="5BB166E2" w14:textId="77777777" w:rsidR="00EF4061" w:rsidRPr="00CC3A91" w:rsidRDefault="00EF4061" w:rsidP="00EF4061">
            <w:pPr>
              <w:rPr>
                <w:rFonts w:asciiTheme="majorHAnsi" w:hAnsiTheme="majorHAnsi" w:cs="Arial"/>
                <w:b w:val="0"/>
                <w:sz w:val="20"/>
                <w:szCs w:val="20"/>
                <w:lang w:val="es-ES_tradnl"/>
              </w:rPr>
            </w:pPr>
          </w:p>
          <w:p w14:paraId="3FC4DDC5" w14:textId="04CA1C2B" w:rsidR="00EF4061" w:rsidRPr="00CC3A91" w:rsidRDefault="00873C9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Un componente importante de esta tarea consiste en la actualización por el GECT, en colaboración con PNUMA-WCMC, del Índice de Extensión de los Humedales (WET) </w:t>
            </w:r>
            <w:r w:rsidR="00B71650" w:rsidRPr="00CC3A91">
              <w:rPr>
                <w:rFonts w:asciiTheme="majorHAnsi" w:hAnsiTheme="majorHAnsi" w:cs="Arial"/>
                <w:b w:val="0"/>
                <w:sz w:val="20"/>
                <w:szCs w:val="20"/>
                <w:lang w:val="es-ES_tradnl"/>
              </w:rPr>
              <w:t xml:space="preserve">de </w:t>
            </w:r>
            <w:r w:rsidR="00631E3A" w:rsidRPr="00CC3A91">
              <w:rPr>
                <w:rFonts w:asciiTheme="majorHAnsi" w:hAnsiTheme="majorHAnsi" w:cs="Arial"/>
                <w:b w:val="0"/>
                <w:sz w:val="20"/>
                <w:szCs w:val="20"/>
                <w:lang w:val="es-ES_tradnl"/>
              </w:rPr>
              <w:t xml:space="preserve">Ramsar </w:t>
            </w:r>
            <w:r w:rsidRPr="00CC3A91">
              <w:rPr>
                <w:rFonts w:asciiTheme="majorHAnsi" w:hAnsiTheme="majorHAnsi" w:cs="Arial"/>
                <w:b w:val="0"/>
                <w:sz w:val="20"/>
                <w:szCs w:val="20"/>
                <w:lang w:val="es-ES_tradnl"/>
              </w:rPr>
              <w:t xml:space="preserve">con el fin de aportar un análisis de las tendencias después del 2008 y subsanar las lagunas y desequilibrios geográficos (notablemente respecto de </w:t>
            </w:r>
            <w:r w:rsidR="00F9025D" w:rsidRPr="00CC3A91">
              <w:rPr>
                <w:rFonts w:asciiTheme="majorHAnsi" w:hAnsiTheme="majorHAnsi" w:cs="Arial"/>
                <w:b w:val="0"/>
                <w:sz w:val="20"/>
                <w:szCs w:val="20"/>
                <w:lang w:val="es-ES_tradnl"/>
              </w:rPr>
              <w:t>América Latina y el Caribe</w:t>
            </w:r>
            <w:r w:rsidR="00EF4061" w:rsidRPr="00CC3A91">
              <w:rPr>
                <w:rFonts w:asciiTheme="majorHAnsi" w:hAnsiTheme="majorHAnsi" w:cs="Arial"/>
                <w:b w:val="0"/>
                <w:sz w:val="20"/>
                <w:szCs w:val="20"/>
                <w:lang w:val="es-ES_tradnl"/>
              </w:rPr>
              <w:t xml:space="preserve">) </w:t>
            </w:r>
            <w:r w:rsidR="00B71650" w:rsidRPr="00CC3A91">
              <w:rPr>
                <w:rFonts w:asciiTheme="majorHAnsi" w:hAnsiTheme="majorHAnsi" w:cs="Arial"/>
                <w:b w:val="0"/>
                <w:sz w:val="20"/>
                <w:szCs w:val="20"/>
                <w:lang w:val="es-ES_tradnl"/>
              </w:rPr>
              <w:t xml:space="preserve">presentes en la prueba de concepto inicial. </w:t>
            </w:r>
            <w:r w:rsidRPr="00CC3A91">
              <w:rPr>
                <w:rFonts w:asciiTheme="majorHAnsi" w:hAnsiTheme="majorHAnsi" w:cs="Arial"/>
                <w:b w:val="0"/>
                <w:sz w:val="20"/>
                <w:szCs w:val="20"/>
                <w:lang w:val="es-ES_tradnl"/>
              </w:rPr>
              <w:t xml:space="preserve">Además, el análisis de los datos de </w:t>
            </w:r>
            <w:r w:rsidR="00EF4061" w:rsidRPr="00CC3A91">
              <w:rPr>
                <w:rFonts w:asciiTheme="majorHAnsi" w:hAnsiTheme="majorHAnsi" w:cs="Arial"/>
                <w:b w:val="0"/>
                <w:sz w:val="20"/>
                <w:szCs w:val="20"/>
                <w:lang w:val="es-ES_tradnl"/>
              </w:rPr>
              <w:t>Global Mangrove Watch</w:t>
            </w:r>
            <w:r w:rsidR="00B969AE" w:rsidRPr="00CC3A91">
              <w:rPr>
                <w:rFonts w:asciiTheme="majorHAnsi" w:hAnsiTheme="majorHAnsi" w:cs="Arial"/>
                <w:b w:val="0"/>
                <w:sz w:val="20"/>
                <w:szCs w:val="20"/>
                <w:lang w:val="es-ES_tradnl"/>
              </w:rPr>
              <w:t xml:space="preserve">, generados por </w:t>
            </w:r>
            <w:r w:rsidR="00C413C7" w:rsidRPr="00CC3A91">
              <w:rPr>
                <w:rFonts w:asciiTheme="majorHAnsi" w:hAnsiTheme="majorHAnsi" w:cs="Arial"/>
                <w:b w:val="0"/>
                <w:sz w:val="20"/>
                <w:szCs w:val="20"/>
                <w:lang w:val="es-ES_tradnl"/>
              </w:rPr>
              <w:t xml:space="preserve">la </w:t>
            </w:r>
            <w:r w:rsidR="00EF4061" w:rsidRPr="00CC3A91">
              <w:rPr>
                <w:rFonts w:asciiTheme="majorHAnsi" w:hAnsiTheme="majorHAnsi" w:cs="Arial"/>
                <w:b w:val="0"/>
                <w:sz w:val="20"/>
                <w:szCs w:val="20"/>
                <w:lang w:val="es-ES_tradnl"/>
              </w:rPr>
              <w:t>JAXA</w:t>
            </w:r>
            <w:r w:rsidR="00B969AE" w:rsidRPr="00CC3A91">
              <w:rPr>
                <w:rFonts w:asciiTheme="majorHAnsi" w:hAnsiTheme="majorHAnsi" w:cs="Arial"/>
                <w:b w:val="0"/>
                <w:sz w:val="20"/>
                <w:szCs w:val="20"/>
                <w:lang w:val="es-ES_tradnl"/>
              </w:rPr>
              <w:t>, y de</w:t>
            </w:r>
            <w:r w:rsidR="00B71650" w:rsidRPr="00CC3A91">
              <w:rPr>
                <w:rFonts w:asciiTheme="majorHAnsi" w:hAnsiTheme="majorHAnsi" w:cs="Arial"/>
                <w:b w:val="0"/>
                <w:sz w:val="20"/>
                <w:szCs w:val="20"/>
                <w:lang w:val="es-ES_tradnl"/>
              </w:rPr>
              <w:t xml:space="preserve"> </w:t>
            </w:r>
            <w:r w:rsidR="00EF4061" w:rsidRPr="00CC3A91">
              <w:rPr>
                <w:rFonts w:asciiTheme="majorHAnsi" w:hAnsiTheme="majorHAnsi" w:cs="Arial"/>
                <w:b w:val="0"/>
                <w:sz w:val="20"/>
                <w:szCs w:val="20"/>
                <w:lang w:val="es-ES_tradnl"/>
              </w:rPr>
              <w:t>GlobWetland Africa</w:t>
            </w:r>
            <w:r w:rsidR="00B969AE" w:rsidRPr="00CC3A91">
              <w:rPr>
                <w:rFonts w:asciiTheme="majorHAnsi" w:hAnsiTheme="majorHAnsi" w:cs="Arial"/>
                <w:b w:val="0"/>
                <w:sz w:val="20"/>
                <w:szCs w:val="20"/>
                <w:lang w:val="es-ES_tradnl"/>
              </w:rPr>
              <w:t>, generados por</w:t>
            </w:r>
            <w:r w:rsidR="00B71650" w:rsidRPr="00CC3A91">
              <w:rPr>
                <w:rFonts w:asciiTheme="majorHAnsi" w:hAnsiTheme="majorHAnsi" w:cs="Arial"/>
                <w:b w:val="0"/>
                <w:sz w:val="20"/>
                <w:szCs w:val="20"/>
                <w:lang w:val="es-ES_tradnl"/>
              </w:rPr>
              <w:t xml:space="preserve"> la</w:t>
            </w:r>
            <w:r w:rsidR="00FD2638" w:rsidRPr="00CC3A91">
              <w:rPr>
                <w:rFonts w:asciiTheme="majorHAnsi" w:hAnsiTheme="majorHAnsi" w:cs="Arial"/>
                <w:b w:val="0"/>
                <w:sz w:val="20"/>
                <w:szCs w:val="20"/>
                <w:lang w:val="es-ES_tradnl"/>
              </w:rPr>
              <w:t xml:space="preserve"> </w:t>
            </w:r>
            <w:r w:rsidR="00EF4061" w:rsidRPr="00CC3A91">
              <w:rPr>
                <w:rFonts w:asciiTheme="majorHAnsi" w:hAnsiTheme="majorHAnsi" w:cs="Arial"/>
                <w:b w:val="0"/>
                <w:sz w:val="20"/>
                <w:szCs w:val="20"/>
                <w:lang w:val="es-ES_tradnl"/>
              </w:rPr>
              <w:t>ESA (</w:t>
            </w:r>
            <w:r w:rsidR="00B969AE" w:rsidRPr="00CC3A91">
              <w:rPr>
                <w:rFonts w:asciiTheme="majorHAnsi" w:hAnsiTheme="majorHAnsi" w:cs="Arial"/>
                <w:b w:val="0"/>
                <w:sz w:val="20"/>
                <w:szCs w:val="20"/>
                <w:lang w:val="es-ES_tradnl"/>
              </w:rPr>
              <w:t>véase también la Tarea</w:t>
            </w:r>
            <w:r w:rsidR="00EF4061" w:rsidRPr="00CC3A91">
              <w:rPr>
                <w:rFonts w:asciiTheme="majorHAnsi" w:hAnsiTheme="majorHAnsi" w:cs="Arial"/>
                <w:b w:val="0"/>
                <w:sz w:val="20"/>
                <w:szCs w:val="20"/>
                <w:lang w:val="es-ES_tradnl"/>
              </w:rPr>
              <w:t xml:space="preserve"> 1.1) </w:t>
            </w:r>
            <w:r w:rsidR="00B969AE" w:rsidRPr="00CC3A91">
              <w:rPr>
                <w:rFonts w:asciiTheme="majorHAnsi" w:hAnsiTheme="majorHAnsi" w:cs="Arial"/>
                <w:b w:val="0"/>
                <w:sz w:val="20"/>
                <w:szCs w:val="20"/>
                <w:lang w:val="es-ES_tradnl"/>
              </w:rPr>
              <w:t>aportará unas contribuciones importantes a</w:t>
            </w:r>
            <w:r w:rsidR="00B71650" w:rsidRPr="00CC3A91">
              <w:rPr>
                <w:rFonts w:asciiTheme="majorHAnsi" w:hAnsiTheme="majorHAnsi" w:cs="Arial"/>
                <w:b w:val="0"/>
                <w:sz w:val="20"/>
                <w:szCs w:val="20"/>
                <w:lang w:val="es-ES_tradnl"/>
              </w:rPr>
              <w:t>l</w:t>
            </w:r>
            <w:r w:rsidR="00B969AE" w:rsidRPr="00CC3A91">
              <w:rPr>
                <w:rFonts w:asciiTheme="majorHAnsi" w:hAnsiTheme="majorHAnsi" w:cs="Arial"/>
                <w:b w:val="0"/>
                <w:sz w:val="20"/>
                <w:szCs w:val="20"/>
                <w:lang w:val="es-ES_tradnl"/>
              </w:rPr>
              <w:t xml:space="preserve"> EHMS</w:t>
            </w:r>
          </w:p>
          <w:p w14:paraId="7E7C9718" w14:textId="77777777" w:rsidR="00EF4061" w:rsidRPr="00CC3A91" w:rsidRDefault="00EF4061" w:rsidP="00EF4061">
            <w:pPr>
              <w:rPr>
                <w:rFonts w:asciiTheme="majorHAnsi" w:hAnsiTheme="majorHAnsi" w:cs="Arial"/>
                <w:b w:val="0"/>
                <w:sz w:val="20"/>
                <w:szCs w:val="20"/>
                <w:lang w:val="es-ES_tradnl"/>
              </w:rPr>
            </w:pPr>
          </w:p>
          <w:p w14:paraId="0CBD6D55" w14:textId="28F99283"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00EF4061" w:rsidRPr="00CC3A91">
              <w:rPr>
                <w:rFonts w:asciiTheme="majorHAnsi" w:hAnsiTheme="majorHAnsi" w:cs="Arial"/>
                <w:b w:val="0"/>
                <w:sz w:val="20"/>
                <w:szCs w:val="20"/>
                <w:lang w:val="es-ES_tradnl"/>
              </w:rPr>
              <w:t xml:space="preserve">: </w:t>
            </w:r>
            <w:r w:rsidR="00B77D3F" w:rsidRPr="00CC3A91">
              <w:rPr>
                <w:rFonts w:asciiTheme="majorHAnsi" w:hAnsiTheme="majorHAnsi" w:cs="Arial"/>
                <w:b w:val="0"/>
                <w:sz w:val="20"/>
                <w:szCs w:val="20"/>
                <w:lang w:val="es-ES_tradnl"/>
              </w:rPr>
              <w:t xml:space="preserve">Informe general con productos derivados para grupos específicos (tales como Notas sobre políticas/Notas informativas), </w:t>
            </w:r>
            <w:r w:rsidR="00CA77C8" w:rsidRPr="00CC3A91">
              <w:rPr>
                <w:rFonts w:asciiTheme="majorHAnsi" w:hAnsiTheme="majorHAnsi" w:cs="Arial"/>
                <w:b w:val="0"/>
                <w:sz w:val="20"/>
                <w:szCs w:val="20"/>
                <w:lang w:val="es-ES_tradnl"/>
              </w:rPr>
              <w:t>sujeto a la disponibilidad de recursos.</w:t>
            </w:r>
          </w:p>
          <w:p w14:paraId="5A1801DC" w14:textId="77777777" w:rsidR="00EF4061" w:rsidRPr="00CC3A91" w:rsidRDefault="00EF4061" w:rsidP="00EF4061">
            <w:pPr>
              <w:rPr>
                <w:rFonts w:asciiTheme="majorHAnsi" w:hAnsiTheme="majorHAnsi" w:cs="Arial"/>
                <w:b w:val="0"/>
                <w:sz w:val="20"/>
                <w:szCs w:val="20"/>
                <w:lang w:val="es-ES_tradnl"/>
              </w:rPr>
            </w:pPr>
          </w:p>
          <w:p w14:paraId="660C46A9" w14:textId="1BA7907D" w:rsidR="00EF4061" w:rsidRPr="00CC3A91" w:rsidRDefault="00DF2144" w:rsidP="00B77D3F">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00EF4061" w:rsidRPr="00CC3A91">
              <w:rPr>
                <w:rFonts w:asciiTheme="majorHAnsi" w:hAnsiTheme="majorHAnsi" w:cs="Arial"/>
                <w:b w:val="0"/>
                <w:sz w:val="20"/>
                <w:szCs w:val="20"/>
                <w:lang w:val="es-ES_tradnl"/>
              </w:rPr>
              <w:t xml:space="preserve">: </w:t>
            </w:r>
            <w:r w:rsidR="005B4BA2" w:rsidRPr="00CC3A91">
              <w:rPr>
                <w:rFonts w:asciiTheme="majorHAnsi" w:hAnsiTheme="majorHAnsi" w:cs="Arial"/>
                <w:b w:val="0"/>
                <w:sz w:val="20"/>
                <w:szCs w:val="20"/>
                <w:lang w:val="es-ES_tradnl"/>
              </w:rPr>
              <w:t xml:space="preserve">Responsables </w:t>
            </w:r>
            <w:r w:rsidR="0088725B" w:rsidRPr="00CC3A91">
              <w:rPr>
                <w:rFonts w:asciiTheme="majorHAnsi" w:hAnsiTheme="majorHAnsi" w:cs="Arial"/>
                <w:b w:val="0"/>
                <w:sz w:val="20"/>
                <w:szCs w:val="20"/>
                <w:lang w:val="es-ES_tradnl"/>
              </w:rPr>
              <w:t>de políticas</w:t>
            </w:r>
            <w:r w:rsidR="00EF4061" w:rsidRPr="00CC3A91">
              <w:rPr>
                <w:rFonts w:asciiTheme="majorHAnsi" w:hAnsiTheme="majorHAnsi" w:cs="Arial"/>
                <w:b w:val="0"/>
                <w:sz w:val="20"/>
                <w:szCs w:val="20"/>
                <w:lang w:val="es-ES_tradnl"/>
              </w:rPr>
              <w:t xml:space="preserve"> </w:t>
            </w:r>
            <w:r w:rsidR="00B77D3F" w:rsidRPr="00CC3A91">
              <w:rPr>
                <w:rFonts w:asciiTheme="majorHAnsi" w:hAnsiTheme="majorHAnsi" w:cs="Arial"/>
                <w:b w:val="0"/>
                <w:sz w:val="20"/>
                <w:szCs w:val="20"/>
                <w:lang w:val="es-ES_tradnl"/>
              </w:rPr>
              <w:t>y</w:t>
            </w:r>
            <w:r w:rsidR="00EF4061" w:rsidRPr="00CC3A91">
              <w:rPr>
                <w:rFonts w:asciiTheme="majorHAnsi" w:hAnsiTheme="majorHAnsi" w:cs="Arial"/>
                <w:b w:val="0"/>
                <w:sz w:val="20"/>
                <w:szCs w:val="20"/>
                <w:lang w:val="es-ES_tradnl"/>
              </w:rPr>
              <w:t xml:space="preserve"> </w:t>
            </w:r>
            <w:r w:rsidR="005B4BA2" w:rsidRPr="00CC3A91">
              <w:rPr>
                <w:rFonts w:asciiTheme="majorHAnsi" w:hAnsiTheme="majorHAnsi" w:cs="Arial"/>
                <w:b w:val="0"/>
                <w:sz w:val="20"/>
                <w:szCs w:val="20"/>
                <w:lang w:val="es-ES_tradnl"/>
              </w:rPr>
              <w:t>profesionales</w:t>
            </w:r>
            <w:r w:rsidR="00EF4061" w:rsidRPr="00CC3A91">
              <w:rPr>
                <w:rFonts w:asciiTheme="majorHAnsi" w:hAnsiTheme="majorHAnsi" w:cs="Arial"/>
                <w:b w:val="0"/>
                <w:sz w:val="20"/>
                <w:szCs w:val="20"/>
                <w:lang w:val="es-ES_tradnl"/>
              </w:rPr>
              <w:t xml:space="preserve"> (</w:t>
            </w:r>
            <w:r w:rsidR="00B77D3F" w:rsidRPr="00CC3A91">
              <w:rPr>
                <w:rFonts w:asciiTheme="majorHAnsi" w:hAnsiTheme="majorHAnsi" w:cs="Arial"/>
                <w:b w:val="0"/>
                <w:sz w:val="20"/>
                <w:szCs w:val="20"/>
                <w:lang w:val="es-ES_tradnl"/>
              </w:rPr>
              <w:t>administradores de humedales e interesados directos, incluyendo los administradores de áreas protegidas y centros de educación sobre los humedales</w:t>
            </w:r>
            <w:r w:rsidR="00EF4061" w:rsidRPr="00CC3A91">
              <w:rPr>
                <w:rFonts w:asciiTheme="majorHAnsi" w:hAnsiTheme="majorHAnsi" w:cs="Arial"/>
                <w:b w:val="0"/>
                <w:sz w:val="20"/>
                <w:szCs w:val="20"/>
                <w:lang w:val="es-ES_tradnl"/>
              </w:rPr>
              <w:t>)</w:t>
            </w:r>
          </w:p>
        </w:tc>
        <w:tc>
          <w:tcPr>
            <w:tcW w:w="0" w:type="auto"/>
          </w:tcPr>
          <w:p w14:paraId="7FFFB741" w14:textId="0E36A629"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137</w:t>
            </w:r>
            <w:r w:rsidR="00E144C6"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000 </w:t>
            </w:r>
          </w:p>
          <w:p w14:paraId="10262E1B" w14:textId="2E0E231F"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[67</w:t>
            </w:r>
            <w:r w:rsidR="00E144C6"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000 </w:t>
            </w:r>
            <w:r w:rsidR="00E144C6" w:rsidRPr="00CC3A91">
              <w:rPr>
                <w:rFonts w:asciiTheme="majorHAnsi" w:hAnsiTheme="majorHAnsi" w:cs="Arial"/>
                <w:b w:val="0"/>
                <w:sz w:val="20"/>
                <w:szCs w:val="20"/>
                <w:lang w:val="es-ES_tradnl"/>
              </w:rPr>
              <w:t xml:space="preserve">para los costos de maquetación, diseño, revisión, traducción y publicación; </w:t>
            </w:r>
            <w:r w:rsidRPr="00CC3A91">
              <w:rPr>
                <w:rFonts w:asciiTheme="majorHAnsi" w:hAnsiTheme="majorHAnsi" w:cs="Arial"/>
                <w:b w:val="0"/>
                <w:sz w:val="20"/>
                <w:szCs w:val="20"/>
                <w:lang w:val="es-ES_tradnl"/>
              </w:rPr>
              <w:t>20</w:t>
            </w:r>
            <w:r w:rsidR="00CA77C8"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000 </w:t>
            </w:r>
            <w:r w:rsidR="00CA77C8" w:rsidRPr="00CC3A91">
              <w:rPr>
                <w:rFonts w:asciiTheme="majorHAnsi" w:hAnsiTheme="majorHAnsi" w:cs="Arial"/>
                <w:b w:val="0"/>
                <w:sz w:val="20"/>
                <w:szCs w:val="20"/>
                <w:lang w:val="es-ES_tradnl"/>
              </w:rPr>
              <w:t>para las reuniones entre autores; y</w:t>
            </w:r>
            <w:r w:rsidRPr="00CC3A91">
              <w:rPr>
                <w:rFonts w:asciiTheme="majorHAnsi" w:hAnsiTheme="majorHAnsi" w:cs="Arial"/>
                <w:b w:val="0"/>
                <w:sz w:val="20"/>
                <w:szCs w:val="20"/>
                <w:lang w:val="es-ES_tradnl"/>
              </w:rPr>
              <w:t xml:space="preserve"> 50</w:t>
            </w:r>
            <w:r w:rsidR="00CA77C8"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000 </w:t>
            </w:r>
            <w:r w:rsidR="00CA77C8" w:rsidRPr="00CC3A91">
              <w:rPr>
                <w:rFonts w:asciiTheme="majorHAnsi" w:hAnsiTheme="majorHAnsi" w:cs="Arial"/>
                <w:b w:val="0"/>
                <w:sz w:val="20"/>
                <w:szCs w:val="20"/>
                <w:lang w:val="es-ES_tradnl"/>
              </w:rPr>
              <w:t xml:space="preserve">para la actualización del Índice WET) </w:t>
            </w:r>
          </w:p>
          <w:p w14:paraId="23C36E18" w14:textId="77777777" w:rsidR="00EF4061" w:rsidRPr="00CC3A91" w:rsidRDefault="00EF4061" w:rsidP="00EF4061">
            <w:pPr>
              <w:rPr>
                <w:rFonts w:asciiTheme="majorHAnsi" w:hAnsiTheme="majorHAnsi" w:cs="Arial"/>
                <w:b w:val="0"/>
                <w:sz w:val="20"/>
                <w:szCs w:val="20"/>
                <w:lang w:val="es-ES_tradnl"/>
              </w:rPr>
            </w:pPr>
          </w:p>
        </w:tc>
      </w:tr>
      <w:tr w:rsidR="00CA77C8" w:rsidRPr="00E81A45" w14:paraId="49C97AC7" w14:textId="77777777" w:rsidTr="00EF4061">
        <w:tc>
          <w:tcPr>
            <w:tcW w:w="0" w:type="auto"/>
          </w:tcPr>
          <w:p w14:paraId="4BF1D2B0" w14:textId="6CE7BA56" w:rsidR="00EF4061" w:rsidRPr="00CC3A91" w:rsidRDefault="00EF4061" w:rsidP="002C1D05">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Respond</w:t>
            </w:r>
            <w:r w:rsidR="002C1D05" w:rsidRPr="00CC3A91">
              <w:rPr>
                <w:rFonts w:asciiTheme="majorHAnsi" w:hAnsiTheme="majorHAnsi" w:cs="Arial"/>
                <w:b w:val="0"/>
                <w:sz w:val="20"/>
                <w:szCs w:val="20"/>
                <w:lang w:val="es-ES_tradnl"/>
              </w:rPr>
              <w:t>er a la</w:t>
            </w:r>
            <w:r w:rsidR="00B71650" w:rsidRPr="00CC3A91">
              <w:rPr>
                <w:rFonts w:asciiTheme="majorHAnsi" w:hAnsiTheme="majorHAnsi" w:cs="Arial"/>
                <w:b w:val="0"/>
                <w:sz w:val="20"/>
                <w:szCs w:val="20"/>
                <w:lang w:val="es-ES_tradnl"/>
              </w:rPr>
              <w:t xml:space="preserve">s peticiones de </w:t>
            </w:r>
            <w:r w:rsidR="00B71650" w:rsidRPr="00CC3A91">
              <w:rPr>
                <w:rFonts w:asciiTheme="majorHAnsi" w:hAnsiTheme="majorHAnsi" w:cs="Arial"/>
                <w:b w:val="0"/>
                <w:sz w:val="20"/>
                <w:szCs w:val="20"/>
                <w:lang w:val="es-ES_tradnl"/>
              </w:rPr>
              <w:lastRenderedPageBreak/>
              <w:t xml:space="preserve">asesoramiento o </w:t>
            </w:r>
            <w:r w:rsidR="000F2D09" w:rsidRPr="00CC3A91">
              <w:rPr>
                <w:rFonts w:asciiTheme="majorHAnsi" w:hAnsiTheme="majorHAnsi" w:cs="Arial"/>
                <w:b w:val="0"/>
                <w:sz w:val="20"/>
                <w:szCs w:val="20"/>
                <w:lang w:val="es-ES_tradnl"/>
              </w:rPr>
              <w:t xml:space="preserve">de </w:t>
            </w:r>
            <w:r w:rsidR="002C1D05" w:rsidRPr="00CC3A91">
              <w:rPr>
                <w:rFonts w:asciiTheme="majorHAnsi" w:hAnsiTheme="majorHAnsi" w:cs="Arial"/>
                <w:b w:val="0"/>
                <w:sz w:val="20"/>
                <w:szCs w:val="20"/>
                <w:lang w:val="es-ES_tradnl"/>
              </w:rPr>
              <w:t xml:space="preserve">contribuciones </w:t>
            </w:r>
            <w:r w:rsidR="00B60E89" w:rsidRPr="00CC3A91">
              <w:rPr>
                <w:rFonts w:asciiTheme="majorHAnsi" w:hAnsiTheme="majorHAnsi" w:cs="Arial"/>
                <w:b w:val="0"/>
                <w:sz w:val="20"/>
                <w:szCs w:val="20"/>
                <w:lang w:val="es-ES_tradnl"/>
              </w:rPr>
              <w:t xml:space="preserve">recibidas </w:t>
            </w:r>
            <w:r w:rsidR="002C1D05" w:rsidRPr="00CC3A91">
              <w:rPr>
                <w:rFonts w:asciiTheme="majorHAnsi" w:hAnsiTheme="majorHAnsi" w:cs="Arial"/>
                <w:b w:val="0"/>
                <w:sz w:val="20"/>
                <w:szCs w:val="20"/>
                <w:lang w:val="es-ES_tradnl"/>
              </w:rPr>
              <w:t xml:space="preserve">de la Secretaría y del Comité Permanente </w:t>
            </w:r>
          </w:p>
        </w:tc>
        <w:tc>
          <w:tcPr>
            <w:tcW w:w="0" w:type="auto"/>
          </w:tcPr>
          <w:p w14:paraId="172C7A90" w14:textId="600308E2"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XII.5, </w:t>
            </w:r>
            <w:r w:rsidR="005C68E2" w:rsidRPr="00CC3A91">
              <w:rPr>
                <w:rFonts w:asciiTheme="majorHAnsi" w:hAnsiTheme="majorHAnsi" w:cs="Arial"/>
                <w:b w:val="0"/>
                <w:sz w:val="20"/>
                <w:szCs w:val="20"/>
                <w:lang w:val="es-ES_tradnl"/>
              </w:rPr>
              <w:lastRenderedPageBreak/>
              <w:t>Anexo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 1-2</w:t>
            </w:r>
            <w:r w:rsidR="00B75A04" w:rsidRPr="00CC3A91">
              <w:rPr>
                <w:rFonts w:ascii="Calibri" w:hAnsi="Calibri" w:cs="Arial"/>
                <w:b w:val="0"/>
                <w:sz w:val="20"/>
                <w:szCs w:val="20"/>
                <w:lang w:val="es-ES_tradnl"/>
              </w:rPr>
              <w:t>; 12 (iii), (v); 15</w:t>
            </w:r>
          </w:p>
        </w:tc>
        <w:tc>
          <w:tcPr>
            <w:tcW w:w="0" w:type="auto"/>
          </w:tcPr>
          <w:p w14:paraId="2066AAE0"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4.14</w:t>
            </w:r>
          </w:p>
        </w:tc>
        <w:tc>
          <w:tcPr>
            <w:tcW w:w="0" w:type="auto"/>
          </w:tcPr>
          <w:p w14:paraId="1DB60E92" w14:textId="208F4BE9" w:rsidR="00EF4061" w:rsidRPr="00CC3A91" w:rsidRDefault="00B969AE" w:rsidP="006E601A">
            <w:pPr>
              <w:rPr>
                <w:rFonts w:asciiTheme="majorHAnsi" w:hAnsiTheme="majorHAnsi" w:cs="Arial"/>
                <w:sz w:val="20"/>
                <w:szCs w:val="20"/>
                <w:lang w:val="es-ES_tradnl"/>
              </w:rPr>
            </w:pPr>
            <w:r w:rsidRPr="00CC3A91">
              <w:rPr>
                <w:rFonts w:asciiTheme="majorHAnsi" w:hAnsiTheme="majorHAnsi" w:cs="Arial"/>
                <w:b w:val="0"/>
                <w:sz w:val="20"/>
                <w:szCs w:val="20"/>
                <w:lang w:val="es-ES_tradnl"/>
              </w:rPr>
              <w:t>Se incluye</w:t>
            </w:r>
            <w:r w:rsidR="00EF4061" w:rsidRPr="00CC3A91">
              <w:rPr>
                <w:rFonts w:asciiTheme="majorHAnsi" w:hAnsiTheme="majorHAnsi" w:cs="Arial"/>
                <w:b w:val="0"/>
                <w:sz w:val="20"/>
                <w:szCs w:val="20"/>
                <w:lang w:val="es-ES_tradnl"/>
              </w:rPr>
              <w:t xml:space="preserve">, inter alia, </w:t>
            </w:r>
            <w:r w:rsidR="002C1D05" w:rsidRPr="00CC3A91">
              <w:rPr>
                <w:rFonts w:asciiTheme="majorHAnsi" w:hAnsiTheme="majorHAnsi" w:cs="Arial"/>
                <w:b w:val="0"/>
                <w:sz w:val="20"/>
                <w:szCs w:val="20"/>
                <w:lang w:val="es-ES_tradnl"/>
              </w:rPr>
              <w:t xml:space="preserve">asesoramiento a la Secretaría sobre el </w:t>
            </w:r>
            <w:r w:rsidR="002C1D05" w:rsidRPr="00CC3A91">
              <w:rPr>
                <w:rFonts w:asciiTheme="majorHAnsi" w:hAnsiTheme="majorHAnsi" w:cs="Arial"/>
                <w:b w:val="0"/>
                <w:sz w:val="20"/>
                <w:szCs w:val="20"/>
                <w:lang w:val="es-ES_tradnl"/>
              </w:rPr>
              <w:lastRenderedPageBreak/>
              <w:t>Programa de CECoP, los indicadores del Cuarto Plan Estratégico, la revisión de los Manuales</w:t>
            </w:r>
            <w:r w:rsidR="00B60E89" w:rsidRPr="00CC3A91">
              <w:rPr>
                <w:rFonts w:asciiTheme="majorHAnsi" w:hAnsiTheme="majorHAnsi" w:cs="Arial"/>
                <w:b w:val="0"/>
                <w:sz w:val="20"/>
                <w:szCs w:val="20"/>
                <w:lang w:val="es-ES_tradnl"/>
              </w:rPr>
              <w:t xml:space="preserve"> de Ramsar,</w:t>
            </w:r>
            <w:r w:rsidR="00F84786"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xml:space="preserve">participación en el desarrollo del Sistema Mundial de Observación de Humedales (SMOH), colaboración con </w:t>
            </w:r>
            <w:r w:rsidR="00875044" w:rsidRPr="00CC3A91">
              <w:rPr>
                <w:rFonts w:asciiTheme="majorHAnsi" w:hAnsiTheme="majorHAnsi" w:cs="Arial"/>
                <w:b w:val="0"/>
                <w:sz w:val="20"/>
                <w:szCs w:val="20"/>
                <w:lang w:val="es-ES_tradnl"/>
              </w:rPr>
              <w:t>la Asociación para el Medio Ambiente y Reducció</w:t>
            </w:r>
            <w:r w:rsidR="00B24BA3" w:rsidRPr="00CC3A91">
              <w:rPr>
                <w:rFonts w:asciiTheme="majorHAnsi" w:hAnsiTheme="majorHAnsi" w:cs="Arial"/>
                <w:b w:val="0"/>
                <w:sz w:val="20"/>
                <w:szCs w:val="20"/>
                <w:lang w:val="es-ES_tradnl"/>
              </w:rPr>
              <w:t xml:space="preserve">n del Riesgo de Desastres </w:t>
            </w:r>
            <w:r w:rsidR="00EF4061" w:rsidRPr="00CC3A91">
              <w:rPr>
                <w:rFonts w:asciiTheme="majorHAnsi" w:hAnsiTheme="majorHAnsi" w:cs="Arial"/>
                <w:b w:val="0"/>
                <w:sz w:val="20"/>
                <w:szCs w:val="20"/>
                <w:lang w:val="es-ES_tradnl"/>
              </w:rPr>
              <w:t>(PEDRR)</w:t>
            </w:r>
            <w:r w:rsidR="006E601A" w:rsidRPr="00CC3A91">
              <w:rPr>
                <w:rFonts w:asciiTheme="majorHAnsi" w:hAnsiTheme="majorHAnsi" w:cs="Arial"/>
                <w:b w:val="0"/>
                <w:sz w:val="20"/>
                <w:szCs w:val="20"/>
                <w:lang w:val="es-ES_tradnl"/>
              </w:rPr>
              <w:t>,en</w:t>
            </w:r>
            <w:r w:rsidRPr="00CC3A91">
              <w:rPr>
                <w:rFonts w:asciiTheme="majorHAnsi" w:hAnsiTheme="majorHAnsi" w:cs="Arial"/>
                <w:b w:val="0"/>
                <w:sz w:val="20"/>
                <w:szCs w:val="20"/>
                <w:lang w:val="es-ES_tradnl"/>
              </w:rPr>
              <w:t xml:space="preserve"> </w:t>
            </w:r>
            <w:r w:rsidR="00875044" w:rsidRPr="00CC3A91">
              <w:rPr>
                <w:rFonts w:asciiTheme="majorHAnsi" w:hAnsiTheme="majorHAnsi" w:cs="Arial"/>
                <w:b w:val="0"/>
                <w:sz w:val="20"/>
                <w:szCs w:val="20"/>
                <w:lang w:val="es-ES_tradnl"/>
              </w:rPr>
              <w:t xml:space="preserve">la </w:t>
            </w:r>
            <w:r w:rsidRPr="00CC3A91">
              <w:rPr>
                <w:rFonts w:asciiTheme="majorHAnsi" w:hAnsiTheme="majorHAnsi" w:cs="Arial"/>
                <w:b w:val="0"/>
                <w:sz w:val="20"/>
                <w:szCs w:val="20"/>
                <w:lang w:val="es-ES_tradnl"/>
              </w:rPr>
              <w:t xml:space="preserve">simplificación y nueva presentación de las orientaciones sobre el manejo de sitios Ramsar a fin de producir un manual simplificado, etc. </w:t>
            </w:r>
          </w:p>
        </w:tc>
        <w:tc>
          <w:tcPr>
            <w:tcW w:w="0" w:type="auto"/>
          </w:tcPr>
          <w:p w14:paraId="6C59BD8B" w14:textId="4040A73A" w:rsidR="00EF4061" w:rsidRPr="00CC3A91" w:rsidRDefault="00EF4061" w:rsidP="003E038E">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No </w:t>
            </w:r>
            <w:r w:rsidR="00873C91" w:rsidRPr="00CC3A91">
              <w:rPr>
                <w:rFonts w:asciiTheme="majorHAnsi" w:hAnsiTheme="majorHAnsi" w:cs="Arial"/>
                <w:b w:val="0"/>
                <w:sz w:val="20"/>
                <w:szCs w:val="20"/>
                <w:lang w:val="es-ES_tradnl"/>
              </w:rPr>
              <w:t xml:space="preserve">implica costo alguno para </w:t>
            </w:r>
            <w:r w:rsidR="00873C91" w:rsidRPr="00CC3A91">
              <w:rPr>
                <w:rFonts w:asciiTheme="majorHAnsi" w:hAnsiTheme="majorHAnsi" w:cs="Arial"/>
                <w:b w:val="0"/>
                <w:sz w:val="20"/>
                <w:szCs w:val="20"/>
                <w:lang w:val="es-ES_tradnl"/>
              </w:rPr>
              <w:lastRenderedPageBreak/>
              <w:t xml:space="preserve">el presupuesto del GECT. </w:t>
            </w:r>
            <w:r w:rsidR="003E038E"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4998503E" w14:textId="77777777" w:rsidTr="00EF4061">
        <w:tc>
          <w:tcPr>
            <w:tcW w:w="0" w:type="auto"/>
          </w:tcPr>
          <w:p w14:paraId="5177F2BE" w14:textId="65C2234B" w:rsidR="00EF4061" w:rsidRPr="00CC3A91" w:rsidRDefault="00B60E89"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Redactar</w:t>
            </w:r>
            <w:r w:rsidR="00371F36"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 o aportar contribuciones a</w:t>
            </w:r>
            <w:r w:rsidR="00371F36"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 proyectos de Resolución </w:t>
            </w:r>
          </w:p>
          <w:p w14:paraId="01A843AF" w14:textId="77777777" w:rsidR="00EF4061" w:rsidRPr="00CC3A91" w:rsidRDefault="00EF4061" w:rsidP="00EF4061">
            <w:pPr>
              <w:rPr>
                <w:rFonts w:asciiTheme="majorHAnsi" w:hAnsiTheme="majorHAnsi" w:cs="Arial"/>
                <w:b w:val="0"/>
                <w:sz w:val="20"/>
                <w:szCs w:val="20"/>
                <w:lang w:val="es-ES_tradnl"/>
              </w:rPr>
            </w:pPr>
          </w:p>
        </w:tc>
        <w:tc>
          <w:tcPr>
            <w:tcW w:w="0" w:type="auto"/>
          </w:tcPr>
          <w:p w14:paraId="2F395031" w14:textId="052069BF"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 1-2</w:t>
            </w:r>
            <w:r w:rsidR="00B75A04" w:rsidRPr="00CC3A91">
              <w:rPr>
                <w:rFonts w:ascii="Calibri" w:hAnsi="Calibri" w:cs="Arial"/>
                <w:b w:val="0"/>
                <w:sz w:val="20"/>
                <w:szCs w:val="20"/>
                <w:lang w:val="es-ES_tradnl"/>
              </w:rPr>
              <w:t>, 12 (iii)</w:t>
            </w:r>
          </w:p>
        </w:tc>
        <w:tc>
          <w:tcPr>
            <w:tcW w:w="0" w:type="auto"/>
          </w:tcPr>
          <w:p w14:paraId="44C62372" w14:textId="77777777"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4.14</w:t>
            </w:r>
          </w:p>
        </w:tc>
        <w:tc>
          <w:tcPr>
            <w:tcW w:w="0" w:type="auto"/>
          </w:tcPr>
          <w:p w14:paraId="004AA1E0" w14:textId="61D7361A" w:rsidR="00EF4061" w:rsidRPr="00CC3A91" w:rsidRDefault="00B969AE" w:rsidP="00B60E89">
            <w:pPr>
              <w:rPr>
                <w:rFonts w:asciiTheme="majorHAnsi" w:hAnsiTheme="majorHAnsi" w:cs="Arial"/>
                <w:sz w:val="20"/>
                <w:szCs w:val="20"/>
                <w:lang w:val="es-ES_tradnl"/>
              </w:rPr>
            </w:pPr>
            <w:r w:rsidRPr="00CC3A91">
              <w:rPr>
                <w:rFonts w:asciiTheme="majorHAnsi" w:hAnsiTheme="majorHAnsi" w:cs="Arial"/>
                <w:b w:val="0"/>
                <w:sz w:val="20"/>
                <w:szCs w:val="20"/>
                <w:lang w:val="es-ES_tradnl"/>
              </w:rPr>
              <w:t>A petición</w:t>
            </w:r>
            <w:r w:rsidR="00B60E89" w:rsidRPr="00CC3A91">
              <w:rPr>
                <w:rFonts w:asciiTheme="majorHAnsi" w:hAnsiTheme="majorHAnsi" w:cs="Arial"/>
                <w:b w:val="0"/>
                <w:sz w:val="20"/>
                <w:szCs w:val="20"/>
                <w:lang w:val="es-ES_tradnl"/>
              </w:rPr>
              <w:t xml:space="preserve"> de las Partes Contratantes, el GECT puede redactar un proyecto de Resolución o hacer </w:t>
            </w:r>
            <w:r w:rsidR="00371F36" w:rsidRPr="00CC3A91">
              <w:rPr>
                <w:rFonts w:asciiTheme="majorHAnsi" w:hAnsiTheme="majorHAnsi" w:cs="Arial"/>
                <w:b w:val="0"/>
                <w:sz w:val="20"/>
                <w:szCs w:val="20"/>
                <w:lang w:val="es-ES_tradnl"/>
              </w:rPr>
              <w:t>contribuciones a los proyect</w:t>
            </w:r>
            <w:r w:rsidR="00B60E89" w:rsidRPr="00CC3A91">
              <w:rPr>
                <w:rFonts w:asciiTheme="majorHAnsi" w:hAnsiTheme="majorHAnsi" w:cs="Arial"/>
                <w:b w:val="0"/>
                <w:sz w:val="20"/>
                <w:szCs w:val="20"/>
                <w:lang w:val="es-ES_tradnl"/>
              </w:rPr>
              <w:t xml:space="preserve">os de Resolución presentados por las Partes Contratantes a la Conferencia de las Partes. </w:t>
            </w:r>
          </w:p>
        </w:tc>
        <w:tc>
          <w:tcPr>
            <w:tcW w:w="0" w:type="auto"/>
          </w:tcPr>
          <w:p w14:paraId="4A30B4E3" w14:textId="0D544FE7" w:rsidR="00EF4061" w:rsidRPr="00CC3A91" w:rsidRDefault="000F2D09"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6928FCD5" w14:textId="77777777" w:rsidTr="00EF4061">
        <w:tc>
          <w:tcPr>
            <w:tcW w:w="0" w:type="auto"/>
          </w:tcPr>
          <w:p w14:paraId="734B3256" w14:textId="348546B0" w:rsidR="00EF4061" w:rsidRPr="00CC3A91" w:rsidRDefault="003E038E" w:rsidP="00371F36">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Responder a</w:t>
            </w:r>
            <w:r w:rsidR="0088725B" w:rsidRPr="00CC3A91">
              <w:rPr>
                <w:rFonts w:asciiTheme="majorHAnsi" w:hAnsiTheme="majorHAnsi" w:cs="Arial"/>
                <w:b w:val="0"/>
                <w:sz w:val="20"/>
                <w:szCs w:val="20"/>
                <w:lang w:val="es-ES_tradnl"/>
              </w:rPr>
              <w:t xml:space="preserve"> </w:t>
            </w:r>
            <w:r w:rsidR="00371F36" w:rsidRPr="00CC3A91">
              <w:rPr>
                <w:rFonts w:asciiTheme="majorHAnsi" w:hAnsiTheme="majorHAnsi" w:cs="Arial"/>
                <w:b w:val="0"/>
                <w:sz w:val="20"/>
                <w:szCs w:val="20"/>
                <w:lang w:val="es-ES_tradnl"/>
              </w:rPr>
              <w:t>las peticiones nacionales o regionales pertinentes de asesoramiento formuladas por las Partes Contratantes</w:t>
            </w:r>
          </w:p>
        </w:tc>
        <w:tc>
          <w:tcPr>
            <w:tcW w:w="0" w:type="auto"/>
          </w:tcPr>
          <w:p w14:paraId="26D708F3" w14:textId="687092A4"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00C41FC4"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 2</w:t>
            </w:r>
            <w:r w:rsidR="00B75A04" w:rsidRPr="00CC3A91">
              <w:rPr>
                <w:rFonts w:ascii="Calibri" w:hAnsi="Calibri" w:cs="Arial"/>
                <w:b w:val="0"/>
                <w:sz w:val="20"/>
                <w:szCs w:val="20"/>
                <w:lang w:val="es-ES_tradnl"/>
              </w:rPr>
              <w:t>, 59</w:t>
            </w:r>
          </w:p>
        </w:tc>
        <w:tc>
          <w:tcPr>
            <w:tcW w:w="0" w:type="auto"/>
          </w:tcPr>
          <w:p w14:paraId="227F27EC" w14:textId="77777777"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4.14</w:t>
            </w:r>
          </w:p>
        </w:tc>
        <w:tc>
          <w:tcPr>
            <w:tcW w:w="0" w:type="auto"/>
          </w:tcPr>
          <w:p w14:paraId="032B53D1" w14:textId="06AF31CA" w:rsidR="00EF4061" w:rsidRPr="00CC3A91" w:rsidRDefault="00B60E89" w:rsidP="00B60E89">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El GECT puede proporcionar asesoramiento, según proceda, a las Partes Contratantes que </w:t>
            </w:r>
            <w:r w:rsidR="00371F36" w:rsidRPr="00CC3A91">
              <w:rPr>
                <w:rFonts w:asciiTheme="majorHAnsi" w:hAnsiTheme="majorHAnsi" w:cs="Arial"/>
                <w:b w:val="0"/>
                <w:sz w:val="20"/>
                <w:szCs w:val="20"/>
                <w:lang w:val="es-ES_tradnl"/>
              </w:rPr>
              <w:t>así lo soli</w:t>
            </w:r>
            <w:r w:rsidRPr="00CC3A91">
              <w:rPr>
                <w:rFonts w:asciiTheme="majorHAnsi" w:hAnsiTheme="majorHAnsi" w:cs="Arial"/>
                <w:b w:val="0"/>
                <w:sz w:val="20"/>
                <w:szCs w:val="20"/>
                <w:lang w:val="es-ES_tradnl"/>
              </w:rPr>
              <w:t xml:space="preserve">citen. </w:t>
            </w:r>
          </w:p>
        </w:tc>
        <w:tc>
          <w:tcPr>
            <w:tcW w:w="0" w:type="auto"/>
          </w:tcPr>
          <w:p w14:paraId="303B2C8D" w14:textId="29DCD116" w:rsidR="00EF4061" w:rsidRPr="00CC3A91" w:rsidRDefault="000F2D09"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6423D437" w14:textId="77777777" w:rsidTr="00EF4061">
        <w:tc>
          <w:tcPr>
            <w:tcW w:w="0" w:type="auto"/>
          </w:tcPr>
          <w:p w14:paraId="78F5AA50" w14:textId="28ECA53E" w:rsidR="00EF4061" w:rsidRPr="00CC3A91" w:rsidRDefault="003E038E"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Misiones Ramsar de Asesoramiento </w:t>
            </w:r>
          </w:p>
        </w:tc>
        <w:tc>
          <w:tcPr>
            <w:tcW w:w="0" w:type="auto"/>
          </w:tcPr>
          <w:p w14:paraId="0393AAF7" w14:textId="149F210A"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 1-2</w:t>
            </w:r>
            <w:r w:rsidR="00B75A04" w:rsidRPr="00CC3A91">
              <w:rPr>
                <w:rFonts w:ascii="Calibri" w:hAnsi="Calibri" w:cs="Arial"/>
                <w:b w:val="0"/>
                <w:sz w:val="20"/>
                <w:szCs w:val="20"/>
                <w:lang w:val="es-ES_tradnl"/>
              </w:rPr>
              <w:t xml:space="preserve">, 12 </w:t>
            </w:r>
          </w:p>
        </w:tc>
        <w:tc>
          <w:tcPr>
            <w:tcW w:w="0" w:type="auto"/>
          </w:tcPr>
          <w:p w14:paraId="5312686C" w14:textId="77777777"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2.5, 2.7, 4.14</w:t>
            </w:r>
          </w:p>
        </w:tc>
        <w:tc>
          <w:tcPr>
            <w:tcW w:w="0" w:type="auto"/>
          </w:tcPr>
          <w:p w14:paraId="043CD4E6" w14:textId="203F18C2" w:rsidR="00EF4061" w:rsidRPr="00CC3A91" w:rsidRDefault="00371F36" w:rsidP="00B60E89">
            <w:pPr>
              <w:rPr>
                <w:rFonts w:asciiTheme="majorHAnsi" w:hAnsiTheme="majorHAnsi" w:cs="Arial"/>
                <w:sz w:val="20"/>
                <w:szCs w:val="20"/>
                <w:lang w:val="es-ES_tradnl"/>
              </w:rPr>
            </w:pPr>
            <w:r w:rsidRPr="00CC3A91">
              <w:rPr>
                <w:rFonts w:asciiTheme="majorHAnsi" w:hAnsiTheme="majorHAnsi" w:cs="Arial"/>
                <w:b w:val="0"/>
                <w:sz w:val="20"/>
                <w:szCs w:val="20"/>
                <w:lang w:val="es-ES_tradnl"/>
              </w:rPr>
              <w:t>Los e</w:t>
            </w:r>
            <w:r w:rsidR="00B60E89" w:rsidRPr="00CC3A91">
              <w:rPr>
                <w:rFonts w:asciiTheme="majorHAnsi" w:hAnsiTheme="majorHAnsi" w:cs="Arial"/>
                <w:b w:val="0"/>
                <w:sz w:val="20"/>
                <w:szCs w:val="20"/>
                <w:lang w:val="es-ES_tradnl"/>
              </w:rPr>
              <w:t>xpertos del GECT pueden participar en las Misiones Ramsar de Asesoramiento, cuando así se les solicite y haya fondos disponibles del pres</w:t>
            </w:r>
            <w:r w:rsidRPr="00CC3A91">
              <w:rPr>
                <w:rFonts w:asciiTheme="majorHAnsi" w:hAnsiTheme="majorHAnsi" w:cs="Arial"/>
                <w:b w:val="0"/>
                <w:sz w:val="20"/>
                <w:szCs w:val="20"/>
                <w:lang w:val="es-ES_tradnl"/>
              </w:rPr>
              <w:t>upuesto de la Secretaría para cu</w:t>
            </w:r>
            <w:r w:rsidR="00B60E89" w:rsidRPr="00CC3A91">
              <w:rPr>
                <w:rFonts w:asciiTheme="majorHAnsi" w:hAnsiTheme="majorHAnsi" w:cs="Arial"/>
                <w:b w:val="0"/>
                <w:sz w:val="20"/>
                <w:szCs w:val="20"/>
                <w:lang w:val="es-ES_tradnl"/>
              </w:rPr>
              <w:t xml:space="preserve">brir los costos del viaje. </w:t>
            </w:r>
          </w:p>
        </w:tc>
        <w:tc>
          <w:tcPr>
            <w:tcW w:w="0" w:type="auto"/>
          </w:tcPr>
          <w:p w14:paraId="2CC030FB" w14:textId="273B5DD0" w:rsidR="00EF4061" w:rsidRPr="00CC3A91" w:rsidRDefault="000F2D09"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3FCF1110" w14:textId="77777777" w:rsidTr="00EF4061">
        <w:tc>
          <w:tcPr>
            <w:tcW w:w="0" w:type="auto"/>
          </w:tcPr>
          <w:p w14:paraId="4D912350" w14:textId="12767053" w:rsidR="00EF4061" w:rsidRPr="00CC3A91" w:rsidRDefault="00B60E89" w:rsidP="00A971DD">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Exclusión de sitios </w:t>
            </w:r>
            <w:r w:rsidR="00A971DD" w:rsidRPr="00CC3A91">
              <w:rPr>
                <w:rFonts w:asciiTheme="majorHAnsi" w:hAnsiTheme="majorHAnsi" w:cs="Arial"/>
                <w:b w:val="0"/>
                <w:sz w:val="20"/>
                <w:szCs w:val="20"/>
                <w:lang w:val="es-ES_tradnl"/>
              </w:rPr>
              <w:t xml:space="preserve">Ramsar del Registro de Montreux </w:t>
            </w:r>
          </w:p>
        </w:tc>
        <w:tc>
          <w:tcPr>
            <w:tcW w:w="0" w:type="auto"/>
          </w:tcPr>
          <w:p w14:paraId="54048C07" w14:textId="58415B03"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1-</w:t>
            </w:r>
            <w:r w:rsidRPr="00CC3A91">
              <w:rPr>
                <w:rFonts w:ascii="Calibri" w:hAnsi="Calibri" w:cs="Arial"/>
                <w:b w:val="0"/>
                <w:sz w:val="20"/>
                <w:szCs w:val="20"/>
                <w:lang w:val="es-ES_tradnl"/>
              </w:rPr>
              <w:t xml:space="preserve"> 2</w:t>
            </w:r>
            <w:r w:rsidR="00B75A04" w:rsidRPr="00CC3A91">
              <w:rPr>
                <w:rFonts w:ascii="Calibri" w:hAnsi="Calibri" w:cs="Arial"/>
                <w:b w:val="0"/>
                <w:sz w:val="20"/>
                <w:szCs w:val="20"/>
                <w:lang w:val="es-ES_tradnl"/>
              </w:rPr>
              <w:t>, 12 (v), 15, 38</w:t>
            </w:r>
          </w:p>
        </w:tc>
        <w:tc>
          <w:tcPr>
            <w:tcW w:w="0" w:type="auto"/>
          </w:tcPr>
          <w:p w14:paraId="4D7CCBD3" w14:textId="77777777"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2.5, 2.7, 4.14</w:t>
            </w:r>
          </w:p>
        </w:tc>
        <w:tc>
          <w:tcPr>
            <w:tcW w:w="0" w:type="auto"/>
          </w:tcPr>
          <w:p w14:paraId="47A42AFA" w14:textId="25D51466" w:rsidR="00EF4061" w:rsidRPr="00CC3A91" w:rsidRDefault="00A971DD" w:rsidP="00A971DD">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El GECT puede responder a peticiones recibidas de las Partes Contratantes, </w:t>
            </w:r>
            <w:r w:rsidR="00CC3A91" w:rsidRPr="00CC3A91">
              <w:rPr>
                <w:rFonts w:asciiTheme="majorHAnsi" w:hAnsiTheme="majorHAnsi" w:cs="Arial"/>
                <w:b w:val="0"/>
                <w:sz w:val="20"/>
                <w:szCs w:val="20"/>
                <w:lang w:val="es-ES_tradnl"/>
              </w:rPr>
              <w:t>según</w:t>
            </w:r>
            <w:r w:rsidRPr="00CC3A91">
              <w:rPr>
                <w:rFonts w:asciiTheme="majorHAnsi" w:hAnsiTheme="majorHAnsi" w:cs="Arial"/>
                <w:b w:val="0"/>
                <w:sz w:val="20"/>
                <w:szCs w:val="20"/>
                <w:lang w:val="es-ES_tradnl"/>
              </w:rPr>
              <w:t xml:space="preserve"> proceda, en relación con la exclusión de sitios Ramsar del Registro de Montreux.</w:t>
            </w:r>
            <w:r w:rsidR="0088725B" w:rsidRPr="00CC3A91">
              <w:rPr>
                <w:rFonts w:asciiTheme="majorHAnsi" w:hAnsiTheme="majorHAnsi" w:cs="Arial"/>
                <w:b w:val="0"/>
                <w:sz w:val="20"/>
                <w:szCs w:val="20"/>
                <w:lang w:val="es-ES_tradnl"/>
              </w:rPr>
              <w:t xml:space="preserve"> </w:t>
            </w:r>
          </w:p>
        </w:tc>
        <w:tc>
          <w:tcPr>
            <w:tcW w:w="0" w:type="auto"/>
          </w:tcPr>
          <w:p w14:paraId="0011A40C" w14:textId="0681DE14" w:rsidR="00EF4061" w:rsidRPr="00CC3A91" w:rsidRDefault="000F2D09"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69B12FA9" w14:textId="77777777" w:rsidTr="00EF4061">
        <w:tc>
          <w:tcPr>
            <w:tcW w:w="0" w:type="auto"/>
          </w:tcPr>
          <w:p w14:paraId="05CE6F34" w14:textId="2FA57E41" w:rsidR="00EF4061" w:rsidRPr="00CC3A91" w:rsidRDefault="00A971DD" w:rsidP="00A971DD">
            <w:pPr>
              <w:rPr>
                <w:rFonts w:asciiTheme="majorHAnsi" w:hAnsiTheme="majorHAnsi" w:cs="Arial"/>
                <w:sz w:val="22"/>
                <w:szCs w:val="22"/>
                <w:lang w:val="es-ES_tradnl"/>
              </w:rPr>
            </w:pPr>
            <w:r w:rsidRPr="00CC3A91">
              <w:rPr>
                <w:rFonts w:asciiTheme="majorHAnsi" w:hAnsiTheme="majorHAnsi" w:cs="Arial"/>
                <w:b w:val="0"/>
                <w:sz w:val="20"/>
                <w:szCs w:val="20"/>
                <w:lang w:val="es-ES_tradnl"/>
              </w:rPr>
              <w:t>Comité Asesor Independiente para la Acreditación de Ciudad de Humedal Ramsar</w:t>
            </w:r>
          </w:p>
        </w:tc>
        <w:tc>
          <w:tcPr>
            <w:tcW w:w="0" w:type="auto"/>
          </w:tcPr>
          <w:p w14:paraId="5B8CDD94" w14:textId="5AE33314"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 xml:space="preserve">Res. XII.10,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16 (e)</w:t>
            </w:r>
          </w:p>
        </w:tc>
        <w:tc>
          <w:tcPr>
            <w:tcW w:w="0" w:type="auto"/>
          </w:tcPr>
          <w:p w14:paraId="461D5FBD" w14:textId="77777777"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3.11, 4.14, 4.16</w:t>
            </w:r>
          </w:p>
        </w:tc>
        <w:tc>
          <w:tcPr>
            <w:tcW w:w="0" w:type="auto"/>
          </w:tcPr>
          <w:p w14:paraId="6FEEC1DB" w14:textId="2CBD3F97" w:rsidR="00EF4061" w:rsidRPr="00CC3A91" w:rsidRDefault="00A971DD"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Un experto del GECT servirá como miembro del Comité Asesor Independiente para la Acreditación de Ciudad de Humedal Ramsar</w:t>
            </w:r>
          </w:p>
        </w:tc>
        <w:tc>
          <w:tcPr>
            <w:tcW w:w="0" w:type="auto"/>
          </w:tcPr>
          <w:p w14:paraId="358FD37D" w14:textId="61EFD0A9" w:rsidR="00EF4061" w:rsidRPr="00CC3A91" w:rsidRDefault="000F2D09"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r w:rsidR="00CA77C8" w:rsidRPr="00E81A45" w14:paraId="086F9CC3" w14:textId="77777777" w:rsidTr="00EF4061">
        <w:tc>
          <w:tcPr>
            <w:tcW w:w="0" w:type="auto"/>
          </w:tcPr>
          <w:p w14:paraId="4D7E4AA6" w14:textId="1012F773" w:rsidR="00EF4061" w:rsidRPr="00CC3A91" w:rsidRDefault="00EF4061" w:rsidP="00A971DD">
            <w:pPr>
              <w:rPr>
                <w:rFonts w:asciiTheme="majorHAnsi" w:hAnsiTheme="majorHAnsi" w:cs="Arial"/>
                <w:sz w:val="20"/>
                <w:szCs w:val="20"/>
                <w:lang w:val="es-ES_tradnl"/>
              </w:rPr>
            </w:pPr>
            <w:r w:rsidRPr="00CC3A91">
              <w:rPr>
                <w:rFonts w:asciiTheme="majorHAnsi" w:hAnsiTheme="majorHAnsi" w:cs="Arial"/>
                <w:b w:val="0"/>
                <w:sz w:val="20"/>
                <w:szCs w:val="20"/>
                <w:lang w:val="es-ES_tradnl"/>
              </w:rPr>
              <w:t>Pr</w:t>
            </w:r>
            <w:r w:rsidR="00A971DD" w:rsidRPr="00CC3A91">
              <w:rPr>
                <w:rFonts w:asciiTheme="majorHAnsi" w:hAnsiTheme="majorHAnsi" w:cs="Arial"/>
                <w:b w:val="0"/>
                <w:sz w:val="20"/>
                <w:szCs w:val="20"/>
                <w:lang w:val="es-ES_tradnl"/>
              </w:rPr>
              <w:t>estar asesoramiento sobre cuestiones emergentes</w:t>
            </w:r>
          </w:p>
        </w:tc>
        <w:tc>
          <w:tcPr>
            <w:tcW w:w="0" w:type="auto"/>
          </w:tcPr>
          <w:p w14:paraId="01029D7F" w14:textId="701E3CF6"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 </w:t>
            </w:r>
            <w:r w:rsidR="00C41FC4" w:rsidRPr="00CC3A91">
              <w:rPr>
                <w:rFonts w:asciiTheme="majorHAnsi" w:hAnsiTheme="majorHAnsi" w:cs="Arial"/>
                <w:b w:val="0"/>
                <w:sz w:val="20"/>
                <w:szCs w:val="20"/>
                <w:lang w:val="es-ES_tradnl"/>
              </w:rPr>
              <w:t>¶</w:t>
            </w:r>
            <w:r w:rsidRPr="00CC3A91">
              <w:rPr>
                <w:rFonts w:ascii="Calibri" w:hAnsi="Calibri" w:cs="Arial"/>
                <w:b w:val="0"/>
                <w:sz w:val="20"/>
                <w:szCs w:val="20"/>
                <w:lang w:val="es-ES_tradnl"/>
              </w:rPr>
              <w:t>¶2</w:t>
            </w:r>
            <w:r w:rsidR="00B75A04" w:rsidRPr="00CC3A91">
              <w:rPr>
                <w:rFonts w:ascii="Calibri" w:hAnsi="Calibri" w:cs="Arial"/>
                <w:b w:val="0"/>
                <w:sz w:val="20"/>
                <w:szCs w:val="20"/>
                <w:lang w:val="es-ES_tradnl"/>
              </w:rPr>
              <w:t>, 15 (ii), 38</w:t>
            </w:r>
          </w:p>
        </w:tc>
        <w:tc>
          <w:tcPr>
            <w:tcW w:w="0" w:type="auto"/>
          </w:tcPr>
          <w:p w14:paraId="5C60C6C9" w14:textId="77777777"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4.14</w:t>
            </w:r>
          </w:p>
        </w:tc>
        <w:tc>
          <w:tcPr>
            <w:tcW w:w="0" w:type="auto"/>
          </w:tcPr>
          <w:p w14:paraId="07B6E8F6" w14:textId="47D677FE" w:rsidR="00EF4061" w:rsidRPr="00CC3A91" w:rsidRDefault="002522E6" w:rsidP="00371F36">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S</w:t>
            </w:r>
            <w:r w:rsidR="00371F36" w:rsidRPr="00CC3A91">
              <w:rPr>
                <w:rFonts w:asciiTheme="majorHAnsi" w:hAnsiTheme="majorHAnsi" w:cs="Arial"/>
                <w:b w:val="0"/>
                <w:sz w:val="20"/>
                <w:szCs w:val="20"/>
                <w:lang w:val="es-ES_tradnl"/>
              </w:rPr>
              <w:t>egún proceda y sea</w:t>
            </w:r>
            <w:r w:rsidRPr="00CC3A91">
              <w:rPr>
                <w:rFonts w:asciiTheme="majorHAnsi" w:hAnsiTheme="majorHAnsi" w:cs="Arial"/>
                <w:b w:val="0"/>
                <w:sz w:val="20"/>
                <w:szCs w:val="20"/>
                <w:lang w:val="es-ES_tradnl"/>
              </w:rPr>
              <w:t xml:space="preserve"> </w:t>
            </w:r>
            <w:r w:rsidR="00A971DD" w:rsidRPr="00CC3A91">
              <w:rPr>
                <w:rFonts w:asciiTheme="majorHAnsi" w:hAnsiTheme="majorHAnsi" w:cs="Arial"/>
                <w:b w:val="0"/>
                <w:sz w:val="20"/>
                <w:szCs w:val="20"/>
                <w:lang w:val="es-ES_tradnl"/>
              </w:rPr>
              <w:t>nece</w:t>
            </w:r>
            <w:r w:rsidR="00371F36" w:rsidRPr="00CC3A91">
              <w:rPr>
                <w:rFonts w:asciiTheme="majorHAnsi" w:hAnsiTheme="majorHAnsi" w:cs="Arial"/>
                <w:b w:val="0"/>
                <w:sz w:val="20"/>
                <w:szCs w:val="20"/>
                <w:lang w:val="es-ES_tradnl"/>
              </w:rPr>
              <w:t>sario</w:t>
            </w:r>
            <w:r w:rsidR="00A971DD" w:rsidRPr="00CC3A91">
              <w:rPr>
                <w:rFonts w:asciiTheme="majorHAnsi" w:hAnsiTheme="majorHAnsi" w:cs="Arial"/>
                <w:b w:val="0"/>
                <w:sz w:val="20"/>
                <w:szCs w:val="20"/>
                <w:lang w:val="es-ES_tradnl"/>
              </w:rPr>
              <w:t xml:space="preserve">, </w:t>
            </w:r>
            <w:r w:rsidR="00371F36" w:rsidRPr="00CC3A91">
              <w:rPr>
                <w:rFonts w:asciiTheme="majorHAnsi" w:hAnsiTheme="majorHAnsi" w:cs="Arial"/>
                <w:b w:val="0"/>
                <w:sz w:val="20"/>
                <w:szCs w:val="20"/>
                <w:lang w:val="es-ES_tradnl"/>
              </w:rPr>
              <w:t>e</w:t>
            </w:r>
            <w:r w:rsidRPr="00CC3A91">
              <w:rPr>
                <w:rFonts w:asciiTheme="majorHAnsi" w:hAnsiTheme="majorHAnsi" w:cs="Arial"/>
                <w:b w:val="0"/>
                <w:sz w:val="20"/>
                <w:szCs w:val="20"/>
                <w:lang w:val="es-ES_tradnl"/>
              </w:rPr>
              <w:t>l GECT puede</w:t>
            </w:r>
            <w:r w:rsidR="0088725B" w:rsidRPr="00CC3A91">
              <w:rPr>
                <w:rFonts w:asciiTheme="majorHAnsi" w:hAnsiTheme="majorHAnsi" w:cs="Arial"/>
                <w:b w:val="0"/>
                <w:sz w:val="20"/>
                <w:szCs w:val="20"/>
                <w:lang w:val="es-ES_tradnl"/>
              </w:rPr>
              <w:t xml:space="preserve"> </w:t>
            </w:r>
            <w:r w:rsidR="00A10B40" w:rsidRPr="00CC3A91">
              <w:rPr>
                <w:rFonts w:asciiTheme="majorHAnsi" w:hAnsiTheme="majorHAnsi" w:cs="Arial"/>
                <w:b w:val="0"/>
                <w:sz w:val="20"/>
                <w:szCs w:val="20"/>
                <w:lang w:val="es-ES_tradnl"/>
              </w:rPr>
              <w:t xml:space="preserve">hacer un seguimiento de </w:t>
            </w:r>
            <w:r w:rsidRPr="00CC3A91">
              <w:rPr>
                <w:rFonts w:asciiTheme="majorHAnsi" w:hAnsiTheme="majorHAnsi" w:cs="Arial"/>
                <w:b w:val="0"/>
                <w:sz w:val="20"/>
                <w:szCs w:val="20"/>
                <w:lang w:val="es-ES_tradnl"/>
              </w:rPr>
              <w:t>aquel</w:t>
            </w:r>
            <w:r w:rsidR="00A10B40" w:rsidRPr="00CC3A91">
              <w:rPr>
                <w:rFonts w:asciiTheme="majorHAnsi" w:hAnsiTheme="majorHAnsi" w:cs="Arial"/>
                <w:b w:val="0"/>
                <w:sz w:val="20"/>
                <w:szCs w:val="20"/>
                <w:lang w:val="es-ES_tradnl"/>
              </w:rPr>
              <w:t xml:space="preserve">las cuestiones emergentes y más estratégicas </w:t>
            </w:r>
            <w:r w:rsidRPr="00CC3A91">
              <w:rPr>
                <w:rFonts w:asciiTheme="majorHAnsi" w:hAnsiTheme="majorHAnsi" w:cs="Arial"/>
                <w:b w:val="0"/>
                <w:sz w:val="20"/>
                <w:szCs w:val="20"/>
                <w:lang w:val="es-ES_tradnl"/>
              </w:rPr>
              <w:t>que p</w:t>
            </w:r>
            <w:r w:rsidR="00371F36" w:rsidRPr="00CC3A91">
              <w:rPr>
                <w:rFonts w:asciiTheme="majorHAnsi" w:hAnsiTheme="majorHAnsi" w:cs="Arial"/>
                <w:b w:val="0"/>
                <w:sz w:val="20"/>
                <w:szCs w:val="20"/>
                <w:lang w:val="es-ES_tradnl"/>
              </w:rPr>
              <w:t>uedan</w:t>
            </w:r>
            <w:r w:rsidRPr="00CC3A91">
              <w:rPr>
                <w:rFonts w:asciiTheme="majorHAnsi" w:hAnsiTheme="majorHAnsi" w:cs="Arial"/>
                <w:b w:val="0"/>
                <w:sz w:val="20"/>
                <w:szCs w:val="20"/>
                <w:lang w:val="es-ES_tradnl"/>
              </w:rPr>
              <w:t xml:space="preserve"> requerir acción o asesoramiento al respecto en un futuro próximo o a medio plazo. </w:t>
            </w:r>
          </w:p>
        </w:tc>
        <w:tc>
          <w:tcPr>
            <w:tcW w:w="0" w:type="auto"/>
          </w:tcPr>
          <w:p w14:paraId="0F13DF71" w14:textId="47E0916A" w:rsidR="00EF4061" w:rsidRPr="00CC3A91" w:rsidRDefault="000F2D09"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w:t>
            </w:r>
            <w:r w:rsidRPr="00CC3A91">
              <w:rPr>
                <w:rFonts w:asciiTheme="majorHAnsi" w:eastAsia="Calibri" w:hAnsiTheme="majorHAnsi" w:cs="Calibri"/>
                <w:b w:val="0"/>
                <w:sz w:val="20"/>
                <w:szCs w:val="20"/>
                <w:lang w:val="es-ES_tradnl"/>
              </w:rPr>
              <w:lastRenderedPageBreak/>
              <w:t xml:space="preserve">voluntaria. </w:t>
            </w:r>
          </w:p>
        </w:tc>
      </w:tr>
      <w:tr w:rsidR="00EF4061" w:rsidRPr="00E81A45" w14:paraId="1F3CC9AA" w14:textId="77777777" w:rsidTr="00EF4061">
        <w:tc>
          <w:tcPr>
            <w:tcW w:w="0" w:type="auto"/>
            <w:gridSpan w:val="5"/>
            <w:shd w:val="clear" w:color="auto" w:fill="D9D9D9" w:themeFill="background1" w:themeFillShade="D9"/>
          </w:tcPr>
          <w:p w14:paraId="3CDDACD9" w14:textId="4B970916" w:rsidR="00EF4061" w:rsidRPr="00CC3A91" w:rsidRDefault="00EF4061" w:rsidP="005702F0">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lastRenderedPageBreak/>
              <w:t>Ot</w:t>
            </w:r>
            <w:r w:rsidR="00A971DD" w:rsidRPr="00CC3A91">
              <w:rPr>
                <w:rFonts w:asciiTheme="majorHAnsi" w:hAnsiTheme="majorHAnsi" w:cs="Arial"/>
                <w:sz w:val="20"/>
                <w:szCs w:val="20"/>
                <w:lang w:val="es-ES_tradnl"/>
              </w:rPr>
              <w:t xml:space="preserve">ros procesos internacionales de </w:t>
            </w:r>
            <w:r w:rsidR="005702F0" w:rsidRPr="00CC3A91">
              <w:rPr>
                <w:rFonts w:asciiTheme="majorHAnsi" w:hAnsiTheme="majorHAnsi" w:cs="Arial"/>
                <w:sz w:val="20"/>
                <w:szCs w:val="20"/>
                <w:lang w:val="es-ES_tradnl"/>
              </w:rPr>
              <w:t>interés</w:t>
            </w:r>
            <w:r w:rsidR="00A971DD" w:rsidRPr="00CC3A91">
              <w:rPr>
                <w:rFonts w:asciiTheme="majorHAnsi" w:hAnsiTheme="majorHAnsi" w:cs="Arial"/>
                <w:sz w:val="20"/>
                <w:szCs w:val="20"/>
                <w:lang w:val="es-ES_tradnl"/>
              </w:rPr>
              <w:t xml:space="preserve"> para la Convención y que puedan contribuir a la aplicación del Plan Estratégico de la Convención </w:t>
            </w:r>
          </w:p>
        </w:tc>
      </w:tr>
      <w:tr w:rsidR="00CA77C8" w:rsidRPr="00E81A45" w14:paraId="3C0A2C4D" w14:textId="77777777" w:rsidTr="00EF4061">
        <w:tc>
          <w:tcPr>
            <w:tcW w:w="0" w:type="auto"/>
          </w:tcPr>
          <w:p w14:paraId="7A114783" w14:textId="662DF149" w:rsidR="00EF4061" w:rsidRPr="00CC3A91" w:rsidRDefault="005702F0" w:rsidP="005702F0">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Participación en la </w:t>
            </w:r>
            <w:r w:rsidR="00EF4061" w:rsidRPr="00CC3A91">
              <w:rPr>
                <w:rFonts w:asciiTheme="majorHAnsi" w:hAnsiTheme="majorHAnsi" w:cs="Arial"/>
                <w:b w:val="0"/>
                <w:sz w:val="20"/>
                <w:szCs w:val="20"/>
                <w:lang w:val="es-ES_tradnl"/>
              </w:rPr>
              <w:t>IPBES</w:t>
            </w:r>
          </w:p>
        </w:tc>
        <w:tc>
          <w:tcPr>
            <w:tcW w:w="0" w:type="auto"/>
          </w:tcPr>
          <w:p w14:paraId="03F154BF"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XII.2, ¶ 24;</w:t>
            </w:r>
          </w:p>
          <w:p w14:paraId="5C4CC314"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XII.3, ¶¶ 48, 49; </w:t>
            </w:r>
          </w:p>
          <w:p w14:paraId="07E4D01A" w14:textId="7370C0F5"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w:t>
            </w:r>
            <w:r w:rsidR="0088725B"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13 (ix)</w:t>
            </w:r>
            <w:r w:rsidR="00C41FC4" w:rsidRPr="00CC3A91">
              <w:rPr>
                <w:rFonts w:asciiTheme="majorHAnsi" w:hAnsiTheme="majorHAnsi" w:cs="Arial"/>
                <w:b w:val="0"/>
                <w:sz w:val="20"/>
                <w:szCs w:val="20"/>
                <w:lang w:val="es-ES_tradnl"/>
              </w:rPr>
              <w:t>, 51</w:t>
            </w:r>
          </w:p>
        </w:tc>
        <w:tc>
          <w:tcPr>
            <w:tcW w:w="0" w:type="auto"/>
          </w:tcPr>
          <w:p w14:paraId="70103641" w14:textId="77777777"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4.14, 4.18</w:t>
            </w:r>
          </w:p>
        </w:tc>
        <w:tc>
          <w:tcPr>
            <w:tcW w:w="0" w:type="auto"/>
          </w:tcPr>
          <w:p w14:paraId="38FE6063" w14:textId="6F0640A3" w:rsidR="00EF4061" w:rsidRPr="00CC3A91" w:rsidRDefault="005702F0" w:rsidP="007E5456">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Seguir participando en el trabajo de la IPBES mediante la asistencia de la Presidencia del GECT a las reuniones de la IPBES y del Grupo Multidisciplinario de Expertos, la participación de los miembros del GECT y otros expertos de Ramsar en </w:t>
            </w:r>
            <w:r w:rsidR="00371F36" w:rsidRPr="00CC3A91">
              <w:rPr>
                <w:rFonts w:asciiTheme="majorHAnsi" w:hAnsiTheme="majorHAnsi" w:cs="Arial"/>
                <w:b w:val="0"/>
                <w:sz w:val="20"/>
                <w:szCs w:val="20"/>
                <w:lang w:val="es-ES_tradnl"/>
              </w:rPr>
              <w:t xml:space="preserve">las </w:t>
            </w:r>
            <w:r w:rsidRPr="00CC3A91">
              <w:rPr>
                <w:rFonts w:asciiTheme="majorHAnsi" w:hAnsiTheme="majorHAnsi" w:cs="Arial"/>
                <w:b w:val="0"/>
                <w:sz w:val="20"/>
                <w:szCs w:val="20"/>
                <w:lang w:val="es-ES_tradnl"/>
              </w:rPr>
              <w:t xml:space="preserve">evaluaciones mundiales y regionales, el examen de las peticiones formuladas a la IPBES para la realización de evaluaciones temáticas, incluyendo la evaluación temática sobre el estado actual y las tendencias de los humedales, </w:t>
            </w:r>
            <w:r w:rsidR="007E5456" w:rsidRPr="00CC3A91">
              <w:rPr>
                <w:rFonts w:asciiTheme="majorHAnsi" w:hAnsiTheme="majorHAnsi" w:cs="Arial"/>
                <w:b w:val="0"/>
                <w:sz w:val="20"/>
                <w:szCs w:val="20"/>
                <w:lang w:val="es-ES_tradnl"/>
              </w:rPr>
              <w:t xml:space="preserve">y la </w:t>
            </w:r>
            <w:r w:rsidRPr="00CC3A91">
              <w:rPr>
                <w:rFonts w:asciiTheme="majorHAnsi" w:hAnsiTheme="majorHAnsi" w:cs="Arial"/>
                <w:b w:val="0"/>
                <w:sz w:val="20"/>
                <w:szCs w:val="20"/>
                <w:lang w:val="es-ES_tradnl"/>
              </w:rPr>
              <w:t>integración de los resultados de las evaluaciones de la IPBES (</w:t>
            </w:r>
            <w:r w:rsidR="007E5456" w:rsidRPr="00CC3A91">
              <w:rPr>
                <w:rFonts w:asciiTheme="majorHAnsi" w:hAnsiTheme="majorHAnsi" w:cs="Arial"/>
                <w:b w:val="0"/>
                <w:sz w:val="20"/>
                <w:szCs w:val="20"/>
                <w:lang w:val="es-ES_tradnl"/>
              </w:rPr>
              <w:t xml:space="preserve">por ejemplo, sobre </w:t>
            </w:r>
            <w:r w:rsidRPr="00CC3A91">
              <w:rPr>
                <w:rFonts w:asciiTheme="majorHAnsi" w:hAnsiTheme="majorHAnsi" w:cs="Arial"/>
                <w:b w:val="0"/>
                <w:sz w:val="20"/>
                <w:szCs w:val="20"/>
                <w:lang w:val="es-ES_tradnl"/>
              </w:rPr>
              <w:t>polinizadores, degradación y re</w:t>
            </w:r>
            <w:r w:rsidR="007E5456" w:rsidRPr="00CC3A91">
              <w:rPr>
                <w:rFonts w:asciiTheme="majorHAnsi" w:hAnsiTheme="majorHAnsi" w:cs="Arial"/>
                <w:b w:val="0"/>
                <w:sz w:val="20"/>
                <w:szCs w:val="20"/>
                <w:lang w:val="es-ES_tradnl"/>
              </w:rPr>
              <w:t>habilitación</w:t>
            </w:r>
            <w:r w:rsidRPr="00CC3A91">
              <w:rPr>
                <w:rFonts w:asciiTheme="majorHAnsi" w:hAnsiTheme="majorHAnsi" w:cs="Arial"/>
                <w:b w:val="0"/>
                <w:sz w:val="20"/>
                <w:szCs w:val="20"/>
                <w:lang w:val="es-ES_tradnl"/>
              </w:rPr>
              <w:t xml:space="preserve"> del suelo) en el trabajo del GECT. </w:t>
            </w:r>
          </w:p>
        </w:tc>
        <w:tc>
          <w:tcPr>
            <w:tcW w:w="0" w:type="auto"/>
          </w:tcPr>
          <w:p w14:paraId="11C48AB6" w14:textId="6344BDA6" w:rsidR="00EF4061" w:rsidRPr="00CC3A91" w:rsidRDefault="007E5456" w:rsidP="007E5456">
            <w:pPr>
              <w:rPr>
                <w:rFonts w:asciiTheme="majorHAnsi" w:hAnsiTheme="majorHAnsi" w:cs="Arial"/>
                <w:sz w:val="22"/>
                <w:szCs w:val="22"/>
                <w:lang w:val="es-ES_tradnl"/>
              </w:rPr>
            </w:pPr>
            <w:r w:rsidRPr="00CC3A91">
              <w:rPr>
                <w:rFonts w:asciiTheme="majorHAnsi" w:hAnsiTheme="majorHAnsi" w:cs="Arial"/>
                <w:b w:val="0"/>
                <w:sz w:val="20"/>
                <w:szCs w:val="20"/>
                <w:lang w:val="es-ES_tradnl"/>
              </w:rPr>
              <w:t>El costo de los viajes se financiará del f</w:t>
            </w:r>
            <w:r w:rsidR="009A62E6" w:rsidRPr="00CC3A91">
              <w:rPr>
                <w:rFonts w:asciiTheme="majorHAnsi" w:hAnsiTheme="majorHAnsi" w:cs="Arial"/>
                <w:b w:val="0"/>
                <w:sz w:val="20"/>
                <w:szCs w:val="20"/>
                <w:lang w:val="es-ES_tradnl"/>
              </w:rPr>
              <w:t xml:space="preserve">ondo para </w:t>
            </w:r>
            <w:r w:rsidRPr="00CC3A91">
              <w:rPr>
                <w:rFonts w:asciiTheme="majorHAnsi" w:hAnsiTheme="majorHAnsi" w:cs="Arial"/>
                <w:b w:val="0"/>
                <w:sz w:val="20"/>
                <w:szCs w:val="20"/>
                <w:lang w:val="es-ES_tradnl"/>
              </w:rPr>
              <w:t xml:space="preserve">los </w:t>
            </w:r>
            <w:r w:rsidR="009A62E6" w:rsidRPr="00CC3A91">
              <w:rPr>
                <w:rFonts w:asciiTheme="majorHAnsi" w:hAnsiTheme="majorHAnsi" w:cs="Arial"/>
                <w:b w:val="0"/>
                <w:sz w:val="20"/>
                <w:szCs w:val="20"/>
                <w:lang w:val="es-ES_tradnl"/>
              </w:rPr>
              <w:t>viaje</w:t>
            </w:r>
            <w:r w:rsidRPr="00CC3A91">
              <w:rPr>
                <w:rFonts w:asciiTheme="majorHAnsi" w:hAnsiTheme="majorHAnsi" w:cs="Arial"/>
                <w:b w:val="0"/>
                <w:sz w:val="20"/>
                <w:szCs w:val="20"/>
                <w:lang w:val="es-ES_tradnl"/>
              </w:rPr>
              <w:t>s</w:t>
            </w:r>
            <w:r w:rsidR="009A62E6" w:rsidRPr="00CC3A91">
              <w:rPr>
                <w:rFonts w:asciiTheme="majorHAnsi" w:hAnsiTheme="majorHAnsi" w:cs="Arial"/>
                <w:b w:val="0"/>
                <w:sz w:val="20"/>
                <w:szCs w:val="20"/>
                <w:lang w:val="es-ES_tradnl"/>
              </w:rPr>
              <w:t xml:space="preserve"> de la Presidencia del GECT </w:t>
            </w:r>
          </w:p>
        </w:tc>
      </w:tr>
      <w:tr w:rsidR="00CA77C8" w:rsidRPr="00E81A45" w14:paraId="6C469C9B" w14:textId="77777777" w:rsidTr="00EF4061">
        <w:tc>
          <w:tcPr>
            <w:tcW w:w="0" w:type="auto"/>
          </w:tcPr>
          <w:p w14:paraId="6D526B0C" w14:textId="5F2C6610" w:rsidR="00EF4061" w:rsidRPr="00CC3A91" w:rsidRDefault="009A62E6"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Atlas de Zonas Críticas de Humedales </w:t>
            </w:r>
          </w:p>
        </w:tc>
        <w:tc>
          <w:tcPr>
            <w:tcW w:w="0" w:type="auto"/>
          </w:tcPr>
          <w:p w14:paraId="0DE1ACD7" w14:textId="7B8A00F8"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w:t>
            </w:r>
            <w:r w:rsidR="0088725B"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w:t>
            </w:r>
          </w:p>
        </w:tc>
        <w:tc>
          <w:tcPr>
            <w:tcW w:w="0" w:type="auto"/>
          </w:tcPr>
          <w:p w14:paraId="25B062CA" w14:textId="77777777" w:rsidR="00EF4061" w:rsidRPr="00CC3A91" w:rsidRDefault="00EF4061" w:rsidP="00EF4061">
            <w:pPr>
              <w:rPr>
                <w:rFonts w:asciiTheme="majorHAnsi" w:hAnsiTheme="majorHAnsi" w:cs="Arial"/>
                <w:sz w:val="22"/>
                <w:szCs w:val="22"/>
                <w:lang w:val="es-ES_tradnl"/>
              </w:rPr>
            </w:pPr>
            <w:r w:rsidRPr="00CC3A91">
              <w:rPr>
                <w:rFonts w:asciiTheme="majorHAnsi" w:hAnsiTheme="majorHAnsi" w:cs="Arial"/>
                <w:b w:val="0"/>
                <w:sz w:val="20"/>
                <w:szCs w:val="20"/>
                <w:lang w:val="es-ES_tradnl"/>
              </w:rPr>
              <w:t>4.14, 4.18</w:t>
            </w:r>
          </w:p>
        </w:tc>
        <w:tc>
          <w:tcPr>
            <w:tcW w:w="0" w:type="auto"/>
          </w:tcPr>
          <w:p w14:paraId="7ACA9913" w14:textId="6EE1F4C4" w:rsidR="00EF4061" w:rsidRPr="00CC3A91" w:rsidRDefault="009A62E6" w:rsidP="001F34FD">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Proporcionar asesoramiento, según proceda y sea necesario, al proyecto de Atlas de Zonas Críticas de Humedales, un proyecto de colaboración entre Wetlands International (WI), el CDB, la CNULD y Ramsar, que fue lanzado en la 21ª reunión de la Conferencia de las Partes de la CMNUCC. </w:t>
            </w:r>
            <w:r w:rsidR="001F34FD" w:rsidRPr="00CC3A91">
              <w:rPr>
                <w:rFonts w:asciiTheme="majorHAnsi" w:hAnsiTheme="majorHAnsi" w:cs="Arial"/>
                <w:b w:val="0"/>
                <w:sz w:val="20"/>
                <w:szCs w:val="20"/>
                <w:lang w:val="es-ES_tradnl"/>
              </w:rPr>
              <w:t>Aquí p</w:t>
            </w:r>
            <w:r w:rsidR="002522E6" w:rsidRPr="00CC3A91">
              <w:rPr>
                <w:rFonts w:asciiTheme="majorHAnsi" w:hAnsiTheme="majorHAnsi" w:cs="Arial"/>
                <w:b w:val="0"/>
                <w:sz w:val="20"/>
                <w:szCs w:val="20"/>
                <w:lang w:val="es-ES_tradnl"/>
              </w:rPr>
              <w:t xml:space="preserve">uede haber posibilidades </w:t>
            </w:r>
            <w:r w:rsidR="001F34FD" w:rsidRPr="00CC3A91">
              <w:rPr>
                <w:rFonts w:asciiTheme="majorHAnsi" w:hAnsiTheme="majorHAnsi" w:cs="Arial"/>
                <w:b w:val="0"/>
                <w:sz w:val="20"/>
                <w:szCs w:val="20"/>
                <w:lang w:val="es-ES_tradnl"/>
              </w:rPr>
              <w:t xml:space="preserve">de obtener </w:t>
            </w:r>
            <w:r w:rsidR="002522E6" w:rsidRPr="00CC3A91">
              <w:rPr>
                <w:rFonts w:asciiTheme="majorHAnsi" w:hAnsiTheme="majorHAnsi" w:cs="Arial"/>
                <w:b w:val="0"/>
                <w:sz w:val="20"/>
                <w:szCs w:val="20"/>
                <w:lang w:val="es-ES_tradnl"/>
              </w:rPr>
              <w:t>productos</w:t>
            </w:r>
            <w:r w:rsidR="001F34FD" w:rsidRPr="00CC3A91">
              <w:rPr>
                <w:rFonts w:asciiTheme="majorHAnsi" w:hAnsiTheme="majorHAnsi" w:cs="Arial"/>
                <w:b w:val="0"/>
                <w:sz w:val="20"/>
                <w:szCs w:val="20"/>
                <w:lang w:val="es-ES_tradnl"/>
              </w:rPr>
              <w:t xml:space="preserve"> derivados para Ramsar</w:t>
            </w:r>
            <w:r w:rsidR="00EF4061" w:rsidRPr="00CC3A91">
              <w:rPr>
                <w:rFonts w:asciiTheme="majorHAnsi" w:hAnsiTheme="majorHAnsi" w:cs="Arial"/>
                <w:b w:val="0"/>
                <w:sz w:val="20"/>
                <w:szCs w:val="20"/>
                <w:lang w:val="es-ES_tradnl"/>
              </w:rPr>
              <w:t xml:space="preserve">, </w:t>
            </w:r>
            <w:r w:rsidR="001F34FD" w:rsidRPr="00CC3A91">
              <w:rPr>
                <w:rFonts w:asciiTheme="majorHAnsi" w:hAnsiTheme="majorHAnsi" w:cs="Arial"/>
                <w:b w:val="0"/>
                <w:sz w:val="20"/>
                <w:szCs w:val="20"/>
                <w:lang w:val="es-ES_tradnl"/>
              </w:rPr>
              <w:t xml:space="preserve">sujeto a la disponibilidad de recursos y la aprobación del Comité Permanente. </w:t>
            </w:r>
          </w:p>
        </w:tc>
        <w:tc>
          <w:tcPr>
            <w:tcW w:w="0" w:type="auto"/>
          </w:tcPr>
          <w:p w14:paraId="495F68DC" w14:textId="2115F24C" w:rsidR="00EF4061" w:rsidRPr="00CC3A91" w:rsidRDefault="007E5456"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tc>
      </w:tr>
    </w:tbl>
    <w:p w14:paraId="6BF2DA98" w14:textId="77777777" w:rsidR="00EF4061" w:rsidRPr="00CC3A91" w:rsidRDefault="00EF4061" w:rsidP="00EF4061">
      <w:pPr>
        <w:rPr>
          <w:rFonts w:asciiTheme="majorHAnsi" w:hAnsiTheme="majorHAnsi" w:cs="Arial"/>
          <w:sz w:val="22"/>
          <w:szCs w:val="22"/>
          <w:lang w:val="es-ES_tradnl"/>
        </w:rPr>
      </w:pPr>
    </w:p>
    <w:tbl>
      <w:tblPr>
        <w:tblStyle w:val="TableGrid1"/>
        <w:tblW w:w="5000" w:type="pct"/>
        <w:tblLook w:val="04A0" w:firstRow="1" w:lastRow="0" w:firstColumn="1" w:lastColumn="0" w:noHBand="0" w:noVBand="1"/>
      </w:tblPr>
      <w:tblGrid>
        <w:gridCol w:w="14174"/>
      </w:tblGrid>
      <w:tr w:rsidR="00EF4061" w:rsidRPr="00E81A45" w14:paraId="78BB7C30" w14:textId="77777777" w:rsidTr="00EF4061">
        <w:tc>
          <w:tcPr>
            <w:tcW w:w="5000" w:type="pct"/>
            <w:shd w:val="clear" w:color="auto" w:fill="000000" w:themeFill="text1"/>
          </w:tcPr>
          <w:p w14:paraId="5EB8F5D3" w14:textId="6D77FCBC" w:rsidR="00EF4061" w:rsidRPr="00CC3A91" w:rsidRDefault="009A62E6" w:rsidP="00EF4061">
            <w:pPr>
              <w:rPr>
                <w:rFonts w:asciiTheme="majorHAnsi" w:hAnsiTheme="majorHAnsi" w:cs="Arial"/>
                <w:sz w:val="20"/>
                <w:szCs w:val="20"/>
                <w:lang w:val="es-ES_tradnl"/>
              </w:rPr>
            </w:pPr>
            <w:r w:rsidRPr="00CC3A91">
              <w:rPr>
                <w:rFonts w:asciiTheme="majorHAnsi" w:hAnsiTheme="majorHAnsi" w:cs="Arial"/>
                <w:sz w:val="20"/>
                <w:szCs w:val="20"/>
                <w:lang w:val="es-ES_tradnl"/>
              </w:rPr>
              <w:t>Área Temática de Trabajo Nº 1: Metodologías/herramientas de buenas prácticas para el seguimiento de los sitios Ramsar, incluyendo levantamientos topográficos, mapas e inventarios, teniendo en cuenta las prácticas tradicionales de los pueblos indígenas y las comunidades locales</w:t>
            </w:r>
          </w:p>
        </w:tc>
      </w:tr>
    </w:tbl>
    <w:p w14:paraId="4B9823CA" w14:textId="77777777" w:rsidR="00EF4061" w:rsidRPr="00CC3A91" w:rsidRDefault="00EF4061" w:rsidP="00EF4061">
      <w:pPr>
        <w:rPr>
          <w:rFonts w:asciiTheme="majorHAnsi" w:hAnsiTheme="majorHAnsi" w:cs="Arial"/>
          <w:sz w:val="20"/>
          <w:szCs w:val="20"/>
          <w:lang w:val="es-ES_tradnl"/>
        </w:rPr>
      </w:pPr>
    </w:p>
    <w:tbl>
      <w:tblPr>
        <w:tblStyle w:val="TableGrid21"/>
        <w:tblW w:w="5000" w:type="pct"/>
        <w:tblLook w:val="04A0" w:firstRow="1" w:lastRow="0" w:firstColumn="1" w:lastColumn="0" w:noHBand="0" w:noVBand="1"/>
      </w:tblPr>
      <w:tblGrid>
        <w:gridCol w:w="3368"/>
        <w:gridCol w:w="10806"/>
      </w:tblGrid>
      <w:tr w:rsidR="00EF4061" w:rsidRPr="00E81A45" w14:paraId="292F4DA2" w14:textId="77777777" w:rsidTr="008F7FCB">
        <w:tc>
          <w:tcPr>
            <w:tcW w:w="1188" w:type="pct"/>
          </w:tcPr>
          <w:p w14:paraId="26A1DB05" w14:textId="1FB5F114" w:rsidR="00EF4061" w:rsidRPr="00CC3A91" w:rsidRDefault="009A62E6" w:rsidP="00EF4061">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Responsable(s) del grupo de trabajo y participantes: </w:t>
            </w:r>
          </w:p>
        </w:tc>
        <w:tc>
          <w:tcPr>
            <w:tcW w:w="3812" w:type="pct"/>
          </w:tcPr>
          <w:p w14:paraId="2A5C121B" w14:textId="7E2FEEDE" w:rsidR="00EF4061" w:rsidRPr="00CC3A91" w:rsidRDefault="00EF4061" w:rsidP="00360FBC">
            <w:pPr>
              <w:tabs>
                <w:tab w:val="left" w:pos="1095"/>
              </w:tabs>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Lars Dinesen, Roy Gardner, Max Finlayson (</w:t>
            </w:r>
            <w:r w:rsidR="00360FBC" w:rsidRPr="00CC3A91">
              <w:rPr>
                <w:rFonts w:asciiTheme="majorHAnsi" w:eastAsia="Calibri" w:hAnsiTheme="majorHAnsi" w:cs="Arial"/>
                <w:b w:val="0"/>
                <w:sz w:val="20"/>
                <w:szCs w:val="20"/>
                <w:lang w:val="es-ES_tradnl"/>
              </w:rPr>
              <w:t>responsable</w:t>
            </w:r>
            <w:r w:rsidRPr="00CC3A91">
              <w:rPr>
                <w:rFonts w:asciiTheme="majorHAnsi" w:eastAsia="Calibri" w:hAnsiTheme="majorHAnsi" w:cs="Arial"/>
                <w:b w:val="0"/>
                <w:sz w:val="20"/>
                <w:szCs w:val="20"/>
                <w:lang w:val="es-ES_tradnl"/>
              </w:rPr>
              <w:t>), Vincent V. Hilomen, Jari Ilmonen, Laura Martinez, Dulce Infante Mata, Rubén Quintana, Lisa-Maria Rebelo, Matt Walpole</w:t>
            </w:r>
          </w:p>
        </w:tc>
      </w:tr>
      <w:tr w:rsidR="00C413C7" w:rsidRPr="00E81A45" w14:paraId="7D2936B6" w14:textId="77777777" w:rsidTr="008F7FCB">
        <w:tc>
          <w:tcPr>
            <w:tcW w:w="1188" w:type="pct"/>
          </w:tcPr>
          <w:p w14:paraId="6D5F0311" w14:textId="2DE06154" w:rsidR="00C413C7" w:rsidRPr="00CC3A91" w:rsidRDefault="00C413C7" w:rsidP="00EF4061">
            <w:pPr>
              <w:rPr>
                <w:rFonts w:asciiTheme="majorHAnsi" w:eastAsia="Calibri" w:hAnsiTheme="majorHAnsi" w:cs="Arial"/>
                <w:sz w:val="20"/>
                <w:szCs w:val="20"/>
                <w:lang w:val="es-ES_tradnl"/>
              </w:rPr>
            </w:pPr>
            <w:bookmarkStart w:id="2" w:name="_GoBack"/>
            <w:r w:rsidRPr="00CC3A91">
              <w:rPr>
                <w:rFonts w:asciiTheme="majorHAnsi" w:eastAsia="Calibri" w:hAnsiTheme="majorHAnsi" w:cs="Arial"/>
                <w:sz w:val="20"/>
                <w:szCs w:val="20"/>
                <w:lang w:val="es-ES_tradnl"/>
              </w:rPr>
              <w:t>Organizaciones contribuyentes: [OIA/observadores/otros]</w:t>
            </w:r>
          </w:p>
        </w:tc>
        <w:tc>
          <w:tcPr>
            <w:tcW w:w="3812" w:type="pct"/>
          </w:tcPr>
          <w:p w14:paraId="71058E19" w14:textId="2B94B130" w:rsidR="00C413C7" w:rsidRPr="00CC3A91" w:rsidRDefault="00C413C7" w:rsidP="00E2615C">
            <w:pPr>
              <w:rPr>
                <w:rFonts w:asciiTheme="majorHAnsi" w:eastAsia="Calibri" w:hAnsiTheme="majorHAnsi" w:cs="Arial"/>
                <w:b w:val="0"/>
                <w:sz w:val="20"/>
                <w:szCs w:val="20"/>
                <w:highlight w:val="yellow"/>
                <w:lang w:val="es-ES_tradnl"/>
              </w:rPr>
            </w:pPr>
            <w:r w:rsidRPr="00CC3A91">
              <w:rPr>
                <w:rFonts w:asciiTheme="majorHAnsi" w:eastAsia="Calibri" w:hAnsiTheme="majorHAnsi" w:cs="Arial"/>
                <w:b w:val="0"/>
                <w:sz w:val="20"/>
                <w:szCs w:val="20"/>
                <w:lang w:val="es-ES_tradnl"/>
              </w:rPr>
              <w:t xml:space="preserve">Wetlands International (WI) (Marcel Silvius), WWF International (Denis Landenbergue)/ Secretaría del CDB (David Coates), Agencia Espacial Europea (ESA) (Marc Paganini), </w:t>
            </w:r>
            <w:r w:rsidR="00E2615C" w:rsidRPr="00CC3A91">
              <w:rPr>
                <w:rFonts w:asciiTheme="majorHAnsi" w:eastAsia="Calibri" w:hAnsiTheme="majorHAnsi" w:cs="Arial"/>
                <w:b w:val="0"/>
                <w:sz w:val="20"/>
                <w:szCs w:val="20"/>
                <w:lang w:val="es-ES_tradnl"/>
              </w:rPr>
              <w:t>Sociedad Internacional de la Turba</w:t>
            </w:r>
            <w:r w:rsidRPr="00CC3A91">
              <w:rPr>
                <w:rFonts w:asciiTheme="majorHAnsi" w:eastAsia="Calibri" w:hAnsiTheme="majorHAnsi" w:cs="Arial"/>
                <w:b w:val="0"/>
                <w:sz w:val="20"/>
                <w:szCs w:val="20"/>
                <w:lang w:val="es-ES_tradnl"/>
              </w:rPr>
              <w:t xml:space="preserve"> (IPS) (Jack Rieley), Agencia Japonesa de Exploración Aeroespacial (JAXA) (Ake Rosenqvist, </w:t>
            </w:r>
            <w:r w:rsidR="008F7FCB" w:rsidRPr="008F7FCB">
              <w:rPr>
                <w:rFonts w:asciiTheme="majorHAnsi" w:eastAsia="Calibri" w:hAnsiTheme="majorHAnsi" w:cs="Arial"/>
                <w:b w:val="0"/>
                <w:sz w:val="20"/>
                <w:szCs w:val="20"/>
                <w:lang w:val="es-ES_tradnl"/>
              </w:rPr>
              <w:t xml:space="preserve">Shizu Yabe </w:t>
            </w:r>
            <w:r w:rsidR="008F7FCB">
              <w:rPr>
                <w:rStyle w:val="FootnoteReference"/>
                <w:rFonts w:asciiTheme="majorHAnsi" w:eastAsia="Calibri" w:hAnsiTheme="majorHAnsi" w:cs="Arial"/>
                <w:b w:val="0"/>
                <w:sz w:val="20"/>
                <w:szCs w:val="20"/>
                <w:lang w:val="es-ES_tradnl"/>
              </w:rPr>
              <w:footnoteReference w:id="1"/>
            </w:r>
            <w:r w:rsidRPr="00CC3A91">
              <w:rPr>
                <w:rFonts w:asciiTheme="majorHAnsi" w:eastAsia="Calibri" w:hAnsiTheme="majorHAnsi" w:cs="Arial"/>
                <w:b w:val="0"/>
                <w:sz w:val="20"/>
                <w:szCs w:val="20"/>
                <w:lang w:val="es-ES_tradnl"/>
              </w:rPr>
              <w:t xml:space="preserve">), Sociedad de Científicos especializados en Humedales (SWS) (Nick Davidson), TNC (Boze Hancok), Tour du Valat (Christian Perennou), UNESCO-IHE (Anne van Dam), </w:t>
            </w:r>
            <w:r w:rsidR="00725898" w:rsidRPr="00CC3A91">
              <w:rPr>
                <w:rFonts w:asciiTheme="majorHAnsi" w:eastAsia="Calibri" w:hAnsiTheme="majorHAnsi" w:cs="Arial"/>
                <w:b w:val="0"/>
                <w:sz w:val="20"/>
                <w:szCs w:val="20"/>
                <w:lang w:val="es-ES_tradnl"/>
              </w:rPr>
              <w:t xml:space="preserve">WCMC (Diego Juffe-Bignoll), </w:t>
            </w:r>
            <w:r w:rsidRPr="00CC3A91">
              <w:rPr>
                <w:rFonts w:asciiTheme="majorHAnsi" w:eastAsia="Calibri" w:hAnsiTheme="majorHAnsi" w:cs="Arial"/>
                <w:b w:val="0"/>
                <w:sz w:val="20"/>
                <w:szCs w:val="20"/>
                <w:lang w:val="es-ES_tradnl"/>
              </w:rPr>
              <w:t>Centro del Patrimonio Mundial (Tim Badman)/ Coordinador Nacional del GECT para Canadá (Barry Warner), Coordinador Nacional del GECT para Malasia (Abd Rahman Kassim), Coordinadora Nacional del GECT para Portugal</w:t>
            </w:r>
            <w:r w:rsidR="00725898" w:rsidRPr="00CC3A91">
              <w:rPr>
                <w:rFonts w:asciiTheme="majorHAnsi" w:eastAsia="Calibri" w:hAnsiTheme="majorHAnsi" w:cs="Arial"/>
                <w:b w:val="0"/>
                <w:sz w:val="20"/>
                <w:szCs w:val="20"/>
                <w:lang w:val="es-ES_tradnl"/>
              </w:rPr>
              <w:t xml:space="preserve"> (Ana Mendes)</w:t>
            </w:r>
          </w:p>
        </w:tc>
      </w:tr>
      <w:bookmarkEnd w:id="2"/>
    </w:tbl>
    <w:p w14:paraId="6C7C4DB2" w14:textId="77777777" w:rsidR="00EF4061" w:rsidRPr="00CC3A91" w:rsidRDefault="00EF4061" w:rsidP="00EF4061">
      <w:pPr>
        <w:rPr>
          <w:rFonts w:asciiTheme="majorHAnsi" w:hAnsiTheme="majorHAnsi" w:cs="Arial"/>
          <w:sz w:val="20"/>
          <w:szCs w:val="20"/>
          <w:lang w:val="es-ES_tradnl"/>
        </w:rPr>
      </w:pPr>
    </w:p>
    <w:tbl>
      <w:tblPr>
        <w:tblStyle w:val="TableGrid1"/>
        <w:tblW w:w="5036" w:type="pct"/>
        <w:tblInd w:w="-51" w:type="dxa"/>
        <w:tblLayout w:type="fixed"/>
        <w:tblCellMar>
          <w:top w:w="57" w:type="dxa"/>
          <w:left w:w="57" w:type="dxa"/>
          <w:bottom w:w="57" w:type="dxa"/>
          <w:right w:w="57" w:type="dxa"/>
        </w:tblCellMar>
        <w:tblLook w:val="04A0" w:firstRow="1" w:lastRow="0" w:firstColumn="1" w:lastColumn="0" w:noHBand="0" w:noVBand="1"/>
      </w:tblPr>
      <w:tblGrid>
        <w:gridCol w:w="1381"/>
        <w:gridCol w:w="995"/>
        <w:gridCol w:w="819"/>
        <w:gridCol w:w="1162"/>
        <w:gridCol w:w="8407"/>
        <w:gridCol w:w="1409"/>
      </w:tblGrid>
      <w:tr w:rsidR="00EF4061" w:rsidRPr="00CC3A91" w14:paraId="1CC209AD" w14:textId="77777777" w:rsidTr="00DE4F5C">
        <w:trPr>
          <w:tblHeader/>
        </w:trPr>
        <w:tc>
          <w:tcPr>
            <w:tcW w:w="487" w:type="pct"/>
            <w:shd w:val="clear" w:color="auto" w:fill="D9D9D9" w:themeFill="background1" w:themeFillShade="D9"/>
          </w:tcPr>
          <w:p w14:paraId="77BD9228" w14:textId="79DB14FC" w:rsidR="00EF4061" w:rsidRPr="00CC3A91" w:rsidRDefault="00DE4F5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No. y título de la tarea</w:t>
            </w:r>
          </w:p>
        </w:tc>
        <w:tc>
          <w:tcPr>
            <w:tcW w:w="351" w:type="pct"/>
            <w:shd w:val="clear" w:color="auto" w:fill="D9D9D9" w:themeFill="background1" w:themeFillShade="D9"/>
          </w:tcPr>
          <w:p w14:paraId="3E9D0955" w14:textId="5D83D4C9" w:rsidR="00EF4061" w:rsidRPr="00CC3A91" w:rsidRDefault="00DE4F5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Prioridad</w:t>
            </w:r>
          </w:p>
        </w:tc>
        <w:tc>
          <w:tcPr>
            <w:tcW w:w="289" w:type="pct"/>
            <w:shd w:val="clear" w:color="auto" w:fill="D9D9D9" w:themeFill="background1" w:themeFillShade="D9"/>
          </w:tcPr>
          <w:p w14:paraId="297BE503" w14:textId="77777777" w:rsidR="00EF4061" w:rsidRPr="00CC3A91" w:rsidRDefault="00EF4061"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Res.</w:t>
            </w:r>
          </w:p>
        </w:tc>
        <w:tc>
          <w:tcPr>
            <w:tcW w:w="410" w:type="pct"/>
            <w:shd w:val="clear" w:color="auto" w:fill="D9D9D9" w:themeFill="background1" w:themeFillShade="D9"/>
          </w:tcPr>
          <w:p w14:paraId="110D637B" w14:textId="06C9217E" w:rsidR="00EF4061" w:rsidRPr="00CC3A91" w:rsidRDefault="00DE4F5C" w:rsidP="00DE4F5C">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2966" w:type="pct"/>
            <w:shd w:val="clear" w:color="auto" w:fill="D9D9D9" w:themeFill="background1" w:themeFillShade="D9"/>
          </w:tcPr>
          <w:p w14:paraId="49AE32C9" w14:textId="5D50D8D2" w:rsidR="00EF4061" w:rsidRPr="00CC3A91" w:rsidRDefault="00DF2144" w:rsidP="006E601A">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Descripción de la tarea</w:t>
            </w:r>
            <w:r w:rsidR="00EF4061" w:rsidRPr="00CC3A91">
              <w:rPr>
                <w:rFonts w:asciiTheme="majorHAnsi" w:hAnsiTheme="majorHAnsi" w:cs="Arial"/>
                <w:sz w:val="20"/>
                <w:szCs w:val="20"/>
                <w:lang w:val="es-ES_tradnl"/>
              </w:rPr>
              <w:t xml:space="preserve">, </w:t>
            </w:r>
            <w:r w:rsidR="006E601A" w:rsidRPr="00CC3A91">
              <w:rPr>
                <w:rFonts w:asciiTheme="majorHAnsi" w:hAnsiTheme="majorHAnsi" w:cs="Arial"/>
                <w:sz w:val="20"/>
                <w:szCs w:val="20"/>
                <w:lang w:val="es-ES_tradnl"/>
              </w:rPr>
              <w:t xml:space="preserve">productos esperados y </w:t>
            </w:r>
            <w:r w:rsidR="00DE4F5C" w:rsidRPr="00CC3A91">
              <w:rPr>
                <w:rFonts w:asciiTheme="majorHAnsi" w:hAnsiTheme="majorHAnsi" w:cs="Arial"/>
                <w:sz w:val="20"/>
                <w:szCs w:val="20"/>
                <w:lang w:val="es-ES_tradnl"/>
              </w:rPr>
              <w:t>grupo</w:t>
            </w:r>
            <w:r w:rsidR="00CC3A91" w:rsidRPr="00CC3A91">
              <w:rPr>
                <w:rFonts w:asciiTheme="majorHAnsi" w:hAnsiTheme="majorHAnsi" w:cs="Arial"/>
                <w:sz w:val="20"/>
                <w:szCs w:val="20"/>
                <w:lang w:val="es-ES_tradnl"/>
              </w:rPr>
              <w:t>s</w:t>
            </w:r>
            <w:r w:rsidR="00DE4F5C" w:rsidRPr="00CC3A91">
              <w:rPr>
                <w:rFonts w:asciiTheme="majorHAnsi" w:hAnsiTheme="majorHAnsi" w:cs="Arial"/>
                <w:sz w:val="20"/>
                <w:szCs w:val="20"/>
                <w:lang w:val="es-ES_tradnl"/>
              </w:rPr>
              <w:t xml:space="preserve"> destinatario</w:t>
            </w:r>
            <w:r w:rsidR="00CC3A91" w:rsidRPr="00CC3A91">
              <w:rPr>
                <w:rFonts w:asciiTheme="majorHAnsi" w:hAnsiTheme="majorHAnsi" w:cs="Arial"/>
                <w:sz w:val="20"/>
                <w:szCs w:val="20"/>
                <w:lang w:val="es-ES_tradnl"/>
              </w:rPr>
              <w:t>s</w:t>
            </w:r>
            <w:r w:rsidR="00DE4F5C" w:rsidRPr="00CC3A91">
              <w:rPr>
                <w:rFonts w:asciiTheme="majorHAnsi" w:hAnsiTheme="majorHAnsi" w:cs="Arial"/>
                <w:sz w:val="20"/>
                <w:szCs w:val="20"/>
                <w:lang w:val="es-ES_tradnl"/>
              </w:rPr>
              <w:t xml:space="preserve"> </w:t>
            </w:r>
          </w:p>
        </w:tc>
        <w:tc>
          <w:tcPr>
            <w:tcW w:w="497" w:type="pct"/>
            <w:shd w:val="clear" w:color="auto" w:fill="D9D9D9" w:themeFill="background1" w:themeFillShade="D9"/>
          </w:tcPr>
          <w:p w14:paraId="4BD744C6" w14:textId="77777777" w:rsidR="00EF4061" w:rsidRPr="00CC3A91" w:rsidRDefault="00EF4061" w:rsidP="00DE4F5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w:t>
            </w:r>
            <w:r w:rsidR="00DE4F5C" w:rsidRPr="00CC3A91">
              <w:rPr>
                <w:rFonts w:asciiTheme="majorHAnsi" w:hAnsiTheme="majorHAnsi" w:cs="Arial"/>
                <w:sz w:val="20"/>
                <w:szCs w:val="20"/>
                <w:lang w:val="es-ES_tradnl"/>
              </w:rPr>
              <w:t>o</w:t>
            </w:r>
          </w:p>
          <w:p w14:paraId="3ADF1F56" w14:textId="1C762B63" w:rsidR="00DE4F5C" w:rsidRPr="00CC3A91" w:rsidRDefault="00DE4F5C" w:rsidP="00DE4F5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EF4061" w:rsidRPr="00CC3A91" w14:paraId="63BF5C82" w14:textId="77777777" w:rsidTr="00DE4F5C">
        <w:tc>
          <w:tcPr>
            <w:tcW w:w="487" w:type="pct"/>
          </w:tcPr>
          <w:p w14:paraId="5AF9E6BF" w14:textId="670E9FD1" w:rsidR="00EF4061" w:rsidRPr="00CC3A91" w:rsidRDefault="00EF4061" w:rsidP="004C3386">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1.1 </w:t>
            </w:r>
            <w:r w:rsidR="001F34FD" w:rsidRPr="00CC3A91">
              <w:rPr>
                <w:rFonts w:asciiTheme="majorHAnsi" w:hAnsiTheme="majorHAnsi" w:cs="Arial"/>
                <w:b w:val="0"/>
                <w:sz w:val="20"/>
                <w:szCs w:val="20"/>
                <w:lang w:val="es-ES_tradnl"/>
              </w:rPr>
              <w:t xml:space="preserve">La observación de la Tierra </w:t>
            </w:r>
            <w:r w:rsidR="0047339C" w:rsidRPr="00CC3A91">
              <w:rPr>
                <w:rFonts w:asciiTheme="majorHAnsi" w:hAnsiTheme="majorHAnsi" w:cs="Arial"/>
                <w:b w:val="0"/>
                <w:sz w:val="20"/>
                <w:szCs w:val="20"/>
                <w:lang w:val="es-ES_tradnl"/>
              </w:rPr>
              <w:t xml:space="preserve">como herramienta de </w:t>
            </w:r>
            <w:r w:rsidRPr="00CC3A91">
              <w:rPr>
                <w:rFonts w:asciiTheme="majorHAnsi" w:hAnsiTheme="majorHAnsi" w:cs="Arial"/>
                <w:b w:val="0"/>
                <w:sz w:val="20"/>
                <w:szCs w:val="20"/>
                <w:lang w:val="es-ES_tradnl"/>
              </w:rPr>
              <w:t>“</w:t>
            </w:r>
            <w:r w:rsidR="0047339C" w:rsidRPr="00CC3A91">
              <w:rPr>
                <w:rFonts w:asciiTheme="majorHAnsi" w:hAnsiTheme="majorHAnsi" w:cs="Arial"/>
                <w:b w:val="0"/>
                <w:sz w:val="20"/>
                <w:szCs w:val="20"/>
                <w:lang w:val="es-ES_tradnl"/>
              </w:rPr>
              <w:t>buenas prácticas</w:t>
            </w:r>
            <w:r w:rsidRPr="00CC3A91">
              <w:rPr>
                <w:rFonts w:asciiTheme="majorHAnsi" w:hAnsiTheme="majorHAnsi" w:cs="Arial"/>
                <w:b w:val="0"/>
                <w:sz w:val="20"/>
                <w:szCs w:val="20"/>
                <w:lang w:val="es-ES_tradnl"/>
              </w:rPr>
              <w:t xml:space="preserve">” </w:t>
            </w:r>
            <w:r w:rsidR="0047339C" w:rsidRPr="00CC3A91">
              <w:rPr>
                <w:rFonts w:asciiTheme="majorHAnsi" w:hAnsiTheme="majorHAnsi" w:cs="Arial"/>
                <w:b w:val="0"/>
                <w:sz w:val="20"/>
                <w:szCs w:val="20"/>
                <w:lang w:val="es-ES_tradnl"/>
              </w:rPr>
              <w:t xml:space="preserve">para los inventarios, mapas y </w:t>
            </w:r>
            <w:r w:rsidR="004C3386" w:rsidRPr="00CC3A91">
              <w:rPr>
                <w:rFonts w:asciiTheme="majorHAnsi" w:hAnsiTheme="majorHAnsi" w:cs="Arial"/>
                <w:b w:val="0"/>
                <w:sz w:val="20"/>
                <w:szCs w:val="20"/>
                <w:lang w:val="es-ES_tradnl"/>
              </w:rPr>
              <w:t>vigilancia</w:t>
            </w:r>
            <w:r w:rsidR="00980B11" w:rsidRPr="00CC3A91">
              <w:rPr>
                <w:rFonts w:asciiTheme="majorHAnsi" w:hAnsiTheme="majorHAnsi" w:cs="Arial"/>
                <w:b w:val="0"/>
                <w:sz w:val="20"/>
                <w:szCs w:val="20"/>
                <w:lang w:val="es-ES_tradnl"/>
              </w:rPr>
              <w:t xml:space="preserve"> </w:t>
            </w:r>
            <w:r w:rsidR="0047339C" w:rsidRPr="00CC3A91">
              <w:rPr>
                <w:rFonts w:asciiTheme="majorHAnsi" w:hAnsiTheme="majorHAnsi" w:cs="Arial"/>
                <w:b w:val="0"/>
                <w:sz w:val="20"/>
                <w:szCs w:val="20"/>
                <w:lang w:val="es-ES_tradnl"/>
              </w:rPr>
              <w:t xml:space="preserve">de </w:t>
            </w:r>
            <w:r w:rsidR="004C3386" w:rsidRPr="00CC3A91">
              <w:rPr>
                <w:rFonts w:asciiTheme="majorHAnsi" w:hAnsiTheme="majorHAnsi" w:cs="Arial"/>
                <w:b w:val="0"/>
                <w:sz w:val="20"/>
                <w:szCs w:val="20"/>
                <w:lang w:val="es-ES_tradnl"/>
              </w:rPr>
              <w:t xml:space="preserve">los </w:t>
            </w:r>
            <w:r w:rsidR="0047339C" w:rsidRPr="00CC3A91">
              <w:rPr>
                <w:rFonts w:asciiTheme="majorHAnsi" w:hAnsiTheme="majorHAnsi" w:cs="Arial"/>
                <w:b w:val="0"/>
                <w:sz w:val="20"/>
                <w:szCs w:val="20"/>
                <w:lang w:val="es-ES_tradnl"/>
              </w:rPr>
              <w:t xml:space="preserve">humedales, incluyendo los sitios Ramsar </w:t>
            </w:r>
          </w:p>
        </w:tc>
        <w:tc>
          <w:tcPr>
            <w:tcW w:w="351" w:type="pct"/>
          </w:tcPr>
          <w:p w14:paraId="4016105E" w14:textId="63B9F5BB" w:rsidR="00EF4061" w:rsidRPr="00CC3A91" w:rsidRDefault="004C3386"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289" w:type="pct"/>
          </w:tcPr>
          <w:p w14:paraId="297EBDF7" w14:textId="61E829E8" w:rsidR="00EF4061" w:rsidRPr="00CC3A91" w:rsidRDefault="00EF4061" w:rsidP="004C3386">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25 (</w:t>
            </w:r>
            <w:r w:rsidR="004C3386" w:rsidRPr="00CC3A91">
              <w:rPr>
                <w:rFonts w:asciiTheme="majorHAnsi" w:hAnsiTheme="majorHAnsi" w:cs="Arial"/>
                <w:b w:val="0"/>
                <w:sz w:val="20"/>
                <w:szCs w:val="20"/>
                <w:lang w:val="es-ES_tradnl"/>
              </w:rPr>
              <w:t>como componente del EHMS</w:t>
            </w:r>
            <w:r w:rsidRPr="00CC3A91">
              <w:rPr>
                <w:rFonts w:asciiTheme="majorHAnsi" w:hAnsiTheme="majorHAnsi" w:cs="Arial"/>
                <w:b w:val="0"/>
                <w:sz w:val="20"/>
                <w:szCs w:val="20"/>
                <w:lang w:val="es-ES_tradnl"/>
              </w:rPr>
              <w:t>)</w:t>
            </w:r>
          </w:p>
        </w:tc>
        <w:tc>
          <w:tcPr>
            <w:tcW w:w="410" w:type="pct"/>
          </w:tcPr>
          <w:p w14:paraId="7E4A8212"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2.5, 2.7; 4.14</w:t>
            </w:r>
          </w:p>
        </w:tc>
        <w:tc>
          <w:tcPr>
            <w:tcW w:w="2966" w:type="pct"/>
          </w:tcPr>
          <w:p w14:paraId="6C1F2E37" w14:textId="10E0583D"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00EF4061" w:rsidRPr="00CC3A91">
              <w:rPr>
                <w:rFonts w:asciiTheme="majorHAnsi" w:hAnsiTheme="majorHAnsi" w:cs="Arial"/>
                <w:b w:val="0"/>
                <w:sz w:val="20"/>
                <w:szCs w:val="20"/>
                <w:u w:val="single"/>
                <w:lang w:val="es-ES_tradnl"/>
              </w:rPr>
              <w:t>:</w:t>
            </w:r>
            <w:r w:rsidR="00EF4061" w:rsidRPr="00CC3A91">
              <w:rPr>
                <w:rFonts w:asciiTheme="majorHAnsi" w:hAnsiTheme="majorHAnsi" w:cs="Arial"/>
                <w:b w:val="0"/>
                <w:sz w:val="20"/>
                <w:szCs w:val="20"/>
                <w:lang w:val="es-ES_tradnl"/>
              </w:rPr>
              <w:t xml:space="preserve"> </w:t>
            </w:r>
            <w:r w:rsidR="001F34FD" w:rsidRPr="00CC3A91">
              <w:rPr>
                <w:rFonts w:asciiTheme="majorHAnsi" w:hAnsiTheme="majorHAnsi" w:cs="Arial"/>
                <w:b w:val="0"/>
                <w:sz w:val="20"/>
                <w:szCs w:val="20"/>
                <w:lang w:val="es-ES_tradnl"/>
              </w:rPr>
              <w:t>Examinar e informar sobre el papel y utilización de los sistemas de observación de la Tierra para la elaboración de inventarios, mapa</w:t>
            </w:r>
            <w:r w:rsidR="004C3386" w:rsidRPr="00CC3A91">
              <w:rPr>
                <w:rFonts w:asciiTheme="majorHAnsi" w:hAnsiTheme="majorHAnsi" w:cs="Arial"/>
                <w:b w:val="0"/>
                <w:sz w:val="20"/>
                <w:szCs w:val="20"/>
                <w:lang w:val="es-ES_tradnl"/>
              </w:rPr>
              <w:t xml:space="preserve">s y vigilancia </w:t>
            </w:r>
            <w:r w:rsidR="001F34FD" w:rsidRPr="00CC3A91">
              <w:rPr>
                <w:rFonts w:asciiTheme="majorHAnsi" w:hAnsiTheme="majorHAnsi" w:cs="Arial"/>
                <w:b w:val="0"/>
                <w:sz w:val="20"/>
                <w:szCs w:val="20"/>
                <w:lang w:val="es-ES_tradnl"/>
              </w:rPr>
              <w:t>de los humedales, incluyendo los sitios Ramsar.</w:t>
            </w:r>
            <w:r w:rsidR="0088725B" w:rsidRPr="00CC3A91">
              <w:rPr>
                <w:rFonts w:asciiTheme="majorHAnsi" w:hAnsiTheme="majorHAnsi" w:cs="Arial"/>
                <w:b w:val="0"/>
                <w:sz w:val="20"/>
                <w:szCs w:val="20"/>
                <w:lang w:val="es-ES_tradnl"/>
              </w:rPr>
              <w:t xml:space="preserve"> </w:t>
            </w:r>
            <w:r w:rsidR="00EF4061" w:rsidRPr="00CC3A91">
              <w:rPr>
                <w:rFonts w:asciiTheme="majorHAnsi" w:hAnsiTheme="majorHAnsi" w:cs="Calibri"/>
                <w:b w:val="0"/>
                <w:bCs/>
                <w:sz w:val="20"/>
                <w:szCs w:val="20"/>
                <w:lang w:val="es-ES_tradnl"/>
              </w:rPr>
              <w:t>Global Mangrove Watch, GlobWetland Africa</w:t>
            </w:r>
            <w:r w:rsidR="00B65ED3" w:rsidRPr="00CC3A91">
              <w:rPr>
                <w:rFonts w:asciiTheme="majorHAnsi" w:hAnsiTheme="majorHAnsi" w:cs="Calibri"/>
                <w:b w:val="0"/>
                <w:bCs/>
                <w:sz w:val="20"/>
                <w:szCs w:val="20"/>
                <w:lang w:val="es-ES_tradnl"/>
              </w:rPr>
              <w:t xml:space="preserve"> y otras iniciativas de observación de la Tierra </w:t>
            </w:r>
            <w:r w:rsidR="00875044" w:rsidRPr="00CC3A91">
              <w:rPr>
                <w:rFonts w:asciiTheme="majorHAnsi" w:hAnsiTheme="majorHAnsi" w:cs="Calibri"/>
                <w:b w:val="0"/>
                <w:bCs/>
                <w:sz w:val="20"/>
                <w:szCs w:val="20"/>
                <w:lang w:val="es-ES_tradnl"/>
              </w:rPr>
              <w:t xml:space="preserve">serán objeto de un Informe </w:t>
            </w:r>
            <w:r w:rsidR="00CC3A91" w:rsidRPr="00CC3A91">
              <w:rPr>
                <w:rFonts w:asciiTheme="majorHAnsi" w:hAnsiTheme="majorHAnsi" w:cs="Calibri"/>
                <w:b w:val="0"/>
                <w:bCs/>
                <w:sz w:val="20"/>
                <w:szCs w:val="20"/>
                <w:lang w:val="es-ES_tradnl"/>
              </w:rPr>
              <w:t>Técnico</w:t>
            </w:r>
            <w:r w:rsidR="00875044" w:rsidRPr="00CC3A91">
              <w:rPr>
                <w:rFonts w:asciiTheme="majorHAnsi" w:hAnsiTheme="majorHAnsi" w:cs="Calibri"/>
                <w:b w:val="0"/>
                <w:bCs/>
                <w:sz w:val="20"/>
                <w:szCs w:val="20"/>
                <w:lang w:val="es-ES_tradnl"/>
              </w:rPr>
              <w:t xml:space="preserve"> de </w:t>
            </w:r>
            <w:r w:rsidR="003A5F8D" w:rsidRPr="00CC3A91">
              <w:rPr>
                <w:rFonts w:asciiTheme="majorHAnsi" w:hAnsiTheme="majorHAnsi" w:cs="Calibri"/>
                <w:b w:val="0"/>
                <w:bCs/>
                <w:sz w:val="20"/>
                <w:szCs w:val="20"/>
                <w:lang w:val="es-ES_tradnl"/>
              </w:rPr>
              <w:t>R</w:t>
            </w:r>
            <w:r w:rsidR="00875044" w:rsidRPr="00CC3A91">
              <w:rPr>
                <w:rFonts w:asciiTheme="majorHAnsi" w:hAnsiTheme="majorHAnsi" w:cs="Calibri"/>
                <w:b w:val="0"/>
                <w:bCs/>
                <w:sz w:val="20"/>
                <w:szCs w:val="20"/>
                <w:lang w:val="es-ES_tradnl"/>
              </w:rPr>
              <w:t>amsar</w:t>
            </w:r>
            <w:r w:rsidR="00EF4061" w:rsidRPr="00CC3A91">
              <w:rPr>
                <w:rFonts w:asciiTheme="majorHAnsi" w:hAnsiTheme="majorHAnsi" w:cs="Calibri"/>
                <w:b w:val="0"/>
                <w:bCs/>
                <w:sz w:val="20"/>
                <w:szCs w:val="20"/>
                <w:lang w:val="es-ES_tradnl"/>
              </w:rPr>
              <w:t xml:space="preserve">). </w:t>
            </w:r>
            <w:r w:rsidR="00B65ED3" w:rsidRPr="00CC3A91">
              <w:rPr>
                <w:rFonts w:asciiTheme="majorHAnsi" w:hAnsiTheme="majorHAnsi" w:cs="Calibri"/>
                <w:b w:val="0"/>
                <w:bCs/>
                <w:sz w:val="20"/>
                <w:szCs w:val="20"/>
                <w:lang w:val="es-ES_tradnl"/>
              </w:rPr>
              <w:t xml:space="preserve">El Informe Técnico de Ramsar hablará de la utilización de </w:t>
            </w:r>
            <w:r w:rsidR="004C3386" w:rsidRPr="00CC3A91">
              <w:rPr>
                <w:rFonts w:asciiTheme="majorHAnsi" w:hAnsiTheme="majorHAnsi" w:cs="Calibri"/>
                <w:b w:val="0"/>
                <w:bCs/>
                <w:sz w:val="20"/>
                <w:szCs w:val="20"/>
                <w:lang w:val="es-ES_tradnl"/>
              </w:rPr>
              <w:t xml:space="preserve">las </w:t>
            </w:r>
            <w:r w:rsidR="00B65ED3" w:rsidRPr="00CC3A91">
              <w:rPr>
                <w:rFonts w:asciiTheme="majorHAnsi" w:hAnsiTheme="majorHAnsi" w:cs="Calibri"/>
                <w:b w:val="0"/>
                <w:bCs/>
                <w:sz w:val="20"/>
                <w:szCs w:val="20"/>
                <w:lang w:val="es-ES_tradnl"/>
              </w:rPr>
              <w:t>imágenes de radar obtenidas por satélites lanzadas por</w:t>
            </w:r>
            <w:r w:rsidR="00C413C7" w:rsidRPr="00CC3A91">
              <w:rPr>
                <w:rFonts w:asciiTheme="majorHAnsi" w:hAnsiTheme="majorHAnsi" w:cs="Calibri"/>
                <w:b w:val="0"/>
                <w:bCs/>
                <w:sz w:val="20"/>
                <w:szCs w:val="20"/>
                <w:lang w:val="es-ES_tradnl"/>
              </w:rPr>
              <w:t xml:space="preserve"> la</w:t>
            </w:r>
            <w:r w:rsidR="00B65ED3" w:rsidRPr="00CC3A91">
              <w:rPr>
                <w:rFonts w:asciiTheme="majorHAnsi" w:hAnsiTheme="majorHAnsi" w:cs="Calibri"/>
                <w:b w:val="0"/>
                <w:bCs/>
                <w:sz w:val="20"/>
                <w:szCs w:val="20"/>
                <w:lang w:val="es-ES_tradnl"/>
              </w:rPr>
              <w:t xml:space="preserve"> JAXA como una herramienta de "buena</w:t>
            </w:r>
            <w:r w:rsidR="004C3386" w:rsidRPr="00CC3A91">
              <w:rPr>
                <w:rFonts w:asciiTheme="majorHAnsi" w:hAnsiTheme="majorHAnsi" w:cs="Calibri"/>
                <w:b w:val="0"/>
                <w:bCs/>
                <w:sz w:val="20"/>
                <w:szCs w:val="20"/>
                <w:lang w:val="es-ES_tradnl"/>
              </w:rPr>
              <w:t>s</w:t>
            </w:r>
            <w:r w:rsidR="00B65ED3" w:rsidRPr="00CC3A91">
              <w:rPr>
                <w:rFonts w:asciiTheme="majorHAnsi" w:hAnsiTheme="majorHAnsi" w:cs="Calibri"/>
                <w:b w:val="0"/>
                <w:bCs/>
                <w:sz w:val="20"/>
                <w:szCs w:val="20"/>
                <w:lang w:val="es-ES_tradnl"/>
              </w:rPr>
              <w:t xml:space="preserve"> prácticas" para elaborar mapas de los cambios</w:t>
            </w:r>
            <w:r w:rsidR="0088725B" w:rsidRPr="00CC3A91">
              <w:rPr>
                <w:rFonts w:asciiTheme="majorHAnsi" w:hAnsiTheme="majorHAnsi" w:cs="Calibri"/>
                <w:b w:val="0"/>
                <w:bCs/>
                <w:sz w:val="20"/>
                <w:szCs w:val="20"/>
                <w:lang w:val="es-ES_tradnl"/>
              </w:rPr>
              <w:t xml:space="preserve"> </w:t>
            </w:r>
            <w:r w:rsidR="00B65ED3" w:rsidRPr="00CC3A91">
              <w:rPr>
                <w:rFonts w:asciiTheme="majorHAnsi" w:hAnsiTheme="majorHAnsi" w:cs="Calibri"/>
                <w:b w:val="0"/>
                <w:bCs/>
                <w:sz w:val="20"/>
                <w:szCs w:val="20"/>
                <w:lang w:val="es-ES_tradnl"/>
              </w:rPr>
              <w:t>en la extensión mundial de los manglares a lo largo del tempo, incluyendo</w:t>
            </w:r>
            <w:r w:rsidR="0088725B" w:rsidRPr="00CC3A91">
              <w:rPr>
                <w:rFonts w:asciiTheme="majorHAnsi" w:hAnsiTheme="majorHAnsi" w:cs="Calibri"/>
                <w:b w:val="0"/>
                <w:bCs/>
                <w:sz w:val="20"/>
                <w:szCs w:val="20"/>
                <w:lang w:val="es-ES_tradnl"/>
              </w:rPr>
              <w:t xml:space="preserve"> </w:t>
            </w:r>
            <w:r w:rsidR="0090170D" w:rsidRPr="00CC3A91">
              <w:rPr>
                <w:rFonts w:asciiTheme="majorHAnsi" w:hAnsiTheme="majorHAnsi" w:cs="Calibri"/>
                <w:b w:val="0"/>
                <w:bCs/>
                <w:sz w:val="20"/>
                <w:szCs w:val="20"/>
                <w:lang w:val="es-ES_tradnl"/>
              </w:rPr>
              <w:t xml:space="preserve">su expansión hacia el mar, además de su retroceso. La elaboración de mapas con los cambios en el estado de los manglares, mundialmente y regionalmente, puede facilitar la priorización de las iniciativas de protección </w:t>
            </w:r>
            <w:r w:rsidR="00382E75" w:rsidRPr="00CC3A91">
              <w:rPr>
                <w:rFonts w:asciiTheme="majorHAnsi" w:hAnsiTheme="majorHAnsi" w:cs="Calibri"/>
                <w:b w:val="0"/>
                <w:bCs/>
                <w:sz w:val="20"/>
                <w:szCs w:val="20"/>
                <w:lang w:val="es-ES_tradnl"/>
              </w:rPr>
              <w:t xml:space="preserve">y la </w:t>
            </w:r>
            <w:r w:rsidR="0090170D" w:rsidRPr="00CC3A91">
              <w:rPr>
                <w:rFonts w:asciiTheme="majorHAnsi" w:hAnsiTheme="majorHAnsi" w:cs="Calibri"/>
                <w:b w:val="0"/>
                <w:bCs/>
                <w:sz w:val="20"/>
                <w:szCs w:val="20"/>
                <w:lang w:val="es-ES_tradnl"/>
              </w:rPr>
              <w:t>identificación</w:t>
            </w:r>
            <w:r w:rsidR="00382E75" w:rsidRPr="00CC3A91">
              <w:rPr>
                <w:rFonts w:asciiTheme="majorHAnsi" w:hAnsiTheme="majorHAnsi" w:cs="Calibri"/>
                <w:b w:val="0"/>
                <w:bCs/>
                <w:sz w:val="20"/>
                <w:szCs w:val="20"/>
                <w:lang w:val="es-ES_tradnl"/>
              </w:rPr>
              <w:t xml:space="preserve"> de oportunidades para la restauración </w:t>
            </w:r>
            <w:r w:rsidR="00EF4061" w:rsidRPr="00CC3A91">
              <w:rPr>
                <w:rFonts w:asciiTheme="majorHAnsi" w:hAnsiTheme="majorHAnsi" w:cs="Calibri"/>
                <w:b w:val="0"/>
                <w:bCs/>
                <w:sz w:val="20"/>
                <w:szCs w:val="20"/>
                <w:lang w:val="es-ES_tradnl"/>
              </w:rPr>
              <w:t>(</w:t>
            </w:r>
            <w:r w:rsidR="004C3386" w:rsidRPr="00CC3A91">
              <w:rPr>
                <w:rFonts w:asciiTheme="majorHAnsi" w:hAnsiTheme="majorHAnsi" w:cs="Calibri"/>
                <w:b w:val="0"/>
                <w:bCs/>
                <w:sz w:val="20"/>
                <w:szCs w:val="20"/>
                <w:lang w:val="es-ES_tradnl"/>
              </w:rPr>
              <w:t>v</w:t>
            </w:r>
            <w:r w:rsidR="003A5F8D" w:rsidRPr="00CC3A91">
              <w:rPr>
                <w:rFonts w:asciiTheme="majorHAnsi" w:hAnsiTheme="majorHAnsi" w:cs="Calibri"/>
                <w:b w:val="0"/>
                <w:bCs/>
                <w:sz w:val="20"/>
                <w:szCs w:val="20"/>
                <w:lang w:val="es-ES_tradnl"/>
              </w:rPr>
              <w:t xml:space="preserve">éase también, por ejemplo, el Sistema de Monitoreo de los Manglares de México </w:t>
            </w:r>
            <w:r w:rsidR="00EF4061" w:rsidRPr="00CC3A91">
              <w:rPr>
                <w:rFonts w:asciiTheme="majorHAnsi" w:hAnsiTheme="majorHAnsi" w:cs="Calibri"/>
                <w:b w:val="0"/>
                <w:bCs/>
                <w:sz w:val="20"/>
                <w:szCs w:val="20"/>
                <w:lang w:val="es-ES_tradnl"/>
              </w:rPr>
              <w:t xml:space="preserve">(SMMM)). </w:t>
            </w:r>
            <w:r w:rsidR="003A5F8D" w:rsidRPr="00CC3A91">
              <w:rPr>
                <w:rFonts w:asciiTheme="majorHAnsi" w:hAnsiTheme="majorHAnsi" w:cs="Calibri"/>
                <w:b w:val="0"/>
                <w:bCs/>
                <w:sz w:val="20"/>
                <w:szCs w:val="20"/>
                <w:lang w:val="es-ES_tradnl"/>
              </w:rPr>
              <w:t xml:space="preserve">El Informe Técnico de Ramsar también estudiará los datos obtenidos por satélite que tiene </w:t>
            </w:r>
            <w:r w:rsidR="00EF4061" w:rsidRPr="00CC3A91">
              <w:rPr>
                <w:rFonts w:asciiTheme="majorHAnsi" w:hAnsiTheme="majorHAnsi" w:cs="Calibri"/>
                <w:b w:val="0"/>
                <w:bCs/>
                <w:sz w:val="20"/>
                <w:szCs w:val="20"/>
                <w:lang w:val="es-ES_tradnl"/>
              </w:rPr>
              <w:t>GlobWetland Africa (</w:t>
            </w:r>
            <w:r w:rsidR="003A5F8D" w:rsidRPr="00CC3A91">
              <w:rPr>
                <w:rFonts w:asciiTheme="majorHAnsi" w:hAnsiTheme="majorHAnsi" w:cs="Calibri"/>
                <w:b w:val="0"/>
                <w:bCs/>
                <w:sz w:val="20"/>
                <w:szCs w:val="20"/>
                <w:lang w:val="es-ES_tradnl"/>
              </w:rPr>
              <w:t xml:space="preserve">generados por la Agencia Espacial Europea y </w:t>
            </w:r>
            <w:r w:rsidR="004C3386" w:rsidRPr="00CC3A91">
              <w:rPr>
                <w:rFonts w:asciiTheme="majorHAnsi" w:hAnsiTheme="majorHAnsi" w:cs="Calibri"/>
                <w:b w:val="0"/>
                <w:bCs/>
                <w:sz w:val="20"/>
                <w:szCs w:val="20"/>
                <w:lang w:val="es-ES_tradnl"/>
              </w:rPr>
              <w:t xml:space="preserve">los </w:t>
            </w:r>
            <w:r w:rsidR="00EA080E" w:rsidRPr="00CC3A91">
              <w:rPr>
                <w:rFonts w:asciiTheme="majorHAnsi" w:hAnsiTheme="majorHAnsi" w:cs="Calibri"/>
                <w:b w:val="0"/>
                <w:bCs/>
                <w:sz w:val="20"/>
                <w:szCs w:val="20"/>
                <w:lang w:val="es-ES_tradnl"/>
              </w:rPr>
              <w:t>asociados nacionales y locales</w:t>
            </w:r>
            <w:r w:rsidR="00EF4061" w:rsidRPr="00CC3A91">
              <w:rPr>
                <w:rFonts w:asciiTheme="majorHAnsi" w:hAnsiTheme="majorHAnsi" w:cs="Calibri"/>
                <w:b w:val="0"/>
                <w:bCs/>
                <w:sz w:val="20"/>
                <w:szCs w:val="20"/>
                <w:lang w:val="es-ES_tradnl"/>
              </w:rPr>
              <w:t xml:space="preserve">), </w:t>
            </w:r>
            <w:r w:rsidR="00EA080E" w:rsidRPr="00CC3A91">
              <w:rPr>
                <w:rFonts w:asciiTheme="majorHAnsi" w:hAnsiTheme="majorHAnsi" w:cs="Calibri"/>
                <w:b w:val="0"/>
                <w:bCs/>
                <w:sz w:val="20"/>
                <w:szCs w:val="20"/>
                <w:lang w:val="es-ES_tradnl"/>
              </w:rPr>
              <w:t xml:space="preserve">y el juego de herramientas y artículos científicos resultantes, destacando la observación de la Tierra como una herramienta de "buenas prácticas" para inventarios, mapas y </w:t>
            </w:r>
            <w:r w:rsidR="004C3386" w:rsidRPr="00CC3A91">
              <w:rPr>
                <w:rFonts w:asciiTheme="majorHAnsi" w:hAnsiTheme="majorHAnsi" w:cs="Calibri"/>
                <w:b w:val="0"/>
                <w:bCs/>
                <w:sz w:val="20"/>
                <w:szCs w:val="20"/>
                <w:lang w:val="es-ES_tradnl"/>
              </w:rPr>
              <w:t>vigilancia</w:t>
            </w:r>
            <w:r w:rsidR="00EA080E" w:rsidRPr="00CC3A91">
              <w:rPr>
                <w:rFonts w:asciiTheme="majorHAnsi" w:hAnsiTheme="majorHAnsi" w:cs="Calibri"/>
                <w:b w:val="0"/>
                <w:bCs/>
                <w:sz w:val="20"/>
                <w:szCs w:val="20"/>
                <w:lang w:val="es-ES_tradnl"/>
              </w:rPr>
              <w:t xml:space="preserve"> de los humedales africanos, incluyendo los sitios Ramsar. </w:t>
            </w:r>
            <w:r w:rsidR="00EF4061" w:rsidRPr="00CC3A91">
              <w:rPr>
                <w:rFonts w:asciiTheme="majorHAnsi" w:hAnsiTheme="majorHAnsi" w:cs="Calibri"/>
                <w:b w:val="0"/>
                <w:bCs/>
                <w:sz w:val="20"/>
                <w:szCs w:val="20"/>
                <w:lang w:val="es-ES_tradnl"/>
              </w:rPr>
              <w:t>T</w:t>
            </w:r>
            <w:r w:rsidR="00EA080E" w:rsidRPr="00CC3A91">
              <w:rPr>
                <w:rFonts w:asciiTheme="majorHAnsi" w:hAnsiTheme="majorHAnsi" w:cs="Calibri"/>
                <w:b w:val="0"/>
                <w:bCs/>
                <w:sz w:val="20"/>
                <w:szCs w:val="20"/>
                <w:lang w:val="es-ES_tradnl"/>
              </w:rPr>
              <w:t xml:space="preserve">ambién se estudiarán los beneficios del Sistema </w:t>
            </w:r>
            <w:r w:rsidR="00300D57" w:rsidRPr="00CC3A91">
              <w:rPr>
                <w:rFonts w:asciiTheme="majorHAnsi" w:hAnsiTheme="majorHAnsi" w:cs="Calibri"/>
                <w:b w:val="0"/>
                <w:bCs/>
                <w:sz w:val="20"/>
                <w:szCs w:val="20"/>
                <w:lang w:val="es-ES_tradnl"/>
              </w:rPr>
              <w:t>de Observación</w:t>
            </w:r>
            <w:r w:rsidR="00EA080E" w:rsidRPr="00CC3A91">
              <w:rPr>
                <w:rFonts w:asciiTheme="majorHAnsi" w:hAnsiTheme="majorHAnsi" w:cs="Calibri"/>
                <w:b w:val="0"/>
                <w:bCs/>
                <w:sz w:val="20"/>
                <w:szCs w:val="20"/>
                <w:lang w:val="es-ES_tradnl"/>
              </w:rPr>
              <w:t xml:space="preserve"> de Humedales basada en los satélites </w:t>
            </w:r>
            <w:r w:rsidR="00EF4061" w:rsidRPr="00CC3A91">
              <w:rPr>
                <w:rFonts w:asciiTheme="majorHAnsi" w:hAnsiTheme="majorHAnsi" w:cs="Helvetica"/>
                <w:b w:val="0"/>
                <w:sz w:val="20"/>
                <w:szCs w:val="20"/>
                <w:lang w:val="es-ES_tradnl"/>
              </w:rPr>
              <w:t xml:space="preserve">(SWOS) </w:t>
            </w:r>
            <w:r w:rsidR="00EA080E" w:rsidRPr="00CC3A91">
              <w:rPr>
                <w:rFonts w:asciiTheme="majorHAnsi" w:hAnsiTheme="majorHAnsi" w:cs="Helvetica"/>
                <w:b w:val="0"/>
                <w:sz w:val="20"/>
                <w:szCs w:val="20"/>
                <w:lang w:val="es-ES_tradnl"/>
              </w:rPr>
              <w:t xml:space="preserve">para el manejo de los sitios. </w:t>
            </w:r>
          </w:p>
          <w:p w14:paraId="033CE008" w14:textId="6B452F4F"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00EF4061" w:rsidRPr="00CC3A91">
              <w:rPr>
                <w:rFonts w:asciiTheme="majorHAnsi" w:hAnsiTheme="majorHAnsi" w:cs="Arial"/>
                <w:b w:val="0"/>
                <w:sz w:val="20"/>
                <w:szCs w:val="20"/>
                <w:lang w:val="es-ES_tradnl"/>
              </w:rPr>
              <w:t xml:space="preserve">: </w:t>
            </w:r>
            <w:r w:rsidR="003A5F8D" w:rsidRPr="00CC3A91">
              <w:rPr>
                <w:rFonts w:asciiTheme="majorHAnsi" w:hAnsiTheme="majorHAnsi" w:cs="Arial"/>
                <w:b w:val="0"/>
                <w:sz w:val="20"/>
                <w:szCs w:val="20"/>
                <w:lang w:val="es-ES_tradnl"/>
              </w:rPr>
              <w:t xml:space="preserve">Informe Técnico de </w:t>
            </w:r>
            <w:r w:rsidR="00EF4061" w:rsidRPr="00CC3A91">
              <w:rPr>
                <w:rFonts w:asciiTheme="majorHAnsi" w:hAnsiTheme="majorHAnsi" w:cs="Arial"/>
                <w:b w:val="0"/>
                <w:sz w:val="20"/>
                <w:szCs w:val="20"/>
                <w:lang w:val="es-ES_tradnl"/>
              </w:rPr>
              <w:t xml:space="preserve">Ramsar </w:t>
            </w:r>
          </w:p>
          <w:p w14:paraId="516B43AF" w14:textId="77777777" w:rsidR="00EF4061" w:rsidRPr="00CC3A91" w:rsidRDefault="00EF4061" w:rsidP="00EF4061">
            <w:pPr>
              <w:rPr>
                <w:rFonts w:asciiTheme="majorHAnsi" w:hAnsiTheme="majorHAnsi" w:cs="Arial"/>
                <w:b w:val="0"/>
                <w:sz w:val="20"/>
                <w:szCs w:val="20"/>
                <w:lang w:val="es-ES_tradnl"/>
              </w:rPr>
            </w:pPr>
          </w:p>
          <w:p w14:paraId="1B1073EF" w14:textId="4A09EC92" w:rsidR="00EF4061" w:rsidRPr="00CC3A91" w:rsidRDefault="003A5F8D" w:rsidP="003A5F8D">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 destinatario</w:t>
            </w:r>
            <w:r w:rsidR="00EF4061" w:rsidRPr="00CC3A91">
              <w:rPr>
                <w:rFonts w:asciiTheme="majorHAnsi" w:hAnsiTheme="majorHAnsi" w:cs="Arial"/>
                <w:b w:val="0"/>
                <w:sz w:val="20"/>
                <w:szCs w:val="20"/>
                <w:lang w:val="es-ES_tradnl"/>
              </w:rPr>
              <w:t xml:space="preserve">: </w:t>
            </w:r>
            <w:r w:rsidR="005B4BA2" w:rsidRPr="00CC3A91">
              <w:rPr>
                <w:rFonts w:asciiTheme="majorHAnsi" w:hAnsiTheme="majorHAnsi" w:cs="Arial"/>
                <w:b w:val="0"/>
                <w:sz w:val="20"/>
                <w:szCs w:val="20"/>
                <w:lang w:val="es-ES_tradnl"/>
              </w:rPr>
              <w:t>Profesionales</w:t>
            </w:r>
          </w:p>
        </w:tc>
        <w:tc>
          <w:tcPr>
            <w:tcW w:w="497" w:type="pct"/>
          </w:tcPr>
          <w:p w14:paraId="613C5CC2" w14:textId="27AEFD89" w:rsidR="00EF4061" w:rsidRPr="00CC3A91" w:rsidRDefault="003E038E" w:rsidP="003E038E">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Hasta </w:t>
            </w:r>
            <w:r w:rsidR="00EF4061" w:rsidRPr="00CC3A91">
              <w:rPr>
                <w:rFonts w:asciiTheme="majorHAnsi" w:hAnsiTheme="majorHAnsi" w:cs="Arial"/>
                <w:b w:val="0"/>
                <w:sz w:val="20"/>
                <w:szCs w:val="20"/>
                <w:lang w:val="es-ES_tradnl"/>
              </w:rPr>
              <w:t>3</w:t>
            </w:r>
            <w:r w:rsidR="00674F73" w:rsidRPr="00CC3A91">
              <w:rPr>
                <w:rFonts w:asciiTheme="majorHAnsi" w:hAnsiTheme="majorHAnsi" w:cs="Arial"/>
                <w:b w:val="0"/>
                <w:sz w:val="20"/>
                <w:szCs w:val="20"/>
                <w:lang w:val="es-ES_tradnl"/>
              </w:rPr>
              <w:t>3</w:t>
            </w:r>
            <w:r w:rsidRPr="00CC3A91">
              <w:rPr>
                <w:rFonts w:asciiTheme="majorHAnsi" w:hAnsiTheme="majorHAnsi" w:cs="Arial"/>
                <w:b w:val="0"/>
                <w:sz w:val="20"/>
                <w:szCs w:val="20"/>
                <w:lang w:val="es-ES_tradnl"/>
              </w:rPr>
              <w:t>.</w:t>
            </w:r>
            <w:r w:rsidR="00EF4061" w:rsidRPr="00CC3A91">
              <w:rPr>
                <w:rFonts w:asciiTheme="majorHAnsi" w:hAnsiTheme="majorHAnsi" w:cs="Arial"/>
                <w:b w:val="0"/>
                <w:sz w:val="20"/>
                <w:szCs w:val="20"/>
                <w:lang w:val="es-ES_tradnl"/>
              </w:rPr>
              <w:t xml:space="preserve">500 </w:t>
            </w:r>
          </w:p>
        </w:tc>
      </w:tr>
      <w:tr w:rsidR="00EF4061" w:rsidRPr="00CC3A91" w14:paraId="26FB1391" w14:textId="77777777" w:rsidTr="00DE4F5C">
        <w:tc>
          <w:tcPr>
            <w:tcW w:w="487" w:type="pct"/>
          </w:tcPr>
          <w:p w14:paraId="3F4CE5DB" w14:textId="7F4146B5" w:rsidR="00EF4061" w:rsidRPr="00CC3A91" w:rsidRDefault="00EF4061" w:rsidP="0047339C">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1.2 </w:t>
            </w:r>
            <w:r w:rsidR="0047339C" w:rsidRPr="00CC3A91">
              <w:rPr>
                <w:rFonts w:asciiTheme="majorHAnsi" w:hAnsiTheme="majorHAnsi" w:cs="Arial"/>
                <w:b w:val="0"/>
                <w:sz w:val="20"/>
                <w:szCs w:val="20"/>
                <w:lang w:val="es-ES_tradnl"/>
              </w:rPr>
              <w:t xml:space="preserve">Taller sobre la aplicación de los inventarios culturales para humedales </w:t>
            </w:r>
          </w:p>
        </w:tc>
        <w:tc>
          <w:tcPr>
            <w:tcW w:w="351" w:type="pct"/>
          </w:tcPr>
          <w:p w14:paraId="041ADB5A" w14:textId="77777777" w:rsidR="00EF4061" w:rsidRPr="00CC3A91" w:rsidRDefault="00EF4061" w:rsidP="00EF4061">
            <w:pPr>
              <w:rPr>
                <w:rFonts w:asciiTheme="majorHAnsi" w:hAnsiTheme="majorHAnsi" w:cs="Arial"/>
                <w:b w:val="0"/>
                <w:sz w:val="20"/>
                <w:szCs w:val="20"/>
                <w:lang w:val="es-ES_tradnl"/>
              </w:rPr>
            </w:pPr>
          </w:p>
        </w:tc>
        <w:tc>
          <w:tcPr>
            <w:tcW w:w="289" w:type="pct"/>
          </w:tcPr>
          <w:p w14:paraId="155DC88A" w14:textId="2086EFB0"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w:t>
            </w:r>
            <w:r w:rsidR="005C68E2" w:rsidRPr="00CC3A91">
              <w:rPr>
                <w:rFonts w:asciiTheme="majorHAnsi" w:hAnsiTheme="majorHAnsi" w:cs="Arial"/>
                <w:b w:val="0"/>
                <w:sz w:val="20"/>
                <w:szCs w:val="20"/>
                <w:lang w:val="es-ES_tradnl"/>
              </w:rPr>
              <w:t>Anexo</w:t>
            </w:r>
            <w:r w:rsidRPr="00CC3A91">
              <w:rPr>
                <w:rFonts w:asciiTheme="majorHAnsi" w:hAnsiTheme="majorHAnsi" w:cs="Arial"/>
                <w:b w:val="0"/>
                <w:sz w:val="20"/>
                <w:szCs w:val="20"/>
                <w:lang w:val="es-ES_tradnl"/>
              </w:rPr>
              <w:t xml:space="preserve"> 3</w:t>
            </w:r>
          </w:p>
        </w:tc>
        <w:tc>
          <w:tcPr>
            <w:tcW w:w="410" w:type="pct"/>
          </w:tcPr>
          <w:p w14:paraId="49E31C7D" w14:textId="77777777"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2.5, 2.7; 3.10, 3.11; 4.14, 4.16, 4.19</w:t>
            </w:r>
          </w:p>
        </w:tc>
        <w:tc>
          <w:tcPr>
            <w:tcW w:w="2966" w:type="pct"/>
          </w:tcPr>
          <w:p w14:paraId="2692B751" w14:textId="0C7DE0C8" w:rsidR="00E71E1B" w:rsidRPr="00CC3A91" w:rsidRDefault="00DF2144" w:rsidP="00E71E1B">
            <w:pPr>
              <w:rPr>
                <w:rFonts w:ascii="Times" w:hAnsi="Times"/>
                <w:sz w:val="20"/>
                <w:szCs w:val="20"/>
                <w:lang w:val="es-ES_tradnl" w:eastAsia="es-ES"/>
              </w:rPr>
            </w:pPr>
            <w:r w:rsidRPr="00CC3A91">
              <w:rPr>
                <w:rFonts w:asciiTheme="majorHAnsi" w:hAnsiTheme="majorHAnsi" w:cs="Arial"/>
                <w:b w:val="0"/>
                <w:sz w:val="20"/>
                <w:szCs w:val="20"/>
                <w:u w:val="single"/>
                <w:lang w:val="es-ES_tradnl"/>
              </w:rPr>
              <w:t>Descripción de la tarea</w:t>
            </w:r>
            <w:r w:rsidR="00EF4061" w:rsidRPr="00CC3A91">
              <w:rPr>
                <w:rFonts w:asciiTheme="majorHAnsi" w:hAnsiTheme="majorHAnsi" w:cs="Arial"/>
                <w:b w:val="0"/>
                <w:sz w:val="20"/>
                <w:szCs w:val="20"/>
                <w:lang w:val="es-ES_tradnl"/>
              </w:rPr>
              <w:t xml:space="preserve">: </w:t>
            </w:r>
            <w:r w:rsidR="0047339C" w:rsidRPr="00CC3A91">
              <w:rPr>
                <w:rFonts w:asciiTheme="majorHAnsi" w:hAnsiTheme="majorHAnsi" w:cs="Arial"/>
                <w:b w:val="0"/>
                <w:sz w:val="20"/>
                <w:szCs w:val="20"/>
                <w:lang w:val="es-ES_tradnl"/>
              </w:rPr>
              <w:t xml:space="preserve">En colaboración con la Red de Cultura </w:t>
            </w:r>
            <w:r w:rsidR="00406EE9" w:rsidRPr="00CC3A91">
              <w:rPr>
                <w:rFonts w:asciiTheme="majorHAnsi" w:hAnsiTheme="majorHAnsi" w:cs="Arial"/>
                <w:b w:val="0"/>
                <w:sz w:val="20"/>
                <w:szCs w:val="20"/>
                <w:lang w:val="es-ES_tradnl"/>
              </w:rPr>
              <w:t xml:space="preserve">de Ramsar </w:t>
            </w:r>
            <w:r w:rsidR="00E71E1B" w:rsidRPr="00CC3A91">
              <w:rPr>
                <w:rFonts w:asciiTheme="majorHAnsi" w:hAnsiTheme="majorHAnsi" w:cs="Arial"/>
                <w:b w:val="0"/>
                <w:sz w:val="20"/>
                <w:szCs w:val="20"/>
                <w:lang w:val="es-ES_tradnl"/>
              </w:rPr>
              <w:t xml:space="preserve">y el Centro </w:t>
            </w:r>
            <w:r w:rsidR="00E71E1B" w:rsidRPr="00CC3A91">
              <w:rPr>
                <w:rFonts w:asciiTheme="majorHAnsi" w:eastAsia="Calibri" w:hAnsiTheme="majorHAnsi" w:cs="--unknown-1--"/>
                <w:b w:val="0"/>
                <w:color w:val="000000" w:themeColor="text1"/>
                <w:sz w:val="20"/>
                <w:szCs w:val="20"/>
                <w:lang w:val="es-ES_tradnl"/>
              </w:rPr>
              <w:t>Regional Ramsar para la Capacitación e Investigación sobre Humedales en el Hemisferio Occidental</w:t>
            </w:r>
          </w:p>
          <w:p w14:paraId="3BE380CE" w14:textId="000C4694" w:rsidR="00EF4061" w:rsidRPr="00CC3A91" w:rsidRDefault="00EF4061" w:rsidP="00EF4061">
            <w:pPr>
              <w:rPr>
                <w:rFonts w:asciiTheme="majorHAnsi" w:hAnsiTheme="majorHAnsi" w:cs="Arial"/>
                <w:b w:val="0"/>
                <w:sz w:val="20"/>
                <w:szCs w:val="20"/>
                <w:u w:val="single"/>
                <w:lang w:val="es-ES_tradnl"/>
              </w:rPr>
            </w:pPr>
            <w:r w:rsidRPr="00CC3A91">
              <w:rPr>
                <w:rFonts w:asciiTheme="majorHAnsi" w:eastAsia="Calibri" w:hAnsiTheme="majorHAnsi" w:cs="--unknown-1--"/>
                <w:b w:val="0"/>
                <w:color w:val="000000" w:themeColor="text1"/>
                <w:sz w:val="20"/>
                <w:szCs w:val="20"/>
                <w:lang w:val="es-ES_tradnl"/>
              </w:rPr>
              <w:t>(CREHO)</w:t>
            </w:r>
            <w:r w:rsidRPr="00CC3A91">
              <w:rPr>
                <w:rFonts w:asciiTheme="majorHAnsi" w:hAnsiTheme="majorHAnsi" w:cs="Arial"/>
                <w:b w:val="0"/>
                <w:color w:val="000000" w:themeColor="text1"/>
                <w:sz w:val="20"/>
                <w:szCs w:val="20"/>
                <w:lang w:val="es-ES_tradnl"/>
              </w:rPr>
              <w:t xml:space="preserve">, </w:t>
            </w:r>
            <w:r w:rsidR="00E71E1B" w:rsidRPr="00CC3A91">
              <w:rPr>
                <w:rFonts w:asciiTheme="majorHAnsi" w:hAnsiTheme="majorHAnsi" w:cs="Arial"/>
                <w:b w:val="0"/>
                <w:sz w:val="20"/>
                <w:szCs w:val="20"/>
                <w:lang w:val="es-ES_tradnl"/>
              </w:rPr>
              <w:t xml:space="preserve">organizar un pequeño taller de capacitación </w:t>
            </w:r>
            <w:r w:rsidR="00406EE9" w:rsidRPr="00CC3A91">
              <w:rPr>
                <w:rFonts w:asciiTheme="majorHAnsi" w:hAnsiTheme="majorHAnsi" w:cs="Arial"/>
                <w:b w:val="0"/>
                <w:sz w:val="20"/>
                <w:szCs w:val="20"/>
                <w:lang w:val="es-ES_tradnl"/>
              </w:rPr>
              <w:t xml:space="preserve">para administradores de sitios </w:t>
            </w:r>
            <w:r w:rsidR="00406EE9" w:rsidRPr="00CC3A91">
              <w:rPr>
                <w:rFonts w:asciiTheme="majorHAnsi" w:eastAsia="Calibri" w:hAnsiTheme="majorHAnsi" w:cs="--unknown-1--"/>
                <w:b w:val="0"/>
                <w:color w:val="000000" w:themeColor="text1"/>
                <w:sz w:val="20"/>
                <w:szCs w:val="20"/>
                <w:lang w:val="es-ES_tradnl"/>
              </w:rPr>
              <w:t>Ramsar</w:t>
            </w:r>
            <w:r w:rsidR="00406EE9" w:rsidRPr="00CC3A91">
              <w:rPr>
                <w:rFonts w:asciiTheme="majorHAnsi" w:hAnsiTheme="majorHAnsi" w:cs="Arial"/>
                <w:b w:val="0"/>
                <w:sz w:val="20"/>
                <w:szCs w:val="20"/>
                <w:lang w:val="es-ES_tradnl"/>
              </w:rPr>
              <w:t xml:space="preserve"> y Coordinadores Nacionales del GECT para estudiar la aplicación práctic</w:t>
            </w:r>
            <w:r w:rsidR="004C3386" w:rsidRPr="00CC3A91">
              <w:rPr>
                <w:rFonts w:asciiTheme="majorHAnsi" w:hAnsiTheme="majorHAnsi" w:cs="Arial"/>
                <w:b w:val="0"/>
                <w:sz w:val="20"/>
                <w:szCs w:val="20"/>
                <w:lang w:val="es-ES_tradnl"/>
              </w:rPr>
              <w:t>a de los inventarios culturales</w:t>
            </w:r>
            <w:r w:rsidR="00406EE9"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Compil</w:t>
            </w:r>
            <w:r w:rsidR="0047339C" w:rsidRPr="00CC3A91">
              <w:rPr>
                <w:rFonts w:asciiTheme="majorHAnsi" w:hAnsiTheme="majorHAnsi" w:cs="Arial"/>
                <w:b w:val="0"/>
                <w:sz w:val="20"/>
                <w:szCs w:val="20"/>
                <w:lang w:val="es-ES_tradnl"/>
              </w:rPr>
              <w:t xml:space="preserve">ar una serie de </w:t>
            </w:r>
            <w:r w:rsidR="00406EE9" w:rsidRPr="00CC3A91">
              <w:rPr>
                <w:rFonts w:asciiTheme="majorHAnsi" w:hAnsiTheme="majorHAnsi" w:cs="Arial"/>
                <w:b w:val="0"/>
                <w:sz w:val="20"/>
                <w:szCs w:val="20"/>
                <w:lang w:val="es-ES_tradnl"/>
              </w:rPr>
              <w:t>casos de estudio que ilustran la aplicación de los inventarios culturales para humedal</w:t>
            </w:r>
            <w:r w:rsidR="004C3386" w:rsidRPr="00CC3A91">
              <w:rPr>
                <w:rFonts w:asciiTheme="majorHAnsi" w:hAnsiTheme="majorHAnsi" w:cs="Arial"/>
                <w:b w:val="0"/>
                <w:sz w:val="20"/>
                <w:szCs w:val="20"/>
                <w:lang w:val="es-ES_tradnl"/>
              </w:rPr>
              <w:t>es, incluyendo ejemplos que incorpora</w:t>
            </w:r>
            <w:r w:rsidR="00406EE9" w:rsidRPr="00CC3A91">
              <w:rPr>
                <w:rFonts w:asciiTheme="majorHAnsi" w:hAnsiTheme="majorHAnsi" w:cs="Arial"/>
                <w:b w:val="0"/>
                <w:sz w:val="20"/>
                <w:szCs w:val="20"/>
                <w:lang w:val="es-ES_tradnl"/>
              </w:rPr>
              <w:t xml:space="preserve">n los conocimientos indígenas y locales. </w:t>
            </w:r>
          </w:p>
          <w:p w14:paraId="71FC5CA7" w14:textId="77777777" w:rsidR="004C3386" w:rsidRPr="00CC3A91" w:rsidRDefault="004C3386" w:rsidP="00EF4061">
            <w:pPr>
              <w:rPr>
                <w:rFonts w:asciiTheme="majorHAnsi" w:hAnsiTheme="majorHAnsi" w:cs="Arial"/>
                <w:b w:val="0"/>
                <w:sz w:val="20"/>
                <w:szCs w:val="20"/>
                <w:u w:val="single"/>
                <w:lang w:val="es-ES_tradnl"/>
              </w:rPr>
            </w:pPr>
          </w:p>
          <w:p w14:paraId="21D13EBF" w14:textId="5E0C738C"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00EF4061" w:rsidRPr="00CC3A91">
              <w:rPr>
                <w:rFonts w:asciiTheme="majorHAnsi" w:hAnsiTheme="majorHAnsi" w:cs="Arial"/>
                <w:b w:val="0"/>
                <w:sz w:val="20"/>
                <w:szCs w:val="20"/>
                <w:lang w:val="es-ES_tradnl"/>
              </w:rPr>
              <w:t xml:space="preserve">: </w:t>
            </w:r>
            <w:r w:rsidR="0047339C" w:rsidRPr="00CC3A91">
              <w:rPr>
                <w:rFonts w:asciiTheme="majorHAnsi" w:hAnsiTheme="majorHAnsi" w:cs="Arial"/>
                <w:b w:val="0"/>
                <w:sz w:val="20"/>
                <w:szCs w:val="20"/>
                <w:lang w:val="es-ES_tradnl"/>
              </w:rPr>
              <w:t xml:space="preserve">Taller de capacitación, una </w:t>
            </w:r>
            <w:r w:rsidR="004C3386" w:rsidRPr="00CC3A91">
              <w:rPr>
                <w:rFonts w:asciiTheme="majorHAnsi" w:hAnsiTheme="majorHAnsi" w:cs="Arial"/>
                <w:b w:val="0"/>
                <w:sz w:val="20"/>
                <w:szCs w:val="20"/>
                <w:lang w:val="es-ES_tradnl"/>
              </w:rPr>
              <w:t>compilación</w:t>
            </w:r>
            <w:r w:rsidR="0047339C" w:rsidRPr="00CC3A91">
              <w:rPr>
                <w:rFonts w:asciiTheme="majorHAnsi" w:hAnsiTheme="majorHAnsi" w:cs="Arial"/>
                <w:b w:val="0"/>
                <w:sz w:val="20"/>
                <w:szCs w:val="20"/>
                <w:lang w:val="es-ES_tradnl"/>
              </w:rPr>
              <w:t xml:space="preserve"> de </w:t>
            </w:r>
            <w:r w:rsidR="00406EE9" w:rsidRPr="00CC3A91">
              <w:rPr>
                <w:rFonts w:asciiTheme="majorHAnsi" w:hAnsiTheme="majorHAnsi" w:cs="Arial"/>
                <w:b w:val="0"/>
                <w:sz w:val="20"/>
                <w:szCs w:val="20"/>
                <w:lang w:val="es-ES_tradnl"/>
              </w:rPr>
              <w:t xml:space="preserve">estudios de caso que se publicarán en el sitio web de </w:t>
            </w:r>
            <w:r w:rsidR="00EF4061" w:rsidRPr="00CC3A91">
              <w:rPr>
                <w:rFonts w:asciiTheme="majorHAnsi" w:hAnsiTheme="majorHAnsi" w:cs="Arial"/>
                <w:b w:val="0"/>
                <w:sz w:val="20"/>
                <w:szCs w:val="20"/>
                <w:lang w:val="es-ES_tradnl"/>
              </w:rPr>
              <w:t xml:space="preserve">Ramsar </w:t>
            </w:r>
            <w:r w:rsidR="00406EE9" w:rsidRPr="00CC3A91">
              <w:rPr>
                <w:rFonts w:asciiTheme="majorHAnsi" w:hAnsiTheme="majorHAnsi" w:cs="Arial"/>
                <w:b w:val="0"/>
                <w:sz w:val="20"/>
                <w:szCs w:val="20"/>
                <w:lang w:val="es-ES_tradnl"/>
              </w:rPr>
              <w:t xml:space="preserve">como parte del Juego de Herramientas para el Manejo de Sitios Ramsar </w:t>
            </w:r>
            <w:r w:rsidR="00EF4061" w:rsidRPr="00CC3A91">
              <w:rPr>
                <w:rFonts w:asciiTheme="majorHAnsi" w:hAnsiTheme="majorHAnsi" w:cs="Arial"/>
                <w:b w:val="0"/>
                <w:sz w:val="20"/>
                <w:szCs w:val="20"/>
                <w:lang w:val="es-ES_tradnl"/>
              </w:rPr>
              <w:t>(</w:t>
            </w:r>
            <w:r w:rsidR="004C3386" w:rsidRPr="00CC3A91">
              <w:rPr>
                <w:rFonts w:asciiTheme="majorHAnsi" w:hAnsiTheme="majorHAnsi" w:cs="Arial"/>
                <w:b w:val="0"/>
                <w:sz w:val="20"/>
                <w:szCs w:val="20"/>
                <w:lang w:val="es-ES_tradnl"/>
              </w:rPr>
              <w:t>véase la tarea 2.1</w:t>
            </w:r>
            <w:r w:rsidR="00406EE9" w:rsidRPr="00CC3A91">
              <w:rPr>
                <w:rFonts w:asciiTheme="majorHAnsi" w:hAnsiTheme="majorHAnsi" w:cs="Arial"/>
                <w:b w:val="0"/>
                <w:sz w:val="20"/>
                <w:szCs w:val="20"/>
                <w:lang w:val="es-ES_tradnl"/>
              </w:rPr>
              <w:t xml:space="preserve"> a continuación</w:t>
            </w:r>
            <w:r w:rsidR="004C3386" w:rsidRPr="00CC3A91">
              <w:rPr>
                <w:rFonts w:asciiTheme="majorHAnsi" w:hAnsiTheme="majorHAnsi" w:cs="Arial"/>
                <w:b w:val="0"/>
                <w:sz w:val="20"/>
                <w:szCs w:val="20"/>
                <w:lang w:val="es-ES_tradnl"/>
              </w:rPr>
              <w:t>)</w:t>
            </w:r>
            <w:r w:rsidR="00EF4061" w:rsidRPr="00CC3A91">
              <w:rPr>
                <w:rFonts w:asciiTheme="majorHAnsi" w:hAnsiTheme="majorHAnsi" w:cs="Arial"/>
                <w:b w:val="0"/>
                <w:sz w:val="20"/>
                <w:szCs w:val="20"/>
                <w:lang w:val="es-ES_tradnl"/>
              </w:rPr>
              <w:t xml:space="preserve"> </w:t>
            </w:r>
            <w:r w:rsidR="00406EE9" w:rsidRPr="00CC3A91">
              <w:rPr>
                <w:rFonts w:asciiTheme="majorHAnsi" w:hAnsiTheme="majorHAnsi" w:cs="Arial"/>
                <w:b w:val="0"/>
                <w:sz w:val="20"/>
                <w:szCs w:val="20"/>
                <w:lang w:val="es-ES_tradnl"/>
              </w:rPr>
              <w:t xml:space="preserve">y un seminario web sobre los inventarios culturales. </w:t>
            </w:r>
          </w:p>
          <w:p w14:paraId="7360EC0B" w14:textId="77777777" w:rsidR="00EF4061" w:rsidRPr="00CC3A91" w:rsidRDefault="00EF4061" w:rsidP="00EF4061">
            <w:pPr>
              <w:rPr>
                <w:rFonts w:asciiTheme="majorHAnsi" w:hAnsiTheme="majorHAnsi" w:cs="Arial"/>
                <w:b w:val="0"/>
                <w:sz w:val="20"/>
                <w:szCs w:val="20"/>
                <w:lang w:val="es-ES_tradnl"/>
              </w:rPr>
            </w:pPr>
          </w:p>
          <w:p w14:paraId="684C46D9" w14:textId="38EC66D7" w:rsidR="00EF4061" w:rsidRPr="00CC3A91" w:rsidRDefault="00DF2144"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lastRenderedPageBreak/>
              <w:t>Grupo(s) destinatario(s)</w:t>
            </w:r>
            <w:r w:rsidR="00EF4061" w:rsidRPr="00CC3A91">
              <w:rPr>
                <w:rFonts w:asciiTheme="majorHAnsi" w:hAnsiTheme="majorHAnsi" w:cs="Arial"/>
                <w:b w:val="0"/>
                <w:sz w:val="20"/>
                <w:szCs w:val="20"/>
                <w:lang w:val="es-ES_tradnl"/>
              </w:rPr>
              <w:t xml:space="preserve">: </w:t>
            </w:r>
            <w:r w:rsidR="005B4BA2" w:rsidRPr="00CC3A91">
              <w:rPr>
                <w:rFonts w:asciiTheme="majorHAnsi" w:hAnsiTheme="majorHAnsi" w:cs="Arial"/>
                <w:b w:val="0"/>
                <w:sz w:val="20"/>
                <w:szCs w:val="20"/>
                <w:lang w:val="es-ES_tradnl"/>
              </w:rPr>
              <w:t>Profesionales</w:t>
            </w:r>
            <w:r w:rsidR="00EF4061" w:rsidRPr="00CC3A91">
              <w:rPr>
                <w:rFonts w:asciiTheme="majorHAnsi" w:hAnsiTheme="majorHAnsi" w:cs="Arial"/>
                <w:b w:val="0"/>
                <w:sz w:val="20"/>
                <w:szCs w:val="20"/>
                <w:lang w:val="es-ES_tradnl"/>
              </w:rPr>
              <w:t xml:space="preserve"> (</w:t>
            </w:r>
            <w:r w:rsidR="00DE4F5C" w:rsidRPr="00CC3A91">
              <w:rPr>
                <w:rFonts w:asciiTheme="majorHAnsi" w:hAnsiTheme="majorHAnsi" w:cs="Arial"/>
                <w:b w:val="0"/>
                <w:sz w:val="20"/>
                <w:szCs w:val="20"/>
                <w:lang w:val="es-ES_tradnl"/>
              </w:rPr>
              <w:t>a</w:t>
            </w:r>
            <w:r w:rsidR="0088725B" w:rsidRPr="00CC3A91">
              <w:rPr>
                <w:rFonts w:asciiTheme="majorHAnsi" w:hAnsiTheme="majorHAnsi" w:cs="Arial"/>
                <w:b w:val="0"/>
                <w:sz w:val="20"/>
                <w:szCs w:val="20"/>
                <w:lang w:val="es-ES_tradnl"/>
              </w:rPr>
              <w:t>dministradores de sitios Ramsar</w:t>
            </w:r>
            <w:r w:rsidR="00EF4061" w:rsidRPr="00CC3A91">
              <w:rPr>
                <w:rFonts w:asciiTheme="majorHAnsi" w:hAnsiTheme="majorHAnsi" w:cs="Arial"/>
                <w:b w:val="0"/>
                <w:sz w:val="20"/>
                <w:szCs w:val="20"/>
                <w:lang w:val="es-ES_tradnl"/>
              </w:rPr>
              <w:t>)</w:t>
            </w:r>
          </w:p>
        </w:tc>
        <w:tc>
          <w:tcPr>
            <w:tcW w:w="497" w:type="pct"/>
          </w:tcPr>
          <w:p w14:paraId="5146DF8D" w14:textId="3F03AF05" w:rsidR="00EF4061" w:rsidRPr="00CC3A91" w:rsidRDefault="003E038E"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Hasta </w:t>
            </w:r>
            <w:r w:rsidR="00EF4061" w:rsidRPr="00CC3A91">
              <w:rPr>
                <w:rFonts w:asciiTheme="majorHAnsi" w:hAnsiTheme="majorHAnsi" w:cs="Arial"/>
                <w:b w:val="0"/>
                <w:sz w:val="20"/>
                <w:szCs w:val="20"/>
                <w:lang w:val="es-ES_tradnl"/>
              </w:rPr>
              <w:t>10</w:t>
            </w:r>
            <w:r w:rsidRPr="00CC3A91">
              <w:rPr>
                <w:rFonts w:asciiTheme="majorHAnsi" w:hAnsiTheme="majorHAnsi" w:cs="Arial"/>
                <w:b w:val="0"/>
                <w:sz w:val="20"/>
                <w:szCs w:val="20"/>
                <w:lang w:val="es-ES_tradnl"/>
              </w:rPr>
              <w:t>.</w:t>
            </w:r>
            <w:r w:rsidR="00EF4061" w:rsidRPr="00CC3A91">
              <w:rPr>
                <w:rFonts w:asciiTheme="majorHAnsi" w:hAnsiTheme="majorHAnsi" w:cs="Arial"/>
                <w:b w:val="0"/>
                <w:sz w:val="20"/>
                <w:szCs w:val="20"/>
                <w:lang w:val="es-ES_tradnl"/>
              </w:rPr>
              <w:t xml:space="preserve">000 </w:t>
            </w:r>
          </w:p>
        </w:tc>
      </w:tr>
      <w:tr w:rsidR="00EF4061" w:rsidRPr="00CC3A91" w14:paraId="24E36C9E" w14:textId="77777777" w:rsidTr="00DE4F5C">
        <w:tc>
          <w:tcPr>
            <w:tcW w:w="487" w:type="pct"/>
          </w:tcPr>
          <w:p w14:paraId="092A785F" w14:textId="373D16B2" w:rsidR="00EF4061" w:rsidRPr="00CC3A91" w:rsidRDefault="00EF4061" w:rsidP="0047339C">
            <w:pPr>
              <w:rPr>
                <w:rFonts w:asciiTheme="majorHAnsi" w:hAnsiTheme="majorHAnsi" w:cs="Arial"/>
                <w:b w:val="0"/>
                <w:sz w:val="20"/>
                <w:szCs w:val="20"/>
                <w:lang w:val="es-ES_tradnl"/>
              </w:rPr>
            </w:pPr>
            <w:r w:rsidRPr="00CC3A91">
              <w:rPr>
                <w:rFonts w:asciiTheme="majorHAnsi" w:hAnsiTheme="majorHAnsi"/>
                <w:b w:val="0"/>
                <w:sz w:val="20"/>
                <w:szCs w:val="20"/>
                <w:lang w:val="es-ES_tradnl"/>
              </w:rPr>
              <w:lastRenderedPageBreak/>
              <w:t>1.3 De</w:t>
            </w:r>
            <w:r w:rsidR="0047339C" w:rsidRPr="00CC3A91">
              <w:rPr>
                <w:rFonts w:asciiTheme="majorHAnsi" w:hAnsiTheme="majorHAnsi"/>
                <w:b w:val="0"/>
                <w:sz w:val="20"/>
                <w:szCs w:val="20"/>
                <w:lang w:val="es-ES_tradnl"/>
              </w:rPr>
              <w:t>sarrollo de</w:t>
            </w:r>
            <w:r w:rsidRPr="00CC3A91">
              <w:rPr>
                <w:rFonts w:asciiTheme="majorHAnsi" w:hAnsiTheme="majorHAnsi"/>
                <w:b w:val="0"/>
                <w:sz w:val="20"/>
                <w:szCs w:val="20"/>
                <w:lang w:val="es-ES_tradnl"/>
              </w:rPr>
              <w:t xml:space="preserve"> </w:t>
            </w:r>
            <w:r w:rsidR="003E038E" w:rsidRPr="00CC3A91">
              <w:rPr>
                <w:rFonts w:asciiTheme="majorHAnsi" w:hAnsiTheme="majorHAnsi"/>
                <w:b w:val="0"/>
                <w:sz w:val="20"/>
                <w:szCs w:val="20"/>
                <w:lang w:val="es-ES_tradnl"/>
              </w:rPr>
              <w:t xml:space="preserve">lineamientos para </w:t>
            </w:r>
            <w:r w:rsidR="004123A7" w:rsidRPr="00CC3A91">
              <w:rPr>
                <w:rFonts w:asciiTheme="majorHAnsi" w:hAnsiTheme="majorHAnsi"/>
                <w:b w:val="0"/>
                <w:sz w:val="20"/>
                <w:szCs w:val="20"/>
                <w:lang w:val="es-ES_tradnl"/>
              </w:rPr>
              <w:t xml:space="preserve">los </w:t>
            </w:r>
            <w:r w:rsidR="003E038E" w:rsidRPr="00CC3A91">
              <w:rPr>
                <w:rFonts w:asciiTheme="majorHAnsi" w:hAnsiTheme="majorHAnsi"/>
                <w:b w:val="0"/>
                <w:sz w:val="20"/>
                <w:szCs w:val="20"/>
                <w:lang w:val="es-ES_tradnl"/>
              </w:rPr>
              <w:t xml:space="preserve">inventarios de turberas para su posible designación como Humedales de Importancia Internacional </w:t>
            </w:r>
          </w:p>
        </w:tc>
        <w:tc>
          <w:tcPr>
            <w:tcW w:w="351" w:type="pct"/>
          </w:tcPr>
          <w:p w14:paraId="3D588E0F" w14:textId="3D9C7764" w:rsidR="00EF4061" w:rsidRPr="00CC3A91" w:rsidRDefault="00406EE9"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289" w:type="pct"/>
          </w:tcPr>
          <w:p w14:paraId="094E9C1C" w14:textId="0FF7D65E" w:rsidR="00EF4061" w:rsidRPr="00CC3A91" w:rsidRDefault="00EF4061" w:rsidP="00EF4061">
            <w:pPr>
              <w:rPr>
                <w:rFonts w:asciiTheme="majorHAnsi" w:hAnsiTheme="majorHAnsi" w:cs="Arial"/>
                <w:b w:val="0"/>
                <w:sz w:val="20"/>
                <w:szCs w:val="20"/>
                <w:lang w:val="es-ES_tradnl"/>
              </w:rPr>
            </w:pPr>
            <w:r w:rsidRPr="00CC3A91">
              <w:rPr>
                <w:rFonts w:asciiTheme="majorHAnsi" w:hAnsiTheme="majorHAnsi"/>
                <w:b w:val="0"/>
                <w:sz w:val="20"/>
                <w:szCs w:val="20"/>
                <w:lang w:val="es-ES_tradnl"/>
              </w:rPr>
              <w:t>XII.11, ¶24 (a)</w:t>
            </w:r>
            <w:r w:rsidR="0088725B" w:rsidRPr="00CC3A91">
              <w:rPr>
                <w:rFonts w:asciiTheme="majorHAnsi" w:hAnsiTheme="majorHAnsi"/>
                <w:b w:val="0"/>
                <w:sz w:val="20"/>
                <w:szCs w:val="20"/>
                <w:lang w:val="es-ES_tradnl"/>
              </w:rPr>
              <w:t xml:space="preserve"> </w:t>
            </w:r>
            <w:r w:rsidRPr="00CC3A91">
              <w:rPr>
                <w:rFonts w:asciiTheme="majorHAnsi" w:hAnsiTheme="majorHAnsi"/>
                <w:b w:val="0"/>
                <w:sz w:val="20"/>
                <w:szCs w:val="20"/>
                <w:lang w:val="es-ES_tradnl"/>
              </w:rPr>
              <w:t>(b)</w:t>
            </w:r>
          </w:p>
        </w:tc>
        <w:tc>
          <w:tcPr>
            <w:tcW w:w="410" w:type="pct"/>
          </w:tcPr>
          <w:p w14:paraId="27C79CAA" w14:textId="77777777" w:rsidR="00EF4061" w:rsidRPr="00CC3A91" w:rsidRDefault="00EF4061"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2.6; 3.8, 3.9, 3.11, 3.12; 4.14</w:t>
            </w:r>
          </w:p>
        </w:tc>
        <w:tc>
          <w:tcPr>
            <w:tcW w:w="2966" w:type="pct"/>
          </w:tcPr>
          <w:p w14:paraId="2FD1EBF8" w14:textId="0D9E5EA5" w:rsidR="00EF4061" w:rsidRPr="00CC3A91" w:rsidRDefault="00DF2144" w:rsidP="005E3C87">
            <w:pPr>
              <w:pStyle w:val="NormalWeb"/>
              <w:rPr>
                <w:rFonts w:asciiTheme="majorHAnsi" w:hAnsiTheme="majorHAnsi"/>
                <w:b w:val="0"/>
                <w:sz w:val="20"/>
                <w:szCs w:val="20"/>
                <w:lang w:val="es-ES_tradnl"/>
              </w:rPr>
            </w:pPr>
            <w:r w:rsidRPr="00CC3A91">
              <w:rPr>
                <w:rFonts w:asciiTheme="majorHAnsi" w:hAnsiTheme="majorHAnsi" w:cs="Calibri"/>
                <w:b w:val="0"/>
                <w:bCs/>
                <w:sz w:val="20"/>
                <w:szCs w:val="20"/>
                <w:u w:val="single"/>
                <w:lang w:val="es-ES_tradnl"/>
              </w:rPr>
              <w:t>Descripción de la tarea</w:t>
            </w:r>
            <w:r w:rsidR="00EF4061" w:rsidRPr="00CC3A91">
              <w:rPr>
                <w:rFonts w:asciiTheme="majorHAnsi" w:hAnsiTheme="majorHAnsi" w:cs="Calibri"/>
                <w:b w:val="0"/>
                <w:bCs/>
                <w:sz w:val="20"/>
                <w:szCs w:val="20"/>
                <w:lang w:val="es-ES_tradnl"/>
              </w:rPr>
              <w:t>: Revi</w:t>
            </w:r>
            <w:r w:rsidR="00314C4F" w:rsidRPr="00CC3A91">
              <w:rPr>
                <w:rFonts w:asciiTheme="majorHAnsi" w:hAnsiTheme="majorHAnsi" w:cs="Calibri"/>
                <w:b w:val="0"/>
                <w:bCs/>
                <w:sz w:val="20"/>
                <w:szCs w:val="20"/>
                <w:lang w:val="es-ES_tradnl"/>
              </w:rPr>
              <w:t xml:space="preserve">sar y desarrollar lineamientos para los inventarios de turberas tropicales para su designación como Humedales de Importancia </w:t>
            </w:r>
            <w:r w:rsidR="00314C4F" w:rsidRPr="0037459B">
              <w:rPr>
                <w:rFonts w:asciiTheme="majorHAnsi" w:hAnsiTheme="majorHAnsi" w:cs="Calibri"/>
                <w:b w:val="0"/>
                <w:bCs/>
                <w:sz w:val="20"/>
                <w:szCs w:val="20"/>
                <w:lang w:val="es-ES_tradnl"/>
              </w:rPr>
              <w:t xml:space="preserve">Internacional. Se hablará de los lineamientos científicos y técnicos de "buenas prácticas" en una Nota Informativa que </w:t>
            </w:r>
            <w:r w:rsidR="0037459B" w:rsidRPr="0037459B">
              <w:rPr>
                <w:rFonts w:asciiTheme="majorHAnsi" w:hAnsiTheme="majorHAnsi" w:cs="Calibri"/>
                <w:b w:val="0"/>
                <w:bCs/>
                <w:sz w:val="20"/>
                <w:szCs w:val="20"/>
                <w:lang w:val="es-ES_tradnl"/>
              </w:rPr>
              <w:t xml:space="preserve">haga referencia a </w:t>
            </w:r>
            <w:r w:rsidR="00314C4F" w:rsidRPr="0037459B">
              <w:rPr>
                <w:rFonts w:asciiTheme="majorHAnsi" w:hAnsiTheme="majorHAnsi" w:cs="Calibri"/>
                <w:b w:val="0"/>
                <w:bCs/>
                <w:sz w:val="20"/>
                <w:szCs w:val="20"/>
                <w:lang w:val="es-ES_tradnl"/>
              </w:rPr>
              <w:t xml:space="preserve">extensión, profundidad, calidad, elevación y </w:t>
            </w:r>
            <w:r w:rsidR="00E93BD9" w:rsidRPr="0037459B">
              <w:rPr>
                <w:rFonts w:asciiTheme="majorHAnsi" w:hAnsiTheme="majorHAnsi" w:cs="Calibri"/>
                <w:b w:val="0"/>
                <w:bCs/>
                <w:sz w:val="20"/>
                <w:szCs w:val="20"/>
                <w:lang w:val="es-ES_tradnl"/>
              </w:rPr>
              <w:t>metodologías de estudio</w:t>
            </w:r>
            <w:r w:rsidR="00314C4F" w:rsidRPr="0037459B">
              <w:rPr>
                <w:rFonts w:asciiTheme="majorHAnsi" w:hAnsiTheme="majorHAnsi" w:cs="Calibri"/>
                <w:b w:val="0"/>
                <w:bCs/>
                <w:sz w:val="20"/>
                <w:szCs w:val="20"/>
                <w:lang w:val="es-ES_tradnl"/>
              </w:rPr>
              <w:t>.</w:t>
            </w:r>
            <w:r w:rsidR="00314C4F" w:rsidRPr="00CC3A91">
              <w:rPr>
                <w:rFonts w:asciiTheme="majorHAnsi" w:hAnsiTheme="majorHAnsi" w:cs="Calibri"/>
                <w:b w:val="0"/>
                <w:bCs/>
                <w:sz w:val="20"/>
                <w:szCs w:val="20"/>
                <w:lang w:val="es-ES_tradnl"/>
              </w:rPr>
              <w:t xml:space="preserve"> Asimismo, se desarrollarán lineamientos </w:t>
            </w:r>
            <w:r w:rsidR="00B27BE9" w:rsidRPr="00CC3A91">
              <w:rPr>
                <w:rFonts w:asciiTheme="majorHAnsi" w:hAnsiTheme="majorHAnsi" w:cs="Calibri"/>
                <w:b w:val="0"/>
                <w:bCs/>
                <w:sz w:val="20"/>
                <w:szCs w:val="20"/>
                <w:lang w:val="es-ES_tradnl"/>
              </w:rPr>
              <w:t xml:space="preserve">relativos a la designación de </w:t>
            </w:r>
            <w:r w:rsidR="00193209" w:rsidRPr="00CC3A91">
              <w:rPr>
                <w:rFonts w:asciiTheme="majorHAnsi" w:hAnsiTheme="majorHAnsi" w:cs="Calibri"/>
                <w:b w:val="0"/>
                <w:bCs/>
                <w:sz w:val="20"/>
                <w:szCs w:val="20"/>
                <w:lang w:val="es-ES_tradnl"/>
              </w:rPr>
              <w:t xml:space="preserve">las </w:t>
            </w:r>
            <w:r w:rsidR="00B27BE9" w:rsidRPr="00CC3A91">
              <w:rPr>
                <w:rFonts w:asciiTheme="majorHAnsi" w:hAnsiTheme="majorHAnsi" w:cs="Calibri"/>
                <w:b w:val="0"/>
                <w:bCs/>
                <w:sz w:val="20"/>
                <w:szCs w:val="20"/>
                <w:lang w:val="es-ES_tradnl"/>
              </w:rPr>
              <w:t xml:space="preserve">turberas como Humedales de Importancia Internacional, especialmente con respecto al Criterio 1, </w:t>
            </w:r>
            <w:r w:rsidR="00E70400" w:rsidRPr="00CC3A91">
              <w:rPr>
                <w:rFonts w:asciiTheme="majorHAnsi" w:hAnsiTheme="majorHAnsi" w:cs="Calibri"/>
                <w:b w:val="0"/>
                <w:bCs/>
                <w:sz w:val="20"/>
                <w:szCs w:val="20"/>
                <w:lang w:val="es-ES_tradnl"/>
              </w:rPr>
              <w:t xml:space="preserve">y particularmente el párrafo 121 </w:t>
            </w:r>
            <w:r w:rsidR="00EF4061" w:rsidRPr="00CC3A91">
              <w:rPr>
                <w:rFonts w:asciiTheme="majorHAnsi" w:hAnsiTheme="majorHAnsi" w:cs="Calibri"/>
                <w:b w:val="0"/>
                <w:bCs/>
                <w:sz w:val="20"/>
                <w:szCs w:val="20"/>
                <w:lang w:val="es-ES_tradnl"/>
              </w:rPr>
              <w:t xml:space="preserve">(vi) </w:t>
            </w:r>
            <w:r w:rsidR="00E70400" w:rsidRPr="00CC3A91">
              <w:rPr>
                <w:rFonts w:asciiTheme="majorHAnsi" w:hAnsiTheme="majorHAnsi" w:cs="Calibri"/>
                <w:b w:val="0"/>
                <w:bCs/>
                <w:sz w:val="20"/>
                <w:szCs w:val="20"/>
                <w:lang w:val="es-ES_tradnl"/>
              </w:rPr>
              <w:t>del Anexo 2 de la Resolución</w:t>
            </w:r>
            <w:r w:rsidR="0088725B" w:rsidRPr="00CC3A91">
              <w:rPr>
                <w:rFonts w:asciiTheme="majorHAnsi" w:hAnsiTheme="majorHAnsi" w:cs="Calibri"/>
                <w:b w:val="0"/>
                <w:bCs/>
                <w:sz w:val="20"/>
                <w:szCs w:val="20"/>
                <w:lang w:val="es-ES_tradnl"/>
              </w:rPr>
              <w:t xml:space="preserve"> </w:t>
            </w:r>
            <w:r w:rsidR="00EF4061" w:rsidRPr="00CC3A91">
              <w:rPr>
                <w:rFonts w:asciiTheme="majorHAnsi" w:hAnsiTheme="majorHAnsi" w:cs="Calibri"/>
                <w:b w:val="0"/>
                <w:bCs/>
                <w:sz w:val="20"/>
                <w:szCs w:val="20"/>
                <w:lang w:val="es-ES_tradnl"/>
              </w:rPr>
              <w:t>XI.8 (</w:t>
            </w:r>
            <w:r w:rsidR="00E70400" w:rsidRPr="00CC3A91">
              <w:rPr>
                <w:rFonts w:asciiTheme="majorHAnsi" w:hAnsiTheme="majorHAnsi" w:cs="Calibri"/>
                <w:b w:val="0"/>
                <w:bCs/>
                <w:sz w:val="20"/>
                <w:szCs w:val="20"/>
                <w:lang w:val="es-ES_tradnl"/>
              </w:rPr>
              <w:t xml:space="preserve">importancia hidrológica </w:t>
            </w:r>
            <w:r w:rsidR="005E3C87" w:rsidRPr="00CC3A91">
              <w:rPr>
                <w:rFonts w:asciiTheme="majorHAnsi" w:hAnsiTheme="majorHAnsi" w:cs="Calibri"/>
                <w:b w:val="0"/>
                <w:bCs/>
                <w:sz w:val="20"/>
                <w:szCs w:val="20"/>
                <w:lang w:val="es-ES_tradnl"/>
              </w:rPr>
              <w:t>en el contexto de la regulación o estabilidad del clima regional</w:t>
            </w:r>
            <w:r w:rsidR="00EF4061" w:rsidRPr="00CC3A91">
              <w:rPr>
                <w:rFonts w:asciiTheme="majorHAnsi" w:hAnsiTheme="majorHAnsi"/>
                <w:b w:val="0"/>
                <w:sz w:val="20"/>
                <w:szCs w:val="20"/>
                <w:lang w:val="es-ES_tradnl"/>
              </w:rPr>
              <w:t>)</w:t>
            </w:r>
            <w:r w:rsidR="00EF4061" w:rsidRPr="00CC3A91">
              <w:rPr>
                <w:rFonts w:asciiTheme="majorHAnsi" w:hAnsiTheme="majorHAnsi" w:cs="Calibri"/>
                <w:b w:val="0"/>
                <w:bCs/>
                <w:sz w:val="20"/>
                <w:szCs w:val="20"/>
                <w:lang w:val="es-ES_tradnl"/>
              </w:rPr>
              <w:t>.</w:t>
            </w:r>
          </w:p>
          <w:p w14:paraId="23564424" w14:textId="529736F8" w:rsidR="00EF4061" w:rsidRPr="00CC3A91" w:rsidRDefault="00DF2144" w:rsidP="00EF4061">
            <w:pPr>
              <w:widowControl w:val="0"/>
              <w:autoSpaceDE w:val="0"/>
              <w:autoSpaceDN w:val="0"/>
              <w:adjustRightInd w:val="0"/>
              <w:rPr>
                <w:rFonts w:ascii="Tahoma" w:hAnsi="Tahoma" w:cs="Tahoma"/>
                <w:b w:val="0"/>
                <w:sz w:val="20"/>
                <w:szCs w:val="20"/>
                <w:lang w:val="es-ES_tradnl"/>
              </w:rPr>
            </w:pPr>
            <w:r w:rsidRPr="00CC3A91">
              <w:rPr>
                <w:rFonts w:ascii="Calibri" w:hAnsi="Calibri" w:cs="Calibri"/>
                <w:b w:val="0"/>
                <w:bCs/>
                <w:sz w:val="20"/>
                <w:szCs w:val="20"/>
                <w:u w:val="single"/>
                <w:lang w:val="es-ES_tradnl"/>
              </w:rPr>
              <w:t>Producto(s) esperado(s)</w:t>
            </w:r>
            <w:r w:rsidR="00EF4061" w:rsidRPr="00CC3A91">
              <w:rPr>
                <w:rFonts w:ascii="Calibri" w:hAnsi="Calibri" w:cs="Calibri"/>
                <w:b w:val="0"/>
                <w:bCs/>
                <w:sz w:val="20"/>
                <w:szCs w:val="20"/>
                <w:u w:val="single"/>
                <w:lang w:val="es-ES_tradnl"/>
              </w:rPr>
              <w:t>:</w:t>
            </w:r>
          </w:p>
          <w:p w14:paraId="4BF7AC77" w14:textId="3C6158FC" w:rsidR="00EF4061" w:rsidRPr="00CC3A91" w:rsidRDefault="00EF4061" w:rsidP="00EF4061">
            <w:pPr>
              <w:widowControl w:val="0"/>
              <w:autoSpaceDE w:val="0"/>
              <w:autoSpaceDN w:val="0"/>
              <w:adjustRightInd w:val="0"/>
              <w:rPr>
                <w:rFonts w:ascii="Tahoma" w:hAnsi="Tahoma" w:cs="Tahoma"/>
                <w:b w:val="0"/>
                <w:sz w:val="20"/>
                <w:szCs w:val="20"/>
                <w:lang w:val="es-ES_tradnl"/>
              </w:rPr>
            </w:pPr>
            <w:r w:rsidRPr="00CC3A91">
              <w:rPr>
                <w:rFonts w:ascii="Calibri" w:hAnsi="Calibri" w:cs="Calibri"/>
                <w:b w:val="0"/>
                <w:bCs/>
                <w:sz w:val="20"/>
                <w:szCs w:val="20"/>
                <w:lang w:val="es-ES_tradnl"/>
              </w:rPr>
              <w:t xml:space="preserve">1) </w:t>
            </w:r>
            <w:r w:rsidR="004123A7" w:rsidRPr="00CC3A91">
              <w:rPr>
                <w:rFonts w:ascii="Calibri" w:hAnsi="Calibri" w:cs="Calibri"/>
                <w:b w:val="0"/>
                <w:bCs/>
                <w:sz w:val="20"/>
                <w:szCs w:val="20"/>
                <w:lang w:val="es-ES_tradnl"/>
              </w:rPr>
              <w:t>Nota Informativa para</w:t>
            </w:r>
            <w:r w:rsidRPr="00CC3A91">
              <w:rPr>
                <w:rFonts w:ascii="Calibri" w:hAnsi="Calibri" w:cs="Calibri"/>
                <w:b w:val="0"/>
                <w:bCs/>
                <w:sz w:val="20"/>
                <w:szCs w:val="20"/>
                <w:lang w:val="es-ES_tradnl"/>
              </w:rPr>
              <w:t xml:space="preserve"> </w:t>
            </w:r>
            <w:r w:rsidR="005B4BA2" w:rsidRPr="00CC3A91">
              <w:rPr>
                <w:rFonts w:ascii="Calibri" w:hAnsi="Calibri" w:cs="Calibri"/>
                <w:b w:val="0"/>
                <w:bCs/>
                <w:sz w:val="20"/>
                <w:szCs w:val="20"/>
                <w:lang w:val="es-ES_tradnl"/>
              </w:rPr>
              <w:t>profesionales</w:t>
            </w:r>
            <w:r w:rsidRPr="00CC3A91">
              <w:rPr>
                <w:rFonts w:ascii="Calibri" w:hAnsi="Calibri" w:cs="Calibri"/>
                <w:b w:val="0"/>
                <w:bCs/>
                <w:sz w:val="20"/>
                <w:szCs w:val="20"/>
                <w:lang w:val="es-ES_tradnl"/>
              </w:rPr>
              <w:t xml:space="preserve"> (</w:t>
            </w:r>
            <w:r w:rsidR="004123A7" w:rsidRPr="00CC3A91">
              <w:rPr>
                <w:rFonts w:ascii="Calibri" w:hAnsi="Calibri" w:cs="Calibri"/>
                <w:b w:val="0"/>
                <w:bCs/>
                <w:sz w:val="20"/>
                <w:szCs w:val="20"/>
                <w:lang w:val="es-ES_tradnl"/>
              </w:rPr>
              <w:t>administradores de sitios</w:t>
            </w:r>
            <w:r w:rsidR="0088725B" w:rsidRPr="00CC3A91">
              <w:rPr>
                <w:rFonts w:ascii="Calibri" w:hAnsi="Calibri" w:cs="Calibri"/>
                <w:b w:val="0"/>
                <w:bCs/>
                <w:sz w:val="20"/>
                <w:szCs w:val="20"/>
                <w:lang w:val="es-ES_tradnl"/>
              </w:rPr>
              <w:t xml:space="preserve"> </w:t>
            </w:r>
            <w:r w:rsidR="004123A7" w:rsidRPr="00CC3A91">
              <w:rPr>
                <w:rFonts w:ascii="Calibri" w:hAnsi="Calibri" w:cs="Calibri"/>
                <w:b w:val="0"/>
                <w:bCs/>
                <w:sz w:val="20"/>
                <w:szCs w:val="20"/>
                <w:lang w:val="es-ES_tradnl"/>
              </w:rPr>
              <w:t>Ramsar</w:t>
            </w:r>
            <w:r w:rsidRPr="00CC3A91">
              <w:rPr>
                <w:rFonts w:ascii="Calibri" w:hAnsi="Calibri" w:cs="Calibri"/>
                <w:b w:val="0"/>
                <w:bCs/>
                <w:sz w:val="20"/>
                <w:szCs w:val="20"/>
                <w:lang w:val="es-ES_tradnl"/>
              </w:rPr>
              <w:t xml:space="preserve">) </w:t>
            </w:r>
            <w:r w:rsidR="004123A7" w:rsidRPr="00CC3A91">
              <w:rPr>
                <w:rFonts w:ascii="Calibri" w:hAnsi="Calibri" w:cs="Calibri"/>
                <w:b w:val="0"/>
                <w:bCs/>
                <w:sz w:val="20"/>
                <w:szCs w:val="20"/>
                <w:lang w:val="es-ES_tradnl"/>
              </w:rPr>
              <w:t xml:space="preserve">que incluya </w:t>
            </w:r>
            <w:r w:rsidR="00193209" w:rsidRPr="00CC3A91">
              <w:rPr>
                <w:rFonts w:ascii="Calibri" w:hAnsi="Calibri" w:cs="Calibri"/>
                <w:b w:val="0"/>
                <w:bCs/>
                <w:sz w:val="20"/>
                <w:szCs w:val="20"/>
                <w:lang w:val="es-ES_tradnl"/>
              </w:rPr>
              <w:t xml:space="preserve">las metodologías para determinar </w:t>
            </w:r>
            <w:r w:rsidR="004123A7" w:rsidRPr="00CC3A91">
              <w:rPr>
                <w:rFonts w:asciiTheme="majorHAnsi" w:hAnsiTheme="majorHAnsi" w:cs="Arial"/>
                <w:b w:val="0"/>
                <w:sz w:val="20"/>
                <w:szCs w:val="20"/>
                <w:lang w:val="es-ES_tradnl"/>
              </w:rPr>
              <w:t>la extensión, profundidades, calidad, elev</w:t>
            </w:r>
            <w:r w:rsidR="00193209" w:rsidRPr="00CC3A91">
              <w:rPr>
                <w:rFonts w:asciiTheme="majorHAnsi" w:hAnsiTheme="majorHAnsi" w:cs="Arial"/>
                <w:b w:val="0"/>
                <w:sz w:val="20"/>
                <w:szCs w:val="20"/>
                <w:lang w:val="es-ES_tradnl"/>
              </w:rPr>
              <w:t xml:space="preserve">ación y </w:t>
            </w:r>
            <w:r w:rsidR="00360FBC" w:rsidRPr="00CC3A91">
              <w:rPr>
                <w:rFonts w:asciiTheme="majorHAnsi" w:hAnsiTheme="majorHAnsi" w:cs="Arial"/>
                <w:b w:val="0"/>
                <w:sz w:val="20"/>
                <w:szCs w:val="20"/>
                <w:lang w:val="es-ES_tradnl"/>
              </w:rPr>
              <w:t>topografía</w:t>
            </w:r>
            <w:r w:rsidR="004123A7" w:rsidRPr="00CC3A91">
              <w:rPr>
                <w:rFonts w:asciiTheme="majorHAnsi" w:hAnsiTheme="majorHAnsi" w:cs="Arial"/>
                <w:b w:val="0"/>
                <w:sz w:val="20"/>
                <w:szCs w:val="20"/>
                <w:lang w:val="es-ES_tradnl"/>
              </w:rPr>
              <w:t>, y</w:t>
            </w:r>
            <w:r w:rsidR="0088725B" w:rsidRPr="00CC3A91">
              <w:rPr>
                <w:rFonts w:asciiTheme="majorHAnsi" w:hAnsiTheme="majorHAnsi" w:cs="Arial"/>
                <w:b w:val="0"/>
                <w:sz w:val="20"/>
                <w:szCs w:val="20"/>
                <w:lang w:val="es-ES_tradnl"/>
              </w:rPr>
              <w:t xml:space="preserve"> </w:t>
            </w:r>
          </w:p>
          <w:p w14:paraId="7D9F93A9" w14:textId="77777777" w:rsidR="00360FBC" w:rsidRPr="00CC3A91" w:rsidRDefault="00360FBC" w:rsidP="00EF4061">
            <w:pPr>
              <w:widowControl w:val="0"/>
              <w:autoSpaceDE w:val="0"/>
              <w:autoSpaceDN w:val="0"/>
              <w:adjustRightInd w:val="0"/>
              <w:rPr>
                <w:rFonts w:ascii="Calibri" w:hAnsi="Calibri" w:cs="Calibri"/>
                <w:b w:val="0"/>
                <w:bCs/>
                <w:color w:val="0C0D00"/>
                <w:sz w:val="20"/>
                <w:szCs w:val="20"/>
                <w:lang w:val="es-ES_tradnl"/>
              </w:rPr>
            </w:pPr>
          </w:p>
          <w:p w14:paraId="54CF7829" w14:textId="745EE9C5" w:rsidR="00EF4061" w:rsidRPr="00CC3A91" w:rsidRDefault="00EF4061" w:rsidP="00EF4061">
            <w:pPr>
              <w:widowControl w:val="0"/>
              <w:autoSpaceDE w:val="0"/>
              <w:autoSpaceDN w:val="0"/>
              <w:adjustRightInd w:val="0"/>
              <w:rPr>
                <w:rFonts w:ascii="Tahoma" w:hAnsi="Tahoma" w:cs="Tahoma"/>
                <w:b w:val="0"/>
                <w:sz w:val="20"/>
                <w:szCs w:val="20"/>
                <w:lang w:val="es-ES_tradnl"/>
              </w:rPr>
            </w:pPr>
            <w:r w:rsidRPr="00CC3A91">
              <w:rPr>
                <w:rFonts w:ascii="Calibri" w:hAnsi="Calibri" w:cs="Calibri"/>
                <w:b w:val="0"/>
                <w:bCs/>
                <w:color w:val="0C0D00"/>
                <w:sz w:val="20"/>
                <w:szCs w:val="20"/>
                <w:lang w:val="es-ES_tradnl"/>
              </w:rPr>
              <w:t xml:space="preserve">2) </w:t>
            </w:r>
            <w:r w:rsidR="00314C4F" w:rsidRPr="00CC3A91">
              <w:rPr>
                <w:rFonts w:ascii="Calibri" w:hAnsi="Calibri" w:cs="Calibri"/>
                <w:b w:val="0"/>
                <w:bCs/>
                <w:color w:val="0C0D00"/>
                <w:sz w:val="20"/>
                <w:szCs w:val="20"/>
                <w:lang w:val="es-ES_tradnl"/>
              </w:rPr>
              <w:t xml:space="preserve">Se presentarán los lineamientos revisados, como Anexo a un proyecto de Resolución, al Comité Permanente y a la </w:t>
            </w:r>
            <w:r w:rsidR="00360FBC" w:rsidRPr="00CC3A91">
              <w:rPr>
                <w:rFonts w:ascii="Calibri" w:hAnsi="Calibri" w:cs="Calibri"/>
                <w:b w:val="0"/>
                <w:bCs/>
                <w:color w:val="0C0D00"/>
                <w:sz w:val="20"/>
                <w:szCs w:val="20"/>
                <w:lang w:val="es-ES_tradnl"/>
              </w:rPr>
              <w:t>13ª reunión de la Conferencia de las Partes Con</w:t>
            </w:r>
            <w:r w:rsidR="00314C4F" w:rsidRPr="00CC3A91">
              <w:rPr>
                <w:rFonts w:ascii="Calibri" w:hAnsi="Calibri" w:cs="Calibri"/>
                <w:b w:val="0"/>
                <w:bCs/>
                <w:color w:val="0C0D00"/>
                <w:sz w:val="20"/>
                <w:szCs w:val="20"/>
                <w:lang w:val="es-ES_tradnl"/>
              </w:rPr>
              <w:t xml:space="preserve">tratantes </w:t>
            </w:r>
          </w:p>
          <w:p w14:paraId="783B13D6" w14:textId="77777777" w:rsidR="00360FBC" w:rsidRPr="00CC3A91" w:rsidRDefault="00360FBC" w:rsidP="007360DF">
            <w:pPr>
              <w:rPr>
                <w:rFonts w:ascii="Calibri" w:hAnsi="Calibri" w:cs="Calibri"/>
                <w:b w:val="0"/>
                <w:bCs/>
                <w:sz w:val="20"/>
                <w:szCs w:val="20"/>
                <w:u w:val="single"/>
                <w:lang w:val="es-ES_tradnl"/>
              </w:rPr>
            </w:pPr>
          </w:p>
          <w:p w14:paraId="3641A5B8" w14:textId="5CAFDFF3" w:rsidR="00EF4061" w:rsidRPr="00CC3A91" w:rsidRDefault="00DF2144" w:rsidP="007360DF">
            <w:pPr>
              <w:rPr>
                <w:rFonts w:asciiTheme="majorHAnsi" w:hAnsiTheme="majorHAnsi" w:cs="Arial"/>
                <w:sz w:val="20"/>
                <w:szCs w:val="20"/>
                <w:u w:val="single"/>
                <w:lang w:val="es-ES_tradnl"/>
              </w:rPr>
            </w:pPr>
            <w:r w:rsidRPr="00CC3A91">
              <w:rPr>
                <w:rFonts w:ascii="Calibri" w:hAnsi="Calibri" w:cs="Calibri"/>
                <w:b w:val="0"/>
                <w:bCs/>
                <w:sz w:val="20"/>
                <w:szCs w:val="20"/>
                <w:u w:val="single"/>
                <w:lang w:val="es-ES_tradnl"/>
              </w:rPr>
              <w:t>Grupo(s) destinatario(s)</w:t>
            </w:r>
            <w:r w:rsidR="00EF4061" w:rsidRPr="00CC3A91">
              <w:rPr>
                <w:rFonts w:ascii="Calibri" w:hAnsi="Calibri" w:cs="Calibri"/>
                <w:b w:val="0"/>
                <w:bCs/>
                <w:sz w:val="20"/>
                <w:szCs w:val="20"/>
                <w:lang w:val="es-ES_tradnl"/>
              </w:rPr>
              <w:t xml:space="preserve">: </w:t>
            </w:r>
            <w:r w:rsidR="005B4BA2" w:rsidRPr="00CC3A91">
              <w:rPr>
                <w:rFonts w:ascii="Calibri" w:hAnsi="Calibri" w:cs="Calibri"/>
                <w:b w:val="0"/>
                <w:bCs/>
                <w:sz w:val="20"/>
                <w:szCs w:val="20"/>
                <w:lang w:val="es-ES_tradnl"/>
              </w:rPr>
              <w:t>Profesionales</w:t>
            </w:r>
            <w:r w:rsidR="00EF4061" w:rsidRPr="00CC3A91">
              <w:rPr>
                <w:rFonts w:ascii="Calibri" w:hAnsi="Calibri" w:cs="Calibri"/>
                <w:b w:val="0"/>
                <w:bCs/>
                <w:sz w:val="20"/>
                <w:szCs w:val="20"/>
                <w:lang w:val="es-ES_tradnl"/>
              </w:rPr>
              <w:t xml:space="preserve"> (</w:t>
            </w:r>
            <w:r w:rsidR="00360FBC" w:rsidRPr="00CC3A91">
              <w:rPr>
                <w:rFonts w:ascii="Calibri" w:hAnsi="Calibri" w:cs="Calibri"/>
                <w:b w:val="0"/>
                <w:bCs/>
                <w:sz w:val="20"/>
                <w:szCs w:val="20"/>
                <w:lang w:val="es-ES_tradnl"/>
              </w:rPr>
              <w:t>a</w:t>
            </w:r>
            <w:r w:rsidR="0088725B" w:rsidRPr="00CC3A91">
              <w:rPr>
                <w:rFonts w:ascii="Calibri" w:hAnsi="Calibri" w:cs="Calibri"/>
                <w:b w:val="0"/>
                <w:bCs/>
                <w:sz w:val="20"/>
                <w:szCs w:val="20"/>
                <w:lang w:val="es-ES_tradnl"/>
              </w:rPr>
              <w:t>dministradores de sitios Ramsar</w:t>
            </w:r>
            <w:r w:rsidR="00EF4061" w:rsidRPr="00CC3A91">
              <w:rPr>
                <w:rFonts w:ascii="Calibri" w:hAnsi="Calibri" w:cs="Calibri"/>
                <w:b w:val="0"/>
                <w:bCs/>
                <w:sz w:val="20"/>
                <w:szCs w:val="20"/>
                <w:lang w:val="es-ES_tradnl"/>
              </w:rPr>
              <w:t>) (</w:t>
            </w:r>
            <w:r w:rsidR="007360DF" w:rsidRPr="00CC3A91">
              <w:rPr>
                <w:rFonts w:ascii="Calibri" w:hAnsi="Calibri" w:cs="Calibri"/>
                <w:b w:val="0"/>
                <w:bCs/>
                <w:sz w:val="20"/>
                <w:szCs w:val="20"/>
                <w:lang w:val="es-ES_tradnl"/>
              </w:rPr>
              <w:t>Nota Informativa</w:t>
            </w:r>
            <w:r w:rsidR="00EF4061" w:rsidRPr="00CC3A91">
              <w:rPr>
                <w:rFonts w:ascii="Calibri" w:hAnsi="Calibri" w:cs="Calibri"/>
                <w:b w:val="0"/>
                <w:bCs/>
                <w:sz w:val="20"/>
                <w:szCs w:val="20"/>
                <w:lang w:val="es-ES_tradnl"/>
              </w:rPr>
              <w:t xml:space="preserve">) </w:t>
            </w:r>
            <w:r w:rsidR="007360DF" w:rsidRPr="00CC3A91">
              <w:rPr>
                <w:rFonts w:ascii="Calibri" w:hAnsi="Calibri" w:cs="Calibri"/>
                <w:b w:val="0"/>
                <w:bCs/>
                <w:sz w:val="20"/>
                <w:szCs w:val="20"/>
                <w:lang w:val="es-ES_tradnl"/>
              </w:rPr>
              <w:t>y</w:t>
            </w:r>
            <w:r w:rsidR="00EF4061" w:rsidRPr="00CC3A91">
              <w:rPr>
                <w:rFonts w:ascii="Calibri" w:hAnsi="Calibri" w:cs="Calibri"/>
                <w:b w:val="0"/>
                <w:bCs/>
                <w:sz w:val="20"/>
                <w:szCs w:val="20"/>
                <w:lang w:val="es-ES_tradnl"/>
              </w:rPr>
              <w:t xml:space="preserve"> </w:t>
            </w:r>
            <w:r w:rsidR="005B4BA2" w:rsidRPr="00CC3A91">
              <w:rPr>
                <w:rFonts w:ascii="Calibri" w:hAnsi="Calibri" w:cs="Calibri"/>
                <w:b w:val="0"/>
                <w:bCs/>
                <w:sz w:val="20"/>
                <w:szCs w:val="20"/>
                <w:lang w:val="es-ES_tradnl"/>
              </w:rPr>
              <w:t xml:space="preserve">responsables </w:t>
            </w:r>
            <w:r w:rsidR="0088725B" w:rsidRPr="00CC3A91">
              <w:rPr>
                <w:rFonts w:ascii="Calibri" w:hAnsi="Calibri" w:cs="Calibri"/>
                <w:b w:val="0"/>
                <w:bCs/>
                <w:sz w:val="20"/>
                <w:szCs w:val="20"/>
                <w:lang w:val="es-ES_tradnl"/>
              </w:rPr>
              <w:t>de políticas</w:t>
            </w:r>
            <w:r w:rsidR="00EF4061" w:rsidRPr="00CC3A91">
              <w:rPr>
                <w:rFonts w:ascii="Calibri" w:hAnsi="Calibri" w:cs="Calibri"/>
                <w:b w:val="0"/>
                <w:bCs/>
                <w:sz w:val="20"/>
                <w:szCs w:val="20"/>
                <w:lang w:val="es-ES_tradnl"/>
              </w:rPr>
              <w:t xml:space="preserve"> (An</w:t>
            </w:r>
            <w:r w:rsidR="007360DF" w:rsidRPr="00CC3A91">
              <w:rPr>
                <w:rFonts w:ascii="Calibri" w:hAnsi="Calibri" w:cs="Calibri"/>
                <w:b w:val="0"/>
                <w:bCs/>
                <w:sz w:val="20"/>
                <w:szCs w:val="20"/>
                <w:lang w:val="es-ES_tradnl"/>
              </w:rPr>
              <w:t>exo a proyecto de Resolución</w:t>
            </w:r>
            <w:r w:rsidR="00EF4061" w:rsidRPr="00CC3A91">
              <w:rPr>
                <w:rFonts w:ascii="Calibri" w:hAnsi="Calibri" w:cs="Calibri"/>
                <w:b w:val="0"/>
                <w:bCs/>
                <w:sz w:val="20"/>
                <w:szCs w:val="20"/>
                <w:lang w:val="es-ES_tradnl"/>
              </w:rPr>
              <w:t xml:space="preserve">) </w:t>
            </w:r>
          </w:p>
        </w:tc>
        <w:tc>
          <w:tcPr>
            <w:tcW w:w="497" w:type="pct"/>
          </w:tcPr>
          <w:p w14:paraId="0F7F621B" w14:textId="1BEBA057" w:rsidR="00EF4061" w:rsidRPr="00CC3A91" w:rsidRDefault="003E038E"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w:t>
            </w:r>
            <w:r w:rsidR="0088725B" w:rsidRPr="00CC3A91">
              <w:rPr>
                <w:rFonts w:asciiTheme="majorHAnsi" w:hAnsiTheme="majorHAnsi" w:cs="Arial"/>
                <w:b w:val="0"/>
                <w:sz w:val="20"/>
                <w:szCs w:val="20"/>
                <w:lang w:val="es-ES_tradnl"/>
              </w:rPr>
              <w:t xml:space="preserve"> </w:t>
            </w:r>
            <w:r w:rsidR="00EF4061" w:rsidRPr="00CC3A91">
              <w:rPr>
                <w:rFonts w:asciiTheme="majorHAnsi" w:hAnsiTheme="majorHAnsi" w:cs="Arial"/>
                <w:b w:val="0"/>
                <w:sz w:val="20"/>
                <w:szCs w:val="20"/>
                <w:lang w:val="es-ES_tradnl"/>
              </w:rPr>
              <w:t>13</w:t>
            </w:r>
            <w:r w:rsidRPr="00CC3A91">
              <w:rPr>
                <w:rFonts w:asciiTheme="majorHAnsi" w:hAnsiTheme="majorHAnsi" w:cs="Arial"/>
                <w:b w:val="0"/>
                <w:sz w:val="20"/>
                <w:szCs w:val="20"/>
                <w:lang w:val="es-ES_tradnl"/>
              </w:rPr>
              <w:t>.</w:t>
            </w:r>
            <w:r w:rsidR="00EF4061" w:rsidRPr="00CC3A91">
              <w:rPr>
                <w:rFonts w:asciiTheme="majorHAnsi" w:hAnsiTheme="majorHAnsi" w:cs="Arial"/>
                <w:b w:val="0"/>
                <w:sz w:val="20"/>
                <w:szCs w:val="20"/>
                <w:lang w:val="es-ES_tradnl"/>
              </w:rPr>
              <w:t>000</w:t>
            </w:r>
          </w:p>
        </w:tc>
      </w:tr>
    </w:tbl>
    <w:p w14:paraId="43CAB5D3" w14:textId="77777777" w:rsidR="00EF4061" w:rsidRPr="00CC3A91" w:rsidRDefault="00EF4061" w:rsidP="00EF4061">
      <w:pPr>
        <w:rPr>
          <w:rFonts w:asciiTheme="majorHAnsi" w:hAnsiTheme="majorHAnsi" w:cs="Arial"/>
          <w:sz w:val="20"/>
          <w:szCs w:val="20"/>
          <w:lang w:val="es-ES_tradnl"/>
        </w:rPr>
      </w:pPr>
    </w:p>
    <w:tbl>
      <w:tblPr>
        <w:tblStyle w:val="TableGrid1"/>
        <w:tblpPr w:leftFromText="180" w:rightFromText="180" w:vertAnchor="text" w:horzAnchor="margin" w:tblpY="20"/>
        <w:tblW w:w="5000" w:type="pct"/>
        <w:tblLook w:val="04A0" w:firstRow="1" w:lastRow="0" w:firstColumn="1" w:lastColumn="0" w:noHBand="0" w:noVBand="1"/>
      </w:tblPr>
      <w:tblGrid>
        <w:gridCol w:w="14174"/>
      </w:tblGrid>
      <w:tr w:rsidR="00EF4061" w:rsidRPr="00E81A45" w14:paraId="0272D658" w14:textId="77777777" w:rsidTr="00EF4061">
        <w:tc>
          <w:tcPr>
            <w:tcW w:w="5000" w:type="pct"/>
            <w:shd w:val="clear" w:color="auto" w:fill="000000" w:themeFill="text1"/>
          </w:tcPr>
          <w:p w14:paraId="52AE43FB" w14:textId="52BEC1B5" w:rsidR="00EF4061" w:rsidRPr="00CC3A91" w:rsidRDefault="00E96BD0" w:rsidP="00360FBC">
            <w:pPr>
              <w:rPr>
                <w:rFonts w:asciiTheme="majorHAnsi" w:hAnsiTheme="majorHAnsi" w:cs="Arial"/>
                <w:sz w:val="20"/>
                <w:szCs w:val="20"/>
                <w:lang w:val="es-ES_tradnl"/>
              </w:rPr>
            </w:pPr>
            <w:r w:rsidRPr="00CC3A91">
              <w:rPr>
                <w:rFonts w:asciiTheme="majorHAnsi" w:hAnsiTheme="majorHAnsi" w:cs="Arial"/>
                <w:sz w:val="20"/>
                <w:szCs w:val="20"/>
                <w:lang w:val="es-ES_tradnl"/>
              </w:rPr>
              <w:t>Área Temática de Trabajo Nº 2: Buenas prácticas para el desarrollo y aplicación de</w:t>
            </w:r>
            <w:r w:rsidR="00360FBC" w:rsidRPr="00CC3A91">
              <w:rPr>
                <w:rFonts w:asciiTheme="majorHAnsi" w:hAnsiTheme="majorHAnsi" w:cs="Arial"/>
                <w:sz w:val="20"/>
                <w:szCs w:val="20"/>
                <w:lang w:val="es-ES_tradnl"/>
              </w:rPr>
              <w:t xml:space="preserve"> los planes de manejo, planes de a</w:t>
            </w:r>
            <w:r w:rsidRPr="00CC3A91">
              <w:rPr>
                <w:rFonts w:asciiTheme="majorHAnsi" w:hAnsiTheme="majorHAnsi" w:cs="Arial"/>
                <w:sz w:val="20"/>
                <w:szCs w:val="20"/>
                <w:lang w:val="es-ES_tradnl"/>
              </w:rPr>
              <w:t xml:space="preserve">cción y otros instrumentos para sitios Ramsar y otros humedales </w:t>
            </w:r>
          </w:p>
        </w:tc>
      </w:tr>
    </w:tbl>
    <w:p w14:paraId="0A959F80" w14:textId="77777777" w:rsidR="00EF4061" w:rsidRPr="00CC3A91" w:rsidRDefault="00EF4061" w:rsidP="00EF4061">
      <w:pPr>
        <w:rPr>
          <w:rFonts w:asciiTheme="majorHAnsi" w:hAnsiTheme="majorHAnsi" w:cs="Arial"/>
          <w:sz w:val="20"/>
          <w:szCs w:val="20"/>
          <w:lang w:val="es-ES_tradnl"/>
        </w:rPr>
      </w:pPr>
    </w:p>
    <w:tbl>
      <w:tblPr>
        <w:tblStyle w:val="TableGrid21"/>
        <w:tblW w:w="5000" w:type="pct"/>
        <w:tblLook w:val="04A0" w:firstRow="1" w:lastRow="0" w:firstColumn="1" w:lastColumn="0" w:noHBand="0" w:noVBand="1"/>
      </w:tblPr>
      <w:tblGrid>
        <w:gridCol w:w="3561"/>
        <w:gridCol w:w="10613"/>
      </w:tblGrid>
      <w:tr w:rsidR="00EF4061" w:rsidRPr="00E81A45" w14:paraId="07E269E2" w14:textId="77777777" w:rsidTr="00EF4061">
        <w:tc>
          <w:tcPr>
            <w:tcW w:w="1256" w:type="pct"/>
          </w:tcPr>
          <w:p w14:paraId="2914A774" w14:textId="7F87021A" w:rsidR="00EF4061" w:rsidRPr="00CC3A91" w:rsidRDefault="000A7839" w:rsidP="00EF4061">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Responsable(s) del grupo de trabajo y participantes: </w:t>
            </w:r>
          </w:p>
        </w:tc>
        <w:tc>
          <w:tcPr>
            <w:tcW w:w="3744" w:type="pct"/>
          </w:tcPr>
          <w:p w14:paraId="1868CF39" w14:textId="5A6E2EC7" w:rsidR="00EF4061" w:rsidRPr="00CC3A91" w:rsidRDefault="00EF4061" w:rsidP="00360FBC">
            <w:pPr>
              <w:tabs>
                <w:tab w:val="left" w:pos="1095"/>
              </w:tabs>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Susanna Aguilar, Channa Bambaradeniya (</w:t>
            </w:r>
            <w:r w:rsidR="00360FBC" w:rsidRPr="00CC3A91">
              <w:rPr>
                <w:rFonts w:asciiTheme="majorHAnsi" w:eastAsia="Calibri" w:hAnsiTheme="majorHAnsi" w:cs="Arial"/>
                <w:b w:val="0"/>
                <w:sz w:val="20"/>
                <w:szCs w:val="20"/>
                <w:lang w:val="es-ES_tradnl"/>
              </w:rPr>
              <w:t>responsable</w:t>
            </w:r>
            <w:r w:rsidRPr="00CC3A91">
              <w:rPr>
                <w:rFonts w:asciiTheme="majorHAnsi" w:eastAsia="Calibri" w:hAnsiTheme="majorHAnsi" w:cs="Arial"/>
                <w:b w:val="0"/>
                <w:sz w:val="20"/>
                <w:szCs w:val="20"/>
                <w:lang w:val="es-ES_tradnl"/>
              </w:rPr>
              <w:t xml:space="preserve">), Ruth Cromie, Lars Dinesen, Jari Ilmonen, Guangchun Lei, Kassim Kulindwa, Ritesh Kumar </w:t>
            </w:r>
          </w:p>
        </w:tc>
      </w:tr>
      <w:tr w:rsidR="00E2615C" w:rsidRPr="00E81A45" w14:paraId="53F12F83" w14:textId="77777777" w:rsidTr="00EF4061">
        <w:tc>
          <w:tcPr>
            <w:tcW w:w="1256" w:type="pct"/>
          </w:tcPr>
          <w:p w14:paraId="752FD0F4" w14:textId="2D5F746C" w:rsidR="00E2615C" w:rsidRPr="00CC3A91" w:rsidRDefault="00E2615C" w:rsidP="00EF4061">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Organizaciones contribuyentes: [OIA/observadores/otros]</w:t>
            </w:r>
          </w:p>
        </w:tc>
        <w:tc>
          <w:tcPr>
            <w:tcW w:w="3744" w:type="pct"/>
          </w:tcPr>
          <w:p w14:paraId="46700EB6" w14:textId="4FBBCBD3" w:rsidR="00E2615C" w:rsidRPr="00CC3A91" w:rsidRDefault="00E2615C" w:rsidP="007D6E58">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 xml:space="preserve">BirdLife International (Zoltan Waliczky), Unión Internacional para la Conservación de la Naturaleza (UICN) (Stefano Barchiesi, William Darwall), Instituto Internacional para el Manejo del Agua (IWMI) (Sanjiv de Silva), WI (Marcel Silvius), </w:t>
            </w:r>
            <w:r w:rsidR="005B45C0" w:rsidRPr="00CC3A91">
              <w:rPr>
                <w:rFonts w:asciiTheme="majorHAnsi" w:eastAsia="Calibri" w:hAnsiTheme="majorHAnsi" w:cs="Arial"/>
                <w:b w:val="0"/>
                <w:sz w:val="20"/>
                <w:szCs w:val="20"/>
                <w:lang w:val="es-ES_tradnl"/>
              </w:rPr>
              <w:t>WWT (Rob</w:t>
            </w:r>
            <w:r w:rsidRPr="00CC3A91">
              <w:rPr>
                <w:rFonts w:asciiTheme="majorHAnsi" w:eastAsia="Calibri" w:hAnsiTheme="majorHAnsi" w:cs="Arial"/>
                <w:b w:val="0"/>
                <w:sz w:val="20"/>
                <w:szCs w:val="20"/>
                <w:lang w:val="es-ES_tradnl"/>
              </w:rPr>
              <w:t xml:space="preserve"> Shore)/</w:t>
            </w:r>
            <w:r w:rsidR="005B45C0" w:rsidRPr="00CC3A91">
              <w:rPr>
                <w:rFonts w:asciiTheme="majorHAnsi" w:eastAsia="Calibri" w:hAnsiTheme="majorHAnsi" w:cs="Arial"/>
                <w:b w:val="0"/>
                <w:sz w:val="20"/>
                <w:szCs w:val="20"/>
                <w:lang w:val="es-ES_tradnl"/>
              </w:rPr>
              <w:t xml:space="preserve">Comité Técnico de </w:t>
            </w:r>
            <w:r w:rsidRPr="00CC3A91">
              <w:rPr>
                <w:rFonts w:asciiTheme="majorHAnsi" w:eastAsia="Calibri" w:hAnsiTheme="majorHAnsi" w:cs="Arial"/>
                <w:b w:val="0"/>
                <w:sz w:val="20"/>
                <w:szCs w:val="20"/>
                <w:lang w:val="es-ES_tradnl"/>
              </w:rPr>
              <w:t xml:space="preserve">AEWA </w:t>
            </w:r>
            <w:r w:rsidR="005B45C0" w:rsidRPr="00CC3A91">
              <w:rPr>
                <w:rFonts w:asciiTheme="majorHAnsi" w:eastAsia="Calibri" w:hAnsiTheme="majorHAnsi" w:cs="Arial"/>
                <w:b w:val="0"/>
                <w:sz w:val="20"/>
                <w:szCs w:val="20"/>
                <w:lang w:val="es-ES_tradnl"/>
              </w:rPr>
              <w:t xml:space="preserve">(David Shroud), </w:t>
            </w:r>
            <w:r w:rsidRPr="00CC3A91">
              <w:rPr>
                <w:rFonts w:asciiTheme="majorHAnsi" w:eastAsia="Calibri" w:hAnsiTheme="majorHAnsi" w:cs="Arial"/>
                <w:b w:val="0"/>
                <w:sz w:val="20"/>
                <w:szCs w:val="20"/>
                <w:lang w:val="es-ES_tradnl"/>
              </w:rPr>
              <w:t>SWS (Nick Davidson), Tour du Valat/</w:t>
            </w:r>
            <w:r w:rsidR="007D6E58" w:rsidRPr="00CC3A91">
              <w:rPr>
                <w:rFonts w:asciiTheme="majorHAnsi" w:eastAsia="Calibri" w:hAnsiTheme="majorHAnsi" w:cs="Arial"/>
                <w:b w:val="0"/>
                <w:sz w:val="20"/>
                <w:szCs w:val="20"/>
                <w:lang w:val="es-ES_tradnl"/>
              </w:rPr>
              <w:t xml:space="preserve">Observatorio de los humedales del Mediterráneo </w:t>
            </w:r>
            <w:r w:rsidRPr="00CC3A91">
              <w:rPr>
                <w:rFonts w:asciiTheme="majorHAnsi" w:eastAsia="Calibri" w:hAnsiTheme="majorHAnsi" w:cs="Arial"/>
                <w:b w:val="0"/>
                <w:sz w:val="20"/>
                <w:szCs w:val="20"/>
                <w:lang w:val="es-ES_tradnl"/>
              </w:rPr>
              <w:t>(Christian Perennou), PNUMA (Marisol Estrella), ONU-Habitat (Rob McInnes), UNESCO-MAB (Marie Prchlova), Centro del Patrimonio Mundial (Tim Badman)/</w:t>
            </w:r>
            <w:r w:rsidRPr="00CC3A91">
              <w:rPr>
                <w:rFonts w:asciiTheme="majorHAnsi" w:eastAsiaTheme="minorHAnsi" w:hAnsiTheme="majorHAnsi" w:cs="Arial"/>
                <w:b w:val="0"/>
                <w:sz w:val="20"/>
                <w:szCs w:val="20"/>
                <w:lang w:val="es-ES_tradnl" w:eastAsia="en-US"/>
              </w:rPr>
              <w:t xml:space="preserve"> Sociedad Internacional de la Turba (Jack Rieley)</w:t>
            </w:r>
          </w:p>
        </w:tc>
      </w:tr>
    </w:tbl>
    <w:p w14:paraId="4ADA9897" w14:textId="77777777" w:rsidR="00EF4061" w:rsidRPr="00CC3A91" w:rsidRDefault="00EF4061" w:rsidP="00EF4061">
      <w:pPr>
        <w:rPr>
          <w:rFonts w:asciiTheme="majorHAnsi" w:hAnsiTheme="majorHAnsi" w:cs="Arial"/>
          <w:sz w:val="20"/>
          <w:szCs w:val="20"/>
          <w:lang w:val="es-ES_tradnl"/>
        </w:rPr>
      </w:pPr>
    </w:p>
    <w:tbl>
      <w:tblPr>
        <w:tblStyle w:val="TableGrid1"/>
        <w:tblW w:w="5030" w:type="pct"/>
        <w:tblInd w:w="-85" w:type="dxa"/>
        <w:tblCellMar>
          <w:top w:w="57" w:type="dxa"/>
          <w:left w:w="57" w:type="dxa"/>
          <w:bottom w:w="57" w:type="dxa"/>
          <w:right w:w="57" w:type="dxa"/>
        </w:tblCellMar>
        <w:tblLook w:val="04A0" w:firstRow="1" w:lastRow="0" w:firstColumn="1" w:lastColumn="0" w:noHBand="0" w:noVBand="1"/>
      </w:tblPr>
      <w:tblGrid>
        <w:gridCol w:w="1501"/>
        <w:gridCol w:w="1233"/>
        <w:gridCol w:w="851"/>
        <w:gridCol w:w="1036"/>
        <w:gridCol w:w="8215"/>
        <w:gridCol w:w="1320"/>
      </w:tblGrid>
      <w:tr w:rsidR="00360FBC" w:rsidRPr="00CC3A91" w14:paraId="33A8FB94" w14:textId="77777777" w:rsidTr="00EF4061">
        <w:tc>
          <w:tcPr>
            <w:tcW w:w="531" w:type="pct"/>
            <w:shd w:val="clear" w:color="auto" w:fill="D9D9D9" w:themeFill="background1" w:themeFillShade="D9"/>
          </w:tcPr>
          <w:p w14:paraId="4DE8A6D7" w14:textId="2BBC705E"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lastRenderedPageBreak/>
              <w:t>No. y título de la tarea</w:t>
            </w:r>
          </w:p>
        </w:tc>
        <w:tc>
          <w:tcPr>
            <w:tcW w:w="436" w:type="pct"/>
            <w:shd w:val="clear" w:color="auto" w:fill="D9D9D9" w:themeFill="background1" w:themeFillShade="D9"/>
          </w:tcPr>
          <w:p w14:paraId="71556650" w14:textId="76DD7851"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Prioridad</w:t>
            </w:r>
          </w:p>
        </w:tc>
        <w:tc>
          <w:tcPr>
            <w:tcW w:w="301" w:type="pct"/>
            <w:shd w:val="clear" w:color="auto" w:fill="D9D9D9" w:themeFill="background1" w:themeFillShade="D9"/>
          </w:tcPr>
          <w:p w14:paraId="7442ED97" w14:textId="08508B24"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Res.</w:t>
            </w:r>
          </w:p>
        </w:tc>
        <w:tc>
          <w:tcPr>
            <w:tcW w:w="366" w:type="pct"/>
            <w:shd w:val="clear" w:color="auto" w:fill="D9D9D9" w:themeFill="background1" w:themeFillShade="D9"/>
          </w:tcPr>
          <w:p w14:paraId="46A1B4AA" w14:textId="52FB95F0" w:rsidR="00360FBC" w:rsidRPr="00CC3A91" w:rsidRDefault="00360FBC" w:rsidP="00EF4061">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2902" w:type="pct"/>
            <w:shd w:val="clear" w:color="auto" w:fill="D9D9D9" w:themeFill="background1" w:themeFillShade="D9"/>
          </w:tcPr>
          <w:p w14:paraId="449CAC82" w14:textId="019ACD34" w:rsidR="00360FBC" w:rsidRPr="00CC3A91" w:rsidRDefault="00360FBC" w:rsidP="00CC3A9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Descripción de la tarea, </w:t>
            </w:r>
            <w:r w:rsidR="00CC3A91" w:rsidRPr="00CC3A91">
              <w:rPr>
                <w:rFonts w:asciiTheme="majorHAnsi" w:hAnsiTheme="majorHAnsi" w:cs="Arial"/>
                <w:sz w:val="20"/>
                <w:szCs w:val="20"/>
                <w:lang w:val="es-ES_tradnl"/>
              </w:rPr>
              <w:t xml:space="preserve">productos esperados y grupos destinatarios </w:t>
            </w:r>
          </w:p>
        </w:tc>
        <w:tc>
          <w:tcPr>
            <w:tcW w:w="464" w:type="pct"/>
            <w:shd w:val="clear" w:color="auto" w:fill="D9D9D9" w:themeFill="background1" w:themeFillShade="D9"/>
          </w:tcPr>
          <w:p w14:paraId="27353BD5" w14:textId="77777777" w:rsidR="00360FBC" w:rsidRPr="00CC3A91" w:rsidRDefault="00360FBC" w:rsidP="00360FB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Costo</w:t>
            </w:r>
          </w:p>
          <w:p w14:paraId="1FDE7130" w14:textId="404525AF"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360FBC" w:rsidRPr="00E81A45" w14:paraId="6CB0D557" w14:textId="77777777" w:rsidTr="00EF4061">
        <w:tc>
          <w:tcPr>
            <w:tcW w:w="531" w:type="pct"/>
          </w:tcPr>
          <w:p w14:paraId="74C83EFE" w14:textId="071C797C"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2.1 Juego de herramientas para el manejo de los sitios Ramsar </w:t>
            </w:r>
          </w:p>
          <w:p w14:paraId="41259B7F" w14:textId="77777777" w:rsidR="00360FBC" w:rsidRPr="00CC3A91" w:rsidRDefault="00360FBC" w:rsidP="00EF4061">
            <w:pPr>
              <w:rPr>
                <w:rFonts w:asciiTheme="majorHAnsi" w:hAnsiTheme="majorHAnsi" w:cs="Arial"/>
                <w:b w:val="0"/>
                <w:sz w:val="20"/>
                <w:szCs w:val="20"/>
                <w:lang w:val="es-ES_tradnl"/>
              </w:rPr>
            </w:pPr>
          </w:p>
        </w:tc>
        <w:tc>
          <w:tcPr>
            <w:tcW w:w="436" w:type="pct"/>
          </w:tcPr>
          <w:p w14:paraId="5ACB2F7A" w14:textId="6A6D3714"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301" w:type="pct"/>
          </w:tcPr>
          <w:p w14:paraId="718C4D59" w14:textId="3FCC9317" w:rsidR="00360FBC" w:rsidRPr="00CC3A91" w:rsidRDefault="00360FBC" w:rsidP="00BE38F5">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XII.11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28; XII.13; ¶¶ , 27, 28; </w:t>
            </w:r>
          </w:p>
        </w:tc>
        <w:tc>
          <w:tcPr>
            <w:tcW w:w="366" w:type="pct"/>
          </w:tcPr>
          <w:p w14:paraId="2E803C6E"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3.8, 3.9, 3.10, 3.11, 3.12; 4.14, </w:t>
            </w:r>
          </w:p>
        </w:tc>
        <w:tc>
          <w:tcPr>
            <w:tcW w:w="2902" w:type="pct"/>
          </w:tcPr>
          <w:p w14:paraId="089B0D6C" w14:textId="3B1D8014" w:rsidR="00360FBC" w:rsidRPr="00CC3A91" w:rsidRDefault="00360FBC" w:rsidP="00EF4061">
            <w:pPr>
              <w:rPr>
                <w:rFonts w:asciiTheme="majorHAnsi" w:eastAsiaTheme="minorHAnsi" w:hAnsiTheme="majorHAnsi" w:cs="Arial"/>
                <w:b w:val="0"/>
                <w:sz w:val="20"/>
                <w:szCs w:val="20"/>
                <w:lang w:val="es-ES_tradnl" w:eastAsia="en-US"/>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xml:space="preserve">: </w:t>
            </w:r>
            <w:r w:rsidRPr="00CC3A91">
              <w:rPr>
                <w:rFonts w:asciiTheme="majorHAnsi" w:eastAsiaTheme="minorHAnsi" w:hAnsiTheme="majorHAnsi" w:cs="Arial"/>
                <w:b w:val="0"/>
                <w:sz w:val="20"/>
                <w:szCs w:val="20"/>
                <w:lang w:val="es-ES_tradnl" w:eastAsia="en-US"/>
              </w:rPr>
              <w:t xml:space="preserve">Compilación de un 'Juego de herramientas para el manejo de los sitios Ramsar' en línea, consistente en una página especial en el sitio web de Ramsar, con las traducciones correspondientes a los idiomas de Ramsar. </w:t>
            </w:r>
          </w:p>
          <w:p w14:paraId="3F5EAA52" w14:textId="77777777" w:rsidR="00360FBC" w:rsidRPr="00CC3A91" w:rsidRDefault="00360FBC" w:rsidP="00EF4061">
            <w:pPr>
              <w:rPr>
                <w:rFonts w:asciiTheme="majorHAnsi" w:eastAsiaTheme="minorHAnsi" w:hAnsiTheme="majorHAnsi" w:cs="Arial"/>
                <w:b w:val="0"/>
                <w:sz w:val="20"/>
                <w:szCs w:val="20"/>
                <w:lang w:val="es-ES_tradnl" w:eastAsia="en-US"/>
              </w:rPr>
            </w:pPr>
          </w:p>
          <w:p w14:paraId="2DB8ED92" w14:textId="104AC0B8" w:rsidR="00360FBC" w:rsidRPr="00CC3A91" w:rsidRDefault="00360FBC" w:rsidP="00EF4061">
            <w:pPr>
              <w:rPr>
                <w:rFonts w:asciiTheme="majorHAnsi" w:eastAsiaTheme="minorHAnsi" w:hAnsiTheme="majorHAnsi" w:cs="Arial"/>
                <w:b w:val="0"/>
                <w:sz w:val="20"/>
                <w:szCs w:val="20"/>
                <w:lang w:val="es-ES_tradnl" w:eastAsia="en-US"/>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Página web cuyo contenido consistiría en orientaciones y contribuciones actuales del GECT sobre el manejo de los sitios, incluyendo buenas prácticas y estudios de casos, a recopilar por la Secretaría, sobre la restauración de humedales y los conocimientos de los pueblos indígenas y comunidades locales, junto con un listado de las iniciativas y recursos de capacitación internacionales y/o regionales, con las fuentes de referencia correspondientes. El sitio sería actualizado y mantenido periódicamente por la Secretaría. El GECT proporcionaría la orientación técnica y material pertinente, con anotaciones, para su inclusión en el juego de herramientas. </w:t>
            </w:r>
          </w:p>
          <w:p w14:paraId="2A7ED574" w14:textId="77777777" w:rsidR="00360FBC" w:rsidRPr="00CC3A91" w:rsidRDefault="00360FBC" w:rsidP="00EF4061">
            <w:pPr>
              <w:rPr>
                <w:rFonts w:asciiTheme="majorHAnsi" w:hAnsiTheme="majorHAnsi" w:cs="Arial"/>
                <w:b w:val="0"/>
                <w:sz w:val="20"/>
                <w:szCs w:val="20"/>
                <w:lang w:val="es-ES_tradnl"/>
              </w:rPr>
            </w:pPr>
          </w:p>
          <w:p w14:paraId="5ECF8DB1" w14:textId="4A42F513" w:rsidR="00360FBC" w:rsidRPr="00CC3A91" w:rsidRDefault="00360FBC" w:rsidP="00EF4061">
            <w:pPr>
              <w:rPr>
                <w:rFonts w:asciiTheme="majorHAnsi" w:hAnsiTheme="majorHAnsi" w:cs="Arial"/>
                <w:b w:val="0"/>
                <w:sz w:val="20"/>
                <w:szCs w:val="20"/>
                <w:lang w:val="es-ES_tradnl"/>
              </w:rPr>
            </w:pPr>
            <w:r w:rsidRPr="00CC3A91">
              <w:rPr>
                <w:rFonts w:asciiTheme="majorHAnsi" w:eastAsiaTheme="minorHAnsi" w:hAnsiTheme="majorHAnsi" w:cs="Arial"/>
                <w:b w:val="0"/>
                <w:sz w:val="20"/>
                <w:szCs w:val="20"/>
                <w:u w:val="single"/>
                <w:lang w:val="es-ES_tradnl" w:eastAsia="en-US"/>
              </w:rPr>
              <w:t>Grupo(s) destinatario(s)</w:t>
            </w:r>
            <w:r w:rsidR="00C67941" w:rsidRPr="00CC3A91">
              <w:rPr>
                <w:rFonts w:asciiTheme="majorHAnsi" w:eastAsiaTheme="minorHAnsi" w:hAnsiTheme="majorHAnsi" w:cs="Arial"/>
                <w:b w:val="0"/>
                <w:sz w:val="20"/>
                <w:szCs w:val="20"/>
                <w:lang w:val="es-ES_tradnl" w:eastAsia="en-US"/>
              </w:rPr>
              <w:t>: Profesionales (a</w:t>
            </w:r>
            <w:r w:rsidRPr="00CC3A91">
              <w:rPr>
                <w:rFonts w:asciiTheme="majorHAnsi" w:eastAsiaTheme="minorHAnsi" w:hAnsiTheme="majorHAnsi" w:cs="Arial"/>
                <w:b w:val="0"/>
                <w:sz w:val="20"/>
                <w:szCs w:val="20"/>
                <w:lang w:val="es-ES_tradnl" w:eastAsia="en-US"/>
              </w:rPr>
              <w:t>dministradores de sitios Ramsar)</w:t>
            </w:r>
          </w:p>
        </w:tc>
        <w:tc>
          <w:tcPr>
            <w:tcW w:w="464" w:type="pct"/>
          </w:tcPr>
          <w:p w14:paraId="33E4BB41" w14:textId="4A974A65" w:rsidR="00360FBC" w:rsidRPr="00CC3A91" w:rsidRDefault="00C67941"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No implica costo alguno para el presupuesto del GECT. </w:t>
            </w:r>
            <w:r w:rsidRPr="00CC3A91">
              <w:rPr>
                <w:rFonts w:asciiTheme="majorHAnsi" w:eastAsia="Calibri" w:hAnsiTheme="majorHAnsi" w:cs="Calibri"/>
                <w:b w:val="0"/>
                <w:sz w:val="20"/>
                <w:szCs w:val="20"/>
                <w:lang w:val="es-ES_tradnl"/>
              </w:rPr>
              <w:t xml:space="preserve">El asesoramiento se proporciona de forma voluntaria. </w:t>
            </w:r>
          </w:p>
          <w:p w14:paraId="68F07B23" w14:textId="1109E32B" w:rsidR="00360FBC" w:rsidRPr="00CC3A91" w:rsidRDefault="00360FBC" w:rsidP="000A7839">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Posibles costos de traducción, a determinar. </w:t>
            </w:r>
          </w:p>
        </w:tc>
      </w:tr>
      <w:tr w:rsidR="00360FBC" w:rsidRPr="00CC3A91" w14:paraId="23126048" w14:textId="77777777" w:rsidTr="00EF4061">
        <w:tc>
          <w:tcPr>
            <w:tcW w:w="531" w:type="pct"/>
          </w:tcPr>
          <w:p w14:paraId="56F54C76" w14:textId="435CA77C" w:rsidR="00360FBC" w:rsidRPr="00CC3A91" w:rsidRDefault="00360FBC" w:rsidP="007360DF">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2.2 Manejo de los humedales transfronterizos</w:t>
            </w:r>
          </w:p>
        </w:tc>
        <w:tc>
          <w:tcPr>
            <w:tcW w:w="436" w:type="pct"/>
          </w:tcPr>
          <w:p w14:paraId="1B832D67" w14:textId="77777777" w:rsidR="00360FBC" w:rsidRPr="00CC3A91" w:rsidRDefault="00360FBC" w:rsidP="00EF4061">
            <w:pPr>
              <w:rPr>
                <w:rFonts w:asciiTheme="majorHAnsi" w:hAnsiTheme="majorHAnsi" w:cs="Arial"/>
                <w:b w:val="0"/>
                <w:sz w:val="20"/>
                <w:szCs w:val="20"/>
                <w:lang w:val="es-ES_tradnl"/>
              </w:rPr>
            </w:pPr>
          </w:p>
        </w:tc>
        <w:tc>
          <w:tcPr>
            <w:tcW w:w="301" w:type="pct"/>
          </w:tcPr>
          <w:p w14:paraId="1271766D" w14:textId="47B30346"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XII.5, Anexo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w:t>
            </w:r>
          </w:p>
        </w:tc>
        <w:tc>
          <w:tcPr>
            <w:tcW w:w="366" w:type="pct"/>
          </w:tcPr>
          <w:p w14:paraId="25D8FB4E"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3.8, 3.9, 3.11, 3.12; 4.14, </w:t>
            </w:r>
          </w:p>
        </w:tc>
        <w:tc>
          <w:tcPr>
            <w:tcW w:w="2902" w:type="pct"/>
          </w:tcPr>
          <w:p w14:paraId="102DB2A9" w14:textId="39C22A63"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xml:space="preserve">: Generación de una Nota sobre políticas que describe los enfoques y las buenas prácticas para desarrollar y aplicar los planes de manejo </w:t>
            </w:r>
            <w:r w:rsidR="00C67941" w:rsidRPr="00CC3A91">
              <w:rPr>
                <w:rFonts w:asciiTheme="majorHAnsi" w:hAnsiTheme="majorHAnsi" w:cs="Arial"/>
                <w:b w:val="0"/>
                <w:sz w:val="20"/>
                <w:szCs w:val="20"/>
                <w:lang w:val="es-ES_tradnl"/>
              </w:rPr>
              <w:t xml:space="preserve">y otros instrumentos </w:t>
            </w:r>
            <w:r w:rsidRPr="00CC3A91">
              <w:rPr>
                <w:rFonts w:asciiTheme="majorHAnsi" w:hAnsiTheme="majorHAnsi" w:cs="Arial"/>
                <w:b w:val="0"/>
                <w:sz w:val="20"/>
                <w:szCs w:val="20"/>
                <w:lang w:val="es-ES_tradnl"/>
              </w:rPr>
              <w:t>de</w:t>
            </w:r>
            <w:r w:rsidR="00C67941" w:rsidRPr="00CC3A91">
              <w:rPr>
                <w:rFonts w:asciiTheme="majorHAnsi" w:hAnsiTheme="majorHAnsi" w:cs="Arial"/>
                <w:b w:val="0"/>
                <w:sz w:val="20"/>
                <w:szCs w:val="20"/>
                <w:lang w:val="es-ES_tradnl"/>
              </w:rPr>
              <w:t xml:space="preserve"> los humedales transfronterizos</w:t>
            </w:r>
            <w:r w:rsidRPr="00CC3A91">
              <w:rPr>
                <w:rFonts w:asciiTheme="majorHAnsi" w:hAnsiTheme="majorHAnsi" w:cs="Arial"/>
                <w:b w:val="0"/>
                <w:sz w:val="20"/>
                <w:szCs w:val="20"/>
                <w:lang w:val="es-ES_tradnl"/>
              </w:rPr>
              <w:t xml:space="preserve">, además, </w:t>
            </w:r>
            <w:r w:rsidR="00C67941" w:rsidRPr="00CC3A91">
              <w:rPr>
                <w:rFonts w:asciiTheme="majorHAnsi" w:hAnsiTheme="majorHAnsi" w:cs="Arial"/>
                <w:b w:val="0"/>
                <w:sz w:val="20"/>
                <w:szCs w:val="20"/>
                <w:lang w:val="es-ES_tradnl"/>
              </w:rPr>
              <w:t>de las lecciones aprendidas</w:t>
            </w:r>
            <w:r w:rsidRPr="00CC3A91">
              <w:rPr>
                <w:rFonts w:asciiTheme="majorHAnsi" w:hAnsiTheme="majorHAnsi" w:cs="Arial"/>
                <w:b w:val="0"/>
                <w:sz w:val="20"/>
                <w:szCs w:val="20"/>
                <w:lang w:val="es-ES_tradnl"/>
              </w:rPr>
              <w:t xml:space="preserve">, </w:t>
            </w:r>
            <w:r w:rsidR="00C67941" w:rsidRPr="00CC3A91">
              <w:rPr>
                <w:rFonts w:asciiTheme="majorHAnsi" w:hAnsiTheme="majorHAnsi" w:cs="Arial"/>
                <w:b w:val="0"/>
                <w:sz w:val="20"/>
                <w:szCs w:val="20"/>
                <w:lang w:val="es-ES_tradnl"/>
              </w:rPr>
              <w:t xml:space="preserve">con </w:t>
            </w:r>
            <w:r w:rsidR="00CC3A91" w:rsidRPr="00CC3A91">
              <w:rPr>
                <w:rFonts w:asciiTheme="majorHAnsi" w:hAnsiTheme="majorHAnsi" w:cs="Arial"/>
                <w:b w:val="0"/>
                <w:sz w:val="20"/>
                <w:szCs w:val="20"/>
                <w:lang w:val="es-ES_tradnl"/>
              </w:rPr>
              <w:t>énfasis</w:t>
            </w:r>
            <w:r w:rsidR="00C67941" w:rsidRPr="00CC3A91">
              <w:rPr>
                <w:rFonts w:asciiTheme="majorHAnsi" w:hAnsiTheme="majorHAnsi" w:cs="Arial"/>
                <w:b w:val="0"/>
                <w:sz w:val="20"/>
                <w:szCs w:val="20"/>
                <w:lang w:val="es-ES_tradnl"/>
              </w:rPr>
              <w:t xml:space="preserve"> especial en los </w:t>
            </w:r>
            <w:r w:rsidRPr="00CC3A91">
              <w:rPr>
                <w:rFonts w:asciiTheme="majorHAnsi" w:hAnsiTheme="majorHAnsi" w:cs="Arial"/>
                <w:b w:val="0"/>
                <w:sz w:val="20"/>
                <w:szCs w:val="20"/>
                <w:lang w:val="es-ES_tradnl"/>
              </w:rPr>
              <w:t>recursos hídricos</w:t>
            </w:r>
            <w:r w:rsidR="00C67941" w:rsidRPr="00CC3A91">
              <w:rPr>
                <w:rFonts w:asciiTheme="majorHAnsi" w:hAnsiTheme="majorHAnsi" w:cs="Arial"/>
                <w:b w:val="0"/>
                <w:sz w:val="20"/>
                <w:szCs w:val="20"/>
                <w:lang w:val="es-ES_tradnl"/>
              </w:rPr>
              <w:t xml:space="preserve"> compartidos</w:t>
            </w:r>
            <w:r w:rsidRPr="00CC3A91">
              <w:rPr>
                <w:rFonts w:asciiTheme="majorHAnsi" w:hAnsiTheme="majorHAnsi" w:cs="Arial"/>
                <w:b w:val="0"/>
                <w:sz w:val="20"/>
                <w:szCs w:val="20"/>
                <w:lang w:val="es-ES_tradnl"/>
              </w:rPr>
              <w:t xml:space="preserve">, </w:t>
            </w:r>
            <w:r w:rsidR="00C67941" w:rsidRPr="00CC3A91">
              <w:rPr>
                <w:rFonts w:asciiTheme="majorHAnsi" w:hAnsiTheme="majorHAnsi" w:cs="Arial"/>
                <w:b w:val="0"/>
                <w:sz w:val="20"/>
                <w:szCs w:val="20"/>
                <w:lang w:val="es-ES_tradnl"/>
              </w:rPr>
              <w:t xml:space="preserve">el </w:t>
            </w:r>
            <w:r w:rsidRPr="00CC3A91">
              <w:rPr>
                <w:rFonts w:asciiTheme="majorHAnsi" w:hAnsiTheme="majorHAnsi" w:cs="Arial"/>
                <w:b w:val="0"/>
                <w:sz w:val="20"/>
                <w:szCs w:val="20"/>
                <w:lang w:val="es-ES_tradnl"/>
              </w:rPr>
              <w:t xml:space="preserve">manejo de las cuencas y </w:t>
            </w:r>
            <w:r w:rsidR="00C67941" w:rsidRPr="00CC3A91">
              <w:rPr>
                <w:rFonts w:asciiTheme="majorHAnsi" w:hAnsiTheme="majorHAnsi" w:cs="Arial"/>
                <w:b w:val="0"/>
                <w:sz w:val="20"/>
                <w:szCs w:val="20"/>
                <w:lang w:val="es-ES_tradnl"/>
              </w:rPr>
              <w:t xml:space="preserve">la </w:t>
            </w:r>
            <w:r w:rsidRPr="00CC3A91">
              <w:rPr>
                <w:rFonts w:asciiTheme="majorHAnsi" w:hAnsiTheme="majorHAnsi" w:cs="Arial"/>
                <w:b w:val="0"/>
                <w:sz w:val="20"/>
                <w:szCs w:val="20"/>
                <w:lang w:val="es-ES_tradnl"/>
              </w:rPr>
              <w:t>conservación de las características ecológicas de los humedales transfronterizos, incluyendo una introducción sobre las iniciativas internacionales/regionales pertinentes.</w:t>
            </w:r>
          </w:p>
          <w:p w14:paraId="442BB045" w14:textId="77777777" w:rsidR="00360FBC" w:rsidRPr="00CC3A91" w:rsidRDefault="00360FBC" w:rsidP="00EF4061">
            <w:pPr>
              <w:rPr>
                <w:rFonts w:asciiTheme="majorHAnsi" w:hAnsiTheme="majorHAnsi" w:cs="Arial"/>
                <w:b w:val="0"/>
                <w:sz w:val="20"/>
                <w:szCs w:val="20"/>
                <w:highlight w:val="yellow"/>
                <w:u w:val="single"/>
                <w:lang w:val="es-ES_tradnl"/>
              </w:rPr>
            </w:pPr>
          </w:p>
          <w:p w14:paraId="5B162DB8" w14:textId="3259CD25"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Nota sobre políticas </w:t>
            </w:r>
          </w:p>
          <w:p w14:paraId="7CE4BFD6" w14:textId="77777777" w:rsidR="00360FBC" w:rsidRPr="00CC3A91" w:rsidRDefault="00360FBC" w:rsidP="00EF4061">
            <w:pPr>
              <w:rPr>
                <w:rFonts w:asciiTheme="majorHAnsi" w:hAnsiTheme="majorHAnsi" w:cs="Arial"/>
                <w:b w:val="0"/>
                <w:sz w:val="20"/>
                <w:szCs w:val="20"/>
                <w:lang w:val="es-ES_tradnl"/>
              </w:rPr>
            </w:pPr>
          </w:p>
          <w:p w14:paraId="6EA06655" w14:textId="04E96B83" w:rsidR="00360FBC" w:rsidRPr="00CC3A91" w:rsidRDefault="00360FBC" w:rsidP="00EF4061">
            <w:pPr>
              <w:ind w:left="720" w:hanging="720"/>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Responsables de políticas</w:t>
            </w:r>
          </w:p>
        </w:tc>
        <w:tc>
          <w:tcPr>
            <w:tcW w:w="464" w:type="pct"/>
          </w:tcPr>
          <w:p w14:paraId="1A82B2CF" w14:textId="1D008A91"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9.000</w:t>
            </w:r>
          </w:p>
        </w:tc>
      </w:tr>
      <w:tr w:rsidR="00360FBC" w:rsidRPr="00CC3A91" w14:paraId="3B98EC24" w14:textId="77777777" w:rsidTr="00EF4061">
        <w:tc>
          <w:tcPr>
            <w:tcW w:w="531" w:type="pct"/>
          </w:tcPr>
          <w:p w14:paraId="13045CA9" w14:textId="7ED18432" w:rsidR="00360FBC" w:rsidRPr="00CC3A91" w:rsidRDefault="00360FBC" w:rsidP="007360DF">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2.3 Ev</w:t>
            </w:r>
            <w:r w:rsidR="00C67941" w:rsidRPr="00CC3A91">
              <w:rPr>
                <w:rFonts w:asciiTheme="majorHAnsi" w:hAnsiTheme="majorHAnsi" w:cs="Arial"/>
                <w:b w:val="0"/>
                <w:sz w:val="20"/>
                <w:szCs w:val="20"/>
                <w:lang w:val="es-ES_tradnl"/>
              </w:rPr>
              <w:t>aluación del progreso logrado e</w:t>
            </w:r>
            <w:r w:rsidRPr="00CC3A91">
              <w:rPr>
                <w:rFonts w:asciiTheme="majorHAnsi" w:hAnsiTheme="majorHAnsi" w:cs="Arial"/>
                <w:b w:val="0"/>
                <w:sz w:val="20"/>
                <w:szCs w:val="20"/>
                <w:lang w:val="es-ES_tradnl"/>
              </w:rPr>
              <w:t xml:space="preserve">n la aplicación de los “Lineamientos para la Acción Mundial sobre </w:t>
            </w:r>
            <w:r w:rsidRPr="00CC3A91">
              <w:rPr>
                <w:rFonts w:asciiTheme="majorHAnsi" w:hAnsiTheme="majorHAnsi" w:cs="Arial"/>
                <w:b w:val="0"/>
                <w:sz w:val="20"/>
                <w:szCs w:val="20"/>
                <w:lang w:val="es-ES_tradnl"/>
              </w:rPr>
              <w:lastRenderedPageBreak/>
              <w:t>Turberas”</w:t>
            </w:r>
          </w:p>
        </w:tc>
        <w:tc>
          <w:tcPr>
            <w:tcW w:w="436" w:type="pct"/>
          </w:tcPr>
          <w:p w14:paraId="29638335" w14:textId="77777777" w:rsidR="00360FBC" w:rsidRPr="00CC3A91" w:rsidRDefault="00360FBC" w:rsidP="00EF4061">
            <w:pPr>
              <w:rPr>
                <w:rFonts w:asciiTheme="majorHAnsi" w:hAnsiTheme="majorHAnsi" w:cs="Arial"/>
                <w:b w:val="0"/>
                <w:sz w:val="20"/>
                <w:szCs w:val="20"/>
                <w:lang w:val="es-ES_tradnl"/>
              </w:rPr>
            </w:pPr>
          </w:p>
        </w:tc>
        <w:tc>
          <w:tcPr>
            <w:tcW w:w="301" w:type="pct"/>
          </w:tcPr>
          <w:p w14:paraId="69AD4A7D" w14:textId="358A2A95"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XII.11, ¶24(c) ¶27</w:t>
            </w:r>
          </w:p>
        </w:tc>
        <w:tc>
          <w:tcPr>
            <w:tcW w:w="366" w:type="pct"/>
          </w:tcPr>
          <w:p w14:paraId="380F8D21"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2.6; 3.8, 3.9, 3.11, 3.12; 4.14, 4.18</w:t>
            </w:r>
          </w:p>
        </w:tc>
        <w:tc>
          <w:tcPr>
            <w:tcW w:w="2902" w:type="pct"/>
          </w:tcPr>
          <w:p w14:paraId="47A5FE29" w14:textId="377B6638" w:rsidR="00360FBC" w:rsidRPr="00CC3A91" w:rsidRDefault="00360FBC" w:rsidP="00EF4061">
            <w:pPr>
              <w:pStyle w:val="Default"/>
              <w:rPr>
                <w:rFonts w:asciiTheme="majorHAnsi" w:hAnsiTheme="majorHAnsi" w:cs="Arial"/>
                <w:b w:val="0"/>
                <w:color w:val="auto"/>
                <w:sz w:val="20"/>
                <w:szCs w:val="20"/>
                <w:lang w:val="es-ES_tradnl"/>
              </w:rPr>
            </w:pPr>
            <w:r w:rsidRPr="00CC3A91">
              <w:rPr>
                <w:rFonts w:asciiTheme="majorHAnsi" w:hAnsiTheme="majorHAnsi" w:cs="Arial"/>
                <w:b w:val="0"/>
                <w:color w:val="auto"/>
                <w:sz w:val="20"/>
                <w:szCs w:val="20"/>
                <w:u w:val="single"/>
                <w:lang w:val="es-ES_tradnl"/>
              </w:rPr>
              <w:t>Descripción de la tarea</w:t>
            </w:r>
            <w:r w:rsidRPr="00CC3A91">
              <w:rPr>
                <w:rFonts w:asciiTheme="majorHAnsi" w:hAnsiTheme="majorHAnsi" w:cs="Arial"/>
                <w:b w:val="0"/>
                <w:color w:val="auto"/>
                <w:sz w:val="20"/>
                <w:szCs w:val="20"/>
                <w:lang w:val="es-ES_tradnl"/>
              </w:rPr>
              <w:t>: Desarrollo y distribución de un cuestionario</w:t>
            </w:r>
            <w:r w:rsidR="00C67941" w:rsidRPr="00CC3A91">
              <w:rPr>
                <w:rFonts w:asciiTheme="majorHAnsi" w:hAnsiTheme="majorHAnsi" w:cs="Arial"/>
                <w:b w:val="0"/>
                <w:color w:val="auto"/>
                <w:sz w:val="20"/>
                <w:szCs w:val="20"/>
                <w:lang w:val="es-ES_tradnl"/>
              </w:rPr>
              <w:t>,</w:t>
            </w:r>
            <w:r w:rsidRPr="00CC3A91">
              <w:rPr>
                <w:rFonts w:asciiTheme="majorHAnsi" w:hAnsiTheme="majorHAnsi" w:cs="Arial"/>
                <w:b w:val="0"/>
                <w:color w:val="auto"/>
                <w:sz w:val="20"/>
                <w:szCs w:val="20"/>
                <w:lang w:val="es-ES_tradnl"/>
              </w:rPr>
              <w:t xml:space="preserve"> a través de los Coordinadores Nacionales del GECT</w:t>
            </w:r>
            <w:r w:rsidR="00C67941" w:rsidRPr="00CC3A91">
              <w:rPr>
                <w:rFonts w:asciiTheme="majorHAnsi" w:hAnsiTheme="majorHAnsi" w:cs="Arial"/>
                <w:b w:val="0"/>
                <w:color w:val="auto"/>
                <w:sz w:val="20"/>
                <w:szCs w:val="20"/>
                <w:lang w:val="es-ES_tradnl"/>
              </w:rPr>
              <w:t>,</w:t>
            </w:r>
            <w:r w:rsidRPr="00CC3A91">
              <w:rPr>
                <w:rFonts w:asciiTheme="majorHAnsi" w:hAnsiTheme="majorHAnsi" w:cs="Arial"/>
                <w:b w:val="0"/>
                <w:color w:val="auto"/>
                <w:sz w:val="20"/>
                <w:szCs w:val="20"/>
                <w:lang w:val="es-ES_tradnl"/>
              </w:rPr>
              <w:t xml:space="preserve"> a </w:t>
            </w:r>
            <w:r w:rsidR="00C67941" w:rsidRPr="00CC3A91">
              <w:rPr>
                <w:rFonts w:asciiTheme="majorHAnsi" w:hAnsiTheme="majorHAnsi" w:cs="Arial"/>
                <w:b w:val="0"/>
                <w:color w:val="auto"/>
                <w:sz w:val="20"/>
                <w:szCs w:val="20"/>
                <w:lang w:val="es-ES_tradnl"/>
              </w:rPr>
              <w:t xml:space="preserve">las </w:t>
            </w:r>
            <w:r w:rsidRPr="00CC3A91">
              <w:rPr>
                <w:rFonts w:asciiTheme="majorHAnsi" w:hAnsiTheme="majorHAnsi" w:cs="Arial"/>
                <w:b w:val="0"/>
                <w:color w:val="auto"/>
                <w:sz w:val="20"/>
                <w:szCs w:val="20"/>
                <w:lang w:val="es-ES_tradnl"/>
              </w:rPr>
              <w:t>Partes Contrata</w:t>
            </w:r>
            <w:r w:rsidR="00C67941" w:rsidRPr="00CC3A91">
              <w:rPr>
                <w:rFonts w:asciiTheme="majorHAnsi" w:hAnsiTheme="majorHAnsi" w:cs="Arial"/>
                <w:b w:val="0"/>
                <w:color w:val="auto"/>
                <w:sz w:val="20"/>
                <w:szCs w:val="20"/>
                <w:lang w:val="es-ES_tradnl"/>
              </w:rPr>
              <w:t>ntes seleccionadas</w:t>
            </w:r>
            <w:r w:rsidRPr="00CC3A91">
              <w:rPr>
                <w:rFonts w:asciiTheme="majorHAnsi" w:hAnsiTheme="majorHAnsi" w:cs="Arial"/>
                <w:b w:val="0"/>
                <w:color w:val="auto"/>
                <w:sz w:val="20"/>
                <w:szCs w:val="20"/>
                <w:lang w:val="es-ES_tradnl"/>
              </w:rPr>
              <w:t xml:space="preserve"> en base al área de turberas/otros criterios, con el fin de identificar</w:t>
            </w:r>
            <w:r w:rsidR="00C67941" w:rsidRPr="00CC3A91">
              <w:rPr>
                <w:rFonts w:asciiTheme="majorHAnsi" w:hAnsiTheme="majorHAnsi" w:cs="Arial"/>
                <w:b w:val="0"/>
                <w:color w:val="auto"/>
                <w:sz w:val="20"/>
                <w:szCs w:val="20"/>
                <w:lang w:val="es-ES_tradnl"/>
              </w:rPr>
              <w:t xml:space="preserve"> las</w:t>
            </w:r>
            <w:r w:rsidRPr="00CC3A91">
              <w:rPr>
                <w:rFonts w:asciiTheme="majorHAnsi" w:hAnsiTheme="majorHAnsi" w:cs="Arial"/>
                <w:b w:val="0"/>
                <w:color w:val="auto"/>
                <w:sz w:val="20"/>
                <w:szCs w:val="20"/>
                <w:lang w:val="es-ES_tradnl"/>
              </w:rPr>
              <w:t xml:space="preserve"> buenas prácticas para aplicar un plan de acción para los humedales. </w:t>
            </w:r>
          </w:p>
          <w:p w14:paraId="46143633" w14:textId="77777777" w:rsidR="00360FBC" w:rsidRPr="00CC3A91" w:rsidRDefault="00360FBC" w:rsidP="00EF4061">
            <w:pPr>
              <w:pStyle w:val="Default"/>
              <w:rPr>
                <w:rFonts w:asciiTheme="majorHAnsi" w:hAnsiTheme="majorHAnsi" w:cs="Arial"/>
                <w:b w:val="0"/>
                <w:color w:val="auto"/>
                <w:sz w:val="20"/>
                <w:szCs w:val="20"/>
                <w:lang w:val="es-ES_tradnl"/>
              </w:rPr>
            </w:pPr>
            <w:r w:rsidRPr="00CC3A91">
              <w:rPr>
                <w:rFonts w:asciiTheme="majorHAnsi" w:hAnsiTheme="majorHAnsi" w:cs="Arial"/>
                <w:b w:val="0"/>
                <w:color w:val="auto"/>
                <w:sz w:val="20"/>
                <w:szCs w:val="20"/>
                <w:lang w:val="es-ES_tradnl"/>
              </w:rPr>
              <w:t xml:space="preserve"> </w:t>
            </w:r>
          </w:p>
          <w:p w14:paraId="356511B2" w14:textId="045C3DB3" w:rsidR="00360FBC" w:rsidRPr="00CC3A91" w:rsidRDefault="00360FBC" w:rsidP="00EF4061">
            <w:pPr>
              <w:pStyle w:val="Default"/>
              <w:rPr>
                <w:rFonts w:asciiTheme="majorHAnsi" w:hAnsiTheme="majorHAnsi" w:cs="Arial"/>
                <w:b w:val="0"/>
                <w:color w:val="auto"/>
                <w:sz w:val="20"/>
                <w:szCs w:val="20"/>
                <w:lang w:val="es-ES_tradnl"/>
              </w:rPr>
            </w:pPr>
            <w:r w:rsidRPr="00CC3A91">
              <w:rPr>
                <w:rFonts w:asciiTheme="majorHAnsi" w:hAnsiTheme="majorHAnsi" w:cs="Arial"/>
                <w:b w:val="0"/>
                <w:color w:val="auto"/>
                <w:sz w:val="20"/>
                <w:szCs w:val="20"/>
                <w:u w:val="single"/>
                <w:lang w:val="es-ES_tradnl"/>
              </w:rPr>
              <w:t>Producto(s) esperado(s)</w:t>
            </w:r>
            <w:r w:rsidRPr="00CC3A91">
              <w:rPr>
                <w:rFonts w:asciiTheme="majorHAnsi" w:hAnsiTheme="majorHAnsi" w:cs="Arial"/>
                <w:b w:val="0"/>
                <w:color w:val="auto"/>
                <w:sz w:val="20"/>
                <w:szCs w:val="20"/>
                <w:lang w:val="es-ES_tradnl"/>
              </w:rPr>
              <w:t xml:space="preserve">: Informe resumido y seminario web sobre el progreso logrado en la aplicación de los </w:t>
            </w:r>
            <w:r w:rsidRPr="00CC3A91">
              <w:rPr>
                <w:rFonts w:asciiTheme="majorHAnsi" w:hAnsiTheme="majorHAnsi" w:cs="Arial"/>
                <w:b w:val="0"/>
                <w:sz w:val="20"/>
                <w:szCs w:val="20"/>
                <w:lang w:val="es-ES_tradnl"/>
              </w:rPr>
              <w:t xml:space="preserve">Lineamientos para la acción mundial sobre turberas. </w:t>
            </w:r>
            <w:r w:rsidRPr="00CC3A91">
              <w:rPr>
                <w:rFonts w:asciiTheme="majorHAnsi" w:hAnsiTheme="majorHAnsi" w:cs="Arial"/>
                <w:b w:val="0"/>
                <w:color w:val="auto"/>
                <w:sz w:val="20"/>
                <w:szCs w:val="20"/>
                <w:lang w:val="es-ES_tradnl"/>
              </w:rPr>
              <w:t xml:space="preserve">Los productos adicionales </w:t>
            </w:r>
            <w:r w:rsidRPr="00CC3A91">
              <w:rPr>
                <w:rFonts w:asciiTheme="majorHAnsi" w:hAnsiTheme="majorHAnsi" w:cs="Arial"/>
                <w:b w:val="0"/>
                <w:color w:val="auto"/>
                <w:sz w:val="20"/>
                <w:szCs w:val="20"/>
                <w:lang w:val="es-ES_tradnl"/>
              </w:rPr>
              <w:lastRenderedPageBreak/>
              <w:t>depend</w:t>
            </w:r>
            <w:r w:rsidR="00C67941" w:rsidRPr="00CC3A91">
              <w:rPr>
                <w:rFonts w:asciiTheme="majorHAnsi" w:hAnsiTheme="majorHAnsi" w:cs="Arial"/>
                <w:b w:val="0"/>
                <w:color w:val="auto"/>
                <w:sz w:val="20"/>
                <w:szCs w:val="20"/>
                <w:lang w:val="es-ES_tradnl"/>
              </w:rPr>
              <w:t>erán</w:t>
            </w:r>
            <w:r w:rsidRPr="00CC3A91">
              <w:rPr>
                <w:rFonts w:asciiTheme="majorHAnsi" w:hAnsiTheme="majorHAnsi" w:cs="Arial"/>
                <w:b w:val="0"/>
                <w:color w:val="auto"/>
                <w:sz w:val="20"/>
                <w:szCs w:val="20"/>
                <w:lang w:val="es-ES_tradnl"/>
              </w:rPr>
              <w:t xml:space="preserve"> de los resultados obtenidos. </w:t>
            </w:r>
          </w:p>
          <w:p w14:paraId="0164ABF1" w14:textId="77777777" w:rsidR="00360FBC" w:rsidRPr="00CC3A91" w:rsidRDefault="00360FBC" w:rsidP="00EF4061">
            <w:pPr>
              <w:pStyle w:val="Default"/>
              <w:rPr>
                <w:rFonts w:asciiTheme="majorHAnsi" w:hAnsiTheme="majorHAnsi" w:cs="Arial"/>
                <w:b w:val="0"/>
                <w:color w:val="auto"/>
                <w:sz w:val="20"/>
                <w:szCs w:val="20"/>
                <w:lang w:val="es-ES_tradnl"/>
              </w:rPr>
            </w:pPr>
          </w:p>
          <w:p w14:paraId="0E24DA9A" w14:textId="61B7B1C0" w:rsidR="00360FBC" w:rsidRPr="00CC3A91" w:rsidRDefault="00360FBC" w:rsidP="00EF4061">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xml:space="preserve">: Responsables de políticas </w:t>
            </w:r>
            <w:r w:rsidR="00C67941" w:rsidRPr="00CC3A91">
              <w:rPr>
                <w:rFonts w:asciiTheme="majorHAnsi" w:hAnsiTheme="majorHAnsi" w:cs="Arial"/>
                <w:b w:val="0"/>
                <w:sz w:val="20"/>
                <w:szCs w:val="20"/>
                <w:lang w:val="es-ES_tradnl"/>
              </w:rPr>
              <w:t xml:space="preserve">y </w:t>
            </w:r>
            <w:r w:rsidRPr="00CC3A91">
              <w:rPr>
                <w:rFonts w:asciiTheme="majorHAnsi" w:hAnsiTheme="majorHAnsi" w:cs="Arial"/>
                <w:b w:val="0"/>
                <w:sz w:val="20"/>
                <w:szCs w:val="20"/>
                <w:lang w:val="es-ES_tradnl"/>
              </w:rPr>
              <w:t>profesionales.</w:t>
            </w:r>
          </w:p>
        </w:tc>
        <w:tc>
          <w:tcPr>
            <w:tcW w:w="464" w:type="pct"/>
          </w:tcPr>
          <w:p w14:paraId="36E2F334" w14:textId="60F2E412"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Hasta 9.000 </w:t>
            </w:r>
          </w:p>
        </w:tc>
      </w:tr>
      <w:tr w:rsidR="00360FBC" w:rsidRPr="00CC3A91" w14:paraId="0DBF9555" w14:textId="77777777" w:rsidTr="00EF4061">
        <w:tc>
          <w:tcPr>
            <w:tcW w:w="531" w:type="pct"/>
          </w:tcPr>
          <w:p w14:paraId="74A805EE" w14:textId="306C2E47" w:rsidR="00360FBC" w:rsidRPr="00CC3A91" w:rsidRDefault="00360FBC" w:rsidP="004D1C1F">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 2.4 Buenas prácticas para desarrollar y aplicar los planes de acción para el manejo de las Especies Exóticas Invasoras en sitios Ramsar y otros humedales: una guía sobre las orientaciones existentes </w:t>
            </w:r>
          </w:p>
        </w:tc>
        <w:tc>
          <w:tcPr>
            <w:tcW w:w="436" w:type="pct"/>
          </w:tcPr>
          <w:p w14:paraId="6CF86808" w14:textId="77777777" w:rsidR="00360FBC" w:rsidRPr="00CC3A91" w:rsidRDefault="00360FBC" w:rsidP="00EF4061">
            <w:pPr>
              <w:rPr>
                <w:rFonts w:asciiTheme="majorHAnsi" w:hAnsiTheme="majorHAnsi" w:cs="Arial"/>
                <w:b w:val="0"/>
                <w:sz w:val="20"/>
                <w:szCs w:val="20"/>
                <w:lang w:val="es-ES_tradnl"/>
              </w:rPr>
            </w:pPr>
          </w:p>
        </w:tc>
        <w:tc>
          <w:tcPr>
            <w:tcW w:w="301" w:type="pct"/>
          </w:tcPr>
          <w:p w14:paraId="10BBDC64" w14:textId="5DE73A4A"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XII.2, Anexo, ¶ 30 </w:t>
            </w:r>
          </w:p>
        </w:tc>
        <w:tc>
          <w:tcPr>
            <w:tcW w:w="366" w:type="pct"/>
          </w:tcPr>
          <w:p w14:paraId="1202A7F2" w14:textId="4B41BE88"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1.4; 2.5, 2.7; 3.8, 3.9, 3.11, 3.12; 4.14, </w:t>
            </w:r>
          </w:p>
        </w:tc>
        <w:tc>
          <w:tcPr>
            <w:tcW w:w="2902" w:type="pct"/>
          </w:tcPr>
          <w:p w14:paraId="0AF1AA90" w14:textId="1744CD8C"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xml:space="preserve">: Generar una Nota Informativa que sirva de guía sobre las orientaciones existentes relativas a las buenas prácticas para desarrollar y aplicar los planes de </w:t>
            </w:r>
            <w:r w:rsidR="00CC3A91" w:rsidRPr="00CC3A91">
              <w:rPr>
                <w:rFonts w:asciiTheme="majorHAnsi" w:hAnsiTheme="majorHAnsi" w:cs="Arial"/>
                <w:b w:val="0"/>
                <w:sz w:val="20"/>
                <w:szCs w:val="20"/>
                <w:lang w:val="es-ES_tradnl"/>
              </w:rPr>
              <w:t>acción</w:t>
            </w:r>
            <w:r w:rsidRPr="00CC3A91">
              <w:rPr>
                <w:rFonts w:asciiTheme="majorHAnsi" w:hAnsiTheme="majorHAnsi" w:cs="Arial"/>
                <w:b w:val="0"/>
                <w:sz w:val="20"/>
                <w:szCs w:val="20"/>
                <w:lang w:val="es-ES_tradnl"/>
              </w:rPr>
              <w:t xml:space="preserve"> para el manejo de las Especies Exóticas Invasoras en los sitios Ramsar y otros humedales (en colaboración con AEWA).</w:t>
            </w:r>
          </w:p>
          <w:p w14:paraId="7428F9E7"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 </w:t>
            </w:r>
          </w:p>
          <w:p w14:paraId="6307F778" w14:textId="1BBCD8B0"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Nota informativa</w:t>
            </w:r>
          </w:p>
          <w:p w14:paraId="43ADADCE" w14:textId="77777777" w:rsidR="00360FBC" w:rsidRPr="00CC3A91" w:rsidRDefault="00360FBC" w:rsidP="00EF4061">
            <w:pPr>
              <w:rPr>
                <w:rFonts w:asciiTheme="majorHAnsi" w:hAnsiTheme="majorHAnsi" w:cs="Arial"/>
                <w:b w:val="0"/>
                <w:sz w:val="20"/>
                <w:szCs w:val="20"/>
                <w:lang w:val="es-ES_tradnl"/>
              </w:rPr>
            </w:pPr>
          </w:p>
          <w:p w14:paraId="78F1914C" w14:textId="1DB53FF9" w:rsidR="00360FBC" w:rsidRPr="00CC3A91" w:rsidRDefault="00360FBC" w:rsidP="00C67941">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Profesionales (</w:t>
            </w:r>
            <w:r w:rsidR="00C67941" w:rsidRPr="00CC3A91">
              <w:rPr>
                <w:rFonts w:asciiTheme="majorHAnsi" w:hAnsiTheme="majorHAnsi" w:cs="Arial"/>
                <w:b w:val="0"/>
                <w:sz w:val="20"/>
                <w:szCs w:val="20"/>
                <w:lang w:val="es-ES_tradnl"/>
              </w:rPr>
              <w:t>administradores de humedales</w:t>
            </w:r>
            <w:r w:rsidRPr="00CC3A91">
              <w:rPr>
                <w:rFonts w:asciiTheme="majorHAnsi" w:hAnsiTheme="majorHAnsi" w:cs="Arial"/>
                <w:b w:val="0"/>
                <w:sz w:val="20"/>
                <w:szCs w:val="20"/>
                <w:lang w:val="es-ES_tradnl"/>
              </w:rPr>
              <w:t>)</w:t>
            </w:r>
          </w:p>
        </w:tc>
        <w:tc>
          <w:tcPr>
            <w:tcW w:w="464" w:type="pct"/>
          </w:tcPr>
          <w:p w14:paraId="66600C2A" w14:textId="2E7AD88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13.000</w:t>
            </w:r>
          </w:p>
        </w:tc>
      </w:tr>
      <w:tr w:rsidR="00360FBC" w:rsidRPr="00E81A45" w14:paraId="204D83E7" w14:textId="77777777" w:rsidTr="00EF4061">
        <w:tc>
          <w:tcPr>
            <w:tcW w:w="531" w:type="pct"/>
          </w:tcPr>
          <w:p w14:paraId="09D08AD7" w14:textId="1AB56254" w:rsidR="00360FBC" w:rsidRPr="00CC3A91" w:rsidRDefault="00360FBC" w:rsidP="007360DF">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2.5 Manejo de los mosquitos portadores de enfermedades en los humedales </w:t>
            </w:r>
          </w:p>
        </w:tc>
        <w:tc>
          <w:tcPr>
            <w:tcW w:w="436" w:type="pct"/>
          </w:tcPr>
          <w:p w14:paraId="206B0CFC" w14:textId="3B89F6CD"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301" w:type="pct"/>
          </w:tcPr>
          <w:p w14:paraId="45DDDFD6" w14:textId="0F731A85"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 5, Anexo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 15 (ii); 38</w:t>
            </w:r>
          </w:p>
        </w:tc>
        <w:tc>
          <w:tcPr>
            <w:tcW w:w="366" w:type="pct"/>
          </w:tcPr>
          <w:p w14:paraId="6BE0E8BC"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2.5, 2.7; 3.8, 3.9, 3.11, 3.12; 4.14</w:t>
            </w:r>
          </w:p>
        </w:tc>
        <w:tc>
          <w:tcPr>
            <w:tcW w:w="2902" w:type="pct"/>
          </w:tcPr>
          <w:p w14:paraId="2E4D65E4" w14:textId="476EEDC9" w:rsidR="00360FBC" w:rsidRPr="00CC3A91" w:rsidRDefault="00360FBC" w:rsidP="00EF4061">
            <w:pPr>
              <w:rPr>
                <w:rFonts w:asciiTheme="majorHAnsi" w:hAnsiTheme="majorHAnsi"/>
                <w:b w:val="0"/>
                <w:sz w:val="20"/>
                <w:szCs w:val="20"/>
                <w:shd w:val="clear" w:color="auto" w:fill="FFFFFF"/>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xml:space="preserve">: </w:t>
            </w:r>
            <w:r w:rsidR="00C67941" w:rsidRPr="00CC3A91">
              <w:rPr>
                <w:rFonts w:asciiTheme="majorHAnsi" w:hAnsiTheme="majorHAnsi"/>
                <w:b w:val="0"/>
                <w:sz w:val="20"/>
                <w:szCs w:val="20"/>
                <w:shd w:val="clear" w:color="auto" w:fill="FFFFFF"/>
                <w:lang w:val="es-ES_tradnl"/>
              </w:rPr>
              <w:t xml:space="preserve">Proporcionar asesoramiento a los administradores de sitios, profesionales y responsables de políticas </w:t>
            </w:r>
            <w:r w:rsidRPr="00CC3A91">
              <w:rPr>
                <w:rFonts w:asciiTheme="majorHAnsi" w:hAnsiTheme="majorHAnsi"/>
                <w:b w:val="0"/>
                <w:sz w:val="20"/>
                <w:szCs w:val="20"/>
                <w:shd w:val="clear" w:color="auto" w:fill="FFFFFF"/>
                <w:lang w:val="es-ES_tradnl"/>
              </w:rPr>
              <w:t xml:space="preserve">sobre el manejo de los mosquitos portadores de enfermedades en los humedales. </w:t>
            </w:r>
          </w:p>
          <w:p w14:paraId="6A4A9D63" w14:textId="77777777" w:rsidR="00360FBC" w:rsidRPr="00CC3A91" w:rsidRDefault="00360FBC" w:rsidP="00EF4061">
            <w:pPr>
              <w:rPr>
                <w:rFonts w:asciiTheme="majorHAnsi" w:hAnsiTheme="majorHAnsi" w:cs="Arial"/>
                <w:b w:val="0"/>
                <w:sz w:val="20"/>
                <w:szCs w:val="20"/>
                <w:u w:val="single"/>
                <w:lang w:val="es-ES_tradnl"/>
              </w:rPr>
            </w:pPr>
          </w:p>
          <w:p w14:paraId="4B84DCB2" w14:textId="0DD712D3"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w:t>
            </w:r>
          </w:p>
          <w:p w14:paraId="43136A90" w14:textId="4E14C469" w:rsidR="00360FBC" w:rsidRPr="00CC3A91" w:rsidRDefault="00360FBC" w:rsidP="00EF4061">
            <w:pPr>
              <w:pStyle w:val="NormalWeb"/>
              <w:shd w:val="clear" w:color="auto" w:fill="FFFFFF"/>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1)</w:t>
            </w:r>
            <w:r w:rsidRPr="00CC3A91">
              <w:rPr>
                <w:rStyle w:val="apple-converted-space"/>
                <w:lang w:val="es-ES_tradnl"/>
              </w:rPr>
              <w:t xml:space="preserve"> </w:t>
            </w:r>
            <w:r w:rsidRPr="00CC3A91">
              <w:rPr>
                <w:rFonts w:asciiTheme="majorHAnsi" w:hAnsiTheme="majorHAnsi" w:cs="Arial"/>
                <w:b w:val="0"/>
                <w:sz w:val="20"/>
                <w:szCs w:val="20"/>
                <w:lang w:val="es-ES_tradnl"/>
              </w:rPr>
              <w:t>Nota informativa para profesionales (administradores de humedales, profesionales de la salud urbana/periurbana), y</w:t>
            </w:r>
          </w:p>
          <w:p w14:paraId="5AEBDE3E" w14:textId="27CAC0AF" w:rsidR="00360FBC" w:rsidRPr="00CC3A91" w:rsidRDefault="00360FBC" w:rsidP="00EF4061">
            <w:pPr>
              <w:pStyle w:val="NormalWeb"/>
              <w:shd w:val="clear" w:color="auto" w:fill="FFFFFF"/>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w:t>
            </w:r>
            <w:r w:rsidRPr="00CC3A91">
              <w:rPr>
                <w:rStyle w:val="apple-converted-space"/>
                <w:lang w:val="es-ES_tradnl"/>
              </w:rPr>
              <w:t xml:space="preserve"> </w:t>
            </w:r>
            <w:r w:rsidRPr="00CC3A91">
              <w:rPr>
                <w:rFonts w:asciiTheme="majorHAnsi" w:hAnsiTheme="majorHAnsi" w:cs="Arial"/>
                <w:b w:val="0"/>
                <w:sz w:val="20"/>
                <w:szCs w:val="20"/>
                <w:lang w:val="es-ES_tradnl"/>
              </w:rPr>
              <w:t>Nota sobre políticas a fin de enmarcar el control de vectores en un c</w:t>
            </w:r>
            <w:r w:rsidR="00C67941" w:rsidRPr="00CC3A91">
              <w:rPr>
                <w:rFonts w:asciiTheme="majorHAnsi" w:hAnsiTheme="majorHAnsi" w:cs="Arial"/>
                <w:b w:val="0"/>
                <w:sz w:val="20"/>
                <w:szCs w:val="20"/>
                <w:lang w:val="es-ES_tradnl"/>
              </w:rPr>
              <w:t>ontexto de salud más amplio y</w:t>
            </w:r>
            <w:r w:rsidRPr="00CC3A91">
              <w:rPr>
                <w:rFonts w:asciiTheme="majorHAnsi" w:hAnsiTheme="majorHAnsi" w:cs="Arial"/>
                <w:b w:val="0"/>
                <w:sz w:val="20"/>
                <w:szCs w:val="20"/>
                <w:lang w:val="es-ES_tradnl"/>
              </w:rPr>
              <w:t xml:space="preserve"> poder entender mejor las probables consecuencias para la salud. </w:t>
            </w:r>
          </w:p>
          <w:p w14:paraId="25B9D8C0" w14:textId="20AD55A6" w:rsidR="00360FBC" w:rsidRPr="00CC3A91" w:rsidRDefault="00360FBC" w:rsidP="004D1C1F">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Profesionales (admi</w:t>
            </w:r>
            <w:r w:rsidR="004E6F6D" w:rsidRPr="00CC3A91">
              <w:rPr>
                <w:rFonts w:asciiTheme="majorHAnsi" w:hAnsiTheme="majorHAnsi" w:cs="Arial"/>
                <w:b w:val="0"/>
                <w:sz w:val="20"/>
                <w:szCs w:val="20"/>
                <w:lang w:val="es-ES_tradnl"/>
              </w:rPr>
              <w:t>n</w:t>
            </w:r>
            <w:r w:rsidRPr="00CC3A91">
              <w:rPr>
                <w:rFonts w:asciiTheme="majorHAnsi" w:hAnsiTheme="majorHAnsi" w:cs="Arial"/>
                <w:b w:val="0"/>
                <w:sz w:val="20"/>
                <w:szCs w:val="20"/>
                <w:lang w:val="es-ES_tradnl"/>
              </w:rPr>
              <w:t>istradores de humedal</w:t>
            </w:r>
            <w:r w:rsidR="004E6F6D" w:rsidRPr="00CC3A91">
              <w:rPr>
                <w:rFonts w:asciiTheme="majorHAnsi" w:hAnsiTheme="majorHAnsi" w:cs="Arial"/>
                <w:b w:val="0"/>
                <w:sz w:val="20"/>
                <w:szCs w:val="20"/>
                <w:lang w:val="es-ES_tradnl"/>
              </w:rPr>
              <w:t xml:space="preserve">es y profesionales de la salud) y </w:t>
            </w:r>
            <w:r w:rsidRPr="00CC3A91">
              <w:rPr>
                <w:rFonts w:asciiTheme="majorHAnsi" w:hAnsiTheme="majorHAnsi" w:cs="Arial"/>
                <w:b w:val="0"/>
                <w:sz w:val="20"/>
                <w:szCs w:val="20"/>
                <w:lang w:val="es-ES_tradnl"/>
              </w:rPr>
              <w:t>responsables de políticas</w:t>
            </w:r>
            <w:r w:rsidRPr="00CC3A91">
              <w:rPr>
                <w:rFonts w:asciiTheme="majorHAnsi" w:hAnsiTheme="majorHAnsi" w:cs="Arial"/>
                <w:b w:val="0"/>
                <w:sz w:val="20"/>
                <w:szCs w:val="20"/>
                <w:u w:val="single"/>
                <w:lang w:val="es-ES_tradnl"/>
              </w:rPr>
              <w:t xml:space="preserve"> </w:t>
            </w:r>
          </w:p>
        </w:tc>
        <w:tc>
          <w:tcPr>
            <w:tcW w:w="464" w:type="pct"/>
          </w:tcPr>
          <w:p w14:paraId="65BD0AA0" w14:textId="32DADC88" w:rsidR="00360FBC" w:rsidRPr="00CC3A91" w:rsidRDefault="00360FBC" w:rsidP="000A7839">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22.000 [13.000 para una Nota Informativa y 9.000 para una Nota sobre políticas]</w:t>
            </w:r>
          </w:p>
        </w:tc>
      </w:tr>
      <w:tr w:rsidR="00360FBC" w:rsidRPr="00E81A45" w14:paraId="79688858" w14:textId="77777777" w:rsidTr="00EF4061">
        <w:tc>
          <w:tcPr>
            <w:tcW w:w="531" w:type="pct"/>
          </w:tcPr>
          <w:p w14:paraId="58C9FE59"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2.6</w:t>
            </w:r>
          </w:p>
          <w:p w14:paraId="582F7678" w14:textId="6F23EB68" w:rsidR="00360FBC" w:rsidRPr="00CC3A91" w:rsidRDefault="00360FBC" w:rsidP="007360DF">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Registro de Montreux</w:t>
            </w:r>
          </w:p>
        </w:tc>
        <w:tc>
          <w:tcPr>
            <w:tcW w:w="436" w:type="pct"/>
          </w:tcPr>
          <w:p w14:paraId="2FE0C724" w14:textId="77777777" w:rsidR="00360FBC" w:rsidRPr="00CC3A91" w:rsidRDefault="00360FBC" w:rsidP="00EF4061">
            <w:pPr>
              <w:rPr>
                <w:rFonts w:asciiTheme="majorHAnsi" w:hAnsiTheme="majorHAnsi" w:cs="Arial"/>
                <w:b w:val="0"/>
                <w:sz w:val="20"/>
                <w:szCs w:val="20"/>
                <w:lang w:val="es-ES_tradnl"/>
              </w:rPr>
            </w:pPr>
          </w:p>
        </w:tc>
        <w:tc>
          <w:tcPr>
            <w:tcW w:w="301" w:type="pct"/>
          </w:tcPr>
          <w:p w14:paraId="5D4478FB" w14:textId="4E270B9C" w:rsidR="00360FBC" w:rsidRPr="00CC3A91" w:rsidRDefault="00360FBC" w:rsidP="00EF4061">
            <w:pPr>
              <w:rPr>
                <w:rFonts w:asciiTheme="majorHAnsi" w:hAnsiTheme="majorHAnsi" w:cs="Arial"/>
                <w:b w:val="0"/>
                <w:sz w:val="20"/>
                <w:szCs w:val="20"/>
                <w:highlight w:val="yellow"/>
                <w:lang w:val="es-ES_tradnl"/>
              </w:rPr>
            </w:pPr>
            <w:r w:rsidRPr="00CC3A91">
              <w:rPr>
                <w:rFonts w:asciiTheme="majorHAnsi" w:hAnsiTheme="majorHAnsi" w:cs="Arial"/>
                <w:b w:val="0"/>
                <w:sz w:val="20"/>
                <w:szCs w:val="20"/>
                <w:lang w:val="es-ES_tradnl"/>
              </w:rPr>
              <w:t xml:space="preserve">XII.5, Anexo 1, </w:t>
            </w:r>
            <w:r w:rsidRPr="00CC3A91">
              <w:rPr>
                <w:rFonts w:ascii="Calibri" w:hAnsi="Calibri" w:cs="Arial"/>
                <w:b w:val="0"/>
                <w:sz w:val="20"/>
                <w:szCs w:val="20"/>
                <w:lang w:val="es-ES_tradnl"/>
              </w:rPr>
              <w:t xml:space="preserve">¶¶ 1-2; </w:t>
            </w:r>
            <w:r w:rsidRPr="00CC3A91">
              <w:rPr>
                <w:rFonts w:ascii="Calibri" w:hAnsi="Calibri" w:cs="Arial"/>
                <w:b w:val="0"/>
                <w:sz w:val="20"/>
                <w:szCs w:val="20"/>
                <w:lang w:val="es-ES_tradnl"/>
              </w:rPr>
              <w:lastRenderedPageBreak/>
              <w:t>12 (v); 15; 38</w:t>
            </w:r>
          </w:p>
        </w:tc>
        <w:tc>
          <w:tcPr>
            <w:tcW w:w="366" w:type="pct"/>
          </w:tcPr>
          <w:p w14:paraId="26E22B46" w14:textId="77777777" w:rsidR="00360FBC" w:rsidRPr="00CC3A91" w:rsidRDefault="00360FBC" w:rsidP="00EF4061">
            <w:pPr>
              <w:rPr>
                <w:rFonts w:asciiTheme="majorHAnsi" w:hAnsiTheme="majorHAnsi" w:cs="Arial"/>
                <w:b w:val="0"/>
                <w:sz w:val="20"/>
                <w:szCs w:val="20"/>
                <w:highlight w:val="yellow"/>
                <w:lang w:val="es-ES_tradnl"/>
              </w:rPr>
            </w:pPr>
            <w:r w:rsidRPr="00CC3A91">
              <w:rPr>
                <w:rFonts w:asciiTheme="majorHAnsi" w:hAnsiTheme="majorHAnsi" w:cs="Arial"/>
                <w:b w:val="0"/>
                <w:sz w:val="20"/>
                <w:szCs w:val="20"/>
                <w:lang w:val="es-ES_tradnl"/>
              </w:rPr>
              <w:lastRenderedPageBreak/>
              <w:t xml:space="preserve">2.5, 2.7; 3.8, 3.9, 3.11, 3.12; </w:t>
            </w:r>
            <w:r w:rsidRPr="00CC3A91">
              <w:rPr>
                <w:rFonts w:asciiTheme="majorHAnsi" w:hAnsiTheme="majorHAnsi" w:cs="Arial"/>
                <w:b w:val="0"/>
                <w:sz w:val="20"/>
                <w:szCs w:val="20"/>
                <w:lang w:val="es-ES_tradnl"/>
              </w:rPr>
              <w:lastRenderedPageBreak/>
              <w:t>4.14</w:t>
            </w:r>
          </w:p>
        </w:tc>
        <w:tc>
          <w:tcPr>
            <w:tcW w:w="2902" w:type="pct"/>
          </w:tcPr>
          <w:p w14:paraId="7B95B75D" w14:textId="301D531B" w:rsidR="00360FBC" w:rsidRPr="00CC3A91" w:rsidRDefault="00360FBC" w:rsidP="00EF4061">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lastRenderedPageBreak/>
              <w:t>Descripción de la tarea</w:t>
            </w:r>
            <w:r w:rsidRPr="00CC3A91">
              <w:rPr>
                <w:rFonts w:asciiTheme="majorHAnsi" w:hAnsiTheme="majorHAnsi" w:cs="Arial"/>
                <w:b w:val="0"/>
                <w:sz w:val="20"/>
                <w:szCs w:val="20"/>
                <w:lang w:val="es-ES_tradnl"/>
              </w:rPr>
              <w:t xml:space="preserve">: </w:t>
            </w:r>
            <w:r w:rsidRPr="00CC3A91">
              <w:rPr>
                <w:rFonts w:asciiTheme="majorHAnsi" w:hAnsiTheme="majorHAnsi"/>
                <w:b w:val="0"/>
                <w:sz w:val="20"/>
                <w:szCs w:val="20"/>
                <w:shd w:val="clear" w:color="auto" w:fill="FFFFFF"/>
                <w:lang w:val="es-ES_tradnl"/>
              </w:rPr>
              <w:t xml:space="preserve">Proporcionar asesoramiento sobre la utilidad del Registro de Montreux como herramienta para los sitios Ramsar. </w:t>
            </w:r>
          </w:p>
          <w:p w14:paraId="34BB87AA" w14:textId="77777777" w:rsidR="004E6F6D" w:rsidRPr="00CC3A91" w:rsidRDefault="004E6F6D" w:rsidP="008B26B4">
            <w:pPr>
              <w:spacing w:after="20"/>
              <w:rPr>
                <w:rFonts w:asciiTheme="majorHAnsi" w:hAnsiTheme="majorHAnsi" w:cs="Arial"/>
                <w:b w:val="0"/>
                <w:sz w:val="20"/>
                <w:szCs w:val="20"/>
                <w:u w:val="single"/>
                <w:lang w:val="es-ES_tradnl"/>
              </w:rPr>
            </w:pPr>
          </w:p>
          <w:p w14:paraId="098B26C9" w14:textId="7A9B016E" w:rsidR="00360FBC" w:rsidRPr="00CC3A91" w:rsidRDefault="00360FBC" w:rsidP="00830CC7">
            <w:pPr>
              <w:spacing w:after="20"/>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lastRenderedPageBreak/>
              <w:t>Producto(s) esperado(s)</w:t>
            </w:r>
            <w:r w:rsidRPr="00CC3A91">
              <w:rPr>
                <w:rFonts w:asciiTheme="majorHAnsi" w:hAnsiTheme="majorHAnsi" w:cs="Arial"/>
                <w:b w:val="0"/>
                <w:sz w:val="20"/>
                <w:szCs w:val="20"/>
                <w:lang w:val="es-ES_tradnl"/>
              </w:rPr>
              <w:t>: Publica</w:t>
            </w:r>
            <w:r w:rsidR="004E6F6D" w:rsidRPr="00CC3A91">
              <w:rPr>
                <w:rFonts w:asciiTheme="majorHAnsi" w:hAnsiTheme="majorHAnsi" w:cs="Arial"/>
                <w:b w:val="0"/>
                <w:sz w:val="20"/>
                <w:szCs w:val="20"/>
                <w:lang w:val="es-ES_tradnl"/>
              </w:rPr>
              <w:t>ción d</w:t>
            </w:r>
            <w:r w:rsidRPr="00CC3A91">
              <w:rPr>
                <w:rFonts w:asciiTheme="majorHAnsi" w:hAnsiTheme="majorHAnsi" w:cs="Arial"/>
                <w:b w:val="0"/>
                <w:sz w:val="20"/>
                <w:szCs w:val="20"/>
                <w:lang w:val="es-ES_tradnl"/>
              </w:rPr>
              <w:t xml:space="preserve">el informe “Cambio en las características ecológicas de los sitios de humedales </w:t>
            </w:r>
            <w:r w:rsidRPr="00CC3A91">
              <w:rPr>
                <w:rFonts w:asciiTheme="majorHAnsi" w:hAnsiTheme="majorHAnsi" w:cs="Arial"/>
                <w:b w:val="0"/>
                <w:sz w:val="20"/>
                <w:szCs w:val="20"/>
                <w:lang w:val="es-ES_tradnl"/>
              </w:rPr>
              <w:softHyphen/>
              <w:t>– una revisión de las orient</w:t>
            </w:r>
            <w:r w:rsidR="004E6F6D" w:rsidRPr="00CC3A91">
              <w:rPr>
                <w:rFonts w:asciiTheme="majorHAnsi" w:hAnsiTheme="majorHAnsi" w:cs="Arial"/>
                <w:b w:val="0"/>
                <w:sz w:val="20"/>
                <w:szCs w:val="20"/>
                <w:lang w:val="es-ES_tradnl"/>
              </w:rPr>
              <w:t>aciones y mecanismos de Ramsar" en el</w:t>
            </w:r>
            <w:r w:rsidRPr="00CC3A91">
              <w:rPr>
                <w:rFonts w:asciiTheme="majorHAnsi" w:hAnsiTheme="majorHAnsi" w:cs="Arial"/>
                <w:b w:val="0"/>
                <w:sz w:val="20"/>
                <w:szCs w:val="20"/>
                <w:lang w:val="es-ES_tradnl"/>
              </w:rPr>
              <w:t xml:space="preserve"> que </w:t>
            </w:r>
            <w:r w:rsidR="004E6F6D" w:rsidRPr="00CC3A91">
              <w:rPr>
                <w:rFonts w:asciiTheme="majorHAnsi" w:hAnsiTheme="majorHAnsi" w:cs="Arial"/>
                <w:b w:val="0"/>
                <w:sz w:val="20"/>
                <w:szCs w:val="20"/>
                <w:lang w:val="es-ES_tradnl"/>
              </w:rPr>
              <w:t xml:space="preserve">se </w:t>
            </w:r>
            <w:r w:rsidRPr="00CC3A91">
              <w:rPr>
                <w:rFonts w:asciiTheme="majorHAnsi" w:hAnsiTheme="majorHAnsi" w:cs="Arial"/>
                <w:b w:val="0"/>
                <w:sz w:val="20"/>
                <w:szCs w:val="20"/>
                <w:lang w:val="es-ES_tradnl"/>
              </w:rPr>
              <w:t>habla del Registro de Montreux, en el sitio web de Ramsar como parte del Juego de instrumentos para el manejo de los sitios Ramsar (véase la tarea 2.1 arriba) y realiza</w:t>
            </w:r>
            <w:r w:rsidR="004E6F6D" w:rsidRPr="00CC3A91">
              <w:rPr>
                <w:rFonts w:asciiTheme="majorHAnsi" w:hAnsiTheme="majorHAnsi" w:cs="Arial"/>
                <w:b w:val="0"/>
                <w:sz w:val="20"/>
                <w:szCs w:val="20"/>
                <w:lang w:val="es-ES_tradnl"/>
              </w:rPr>
              <w:t>ción de</w:t>
            </w:r>
            <w:r w:rsidRPr="00CC3A91">
              <w:rPr>
                <w:rFonts w:asciiTheme="majorHAnsi" w:hAnsiTheme="majorHAnsi" w:cs="Arial"/>
                <w:b w:val="0"/>
                <w:sz w:val="20"/>
                <w:szCs w:val="20"/>
                <w:lang w:val="es-ES_tradnl"/>
              </w:rPr>
              <w:t xml:space="preserve"> un seminario web </w:t>
            </w:r>
            <w:r w:rsidR="004E6F6D" w:rsidRPr="00CC3A91">
              <w:rPr>
                <w:rFonts w:asciiTheme="majorHAnsi" w:hAnsiTheme="majorHAnsi" w:cs="Arial"/>
                <w:b w:val="0"/>
                <w:sz w:val="20"/>
                <w:szCs w:val="20"/>
                <w:lang w:val="es-ES_tradnl"/>
              </w:rPr>
              <w:t>en el que se habla</w:t>
            </w:r>
            <w:r w:rsidRPr="00CC3A91">
              <w:rPr>
                <w:rFonts w:asciiTheme="majorHAnsi" w:hAnsiTheme="majorHAnsi" w:cs="Arial"/>
                <w:b w:val="0"/>
                <w:sz w:val="20"/>
                <w:szCs w:val="20"/>
                <w:lang w:val="es-ES_tradnl"/>
              </w:rPr>
              <w:t xml:space="preserve"> de la posible utilidad del Registro de Montreux para</w:t>
            </w:r>
            <w:r w:rsidR="00830CC7">
              <w:rPr>
                <w:rFonts w:asciiTheme="majorHAnsi" w:hAnsiTheme="majorHAnsi" w:cs="Arial"/>
                <w:b w:val="0"/>
                <w:sz w:val="20"/>
                <w:szCs w:val="20"/>
                <w:lang w:val="es-ES_tradnl"/>
              </w:rPr>
              <w:t xml:space="preserve"> que se preste</w:t>
            </w:r>
            <w:r w:rsidR="00830CC7" w:rsidRPr="00830CC7">
              <w:rPr>
                <w:rFonts w:asciiTheme="majorHAnsi" w:hAnsiTheme="majorHAnsi" w:cs="Arial"/>
                <w:b w:val="0"/>
                <w:sz w:val="20"/>
                <w:szCs w:val="20"/>
                <w:lang w:val="es-ES_tradnl"/>
              </w:rPr>
              <w:t xml:space="preserve"> una atención prioritaria a nivel nacional</w:t>
            </w:r>
            <w:r w:rsidR="00830CC7">
              <w:rPr>
                <w:rFonts w:asciiTheme="majorHAnsi" w:hAnsiTheme="majorHAnsi" w:cs="Arial"/>
                <w:b w:val="0"/>
                <w:sz w:val="20"/>
                <w:szCs w:val="20"/>
                <w:lang w:val="es-ES_tradnl"/>
              </w:rPr>
              <w:t xml:space="preserve"> </w:t>
            </w:r>
            <w:r w:rsidR="00830CC7" w:rsidRPr="00830CC7">
              <w:rPr>
                <w:rFonts w:asciiTheme="majorHAnsi" w:hAnsiTheme="majorHAnsi" w:cs="Arial"/>
                <w:b w:val="0"/>
                <w:sz w:val="20"/>
                <w:szCs w:val="20"/>
                <w:lang w:val="es-ES_tradnl"/>
              </w:rPr>
              <w:t xml:space="preserve">e internacional con miras a su conservación. </w:t>
            </w:r>
            <w:r w:rsidR="0037459B">
              <w:rPr>
                <w:rFonts w:asciiTheme="majorHAnsi" w:hAnsiTheme="majorHAnsi" w:cs="Arial"/>
                <w:b w:val="0"/>
                <w:sz w:val="20"/>
                <w:szCs w:val="20"/>
                <w:lang w:val="es-ES_tradnl"/>
              </w:rPr>
              <w:t xml:space="preserve"> </w:t>
            </w:r>
          </w:p>
          <w:p w14:paraId="3A5BAD29" w14:textId="77777777" w:rsidR="00360FBC" w:rsidRPr="00CC3A91" w:rsidRDefault="00360FBC" w:rsidP="00EF4061">
            <w:pPr>
              <w:rPr>
                <w:rFonts w:asciiTheme="majorHAnsi" w:hAnsiTheme="majorHAnsi" w:cs="Arial"/>
                <w:b w:val="0"/>
                <w:sz w:val="20"/>
                <w:szCs w:val="20"/>
                <w:lang w:val="es-ES_tradnl"/>
              </w:rPr>
            </w:pPr>
          </w:p>
          <w:p w14:paraId="6A0EC3F3" w14:textId="50DA98F4" w:rsidR="00360FBC" w:rsidRPr="00CC3A91" w:rsidRDefault="00360FBC" w:rsidP="008B26B4">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Profesionales (administradores de sitios Ramsar) y responsables de políticas</w:t>
            </w:r>
          </w:p>
        </w:tc>
        <w:tc>
          <w:tcPr>
            <w:tcW w:w="464" w:type="pct"/>
          </w:tcPr>
          <w:p w14:paraId="53803B1C" w14:textId="6B7EBB82" w:rsidR="00360FBC" w:rsidRPr="00CC3A91" w:rsidRDefault="004E6F6D" w:rsidP="004E6F6D">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No implica costo alguno para el </w:t>
            </w:r>
            <w:r w:rsidRPr="00CC3A91">
              <w:rPr>
                <w:rFonts w:asciiTheme="majorHAnsi" w:hAnsiTheme="majorHAnsi" w:cs="Arial"/>
                <w:b w:val="0"/>
                <w:sz w:val="20"/>
                <w:szCs w:val="20"/>
                <w:lang w:val="es-ES_tradnl"/>
              </w:rPr>
              <w:lastRenderedPageBreak/>
              <w:t xml:space="preserve">presupuesto del GECT; el informe ya está preparado y la Secretaría dispone del material informático necesario para el seminario web. </w:t>
            </w:r>
          </w:p>
        </w:tc>
      </w:tr>
    </w:tbl>
    <w:p w14:paraId="3A439CBE" w14:textId="77777777" w:rsidR="00EF4061" w:rsidRPr="00CC3A91" w:rsidRDefault="00EF4061" w:rsidP="00EF4061">
      <w:pPr>
        <w:rPr>
          <w:rFonts w:asciiTheme="majorHAnsi" w:hAnsiTheme="majorHAnsi" w:cs="Arial"/>
          <w:sz w:val="20"/>
          <w:szCs w:val="20"/>
          <w:lang w:val="es-ES_tradnl"/>
        </w:rPr>
      </w:pPr>
    </w:p>
    <w:tbl>
      <w:tblPr>
        <w:tblStyle w:val="TableGrid"/>
        <w:tblW w:w="5000" w:type="pct"/>
        <w:tblLook w:val="04A0" w:firstRow="1" w:lastRow="0" w:firstColumn="1" w:lastColumn="0" w:noHBand="0" w:noVBand="1"/>
      </w:tblPr>
      <w:tblGrid>
        <w:gridCol w:w="14174"/>
      </w:tblGrid>
      <w:tr w:rsidR="005C68E2" w:rsidRPr="00E81A45" w14:paraId="256C1135" w14:textId="77777777" w:rsidTr="005C68E2">
        <w:trPr>
          <w:trHeight w:val="271"/>
        </w:trPr>
        <w:tc>
          <w:tcPr>
            <w:tcW w:w="5000" w:type="pct"/>
            <w:shd w:val="clear" w:color="auto" w:fill="000000" w:themeFill="text1"/>
          </w:tcPr>
          <w:p w14:paraId="22189DD7" w14:textId="6B2637FD" w:rsidR="005C68E2" w:rsidRPr="00CC3A91" w:rsidRDefault="005C68E2" w:rsidP="005C68E2">
            <w:pPr>
              <w:rPr>
                <w:rFonts w:asciiTheme="majorHAnsi" w:hAnsiTheme="majorHAnsi" w:cs="Arial"/>
                <w:sz w:val="20"/>
                <w:szCs w:val="20"/>
                <w:lang w:val="es-ES_tradnl"/>
              </w:rPr>
            </w:pPr>
            <w:r w:rsidRPr="00CC3A91">
              <w:rPr>
                <w:rFonts w:asciiTheme="majorHAnsi" w:hAnsiTheme="majorHAnsi" w:cs="Arial"/>
                <w:sz w:val="20"/>
                <w:szCs w:val="20"/>
                <w:lang w:val="es-ES_tradnl"/>
              </w:rPr>
              <w:t>Área temática de trabajo 3:</w:t>
            </w:r>
            <w:r w:rsidR="00E96BD0" w:rsidRPr="00CC3A91">
              <w:rPr>
                <w:rFonts w:asciiTheme="majorHAnsi" w:hAnsiTheme="majorHAnsi" w:cs="Arial"/>
                <w:sz w:val="20"/>
                <w:szCs w:val="20"/>
                <w:lang w:val="es-ES_tradnl"/>
              </w:rPr>
              <w:t xml:space="preserve"> </w:t>
            </w:r>
            <w:r w:rsidRPr="00CC3A91">
              <w:rPr>
                <w:rFonts w:asciiTheme="majorHAnsi" w:hAnsiTheme="majorHAnsi" w:cs="Arial"/>
                <w:sz w:val="20"/>
                <w:szCs w:val="20"/>
                <w:lang w:val="es-ES_tradnl"/>
              </w:rPr>
              <w:t>Métodos para determinar los valores económicos y no económicos de los bienes y servicios de los humedales</w:t>
            </w:r>
          </w:p>
        </w:tc>
      </w:tr>
    </w:tbl>
    <w:p w14:paraId="3DDCD866" w14:textId="77777777" w:rsidR="005C68E2" w:rsidRPr="00CC3A91" w:rsidRDefault="005C68E2" w:rsidP="005C68E2">
      <w:pPr>
        <w:rPr>
          <w:rFonts w:asciiTheme="majorHAnsi" w:hAnsiTheme="majorHAnsi" w:cs="Arial"/>
          <w:sz w:val="20"/>
          <w:szCs w:val="20"/>
          <w:lang w:val="es-ES_tradnl"/>
        </w:rPr>
      </w:pPr>
    </w:p>
    <w:tbl>
      <w:tblPr>
        <w:tblStyle w:val="TableGrid2"/>
        <w:tblW w:w="5000" w:type="pct"/>
        <w:jc w:val="center"/>
        <w:tblLook w:val="04A0" w:firstRow="1" w:lastRow="0" w:firstColumn="1" w:lastColumn="0" w:noHBand="0" w:noVBand="1"/>
      </w:tblPr>
      <w:tblGrid>
        <w:gridCol w:w="3561"/>
        <w:gridCol w:w="10613"/>
      </w:tblGrid>
      <w:tr w:rsidR="005C68E2" w:rsidRPr="00E81A45" w14:paraId="56004E4C" w14:textId="77777777" w:rsidTr="005C68E2">
        <w:trPr>
          <w:jc w:val="center"/>
        </w:trPr>
        <w:tc>
          <w:tcPr>
            <w:tcW w:w="1256" w:type="pct"/>
          </w:tcPr>
          <w:p w14:paraId="5C669918" w14:textId="77777777" w:rsidR="005C68E2" w:rsidRPr="00CC3A91" w:rsidRDefault="005C68E2" w:rsidP="005C68E2">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Responsable(s) del grupo de trabajo y participantes: </w:t>
            </w:r>
          </w:p>
        </w:tc>
        <w:tc>
          <w:tcPr>
            <w:tcW w:w="3744" w:type="pct"/>
          </w:tcPr>
          <w:p w14:paraId="670C17F7" w14:textId="50D44C27" w:rsidR="005C68E2" w:rsidRPr="00CC3A91" w:rsidRDefault="005C68E2" w:rsidP="004E6F6D">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Channa Bambaradeniya, Ruth Cromie, Lars Dinesen, Siobhan Fennessy, Max Finlayson, Vincent V. Hilomen , Kassim Kulindwa, Ritesh Kumar (</w:t>
            </w:r>
            <w:r w:rsidR="004E6F6D" w:rsidRPr="00CC3A91">
              <w:rPr>
                <w:rFonts w:asciiTheme="majorHAnsi" w:eastAsia="Calibri" w:hAnsiTheme="majorHAnsi" w:cs="Arial"/>
                <w:b w:val="0"/>
                <w:sz w:val="20"/>
                <w:szCs w:val="20"/>
                <w:lang w:val="es-ES_tradnl"/>
              </w:rPr>
              <w:t>responsable</w:t>
            </w:r>
            <w:r w:rsidRPr="00CC3A91">
              <w:rPr>
                <w:rFonts w:asciiTheme="majorHAnsi" w:eastAsia="Calibri" w:hAnsiTheme="majorHAnsi" w:cs="Arial"/>
                <w:b w:val="0"/>
                <w:sz w:val="20"/>
                <w:szCs w:val="20"/>
                <w:lang w:val="es-ES_tradnl"/>
              </w:rPr>
              <w:t>),</w:t>
            </w:r>
            <w:r w:rsidR="0088725B" w:rsidRPr="00CC3A91">
              <w:rPr>
                <w:rFonts w:asciiTheme="majorHAnsi" w:eastAsia="Calibri" w:hAnsiTheme="majorHAnsi" w:cs="Arial"/>
                <w:b w:val="0"/>
                <w:sz w:val="20"/>
                <w:szCs w:val="20"/>
                <w:lang w:val="es-ES_tradnl"/>
              </w:rPr>
              <w:t xml:space="preserve"> </w:t>
            </w:r>
            <w:r w:rsidRPr="00CC3A91">
              <w:rPr>
                <w:rFonts w:asciiTheme="majorHAnsi" w:eastAsia="Calibri" w:hAnsiTheme="majorHAnsi" w:cs="Arial"/>
                <w:b w:val="0"/>
                <w:sz w:val="20"/>
                <w:szCs w:val="20"/>
                <w:lang w:val="es-ES_tradnl"/>
              </w:rPr>
              <w:t>Guangchun Lei, Laura Martinez, Dulce Infante Mata, Matt Walpole</w:t>
            </w:r>
          </w:p>
        </w:tc>
      </w:tr>
      <w:tr w:rsidR="005C68E2" w:rsidRPr="00E81A45" w14:paraId="65294141" w14:textId="77777777" w:rsidTr="005C68E2">
        <w:trPr>
          <w:jc w:val="center"/>
        </w:trPr>
        <w:tc>
          <w:tcPr>
            <w:tcW w:w="1256" w:type="pct"/>
          </w:tcPr>
          <w:p w14:paraId="64C8A534" w14:textId="77777777" w:rsidR="005C68E2" w:rsidRPr="00CC3A91" w:rsidRDefault="005C68E2" w:rsidP="005C68E2">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Organizaciones contribuyentes: [OIA/observadores/otros]</w:t>
            </w:r>
          </w:p>
        </w:tc>
        <w:tc>
          <w:tcPr>
            <w:tcW w:w="3744" w:type="pct"/>
          </w:tcPr>
          <w:p w14:paraId="0076B5CE" w14:textId="7C7D934D" w:rsidR="005C68E2" w:rsidRPr="00CC3A91" w:rsidRDefault="005C68E2" w:rsidP="006E601A">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 xml:space="preserve">BirdLife International (Zoltan Waliczky), </w:t>
            </w:r>
            <w:r w:rsidR="005B45C0" w:rsidRPr="00CC3A91">
              <w:rPr>
                <w:rFonts w:asciiTheme="majorHAnsi" w:eastAsia="Calibri" w:hAnsiTheme="majorHAnsi" w:cs="Arial"/>
                <w:b w:val="0"/>
                <w:sz w:val="20"/>
                <w:szCs w:val="20"/>
                <w:lang w:val="es-ES_tradnl"/>
              </w:rPr>
              <w:t>UICN</w:t>
            </w:r>
            <w:r w:rsidRPr="00CC3A91">
              <w:rPr>
                <w:rFonts w:asciiTheme="majorHAnsi" w:eastAsia="Calibri" w:hAnsiTheme="majorHAnsi" w:cs="Arial"/>
                <w:b w:val="0"/>
                <w:sz w:val="20"/>
                <w:szCs w:val="20"/>
                <w:lang w:val="es-ES_tradnl"/>
              </w:rPr>
              <w:t xml:space="preserve"> (Stefano Barchiesi), IWMI (Sanjiv De Silva), WI (Marcel Silvius), WWF International (Denis Landenbergue), WWT (Rob Shore)/ Tour Du Valat/</w:t>
            </w:r>
            <w:r w:rsidR="005B45C0" w:rsidRPr="00CC3A91">
              <w:rPr>
                <w:rFonts w:asciiTheme="majorHAnsi" w:eastAsia="Calibri" w:hAnsiTheme="majorHAnsi" w:cs="Arial"/>
                <w:b w:val="0"/>
                <w:sz w:val="20"/>
                <w:szCs w:val="20"/>
                <w:lang w:val="es-ES_tradnl"/>
              </w:rPr>
              <w:t xml:space="preserve">Observatorio de los humedales del Mediterráneo </w:t>
            </w:r>
            <w:r w:rsidRPr="00CC3A91">
              <w:rPr>
                <w:rFonts w:asciiTheme="majorHAnsi" w:eastAsia="Calibri" w:hAnsiTheme="majorHAnsi" w:cs="Arial"/>
                <w:b w:val="0"/>
                <w:sz w:val="20"/>
                <w:szCs w:val="20"/>
                <w:lang w:val="es-ES_tradnl"/>
              </w:rPr>
              <w:t xml:space="preserve">(Christian Perennou), SWS (Nick Davidson), </w:t>
            </w:r>
            <w:r w:rsidR="005B45C0" w:rsidRPr="00CC3A91">
              <w:rPr>
                <w:rFonts w:asciiTheme="majorHAnsi" w:eastAsia="Calibri" w:hAnsiTheme="majorHAnsi" w:cs="Arial"/>
                <w:b w:val="0"/>
                <w:sz w:val="20"/>
                <w:szCs w:val="20"/>
                <w:lang w:val="es-ES_tradnl"/>
              </w:rPr>
              <w:t>ONU-</w:t>
            </w:r>
            <w:r w:rsidRPr="00CC3A91">
              <w:rPr>
                <w:rFonts w:asciiTheme="majorHAnsi" w:eastAsia="Calibri" w:hAnsiTheme="majorHAnsi" w:cs="Arial"/>
                <w:b w:val="0"/>
                <w:sz w:val="20"/>
                <w:szCs w:val="20"/>
                <w:lang w:val="es-ES_tradnl"/>
              </w:rPr>
              <w:t xml:space="preserve">Habitat (Rob McInnes), UNESCO-IHE (Anne van Dam), UNESCO-MAB (Marie Prchalova), </w:t>
            </w:r>
            <w:r w:rsidR="005B45C0" w:rsidRPr="00CC3A91">
              <w:rPr>
                <w:rFonts w:asciiTheme="majorHAnsi" w:eastAsia="Calibri" w:hAnsiTheme="majorHAnsi" w:cs="Arial"/>
                <w:b w:val="0"/>
                <w:sz w:val="20"/>
                <w:szCs w:val="20"/>
                <w:lang w:val="es-ES_tradnl"/>
              </w:rPr>
              <w:t>Centro del Patrimonio Mundial</w:t>
            </w:r>
            <w:r w:rsidRPr="00CC3A91">
              <w:rPr>
                <w:rFonts w:asciiTheme="majorHAnsi" w:eastAsia="Calibri" w:hAnsiTheme="majorHAnsi" w:cs="Arial"/>
                <w:b w:val="0"/>
                <w:sz w:val="20"/>
                <w:szCs w:val="20"/>
                <w:lang w:val="es-ES_tradnl"/>
              </w:rPr>
              <w:t xml:space="preserve"> (Tim Badman)/ </w:t>
            </w:r>
            <w:r w:rsidR="00517D16" w:rsidRPr="00CC3A91">
              <w:rPr>
                <w:rFonts w:asciiTheme="majorHAnsi" w:eastAsia="Calibri" w:hAnsiTheme="majorHAnsi" w:cs="Arial"/>
                <w:b w:val="0"/>
                <w:sz w:val="20"/>
                <w:szCs w:val="20"/>
                <w:lang w:val="es-ES_tradnl"/>
              </w:rPr>
              <w:t>Coordinador Nacional del GECT para Malasia</w:t>
            </w:r>
            <w:r w:rsidRPr="00CC3A91">
              <w:rPr>
                <w:rFonts w:asciiTheme="majorHAnsi" w:eastAsia="Calibri" w:hAnsiTheme="majorHAnsi" w:cs="Arial"/>
                <w:b w:val="0"/>
                <w:sz w:val="20"/>
                <w:szCs w:val="20"/>
                <w:lang w:val="es-ES_tradnl"/>
              </w:rPr>
              <w:t xml:space="preserve"> (Abd Rahman Kassim), </w:t>
            </w:r>
          </w:p>
        </w:tc>
      </w:tr>
    </w:tbl>
    <w:p w14:paraId="7AB934E6" w14:textId="77777777" w:rsidR="005C68E2" w:rsidRPr="00CC3A91" w:rsidRDefault="005C68E2" w:rsidP="005C68E2">
      <w:pPr>
        <w:rPr>
          <w:rFonts w:asciiTheme="majorHAnsi" w:hAnsiTheme="majorHAnsi" w:cs="Arial"/>
          <w:sz w:val="20"/>
          <w:szCs w:val="20"/>
          <w:lang w:val="es-ES_tradnl"/>
        </w:rPr>
      </w:pPr>
    </w:p>
    <w:tbl>
      <w:tblPr>
        <w:tblStyle w:val="TableGrid"/>
        <w:tblW w:w="5037" w:type="pct"/>
        <w:tblInd w:w="-85" w:type="dxa"/>
        <w:tblLayout w:type="fixed"/>
        <w:tblCellMar>
          <w:top w:w="57" w:type="dxa"/>
          <w:left w:w="57" w:type="dxa"/>
          <w:bottom w:w="57" w:type="dxa"/>
          <w:right w:w="57" w:type="dxa"/>
        </w:tblCellMar>
        <w:tblLook w:val="04A0" w:firstRow="1" w:lastRow="0" w:firstColumn="1" w:lastColumn="0" w:noHBand="0" w:noVBand="1"/>
      </w:tblPr>
      <w:tblGrid>
        <w:gridCol w:w="1456"/>
        <w:gridCol w:w="953"/>
        <w:gridCol w:w="876"/>
        <w:gridCol w:w="1126"/>
        <w:gridCol w:w="8347"/>
        <w:gridCol w:w="1418"/>
      </w:tblGrid>
      <w:tr w:rsidR="00360FBC" w:rsidRPr="00CC3A91" w14:paraId="12BB1D8F" w14:textId="77777777" w:rsidTr="00360FBC">
        <w:tc>
          <w:tcPr>
            <w:tcW w:w="514" w:type="pct"/>
            <w:shd w:val="clear" w:color="auto" w:fill="D9D9D9" w:themeFill="background1" w:themeFillShade="D9"/>
          </w:tcPr>
          <w:p w14:paraId="6AE2A795" w14:textId="286103C0"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No. y título de la tarea</w:t>
            </w:r>
          </w:p>
        </w:tc>
        <w:tc>
          <w:tcPr>
            <w:tcW w:w="336" w:type="pct"/>
            <w:shd w:val="clear" w:color="auto" w:fill="D9D9D9" w:themeFill="background1" w:themeFillShade="D9"/>
          </w:tcPr>
          <w:p w14:paraId="1443EC3A" w14:textId="36B1B6DD"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Prioridad</w:t>
            </w:r>
          </w:p>
        </w:tc>
        <w:tc>
          <w:tcPr>
            <w:tcW w:w="309" w:type="pct"/>
            <w:shd w:val="clear" w:color="auto" w:fill="D9D9D9" w:themeFill="background1" w:themeFillShade="D9"/>
          </w:tcPr>
          <w:p w14:paraId="0CCA3288" w14:textId="3DED6A9D"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Res.</w:t>
            </w:r>
          </w:p>
        </w:tc>
        <w:tc>
          <w:tcPr>
            <w:tcW w:w="397" w:type="pct"/>
            <w:shd w:val="clear" w:color="auto" w:fill="D9D9D9" w:themeFill="background1" w:themeFillShade="D9"/>
          </w:tcPr>
          <w:p w14:paraId="44014D7E" w14:textId="5B101461" w:rsidR="00360FBC" w:rsidRPr="00CC3A91" w:rsidRDefault="00360FBC" w:rsidP="005C68E2">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2944" w:type="pct"/>
            <w:shd w:val="clear" w:color="auto" w:fill="D9D9D9" w:themeFill="background1" w:themeFillShade="D9"/>
          </w:tcPr>
          <w:p w14:paraId="0106BC8F" w14:textId="7888DA0E" w:rsidR="00360FBC" w:rsidRPr="00CC3A91" w:rsidRDefault="00360FBC" w:rsidP="00CC3A9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Descripción de la tarea, </w:t>
            </w:r>
            <w:r w:rsidR="00CC3A91" w:rsidRPr="00CC3A91">
              <w:rPr>
                <w:rFonts w:asciiTheme="majorHAnsi" w:hAnsiTheme="majorHAnsi" w:cs="Arial"/>
                <w:sz w:val="20"/>
                <w:szCs w:val="20"/>
                <w:lang w:val="es-ES_tradnl"/>
              </w:rPr>
              <w:t xml:space="preserve">productos esperados y grupos destinatarios </w:t>
            </w:r>
          </w:p>
        </w:tc>
        <w:tc>
          <w:tcPr>
            <w:tcW w:w="500" w:type="pct"/>
            <w:shd w:val="clear" w:color="auto" w:fill="D9D9D9" w:themeFill="background1" w:themeFillShade="D9"/>
          </w:tcPr>
          <w:p w14:paraId="6481011C" w14:textId="77777777" w:rsidR="00360FBC" w:rsidRPr="00CC3A91" w:rsidRDefault="00360FBC" w:rsidP="00360FB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Costo</w:t>
            </w:r>
          </w:p>
          <w:p w14:paraId="7A7C6EFF" w14:textId="44147A8B"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360FBC" w:rsidRPr="00E81A45" w14:paraId="12BECB30" w14:textId="77777777" w:rsidTr="00360FBC">
        <w:tc>
          <w:tcPr>
            <w:tcW w:w="514" w:type="pct"/>
          </w:tcPr>
          <w:p w14:paraId="2F69ABC6" w14:textId="26DA0F1F" w:rsidR="00360FBC" w:rsidRPr="00CC3A91" w:rsidRDefault="00360FBC" w:rsidP="004E6F6D">
            <w:pPr>
              <w:rPr>
                <w:rFonts w:asciiTheme="majorHAnsi" w:hAnsiTheme="majorHAnsi" w:cs="Arial"/>
                <w:b w:val="0"/>
                <w:sz w:val="20"/>
                <w:szCs w:val="20"/>
                <w:lang w:val="es-ES_tradnl"/>
              </w:rPr>
            </w:pPr>
            <w:r w:rsidRPr="00CC3A91">
              <w:rPr>
                <w:rFonts w:asciiTheme="majorHAnsi" w:eastAsiaTheme="minorHAnsi" w:hAnsiTheme="majorHAnsi" w:cs="Arial"/>
                <w:b w:val="0"/>
                <w:sz w:val="20"/>
                <w:szCs w:val="20"/>
                <w:lang w:val="es-ES_tradnl" w:eastAsia="en-US"/>
              </w:rPr>
              <w:t xml:space="preserve">3.1 </w:t>
            </w:r>
            <w:r w:rsidR="004E6F6D" w:rsidRPr="00CC3A91">
              <w:rPr>
                <w:rFonts w:asciiTheme="majorHAnsi" w:eastAsiaTheme="minorHAnsi" w:hAnsiTheme="majorHAnsi" w:cs="Arial"/>
                <w:b w:val="0"/>
                <w:sz w:val="20"/>
                <w:szCs w:val="20"/>
                <w:lang w:val="es-ES_tradnl" w:eastAsia="en-US"/>
              </w:rPr>
              <w:t>Nota sobre políticas, con Anexo, relativa a la e</w:t>
            </w:r>
            <w:r w:rsidRPr="00CC3A91">
              <w:rPr>
                <w:rFonts w:asciiTheme="majorHAnsi" w:eastAsiaTheme="minorHAnsi" w:hAnsiTheme="majorHAnsi" w:cs="Arial"/>
                <w:b w:val="0"/>
                <w:sz w:val="20"/>
                <w:szCs w:val="20"/>
                <w:lang w:val="es-ES_tradnl" w:eastAsia="en-US"/>
              </w:rPr>
              <w:t>valuación y valoración de los servicios de l</w:t>
            </w:r>
            <w:r w:rsidR="004E6F6D" w:rsidRPr="00CC3A91">
              <w:rPr>
                <w:rFonts w:asciiTheme="majorHAnsi" w:eastAsiaTheme="minorHAnsi" w:hAnsiTheme="majorHAnsi" w:cs="Arial"/>
                <w:b w:val="0"/>
                <w:sz w:val="20"/>
                <w:szCs w:val="20"/>
                <w:lang w:val="es-ES_tradnl" w:eastAsia="en-US"/>
              </w:rPr>
              <w:t>os ecosistemas de los humedales</w:t>
            </w:r>
          </w:p>
        </w:tc>
        <w:tc>
          <w:tcPr>
            <w:tcW w:w="336" w:type="pct"/>
          </w:tcPr>
          <w:p w14:paraId="03EFA6F2"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309" w:type="pct"/>
          </w:tcPr>
          <w:p w14:paraId="1BE4477E"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XII.13,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27; XII.15</w:t>
            </w:r>
          </w:p>
          <w:p w14:paraId="1F975B62" w14:textId="77777777" w:rsidR="00360FBC" w:rsidRPr="00CC3A91" w:rsidRDefault="00360FBC" w:rsidP="005C68E2">
            <w:pPr>
              <w:rPr>
                <w:rFonts w:asciiTheme="majorHAnsi" w:hAnsiTheme="majorHAnsi" w:cs="Arial"/>
                <w:b w:val="0"/>
                <w:sz w:val="20"/>
                <w:szCs w:val="20"/>
                <w:lang w:val="es-ES_tradnl"/>
              </w:rPr>
            </w:pPr>
          </w:p>
        </w:tc>
        <w:tc>
          <w:tcPr>
            <w:tcW w:w="397" w:type="pct"/>
          </w:tcPr>
          <w:p w14:paraId="0C99715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eastAsia="Calibri" w:hAnsiTheme="majorHAnsi" w:cs="Arial"/>
                <w:b w:val="0"/>
                <w:bCs/>
                <w:sz w:val="20"/>
                <w:szCs w:val="20"/>
                <w:lang w:val="es-ES_tradnl"/>
              </w:rPr>
              <w:t xml:space="preserve">1.1, 1.3; 3.8, 3.9, 3.10, 3.11, 3.12; 4.14 </w:t>
            </w:r>
          </w:p>
        </w:tc>
        <w:tc>
          <w:tcPr>
            <w:tcW w:w="2944" w:type="pct"/>
          </w:tcPr>
          <w:p w14:paraId="759D7C3A" w14:textId="1184860A"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Informar a los</w:t>
            </w:r>
            <w:r w:rsidR="004E6F6D"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xml:space="preserve">responsables de políticas, mediante una Nota sobre políticas, </w:t>
            </w:r>
            <w:r w:rsidR="004E6F6D" w:rsidRPr="00CC3A91">
              <w:rPr>
                <w:rFonts w:asciiTheme="majorHAnsi" w:hAnsiTheme="majorHAnsi" w:cs="Arial"/>
                <w:b w:val="0"/>
                <w:sz w:val="20"/>
                <w:szCs w:val="20"/>
                <w:lang w:val="es-ES_tradnl"/>
              </w:rPr>
              <w:t>de</w:t>
            </w:r>
            <w:r w:rsidRPr="00CC3A91">
              <w:rPr>
                <w:rFonts w:asciiTheme="majorHAnsi" w:hAnsiTheme="majorHAnsi" w:cs="Arial"/>
                <w:b w:val="0"/>
                <w:sz w:val="20"/>
                <w:szCs w:val="20"/>
                <w:lang w:val="es-ES_tradnl"/>
              </w:rPr>
              <w:t xml:space="preserve"> las metodologías más actuales para reconocer, evaluar y aplicar los múltiples valores de los humedales para su manejo integrado.</w:t>
            </w:r>
            <w:r w:rsidR="00E263EE"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xml:space="preserve">El </w:t>
            </w:r>
            <w:r w:rsidR="00E263EE" w:rsidRPr="00CC3A91">
              <w:rPr>
                <w:rFonts w:asciiTheme="majorHAnsi" w:hAnsiTheme="majorHAnsi" w:cs="Arial"/>
                <w:b w:val="0"/>
                <w:sz w:val="20"/>
                <w:szCs w:val="20"/>
                <w:lang w:val="es-ES_tradnl"/>
              </w:rPr>
              <w:t>ámbito</w:t>
            </w:r>
            <w:r w:rsidRPr="00CC3A91">
              <w:rPr>
                <w:rFonts w:asciiTheme="majorHAnsi" w:hAnsiTheme="majorHAnsi" w:cs="Arial"/>
                <w:b w:val="0"/>
                <w:sz w:val="20"/>
                <w:szCs w:val="20"/>
                <w:lang w:val="es-ES_tradnl"/>
              </w:rPr>
              <w:t xml:space="preserve"> de la Nota sobre políticas debe incluir: el argumento a favor de integrar los múltiples valores y uso racional de los humedales,</w:t>
            </w:r>
            <w:r w:rsidR="00E263EE"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 xml:space="preserve">la utilización de los múltiples valores en el proceso de toma de decisiones sectoriales, la integración de los conocimientos indígenas y locales en la valoración, </w:t>
            </w:r>
            <w:r w:rsidR="00E263EE" w:rsidRPr="00CC3A91">
              <w:rPr>
                <w:rFonts w:asciiTheme="majorHAnsi" w:hAnsiTheme="majorHAnsi" w:cs="Arial"/>
                <w:b w:val="0"/>
                <w:sz w:val="20"/>
                <w:szCs w:val="20"/>
                <w:lang w:val="es-ES_tradnl"/>
              </w:rPr>
              <w:t xml:space="preserve">y </w:t>
            </w:r>
            <w:r w:rsidRPr="00CC3A91">
              <w:rPr>
                <w:rFonts w:asciiTheme="majorHAnsi" w:hAnsiTheme="majorHAnsi" w:cs="Arial"/>
                <w:b w:val="0"/>
                <w:sz w:val="20"/>
                <w:szCs w:val="20"/>
                <w:lang w:val="es-ES_tradnl"/>
              </w:rPr>
              <w:t xml:space="preserve">el uso de los valores para apoyar el manejo integrado de los humedales. La Nota sobre políticas tendría un anexo con un protocolo para evaluar los múltiples valores de los humedales, que consistiría en una adaptación de la orientación existente (de 5 pasos) de la IPBES sobre la evaluación de los múltiples valores de la naturaleza. (Esta guía de los </w:t>
            </w:r>
            <w:r w:rsidRPr="00CC3A91">
              <w:rPr>
                <w:rFonts w:asciiTheme="majorHAnsi" w:hAnsiTheme="majorHAnsi" w:cs="Arial"/>
                <w:b w:val="0"/>
                <w:sz w:val="20"/>
                <w:szCs w:val="20"/>
                <w:lang w:val="es-ES_tradnl"/>
              </w:rPr>
              <w:lastRenderedPageBreak/>
              <w:t xml:space="preserve">5 pasos es el resultado del producto 3(d) de la IPBES: </w:t>
            </w:r>
            <w:r w:rsidRPr="00CC3A91">
              <w:rPr>
                <w:rFonts w:asciiTheme="majorHAnsi" w:hAnsiTheme="majorHAnsi" w:cs="Arial"/>
                <w:b w:val="0"/>
                <w:color w:val="222222"/>
                <w:sz w:val="20"/>
                <w:szCs w:val="20"/>
                <w:shd w:val="clear" w:color="auto" w:fill="FFFFFF"/>
                <w:lang w:val="es-ES_tradnl"/>
              </w:rPr>
              <w:t xml:space="preserve">Conceptualización diversa de los múltiples valores de la naturaleza y sus beneficios, incluyendo la diversidad biológica y las funciones y servicios del ecosistema; está disponible en línea como Anexo 2 del documento de trabajo para la Cuarta Sesión Plenaria). </w:t>
            </w:r>
          </w:p>
          <w:p w14:paraId="35B3BFAC" w14:textId="77777777" w:rsidR="00360FBC" w:rsidRPr="00CC3A91" w:rsidRDefault="00360FBC" w:rsidP="005C68E2">
            <w:pPr>
              <w:ind w:left="720" w:hanging="720"/>
              <w:rPr>
                <w:rFonts w:asciiTheme="majorHAnsi" w:hAnsiTheme="majorHAnsi" w:cs="Arial"/>
                <w:b w:val="0"/>
                <w:sz w:val="20"/>
                <w:szCs w:val="20"/>
                <w:u w:val="single"/>
                <w:lang w:val="es-ES_tradnl"/>
              </w:rPr>
            </w:pPr>
          </w:p>
          <w:p w14:paraId="4BCCF40A"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Nota sobre políticas relativa al reconocimiento, evaluación y aplicación de los múltiples valores de los humedales para el manejo integrado de los humedales, con protocolo anexo. </w:t>
            </w:r>
          </w:p>
          <w:p w14:paraId="10BAF336"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 </w:t>
            </w:r>
          </w:p>
          <w:p w14:paraId="6F110E58" w14:textId="50780C80" w:rsidR="00360FBC" w:rsidRPr="00CC3A91" w:rsidRDefault="00360FBC" w:rsidP="00E263EE">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Responsables de políticas (Nota sobre políticas) y profesionales (protocolo anexo)</w:t>
            </w:r>
          </w:p>
        </w:tc>
        <w:tc>
          <w:tcPr>
            <w:tcW w:w="500" w:type="pct"/>
          </w:tcPr>
          <w:p w14:paraId="7C603ADB" w14:textId="03CFEE79" w:rsidR="00360FBC" w:rsidRPr="00CC3A91" w:rsidRDefault="00360FBC" w:rsidP="00E263EE">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Hasta 25.300 [9.000 para los costos de maquetación, diseño, revisión, traducción y publicación</w:t>
            </w:r>
            <w:r w:rsidRPr="00CC3A91">
              <w:rPr>
                <w:rFonts w:asciiTheme="majorHAnsi" w:hAnsiTheme="majorHAnsi" w:cs="Tahoma"/>
                <w:b w:val="0"/>
                <w:color w:val="000000"/>
                <w:sz w:val="20"/>
                <w:szCs w:val="20"/>
                <w:shd w:val="clear" w:color="auto" w:fill="FFFFFF"/>
                <w:lang w:val="es-ES_tradnl"/>
              </w:rPr>
              <w:t xml:space="preserve">; 6.300 para </w:t>
            </w:r>
            <w:r w:rsidR="00E263EE" w:rsidRPr="00CC3A91">
              <w:rPr>
                <w:rFonts w:asciiTheme="majorHAnsi" w:hAnsiTheme="majorHAnsi" w:cs="Tahoma"/>
                <w:b w:val="0"/>
                <w:color w:val="000000"/>
                <w:sz w:val="20"/>
                <w:szCs w:val="20"/>
                <w:shd w:val="clear" w:color="auto" w:fill="FFFFFF"/>
                <w:lang w:val="es-ES_tradnl"/>
              </w:rPr>
              <w:t xml:space="preserve">el </w:t>
            </w:r>
            <w:r w:rsidR="00E263EE" w:rsidRPr="00CC3A91">
              <w:rPr>
                <w:rFonts w:asciiTheme="majorHAnsi" w:hAnsiTheme="majorHAnsi" w:cs="Tahoma"/>
                <w:b w:val="0"/>
                <w:color w:val="000000"/>
                <w:sz w:val="20"/>
                <w:szCs w:val="20"/>
                <w:shd w:val="clear" w:color="auto" w:fill="FFFFFF"/>
                <w:lang w:val="es-ES_tradnl"/>
              </w:rPr>
              <w:lastRenderedPageBreak/>
              <w:t>consultor</w:t>
            </w:r>
            <w:r w:rsidRPr="00CC3A91">
              <w:rPr>
                <w:rFonts w:asciiTheme="majorHAnsi" w:hAnsiTheme="majorHAnsi" w:cs="Tahoma"/>
                <w:b w:val="0"/>
                <w:color w:val="000000"/>
                <w:sz w:val="20"/>
                <w:szCs w:val="20"/>
                <w:shd w:val="clear" w:color="auto" w:fill="FFFFFF"/>
                <w:lang w:val="es-ES_tradnl"/>
              </w:rPr>
              <w:t>;</w:t>
            </w:r>
            <w:r w:rsidR="00E263EE" w:rsidRPr="00CC3A91">
              <w:rPr>
                <w:rFonts w:asciiTheme="majorHAnsi" w:hAnsiTheme="majorHAnsi" w:cs="Tahoma"/>
                <w:b w:val="0"/>
                <w:color w:val="000000"/>
                <w:sz w:val="20"/>
                <w:szCs w:val="20"/>
                <w:shd w:val="clear" w:color="auto" w:fill="FFFFFF"/>
                <w:lang w:val="es-ES_tradnl"/>
              </w:rPr>
              <w:t xml:space="preserve"> </w:t>
            </w:r>
            <w:r w:rsidRPr="00CC3A91">
              <w:rPr>
                <w:rFonts w:asciiTheme="majorHAnsi" w:hAnsiTheme="majorHAnsi" w:cs="Tahoma"/>
                <w:b w:val="0"/>
                <w:color w:val="000000"/>
                <w:sz w:val="20"/>
                <w:szCs w:val="20"/>
                <w:shd w:val="clear" w:color="auto" w:fill="FFFFFF"/>
                <w:lang w:val="es-ES_tradnl"/>
              </w:rPr>
              <w:t xml:space="preserve">y 10.000 para un taller </w:t>
            </w:r>
            <w:r w:rsidR="00E263EE" w:rsidRPr="00CC3A91">
              <w:rPr>
                <w:rFonts w:asciiTheme="majorHAnsi" w:hAnsiTheme="majorHAnsi" w:cs="Tahoma"/>
                <w:b w:val="0"/>
                <w:color w:val="000000"/>
                <w:sz w:val="20"/>
                <w:szCs w:val="20"/>
                <w:shd w:val="clear" w:color="auto" w:fill="FFFFFF"/>
                <w:lang w:val="es-ES_tradnl"/>
              </w:rPr>
              <w:t>de escritura para seis personas</w:t>
            </w:r>
            <w:r w:rsidRPr="00CC3A91">
              <w:rPr>
                <w:rFonts w:asciiTheme="majorHAnsi" w:hAnsiTheme="majorHAnsi" w:cs="Arial"/>
                <w:b w:val="0"/>
                <w:sz w:val="20"/>
                <w:szCs w:val="20"/>
                <w:lang w:val="es-ES_tradnl"/>
              </w:rPr>
              <w:t xml:space="preserve">] </w:t>
            </w:r>
          </w:p>
        </w:tc>
      </w:tr>
      <w:tr w:rsidR="00360FBC" w:rsidRPr="00CC3A91" w14:paraId="25BFD641" w14:textId="77777777" w:rsidTr="00360FBC">
        <w:tc>
          <w:tcPr>
            <w:tcW w:w="514" w:type="pct"/>
          </w:tcPr>
          <w:p w14:paraId="3C85AC02" w14:textId="1CE3CF5A"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3.2 </w:t>
            </w:r>
            <w:r w:rsidRPr="00CC3A91">
              <w:rPr>
                <w:rFonts w:asciiTheme="majorHAnsi" w:eastAsiaTheme="minorHAnsi" w:hAnsiTheme="majorHAnsi" w:cs="Arial"/>
                <w:b w:val="0"/>
                <w:sz w:val="20"/>
                <w:szCs w:val="20"/>
                <w:lang w:val="es-ES_tradnl" w:eastAsia="en-US"/>
              </w:rPr>
              <w:t>Protocolo para la evaluación de los múltip</w:t>
            </w:r>
            <w:r w:rsidR="00E263EE" w:rsidRPr="00CC3A91">
              <w:rPr>
                <w:rFonts w:asciiTheme="majorHAnsi" w:eastAsiaTheme="minorHAnsi" w:hAnsiTheme="majorHAnsi" w:cs="Arial"/>
                <w:b w:val="0"/>
                <w:sz w:val="20"/>
                <w:szCs w:val="20"/>
                <w:lang w:val="es-ES_tradnl" w:eastAsia="en-US"/>
              </w:rPr>
              <w:t>les valores de los humedales – j</w:t>
            </w:r>
            <w:r w:rsidRPr="00CC3A91">
              <w:rPr>
                <w:rFonts w:asciiTheme="majorHAnsi" w:eastAsiaTheme="minorHAnsi" w:hAnsiTheme="majorHAnsi" w:cs="Arial"/>
                <w:b w:val="0"/>
                <w:sz w:val="20"/>
                <w:szCs w:val="20"/>
                <w:lang w:val="es-ES_tradnl" w:eastAsia="en-US"/>
              </w:rPr>
              <w:t xml:space="preserve">uego de herramientas </w:t>
            </w:r>
          </w:p>
        </w:tc>
        <w:tc>
          <w:tcPr>
            <w:tcW w:w="336" w:type="pct"/>
          </w:tcPr>
          <w:p w14:paraId="6F248BB6"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309" w:type="pct"/>
          </w:tcPr>
          <w:p w14:paraId="6810ADCA"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XII.13,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27; XII.15,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21</w:t>
            </w:r>
          </w:p>
          <w:p w14:paraId="62E81524" w14:textId="77777777" w:rsidR="00360FBC" w:rsidRPr="00CC3A91" w:rsidRDefault="00360FBC" w:rsidP="005C68E2">
            <w:pPr>
              <w:rPr>
                <w:rFonts w:asciiTheme="majorHAnsi" w:hAnsiTheme="majorHAnsi" w:cs="Arial"/>
                <w:b w:val="0"/>
                <w:sz w:val="20"/>
                <w:szCs w:val="20"/>
                <w:lang w:val="es-ES_tradnl"/>
              </w:rPr>
            </w:pPr>
          </w:p>
        </w:tc>
        <w:tc>
          <w:tcPr>
            <w:tcW w:w="397" w:type="pct"/>
          </w:tcPr>
          <w:p w14:paraId="7C80027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eastAsia="Calibri" w:hAnsiTheme="majorHAnsi" w:cs="Arial"/>
                <w:b w:val="0"/>
                <w:bCs/>
                <w:sz w:val="20"/>
                <w:szCs w:val="20"/>
                <w:lang w:val="es-ES_tradnl"/>
              </w:rPr>
              <w:t xml:space="preserve">1.1, 1.3; 3.8, 3.9, 3.10, 3.11, 3.12; 4.14 </w:t>
            </w:r>
          </w:p>
        </w:tc>
        <w:tc>
          <w:tcPr>
            <w:tcW w:w="2944" w:type="pct"/>
          </w:tcPr>
          <w:p w14:paraId="55EB306C" w14:textId="6A96741A"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Transformación del protocolo metodológico creado como anexo por la tarea 3.1 en un juego de herramientas para ayudar a los profesionales de los humedales a aplicar los 5 pasos. Para cada uno de los 5 pasos incluidos en el protocolo sobre múltiples valores, se facilitarán orientaciones sobre las herramientas, métodos y casos de estudio para ayudar en la aplicación</w:t>
            </w:r>
            <w:r w:rsidR="00E263EE" w:rsidRPr="00CC3A91">
              <w:rPr>
                <w:rFonts w:asciiTheme="majorHAnsi" w:hAnsiTheme="majorHAnsi" w:cs="Arial"/>
                <w:b w:val="0"/>
                <w:sz w:val="20"/>
                <w:szCs w:val="20"/>
                <w:lang w:val="es-ES_tradnl"/>
              </w:rPr>
              <w:t xml:space="preserve"> de los mismos</w:t>
            </w:r>
            <w:r w:rsidRPr="00CC3A91">
              <w:rPr>
                <w:rFonts w:asciiTheme="majorHAnsi" w:hAnsiTheme="majorHAnsi" w:cs="Arial"/>
                <w:b w:val="0"/>
                <w:sz w:val="20"/>
                <w:szCs w:val="20"/>
                <w:lang w:val="es-ES_tradnl"/>
              </w:rPr>
              <w:t xml:space="preserve">. </w:t>
            </w:r>
          </w:p>
          <w:p w14:paraId="3AAD8B0F" w14:textId="77777777" w:rsidR="00360FBC" w:rsidRPr="00CC3A91" w:rsidRDefault="00360FBC" w:rsidP="005C68E2">
            <w:pPr>
              <w:rPr>
                <w:rFonts w:asciiTheme="majorHAnsi" w:hAnsiTheme="majorHAnsi" w:cs="Arial"/>
                <w:b w:val="0"/>
                <w:sz w:val="20"/>
                <w:szCs w:val="20"/>
                <w:lang w:val="es-ES_tradnl"/>
              </w:rPr>
            </w:pPr>
          </w:p>
          <w:p w14:paraId="2EBC808A" w14:textId="6F967AE9"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El juego de herramientas formará parte del conjunto de herramientas para el manejo de los humedales propuesto en el Área Temática de Trabajo 2 (arriba) (tarea 2.1). </w:t>
            </w:r>
          </w:p>
          <w:p w14:paraId="109BE98E" w14:textId="77777777" w:rsidR="00360FBC" w:rsidRPr="00CC3A91" w:rsidRDefault="00360FBC" w:rsidP="005C68E2">
            <w:pPr>
              <w:rPr>
                <w:rFonts w:asciiTheme="majorHAnsi" w:hAnsiTheme="majorHAnsi" w:cs="Arial"/>
                <w:b w:val="0"/>
                <w:sz w:val="20"/>
                <w:szCs w:val="20"/>
                <w:lang w:val="es-ES_tradnl"/>
              </w:rPr>
            </w:pPr>
          </w:p>
          <w:p w14:paraId="485BA1A3" w14:textId="16E0C2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w:t>
            </w:r>
            <w:r w:rsidR="00E263EE" w:rsidRPr="00CC3A91">
              <w:rPr>
                <w:rFonts w:asciiTheme="majorHAnsi" w:hAnsiTheme="majorHAnsi" w:cs="Arial"/>
                <w:b w:val="0"/>
                <w:sz w:val="20"/>
                <w:szCs w:val="20"/>
                <w:lang w:val="es-ES_tradnl"/>
              </w:rPr>
              <w:t xml:space="preserve">Informe Técnico de </w:t>
            </w:r>
            <w:r w:rsidRPr="00CC3A91">
              <w:rPr>
                <w:rFonts w:asciiTheme="majorHAnsi" w:hAnsiTheme="majorHAnsi" w:cs="Arial"/>
                <w:b w:val="0"/>
                <w:sz w:val="20"/>
                <w:szCs w:val="20"/>
                <w:lang w:val="es-ES_tradnl"/>
              </w:rPr>
              <w:t xml:space="preserve">Ramsar y juego de herramientas para la evaluación de los múltiples valores de los humedales y su aplicación al manejo integrado </w:t>
            </w:r>
          </w:p>
          <w:p w14:paraId="7E54B4C4" w14:textId="77777777" w:rsidR="00360FBC" w:rsidRPr="00CC3A91" w:rsidRDefault="00360FBC" w:rsidP="005C68E2">
            <w:pPr>
              <w:rPr>
                <w:rFonts w:asciiTheme="majorHAnsi" w:hAnsiTheme="majorHAnsi" w:cs="Arial"/>
                <w:b w:val="0"/>
                <w:sz w:val="20"/>
                <w:szCs w:val="20"/>
                <w:lang w:val="es-ES_tradnl"/>
              </w:rPr>
            </w:pPr>
          </w:p>
          <w:p w14:paraId="12A7B92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Profesionales (administradores de humedales)</w:t>
            </w:r>
          </w:p>
        </w:tc>
        <w:tc>
          <w:tcPr>
            <w:tcW w:w="500" w:type="pct"/>
          </w:tcPr>
          <w:p w14:paraId="47767052" w14:textId="4CD4D281"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33.500</w:t>
            </w:r>
          </w:p>
        </w:tc>
      </w:tr>
      <w:tr w:rsidR="00360FBC" w:rsidRPr="00CC3A91" w14:paraId="33A9B6AE" w14:textId="77777777" w:rsidTr="00360FBC">
        <w:tc>
          <w:tcPr>
            <w:tcW w:w="514" w:type="pct"/>
          </w:tcPr>
          <w:p w14:paraId="4B8B34A2"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3.3 </w:t>
            </w:r>
            <w:r w:rsidRPr="00CC3A91">
              <w:rPr>
                <w:rFonts w:ascii="Calibri" w:hAnsi="Calibri"/>
                <w:b w:val="0"/>
                <w:bCs/>
                <w:sz w:val="20"/>
                <w:szCs w:val="20"/>
                <w:lang w:val="es-ES_tradnl"/>
              </w:rPr>
              <w:t>L</w:t>
            </w:r>
            <w:r w:rsidRPr="00CC3A91">
              <w:rPr>
                <w:rFonts w:asciiTheme="majorHAnsi" w:hAnsiTheme="majorHAnsi" w:cs="Arial"/>
                <w:b w:val="0"/>
                <w:sz w:val="20"/>
                <w:szCs w:val="20"/>
                <w:lang w:val="es-ES_tradnl"/>
              </w:rPr>
              <w:t xml:space="preserve">os ecosistemas de los humedales para la reducción del riesgo de desastres </w:t>
            </w:r>
          </w:p>
        </w:tc>
        <w:tc>
          <w:tcPr>
            <w:tcW w:w="336" w:type="pct"/>
          </w:tcPr>
          <w:p w14:paraId="366F0D7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Alta </w:t>
            </w:r>
          </w:p>
        </w:tc>
        <w:tc>
          <w:tcPr>
            <w:tcW w:w="309" w:type="pct"/>
          </w:tcPr>
          <w:p w14:paraId="5D641CD7" w14:textId="77777777" w:rsidR="00360FBC" w:rsidRPr="00CC3A91" w:rsidRDefault="00360FBC" w:rsidP="005C68E2">
            <w:pPr>
              <w:rPr>
                <w:rFonts w:asciiTheme="majorHAnsi" w:hAnsiTheme="majorHAnsi" w:cs="Arial"/>
                <w:b w:val="0"/>
                <w:sz w:val="20"/>
                <w:szCs w:val="20"/>
                <w:lang w:val="es-ES_tradnl"/>
              </w:rPr>
            </w:pPr>
            <w:r w:rsidRPr="00CC3A91">
              <w:rPr>
                <w:rFonts w:ascii="Calibri" w:hAnsi="Calibri"/>
                <w:b w:val="0"/>
                <w:bCs/>
                <w:sz w:val="20"/>
                <w:szCs w:val="20"/>
                <w:lang w:val="es-ES_tradnl"/>
              </w:rPr>
              <w:t>XII.13, ¶¶25, 30</w:t>
            </w:r>
          </w:p>
        </w:tc>
        <w:tc>
          <w:tcPr>
            <w:tcW w:w="397" w:type="pct"/>
          </w:tcPr>
          <w:p w14:paraId="64B34E0D" w14:textId="77777777" w:rsidR="00360FBC" w:rsidRPr="00CC3A91" w:rsidDel="00105E16" w:rsidRDefault="00360FBC" w:rsidP="005C68E2">
            <w:pPr>
              <w:rPr>
                <w:rFonts w:asciiTheme="majorHAnsi" w:hAnsiTheme="majorHAnsi" w:cs="Arial"/>
                <w:b w:val="0"/>
                <w:sz w:val="20"/>
                <w:szCs w:val="20"/>
                <w:lang w:val="es-ES_tradnl"/>
              </w:rPr>
            </w:pPr>
            <w:r w:rsidRPr="00CC3A91">
              <w:rPr>
                <w:rFonts w:asciiTheme="majorHAnsi" w:eastAsia="Calibri" w:hAnsiTheme="majorHAnsi" w:cs="Arial"/>
                <w:b w:val="0"/>
                <w:bCs/>
                <w:sz w:val="20"/>
                <w:szCs w:val="20"/>
                <w:lang w:val="es-ES_tradnl"/>
              </w:rPr>
              <w:t>1.1, 1.3; 3.8, 3.9, 3.11, 3.12; 4.14</w:t>
            </w:r>
          </w:p>
        </w:tc>
        <w:tc>
          <w:tcPr>
            <w:tcW w:w="2944" w:type="pct"/>
          </w:tcPr>
          <w:p w14:paraId="4DC642C8" w14:textId="0B915D0C" w:rsidR="00360FBC" w:rsidRPr="00CC3A91" w:rsidRDefault="00360FBC" w:rsidP="005C68E2">
            <w:pPr>
              <w:ind w:left="34"/>
              <w:rPr>
                <w:rFonts w:ascii="Calibri" w:hAnsi="Calibri"/>
                <w:b w:val="0"/>
                <w:bCs/>
                <w:sz w:val="20"/>
                <w:szCs w:val="20"/>
                <w:lang w:val="es-ES_tradnl"/>
              </w:rPr>
            </w:pPr>
            <w:r w:rsidRPr="00CC3A91">
              <w:rPr>
                <w:rFonts w:ascii="Calibri" w:hAnsi="Calibri"/>
                <w:b w:val="0"/>
                <w:bCs/>
                <w:sz w:val="20"/>
                <w:szCs w:val="20"/>
                <w:u w:val="single"/>
                <w:lang w:val="es-ES_tradnl"/>
              </w:rPr>
              <w:t>Descripción de la tarea</w:t>
            </w:r>
            <w:r w:rsidRPr="00CC3A91">
              <w:rPr>
                <w:rFonts w:ascii="Calibri" w:hAnsi="Calibri"/>
                <w:b w:val="0"/>
                <w:bCs/>
                <w:sz w:val="20"/>
                <w:szCs w:val="20"/>
                <w:lang w:val="es-ES_tradnl"/>
              </w:rPr>
              <w:t xml:space="preserve">: Proporcionar una visión de conjunto de los conocimientos actuales relativos al papel de los servicios de los ecosistemas de los humedales en la reducción del riesgo de desastres, </w:t>
            </w:r>
            <w:r w:rsidR="00E263EE" w:rsidRPr="00CC3A91">
              <w:rPr>
                <w:rFonts w:ascii="Calibri" w:hAnsi="Calibri"/>
                <w:b w:val="0"/>
                <w:bCs/>
                <w:sz w:val="20"/>
                <w:szCs w:val="20"/>
                <w:lang w:val="es-ES_tradnl"/>
              </w:rPr>
              <w:t xml:space="preserve">las </w:t>
            </w:r>
            <w:r w:rsidRPr="00CC3A91">
              <w:rPr>
                <w:rFonts w:ascii="Calibri" w:hAnsi="Calibri"/>
                <w:b w:val="0"/>
                <w:bCs/>
                <w:sz w:val="20"/>
                <w:szCs w:val="20"/>
                <w:lang w:val="es-ES_tradnl"/>
              </w:rPr>
              <w:t xml:space="preserve">oportunidades y buenas prácticas para la integración de la conservación y uso racional de los humedales, y la reducción del riesgo de desastres, y ofrecer opciones que </w:t>
            </w:r>
            <w:r w:rsidR="00E263EE" w:rsidRPr="00CC3A91">
              <w:rPr>
                <w:rFonts w:ascii="Calibri" w:hAnsi="Calibri"/>
                <w:b w:val="0"/>
                <w:bCs/>
                <w:sz w:val="20"/>
                <w:szCs w:val="20"/>
                <w:lang w:val="es-ES_tradnl"/>
              </w:rPr>
              <w:t xml:space="preserve">puedan servir a </w:t>
            </w:r>
            <w:r w:rsidRPr="00CC3A91">
              <w:rPr>
                <w:rFonts w:ascii="Calibri" w:hAnsi="Calibri"/>
                <w:b w:val="0"/>
                <w:bCs/>
                <w:sz w:val="20"/>
                <w:szCs w:val="20"/>
                <w:lang w:val="es-ES_tradnl"/>
              </w:rPr>
              <w:t xml:space="preserve">los responsables de políticas de ambos sectores (reducción del riesgo de desastres y manejo de los humedales) para acciones conjuntas. </w:t>
            </w:r>
          </w:p>
          <w:p w14:paraId="49FCC860" w14:textId="77777777" w:rsidR="00360FBC" w:rsidRPr="00CC3A91" w:rsidRDefault="00360FBC" w:rsidP="005C68E2">
            <w:pPr>
              <w:rPr>
                <w:rFonts w:ascii="Calibri" w:hAnsi="Calibri"/>
                <w:b w:val="0"/>
                <w:bCs/>
                <w:sz w:val="20"/>
                <w:szCs w:val="20"/>
                <w:u w:val="single"/>
                <w:lang w:val="es-ES_tradnl"/>
              </w:rPr>
            </w:pPr>
          </w:p>
          <w:p w14:paraId="019FDCED" w14:textId="77777777" w:rsidR="00360FBC" w:rsidRPr="00CC3A91" w:rsidRDefault="00360FBC" w:rsidP="005C68E2">
            <w:pPr>
              <w:rPr>
                <w:rFonts w:ascii="Calibri" w:hAnsi="Calibri"/>
                <w:b w:val="0"/>
                <w:bCs/>
                <w:sz w:val="20"/>
                <w:szCs w:val="20"/>
                <w:lang w:val="es-ES_tradnl"/>
              </w:rPr>
            </w:pPr>
            <w:r w:rsidRPr="00CC3A91">
              <w:rPr>
                <w:rFonts w:ascii="Calibri" w:hAnsi="Calibri"/>
                <w:b w:val="0"/>
                <w:bCs/>
                <w:sz w:val="20"/>
                <w:szCs w:val="20"/>
                <w:u w:val="single"/>
                <w:lang w:val="es-ES_tradnl"/>
              </w:rPr>
              <w:t>Producto(s) esperado(s)</w:t>
            </w:r>
            <w:r w:rsidRPr="00CC3A91">
              <w:rPr>
                <w:rFonts w:ascii="Calibri" w:hAnsi="Calibri"/>
                <w:b w:val="0"/>
                <w:bCs/>
                <w:sz w:val="20"/>
                <w:szCs w:val="20"/>
                <w:lang w:val="es-ES_tradnl"/>
              </w:rPr>
              <w:t xml:space="preserve">: Nota sobre políticas relativa a la integración de los humedales en la Reducción del Riesgo de Desastres. </w:t>
            </w:r>
          </w:p>
          <w:p w14:paraId="6CEB1F9A" w14:textId="77777777" w:rsidR="00360FBC" w:rsidRPr="00CC3A91" w:rsidRDefault="00360FBC" w:rsidP="005C68E2">
            <w:pPr>
              <w:rPr>
                <w:rFonts w:ascii="Calibri" w:hAnsi="Calibri"/>
                <w:b w:val="0"/>
                <w:bCs/>
                <w:sz w:val="20"/>
                <w:szCs w:val="20"/>
                <w:u w:val="single"/>
                <w:lang w:val="es-ES_tradnl"/>
              </w:rPr>
            </w:pPr>
          </w:p>
          <w:p w14:paraId="132836EF" w14:textId="5AC8B17C" w:rsidR="00360FBC" w:rsidRPr="00CC3A91" w:rsidRDefault="00360FBC" w:rsidP="005C68E2">
            <w:pPr>
              <w:rPr>
                <w:rFonts w:asciiTheme="majorHAnsi" w:hAnsiTheme="majorHAnsi" w:cs="Arial"/>
                <w:b w:val="0"/>
                <w:sz w:val="20"/>
                <w:szCs w:val="20"/>
                <w:u w:val="single"/>
                <w:lang w:val="es-ES_tradnl"/>
              </w:rPr>
            </w:pPr>
            <w:r w:rsidRPr="00CC3A91">
              <w:rPr>
                <w:rFonts w:ascii="Calibri" w:hAnsi="Calibri"/>
                <w:b w:val="0"/>
                <w:bCs/>
                <w:sz w:val="20"/>
                <w:szCs w:val="20"/>
                <w:u w:val="single"/>
                <w:lang w:val="es-ES_tradnl"/>
              </w:rPr>
              <w:t>Grupo destinatario</w:t>
            </w:r>
            <w:r w:rsidRPr="00CC3A91">
              <w:rPr>
                <w:rFonts w:ascii="Calibri" w:hAnsi="Calibri"/>
                <w:b w:val="0"/>
                <w:bCs/>
                <w:sz w:val="20"/>
                <w:szCs w:val="20"/>
                <w:lang w:val="es-ES_tradnl"/>
              </w:rPr>
              <w:t xml:space="preserve">: Responsables de políticas </w:t>
            </w:r>
          </w:p>
        </w:tc>
        <w:tc>
          <w:tcPr>
            <w:tcW w:w="500" w:type="pct"/>
          </w:tcPr>
          <w:p w14:paraId="08D021B4" w14:textId="5B84D1EF"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Hasta </w:t>
            </w:r>
            <w:r w:rsidRPr="00CC3A91">
              <w:rPr>
                <w:rFonts w:ascii="Calibri" w:hAnsi="Calibri"/>
                <w:b w:val="0"/>
                <w:bCs/>
                <w:sz w:val="20"/>
                <w:szCs w:val="20"/>
                <w:lang w:val="es-ES_tradnl"/>
              </w:rPr>
              <w:t>9.000</w:t>
            </w:r>
          </w:p>
        </w:tc>
      </w:tr>
      <w:tr w:rsidR="00360FBC" w:rsidRPr="00CC3A91" w14:paraId="0AFED661" w14:textId="77777777" w:rsidTr="00360FBC">
        <w:tc>
          <w:tcPr>
            <w:tcW w:w="514" w:type="pct"/>
          </w:tcPr>
          <w:p w14:paraId="10D2053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3.4 </w:t>
            </w:r>
            <w:r w:rsidRPr="00CC3A91">
              <w:rPr>
                <w:rFonts w:asciiTheme="majorHAnsi" w:hAnsiTheme="majorHAnsi" w:cs="Arial"/>
                <w:b w:val="0"/>
                <w:bCs/>
                <w:sz w:val="20"/>
                <w:szCs w:val="20"/>
                <w:lang w:val="es-ES_tradnl"/>
              </w:rPr>
              <w:t>Estudios de casos sobre ‘la valoración y uso racional de los humedales’</w:t>
            </w:r>
          </w:p>
        </w:tc>
        <w:tc>
          <w:tcPr>
            <w:tcW w:w="336" w:type="pct"/>
          </w:tcPr>
          <w:p w14:paraId="641E8D7B" w14:textId="77777777" w:rsidR="00360FBC" w:rsidRPr="00CC3A91" w:rsidRDefault="00360FBC" w:rsidP="005C68E2">
            <w:pPr>
              <w:rPr>
                <w:rFonts w:asciiTheme="majorHAnsi" w:hAnsiTheme="majorHAnsi" w:cs="Arial"/>
                <w:b w:val="0"/>
                <w:sz w:val="20"/>
                <w:szCs w:val="20"/>
                <w:lang w:val="es-ES_tradnl"/>
              </w:rPr>
            </w:pPr>
          </w:p>
        </w:tc>
        <w:tc>
          <w:tcPr>
            <w:tcW w:w="309" w:type="pct"/>
          </w:tcPr>
          <w:p w14:paraId="03268F9D" w14:textId="77777777" w:rsidR="00360FBC" w:rsidRPr="00CC3A91" w:rsidRDefault="00360FBC" w:rsidP="005C68E2">
            <w:pPr>
              <w:rPr>
                <w:rFonts w:asciiTheme="majorHAnsi" w:hAnsiTheme="majorHAnsi" w:cs="Arial"/>
                <w:sz w:val="20"/>
                <w:szCs w:val="20"/>
                <w:lang w:val="es-ES_tradnl"/>
              </w:rPr>
            </w:pPr>
            <w:r w:rsidRPr="00CC3A91">
              <w:rPr>
                <w:rFonts w:asciiTheme="majorHAnsi" w:hAnsiTheme="majorHAnsi" w:cs="Arial"/>
                <w:b w:val="0"/>
                <w:sz w:val="20"/>
                <w:szCs w:val="20"/>
                <w:lang w:val="es-ES_tradnl"/>
              </w:rPr>
              <w:t>XII.13,</w:t>
            </w:r>
            <w:r w:rsidRPr="00CC3A91">
              <w:rPr>
                <w:rFonts w:ascii="Calibri" w:hAnsi="Calibri" w:cs="Arial"/>
                <w:b w:val="0"/>
                <w:sz w:val="20"/>
                <w:szCs w:val="20"/>
                <w:lang w:val="es-ES_tradnl"/>
              </w:rPr>
              <w:t xml:space="preserve"> ¶</w:t>
            </w:r>
            <w:r w:rsidRPr="00CC3A91">
              <w:rPr>
                <w:rFonts w:asciiTheme="majorHAnsi" w:hAnsiTheme="majorHAnsi" w:cs="Arial"/>
                <w:b w:val="0"/>
                <w:sz w:val="20"/>
                <w:szCs w:val="20"/>
                <w:lang w:val="es-ES_tradnl"/>
              </w:rPr>
              <w:t xml:space="preserve"> 27; XII.15,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21</w:t>
            </w:r>
          </w:p>
        </w:tc>
        <w:tc>
          <w:tcPr>
            <w:tcW w:w="397" w:type="pct"/>
          </w:tcPr>
          <w:p w14:paraId="79602B09" w14:textId="77777777" w:rsidR="00360FBC" w:rsidRPr="00CC3A91" w:rsidRDefault="00360FBC" w:rsidP="005C68E2">
            <w:pPr>
              <w:rPr>
                <w:rFonts w:asciiTheme="majorHAnsi" w:hAnsiTheme="majorHAnsi" w:cs="Arial"/>
                <w:sz w:val="20"/>
                <w:szCs w:val="20"/>
                <w:lang w:val="es-ES_tradnl"/>
              </w:rPr>
            </w:pPr>
            <w:r w:rsidRPr="00CC3A91">
              <w:rPr>
                <w:rFonts w:asciiTheme="majorHAnsi" w:eastAsia="Calibri" w:hAnsiTheme="majorHAnsi" w:cs="Arial"/>
                <w:b w:val="0"/>
                <w:bCs/>
                <w:sz w:val="20"/>
                <w:szCs w:val="20"/>
                <w:lang w:val="es-ES_tradnl"/>
              </w:rPr>
              <w:t xml:space="preserve">1.1, 1.3; 3.8, 3.9, 3.10, 3.11, 3.12; 4.14 </w:t>
            </w:r>
          </w:p>
        </w:tc>
        <w:tc>
          <w:tcPr>
            <w:tcW w:w="2944" w:type="pct"/>
          </w:tcPr>
          <w:p w14:paraId="795FF087" w14:textId="21FF9BB3"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xml:space="preserve">: Desarrollar casos de estudio y métodos (incluyendo los proporcionados por otras convenciones y organizaciones relacionadas con la diversidad biológica) relativos a los múltiples valores de los humedales en los contextos de planificación y toma de decisiones, que serán resumidos para los responsables de políticas. </w:t>
            </w:r>
          </w:p>
          <w:p w14:paraId="709B7056"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 </w:t>
            </w:r>
          </w:p>
          <w:p w14:paraId="163198D8"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w:t>
            </w:r>
          </w:p>
          <w:p w14:paraId="07C144DA"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 Estudios de caso y métodos a incluir como parte del conjunto de herramientas para el manejo de humedales propuesto en el Área Temática de Trabajo 2 (arriba) (tarea 2.1) y </w:t>
            </w:r>
          </w:p>
          <w:p w14:paraId="1C7B2362" w14:textId="77777777" w:rsidR="00360FBC" w:rsidRPr="00CC3A91" w:rsidRDefault="00360FBC" w:rsidP="005C68E2">
            <w:pPr>
              <w:rPr>
                <w:rFonts w:asciiTheme="majorHAnsi" w:hAnsiTheme="majorHAnsi" w:cs="Arial"/>
                <w:b w:val="0"/>
                <w:sz w:val="20"/>
                <w:szCs w:val="20"/>
                <w:lang w:val="es-ES_tradnl"/>
              </w:rPr>
            </w:pPr>
          </w:p>
          <w:p w14:paraId="3B092551"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 Nota sobre políticas</w:t>
            </w:r>
          </w:p>
          <w:p w14:paraId="68E96F89" w14:textId="77777777" w:rsidR="00360FBC" w:rsidRPr="00CC3A91" w:rsidRDefault="00360FBC" w:rsidP="005C68E2">
            <w:pPr>
              <w:rPr>
                <w:rFonts w:asciiTheme="majorHAnsi" w:hAnsiTheme="majorHAnsi" w:cs="Arial"/>
                <w:b w:val="0"/>
                <w:sz w:val="20"/>
                <w:szCs w:val="20"/>
                <w:lang w:val="es-ES_tradnl"/>
              </w:rPr>
            </w:pPr>
          </w:p>
          <w:p w14:paraId="5E68D62D" w14:textId="63571DD5"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Profesionales (administradores de humedales) (estudios de caso y métodos) y responsables de políticas (Nota sobre políticas)</w:t>
            </w:r>
          </w:p>
        </w:tc>
        <w:tc>
          <w:tcPr>
            <w:tcW w:w="500" w:type="pct"/>
          </w:tcPr>
          <w:p w14:paraId="76ED5C67"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9.000 </w:t>
            </w:r>
          </w:p>
        </w:tc>
      </w:tr>
    </w:tbl>
    <w:p w14:paraId="6D72FD8F" w14:textId="77777777" w:rsidR="005C68E2" w:rsidRPr="00CC3A91" w:rsidRDefault="005C68E2" w:rsidP="005C68E2">
      <w:pPr>
        <w:rPr>
          <w:rFonts w:asciiTheme="majorHAnsi" w:hAnsiTheme="majorHAnsi" w:cs="Arial"/>
          <w:sz w:val="20"/>
          <w:szCs w:val="20"/>
          <w:lang w:val="es-ES_tradnl"/>
        </w:rPr>
      </w:pPr>
    </w:p>
    <w:tbl>
      <w:tblPr>
        <w:tblStyle w:val="TableGrid3"/>
        <w:tblW w:w="5000" w:type="pct"/>
        <w:tblLook w:val="04A0" w:firstRow="1" w:lastRow="0" w:firstColumn="1" w:lastColumn="0" w:noHBand="0" w:noVBand="1"/>
      </w:tblPr>
      <w:tblGrid>
        <w:gridCol w:w="14174"/>
      </w:tblGrid>
      <w:tr w:rsidR="005C68E2" w:rsidRPr="00E81A45" w14:paraId="28313968" w14:textId="77777777" w:rsidTr="005C68E2">
        <w:tc>
          <w:tcPr>
            <w:tcW w:w="5000" w:type="pct"/>
            <w:shd w:val="clear" w:color="auto" w:fill="000000" w:themeFill="text1"/>
          </w:tcPr>
          <w:p w14:paraId="6F764B3C" w14:textId="1DD173CC" w:rsidR="005C68E2" w:rsidRPr="00CC3A91" w:rsidRDefault="00E96BD0" w:rsidP="00E96BD0">
            <w:pP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Área Temática de Trabajo Nº 4: Equilibrio entre la conservación de los humedales y el desarrollo, por ejemplo, infraestructuras, urbanización, silvicultura, industrias extractivas, otras industrias y agricultura </w:t>
            </w:r>
          </w:p>
        </w:tc>
      </w:tr>
    </w:tbl>
    <w:p w14:paraId="037400F5" w14:textId="77777777" w:rsidR="005C68E2" w:rsidRPr="00CC3A91" w:rsidRDefault="005C68E2" w:rsidP="005C68E2">
      <w:pPr>
        <w:rPr>
          <w:rFonts w:asciiTheme="majorHAnsi" w:hAnsiTheme="majorHAnsi" w:cs="Arial"/>
          <w:sz w:val="20"/>
          <w:szCs w:val="20"/>
          <w:lang w:val="es-ES_tradnl"/>
        </w:rPr>
      </w:pPr>
    </w:p>
    <w:tbl>
      <w:tblPr>
        <w:tblStyle w:val="TableGrid22"/>
        <w:tblW w:w="5000" w:type="pct"/>
        <w:jc w:val="center"/>
        <w:tblLook w:val="04A0" w:firstRow="1" w:lastRow="0" w:firstColumn="1" w:lastColumn="0" w:noHBand="0" w:noVBand="1"/>
      </w:tblPr>
      <w:tblGrid>
        <w:gridCol w:w="3561"/>
        <w:gridCol w:w="10613"/>
      </w:tblGrid>
      <w:tr w:rsidR="005C68E2" w:rsidRPr="00E81A45" w14:paraId="25360A31" w14:textId="77777777" w:rsidTr="005C68E2">
        <w:trPr>
          <w:jc w:val="center"/>
        </w:trPr>
        <w:tc>
          <w:tcPr>
            <w:tcW w:w="1256" w:type="pct"/>
          </w:tcPr>
          <w:p w14:paraId="145576FF" w14:textId="77777777" w:rsidR="005C68E2" w:rsidRPr="00CC3A91" w:rsidRDefault="005C68E2" w:rsidP="005C68E2">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Responsable(s) del grupo de trabajo y participantes: </w:t>
            </w:r>
          </w:p>
        </w:tc>
        <w:tc>
          <w:tcPr>
            <w:tcW w:w="3744" w:type="pct"/>
          </w:tcPr>
          <w:p w14:paraId="2DC2CCC2" w14:textId="0908CFEC" w:rsidR="005C68E2" w:rsidRPr="00E81A45" w:rsidRDefault="005C68E2" w:rsidP="00360FBC">
            <w:pPr>
              <w:rPr>
                <w:rFonts w:asciiTheme="majorHAnsi" w:eastAsia="Calibri" w:hAnsiTheme="majorHAnsi" w:cs="Arial"/>
                <w:b w:val="0"/>
                <w:sz w:val="20"/>
                <w:szCs w:val="20"/>
                <w:lang w:val="fr-FR"/>
              </w:rPr>
            </w:pPr>
            <w:r w:rsidRPr="00E81A45">
              <w:rPr>
                <w:rFonts w:asciiTheme="majorHAnsi" w:hAnsiTheme="majorHAnsi" w:cs="Arial"/>
                <w:b w:val="0"/>
                <w:sz w:val="20"/>
                <w:szCs w:val="20"/>
                <w:lang w:val="fr-FR"/>
              </w:rPr>
              <w:t xml:space="preserve">Ruth Cromie, Peter Davies, Roy Gardner, Max Finlayson, Kassim Kulindwa, </w:t>
            </w:r>
            <w:r w:rsidRPr="00E81A45">
              <w:rPr>
                <w:rFonts w:asciiTheme="majorHAnsi" w:eastAsia="Calibri" w:hAnsiTheme="majorHAnsi" w:cs="Arial"/>
                <w:b w:val="0"/>
                <w:sz w:val="20"/>
                <w:szCs w:val="20"/>
                <w:lang w:val="fr-FR"/>
              </w:rPr>
              <w:t xml:space="preserve">Dulce Infante Mata, </w:t>
            </w:r>
            <w:r w:rsidRPr="00E81A45">
              <w:rPr>
                <w:rFonts w:asciiTheme="majorHAnsi" w:hAnsiTheme="majorHAnsi" w:cs="Arial"/>
                <w:b w:val="0"/>
                <w:sz w:val="20"/>
                <w:szCs w:val="20"/>
                <w:lang w:val="fr-FR"/>
              </w:rPr>
              <w:t>Laura Martinez (</w:t>
            </w:r>
            <w:r w:rsidR="00360FBC" w:rsidRPr="00E81A45">
              <w:rPr>
                <w:rFonts w:asciiTheme="majorHAnsi" w:hAnsiTheme="majorHAnsi" w:cs="Arial"/>
                <w:b w:val="0"/>
                <w:sz w:val="20"/>
                <w:szCs w:val="20"/>
                <w:lang w:val="fr-FR"/>
              </w:rPr>
              <w:t>responsable</w:t>
            </w:r>
            <w:r w:rsidRPr="00E81A45">
              <w:rPr>
                <w:rFonts w:asciiTheme="majorHAnsi" w:hAnsiTheme="majorHAnsi" w:cs="Arial"/>
                <w:b w:val="0"/>
                <w:sz w:val="20"/>
                <w:szCs w:val="20"/>
                <w:lang w:val="fr-FR"/>
              </w:rPr>
              <w:t xml:space="preserve">), Rubén Quintana </w:t>
            </w:r>
          </w:p>
        </w:tc>
      </w:tr>
      <w:tr w:rsidR="005C68E2" w:rsidRPr="00E81A45" w14:paraId="3FF18240" w14:textId="77777777" w:rsidTr="005C68E2">
        <w:trPr>
          <w:jc w:val="center"/>
        </w:trPr>
        <w:tc>
          <w:tcPr>
            <w:tcW w:w="1256" w:type="pct"/>
          </w:tcPr>
          <w:p w14:paraId="2531B9DE" w14:textId="77777777" w:rsidR="005C68E2" w:rsidRPr="00CC3A91" w:rsidRDefault="005C68E2" w:rsidP="005C68E2">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Organizaciones contribuyentes: [OIA/observadores/otros]</w:t>
            </w:r>
          </w:p>
        </w:tc>
        <w:tc>
          <w:tcPr>
            <w:tcW w:w="3744" w:type="pct"/>
          </w:tcPr>
          <w:p w14:paraId="7FB438BC" w14:textId="724323C8" w:rsidR="005C68E2" w:rsidRPr="00CC3A91" w:rsidRDefault="005C68E2" w:rsidP="00517D16">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 xml:space="preserve">BirdLife International (Zoltan Waliczky), </w:t>
            </w:r>
            <w:r w:rsidR="00517D16" w:rsidRPr="00CC3A91">
              <w:rPr>
                <w:rFonts w:asciiTheme="majorHAnsi" w:eastAsia="Calibri" w:hAnsiTheme="majorHAnsi" w:cs="Arial"/>
                <w:b w:val="0"/>
                <w:sz w:val="20"/>
                <w:szCs w:val="20"/>
                <w:lang w:val="es-ES_tradnl"/>
              </w:rPr>
              <w:t>UICN</w:t>
            </w:r>
            <w:r w:rsidRPr="00CC3A91">
              <w:rPr>
                <w:rFonts w:asciiTheme="majorHAnsi" w:eastAsia="Calibri" w:hAnsiTheme="majorHAnsi" w:cs="Arial"/>
                <w:b w:val="0"/>
                <w:sz w:val="20"/>
                <w:szCs w:val="20"/>
                <w:lang w:val="es-ES_tradnl"/>
              </w:rPr>
              <w:t xml:space="preserve"> (Stefano Barchiesi), IWMI (Sanjiv da Silva), WWF International (Denis Landenbergue, Lifeng Li)/ SWS (Nick Davidson), UNESCO-IHE (Anne van Dam)/</w:t>
            </w:r>
            <w:r w:rsidR="00517D16" w:rsidRPr="00CC3A91">
              <w:rPr>
                <w:rFonts w:asciiTheme="majorHAnsi" w:eastAsia="Calibri" w:hAnsiTheme="majorHAnsi" w:cs="Arial"/>
                <w:b w:val="0"/>
                <w:sz w:val="20"/>
                <w:szCs w:val="20"/>
                <w:lang w:val="es-ES_tradnl"/>
              </w:rPr>
              <w:t>Coordinador Nacional del GECT para Malasia</w:t>
            </w:r>
            <w:r w:rsidRPr="00CC3A91">
              <w:rPr>
                <w:rFonts w:asciiTheme="majorHAnsi" w:eastAsia="Calibri" w:hAnsiTheme="majorHAnsi" w:cs="Arial"/>
                <w:b w:val="0"/>
                <w:sz w:val="20"/>
                <w:szCs w:val="20"/>
                <w:lang w:val="es-ES_tradnl"/>
              </w:rPr>
              <w:t xml:space="preserve"> (</w:t>
            </w:r>
            <w:r w:rsidRPr="00CC3A91">
              <w:rPr>
                <w:rFonts w:asciiTheme="majorHAnsi" w:hAnsiTheme="majorHAnsi" w:cs="Arial"/>
                <w:b w:val="0"/>
                <w:sz w:val="20"/>
                <w:szCs w:val="20"/>
                <w:lang w:val="es-ES_tradnl"/>
              </w:rPr>
              <w:t>Abd Rahman Kassim)</w:t>
            </w:r>
          </w:p>
        </w:tc>
      </w:tr>
    </w:tbl>
    <w:p w14:paraId="2F1EB821" w14:textId="16CCB1DD" w:rsidR="007D6E58" w:rsidRPr="00CC3A91" w:rsidRDefault="007D6E58" w:rsidP="005C68E2">
      <w:pPr>
        <w:rPr>
          <w:rFonts w:asciiTheme="majorHAnsi" w:hAnsiTheme="majorHAnsi" w:cs="Arial"/>
          <w:sz w:val="20"/>
          <w:szCs w:val="20"/>
          <w:lang w:val="es-ES_tradnl"/>
        </w:rPr>
      </w:pPr>
    </w:p>
    <w:tbl>
      <w:tblPr>
        <w:tblStyle w:val="TableGrid3"/>
        <w:tblW w:w="5060" w:type="pct"/>
        <w:tblInd w:w="-85" w:type="dxa"/>
        <w:tblLayout w:type="fixed"/>
        <w:tblCellMar>
          <w:top w:w="57" w:type="dxa"/>
          <w:left w:w="57" w:type="dxa"/>
          <w:bottom w:w="57" w:type="dxa"/>
          <w:right w:w="57" w:type="dxa"/>
        </w:tblCellMar>
        <w:tblLook w:val="04A0" w:firstRow="1" w:lastRow="0" w:firstColumn="1" w:lastColumn="0" w:noHBand="0" w:noVBand="1"/>
      </w:tblPr>
      <w:tblGrid>
        <w:gridCol w:w="1538"/>
        <w:gridCol w:w="1014"/>
        <w:gridCol w:w="795"/>
        <w:gridCol w:w="1159"/>
        <w:gridCol w:w="8337"/>
        <w:gridCol w:w="1398"/>
      </w:tblGrid>
      <w:tr w:rsidR="00360FBC" w:rsidRPr="00CC3A91" w14:paraId="43D2F6B6" w14:textId="77777777" w:rsidTr="00360FBC">
        <w:trPr>
          <w:tblHeader/>
        </w:trPr>
        <w:tc>
          <w:tcPr>
            <w:tcW w:w="540" w:type="pct"/>
            <w:shd w:val="clear" w:color="auto" w:fill="D9D9D9" w:themeFill="background1" w:themeFillShade="D9"/>
          </w:tcPr>
          <w:p w14:paraId="063DD5E9" w14:textId="5AAA5DAE"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No. y título de la tarea</w:t>
            </w:r>
          </w:p>
        </w:tc>
        <w:tc>
          <w:tcPr>
            <w:tcW w:w="356" w:type="pct"/>
            <w:shd w:val="clear" w:color="auto" w:fill="D9D9D9" w:themeFill="background1" w:themeFillShade="D9"/>
          </w:tcPr>
          <w:p w14:paraId="0D440E56" w14:textId="1B706401"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Prioridad</w:t>
            </w:r>
          </w:p>
        </w:tc>
        <w:tc>
          <w:tcPr>
            <w:tcW w:w="279" w:type="pct"/>
            <w:shd w:val="clear" w:color="auto" w:fill="D9D9D9" w:themeFill="background1" w:themeFillShade="D9"/>
          </w:tcPr>
          <w:p w14:paraId="06E69FAF" w14:textId="7C679180"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Res.</w:t>
            </w:r>
          </w:p>
        </w:tc>
        <w:tc>
          <w:tcPr>
            <w:tcW w:w="407" w:type="pct"/>
            <w:shd w:val="clear" w:color="auto" w:fill="D9D9D9" w:themeFill="background1" w:themeFillShade="D9"/>
          </w:tcPr>
          <w:p w14:paraId="5888B704" w14:textId="0F637635" w:rsidR="00360FBC" w:rsidRPr="00CC3A91" w:rsidRDefault="00360FBC" w:rsidP="005C68E2">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2927" w:type="pct"/>
            <w:shd w:val="clear" w:color="auto" w:fill="D9D9D9" w:themeFill="background1" w:themeFillShade="D9"/>
          </w:tcPr>
          <w:p w14:paraId="0FE2085F" w14:textId="0124D6D2" w:rsidR="00360FBC" w:rsidRPr="00CC3A91" w:rsidRDefault="00360FBC" w:rsidP="00CC3A9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Descripción de la tarea, </w:t>
            </w:r>
            <w:r w:rsidR="00CC3A91" w:rsidRPr="00CC3A91">
              <w:rPr>
                <w:rFonts w:asciiTheme="majorHAnsi" w:hAnsiTheme="majorHAnsi" w:cs="Arial"/>
                <w:sz w:val="20"/>
                <w:szCs w:val="20"/>
                <w:lang w:val="es-ES_tradnl"/>
              </w:rPr>
              <w:t xml:space="preserve">productos esperados y grupos destinatarios </w:t>
            </w:r>
          </w:p>
        </w:tc>
        <w:tc>
          <w:tcPr>
            <w:tcW w:w="491" w:type="pct"/>
            <w:shd w:val="clear" w:color="auto" w:fill="D9D9D9" w:themeFill="background1" w:themeFillShade="D9"/>
          </w:tcPr>
          <w:p w14:paraId="015F335C" w14:textId="77777777" w:rsidR="00360FBC" w:rsidRPr="00CC3A91" w:rsidRDefault="00360FBC" w:rsidP="00360FB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Costo</w:t>
            </w:r>
          </w:p>
          <w:p w14:paraId="6D67D7E9" w14:textId="3C41F151" w:rsidR="00360FBC" w:rsidRPr="00CC3A91" w:rsidRDefault="00360FBC" w:rsidP="005C68E2">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360FBC" w:rsidRPr="00CC3A91" w14:paraId="721E84FE" w14:textId="77777777" w:rsidTr="00360FBC">
        <w:tc>
          <w:tcPr>
            <w:tcW w:w="540" w:type="pct"/>
          </w:tcPr>
          <w:p w14:paraId="0F4F81B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4.1 Necesidades hídricas de los humedales </w:t>
            </w:r>
          </w:p>
        </w:tc>
        <w:tc>
          <w:tcPr>
            <w:tcW w:w="356" w:type="pct"/>
          </w:tcPr>
          <w:p w14:paraId="782FAB35" w14:textId="2F28C7A2" w:rsidR="00360FBC" w:rsidRPr="00CC3A91" w:rsidRDefault="00AA62BB"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279" w:type="pct"/>
          </w:tcPr>
          <w:p w14:paraId="57C801C5"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XII.12,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24</w:t>
            </w:r>
          </w:p>
        </w:tc>
        <w:tc>
          <w:tcPr>
            <w:tcW w:w="407" w:type="pct"/>
          </w:tcPr>
          <w:p w14:paraId="2EF8C39A"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1.1, 1.2, 1.3; 2.5; 3.8, 3.9, 3.11, 3.12, 3.13; 4.14</w:t>
            </w:r>
          </w:p>
        </w:tc>
        <w:tc>
          <w:tcPr>
            <w:tcW w:w="2927" w:type="pct"/>
          </w:tcPr>
          <w:p w14:paraId="1874A70A" w14:textId="7DF2ACAA" w:rsidR="00360FBC" w:rsidRPr="00CC3A91" w:rsidRDefault="00360FBC" w:rsidP="005C68E2">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Preparación</w:t>
            </w:r>
            <w:r w:rsidR="006E601A" w:rsidRPr="00CC3A91">
              <w:rPr>
                <w:rFonts w:asciiTheme="majorHAnsi" w:hAnsiTheme="majorHAnsi" w:cs="Arial"/>
                <w:b w:val="0"/>
                <w:sz w:val="20"/>
                <w:szCs w:val="20"/>
                <w:lang w:val="es-ES_tradnl"/>
              </w:rPr>
              <w:t xml:space="preserve">, con WWF, </w:t>
            </w:r>
            <w:r w:rsidRPr="00CC3A91">
              <w:rPr>
                <w:rFonts w:asciiTheme="majorHAnsi" w:hAnsiTheme="majorHAnsi" w:cs="Arial"/>
                <w:b w:val="0"/>
                <w:sz w:val="20"/>
                <w:szCs w:val="20"/>
                <w:lang w:val="es-ES_tradnl"/>
              </w:rPr>
              <w:t xml:space="preserve">de un Informe Técnico </w:t>
            </w:r>
            <w:r w:rsidR="006E601A" w:rsidRPr="00CC3A91">
              <w:rPr>
                <w:rFonts w:asciiTheme="majorHAnsi" w:hAnsiTheme="majorHAnsi" w:cs="Arial"/>
                <w:b w:val="0"/>
                <w:sz w:val="20"/>
                <w:szCs w:val="20"/>
                <w:lang w:val="es-ES_tradnl"/>
              </w:rPr>
              <w:t>conjunto</w:t>
            </w:r>
            <w:r w:rsidRPr="00CC3A91">
              <w:rPr>
                <w:rFonts w:asciiTheme="majorHAnsi" w:hAnsiTheme="majorHAnsi" w:cs="Arial"/>
                <w:b w:val="0"/>
                <w:sz w:val="20"/>
                <w:szCs w:val="20"/>
                <w:lang w:val="es-ES_tradnl"/>
              </w:rPr>
              <w:t xml:space="preserve"> sobre los métodos para evaluar las necesidades hídricas de los humedales y la forma de definir y aplicar estrategias y herramientas para determinar dichas necesidades y asignar agua a los humedales. Incluirá, además, enfoques para desarrollar un programa de seguimiento de las necesidades hídricas de los humedales. El Informe Técnico tendrá en cuenta las experiencias de China, Australia, Sudáfrica, Kenya y los países miembros de la Unión Europea en la elaboración de planes hidrográficos, y asimismo, la experiencia de Estados Unidos en el manejo de presas. Una Nota sobre políticas que proporcione opciones </w:t>
            </w:r>
            <w:r w:rsidR="00AA62BB" w:rsidRPr="00CC3A91">
              <w:rPr>
                <w:rFonts w:asciiTheme="majorHAnsi" w:hAnsiTheme="majorHAnsi" w:cs="Arial"/>
                <w:b w:val="0"/>
                <w:sz w:val="20"/>
                <w:szCs w:val="20"/>
                <w:lang w:val="es-ES_tradnl"/>
              </w:rPr>
              <w:t xml:space="preserve">respecto de </w:t>
            </w:r>
            <w:r w:rsidRPr="00CC3A91">
              <w:rPr>
                <w:rFonts w:asciiTheme="majorHAnsi" w:hAnsiTheme="majorHAnsi" w:cs="Arial"/>
                <w:b w:val="0"/>
                <w:sz w:val="20"/>
                <w:szCs w:val="20"/>
                <w:lang w:val="es-ES_tradnl"/>
              </w:rPr>
              <w:t xml:space="preserve">los enfoques para incorporar las necesidades hídricas de los </w:t>
            </w:r>
            <w:r w:rsidRPr="00CC3A91">
              <w:rPr>
                <w:rFonts w:asciiTheme="majorHAnsi" w:hAnsiTheme="majorHAnsi" w:cs="Arial"/>
                <w:b w:val="0"/>
                <w:sz w:val="20"/>
                <w:szCs w:val="20"/>
                <w:lang w:val="es-ES_tradnl"/>
              </w:rPr>
              <w:lastRenderedPageBreak/>
              <w:t xml:space="preserve">humedales en las políticas/planes sectoriales nacionales </w:t>
            </w:r>
            <w:r w:rsidR="00AA62BB" w:rsidRPr="00CC3A91">
              <w:rPr>
                <w:rFonts w:asciiTheme="majorHAnsi" w:hAnsiTheme="majorHAnsi" w:cs="Arial"/>
                <w:b w:val="0"/>
                <w:sz w:val="20"/>
                <w:szCs w:val="20"/>
                <w:lang w:val="es-ES_tradnl"/>
              </w:rPr>
              <w:t xml:space="preserve">y planes hidrográficos </w:t>
            </w:r>
            <w:r w:rsidRPr="00CC3A91">
              <w:rPr>
                <w:rFonts w:asciiTheme="majorHAnsi" w:hAnsiTheme="majorHAnsi" w:cs="Arial"/>
                <w:b w:val="0"/>
                <w:sz w:val="20"/>
                <w:szCs w:val="20"/>
                <w:lang w:val="es-ES_tradnl"/>
              </w:rPr>
              <w:t xml:space="preserve">(teniendo en cuenta que dichos enfoques serían específicos al contexto nacional). </w:t>
            </w:r>
          </w:p>
          <w:p w14:paraId="4E38F808" w14:textId="77777777" w:rsidR="00360FBC" w:rsidRPr="00CC3A91" w:rsidRDefault="00360FBC" w:rsidP="005C68E2">
            <w:pPr>
              <w:rPr>
                <w:rFonts w:asciiTheme="majorHAnsi" w:hAnsiTheme="majorHAnsi" w:cs="Arial"/>
                <w:b w:val="0"/>
                <w:sz w:val="20"/>
                <w:szCs w:val="20"/>
                <w:lang w:val="es-ES_tradnl"/>
              </w:rPr>
            </w:pPr>
          </w:p>
          <w:p w14:paraId="7A903D18"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w:t>
            </w:r>
          </w:p>
          <w:p w14:paraId="0A84BB08" w14:textId="7FFE5DAB"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1) Informe Técnico para profesionales</w:t>
            </w:r>
            <w:r w:rsidR="00AA62BB" w:rsidRPr="00CC3A91">
              <w:rPr>
                <w:rFonts w:asciiTheme="majorHAnsi" w:hAnsiTheme="majorHAnsi" w:cs="Arial"/>
                <w:b w:val="0"/>
                <w:sz w:val="20"/>
                <w:szCs w:val="20"/>
                <w:lang w:val="es-ES_tradnl"/>
              </w:rPr>
              <w:t xml:space="preserve"> sobre la evaluación y aplicación</w:t>
            </w:r>
            <w:r w:rsidRPr="00CC3A91">
              <w:rPr>
                <w:rFonts w:asciiTheme="majorHAnsi" w:hAnsiTheme="majorHAnsi" w:cs="Arial"/>
                <w:b w:val="0"/>
                <w:sz w:val="20"/>
                <w:szCs w:val="20"/>
                <w:lang w:val="es-ES_tradnl"/>
              </w:rPr>
              <w:t xml:space="preserve"> de las necesidades hídricas de los humedales, y </w:t>
            </w:r>
          </w:p>
          <w:p w14:paraId="2107D862" w14:textId="77777777" w:rsidR="00360FBC" w:rsidRPr="00CC3A91" w:rsidRDefault="00360FBC" w:rsidP="005C68E2">
            <w:pPr>
              <w:rPr>
                <w:rFonts w:asciiTheme="majorHAnsi" w:hAnsiTheme="majorHAnsi" w:cs="Arial"/>
                <w:b w:val="0"/>
                <w:sz w:val="20"/>
                <w:szCs w:val="20"/>
                <w:lang w:val="es-ES_tradnl"/>
              </w:rPr>
            </w:pPr>
          </w:p>
          <w:p w14:paraId="4504DD1A" w14:textId="70FF7FE2"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2) Nota sobre políticas referente a la incorporación de las necesidades hídricas de los humedales en las políticas/planes </w:t>
            </w:r>
            <w:r w:rsidR="00AA62BB" w:rsidRPr="00CC3A91">
              <w:rPr>
                <w:rFonts w:asciiTheme="majorHAnsi" w:hAnsiTheme="majorHAnsi" w:cs="Arial"/>
                <w:b w:val="0"/>
                <w:sz w:val="20"/>
                <w:szCs w:val="20"/>
                <w:lang w:val="es-ES_tradnl"/>
              </w:rPr>
              <w:t>nacionales y planes hidrográficos</w:t>
            </w:r>
            <w:r w:rsidRPr="00CC3A91">
              <w:rPr>
                <w:rFonts w:asciiTheme="majorHAnsi" w:hAnsiTheme="majorHAnsi" w:cs="Arial"/>
                <w:b w:val="0"/>
                <w:sz w:val="20"/>
                <w:szCs w:val="20"/>
                <w:lang w:val="es-ES_tradnl"/>
              </w:rPr>
              <w:t xml:space="preserve">. </w:t>
            </w:r>
          </w:p>
          <w:p w14:paraId="66A2FC72" w14:textId="77777777" w:rsidR="00360FBC" w:rsidRPr="00CC3A91" w:rsidRDefault="00360FBC" w:rsidP="005C68E2">
            <w:pPr>
              <w:rPr>
                <w:rFonts w:asciiTheme="majorHAnsi" w:hAnsiTheme="majorHAnsi" w:cs="Arial"/>
                <w:b w:val="0"/>
                <w:sz w:val="20"/>
                <w:szCs w:val="20"/>
                <w:lang w:val="es-ES_tradnl"/>
              </w:rPr>
            </w:pPr>
          </w:p>
          <w:p w14:paraId="15BB7EA1" w14:textId="17C0AE54"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xml:space="preserve">: Responsables de políticas y profesionales (administradores de humedales) en el ámbito nacional, de cuenca y local. </w:t>
            </w:r>
          </w:p>
        </w:tc>
        <w:tc>
          <w:tcPr>
            <w:tcW w:w="491" w:type="pct"/>
          </w:tcPr>
          <w:p w14:paraId="54F59877" w14:textId="7D1E9D66" w:rsidR="00360FBC" w:rsidRPr="00CC3A91" w:rsidRDefault="00AA62BB"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No implica costo alguno para el presupuesto del GECT; </w:t>
            </w:r>
          </w:p>
          <w:p w14:paraId="6CE6ECFD" w14:textId="26FE2B73" w:rsidR="00360FBC" w:rsidRPr="00CC3A91" w:rsidRDefault="00360FBC" w:rsidP="00AA62BB">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w:t>
            </w:r>
            <w:r w:rsidR="00AA62BB" w:rsidRPr="00CC3A91">
              <w:rPr>
                <w:rFonts w:asciiTheme="majorHAnsi" w:hAnsiTheme="majorHAnsi" w:cs="Arial"/>
                <w:b w:val="0"/>
                <w:sz w:val="20"/>
                <w:szCs w:val="20"/>
                <w:lang w:val="es-ES_tradnl"/>
              </w:rPr>
              <w:t>WWF aportaría 100.000</w:t>
            </w:r>
            <w:r w:rsidRPr="00CC3A91">
              <w:rPr>
                <w:rFonts w:asciiTheme="majorHAnsi" w:hAnsiTheme="majorHAnsi" w:cs="Arial"/>
                <w:b w:val="0"/>
                <w:sz w:val="20"/>
                <w:szCs w:val="20"/>
                <w:lang w:val="es-ES_tradnl"/>
              </w:rPr>
              <w:t>]</w:t>
            </w:r>
          </w:p>
        </w:tc>
      </w:tr>
      <w:tr w:rsidR="00360FBC" w:rsidRPr="00E81A45" w14:paraId="76E55380" w14:textId="77777777" w:rsidTr="00360FBC">
        <w:tc>
          <w:tcPr>
            <w:tcW w:w="540" w:type="pct"/>
          </w:tcPr>
          <w:p w14:paraId="17E0F172" w14:textId="3A724BB1"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4.2 Examen y análisis de los Informes de las Misiones Ramsar de Asesoramiento (MRA)</w:t>
            </w:r>
          </w:p>
        </w:tc>
        <w:tc>
          <w:tcPr>
            <w:tcW w:w="356" w:type="pct"/>
          </w:tcPr>
          <w:p w14:paraId="2B9B6EEB" w14:textId="0AE6B9B5" w:rsidR="00360FBC" w:rsidRPr="00CC3A91" w:rsidRDefault="00AA62BB"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279" w:type="pct"/>
          </w:tcPr>
          <w:p w14:paraId="04FAF24F" w14:textId="0D892962" w:rsidR="00360FBC" w:rsidRPr="00CC3A91" w:rsidRDefault="00360FBC" w:rsidP="00AA62BB">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XII.5, An</w:t>
            </w:r>
            <w:r w:rsidR="00AA62BB" w:rsidRPr="00CC3A91">
              <w:rPr>
                <w:rFonts w:asciiTheme="majorHAnsi" w:hAnsiTheme="majorHAnsi" w:cs="Arial"/>
                <w:b w:val="0"/>
                <w:sz w:val="20"/>
                <w:szCs w:val="20"/>
                <w:lang w:val="es-ES_tradnl"/>
              </w:rPr>
              <w:t>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 12</w:t>
            </w:r>
          </w:p>
        </w:tc>
        <w:tc>
          <w:tcPr>
            <w:tcW w:w="407" w:type="pct"/>
          </w:tcPr>
          <w:p w14:paraId="2A2E785F"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1.1, 1.2, 1.3, 1.4; 2.5, 2.7; 3.8, 3.9, 3.10, 3.11, 3.12, 3.13; 4.14 </w:t>
            </w:r>
          </w:p>
        </w:tc>
        <w:tc>
          <w:tcPr>
            <w:tcW w:w="2927" w:type="pct"/>
          </w:tcPr>
          <w:p w14:paraId="53CCACC7" w14:textId="52A7551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Examen y análisis de todos los informes de las Misiones Ramsar de Asesoramiento</w:t>
            </w:r>
            <w:r w:rsidR="00AA62BB" w:rsidRPr="00CC3A91">
              <w:rPr>
                <w:rFonts w:asciiTheme="majorHAnsi" w:hAnsiTheme="majorHAnsi" w:cs="Arial"/>
                <w:b w:val="0"/>
                <w:sz w:val="20"/>
                <w:szCs w:val="20"/>
                <w:lang w:val="es-ES_tradnl"/>
              </w:rPr>
              <w:t xml:space="preserve"> (MRA)</w:t>
            </w:r>
            <w:r w:rsidRPr="00CC3A91">
              <w:rPr>
                <w:rFonts w:asciiTheme="majorHAnsi" w:hAnsiTheme="majorHAnsi" w:cs="Arial"/>
                <w:b w:val="0"/>
                <w:sz w:val="20"/>
                <w:szCs w:val="20"/>
                <w:lang w:val="es-ES_tradnl"/>
              </w:rPr>
              <w:t xml:space="preserve"> a fin de fomentar la concienciación sobre el papel y utilidad de las MRA para mejorar el manejo </w:t>
            </w:r>
            <w:r w:rsidR="00AA62BB" w:rsidRPr="00CC3A91">
              <w:rPr>
                <w:rFonts w:asciiTheme="majorHAnsi" w:hAnsiTheme="majorHAnsi" w:cs="Arial"/>
                <w:b w:val="0"/>
                <w:sz w:val="20"/>
                <w:szCs w:val="20"/>
                <w:lang w:val="es-ES_tradnl"/>
              </w:rPr>
              <w:t>y los mecanismos de monitoreo,</w:t>
            </w:r>
            <w:r w:rsidRPr="00CC3A91">
              <w:rPr>
                <w:rFonts w:asciiTheme="majorHAnsi" w:hAnsiTheme="majorHAnsi" w:cs="Arial"/>
                <w:b w:val="0"/>
                <w:sz w:val="20"/>
                <w:szCs w:val="20"/>
                <w:lang w:val="es-ES_tradnl"/>
              </w:rPr>
              <w:t xml:space="preserve"> y abordar las amenazas para los sitios Ramsar. Se han realizado más de 80 Misiones Ramsar de Asesoramiento hasta la fecha, muchas de ellas relacionadas con infraestructuras, urbanización, silvicultura, extracción, industrias y cuestiones relacionadas con la agricultura</w:t>
            </w:r>
            <w:r w:rsidR="00577449" w:rsidRPr="00CC3A91">
              <w:rPr>
                <w:rFonts w:asciiTheme="majorHAnsi" w:hAnsiTheme="majorHAnsi" w:cs="Arial"/>
                <w:b w:val="0"/>
                <w:sz w:val="20"/>
                <w:szCs w:val="20"/>
                <w:lang w:val="es-ES_tradnl"/>
              </w:rPr>
              <w:t>, así como los sistemas de conocimientos indígenas y l</w:t>
            </w:r>
            <w:r w:rsidR="00AA62BB" w:rsidRPr="00CC3A91">
              <w:rPr>
                <w:rFonts w:asciiTheme="majorHAnsi" w:hAnsiTheme="majorHAnsi" w:cs="Arial"/>
                <w:b w:val="0"/>
                <w:sz w:val="20"/>
                <w:szCs w:val="20"/>
                <w:lang w:val="es-ES_tradnl"/>
              </w:rPr>
              <w:t>ocales</w:t>
            </w:r>
            <w:r w:rsidRPr="00CC3A91">
              <w:rPr>
                <w:rFonts w:asciiTheme="majorHAnsi" w:hAnsiTheme="majorHAnsi" w:cs="Arial"/>
                <w:b w:val="0"/>
                <w:sz w:val="20"/>
                <w:szCs w:val="20"/>
                <w:lang w:val="es-ES_tradnl"/>
              </w:rPr>
              <w:t xml:space="preserve">; los informes correspondientes aportan un recurso enriquecedor de posibles casos de estudio relativos a la aplicación de la Convención, y a </w:t>
            </w:r>
            <w:r w:rsidR="00577449" w:rsidRPr="00CC3A91">
              <w:rPr>
                <w:rFonts w:asciiTheme="majorHAnsi" w:hAnsiTheme="majorHAnsi" w:cs="Arial"/>
                <w:b w:val="0"/>
                <w:sz w:val="20"/>
                <w:szCs w:val="20"/>
                <w:lang w:val="es-ES_tradnl"/>
              </w:rPr>
              <w:t>los retos y aciertos logrados para</w:t>
            </w:r>
            <w:r w:rsidRPr="00CC3A91">
              <w:rPr>
                <w:rFonts w:asciiTheme="majorHAnsi" w:hAnsiTheme="majorHAnsi" w:cs="Arial"/>
                <w:b w:val="0"/>
                <w:sz w:val="20"/>
                <w:szCs w:val="20"/>
                <w:lang w:val="es-ES_tradnl"/>
              </w:rPr>
              <w:t xml:space="preserve"> alcanzar un equilibrio entre la conservación de los humedales y el desarrollo. Se pedirá a los </w:t>
            </w:r>
            <w:r w:rsidR="00577449" w:rsidRPr="00CC3A91">
              <w:rPr>
                <w:rFonts w:asciiTheme="majorHAnsi" w:hAnsiTheme="majorHAnsi" w:cs="Arial"/>
                <w:b w:val="0"/>
                <w:sz w:val="20"/>
                <w:szCs w:val="20"/>
                <w:lang w:val="es-ES_tradnl"/>
              </w:rPr>
              <w:t>Coordinadores Nacionales del GEC</w:t>
            </w:r>
            <w:r w:rsidRPr="00CC3A91">
              <w:rPr>
                <w:rFonts w:asciiTheme="majorHAnsi" w:hAnsiTheme="majorHAnsi" w:cs="Arial"/>
                <w:b w:val="0"/>
                <w:sz w:val="20"/>
                <w:szCs w:val="20"/>
                <w:lang w:val="es-ES_tradnl"/>
              </w:rPr>
              <w:t xml:space="preserve">T que aporten retroalimentación y asistencia en este proceso de examen. </w:t>
            </w:r>
          </w:p>
          <w:p w14:paraId="6E0D2715" w14:textId="77777777" w:rsidR="00360FBC" w:rsidRPr="00CC3A91" w:rsidRDefault="00360FBC" w:rsidP="005C68E2">
            <w:pPr>
              <w:rPr>
                <w:rFonts w:asciiTheme="majorHAnsi" w:hAnsiTheme="majorHAnsi" w:cs="Arial"/>
                <w:b w:val="0"/>
                <w:sz w:val="20"/>
                <w:szCs w:val="20"/>
                <w:lang w:val="es-ES_tradnl"/>
              </w:rPr>
            </w:pPr>
          </w:p>
          <w:p w14:paraId="09A133D6"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w:t>
            </w:r>
          </w:p>
          <w:p w14:paraId="084E5F1B" w14:textId="7C1B481E"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 Un </w:t>
            </w:r>
            <w:r w:rsidR="00CC3A91" w:rsidRPr="00CC3A91">
              <w:rPr>
                <w:rFonts w:asciiTheme="majorHAnsi" w:hAnsiTheme="majorHAnsi" w:cs="Arial"/>
                <w:b w:val="0"/>
                <w:sz w:val="20"/>
                <w:szCs w:val="20"/>
                <w:lang w:val="es-ES_tradnl"/>
              </w:rPr>
              <w:t>análisis</w:t>
            </w:r>
            <w:r w:rsidRPr="00CC3A91">
              <w:rPr>
                <w:rFonts w:asciiTheme="majorHAnsi" w:hAnsiTheme="majorHAnsi" w:cs="Arial"/>
                <w:b w:val="0"/>
                <w:sz w:val="20"/>
                <w:szCs w:val="20"/>
                <w:lang w:val="es-ES_tradnl"/>
              </w:rPr>
              <w:t xml:space="preserve"> exhaustivo que se publicaría en la página correspondiente de las MRA del sitio web de Ramsar </w:t>
            </w:r>
          </w:p>
          <w:p w14:paraId="41A3316D" w14:textId="77777777" w:rsidR="00360FBC" w:rsidRPr="00CC3A91" w:rsidRDefault="00360FBC" w:rsidP="005C68E2">
            <w:pPr>
              <w:rPr>
                <w:rFonts w:asciiTheme="majorHAnsi" w:hAnsiTheme="majorHAnsi" w:cs="Arial"/>
                <w:b w:val="0"/>
                <w:sz w:val="20"/>
                <w:szCs w:val="20"/>
                <w:lang w:val="es-ES_tradnl"/>
              </w:rPr>
            </w:pPr>
          </w:p>
          <w:p w14:paraId="2CABF94B" w14:textId="06470091"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 El con</w:t>
            </w:r>
            <w:r w:rsidR="00577449" w:rsidRPr="00CC3A91">
              <w:rPr>
                <w:rFonts w:asciiTheme="majorHAnsi" w:hAnsiTheme="majorHAnsi" w:cs="Arial"/>
                <w:b w:val="0"/>
                <w:sz w:val="20"/>
                <w:szCs w:val="20"/>
                <w:lang w:val="es-ES_tradnl"/>
              </w:rPr>
              <w:t>tenido del análisis se resumirá</w:t>
            </w:r>
            <w:r w:rsidRPr="00CC3A91">
              <w:rPr>
                <w:rFonts w:asciiTheme="majorHAnsi" w:hAnsiTheme="majorHAnsi" w:cs="Arial"/>
                <w:b w:val="0"/>
                <w:sz w:val="20"/>
                <w:szCs w:val="20"/>
                <w:lang w:val="es-ES_tradnl"/>
              </w:rPr>
              <w:t xml:space="preserve"> en una Nota sobre políticas (que facilite la comprensión y la</w:t>
            </w:r>
            <w:r w:rsidR="00577449" w:rsidRPr="00CC3A91">
              <w:rPr>
                <w:rFonts w:asciiTheme="majorHAnsi" w:hAnsiTheme="majorHAnsi" w:cs="Arial"/>
                <w:b w:val="0"/>
                <w:sz w:val="20"/>
                <w:szCs w:val="20"/>
                <w:lang w:val="es-ES_tradnl"/>
              </w:rPr>
              <w:t xml:space="preserve"> utilización del concepto de MRA y destaque el valor de las MRA</w:t>
            </w:r>
            <w:r w:rsidRPr="00CC3A91">
              <w:rPr>
                <w:rFonts w:asciiTheme="majorHAnsi" w:hAnsiTheme="majorHAnsi" w:cs="Arial"/>
                <w:b w:val="0"/>
                <w:sz w:val="20"/>
                <w:szCs w:val="20"/>
                <w:lang w:val="es-ES_tradnl"/>
              </w:rPr>
              <w:t xml:space="preserve"> para los responsables de políticas, así como la experiencia que aportan) </w:t>
            </w:r>
          </w:p>
          <w:p w14:paraId="5C876BCA" w14:textId="77777777" w:rsidR="00360FBC" w:rsidRPr="00CC3A91" w:rsidRDefault="00360FBC" w:rsidP="005C68E2">
            <w:pPr>
              <w:rPr>
                <w:rFonts w:asciiTheme="majorHAnsi" w:hAnsiTheme="majorHAnsi" w:cs="Arial"/>
                <w:b w:val="0"/>
                <w:sz w:val="20"/>
                <w:szCs w:val="20"/>
                <w:lang w:val="es-ES_tradnl"/>
              </w:rPr>
            </w:pPr>
          </w:p>
          <w:p w14:paraId="523F1167" w14:textId="6CED7CD6"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3) Una Nota informativa (que facilite la comprensión y utilización del proceso de la</w:t>
            </w:r>
            <w:r w:rsidR="00577449" w:rsidRPr="00CC3A91">
              <w:rPr>
                <w:rFonts w:asciiTheme="majorHAnsi" w:hAnsiTheme="majorHAnsi" w:cs="Arial"/>
                <w:b w:val="0"/>
                <w:sz w:val="20"/>
                <w:szCs w:val="20"/>
                <w:lang w:val="es-ES_tradnl"/>
              </w:rPr>
              <w:t>s</w:t>
            </w:r>
            <w:r w:rsidRPr="00CC3A91">
              <w:rPr>
                <w:rFonts w:asciiTheme="majorHAnsi" w:hAnsiTheme="majorHAnsi" w:cs="Arial"/>
                <w:b w:val="0"/>
                <w:sz w:val="20"/>
                <w:szCs w:val="20"/>
                <w:lang w:val="es-ES_tradnl"/>
              </w:rPr>
              <w:t xml:space="preserve"> MRA para los </w:t>
            </w:r>
            <w:r w:rsidRPr="00CC3A91">
              <w:rPr>
                <w:rFonts w:asciiTheme="majorHAnsi" w:hAnsiTheme="majorHAnsi" w:cs="Arial"/>
                <w:b w:val="0"/>
                <w:sz w:val="20"/>
                <w:szCs w:val="20"/>
                <w:lang w:val="es-ES_tradnl"/>
              </w:rPr>
              <w:lastRenderedPageBreak/>
              <w:t xml:space="preserve">administradores de sitios Ramsar) que destaque casos de estudio seleccionados, y </w:t>
            </w:r>
          </w:p>
          <w:p w14:paraId="588B8145" w14:textId="77777777" w:rsidR="00360FBC" w:rsidRPr="00CC3A91" w:rsidRDefault="00360FBC" w:rsidP="005C68E2">
            <w:pPr>
              <w:rPr>
                <w:rFonts w:asciiTheme="majorHAnsi" w:hAnsiTheme="majorHAnsi" w:cs="Arial"/>
                <w:b w:val="0"/>
                <w:sz w:val="20"/>
                <w:szCs w:val="20"/>
                <w:lang w:val="es-ES_tradnl"/>
              </w:rPr>
            </w:pPr>
          </w:p>
          <w:p w14:paraId="7AEB20A2"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4) También se pueden organizar seminarios web para llegar a un público más amplio </w:t>
            </w:r>
          </w:p>
          <w:p w14:paraId="294FEEA0" w14:textId="77777777" w:rsidR="00360FBC" w:rsidRPr="00CC3A91" w:rsidRDefault="00360FBC" w:rsidP="005C68E2">
            <w:pPr>
              <w:rPr>
                <w:rFonts w:asciiTheme="majorHAnsi" w:hAnsiTheme="majorHAnsi" w:cs="Arial"/>
                <w:b w:val="0"/>
                <w:sz w:val="20"/>
                <w:szCs w:val="20"/>
                <w:lang w:val="es-ES_tradnl"/>
              </w:rPr>
            </w:pPr>
          </w:p>
          <w:p w14:paraId="7A8228B1" w14:textId="73ED38F3" w:rsidR="00360FBC" w:rsidRPr="00CC3A91" w:rsidRDefault="00360FBC" w:rsidP="00577449">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xml:space="preserve">: Responsables de políticas </w:t>
            </w:r>
            <w:r w:rsidR="00577449" w:rsidRPr="00CC3A91">
              <w:rPr>
                <w:rFonts w:asciiTheme="majorHAnsi" w:hAnsiTheme="majorHAnsi" w:cs="Arial"/>
                <w:b w:val="0"/>
                <w:sz w:val="20"/>
                <w:szCs w:val="20"/>
                <w:lang w:val="es-ES_tradnl"/>
              </w:rPr>
              <w:t xml:space="preserve">y </w:t>
            </w:r>
            <w:r w:rsidRPr="00CC3A91">
              <w:rPr>
                <w:rFonts w:asciiTheme="majorHAnsi" w:hAnsiTheme="majorHAnsi" w:cs="Arial"/>
                <w:b w:val="0"/>
                <w:sz w:val="20"/>
                <w:szCs w:val="20"/>
                <w:lang w:val="es-ES_tradnl"/>
              </w:rPr>
              <w:t>profesionales (</w:t>
            </w:r>
            <w:r w:rsidR="00577449" w:rsidRPr="00CC3A91">
              <w:rPr>
                <w:rFonts w:asciiTheme="majorHAnsi" w:hAnsiTheme="majorHAnsi" w:cs="Arial"/>
                <w:b w:val="0"/>
                <w:sz w:val="20"/>
                <w:szCs w:val="20"/>
                <w:lang w:val="es-ES_tradnl"/>
              </w:rPr>
              <w:t>administradores de humedales</w:t>
            </w:r>
            <w:r w:rsidRPr="00CC3A91">
              <w:rPr>
                <w:rFonts w:asciiTheme="majorHAnsi" w:hAnsiTheme="majorHAnsi" w:cs="Arial"/>
                <w:b w:val="0"/>
                <w:sz w:val="20"/>
                <w:szCs w:val="20"/>
                <w:lang w:val="es-ES_tradnl"/>
              </w:rPr>
              <w:t xml:space="preserve">). Se debe tener en cuenta que los productos pueden servir para movilizar recursos para MRA adicionales </w:t>
            </w:r>
          </w:p>
        </w:tc>
        <w:tc>
          <w:tcPr>
            <w:tcW w:w="491" w:type="pct"/>
          </w:tcPr>
          <w:p w14:paraId="6E6013D2" w14:textId="583DD228" w:rsidR="00360FBC" w:rsidRPr="00CC3A91" w:rsidRDefault="00360FBC" w:rsidP="00577449">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Hasta 44.000</w:t>
            </w:r>
            <w:r w:rsidRPr="00CC3A91" w:rsidDel="00362718">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w:t>
            </w:r>
            <w:r w:rsidR="00577449" w:rsidRPr="00CC3A91">
              <w:rPr>
                <w:rFonts w:asciiTheme="majorHAnsi" w:hAnsiTheme="majorHAnsi" w:cs="Arial"/>
                <w:b w:val="0"/>
                <w:sz w:val="20"/>
                <w:szCs w:val="20"/>
                <w:lang w:val="es-ES_tradnl"/>
              </w:rPr>
              <w:t>De los cuales</w:t>
            </w:r>
            <w:r w:rsidRPr="00CC3A91">
              <w:rPr>
                <w:rFonts w:asciiTheme="majorHAnsi" w:hAnsiTheme="majorHAnsi" w:cs="Arial"/>
                <w:b w:val="0"/>
                <w:sz w:val="20"/>
                <w:szCs w:val="20"/>
                <w:lang w:val="es-ES_tradnl"/>
              </w:rPr>
              <w:t xml:space="preserve"> WWF </w:t>
            </w:r>
            <w:r w:rsidR="00577449" w:rsidRPr="00CC3A91">
              <w:rPr>
                <w:rFonts w:asciiTheme="majorHAnsi" w:hAnsiTheme="majorHAnsi" w:cs="Arial"/>
                <w:b w:val="0"/>
                <w:sz w:val="20"/>
                <w:szCs w:val="20"/>
                <w:lang w:val="es-ES_tradnl"/>
              </w:rPr>
              <w:t xml:space="preserve">aportaría </w:t>
            </w:r>
            <w:r w:rsidRPr="00CC3A91">
              <w:rPr>
                <w:rFonts w:asciiTheme="majorHAnsi" w:hAnsiTheme="majorHAnsi" w:cs="Arial"/>
                <w:b w:val="0"/>
                <w:sz w:val="20"/>
                <w:szCs w:val="20"/>
                <w:lang w:val="es-ES_tradnl"/>
              </w:rPr>
              <w:t xml:space="preserve">22.000 </w:t>
            </w:r>
            <w:r w:rsidR="00577449" w:rsidRPr="00CC3A91">
              <w:rPr>
                <w:rFonts w:asciiTheme="majorHAnsi" w:hAnsiTheme="majorHAnsi" w:cs="Arial"/>
                <w:b w:val="0"/>
                <w:sz w:val="20"/>
                <w:szCs w:val="20"/>
                <w:lang w:val="es-ES_tradnl"/>
              </w:rPr>
              <w:t xml:space="preserve">para </w:t>
            </w:r>
            <w:r w:rsidR="00CC3A91" w:rsidRPr="00CC3A91">
              <w:rPr>
                <w:rFonts w:asciiTheme="majorHAnsi" w:hAnsiTheme="majorHAnsi" w:cs="Arial"/>
                <w:b w:val="0"/>
                <w:sz w:val="20"/>
                <w:szCs w:val="20"/>
                <w:lang w:val="es-ES_tradnl"/>
              </w:rPr>
              <w:t>cubrir</w:t>
            </w:r>
            <w:r w:rsidR="00577449" w:rsidRPr="00CC3A91">
              <w:rPr>
                <w:rFonts w:asciiTheme="majorHAnsi" w:hAnsiTheme="majorHAnsi" w:cs="Arial"/>
                <w:b w:val="0"/>
                <w:sz w:val="20"/>
                <w:szCs w:val="20"/>
                <w:lang w:val="es-ES_tradnl"/>
              </w:rPr>
              <w:t xml:space="preserve"> los costos de consultaría para realizar el análisis exhaustivo</w:t>
            </w:r>
            <w:r w:rsidRPr="00CC3A91">
              <w:rPr>
                <w:rFonts w:asciiTheme="majorHAnsi" w:hAnsiTheme="majorHAnsi" w:cs="Arial"/>
                <w:b w:val="0"/>
                <w:sz w:val="20"/>
                <w:szCs w:val="20"/>
                <w:lang w:val="es-ES_tradnl"/>
              </w:rPr>
              <w:t xml:space="preserve">; 9.000 </w:t>
            </w:r>
            <w:r w:rsidR="00577449" w:rsidRPr="00CC3A91">
              <w:rPr>
                <w:rFonts w:asciiTheme="majorHAnsi" w:hAnsiTheme="majorHAnsi" w:cs="Arial"/>
                <w:b w:val="0"/>
                <w:sz w:val="20"/>
                <w:szCs w:val="20"/>
                <w:lang w:val="es-ES_tradnl"/>
              </w:rPr>
              <w:t>de los fondos del GECT para una Nota sobre políticas, y 1</w:t>
            </w:r>
            <w:r w:rsidRPr="00CC3A91">
              <w:rPr>
                <w:rFonts w:asciiTheme="majorHAnsi" w:hAnsiTheme="majorHAnsi" w:cs="Arial"/>
                <w:b w:val="0"/>
                <w:sz w:val="20"/>
                <w:szCs w:val="20"/>
                <w:lang w:val="es-ES_tradnl"/>
              </w:rPr>
              <w:t xml:space="preserve">3.000 </w:t>
            </w:r>
            <w:r w:rsidR="00577449" w:rsidRPr="00CC3A91">
              <w:rPr>
                <w:rFonts w:asciiTheme="majorHAnsi" w:hAnsiTheme="majorHAnsi" w:cs="Arial"/>
                <w:b w:val="0"/>
                <w:sz w:val="20"/>
                <w:szCs w:val="20"/>
                <w:lang w:val="es-ES_tradnl"/>
              </w:rPr>
              <w:t>para una Nota Informativa</w:t>
            </w:r>
            <w:r w:rsidRPr="00CC3A91">
              <w:rPr>
                <w:rFonts w:asciiTheme="majorHAnsi" w:hAnsiTheme="majorHAnsi" w:cs="Arial"/>
                <w:b w:val="0"/>
                <w:sz w:val="20"/>
                <w:szCs w:val="20"/>
                <w:lang w:val="es-ES_tradnl"/>
              </w:rPr>
              <w:t xml:space="preserve">. </w:t>
            </w:r>
            <w:r w:rsidR="00577449" w:rsidRPr="00CC3A91">
              <w:rPr>
                <w:rFonts w:asciiTheme="majorHAnsi" w:hAnsiTheme="majorHAnsi" w:cs="Arial"/>
                <w:b w:val="0"/>
                <w:sz w:val="20"/>
                <w:szCs w:val="20"/>
                <w:lang w:val="es-ES_tradnl"/>
              </w:rPr>
              <w:t xml:space="preserve">Se señala que la producción de </w:t>
            </w:r>
            <w:r w:rsidR="00577449" w:rsidRPr="00CC3A91">
              <w:rPr>
                <w:rFonts w:asciiTheme="majorHAnsi" w:hAnsiTheme="majorHAnsi" w:cs="Arial"/>
                <w:b w:val="0"/>
                <w:sz w:val="20"/>
                <w:szCs w:val="20"/>
                <w:lang w:val="es-ES_tradnl"/>
              </w:rPr>
              <w:lastRenderedPageBreak/>
              <w:t>los seminarios web no supone costo alguno para el GECT, ya que la Secretaría dispone del software necesario</w:t>
            </w:r>
            <w:r w:rsidRPr="00CC3A91">
              <w:rPr>
                <w:rFonts w:asciiTheme="majorHAnsi" w:hAnsiTheme="majorHAnsi" w:cs="Arial"/>
                <w:b w:val="0"/>
                <w:sz w:val="20"/>
                <w:szCs w:val="20"/>
                <w:lang w:val="es-ES_tradnl"/>
              </w:rPr>
              <w:t>]</w:t>
            </w:r>
          </w:p>
        </w:tc>
      </w:tr>
      <w:tr w:rsidR="00360FBC" w:rsidRPr="00E81A45" w14:paraId="38F06D48" w14:textId="77777777" w:rsidTr="00360FBC">
        <w:trPr>
          <w:cantSplit/>
        </w:trPr>
        <w:tc>
          <w:tcPr>
            <w:tcW w:w="540" w:type="pct"/>
          </w:tcPr>
          <w:p w14:paraId="56C14B36"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 xml:space="preserve">4.3 Desarrollo de la acuicultura y uso racional de los humedales </w:t>
            </w:r>
          </w:p>
        </w:tc>
        <w:tc>
          <w:tcPr>
            <w:tcW w:w="356" w:type="pct"/>
          </w:tcPr>
          <w:p w14:paraId="506F3E3E" w14:textId="77777777" w:rsidR="00360FBC" w:rsidRPr="00CC3A91" w:rsidRDefault="00360FBC" w:rsidP="005C68E2">
            <w:pPr>
              <w:rPr>
                <w:rFonts w:asciiTheme="majorHAnsi" w:hAnsiTheme="majorHAnsi" w:cs="Arial"/>
                <w:b w:val="0"/>
                <w:sz w:val="20"/>
                <w:szCs w:val="20"/>
                <w:lang w:val="es-ES_tradnl"/>
              </w:rPr>
            </w:pPr>
          </w:p>
        </w:tc>
        <w:tc>
          <w:tcPr>
            <w:tcW w:w="279" w:type="pct"/>
          </w:tcPr>
          <w:p w14:paraId="56B3B261" w14:textId="3F263F2D" w:rsidR="00360FBC" w:rsidRPr="00CC3A91" w:rsidRDefault="00360FBC" w:rsidP="00577449">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XII.5, An</w:t>
            </w:r>
            <w:r w:rsidR="00577449" w:rsidRPr="00CC3A91">
              <w:rPr>
                <w:rFonts w:asciiTheme="majorHAnsi" w:hAnsiTheme="majorHAnsi" w:cs="Arial"/>
                <w:b w:val="0"/>
                <w:sz w:val="20"/>
                <w:szCs w:val="20"/>
                <w:lang w:val="es-ES_tradnl"/>
              </w:rPr>
              <w:t>exo</w:t>
            </w:r>
            <w:r w:rsidRPr="00CC3A91">
              <w:rPr>
                <w:rFonts w:asciiTheme="majorHAnsi" w:hAnsiTheme="majorHAnsi" w:cs="Arial"/>
                <w:b w:val="0"/>
                <w:sz w:val="20"/>
                <w:szCs w:val="20"/>
                <w:lang w:val="es-ES_tradnl"/>
              </w:rPr>
              <w:t xml:space="preserve">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w:t>
            </w:r>
          </w:p>
        </w:tc>
        <w:tc>
          <w:tcPr>
            <w:tcW w:w="407" w:type="pct"/>
          </w:tcPr>
          <w:p w14:paraId="46CF159E" w14:textId="77777777"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1.1, 1.2, 1.3, 1.4; 2.5, 2.7; 3.8, 3.9, 3.11, 3.12, 3.13; 4.14 </w:t>
            </w:r>
          </w:p>
        </w:tc>
        <w:tc>
          <w:tcPr>
            <w:tcW w:w="2927" w:type="pct"/>
          </w:tcPr>
          <w:p w14:paraId="117D3B33" w14:textId="08D0B63C"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w:t>
            </w:r>
            <w:r w:rsidRPr="00CC3A91">
              <w:rPr>
                <w:rFonts w:asciiTheme="majorHAnsi" w:hAnsiTheme="majorHAnsi" w:cs="Arial"/>
                <w:b w:val="0"/>
                <w:sz w:val="20"/>
                <w:szCs w:val="20"/>
                <w:u w:val="single"/>
                <w:lang w:val="es-ES_tradnl"/>
              </w:rPr>
              <w:t xml:space="preserve"> </w:t>
            </w:r>
            <w:r w:rsidR="00424B22" w:rsidRPr="00424B22">
              <w:rPr>
                <w:rFonts w:asciiTheme="majorHAnsi" w:hAnsiTheme="majorHAnsi" w:cs="Arial"/>
                <w:b w:val="0"/>
                <w:sz w:val="20"/>
                <w:szCs w:val="20"/>
                <w:lang w:val="es-ES_tradnl"/>
              </w:rPr>
              <w:t>Vincular</w:t>
            </w:r>
            <w:r w:rsidRPr="00CC3A91">
              <w:rPr>
                <w:rFonts w:asciiTheme="majorHAnsi" w:hAnsiTheme="majorHAnsi" w:cs="Arial"/>
                <w:b w:val="0"/>
                <w:sz w:val="20"/>
                <w:szCs w:val="20"/>
                <w:lang w:val="es-ES_tradnl"/>
              </w:rPr>
              <w:t xml:space="preserve"> los ti</w:t>
            </w:r>
            <w:r w:rsidR="004438E7" w:rsidRPr="00CC3A91">
              <w:rPr>
                <w:rFonts w:asciiTheme="majorHAnsi" w:hAnsiTheme="majorHAnsi" w:cs="Arial"/>
                <w:b w:val="0"/>
                <w:sz w:val="20"/>
                <w:szCs w:val="20"/>
                <w:lang w:val="es-ES_tradnl"/>
              </w:rPr>
              <w:t>p</w:t>
            </w:r>
            <w:r w:rsidRPr="00CC3A91">
              <w:rPr>
                <w:rFonts w:asciiTheme="majorHAnsi" w:hAnsiTheme="majorHAnsi" w:cs="Arial"/>
                <w:b w:val="0"/>
                <w:sz w:val="20"/>
                <w:szCs w:val="20"/>
                <w:lang w:val="es-ES_tradnl"/>
              </w:rPr>
              <w:t>os principales de sistemas de producción acuícola mundiales al sistema de clasificación de humedales de Ramsar</w:t>
            </w:r>
            <w:r w:rsidR="004438E7"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 en el contexto del marco de gobernanza interactiva.</w:t>
            </w:r>
            <w:r w:rsidR="004438E7" w:rsidRPr="00CC3A91">
              <w:rPr>
                <w:rFonts w:asciiTheme="majorHAnsi" w:hAnsiTheme="majorHAnsi" w:cs="Arial"/>
                <w:b w:val="0"/>
                <w:sz w:val="20"/>
                <w:szCs w:val="20"/>
                <w:lang w:val="es-ES_tradnl"/>
              </w:rPr>
              <w:t xml:space="preserve"> </w:t>
            </w:r>
            <w:r w:rsidRPr="00CC3A91">
              <w:rPr>
                <w:rFonts w:asciiTheme="majorHAnsi" w:hAnsiTheme="majorHAnsi" w:cs="Arial"/>
                <w:b w:val="0"/>
                <w:sz w:val="20"/>
                <w:szCs w:val="20"/>
                <w:lang w:val="es-ES_tradnl"/>
              </w:rPr>
              <w:t>Este</w:t>
            </w:r>
            <w:r w:rsidR="004438E7" w:rsidRPr="00CC3A91">
              <w:rPr>
                <w:rFonts w:asciiTheme="majorHAnsi" w:hAnsiTheme="majorHAnsi" w:cs="Arial"/>
                <w:b w:val="0"/>
                <w:sz w:val="20"/>
                <w:szCs w:val="20"/>
                <w:lang w:val="es-ES_tradnl"/>
              </w:rPr>
              <w:t xml:space="preserve"> producto servirá para</w:t>
            </w:r>
            <w:r w:rsidRPr="00CC3A91">
              <w:rPr>
                <w:rFonts w:asciiTheme="majorHAnsi" w:hAnsiTheme="majorHAnsi" w:cs="Arial"/>
                <w:b w:val="0"/>
                <w:sz w:val="20"/>
                <w:szCs w:val="20"/>
                <w:lang w:val="es-ES_tradnl"/>
              </w:rPr>
              <w:t xml:space="preserve"> informar a los responsables de políticas en los sectores de conservación, acuicultura y financiero sobre los impactos medioambientales y sociales de la acuicultura. La Nota sobre políticas informará de los riesgos de la acuicultura y su potencial para contribuir a la seguridad alimentaria, uso racional de los humedales y el desarrollo sostenible y equitativo. </w:t>
            </w:r>
          </w:p>
          <w:p w14:paraId="0C54BD1E" w14:textId="77777777" w:rsidR="00360FBC" w:rsidRPr="00CC3A91" w:rsidRDefault="00360FBC" w:rsidP="005C68E2">
            <w:pPr>
              <w:rPr>
                <w:rFonts w:asciiTheme="majorHAnsi" w:hAnsiTheme="majorHAnsi" w:cs="Arial"/>
                <w:b w:val="0"/>
                <w:sz w:val="20"/>
                <w:szCs w:val="20"/>
                <w:lang w:val="es-ES_tradnl"/>
              </w:rPr>
            </w:pPr>
          </w:p>
          <w:p w14:paraId="29E7D41C" w14:textId="5ACB9E9E"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Nota sobre políticas relativa a</w:t>
            </w:r>
            <w:r w:rsidR="004438E7" w:rsidRPr="00CC3A91">
              <w:rPr>
                <w:rFonts w:asciiTheme="majorHAnsi" w:hAnsiTheme="majorHAnsi" w:cs="Arial"/>
                <w:b w:val="0"/>
                <w:sz w:val="20"/>
                <w:szCs w:val="20"/>
                <w:lang w:val="es-ES_tradnl"/>
              </w:rPr>
              <w:t xml:space="preserve">l desarrollo de la acuicultura </w:t>
            </w:r>
            <w:r w:rsidRPr="00CC3A91">
              <w:rPr>
                <w:rFonts w:asciiTheme="majorHAnsi" w:hAnsiTheme="majorHAnsi" w:cs="Arial"/>
                <w:b w:val="0"/>
                <w:sz w:val="20"/>
                <w:szCs w:val="20"/>
                <w:lang w:val="es-ES_tradnl"/>
              </w:rPr>
              <w:t xml:space="preserve">y </w:t>
            </w:r>
            <w:r w:rsidR="004438E7" w:rsidRPr="00CC3A91">
              <w:rPr>
                <w:rFonts w:asciiTheme="majorHAnsi" w:hAnsiTheme="majorHAnsi" w:cs="Arial"/>
                <w:b w:val="0"/>
                <w:sz w:val="20"/>
                <w:szCs w:val="20"/>
                <w:lang w:val="es-ES_tradnl"/>
              </w:rPr>
              <w:t xml:space="preserve">el </w:t>
            </w:r>
            <w:r w:rsidRPr="00CC3A91">
              <w:rPr>
                <w:rFonts w:asciiTheme="majorHAnsi" w:hAnsiTheme="majorHAnsi" w:cs="Arial"/>
                <w:b w:val="0"/>
                <w:sz w:val="20"/>
                <w:szCs w:val="20"/>
                <w:lang w:val="es-ES_tradnl"/>
              </w:rPr>
              <w:t xml:space="preserve">uso racional de los humedales </w:t>
            </w:r>
          </w:p>
          <w:p w14:paraId="3DC0F018" w14:textId="77777777" w:rsidR="00360FBC" w:rsidRPr="00CC3A91" w:rsidRDefault="00360FBC" w:rsidP="005C68E2">
            <w:pPr>
              <w:rPr>
                <w:rFonts w:asciiTheme="majorHAnsi" w:hAnsiTheme="majorHAnsi" w:cs="Arial"/>
                <w:b w:val="0"/>
                <w:sz w:val="20"/>
                <w:szCs w:val="20"/>
                <w:lang w:val="es-ES_tradnl"/>
              </w:rPr>
            </w:pPr>
          </w:p>
          <w:p w14:paraId="2DC78BDB" w14:textId="1D502939" w:rsidR="00360FBC" w:rsidRPr="00CC3A91" w:rsidRDefault="00360FBC" w:rsidP="005C68E2">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xml:space="preserve">: Responsables de políticas en las comunidades de la conservación y de la acuicultura </w:t>
            </w:r>
          </w:p>
        </w:tc>
        <w:tc>
          <w:tcPr>
            <w:tcW w:w="491" w:type="pct"/>
          </w:tcPr>
          <w:p w14:paraId="5B4D20CE" w14:textId="2A06319B" w:rsidR="00360FBC" w:rsidRPr="00CC3A91" w:rsidRDefault="00360FBC" w:rsidP="00EB7788">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9.000 [posibilidad de celebrar un </w:t>
            </w:r>
            <w:r w:rsidR="004438E7" w:rsidRPr="00CC3A91">
              <w:rPr>
                <w:rFonts w:asciiTheme="majorHAnsi" w:hAnsiTheme="majorHAnsi" w:cs="Arial"/>
                <w:b w:val="0"/>
                <w:sz w:val="20"/>
                <w:szCs w:val="20"/>
                <w:lang w:val="es-ES_tradnl"/>
              </w:rPr>
              <w:t xml:space="preserve">pequeño taller de </w:t>
            </w:r>
            <w:r w:rsidR="00EB7788">
              <w:rPr>
                <w:rFonts w:asciiTheme="majorHAnsi" w:hAnsiTheme="majorHAnsi" w:cs="Arial"/>
                <w:b w:val="0"/>
                <w:sz w:val="20"/>
                <w:szCs w:val="20"/>
                <w:lang w:val="es-ES_tradnl"/>
              </w:rPr>
              <w:t>redacción, vinculado al EHMS o a otras reunione</w:t>
            </w:r>
            <w:r w:rsidR="00EB7788" w:rsidRPr="00EB7788">
              <w:rPr>
                <w:rFonts w:asciiTheme="majorHAnsi" w:hAnsiTheme="majorHAnsi" w:cs="Arial"/>
                <w:b w:val="0"/>
                <w:sz w:val="20"/>
                <w:szCs w:val="20"/>
                <w:lang w:val="es-ES_tradnl"/>
              </w:rPr>
              <w:t>s</w:t>
            </w:r>
            <w:r w:rsidRPr="00EB7788">
              <w:rPr>
                <w:rFonts w:asciiTheme="majorHAnsi" w:hAnsiTheme="majorHAnsi" w:cs="Arial"/>
                <w:b w:val="0"/>
                <w:sz w:val="20"/>
                <w:szCs w:val="20"/>
                <w:lang w:val="es-ES_tradnl"/>
              </w:rPr>
              <w:t>]</w:t>
            </w:r>
          </w:p>
        </w:tc>
      </w:tr>
    </w:tbl>
    <w:p w14:paraId="697614D1" w14:textId="77777777" w:rsidR="00EF4061" w:rsidRPr="00CC3A91" w:rsidRDefault="00EF4061" w:rsidP="00EF4061">
      <w:pPr>
        <w:rPr>
          <w:rFonts w:asciiTheme="majorHAnsi" w:hAnsiTheme="majorHAnsi" w:cs="Arial"/>
          <w:sz w:val="20"/>
          <w:szCs w:val="20"/>
          <w:lang w:val="es-ES_tradnl"/>
        </w:rPr>
      </w:pPr>
    </w:p>
    <w:tbl>
      <w:tblPr>
        <w:tblStyle w:val="TableGrid"/>
        <w:tblpPr w:leftFromText="180" w:rightFromText="180" w:vertAnchor="text" w:horzAnchor="margin" w:tblpY="-37"/>
        <w:tblW w:w="5000" w:type="pct"/>
        <w:tblLook w:val="04A0" w:firstRow="1" w:lastRow="0" w:firstColumn="1" w:lastColumn="0" w:noHBand="0" w:noVBand="1"/>
      </w:tblPr>
      <w:tblGrid>
        <w:gridCol w:w="14174"/>
      </w:tblGrid>
      <w:tr w:rsidR="00EF4061" w:rsidRPr="00E81A45" w14:paraId="706D5439" w14:textId="77777777" w:rsidTr="00EF4061">
        <w:trPr>
          <w:cantSplit/>
        </w:trPr>
        <w:tc>
          <w:tcPr>
            <w:tcW w:w="5000" w:type="pct"/>
            <w:shd w:val="clear" w:color="auto" w:fill="000000" w:themeFill="text1"/>
          </w:tcPr>
          <w:p w14:paraId="720978D4" w14:textId="7ABEDB27" w:rsidR="00EF4061" w:rsidRPr="00CC3A91" w:rsidRDefault="00E96BD0" w:rsidP="00760CBD">
            <w:pPr>
              <w:rPr>
                <w:rFonts w:asciiTheme="majorHAnsi" w:hAnsiTheme="majorHAnsi" w:cs="Arial"/>
                <w:sz w:val="20"/>
                <w:szCs w:val="20"/>
                <w:lang w:val="es-ES_tradnl"/>
              </w:rPr>
            </w:pPr>
            <w:r w:rsidRPr="00CC3A91">
              <w:rPr>
                <w:rFonts w:asciiTheme="majorHAnsi" w:hAnsiTheme="majorHAnsi" w:cs="Arial"/>
                <w:sz w:val="20"/>
                <w:szCs w:val="20"/>
                <w:lang w:val="es-ES_tradnl"/>
              </w:rPr>
              <w:t>Área Temática de Trabajo Nº 5</w:t>
            </w:r>
            <w:r w:rsidR="00EF4061" w:rsidRPr="00CC3A91">
              <w:rPr>
                <w:rFonts w:asciiTheme="majorHAnsi" w:hAnsiTheme="majorHAnsi" w:cs="Arial"/>
                <w:sz w:val="20"/>
                <w:szCs w:val="20"/>
                <w:lang w:val="es-ES_tradnl"/>
              </w:rPr>
              <w:t xml:space="preserve">: </w:t>
            </w:r>
            <w:r w:rsidR="00760CBD" w:rsidRPr="00CC3A91">
              <w:rPr>
                <w:rFonts w:asciiTheme="majorHAnsi" w:hAnsiTheme="majorHAnsi" w:cs="Arial"/>
                <w:sz w:val="20"/>
                <w:szCs w:val="20"/>
                <w:lang w:val="es-ES_tradnl"/>
              </w:rPr>
              <w:t>El cambio climático y l</w:t>
            </w:r>
            <w:r w:rsidR="004438E7" w:rsidRPr="00CC3A91">
              <w:rPr>
                <w:rFonts w:asciiTheme="majorHAnsi" w:hAnsiTheme="majorHAnsi" w:cs="Arial"/>
                <w:sz w:val="20"/>
                <w:szCs w:val="20"/>
                <w:lang w:val="es-ES_tradnl"/>
              </w:rPr>
              <w:t>os humedales</w:t>
            </w:r>
            <w:r w:rsidR="00EF4061" w:rsidRPr="00CC3A91">
              <w:rPr>
                <w:rFonts w:asciiTheme="majorHAnsi" w:hAnsiTheme="majorHAnsi" w:cs="Arial"/>
                <w:sz w:val="20"/>
                <w:szCs w:val="20"/>
                <w:lang w:val="es-ES_tradnl"/>
              </w:rPr>
              <w:t xml:space="preserve">: </w:t>
            </w:r>
            <w:r w:rsidR="00760CBD" w:rsidRPr="00CC3A91">
              <w:rPr>
                <w:rFonts w:asciiTheme="majorHAnsi" w:hAnsiTheme="majorHAnsi" w:cs="Arial"/>
                <w:sz w:val="20"/>
                <w:szCs w:val="20"/>
                <w:lang w:val="es-ES_tradnl"/>
              </w:rPr>
              <w:t>metodologías innovadoras para la restauración de humedales</w:t>
            </w:r>
          </w:p>
        </w:tc>
      </w:tr>
    </w:tbl>
    <w:tbl>
      <w:tblPr>
        <w:tblStyle w:val="TableGrid2"/>
        <w:tblW w:w="5000" w:type="pct"/>
        <w:tblLook w:val="04A0" w:firstRow="1" w:lastRow="0" w:firstColumn="1" w:lastColumn="0" w:noHBand="0" w:noVBand="1"/>
      </w:tblPr>
      <w:tblGrid>
        <w:gridCol w:w="3561"/>
        <w:gridCol w:w="10613"/>
      </w:tblGrid>
      <w:tr w:rsidR="00EF4061" w:rsidRPr="00E81A45" w14:paraId="434CB73B" w14:textId="77777777" w:rsidTr="00FB3790">
        <w:tc>
          <w:tcPr>
            <w:tcW w:w="1256" w:type="pct"/>
          </w:tcPr>
          <w:p w14:paraId="4D4E52E8" w14:textId="2E34146F" w:rsidR="00EF4061" w:rsidRPr="00CC3A91" w:rsidRDefault="000A7839" w:rsidP="00FB3790">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Responsable(s) del grupo de trabajo y participantes: </w:t>
            </w:r>
          </w:p>
        </w:tc>
        <w:tc>
          <w:tcPr>
            <w:tcW w:w="3744" w:type="pct"/>
          </w:tcPr>
          <w:p w14:paraId="50CF7F1F" w14:textId="3035246B" w:rsidR="00EF4061" w:rsidRPr="00CC3A91" w:rsidRDefault="00EF4061" w:rsidP="0037459B">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Susana Aguilar, Peter Davies, Lars Dinesen,</w:t>
            </w:r>
            <w:r w:rsidR="0088725B" w:rsidRPr="00CC3A91">
              <w:rPr>
                <w:rFonts w:asciiTheme="majorHAnsi" w:eastAsia="Calibri" w:hAnsiTheme="majorHAnsi" w:cs="Arial"/>
                <w:b w:val="0"/>
                <w:sz w:val="20"/>
                <w:szCs w:val="20"/>
                <w:lang w:val="es-ES_tradnl"/>
              </w:rPr>
              <w:t xml:space="preserve"> </w:t>
            </w:r>
            <w:r w:rsidRPr="00CC3A91">
              <w:rPr>
                <w:rFonts w:asciiTheme="majorHAnsi" w:eastAsia="Calibri" w:hAnsiTheme="majorHAnsi" w:cs="Arial"/>
                <w:b w:val="0"/>
                <w:sz w:val="20"/>
                <w:szCs w:val="20"/>
                <w:lang w:val="es-ES_tradnl"/>
              </w:rPr>
              <w:t>Siobhan Fennessy (co</w:t>
            </w:r>
            <w:r w:rsidR="0037459B">
              <w:rPr>
                <w:rFonts w:asciiTheme="majorHAnsi" w:eastAsia="Calibri" w:hAnsiTheme="majorHAnsi" w:cs="Arial"/>
                <w:b w:val="0"/>
                <w:sz w:val="20"/>
                <w:szCs w:val="20"/>
                <w:lang w:val="es-ES_tradnl"/>
              </w:rPr>
              <w:t>rresponsable</w:t>
            </w:r>
            <w:r w:rsidRPr="00CC3A91">
              <w:rPr>
                <w:rFonts w:asciiTheme="majorHAnsi" w:eastAsia="Calibri" w:hAnsiTheme="majorHAnsi" w:cs="Arial"/>
                <w:b w:val="0"/>
                <w:sz w:val="20"/>
                <w:szCs w:val="20"/>
                <w:lang w:val="es-ES_tradnl"/>
              </w:rPr>
              <w:t>),</w:t>
            </w:r>
            <w:r w:rsidR="0088725B" w:rsidRPr="00CC3A91">
              <w:rPr>
                <w:rFonts w:asciiTheme="majorHAnsi" w:eastAsia="Calibri" w:hAnsiTheme="majorHAnsi" w:cs="Arial"/>
                <w:b w:val="0"/>
                <w:sz w:val="20"/>
                <w:szCs w:val="20"/>
                <w:lang w:val="es-ES_tradnl"/>
              </w:rPr>
              <w:t xml:space="preserve"> </w:t>
            </w:r>
            <w:r w:rsidRPr="00CC3A91">
              <w:rPr>
                <w:rFonts w:asciiTheme="majorHAnsi" w:eastAsia="Calibri" w:hAnsiTheme="majorHAnsi" w:cs="Arial"/>
                <w:b w:val="0"/>
                <w:sz w:val="20"/>
                <w:szCs w:val="20"/>
                <w:lang w:val="es-ES_tradnl"/>
              </w:rPr>
              <w:t>Max Finlayson, Vincent V. Hilomen, Jari Ilmonen,</w:t>
            </w:r>
            <w:r w:rsidR="0088725B" w:rsidRPr="00CC3A91">
              <w:rPr>
                <w:rFonts w:asciiTheme="majorHAnsi" w:eastAsia="Calibri" w:hAnsiTheme="majorHAnsi" w:cs="Arial"/>
                <w:b w:val="0"/>
                <w:sz w:val="20"/>
                <w:szCs w:val="20"/>
                <w:lang w:val="es-ES_tradnl"/>
              </w:rPr>
              <w:t xml:space="preserve"> </w:t>
            </w:r>
            <w:r w:rsidRPr="00CC3A91">
              <w:rPr>
                <w:rFonts w:asciiTheme="majorHAnsi" w:eastAsia="Calibri" w:hAnsiTheme="majorHAnsi" w:cs="Arial"/>
                <w:b w:val="0"/>
                <w:sz w:val="20"/>
                <w:szCs w:val="20"/>
                <w:lang w:val="es-ES_tradnl"/>
              </w:rPr>
              <w:t>Dulce Infante Mata, Kassim Kulindwa, Ritesh Kumar,</w:t>
            </w:r>
            <w:r w:rsidR="0088725B" w:rsidRPr="00CC3A91">
              <w:rPr>
                <w:rFonts w:asciiTheme="majorHAnsi" w:eastAsia="Calibri" w:hAnsiTheme="majorHAnsi" w:cs="Arial"/>
                <w:b w:val="0"/>
                <w:sz w:val="20"/>
                <w:szCs w:val="20"/>
                <w:lang w:val="es-ES_tradnl"/>
              </w:rPr>
              <w:t xml:space="preserve"> </w:t>
            </w:r>
            <w:r w:rsidRPr="00CC3A91">
              <w:rPr>
                <w:rFonts w:asciiTheme="majorHAnsi" w:eastAsia="Calibri" w:hAnsiTheme="majorHAnsi" w:cs="Arial"/>
                <w:b w:val="0"/>
                <w:sz w:val="20"/>
                <w:szCs w:val="20"/>
                <w:lang w:val="es-ES_tradnl"/>
              </w:rPr>
              <w:t>Guangchun Lei (co</w:t>
            </w:r>
            <w:r w:rsidR="0037459B">
              <w:rPr>
                <w:rFonts w:asciiTheme="majorHAnsi" w:eastAsia="Calibri" w:hAnsiTheme="majorHAnsi" w:cs="Arial"/>
                <w:b w:val="0"/>
                <w:sz w:val="20"/>
                <w:szCs w:val="20"/>
                <w:lang w:val="es-ES_tradnl"/>
              </w:rPr>
              <w:t>rresponsable</w:t>
            </w:r>
            <w:r w:rsidRPr="00CC3A91">
              <w:rPr>
                <w:rFonts w:asciiTheme="majorHAnsi" w:eastAsia="Calibri" w:hAnsiTheme="majorHAnsi" w:cs="Arial"/>
                <w:b w:val="0"/>
                <w:sz w:val="20"/>
                <w:szCs w:val="20"/>
                <w:lang w:val="es-ES_tradnl"/>
              </w:rPr>
              <w:t>)</w:t>
            </w:r>
          </w:p>
        </w:tc>
      </w:tr>
      <w:tr w:rsidR="00EF4061" w:rsidRPr="00CC3A91" w14:paraId="7ACF0F5C" w14:textId="77777777" w:rsidTr="00FB3790">
        <w:tc>
          <w:tcPr>
            <w:tcW w:w="1256" w:type="pct"/>
          </w:tcPr>
          <w:p w14:paraId="711E2CA5" w14:textId="137ADB9F" w:rsidR="00EF4061" w:rsidRPr="00CC3A91" w:rsidRDefault="00760CBD" w:rsidP="00760CBD">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 xml:space="preserve">Persona de contacto en la </w:t>
            </w:r>
            <w:r w:rsidR="00EF4061" w:rsidRPr="00CC3A91">
              <w:rPr>
                <w:rFonts w:asciiTheme="majorHAnsi" w:eastAsia="Calibri" w:hAnsiTheme="majorHAnsi" w:cs="Arial"/>
                <w:sz w:val="20"/>
                <w:szCs w:val="20"/>
                <w:lang w:val="es-ES_tradnl"/>
              </w:rPr>
              <w:t>Secretar</w:t>
            </w:r>
            <w:r w:rsidRPr="00CC3A91">
              <w:rPr>
                <w:rFonts w:asciiTheme="majorHAnsi" w:eastAsia="Calibri" w:hAnsiTheme="majorHAnsi" w:cs="Arial"/>
                <w:sz w:val="20"/>
                <w:szCs w:val="20"/>
                <w:lang w:val="es-ES_tradnl"/>
              </w:rPr>
              <w:t>ía</w:t>
            </w:r>
            <w:r w:rsidR="00EF4061" w:rsidRPr="00CC3A91">
              <w:rPr>
                <w:rFonts w:asciiTheme="majorHAnsi" w:eastAsia="Calibri" w:hAnsiTheme="majorHAnsi" w:cs="Arial"/>
                <w:sz w:val="20"/>
                <w:szCs w:val="20"/>
                <w:lang w:val="es-ES_tradnl"/>
              </w:rPr>
              <w:t>:</w:t>
            </w:r>
          </w:p>
        </w:tc>
        <w:tc>
          <w:tcPr>
            <w:tcW w:w="3744" w:type="pct"/>
          </w:tcPr>
          <w:p w14:paraId="2DA3AA75" w14:textId="77777777" w:rsidR="00EF4061" w:rsidRPr="00CC3A91" w:rsidRDefault="00EF4061" w:rsidP="00FB3790">
            <w:pPr>
              <w:rPr>
                <w:rFonts w:asciiTheme="majorHAnsi" w:eastAsia="Calibri" w:hAnsiTheme="majorHAnsi" w:cs="Arial"/>
                <w:b w:val="0"/>
                <w:sz w:val="20"/>
                <w:szCs w:val="20"/>
                <w:lang w:val="es-ES_tradnl"/>
              </w:rPr>
            </w:pPr>
            <w:r w:rsidRPr="00CC3A91">
              <w:rPr>
                <w:rFonts w:asciiTheme="majorHAnsi" w:eastAsia="Calibri" w:hAnsiTheme="majorHAnsi" w:cs="Arial"/>
                <w:b w:val="0"/>
                <w:sz w:val="20"/>
                <w:szCs w:val="20"/>
                <w:lang w:val="es-ES_tradnl"/>
              </w:rPr>
              <w:t>Tobias Salath</w:t>
            </w:r>
            <w:r w:rsidRPr="00CC3A91">
              <w:rPr>
                <w:rFonts w:ascii="Calibri" w:eastAsia="Calibri" w:hAnsi="Calibri" w:cs="Arial"/>
                <w:b w:val="0"/>
                <w:sz w:val="20"/>
                <w:szCs w:val="20"/>
                <w:lang w:val="es-ES_tradnl"/>
              </w:rPr>
              <w:t>é</w:t>
            </w:r>
          </w:p>
        </w:tc>
      </w:tr>
      <w:tr w:rsidR="00EF4061" w:rsidRPr="00E81A45" w14:paraId="09B3B85D" w14:textId="77777777" w:rsidTr="00FB3790">
        <w:tc>
          <w:tcPr>
            <w:tcW w:w="1256" w:type="pct"/>
          </w:tcPr>
          <w:p w14:paraId="748D39D9" w14:textId="1F00B60D" w:rsidR="00EF4061" w:rsidRPr="00CC3A91" w:rsidRDefault="000A7839" w:rsidP="00FB3790">
            <w:pPr>
              <w:rPr>
                <w:rFonts w:asciiTheme="majorHAnsi" w:eastAsia="Calibri" w:hAnsiTheme="majorHAnsi" w:cs="Arial"/>
                <w:sz w:val="20"/>
                <w:szCs w:val="20"/>
                <w:lang w:val="es-ES_tradnl"/>
              </w:rPr>
            </w:pPr>
            <w:r w:rsidRPr="00CC3A91">
              <w:rPr>
                <w:rFonts w:asciiTheme="majorHAnsi" w:eastAsia="Calibri" w:hAnsiTheme="majorHAnsi" w:cs="Arial"/>
                <w:sz w:val="20"/>
                <w:szCs w:val="20"/>
                <w:lang w:val="es-ES_tradnl"/>
              </w:rPr>
              <w:t>Organizaciones contribuyentes: [OIA/observadores/otros]</w:t>
            </w:r>
          </w:p>
        </w:tc>
        <w:tc>
          <w:tcPr>
            <w:tcW w:w="3744" w:type="pct"/>
          </w:tcPr>
          <w:p w14:paraId="68F13CBB" w14:textId="329B41C0" w:rsidR="00EF4061" w:rsidRPr="00CC3A91" w:rsidRDefault="00EF4061" w:rsidP="00CC3A91">
            <w:pPr>
              <w:rPr>
                <w:rFonts w:asciiTheme="majorHAnsi" w:eastAsia="Calibri" w:hAnsiTheme="majorHAnsi" w:cs="Arial"/>
                <w:b w:val="0"/>
                <w:sz w:val="20"/>
                <w:szCs w:val="20"/>
                <w:highlight w:val="yellow"/>
                <w:lang w:val="es-ES_tradnl"/>
              </w:rPr>
            </w:pPr>
            <w:r w:rsidRPr="00CC3A91">
              <w:rPr>
                <w:rFonts w:asciiTheme="majorHAnsi" w:eastAsia="Calibri" w:hAnsiTheme="majorHAnsi" w:cs="Arial"/>
                <w:b w:val="0"/>
                <w:sz w:val="20"/>
                <w:szCs w:val="20"/>
                <w:lang w:val="es-ES_tradnl"/>
              </w:rPr>
              <w:t xml:space="preserve">BirdLife International (Zoltan Waliczky), WI (Marcel Silvius)/ UNESCO-MAB (Marie Prchalova), </w:t>
            </w:r>
            <w:r w:rsidR="00CC3A91" w:rsidRPr="00CC3A91">
              <w:rPr>
                <w:rFonts w:asciiTheme="majorHAnsi" w:eastAsia="Calibri" w:hAnsiTheme="majorHAnsi" w:cs="Arial"/>
                <w:b w:val="0"/>
                <w:sz w:val="20"/>
                <w:szCs w:val="20"/>
                <w:lang w:val="es-ES_tradnl"/>
              </w:rPr>
              <w:t xml:space="preserve">SWS (Nick Davidson), </w:t>
            </w:r>
            <w:r w:rsidRPr="00CC3A91">
              <w:rPr>
                <w:rFonts w:asciiTheme="majorHAnsi" w:eastAsia="Calibri" w:hAnsiTheme="majorHAnsi" w:cs="Arial"/>
                <w:b w:val="0"/>
                <w:sz w:val="20"/>
                <w:szCs w:val="20"/>
                <w:lang w:val="es-ES_tradnl"/>
              </w:rPr>
              <w:t>Tour du Valat (Christian Perennou)</w:t>
            </w:r>
            <w:r w:rsidR="00CC3A91" w:rsidRPr="00CC3A91">
              <w:rPr>
                <w:rFonts w:asciiTheme="majorHAnsi" w:eastAsia="Calibri" w:hAnsiTheme="majorHAnsi" w:cs="Arial"/>
                <w:b w:val="0"/>
                <w:sz w:val="20"/>
                <w:szCs w:val="20"/>
                <w:lang w:val="es-ES_tradnl"/>
              </w:rPr>
              <w:t>, ONU-Habitat (Rob McInnes)</w:t>
            </w:r>
            <w:r w:rsidRPr="00CC3A91">
              <w:rPr>
                <w:rFonts w:asciiTheme="majorHAnsi" w:eastAsia="Calibri" w:hAnsiTheme="majorHAnsi" w:cs="Arial"/>
                <w:b w:val="0"/>
                <w:sz w:val="20"/>
                <w:szCs w:val="20"/>
                <w:lang w:val="es-ES_tradnl"/>
              </w:rPr>
              <w:t xml:space="preserve">/ </w:t>
            </w:r>
            <w:r w:rsidR="00517D16" w:rsidRPr="00CC3A91">
              <w:rPr>
                <w:rFonts w:asciiTheme="majorHAnsi" w:eastAsia="Calibri" w:hAnsiTheme="majorHAnsi" w:cs="Arial"/>
                <w:b w:val="0"/>
                <w:sz w:val="20"/>
                <w:szCs w:val="20"/>
                <w:lang w:val="es-ES_tradnl"/>
              </w:rPr>
              <w:t>Coordinador Nacional del GECT para Canadá</w:t>
            </w:r>
            <w:r w:rsidRPr="00CC3A91">
              <w:rPr>
                <w:rFonts w:asciiTheme="majorHAnsi" w:eastAsia="Calibri" w:hAnsiTheme="majorHAnsi" w:cs="Arial"/>
                <w:b w:val="0"/>
                <w:sz w:val="20"/>
                <w:szCs w:val="20"/>
                <w:lang w:val="es-ES_tradnl"/>
              </w:rPr>
              <w:t xml:space="preserve"> (Barry Warner), </w:t>
            </w:r>
            <w:r w:rsidR="00517D16" w:rsidRPr="00CC3A91">
              <w:rPr>
                <w:rFonts w:asciiTheme="majorHAnsi" w:eastAsia="Calibri" w:hAnsiTheme="majorHAnsi" w:cs="Arial"/>
                <w:b w:val="0"/>
                <w:sz w:val="20"/>
                <w:szCs w:val="20"/>
                <w:lang w:val="es-ES_tradnl"/>
              </w:rPr>
              <w:t xml:space="preserve">Coordinador Nacional del GECT para Malasia </w:t>
            </w:r>
            <w:r w:rsidRPr="00CC3A91">
              <w:rPr>
                <w:rFonts w:asciiTheme="majorHAnsi" w:eastAsia="Calibri" w:hAnsiTheme="majorHAnsi" w:cs="Arial"/>
                <w:b w:val="0"/>
                <w:sz w:val="20"/>
                <w:szCs w:val="20"/>
                <w:lang w:val="es-ES_tradnl"/>
              </w:rPr>
              <w:t xml:space="preserve">(Abd Rahman Kassim), </w:t>
            </w:r>
            <w:r w:rsidR="00517D16" w:rsidRPr="00CC3A91">
              <w:rPr>
                <w:rFonts w:asciiTheme="majorHAnsi" w:eastAsia="Calibri" w:hAnsiTheme="majorHAnsi" w:cs="Arial"/>
                <w:b w:val="0"/>
                <w:sz w:val="20"/>
                <w:szCs w:val="20"/>
                <w:lang w:val="es-ES_tradnl"/>
              </w:rPr>
              <w:t xml:space="preserve">Coordinador Nacional del GECT para </w:t>
            </w:r>
            <w:r w:rsidR="007D6E58" w:rsidRPr="00CC3A91">
              <w:rPr>
                <w:rFonts w:asciiTheme="majorHAnsi" w:eastAsia="Calibri" w:hAnsiTheme="majorHAnsi" w:cs="Arial"/>
                <w:b w:val="0"/>
                <w:sz w:val="20"/>
                <w:szCs w:val="20"/>
                <w:lang w:val="es-ES_tradnl"/>
              </w:rPr>
              <w:t xml:space="preserve">Portugal (Ana </w:t>
            </w:r>
            <w:r w:rsidR="007D6E58" w:rsidRPr="00CC3A91">
              <w:rPr>
                <w:rFonts w:asciiTheme="majorHAnsi" w:eastAsia="Calibri" w:hAnsiTheme="majorHAnsi" w:cs="Arial"/>
                <w:b w:val="0"/>
                <w:sz w:val="20"/>
                <w:szCs w:val="20"/>
                <w:lang w:val="es-ES_tradnl"/>
              </w:rPr>
              <w:lastRenderedPageBreak/>
              <w:t xml:space="preserve">Mendes), </w:t>
            </w:r>
            <w:r w:rsidRPr="00CC3A91">
              <w:rPr>
                <w:rFonts w:asciiTheme="majorHAnsi" w:eastAsia="Calibri" w:hAnsiTheme="majorHAnsi" w:cs="Arial"/>
                <w:b w:val="0"/>
                <w:sz w:val="20"/>
                <w:szCs w:val="20"/>
                <w:lang w:val="es-ES_tradnl"/>
              </w:rPr>
              <w:t>IPS (Jack Rieley)</w:t>
            </w:r>
          </w:p>
        </w:tc>
      </w:tr>
    </w:tbl>
    <w:p w14:paraId="4EB486E0" w14:textId="0F168902" w:rsidR="00EF4061" w:rsidRPr="00CC3A91" w:rsidRDefault="00EF4061" w:rsidP="00EF4061">
      <w:pPr>
        <w:rPr>
          <w:rFonts w:asciiTheme="majorHAnsi" w:hAnsiTheme="majorHAnsi" w:cs="Arial"/>
          <w:sz w:val="20"/>
          <w:szCs w:val="20"/>
          <w:lang w:val="es-ES_tradnl"/>
        </w:rPr>
      </w:pPr>
    </w:p>
    <w:tbl>
      <w:tblPr>
        <w:tblStyle w:val="TableGrid"/>
        <w:tblW w:w="5030" w:type="pct"/>
        <w:tblInd w:w="-85" w:type="dxa"/>
        <w:tblCellMar>
          <w:top w:w="57" w:type="dxa"/>
          <w:left w:w="57" w:type="dxa"/>
          <w:bottom w:w="57" w:type="dxa"/>
          <w:right w:w="57" w:type="dxa"/>
        </w:tblCellMar>
        <w:tblLook w:val="04A0" w:firstRow="1" w:lastRow="0" w:firstColumn="1" w:lastColumn="0" w:noHBand="0" w:noVBand="1"/>
      </w:tblPr>
      <w:tblGrid>
        <w:gridCol w:w="1479"/>
        <w:gridCol w:w="882"/>
        <w:gridCol w:w="977"/>
        <w:gridCol w:w="1109"/>
        <w:gridCol w:w="8337"/>
        <w:gridCol w:w="1372"/>
      </w:tblGrid>
      <w:tr w:rsidR="00360FBC" w:rsidRPr="00CC3A91" w14:paraId="6D0A5CFC" w14:textId="77777777" w:rsidTr="00360FBC">
        <w:tc>
          <w:tcPr>
            <w:tcW w:w="522" w:type="pct"/>
            <w:shd w:val="clear" w:color="auto" w:fill="D9D9D9" w:themeFill="background1" w:themeFillShade="D9"/>
          </w:tcPr>
          <w:p w14:paraId="1B6D8B57" w14:textId="283B44C0"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No. y título de la tarea</w:t>
            </w:r>
          </w:p>
        </w:tc>
        <w:tc>
          <w:tcPr>
            <w:tcW w:w="282" w:type="pct"/>
            <w:shd w:val="clear" w:color="auto" w:fill="D9D9D9" w:themeFill="background1" w:themeFillShade="D9"/>
          </w:tcPr>
          <w:p w14:paraId="54874BAA" w14:textId="37D87037"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Prioridad</w:t>
            </w:r>
          </w:p>
        </w:tc>
        <w:tc>
          <w:tcPr>
            <w:tcW w:w="353" w:type="pct"/>
            <w:shd w:val="clear" w:color="auto" w:fill="D9D9D9" w:themeFill="background1" w:themeFillShade="D9"/>
          </w:tcPr>
          <w:p w14:paraId="656EA866" w14:textId="4747104E"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Res.</w:t>
            </w:r>
          </w:p>
        </w:tc>
        <w:tc>
          <w:tcPr>
            <w:tcW w:w="399" w:type="pct"/>
            <w:shd w:val="clear" w:color="auto" w:fill="D9D9D9" w:themeFill="background1" w:themeFillShade="D9"/>
          </w:tcPr>
          <w:p w14:paraId="613F439E" w14:textId="75C77A00" w:rsidR="00360FBC" w:rsidRPr="00CC3A91" w:rsidRDefault="00360FBC" w:rsidP="00EF4061">
            <w:pPr>
              <w:jc w:val="center"/>
              <w:rPr>
                <w:rFonts w:asciiTheme="majorHAnsi" w:hAnsiTheme="majorHAnsi" w:cs="Arial"/>
                <w:sz w:val="20"/>
                <w:szCs w:val="20"/>
                <w:lang w:val="es-ES_tradnl"/>
              </w:rPr>
            </w:pPr>
            <w:r w:rsidRPr="00CC3A91">
              <w:rPr>
                <w:rFonts w:asciiTheme="majorHAnsi" w:eastAsia="Calibri" w:hAnsiTheme="majorHAnsi" w:cs="Arial"/>
                <w:sz w:val="20"/>
                <w:szCs w:val="20"/>
                <w:lang w:val="es-ES_tradnl"/>
              </w:rPr>
              <w:t>Objetivo y meta del Plan Estratégico</w:t>
            </w:r>
          </w:p>
        </w:tc>
        <w:tc>
          <w:tcPr>
            <w:tcW w:w="2952" w:type="pct"/>
            <w:shd w:val="clear" w:color="auto" w:fill="D9D9D9" w:themeFill="background1" w:themeFillShade="D9"/>
          </w:tcPr>
          <w:p w14:paraId="5311FA2F" w14:textId="09361F72" w:rsidR="00360FBC" w:rsidRPr="00CC3A91" w:rsidRDefault="00360FBC" w:rsidP="00CC3A91">
            <w:pPr>
              <w:rPr>
                <w:rFonts w:asciiTheme="majorHAnsi" w:hAnsiTheme="majorHAnsi" w:cs="Arial"/>
                <w:sz w:val="20"/>
                <w:szCs w:val="20"/>
                <w:lang w:val="es-ES_tradnl"/>
              </w:rPr>
            </w:pPr>
            <w:r w:rsidRPr="00CC3A91">
              <w:rPr>
                <w:rFonts w:asciiTheme="majorHAnsi" w:hAnsiTheme="majorHAnsi" w:cs="Arial"/>
                <w:sz w:val="20"/>
                <w:szCs w:val="20"/>
                <w:lang w:val="es-ES_tradnl"/>
              </w:rPr>
              <w:t xml:space="preserve">Descripción de la tarea, </w:t>
            </w:r>
            <w:r w:rsidR="00CC3A91" w:rsidRPr="00CC3A91">
              <w:rPr>
                <w:rFonts w:asciiTheme="majorHAnsi" w:hAnsiTheme="majorHAnsi" w:cs="Arial"/>
                <w:sz w:val="20"/>
                <w:szCs w:val="20"/>
                <w:lang w:val="es-ES_tradnl"/>
              </w:rPr>
              <w:t xml:space="preserve">productos esperados y grupos destinatarios </w:t>
            </w:r>
          </w:p>
        </w:tc>
        <w:tc>
          <w:tcPr>
            <w:tcW w:w="492" w:type="pct"/>
            <w:shd w:val="clear" w:color="auto" w:fill="D9D9D9" w:themeFill="background1" w:themeFillShade="D9"/>
          </w:tcPr>
          <w:p w14:paraId="4A1E2642" w14:textId="77777777" w:rsidR="00360FBC" w:rsidRPr="00CC3A91" w:rsidRDefault="00360FBC" w:rsidP="00360FBC">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Costo</w:t>
            </w:r>
          </w:p>
          <w:p w14:paraId="73B7CB97" w14:textId="01AE7C9C" w:rsidR="00360FBC" w:rsidRPr="00CC3A91" w:rsidRDefault="00360FBC" w:rsidP="00EF4061">
            <w:pPr>
              <w:jc w:val="center"/>
              <w:rPr>
                <w:rFonts w:asciiTheme="majorHAnsi" w:hAnsiTheme="majorHAnsi" w:cs="Arial"/>
                <w:sz w:val="20"/>
                <w:szCs w:val="20"/>
                <w:lang w:val="es-ES_tradnl"/>
              </w:rPr>
            </w:pPr>
            <w:r w:rsidRPr="00CC3A91">
              <w:rPr>
                <w:rFonts w:asciiTheme="majorHAnsi" w:hAnsiTheme="majorHAnsi" w:cs="Arial"/>
                <w:sz w:val="20"/>
                <w:szCs w:val="20"/>
                <w:lang w:val="es-ES_tradnl"/>
              </w:rPr>
              <w:t>francos suizos</w:t>
            </w:r>
          </w:p>
        </w:tc>
      </w:tr>
      <w:tr w:rsidR="00360FBC" w:rsidRPr="00E81A45" w14:paraId="4FFA1998" w14:textId="77777777" w:rsidTr="00360FBC">
        <w:tc>
          <w:tcPr>
            <w:tcW w:w="522" w:type="pct"/>
          </w:tcPr>
          <w:p w14:paraId="419E1693" w14:textId="457E989C" w:rsidR="00360FBC" w:rsidRPr="00CC3A91" w:rsidRDefault="00360FBC" w:rsidP="00BD1DA9">
            <w:pPr>
              <w:rPr>
                <w:rFonts w:asciiTheme="majorHAnsi" w:hAnsiTheme="majorHAnsi" w:cs="Arial"/>
                <w:b w:val="0"/>
                <w:sz w:val="20"/>
                <w:szCs w:val="20"/>
                <w:lang w:val="es-ES_tradnl" w:eastAsia="zh-CN"/>
              </w:rPr>
            </w:pPr>
            <w:r w:rsidRPr="00CC3A91">
              <w:rPr>
                <w:rFonts w:asciiTheme="majorHAnsi" w:hAnsiTheme="majorHAnsi" w:cs="Arial"/>
                <w:b w:val="0"/>
                <w:sz w:val="20"/>
                <w:szCs w:val="20"/>
                <w:lang w:val="es-ES_tradnl" w:eastAsia="zh-CN"/>
              </w:rPr>
              <w:t xml:space="preserve">5.1 Promover las buenas prácticas de restauración de los humedales </w:t>
            </w:r>
          </w:p>
        </w:tc>
        <w:tc>
          <w:tcPr>
            <w:tcW w:w="282" w:type="pct"/>
          </w:tcPr>
          <w:p w14:paraId="68D4D5F3" w14:textId="47DA7036" w:rsidR="00360FBC" w:rsidRPr="00CC3A91" w:rsidRDefault="00760CBD"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Alta</w:t>
            </w:r>
          </w:p>
        </w:tc>
        <w:tc>
          <w:tcPr>
            <w:tcW w:w="353" w:type="pct"/>
          </w:tcPr>
          <w:p w14:paraId="4820AF3B"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XII.2; XII.11,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28</w:t>
            </w:r>
          </w:p>
        </w:tc>
        <w:tc>
          <w:tcPr>
            <w:tcW w:w="399" w:type="pct"/>
          </w:tcPr>
          <w:p w14:paraId="28EF501D" w14:textId="5524D9F5" w:rsidR="00360FBC" w:rsidRPr="00CC3A91" w:rsidRDefault="00360FBC" w:rsidP="00EF4061">
            <w:pPr>
              <w:rPr>
                <w:rFonts w:asciiTheme="majorHAnsi" w:eastAsia="Calibri" w:hAnsiTheme="majorHAnsi" w:cs="Arial"/>
                <w:b w:val="0"/>
                <w:bCs/>
                <w:sz w:val="20"/>
                <w:szCs w:val="20"/>
                <w:lang w:val="es-ES_tradnl"/>
              </w:rPr>
            </w:pPr>
            <w:r w:rsidRPr="00CC3A91">
              <w:rPr>
                <w:rFonts w:asciiTheme="majorHAnsi" w:hAnsiTheme="majorHAnsi" w:cs="Arial"/>
                <w:b w:val="0"/>
                <w:sz w:val="20"/>
                <w:szCs w:val="20"/>
                <w:lang w:val="es-ES_tradnl" w:eastAsia="zh-CN"/>
              </w:rPr>
              <w:t xml:space="preserve">1.3, 1.4; 2.5, 2.7; 3.8,3.9, 3.11, 3.12; 4.14, </w:t>
            </w:r>
          </w:p>
        </w:tc>
        <w:tc>
          <w:tcPr>
            <w:tcW w:w="2952" w:type="pct"/>
          </w:tcPr>
          <w:p w14:paraId="7CC8308E" w14:textId="0FBA4313" w:rsidR="00360FBC" w:rsidRPr="00CC3A91" w:rsidRDefault="00360FBC" w:rsidP="00EF4061">
            <w:pPr>
              <w:tabs>
                <w:tab w:val="left" w:pos="0"/>
              </w:tabs>
              <w:rPr>
                <w:rFonts w:asciiTheme="majorHAnsi" w:hAnsiTheme="majorHAnsi" w:cs="Arial"/>
                <w:sz w:val="20"/>
                <w:szCs w:val="20"/>
                <w:u w:val="single"/>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Recopilar las buenas prácticas de restauración de humedales para mitigar y adaptarse al cambio climático, inc</w:t>
            </w:r>
            <w:r w:rsidR="00642BAA" w:rsidRPr="00CC3A91">
              <w:rPr>
                <w:rFonts w:asciiTheme="majorHAnsi" w:hAnsiTheme="majorHAnsi" w:cs="Arial"/>
                <w:b w:val="0"/>
                <w:sz w:val="20"/>
                <w:szCs w:val="20"/>
                <w:lang w:val="es-ES_tradnl"/>
              </w:rPr>
              <w:t>luyendo políticas, instrumentos</w:t>
            </w:r>
            <w:r w:rsidRPr="00CC3A91">
              <w:rPr>
                <w:rFonts w:asciiTheme="majorHAnsi" w:hAnsiTheme="majorHAnsi" w:cs="Arial"/>
                <w:b w:val="0"/>
                <w:sz w:val="20"/>
                <w:szCs w:val="20"/>
                <w:lang w:val="es-ES_tradnl"/>
              </w:rPr>
              <w:t xml:space="preserve"> e incentivos e innovaciones técnicas de diversas regiones. </w:t>
            </w:r>
          </w:p>
          <w:p w14:paraId="77ABDB6F" w14:textId="77777777" w:rsidR="00642BAA" w:rsidRPr="00CC3A91" w:rsidRDefault="00642BAA" w:rsidP="00EF4061">
            <w:pPr>
              <w:tabs>
                <w:tab w:val="left" w:pos="0"/>
              </w:tabs>
              <w:rPr>
                <w:rFonts w:asciiTheme="majorHAnsi" w:hAnsiTheme="majorHAnsi" w:cs="Arial"/>
                <w:b w:val="0"/>
                <w:sz w:val="20"/>
                <w:szCs w:val="20"/>
                <w:u w:val="single"/>
                <w:lang w:val="es-ES_tradnl"/>
              </w:rPr>
            </w:pPr>
          </w:p>
          <w:p w14:paraId="26FBC115" w14:textId="2C1065F2" w:rsidR="00360FBC" w:rsidRPr="00CC3A91" w:rsidRDefault="00360FBC" w:rsidP="00EF4061">
            <w:pPr>
              <w:tabs>
                <w:tab w:val="left" w:pos="0"/>
              </w:tabs>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xml:space="preserve">: </w:t>
            </w:r>
          </w:p>
          <w:p w14:paraId="232B0218" w14:textId="027B2F40" w:rsidR="00360FBC" w:rsidRPr="00CC3A91" w:rsidRDefault="00360FBC" w:rsidP="00EF4061">
            <w:pPr>
              <w:tabs>
                <w:tab w:val="left" w:pos="0"/>
              </w:tabs>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1) En una nueva nota informativa, basada en la Nota Informativa de Ramsar [5], se destacará tanto el potencial como las razones para restaurar los humedales en el contexto del cambio climático. </w:t>
            </w:r>
          </w:p>
          <w:p w14:paraId="43FC26CA" w14:textId="77777777" w:rsidR="00360FBC" w:rsidRPr="00CC3A91" w:rsidRDefault="00360FBC" w:rsidP="00EF4061">
            <w:pPr>
              <w:tabs>
                <w:tab w:val="left" w:pos="0"/>
              </w:tabs>
              <w:rPr>
                <w:rFonts w:asciiTheme="majorHAnsi" w:hAnsiTheme="majorHAnsi" w:cs="Arial"/>
                <w:b w:val="0"/>
                <w:sz w:val="20"/>
                <w:szCs w:val="20"/>
                <w:lang w:val="es-ES_tradnl"/>
              </w:rPr>
            </w:pPr>
          </w:p>
          <w:p w14:paraId="3B68E594" w14:textId="29740300" w:rsidR="00360FBC" w:rsidRPr="00CC3A91" w:rsidRDefault="00360FBC" w:rsidP="00EF4061">
            <w:pPr>
              <w:tabs>
                <w:tab w:val="left" w:pos="0"/>
              </w:tabs>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2) En una Nota sobre políticas se hablará de las buenas prácticas y posibles políticas asociadas con los incentivos e instrumentos para la restauración de humedales (por ejemplo, fondo de carbono/sector privado/Estándar Verificado de Carbono, VCS/la Alianza sobre Clima, Comunidad y Biodiversidad, CCBA) a fin de explicar los enfoques disponibles para invertir en estas iniciativas</w:t>
            </w:r>
          </w:p>
          <w:p w14:paraId="423C4292" w14:textId="77777777" w:rsidR="00360FBC" w:rsidRPr="00CC3A91" w:rsidRDefault="00360FBC" w:rsidP="00EF4061">
            <w:pPr>
              <w:tabs>
                <w:tab w:val="left" w:pos="0"/>
              </w:tabs>
              <w:rPr>
                <w:rFonts w:asciiTheme="majorHAnsi" w:hAnsiTheme="majorHAnsi" w:cs="Arial"/>
                <w:sz w:val="20"/>
                <w:szCs w:val="20"/>
                <w:u w:val="single"/>
                <w:lang w:val="es-ES_tradnl"/>
              </w:rPr>
            </w:pPr>
          </w:p>
          <w:p w14:paraId="1CD2B2C8" w14:textId="64EF1451" w:rsidR="00360FBC" w:rsidRPr="00CC3A91" w:rsidRDefault="00360FBC" w:rsidP="008B26B4">
            <w:pPr>
              <w:tabs>
                <w:tab w:val="left" w:pos="0"/>
              </w:tabs>
              <w:rPr>
                <w:rFonts w:asciiTheme="majorHAnsi" w:hAnsiTheme="majorHAnsi" w:cs="Arial"/>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Responsables de políticas y profesionales</w:t>
            </w:r>
            <w:r w:rsidRPr="00CC3A91">
              <w:rPr>
                <w:rFonts w:asciiTheme="majorHAnsi" w:hAnsiTheme="majorHAnsi" w:cs="Arial"/>
                <w:sz w:val="20"/>
                <w:szCs w:val="20"/>
                <w:lang w:val="es-ES_tradnl"/>
              </w:rPr>
              <w:t xml:space="preserve"> </w:t>
            </w:r>
            <w:r w:rsidRPr="00CC3A91">
              <w:rPr>
                <w:rFonts w:asciiTheme="majorHAnsi" w:hAnsiTheme="majorHAnsi" w:cs="Arial"/>
                <w:b w:val="0"/>
                <w:sz w:val="20"/>
                <w:szCs w:val="20"/>
                <w:lang w:val="es-ES_tradnl"/>
              </w:rPr>
              <w:t>(administradores de humedales)</w:t>
            </w:r>
            <w:r w:rsidRPr="00CC3A91">
              <w:rPr>
                <w:rFonts w:asciiTheme="majorHAnsi" w:hAnsiTheme="majorHAnsi" w:cs="Arial"/>
                <w:sz w:val="20"/>
                <w:szCs w:val="20"/>
                <w:u w:val="single"/>
                <w:lang w:val="es-ES_tradnl"/>
              </w:rPr>
              <w:t xml:space="preserve"> </w:t>
            </w:r>
          </w:p>
        </w:tc>
        <w:tc>
          <w:tcPr>
            <w:tcW w:w="492" w:type="pct"/>
          </w:tcPr>
          <w:p w14:paraId="645931DE" w14:textId="18D76A0F"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22.000 [13.000 para una Nota Informativa y 9.000 para una Nota sobre políticas;</w:t>
            </w:r>
          </w:p>
          <w:p w14:paraId="5A217108" w14:textId="5B845B30" w:rsidR="00360FBC" w:rsidRPr="00CC3A91" w:rsidRDefault="00360FBC" w:rsidP="00EB7788">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pos</w:t>
            </w:r>
            <w:r w:rsidR="00642BAA" w:rsidRPr="00CC3A91">
              <w:rPr>
                <w:rFonts w:asciiTheme="majorHAnsi" w:hAnsiTheme="majorHAnsi" w:cs="Arial"/>
                <w:b w:val="0"/>
                <w:sz w:val="20"/>
                <w:szCs w:val="20"/>
                <w:lang w:val="es-ES_tradnl"/>
              </w:rPr>
              <w:t>ibilidad de celebrar un</w:t>
            </w:r>
            <w:r w:rsidR="00EB7788">
              <w:rPr>
                <w:rFonts w:asciiTheme="majorHAnsi" w:hAnsiTheme="majorHAnsi" w:cs="Arial"/>
                <w:b w:val="0"/>
                <w:sz w:val="20"/>
                <w:szCs w:val="20"/>
                <w:lang w:val="es-ES_tradnl"/>
              </w:rPr>
              <w:t xml:space="preserve"> pequeño</w:t>
            </w:r>
            <w:r w:rsidR="00642BAA" w:rsidRPr="00CC3A91">
              <w:rPr>
                <w:rFonts w:asciiTheme="majorHAnsi" w:hAnsiTheme="majorHAnsi" w:cs="Arial"/>
                <w:b w:val="0"/>
                <w:sz w:val="20"/>
                <w:szCs w:val="20"/>
                <w:lang w:val="es-ES_tradnl"/>
              </w:rPr>
              <w:t xml:space="preserve"> taller de </w:t>
            </w:r>
            <w:r w:rsidR="00EB7788">
              <w:rPr>
                <w:rFonts w:asciiTheme="majorHAnsi" w:hAnsiTheme="majorHAnsi" w:cs="Arial"/>
                <w:b w:val="0"/>
                <w:sz w:val="20"/>
                <w:szCs w:val="20"/>
                <w:lang w:val="es-ES_tradnl"/>
              </w:rPr>
              <w:t xml:space="preserve">redacción, </w:t>
            </w:r>
            <w:r w:rsidR="00EB7788" w:rsidRPr="00CC3A91">
              <w:rPr>
                <w:rFonts w:asciiTheme="majorHAnsi" w:hAnsiTheme="majorHAnsi" w:cs="Arial"/>
                <w:b w:val="0"/>
                <w:sz w:val="20"/>
                <w:szCs w:val="20"/>
                <w:lang w:val="es-ES_tradnl"/>
              </w:rPr>
              <w:t xml:space="preserve">de </w:t>
            </w:r>
            <w:r w:rsidR="00EB7788">
              <w:rPr>
                <w:rFonts w:asciiTheme="majorHAnsi" w:hAnsiTheme="majorHAnsi" w:cs="Arial"/>
                <w:b w:val="0"/>
                <w:sz w:val="20"/>
                <w:szCs w:val="20"/>
                <w:lang w:val="es-ES_tradnl"/>
              </w:rPr>
              <w:t>redacción, vinculado al EHMS o a otras reunione</w:t>
            </w:r>
            <w:r w:rsidR="00EB7788" w:rsidRPr="00EB7788">
              <w:rPr>
                <w:rFonts w:asciiTheme="majorHAnsi" w:hAnsiTheme="majorHAnsi" w:cs="Arial"/>
                <w:b w:val="0"/>
                <w:sz w:val="20"/>
                <w:szCs w:val="20"/>
                <w:lang w:val="es-ES_tradnl"/>
              </w:rPr>
              <w:t>s]</w:t>
            </w:r>
          </w:p>
        </w:tc>
      </w:tr>
      <w:tr w:rsidR="00360FBC" w:rsidRPr="00CC3A91" w14:paraId="244462A5" w14:textId="77777777" w:rsidTr="00360FBC">
        <w:tc>
          <w:tcPr>
            <w:tcW w:w="522" w:type="pct"/>
          </w:tcPr>
          <w:p w14:paraId="48B4C651" w14:textId="44487F32"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5.2 Las implicaciones de la REDD+ para el uso racional de los humedales.</w:t>
            </w:r>
          </w:p>
          <w:p w14:paraId="5A28F30E" w14:textId="77777777" w:rsidR="00360FBC" w:rsidRPr="00CC3A91" w:rsidRDefault="00360FBC" w:rsidP="00EF4061">
            <w:pPr>
              <w:rPr>
                <w:rFonts w:asciiTheme="majorHAnsi" w:hAnsiTheme="majorHAnsi" w:cs="Arial"/>
                <w:b w:val="0"/>
                <w:sz w:val="20"/>
                <w:szCs w:val="20"/>
                <w:lang w:val="es-ES_tradnl"/>
              </w:rPr>
            </w:pPr>
          </w:p>
        </w:tc>
        <w:tc>
          <w:tcPr>
            <w:tcW w:w="282" w:type="pct"/>
          </w:tcPr>
          <w:p w14:paraId="700153EC" w14:textId="77777777" w:rsidR="00360FBC" w:rsidRPr="00CC3A91" w:rsidRDefault="00360FBC" w:rsidP="00EF4061">
            <w:pPr>
              <w:rPr>
                <w:rFonts w:asciiTheme="majorHAnsi" w:hAnsiTheme="majorHAnsi" w:cs="Arial"/>
                <w:b w:val="0"/>
                <w:sz w:val="20"/>
                <w:szCs w:val="20"/>
                <w:lang w:val="es-ES_tradnl"/>
              </w:rPr>
            </w:pPr>
          </w:p>
        </w:tc>
        <w:tc>
          <w:tcPr>
            <w:tcW w:w="353" w:type="pct"/>
          </w:tcPr>
          <w:p w14:paraId="7DFD7DE4" w14:textId="4E330FCF"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XII.2; XII.5, Anexo 1, </w:t>
            </w:r>
            <w:r w:rsidRPr="00CC3A91">
              <w:rPr>
                <w:rFonts w:ascii="Calibri" w:hAnsi="Calibri" w:cs="Arial"/>
                <w:b w:val="0"/>
                <w:sz w:val="20"/>
                <w:szCs w:val="20"/>
                <w:lang w:val="es-ES_tradnl"/>
              </w:rPr>
              <w:t>¶</w:t>
            </w:r>
            <w:r w:rsidRPr="00CC3A91">
              <w:rPr>
                <w:rFonts w:asciiTheme="majorHAnsi" w:hAnsiTheme="majorHAnsi" w:cs="Arial"/>
                <w:b w:val="0"/>
                <w:sz w:val="20"/>
                <w:szCs w:val="20"/>
                <w:lang w:val="es-ES_tradnl"/>
              </w:rPr>
              <w:t xml:space="preserve">¶ </w:t>
            </w:r>
            <w:r w:rsidRPr="00CC3A91">
              <w:rPr>
                <w:rFonts w:ascii="Calibri" w:hAnsi="Calibri" w:cs="Arial"/>
                <w:b w:val="0"/>
                <w:sz w:val="20"/>
                <w:szCs w:val="20"/>
                <w:lang w:val="es-ES_tradnl"/>
              </w:rPr>
              <w:t>1-2</w:t>
            </w:r>
          </w:p>
        </w:tc>
        <w:tc>
          <w:tcPr>
            <w:tcW w:w="399" w:type="pct"/>
          </w:tcPr>
          <w:p w14:paraId="00D38918" w14:textId="49AC0AFE"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eastAsia="zh-CN"/>
              </w:rPr>
              <w:t xml:space="preserve">3.8,3.9, 3.11, 3.12; 4.14, </w:t>
            </w:r>
          </w:p>
        </w:tc>
        <w:tc>
          <w:tcPr>
            <w:tcW w:w="2952" w:type="pct"/>
          </w:tcPr>
          <w:p w14:paraId="4E3F1B89" w14:textId="282DE84E"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Examen de las decisiones adoptadas por acuerdos medioambientales multilaterales relativas a la REDD+</w:t>
            </w:r>
            <w:r w:rsidR="00642BAA"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 y sus implicaciones tanto para la restauración (mejora) como para el uso racional de los humedales. </w:t>
            </w:r>
          </w:p>
          <w:p w14:paraId="66102AFD" w14:textId="77777777" w:rsidR="00360FBC" w:rsidRPr="00CC3A91" w:rsidRDefault="00360FBC" w:rsidP="00EF4061">
            <w:pPr>
              <w:rPr>
                <w:rFonts w:asciiTheme="majorHAnsi" w:hAnsiTheme="majorHAnsi" w:cs="Arial"/>
                <w:b w:val="0"/>
                <w:sz w:val="20"/>
                <w:szCs w:val="20"/>
                <w:u w:val="single"/>
                <w:lang w:val="es-ES_tradnl"/>
              </w:rPr>
            </w:pPr>
          </w:p>
          <w:p w14:paraId="154E1783" w14:textId="49807CB6"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 Nota sobre políticas</w:t>
            </w:r>
          </w:p>
          <w:p w14:paraId="6FE8A9C5" w14:textId="77777777" w:rsidR="00360FBC" w:rsidRPr="00CC3A91" w:rsidRDefault="00360FBC" w:rsidP="00EF4061">
            <w:pPr>
              <w:rPr>
                <w:rFonts w:asciiTheme="majorHAnsi" w:hAnsiTheme="majorHAnsi" w:cs="Arial"/>
                <w:b w:val="0"/>
                <w:sz w:val="20"/>
                <w:szCs w:val="20"/>
                <w:lang w:val="es-ES_tradnl"/>
              </w:rPr>
            </w:pPr>
          </w:p>
          <w:p w14:paraId="4BC5D8B6" w14:textId="5B49C4CA" w:rsidR="00360FBC" w:rsidRPr="00CC3A91" w:rsidRDefault="00360FBC" w:rsidP="00EF4061">
            <w:pPr>
              <w:rPr>
                <w:rFonts w:asciiTheme="majorHAnsi" w:hAnsiTheme="majorHAnsi" w:cs="Arial"/>
                <w:b w:val="0"/>
                <w:sz w:val="20"/>
                <w:szCs w:val="20"/>
                <w:u w:val="single"/>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 Responsables de políticas</w:t>
            </w:r>
          </w:p>
        </w:tc>
        <w:tc>
          <w:tcPr>
            <w:tcW w:w="492" w:type="pct"/>
          </w:tcPr>
          <w:p w14:paraId="0017988F" w14:textId="4972884F"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Hasta 9.000</w:t>
            </w:r>
          </w:p>
        </w:tc>
      </w:tr>
      <w:tr w:rsidR="00360FBC" w:rsidRPr="00CC3A91" w14:paraId="1E3E95DD" w14:textId="77777777" w:rsidTr="00360FBC">
        <w:tc>
          <w:tcPr>
            <w:tcW w:w="522" w:type="pct"/>
          </w:tcPr>
          <w:p w14:paraId="6E890C5C" w14:textId="7777777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5.3</w:t>
            </w:r>
          </w:p>
          <w:p w14:paraId="1AAC2AA6" w14:textId="689216CB" w:rsidR="00360FBC" w:rsidRPr="00CC3A91" w:rsidRDefault="00360FBC" w:rsidP="000A7839">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Asesoramiento para la 13ª reunión de la Conferencia de las Partes sobre métodos </w:t>
            </w:r>
            <w:r w:rsidRPr="00CC3A91">
              <w:rPr>
                <w:rFonts w:asciiTheme="majorHAnsi" w:hAnsiTheme="majorHAnsi" w:cs="Arial"/>
                <w:b w:val="0"/>
                <w:sz w:val="20"/>
                <w:szCs w:val="20"/>
                <w:lang w:val="es-ES_tradnl"/>
              </w:rPr>
              <w:lastRenderedPageBreak/>
              <w:t xml:space="preserve">prácticos para la rehumidificación y restauración de las turberas </w:t>
            </w:r>
          </w:p>
        </w:tc>
        <w:tc>
          <w:tcPr>
            <w:tcW w:w="282" w:type="pct"/>
          </w:tcPr>
          <w:p w14:paraId="59ECD448" w14:textId="77777777" w:rsidR="00360FBC" w:rsidRPr="00CC3A91" w:rsidRDefault="00360FBC" w:rsidP="00EF4061">
            <w:pPr>
              <w:rPr>
                <w:rFonts w:asciiTheme="majorHAnsi" w:hAnsiTheme="majorHAnsi" w:cs="Arial"/>
                <w:b w:val="0"/>
                <w:sz w:val="20"/>
                <w:szCs w:val="20"/>
                <w:lang w:val="es-ES_tradnl"/>
              </w:rPr>
            </w:pPr>
          </w:p>
        </w:tc>
        <w:tc>
          <w:tcPr>
            <w:tcW w:w="353" w:type="pct"/>
          </w:tcPr>
          <w:p w14:paraId="6D98ADEA" w14:textId="5D4EDFDE" w:rsidR="00360FBC" w:rsidRPr="00CC3A91" w:rsidRDefault="00360FBC"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XII.11, ¶24(d) ¶28</w:t>
            </w:r>
          </w:p>
        </w:tc>
        <w:tc>
          <w:tcPr>
            <w:tcW w:w="399" w:type="pct"/>
          </w:tcPr>
          <w:p w14:paraId="1554C918" w14:textId="360EFA1A"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eastAsia="zh-CN"/>
              </w:rPr>
              <w:t xml:space="preserve">1.1, 1.3; 2.5, 2.6; 2.7; 3.8,3.9, 3.11, 3.12; 4.14, </w:t>
            </w:r>
          </w:p>
        </w:tc>
        <w:tc>
          <w:tcPr>
            <w:tcW w:w="2952" w:type="pct"/>
          </w:tcPr>
          <w:p w14:paraId="2D245B79" w14:textId="20E6F262"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u w:val="single"/>
                <w:lang w:val="es-ES_tradnl"/>
              </w:rPr>
              <w:t>Descripción de la tarea</w:t>
            </w:r>
            <w:r w:rsidRPr="00CC3A91">
              <w:rPr>
                <w:rFonts w:asciiTheme="majorHAnsi" w:hAnsiTheme="majorHAnsi" w:cs="Arial"/>
                <w:b w:val="0"/>
                <w:sz w:val="20"/>
                <w:szCs w:val="20"/>
                <w:lang w:val="es-ES_tradnl"/>
              </w:rPr>
              <w:t>: Un Infor</w:t>
            </w:r>
            <w:r w:rsidR="00642BAA" w:rsidRPr="00CC3A91">
              <w:rPr>
                <w:rFonts w:asciiTheme="majorHAnsi" w:hAnsiTheme="majorHAnsi" w:cs="Arial"/>
                <w:b w:val="0"/>
                <w:sz w:val="20"/>
                <w:szCs w:val="20"/>
                <w:lang w:val="es-ES_tradnl"/>
              </w:rPr>
              <w:t>me Técnico de Ramsar que examina</w:t>
            </w:r>
            <w:r w:rsidRPr="00CC3A91">
              <w:rPr>
                <w:rFonts w:asciiTheme="majorHAnsi" w:hAnsiTheme="majorHAnsi" w:cs="Arial"/>
                <w:b w:val="0"/>
                <w:sz w:val="20"/>
                <w:szCs w:val="20"/>
                <w:lang w:val="es-ES_tradnl"/>
              </w:rPr>
              <w:t xml:space="preserve"> la asociación entre la restauración práctica y los métodos de rehumidificación de las turberas para evitar la transferencia del carbono de los suelos y la vegetación a la atmósfera. </w:t>
            </w:r>
          </w:p>
          <w:p w14:paraId="56ED6042" w14:textId="77777777" w:rsidR="00AF13A3" w:rsidRDefault="00AF13A3" w:rsidP="00EF4061">
            <w:pPr>
              <w:rPr>
                <w:rFonts w:asciiTheme="majorHAnsi" w:hAnsiTheme="majorHAnsi" w:cs="Arial"/>
                <w:b w:val="0"/>
                <w:sz w:val="20"/>
                <w:szCs w:val="20"/>
                <w:u w:val="single"/>
                <w:lang w:val="es-ES_tradnl"/>
              </w:rPr>
            </w:pPr>
          </w:p>
          <w:p w14:paraId="66D5EEEC" w14:textId="2BC8B75F" w:rsidR="00360FBC" w:rsidRPr="00CC3A91" w:rsidRDefault="00360FBC" w:rsidP="00EF4061">
            <w:pPr>
              <w:rPr>
                <w:rFonts w:asciiTheme="majorHAnsi" w:hAnsiTheme="majorHAnsi" w:cs="Arial"/>
                <w:sz w:val="20"/>
                <w:szCs w:val="20"/>
                <w:lang w:val="es-ES_tradnl"/>
              </w:rPr>
            </w:pPr>
            <w:r w:rsidRPr="00CC3A91">
              <w:rPr>
                <w:rFonts w:asciiTheme="majorHAnsi" w:hAnsiTheme="majorHAnsi" w:cs="Arial"/>
                <w:b w:val="0"/>
                <w:sz w:val="20"/>
                <w:szCs w:val="20"/>
                <w:u w:val="single"/>
                <w:lang w:val="es-ES_tradnl"/>
              </w:rPr>
              <w:t>Producto(s) esperado(s)</w:t>
            </w:r>
            <w:r w:rsidRPr="00CC3A91">
              <w:rPr>
                <w:rFonts w:asciiTheme="majorHAnsi" w:hAnsiTheme="majorHAnsi" w:cs="Arial"/>
                <w:b w:val="0"/>
                <w:sz w:val="20"/>
                <w:szCs w:val="20"/>
                <w:lang w:val="es-ES_tradnl"/>
              </w:rPr>
              <w:t>:</w:t>
            </w:r>
            <w:r w:rsidRPr="00CC3A91">
              <w:rPr>
                <w:rFonts w:asciiTheme="majorHAnsi" w:hAnsiTheme="majorHAnsi" w:cs="Arial"/>
                <w:sz w:val="20"/>
                <w:szCs w:val="20"/>
                <w:lang w:val="es-ES_tradnl"/>
              </w:rPr>
              <w:t xml:space="preserve"> </w:t>
            </w:r>
          </w:p>
          <w:p w14:paraId="383BB5E4" w14:textId="77777777" w:rsidR="00360FBC" w:rsidRPr="00CC3A91" w:rsidRDefault="00360FBC" w:rsidP="00EF4061">
            <w:pPr>
              <w:rPr>
                <w:rFonts w:asciiTheme="majorHAnsi" w:hAnsiTheme="majorHAnsi" w:cs="Arial"/>
                <w:sz w:val="20"/>
                <w:szCs w:val="20"/>
                <w:lang w:val="es-ES_tradnl"/>
              </w:rPr>
            </w:pPr>
          </w:p>
          <w:p w14:paraId="65BDC3B8" w14:textId="1F6E1D27"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1)</w:t>
            </w:r>
            <w:r w:rsidRPr="00CC3A91">
              <w:rPr>
                <w:rFonts w:asciiTheme="majorHAnsi" w:hAnsiTheme="majorHAnsi" w:cs="Arial"/>
                <w:sz w:val="20"/>
                <w:szCs w:val="20"/>
                <w:lang w:val="es-ES_tradnl"/>
              </w:rPr>
              <w:t xml:space="preserve"> </w:t>
            </w:r>
            <w:r w:rsidRPr="00CC3A91">
              <w:rPr>
                <w:rFonts w:asciiTheme="majorHAnsi" w:hAnsiTheme="majorHAnsi" w:cs="Arial"/>
                <w:b w:val="0"/>
                <w:sz w:val="20"/>
                <w:szCs w:val="20"/>
                <w:lang w:val="es-ES_tradnl"/>
              </w:rPr>
              <w:t>Informe Técnico de Ramsar</w:t>
            </w:r>
            <w:r w:rsidR="00642BAA" w:rsidRPr="00CC3A91">
              <w:rPr>
                <w:rFonts w:asciiTheme="majorHAnsi" w:hAnsiTheme="majorHAnsi" w:cs="Arial"/>
                <w:b w:val="0"/>
                <w:sz w:val="20"/>
                <w:szCs w:val="20"/>
                <w:lang w:val="es-ES_tradnl"/>
              </w:rPr>
              <w:t>,</w:t>
            </w:r>
            <w:r w:rsidRPr="00CC3A91">
              <w:rPr>
                <w:rFonts w:asciiTheme="majorHAnsi" w:hAnsiTheme="majorHAnsi" w:cs="Arial"/>
                <w:b w:val="0"/>
                <w:sz w:val="20"/>
                <w:szCs w:val="20"/>
                <w:lang w:val="es-ES_tradnl"/>
              </w:rPr>
              <w:t xml:space="preserve"> como visión de conjunto y con referencias a una compilación de </w:t>
            </w:r>
            <w:r w:rsidRPr="00CC3A91">
              <w:rPr>
                <w:rFonts w:asciiTheme="majorHAnsi" w:hAnsiTheme="majorHAnsi" w:cs="Arial"/>
                <w:b w:val="0"/>
                <w:sz w:val="20"/>
                <w:szCs w:val="20"/>
                <w:lang w:val="es-ES_tradnl"/>
              </w:rPr>
              <w:lastRenderedPageBreak/>
              <w:t>experiencias relaci</w:t>
            </w:r>
            <w:r w:rsidR="00642BAA" w:rsidRPr="00CC3A91">
              <w:rPr>
                <w:rFonts w:asciiTheme="majorHAnsi" w:hAnsiTheme="majorHAnsi" w:cs="Arial"/>
                <w:b w:val="0"/>
                <w:sz w:val="20"/>
                <w:szCs w:val="20"/>
                <w:lang w:val="es-ES_tradnl"/>
              </w:rPr>
              <w:t>o</w:t>
            </w:r>
            <w:r w:rsidRPr="00CC3A91">
              <w:rPr>
                <w:rFonts w:asciiTheme="majorHAnsi" w:hAnsiTheme="majorHAnsi" w:cs="Arial"/>
                <w:b w:val="0"/>
                <w:sz w:val="20"/>
                <w:szCs w:val="20"/>
                <w:lang w:val="es-ES_tradnl"/>
              </w:rPr>
              <w:t xml:space="preserve">nadas con los métodos de rehumidificación, basada en la literatura existente, y </w:t>
            </w:r>
          </w:p>
          <w:p w14:paraId="3C0A4628" w14:textId="77777777" w:rsidR="00360FBC" w:rsidRPr="00CC3A91" w:rsidRDefault="00360FBC" w:rsidP="00EF4061">
            <w:pPr>
              <w:rPr>
                <w:rFonts w:asciiTheme="majorHAnsi" w:hAnsiTheme="majorHAnsi" w:cs="Arial"/>
                <w:b w:val="0"/>
                <w:sz w:val="20"/>
                <w:szCs w:val="20"/>
                <w:lang w:val="es-ES_tradnl"/>
              </w:rPr>
            </w:pPr>
          </w:p>
          <w:p w14:paraId="71323DFA" w14:textId="51612193" w:rsidR="00360FBC" w:rsidRPr="00CC3A91" w:rsidRDefault="00360FBC" w:rsidP="00EF4061">
            <w:pPr>
              <w:rPr>
                <w:rFonts w:asciiTheme="majorHAnsi" w:hAnsiTheme="majorHAnsi" w:cs="Arial"/>
                <w:sz w:val="20"/>
                <w:szCs w:val="20"/>
                <w:lang w:val="es-ES_tradnl"/>
              </w:rPr>
            </w:pPr>
            <w:r w:rsidRPr="00CC3A91">
              <w:rPr>
                <w:rFonts w:asciiTheme="majorHAnsi" w:hAnsiTheme="majorHAnsi" w:cs="Arial"/>
                <w:b w:val="0"/>
                <w:sz w:val="20"/>
                <w:szCs w:val="20"/>
                <w:lang w:val="es-ES_tradnl"/>
              </w:rPr>
              <w:t xml:space="preserve">2) Orientaciones en forma de </w:t>
            </w:r>
            <w:r w:rsidR="00642BAA" w:rsidRPr="00CC3A91">
              <w:rPr>
                <w:rFonts w:asciiTheme="majorHAnsi" w:hAnsiTheme="majorHAnsi" w:cs="Arial"/>
                <w:b w:val="0"/>
                <w:sz w:val="20"/>
                <w:szCs w:val="20"/>
                <w:lang w:val="es-ES_tradnl"/>
              </w:rPr>
              <w:t>A</w:t>
            </w:r>
            <w:r w:rsidRPr="00CC3A91">
              <w:rPr>
                <w:rFonts w:asciiTheme="majorHAnsi" w:hAnsiTheme="majorHAnsi" w:cs="Arial"/>
                <w:b w:val="0"/>
                <w:sz w:val="20"/>
                <w:szCs w:val="20"/>
                <w:lang w:val="es-ES_tradnl"/>
              </w:rPr>
              <w:t xml:space="preserve">nexo a un proyecto de Resolución, si las Partes Contratantes lo consideran conveniente, o como Documento informativo para la 13ª reunión de la Conferencia de las Partes. </w:t>
            </w:r>
          </w:p>
          <w:p w14:paraId="2F808AAB" w14:textId="2268B6AE"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t xml:space="preserve"> </w:t>
            </w:r>
          </w:p>
          <w:p w14:paraId="71549CDB" w14:textId="5B93A583" w:rsidR="00360FBC" w:rsidRPr="00CC3A91" w:rsidRDefault="00360FBC" w:rsidP="008B26B4">
            <w:pPr>
              <w:rPr>
                <w:rFonts w:asciiTheme="majorHAnsi" w:hAnsiTheme="majorHAnsi" w:cs="Arial"/>
                <w:sz w:val="20"/>
                <w:szCs w:val="20"/>
                <w:lang w:val="es-ES_tradnl"/>
              </w:rPr>
            </w:pPr>
            <w:r w:rsidRPr="00CC3A91">
              <w:rPr>
                <w:rFonts w:asciiTheme="majorHAnsi" w:hAnsiTheme="majorHAnsi" w:cs="Arial"/>
                <w:b w:val="0"/>
                <w:sz w:val="20"/>
                <w:szCs w:val="20"/>
                <w:u w:val="single"/>
                <w:lang w:val="es-ES_tradnl"/>
              </w:rPr>
              <w:t>Grupo(s) destinatario(s)</w:t>
            </w:r>
            <w:r w:rsidRPr="00CC3A91">
              <w:rPr>
                <w:rFonts w:asciiTheme="majorHAnsi" w:hAnsiTheme="majorHAnsi" w:cs="Arial"/>
                <w:b w:val="0"/>
                <w:sz w:val="20"/>
                <w:szCs w:val="20"/>
                <w:lang w:val="es-ES_tradnl"/>
              </w:rPr>
              <w:t>:</w:t>
            </w:r>
            <w:r w:rsidRPr="00CC3A91">
              <w:rPr>
                <w:rFonts w:asciiTheme="majorHAnsi" w:hAnsiTheme="majorHAnsi" w:cs="Arial"/>
                <w:sz w:val="20"/>
                <w:szCs w:val="20"/>
                <w:lang w:val="es-ES_tradnl"/>
              </w:rPr>
              <w:t xml:space="preserve"> </w:t>
            </w:r>
            <w:r w:rsidRPr="00CC3A91">
              <w:rPr>
                <w:rFonts w:asciiTheme="majorHAnsi" w:hAnsiTheme="majorHAnsi" w:cs="Arial"/>
                <w:b w:val="0"/>
                <w:sz w:val="20"/>
                <w:szCs w:val="20"/>
                <w:lang w:val="es-ES_tradnl"/>
              </w:rPr>
              <w:t>Profesionales (administradores de sitios Ramsar)</w:t>
            </w:r>
            <w:r w:rsidRPr="00CC3A91" w:rsidDel="00BE3416">
              <w:rPr>
                <w:rFonts w:asciiTheme="majorHAnsi" w:hAnsiTheme="majorHAnsi" w:cs="Arial"/>
                <w:b w:val="0"/>
                <w:sz w:val="20"/>
                <w:szCs w:val="20"/>
                <w:lang w:val="es-ES_tradnl"/>
              </w:rPr>
              <w:t xml:space="preserve"> </w:t>
            </w:r>
          </w:p>
        </w:tc>
        <w:tc>
          <w:tcPr>
            <w:tcW w:w="492" w:type="pct"/>
          </w:tcPr>
          <w:p w14:paraId="56127C7C" w14:textId="5159F79A" w:rsidR="00360FBC" w:rsidRPr="00CC3A91" w:rsidRDefault="00360FBC" w:rsidP="00EF4061">
            <w:pPr>
              <w:rPr>
                <w:rFonts w:asciiTheme="majorHAnsi" w:hAnsiTheme="majorHAnsi" w:cs="Arial"/>
                <w:b w:val="0"/>
                <w:sz w:val="20"/>
                <w:szCs w:val="20"/>
                <w:lang w:val="es-ES_tradnl"/>
              </w:rPr>
            </w:pPr>
            <w:r w:rsidRPr="00CC3A91">
              <w:rPr>
                <w:rFonts w:asciiTheme="majorHAnsi" w:hAnsiTheme="majorHAnsi" w:cs="Arial"/>
                <w:b w:val="0"/>
                <w:sz w:val="20"/>
                <w:szCs w:val="20"/>
                <w:lang w:val="es-ES_tradnl"/>
              </w:rPr>
              <w:lastRenderedPageBreak/>
              <w:t>Hasta 35.500</w:t>
            </w:r>
          </w:p>
        </w:tc>
      </w:tr>
    </w:tbl>
    <w:p w14:paraId="6D12FB40" w14:textId="0C3DBD94" w:rsidR="00914A1A" w:rsidRPr="00CC3A91" w:rsidRDefault="00914A1A" w:rsidP="00AF13A3">
      <w:pPr>
        <w:rPr>
          <w:rFonts w:asciiTheme="majorHAnsi" w:eastAsia="MS Mincho" w:hAnsiTheme="majorHAnsi"/>
          <w:sz w:val="22"/>
          <w:szCs w:val="22"/>
          <w:lang w:val="es-ES_tradnl" w:eastAsia="ja-JP"/>
        </w:rPr>
      </w:pPr>
    </w:p>
    <w:sectPr w:rsidR="00914A1A" w:rsidRPr="00CC3A91" w:rsidSect="00AF13A3">
      <w:footerReference w:type="default" r:id="rId11"/>
      <w:pgSz w:w="16838" w:h="11906" w:orient="landscape"/>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8C02" w14:textId="77777777" w:rsidR="00424B22" w:rsidRDefault="00424B22" w:rsidP="00B92085">
      <w:r>
        <w:separator/>
      </w:r>
    </w:p>
  </w:endnote>
  <w:endnote w:type="continuationSeparator" w:id="0">
    <w:p w14:paraId="5CC0F26E" w14:textId="77777777" w:rsidR="00424B22" w:rsidRDefault="00424B22" w:rsidP="00B9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known-1--">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1075" w14:textId="07AC94B3" w:rsidR="00424B22" w:rsidRPr="00A94469" w:rsidRDefault="00424B22" w:rsidP="00060A0B">
    <w:pPr>
      <w:pStyle w:val="Footer"/>
      <w:tabs>
        <w:tab w:val="clear" w:pos="9360"/>
        <w:tab w:val="right" w:pos="9072"/>
      </w:tabs>
      <w:ind w:right="3752"/>
      <w:rPr>
        <w:rFonts w:asciiTheme="majorHAnsi" w:hAnsiTheme="majorHAnsi"/>
        <w:sz w:val="20"/>
        <w:szCs w:val="20"/>
        <w:lang w:val="en-GB"/>
      </w:rPr>
    </w:pPr>
    <w:r w:rsidRPr="00A94469">
      <w:rPr>
        <w:rFonts w:asciiTheme="majorHAnsi" w:hAnsiTheme="majorHAnsi"/>
        <w:sz w:val="20"/>
        <w:szCs w:val="20"/>
        <w:lang w:val="en-GB"/>
      </w:rPr>
      <w:t>SC51-</w:t>
    </w:r>
    <w:r>
      <w:rPr>
        <w:rFonts w:asciiTheme="majorHAnsi" w:hAnsiTheme="majorHAnsi"/>
        <w:sz w:val="20"/>
        <w:szCs w:val="20"/>
        <w:lang w:val="en-GB"/>
      </w:rPr>
      <w:t>10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8F7FCB">
      <w:rPr>
        <w:rFonts w:asciiTheme="majorHAnsi" w:hAnsiTheme="majorHAnsi"/>
        <w:noProof/>
        <w:sz w:val="20"/>
        <w:szCs w:val="20"/>
        <w:lang w:val="en-GB"/>
      </w:rPr>
      <w:t>7</w:t>
    </w:r>
    <w:r w:rsidRPr="00A94469">
      <w:rPr>
        <w:rFonts w:asciiTheme="majorHAnsi" w:hAnsiTheme="majorHAnsi"/>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DC5B" w14:textId="1901530B" w:rsidR="00424B22" w:rsidRPr="00A94469" w:rsidRDefault="00424B22" w:rsidP="00060A0B">
    <w:pPr>
      <w:pStyle w:val="Footer"/>
      <w:tabs>
        <w:tab w:val="clear" w:pos="9360"/>
        <w:tab w:val="right" w:pos="14034"/>
      </w:tabs>
      <w:ind w:right="3752"/>
      <w:rPr>
        <w:rFonts w:asciiTheme="majorHAnsi" w:hAnsiTheme="majorHAnsi"/>
        <w:sz w:val="20"/>
        <w:szCs w:val="20"/>
        <w:lang w:val="en-GB"/>
      </w:rPr>
    </w:pPr>
    <w:r w:rsidRPr="003D6766">
      <w:rPr>
        <w:rFonts w:asciiTheme="majorHAnsi" w:hAnsiTheme="majorHAnsi"/>
        <w:sz w:val="20"/>
        <w:szCs w:val="20"/>
        <w:lang w:val="en-GB"/>
      </w:rPr>
      <w:t>SC52-10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8F7FCB">
      <w:rPr>
        <w:rFonts w:asciiTheme="majorHAnsi" w:hAnsiTheme="majorHAnsi"/>
        <w:noProof/>
        <w:sz w:val="20"/>
        <w:szCs w:val="20"/>
        <w:lang w:val="en-GB"/>
      </w:rPr>
      <w:t>13</w:t>
    </w:r>
    <w:r w:rsidRPr="00A94469">
      <w:rPr>
        <w:rFonts w:asciiTheme="majorHAnsi" w:hAnsiTheme="majorHAns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17ECB" w14:textId="77777777" w:rsidR="00424B22" w:rsidRDefault="00424B22" w:rsidP="00B92085">
      <w:r>
        <w:separator/>
      </w:r>
    </w:p>
  </w:footnote>
  <w:footnote w:type="continuationSeparator" w:id="0">
    <w:p w14:paraId="221BAEC9" w14:textId="77777777" w:rsidR="00424B22" w:rsidRDefault="00424B22" w:rsidP="00B92085">
      <w:r>
        <w:continuationSeparator/>
      </w:r>
    </w:p>
  </w:footnote>
  <w:footnote w:id="1">
    <w:p w14:paraId="4C35F54D" w14:textId="77777777" w:rsidR="008F7FCB" w:rsidRPr="008F7FCB" w:rsidRDefault="008F7FCB" w:rsidP="008F7FCB">
      <w:pPr>
        <w:rPr>
          <w:rFonts w:asciiTheme="majorHAnsi" w:hAnsiTheme="majorHAnsi" w:cs="Arial"/>
          <w:sz w:val="20"/>
          <w:szCs w:val="20"/>
          <w:lang w:val="es-ES_tradnl" w:eastAsia="ja-JP"/>
        </w:rPr>
      </w:pPr>
      <w:r w:rsidRPr="008F7FCB">
        <w:rPr>
          <w:rFonts w:asciiTheme="majorHAnsi" w:hAnsiTheme="majorHAnsi" w:cs="Arial"/>
          <w:sz w:val="20"/>
          <w:szCs w:val="20"/>
          <w:vertAlign w:val="superscript"/>
          <w:lang w:val="es-ES_tradnl" w:eastAsia="ja-JP"/>
        </w:rPr>
        <w:footnoteRef/>
      </w:r>
      <w:r w:rsidRPr="008F7FCB">
        <w:rPr>
          <w:rFonts w:asciiTheme="majorHAnsi" w:hAnsiTheme="majorHAnsi" w:cs="Arial"/>
          <w:sz w:val="20"/>
          <w:szCs w:val="20"/>
          <w:lang w:val="es-ES_tradnl" w:eastAsia="ja-JP"/>
        </w:rPr>
        <w:t xml:space="preserve"> </w:t>
      </w:r>
      <w:r w:rsidRPr="008F7FCB">
        <w:rPr>
          <w:rFonts w:asciiTheme="majorHAnsi" w:hAnsiTheme="majorHAnsi" w:cs="Arial"/>
          <w:sz w:val="20"/>
          <w:szCs w:val="20"/>
          <w:lang w:val="es-ES_tradnl" w:eastAsia="ja-JP"/>
        </w:rPr>
        <w:t xml:space="preserve">El 14 de marzo de 2016 JAXA informó a la Secretaría de Ramsar que la Sra. Shizu Yabe se hará cargo de las funciones del Sr. Nobuyoshi Fujimoto como representante de JAXA al GECT. </w:t>
      </w:r>
    </w:p>
    <w:p w14:paraId="7BCCE915" w14:textId="28592029" w:rsidR="008F7FCB" w:rsidRDefault="008F7FC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3E77"/>
    <w:multiLevelType w:val="hybridMultilevel"/>
    <w:tmpl w:val="5EF0BBEE"/>
    <w:lvl w:ilvl="0" w:tplc="BE0A137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7D3B88"/>
    <w:multiLevelType w:val="hybridMultilevel"/>
    <w:tmpl w:val="C7048392"/>
    <w:lvl w:ilvl="0" w:tplc="F3A6EAF4">
      <w:start w:val="1"/>
      <w:numFmt w:val="lowerRoman"/>
      <w:lvlText w:val="%1)"/>
      <w:lvlJc w:val="left"/>
      <w:pPr>
        <w:ind w:left="720" w:hanging="360"/>
      </w:pPr>
      <w:rPr>
        <w:rFonts w:asciiTheme="majorHAnsi" w:eastAsia="MS Mincho" w:hAnsiTheme="maj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47191C"/>
    <w:multiLevelType w:val="hybridMultilevel"/>
    <w:tmpl w:val="66A67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43648F"/>
    <w:multiLevelType w:val="hybridMultilevel"/>
    <w:tmpl w:val="205CF41C"/>
    <w:lvl w:ilvl="0" w:tplc="0C0A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B62D22"/>
    <w:multiLevelType w:val="hybridMultilevel"/>
    <w:tmpl w:val="D124009C"/>
    <w:lvl w:ilvl="0" w:tplc="F3A6EAF4">
      <w:start w:val="1"/>
      <w:numFmt w:val="lowerRoman"/>
      <w:lvlText w:val="%1)"/>
      <w:lvlJc w:val="left"/>
      <w:pPr>
        <w:ind w:left="1486" w:hanging="360"/>
      </w:pPr>
      <w:rPr>
        <w:rFonts w:asciiTheme="majorHAnsi" w:eastAsia="MS Mincho" w:hAnsiTheme="majorHAnsi" w:cs="Times New Roman" w:hint="default"/>
        <w:b w:val="0"/>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num w:numId="1">
    <w:abstractNumId w:val="2"/>
  </w:num>
  <w:num w:numId="2">
    <w:abstractNumId w:val="4"/>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Formatting/>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C"/>
    <w:rsid w:val="00006CC0"/>
    <w:rsid w:val="0001220D"/>
    <w:rsid w:val="00012E11"/>
    <w:rsid w:val="000130B8"/>
    <w:rsid w:val="00013A24"/>
    <w:rsid w:val="000152B0"/>
    <w:rsid w:val="00016AB7"/>
    <w:rsid w:val="00021CAA"/>
    <w:rsid w:val="00022FDE"/>
    <w:rsid w:val="00037FF1"/>
    <w:rsid w:val="00044C32"/>
    <w:rsid w:val="00054CFF"/>
    <w:rsid w:val="00056B5A"/>
    <w:rsid w:val="00060A0B"/>
    <w:rsid w:val="00063970"/>
    <w:rsid w:val="000710E0"/>
    <w:rsid w:val="00084614"/>
    <w:rsid w:val="0008555C"/>
    <w:rsid w:val="00086577"/>
    <w:rsid w:val="00091004"/>
    <w:rsid w:val="000A1FC0"/>
    <w:rsid w:val="000A70FE"/>
    <w:rsid w:val="000A7839"/>
    <w:rsid w:val="000B0A62"/>
    <w:rsid w:val="000B17B5"/>
    <w:rsid w:val="000B2CBF"/>
    <w:rsid w:val="000B5903"/>
    <w:rsid w:val="000C4E7E"/>
    <w:rsid w:val="000C567D"/>
    <w:rsid w:val="000C5746"/>
    <w:rsid w:val="000D2DCE"/>
    <w:rsid w:val="000D373B"/>
    <w:rsid w:val="000D600D"/>
    <w:rsid w:val="000E2376"/>
    <w:rsid w:val="000E28DF"/>
    <w:rsid w:val="000F253D"/>
    <w:rsid w:val="000F29A9"/>
    <w:rsid w:val="000F2D09"/>
    <w:rsid w:val="000F2E6B"/>
    <w:rsid w:val="000F659F"/>
    <w:rsid w:val="001020AA"/>
    <w:rsid w:val="00107C24"/>
    <w:rsid w:val="00117EF6"/>
    <w:rsid w:val="00120DB7"/>
    <w:rsid w:val="0012163E"/>
    <w:rsid w:val="0013158A"/>
    <w:rsid w:val="00133941"/>
    <w:rsid w:val="00134986"/>
    <w:rsid w:val="00135933"/>
    <w:rsid w:val="00137A95"/>
    <w:rsid w:val="001407CF"/>
    <w:rsid w:val="00147B3C"/>
    <w:rsid w:val="001506F4"/>
    <w:rsid w:val="001568CB"/>
    <w:rsid w:val="001571F3"/>
    <w:rsid w:val="0017099D"/>
    <w:rsid w:val="0017304D"/>
    <w:rsid w:val="001752FB"/>
    <w:rsid w:val="00176F36"/>
    <w:rsid w:val="00193209"/>
    <w:rsid w:val="001A5866"/>
    <w:rsid w:val="001B7FEF"/>
    <w:rsid w:val="001C7CBD"/>
    <w:rsid w:val="001D1772"/>
    <w:rsid w:val="001D3CAB"/>
    <w:rsid w:val="001E4662"/>
    <w:rsid w:val="001F23AF"/>
    <w:rsid w:val="001F3367"/>
    <w:rsid w:val="001F34FD"/>
    <w:rsid w:val="001F4BBE"/>
    <w:rsid w:val="001F5F62"/>
    <w:rsid w:val="00202AF6"/>
    <w:rsid w:val="00203259"/>
    <w:rsid w:val="00204083"/>
    <w:rsid w:val="0021025F"/>
    <w:rsid w:val="002319B6"/>
    <w:rsid w:val="00240416"/>
    <w:rsid w:val="00246FC8"/>
    <w:rsid w:val="002522BC"/>
    <w:rsid w:val="002522E6"/>
    <w:rsid w:val="0025366A"/>
    <w:rsid w:val="002635E6"/>
    <w:rsid w:val="00263863"/>
    <w:rsid w:val="00270013"/>
    <w:rsid w:val="002773A6"/>
    <w:rsid w:val="0027797B"/>
    <w:rsid w:val="00284D9E"/>
    <w:rsid w:val="002A2E28"/>
    <w:rsid w:val="002A4129"/>
    <w:rsid w:val="002A557E"/>
    <w:rsid w:val="002B34E4"/>
    <w:rsid w:val="002C1D05"/>
    <w:rsid w:val="002D1CB4"/>
    <w:rsid w:val="002D7809"/>
    <w:rsid w:val="002E39D4"/>
    <w:rsid w:val="002F6EEF"/>
    <w:rsid w:val="00300D57"/>
    <w:rsid w:val="00302D29"/>
    <w:rsid w:val="0030522D"/>
    <w:rsid w:val="00314C4F"/>
    <w:rsid w:val="00323F84"/>
    <w:rsid w:val="003365C7"/>
    <w:rsid w:val="003408ED"/>
    <w:rsid w:val="00343989"/>
    <w:rsid w:val="00343A68"/>
    <w:rsid w:val="00352BA4"/>
    <w:rsid w:val="00356FE0"/>
    <w:rsid w:val="00360FBC"/>
    <w:rsid w:val="00371F36"/>
    <w:rsid w:val="00372E0C"/>
    <w:rsid w:val="003736F8"/>
    <w:rsid w:val="0037459B"/>
    <w:rsid w:val="003760D6"/>
    <w:rsid w:val="00382E75"/>
    <w:rsid w:val="00391405"/>
    <w:rsid w:val="00394062"/>
    <w:rsid w:val="00394B6B"/>
    <w:rsid w:val="003A127C"/>
    <w:rsid w:val="003A160F"/>
    <w:rsid w:val="003A5BE7"/>
    <w:rsid w:val="003A5F8D"/>
    <w:rsid w:val="003B70B1"/>
    <w:rsid w:val="003B7953"/>
    <w:rsid w:val="003B7FB9"/>
    <w:rsid w:val="003C03B2"/>
    <w:rsid w:val="003D6766"/>
    <w:rsid w:val="003D6F87"/>
    <w:rsid w:val="003E038E"/>
    <w:rsid w:val="003E0B7C"/>
    <w:rsid w:val="003E1FA4"/>
    <w:rsid w:val="003E486B"/>
    <w:rsid w:val="003F42B1"/>
    <w:rsid w:val="00406EE9"/>
    <w:rsid w:val="004123A7"/>
    <w:rsid w:val="0042494B"/>
    <w:rsid w:val="00424B22"/>
    <w:rsid w:val="0042636B"/>
    <w:rsid w:val="00430953"/>
    <w:rsid w:val="004438E7"/>
    <w:rsid w:val="00447596"/>
    <w:rsid w:val="0046215B"/>
    <w:rsid w:val="0046719A"/>
    <w:rsid w:val="0047336B"/>
    <w:rsid w:val="0047339C"/>
    <w:rsid w:val="00477174"/>
    <w:rsid w:val="00483B33"/>
    <w:rsid w:val="0049106F"/>
    <w:rsid w:val="00491713"/>
    <w:rsid w:val="004958CC"/>
    <w:rsid w:val="00496E6B"/>
    <w:rsid w:val="004A137C"/>
    <w:rsid w:val="004A3B65"/>
    <w:rsid w:val="004A4117"/>
    <w:rsid w:val="004A5FAE"/>
    <w:rsid w:val="004B2344"/>
    <w:rsid w:val="004B31D6"/>
    <w:rsid w:val="004C1EF3"/>
    <w:rsid w:val="004C3386"/>
    <w:rsid w:val="004D0FFC"/>
    <w:rsid w:val="004D1C1F"/>
    <w:rsid w:val="004D6438"/>
    <w:rsid w:val="004E3AAF"/>
    <w:rsid w:val="004E6F6D"/>
    <w:rsid w:val="004E7FBE"/>
    <w:rsid w:val="00501577"/>
    <w:rsid w:val="00502323"/>
    <w:rsid w:val="0050367C"/>
    <w:rsid w:val="0050391C"/>
    <w:rsid w:val="005104B9"/>
    <w:rsid w:val="00512383"/>
    <w:rsid w:val="005143F2"/>
    <w:rsid w:val="00517D16"/>
    <w:rsid w:val="005203ED"/>
    <w:rsid w:val="00520FC4"/>
    <w:rsid w:val="0052281A"/>
    <w:rsid w:val="005309CA"/>
    <w:rsid w:val="00534531"/>
    <w:rsid w:val="00536817"/>
    <w:rsid w:val="00537559"/>
    <w:rsid w:val="005425D1"/>
    <w:rsid w:val="00552DC7"/>
    <w:rsid w:val="00553E75"/>
    <w:rsid w:val="005618F3"/>
    <w:rsid w:val="00564BB7"/>
    <w:rsid w:val="00566D72"/>
    <w:rsid w:val="005702F0"/>
    <w:rsid w:val="00577449"/>
    <w:rsid w:val="00580213"/>
    <w:rsid w:val="00587B45"/>
    <w:rsid w:val="005A01B4"/>
    <w:rsid w:val="005A03C5"/>
    <w:rsid w:val="005A530B"/>
    <w:rsid w:val="005A788A"/>
    <w:rsid w:val="005B45C0"/>
    <w:rsid w:val="005B4BA2"/>
    <w:rsid w:val="005C6014"/>
    <w:rsid w:val="005C68E2"/>
    <w:rsid w:val="005D1240"/>
    <w:rsid w:val="005D5542"/>
    <w:rsid w:val="005D79F9"/>
    <w:rsid w:val="005E12E8"/>
    <w:rsid w:val="005E3C87"/>
    <w:rsid w:val="005F0114"/>
    <w:rsid w:val="005F5D36"/>
    <w:rsid w:val="005F6580"/>
    <w:rsid w:val="005F6A5A"/>
    <w:rsid w:val="00602087"/>
    <w:rsid w:val="0060313F"/>
    <w:rsid w:val="00605E74"/>
    <w:rsid w:val="0061160B"/>
    <w:rsid w:val="0061532C"/>
    <w:rsid w:val="006216A4"/>
    <w:rsid w:val="00631E3A"/>
    <w:rsid w:val="00642BAA"/>
    <w:rsid w:val="00645B77"/>
    <w:rsid w:val="0064689F"/>
    <w:rsid w:val="00647F03"/>
    <w:rsid w:val="00656349"/>
    <w:rsid w:val="00664CE1"/>
    <w:rsid w:val="00674F73"/>
    <w:rsid w:val="00681E81"/>
    <w:rsid w:val="006850F8"/>
    <w:rsid w:val="00692721"/>
    <w:rsid w:val="006934E8"/>
    <w:rsid w:val="006A4B64"/>
    <w:rsid w:val="006C03C2"/>
    <w:rsid w:val="006C1101"/>
    <w:rsid w:val="006C4704"/>
    <w:rsid w:val="006C541D"/>
    <w:rsid w:val="006C7CD0"/>
    <w:rsid w:val="006D0372"/>
    <w:rsid w:val="006E0C22"/>
    <w:rsid w:val="006E17FD"/>
    <w:rsid w:val="006E20AA"/>
    <w:rsid w:val="006E2B9A"/>
    <w:rsid w:val="006E601A"/>
    <w:rsid w:val="006E688E"/>
    <w:rsid w:val="006E6B39"/>
    <w:rsid w:val="006F1AF8"/>
    <w:rsid w:val="006F52F2"/>
    <w:rsid w:val="0070240E"/>
    <w:rsid w:val="00703261"/>
    <w:rsid w:val="0070486B"/>
    <w:rsid w:val="00722B9E"/>
    <w:rsid w:val="00725898"/>
    <w:rsid w:val="00731B68"/>
    <w:rsid w:val="007360DF"/>
    <w:rsid w:val="00744F7D"/>
    <w:rsid w:val="007508C5"/>
    <w:rsid w:val="00752016"/>
    <w:rsid w:val="00752C5C"/>
    <w:rsid w:val="007572F7"/>
    <w:rsid w:val="00760CBD"/>
    <w:rsid w:val="00765A01"/>
    <w:rsid w:val="0079165A"/>
    <w:rsid w:val="007A40E0"/>
    <w:rsid w:val="007B51BD"/>
    <w:rsid w:val="007B5675"/>
    <w:rsid w:val="007B7CFA"/>
    <w:rsid w:val="007C1615"/>
    <w:rsid w:val="007C56B4"/>
    <w:rsid w:val="007D07CF"/>
    <w:rsid w:val="007D6E58"/>
    <w:rsid w:val="007E34EC"/>
    <w:rsid w:val="007E5456"/>
    <w:rsid w:val="007F4E17"/>
    <w:rsid w:val="0080122A"/>
    <w:rsid w:val="00805ED5"/>
    <w:rsid w:val="00810463"/>
    <w:rsid w:val="00822D50"/>
    <w:rsid w:val="00830CC7"/>
    <w:rsid w:val="008330AF"/>
    <w:rsid w:val="00836984"/>
    <w:rsid w:val="0084725E"/>
    <w:rsid w:val="00847F3E"/>
    <w:rsid w:val="00852ABF"/>
    <w:rsid w:val="008558FB"/>
    <w:rsid w:val="00856800"/>
    <w:rsid w:val="00873C91"/>
    <w:rsid w:val="00875044"/>
    <w:rsid w:val="0088725B"/>
    <w:rsid w:val="00891541"/>
    <w:rsid w:val="00891921"/>
    <w:rsid w:val="008941D9"/>
    <w:rsid w:val="008A2F0C"/>
    <w:rsid w:val="008B19DC"/>
    <w:rsid w:val="008B26B4"/>
    <w:rsid w:val="008B2B77"/>
    <w:rsid w:val="008C3793"/>
    <w:rsid w:val="008C39AD"/>
    <w:rsid w:val="008C5F46"/>
    <w:rsid w:val="008D7167"/>
    <w:rsid w:val="008E19CA"/>
    <w:rsid w:val="008F0849"/>
    <w:rsid w:val="008F169F"/>
    <w:rsid w:val="008F1C8C"/>
    <w:rsid w:val="008F7FCB"/>
    <w:rsid w:val="0090170D"/>
    <w:rsid w:val="0090638C"/>
    <w:rsid w:val="00907E82"/>
    <w:rsid w:val="0091050E"/>
    <w:rsid w:val="00914A1A"/>
    <w:rsid w:val="00917A8C"/>
    <w:rsid w:val="00920E7F"/>
    <w:rsid w:val="00925137"/>
    <w:rsid w:val="0093098C"/>
    <w:rsid w:val="00940658"/>
    <w:rsid w:val="00943430"/>
    <w:rsid w:val="009443B1"/>
    <w:rsid w:val="009552D1"/>
    <w:rsid w:val="00955C62"/>
    <w:rsid w:val="00965D03"/>
    <w:rsid w:val="00966F10"/>
    <w:rsid w:val="0097221A"/>
    <w:rsid w:val="00975D71"/>
    <w:rsid w:val="00980B11"/>
    <w:rsid w:val="00990656"/>
    <w:rsid w:val="009A2356"/>
    <w:rsid w:val="009A5649"/>
    <w:rsid w:val="009A62E6"/>
    <w:rsid w:val="009A7402"/>
    <w:rsid w:val="009A7F56"/>
    <w:rsid w:val="009B2E2D"/>
    <w:rsid w:val="009B73CD"/>
    <w:rsid w:val="009C111E"/>
    <w:rsid w:val="009C316B"/>
    <w:rsid w:val="009C440A"/>
    <w:rsid w:val="009C48B0"/>
    <w:rsid w:val="009D180E"/>
    <w:rsid w:val="009E16DC"/>
    <w:rsid w:val="009E5820"/>
    <w:rsid w:val="00A01900"/>
    <w:rsid w:val="00A043EC"/>
    <w:rsid w:val="00A1002F"/>
    <w:rsid w:val="00A10B40"/>
    <w:rsid w:val="00A118C9"/>
    <w:rsid w:val="00A16C61"/>
    <w:rsid w:val="00A21859"/>
    <w:rsid w:val="00A30D55"/>
    <w:rsid w:val="00A460B0"/>
    <w:rsid w:val="00A571A1"/>
    <w:rsid w:val="00A64CF3"/>
    <w:rsid w:val="00A8340F"/>
    <w:rsid w:val="00A8614A"/>
    <w:rsid w:val="00A87BC1"/>
    <w:rsid w:val="00A91254"/>
    <w:rsid w:val="00A9149E"/>
    <w:rsid w:val="00A94469"/>
    <w:rsid w:val="00A971DD"/>
    <w:rsid w:val="00AA223F"/>
    <w:rsid w:val="00AA27A3"/>
    <w:rsid w:val="00AA62BB"/>
    <w:rsid w:val="00AA680A"/>
    <w:rsid w:val="00AB13EF"/>
    <w:rsid w:val="00AB2826"/>
    <w:rsid w:val="00AB78B9"/>
    <w:rsid w:val="00AC45B7"/>
    <w:rsid w:val="00AD1D67"/>
    <w:rsid w:val="00AD32F6"/>
    <w:rsid w:val="00AD4723"/>
    <w:rsid w:val="00AE665A"/>
    <w:rsid w:val="00AF13A3"/>
    <w:rsid w:val="00AF1432"/>
    <w:rsid w:val="00AF23C0"/>
    <w:rsid w:val="00B122E0"/>
    <w:rsid w:val="00B12E7A"/>
    <w:rsid w:val="00B238AD"/>
    <w:rsid w:val="00B24BA3"/>
    <w:rsid w:val="00B27BE9"/>
    <w:rsid w:val="00B32A87"/>
    <w:rsid w:val="00B3317C"/>
    <w:rsid w:val="00B33F56"/>
    <w:rsid w:val="00B34418"/>
    <w:rsid w:val="00B36510"/>
    <w:rsid w:val="00B52CE6"/>
    <w:rsid w:val="00B56234"/>
    <w:rsid w:val="00B57951"/>
    <w:rsid w:val="00B60E89"/>
    <w:rsid w:val="00B65641"/>
    <w:rsid w:val="00B65ED3"/>
    <w:rsid w:val="00B70CC9"/>
    <w:rsid w:val="00B71650"/>
    <w:rsid w:val="00B75A04"/>
    <w:rsid w:val="00B778F9"/>
    <w:rsid w:val="00B77D3F"/>
    <w:rsid w:val="00B827A6"/>
    <w:rsid w:val="00B92085"/>
    <w:rsid w:val="00B92C68"/>
    <w:rsid w:val="00B969AE"/>
    <w:rsid w:val="00BA072F"/>
    <w:rsid w:val="00BA1B7D"/>
    <w:rsid w:val="00BA273F"/>
    <w:rsid w:val="00BA4015"/>
    <w:rsid w:val="00BB023F"/>
    <w:rsid w:val="00BB252A"/>
    <w:rsid w:val="00BB6D34"/>
    <w:rsid w:val="00BC1BAA"/>
    <w:rsid w:val="00BC7EEC"/>
    <w:rsid w:val="00BD01A5"/>
    <w:rsid w:val="00BD1DA9"/>
    <w:rsid w:val="00BE38F5"/>
    <w:rsid w:val="00BE443E"/>
    <w:rsid w:val="00BF5905"/>
    <w:rsid w:val="00BF6823"/>
    <w:rsid w:val="00BF7846"/>
    <w:rsid w:val="00C06C7C"/>
    <w:rsid w:val="00C2148C"/>
    <w:rsid w:val="00C243D0"/>
    <w:rsid w:val="00C3041D"/>
    <w:rsid w:val="00C32B40"/>
    <w:rsid w:val="00C40841"/>
    <w:rsid w:val="00C413C7"/>
    <w:rsid w:val="00C41FC4"/>
    <w:rsid w:val="00C47212"/>
    <w:rsid w:val="00C47297"/>
    <w:rsid w:val="00C6159C"/>
    <w:rsid w:val="00C67941"/>
    <w:rsid w:val="00C71632"/>
    <w:rsid w:val="00C75034"/>
    <w:rsid w:val="00C75C06"/>
    <w:rsid w:val="00C76150"/>
    <w:rsid w:val="00CA75EF"/>
    <w:rsid w:val="00CA77C8"/>
    <w:rsid w:val="00CB22A6"/>
    <w:rsid w:val="00CB3946"/>
    <w:rsid w:val="00CB7037"/>
    <w:rsid w:val="00CC1BB9"/>
    <w:rsid w:val="00CC3663"/>
    <w:rsid w:val="00CC3A91"/>
    <w:rsid w:val="00CC4FED"/>
    <w:rsid w:val="00CD2BED"/>
    <w:rsid w:val="00CD31F3"/>
    <w:rsid w:val="00CD5819"/>
    <w:rsid w:val="00CE00F8"/>
    <w:rsid w:val="00CE22E2"/>
    <w:rsid w:val="00CE49E9"/>
    <w:rsid w:val="00CF373D"/>
    <w:rsid w:val="00CF471D"/>
    <w:rsid w:val="00D147AB"/>
    <w:rsid w:val="00D30888"/>
    <w:rsid w:val="00D35353"/>
    <w:rsid w:val="00D406E2"/>
    <w:rsid w:val="00D42931"/>
    <w:rsid w:val="00D450CD"/>
    <w:rsid w:val="00D63503"/>
    <w:rsid w:val="00D73ED8"/>
    <w:rsid w:val="00D81A52"/>
    <w:rsid w:val="00DA19C9"/>
    <w:rsid w:val="00DA21F9"/>
    <w:rsid w:val="00DB4A39"/>
    <w:rsid w:val="00DC1282"/>
    <w:rsid w:val="00DC28F9"/>
    <w:rsid w:val="00DD0A35"/>
    <w:rsid w:val="00DD73B8"/>
    <w:rsid w:val="00DE4F5C"/>
    <w:rsid w:val="00DE5E39"/>
    <w:rsid w:val="00DF2144"/>
    <w:rsid w:val="00E00AE3"/>
    <w:rsid w:val="00E01336"/>
    <w:rsid w:val="00E144C6"/>
    <w:rsid w:val="00E23094"/>
    <w:rsid w:val="00E23894"/>
    <w:rsid w:val="00E24CF9"/>
    <w:rsid w:val="00E25A6C"/>
    <w:rsid w:val="00E2615C"/>
    <w:rsid w:val="00E263EE"/>
    <w:rsid w:val="00E2654D"/>
    <w:rsid w:val="00E359B3"/>
    <w:rsid w:val="00E41318"/>
    <w:rsid w:val="00E47597"/>
    <w:rsid w:val="00E5209E"/>
    <w:rsid w:val="00E52773"/>
    <w:rsid w:val="00E61C06"/>
    <w:rsid w:val="00E70400"/>
    <w:rsid w:val="00E71E1B"/>
    <w:rsid w:val="00E77562"/>
    <w:rsid w:val="00E81A45"/>
    <w:rsid w:val="00E8644F"/>
    <w:rsid w:val="00E93BD9"/>
    <w:rsid w:val="00E96BD0"/>
    <w:rsid w:val="00EA080E"/>
    <w:rsid w:val="00EA0941"/>
    <w:rsid w:val="00EA1105"/>
    <w:rsid w:val="00EB5785"/>
    <w:rsid w:val="00EB7788"/>
    <w:rsid w:val="00EC3802"/>
    <w:rsid w:val="00EC457D"/>
    <w:rsid w:val="00EC509E"/>
    <w:rsid w:val="00ED0342"/>
    <w:rsid w:val="00ED145B"/>
    <w:rsid w:val="00EE07E1"/>
    <w:rsid w:val="00EE3F96"/>
    <w:rsid w:val="00EE4FE1"/>
    <w:rsid w:val="00EE560D"/>
    <w:rsid w:val="00EF211E"/>
    <w:rsid w:val="00EF4061"/>
    <w:rsid w:val="00EF4163"/>
    <w:rsid w:val="00F06E9D"/>
    <w:rsid w:val="00F27FDD"/>
    <w:rsid w:val="00F3062A"/>
    <w:rsid w:val="00F33C1D"/>
    <w:rsid w:val="00F424F9"/>
    <w:rsid w:val="00F437E8"/>
    <w:rsid w:val="00F464B5"/>
    <w:rsid w:val="00F62C79"/>
    <w:rsid w:val="00F64020"/>
    <w:rsid w:val="00F71FD7"/>
    <w:rsid w:val="00F73803"/>
    <w:rsid w:val="00F74AFE"/>
    <w:rsid w:val="00F759C8"/>
    <w:rsid w:val="00F81C7E"/>
    <w:rsid w:val="00F82D0A"/>
    <w:rsid w:val="00F84786"/>
    <w:rsid w:val="00F9025D"/>
    <w:rsid w:val="00FA5AB6"/>
    <w:rsid w:val="00FB0AD5"/>
    <w:rsid w:val="00FB124B"/>
    <w:rsid w:val="00FB1446"/>
    <w:rsid w:val="00FB3790"/>
    <w:rsid w:val="00FC3AB4"/>
    <w:rsid w:val="00FC6184"/>
    <w:rsid w:val="00FC6358"/>
    <w:rsid w:val="00FD121B"/>
    <w:rsid w:val="00FD2638"/>
    <w:rsid w:val="00FD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949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19DC"/>
    <w:pPr>
      <w:spacing w:before="100" w:beforeAutospacing="1" w:after="100" w:afterAutospacing="1"/>
    </w:pPr>
  </w:style>
  <w:style w:type="character" w:customStyle="1" w:styleId="apple-converted-space">
    <w:name w:val="apple-converted-space"/>
    <w:basedOn w:val="DefaultParagraphFont"/>
    <w:rsid w:val="00044C32"/>
  </w:style>
  <w:style w:type="paragraph" w:styleId="Revision">
    <w:name w:val="Revision"/>
    <w:hidden/>
    <w:uiPriority w:val="71"/>
    <w:rsid w:val="00EF406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5B4BA2"/>
    <w:rPr>
      <w:rFonts w:ascii="Lucida Grande" w:hAnsi="Lucida Grande" w:cs="Lucida Grande"/>
    </w:rPr>
  </w:style>
  <w:style w:type="character" w:customStyle="1" w:styleId="DocumentMapChar">
    <w:name w:val="Document Map Char"/>
    <w:basedOn w:val="DefaultParagraphFont"/>
    <w:link w:val="DocumentMap"/>
    <w:uiPriority w:val="99"/>
    <w:semiHidden/>
    <w:rsid w:val="005B4BA2"/>
    <w:rPr>
      <w:rFonts w:ascii="Lucida Grande" w:eastAsia="Times New Roman"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19DC"/>
    <w:pPr>
      <w:spacing w:before="100" w:beforeAutospacing="1" w:after="100" w:afterAutospacing="1"/>
    </w:pPr>
  </w:style>
  <w:style w:type="character" w:customStyle="1" w:styleId="apple-converted-space">
    <w:name w:val="apple-converted-space"/>
    <w:basedOn w:val="DefaultParagraphFont"/>
    <w:rsid w:val="00044C32"/>
  </w:style>
  <w:style w:type="paragraph" w:styleId="Revision">
    <w:name w:val="Revision"/>
    <w:hidden/>
    <w:uiPriority w:val="71"/>
    <w:rsid w:val="00EF406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5B4BA2"/>
    <w:rPr>
      <w:rFonts w:ascii="Lucida Grande" w:hAnsi="Lucida Grande" w:cs="Lucida Grande"/>
    </w:rPr>
  </w:style>
  <w:style w:type="character" w:customStyle="1" w:styleId="DocumentMapChar">
    <w:name w:val="Document Map Char"/>
    <w:basedOn w:val="DefaultParagraphFont"/>
    <w:link w:val="DocumentMap"/>
    <w:uiPriority w:val="99"/>
    <w:semiHidden/>
    <w:rsid w:val="005B4BA2"/>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533">
      <w:bodyDiv w:val="1"/>
      <w:marLeft w:val="0"/>
      <w:marRight w:val="0"/>
      <w:marTop w:val="0"/>
      <w:marBottom w:val="0"/>
      <w:divBdr>
        <w:top w:val="none" w:sz="0" w:space="0" w:color="auto"/>
        <w:left w:val="none" w:sz="0" w:space="0" w:color="auto"/>
        <w:bottom w:val="none" w:sz="0" w:space="0" w:color="auto"/>
        <w:right w:val="none" w:sz="0" w:space="0" w:color="auto"/>
      </w:divBdr>
    </w:div>
    <w:div w:id="201135578">
      <w:bodyDiv w:val="1"/>
      <w:marLeft w:val="0"/>
      <w:marRight w:val="0"/>
      <w:marTop w:val="0"/>
      <w:marBottom w:val="0"/>
      <w:divBdr>
        <w:top w:val="none" w:sz="0" w:space="0" w:color="auto"/>
        <w:left w:val="none" w:sz="0" w:space="0" w:color="auto"/>
        <w:bottom w:val="none" w:sz="0" w:space="0" w:color="auto"/>
        <w:right w:val="none" w:sz="0" w:space="0" w:color="auto"/>
      </w:divBdr>
      <w:divsChild>
        <w:div w:id="2102606165">
          <w:marLeft w:val="0"/>
          <w:marRight w:val="0"/>
          <w:marTop w:val="0"/>
          <w:marBottom w:val="0"/>
          <w:divBdr>
            <w:top w:val="none" w:sz="0" w:space="0" w:color="auto"/>
            <w:left w:val="none" w:sz="0" w:space="0" w:color="auto"/>
            <w:bottom w:val="none" w:sz="0" w:space="0" w:color="auto"/>
            <w:right w:val="none" w:sz="0" w:space="0" w:color="auto"/>
          </w:divBdr>
          <w:divsChild>
            <w:div w:id="930506455">
              <w:marLeft w:val="0"/>
              <w:marRight w:val="0"/>
              <w:marTop w:val="0"/>
              <w:marBottom w:val="0"/>
              <w:divBdr>
                <w:top w:val="none" w:sz="0" w:space="0" w:color="auto"/>
                <w:left w:val="none" w:sz="0" w:space="0" w:color="auto"/>
                <w:bottom w:val="none" w:sz="0" w:space="0" w:color="auto"/>
                <w:right w:val="none" w:sz="0" w:space="0" w:color="auto"/>
              </w:divBdr>
              <w:divsChild>
                <w:div w:id="227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39260">
      <w:bodyDiv w:val="1"/>
      <w:marLeft w:val="0"/>
      <w:marRight w:val="0"/>
      <w:marTop w:val="0"/>
      <w:marBottom w:val="0"/>
      <w:divBdr>
        <w:top w:val="none" w:sz="0" w:space="0" w:color="auto"/>
        <w:left w:val="none" w:sz="0" w:space="0" w:color="auto"/>
        <w:bottom w:val="none" w:sz="0" w:space="0" w:color="auto"/>
        <w:right w:val="none" w:sz="0" w:space="0" w:color="auto"/>
      </w:divBdr>
      <w:divsChild>
        <w:div w:id="240019554">
          <w:marLeft w:val="0"/>
          <w:marRight w:val="0"/>
          <w:marTop w:val="0"/>
          <w:marBottom w:val="0"/>
          <w:divBdr>
            <w:top w:val="none" w:sz="0" w:space="0" w:color="auto"/>
            <w:left w:val="none" w:sz="0" w:space="0" w:color="auto"/>
            <w:bottom w:val="none" w:sz="0" w:space="0" w:color="auto"/>
            <w:right w:val="none" w:sz="0" w:space="0" w:color="auto"/>
          </w:divBdr>
          <w:divsChild>
            <w:div w:id="1020356118">
              <w:marLeft w:val="0"/>
              <w:marRight w:val="0"/>
              <w:marTop w:val="0"/>
              <w:marBottom w:val="0"/>
              <w:divBdr>
                <w:top w:val="none" w:sz="0" w:space="0" w:color="auto"/>
                <w:left w:val="none" w:sz="0" w:space="0" w:color="auto"/>
                <w:bottom w:val="none" w:sz="0" w:space="0" w:color="auto"/>
                <w:right w:val="none" w:sz="0" w:space="0" w:color="auto"/>
              </w:divBdr>
              <w:divsChild>
                <w:div w:id="414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1453">
      <w:bodyDiv w:val="1"/>
      <w:marLeft w:val="0"/>
      <w:marRight w:val="0"/>
      <w:marTop w:val="0"/>
      <w:marBottom w:val="0"/>
      <w:divBdr>
        <w:top w:val="none" w:sz="0" w:space="0" w:color="auto"/>
        <w:left w:val="none" w:sz="0" w:space="0" w:color="auto"/>
        <w:bottom w:val="none" w:sz="0" w:space="0" w:color="auto"/>
        <w:right w:val="none" w:sz="0" w:space="0" w:color="auto"/>
      </w:divBdr>
    </w:div>
    <w:div w:id="1342589592">
      <w:bodyDiv w:val="1"/>
      <w:marLeft w:val="0"/>
      <w:marRight w:val="0"/>
      <w:marTop w:val="0"/>
      <w:marBottom w:val="0"/>
      <w:divBdr>
        <w:top w:val="none" w:sz="0" w:space="0" w:color="auto"/>
        <w:left w:val="none" w:sz="0" w:space="0" w:color="auto"/>
        <w:bottom w:val="none" w:sz="0" w:space="0" w:color="auto"/>
        <w:right w:val="none" w:sz="0" w:space="0" w:color="auto"/>
      </w:divBdr>
      <w:divsChild>
        <w:div w:id="384839685">
          <w:marLeft w:val="0"/>
          <w:marRight w:val="0"/>
          <w:marTop w:val="0"/>
          <w:marBottom w:val="0"/>
          <w:divBdr>
            <w:top w:val="none" w:sz="0" w:space="0" w:color="auto"/>
            <w:left w:val="none" w:sz="0" w:space="0" w:color="auto"/>
            <w:bottom w:val="none" w:sz="0" w:space="0" w:color="auto"/>
            <w:right w:val="none" w:sz="0" w:space="0" w:color="auto"/>
          </w:divBdr>
          <w:divsChild>
            <w:div w:id="796340174">
              <w:marLeft w:val="0"/>
              <w:marRight w:val="0"/>
              <w:marTop w:val="0"/>
              <w:marBottom w:val="0"/>
              <w:divBdr>
                <w:top w:val="none" w:sz="0" w:space="0" w:color="auto"/>
                <w:left w:val="none" w:sz="0" w:space="0" w:color="auto"/>
                <w:bottom w:val="none" w:sz="0" w:space="0" w:color="auto"/>
                <w:right w:val="none" w:sz="0" w:space="0" w:color="auto"/>
              </w:divBdr>
              <w:divsChild>
                <w:div w:id="8447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639">
      <w:bodyDiv w:val="1"/>
      <w:marLeft w:val="0"/>
      <w:marRight w:val="0"/>
      <w:marTop w:val="0"/>
      <w:marBottom w:val="0"/>
      <w:divBdr>
        <w:top w:val="none" w:sz="0" w:space="0" w:color="auto"/>
        <w:left w:val="none" w:sz="0" w:space="0" w:color="auto"/>
        <w:bottom w:val="none" w:sz="0" w:space="0" w:color="auto"/>
        <w:right w:val="none" w:sz="0" w:space="0" w:color="auto"/>
      </w:divBdr>
      <w:divsChild>
        <w:div w:id="1513254001">
          <w:marLeft w:val="0"/>
          <w:marRight w:val="0"/>
          <w:marTop w:val="0"/>
          <w:marBottom w:val="0"/>
          <w:divBdr>
            <w:top w:val="none" w:sz="0" w:space="0" w:color="auto"/>
            <w:left w:val="none" w:sz="0" w:space="0" w:color="auto"/>
            <w:bottom w:val="none" w:sz="0" w:space="0" w:color="auto"/>
            <w:right w:val="none" w:sz="0" w:space="0" w:color="auto"/>
          </w:divBdr>
          <w:divsChild>
            <w:div w:id="1990279975">
              <w:marLeft w:val="0"/>
              <w:marRight w:val="0"/>
              <w:marTop w:val="0"/>
              <w:marBottom w:val="0"/>
              <w:divBdr>
                <w:top w:val="none" w:sz="0" w:space="0" w:color="auto"/>
                <w:left w:val="none" w:sz="0" w:space="0" w:color="auto"/>
                <w:bottom w:val="none" w:sz="0" w:space="0" w:color="auto"/>
                <w:right w:val="none" w:sz="0" w:space="0" w:color="auto"/>
              </w:divBdr>
              <w:divsChild>
                <w:div w:id="6530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592">
      <w:bodyDiv w:val="1"/>
      <w:marLeft w:val="0"/>
      <w:marRight w:val="0"/>
      <w:marTop w:val="0"/>
      <w:marBottom w:val="0"/>
      <w:divBdr>
        <w:top w:val="none" w:sz="0" w:space="0" w:color="auto"/>
        <w:left w:val="none" w:sz="0" w:space="0" w:color="auto"/>
        <w:bottom w:val="none" w:sz="0" w:space="0" w:color="auto"/>
        <w:right w:val="none" w:sz="0" w:space="0" w:color="auto"/>
      </w:divBdr>
    </w:div>
    <w:div w:id="1532650450">
      <w:bodyDiv w:val="1"/>
      <w:marLeft w:val="0"/>
      <w:marRight w:val="0"/>
      <w:marTop w:val="0"/>
      <w:marBottom w:val="0"/>
      <w:divBdr>
        <w:top w:val="none" w:sz="0" w:space="0" w:color="auto"/>
        <w:left w:val="none" w:sz="0" w:space="0" w:color="auto"/>
        <w:bottom w:val="none" w:sz="0" w:space="0" w:color="auto"/>
        <w:right w:val="none" w:sz="0" w:space="0" w:color="auto"/>
      </w:divBdr>
      <w:divsChild>
        <w:div w:id="2126078812">
          <w:marLeft w:val="0"/>
          <w:marRight w:val="0"/>
          <w:marTop w:val="0"/>
          <w:marBottom w:val="0"/>
          <w:divBdr>
            <w:top w:val="none" w:sz="0" w:space="0" w:color="auto"/>
            <w:left w:val="none" w:sz="0" w:space="0" w:color="auto"/>
            <w:bottom w:val="none" w:sz="0" w:space="0" w:color="auto"/>
            <w:right w:val="none" w:sz="0" w:space="0" w:color="auto"/>
          </w:divBdr>
          <w:divsChild>
            <w:div w:id="509367752">
              <w:marLeft w:val="0"/>
              <w:marRight w:val="0"/>
              <w:marTop w:val="0"/>
              <w:marBottom w:val="0"/>
              <w:divBdr>
                <w:top w:val="none" w:sz="0" w:space="0" w:color="auto"/>
                <w:left w:val="none" w:sz="0" w:space="0" w:color="auto"/>
                <w:bottom w:val="none" w:sz="0" w:space="0" w:color="auto"/>
                <w:right w:val="none" w:sz="0" w:space="0" w:color="auto"/>
              </w:divBdr>
              <w:divsChild>
                <w:div w:id="1152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8851">
      <w:bodyDiv w:val="1"/>
      <w:marLeft w:val="0"/>
      <w:marRight w:val="0"/>
      <w:marTop w:val="0"/>
      <w:marBottom w:val="0"/>
      <w:divBdr>
        <w:top w:val="none" w:sz="0" w:space="0" w:color="auto"/>
        <w:left w:val="none" w:sz="0" w:space="0" w:color="auto"/>
        <w:bottom w:val="none" w:sz="0" w:space="0" w:color="auto"/>
        <w:right w:val="none" w:sz="0" w:space="0" w:color="auto"/>
      </w:divBdr>
    </w:div>
    <w:div w:id="1701127813">
      <w:bodyDiv w:val="1"/>
      <w:marLeft w:val="0"/>
      <w:marRight w:val="0"/>
      <w:marTop w:val="0"/>
      <w:marBottom w:val="0"/>
      <w:divBdr>
        <w:top w:val="none" w:sz="0" w:space="0" w:color="auto"/>
        <w:left w:val="none" w:sz="0" w:space="0" w:color="auto"/>
        <w:bottom w:val="none" w:sz="0" w:space="0" w:color="auto"/>
        <w:right w:val="none" w:sz="0" w:space="0" w:color="auto"/>
      </w:divBdr>
    </w:div>
    <w:div w:id="1854342498">
      <w:bodyDiv w:val="1"/>
      <w:marLeft w:val="0"/>
      <w:marRight w:val="0"/>
      <w:marTop w:val="0"/>
      <w:marBottom w:val="0"/>
      <w:divBdr>
        <w:top w:val="none" w:sz="0" w:space="0" w:color="auto"/>
        <w:left w:val="none" w:sz="0" w:space="0" w:color="auto"/>
        <w:bottom w:val="none" w:sz="0" w:space="0" w:color="auto"/>
        <w:right w:val="none" w:sz="0" w:space="0" w:color="auto"/>
      </w:divBdr>
    </w:div>
    <w:div w:id="203911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strp_draft_workplan_201618_cp_feedb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71B7-DBC7-48BC-B724-D103495E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9142</Words>
  <Characters>52112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Stetson University College of Law</Company>
  <LinksUpToDate>false</LinksUpToDate>
  <CharactersWithSpaces>61132</CharactersWithSpaces>
  <SharedDoc>false</SharedDoc>
  <HLinks>
    <vt:vector size="66" baseType="variant">
      <vt:variant>
        <vt:i4>5308424</vt:i4>
      </vt:variant>
      <vt:variant>
        <vt:i4>30</vt:i4>
      </vt:variant>
      <vt:variant>
        <vt:i4>0</vt:i4>
      </vt:variant>
      <vt:variant>
        <vt:i4>5</vt:i4>
      </vt:variant>
      <vt:variant>
        <vt:lpwstr>http://www.ramsar.org/pdf/cop11/doc/cop11-doc22-e-RIS.pdf</vt:lpwstr>
      </vt:variant>
      <vt:variant>
        <vt:lpwstr/>
      </vt:variant>
      <vt:variant>
        <vt:i4>5308424</vt:i4>
      </vt:variant>
      <vt:variant>
        <vt:i4>27</vt:i4>
      </vt:variant>
      <vt:variant>
        <vt:i4>0</vt:i4>
      </vt:variant>
      <vt:variant>
        <vt:i4>5</vt:i4>
      </vt:variant>
      <vt:variant>
        <vt:lpwstr>http://www.ramsar.org/pdf/cop11/doc/cop11-doc22-e-RIS.pdf</vt:lpwstr>
      </vt:variant>
      <vt:variant>
        <vt:lpwstr/>
      </vt:variant>
      <vt:variant>
        <vt:i4>5308424</vt:i4>
      </vt:variant>
      <vt:variant>
        <vt:i4>24</vt:i4>
      </vt:variant>
      <vt:variant>
        <vt:i4>0</vt:i4>
      </vt:variant>
      <vt:variant>
        <vt:i4>5</vt:i4>
      </vt:variant>
      <vt:variant>
        <vt:lpwstr>http://www.ramsar.org/pdf/cop11/doc/cop11-doc22-e-RIS.pdf</vt:lpwstr>
      </vt:variant>
      <vt:variant>
        <vt:lpwstr/>
      </vt:variant>
      <vt:variant>
        <vt:i4>5308424</vt:i4>
      </vt:variant>
      <vt:variant>
        <vt:i4>21</vt:i4>
      </vt:variant>
      <vt:variant>
        <vt:i4>0</vt:i4>
      </vt:variant>
      <vt:variant>
        <vt:i4>5</vt:i4>
      </vt:variant>
      <vt:variant>
        <vt:lpwstr>http://www.ramsar.org/pdf/cop11/doc/cop11-doc22-e-RIS.pdf</vt:lpwstr>
      </vt:variant>
      <vt:variant>
        <vt:lpwstr/>
      </vt:variant>
      <vt:variant>
        <vt:i4>2097210</vt:i4>
      </vt:variant>
      <vt:variant>
        <vt:i4>18</vt:i4>
      </vt:variant>
      <vt:variant>
        <vt:i4>0</vt:i4>
      </vt:variant>
      <vt:variant>
        <vt:i4>5</vt:i4>
      </vt:variant>
      <vt:variant>
        <vt:lpwstr>http://www.ramsar.org/doc/cop11/res/cop11-res08-e-anx2.doc</vt:lpwstr>
      </vt:variant>
      <vt:variant>
        <vt:lpwstr/>
      </vt:variant>
      <vt:variant>
        <vt:i4>2293818</vt:i4>
      </vt:variant>
      <vt:variant>
        <vt:i4>15</vt:i4>
      </vt:variant>
      <vt:variant>
        <vt:i4>0</vt:i4>
      </vt:variant>
      <vt:variant>
        <vt:i4>5</vt:i4>
      </vt:variant>
      <vt:variant>
        <vt:lpwstr>http://www.ramsar.org/doc/cop11/res/cop11-res08-e-anx1.doc</vt:lpwstr>
      </vt:variant>
      <vt:variant>
        <vt:lpwstr/>
      </vt:variant>
      <vt:variant>
        <vt:i4>1507334</vt:i4>
      </vt:variant>
      <vt:variant>
        <vt:i4>12</vt:i4>
      </vt:variant>
      <vt:variant>
        <vt:i4>0</vt:i4>
      </vt:variant>
      <vt:variant>
        <vt:i4>5</vt:i4>
      </vt:variant>
      <vt:variant>
        <vt:lpwstr>http://www.ramsar.org/doc/cop11/res/cop11-res08-e.doc</vt:lpwstr>
      </vt:variant>
      <vt:variant>
        <vt:lpwstr/>
      </vt:variant>
      <vt:variant>
        <vt:i4>1507334</vt:i4>
      </vt:variant>
      <vt:variant>
        <vt:i4>9</vt:i4>
      </vt:variant>
      <vt:variant>
        <vt:i4>0</vt:i4>
      </vt:variant>
      <vt:variant>
        <vt:i4>5</vt:i4>
      </vt:variant>
      <vt:variant>
        <vt:lpwstr>http://www.ramsar.org/doc/cop11/res/cop11-res08-e.doc</vt:lpwstr>
      </vt:variant>
      <vt:variant>
        <vt:lpwstr/>
      </vt:variant>
      <vt:variant>
        <vt:i4>655386</vt:i4>
      </vt:variant>
      <vt:variant>
        <vt:i4>6</vt:i4>
      </vt:variant>
      <vt:variant>
        <vt:i4>0</vt:i4>
      </vt:variant>
      <vt:variant>
        <vt:i4>5</vt:i4>
      </vt:variant>
      <vt:variant>
        <vt:lpwstr>http://www.ramsar.org/cda/en/ramsar-about-glossary-acronyms/main/ramsar/1-36-56-155_4000_0__</vt:lpwstr>
      </vt:variant>
      <vt:variant>
        <vt:lpwstr/>
      </vt:variant>
      <vt:variant>
        <vt:i4>1507343</vt:i4>
      </vt:variant>
      <vt:variant>
        <vt:i4>3</vt:i4>
      </vt:variant>
      <vt:variant>
        <vt:i4>0</vt:i4>
      </vt:variant>
      <vt:variant>
        <vt:i4>5</vt:i4>
      </vt:variant>
      <vt:variant>
        <vt:lpwstr>http://www.ramsar.org/cda/en/ramsar-documents-strp/main/ramsar/1-31-111_4000_0__</vt:lpwstr>
      </vt:variant>
      <vt:variant>
        <vt:lpwstr/>
      </vt:variant>
      <vt:variant>
        <vt:i4>6881389</vt:i4>
      </vt:variant>
      <vt:variant>
        <vt:i4>0</vt:i4>
      </vt:variant>
      <vt:variant>
        <vt:i4>0</vt:i4>
      </vt:variant>
      <vt:variant>
        <vt:i4>5</vt:i4>
      </vt:variant>
      <vt:variant>
        <vt:lpwstr>http://www.ramsar.org/pdf/strp/STRPmod-op-2013-2015.pdf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Royal</dc:creator>
  <cp:lastModifiedBy>Ramsar\JenningsE</cp:lastModifiedBy>
  <cp:revision>3</cp:revision>
  <cp:lastPrinted>2016-03-14T12:46:00Z</cp:lastPrinted>
  <dcterms:created xsi:type="dcterms:W3CDTF">2016-03-16T13:01:00Z</dcterms:created>
  <dcterms:modified xsi:type="dcterms:W3CDTF">2016-04-26T11:00:00Z</dcterms:modified>
</cp:coreProperties>
</file>